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8"/>
        <w:ind w:firstLine="420"/>
        <w:rPr>
          <w:rFonts w:hint="eastAsia" w:ascii="宋体" w:hAnsi="宋体" w:cs="宋体"/>
          <w:color w:val="000000" w:themeColor="text1"/>
          <w14:textFill>
            <w14:solidFill>
              <w14:schemeClr w14:val="tx1"/>
            </w14:solidFill>
          </w14:textFill>
        </w:rPr>
      </w:pPr>
    </w:p>
    <w:p>
      <w:pPr>
        <w:pStyle w:val="28"/>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w:t>
      </w:r>
      <w:r>
        <w:rPr>
          <w:rFonts w:hint="eastAsia" w:ascii="宋体" w:hAnsi="宋体" w:cs="宋体"/>
          <w:b/>
          <w:color w:val="000000" w:themeColor="text1"/>
          <w:sz w:val="36"/>
          <w:szCs w:val="36"/>
          <w:lang w:eastAsia="zh-CN"/>
          <w14:textFill>
            <w14:solidFill>
              <w14:schemeClr w14:val="tx1"/>
            </w14:solidFill>
          </w14:textFill>
        </w:rPr>
        <w:t>QH2025157</w:t>
      </w:r>
    </w:p>
    <w:p>
      <w:pPr>
        <w:pStyle w:val="28"/>
        <w:ind w:firstLine="420"/>
        <w:rPr>
          <w:rFonts w:hint="eastAsia" w:ascii="宋体" w:hAnsi="宋体" w:cs="宋体"/>
          <w:color w:val="000000" w:themeColor="text1"/>
          <w14:textFill>
            <w14:solidFill>
              <w14:schemeClr w14:val="tx1"/>
            </w14:solidFill>
          </w14:textFill>
        </w:rPr>
      </w:pPr>
    </w:p>
    <w:p>
      <w:pPr>
        <w:pStyle w:val="28"/>
        <w:ind w:firstLine="420"/>
        <w:rPr>
          <w:rFonts w:hint="eastAsia" w:ascii="宋体" w:hAnsi="宋体" w:cs="宋体"/>
          <w:color w:val="000000" w:themeColor="text1"/>
          <w14:textFill>
            <w14:solidFill>
              <w14:schemeClr w14:val="tx1"/>
            </w14:solidFill>
          </w14:textFill>
        </w:rPr>
      </w:pPr>
    </w:p>
    <w:p>
      <w:pPr>
        <w:pStyle w:val="28"/>
        <w:ind w:firstLine="420"/>
        <w:rPr>
          <w:rFonts w:hint="eastAsia" w:ascii="宋体" w:hAnsi="宋体" w:cs="宋体"/>
          <w:color w:val="000000" w:themeColor="text1"/>
          <w14:textFill>
            <w14:solidFill>
              <w14:schemeClr w14:val="tx1"/>
            </w14:solidFill>
          </w14:textFill>
        </w:rPr>
      </w:pPr>
    </w:p>
    <w:p>
      <w:pPr>
        <w:ind w:left="2304" w:leftChars="247" w:right="-319" w:rightChars="-152" w:hanging="1785" w:hangingChars="494"/>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w:t>
      </w:r>
      <w:r>
        <w:rPr>
          <w:rFonts w:hint="eastAsia" w:ascii="宋体" w:hAnsi="宋体" w:cs="宋体"/>
          <w:b/>
          <w:color w:val="000000" w:themeColor="text1"/>
          <w:sz w:val="36"/>
          <w:szCs w:val="36"/>
          <w:lang w:eastAsia="zh-CN"/>
          <w14:textFill>
            <w14:solidFill>
              <w14:schemeClr w14:val="tx1"/>
            </w14:solidFill>
          </w14:textFill>
        </w:rPr>
        <w:t>前海合作区公交和长途客运场站功能优化评估项目</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2025年</w:t>
      </w:r>
      <w:r>
        <w:rPr>
          <w:rFonts w:hint="eastAsia" w:ascii="宋体" w:hAnsi="宋体" w:cs="宋体"/>
          <w:b/>
          <w:bCs/>
          <w:color w:val="000000" w:themeColor="text1"/>
          <w:sz w:val="36"/>
          <w:szCs w:val="36"/>
          <w:lang w:val="en-US" w:eastAsia="zh-CN"/>
          <w14:textFill>
            <w14:solidFill>
              <w14:schemeClr w14:val="tx1"/>
            </w14:solidFill>
          </w14:textFill>
        </w:rPr>
        <w:t>12</w:t>
      </w:r>
      <w:r>
        <w:rPr>
          <w:rFonts w:hint="eastAsia" w:ascii="宋体" w:hAnsi="宋体" w:cs="宋体"/>
          <w:b/>
          <w:bCs/>
          <w:color w:val="000000" w:themeColor="text1"/>
          <w:sz w:val="36"/>
          <w:szCs w:val="36"/>
          <w14:textFill>
            <w14:solidFill>
              <w14:schemeClr w14:val="tx1"/>
            </w14:solidFill>
          </w14:textFill>
        </w:rPr>
        <w:t>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6"/>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6"/>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6"/>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6"/>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6"/>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6"/>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6"/>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6"/>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6"/>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10"/>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10"/>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10"/>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10"/>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10"/>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10"/>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000000" w:themeColor="text1"/>
          <w:sz w:val="36"/>
          <w:szCs w:val="36"/>
          <w:lang w:val="zh-CN"/>
          <w14:textFill>
            <w14:solidFill>
              <w14:schemeClr w14:val="tx1"/>
            </w14:solidFill>
          </w14:textFill>
        </w:rPr>
      </w:pPr>
      <w:bookmarkStart w:id="6" w:name="_Toc20808"/>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4"/>
        <w:tabs>
          <w:tab w:val="right" w:leader="dot" w:pos="8306"/>
        </w:tabs>
        <w:spacing w:line="480" w:lineRule="auto"/>
        <w:rPr>
          <w:b/>
          <w:bCs/>
          <w:color w:val="000000" w:themeColor="text1"/>
          <w:sz w:val="24"/>
          <w:szCs w:val="32"/>
          <w14:textFill>
            <w14:solidFill>
              <w14:schemeClr w14:val="tx1"/>
            </w14:solidFill>
          </w14:textFill>
        </w:rPr>
      </w:pPr>
    </w:p>
    <w:p>
      <w:pPr>
        <w:pStyle w:val="14"/>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10</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13</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4"/>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文件编码：0722-2025FE</w:t>
      </w:r>
      <w:r>
        <w:rPr>
          <w:rFonts w:hint="eastAsia" w:ascii="宋体" w:hAnsi="宋体" w:cs="宋体"/>
          <w:color w:val="000000" w:themeColor="text1"/>
          <w:sz w:val="24"/>
          <w:lang w:val="en-US" w:eastAsia="zh-CN"/>
          <w14:textFill>
            <w14:solidFill>
              <w14:schemeClr w14:val="tx1"/>
            </w14:solidFill>
          </w14:textFill>
        </w:rPr>
        <w:t>8139</w:t>
      </w:r>
      <w:r>
        <w:rPr>
          <w:rFonts w:hint="eastAsia" w:ascii="宋体" w:hAnsi="宋体" w:cs="宋体"/>
          <w:color w:val="000000" w:themeColor="text1"/>
          <w:sz w:val="24"/>
          <w14:textFill>
            <w14:solidFill>
              <w14:schemeClr w14:val="tx1"/>
            </w14:solidFill>
          </w14:textFill>
        </w:rPr>
        <w:t>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lang w:eastAsia="zh-CN"/>
          <w14:textFill>
            <w14:solidFill>
              <w14:schemeClr w14:val="tx1"/>
            </w14:solidFill>
          </w14:textFill>
        </w:rPr>
        <w:t>前海合作区公交和长途客运场站功能优化评估项目</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lang w:eastAsia="zh-CN"/>
          <w14:textFill>
            <w14:solidFill>
              <w14:schemeClr w14:val="tx1"/>
            </w14:solidFill>
          </w14:textFill>
        </w:rPr>
        <w:t>QH2025157</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QH2025157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前海合作区公交和长途客运场站功能优化评估项目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bookmarkStart w:id="8" w:name="OLE_LINK3"/>
            <w:r>
              <w:rPr>
                <w:rFonts w:hint="eastAsia" w:ascii="宋体" w:hAnsi="宋体" w:cs="宋体"/>
                <w:color w:val="000000" w:themeColor="text1"/>
                <w:sz w:val="24"/>
                <w14:textFill>
                  <w14:solidFill>
                    <w14:schemeClr w14:val="tx1"/>
                  </w14:solidFill>
                </w14:textFill>
              </w:rPr>
              <w:t xml:space="preserve"> </w:t>
            </w:r>
            <w:bookmarkEnd w:id="8"/>
            <w:r>
              <w:rPr>
                <w:rFonts w:hint="eastAsia" w:ascii="宋体" w:hAnsi="宋体" w:cs="宋体"/>
                <w:color w:val="000000" w:themeColor="text1"/>
                <w:sz w:val="24"/>
                <w14:textFill>
                  <w14:solidFill>
                    <w14:schemeClr w14:val="tx1"/>
                  </w14:solidFill>
                </w14:textFill>
              </w:rPr>
              <w:t>随着深港融合持续深化，前海合作区作为国家战略平台，跨境交通需求显著提升，而传统公交与长途客运功能面临结构性调整。在此背景下，现有交通场站体系已难以适应新时期多元化出行需求，亟需开展功能优化与资源整合。同时，落实前海新型交通基础设施建设项目谋划的要求，场站功能优化后可为充电、储能、无人物流小车、无人驾驶等新型交通设施建设提供空间载体，助力构建智慧、绿色、高效的现代化交通体系。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648</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537</w:t>
            </w:r>
            <w:r>
              <w:rPr>
                <w:rFonts w:hint="eastAsia" w:ascii="宋体" w:hAnsi="宋体" w:cs="宋体"/>
                <w:color w:val="000000" w:themeColor="text1"/>
                <w:sz w:val="24"/>
                <w:lang w:eastAsia="zh-CN"/>
                <w14:textFill>
                  <w14:solidFill>
                    <w14:schemeClr w14:val="tx1"/>
                  </w14:solidFill>
                </w14:textFill>
              </w:rPr>
              <w:t>.00</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人民币</w:t>
            </w:r>
            <w:r>
              <w:rPr>
                <w:rFonts w:hint="eastAsia" w:ascii="宋体" w:hAnsi="宋体" w:cs="宋体"/>
                <w:color w:val="000000" w:themeColor="text1"/>
                <w:sz w:val="24"/>
                <w:lang w:val="en-US" w:eastAsia="zh-CN"/>
                <w14:textFill>
                  <w14:solidFill>
                    <w14:schemeClr w14:val="tx1"/>
                  </w14:solidFill>
                </w14:textFill>
              </w:rPr>
              <w:t>陆拾肆万捌仟伍佰叁拾柒元整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shd w:val="clear" w:color="auto" w:fill="auto"/>
            <w:vAlign w:val="center"/>
          </w:tcPr>
          <w:p>
            <w:pPr>
              <w:spacing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服务属性</w:t>
            </w:r>
          </w:p>
        </w:tc>
        <w:tc>
          <w:tcPr>
            <w:tcW w:w="7015" w:type="dxa"/>
            <w:shd w:val="clear" w:color="auto" w:fill="auto"/>
            <w:vAlign w:val="center"/>
          </w:tcPr>
          <w:p>
            <w:pPr>
              <w:spacing w:line="36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本项目为非长期服务类项目。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w:t>
            </w:r>
            <w:r>
              <w:rPr>
                <w:rFonts w:hint="eastAsia" w:ascii="宋体" w:hAnsi="宋体" w:cs="宋体"/>
                <w:b/>
                <w:bCs/>
                <w:color w:val="000000" w:themeColor="text1"/>
                <w:kern w:val="0"/>
                <w:sz w:val="24"/>
                <w:lang w:val="en-US" w:eastAsia="zh-CN"/>
                <w14:textFill>
                  <w14:solidFill>
                    <w14:schemeClr w14:val="tx1"/>
                  </w14:solidFill>
                </w14:textFill>
              </w:rPr>
              <w:t>6</w:t>
            </w:r>
            <w:r>
              <w:rPr>
                <w:rFonts w:hint="eastAsia" w:ascii="宋体" w:hAnsi="宋体" w:cs="宋体"/>
                <w:b/>
                <w:bCs/>
                <w:color w:val="000000" w:themeColor="text1"/>
                <w:kern w:val="0"/>
                <w:sz w:val="24"/>
                <w14:textFill>
                  <w14:solidFill>
                    <w14:schemeClr w14:val="tx1"/>
                  </w14:solidFill>
                </w14:textFill>
              </w:rPr>
              <w:t>年</w:t>
            </w:r>
            <w:r>
              <w:rPr>
                <w:rFonts w:hint="eastAsia" w:ascii="宋体" w:hAnsi="宋体" w:cs="宋体"/>
                <w:b/>
                <w:bCs/>
                <w:color w:val="000000" w:themeColor="text1"/>
                <w:kern w:val="0"/>
                <w:sz w:val="24"/>
                <w:lang w:val="en-US" w:eastAsia="zh-CN"/>
                <w14:textFill>
                  <w14:solidFill>
                    <w14:schemeClr w14:val="tx1"/>
                  </w14:solidFill>
                </w14:textFill>
              </w:rPr>
              <w:t>1</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5</w:t>
            </w:r>
            <w:r>
              <w:rPr>
                <w:rFonts w:hint="eastAsia" w:ascii="宋体" w:hAnsi="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val="en-US" w:eastAsia="zh-CN"/>
                <w14:textFill>
                  <w14:solidFill>
                    <w14:schemeClr w14:val="tx1"/>
                  </w14:solidFill>
                </w14:textFill>
              </w:rPr>
              <w:t>14</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3</w:t>
            </w:r>
            <w:r>
              <w:rPr>
                <w:rFonts w:hint="eastAsia" w:ascii="宋体" w:hAnsi="宋体" w:cs="宋体"/>
                <w:b/>
                <w:bCs/>
                <w:color w:val="000000" w:themeColor="text1"/>
                <w:kern w:val="0"/>
                <w:sz w:val="24"/>
                <w14:textFill>
                  <w14:solidFill>
                    <w14:schemeClr w14:val="tx1"/>
                  </w14:solidFill>
                </w14:textFill>
              </w:rPr>
              <w:t>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w:t>
            </w:r>
            <w:r>
              <w:rPr>
                <w:rFonts w:hint="eastAsia" w:ascii="宋体" w:hAnsi="宋体" w:cs="宋体"/>
                <w:color w:val="000000" w:themeColor="text1"/>
                <w:kern w:val="0"/>
                <w:sz w:val="24"/>
                <w:highlight w:val="none"/>
                <w:lang w:val="en-US" w:eastAsia="zh-CN"/>
                <w14:textFill>
                  <w14:solidFill>
                    <w14:schemeClr w14:val="tx1"/>
                  </w14:solidFill>
                </w14:textFill>
              </w:rPr>
              <w:t>2515</w:t>
            </w:r>
            <w:r>
              <w:rPr>
                <w:rFonts w:hint="eastAsia" w:ascii="宋体" w:hAnsi="宋体" w:cs="宋体"/>
                <w:color w:val="000000" w:themeColor="text1"/>
                <w:kern w:val="0"/>
                <w:sz w:val="24"/>
                <w:highlight w:val="none"/>
                <w14:textFill>
                  <w14:solidFill>
                    <w14:schemeClr w14:val="tx1"/>
                  </w14:solidFill>
                </w14:textFill>
              </w:rPr>
              <w:t>室</w:t>
            </w:r>
          </w:p>
          <w:p>
            <w:pPr>
              <w:adjustRightInd w:val="0"/>
              <w:snapToGrid w:val="0"/>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w:t>
            </w:r>
            <w:r>
              <w:rPr>
                <w:rFonts w:hint="eastAsia" w:ascii="宋体" w:hAnsi="宋体" w:cs="宋体"/>
                <w:color w:val="000000" w:themeColor="text1"/>
                <w:kern w:val="0"/>
                <w:sz w:val="24"/>
                <w:highlight w:val="none"/>
                <w:lang w:val="en-US" w:eastAsia="zh-CN"/>
                <w14:textFill>
                  <w14:solidFill>
                    <w14:schemeClr w14:val="tx1"/>
                  </w14:solidFill>
                </w14:textFill>
              </w:rPr>
              <w:t>徐先生</w:t>
            </w:r>
          </w:p>
          <w:p>
            <w:pPr>
              <w:adjustRightInd w:val="0"/>
              <w:snapToGrid w:val="0"/>
              <w:spacing w:line="360" w:lineRule="auto"/>
              <w:jc w:val="left"/>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w:t>
            </w:r>
            <w:bookmarkStart w:id="9" w:name="OLE_LINK4"/>
            <w:r>
              <w:rPr>
                <w:rFonts w:hint="eastAsia" w:ascii="宋体" w:hAnsi="宋体" w:cs="宋体"/>
                <w:color w:val="000000" w:themeColor="text1"/>
                <w:kern w:val="0"/>
                <w:sz w:val="24"/>
                <w:highlight w:val="none"/>
                <w14:textFill>
                  <w14:solidFill>
                    <w14:schemeClr w14:val="tx1"/>
                  </w14:solidFill>
                </w14:textFill>
              </w:rPr>
              <w:t>0755-</w:t>
            </w:r>
            <w:bookmarkEnd w:id="9"/>
            <w:r>
              <w:rPr>
                <w:rFonts w:hint="eastAsia" w:ascii="宋体" w:hAnsi="宋体" w:cs="宋体"/>
                <w:color w:val="000000" w:themeColor="text1"/>
                <w:kern w:val="0"/>
                <w:sz w:val="24"/>
                <w:highlight w:val="none"/>
                <w:lang w:val="en-US" w:eastAsia="zh-CN"/>
                <w14:textFill>
                  <w14:solidFill>
                    <w14:schemeClr w14:val="tx1"/>
                  </w14:solidFill>
                </w14:textFill>
              </w:rPr>
              <w:t>88105190</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注：如需现场谈判，投标人需在评标半</w:t>
            </w:r>
            <w:r>
              <w:rPr>
                <w:rFonts w:hint="eastAsia" w:ascii="宋体" w:hAnsi="宋体" w:cs="宋体"/>
                <w:color w:val="000000" w:themeColor="text1"/>
                <w:kern w:val="0"/>
                <w:sz w:val="24"/>
                <w14:textFill>
                  <w14:solidFill>
                    <w14:schemeClr w14:val="tx1"/>
                  </w14:solidFill>
                </w14:textFill>
              </w:rPr>
              <w:t>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投标人承诺“本单位（公司）不存在《深圳市财政局政府采购供应商信用信息管理办法》（深财规〔2023〕3号）列明的严重违法失信行为”（由投标人在《政府采购投标及履约承诺函》中作出声明）；</w:t>
            </w:r>
          </w:p>
          <w:p>
            <w:pPr>
              <w:numPr>
                <w:ilvl w:val="0"/>
                <w:numId w:val="0"/>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其他未列明行业</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p>
            <w:pPr>
              <w:pStyle w:val="10"/>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9）本项目的特定资格要求：无。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服务费采用包干制，应包括服务成本、法定税费和企业的利润等为完成本项目服务所发生的全部相关费用。由企业根据招标文件所提供的资料自行测算投标报价；由企业根据招标文件所提供的资料自行测算投标报价；一经中标，投标报价总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的合同金额，在合同实施期间，除另签补充合同外，不接受中标人以任何理由、任何名目提出增加费用的要求。</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投标人不得期望通过索赔等方式获取补偿，否则，除可能遭到拒绝外，还可能将被作为不良行为记录在案，并可能影响其以后参加政府采购的项目投标。各投标人在投标报价时，应充分考虑投标报价的风险。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10" w:name="_Toc28359009"/>
            <w:bookmarkStart w:id="11" w:name="_Toc28359086"/>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徐先生</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话：0755-</w:t>
            </w:r>
            <w:r>
              <w:rPr>
                <w:rFonts w:hint="eastAsia" w:ascii="宋体" w:hAnsi="宋体" w:cs="宋体"/>
                <w:color w:val="000000" w:themeColor="text1"/>
                <w:kern w:val="0"/>
                <w:sz w:val="24"/>
                <w:highlight w:val="none"/>
                <w:lang w:val="en-US" w:eastAsia="zh-CN"/>
                <w14:textFill>
                  <w14:solidFill>
                    <w14:schemeClr w14:val="tx1"/>
                  </w14:solidFill>
                </w14:textFill>
              </w:rPr>
              <w:t>88105190</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2.采购代理机构信息</w:t>
            </w:r>
            <w:bookmarkEnd w:id="10"/>
            <w:bookmarkEnd w:id="11"/>
          </w:p>
          <w:p>
            <w:pPr>
              <w:spacing w:line="360" w:lineRule="auto"/>
              <w:rPr>
                <w:rFonts w:hint="eastAsia" w:ascii="宋体" w:hAnsi="宋体" w:cs="宋体"/>
                <w:color w:val="000000" w:themeColor="text1"/>
                <w:kern w:val="0"/>
                <w:sz w:val="24"/>
                <w:highlight w:val="none"/>
                <w14:textFill>
                  <w14:solidFill>
                    <w14:schemeClr w14:val="tx1"/>
                  </w14:solidFill>
                </w14:textFill>
              </w:rPr>
            </w:pPr>
            <w:bookmarkStart w:id="12" w:name="_Toc28359087"/>
            <w:bookmarkStart w:id="13" w:name="_Toc28359010"/>
            <w:r>
              <w:rPr>
                <w:rFonts w:hint="eastAsia" w:ascii="宋体" w:hAnsi="宋体" w:cs="宋体"/>
                <w:color w:val="000000" w:themeColor="text1"/>
                <w:kern w:val="0"/>
                <w:sz w:val="24"/>
                <w:highlight w:val="none"/>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联系人：凌</w:t>
            </w:r>
            <w:r>
              <w:rPr>
                <w:rFonts w:hint="eastAsia" w:ascii="宋体" w:hAnsi="宋体" w:cs="宋体"/>
                <w:color w:val="000000" w:themeColor="text1"/>
                <w:kern w:val="0"/>
                <w:sz w:val="24"/>
                <w14:textFill>
                  <w14:solidFill>
                    <w14:schemeClr w14:val="tx1"/>
                  </w14:solidFill>
                </w14:textFill>
              </w:rPr>
              <w:t>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2"/>
            <w:bookmarkEnd w:id="13"/>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2025年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71" w:name="_GoBack"/>
      <w:bookmarkEnd w:id="71"/>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4" w:name="_Toc10214"/>
      <w:r>
        <w:rPr>
          <w:rFonts w:hint="eastAsia" w:ascii="宋体" w:hAnsi="宋体" w:cs="宋体"/>
          <w:b/>
          <w:bCs/>
          <w:color w:val="000000" w:themeColor="text1"/>
          <w:sz w:val="24"/>
          <w14:textFill>
            <w14:solidFill>
              <w14:schemeClr w14:val="tx1"/>
            </w14:solidFill>
          </w14:textFill>
        </w:rPr>
        <w:t>投标须知</w:t>
      </w:r>
      <w:bookmarkEnd w:id="14"/>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w:t>
      </w:r>
      <w:r>
        <w:rPr>
          <w:rFonts w:hint="eastAsia" w:ascii="宋体" w:hAnsi="宋体" w:cs="宋体"/>
          <w:color w:val="000000" w:themeColor="text1"/>
          <w:sz w:val="24"/>
          <w:lang w:eastAsia="zh-CN"/>
          <w14:textFill>
            <w14:solidFill>
              <w14:schemeClr w14:val="tx1"/>
            </w14:solidFill>
          </w14:textFill>
        </w:rPr>
        <w:t>前海合作区公交和长途客运场站功能优化评估项目</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5"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5"/>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r>
        <w:rPr>
          <w:rFonts w:hint="eastAsia" w:ascii="宋体" w:hAnsi="宋体" w:cs="宋体"/>
          <w:color w:val="000000" w:themeColor="text1"/>
          <w:sz w:val="24"/>
          <w:lang w:eastAsia="zh-CN"/>
          <w14:textFill>
            <w14:solidFill>
              <w14:schemeClr w14:val="tx1"/>
            </w14:solidFill>
          </w14:textFill>
        </w:rPr>
        <w:t>（特别注意：收款账号已变更）</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银行账号：443066027015004105368</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b/>
          <w:bCs/>
          <w:color w:val="000000" w:themeColor="text1"/>
          <w:sz w:val="24"/>
          <w14:textFill>
            <w14:solidFill>
              <w14:schemeClr w14:val="tx1"/>
            </w14:solidFill>
          </w14:textFill>
        </w:rPr>
        <w:t>开户银行：交通银行股份有限公司深圳上步支行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6" w:name="_Toc20176"/>
      <w:r>
        <w:rPr>
          <w:rFonts w:hint="eastAsia" w:ascii="宋体" w:hAnsi="宋体" w:cs="宋体"/>
          <w:b/>
          <w:bCs/>
          <w:color w:val="000000" w:themeColor="text1"/>
          <w:sz w:val="24"/>
          <w14:textFill>
            <w14:solidFill>
              <w14:schemeClr w14:val="tx1"/>
            </w14:solidFill>
          </w14:textFill>
        </w:rPr>
        <w:t>评标程序</w:t>
      </w:r>
      <w:bookmarkEnd w:id="16"/>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日1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日1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10"/>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7" w:name="_Toc3567"/>
      <w:r>
        <w:rPr>
          <w:rFonts w:hint="eastAsia" w:ascii="宋体" w:hAnsi="宋体" w:cs="宋体"/>
          <w:b/>
          <w:bCs/>
          <w:color w:val="000000" w:themeColor="text1"/>
          <w:sz w:val="24"/>
          <w14:textFill>
            <w14:solidFill>
              <w14:schemeClr w14:val="tx1"/>
            </w14:solidFill>
          </w14:textFill>
        </w:rPr>
        <w:t>合同格式及合同条款</w:t>
      </w:r>
      <w:bookmarkEnd w:id="17"/>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8" w:name="_Toc101074886"/>
      <w:bookmarkStart w:id="19" w:name="_Toc100052414"/>
      <w:bookmarkStart w:id="20" w:name="_Toc84303603"/>
      <w:bookmarkStart w:id="21" w:name="_Toc73518163"/>
      <w:bookmarkStart w:id="22" w:name="_Toc73521592"/>
      <w:bookmarkStart w:id="23" w:name="_Toc73517685"/>
      <w:bookmarkStart w:id="24" w:name="_Toc73521680"/>
    </w:p>
    <w:bookmarkEnd w:id="18"/>
    <w:bookmarkEnd w:id="19"/>
    <w:bookmarkEnd w:id="20"/>
    <w:bookmarkEnd w:id="21"/>
    <w:bookmarkEnd w:id="22"/>
    <w:bookmarkEnd w:id="23"/>
    <w:bookmarkEnd w:id="24"/>
    <w:p>
      <w:pPr>
        <w:pStyle w:val="28"/>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28"/>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28"/>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28"/>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28"/>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lang w:eastAsia="zh-CN"/>
          <w14:textFill>
            <w14:solidFill>
              <w14:schemeClr w14:val="tx1"/>
            </w14:solidFill>
          </w14:textFill>
        </w:rPr>
        <w:t>前海合作区公交和长途客运场站功能优化评估项目</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28"/>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28"/>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r>
        <w:rPr>
          <w:rFonts w:hint="eastAsia" w:ascii="宋体" w:hAnsi="宋体" w:eastAsia="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eastAsia="zh-CN"/>
          <w14:textFill>
            <w14:solidFill>
              <w14:schemeClr w14:val="tx1"/>
            </w14:solidFill>
          </w14:textFill>
        </w:rPr>
        <w:t>前海合作区公交和长途客运场站功能优化评估项目</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项目类型：</w:t>
      </w:r>
      <w:r>
        <w:rPr>
          <w:rFonts w:hint="eastAsia" w:ascii="宋体" w:hAnsi="宋体" w:eastAsia="宋体" w:cs="宋体"/>
          <w:color w:val="000000" w:themeColor="text1"/>
          <w:sz w:val="24"/>
          <w:u w:val="single"/>
          <w14:textFill>
            <w14:solidFill>
              <w14:schemeClr w14:val="tx1"/>
            </w14:solidFill>
          </w14:textFill>
        </w:rPr>
        <w:t xml:space="preserve">                 服务类                       </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委托方（甲方）：</w:t>
      </w:r>
      <w:r>
        <w:rPr>
          <w:rFonts w:hint="eastAsia" w:ascii="宋体" w:hAnsi="宋体" w:eastAsia="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承接方（乙方）：</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eastAsia="宋体" w:cs="宋体"/>
          <w:color w:val="000000" w:themeColor="text1"/>
          <w:sz w:val="24"/>
          <w14:textFill>
            <w14:solidFill>
              <w14:schemeClr w14:val="tx1"/>
            </w14:solidFill>
          </w14:textFill>
        </w:rPr>
      </w:pP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二〇二五年  月</w:t>
      </w: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本合同共    页（不含封面）</w:t>
      </w:r>
    </w:p>
    <w:p>
      <w:pPr>
        <w:spacing w:line="560" w:lineRule="exact"/>
        <w:ind w:left="2160" w:hanging="2168" w:hangingChars="9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甲方：深圳市前海深港现代服务业合作区管理局</w:t>
      </w:r>
    </w:p>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法定代表人：王守睿</w:t>
      </w:r>
    </w:p>
    <w:p>
      <w:pPr>
        <w:spacing w:line="560" w:lineRule="exact"/>
        <w:ind w:left="720" w:hanging="720" w:hanging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地址：深圳市前海深港合作区桂湾五路123号前海大厦T1栋前海管理局</w:t>
      </w:r>
    </w:p>
    <w:p>
      <w:pPr>
        <w:spacing w:line="560" w:lineRule="exact"/>
        <w:rPr>
          <w:rFonts w:hint="eastAsia" w:ascii="宋体" w:hAnsi="宋体" w:eastAsia="宋体" w:cs="宋体"/>
          <w:color w:val="000000" w:themeColor="text1"/>
          <w:sz w:val="24"/>
          <w:highlight w:val="none"/>
          <w14:textFill>
            <w14:solidFill>
              <w14:schemeClr w14:val="tx1"/>
            </w14:solidFill>
          </w14:textFill>
        </w:rPr>
      </w:pPr>
    </w:p>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w:t>
      </w:r>
    </w:p>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p>
      <w:pPr>
        <w:widowControl/>
        <w:spacing w:line="560" w:lineRule="exact"/>
        <w:rPr>
          <w:rFonts w:hint="eastAsia" w:ascii="宋体" w:hAnsi="宋体" w:eastAsia="宋体" w:cs="宋体"/>
          <w:color w:val="000000" w:themeColor="text1"/>
          <w:sz w:val="24"/>
          <w:highlight w:val="none"/>
          <w14:textFill>
            <w14:solidFill>
              <w14:schemeClr w14:val="tx1"/>
            </w14:solidFill>
          </w14:textFill>
        </w:rPr>
      </w:pP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根据《中华人民共和国民法典》等法律、法规的相关规定和编号为【</w:t>
      </w:r>
      <w:r>
        <w:rPr>
          <w:rFonts w:hint="eastAsia" w:ascii="宋体" w:hAnsi="宋体" w:cs="宋体"/>
          <w:color w:val="000000" w:themeColor="text1"/>
          <w:sz w:val="24"/>
          <w:highlight w:val="none"/>
          <w:lang w:val="en-US" w:eastAsia="zh-CN"/>
          <w14:textFill>
            <w14:solidFill>
              <w14:schemeClr w14:val="tx1"/>
            </w14:solidFill>
          </w14:textFill>
        </w:rPr>
        <w:t>QH2025157</w:t>
      </w:r>
      <w:r>
        <w:rPr>
          <w:rFonts w:hint="eastAsia" w:ascii="宋体" w:hAnsi="宋体" w:eastAsia="宋体" w:cs="宋体"/>
          <w:color w:val="000000" w:themeColor="text1"/>
          <w:sz w:val="24"/>
          <w:highlight w:val="none"/>
          <w14:textFill>
            <w14:solidFill>
              <w14:schemeClr w14:val="tx1"/>
            </w14:solidFill>
          </w14:textFill>
        </w:rPr>
        <w:t>】招标项目的中标结果，甲、乙双方经友好协商，就甲方委托乙方承担</w:t>
      </w:r>
      <w:r>
        <w:rPr>
          <w:rFonts w:hint="eastAsia" w:ascii="宋体" w:hAnsi="宋体" w:cs="宋体"/>
          <w:color w:val="000000" w:themeColor="text1"/>
          <w:sz w:val="24"/>
          <w:highlight w:val="none"/>
          <w:lang w:eastAsia="zh-CN"/>
          <w14:textFill>
            <w14:solidFill>
              <w14:schemeClr w14:val="tx1"/>
            </w14:solidFill>
          </w14:textFill>
        </w:rPr>
        <w:t>前海合作区公交和长途客运场站功能优化评估项目</w:t>
      </w:r>
      <w:r>
        <w:rPr>
          <w:rFonts w:hint="eastAsia" w:ascii="宋体" w:hAnsi="宋体" w:eastAsia="宋体" w:cs="宋体"/>
          <w:color w:val="000000" w:themeColor="text1"/>
          <w:sz w:val="24"/>
          <w:highlight w:val="none"/>
          <w14:textFill>
            <w14:solidFill>
              <w14:schemeClr w14:val="tx1"/>
            </w14:solidFill>
          </w14:textFill>
        </w:rPr>
        <w:t>（以下简称本项目），达成以下合同条款：</w:t>
      </w:r>
    </w:p>
    <w:p>
      <w:pPr>
        <w:spacing w:line="560" w:lineRule="exact"/>
        <w:ind w:firstLine="482" w:firstLineChars="200"/>
        <w:outlineLvl w:val="2"/>
        <w:rPr>
          <w:rFonts w:hint="eastAsia" w:ascii="宋体" w:hAnsi="宋体" w:eastAsia="宋体" w:cs="宋体"/>
          <w:color w:val="000000" w:themeColor="text1"/>
          <w:sz w:val="24"/>
          <w:highlight w:val="none"/>
          <w14:textFill>
            <w14:solidFill>
              <w14:schemeClr w14:val="tx1"/>
            </w14:solidFill>
          </w14:textFill>
        </w:rPr>
      </w:pPr>
      <w:bookmarkStart w:id="25" w:name="_Toc16131"/>
      <w:r>
        <w:rPr>
          <w:rFonts w:hint="eastAsia" w:ascii="宋体" w:hAnsi="宋体" w:eastAsia="宋体" w:cs="宋体"/>
          <w:b/>
          <w:bCs/>
          <w:color w:val="000000" w:themeColor="text1"/>
          <w:sz w:val="24"/>
          <w:highlight w:val="none"/>
          <w14:textFill>
            <w14:solidFill>
              <w14:schemeClr w14:val="tx1"/>
            </w14:solidFill>
          </w14:textFill>
        </w:rPr>
        <w:t>一、服务内容</w:t>
      </w:r>
      <w:bookmarkEnd w:id="25"/>
      <w:bookmarkStart w:id="26" w:name="_Toc23975"/>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评估范围和规划年限</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1.评估范围</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前海合作区全域120.56平方公里范围内的公交和长途客运场站</w:t>
      </w:r>
      <w:r>
        <w:rPr>
          <w:rFonts w:hint="eastAsia" w:ascii="宋体" w:hAnsi="宋体" w:eastAsia="宋体" w:cs="宋体"/>
          <w:color w:val="000000" w:themeColor="text1"/>
          <w:sz w:val="24"/>
          <w:highlight w:val="none"/>
          <w14:textFill>
            <w14:solidFill>
              <w14:schemeClr w14:val="tx1"/>
            </w14:solidFill>
          </w14:textFill>
        </w:rPr>
        <w:t>。</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2.研究年限</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本项目评估年限为2026-2030年。</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2.服务内容</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2.1.</w:t>
      </w:r>
      <w:r>
        <w:rPr>
          <w:rFonts w:hint="eastAsia" w:ascii="宋体" w:hAnsi="宋体" w:eastAsia="宋体" w:cs="宋体"/>
          <w:color w:val="auto"/>
          <w:sz w:val="24"/>
          <w:highlight w:val="none"/>
        </w:rPr>
        <w:t>现状调研与问题诊断</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全面普查前海合作区120.56平方公里范围内所有公交场站、长途客运站、跨境巴士上下客点等设施，建立前海合作区交通场站设施“一张图”数据库。重点识别以下问题：</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场站功能使用情况：场站是否仅为公交服务，与跨境通勤、商务出行、旅游包车等新需求能否兼容；同时，评估现有空间与技术条件对未来新型交通设施（如充电桩、储能单元、无人物流节点）的承载潜力。</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设施布局与需求关系：与港企港人集聚区（如梦工场、企业公馆）、商业枢纽（万象前海、嘉里中心）是否存在空间错位，接驳服务与需求是否匹配。</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2.2.</w:t>
      </w:r>
      <w:r>
        <w:rPr>
          <w:rFonts w:hint="eastAsia" w:ascii="宋体" w:hAnsi="宋体" w:eastAsia="宋体" w:cs="宋体"/>
          <w:color w:val="auto"/>
          <w:sz w:val="24"/>
          <w:highlight w:val="none"/>
        </w:rPr>
        <w:t>发展趋势和需求预测</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研判深港融合背景下跨境通勤、商务往来等出行增长趋势；</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分析出行模式向多元化、定制化、高品质化转变的特征，以及无人驾驶、智慧物流等未来交通技术演进对场站配套提出的新需求；</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基于人口就业规划与重大项目进展，预测各类交通方式的客流规模、班次需求与停车资源缺口；</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规模与布局两方面识别供需矛盾，明确场站冗余与不足区域。</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场站资产与运营管理评估</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系统梳理场站资产的产权归属、使用状态，运营管理效率；</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分析现有场站运营管理模式，评估其在功能复合化、服务多元化背景下的适应性与可持续性；</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评估市场化、智慧化的场站管理创新路径，为功能优化后的高效运营提供制度保障。</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2.4.</w:t>
      </w:r>
      <w:r>
        <w:rPr>
          <w:rFonts w:hint="eastAsia" w:ascii="宋体" w:hAnsi="宋体" w:eastAsia="宋体" w:cs="宋体"/>
          <w:color w:val="auto"/>
          <w:sz w:val="24"/>
          <w:highlight w:val="none"/>
        </w:rPr>
        <w:t>功能优化策略</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结合供需分析及资产管理评估，提出场站差异化优化策略：</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港企港人集中区域：增设跨境巴士专用停靠区、候车区，并预留配套服务与智慧化调度空间；</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商业与公共建筑周边：优化文旅专线、假日专线等接驳设施，兼顾无人物流小车停靠与充电等功能；</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公园与公共空间：设置上下客点，强化与慢行系统衔接，并为未来无人驾驶接驳站点预留接口。</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2.5.</w:t>
      </w:r>
      <w:r>
        <w:rPr>
          <w:rFonts w:hint="eastAsia" w:ascii="宋体" w:hAnsi="宋体" w:eastAsia="宋体" w:cs="宋体"/>
          <w:color w:val="auto"/>
          <w:sz w:val="24"/>
          <w:highlight w:val="none"/>
        </w:rPr>
        <w:t>优化建议</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既有场站复合利用：推动功能模块化改造，实现公交、跨境巴士、旅游集散等功能弹性转换与共享，并为充电、储能等新型基础设施植入提供空间条件。</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规划布局动态优化：加密服务空白区（如深港合作核心区）场站配置，合并或取消冗余设施，提升网络整体效能。</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未建场站功能预留：结合《配建指引》修订，在未建场站中预留跨境交通、定制巴士、无人驾驶车辆接驳及无人物流运维等新型功能空间，优化原有规模与设计标准。</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落实新型设施空间载体要求：积极响应前海新型交通基础设施建设项目谋划，在场站功能优化中明确为充电、储能、无人物流小车、无人驾驶等提供空间载体的具体路径与布局方案。</w:t>
      </w:r>
    </w:p>
    <w:p>
      <w:pPr>
        <w:snapToGrid w:val="0"/>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kern w:val="2"/>
          <w:sz w:val="24"/>
          <w:szCs w:val="22"/>
          <w:highlight w:val="none"/>
          <w:lang w:val="en-US" w:eastAsia="zh-CN" w:bidi="ar-SA"/>
        </w:rPr>
        <w:t>工作计划</w:t>
      </w:r>
    </w:p>
    <w:p>
      <w:pPr>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项目服务期限自合同签订之日起12个月内完成。具体如下：</w:t>
      </w:r>
    </w:p>
    <w:p>
      <w:pPr>
        <w:spacing w:line="560" w:lineRule="exact"/>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表1 项目计划表</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388"/>
        <w:gridCol w:w="3091"/>
        <w:gridCol w:w="1456"/>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16" w:type="dxa"/>
            <w:shd w:val="clear" w:color="auto" w:fill="auto"/>
            <w:vAlign w:val="center"/>
          </w:tcPr>
          <w:p>
            <w:pPr>
              <w:widowControl w:val="0"/>
              <w:adjustRightInd/>
              <w:snapToGrid/>
              <w:spacing w:line="360" w:lineRule="auto"/>
              <w:ind w:left="30" w:leftChars="-100" w:hanging="240" w:hangingChars="100"/>
              <w:jc w:val="center"/>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序号</w:t>
            </w:r>
          </w:p>
        </w:tc>
        <w:tc>
          <w:tcPr>
            <w:tcW w:w="1388" w:type="dxa"/>
            <w:tcBorders>
              <w:bottom w:val="single" w:color="000000" w:sz="4" w:space="0"/>
            </w:tcBorders>
            <w:shd w:val="clear" w:color="auto" w:fill="auto"/>
            <w:vAlign w:val="center"/>
          </w:tcPr>
          <w:p>
            <w:pPr>
              <w:widowControl w:val="0"/>
              <w:adjustRightInd/>
              <w:snapToGrid/>
              <w:spacing w:line="360" w:lineRule="auto"/>
              <w:ind w:firstLine="0" w:firstLineChars="0"/>
              <w:jc w:val="center"/>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工作阶段</w:t>
            </w:r>
          </w:p>
        </w:tc>
        <w:tc>
          <w:tcPr>
            <w:tcW w:w="3091" w:type="dxa"/>
            <w:tcBorders>
              <w:bottom w:val="single" w:color="000000" w:sz="4" w:space="0"/>
            </w:tcBorders>
            <w:shd w:val="clear" w:color="auto" w:fill="auto"/>
            <w:vAlign w:val="center"/>
          </w:tcPr>
          <w:p>
            <w:pPr>
              <w:widowControl w:val="0"/>
              <w:adjustRightInd/>
              <w:snapToGrid/>
              <w:spacing w:line="360" w:lineRule="auto"/>
              <w:ind w:firstLine="0" w:firstLineChars="0"/>
              <w:jc w:val="center"/>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工作内容及成果</w:t>
            </w:r>
          </w:p>
        </w:tc>
        <w:tc>
          <w:tcPr>
            <w:tcW w:w="1456" w:type="dxa"/>
            <w:tcBorders>
              <w:bottom w:val="single" w:color="000000" w:sz="4" w:space="0"/>
            </w:tcBorders>
            <w:shd w:val="clear" w:color="auto" w:fill="auto"/>
            <w:vAlign w:val="center"/>
          </w:tcPr>
          <w:p>
            <w:pPr>
              <w:widowControl w:val="0"/>
              <w:adjustRightInd/>
              <w:snapToGrid/>
              <w:spacing w:line="360" w:lineRule="auto"/>
              <w:ind w:firstLine="0" w:firstLineChars="0"/>
              <w:jc w:val="center"/>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完成时间</w:t>
            </w:r>
          </w:p>
        </w:tc>
        <w:tc>
          <w:tcPr>
            <w:tcW w:w="1771" w:type="dxa"/>
            <w:tcBorders>
              <w:bottom w:val="single" w:color="000000" w:sz="4" w:space="0"/>
            </w:tcBorders>
            <w:shd w:val="clear" w:color="auto" w:fill="auto"/>
            <w:vAlign w:val="center"/>
          </w:tcPr>
          <w:p>
            <w:pPr>
              <w:widowControl w:val="0"/>
              <w:adjustRightInd/>
              <w:snapToGrid/>
              <w:spacing w:line="360" w:lineRule="auto"/>
              <w:ind w:firstLine="0" w:firstLineChars="0"/>
              <w:jc w:val="center"/>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成果验收方式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816"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p>
        </w:tc>
        <w:tc>
          <w:tcPr>
            <w:tcW w:w="1388"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项目启动</w:t>
            </w:r>
          </w:p>
        </w:tc>
        <w:tc>
          <w:tcPr>
            <w:tcW w:w="3091"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启动</w:t>
            </w:r>
            <w:r>
              <w:rPr>
                <w:rFonts w:hint="eastAsia" w:ascii="宋体" w:hAnsi="宋体" w:eastAsia="宋体" w:cs="宋体"/>
                <w:color w:val="auto"/>
                <w:kern w:val="2"/>
                <w:sz w:val="24"/>
                <w:szCs w:val="24"/>
              </w:rPr>
              <w:t>现状调查调研、资料梳理分析。</w:t>
            </w:r>
          </w:p>
        </w:tc>
        <w:tc>
          <w:tcPr>
            <w:tcW w:w="1456"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合同签订后</w:t>
            </w:r>
          </w:p>
        </w:tc>
        <w:tc>
          <w:tcPr>
            <w:tcW w:w="1771"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816"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p>
        </w:tc>
        <w:tc>
          <w:tcPr>
            <w:tcW w:w="1388"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中期成果</w:t>
            </w:r>
          </w:p>
        </w:tc>
        <w:tc>
          <w:tcPr>
            <w:tcW w:w="3091" w:type="dxa"/>
            <w:shd w:val="clear" w:color="auto" w:fill="auto"/>
            <w:vAlign w:val="center"/>
          </w:tcPr>
          <w:p>
            <w:pPr>
              <w:widowControl w:val="0"/>
              <w:tabs>
                <w:tab w:val="left" w:pos="480"/>
              </w:tabs>
              <w:adjustRightInd/>
              <w:snapToGrid/>
              <w:spacing w:line="360" w:lineRule="auto"/>
              <w:ind w:firstLine="0" w:firstLineChars="0"/>
              <w:jc w:val="center"/>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根据现状调查调研、规划</w:t>
            </w:r>
            <w:r>
              <w:rPr>
                <w:rFonts w:hint="eastAsia" w:ascii="宋体" w:hAnsi="宋体" w:eastAsia="宋体" w:cs="宋体"/>
                <w:snapToGrid/>
                <w:color w:val="auto"/>
                <w:kern w:val="2"/>
                <w:sz w:val="24"/>
                <w:szCs w:val="24"/>
                <w:lang w:val="en-US" w:eastAsia="zh-CN"/>
              </w:rPr>
              <w:t>评估</w:t>
            </w:r>
            <w:r>
              <w:rPr>
                <w:rFonts w:hint="eastAsia" w:ascii="宋体" w:hAnsi="宋体" w:eastAsia="宋体" w:cs="宋体"/>
                <w:snapToGrid/>
                <w:color w:val="auto"/>
                <w:kern w:val="2"/>
                <w:sz w:val="24"/>
                <w:szCs w:val="24"/>
              </w:rPr>
              <w:t>分析和发展趋势研判，形成中期成果。</w:t>
            </w:r>
          </w:p>
        </w:tc>
        <w:tc>
          <w:tcPr>
            <w:tcW w:w="1456"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合同签订后6个月</w:t>
            </w:r>
          </w:p>
        </w:tc>
        <w:tc>
          <w:tcPr>
            <w:tcW w:w="1771"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甲方</w:t>
            </w:r>
            <w:r>
              <w:rPr>
                <w:rFonts w:hint="eastAsia" w:ascii="宋体" w:hAnsi="宋体" w:eastAsia="宋体" w:cs="宋体"/>
                <w:color w:val="auto"/>
                <w:kern w:val="2"/>
                <w:sz w:val="24"/>
                <w:szCs w:val="24"/>
              </w:rPr>
              <w:t>主管处室审查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16"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w:t>
            </w:r>
          </w:p>
        </w:tc>
        <w:tc>
          <w:tcPr>
            <w:tcW w:w="1388"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送审成果</w:t>
            </w:r>
          </w:p>
        </w:tc>
        <w:tc>
          <w:tcPr>
            <w:tcW w:w="3091"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rPr>
              <w:t>根据中期成果审查意见修改完善编制送审成果，征求局相关</w:t>
            </w:r>
            <w:r>
              <w:rPr>
                <w:rFonts w:hint="eastAsia" w:ascii="宋体" w:hAnsi="宋体" w:eastAsia="宋体" w:cs="宋体"/>
                <w:snapToGrid/>
                <w:color w:val="auto"/>
                <w:kern w:val="2"/>
                <w:sz w:val="24"/>
                <w:szCs w:val="24"/>
                <w:lang w:val="en-US" w:eastAsia="zh-CN"/>
              </w:rPr>
              <w:t>处司</w:t>
            </w:r>
            <w:r>
              <w:rPr>
                <w:rFonts w:hint="eastAsia" w:ascii="宋体" w:hAnsi="宋体" w:eastAsia="宋体" w:cs="宋体"/>
                <w:snapToGrid/>
                <w:color w:val="auto"/>
                <w:kern w:val="2"/>
                <w:sz w:val="24"/>
                <w:szCs w:val="24"/>
              </w:rPr>
              <w:t>意见</w:t>
            </w: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组织</w:t>
            </w:r>
            <w:r>
              <w:rPr>
                <w:rFonts w:hint="eastAsia" w:ascii="宋体" w:hAnsi="宋体" w:eastAsia="宋体" w:cs="宋体"/>
                <w:snapToGrid/>
                <w:color w:val="auto"/>
                <w:kern w:val="2"/>
                <w:sz w:val="24"/>
                <w:szCs w:val="24"/>
                <w:lang w:eastAsia="zh-CN"/>
              </w:rPr>
              <w:t>召开专家评审会，</w:t>
            </w:r>
          </w:p>
        </w:tc>
        <w:tc>
          <w:tcPr>
            <w:tcW w:w="1456"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合同签订后</w:t>
            </w:r>
            <w:r>
              <w:rPr>
                <w:rFonts w:hint="eastAsia" w:ascii="宋体" w:hAnsi="宋体" w:eastAsia="宋体" w:cs="宋体"/>
                <w:color w:val="auto"/>
                <w:kern w:val="2"/>
                <w:sz w:val="24"/>
                <w:szCs w:val="24"/>
                <w:lang w:val="en-US" w:eastAsia="zh-CN"/>
              </w:rPr>
              <w:t>9</w:t>
            </w:r>
            <w:r>
              <w:rPr>
                <w:rFonts w:hint="eastAsia" w:ascii="宋体" w:hAnsi="宋体" w:eastAsia="宋体" w:cs="宋体"/>
                <w:color w:val="auto"/>
                <w:kern w:val="2"/>
                <w:sz w:val="24"/>
                <w:szCs w:val="24"/>
              </w:rPr>
              <w:t>个月</w:t>
            </w:r>
          </w:p>
        </w:tc>
        <w:tc>
          <w:tcPr>
            <w:tcW w:w="1771"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通过</w:t>
            </w:r>
            <w:r>
              <w:rPr>
                <w:rFonts w:hint="eastAsia" w:ascii="宋体" w:hAnsi="宋体" w:eastAsia="宋体" w:cs="宋体"/>
                <w:color w:val="auto"/>
                <w:kern w:val="2"/>
                <w:sz w:val="24"/>
                <w:szCs w:val="24"/>
              </w:rPr>
              <w:t>专家评审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816"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w:t>
            </w:r>
          </w:p>
        </w:tc>
        <w:tc>
          <w:tcPr>
            <w:tcW w:w="1388"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最终成果</w:t>
            </w:r>
          </w:p>
        </w:tc>
        <w:tc>
          <w:tcPr>
            <w:tcW w:w="3091"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根据送审成果意见，修改完善形成最终成果，按程序</w:t>
            </w:r>
            <w:r>
              <w:rPr>
                <w:rFonts w:hint="eastAsia" w:ascii="宋体" w:hAnsi="宋体" w:eastAsia="宋体" w:cs="宋体"/>
                <w:snapToGrid/>
                <w:color w:val="auto"/>
                <w:kern w:val="2"/>
                <w:sz w:val="24"/>
                <w:szCs w:val="24"/>
                <w:lang w:val="en-US" w:eastAsia="zh-CN"/>
              </w:rPr>
              <w:t>报审</w:t>
            </w:r>
            <w:r>
              <w:rPr>
                <w:rFonts w:hint="eastAsia" w:ascii="宋体" w:hAnsi="宋体" w:eastAsia="宋体" w:cs="宋体"/>
                <w:snapToGrid/>
                <w:color w:val="auto"/>
                <w:kern w:val="2"/>
                <w:sz w:val="24"/>
                <w:szCs w:val="24"/>
              </w:rPr>
              <w:t>。</w:t>
            </w:r>
          </w:p>
        </w:tc>
        <w:tc>
          <w:tcPr>
            <w:tcW w:w="1456"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合同签订后1</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个月</w:t>
            </w:r>
          </w:p>
        </w:tc>
        <w:tc>
          <w:tcPr>
            <w:tcW w:w="1771"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甲方验收通过</w:t>
            </w:r>
          </w:p>
        </w:tc>
      </w:tr>
    </w:tbl>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二、合同含税总价</w:t>
      </w:r>
      <w:bookmarkEnd w:id="26"/>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本项目合同含税总价为（大写）：_________________元（￥____________元）人民币，总价包干。</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合同金额应包括服务成本、法定税费和企业的利润等为完成本项目服务所发生的全部相关费用，除另签补充合同外，不接受乙方以任何理由、任何名目提出增加费用的要求。</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27" w:name="_Toc30786"/>
      <w:r>
        <w:rPr>
          <w:rFonts w:hint="eastAsia" w:ascii="宋体" w:hAnsi="宋体" w:eastAsia="宋体" w:cs="宋体"/>
          <w:b/>
          <w:bCs/>
          <w:color w:val="000000" w:themeColor="text1"/>
          <w:sz w:val="24"/>
          <w:highlight w:val="none"/>
          <w14:textFill>
            <w14:solidFill>
              <w14:schemeClr w14:val="tx1"/>
            </w14:solidFill>
          </w14:textFill>
        </w:rPr>
        <w:t>三、技术资料</w:t>
      </w:r>
      <w:bookmarkEnd w:id="27"/>
    </w:p>
    <w:p>
      <w:pPr>
        <w:pStyle w:val="12"/>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1.乙方应按本合同规定的时间向甲方提供有关技术资料。</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3.合同履行完毕，未经甲方的书面同意，乙方不得保存在履行合同过程中所获得或接触到的任何内部数据资料。</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28" w:name="_Toc9742"/>
      <w:r>
        <w:rPr>
          <w:rFonts w:hint="eastAsia" w:ascii="宋体" w:hAnsi="宋体" w:eastAsia="宋体" w:cs="宋体"/>
          <w:b/>
          <w:bCs/>
          <w:color w:val="000000" w:themeColor="text1"/>
          <w:sz w:val="24"/>
          <w:highlight w:val="none"/>
          <w14:textFill>
            <w14:solidFill>
              <w14:schemeClr w14:val="tx1"/>
            </w14:solidFill>
          </w14:textFill>
        </w:rPr>
        <w:t>四、知识产权</w:t>
      </w:r>
      <w:bookmarkEnd w:id="28"/>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1.本项目全部阶段性成果和最终成果的所有权、知识产权以及与之相关的所有权利归</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所有。</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2.双方确定，</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有权利用中标单位按照本合同约定提供的成果，进行后续改进。由此产生的具有实质性或创造性技术进步特征的新的技术成果及其权利归属，全部由</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享有。具体相关利益的分配办法如下：</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100%。</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所提交的全部阶段性成果和最终成果文件及任何数据、资料、软件等不得侵犯任何第三方的知识产权或其他权利，由于该文件、数据、资料、软件侵权所导致的任何索赔或责任均由</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承担。同时，</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有权要求</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修改成果至不侵权或解除合同，并保留要求</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赔偿全部损失的权利，包括但不限于上述索赔或责任所产生的诉讼费用、合理的律师费用、鉴定评估费用、调查费用、和解金额或生效法律文书中规定的赔偿金额。</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4.未经</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书面在先同意，</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不得将本项目的阶段性成果和/或最终成果文件及任何数据、资料、软件向任何第三方转让、授权任何第三方使用或用于本合同项目外的其他项目。如发生以上情况，</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应向</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支付本合同总价款20%的违约金，如果违约金无法弥补</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的损失，</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有权要求</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赔偿全部损失。</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完成本合同项目的研究开发人员享有在有关成果文件上写明成果完成者的权利和与</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共同获得有关荣誉证书、奖励的权利。</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29" w:name="_Toc16452"/>
      <w:r>
        <w:rPr>
          <w:rFonts w:hint="eastAsia" w:ascii="宋体" w:hAnsi="宋体" w:eastAsia="宋体" w:cs="宋体"/>
          <w:b/>
          <w:bCs/>
          <w:color w:val="000000" w:themeColor="text1"/>
          <w:sz w:val="24"/>
          <w:highlight w:val="none"/>
          <w14:textFill>
            <w14:solidFill>
              <w14:schemeClr w14:val="tx1"/>
            </w14:solidFill>
          </w14:textFill>
        </w:rPr>
        <w:t>五、甲方的权利与义务</w:t>
      </w:r>
      <w:bookmarkEnd w:id="29"/>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甲方的权利</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1.甲方对项目研究过程的决策、控制、实施等环节实行全面管理，协调和监督项目工作开展，控制项目工作过程，进行项目成果验收。</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2.检查乙方项目人员到位情况，如因人力、能力不足致使项目工作不能按计划完成时，可要求乙方增加或替换相应的技术人员，直至甲方认可，乙方不得拒绝。</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3.甲方有权向乙方询问项目工作进展及相关情况，并要求乙方在指定时间内做出答复。</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4.甲方有权对乙方提交的阶段性成果、最终成果等相关工作文件进行审核并提出修改意见。</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行承担。</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6.甲方有权要求乙方全面履行合同。甲方不接受部分履行，如本合同项下部分成果文件未能按时交付则视为整体延误。</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7.如甲方确认乙方工作人员未按照本合同要求履行职责，甲方有权要求乙方限期更换人员，直至终止合同并要求乙方承担相应赔偿责任。</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8.甲方对乙方在委托权限范围内完成委托事项有指导、监督权利。</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甲方的义务</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1.甲方应将项目所需相关档案资料、信息数据等移交给乙方，并要求乙方签收甲方提供的材料清单。</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2.甲方对乙方按照合同约定所履行的服务提供必要的支持与协助。</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3.根据合同约定的相关条款，按时支付乙方服务费用。</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甲方</w:t>
      </w:r>
      <w:r>
        <w:rPr>
          <w:rFonts w:hint="eastAsia" w:ascii="宋体" w:hAnsi="宋体" w:eastAsia="宋体" w:cs="宋体"/>
          <w:color w:val="000000" w:themeColor="text1"/>
          <w:kern w:val="0"/>
          <w:sz w:val="24"/>
          <w:highlight w:val="none"/>
          <w14:textFill>
            <w14:solidFill>
              <w14:schemeClr w14:val="tx1"/>
            </w14:solidFill>
          </w14:textFill>
        </w:rPr>
        <w:t>指定项目联系人：</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姓    名： </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联系方式：</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0" w:name="_Toc29058"/>
      <w:r>
        <w:rPr>
          <w:rFonts w:hint="eastAsia" w:ascii="宋体" w:hAnsi="宋体" w:eastAsia="宋体" w:cs="宋体"/>
          <w:b/>
          <w:bCs/>
          <w:color w:val="000000" w:themeColor="text1"/>
          <w:sz w:val="24"/>
          <w:highlight w:val="none"/>
          <w14:textFill>
            <w14:solidFill>
              <w14:schemeClr w14:val="tx1"/>
            </w14:solidFill>
          </w14:textFill>
        </w:rPr>
        <w:t>六、乙方的权利与义务</w:t>
      </w:r>
      <w:bookmarkEnd w:id="30"/>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乙方的权利</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1.根据项目工作的需要，可要求甲方提供或协助乙方收集相关</w:t>
      </w:r>
      <w:r>
        <w:rPr>
          <w:rFonts w:hint="eastAsia" w:ascii="宋体" w:hAnsi="宋体" w:eastAsia="宋体" w:cs="宋体"/>
          <w:color w:val="000000" w:themeColor="text1"/>
          <w:kern w:val="0"/>
          <w:sz w:val="24"/>
          <w:highlight w:val="none"/>
          <w14:textFill>
            <w14:solidFill>
              <w14:schemeClr w14:val="tx1"/>
            </w14:solidFill>
          </w14:textFill>
        </w:rPr>
        <w:t>资料</w:t>
      </w:r>
      <w:r>
        <w:rPr>
          <w:rFonts w:hint="eastAsia" w:ascii="宋体" w:hAnsi="宋体" w:eastAsia="宋体" w:cs="宋体"/>
          <w:color w:val="000000" w:themeColor="text1"/>
          <w:sz w:val="24"/>
          <w:highlight w:val="none"/>
          <w14:textFill>
            <w14:solidFill>
              <w14:schemeClr w14:val="tx1"/>
            </w14:solidFill>
          </w14:textFill>
        </w:rPr>
        <w:t>。</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2.参与本项目服务相关的工作会议及技术会议。</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3.根据合同约定收取相应的服务费。</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乙方的义务</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1.乙方应按国家及深圳的有关法律法规、设计标准、技术规范以及本合同约定的工作内容、工作进度等要求提供项目服务，并对其提交的研究意见负责。对于与本项目工作内容</w:t>
      </w:r>
      <w:r>
        <w:rPr>
          <w:rFonts w:hint="eastAsia" w:ascii="宋体" w:hAnsi="宋体" w:eastAsia="宋体" w:cs="宋体"/>
          <w:color w:val="000000" w:themeColor="text1"/>
          <w:kern w:val="0"/>
          <w:sz w:val="24"/>
          <w:highlight w:val="none"/>
          <w14:textFill>
            <w14:solidFill>
              <w14:schemeClr w14:val="tx1"/>
            </w14:solidFill>
          </w14:textFill>
        </w:rPr>
        <w:t>相关</w:t>
      </w:r>
      <w:r>
        <w:rPr>
          <w:rFonts w:hint="eastAsia" w:ascii="宋体" w:hAnsi="宋体" w:eastAsia="宋体" w:cs="宋体"/>
          <w:color w:val="000000" w:themeColor="text1"/>
          <w:sz w:val="24"/>
          <w:highlight w:val="none"/>
          <w14:textFill>
            <w14:solidFill>
              <w14:schemeClr w14:val="tx1"/>
            </w14:solidFill>
          </w14:textFill>
        </w:rPr>
        <w:t>的其他相关项目，乙方应进行充分了解并做好协调与衔接工作。</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2.对</w:t>
      </w:r>
      <w:r>
        <w:rPr>
          <w:rFonts w:hint="eastAsia" w:ascii="宋体" w:hAnsi="宋体" w:eastAsia="宋体" w:cs="宋体"/>
          <w:color w:val="000000" w:themeColor="text1"/>
          <w:kern w:val="0"/>
          <w:sz w:val="24"/>
          <w:highlight w:val="none"/>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提出的合理的额外服务，不应予以拒绝。</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3.如乙方提供的项目意见等成果文件不符合本合同要求，必须在甲方提出要求七个日历日内无条件修改，其费用由乙方自行承担。修改期间，甲方付款时间相应顺延。</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4.乙方不得将本合同项下权利义务部分或全部转让给任何</w:t>
      </w:r>
      <w:r>
        <w:rPr>
          <w:rFonts w:hint="eastAsia" w:ascii="宋体" w:hAnsi="宋体" w:eastAsia="宋体" w:cs="宋体"/>
          <w:color w:val="000000" w:themeColor="text1"/>
          <w:kern w:val="0"/>
          <w:sz w:val="24"/>
          <w:highlight w:val="none"/>
          <w14:textFill>
            <w14:solidFill>
              <w14:schemeClr w14:val="tx1"/>
            </w14:solidFill>
          </w14:textFill>
        </w:rPr>
        <w:t>第三方</w:t>
      </w:r>
      <w:r>
        <w:rPr>
          <w:rFonts w:hint="eastAsia" w:ascii="宋体" w:hAnsi="宋体" w:eastAsia="宋体" w:cs="宋体"/>
          <w:color w:val="000000" w:themeColor="text1"/>
          <w:sz w:val="24"/>
          <w:highlight w:val="none"/>
          <w14:textFill>
            <w14:solidFill>
              <w14:schemeClr w14:val="tx1"/>
            </w14:solidFill>
          </w14:textFill>
        </w:rPr>
        <w:t>。</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5.乙方对其工作人员在合同履行期间的一切行为负责，期间发生的一切安全事故责任、其他人身损害以外及因此发生的人身损害赔偿和其他费用由乙方自行承担，概与甲方无关。若因此导致甲方支付赔偿及其他费用，乙方应全部偿还给甲方。</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6.为保证项目成果的质量，乙方在合同履行期间，应按照要求组织专家队伍，成立专门的项目小组，并保障项目团队成员（含项目负责人）到位。项目负责人负责对项目实施全过程进行组织和指导，并承担研究的实质性工作。乙方应保证本合同的主要核心成员在项目实施期间全程参与项目实质性工作。如确需更换项目团队成员（含项目负责人），乙方应事先征得甲方的同意，且接替人员的职位、资历应与原定成员相当。</w:t>
      </w:r>
      <w:r>
        <w:rPr>
          <w:rFonts w:hint="eastAsia" w:ascii="宋体" w:hAnsi="宋体" w:eastAsia="宋体" w:cs="宋体"/>
          <w:color w:val="000000" w:themeColor="text1"/>
          <w:sz w:val="24"/>
          <w:highlight w:val="none"/>
          <w:lang w:val="zh-CN"/>
          <w14:textFill>
            <w14:solidFill>
              <w14:schemeClr w14:val="tx1"/>
            </w14:solidFill>
          </w14:textFill>
        </w:rPr>
        <w:t>在合同服务期内，</w:t>
      </w:r>
      <w:r>
        <w:rPr>
          <w:rFonts w:hint="eastAsia" w:ascii="宋体" w:hAnsi="宋体" w:eastAsia="宋体" w:cs="宋体"/>
          <w:color w:val="000000" w:themeColor="text1"/>
          <w:sz w:val="24"/>
          <w:highlight w:val="none"/>
          <w14:textFill>
            <w14:solidFill>
              <w14:schemeClr w14:val="tx1"/>
            </w14:solidFill>
          </w14:textFill>
        </w:rPr>
        <w:t>乙方</w:t>
      </w:r>
      <w:r>
        <w:rPr>
          <w:rFonts w:hint="eastAsia" w:ascii="宋体" w:hAnsi="宋体" w:eastAsia="宋体" w:cs="宋体"/>
          <w:color w:val="000000" w:themeColor="text1"/>
          <w:sz w:val="24"/>
          <w:highlight w:val="none"/>
          <w:lang w:val="zh-CN"/>
          <w14:textFill>
            <w14:solidFill>
              <w14:schemeClr w14:val="tx1"/>
            </w14:solidFill>
          </w14:textFill>
        </w:rPr>
        <w:t>应保证</w:t>
      </w:r>
      <w:r>
        <w:rPr>
          <w:rFonts w:hint="eastAsia" w:ascii="宋体" w:hAnsi="宋体" w:eastAsia="宋体" w:cs="宋体"/>
          <w:color w:val="000000" w:themeColor="text1"/>
          <w:sz w:val="24"/>
          <w:highlight w:val="none"/>
          <w14:textFill>
            <w14:solidFill>
              <w14:schemeClr w14:val="tx1"/>
            </w14:solidFill>
          </w14:textFill>
        </w:rPr>
        <w:t>团队成员</w:t>
      </w:r>
      <w:r>
        <w:rPr>
          <w:rFonts w:hint="eastAsia" w:ascii="宋体" w:hAnsi="宋体" w:eastAsia="宋体" w:cs="宋体"/>
          <w:color w:val="000000" w:themeColor="text1"/>
          <w:sz w:val="24"/>
          <w:highlight w:val="none"/>
          <w:lang w:val="zh-CN"/>
          <w14:textFill>
            <w14:solidFill>
              <w14:schemeClr w14:val="tx1"/>
            </w14:solidFill>
          </w14:textFill>
        </w:rPr>
        <w:t>的人员稳定性，确需调整的应征求</w:t>
      </w:r>
      <w:r>
        <w:rPr>
          <w:rFonts w:hint="eastAsia" w:ascii="宋体" w:hAnsi="宋体" w:eastAsia="宋体" w:cs="宋体"/>
          <w:color w:val="000000" w:themeColor="text1"/>
          <w:sz w:val="24"/>
          <w:highlight w:val="none"/>
          <w14:textFill>
            <w14:solidFill>
              <w14:schemeClr w14:val="tx1"/>
            </w14:solidFill>
          </w14:textFill>
        </w:rPr>
        <w:t>甲方书面</w:t>
      </w:r>
      <w:r>
        <w:rPr>
          <w:rFonts w:hint="eastAsia" w:ascii="宋体" w:hAnsi="宋体" w:eastAsia="宋体" w:cs="宋体"/>
          <w:color w:val="000000" w:themeColor="text1"/>
          <w:sz w:val="24"/>
          <w:highlight w:val="none"/>
          <w:lang w:val="zh-CN"/>
          <w14:textFill>
            <w14:solidFill>
              <w14:schemeClr w14:val="tx1"/>
            </w14:solidFill>
          </w14:textFill>
        </w:rPr>
        <w:t>同意。</w:t>
      </w:r>
      <w:r>
        <w:rPr>
          <w:rFonts w:hint="eastAsia" w:ascii="宋体" w:hAnsi="宋体" w:eastAsia="宋体" w:cs="宋体"/>
          <w:color w:val="000000" w:themeColor="text1"/>
          <w:kern w:val="0"/>
          <w:sz w:val="24"/>
          <w:highlight w:val="none"/>
          <w14:textFill>
            <w14:solidFill>
              <w14:schemeClr w14:val="tx1"/>
            </w14:solidFill>
          </w14:textFill>
        </w:rPr>
        <w:t>否则，每擅自更换一个项目团队成员（含项目负责人），乙方应向甲方支付本合同总价款5%的违约金。</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7.合同履行期间，乙方应按甲方的要求进行现场调研、中间成果汇报和沟通讨论、审查修改的全部工作和会议。乙方必须按本合同约定的内容、标准和期限完成项目工作，并按照甲方要求将完成委托事项的相关资料交给甲方。如甲方需对工作进度进行调整，甲方、乙方应共同协商解决。</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8.乙方有维护甲方声誉的义务，乙方不能以甲方名义从事与本项目无关的任何事务。</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9.本合同期满或提前解除、终止后，乙方应将甲方的档案资料、信息数据等交还甲方，并应销毁或删除所有备份。</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10.乙方在完成本项目过程中，不得损害其他任何第三方的知识产权等合法权益，否则由此造成的相关责任应当由乙方自行承担，与甲方无关。</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11.乙方应采取必要措施配合甲方验收人员的工作</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对于验收过程中发现的问题，乙方应在发现问题之日起3天内进行改正，以符合甲方的需要。</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12.乙方指定项目联系人：</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姓名： </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联系方式：</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1" w:name="_Toc24089"/>
      <w:r>
        <w:rPr>
          <w:rFonts w:hint="eastAsia" w:ascii="宋体" w:hAnsi="宋体" w:eastAsia="宋体" w:cs="宋体"/>
          <w:b/>
          <w:bCs/>
          <w:color w:val="000000" w:themeColor="text1"/>
          <w:sz w:val="24"/>
          <w:highlight w:val="none"/>
          <w14:textFill>
            <w14:solidFill>
              <w14:schemeClr w14:val="tx1"/>
            </w14:solidFill>
          </w14:textFill>
        </w:rPr>
        <w:t>七、合同履行时间</w:t>
      </w:r>
      <w:bookmarkEnd w:id="31"/>
      <w:r>
        <w:rPr>
          <w:rFonts w:hint="eastAsia" w:ascii="宋体" w:hAnsi="宋体" w:eastAsia="宋体" w:cs="宋体"/>
          <w:b/>
          <w:bCs/>
          <w:color w:val="000000" w:themeColor="text1"/>
          <w:sz w:val="24"/>
          <w:highlight w:val="none"/>
          <w14:textFill>
            <w14:solidFill>
              <w14:schemeClr w14:val="tx1"/>
            </w14:solidFill>
          </w14:textFill>
        </w:rPr>
        <w:t>及履行地点</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履行时间</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项目服务期限自合同签订之日起12个月内完成</w:t>
      </w:r>
      <w:r>
        <w:rPr>
          <w:rFonts w:hint="eastAsia" w:ascii="宋体" w:hAnsi="宋体" w:eastAsia="宋体" w:cs="宋体"/>
          <w:color w:val="000000" w:themeColor="text1"/>
          <w:kern w:val="0"/>
          <w:sz w:val="24"/>
          <w:highlight w:val="none"/>
          <w14:textFill>
            <w14:solidFill>
              <w14:schemeClr w14:val="tx1"/>
            </w14:solidFill>
          </w14:textFill>
        </w:rPr>
        <w:t>。</w:t>
      </w:r>
    </w:p>
    <w:p>
      <w:pPr>
        <w:snapToGrid w:val="0"/>
        <w:spacing w:line="56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履行地点：深圳市前海深港现代服务业合作区</w:t>
      </w:r>
      <w:bookmarkStart w:id="32" w:name="_Toc22413"/>
    </w:p>
    <w:p>
      <w:pPr>
        <w:snapToGrid w:val="0"/>
        <w:spacing w:line="560" w:lineRule="exact"/>
        <w:ind w:firstLine="482" w:firstLineChars="200"/>
        <w:outlineLvl w:val="2"/>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八、</w:t>
      </w:r>
      <w:bookmarkEnd w:id="32"/>
      <w:r>
        <w:rPr>
          <w:rFonts w:hint="eastAsia" w:ascii="宋体" w:hAnsi="宋体" w:eastAsia="宋体" w:cs="宋体"/>
          <w:b/>
          <w:bCs/>
          <w:color w:val="000000" w:themeColor="text1"/>
          <w:sz w:val="24"/>
          <w:highlight w:val="none"/>
          <w14:textFill>
            <w14:solidFill>
              <w14:schemeClr w14:val="tx1"/>
            </w14:solidFill>
          </w14:textFill>
        </w:rPr>
        <w:t>成果要求及</w:t>
      </w:r>
      <w:r>
        <w:rPr>
          <w:rFonts w:hint="eastAsia" w:ascii="宋体" w:hAnsi="宋体" w:eastAsia="宋体" w:cs="宋体"/>
          <w:b/>
          <w:bCs/>
          <w:color w:val="000000" w:themeColor="text1"/>
          <w:sz w:val="24"/>
          <w:highlight w:val="none"/>
          <w:lang w:eastAsia="zh-CN"/>
          <w14:textFill>
            <w14:solidFill>
              <w14:schemeClr w14:val="tx1"/>
            </w14:solidFill>
          </w14:textFill>
        </w:rPr>
        <w:t>验收方式</w:t>
      </w:r>
    </w:p>
    <w:p>
      <w:pPr>
        <w:spacing w:line="56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1.成果内容要求如下（包括但不限于以下内容）：</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《前海合作区新形势下长途客运场站和公交场站功能优化评估》项目成果由评估报告及相关图纸组成。提交成果要求为：评估报告及图集4份、各阶段汇报PPT及光盘存档电子文件2套。</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验收方式</w:t>
      </w:r>
      <w:r>
        <w:rPr>
          <w:rFonts w:hint="eastAsia" w:ascii="宋体" w:hAnsi="宋体" w:eastAsia="宋体" w:cs="宋体"/>
          <w:color w:val="000000" w:themeColor="text1"/>
          <w:sz w:val="24"/>
          <w:highlight w:val="none"/>
          <w14:textFill>
            <w14:solidFill>
              <w14:schemeClr w14:val="tx1"/>
            </w14:solidFill>
          </w14:textFill>
        </w:rPr>
        <w:t>：</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最终成果验收合格的标志为：</w:t>
      </w:r>
      <w:r>
        <w:rPr>
          <w:rFonts w:hint="eastAsia" w:ascii="宋体" w:hAnsi="宋体" w:cs="宋体"/>
          <w:color w:val="000000" w:themeColor="text1"/>
          <w:sz w:val="24"/>
          <w:highlight w:val="none"/>
          <w:lang w:val="en-US" w:eastAsia="zh-CN"/>
          <w14:textFill>
            <w14:solidFill>
              <w14:schemeClr w14:val="tx1"/>
            </w14:solidFill>
          </w14:textFill>
        </w:rPr>
        <w:t>甲方验收通过</w:t>
      </w:r>
      <w:r>
        <w:rPr>
          <w:rFonts w:hint="eastAsia" w:ascii="宋体" w:hAnsi="宋体" w:eastAsia="宋体" w:cs="宋体"/>
          <w:color w:val="000000" w:themeColor="text1"/>
          <w:sz w:val="24"/>
          <w:highlight w:val="none"/>
          <w14:textFill>
            <w14:solidFill>
              <w14:schemeClr w14:val="tx1"/>
            </w14:solidFill>
          </w14:textFill>
        </w:rPr>
        <w:t>。</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3" w:name="_Toc11509"/>
      <w:r>
        <w:rPr>
          <w:rFonts w:hint="eastAsia" w:ascii="宋体" w:hAnsi="宋体" w:eastAsia="宋体" w:cs="宋体"/>
          <w:b/>
          <w:bCs/>
          <w:color w:val="000000" w:themeColor="text1"/>
          <w:sz w:val="24"/>
          <w:highlight w:val="none"/>
          <w14:textFill>
            <w14:solidFill>
              <w14:schemeClr w14:val="tx1"/>
            </w14:solidFill>
          </w14:textFill>
        </w:rPr>
        <w:t>九、费用支付</w:t>
      </w:r>
      <w:bookmarkEnd w:id="33"/>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合同</w:t>
      </w:r>
      <w:r>
        <w:rPr>
          <w:rFonts w:hint="eastAsia" w:ascii="宋体" w:hAnsi="宋体" w:eastAsia="宋体" w:cs="宋体"/>
          <w:color w:val="000000" w:themeColor="text1"/>
          <w:sz w:val="24"/>
          <w:highlight w:val="none"/>
          <w14:textFill>
            <w14:solidFill>
              <w14:schemeClr w14:val="tx1"/>
            </w14:solidFill>
          </w14:textFill>
        </w:rPr>
        <w:t>资金由</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分4期支付至</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指定银行账户。</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（1）第1期：合同签订后15个工作日内，</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提出付款申请，</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支付总价款的</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0%；即人民币____元整（¥____元）</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（2）第2期：</w:t>
      </w:r>
      <w:r>
        <w:rPr>
          <w:rFonts w:hint="eastAsia" w:ascii="宋体" w:hAnsi="宋体" w:cs="宋体"/>
          <w:color w:val="000000" w:themeColor="text1"/>
          <w:sz w:val="24"/>
          <w:highlight w:val="none"/>
          <w:lang w:eastAsia="zh-CN"/>
          <w14:textFill>
            <w14:solidFill>
              <w14:schemeClr w14:val="tx1"/>
            </w14:solidFill>
          </w14:textFill>
        </w:rPr>
        <w:t>乙方完成并提交中期成果</w:t>
      </w:r>
      <w:r>
        <w:rPr>
          <w:rFonts w:hint="eastAsia" w:ascii="宋体" w:hAnsi="宋体" w:eastAsia="宋体" w:cs="宋体"/>
          <w:color w:val="000000" w:themeColor="text1"/>
          <w:sz w:val="24"/>
          <w:highlight w:val="none"/>
          <w14:textFill>
            <w14:solidFill>
              <w14:schemeClr w14:val="tx1"/>
            </w14:solidFill>
          </w14:textFill>
        </w:rPr>
        <w:t>，且</w:t>
      </w:r>
      <w:r>
        <w:rPr>
          <w:rFonts w:hint="eastAsia" w:ascii="宋体" w:hAnsi="宋体" w:cs="宋体"/>
          <w:color w:val="000000" w:themeColor="text1"/>
          <w:sz w:val="24"/>
          <w:highlight w:val="none"/>
          <w:lang w:val="en-US" w:eastAsia="zh-CN"/>
          <w14:textFill>
            <w14:solidFill>
              <w14:schemeClr w14:val="tx1"/>
            </w14:solidFill>
          </w14:textFill>
        </w:rPr>
        <w:t>中期</w:t>
      </w:r>
      <w:r>
        <w:rPr>
          <w:rFonts w:hint="eastAsia" w:ascii="宋体" w:hAnsi="宋体" w:eastAsia="宋体" w:cs="宋体"/>
          <w:color w:val="000000" w:themeColor="text1"/>
          <w:sz w:val="24"/>
          <w:highlight w:val="none"/>
          <w14:textFill>
            <w14:solidFill>
              <w14:schemeClr w14:val="tx1"/>
            </w14:solidFill>
          </w14:textFill>
        </w:rPr>
        <w:t>成果</w:t>
      </w:r>
      <w:r>
        <w:rPr>
          <w:rFonts w:hint="eastAsia" w:ascii="宋体" w:hAnsi="宋体" w:cs="宋体"/>
          <w:color w:val="000000" w:themeColor="text1"/>
          <w:sz w:val="24"/>
          <w:highlight w:val="none"/>
          <w:lang w:eastAsia="zh-CN"/>
          <w14:textFill>
            <w14:solidFill>
              <w14:schemeClr w14:val="tx1"/>
            </w14:solidFill>
          </w14:textFill>
        </w:rPr>
        <w:t>通过第二阶段成果</w:t>
      </w:r>
      <w:r>
        <w:rPr>
          <w:rFonts w:hint="eastAsia" w:ascii="宋体" w:hAnsi="宋体" w:eastAsia="宋体" w:cs="宋体"/>
          <w:color w:val="000000" w:themeColor="text1"/>
          <w:sz w:val="24"/>
          <w:highlight w:val="none"/>
          <w14:textFill>
            <w14:solidFill>
              <w14:schemeClr w14:val="tx1"/>
            </w14:solidFill>
          </w14:textFill>
        </w:rPr>
        <w:t>验收后，</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提出付款申请，</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支付总价款的</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0%；即人民币____元整（¥____元）</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（3）第3期：</w:t>
      </w:r>
      <w:r>
        <w:rPr>
          <w:rFonts w:hint="eastAsia" w:ascii="宋体" w:hAnsi="宋体" w:cs="宋体"/>
          <w:color w:val="000000" w:themeColor="text1"/>
          <w:sz w:val="24"/>
          <w:highlight w:val="none"/>
          <w:lang w:eastAsia="zh-CN"/>
          <w14:textFill>
            <w14:solidFill>
              <w14:schemeClr w14:val="tx1"/>
            </w14:solidFill>
          </w14:textFill>
        </w:rPr>
        <w:t>乙方完成并提交送审成果</w:t>
      </w:r>
      <w:r>
        <w:rPr>
          <w:rFonts w:hint="eastAsia" w:ascii="宋体" w:hAnsi="宋体" w:eastAsia="宋体" w:cs="宋体"/>
          <w:color w:val="000000" w:themeColor="text1"/>
          <w:sz w:val="24"/>
          <w:highlight w:val="none"/>
          <w14:textFill>
            <w14:solidFill>
              <w14:schemeClr w14:val="tx1"/>
            </w14:solidFill>
          </w14:textFill>
        </w:rPr>
        <w:t>，且</w:t>
      </w:r>
      <w:r>
        <w:rPr>
          <w:rFonts w:hint="eastAsia" w:ascii="宋体" w:hAnsi="宋体" w:cs="宋体"/>
          <w:color w:val="000000" w:themeColor="text1"/>
          <w:sz w:val="24"/>
          <w:highlight w:val="none"/>
          <w:lang w:val="en-US" w:eastAsia="zh-CN"/>
          <w14:textFill>
            <w14:solidFill>
              <w14:schemeClr w14:val="tx1"/>
            </w14:solidFill>
          </w14:textFill>
        </w:rPr>
        <w:t>送审</w:t>
      </w:r>
      <w:r>
        <w:rPr>
          <w:rFonts w:hint="eastAsia" w:ascii="宋体" w:hAnsi="宋体" w:eastAsia="宋体" w:cs="宋体"/>
          <w:color w:val="000000" w:themeColor="text1"/>
          <w:sz w:val="24"/>
          <w:highlight w:val="none"/>
          <w14:textFill>
            <w14:solidFill>
              <w14:schemeClr w14:val="tx1"/>
            </w14:solidFill>
          </w14:textFill>
        </w:rPr>
        <w:t>成果</w:t>
      </w:r>
      <w:r>
        <w:rPr>
          <w:rFonts w:hint="eastAsia" w:ascii="宋体" w:hAnsi="宋体" w:cs="宋体"/>
          <w:color w:val="000000" w:themeColor="text1"/>
          <w:sz w:val="24"/>
          <w:highlight w:val="none"/>
          <w:lang w:val="en-US" w:eastAsia="zh-CN"/>
          <w14:textFill>
            <w14:solidFill>
              <w14:schemeClr w14:val="tx1"/>
            </w14:solidFill>
          </w14:textFill>
        </w:rPr>
        <w:t>通过</w:t>
      </w:r>
      <w:r>
        <w:rPr>
          <w:rFonts w:hint="eastAsia" w:ascii="宋体" w:hAnsi="宋体" w:cs="宋体"/>
          <w:color w:val="000000" w:themeColor="text1"/>
          <w:sz w:val="24"/>
          <w:highlight w:val="none"/>
          <w:lang w:eastAsia="zh-CN"/>
          <w14:textFill>
            <w14:solidFill>
              <w14:schemeClr w14:val="tx1"/>
            </w14:solidFill>
          </w14:textFill>
        </w:rPr>
        <w:t>第三阶段成果</w:t>
      </w:r>
      <w:r>
        <w:rPr>
          <w:rFonts w:hint="eastAsia" w:ascii="宋体" w:hAnsi="宋体" w:eastAsia="宋体" w:cs="宋体"/>
          <w:color w:val="000000" w:themeColor="text1"/>
          <w:sz w:val="24"/>
          <w:highlight w:val="none"/>
          <w14:textFill>
            <w14:solidFill>
              <w14:schemeClr w14:val="tx1"/>
            </w14:solidFill>
          </w14:textFill>
        </w:rPr>
        <w:t>验收后，</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提出付款申请，</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支付总价款的30%；即人民币____元整（¥____元）</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（4）第4期：</w:t>
      </w:r>
      <w:r>
        <w:rPr>
          <w:rFonts w:hint="eastAsia" w:ascii="宋体" w:hAnsi="宋体" w:cs="宋体"/>
          <w:color w:val="000000" w:themeColor="text1"/>
          <w:sz w:val="24"/>
          <w:highlight w:val="none"/>
          <w:lang w:eastAsia="zh-CN"/>
          <w14:textFill>
            <w14:solidFill>
              <w14:schemeClr w14:val="tx1"/>
            </w14:solidFill>
          </w14:textFill>
        </w:rPr>
        <w:t>乙方完成并提交最终成果</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且</w:t>
      </w:r>
      <w:r>
        <w:rPr>
          <w:rFonts w:hint="eastAsia" w:ascii="宋体" w:hAnsi="宋体" w:eastAsia="宋体" w:cs="宋体"/>
          <w:color w:val="000000" w:themeColor="text1"/>
          <w:sz w:val="24"/>
          <w:highlight w:val="none"/>
          <w14:textFill>
            <w14:solidFill>
              <w14:schemeClr w14:val="tx1"/>
            </w14:solidFill>
          </w14:textFill>
        </w:rPr>
        <w:t>最终成果</w:t>
      </w:r>
      <w:r>
        <w:rPr>
          <w:rFonts w:hint="eastAsia" w:ascii="宋体" w:hAnsi="宋体" w:cs="宋体"/>
          <w:color w:val="000000" w:themeColor="text1"/>
          <w:sz w:val="24"/>
          <w:highlight w:val="none"/>
          <w:lang w:val="en-US" w:eastAsia="zh-CN"/>
          <w14:textFill>
            <w14:solidFill>
              <w14:schemeClr w14:val="tx1"/>
            </w14:solidFill>
          </w14:textFill>
        </w:rPr>
        <w:t>通过</w:t>
      </w:r>
      <w:r>
        <w:rPr>
          <w:rFonts w:hint="eastAsia" w:ascii="宋体" w:hAnsi="宋体" w:cs="宋体"/>
          <w:color w:val="000000" w:themeColor="text1"/>
          <w:sz w:val="24"/>
          <w:highlight w:val="none"/>
          <w:lang w:eastAsia="zh-CN"/>
          <w14:textFill>
            <w14:solidFill>
              <w14:schemeClr w14:val="tx1"/>
            </w14:solidFill>
          </w14:textFill>
        </w:rPr>
        <w:t>第</w:t>
      </w:r>
      <w:r>
        <w:rPr>
          <w:rFonts w:hint="eastAsia" w:ascii="宋体" w:hAnsi="宋体" w:cs="宋体"/>
          <w:color w:val="000000" w:themeColor="text1"/>
          <w:sz w:val="24"/>
          <w:highlight w:val="none"/>
          <w:lang w:val="en-US" w:eastAsia="zh-CN"/>
          <w14:textFill>
            <w14:solidFill>
              <w14:schemeClr w14:val="tx1"/>
            </w14:solidFill>
          </w14:textFill>
        </w:rPr>
        <w:t>四</w:t>
      </w:r>
      <w:r>
        <w:rPr>
          <w:rFonts w:hint="eastAsia" w:ascii="宋体" w:hAnsi="宋体" w:cs="宋体"/>
          <w:color w:val="000000" w:themeColor="text1"/>
          <w:sz w:val="24"/>
          <w:highlight w:val="none"/>
          <w:lang w:eastAsia="zh-CN"/>
          <w14:textFill>
            <w14:solidFill>
              <w14:schemeClr w14:val="tx1"/>
            </w14:solidFill>
          </w14:textFill>
        </w:rPr>
        <w:t>阶段成果</w:t>
      </w:r>
      <w:r>
        <w:rPr>
          <w:rFonts w:hint="eastAsia" w:ascii="宋体" w:hAnsi="宋体" w:eastAsia="宋体" w:cs="宋体"/>
          <w:color w:val="000000" w:themeColor="text1"/>
          <w:sz w:val="24"/>
          <w:highlight w:val="none"/>
          <w14:textFill>
            <w14:solidFill>
              <w14:schemeClr w14:val="tx1"/>
            </w14:solidFill>
          </w14:textFill>
        </w:rPr>
        <w:t>验收后，</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提出付款申请，</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支付总价款的20%。即人民币____元整（¥____元）</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上述每期款项均在满足付款条件，且甲方收到乙方开具的载明相应金额的合格发票后15个工作日内付至乙方指定银行账户。如未及时收到发票，则甲方相应付款时间顺延。因甲方付款审批影响支付进度，请乙方予以谅解，并不得就此向甲方索赔。</w:t>
      </w:r>
    </w:p>
    <w:p>
      <w:pPr>
        <w:snapToGrid w:val="0"/>
        <w:spacing w:line="56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zh-CN"/>
          <w14:textFill>
            <w14:solidFill>
              <w14:schemeClr w14:val="tx1"/>
            </w14:solidFill>
          </w14:textFill>
        </w:rPr>
        <w:t>本合同执行中相关的一切税费均由乙方负担。</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合同价款由甲方分期付至乙方指定银行账户</w:t>
      </w:r>
    </w:p>
    <w:p>
      <w:pPr>
        <w:snapToGrid w:val="0"/>
        <w:spacing w:line="56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乙方银行账户信息：</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开户银行：       </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户名：       </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账号： </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上述账户信息有任何变动，乙方应当提前10个工作日书面通知甲方；若乙方未按本条约定将账户信息变动情况书面通知甲方，由此导致甲方付款时间延迟或出现其他无法付款的情形，甲方不承担逾期付款的违约责任。</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十、</w:t>
      </w:r>
      <w:r>
        <w:rPr>
          <w:rFonts w:hint="eastAsia" w:ascii="宋体" w:hAnsi="宋体" w:eastAsia="宋体" w:cs="宋体"/>
          <w:b/>
          <w:bCs/>
          <w:color w:val="000000" w:themeColor="text1"/>
          <w:sz w:val="24"/>
          <w:highlight w:val="none"/>
          <w14:textFill>
            <w14:solidFill>
              <w14:schemeClr w14:val="tx1"/>
            </w14:solidFill>
          </w14:textFill>
        </w:rPr>
        <w:t>合同提前终止</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甲、乙双方不得擅自变更、中止或者终止本合同。如本合同继续履行将损害国家利益和社会公共利益的，双方当事人应当变更、中止或者终止本合同。有过错的一方应当承担赔偿责任，双方都有过错的，各自承担相应的责任。</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有下列情形之一的，本合同自甲方向乙方发出书面通知之日起终止：</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1.甲方的职能发生转变，不再具有委托职能。</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2.本合同签订时适用的法律法规或政策发生变化，且对本合同的继续履行造成重大影响。</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如发生不可抗力或其他超出合同双方控制的事件，致使一方无法履行合同，本合同解除。</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2.发生不可抗力，甲乙双方承担各自的损失。由于其中一方迟延履行合同义务后发生不可抗力的，其违约责任不能免除。</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 xml:space="preserve">3.不可抗力事件导致一方无法履行合同义务或继续履行已无意义，由双方协商终止本合同并进行清算，甲方应按照乙方已完成的工作量支付款项，同时乙方应向甲方提交在合同终止日前完成的所有项目文件和相关资料。 </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4" w:name="_Toc10529"/>
      <w:r>
        <w:rPr>
          <w:rFonts w:hint="eastAsia" w:ascii="宋体" w:hAnsi="宋体" w:eastAsia="宋体" w:cs="宋体"/>
          <w:b/>
          <w:bCs/>
          <w:color w:val="000000" w:themeColor="text1"/>
          <w:sz w:val="24"/>
          <w:highlight w:val="none"/>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14:textFill>
            <w14:solidFill>
              <w14:schemeClr w14:val="tx1"/>
            </w14:solidFill>
          </w14:textFill>
        </w:rPr>
        <w:t>、争议解决</w:t>
      </w:r>
      <w:bookmarkEnd w:id="34"/>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因本合同的履行发生的或与本合同有关的争议或纠纷，任一方有权向深圳前海合作区人民法院提起诉讼。</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5" w:name="_Toc14951"/>
      <w:r>
        <w:rPr>
          <w:rFonts w:hint="eastAsia" w:ascii="宋体" w:hAnsi="宋体" w:eastAsia="宋体" w:cs="宋体"/>
          <w:b/>
          <w:bCs/>
          <w:color w:val="000000" w:themeColor="text1"/>
          <w:sz w:val="24"/>
          <w:highlight w:val="none"/>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、违约责任</w:t>
      </w:r>
      <w:bookmarkEnd w:id="35"/>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1.因</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原因，未能按规定时间完成有关工作的，每延误一天，</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自尚未支付的合同款项中扣除合同服务总金额的5‰的逾期违约金。</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2.由于</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原因造成成果质量低劣，不能满足本合同要求时，应继续完善成果，其费用由</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承担。</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3.如</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提供的服务或成果不符合质量要求，必须在</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提出要求后7个日历日内无条件修改，其费用由</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承担。</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4.本合同履行期间，发生下述情形时，</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有权解除本合同，</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除应退还</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已支付的全部款项外</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还应在合同解除通知发出之日起10日内向</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支付合同总价款20%的违约金。</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应同时将已完成的项目成果移交给</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，并将全部有关资料退还</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(1)因</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工作的错误或遗漏造成成果质量不符合本合同要求，且</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未按</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要求采取及时有效的补救措施的；</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未能按合同约定的日期(含协商延缓的日期)提交工作成果，延误时间超过30个工作日；或</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虽如期提交阶段性成果和最终成果，但最终成果连续二次未能通过评审验收的；</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(3)发现</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或</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工作人员出现全部或部分丧失履行委托服务能力的情况，</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有权通知</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限期整改或更换工作人员，期限届满</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并未进行改善的；</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明确表示或者以自己的行为表明不履行本合同的。</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5.除因审批流程及财政部门预算下达延误影响</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支出进度外，如</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未按照本合同约定的时间支付服务费，</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书面催告</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并给予不少于5个工作日的履行期限后</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仍未支付的，</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有权自该期限届满之日起要求</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支付该阶段应付而未付合同价款每日1‰的逾期违约金。如</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无正当理由拒绝接受服务，到期明确表示拒付服务款项，</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有权要求</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 xml:space="preserve">支付本合同项下服务费总金额20%的违约金。 </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6.上述违约责任各自独立且可累加。如本合同所约定的违约金无法弥补因违约行为所造成的损失，违约方应补偿上述不足部分的损失。</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6" w:name="_Toc17510"/>
      <w:r>
        <w:rPr>
          <w:rFonts w:hint="eastAsia" w:ascii="宋体" w:hAnsi="宋体" w:eastAsia="宋体" w:cs="宋体"/>
          <w:b/>
          <w:bCs/>
          <w:color w:val="000000" w:themeColor="text1"/>
          <w:sz w:val="24"/>
          <w:highlight w:val="none"/>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highlight w:val="none"/>
          <w14:textFill>
            <w14:solidFill>
              <w14:schemeClr w14:val="tx1"/>
            </w14:solidFill>
          </w14:textFill>
        </w:rPr>
        <w:t>、保密条款</w:t>
      </w:r>
      <w:bookmarkEnd w:id="36"/>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应以保密方式处理在编制本项目成果文件过程中自</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工作人员或</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关联机构获得的相关信息、资料、图纸、数据等，或由</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在履行本合同过程中明确指明为秘密的任何信息，以及</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因本项目工作内容所直接或间接取得、处理或接触的任何其他资料。未经</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书面在先同意，</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实施项目的程序应符合国家安全、保密的有关规定和标准。</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4.上述保密义务不适用以下情况：</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（1）获取的信息已被合法公开；</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（2）获得信息拥有方书面许可并在该许可范围内披露；</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（3）国家法律、法规规定的情形。</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5.如</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违反上述保密条款，</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有权解除本合同，</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应在合同解除通知发出之日起10日内向</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支付本合同服务费总金额20%的违约金，如果违约金无法弥补</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损失，</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保留要求</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赔偿全部损失的权利。</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6.无论本项目其他条款是否有效，本保密条款始终约束双方。国家秘密的保密期限由国家有关部门确定，工作秘密的保密期限由</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确定。</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7" w:name="_Toc16227"/>
      <w:r>
        <w:rPr>
          <w:rFonts w:hint="eastAsia" w:ascii="宋体" w:hAnsi="宋体" w:eastAsia="宋体" w:cs="宋体"/>
          <w:b/>
          <w:bCs/>
          <w:color w:val="000000" w:themeColor="text1"/>
          <w:sz w:val="24"/>
          <w:highlight w:val="none"/>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合同的变更</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本合同履行过程中的需求变更和进度调整，以甲乙双方达成一致的书面文件为准。</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乙方遇到不能按期完成工作的情况，应及时以书面形式将不能按期完成工作的理由、延误时间通知甲方。甲方在收到乙方通知后，根据情况决定是否延长完成时间。如同意延长，则乙方责任期也相应延长。</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因非乙方责任造成项目进度推迟或延误，无法按照本合同约定的日期完成相应工作，双方经过协商可以进一步约定完成的日期，乙方的责任期也随之顺延。</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在本项目进展过程中，经双方同意的研究、编制内容等方面的增减，如所涉增加费用的金额不超过本合同项下服务费总金额的10%，由双方商定变更内容及具体价格后签订书面补充协议予以确认。</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highlight w:val="none"/>
          <w14:textFill>
            <w14:solidFill>
              <w14:schemeClr w14:val="tx1"/>
            </w14:solidFill>
          </w14:textFill>
        </w:rPr>
        <w:t>、其他</w:t>
      </w:r>
      <w:bookmarkEnd w:id="37"/>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1.合同书及补充协议；</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2.中标通知书；</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3.招标文件（编号：          ）及其澄清、补正公告；</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4.投标书。</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本合同替代此前双方所有关于本合同事项的口头或书面的纪要、备忘录、合同、协议。</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本合同附件（如有）为合同不可分割的组成部分，与本合同一并加盖骑缝章后具有同等法律效力。若附件与合同正文有任何冲突，以合同正文为准。</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本合同各条标题仅为提示之用，应以条文内容确定各方的权利义务。</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本合同未尽事宜，由双方协商签订补充协议进行约定。补充协议应以书面形式作成，经双方法定代表人或其授权代表签字盖章后与本合同具有同等法律效力。</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本合同约定的权利和义务不因合同双方发生收购、兼并、重组、分立而发生变化。如果发生上述情形，则本合同约定的权利和义务随之转移至收购、兼并、重组或分立后成立的单位。</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如果本合同的任何条款在任何时候变成不合法、无效或不可强制执行而不从根本上影响本合同的效力时，本合同的其他条款不受影响。</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本合同的任何内容不应被视为或解释为双方之间具有合资、合伙、代理关系。</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任何一方未经另一方同意不得向任何第三方透露本合同的签订及其内容。甲方向其关联公司透露前述内容的，不受此限。</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本合同自双方法定代表人或其授权代表签字盖章之日起生效。</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本合同一式六份正本，甲方与乙方各执三份，均具同等法律效力。</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（以下无正文）</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pStyle w:val="12"/>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：服务团队名单</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napToGrid w:val="0"/>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甲方：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地址：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委托代理人：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电话：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开户银行：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账</w:t>
      </w:r>
      <w:r>
        <w:rPr>
          <w:rFonts w:hint="eastAsia" w:ascii="宋体" w:hAnsi="宋体" w:eastAsia="宋体" w:cs="宋体"/>
          <w:color w:val="000000" w:themeColor="text1"/>
          <w:sz w:val="24"/>
          <w:highlight w:val="none"/>
          <w14:textFill>
            <w14:solidFill>
              <w14:schemeClr w14:val="tx1"/>
            </w14:solidFill>
          </w14:textFill>
        </w:rPr>
        <w:t xml:space="preserve">号：                         </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委托代理人：</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开户银行：</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账</w:t>
      </w:r>
      <w:r>
        <w:rPr>
          <w:rFonts w:hint="eastAsia" w:ascii="宋体" w:hAnsi="宋体" w:eastAsia="宋体" w:cs="宋体"/>
          <w:color w:val="000000" w:themeColor="text1"/>
          <w:sz w:val="24"/>
          <w:highlight w:val="none"/>
          <w14:textFill>
            <w14:solidFill>
              <w14:schemeClr w14:val="tx1"/>
            </w14:solidFill>
          </w14:textFill>
        </w:rPr>
        <w:t>号：</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签约地址：                              </w:t>
      </w:r>
    </w:p>
    <w:p>
      <w:pPr>
        <w:spacing w:line="360" w:lineRule="auto"/>
        <w:ind w:firstLine="72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签约时间：     年   月   日</w:t>
      </w:r>
    </w:p>
    <w:p>
      <w:pPr>
        <w:pStyle w:val="10"/>
        <w:rPr>
          <w:rFonts w:hint="eastAsia" w:ascii="Calibri" w:hAnsi="Calibri"/>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br w:type="page"/>
      </w:r>
    </w:p>
    <w:p>
      <w:pPr>
        <w:pStyle w:val="1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w:t>
      </w:r>
    </w:p>
    <w:p>
      <w:pPr>
        <w:jc w:val="center"/>
        <w:outlineLvl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服务团队名单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650"/>
        <w:gridCol w:w="1481"/>
        <w:gridCol w:w="2645"/>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650" w:type="dxa"/>
          </w:tcPr>
          <w:p>
            <w:pPr>
              <w:pStyle w:val="1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w:t>
            </w:r>
          </w:p>
        </w:tc>
        <w:tc>
          <w:tcPr>
            <w:tcW w:w="1481" w:type="dxa"/>
          </w:tcPr>
          <w:p>
            <w:pPr>
              <w:pStyle w:val="1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职务/岗位</w:t>
            </w:r>
          </w:p>
        </w:tc>
        <w:tc>
          <w:tcPr>
            <w:tcW w:w="2645" w:type="dxa"/>
          </w:tcPr>
          <w:p>
            <w:pPr>
              <w:pStyle w:val="1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p>
        </w:tc>
        <w:tc>
          <w:tcPr>
            <w:tcW w:w="1704" w:type="dxa"/>
          </w:tcPr>
          <w:p>
            <w:pPr>
              <w:pStyle w:val="1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1481"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2645"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1704"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1481"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2645"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1704"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1481"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2645"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1704"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1481"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2645"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1704"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1481"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2645"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c>
          <w:tcPr>
            <w:tcW w:w="1704" w:type="dxa"/>
          </w:tcPr>
          <w:p>
            <w:pPr>
              <w:pStyle w:val="10"/>
              <w:rPr>
                <w:rFonts w:hint="eastAsia" w:ascii="宋体" w:hAnsi="宋体" w:eastAsia="宋体" w:cs="宋体"/>
                <w:color w:val="000000" w:themeColor="text1"/>
                <w:sz w:val="21"/>
                <w:szCs w:val="21"/>
                <w:highlight w:val="none"/>
                <w14:textFill>
                  <w14:solidFill>
                    <w14:schemeClr w14:val="tx1"/>
                  </w14:solidFill>
                </w14:textFill>
              </w:rPr>
            </w:pPr>
          </w:p>
        </w:tc>
      </w:tr>
    </w:tbl>
    <w:p>
      <w:pPr>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p>
    <w:p>
      <w:pPr>
        <w:ind w:firstLine="630" w:firstLineChars="300"/>
        <w:rPr>
          <w:rFonts w:hint="eastAsia" w:ascii="宋体" w:hAnsi="宋体" w:eastAsia="宋体" w:cs="宋体"/>
          <w:color w:val="000000" w:themeColor="text1"/>
          <w:szCs w:val="21"/>
          <w:highlight w:val="none"/>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eastAsia="宋体" w:cs="宋体"/>
          <w:b/>
          <w:bCs/>
          <w:color w:val="000000" w:themeColor="text1"/>
          <w:sz w:val="24"/>
          <w14:textFill>
            <w14:solidFill>
              <w14:schemeClr w14:val="tx1"/>
            </w14:solidFill>
          </w14:textFill>
        </w:rPr>
        <w:t>。</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snapToGrid w:val="0"/>
        <w:spacing w:line="360" w:lineRule="auto"/>
        <w:rPr>
          <w:rFonts w:hint="eastAsia" w:ascii="宋体" w:hAnsi="宋体" w:cs="宋体"/>
          <w:color w:val="000000" w:themeColor="text1"/>
          <w:sz w:val="24"/>
          <w14:textFill>
            <w14:solidFill>
              <w14:schemeClr w14:val="tx1"/>
            </w14:solidFill>
          </w14:textFill>
        </w:rPr>
      </w:pPr>
    </w:p>
    <w:p>
      <w:pPr>
        <w:pStyle w:val="10"/>
        <w:rPr>
          <w:rFonts w:hint="eastAsia"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38" w:name="_Toc25518"/>
      <w:r>
        <w:rPr>
          <w:rFonts w:hint="eastAsia" w:ascii="宋体" w:hAnsi="宋体" w:cs="宋体"/>
          <w:b/>
          <w:bCs/>
          <w:color w:val="000000" w:themeColor="text1"/>
          <w:sz w:val="24"/>
          <w14:textFill>
            <w14:solidFill>
              <w14:schemeClr w14:val="tx1"/>
            </w14:solidFill>
          </w14:textFill>
        </w:rPr>
        <w:t>用户需求书</w:t>
      </w:r>
      <w:bookmarkEnd w:id="38"/>
    </w:p>
    <w:p>
      <w:pPr>
        <w:pStyle w:val="29"/>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39" w:name="_Toc23726"/>
      <w:bookmarkStart w:id="40" w:name="_Toc11045"/>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bookmarkEnd w:id="39"/>
    <w:bookmarkEnd w:id="40"/>
    <w:p>
      <w:pPr>
        <w:pStyle w:val="16"/>
        <w:tabs>
          <w:tab w:val="left" w:pos="3495"/>
        </w:tabs>
        <w:spacing w:before="0" w:beforeAutospacing="0" w:after="0" w:afterAutospacing="0" w:line="360" w:lineRule="auto"/>
        <w:ind w:firstLine="482" w:firstLineChars="200"/>
        <w:rPr>
          <w:rFonts w:hint="eastAsia" w:ascii="宋体" w:hAnsi="宋体" w:eastAsia="宋体" w:cs="宋体"/>
          <w:b/>
          <w:bCs/>
          <w:snapToGrid w:val="0"/>
          <w:color w:val="000000" w:themeColor="text1"/>
          <w:sz w:val="24"/>
          <w:szCs w:val="24"/>
          <w:lang w:val="en-US" w:eastAsia="zh-CN"/>
          <w14:textFill>
            <w14:solidFill>
              <w14:schemeClr w14:val="tx1"/>
            </w14:solidFill>
          </w14:textFill>
        </w:rPr>
      </w:pPr>
      <w:r>
        <w:rPr>
          <w:rFonts w:hint="eastAsia" w:ascii="宋体" w:hAnsi="宋体" w:cs="宋体"/>
          <w:b/>
          <w:bCs/>
          <w:snapToGrid w:val="0"/>
          <w:color w:val="000000" w:themeColor="text1"/>
          <w:sz w:val="24"/>
          <w:szCs w:val="24"/>
          <w:lang w:val="en-US" w:eastAsia="zh-CN"/>
          <w14:textFill>
            <w14:solidFill>
              <w14:schemeClr w14:val="tx1"/>
            </w14:solidFill>
          </w14:textFill>
        </w:rPr>
        <w:t>一、</w:t>
      </w:r>
      <w:r>
        <w:rPr>
          <w:rFonts w:hint="eastAsia" w:ascii="宋体" w:hAnsi="宋体" w:cs="宋体"/>
          <w:b/>
          <w:bCs/>
          <w:snapToGrid w:val="0"/>
          <w:color w:val="000000" w:themeColor="text1"/>
          <w:sz w:val="24"/>
          <w:szCs w:val="24"/>
          <w14:textFill>
            <w14:solidFill>
              <w14:schemeClr w14:val="tx1"/>
            </w14:solidFill>
          </w14:textFill>
        </w:rPr>
        <w:t>项目</w:t>
      </w:r>
      <w:r>
        <w:rPr>
          <w:rFonts w:hint="eastAsia" w:ascii="宋体" w:hAnsi="宋体" w:cs="宋体"/>
          <w:b/>
          <w:bCs/>
          <w:snapToGrid w:val="0"/>
          <w:color w:val="000000" w:themeColor="text1"/>
          <w:sz w:val="24"/>
          <w:szCs w:val="24"/>
          <w:lang w:val="en-US" w:eastAsia="zh-CN"/>
          <w14:textFill>
            <w14:solidFill>
              <w14:schemeClr w14:val="tx1"/>
            </w14:solidFill>
          </w14:textFill>
        </w:rPr>
        <w:t>背景</w:t>
      </w:r>
    </w:p>
    <w:p>
      <w:pPr>
        <w:pStyle w:val="16"/>
        <w:tabs>
          <w:tab w:val="left" w:pos="3495"/>
        </w:tabs>
        <w:spacing w:before="0" w:beforeAutospacing="0" w:after="0" w:afterAutospacing="0" w:line="360" w:lineRule="auto"/>
        <w:ind w:firstLine="480" w:firstLineChars="200"/>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随着深港融合持续深化，前海合作区作为国家战略平台，跨境交通需求显著提升，而传统公交与长途客运功能面临结构性调整。在此背景下，现有交通场站体系已难以适应新时期多元化出行需求，亟需开展功能优化与资源整合。同时，落实前海新型交通基础设施建设项目谋划的要求，场站功能优化后可为充电、储能、无人物流小车、无人驾驶等新型交通设施建设提供空间载体，助力构建智慧、绿色、高效的现代化交通体系。</w:t>
      </w:r>
    </w:p>
    <w:p>
      <w:pPr>
        <w:pStyle w:val="16"/>
        <w:tabs>
          <w:tab w:val="left" w:pos="3495"/>
        </w:tabs>
        <w:spacing w:before="0" w:beforeAutospacing="0" w:after="0" w:afterAutospacing="0" w:line="360" w:lineRule="auto"/>
        <w:ind w:firstLine="480" w:firstLineChars="200"/>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（一）深港跨境交通需求快速增长，场站支撑不足。</w:t>
      </w:r>
    </w:p>
    <w:p>
      <w:pPr>
        <w:pStyle w:val="16"/>
        <w:tabs>
          <w:tab w:val="left" w:pos="3495"/>
        </w:tabs>
        <w:spacing w:before="0" w:beforeAutospacing="0" w:after="0" w:afterAutospacing="0" w:line="360" w:lineRule="auto"/>
        <w:ind w:firstLine="480" w:firstLineChars="200"/>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前海深港现代服务业合作区总体发展规划》明确提出深化深港合作、促进要素便捷流动。截至目前，前海已集聚近万家港资企业，超过1.2万名香港人才在此工作生活，跨境通勤、商务出行与个性化交通需求持续攀升。深圳湾口岸单日客流峰值已突破20万人次。</w:t>
      </w:r>
    </w:p>
    <w:p>
      <w:pPr>
        <w:pStyle w:val="16"/>
        <w:tabs>
          <w:tab w:val="left" w:pos="3495"/>
        </w:tabs>
        <w:spacing w:before="0" w:beforeAutospacing="0" w:after="0" w:afterAutospacing="0" w:line="360" w:lineRule="auto"/>
        <w:ind w:firstLine="480" w:firstLineChars="200"/>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为应对这一趋势，2024年以来前海陆续开通多条“前海一站达”接驳巴士及跨境专线，累计服务超2万人次。然而，随着跨境交通规模进一步扩大，运营车辆面临“无场可进、无线可排”的现实困境，服务质量与运营效率受到制约。</w:t>
      </w:r>
    </w:p>
    <w:p>
      <w:pPr>
        <w:pStyle w:val="16"/>
        <w:tabs>
          <w:tab w:val="left" w:pos="3495"/>
        </w:tabs>
        <w:spacing w:before="0" w:beforeAutospacing="0" w:after="0" w:afterAutospacing="0" w:line="360" w:lineRule="auto"/>
        <w:ind w:firstLine="480" w:firstLineChars="200"/>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（二）常规公交客流持续下滑，场站面临转型压力。</w:t>
      </w:r>
    </w:p>
    <w:p>
      <w:pPr>
        <w:pStyle w:val="16"/>
        <w:tabs>
          <w:tab w:val="left" w:pos="3495"/>
        </w:tabs>
        <w:spacing w:before="0" w:beforeAutospacing="0" w:after="0" w:afterAutospacing="0" w:line="360" w:lineRule="auto"/>
        <w:ind w:firstLine="480" w:firstLineChars="200"/>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随着深圳市轨道交通网络不断完善（预计2025年底运营里程达634.6公里，车站441座），地面公交客流从疫情前近500万人次/日下降至约350万人次/日，公交分担率由2010年的40%降至2023年的15%。</w:t>
      </w:r>
    </w:p>
    <w:p>
      <w:pPr>
        <w:pStyle w:val="16"/>
        <w:tabs>
          <w:tab w:val="left" w:pos="3495"/>
        </w:tabs>
        <w:spacing w:before="0" w:beforeAutospacing="0" w:after="0" w:afterAutospacing="0" w:line="360" w:lineRule="auto"/>
        <w:ind w:firstLine="480" w:firstLineChars="200"/>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为此，深圳正推动构建“常规+定制”多元公交体系，并修订《大型建筑公交场站配建指引》，提高配建门槛。前海合作区在宝安区、南山区的范围的规划公交场站已基本建成，海洋新城片区的公交场站目前已按新的标准规划。特别是三湾片区规划配建公交首末站42处，总建筑面积11.9万平方米，其中已建7处、在建11处、未建24处，为场站功能重构提供物理空间基础。</w:t>
      </w:r>
    </w:p>
    <w:p>
      <w:pPr>
        <w:pStyle w:val="16"/>
        <w:tabs>
          <w:tab w:val="left" w:pos="3495"/>
        </w:tabs>
        <w:spacing w:before="0" w:beforeAutospacing="0" w:after="0" w:afterAutospacing="0" w:line="360" w:lineRule="auto"/>
        <w:ind w:firstLine="480" w:firstLineChars="200"/>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（三）长途客运市场结构性萎缩，迎来转型契机。</w:t>
      </w:r>
    </w:p>
    <w:p>
      <w:pPr>
        <w:pStyle w:val="16"/>
        <w:tabs>
          <w:tab w:val="left" w:pos="3495"/>
        </w:tabs>
        <w:spacing w:before="0" w:beforeAutospacing="0" w:after="0" w:afterAutospacing="0" w:line="360" w:lineRule="auto"/>
        <w:ind w:firstLine="480" w:firstLineChars="200"/>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受高铁、城际、网约车及跨市公交快速发展影响，深圳长途客运站从高峰期的50余个缩减至目前10余个。福田汽车站停运前日均客流仅约100人，与历史高峰“日均发送旅客达6030人次”形成鲜明对比。</w:t>
      </w:r>
    </w:p>
    <w:p>
      <w:pPr>
        <w:pStyle w:val="16"/>
        <w:tabs>
          <w:tab w:val="left" w:pos="3495"/>
        </w:tabs>
        <w:spacing w:before="0" w:beforeAutospacing="0" w:after="0" w:afterAutospacing="0" w:line="360" w:lineRule="auto"/>
        <w:ind w:firstLine="480" w:firstLineChars="200"/>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近年来，深圳市已有多家汽车客运站相继停业，包括蛇口汽车站、侨社客运站、文锦渡汽车站、福永客运站、西乡汽车站等。福田汽车客运站为配合福田综合交通枢纽升级改造工程，也已于2025年6月3日起暂停营运。</w:t>
      </w:r>
    </w:p>
    <w:p>
      <w:pPr>
        <w:pStyle w:val="16"/>
        <w:tabs>
          <w:tab w:val="left" w:pos="3495"/>
        </w:tabs>
        <w:spacing w:before="0" w:beforeAutospacing="0" w:after="0" w:afterAutospacing="0" w:line="360" w:lineRule="auto"/>
        <w:ind w:firstLine="480" w:firstLineChars="200"/>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2023年8月</w:t>
      </w:r>
      <w:r>
        <w:rPr>
          <w:rFonts w:hint="eastAsia" w:cs="宋体"/>
          <w:snapToGrid w:val="0"/>
          <w:color w:val="000000" w:themeColor="text1"/>
          <w:sz w:val="24"/>
          <w:szCs w:val="24"/>
          <w:lang w:eastAsia="zh-CN"/>
          <w14:textFill>
            <w14:solidFill>
              <w14:schemeClr w14:val="tx1"/>
            </w14:solidFill>
          </w14:textFill>
        </w:rPr>
        <w:t>交通运输部</w:t>
      </w:r>
      <w:r>
        <w:rPr>
          <w:rFonts w:hint="eastAsia" w:ascii="宋体" w:hAnsi="宋体" w:eastAsia="宋体" w:cs="宋体"/>
          <w:snapToGrid w:val="0"/>
          <w:color w:val="000000" w:themeColor="text1"/>
          <w:sz w:val="24"/>
          <w:szCs w:val="24"/>
          <w14:textFill>
            <w14:solidFill>
              <w14:schemeClr w14:val="tx1"/>
            </w14:solidFill>
          </w14:textFill>
        </w:rPr>
        <w:t>联合10个部门发布《关于加快推进汽车客运站转型发展的通知》，客运站需探索功能再造与多元化发展。前海范围内现有机场汽车站与规划前海综合交通枢纽长途客运站，也面临功能重构与空间再利用的迫切需求。</w:t>
      </w:r>
    </w:p>
    <w:p>
      <w:pPr>
        <w:pStyle w:val="16"/>
        <w:tabs>
          <w:tab w:val="left" w:pos="3495"/>
        </w:tabs>
        <w:spacing w:before="0" w:beforeAutospacing="0" w:after="0" w:afterAutospacing="0" w:line="360" w:lineRule="auto"/>
        <w:ind w:firstLine="480" w:firstLineChars="200"/>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综上，有必要开展《前海合作区公交和长途客运场站功能优化评估》，通过系统评估与策略重构，实现场站资源高效配置，为跨境交通、多元出行提供设施保障，并为充电、储能、无人物流、无人驾驶等新型交通基础设施的落地提供空间载体，支撑前海建设智慧、绿色、融合发展的现代化交通服务体系。</w:t>
      </w:r>
    </w:p>
    <w:p>
      <w:pPr>
        <w:pStyle w:val="16"/>
        <w:tabs>
          <w:tab w:val="left" w:pos="3495"/>
        </w:tabs>
        <w:spacing w:before="0" w:beforeAutospacing="0" w:after="0" w:afterAutospacing="0" w:line="360" w:lineRule="auto"/>
        <w:ind w:firstLine="482" w:firstLineChars="200"/>
        <w:jc w:val="both"/>
        <w:rPr>
          <w:rFonts w:ascii="宋体" w:hAnsi="宋体" w:cs="宋体"/>
          <w:b/>
          <w:bCs/>
          <w:snapToGrid w:val="0"/>
          <w:color w:val="000000" w:themeColor="text1"/>
          <w:sz w:val="24"/>
          <w:szCs w:val="24"/>
          <w14:textFill>
            <w14:solidFill>
              <w14:schemeClr w14:val="tx1"/>
            </w14:solidFill>
          </w14:textFill>
        </w:rPr>
      </w:pPr>
      <w:r>
        <w:rPr>
          <w:rFonts w:hint="eastAsia" w:ascii="宋体" w:hAnsi="宋体" w:cs="宋体"/>
          <w:b/>
          <w:bCs/>
          <w:snapToGrid w:val="0"/>
          <w:color w:val="000000" w:themeColor="text1"/>
          <w:sz w:val="24"/>
          <w:szCs w:val="24"/>
          <w:lang w:val="en-US" w:eastAsia="zh-CN"/>
          <w14:textFill>
            <w14:solidFill>
              <w14:schemeClr w14:val="tx1"/>
            </w14:solidFill>
          </w14:textFill>
        </w:rPr>
        <w:t>二、</w:t>
      </w:r>
      <w:r>
        <w:rPr>
          <w:rFonts w:hint="eastAsia" w:ascii="宋体" w:hAnsi="宋体" w:cs="宋体"/>
          <w:b/>
          <w:bCs/>
          <w:snapToGrid w:val="0"/>
          <w:color w:val="000000" w:themeColor="text1"/>
          <w:sz w:val="24"/>
          <w:szCs w:val="24"/>
          <w14:textFill>
            <w14:solidFill>
              <w14:schemeClr w14:val="tx1"/>
            </w14:solidFill>
          </w14:textFill>
        </w:rPr>
        <w:t>项目目标</w:t>
      </w:r>
    </w:p>
    <w:p>
      <w:pPr>
        <w:pStyle w:val="16"/>
        <w:tabs>
          <w:tab w:val="left" w:pos="3495"/>
        </w:tabs>
        <w:spacing w:before="0" w:beforeAutospacing="0" w:after="0" w:afterAutospacing="0" w:line="360" w:lineRule="auto"/>
        <w:ind w:firstLine="480" w:firstLineChars="200"/>
        <w:rPr>
          <w:rFonts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本项目旨在识别前海合作区公交与长途客运场站在新形势下的功能定位，提出场站优化策略与规划调整建议，重点针对未建场站提出功能复合化与规模弹性化方案，为近期建设与规划管理提供技术依据，支撑前海建设智慧、绿色、融合发展的现代化交通服务体系。</w:t>
      </w:r>
    </w:p>
    <w:p>
      <w:pPr>
        <w:pStyle w:val="4"/>
        <w:spacing w:before="0" w:after="0" w:line="360" w:lineRule="auto"/>
        <w:ind w:firstLine="482" w:firstLineChars="200"/>
        <w:rPr>
          <w:rFonts w:hint="eastAsia" w:cs="宋体"/>
          <w:b/>
          <w:bCs/>
          <w:color w:val="000000" w:themeColor="text1"/>
          <w:sz w:val="24"/>
          <w:szCs w:val="24"/>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三、评估范围和规划年限</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（一）评估范围</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前海合作区全域120.56平方公里范围内的公交和长途客运场站。</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（二）评估年限</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本项目评估年限为2026-2030年。</w:t>
      </w:r>
    </w:p>
    <w:p>
      <w:pPr>
        <w:pStyle w:val="4"/>
        <w:spacing w:before="0" w:after="0" w:line="360" w:lineRule="auto"/>
        <w:ind w:firstLine="482" w:firstLineChars="200"/>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四、</w:t>
      </w:r>
      <w:r>
        <w:rPr>
          <w:rFonts w:hint="eastAsia" w:cs="宋体"/>
          <w:b/>
          <w:bCs/>
          <w:color w:val="000000" w:themeColor="text1"/>
          <w:sz w:val="24"/>
          <w:szCs w:val="24"/>
          <w14:textFill>
            <w14:solidFill>
              <w14:schemeClr w14:val="tx1"/>
            </w14:solidFill>
          </w14:textFill>
        </w:rPr>
        <w:t>服务内容</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（一）现状调研与问题诊断</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全面普查前海合作区120.56平方公里范围内所有公交场站、长途客运站、跨境巴士上下客点等设施，建立前海合作区交通场站设施“一张图”数据库。重点识别以下问题：</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1.场站功能使用情况：场站是否仅为公交服务，与跨境通勤、商务出行、旅游包车等新需求能否兼容；同时，评估现有空间与技术条件对未来新型交通设施（如充电桩、储能单元、无人物流节点）的承载潜力。</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2.设施布局与需求关系：与港企港人集聚区（如梦工场、企业公馆）、商业枢纽（万象前海、嘉里中心）是否存在空间错位，接驳服务与需求是否匹配。</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（二）发展趋势和需求预测</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1.研判深港融合背景下跨境通勤、商务往来等出行增长趋势；</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2.分析出行模式向多元化、定制化、高品质化转变的特征，以及无人驾驶、智慧物流等未来交通技术演进对场站配套提出的新需求；</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3.基于人口就业规划与重大项目进展，预测各类交通方式的客流规模、班次需求与停车资源缺口；</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4.规模与布局两方面识别供需矛盾，明确场站冗余与不足区域。</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（三）场站资产与运营管理评估</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cs="宋体"/>
          <w:snapToGrid w:val="0"/>
          <w:color w:val="auto"/>
          <w:sz w:val="24"/>
          <w:szCs w:val="24"/>
          <w:lang w:val="en-US" w:eastAsia="zh-CN"/>
        </w:rPr>
        <w:t>1.</w:t>
      </w:r>
      <w:r>
        <w:rPr>
          <w:rFonts w:hint="eastAsia" w:ascii="宋体" w:hAnsi="宋体" w:cs="宋体"/>
          <w:snapToGrid w:val="0"/>
          <w:color w:val="auto"/>
          <w:sz w:val="24"/>
          <w:szCs w:val="24"/>
        </w:rPr>
        <w:t>系统梳理场站资产的产权归属、使用状态，运营管理效率；</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cs="宋体"/>
          <w:snapToGrid w:val="0"/>
          <w:color w:val="auto"/>
          <w:sz w:val="24"/>
          <w:szCs w:val="24"/>
          <w:lang w:val="en-US" w:eastAsia="zh-CN"/>
        </w:rPr>
        <w:t>2.</w:t>
      </w:r>
      <w:r>
        <w:rPr>
          <w:rFonts w:hint="eastAsia" w:ascii="宋体" w:hAnsi="宋体" w:cs="宋体"/>
          <w:snapToGrid w:val="0"/>
          <w:color w:val="auto"/>
          <w:sz w:val="24"/>
          <w:szCs w:val="24"/>
        </w:rPr>
        <w:t>分析现有场站运营管理模式，评估其在功能复合化、服务多元化背景下的适应性与可持续性；</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cs="宋体"/>
          <w:snapToGrid w:val="0"/>
          <w:color w:val="auto"/>
          <w:sz w:val="24"/>
          <w:szCs w:val="24"/>
          <w:lang w:val="en-US" w:eastAsia="zh-CN"/>
        </w:rPr>
        <w:t>3.</w:t>
      </w:r>
      <w:r>
        <w:rPr>
          <w:rFonts w:hint="eastAsia" w:ascii="宋体" w:hAnsi="宋体" w:cs="宋体"/>
          <w:snapToGrid w:val="0"/>
          <w:color w:val="auto"/>
          <w:sz w:val="24"/>
          <w:szCs w:val="24"/>
        </w:rPr>
        <w:t>评估市场化、智慧化的场站管理创新路径，为功能优化后的高效运营提供制度保障。</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（四）功能优化策略</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1.结合供需分析及资产管理评估，提出场站差异化优化策略：</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2.港企港人集中区域：增设跨境巴士专用停靠区、候车区，并预留配套服务与智慧化调度空间；</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3.商业与公共建筑周边：优化文旅专线、假日专线等接驳设施，兼顾无人物流小车停靠与充电等功能；</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4.公园与公共空间：设置上下客点，强化与慢行系统衔接，并为未来无人驾驶接驳站点预留接口。</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（五）优化建议</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1.既有场站复合利用：推动功能模块化改造，实现公交、跨境巴士、旅游集散等功能弹性转换与共享，并为充电、储能等新型基础设施植入提供空间条件。</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2.规划布局动态优化：加密服务空白区（如深港合作核心区）场站配置，合并或取消冗余设施，提升网络整体效能。</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3.未建场站功能预留：结合《配建指引》修订，在未建场站中预留跨境交通、定制巴士、无人驾驶车辆接驳及无人物流运维等新型功能空间，优化原有规模与设计标准。</w:t>
      </w:r>
    </w:p>
    <w:p>
      <w:pPr>
        <w:pStyle w:val="16"/>
        <w:tabs>
          <w:tab w:val="left" w:pos="3495"/>
        </w:tabs>
        <w:spacing w:before="0" w:beforeAutospacing="0" w:after="0" w:afterAutospacing="0" w:line="360" w:lineRule="auto"/>
        <w:ind w:firstLine="480" w:firstLineChars="200"/>
        <w:rPr>
          <w:rFonts w:ascii="宋体" w:hAnsi="宋体" w:cs="宋体"/>
          <w:snapToGrid w:val="0"/>
          <w:color w:val="auto"/>
          <w:sz w:val="24"/>
          <w:szCs w:val="24"/>
        </w:rPr>
      </w:pPr>
      <w:r>
        <w:rPr>
          <w:rFonts w:hint="eastAsia" w:ascii="宋体" w:hAnsi="宋体" w:cs="宋体"/>
          <w:snapToGrid w:val="0"/>
          <w:color w:val="auto"/>
          <w:sz w:val="24"/>
          <w:szCs w:val="24"/>
        </w:rPr>
        <w:t>4.落实新型设施空间载体要求：积极响应前海新型交通基础设施建设项目谋划，在场站功能优化中明确为充电、储能、无人物流小车、无人驾驶等提供空间载体的具体路径与布局方案。</w:t>
      </w:r>
    </w:p>
    <w:p>
      <w:pPr>
        <w:pStyle w:val="4"/>
        <w:spacing w:before="0" w:after="0" w:line="360" w:lineRule="auto"/>
        <w:ind w:firstLine="482" w:firstLineChars="200"/>
        <w:rPr>
          <w:rFonts w:hint="eastAsia" w:cs="宋体"/>
          <w:b/>
          <w:bCs/>
          <w:color w:val="auto"/>
          <w:sz w:val="24"/>
          <w:szCs w:val="24"/>
        </w:rPr>
      </w:pPr>
      <w:r>
        <w:rPr>
          <w:rFonts w:hint="eastAsia" w:cs="宋体"/>
          <w:b/>
          <w:bCs/>
          <w:color w:val="auto"/>
          <w:sz w:val="24"/>
          <w:szCs w:val="24"/>
          <w:lang w:val="en-US" w:eastAsia="zh-CN"/>
        </w:rPr>
        <w:t>五、工作计划</w:t>
      </w:r>
    </w:p>
    <w:p>
      <w:pPr>
        <w:pStyle w:val="16"/>
        <w:tabs>
          <w:tab w:val="left" w:pos="3495"/>
        </w:tabs>
        <w:spacing w:before="0" w:beforeAutospacing="0" w:after="0" w:afterAutospacing="0" w:line="360" w:lineRule="auto"/>
        <w:ind w:firstLine="480" w:firstLineChars="200"/>
        <w:rPr>
          <w:rFonts w:hint="eastAsia" w:ascii="宋体" w:hAnsi="宋体" w:cs="宋体"/>
          <w:snapToGrid w:val="0"/>
          <w:color w:val="auto"/>
          <w:sz w:val="24"/>
          <w:szCs w:val="24"/>
          <w:lang w:val="en-US" w:eastAsia="zh-CN"/>
        </w:rPr>
      </w:pPr>
      <w:bookmarkStart w:id="41" w:name="_Toc226187701"/>
      <w:r>
        <w:rPr>
          <w:rFonts w:hint="eastAsia" w:cs="宋体"/>
          <w:snapToGrid w:val="0"/>
          <w:color w:val="auto"/>
          <w:sz w:val="24"/>
          <w:szCs w:val="24"/>
          <w:lang w:val="en-US" w:eastAsia="zh-CN"/>
        </w:rPr>
        <w:t>项目服务期限自合同签订之日起12个月内完成</w:t>
      </w:r>
      <w:r>
        <w:rPr>
          <w:rFonts w:hint="eastAsia" w:ascii="宋体" w:hAnsi="宋体" w:cs="宋体"/>
          <w:snapToGrid w:val="0"/>
          <w:color w:val="auto"/>
          <w:sz w:val="24"/>
          <w:szCs w:val="24"/>
          <w:lang w:val="en-US" w:eastAsia="zh-CN"/>
        </w:rPr>
        <w:t>。具体如下：</w:t>
      </w:r>
    </w:p>
    <w:p>
      <w:pPr>
        <w:pStyle w:val="44"/>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表1 项目计划表</w:t>
      </w:r>
    </w:p>
    <w:bookmarkEnd w:id="41"/>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388"/>
        <w:gridCol w:w="3091"/>
        <w:gridCol w:w="1456"/>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16" w:type="dxa"/>
            <w:shd w:val="clear" w:color="auto" w:fill="auto"/>
            <w:vAlign w:val="center"/>
          </w:tcPr>
          <w:p>
            <w:pPr>
              <w:widowControl w:val="0"/>
              <w:adjustRightInd/>
              <w:snapToGrid/>
              <w:spacing w:line="360" w:lineRule="auto"/>
              <w:ind w:left="30" w:leftChars="-100" w:hanging="240" w:hangingChars="100"/>
              <w:jc w:val="center"/>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序号</w:t>
            </w:r>
          </w:p>
        </w:tc>
        <w:tc>
          <w:tcPr>
            <w:tcW w:w="1388" w:type="dxa"/>
            <w:tcBorders>
              <w:bottom w:val="single" w:color="000000" w:sz="4" w:space="0"/>
            </w:tcBorders>
            <w:shd w:val="clear" w:color="auto" w:fill="auto"/>
            <w:vAlign w:val="center"/>
          </w:tcPr>
          <w:p>
            <w:pPr>
              <w:widowControl w:val="0"/>
              <w:adjustRightInd/>
              <w:snapToGrid/>
              <w:spacing w:line="360" w:lineRule="auto"/>
              <w:ind w:firstLine="0" w:firstLineChars="0"/>
              <w:jc w:val="center"/>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工作阶段</w:t>
            </w:r>
          </w:p>
        </w:tc>
        <w:tc>
          <w:tcPr>
            <w:tcW w:w="3091" w:type="dxa"/>
            <w:tcBorders>
              <w:bottom w:val="single" w:color="000000" w:sz="4" w:space="0"/>
            </w:tcBorders>
            <w:shd w:val="clear" w:color="auto" w:fill="auto"/>
            <w:vAlign w:val="center"/>
          </w:tcPr>
          <w:p>
            <w:pPr>
              <w:widowControl w:val="0"/>
              <w:adjustRightInd/>
              <w:snapToGrid/>
              <w:spacing w:line="360" w:lineRule="auto"/>
              <w:ind w:firstLine="0" w:firstLineChars="0"/>
              <w:jc w:val="center"/>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工作内容及成果</w:t>
            </w:r>
          </w:p>
        </w:tc>
        <w:tc>
          <w:tcPr>
            <w:tcW w:w="1456" w:type="dxa"/>
            <w:tcBorders>
              <w:bottom w:val="single" w:color="000000" w:sz="4" w:space="0"/>
            </w:tcBorders>
            <w:shd w:val="clear" w:color="auto" w:fill="auto"/>
            <w:vAlign w:val="center"/>
          </w:tcPr>
          <w:p>
            <w:pPr>
              <w:widowControl w:val="0"/>
              <w:adjustRightInd/>
              <w:snapToGrid/>
              <w:spacing w:line="360" w:lineRule="auto"/>
              <w:ind w:firstLine="0" w:firstLineChars="0"/>
              <w:jc w:val="center"/>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完成时间</w:t>
            </w:r>
          </w:p>
        </w:tc>
        <w:tc>
          <w:tcPr>
            <w:tcW w:w="1771" w:type="dxa"/>
            <w:tcBorders>
              <w:bottom w:val="single" w:color="000000" w:sz="4" w:space="0"/>
            </w:tcBorders>
            <w:shd w:val="clear" w:color="auto" w:fill="auto"/>
            <w:vAlign w:val="center"/>
          </w:tcPr>
          <w:p>
            <w:pPr>
              <w:widowControl w:val="0"/>
              <w:adjustRightInd/>
              <w:snapToGrid/>
              <w:spacing w:line="360" w:lineRule="auto"/>
              <w:ind w:firstLine="0" w:firstLineChars="0"/>
              <w:jc w:val="center"/>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成果验收方式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816"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p>
        </w:tc>
        <w:tc>
          <w:tcPr>
            <w:tcW w:w="1388"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项目启动</w:t>
            </w:r>
          </w:p>
        </w:tc>
        <w:tc>
          <w:tcPr>
            <w:tcW w:w="3091"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启动</w:t>
            </w:r>
            <w:r>
              <w:rPr>
                <w:rFonts w:hint="eastAsia" w:ascii="宋体" w:hAnsi="宋体" w:eastAsia="宋体" w:cs="宋体"/>
                <w:color w:val="auto"/>
                <w:kern w:val="2"/>
                <w:sz w:val="24"/>
                <w:szCs w:val="24"/>
              </w:rPr>
              <w:t>现状调查调研、资料梳理分析。</w:t>
            </w:r>
          </w:p>
        </w:tc>
        <w:tc>
          <w:tcPr>
            <w:tcW w:w="1456"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合同签订后</w:t>
            </w:r>
          </w:p>
        </w:tc>
        <w:tc>
          <w:tcPr>
            <w:tcW w:w="1771"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816"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p>
        </w:tc>
        <w:tc>
          <w:tcPr>
            <w:tcW w:w="1388"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中期成果</w:t>
            </w:r>
          </w:p>
        </w:tc>
        <w:tc>
          <w:tcPr>
            <w:tcW w:w="3091" w:type="dxa"/>
            <w:shd w:val="clear" w:color="auto" w:fill="auto"/>
            <w:vAlign w:val="center"/>
          </w:tcPr>
          <w:p>
            <w:pPr>
              <w:widowControl w:val="0"/>
              <w:tabs>
                <w:tab w:val="left" w:pos="480"/>
              </w:tabs>
              <w:adjustRightInd/>
              <w:snapToGrid/>
              <w:spacing w:line="360" w:lineRule="auto"/>
              <w:ind w:firstLine="0" w:firstLineChars="0"/>
              <w:jc w:val="center"/>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根据现状调查调研、规划</w:t>
            </w:r>
            <w:r>
              <w:rPr>
                <w:rFonts w:hint="eastAsia" w:ascii="宋体" w:hAnsi="宋体" w:eastAsia="宋体" w:cs="宋体"/>
                <w:snapToGrid/>
                <w:color w:val="auto"/>
                <w:kern w:val="2"/>
                <w:sz w:val="24"/>
                <w:szCs w:val="24"/>
                <w:lang w:val="en-US" w:eastAsia="zh-CN"/>
              </w:rPr>
              <w:t>评估</w:t>
            </w:r>
            <w:r>
              <w:rPr>
                <w:rFonts w:hint="eastAsia" w:ascii="宋体" w:hAnsi="宋体" w:eastAsia="宋体" w:cs="宋体"/>
                <w:snapToGrid/>
                <w:color w:val="auto"/>
                <w:kern w:val="2"/>
                <w:sz w:val="24"/>
                <w:szCs w:val="24"/>
              </w:rPr>
              <w:t>分析和发展趋势研判，形成中期成果。</w:t>
            </w:r>
          </w:p>
        </w:tc>
        <w:tc>
          <w:tcPr>
            <w:tcW w:w="1456"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合同签订后6个月</w:t>
            </w:r>
          </w:p>
        </w:tc>
        <w:tc>
          <w:tcPr>
            <w:tcW w:w="1771"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cs="宋体"/>
                <w:color w:val="auto"/>
                <w:kern w:val="2"/>
                <w:sz w:val="24"/>
                <w:szCs w:val="24"/>
                <w:lang w:val="en-US" w:eastAsia="zh-CN"/>
              </w:rPr>
              <w:t>采购人</w:t>
            </w:r>
            <w:r>
              <w:rPr>
                <w:rFonts w:hint="eastAsia" w:ascii="宋体" w:hAnsi="宋体" w:eastAsia="宋体" w:cs="宋体"/>
                <w:color w:val="auto"/>
                <w:kern w:val="2"/>
                <w:sz w:val="24"/>
                <w:szCs w:val="24"/>
              </w:rPr>
              <w:t>主管处室审查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16"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w:t>
            </w:r>
          </w:p>
        </w:tc>
        <w:tc>
          <w:tcPr>
            <w:tcW w:w="1388"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送审成果</w:t>
            </w:r>
          </w:p>
        </w:tc>
        <w:tc>
          <w:tcPr>
            <w:tcW w:w="3091"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rPr>
              <w:t>根据中期成果审查意见修改完善编制送审成果，征求局相关</w:t>
            </w:r>
            <w:r>
              <w:rPr>
                <w:rFonts w:hint="eastAsia" w:ascii="宋体" w:hAnsi="宋体" w:eastAsia="宋体" w:cs="宋体"/>
                <w:snapToGrid/>
                <w:color w:val="auto"/>
                <w:kern w:val="2"/>
                <w:sz w:val="24"/>
                <w:szCs w:val="24"/>
                <w:lang w:val="en-US" w:eastAsia="zh-CN"/>
              </w:rPr>
              <w:t>处司</w:t>
            </w:r>
            <w:r>
              <w:rPr>
                <w:rFonts w:hint="eastAsia" w:ascii="宋体" w:hAnsi="宋体" w:eastAsia="宋体" w:cs="宋体"/>
                <w:snapToGrid/>
                <w:color w:val="auto"/>
                <w:kern w:val="2"/>
                <w:sz w:val="24"/>
                <w:szCs w:val="24"/>
              </w:rPr>
              <w:t>意见</w:t>
            </w: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组织</w:t>
            </w:r>
            <w:r>
              <w:rPr>
                <w:rFonts w:hint="eastAsia" w:ascii="宋体" w:hAnsi="宋体" w:eastAsia="宋体" w:cs="宋体"/>
                <w:snapToGrid/>
                <w:color w:val="auto"/>
                <w:kern w:val="2"/>
                <w:sz w:val="24"/>
                <w:szCs w:val="24"/>
                <w:lang w:eastAsia="zh-CN"/>
              </w:rPr>
              <w:t>召开专家评审会，</w:t>
            </w:r>
          </w:p>
        </w:tc>
        <w:tc>
          <w:tcPr>
            <w:tcW w:w="1456"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合同签订后</w:t>
            </w:r>
            <w:r>
              <w:rPr>
                <w:rFonts w:hint="eastAsia" w:ascii="宋体" w:hAnsi="宋体" w:eastAsia="宋体" w:cs="宋体"/>
                <w:color w:val="auto"/>
                <w:kern w:val="2"/>
                <w:sz w:val="24"/>
                <w:szCs w:val="24"/>
                <w:lang w:val="en-US" w:eastAsia="zh-CN"/>
              </w:rPr>
              <w:t>9</w:t>
            </w:r>
            <w:r>
              <w:rPr>
                <w:rFonts w:hint="eastAsia" w:ascii="宋体" w:hAnsi="宋体" w:eastAsia="宋体" w:cs="宋体"/>
                <w:color w:val="auto"/>
                <w:kern w:val="2"/>
                <w:sz w:val="24"/>
                <w:szCs w:val="24"/>
              </w:rPr>
              <w:t>个月</w:t>
            </w:r>
          </w:p>
        </w:tc>
        <w:tc>
          <w:tcPr>
            <w:tcW w:w="1771"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通过</w:t>
            </w:r>
            <w:r>
              <w:rPr>
                <w:rFonts w:hint="eastAsia" w:ascii="宋体" w:hAnsi="宋体" w:eastAsia="宋体" w:cs="宋体"/>
                <w:color w:val="auto"/>
                <w:kern w:val="2"/>
                <w:sz w:val="24"/>
                <w:szCs w:val="24"/>
              </w:rPr>
              <w:t>专家评审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816"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w:t>
            </w:r>
          </w:p>
        </w:tc>
        <w:tc>
          <w:tcPr>
            <w:tcW w:w="1388"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最终成果</w:t>
            </w:r>
          </w:p>
        </w:tc>
        <w:tc>
          <w:tcPr>
            <w:tcW w:w="3091"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根据送审成果意见，修改完善形成最终成果，按程序</w:t>
            </w:r>
            <w:r>
              <w:rPr>
                <w:rFonts w:hint="eastAsia" w:ascii="宋体" w:hAnsi="宋体" w:eastAsia="宋体" w:cs="宋体"/>
                <w:snapToGrid/>
                <w:color w:val="auto"/>
                <w:kern w:val="2"/>
                <w:sz w:val="24"/>
                <w:szCs w:val="24"/>
                <w:lang w:val="en-US" w:eastAsia="zh-CN"/>
              </w:rPr>
              <w:t>报审</w:t>
            </w:r>
            <w:r>
              <w:rPr>
                <w:rFonts w:hint="eastAsia" w:ascii="宋体" w:hAnsi="宋体" w:eastAsia="宋体" w:cs="宋体"/>
                <w:snapToGrid/>
                <w:color w:val="auto"/>
                <w:kern w:val="2"/>
                <w:sz w:val="24"/>
                <w:szCs w:val="24"/>
              </w:rPr>
              <w:t>。</w:t>
            </w:r>
          </w:p>
        </w:tc>
        <w:tc>
          <w:tcPr>
            <w:tcW w:w="1456"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合同签订后1</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个月</w:t>
            </w:r>
          </w:p>
        </w:tc>
        <w:tc>
          <w:tcPr>
            <w:tcW w:w="1771" w:type="dxa"/>
            <w:shd w:val="clear" w:color="auto" w:fill="auto"/>
            <w:vAlign w:val="center"/>
          </w:tcPr>
          <w:p>
            <w:pPr>
              <w:widowControl w:val="0"/>
              <w:adjustRightInd/>
              <w:snapToGrid/>
              <w:spacing w:line="360" w:lineRule="auto"/>
              <w:ind w:firstLine="0" w:firstLineChars="0"/>
              <w:jc w:val="center"/>
              <w:rPr>
                <w:rFonts w:hint="eastAsia"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采购人</w:t>
            </w:r>
            <w:r>
              <w:rPr>
                <w:rFonts w:hint="eastAsia" w:ascii="宋体" w:hAnsi="宋体" w:eastAsia="宋体" w:cs="宋体"/>
                <w:color w:val="auto"/>
                <w:kern w:val="2"/>
                <w:sz w:val="24"/>
                <w:szCs w:val="24"/>
                <w:lang w:val="en-US" w:eastAsia="zh-CN"/>
              </w:rPr>
              <w:t>验收通过</w:t>
            </w:r>
          </w:p>
        </w:tc>
      </w:tr>
    </w:tbl>
    <w:p>
      <w:pPr>
        <w:pStyle w:val="29"/>
        <w:tabs>
          <w:tab w:val="left" w:pos="720"/>
        </w:tabs>
        <w:autoSpaceDE w:val="0"/>
        <w:autoSpaceDN w:val="0"/>
        <w:adjustRightInd w:val="0"/>
        <w:spacing w:line="360" w:lineRule="auto"/>
        <w:ind w:right="17" w:firstLine="422"/>
        <w:jc w:val="left"/>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六</w:t>
      </w:r>
      <w:r>
        <w:rPr>
          <w:rFonts w:hint="eastAsia" w:ascii="宋体" w:hAnsi="宋体" w:eastAsia="宋体" w:cs="宋体"/>
          <w:b/>
          <w:color w:val="000000" w:themeColor="text1"/>
          <w:sz w:val="24"/>
          <w:szCs w:val="24"/>
          <w14:textFill>
            <w14:solidFill>
              <w14:schemeClr w14:val="tx1"/>
            </w14:solidFill>
          </w14:textFill>
        </w:rPr>
        <w:t>、商务要求</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42" w:name="_Toc16195"/>
      <w:bookmarkStart w:id="43" w:name="_Toc6017"/>
      <w:r>
        <w:rPr>
          <w:rFonts w:hint="eastAsia" w:ascii="宋体" w:hAnsi="宋体" w:eastAsia="宋体" w:cs="宋体"/>
          <w:b/>
          <w:bCs/>
          <w:color w:val="000000" w:themeColor="text1"/>
          <w:sz w:val="24"/>
          <w:szCs w:val="24"/>
          <w14:textFill>
            <w14:solidFill>
              <w14:schemeClr w14:val="tx1"/>
            </w14:solidFill>
          </w14:textFill>
        </w:rPr>
        <w:t>（一）服务期限</w:t>
      </w:r>
      <w:bookmarkEnd w:id="42"/>
      <w:bookmarkEnd w:id="43"/>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项目服务期限自合同签订之日起12个月内完成</w:t>
      </w:r>
      <w:r>
        <w:rPr>
          <w:rFonts w:hint="eastAsia" w:ascii="宋体" w:hAnsi="宋体" w:eastAsia="宋体" w:cs="宋体"/>
          <w:color w:val="000000" w:themeColor="text1"/>
          <w:sz w:val="24"/>
          <w:szCs w:val="24"/>
          <w14:textFill>
            <w14:solidFill>
              <w14:schemeClr w14:val="tx1"/>
            </w14:solidFill>
          </w14:textFill>
        </w:rPr>
        <w:t>。</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44" w:name="_Toc10463"/>
      <w:bookmarkStart w:id="45" w:name="_Toc15471"/>
      <w:r>
        <w:rPr>
          <w:rFonts w:hint="eastAsia" w:ascii="宋体" w:hAnsi="宋体" w:eastAsia="宋体" w:cs="宋体"/>
          <w:b/>
          <w:bCs/>
          <w:color w:val="000000" w:themeColor="text1"/>
          <w:sz w:val="24"/>
          <w:szCs w:val="24"/>
          <w14:textFill>
            <w14:solidFill>
              <w14:schemeClr w14:val="tx1"/>
            </w14:solidFill>
          </w14:textFill>
        </w:rPr>
        <w:t>（二）服务地点</w:t>
      </w:r>
      <w:bookmarkEnd w:id="44"/>
      <w:bookmarkEnd w:id="45"/>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深圳市前海深港现代服务业合作区。</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46" w:name="_Toc368"/>
      <w:bookmarkStart w:id="47" w:name="_Toc32196"/>
      <w:r>
        <w:rPr>
          <w:rFonts w:hint="eastAsia" w:ascii="宋体" w:hAnsi="宋体" w:eastAsia="宋体" w:cs="宋体"/>
          <w:b/>
          <w:bCs/>
          <w:color w:val="000000" w:themeColor="text1"/>
          <w:sz w:val="24"/>
          <w:szCs w:val="24"/>
          <w14:textFill>
            <w14:solidFill>
              <w14:schemeClr w14:val="tx1"/>
            </w14:solidFill>
          </w14:textFill>
        </w:rPr>
        <w:t>（三）成果要求及</w:t>
      </w:r>
      <w:r>
        <w:rPr>
          <w:rFonts w:hint="eastAsia" w:ascii="宋体" w:hAnsi="宋体" w:eastAsia="宋体" w:cs="宋体"/>
          <w:b/>
          <w:bCs/>
          <w:color w:val="000000" w:themeColor="text1"/>
          <w:sz w:val="24"/>
          <w:szCs w:val="24"/>
          <w:lang w:eastAsia="zh-CN"/>
          <w14:textFill>
            <w14:solidFill>
              <w14:schemeClr w14:val="tx1"/>
            </w14:solidFill>
          </w14:textFill>
        </w:rPr>
        <w:t>验收方式</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1.成果内容要求如下（包括但不限于以下内容）：</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《前海合作区新形势下长途客运场站和公交场站功能优化评估》项目成果由评估报告及相关图纸组成。提交成果要求为：评估报告及图集4份、各阶段汇报PPT及光盘存档电子文件2套。</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验收方式</w:t>
      </w:r>
      <w:r>
        <w:rPr>
          <w:rFonts w:hint="eastAsia" w:ascii="宋体" w:hAnsi="宋体" w:eastAsia="宋体" w:cs="宋体"/>
          <w:color w:val="000000" w:themeColor="text1"/>
          <w:sz w:val="24"/>
          <w:szCs w:val="24"/>
          <w:lang w:val="en-US" w:eastAsia="zh-CN"/>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最终成果验收合格的标志为：</w:t>
      </w:r>
      <w:r>
        <w:rPr>
          <w:rFonts w:hint="eastAsia" w:ascii="宋体" w:hAnsi="宋体" w:cs="宋体"/>
          <w:color w:val="auto"/>
          <w:kern w:val="2"/>
          <w:sz w:val="24"/>
          <w:szCs w:val="24"/>
          <w:lang w:val="en-US" w:eastAsia="zh-CN"/>
        </w:rPr>
        <w:t>采购人</w:t>
      </w:r>
      <w:r>
        <w:rPr>
          <w:rFonts w:hint="eastAsia" w:ascii="宋体" w:hAnsi="宋体" w:cs="宋体"/>
          <w:color w:val="000000" w:themeColor="text1"/>
          <w:sz w:val="24"/>
          <w:szCs w:val="24"/>
          <w:lang w:val="en-US" w:eastAsia="zh-CN"/>
          <w14:textFill>
            <w14:solidFill>
              <w14:schemeClr w14:val="tx1"/>
            </w14:solidFill>
          </w14:textFill>
        </w:rPr>
        <w:t>验收通过</w:t>
      </w:r>
      <w:r>
        <w:rPr>
          <w:rFonts w:hint="eastAsia" w:ascii="宋体" w:hAnsi="宋体" w:eastAsia="宋体" w:cs="宋体"/>
          <w:color w:val="000000" w:themeColor="text1"/>
          <w:sz w:val="24"/>
          <w:szCs w:val="24"/>
          <w14:textFill>
            <w14:solidFill>
              <w14:schemeClr w14:val="tx1"/>
            </w14:solidFill>
          </w14:textFill>
        </w:rPr>
        <w:t>。</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付款方式</w:t>
      </w:r>
      <w:bookmarkEnd w:id="46"/>
      <w:bookmarkEnd w:id="47"/>
    </w:p>
    <w:p>
      <w:pPr>
        <w:pStyle w:val="16"/>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1.项目资金由采购人分4期支付至中标人指定银行账户：</w:t>
      </w:r>
    </w:p>
    <w:p>
      <w:pPr>
        <w:pStyle w:val="16"/>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（1）第1期：合同签订后15个工作日内，中标人向采购人提出付款申请，采购人向中标人支付总价款的</w:t>
      </w:r>
      <w:r>
        <w:rPr>
          <w:rFonts w:hint="eastAsia" w:cs="宋体"/>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2"/>
          <w:sz w:val="24"/>
          <w:szCs w:val="24"/>
          <w:highlight w:val="none"/>
          <w14:textFill>
            <w14:solidFill>
              <w14:schemeClr w14:val="tx1"/>
            </w14:solidFill>
          </w14:textFill>
        </w:rPr>
        <w:t>0%；</w:t>
      </w:r>
    </w:p>
    <w:p>
      <w:pPr>
        <w:pStyle w:val="16"/>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（2）第2期：中标人</w:t>
      </w:r>
      <w:r>
        <w:rPr>
          <w:rFonts w:hint="eastAsia" w:ascii="宋体" w:hAnsi="宋体" w:cs="宋体"/>
          <w:color w:val="000000" w:themeColor="text1"/>
          <w:sz w:val="24"/>
          <w:highlight w:val="none"/>
          <w:lang w:eastAsia="zh-CN"/>
          <w14:textFill>
            <w14:solidFill>
              <w14:schemeClr w14:val="tx1"/>
            </w14:solidFill>
          </w14:textFill>
        </w:rPr>
        <w:t>完成并提交中期成果</w:t>
      </w:r>
      <w:r>
        <w:rPr>
          <w:rFonts w:hint="eastAsia" w:ascii="宋体" w:hAnsi="宋体" w:eastAsia="宋体" w:cs="宋体"/>
          <w:color w:val="000000" w:themeColor="text1"/>
          <w:sz w:val="24"/>
          <w:highlight w:val="none"/>
          <w14:textFill>
            <w14:solidFill>
              <w14:schemeClr w14:val="tx1"/>
            </w14:solidFill>
          </w14:textFill>
        </w:rPr>
        <w:t>，且</w:t>
      </w:r>
      <w:r>
        <w:rPr>
          <w:rFonts w:hint="eastAsia" w:ascii="宋体" w:hAnsi="宋体" w:cs="宋体"/>
          <w:color w:val="000000" w:themeColor="text1"/>
          <w:sz w:val="24"/>
          <w:highlight w:val="none"/>
          <w:lang w:val="en-US" w:eastAsia="zh-CN"/>
          <w14:textFill>
            <w14:solidFill>
              <w14:schemeClr w14:val="tx1"/>
            </w14:solidFill>
          </w14:textFill>
        </w:rPr>
        <w:t>中期</w:t>
      </w:r>
      <w:r>
        <w:rPr>
          <w:rFonts w:hint="eastAsia" w:ascii="宋体" w:hAnsi="宋体" w:eastAsia="宋体" w:cs="宋体"/>
          <w:color w:val="000000" w:themeColor="text1"/>
          <w:sz w:val="24"/>
          <w:highlight w:val="none"/>
          <w14:textFill>
            <w14:solidFill>
              <w14:schemeClr w14:val="tx1"/>
            </w14:solidFill>
          </w14:textFill>
        </w:rPr>
        <w:t>成果</w:t>
      </w:r>
      <w:r>
        <w:rPr>
          <w:rFonts w:hint="eastAsia" w:ascii="宋体" w:hAnsi="宋体" w:cs="宋体"/>
          <w:color w:val="000000" w:themeColor="text1"/>
          <w:sz w:val="24"/>
          <w:highlight w:val="none"/>
          <w:lang w:eastAsia="zh-CN"/>
          <w14:textFill>
            <w14:solidFill>
              <w14:schemeClr w14:val="tx1"/>
            </w14:solidFill>
          </w14:textFill>
        </w:rPr>
        <w:t>通过第二阶段成果</w:t>
      </w:r>
      <w:r>
        <w:rPr>
          <w:rFonts w:hint="eastAsia" w:ascii="宋体" w:hAnsi="宋体" w:eastAsia="宋体" w:cs="宋体"/>
          <w:color w:val="000000" w:themeColor="text1"/>
          <w:sz w:val="24"/>
          <w:highlight w:val="none"/>
          <w14:textFill>
            <w14:solidFill>
              <w14:schemeClr w14:val="tx1"/>
            </w14:solidFill>
          </w14:textFill>
        </w:rPr>
        <w:t>验收后，</w:t>
      </w:r>
      <w:r>
        <w:rPr>
          <w:rFonts w:hint="eastAsia" w:ascii="宋体" w:hAnsi="宋体" w:eastAsia="宋体" w:cs="宋体"/>
          <w:color w:val="000000" w:themeColor="text1"/>
          <w:kern w:val="2"/>
          <w:sz w:val="24"/>
          <w:szCs w:val="24"/>
          <w:highlight w:val="none"/>
          <w14:textFill>
            <w14:solidFill>
              <w14:schemeClr w14:val="tx1"/>
            </w14:solidFill>
          </w14:textFill>
        </w:rPr>
        <w:t>中标人向采购人提出付款申请，采购人向中标人支付总价款的</w:t>
      </w:r>
      <w:r>
        <w:rPr>
          <w:rFonts w:hint="eastAsia" w:cs="宋体"/>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14:textFill>
            <w14:solidFill>
              <w14:schemeClr w14:val="tx1"/>
            </w14:solidFill>
          </w14:textFill>
        </w:rPr>
        <w:t>0%；</w:t>
      </w:r>
    </w:p>
    <w:p>
      <w:pPr>
        <w:pStyle w:val="16"/>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（3）第3期：中标人</w:t>
      </w:r>
      <w:r>
        <w:rPr>
          <w:rFonts w:hint="eastAsia" w:ascii="宋体" w:hAnsi="宋体" w:cs="宋体"/>
          <w:color w:val="000000" w:themeColor="text1"/>
          <w:sz w:val="24"/>
          <w:highlight w:val="none"/>
          <w:lang w:eastAsia="zh-CN"/>
          <w14:textFill>
            <w14:solidFill>
              <w14:schemeClr w14:val="tx1"/>
            </w14:solidFill>
          </w14:textFill>
        </w:rPr>
        <w:t>完成并提交送审成果</w:t>
      </w:r>
      <w:r>
        <w:rPr>
          <w:rFonts w:hint="eastAsia" w:ascii="宋体" w:hAnsi="宋体" w:eastAsia="宋体" w:cs="宋体"/>
          <w:color w:val="000000" w:themeColor="text1"/>
          <w:sz w:val="24"/>
          <w:highlight w:val="none"/>
          <w14:textFill>
            <w14:solidFill>
              <w14:schemeClr w14:val="tx1"/>
            </w14:solidFill>
          </w14:textFill>
        </w:rPr>
        <w:t>，且</w:t>
      </w:r>
      <w:r>
        <w:rPr>
          <w:rFonts w:hint="eastAsia" w:ascii="宋体" w:hAnsi="宋体" w:cs="宋体"/>
          <w:color w:val="000000" w:themeColor="text1"/>
          <w:sz w:val="24"/>
          <w:highlight w:val="none"/>
          <w:lang w:val="en-US" w:eastAsia="zh-CN"/>
          <w14:textFill>
            <w14:solidFill>
              <w14:schemeClr w14:val="tx1"/>
            </w14:solidFill>
          </w14:textFill>
        </w:rPr>
        <w:t>送审</w:t>
      </w:r>
      <w:r>
        <w:rPr>
          <w:rFonts w:hint="eastAsia" w:ascii="宋体" w:hAnsi="宋体" w:eastAsia="宋体" w:cs="宋体"/>
          <w:color w:val="000000" w:themeColor="text1"/>
          <w:sz w:val="24"/>
          <w:highlight w:val="none"/>
          <w14:textFill>
            <w14:solidFill>
              <w14:schemeClr w14:val="tx1"/>
            </w14:solidFill>
          </w14:textFill>
        </w:rPr>
        <w:t>成果</w:t>
      </w:r>
      <w:r>
        <w:rPr>
          <w:rFonts w:hint="eastAsia" w:ascii="宋体" w:hAnsi="宋体" w:cs="宋体"/>
          <w:color w:val="000000" w:themeColor="text1"/>
          <w:sz w:val="24"/>
          <w:highlight w:val="none"/>
          <w:lang w:val="en-US" w:eastAsia="zh-CN"/>
          <w14:textFill>
            <w14:solidFill>
              <w14:schemeClr w14:val="tx1"/>
            </w14:solidFill>
          </w14:textFill>
        </w:rPr>
        <w:t>通过</w:t>
      </w:r>
      <w:r>
        <w:rPr>
          <w:rFonts w:hint="eastAsia" w:ascii="宋体" w:hAnsi="宋体" w:cs="宋体"/>
          <w:color w:val="000000" w:themeColor="text1"/>
          <w:sz w:val="24"/>
          <w:highlight w:val="none"/>
          <w:lang w:eastAsia="zh-CN"/>
          <w14:textFill>
            <w14:solidFill>
              <w14:schemeClr w14:val="tx1"/>
            </w14:solidFill>
          </w14:textFill>
        </w:rPr>
        <w:t>第三阶段成果</w:t>
      </w:r>
      <w:r>
        <w:rPr>
          <w:rFonts w:hint="eastAsia" w:ascii="宋体" w:hAnsi="宋体" w:eastAsia="宋体" w:cs="宋体"/>
          <w:color w:val="000000" w:themeColor="text1"/>
          <w:sz w:val="24"/>
          <w:highlight w:val="none"/>
          <w14:textFill>
            <w14:solidFill>
              <w14:schemeClr w14:val="tx1"/>
            </w14:solidFill>
          </w14:textFill>
        </w:rPr>
        <w:t>验收后，</w:t>
      </w:r>
      <w:r>
        <w:rPr>
          <w:rFonts w:hint="eastAsia" w:ascii="宋体" w:hAnsi="宋体" w:eastAsia="宋体" w:cs="宋体"/>
          <w:color w:val="000000" w:themeColor="text1"/>
          <w:kern w:val="2"/>
          <w:sz w:val="24"/>
          <w:szCs w:val="24"/>
          <w:highlight w:val="none"/>
          <w14:textFill>
            <w14:solidFill>
              <w14:schemeClr w14:val="tx1"/>
            </w14:solidFill>
          </w14:textFill>
        </w:rPr>
        <w:t>中标人向采购人提出付款申请，采购人向中标人支付总价款的30%</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p>
    <w:p>
      <w:pPr>
        <w:pStyle w:val="16"/>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（4）第4期：中标人</w:t>
      </w:r>
      <w:r>
        <w:rPr>
          <w:rFonts w:hint="eastAsia" w:ascii="宋体" w:hAnsi="宋体" w:cs="宋体"/>
          <w:color w:val="000000" w:themeColor="text1"/>
          <w:sz w:val="24"/>
          <w:highlight w:val="none"/>
          <w:lang w:eastAsia="zh-CN"/>
          <w14:textFill>
            <w14:solidFill>
              <w14:schemeClr w14:val="tx1"/>
            </w14:solidFill>
          </w14:textFill>
        </w:rPr>
        <w:t>完成并提交最终成果</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且</w:t>
      </w:r>
      <w:r>
        <w:rPr>
          <w:rFonts w:hint="eastAsia" w:ascii="宋体" w:hAnsi="宋体" w:eastAsia="宋体" w:cs="宋体"/>
          <w:color w:val="000000" w:themeColor="text1"/>
          <w:sz w:val="24"/>
          <w:highlight w:val="none"/>
          <w14:textFill>
            <w14:solidFill>
              <w14:schemeClr w14:val="tx1"/>
            </w14:solidFill>
          </w14:textFill>
        </w:rPr>
        <w:t>最终成果</w:t>
      </w:r>
      <w:r>
        <w:rPr>
          <w:rFonts w:hint="eastAsia" w:ascii="宋体" w:hAnsi="宋体" w:cs="宋体"/>
          <w:color w:val="000000" w:themeColor="text1"/>
          <w:sz w:val="24"/>
          <w:highlight w:val="none"/>
          <w:lang w:val="en-US" w:eastAsia="zh-CN"/>
          <w14:textFill>
            <w14:solidFill>
              <w14:schemeClr w14:val="tx1"/>
            </w14:solidFill>
          </w14:textFill>
        </w:rPr>
        <w:t>通过</w:t>
      </w:r>
      <w:r>
        <w:rPr>
          <w:rFonts w:hint="eastAsia" w:ascii="宋体" w:hAnsi="宋体" w:cs="宋体"/>
          <w:color w:val="000000" w:themeColor="text1"/>
          <w:sz w:val="24"/>
          <w:highlight w:val="none"/>
          <w:lang w:eastAsia="zh-CN"/>
          <w14:textFill>
            <w14:solidFill>
              <w14:schemeClr w14:val="tx1"/>
            </w14:solidFill>
          </w14:textFill>
        </w:rPr>
        <w:t>第</w:t>
      </w:r>
      <w:r>
        <w:rPr>
          <w:rFonts w:hint="eastAsia" w:cs="宋体"/>
          <w:color w:val="000000" w:themeColor="text1"/>
          <w:sz w:val="24"/>
          <w:highlight w:val="none"/>
          <w:lang w:val="en-US" w:eastAsia="zh-CN"/>
          <w14:textFill>
            <w14:solidFill>
              <w14:schemeClr w14:val="tx1"/>
            </w14:solidFill>
          </w14:textFill>
        </w:rPr>
        <w:t>四</w:t>
      </w:r>
      <w:r>
        <w:rPr>
          <w:rFonts w:hint="eastAsia" w:ascii="宋体" w:hAnsi="宋体" w:cs="宋体"/>
          <w:color w:val="000000" w:themeColor="text1"/>
          <w:sz w:val="24"/>
          <w:highlight w:val="none"/>
          <w:lang w:eastAsia="zh-CN"/>
          <w14:textFill>
            <w14:solidFill>
              <w14:schemeClr w14:val="tx1"/>
            </w14:solidFill>
          </w14:textFill>
        </w:rPr>
        <w:t>阶段成果</w:t>
      </w:r>
      <w:r>
        <w:rPr>
          <w:rFonts w:hint="eastAsia" w:ascii="宋体" w:hAnsi="宋体" w:eastAsia="宋体" w:cs="宋体"/>
          <w:color w:val="000000" w:themeColor="text1"/>
          <w:sz w:val="24"/>
          <w:highlight w:val="none"/>
          <w14:textFill>
            <w14:solidFill>
              <w14:schemeClr w14:val="tx1"/>
            </w14:solidFill>
          </w14:textFill>
        </w:rPr>
        <w:t>验收后，</w:t>
      </w:r>
      <w:r>
        <w:rPr>
          <w:rFonts w:hint="eastAsia" w:ascii="宋体" w:hAnsi="宋体" w:eastAsia="宋体" w:cs="宋体"/>
          <w:color w:val="000000" w:themeColor="text1"/>
          <w:kern w:val="2"/>
          <w:sz w:val="24"/>
          <w:szCs w:val="24"/>
          <w:highlight w:val="none"/>
          <w14:textFill>
            <w14:solidFill>
              <w14:schemeClr w14:val="tx1"/>
            </w14:solidFill>
          </w14:textFill>
        </w:rPr>
        <w:t>中标人向采购人提出付款申请，采购人向中标人支付总价款的20%。</w:t>
      </w:r>
    </w:p>
    <w:p>
      <w:pPr>
        <w:pStyle w:val="16"/>
        <w:spacing w:before="0" w:beforeAutospacing="0" w:after="0" w:afterAutospacing="0"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上述每期款项均在满足付款条件，且采购人收到中标人开具的载明相应金额的合格发票后15个工作日内付至中标人指定银行账户。如未及时收到发票，则采购人相应付款时间顺延。若因采购人付款审批影响支付进度，请中标人予以谅解，并不得就此向采购人索赔</w:t>
      </w:r>
      <w:r>
        <w:rPr>
          <w:rFonts w:hint="eastAsia" w:ascii="宋体" w:hAnsi="宋体" w:eastAsia="宋体" w:cs="宋体"/>
          <w:color w:val="000000" w:themeColor="text1"/>
          <w:kern w:val="2"/>
          <w:sz w:val="24"/>
          <w:szCs w:val="24"/>
          <w14:textFill>
            <w14:solidFill>
              <w14:schemeClr w14:val="tx1"/>
            </w14:solidFill>
          </w14:textFill>
        </w:rPr>
        <w:t>。</w:t>
      </w:r>
    </w:p>
    <w:p>
      <w:pPr>
        <w:spacing w:line="360" w:lineRule="auto"/>
        <w:ind w:firstLine="482" w:firstLineChars="200"/>
        <w:outlineLvl w:val="2"/>
        <w:rPr>
          <w:rFonts w:hint="eastAsia" w:ascii="宋体" w:hAnsi="宋体" w:eastAsia="宋体" w:cs="宋体"/>
          <w:b/>
          <w:color w:val="000000" w:themeColor="text1"/>
          <w:sz w:val="24"/>
          <w:szCs w:val="24"/>
          <w14:textFill>
            <w14:solidFill>
              <w14:schemeClr w14:val="tx1"/>
            </w14:solidFill>
          </w14:textFill>
        </w:rPr>
      </w:pPr>
      <w:bookmarkStart w:id="48" w:name="_Toc16091"/>
      <w:bookmarkStart w:id="49" w:name="_Toc16130"/>
      <w:r>
        <w:rPr>
          <w:rFonts w:hint="eastAsia" w:ascii="宋体" w:hAnsi="宋体" w:eastAsia="宋体" w:cs="宋体"/>
          <w:b/>
          <w:color w:val="000000" w:themeColor="text1"/>
          <w:sz w:val="24"/>
          <w:szCs w:val="24"/>
          <w14:textFill>
            <w14:solidFill>
              <w14:schemeClr w14:val="tx1"/>
            </w14:solidFill>
          </w14:textFill>
        </w:rPr>
        <w:t>（五）投标报价</w:t>
      </w:r>
      <w:bookmarkEnd w:id="48"/>
      <w:bookmarkEnd w:id="49"/>
    </w:p>
    <w:p>
      <w:pPr>
        <w:pStyle w:val="7"/>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服务费采用包干制，应包括服务成本、法定税费和企业的利润等为完成本项目服务所发生的全部相关费用。由企业根据招标文件所提供的资料自行测算投标报价；由企业根据招标文件所提供的资料自行测算投标报价；一经中标，投标报价总价作为中标单位与采购人</w:t>
      </w:r>
      <w:r>
        <w:rPr>
          <w:rFonts w:hint="eastAsia" w:ascii="宋体" w:hAnsi="宋体" w:cs="宋体"/>
          <w:color w:val="000000" w:themeColor="text1"/>
          <w:sz w:val="24"/>
          <w:szCs w:val="24"/>
          <w:lang w:eastAsia="zh-CN"/>
          <w14:textFill>
            <w14:solidFill>
              <w14:schemeClr w14:val="tx1"/>
            </w14:solidFill>
          </w14:textFill>
        </w:rPr>
        <w:t>签订</w:t>
      </w:r>
      <w:r>
        <w:rPr>
          <w:rFonts w:hint="eastAsia" w:ascii="宋体" w:hAnsi="宋体" w:eastAsia="宋体" w:cs="宋体"/>
          <w:color w:val="000000" w:themeColor="text1"/>
          <w:sz w:val="24"/>
          <w:szCs w:val="24"/>
          <w14:textFill>
            <w14:solidFill>
              <w14:schemeClr w14:val="tx1"/>
            </w14:solidFill>
          </w14:textFill>
        </w:rPr>
        <w:t>的合同金额，在合同实施期间，除另签补充合同外，不接受中标人以任何理由、任何名目提出增加费用的要求。</w:t>
      </w:r>
    </w:p>
    <w:p>
      <w:pPr>
        <w:pStyle w:val="7"/>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pStyle w:val="7"/>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pStyle w:val="7"/>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pStyle w:val="7"/>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50" w:name="_Toc10430"/>
      <w:bookmarkStart w:id="51" w:name="_Toc7539"/>
      <w:r>
        <w:rPr>
          <w:rFonts w:hint="eastAsia" w:ascii="宋体" w:hAnsi="宋体" w:eastAsia="宋体" w:cs="宋体"/>
          <w:b/>
          <w:bCs/>
          <w:color w:val="000000" w:themeColor="text1"/>
          <w:sz w:val="24"/>
          <w:szCs w:val="24"/>
          <w14:textFill>
            <w14:solidFill>
              <w14:schemeClr w14:val="tx1"/>
            </w14:solidFill>
          </w14:textFill>
        </w:rPr>
        <w:t>（六）</w:t>
      </w:r>
      <w:bookmarkStart w:id="52" w:name="OLE_LINK11"/>
      <w:r>
        <w:rPr>
          <w:rFonts w:hint="eastAsia" w:ascii="宋体" w:hAnsi="宋体" w:eastAsia="宋体" w:cs="宋体"/>
          <w:b/>
          <w:bCs/>
          <w:color w:val="000000" w:themeColor="text1"/>
          <w:sz w:val="24"/>
          <w:szCs w:val="24"/>
          <w14:textFill>
            <w14:solidFill>
              <w14:schemeClr w14:val="tx1"/>
            </w14:solidFill>
          </w14:textFill>
        </w:rPr>
        <w:t>知识产权</w:t>
      </w:r>
      <w:bookmarkEnd w:id="50"/>
      <w:bookmarkEnd w:id="51"/>
      <w:bookmarkEnd w:id="52"/>
    </w:p>
    <w:p>
      <w:pPr>
        <w:pStyle w:val="10"/>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1.本项目全部阶段性成果和最终成果的所有权、知识产权以及与之相关的所有权利归采购方所有。</w:t>
      </w:r>
    </w:p>
    <w:p>
      <w:pPr>
        <w:pStyle w:val="10"/>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双方确定，采购方有权利用中标单位按照本合同约定提供的成果，进行后续改进。由此产生的具有实质性或创造性技术进步特征的新的技术成果及其权利归属，全部由采购方享有。具体相关利益的分配办法如下：采购方100%。</w:t>
      </w:r>
    </w:p>
    <w:p>
      <w:pPr>
        <w:pStyle w:val="10"/>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中标单位所提交的全部阶段性成果和最终成果文件及任何数据、资料、软件等不得侵犯任何第三方的知识产权或其他权利，由于该文件、数据、资料、软件侵权所导致的任何索赔或责任均由中标单位承担。同时，采购方有权要求中标单位修改成果至不侵权或解除合同，并保留要求中标单位赔偿全部损失的权利，包括但不限于上述索赔或责任所产生的诉讼费用、合理的律师费用、鉴定评估费用、调查费用、和解金额或生效法律文书中规定的赔偿金额。</w:t>
      </w:r>
    </w:p>
    <w:p>
      <w:pPr>
        <w:pStyle w:val="10"/>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未经采购方书面在先同意，中标单位不得将本项目的阶段性成果和/或最终成果文件及任何数据、资料、软件向任何第三方转让、授权任何第三方使用或用于本合同项目外的其他项目。如发生以上情况，中标单位应向采购方支付本合同总价款20%的违约金，如果违约金无法弥补采购方的损失，采购方有权要求中标单位赔偿全部损失。</w:t>
      </w:r>
    </w:p>
    <w:p>
      <w:pPr>
        <w:pStyle w:val="10"/>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5.中标单位完成本合同项目的研究开发人员享有在有关成果文件上写明成果完成者的权利和与采购方共同获得有关荣誉证书、奖励的权利。</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53" w:name="_Toc27553"/>
      <w:bookmarkStart w:id="54" w:name="_Toc14469"/>
      <w:r>
        <w:rPr>
          <w:rFonts w:hint="eastAsia" w:ascii="宋体" w:hAnsi="宋体" w:eastAsia="宋体" w:cs="宋体"/>
          <w:b/>
          <w:bCs/>
          <w:color w:val="000000" w:themeColor="text1"/>
          <w:sz w:val="24"/>
          <w:szCs w:val="24"/>
          <w14:textFill>
            <w14:solidFill>
              <w14:schemeClr w14:val="tx1"/>
            </w14:solidFill>
          </w14:textFill>
        </w:rPr>
        <w:t>（七）违约责任</w:t>
      </w:r>
      <w:bookmarkEnd w:id="53"/>
      <w:bookmarkEnd w:id="54"/>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1.因中标单位原因，未能按规定时间完成有关工作的，每延误一天，采购方自尚未支付的合同款项中扣除合同服务总金额的5‰的逾期违约金。</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2.由于中标单位原因造成成果质量低劣，不能满足本合同要求时，应继续完善成果，其费用由中标单位承担。</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3.如中标单位提供的服务或成果不符合质量要求，必须在采购方提出要求后7个日历日内无条件修改，其费用由中标单位承担。</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4.本合同履行期间，发生下述情形时，采购方有权解除本合同，中标单位除应退还采购方已支付的全部款项外</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还应在合同解除通知发出之日起10日内向采购方支付合同总价款20%的违约金。中标单位应同时将已完成的项目成果移交给采购方，并将全部有关资料退还采购方：</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(1)因中标单位工作的错误或遗漏造成成果质量不符合本合同要求，且中标单位未按采购方要求采取及时有效的补救措施的；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(2)中标单位未能按合同约定的日期(含协商延缓的日期)提交工作成果，延误时间超过30个工作日；或中标单位虽如期提交阶段性成果和最终成果，但最终成果连续二次未能通过评审验收的；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(3)发现中标单位或中标单位工作人员出现全部或部分丧失履行委托服务能力的情况，采购方有权通知中标单位限期整改或更换工作人员，期限届满中标单位并未进行改善的；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(4)中标单位明确表示或者以自己的行为表明不履行本合同的。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除因审批流程及财政部门预算下达延误影响采购方支出进度外，如采购方未按照本合同约定的时间支付服务费，中标单位书面催告采购方并给予不少于5个工作日的履行期限后采购方仍未支付的，中标单位有权自该期限届满之日起要求采购方支付该阶段应付而未付合同价款每日1‰的逾期违约金。如采购方无正当理由拒绝接受服务，到期明确表示拒付服务款项，中标单位有权要求采购方支付本合同项下服务费总金额20%的违约金。 </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6.上述违约责任各自独立且可累加。如本合同所约定的违约金无法弥补因违约行为所造成的损失，违约方应补偿上述不足部分的损失。</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55" w:name="_Toc31814"/>
      <w:bookmarkStart w:id="56" w:name="_Toc11364"/>
      <w:r>
        <w:rPr>
          <w:rFonts w:hint="eastAsia" w:ascii="宋体" w:hAnsi="宋体" w:eastAsia="宋体" w:cs="宋体"/>
          <w:b/>
          <w:bCs/>
          <w:color w:val="000000" w:themeColor="text1"/>
          <w:sz w:val="24"/>
          <w:szCs w:val="24"/>
          <w14:textFill>
            <w14:solidFill>
              <w14:schemeClr w14:val="tx1"/>
            </w14:solidFill>
          </w14:textFill>
        </w:rPr>
        <w:t>（八）保密条款</w:t>
      </w:r>
      <w:bookmarkEnd w:id="55"/>
      <w:bookmarkEnd w:id="56"/>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单位应以保密方式处理在编制本项目成果文件过程中自采购方、采购方工作人员或采购方关联机构获得的相关信息、资料、图纸、数据等，或由采购方在履行本合同过程中明确指明为秘密的任何信息，以及中标单位因本项目工作内容所直接或间接取得、处理或接触的任何其他资料。未经采购方书面在先同意，中标单位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3.中标单位实施项目的程序应符合国家安全、保密的有关规定和标准。</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4.上述保密义务不适用以下情况：</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（1）获取的信息已被合法公开；</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（2）获得信息拥有方书面许可并在该许可范围内披露；</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（3）国家法律、法规规定的情形。</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如中标单位违反上述保密条款，采购方有权解除本合同，中标单位应在合同解除通知发出之日起10日内向采购方支付本合同服务费总金额20%的违约金，如果违约金无法弥补采购人损失，采购人保留要求中标单位赔偿全部损失的权利。</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6.无论本项目其他条款是否有效，本保密条款始终约束双方。国家秘密的保密期限由国家有关部门确定，工作秘密的保密期限由采购人确定。</w:t>
      </w: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57" w:name="_Toc23822"/>
      <w:r>
        <w:rPr>
          <w:rFonts w:hint="eastAsia" w:ascii="宋体" w:cs="宋体"/>
          <w:b/>
          <w:bCs/>
          <w:color w:val="000000" w:themeColor="text1"/>
          <w:sz w:val="24"/>
          <w14:textFill>
            <w14:solidFill>
              <w14:schemeClr w14:val="tx1"/>
            </w14:solidFill>
          </w14:textFill>
        </w:rPr>
        <w:t>第六章 投标文件初审及招标项目评分表</w:t>
      </w:r>
      <w:bookmarkEnd w:id="57"/>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lang w:val="fr-CH"/>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21"/>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92"/>
        <w:gridCol w:w="816"/>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992" w:type="dxa"/>
            <w:vAlign w:val="center"/>
          </w:tcPr>
          <w:p>
            <w:pPr>
              <w:pStyle w:val="9"/>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9"/>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投标报价得分=(评标基准价／投标报价)×10</w:t>
            </w:r>
          </w:p>
          <w:p>
            <w:pPr>
              <w:numPr>
                <w:ilvl w:val="0"/>
                <w:numId w:val="5"/>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5"/>
              </w:numPr>
              <w:spacing w:line="360" w:lineRule="auto"/>
              <w:ind w:left="0" w:hanging="9"/>
              <w:jc w:val="left"/>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lang w:val="en-US" w:eastAsia="zh-CN"/>
                <w14:textFill>
                  <w14:solidFill>
                    <w14:schemeClr w14:val="tx1"/>
                  </w14:solidFill>
                </w14:textFill>
              </w:rPr>
              <w:t>50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8"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投标人编制经验</w:t>
            </w:r>
          </w:p>
        </w:tc>
        <w:tc>
          <w:tcPr>
            <w:tcW w:w="5992" w:type="dxa"/>
            <w:shd w:val="clear" w:color="auto" w:fill="auto"/>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（一）评审标准：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w:t>
            </w:r>
            <w:r>
              <w:rPr>
                <w:rFonts w:hint="eastAsia" w:ascii="宋体" w:hAnsi="宋体" w:eastAsia="宋体" w:cs="宋体"/>
                <w:color w:val="000000" w:themeColor="text1"/>
                <w:sz w:val="24"/>
                <w:szCs w:val="24"/>
                <w:highlight w:val="none"/>
                <w14:textFill>
                  <w14:solidFill>
                    <w14:schemeClr w14:val="tx1"/>
                  </w14:solidFill>
                </w14:textFill>
              </w:rPr>
              <w:t>供应商的相关经验进行打分：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投标人具有</w:t>
            </w:r>
            <w:r>
              <w:rPr>
                <w:rFonts w:hint="eastAsia" w:ascii="宋体" w:hAnsi="宋体" w:cs="宋体"/>
                <w:color w:val="000000" w:themeColor="text1"/>
                <w:sz w:val="24"/>
                <w:szCs w:val="24"/>
                <w:highlight w:val="none"/>
                <w:lang w:val="en-US" w:eastAsia="zh-CN"/>
                <w14:textFill>
                  <w14:solidFill>
                    <w14:schemeClr w14:val="tx1"/>
                  </w14:solidFill>
                </w14:textFill>
              </w:rPr>
              <w:t>组织开展跨境交通服务相关</w:t>
            </w:r>
            <w:r>
              <w:rPr>
                <w:rFonts w:hint="eastAsia" w:ascii="宋体" w:hAnsi="宋体" w:eastAsia="宋体" w:cs="宋体"/>
                <w:color w:val="000000" w:themeColor="text1"/>
                <w:sz w:val="24"/>
                <w:szCs w:val="24"/>
                <w:highlight w:val="none"/>
                <w14:textFill>
                  <w14:solidFill>
                    <w14:schemeClr w14:val="tx1"/>
                  </w14:solidFill>
                </w14:textFill>
              </w:rPr>
              <w:t>项目经验的，每</w:t>
            </w:r>
            <w:r>
              <w:rPr>
                <w:rFonts w:hint="eastAsia" w:ascii="宋体" w:hAnsi="宋体" w:cs="宋体"/>
                <w:color w:val="000000" w:themeColor="text1"/>
                <w:sz w:val="24"/>
                <w:szCs w:val="24"/>
                <w:highlight w:val="none"/>
                <w:lang w:val="en-US" w:eastAsia="zh-CN"/>
                <w14:textFill>
                  <w14:solidFill>
                    <w14:schemeClr w14:val="tx1"/>
                  </w14:solidFill>
                </w14:textFill>
              </w:rPr>
              <w:t>提供一个业绩得4</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本小项满分8</w:t>
            </w:r>
            <w:r>
              <w:rPr>
                <w:rFonts w:hint="eastAsia" w:ascii="宋体" w:hAnsi="宋体" w:eastAsia="宋体" w:cs="宋体"/>
                <w:color w:val="000000" w:themeColor="text1"/>
                <w:sz w:val="24"/>
                <w:szCs w:val="24"/>
                <w:highlight w:val="none"/>
                <w14:textFill>
                  <w14:solidFill>
                    <w14:schemeClr w14:val="tx1"/>
                  </w14:solidFill>
                </w14:textFill>
              </w:rPr>
              <w:t>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投标人具有</w:t>
            </w:r>
            <w:r>
              <w:rPr>
                <w:rFonts w:hint="eastAsia" w:ascii="宋体" w:hAnsi="宋体" w:eastAsia="宋体" w:cs="宋体"/>
                <w:color w:val="000000" w:themeColor="text1"/>
                <w:sz w:val="24"/>
                <w:szCs w:val="24"/>
                <w:highlight w:val="none"/>
                <w:lang w:val="en-US" w:eastAsia="zh-CN"/>
                <w14:textFill>
                  <w14:solidFill>
                    <w14:schemeClr w14:val="tx1"/>
                  </w14:solidFill>
                </w14:textFill>
              </w:rPr>
              <w:t>客运场站（含公交场站）</w:t>
            </w:r>
            <w:r>
              <w:rPr>
                <w:rFonts w:hint="eastAsia" w:ascii="宋体" w:hAnsi="宋体" w:cs="宋体"/>
                <w:color w:val="000000" w:themeColor="text1"/>
                <w:sz w:val="24"/>
                <w:szCs w:val="24"/>
                <w:highlight w:val="none"/>
                <w:lang w:val="en-US" w:eastAsia="zh-CN"/>
                <w14:textFill>
                  <w14:solidFill>
                    <w14:schemeClr w14:val="tx1"/>
                  </w14:solidFill>
                </w14:textFill>
              </w:rPr>
              <w:t>功能创新相关</w:t>
            </w:r>
            <w:r>
              <w:rPr>
                <w:rFonts w:hint="eastAsia" w:ascii="宋体" w:hAnsi="宋体" w:eastAsia="宋体" w:cs="宋体"/>
                <w:color w:val="000000" w:themeColor="text1"/>
                <w:sz w:val="24"/>
                <w:szCs w:val="24"/>
                <w:highlight w:val="none"/>
                <w14:textFill>
                  <w14:solidFill>
                    <w14:schemeClr w14:val="tx1"/>
                  </w14:solidFill>
                </w14:textFill>
              </w:rPr>
              <w:t>项目经验的，每</w:t>
            </w:r>
            <w:r>
              <w:rPr>
                <w:rFonts w:hint="eastAsia" w:ascii="宋体" w:hAnsi="宋体" w:cs="宋体"/>
                <w:color w:val="000000" w:themeColor="text1"/>
                <w:sz w:val="24"/>
                <w:szCs w:val="24"/>
                <w:highlight w:val="none"/>
                <w:lang w:val="en-US" w:eastAsia="zh-CN"/>
                <w14:textFill>
                  <w14:solidFill>
                    <w14:schemeClr w14:val="tx1"/>
                  </w14:solidFill>
                </w14:textFill>
              </w:rPr>
              <w:t>提供一个业绩得5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本小项满分5</w:t>
            </w:r>
            <w:r>
              <w:rPr>
                <w:rFonts w:hint="eastAsia" w:ascii="宋体" w:hAnsi="宋体" w:eastAsia="宋体" w:cs="宋体"/>
                <w:color w:val="000000" w:themeColor="text1"/>
                <w:sz w:val="24"/>
                <w:szCs w:val="24"/>
                <w:highlight w:val="none"/>
                <w14:textFill>
                  <w14:solidFill>
                    <w14:schemeClr w14:val="tx1"/>
                  </w14:solidFill>
                </w14:textFill>
              </w:rPr>
              <w:t>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投标人具有</w:t>
            </w:r>
            <w:r>
              <w:rPr>
                <w:rFonts w:hint="eastAsia" w:ascii="宋体" w:hAnsi="宋体" w:eastAsia="宋体" w:cs="宋体"/>
                <w:color w:val="000000" w:themeColor="text1"/>
                <w:sz w:val="24"/>
                <w:szCs w:val="24"/>
                <w:highlight w:val="none"/>
                <w:lang w:val="en-US" w:eastAsia="zh-CN"/>
                <w14:textFill>
                  <w14:solidFill>
                    <w14:schemeClr w14:val="tx1"/>
                  </w14:solidFill>
                </w14:textFill>
              </w:rPr>
              <w:t>客运场站（含公交场站）</w:t>
            </w:r>
            <w:r>
              <w:rPr>
                <w:rFonts w:hint="eastAsia" w:ascii="宋体" w:hAnsi="宋体" w:cs="宋体"/>
                <w:color w:val="000000" w:themeColor="text1"/>
                <w:sz w:val="24"/>
                <w:szCs w:val="24"/>
                <w:highlight w:val="none"/>
                <w:lang w:val="en-US" w:eastAsia="zh-CN"/>
                <w14:textFill>
                  <w14:solidFill>
                    <w14:schemeClr w14:val="tx1"/>
                  </w14:solidFill>
                </w14:textFill>
              </w:rPr>
              <w:t>专项设计相关</w:t>
            </w:r>
            <w:r>
              <w:rPr>
                <w:rFonts w:hint="eastAsia" w:ascii="宋体" w:hAnsi="宋体" w:eastAsia="宋体" w:cs="宋体"/>
                <w:color w:val="000000" w:themeColor="text1"/>
                <w:sz w:val="24"/>
                <w:szCs w:val="24"/>
                <w:highlight w:val="none"/>
                <w14:textFill>
                  <w14:solidFill>
                    <w14:schemeClr w14:val="tx1"/>
                  </w14:solidFill>
                </w14:textFill>
              </w:rPr>
              <w:t>项目经验的，每</w:t>
            </w:r>
            <w:r>
              <w:rPr>
                <w:rFonts w:hint="eastAsia" w:ascii="宋体" w:hAnsi="宋体" w:cs="宋体"/>
                <w:color w:val="000000" w:themeColor="text1"/>
                <w:sz w:val="24"/>
                <w:szCs w:val="24"/>
                <w:highlight w:val="none"/>
                <w:lang w:val="en-US" w:eastAsia="zh-CN"/>
                <w14:textFill>
                  <w14:solidFill>
                    <w14:schemeClr w14:val="tx1"/>
                  </w14:solidFill>
                </w14:textFill>
              </w:rPr>
              <w:t>提供一个业绩得4</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本小项满分8</w:t>
            </w:r>
            <w:r>
              <w:rPr>
                <w:rFonts w:hint="eastAsia" w:ascii="宋体" w:hAnsi="宋体" w:eastAsia="宋体" w:cs="宋体"/>
                <w:color w:val="000000" w:themeColor="text1"/>
                <w:sz w:val="24"/>
                <w:szCs w:val="24"/>
                <w:highlight w:val="none"/>
                <w14:textFill>
                  <w14:solidFill>
                    <w14:schemeClr w14:val="tx1"/>
                  </w14:solidFill>
                </w14:textFill>
              </w:rPr>
              <w:t>分。</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投标人具有</w:t>
            </w:r>
            <w:r>
              <w:rPr>
                <w:rFonts w:hint="eastAsia" w:ascii="宋体" w:hAnsi="宋体" w:eastAsia="宋体" w:cs="宋体"/>
                <w:color w:val="000000" w:themeColor="text1"/>
                <w:sz w:val="24"/>
                <w:szCs w:val="24"/>
                <w:highlight w:val="none"/>
                <w:lang w:val="en-US" w:eastAsia="zh-CN"/>
                <w14:textFill>
                  <w14:solidFill>
                    <w14:schemeClr w14:val="tx1"/>
                  </w14:solidFill>
                </w14:textFill>
              </w:rPr>
              <w:t>客运场站（含公交场站）</w:t>
            </w:r>
            <w:r>
              <w:rPr>
                <w:rFonts w:hint="eastAsia" w:ascii="宋体" w:hAnsi="宋体" w:cs="宋体"/>
                <w:color w:val="000000" w:themeColor="text1"/>
                <w:sz w:val="24"/>
                <w:szCs w:val="24"/>
                <w:highlight w:val="none"/>
                <w:lang w:val="en-US" w:eastAsia="zh-CN"/>
                <w14:textFill>
                  <w14:solidFill>
                    <w14:schemeClr w14:val="tx1"/>
                  </w14:solidFill>
                </w14:textFill>
              </w:rPr>
              <w:t>设施运维相关</w:t>
            </w:r>
            <w:r>
              <w:rPr>
                <w:rFonts w:hint="eastAsia" w:ascii="宋体" w:hAnsi="宋体" w:eastAsia="宋体" w:cs="宋体"/>
                <w:color w:val="000000" w:themeColor="text1"/>
                <w:sz w:val="24"/>
                <w:szCs w:val="24"/>
                <w:highlight w:val="none"/>
                <w14:textFill>
                  <w14:solidFill>
                    <w14:schemeClr w14:val="tx1"/>
                  </w14:solidFill>
                </w14:textFill>
              </w:rPr>
              <w:t>项目经验</w:t>
            </w:r>
            <w:r>
              <w:rPr>
                <w:rFonts w:hint="eastAsia" w:ascii="宋体" w:hAnsi="宋体" w:eastAsia="宋体" w:cs="宋体"/>
                <w:color w:val="000000" w:themeColor="text1"/>
                <w:sz w:val="24"/>
                <w:szCs w:val="24"/>
                <w14:textFill>
                  <w14:solidFill>
                    <w14:schemeClr w14:val="tx1"/>
                  </w14:solidFill>
                </w14:textFill>
              </w:rPr>
              <w:t>的，每</w:t>
            </w:r>
            <w:r>
              <w:rPr>
                <w:rFonts w:hint="eastAsia" w:ascii="宋体" w:hAnsi="宋体" w:cs="宋体"/>
                <w:color w:val="000000" w:themeColor="text1"/>
                <w:sz w:val="24"/>
                <w:szCs w:val="24"/>
                <w:highlight w:val="none"/>
                <w:lang w:val="en-US" w:eastAsia="zh-CN"/>
                <w14:textFill>
                  <w14:solidFill>
                    <w14:schemeClr w14:val="tx1"/>
                  </w14:solidFill>
                </w14:textFill>
              </w:rPr>
              <w:t>提供一个业绩得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val="en-US" w:eastAsia="zh-CN"/>
                <w14:textFill>
                  <w14:solidFill>
                    <w14:schemeClr w14:val="tx1"/>
                  </w14:solidFill>
                </w14:textFill>
              </w:rPr>
              <w:t>本小项满分4</w:t>
            </w:r>
            <w:r>
              <w:rPr>
                <w:rFonts w:hint="eastAsia" w:ascii="宋体" w:hAnsi="宋体" w:eastAsia="宋体" w:cs="宋体"/>
                <w:color w:val="000000" w:themeColor="text1"/>
                <w:sz w:val="24"/>
                <w:szCs w:val="24"/>
                <w14:textFill>
                  <w14:solidFill>
                    <w14:schemeClr w14:val="tx1"/>
                  </w14:solidFill>
                </w14:textFill>
              </w:rPr>
              <w:t>分。</w:t>
            </w:r>
          </w:p>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本项满分25分。同一项目合同同时具备上述多项要求仅算一次分数，按最优得分。</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（二）证明文件：</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1.须提供业绩合同(或委托合同)关键页扫描件（关键信息包含不限于合同合作双方盖章页、合作时间页、合作内容页等）作为得分依据。</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2.通过合同关键页相关证明材料无法判断是否得分的，还须同时提供能证明得分的其它证明资料。</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3.以上资料均要求提供扫描件</w:t>
            </w:r>
            <w:r>
              <w:rPr>
                <w:rFonts w:hint="eastAsia" w:ascii="宋体" w:hAnsi="宋体" w:eastAsia="宋体" w:cs="宋体"/>
                <w:color w:val="000000" w:themeColor="text1"/>
                <w:sz w:val="24"/>
                <w:szCs w:val="24"/>
                <w:lang w:val="en-US" w:eastAsia="zh-CN"/>
                <w14:textFill>
                  <w14:solidFill>
                    <w14:schemeClr w14:val="tx1"/>
                  </w14:solidFill>
                </w14:textFill>
              </w:rPr>
              <w:t>加盖公章</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原件备查，</w:t>
            </w:r>
            <w:r>
              <w:rPr>
                <w:rFonts w:hint="eastAsia" w:ascii="宋体" w:hAnsi="宋体" w:eastAsia="宋体" w:cs="宋体"/>
                <w:color w:val="000000" w:themeColor="text1"/>
                <w:sz w:val="24"/>
                <w:szCs w:val="24"/>
                <w14:textFill>
                  <w14:solidFill>
                    <w14:schemeClr w14:val="tx1"/>
                  </w14:solidFill>
                </w14:textFill>
              </w:rPr>
              <w:t>评分中出现无证明资料或专家无法凭所提供资料判断是否得分的情况，一律作不得分处理。</w:t>
            </w:r>
          </w:p>
          <w:p>
            <w:pPr>
              <w:spacing w:line="36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4.投标人提供虚假材料的，将做无效投标处理，涉嫌存在违法违规行为的，依法报主管部门处理处罚</w:t>
            </w:r>
            <w:r>
              <w:rPr>
                <w:rFonts w:hint="eastAsia" w:ascii="宋体" w:hAnsi="宋体" w:cs="宋体"/>
                <w:color w:val="000000" w:themeColor="text1"/>
                <w:sz w:val="24"/>
                <w:szCs w:val="24"/>
                <w:lang w:eastAsia="zh-CN"/>
                <w14:textFill>
                  <w14:solidFill>
                    <w14:schemeClr w14:val="tx1"/>
                  </w14:solidFill>
                </w14:textFill>
              </w:rPr>
              <w:t>。</w:t>
            </w:r>
          </w:p>
        </w:tc>
        <w:tc>
          <w:tcPr>
            <w:tcW w:w="816" w:type="dxa"/>
            <w:shd w:val="clear" w:color="auto" w:fill="auto"/>
            <w:vAlign w:val="center"/>
          </w:tcPr>
          <w:p>
            <w:pPr>
              <w:autoSpaceDE w:val="0"/>
              <w:autoSpaceDN w:val="0"/>
              <w:adjustRightInd w:val="0"/>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项目负责人要求（1人）</w:t>
            </w:r>
          </w:p>
        </w:tc>
        <w:tc>
          <w:tcPr>
            <w:tcW w:w="5992" w:type="dxa"/>
            <w:shd w:val="clear" w:color="auto" w:fill="auto"/>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（一）评审标准：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根据拟投入的项目负责人情况进行打分：</w:t>
            </w:r>
          </w:p>
          <w:p>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项目负责人具有高级</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含副高）</w:t>
            </w:r>
            <w:r>
              <w:rPr>
                <w:rFonts w:hint="eastAsia" w:ascii="宋体" w:hAnsi="宋体" w:eastAsia="宋体" w:cs="宋体"/>
                <w:color w:val="000000" w:themeColor="text1"/>
                <w:sz w:val="24"/>
                <w:szCs w:val="24"/>
                <w:highlight w:val="none"/>
                <w:lang w:val="zh-CN"/>
                <w14:textFill>
                  <w14:solidFill>
                    <w14:schemeClr w14:val="tx1"/>
                  </w14:solidFill>
                </w14:textFill>
              </w:rPr>
              <w:t>工程师职称（</w:t>
            </w:r>
            <w:r>
              <w:rPr>
                <w:rFonts w:hint="eastAsia" w:ascii="宋体" w:hAnsi="宋体" w:cs="宋体"/>
                <w:color w:val="000000" w:themeColor="text1"/>
                <w:sz w:val="24"/>
                <w:szCs w:val="24"/>
                <w:highlight w:val="none"/>
                <w:lang w:val="en-US" w:eastAsia="zh-CN"/>
                <w14:textFill>
                  <w14:solidFill>
                    <w14:schemeClr w14:val="tx1"/>
                  </w14:solidFill>
                </w14:textFill>
              </w:rPr>
              <w:t>交通运输规划相关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或以上</w:t>
            </w:r>
            <w:r>
              <w:rPr>
                <w:rFonts w:hint="eastAsia" w:ascii="宋体" w:hAnsi="宋体" w:eastAsia="宋体" w:cs="宋体"/>
                <w:color w:val="000000" w:themeColor="text1"/>
                <w:sz w:val="24"/>
                <w:szCs w:val="24"/>
                <w:highlight w:val="none"/>
                <w14:textFill>
                  <w14:solidFill>
                    <w14:schemeClr w14:val="tx1"/>
                  </w14:solidFill>
                </w14:textFill>
              </w:rPr>
              <w:t>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分；本小项</w:t>
            </w:r>
            <w:r>
              <w:rPr>
                <w:rFonts w:hint="eastAsia" w:ascii="宋体" w:hAnsi="宋体" w:eastAsia="宋体" w:cs="宋体"/>
                <w:color w:val="000000" w:themeColor="text1"/>
                <w:sz w:val="24"/>
                <w:szCs w:val="24"/>
                <w:highlight w:val="none"/>
                <w:lang w:val="en-US" w:eastAsia="zh-CN"/>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zh-CN"/>
                <w14:textFill>
                  <w14:solidFill>
                    <w14:schemeClr w14:val="tx1"/>
                  </w14:solidFill>
                </w14:textFill>
              </w:rPr>
              <w:t>。</w:t>
            </w:r>
          </w:p>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2.项目负责人持有交通相关专业硕士研究生及以上学历的得3分；</w:t>
            </w:r>
            <w:r>
              <w:rPr>
                <w:rFonts w:hint="eastAsia" w:ascii="宋体" w:hAnsi="宋体" w:eastAsia="宋体" w:cs="宋体"/>
                <w:color w:val="000000" w:themeColor="text1"/>
                <w:sz w:val="24"/>
                <w:szCs w:val="24"/>
                <w14:textFill>
                  <w14:solidFill>
                    <w14:schemeClr w14:val="tx1"/>
                  </w14:solidFill>
                </w14:textFill>
              </w:rPr>
              <w:t>本小项</w:t>
            </w:r>
            <w:r>
              <w:rPr>
                <w:rFonts w:hint="eastAsia" w:ascii="宋体" w:hAnsi="宋体" w:eastAsia="宋体" w:cs="宋体"/>
                <w:color w:val="000000" w:themeColor="text1"/>
                <w:sz w:val="24"/>
                <w:szCs w:val="24"/>
                <w:lang w:val="en-US" w:eastAsia="zh-CN"/>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zh-CN"/>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（二）证明文件：</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1.提供拟派项目负责人身份证、职称证书（如有）等。</w:t>
            </w:r>
          </w:p>
          <w:p>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2.要求提供通过投标人购买的项目负责人截标前近</w:t>
            </w:r>
            <w:r>
              <w:rPr>
                <w:rFonts w:hint="eastAsia" w:ascii="宋体" w:hAnsi="宋体" w:eastAsia="宋体" w:cs="宋体"/>
                <w:color w:val="000000" w:themeColor="text1"/>
                <w:sz w:val="24"/>
                <w:szCs w:val="24"/>
                <w:lang w:val="en-US" w:eastAsia="zh-CN"/>
                <w14:textFill>
                  <w14:solidFill>
                    <w14:schemeClr w14:val="tx1"/>
                  </w14:solidFill>
                </w14:textFill>
              </w:rPr>
              <w:t>三个月</w:t>
            </w:r>
            <w:r>
              <w:rPr>
                <w:rFonts w:hint="eastAsia" w:ascii="宋体" w:hAnsi="宋体" w:eastAsia="宋体" w:cs="宋体"/>
                <w:color w:val="000000" w:themeColor="text1"/>
                <w:sz w:val="24"/>
                <w:szCs w:val="24"/>
                <w14:textFill>
                  <w14:solidFill>
                    <w14:schemeClr w14:val="tx1"/>
                  </w14:solidFill>
                </w14:textFill>
              </w:rPr>
              <w:t>任意一个月的社保证明资料作为得分依据。社保证明资料可为社保收缴部门盖章证明资料、社保窗口打印资料或社保官网截图。如供应商为新成立企业且成立时间不足一个月可提供加盖公章的情况说明或者证明材料亦视为符合。</w:t>
            </w:r>
            <w:r>
              <w:rPr>
                <w:rFonts w:hint="eastAsia" w:ascii="宋体" w:hAnsi="宋体" w:eastAsia="宋体" w:cs="宋体"/>
                <w:color w:val="000000" w:themeColor="text1"/>
                <w:sz w:val="24"/>
                <w:szCs w:val="24"/>
                <w:lang w:val="en-US" w:eastAsia="zh-CN"/>
                <w14:textFill>
                  <w14:solidFill>
                    <w14:schemeClr w14:val="tx1"/>
                  </w14:solidFill>
                </w14:textFill>
              </w:rPr>
              <w:t>如为退休返聘人员提供退休证明和聘用合同</w:t>
            </w:r>
            <w:r>
              <w:rPr>
                <w:rFonts w:hint="eastAsia" w:ascii="宋体" w:hAnsi="宋体" w:eastAsia="宋体" w:cs="宋体"/>
                <w:color w:val="000000" w:themeColor="text1"/>
                <w:sz w:val="24"/>
                <w:szCs w:val="24"/>
                <w14:textFill>
                  <w14:solidFill>
                    <w14:schemeClr w14:val="tx1"/>
                  </w14:solidFill>
                </w14:textFill>
              </w:rPr>
              <w:t>亦视为符合</w:t>
            </w:r>
            <w:r>
              <w:rPr>
                <w:rFonts w:hint="eastAsia" w:ascii="宋体" w:hAnsi="宋体" w:eastAsia="宋体" w:cs="宋体"/>
                <w:color w:val="000000" w:themeColor="text1"/>
                <w:sz w:val="24"/>
                <w:szCs w:val="24"/>
                <w:lang w:val="en-US"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学历证明：学历证明需提供毕业证书复印件及学信网查询截图，原件备查。对于较早颁发的学历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p>
          <w:p>
            <w:pPr>
              <w:spacing w:line="36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4.以上资料均要求提供扫描件</w:t>
            </w:r>
            <w:r>
              <w:rPr>
                <w:rFonts w:hint="eastAsia" w:ascii="宋体" w:hAnsi="宋体" w:eastAsia="宋体" w:cs="宋体"/>
                <w:color w:val="000000" w:themeColor="text1"/>
                <w:sz w:val="24"/>
                <w:szCs w:val="24"/>
                <w:lang w:val="en-US" w:eastAsia="zh-CN"/>
                <w14:textFill>
                  <w14:solidFill>
                    <w14:schemeClr w14:val="tx1"/>
                  </w14:solidFill>
                </w14:textFill>
              </w:rPr>
              <w:t>加盖公章</w:t>
            </w:r>
            <w:r>
              <w:rPr>
                <w:rFonts w:hint="eastAsia" w:ascii="宋体" w:hAnsi="宋体" w:eastAsia="宋体" w:cs="宋体"/>
                <w:color w:val="000000" w:themeColor="text1"/>
                <w:sz w:val="24"/>
                <w:szCs w:val="24"/>
                <w14:textFill>
                  <w14:solidFill>
                    <w14:schemeClr w14:val="tx1"/>
                  </w14:solidFill>
                </w14:textFill>
              </w:rPr>
              <w:t>，原件备查。评分中出现无证明资料或专家无法凭所提供资料判断是否得分的情况，一律作不得分处理。</w:t>
            </w:r>
          </w:p>
        </w:tc>
        <w:tc>
          <w:tcPr>
            <w:tcW w:w="816" w:type="dxa"/>
            <w:shd w:val="clear" w:color="auto" w:fill="auto"/>
            <w:vAlign w:val="center"/>
          </w:tcPr>
          <w:p>
            <w:pPr>
              <w:autoSpaceDE w:val="0"/>
              <w:autoSpaceDN w:val="0"/>
              <w:adjustRightInd w:val="0"/>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项目团队成员（项目负责人除外）</w:t>
            </w:r>
          </w:p>
        </w:tc>
        <w:tc>
          <w:tcPr>
            <w:tcW w:w="5992" w:type="dxa"/>
            <w:shd w:val="clear" w:color="auto" w:fill="auto"/>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（一）评审标准：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根据投标人拟投入的项目团队成员情况进行打分：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1.团队成员中具有</w:t>
            </w:r>
            <w:r>
              <w:rPr>
                <w:rFonts w:hint="eastAsia" w:ascii="宋体" w:hAnsi="宋体" w:cs="宋体"/>
                <w:color w:val="000000" w:themeColor="text1"/>
                <w:sz w:val="24"/>
                <w:szCs w:val="24"/>
                <w:lang w:val="en-US" w:eastAsia="zh-CN"/>
                <w14:textFill>
                  <w14:solidFill>
                    <w14:schemeClr w14:val="tx1"/>
                  </w14:solidFill>
                </w14:textFill>
              </w:rPr>
              <w:t>交通相关专业的</w:t>
            </w:r>
            <w:r>
              <w:rPr>
                <w:rFonts w:hint="eastAsia" w:ascii="宋体" w:hAnsi="宋体" w:cs="宋体"/>
                <w:color w:val="000000" w:themeColor="text1"/>
                <w:sz w:val="24"/>
                <w:szCs w:val="24"/>
                <w:highlight w:val="none"/>
                <w:lang w:val="en-US" w:eastAsia="zh-CN"/>
                <w14:textFill>
                  <w14:solidFill>
                    <w14:schemeClr w14:val="tx1"/>
                  </w14:solidFill>
                </w14:textFill>
              </w:rPr>
              <w:t>硕士研究生及以上学历的，每人得2分；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本科学历，每人得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分，最高得</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pPr>
              <w:spacing w:line="360" w:lineRule="auto"/>
              <w:rPr>
                <w:rFonts w:hint="default"/>
                <w:color w:val="000000" w:themeColor="text1"/>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团队成员</w:t>
            </w:r>
            <w:r>
              <w:rPr>
                <w:rFonts w:hint="eastAsia" w:ascii="宋体" w:hAnsi="宋体" w:eastAsia="宋体" w:cs="宋体"/>
                <w:color w:val="000000" w:themeColor="text1"/>
                <w:sz w:val="24"/>
                <w:szCs w:val="24"/>
                <w:highlight w:val="none"/>
                <w:lang w:val="en-US" w:eastAsia="zh-CN"/>
                <w14:textFill>
                  <w14:solidFill>
                    <w14:schemeClr w14:val="tx1"/>
                  </w14:solidFill>
                </w14:textFill>
              </w:rPr>
              <w:t>持有</w:t>
            </w:r>
            <w:r>
              <w:rPr>
                <w:rFonts w:hint="eastAsia" w:ascii="宋体" w:hAnsi="宋体" w:cs="宋体"/>
                <w:color w:val="000000" w:themeColor="text1"/>
                <w:sz w:val="24"/>
                <w:szCs w:val="24"/>
                <w:highlight w:val="none"/>
                <w:lang w:val="en-US" w:eastAsia="zh-CN"/>
                <w14:textFill>
                  <w14:solidFill>
                    <w14:schemeClr w14:val="tx1"/>
                  </w14:solidFill>
                </w14:textFill>
              </w:rPr>
              <w:t>中级或以上职称</w:t>
            </w:r>
            <w:r>
              <w:rPr>
                <w:rFonts w:hint="eastAsia" w:ascii="宋体" w:hAnsi="宋体" w:eastAsia="宋体" w:cs="宋体"/>
                <w:color w:val="000000" w:themeColor="text1"/>
                <w:sz w:val="24"/>
                <w:szCs w:val="24"/>
                <w:highlight w:val="none"/>
                <w:lang w:val="en-US" w:eastAsia="zh-CN"/>
                <w14:textFill>
                  <w14:solidFill>
                    <w14:schemeClr w14:val="tx1"/>
                  </w14:solidFill>
                </w14:textFill>
              </w:rPr>
              <w:t>证书</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交通运输规划相关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）的每人得2分</w:t>
            </w:r>
            <w:r>
              <w:rPr>
                <w:rFonts w:hint="eastAsia" w:ascii="宋体" w:hAnsi="宋体" w:cs="宋体"/>
                <w:color w:val="000000" w:themeColor="text1"/>
                <w:sz w:val="24"/>
                <w:szCs w:val="24"/>
                <w:highlight w:val="none"/>
                <w:lang w:val="en-US" w:eastAsia="zh-CN"/>
                <w14:textFill>
                  <w14:solidFill>
                    <w14:schemeClr w14:val="tx1"/>
                  </w14:solidFill>
                </w14:textFill>
              </w:rPr>
              <w:t>，初级职称证书</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交通运输规划相关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）每人</w:t>
            </w:r>
            <w:r>
              <w:rPr>
                <w:rFonts w:hint="eastAsia" w:ascii="宋体" w:hAnsi="宋体" w:cs="宋体"/>
                <w:color w:val="000000" w:themeColor="text1"/>
                <w:sz w:val="24"/>
                <w:szCs w:val="24"/>
                <w:highlight w:val="none"/>
                <w:lang w:val="en-US" w:eastAsia="zh-CN"/>
                <w14:textFill>
                  <w14:solidFill>
                    <w14:schemeClr w14:val="tx1"/>
                  </w14:solidFill>
                </w14:textFill>
              </w:rPr>
              <w:t>得1分，最高得6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同一人具有多项职称证书仅算一次分数，按最优得分。</w:t>
            </w:r>
          </w:p>
          <w:p>
            <w:pPr>
              <w:spacing w:line="360" w:lineRule="auto"/>
              <w:rPr>
                <w:rFonts w:hint="eastAsia"/>
                <w:color w:val="000000" w:themeColor="text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同一人同时具备上述2项要求，可重复计分。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（二）证明文件：</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1.提供拟派项目团队成员清单、</w:t>
            </w:r>
            <w:r>
              <w:rPr>
                <w:rFonts w:hint="eastAsia" w:ascii="宋体" w:hAnsi="宋体" w:cs="宋体"/>
                <w:color w:val="000000" w:themeColor="text1"/>
                <w:sz w:val="24"/>
                <w:szCs w:val="24"/>
                <w:highlight w:val="none"/>
                <w:lang w:val="en-US" w:eastAsia="zh-CN"/>
                <w14:textFill>
                  <w14:solidFill>
                    <w14:schemeClr w14:val="tx1"/>
                  </w14:solidFill>
                </w14:textFill>
              </w:rPr>
              <w:t>职称证书、</w:t>
            </w:r>
            <w:r>
              <w:rPr>
                <w:rFonts w:hint="eastAsia" w:ascii="宋体" w:hAnsi="宋体" w:eastAsia="宋体" w:cs="宋体"/>
                <w:color w:val="000000" w:themeColor="text1"/>
                <w:sz w:val="24"/>
                <w:szCs w:val="24"/>
                <w:highlight w:val="none"/>
                <w14:textFill>
                  <w14:solidFill>
                    <w14:schemeClr w14:val="tx1"/>
                  </w14:solidFill>
                </w14:textFill>
              </w:rPr>
              <w:t>学历证明材料等。（学历证明材料须提供毕业证书复印件以及学信网查询截图，原件备查。如学历证明颁发较早，学信网无法查询，可提供毕业院校、人社部门等颁发机构或监管机构等单位出具的证明，若为境外留学学历，无需提供学信网查询记录，需提供教育部留学服务中心出具的学历学位认证书。）</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2.要求提供通过投标人或其同一法人的分公司购买的项目团队成员截标前近</w:t>
            </w:r>
            <w:r>
              <w:rPr>
                <w:rFonts w:hint="eastAsia" w:ascii="宋体" w:hAnsi="宋体" w:eastAsia="宋体" w:cs="宋体"/>
                <w:color w:val="000000" w:themeColor="text1"/>
                <w:sz w:val="24"/>
                <w:szCs w:val="24"/>
                <w:highlight w:val="none"/>
                <w:lang w:val="en-US" w:eastAsia="zh-CN"/>
                <w14:textFill>
                  <w14:solidFill>
                    <w14:schemeClr w14:val="tx1"/>
                  </w14:solidFill>
                </w14:textFill>
              </w:rPr>
              <w:t>三个月</w:t>
            </w:r>
            <w:r>
              <w:rPr>
                <w:rFonts w:hint="eastAsia" w:ascii="宋体" w:hAnsi="宋体" w:eastAsia="宋体" w:cs="宋体"/>
                <w:color w:val="000000" w:themeColor="text1"/>
                <w:sz w:val="24"/>
                <w:szCs w:val="24"/>
                <w:highlight w:val="none"/>
                <w14:textFill>
                  <w14:solidFill>
                    <w14:schemeClr w14:val="tx1"/>
                  </w14:solidFill>
                </w14:textFill>
              </w:rPr>
              <w:t>任意一个月的社保证明作为得分依据。社保证明资料可为社保收缴部门盖章证明资料、社保窗口打印资料或社保官网截图。如供应商为新成立企业且成立时间不足一个月可提供加盖公章的情况说明或者证明材料亦视为符合。</w:t>
            </w:r>
            <w:r>
              <w:rPr>
                <w:rFonts w:hint="eastAsia" w:ascii="宋体" w:hAnsi="宋体" w:eastAsia="宋体" w:cs="宋体"/>
                <w:color w:val="000000" w:themeColor="text1"/>
                <w:sz w:val="24"/>
                <w:szCs w:val="24"/>
                <w:highlight w:val="none"/>
                <w:lang w:val="en-US" w:eastAsia="zh-CN"/>
                <w14:textFill>
                  <w14:solidFill>
                    <w14:schemeClr w14:val="tx1"/>
                  </w14:solidFill>
                </w14:textFill>
              </w:rPr>
              <w:t>如为退休返聘人员提供退休证明和聘用合同</w:t>
            </w:r>
            <w:r>
              <w:rPr>
                <w:rFonts w:hint="eastAsia" w:ascii="宋体" w:hAnsi="宋体" w:eastAsia="宋体" w:cs="宋体"/>
                <w:color w:val="000000" w:themeColor="text1"/>
                <w:sz w:val="24"/>
                <w:szCs w:val="24"/>
                <w:highlight w:val="none"/>
                <w14:textFill>
                  <w14:solidFill>
                    <w14:schemeClr w14:val="tx1"/>
                  </w14:solidFill>
                </w14:textFill>
              </w:rPr>
              <w:t>亦视为符合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.以上资料均要求提供扫描件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eastAsia="宋体" w:cs="宋体"/>
                <w:color w:val="000000" w:themeColor="text1"/>
                <w:sz w:val="24"/>
                <w:szCs w:val="24"/>
                <w:highlight w:val="none"/>
                <w14:textFill>
                  <w14:solidFill>
                    <w14:schemeClr w14:val="tx1"/>
                  </w14:solidFill>
                </w14:textFill>
              </w:rPr>
              <w:t>，原件备查。评分中出现无证明资料或专家无法凭所提供资料判断是否得分的情况，一律作不得分处理。</w:t>
            </w:r>
          </w:p>
        </w:tc>
        <w:tc>
          <w:tcPr>
            <w:tcW w:w="816" w:type="dxa"/>
            <w:shd w:val="clear" w:color="auto" w:fill="auto"/>
            <w:vAlign w:val="center"/>
          </w:tcPr>
          <w:p>
            <w:pPr>
              <w:autoSpaceDE w:val="0"/>
              <w:autoSpaceDN w:val="0"/>
              <w:adjustRightInd w:val="0"/>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14</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92"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816" w:type="dxa"/>
            <w:vAlign w:val="center"/>
          </w:tcPr>
          <w:p>
            <w:pPr>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p>
        </w:tc>
        <w:tc>
          <w:tcPr>
            <w:tcW w:w="1079"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lang w:val="en-US" w:eastAsia="zh-CN"/>
                <w14:textFill>
                  <w14:solidFill>
                    <w14:schemeClr w14:val="tx1"/>
                  </w14:solidFill>
                </w14:textFill>
              </w:rPr>
              <w:t>40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项目背景理解分析</w:t>
            </w:r>
          </w:p>
        </w:tc>
        <w:tc>
          <w:tcPr>
            <w:tcW w:w="5992" w:type="dxa"/>
            <w:vAlign w:val="center"/>
          </w:tcPr>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（一）评审内容：</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1.对项目总体的理解认识；</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工作目标</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工作内容；</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场地条件的梳理、理解；</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（二）评审标准：</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满足以上</w:t>
            </w:r>
            <w:r>
              <w:rPr>
                <w:rFonts w:hint="eastAsia" w:ascii="宋体" w:hAnsi="宋体" w:eastAsia="宋体" w:cs="宋体"/>
                <w:color w:val="000000" w:themeColor="text1"/>
                <w:sz w:val="24"/>
                <w:szCs w:val="24"/>
                <w:highlight w:val="none"/>
                <w:lang w:val="en-US" w:eastAsia="zh-CN"/>
                <w14:textFill>
                  <w14:solidFill>
                    <w14:schemeClr w14:val="tx1"/>
                  </w14:solidFill>
                </w14:textFill>
              </w:rPr>
              <w:t>任意1</w:t>
            </w:r>
            <w:r>
              <w:rPr>
                <w:rFonts w:hint="eastAsia" w:ascii="宋体" w:hAnsi="宋体" w:eastAsia="宋体" w:cs="宋体"/>
                <w:color w:val="000000" w:themeColor="text1"/>
                <w:sz w:val="24"/>
                <w:szCs w:val="24"/>
                <w:highlight w:val="none"/>
                <w:lang w:val="zh-CN"/>
                <w14:textFill>
                  <w14:solidFill>
                    <w14:schemeClr w14:val="tx1"/>
                  </w14:solidFill>
                </w14:textFill>
              </w:rPr>
              <w:t>点得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最高得</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lang w:val="zh-CN"/>
                <w14:textFill>
                  <w14:solidFill>
                    <w14:schemeClr w14:val="tx1"/>
                  </w14:solidFill>
                </w14:textFill>
              </w:rPr>
              <w:t>未满足不得分。在此基础上，评委根据各投标人的具体响应内容按照量化的评审因素指标进一步评审：</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优：工作背景理解深入、现状情况掌握全面，</w:t>
            </w:r>
            <w:r>
              <w:rPr>
                <w:rFonts w:hint="eastAsia" w:ascii="宋体" w:hAnsi="宋体" w:cs="宋体"/>
                <w:color w:val="000000" w:themeColor="text1"/>
                <w:sz w:val="24"/>
                <w:szCs w:val="24"/>
                <w:highlight w:val="none"/>
                <w:lang w:val="en-US" w:eastAsia="zh-CN"/>
                <w14:textFill>
                  <w14:solidFill>
                    <w14:schemeClr w14:val="tx1"/>
                  </w14:solidFill>
                </w14:textFill>
              </w:rPr>
              <w:t>加7</w:t>
            </w:r>
            <w:r>
              <w:rPr>
                <w:rFonts w:hint="eastAsia" w:ascii="宋体" w:hAnsi="宋体" w:eastAsia="宋体" w:cs="宋体"/>
                <w:color w:val="000000" w:themeColor="text1"/>
                <w:sz w:val="24"/>
                <w:szCs w:val="24"/>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良：工作背景理解较为深入、现状情况掌握较为全面，</w:t>
            </w:r>
            <w:r>
              <w:rPr>
                <w:rFonts w:hint="eastAsia" w:ascii="宋体" w:hAnsi="宋体" w:cs="宋体"/>
                <w:color w:val="000000" w:themeColor="text1"/>
                <w:sz w:val="24"/>
                <w:szCs w:val="24"/>
                <w:highlight w:val="none"/>
                <w:lang w:val="en-US" w:eastAsia="zh-CN"/>
                <w14:textFill>
                  <w14:solidFill>
                    <w14:schemeClr w14:val="tx1"/>
                  </w14:solidFill>
                </w14:textFill>
              </w:rPr>
              <w:t>加4</w:t>
            </w:r>
            <w:r>
              <w:rPr>
                <w:rFonts w:hint="eastAsia" w:ascii="宋体" w:hAnsi="宋体" w:eastAsia="宋体" w:cs="宋体"/>
                <w:color w:val="000000" w:themeColor="text1"/>
                <w:sz w:val="24"/>
                <w:szCs w:val="24"/>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中：工作背景理解一般、现状情况掌握一般，</w:t>
            </w:r>
            <w:r>
              <w:rPr>
                <w:rFonts w:hint="eastAsia" w:ascii="宋体" w:hAnsi="宋体" w:cs="宋体"/>
                <w:color w:val="000000" w:themeColor="text1"/>
                <w:sz w:val="24"/>
                <w:szCs w:val="24"/>
                <w:highlight w:val="none"/>
                <w:lang w:val="en-US" w:eastAsia="zh-CN"/>
                <w14:textFill>
                  <w14:solidFill>
                    <w14:schemeClr w14:val="tx1"/>
                  </w14:solidFill>
                </w14:textFill>
              </w:rPr>
              <w:t>加1</w:t>
            </w:r>
            <w:r>
              <w:rPr>
                <w:rFonts w:hint="eastAsia" w:ascii="宋体" w:hAnsi="宋体" w:eastAsia="宋体" w:cs="宋体"/>
                <w:color w:val="000000" w:themeColor="text1"/>
                <w:sz w:val="24"/>
                <w:szCs w:val="24"/>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差：工作背景理解较差、现状情况掌握较差，不</w:t>
            </w:r>
            <w:r>
              <w:rPr>
                <w:rFonts w:hint="eastAsia" w:ascii="宋体" w:hAnsi="宋体" w:cs="宋体"/>
                <w:color w:val="000000" w:themeColor="text1"/>
                <w:sz w:val="24"/>
                <w:szCs w:val="24"/>
                <w:highlight w:val="none"/>
                <w:lang w:val="en-US" w:eastAsia="zh-CN"/>
                <w14:textFill>
                  <w14:solidFill>
                    <w14:schemeClr w14:val="tx1"/>
                  </w14:solidFill>
                </w14:textFill>
              </w:rPr>
              <w:t>加</w:t>
            </w:r>
            <w:r>
              <w:rPr>
                <w:rFonts w:hint="eastAsia" w:ascii="宋体" w:hAnsi="宋体" w:eastAsia="宋体" w:cs="宋体"/>
                <w:color w:val="000000" w:themeColor="text1"/>
                <w:sz w:val="24"/>
                <w:szCs w:val="24"/>
                <w:highlight w:val="none"/>
                <w:lang w:val="zh-CN"/>
                <w14:textFill>
                  <w14:solidFill>
                    <w14:schemeClr w14:val="tx1"/>
                  </w14:solidFill>
                </w14:textFill>
              </w:rPr>
              <w:t>分。</w:t>
            </w:r>
          </w:p>
        </w:tc>
        <w:tc>
          <w:tcPr>
            <w:tcW w:w="816" w:type="dxa"/>
            <w:vAlign w:val="center"/>
          </w:tcPr>
          <w:p>
            <w:pPr>
              <w:autoSpaceDE w:val="0"/>
              <w:autoSpaceDN w:val="0"/>
              <w:adjustRightInd w:val="0"/>
              <w:spacing w:line="360" w:lineRule="auto"/>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设计</w:t>
            </w:r>
            <w:r>
              <w:rPr>
                <w:rFonts w:hint="eastAsia" w:ascii="宋体" w:hAnsi="宋体" w:eastAsia="宋体" w:cs="宋体"/>
                <w:color w:val="000000" w:themeColor="text1"/>
                <w:sz w:val="24"/>
                <w:lang w:val="en-US" w:eastAsia="zh-CN"/>
                <w14:textFill>
                  <w14:solidFill>
                    <w14:schemeClr w14:val="tx1"/>
                  </w14:solidFill>
                </w14:textFill>
              </w:rPr>
              <w:t>思路及理念</w:t>
            </w:r>
          </w:p>
        </w:tc>
        <w:tc>
          <w:tcPr>
            <w:tcW w:w="5992" w:type="dxa"/>
            <w:vAlign w:val="center"/>
          </w:tcPr>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（一）评审内容：</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1.针对项目的理解与认识，提出针对性的思路、方向策略等；</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其他优化提升合理化</w:t>
            </w:r>
            <w:r>
              <w:rPr>
                <w:rFonts w:hint="eastAsia" w:ascii="宋体" w:hAnsi="宋体" w:eastAsia="宋体" w:cs="宋体"/>
                <w:color w:val="000000" w:themeColor="text1"/>
                <w:sz w:val="24"/>
                <w:szCs w:val="24"/>
                <w:highlight w:val="none"/>
                <w:lang w:val="zh-CN"/>
                <w14:textFill>
                  <w14:solidFill>
                    <w14:schemeClr w14:val="tx1"/>
                  </w14:solidFill>
                </w14:textFill>
              </w:rPr>
              <w:t>建议及策略。</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 xml:space="preserve">（二）评审标准： </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满足以上2点得</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zh-CN"/>
                <w14:textFill>
                  <w14:solidFill>
                    <w14:schemeClr w14:val="tx1"/>
                  </w14:solidFill>
                </w14:textFill>
              </w:rPr>
              <w:t>分，满足</w:t>
            </w:r>
            <w:r>
              <w:rPr>
                <w:rFonts w:hint="eastAsia" w:ascii="宋体" w:hAnsi="宋体" w:cs="宋体"/>
                <w:color w:val="000000" w:themeColor="text1"/>
                <w:sz w:val="24"/>
                <w:szCs w:val="24"/>
                <w:highlight w:val="none"/>
                <w:lang w:val="en-US" w:eastAsia="zh-CN"/>
                <w14:textFill>
                  <w14:solidFill>
                    <w14:schemeClr w14:val="tx1"/>
                  </w14:solidFill>
                </w14:textFill>
              </w:rPr>
              <w:t>任意</w:t>
            </w:r>
            <w:r>
              <w:rPr>
                <w:rFonts w:hint="eastAsia" w:ascii="宋体" w:hAnsi="宋体" w:eastAsia="宋体" w:cs="宋体"/>
                <w:color w:val="000000" w:themeColor="text1"/>
                <w:sz w:val="24"/>
                <w:szCs w:val="24"/>
                <w:highlight w:val="none"/>
                <w:lang w:val="zh-CN"/>
                <w14:textFill>
                  <w14:solidFill>
                    <w14:schemeClr w14:val="tx1"/>
                  </w14:solidFill>
                </w14:textFill>
              </w:rPr>
              <w:t>1点得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分，未满足不得分。在此基础上，评委根据各投标人的具体响应内容按照量化的评审因素指标进一步评审：</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优：对于项目的提升思路、策略与合理性把握准确，设计亮点突出，</w:t>
            </w:r>
            <w:r>
              <w:rPr>
                <w:rFonts w:hint="eastAsia" w:ascii="宋体" w:hAnsi="宋体" w:cs="宋体"/>
                <w:color w:val="000000" w:themeColor="text1"/>
                <w:sz w:val="24"/>
                <w:szCs w:val="24"/>
                <w:highlight w:val="none"/>
                <w:lang w:val="en-US" w:eastAsia="zh-CN"/>
                <w14:textFill>
                  <w14:solidFill>
                    <w14:schemeClr w14:val="tx1"/>
                  </w14:solidFill>
                </w14:textFill>
              </w:rPr>
              <w:t>加7</w:t>
            </w:r>
            <w:r>
              <w:rPr>
                <w:rFonts w:hint="eastAsia" w:ascii="宋体" w:hAnsi="宋体" w:eastAsia="宋体" w:cs="宋体"/>
                <w:color w:val="000000" w:themeColor="text1"/>
                <w:sz w:val="24"/>
                <w:szCs w:val="24"/>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良：对于项目的提升思路、策略与合理性把握较为准确，设计亮点较为突出，</w:t>
            </w:r>
            <w:r>
              <w:rPr>
                <w:rFonts w:hint="eastAsia" w:ascii="宋体" w:hAnsi="宋体" w:cs="宋体"/>
                <w:color w:val="000000" w:themeColor="text1"/>
                <w:sz w:val="24"/>
                <w:szCs w:val="24"/>
                <w:highlight w:val="none"/>
                <w:lang w:val="en-US" w:eastAsia="zh-CN"/>
                <w14:textFill>
                  <w14:solidFill>
                    <w14:schemeClr w14:val="tx1"/>
                  </w14:solidFill>
                </w14:textFill>
              </w:rPr>
              <w:t>加4</w:t>
            </w:r>
            <w:r>
              <w:rPr>
                <w:rFonts w:hint="eastAsia" w:ascii="宋体" w:hAnsi="宋体" w:eastAsia="宋体" w:cs="宋体"/>
                <w:color w:val="000000" w:themeColor="text1"/>
                <w:sz w:val="24"/>
                <w:szCs w:val="24"/>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中：对于项目的提升思路、策略与合理性把握一般，设计亮点一般，</w:t>
            </w:r>
            <w:r>
              <w:rPr>
                <w:rFonts w:hint="eastAsia" w:ascii="宋体" w:hAnsi="宋体" w:cs="宋体"/>
                <w:color w:val="000000" w:themeColor="text1"/>
                <w:sz w:val="24"/>
                <w:szCs w:val="24"/>
                <w:highlight w:val="none"/>
                <w:lang w:val="en-US" w:eastAsia="zh-CN"/>
                <w14:textFill>
                  <w14:solidFill>
                    <w14:schemeClr w14:val="tx1"/>
                  </w14:solidFill>
                </w14:textFill>
              </w:rPr>
              <w:t>加1</w:t>
            </w:r>
            <w:r>
              <w:rPr>
                <w:rFonts w:hint="eastAsia" w:ascii="宋体" w:hAnsi="宋体" w:eastAsia="宋体" w:cs="宋体"/>
                <w:color w:val="000000" w:themeColor="text1"/>
                <w:sz w:val="24"/>
                <w:szCs w:val="24"/>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差：对于项目的提升思路、策略与合理性把握较差，设计亮点较差，不</w:t>
            </w:r>
            <w:r>
              <w:rPr>
                <w:rFonts w:hint="eastAsia" w:ascii="宋体" w:hAnsi="宋体" w:cs="宋体"/>
                <w:color w:val="000000" w:themeColor="text1"/>
                <w:sz w:val="24"/>
                <w:szCs w:val="24"/>
                <w:highlight w:val="none"/>
                <w:lang w:val="en-US" w:eastAsia="zh-CN"/>
                <w14:textFill>
                  <w14:solidFill>
                    <w14:schemeClr w14:val="tx1"/>
                  </w14:solidFill>
                </w14:textFill>
              </w:rPr>
              <w:t>加</w:t>
            </w:r>
            <w:r>
              <w:rPr>
                <w:rFonts w:hint="eastAsia" w:ascii="宋体" w:hAnsi="宋体" w:eastAsia="宋体" w:cs="宋体"/>
                <w:color w:val="000000" w:themeColor="text1"/>
                <w:sz w:val="24"/>
                <w:szCs w:val="24"/>
                <w:highlight w:val="none"/>
                <w:lang w:val="zh-CN"/>
                <w14:textFill>
                  <w14:solidFill>
                    <w14:schemeClr w14:val="tx1"/>
                  </w14:solidFill>
                </w14:textFill>
              </w:rPr>
              <w:t>分。</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工作进度及质量保障措施</w:t>
            </w:r>
          </w:p>
        </w:tc>
        <w:tc>
          <w:tcPr>
            <w:tcW w:w="5992" w:type="dxa"/>
            <w:vAlign w:val="center"/>
          </w:tcPr>
          <w:p>
            <w:pPr>
              <w:autoSpaceDE w:val="0"/>
              <w:autoSpaceDN w:val="0"/>
              <w:adjustRightInd w:val="0"/>
              <w:spacing w:line="360" w:lineRule="auto"/>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（一）评审内容：</w:t>
            </w:r>
          </w:p>
          <w:p>
            <w:pPr>
              <w:autoSpaceDE w:val="0"/>
              <w:autoSpaceDN w:val="0"/>
              <w:adjustRightInd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1.工作组织与进度安排情况</w:t>
            </w:r>
            <w:r>
              <w:rPr>
                <w:rFonts w:hint="eastAsia" w:ascii="宋体" w:hAnsi="宋体" w:eastAsia="宋体" w:cs="宋体"/>
                <w:color w:val="000000" w:themeColor="text1"/>
                <w:sz w:val="24"/>
                <w:szCs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2.质量保障措施</w:t>
            </w:r>
            <w:r>
              <w:rPr>
                <w:rFonts w:hint="eastAsia" w:ascii="宋体" w:hAnsi="宋体" w:eastAsia="宋体" w:cs="宋体"/>
                <w:color w:val="000000" w:themeColor="text1"/>
                <w:sz w:val="24"/>
                <w:szCs w:val="24"/>
                <w:lang w:val="zh-CN"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（二）评审标准：</w:t>
            </w:r>
          </w:p>
          <w:p>
            <w:pPr>
              <w:autoSpaceDE w:val="0"/>
              <w:autoSpaceDN w:val="0"/>
              <w:adjustRightInd w:val="0"/>
              <w:spacing w:line="360" w:lineRule="auto"/>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满足以上2点得</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分，满足</w:t>
            </w:r>
            <w:r>
              <w:rPr>
                <w:rFonts w:hint="eastAsia" w:ascii="宋体" w:hAnsi="宋体" w:cs="宋体"/>
                <w:color w:val="000000" w:themeColor="text1"/>
                <w:sz w:val="24"/>
                <w:szCs w:val="24"/>
                <w:lang w:val="en-US" w:eastAsia="zh-CN"/>
                <w14:textFill>
                  <w14:solidFill>
                    <w14:schemeClr w14:val="tx1"/>
                  </w14:solidFill>
                </w14:textFill>
              </w:rPr>
              <w:t>任意</w:t>
            </w:r>
            <w:r>
              <w:rPr>
                <w:rFonts w:hint="eastAsia" w:ascii="宋体" w:hAnsi="宋体" w:eastAsia="宋体" w:cs="宋体"/>
                <w:color w:val="000000" w:themeColor="text1"/>
                <w:sz w:val="24"/>
                <w:szCs w:val="24"/>
                <w:lang w:val="zh-CN"/>
                <w14:textFill>
                  <w14:solidFill>
                    <w14:schemeClr w14:val="tx1"/>
                  </w14:solidFill>
                </w14:textFill>
              </w:rPr>
              <w:t>1点得</w:t>
            </w:r>
            <w:r>
              <w:rPr>
                <w:rFonts w:hint="eastAsia" w:ascii="宋体" w:hAnsi="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lang w:val="zh-CN"/>
                <w14:textFill>
                  <w14:solidFill>
                    <w14:schemeClr w14:val="tx1"/>
                  </w14:solidFill>
                </w14:textFill>
              </w:rPr>
              <w:t>分，未满足不得分。</w:t>
            </w:r>
            <w:r>
              <w:rPr>
                <w:rFonts w:hint="eastAsia" w:ascii="宋体" w:hAnsi="宋体" w:eastAsia="宋体" w:cs="宋体"/>
                <w:color w:val="000000" w:themeColor="text1"/>
                <w:sz w:val="24"/>
                <w:szCs w:val="24"/>
                <w:highlight w:val="none"/>
                <w:lang w:val="zh-CN"/>
                <w14:textFill>
                  <w14:solidFill>
                    <w14:schemeClr w14:val="tx1"/>
                  </w14:solidFill>
                </w14:textFill>
              </w:rPr>
              <w:t>在此基础上，评委根据各投标人的具体响应内容按照量化的评审因素指标进一步评审：</w:t>
            </w:r>
          </w:p>
          <w:p>
            <w:pPr>
              <w:autoSpaceDE w:val="0"/>
              <w:autoSpaceDN w:val="0"/>
              <w:adjustRightInd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优：对于项目工作组织与进度安排情况</w:t>
            </w:r>
            <w:r>
              <w:rPr>
                <w:rFonts w:hint="eastAsia" w:ascii="宋体" w:hAnsi="宋体" w:eastAsia="宋体" w:cs="宋体"/>
                <w:color w:val="000000" w:themeColor="text1"/>
                <w:sz w:val="24"/>
                <w:szCs w:val="24"/>
                <w:lang w:val="en-US" w:eastAsia="zh-CN"/>
                <w14:textFill>
                  <w14:solidFill>
                    <w14:schemeClr w14:val="tx1"/>
                  </w14:solidFill>
                </w14:textFill>
              </w:rPr>
              <w:t>及保障措施合理可行的</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加</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良：对于项目工作组织与进度安排情况</w:t>
            </w:r>
            <w:r>
              <w:rPr>
                <w:rFonts w:hint="eastAsia" w:ascii="宋体" w:hAnsi="宋体" w:eastAsia="宋体" w:cs="宋体"/>
                <w:color w:val="000000" w:themeColor="text1"/>
                <w:sz w:val="24"/>
                <w:szCs w:val="24"/>
                <w:lang w:val="en-US" w:eastAsia="zh-CN"/>
                <w14:textFill>
                  <w14:solidFill>
                    <w14:schemeClr w14:val="tx1"/>
                  </w14:solidFill>
                </w14:textFill>
              </w:rPr>
              <w:t>及保障措施较为合理可行的</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加</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中：对于项目工作组织与进度安排情况</w:t>
            </w:r>
            <w:r>
              <w:rPr>
                <w:rFonts w:hint="eastAsia" w:ascii="宋体" w:hAnsi="宋体" w:eastAsia="宋体" w:cs="宋体"/>
                <w:color w:val="000000" w:themeColor="text1"/>
                <w:sz w:val="24"/>
                <w:szCs w:val="24"/>
                <w:lang w:val="en-US" w:eastAsia="zh-CN"/>
                <w14:textFill>
                  <w14:solidFill>
                    <w14:schemeClr w14:val="tx1"/>
                  </w14:solidFill>
                </w14:textFill>
              </w:rPr>
              <w:t>及保障措施基本合理可行的</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加</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差：对于项目工作组织与进度安排情况</w:t>
            </w:r>
            <w:r>
              <w:rPr>
                <w:rFonts w:hint="eastAsia" w:ascii="宋体" w:hAnsi="宋体" w:eastAsia="宋体" w:cs="宋体"/>
                <w:color w:val="000000" w:themeColor="text1"/>
                <w:sz w:val="24"/>
                <w:szCs w:val="24"/>
                <w:lang w:val="en-US" w:eastAsia="zh-CN"/>
                <w14:textFill>
                  <w14:solidFill>
                    <w14:schemeClr w14:val="tx1"/>
                  </w14:solidFill>
                </w14:textFill>
              </w:rPr>
              <w:t>及保障措施不合理的</w:t>
            </w:r>
            <w:r>
              <w:rPr>
                <w:rFonts w:hint="eastAsia" w:ascii="宋体" w:hAnsi="宋体" w:eastAsia="宋体" w:cs="宋体"/>
                <w:color w:val="000000" w:themeColor="text1"/>
                <w:sz w:val="24"/>
                <w:szCs w:val="24"/>
                <w:lang w:val="zh-CN"/>
                <w14:textFill>
                  <w14:solidFill>
                    <w14:schemeClr w14:val="tx1"/>
                  </w14:solidFill>
                </w14:textFill>
              </w:rPr>
              <w:t>，不</w:t>
            </w:r>
            <w:r>
              <w:rPr>
                <w:rFonts w:hint="eastAsia" w:ascii="宋体" w:hAnsi="宋体" w:cs="宋体"/>
                <w:color w:val="000000" w:themeColor="text1"/>
                <w:sz w:val="24"/>
                <w:szCs w:val="24"/>
                <w:highlight w:val="none"/>
                <w:lang w:val="en-US" w:eastAsia="zh-CN"/>
                <w14:textFill>
                  <w14:solidFill>
                    <w14:schemeClr w14:val="tx1"/>
                  </w14:solidFill>
                </w14:textFill>
              </w:rPr>
              <w:t>加</w:t>
            </w:r>
            <w:r>
              <w:rPr>
                <w:rFonts w:hint="eastAsia" w:ascii="宋体" w:hAnsi="宋体" w:eastAsia="宋体" w:cs="宋体"/>
                <w:color w:val="000000" w:themeColor="text1"/>
                <w:sz w:val="24"/>
                <w:szCs w:val="24"/>
                <w:lang w:val="zh-CN"/>
                <w14:textFill>
                  <w14:solidFill>
                    <w14:schemeClr w14:val="tx1"/>
                  </w14:solidFill>
                </w14:textFill>
              </w:rPr>
              <w:t>分。</w:t>
            </w:r>
          </w:p>
        </w:tc>
        <w:tc>
          <w:tcPr>
            <w:tcW w:w="816" w:type="dxa"/>
            <w:vAlign w:val="center"/>
          </w:tcPr>
          <w:p>
            <w:pPr>
              <w:autoSpaceDE w:val="0"/>
              <w:autoSpaceDN w:val="0"/>
              <w:adjustRightInd w:val="0"/>
              <w:spacing w:line="360" w:lineRule="auto"/>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bl>
    <w:p>
      <w:pPr>
        <w:pStyle w:val="2"/>
        <w:rPr>
          <w:color w:val="000000" w:themeColor="text1"/>
          <w:highlight w:val="yellow"/>
          <w:lang w:val="fr-CH"/>
          <w14:textFill>
            <w14:solidFill>
              <w14:schemeClr w14:val="tx1"/>
            </w14:solidFill>
          </w14:textFill>
        </w:rPr>
      </w:pPr>
    </w:p>
    <w:p>
      <w:pPr>
        <w:rPr>
          <w:color w:val="000000" w:themeColor="text1"/>
          <w:highlight w:val="yellow"/>
          <w:lang w:val="fr-CH"/>
          <w14:textFill>
            <w14:solidFill>
              <w14:schemeClr w14:val="tx1"/>
            </w14:solidFill>
          </w14:textFill>
        </w:rPr>
      </w:pPr>
    </w:p>
    <w:p>
      <w:pPr>
        <w:rPr>
          <w:rFonts w:hint="eastAsia" w:ascii="宋体" w:hAnsi="宋体" w:cs="宋体"/>
          <w:b/>
          <w:bCs/>
          <w:color w:val="000000" w:themeColor="text1"/>
          <w:sz w:val="24"/>
          <w14:textFill>
            <w14:solidFill>
              <w14:schemeClr w14:val="tx1"/>
            </w14:solidFill>
          </w14:textFill>
        </w:rPr>
      </w:pPr>
      <w:bookmarkStart w:id="58" w:name="_Toc9548"/>
      <w:bookmarkStart w:id="59" w:name="_Hlk28269117"/>
      <w:r>
        <w:rPr>
          <w:rFonts w:hint="eastAsia" w:ascii="宋体" w:hAnsi="宋体" w:cs="宋体"/>
          <w:b/>
          <w:bCs/>
          <w:color w:val="000000" w:themeColor="text1"/>
          <w:sz w:val="24"/>
          <w14:textFill>
            <w14:solidFill>
              <w14:schemeClr w14:val="tx1"/>
            </w14:solidFill>
          </w14:textFill>
        </w:rPr>
        <w:br w:type="page"/>
      </w:r>
    </w:p>
    <w:p>
      <w:p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第七章 附件（投标文件格式）</w:t>
      </w:r>
      <w:bookmarkEnd w:id="58"/>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60" w:name="_Toc5116"/>
      <w:bookmarkStart w:id="61" w:name="_Toc6548"/>
      <w:bookmarkStart w:id="62" w:name="_Toc31827"/>
      <w:bookmarkStart w:id="63" w:name="_Toc19494"/>
      <w:r>
        <w:rPr>
          <w:rFonts w:hint="eastAsia" w:ascii="宋体" w:hAnsi="宋体" w:cs="宋体"/>
          <w:b/>
          <w:bCs/>
          <w:color w:val="000000" w:themeColor="text1"/>
          <w:sz w:val="24"/>
          <w14:textFill>
            <w14:solidFill>
              <w14:schemeClr w14:val="tx1"/>
            </w14:solidFill>
          </w14:textFill>
        </w:rPr>
        <w:t>1、投标文件密封袋/封面参考</w:t>
      </w:r>
      <w:bookmarkEnd w:id="60"/>
      <w:bookmarkEnd w:id="61"/>
      <w:bookmarkEnd w:id="62"/>
      <w:bookmarkEnd w:id="63"/>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2" w:hRule="atLeast"/>
          <w:jc w:val="center"/>
        </w:trPr>
        <w:tc>
          <w:tcPr>
            <w:tcW w:w="8540" w:type="dxa"/>
          </w:tcPr>
          <w:p>
            <w:pPr>
              <w:pStyle w:val="10"/>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10"/>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10"/>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10"/>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10"/>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10"/>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10"/>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0"/>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0"/>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（加盖公章）</w:t>
            </w:r>
          </w:p>
          <w:p>
            <w:pPr>
              <w:pStyle w:val="10"/>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0"/>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0"/>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64" w:name="_Toc16724"/>
      <w:r>
        <w:rPr>
          <w:rFonts w:hint="eastAsia" w:ascii="宋体" w:hAnsi="宋体" w:cs="宋体"/>
          <w:b/>
          <w:color w:val="000000" w:themeColor="text1"/>
          <w:sz w:val="24"/>
          <w14:textFill>
            <w14:solidFill>
              <w14:schemeClr w14:val="tx1"/>
            </w14:solidFill>
          </w14:textFill>
        </w:rPr>
        <w:t>2、投标文件—目录</w:t>
      </w:r>
      <w:bookmarkEnd w:id="64"/>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6"/>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6"/>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7"/>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7"/>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投标人编制经验；</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项目负责人要求（1人）；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项目团队成员（项目负责人除外）；</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8"/>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项目背景理解分析；</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设计思路及理念；</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工作进度及质量保障措施；</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9"/>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21"/>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10"/>
        <w:rPr>
          <w:color w:val="000000" w:themeColor="text1"/>
          <w14:textFill>
            <w14:solidFill>
              <w14:schemeClr w14:val="tx1"/>
            </w14:solidFill>
          </w14:textFill>
        </w:rPr>
      </w:pPr>
    </w:p>
    <w:p>
      <w:pPr>
        <w:numPr>
          <w:ilvl w:val="0"/>
          <w:numId w:val="9"/>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212"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7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数量（工作量）</w:t>
            </w: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w:t>
            </w: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212"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7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028" w:type="dxa"/>
            <w:vAlign w:val="bottom"/>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2212"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7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2"/>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jc w:val="center"/>
        </w:trPr>
        <w:tc>
          <w:tcPr>
            <w:tcW w:w="9000" w:type="dxa"/>
            <w:gridSpan w:val="6"/>
          </w:tcPr>
          <w:p>
            <w:pPr>
              <w:pStyle w:val="12"/>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10"/>
        <w:rPr>
          <w:color w:val="000000" w:themeColor="text1"/>
          <w14:textFill>
            <w14:solidFill>
              <w14:schemeClr w14:val="tx1"/>
            </w14:solidFill>
          </w14:textFill>
        </w:rPr>
      </w:pP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1"/>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1"/>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2"/>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12"/>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12"/>
        <w:spacing w:line="360" w:lineRule="auto"/>
        <w:jc w:val="center"/>
        <w:rPr>
          <w:rFonts w:hint="eastAsia" w:hAnsi="宋体" w:cs="宋体"/>
          <w:b/>
          <w:color w:val="000000" w:themeColor="text1"/>
          <w:sz w:val="24"/>
          <w14:textFill>
            <w14:solidFill>
              <w14:schemeClr w14:val="tx1"/>
            </w14:solidFill>
          </w14:textFill>
        </w:rPr>
      </w:pPr>
    </w:p>
    <w:p>
      <w:pPr>
        <w:pStyle w:val="12"/>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12"/>
        <w:spacing w:line="360" w:lineRule="auto"/>
        <w:rPr>
          <w:rFonts w:hint="eastAsia" w:hAnsi="宋体" w:cs="宋体"/>
          <w:color w:val="000000" w:themeColor="text1"/>
          <w:sz w:val="24"/>
          <w14:textFill>
            <w14:solidFill>
              <w14:schemeClr w14:val="tx1"/>
            </w14:solidFill>
          </w14:textFill>
        </w:rPr>
      </w:pPr>
    </w:p>
    <w:p>
      <w:pPr>
        <w:pStyle w:val="12"/>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12"/>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2"/>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12"/>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0"/>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12"/>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12"/>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12"/>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12"/>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0"/>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投标人编制经验；</w:t>
      </w:r>
    </w:p>
    <w:p>
      <w:pPr>
        <w:numPr>
          <w:ilvl w:val="0"/>
          <w:numId w:val="10"/>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项目负责人要求（1人）；</w:t>
      </w:r>
    </w:p>
    <w:p>
      <w:pPr>
        <w:numPr>
          <w:ilvl w:val="0"/>
          <w:numId w:val="10"/>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项目团队成员（项目负责人除外）；</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2"/>
        <w:spacing w:line="360" w:lineRule="auto"/>
        <w:jc w:val="left"/>
        <w:rPr>
          <w:rFonts w:hint="eastAsia" w:hAnsi="宋体" w:cs="宋体"/>
          <w:color w:val="000000" w:themeColor="text1"/>
          <w:sz w:val="24"/>
          <w14:textFill>
            <w14:solidFill>
              <w14:schemeClr w14:val="tx1"/>
            </w14:solidFill>
          </w14:textFill>
        </w:rPr>
      </w:pPr>
    </w:p>
    <w:p>
      <w:pPr>
        <w:pStyle w:val="12"/>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10"/>
        <w:rPr>
          <w:color w:val="000000" w:themeColor="text1"/>
          <w:lang w:val="fr-CH"/>
          <w14:textFill>
            <w14:solidFill>
              <w14:schemeClr w14:val="tx1"/>
            </w14:solidFill>
          </w14:textFill>
        </w:rPr>
      </w:pP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30"/>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30"/>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30"/>
          <w:rFonts w:hint="eastAsia" w:ascii="宋体" w:hAnsi="宋体" w:cs="宋体"/>
          <w:b/>
          <w:color w:val="000000" w:themeColor="text1"/>
          <w:sz w:val="24"/>
          <w14:textFill>
            <w14:solidFill>
              <w14:schemeClr w14:val="tx1"/>
            </w14:solidFill>
          </w14:textFill>
        </w:rPr>
      </w:pPr>
      <w:r>
        <w:rPr>
          <w:rStyle w:val="30"/>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0"/>
          <w:rFonts w:hint="eastAsia" w:ascii="宋体" w:hAnsi="宋体" w:cs="宋体"/>
          <w:b/>
          <w:color w:val="000000" w:themeColor="text1"/>
          <w:sz w:val="24"/>
          <w14:textFill>
            <w14:solidFill>
              <w14:schemeClr w14:val="tx1"/>
            </w14:solidFill>
          </w14:textFill>
        </w:rPr>
      </w:pPr>
      <w:r>
        <w:rPr>
          <w:rStyle w:val="30"/>
          <w:rFonts w:hint="eastAsia" w:ascii="宋体" w:hAnsi="宋体" w:cs="宋体"/>
          <w:b/>
          <w:color w:val="000000" w:themeColor="text1"/>
          <w:sz w:val="24"/>
          <w14:textFill>
            <w14:solidFill>
              <w14:schemeClr w14:val="tx1"/>
            </w14:solidFill>
          </w14:textFill>
        </w:rPr>
        <w:br w:type="page"/>
      </w:r>
      <w:r>
        <w:rPr>
          <w:rStyle w:val="30"/>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30"/>
          <w:rFonts w:hint="eastAsia" w:ascii="宋体" w:hAnsi="宋体" w:cs="宋体"/>
          <w:color w:val="000000" w:themeColor="text1"/>
          <w:spacing w:val="6"/>
          <w:sz w:val="24"/>
          <w14:textFill>
            <w14:solidFill>
              <w14:schemeClr w14:val="tx1"/>
            </w14:solidFill>
          </w14:textFill>
        </w:rPr>
      </w:pPr>
      <w:r>
        <w:rPr>
          <w:rStyle w:val="30"/>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30"/>
          <w:rFonts w:hint="eastAsia" w:ascii="宋体" w:hAnsi="宋体" w:cs="宋体"/>
          <w:color w:val="000000" w:themeColor="text1"/>
          <w:spacing w:val="6"/>
          <w:sz w:val="24"/>
          <w:u w:val="single"/>
          <w14:textFill>
            <w14:solidFill>
              <w14:schemeClr w14:val="tx1"/>
            </w14:solidFill>
          </w14:textFill>
        </w:rPr>
        <w:t xml:space="preserve"> （采购单位名称） </w:t>
      </w:r>
      <w:r>
        <w:rPr>
          <w:rStyle w:val="30"/>
          <w:rFonts w:hint="eastAsia" w:ascii="宋体" w:hAnsi="宋体" w:cs="宋体"/>
          <w:color w:val="000000" w:themeColor="text1"/>
          <w:spacing w:val="6"/>
          <w:sz w:val="24"/>
          <w14:textFill>
            <w14:solidFill>
              <w14:schemeClr w14:val="tx1"/>
            </w14:solidFill>
          </w14:textFill>
        </w:rPr>
        <w:t>单位的</w:t>
      </w:r>
      <w:r>
        <w:rPr>
          <w:rStyle w:val="30"/>
          <w:rFonts w:hint="eastAsia" w:ascii="宋体" w:hAnsi="宋体" w:cs="宋体"/>
          <w:color w:val="000000" w:themeColor="text1"/>
          <w:spacing w:val="6"/>
          <w:sz w:val="24"/>
          <w:u w:val="single"/>
          <w14:textFill>
            <w14:solidFill>
              <w14:schemeClr w14:val="tx1"/>
            </w14:solidFill>
          </w14:textFill>
        </w:rPr>
        <w:t xml:space="preserve"> （采购项目名称） </w:t>
      </w:r>
      <w:r>
        <w:rPr>
          <w:rStyle w:val="30"/>
          <w:rFonts w:hint="eastAsia" w:ascii="宋体" w:hAnsi="宋体" w:cs="宋体"/>
          <w:color w:val="000000" w:themeColor="text1"/>
          <w:spacing w:val="6"/>
          <w:sz w:val="24"/>
          <w14:textFill>
            <w14:solidFill>
              <w14:schemeClr w14:val="tx1"/>
            </w14:solidFill>
          </w14:textFill>
        </w:rPr>
        <w:t>项目采购</w:t>
      </w:r>
      <w:r>
        <w:rPr>
          <w:rStyle w:val="30"/>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30"/>
          <w:rFonts w:hint="eastAsia" w:ascii="宋体" w:hAnsi="宋体" w:cs="宋体"/>
          <w:color w:val="000000" w:themeColor="text1"/>
          <w:spacing w:val="6"/>
          <w:sz w:val="24"/>
          <w14:textFill>
            <w14:solidFill>
              <w14:schemeClr w14:val="tx1"/>
            </w14:solidFill>
          </w14:textFill>
        </w:rPr>
        <w:t>。</w:t>
      </w:r>
      <w:r>
        <w:rPr>
          <w:rStyle w:val="30"/>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30"/>
          <w:rFonts w:hint="eastAsia" w:ascii="宋体" w:hAnsi="宋体" w:cs="宋体"/>
          <w:color w:val="000000" w:themeColor="text1"/>
          <w:spacing w:val="6"/>
          <w:sz w:val="24"/>
          <w14:textFill>
            <w14:solidFill>
              <w14:schemeClr w14:val="tx1"/>
            </w14:solidFill>
          </w14:textFill>
        </w:rPr>
      </w:pPr>
      <w:r>
        <w:rPr>
          <w:rStyle w:val="30"/>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30"/>
          <w:rFonts w:hint="eastAsia" w:ascii="宋体" w:hAnsi="宋体" w:cs="宋体"/>
          <w:color w:val="000000" w:themeColor="text1"/>
          <w:spacing w:val="6"/>
          <w:sz w:val="24"/>
          <w14:textFill>
            <w14:solidFill>
              <w14:schemeClr w14:val="tx1"/>
            </w14:solidFill>
          </w14:textFill>
        </w:rPr>
      </w:pPr>
      <w:r>
        <w:rPr>
          <w:rStyle w:val="30"/>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30"/>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30"/>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30"/>
          <w:rFonts w:hint="eastAsia" w:ascii="宋体" w:hAnsi="宋体" w:cs="宋体"/>
          <w:color w:val="000000" w:themeColor="text1"/>
          <w:spacing w:val="6"/>
          <w:sz w:val="24"/>
          <w14:textFill>
            <w14:solidFill>
              <w14:schemeClr w14:val="tx1"/>
            </w14:solidFill>
          </w14:textFill>
        </w:rPr>
      </w:pPr>
      <w:r>
        <w:rPr>
          <w:rStyle w:val="30"/>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30"/>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rPr>
          <w:color w:val="000000" w:themeColor="text1"/>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7"/>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7"/>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65" w:name="OLE_LINK9"/>
      <w:r>
        <w:rPr>
          <w:rFonts w:hint="eastAsia" w:ascii="宋体" w:hAnsi="宋体" w:cs="宋体"/>
          <w:b/>
          <w:color w:val="000000" w:themeColor="text1"/>
          <w:sz w:val="28"/>
          <w:szCs w:val="28"/>
          <w14:textFill>
            <w14:solidFill>
              <w14:schemeClr w14:val="tx1"/>
            </w14:solidFill>
          </w14:textFill>
        </w:rPr>
        <w:t>证明</w:t>
      </w:r>
      <w:bookmarkEnd w:id="65"/>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2"/>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66" w:name="OLE_LINK10"/>
      <w:r>
        <w:rPr>
          <w:rFonts w:hint="eastAsia" w:ascii="宋体" w:hAnsi="宋体" w:cs="宋体"/>
          <w:b/>
          <w:color w:val="000000" w:themeColor="text1"/>
          <w:sz w:val="28"/>
          <w:szCs w:val="28"/>
          <w14:textFill>
            <w14:solidFill>
              <w14:schemeClr w14:val="tx1"/>
            </w14:solidFill>
          </w14:textFill>
        </w:rPr>
        <w:t>股权关系证明</w:t>
      </w:r>
      <w:bookmarkEnd w:id="66"/>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10"/>
        <w:spacing w:line="360" w:lineRule="auto"/>
        <w:rPr>
          <w:color w:val="000000" w:themeColor="text1"/>
          <w:lang w:val="fr-CH"/>
          <w14:textFill>
            <w14:solidFill>
              <w14:schemeClr w14:val="tx1"/>
            </w14:solidFill>
          </w14:textFill>
        </w:rPr>
      </w:pP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项目背景理解分析；</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设计思路及理念；</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工作进度及质量保障措施；</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59"/>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67" w:name="_Toc6251"/>
      <w:bookmarkStart w:id="68" w:name="_Toc742"/>
      <w:r>
        <w:rPr>
          <w:rFonts w:hint="eastAsia" w:ascii="宋体" w:hAnsi="宋体" w:cs="宋体"/>
          <w:b/>
          <w:bCs/>
          <w:color w:val="000000" w:themeColor="text1"/>
          <w:sz w:val="24"/>
          <w14:textFill>
            <w14:solidFill>
              <w14:schemeClr w14:val="tx1"/>
            </w14:solidFill>
          </w14:textFill>
        </w:rPr>
        <w:t>附件：相关政策</w:t>
      </w:r>
      <w:bookmarkEnd w:id="67"/>
      <w:bookmarkEnd w:id="68"/>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10"/>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10"/>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10"/>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10"/>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10"/>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10"/>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10"/>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10"/>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10"/>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10"/>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10"/>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10"/>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10"/>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10"/>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10"/>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10"/>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10"/>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10"/>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10"/>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21"/>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31"/>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31"/>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31"/>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31"/>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1"/>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31"/>
              <w:jc w:val="center"/>
              <w:rPr>
                <w:rFonts w:hint="eastAsia"/>
                <w:color w:val="000000" w:themeColor="text1"/>
                <w:sz w:val="24"/>
                <w:szCs w:val="24"/>
                <w14:textFill>
                  <w14:solidFill>
                    <w14:schemeClr w14:val="tx1"/>
                  </w14:solidFill>
                </w14:textFill>
              </w:rPr>
            </w:pPr>
          </w:p>
          <w:p>
            <w:pPr>
              <w:pStyle w:val="31"/>
              <w:jc w:val="center"/>
              <w:rPr>
                <w:rFonts w:hint="eastAsia"/>
                <w:color w:val="000000" w:themeColor="text1"/>
                <w:sz w:val="24"/>
                <w:szCs w:val="24"/>
                <w14:textFill>
                  <w14:solidFill>
                    <w14:schemeClr w14:val="tx1"/>
                  </w14:solidFill>
                </w14:textFill>
              </w:rPr>
            </w:pPr>
          </w:p>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31"/>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10"/>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10"/>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7"/>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10"/>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17"/>
        <w:jc w:val="both"/>
        <w:outlineLvl w:val="9"/>
        <w:rPr>
          <w:rFonts w:hint="eastAsia" w:ascii="宋体" w:hAnsi="宋体" w:eastAsia="宋体" w:cs="宋体"/>
          <w:color w:val="000000" w:themeColor="text1"/>
          <w:sz w:val="24"/>
          <w:szCs w:val="24"/>
          <w14:textFill>
            <w14:solidFill>
              <w14:schemeClr w14:val="tx1"/>
            </w14:solidFill>
          </w14:textFill>
        </w:rPr>
      </w:pPr>
    </w:p>
    <w:p>
      <w:pPr>
        <w:pStyle w:val="17"/>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10"/>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7"/>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6"/>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69" w:name="sendNo"/>
      <w:r>
        <w:rPr>
          <w:rFonts w:hint="eastAsia"/>
          <w:color w:val="000000" w:themeColor="text1"/>
          <w14:textFill>
            <w14:solidFill>
              <w14:schemeClr w14:val="tx1"/>
            </w14:solidFill>
          </w14:textFill>
        </w:rPr>
        <w:t>财库〔</w:t>
      </w:r>
      <w:bookmarkEnd w:id="69"/>
      <w:r>
        <w:rPr>
          <w:rFonts w:hint="eastAsia"/>
          <w:color w:val="000000" w:themeColor="text1"/>
          <w14:textFill>
            <w14:solidFill>
              <w14:schemeClr w14:val="tx1"/>
            </w14:solidFill>
          </w14:textFill>
        </w:rPr>
        <w:t>2017〕141号</w:t>
      </w:r>
    </w:p>
    <w:p>
      <w:pPr>
        <w:pStyle w:val="16"/>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70"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70"/>
      <w:r>
        <w:rPr>
          <w:rFonts w:hint="eastAsia"/>
          <w:color w:val="000000" w:themeColor="text1"/>
          <w14:textFill>
            <w14:solidFill>
              <w14:schemeClr w14:val="tx1"/>
            </w14:solidFill>
          </w14:textFill>
        </w:rPr>
        <w:t>：</w:t>
      </w:r>
    </w:p>
    <w:p>
      <w:pPr>
        <w:pStyle w:val="16"/>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6"/>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6"/>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6"/>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6"/>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6"/>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32"/>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32"/>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33"/>
          <w:rFonts w:hint="eastAsia"/>
          <w:b/>
          <w:bCs/>
          <w:color w:val="000000" w:themeColor="text1"/>
          <w14:textFill>
            <w14:solidFill>
              <w14:schemeClr w14:val="tx1"/>
            </w14:solidFill>
          </w14:textFill>
        </w:rPr>
        <w:t>残疾人福利性单位声明函</w:t>
      </w:r>
    </w:p>
    <w:p>
      <w:pPr>
        <w:pStyle w:val="32"/>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3"/>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2"/>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3"/>
          <w:rFonts w:hint="eastAsia"/>
          <w:color w:val="000000" w:themeColor="text1"/>
          <w14:textFill>
            <w14:solidFill>
              <w14:schemeClr w14:val="tx1"/>
            </w14:solidFill>
          </w14:textFill>
        </w:rPr>
        <w:t>本单位对上述声明的真实性负责。如有虚假，将依法承担相应责任。</w:t>
      </w:r>
    </w:p>
    <w:p>
      <w:pPr>
        <w:pStyle w:val="32"/>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32"/>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33"/>
          <w:rFonts w:hint="eastAsia"/>
          <w:color w:val="000000" w:themeColor="text1"/>
          <w14:textFill>
            <w14:solidFill>
              <w14:schemeClr w14:val="tx1"/>
            </w14:solidFill>
          </w14:textFill>
        </w:rPr>
        <w:t>单位名称（盖章）：</w:t>
      </w:r>
    </w:p>
    <w:p>
      <w:pPr>
        <w:pStyle w:val="32"/>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33"/>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rPr>
          <w:color w:val="000000" w:themeColor="text1"/>
          <w14:textFill>
            <w14:solidFill>
              <w14:schemeClr w14:val="tx1"/>
            </w14:solidFill>
          </w14:textFill>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E8FAF1D-0215-4897-8368-66930F772802}"/>
  </w:font>
  <w:font w:name="黑体">
    <w:panose1 w:val="02010609060101010101"/>
    <w:charset w:val="86"/>
    <w:family w:val="auto"/>
    <w:pitch w:val="default"/>
    <w:sig w:usb0="800002BF" w:usb1="38CF7CFA" w:usb2="00000016" w:usb3="00000000" w:csb0="00040001" w:csb1="00000000"/>
    <w:embedRegular r:id="rId2" w:fontKey="{95CFA693-F39A-4DA6-80D5-5A82CC6CE1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6F4F98E-01A6-4ECC-BDFF-12811F5E090E}"/>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1973AB12-D66C-4F28-A0CC-38558EFB9E67}"/>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000" w:usb1="00000000" w:usb2="00000000" w:usb3="00000000" w:csb0="00000000" w:csb1="00000000"/>
    <w:embedRegular r:id="rId5" w:fontKey="{3BCD7D83-D639-4D4F-A2A5-5B2C7D63503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200A2FAF"/>
    <w:multiLevelType w:val="singleLevel"/>
    <w:tmpl w:val="200A2FAF"/>
    <w:lvl w:ilvl="0" w:tentative="0">
      <w:start w:val="5"/>
      <w:numFmt w:val="decimal"/>
      <w:suff w:val="nothing"/>
      <w:lvlText w:val="（%1）"/>
      <w:lvlJc w:val="left"/>
    </w:lvl>
  </w:abstractNum>
  <w:abstractNum w:abstractNumId="8">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9">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1">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2">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2"/>
  </w:num>
  <w:num w:numId="2">
    <w:abstractNumId w:val="4"/>
  </w:num>
  <w:num w:numId="3">
    <w:abstractNumId w:val="2"/>
  </w:num>
  <w:num w:numId="4">
    <w:abstractNumId w:val="8"/>
  </w:num>
  <w:num w:numId="5">
    <w:abstractNumId w:val="9"/>
  </w:num>
  <w:num w:numId="6">
    <w:abstractNumId w:val="3"/>
  </w:num>
  <w:num w:numId="7">
    <w:abstractNumId w:val="5"/>
  </w:num>
  <w:num w:numId="8">
    <w:abstractNumId w:val="1"/>
  </w:num>
  <w:num w:numId="9">
    <w:abstractNumId w:val="0"/>
  </w:num>
  <w:num w:numId="10">
    <w:abstractNumId w:val="6"/>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04FE6"/>
    <w:rsid w:val="00017862"/>
    <w:rsid w:val="00054471"/>
    <w:rsid w:val="001C60B0"/>
    <w:rsid w:val="001E102D"/>
    <w:rsid w:val="0037030E"/>
    <w:rsid w:val="003A4DB8"/>
    <w:rsid w:val="00441793"/>
    <w:rsid w:val="004E616D"/>
    <w:rsid w:val="006E4653"/>
    <w:rsid w:val="00771B68"/>
    <w:rsid w:val="0089189B"/>
    <w:rsid w:val="00B82957"/>
    <w:rsid w:val="00C93875"/>
    <w:rsid w:val="00D23242"/>
    <w:rsid w:val="00D62CC9"/>
    <w:rsid w:val="00E747E3"/>
    <w:rsid w:val="00F46D15"/>
    <w:rsid w:val="00F72CA9"/>
    <w:rsid w:val="00FF40AC"/>
    <w:rsid w:val="01145951"/>
    <w:rsid w:val="011663ED"/>
    <w:rsid w:val="01211AD4"/>
    <w:rsid w:val="012515C4"/>
    <w:rsid w:val="012D0479"/>
    <w:rsid w:val="01433A3B"/>
    <w:rsid w:val="0157618B"/>
    <w:rsid w:val="019E3125"/>
    <w:rsid w:val="01B446F6"/>
    <w:rsid w:val="01D628BE"/>
    <w:rsid w:val="01EC0334"/>
    <w:rsid w:val="01EF572E"/>
    <w:rsid w:val="020442FF"/>
    <w:rsid w:val="020B6FE8"/>
    <w:rsid w:val="020E3E06"/>
    <w:rsid w:val="02477318"/>
    <w:rsid w:val="025C1016"/>
    <w:rsid w:val="02A80FA1"/>
    <w:rsid w:val="02B81FC4"/>
    <w:rsid w:val="032558AB"/>
    <w:rsid w:val="032F4898"/>
    <w:rsid w:val="036839EA"/>
    <w:rsid w:val="036D7252"/>
    <w:rsid w:val="037800D1"/>
    <w:rsid w:val="037C7496"/>
    <w:rsid w:val="038D16A3"/>
    <w:rsid w:val="038E26A7"/>
    <w:rsid w:val="0396194E"/>
    <w:rsid w:val="03993BA4"/>
    <w:rsid w:val="03B24C65"/>
    <w:rsid w:val="03B54992"/>
    <w:rsid w:val="03BB1D6C"/>
    <w:rsid w:val="03D167CD"/>
    <w:rsid w:val="03E5503B"/>
    <w:rsid w:val="03FF0592"/>
    <w:rsid w:val="03FF56E1"/>
    <w:rsid w:val="040B5B34"/>
    <w:rsid w:val="040C3CF2"/>
    <w:rsid w:val="04191764"/>
    <w:rsid w:val="044E26AD"/>
    <w:rsid w:val="045A0087"/>
    <w:rsid w:val="04640655"/>
    <w:rsid w:val="048C5BE2"/>
    <w:rsid w:val="04972A57"/>
    <w:rsid w:val="049A4077"/>
    <w:rsid w:val="049D5915"/>
    <w:rsid w:val="04A919F3"/>
    <w:rsid w:val="04AC3B33"/>
    <w:rsid w:val="04D035F5"/>
    <w:rsid w:val="04D255BF"/>
    <w:rsid w:val="04E15802"/>
    <w:rsid w:val="050D4546"/>
    <w:rsid w:val="054F4E62"/>
    <w:rsid w:val="05525F81"/>
    <w:rsid w:val="058F5A54"/>
    <w:rsid w:val="05A30D0A"/>
    <w:rsid w:val="05D438B9"/>
    <w:rsid w:val="05F15671"/>
    <w:rsid w:val="05F652DD"/>
    <w:rsid w:val="05F94DCD"/>
    <w:rsid w:val="060A7F0C"/>
    <w:rsid w:val="0616772D"/>
    <w:rsid w:val="06345E06"/>
    <w:rsid w:val="06386398"/>
    <w:rsid w:val="06416BB8"/>
    <w:rsid w:val="06456265"/>
    <w:rsid w:val="06CE1F71"/>
    <w:rsid w:val="06D01FD2"/>
    <w:rsid w:val="06E415DA"/>
    <w:rsid w:val="07000B16"/>
    <w:rsid w:val="070D0B30"/>
    <w:rsid w:val="07200C9D"/>
    <w:rsid w:val="073A5410"/>
    <w:rsid w:val="0754675F"/>
    <w:rsid w:val="076B39F3"/>
    <w:rsid w:val="076F5347"/>
    <w:rsid w:val="0775167C"/>
    <w:rsid w:val="07A0765A"/>
    <w:rsid w:val="07BD13EE"/>
    <w:rsid w:val="07CF36C6"/>
    <w:rsid w:val="080A5070"/>
    <w:rsid w:val="084E684E"/>
    <w:rsid w:val="084F5179"/>
    <w:rsid w:val="089D5EE4"/>
    <w:rsid w:val="08AE6343"/>
    <w:rsid w:val="08AF2F0D"/>
    <w:rsid w:val="08C45350"/>
    <w:rsid w:val="08EF6AC2"/>
    <w:rsid w:val="09185F2E"/>
    <w:rsid w:val="091E5277"/>
    <w:rsid w:val="092C2AB7"/>
    <w:rsid w:val="093C394F"/>
    <w:rsid w:val="095505E7"/>
    <w:rsid w:val="096C4D6B"/>
    <w:rsid w:val="09772BD9"/>
    <w:rsid w:val="09774987"/>
    <w:rsid w:val="097815DF"/>
    <w:rsid w:val="098E31D7"/>
    <w:rsid w:val="09C149B3"/>
    <w:rsid w:val="09D57431"/>
    <w:rsid w:val="09D9508C"/>
    <w:rsid w:val="09E75EDE"/>
    <w:rsid w:val="09F47D86"/>
    <w:rsid w:val="09F90D53"/>
    <w:rsid w:val="0A3B3CB9"/>
    <w:rsid w:val="0A3D797F"/>
    <w:rsid w:val="0A3E54A5"/>
    <w:rsid w:val="0A570314"/>
    <w:rsid w:val="0A7F6940"/>
    <w:rsid w:val="0A904DFA"/>
    <w:rsid w:val="0A962578"/>
    <w:rsid w:val="0B1D330C"/>
    <w:rsid w:val="0B872ED2"/>
    <w:rsid w:val="0B8D66E4"/>
    <w:rsid w:val="0BA12829"/>
    <w:rsid w:val="0BB45AA2"/>
    <w:rsid w:val="0BCB720C"/>
    <w:rsid w:val="0BDC4F75"/>
    <w:rsid w:val="0BE85AA6"/>
    <w:rsid w:val="0BF0642E"/>
    <w:rsid w:val="0C23344D"/>
    <w:rsid w:val="0C2506CA"/>
    <w:rsid w:val="0C393981"/>
    <w:rsid w:val="0C3B7EEE"/>
    <w:rsid w:val="0C4310EE"/>
    <w:rsid w:val="0CA03970"/>
    <w:rsid w:val="0CEE48A7"/>
    <w:rsid w:val="0D0B2017"/>
    <w:rsid w:val="0D136775"/>
    <w:rsid w:val="0D244BFF"/>
    <w:rsid w:val="0D373A0B"/>
    <w:rsid w:val="0D4E1EA3"/>
    <w:rsid w:val="0D5D3E94"/>
    <w:rsid w:val="0D6214AA"/>
    <w:rsid w:val="0D63594E"/>
    <w:rsid w:val="0D703BC7"/>
    <w:rsid w:val="0D907DC5"/>
    <w:rsid w:val="0D9F44AC"/>
    <w:rsid w:val="0DAC6849"/>
    <w:rsid w:val="0DCF21C8"/>
    <w:rsid w:val="0DDA54E4"/>
    <w:rsid w:val="0DFE5677"/>
    <w:rsid w:val="0E034A3B"/>
    <w:rsid w:val="0E19425F"/>
    <w:rsid w:val="0E19600D"/>
    <w:rsid w:val="0E2624D8"/>
    <w:rsid w:val="0E356BBF"/>
    <w:rsid w:val="0E4219DB"/>
    <w:rsid w:val="0E793654"/>
    <w:rsid w:val="0EA97268"/>
    <w:rsid w:val="0EAF071F"/>
    <w:rsid w:val="0ED35847"/>
    <w:rsid w:val="0ED40186"/>
    <w:rsid w:val="0ED802FF"/>
    <w:rsid w:val="0EE20AF5"/>
    <w:rsid w:val="0F072309"/>
    <w:rsid w:val="0F0942D3"/>
    <w:rsid w:val="0F0E3698"/>
    <w:rsid w:val="0F6A2898"/>
    <w:rsid w:val="0F6B6D3C"/>
    <w:rsid w:val="0F851480"/>
    <w:rsid w:val="0FA1450C"/>
    <w:rsid w:val="0FC14BAE"/>
    <w:rsid w:val="0FDC3796"/>
    <w:rsid w:val="0FF74205"/>
    <w:rsid w:val="1008458B"/>
    <w:rsid w:val="100D4B83"/>
    <w:rsid w:val="106D0892"/>
    <w:rsid w:val="108F25B6"/>
    <w:rsid w:val="10947BCD"/>
    <w:rsid w:val="11286567"/>
    <w:rsid w:val="1131366D"/>
    <w:rsid w:val="113D64B6"/>
    <w:rsid w:val="11447845"/>
    <w:rsid w:val="11AC7198"/>
    <w:rsid w:val="11B22B48"/>
    <w:rsid w:val="11BD75F7"/>
    <w:rsid w:val="11E20D72"/>
    <w:rsid w:val="121C256F"/>
    <w:rsid w:val="124318AA"/>
    <w:rsid w:val="12631F4C"/>
    <w:rsid w:val="126E3EB0"/>
    <w:rsid w:val="12747CB6"/>
    <w:rsid w:val="129C720C"/>
    <w:rsid w:val="12D9220E"/>
    <w:rsid w:val="12F17B2E"/>
    <w:rsid w:val="13157F9E"/>
    <w:rsid w:val="136071FB"/>
    <w:rsid w:val="13660293"/>
    <w:rsid w:val="13737F6D"/>
    <w:rsid w:val="137B7981"/>
    <w:rsid w:val="138959E3"/>
    <w:rsid w:val="138F7287"/>
    <w:rsid w:val="139B1132"/>
    <w:rsid w:val="139B74C4"/>
    <w:rsid w:val="13C056B4"/>
    <w:rsid w:val="13E87CB7"/>
    <w:rsid w:val="140C1FE5"/>
    <w:rsid w:val="141650CD"/>
    <w:rsid w:val="141D612B"/>
    <w:rsid w:val="145533A6"/>
    <w:rsid w:val="14740441"/>
    <w:rsid w:val="148443FC"/>
    <w:rsid w:val="1497412F"/>
    <w:rsid w:val="149F2FE4"/>
    <w:rsid w:val="14A423A8"/>
    <w:rsid w:val="14EC25CE"/>
    <w:rsid w:val="150C0679"/>
    <w:rsid w:val="153100AC"/>
    <w:rsid w:val="154F67B8"/>
    <w:rsid w:val="158D6BDD"/>
    <w:rsid w:val="15D33824"/>
    <w:rsid w:val="15E92BC7"/>
    <w:rsid w:val="15FD3709"/>
    <w:rsid w:val="160464D3"/>
    <w:rsid w:val="16157A01"/>
    <w:rsid w:val="16493207"/>
    <w:rsid w:val="164B0365"/>
    <w:rsid w:val="16685D83"/>
    <w:rsid w:val="166938A9"/>
    <w:rsid w:val="167A7865"/>
    <w:rsid w:val="167F6351"/>
    <w:rsid w:val="168B1A72"/>
    <w:rsid w:val="16C32C88"/>
    <w:rsid w:val="16C358AF"/>
    <w:rsid w:val="16D637FC"/>
    <w:rsid w:val="16F76FA7"/>
    <w:rsid w:val="172A3039"/>
    <w:rsid w:val="1763654B"/>
    <w:rsid w:val="1773288D"/>
    <w:rsid w:val="178D1D96"/>
    <w:rsid w:val="17966920"/>
    <w:rsid w:val="17B40B54"/>
    <w:rsid w:val="17CA65CA"/>
    <w:rsid w:val="17F35B20"/>
    <w:rsid w:val="180B1483"/>
    <w:rsid w:val="180C273E"/>
    <w:rsid w:val="183459BE"/>
    <w:rsid w:val="183D7B1A"/>
    <w:rsid w:val="1840688C"/>
    <w:rsid w:val="184F3D45"/>
    <w:rsid w:val="18BE7B6B"/>
    <w:rsid w:val="18D019BE"/>
    <w:rsid w:val="18E37943"/>
    <w:rsid w:val="18FA239B"/>
    <w:rsid w:val="190B2632"/>
    <w:rsid w:val="191C4C03"/>
    <w:rsid w:val="194D3428"/>
    <w:rsid w:val="19575C3B"/>
    <w:rsid w:val="195B397D"/>
    <w:rsid w:val="19622F5E"/>
    <w:rsid w:val="19882298"/>
    <w:rsid w:val="19946E8F"/>
    <w:rsid w:val="199E39C2"/>
    <w:rsid w:val="19A8293B"/>
    <w:rsid w:val="19B4308D"/>
    <w:rsid w:val="19D41982"/>
    <w:rsid w:val="19E219A9"/>
    <w:rsid w:val="19E73463"/>
    <w:rsid w:val="1A332204"/>
    <w:rsid w:val="1A7F3E24"/>
    <w:rsid w:val="1A9A5D1C"/>
    <w:rsid w:val="1AC217DA"/>
    <w:rsid w:val="1AFE2C2B"/>
    <w:rsid w:val="1B1F09DB"/>
    <w:rsid w:val="1B6F1962"/>
    <w:rsid w:val="1B982FF3"/>
    <w:rsid w:val="1BD619E1"/>
    <w:rsid w:val="1BD971F4"/>
    <w:rsid w:val="1BDA2117"/>
    <w:rsid w:val="1BDB6FF7"/>
    <w:rsid w:val="1BEA548C"/>
    <w:rsid w:val="1C0F2CE1"/>
    <w:rsid w:val="1C224C26"/>
    <w:rsid w:val="1C623275"/>
    <w:rsid w:val="1C762226"/>
    <w:rsid w:val="1CA8197B"/>
    <w:rsid w:val="1D0D31E0"/>
    <w:rsid w:val="1D1C78C7"/>
    <w:rsid w:val="1D7F1C04"/>
    <w:rsid w:val="1D864D41"/>
    <w:rsid w:val="1DC64109"/>
    <w:rsid w:val="1DD10C77"/>
    <w:rsid w:val="1DD821DB"/>
    <w:rsid w:val="1DD84EE2"/>
    <w:rsid w:val="1DE21BFC"/>
    <w:rsid w:val="1DEA52D0"/>
    <w:rsid w:val="1E2702D2"/>
    <w:rsid w:val="1EC575F3"/>
    <w:rsid w:val="1ECC0E79"/>
    <w:rsid w:val="1EFB350D"/>
    <w:rsid w:val="1F126AC2"/>
    <w:rsid w:val="1F1840BF"/>
    <w:rsid w:val="1F2760B0"/>
    <w:rsid w:val="1F503858"/>
    <w:rsid w:val="1F515A39"/>
    <w:rsid w:val="1F69532E"/>
    <w:rsid w:val="1F7C63FB"/>
    <w:rsid w:val="1F9803AC"/>
    <w:rsid w:val="1FFD411B"/>
    <w:rsid w:val="203D01A7"/>
    <w:rsid w:val="2087367A"/>
    <w:rsid w:val="209F2A54"/>
    <w:rsid w:val="20B47E17"/>
    <w:rsid w:val="20D73ACA"/>
    <w:rsid w:val="20FD1BD4"/>
    <w:rsid w:val="20FD356C"/>
    <w:rsid w:val="211B1C44"/>
    <w:rsid w:val="212E5E1B"/>
    <w:rsid w:val="21671CF6"/>
    <w:rsid w:val="217557F8"/>
    <w:rsid w:val="218E0668"/>
    <w:rsid w:val="21B856E5"/>
    <w:rsid w:val="21E93AF0"/>
    <w:rsid w:val="21ED1832"/>
    <w:rsid w:val="2221328A"/>
    <w:rsid w:val="227B6E3E"/>
    <w:rsid w:val="228D764F"/>
    <w:rsid w:val="229C6DE9"/>
    <w:rsid w:val="22D64075"/>
    <w:rsid w:val="22E76282"/>
    <w:rsid w:val="230E7CB2"/>
    <w:rsid w:val="231150AD"/>
    <w:rsid w:val="233E412D"/>
    <w:rsid w:val="233E7DBC"/>
    <w:rsid w:val="2349026B"/>
    <w:rsid w:val="23BD5235"/>
    <w:rsid w:val="23C465C3"/>
    <w:rsid w:val="23CD1D77"/>
    <w:rsid w:val="24281889"/>
    <w:rsid w:val="24577437"/>
    <w:rsid w:val="24961D0D"/>
    <w:rsid w:val="24B403E6"/>
    <w:rsid w:val="24C90A33"/>
    <w:rsid w:val="24F074D1"/>
    <w:rsid w:val="25022231"/>
    <w:rsid w:val="251A0B90"/>
    <w:rsid w:val="251A3303"/>
    <w:rsid w:val="2547125A"/>
    <w:rsid w:val="25545725"/>
    <w:rsid w:val="25710085"/>
    <w:rsid w:val="25853B30"/>
    <w:rsid w:val="2593449F"/>
    <w:rsid w:val="25C32FD6"/>
    <w:rsid w:val="25CA1509"/>
    <w:rsid w:val="25EC437E"/>
    <w:rsid w:val="260450DB"/>
    <w:rsid w:val="260E7FC9"/>
    <w:rsid w:val="261E645E"/>
    <w:rsid w:val="264F486A"/>
    <w:rsid w:val="26625BC2"/>
    <w:rsid w:val="269E208E"/>
    <w:rsid w:val="26A050C5"/>
    <w:rsid w:val="26A54F0B"/>
    <w:rsid w:val="26BE19EF"/>
    <w:rsid w:val="26D7485F"/>
    <w:rsid w:val="26E02441"/>
    <w:rsid w:val="26E054C2"/>
    <w:rsid w:val="270645C5"/>
    <w:rsid w:val="2707406D"/>
    <w:rsid w:val="27191DB9"/>
    <w:rsid w:val="275639D6"/>
    <w:rsid w:val="2781787A"/>
    <w:rsid w:val="279D1605"/>
    <w:rsid w:val="27B5694E"/>
    <w:rsid w:val="27CE5C62"/>
    <w:rsid w:val="27DF39CB"/>
    <w:rsid w:val="28355CE1"/>
    <w:rsid w:val="28440A5B"/>
    <w:rsid w:val="284C045D"/>
    <w:rsid w:val="285048C9"/>
    <w:rsid w:val="28846049"/>
    <w:rsid w:val="28E31299"/>
    <w:rsid w:val="28EF4F44"/>
    <w:rsid w:val="290556B4"/>
    <w:rsid w:val="29257B04"/>
    <w:rsid w:val="292A6EC8"/>
    <w:rsid w:val="29540304"/>
    <w:rsid w:val="295C0655"/>
    <w:rsid w:val="296950CB"/>
    <w:rsid w:val="29695C42"/>
    <w:rsid w:val="29A5570A"/>
    <w:rsid w:val="29A63C37"/>
    <w:rsid w:val="29B570DA"/>
    <w:rsid w:val="29D62BAC"/>
    <w:rsid w:val="29F00112"/>
    <w:rsid w:val="2A697EC4"/>
    <w:rsid w:val="2A900FAD"/>
    <w:rsid w:val="2A9C2D33"/>
    <w:rsid w:val="2AA119FC"/>
    <w:rsid w:val="2AF27EBA"/>
    <w:rsid w:val="2AF7102C"/>
    <w:rsid w:val="2AFC0D9C"/>
    <w:rsid w:val="2B45623B"/>
    <w:rsid w:val="2B794137"/>
    <w:rsid w:val="2B7F70A5"/>
    <w:rsid w:val="2B8C5C18"/>
    <w:rsid w:val="2B960845"/>
    <w:rsid w:val="2BB1742D"/>
    <w:rsid w:val="2BBF0C1C"/>
    <w:rsid w:val="2BC41327"/>
    <w:rsid w:val="2BFA5278"/>
    <w:rsid w:val="2C005095"/>
    <w:rsid w:val="2C17011F"/>
    <w:rsid w:val="2C1D2D14"/>
    <w:rsid w:val="2C2220D9"/>
    <w:rsid w:val="2C2B3086"/>
    <w:rsid w:val="2C387B4E"/>
    <w:rsid w:val="2C525562"/>
    <w:rsid w:val="2C610E53"/>
    <w:rsid w:val="2C755D0D"/>
    <w:rsid w:val="2CA13945"/>
    <w:rsid w:val="2CAC2A7B"/>
    <w:rsid w:val="2CB951EB"/>
    <w:rsid w:val="2CC24314"/>
    <w:rsid w:val="2CDD07AF"/>
    <w:rsid w:val="2CF0667B"/>
    <w:rsid w:val="2CF90D9F"/>
    <w:rsid w:val="2D69418A"/>
    <w:rsid w:val="2D9B2143"/>
    <w:rsid w:val="2D9E319D"/>
    <w:rsid w:val="2DAF47F9"/>
    <w:rsid w:val="2DB33930"/>
    <w:rsid w:val="2DB86843"/>
    <w:rsid w:val="2DE57862"/>
    <w:rsid w:val="2DED474D"/>
    <w:rsid w:val="2DFE6E37"/>
    <w:rsid w:val="2E1741F6"/>
    <w:rsid w:val="2E36630F"/>
    <w:rsid w:val="2E823302"/>
    <w:rsid w:val="2EC102CF"/>
    <w:rsid w:val="2ED31DB0"/>
    <w:rsid w:val="2EDD0C2B"/>
    <w:rsid w:val="2F223C93"/>
    <w:rsid w:val="2F3445FD"/>
    <w:rsid w:val="2F535856"/>
    <w:rsid w:val="2F57653D"/>
    <w:rsid w:val="2F6B1FE9"/>
    <w:rsid w:val="2F762E67"/>
    <w:rsid w:val="2FAC4ADB"/>
    <w:rsid w:val="2FFE2E5D"/>
    <w:rsid w:val="301F52AD"/>
    <w:rsid w:val="302428C3"/>
    <w:rsid w:val="3034552F"/>
    <w:rsid w:val="30413E8E"/>
    <w:rsid w:val="304271ED"/>
    <w:rsid w:val="3075313F"/>
    <w:rsid w:val="30760C45"/>
    <w:rsid w:val="30963095"/>
    <w:rsid w:val="30A9101A"/>
    <w:rsid w:val="30AE4883"/>
    <w:rsid w:val="30F11D05"/>
    <w:rsid w:val="30F45B82"/>
    <w:rsid w:val="30FA3624"/>
    <w:rsid w:val="310426F5"/>
    <w:rsid w:val="311A5A74"/>
    <w:rsid w:val="312D57A8"/>
    <w:rsid w:val="312E5FEB"/>
    <w:rsid w:val="31A6555A"/>
    <w:rsid w:val="31C76D4C"/>
    <w:rsid w:val="31D356B0"/>
    <w:rsid w:val="31E00A6C"/>
    <w:rsid w:val="31FE21A5"/>
    <w:rsid w:val="32220E91"/>
    <w:rsid w:val="322A0611"/>
    <w:rsid w:val="32463916"/>
    <w:rsid w:val="324A23F5"/>
    <w:rsid w:val="326276D3"/>
    <w:rsid w:val="32851613"/>
    <w:rsid w:val="32954E27"/>
    <w:rsid w:val="32BF7DFB"/>
    <w:rsid w:val="32C97752"/>
    <w:rsid w:val="32E1603D"/>
    <w:rsid w:val="32F02F31"/>
    <w:rsid w:val="33323549"/>
    <w:rsid w:val="33751688"/>
    <w:rsid w:val="3381002D"/>
    <w:rsid w:val="338A7FAD"/>
    <w:rsid w:val="339C4E66"/>
    <w:rsid w:val="33ED018B"/>
    <w:rsid w:val="33FB1B8D"/>
    <w:rsid w:val="34060532"/>
    <w:rsid w:val="34207846"/>
    <w:rsid w:val="34305F32"/>
    <w:rsid w:val="3434236D"/>
    <w:rsid w:val="34433534"/>
    <w:rsid w:val="34916467"/>
    <w:rsid w:val="349A75F8"/>
    <w:rsid w:val="34B232D3"/>
    <w:rsid w:val="34BD5AEB"/>
    <w:rsid w:val="34C46423"/>
    <w:rsid w:val="34EB7E53"/>
    <w:rsid w:val="34EE34A0"/>
    <w:rsid w:val="35156C7E"/>
    <w:rsid w:val="35213875"/>
    <w:rsid w:val="353A4937"/>
    <w:rsid w:val="353A66E5"/>
    <w:rsid w:val="353F5AA9"/>
    <w:rsid w:val="35586B6B"/>
    <w:rsid w:val="35A3428A"/>
    <w:rsid w:val="35BE328B"/>
    <w:rsid w:val="35C30A55"/>
    <w:rsid w:val="35C661CB"/>
    <w:rsid w:val="35D07049"/>
    <w:rsid w:val="35E11256"/>
    <w:rsid w:val="35EF65E1"/>
    <w:rsid w:val="35F74A58"/>
    <w:rsid w:val="35FE5964"/>
    <w:rsid w:val="36034D29"/>
    <w:rsid w:val="3609300A"/>
    <w:rsid w:val="362C191E"/>
    <w:rsid w:val="365E5169"/>
    <w:rsid w:val="366D4BC8"/>
    <w:rsid w:val="366E760D"/>
    <w:rsid w:val="367B6FB5"/>
    <w:rsid w:val="369066FC"/>
    <w:rsid w:val="369334DC"/>
    <w:rsid w:val="36AC7588"/>
    <w:rsid w:val="36C21C3F"/>
    <w:rsid w:val="36D33C63"/>
    <w:rsid w:val="36F318CB"/>
    <w:rsid w:val="37023232"/>
    <w:rsid w:val="372A42BA"/>
    <w:rsid w:val="375E2A17"/>
    <w:rsid w:val="377744E3"/>
    <w:rsid w:val="3795529C"/>
    <w:rsid w:val="379E11AD"/>
    <w:rsid w:val="37E42938"/>
    <w:rsid w:val="37F708BD"/>
    <w:rsid w:val="38082ACA"/>
    <w:rsid w:val="38314519"/>
    <w:rsid w:val="38336D98"/>
    <w:rsid w:val="386C3059"/>
    <w:rsid w:val="3891486E"/>
    <w:rsid w:val="38E60960"/>
    <w:rsid w:val="38F512A1"/>
    <w:rsid w:val="39406294"/>
    <w:rsid w:val="39416F45"/>
    <w:rsid w:val="394A3E0E"/>
    <w:rsid w:val="394B1EE3"/>
    <w:rsid w:val="396B1563"/>
    <w:rsid w:val="396E1053"/>
    <w:rsid w:val="39E3546E"/>
    <w:rsid w:val="3A257964"/>
    <w:rsid w:val="3A3A5061"/>
    <w:rsid w:val="3A3C6A5B"/>
    <w:rsid w:val="3A4678DA"/>
    <w:rsid w:val="3A4727AD"/>
    <w:rsid w:val="3A555D6F"/>
    <w:rsid w:val="3A571AE7"/>
    <w:rsid w:val="3A6F0BDF"/>
    <w:rsid w:val="3A86417A"/>
    <w:rsid w:val="3A8D375B"/>
    <w:rsid w:val="3AAA60BB"/>
    <w:rsid w:val="3AD84A09"/>
    <w:rsid w:val="3AE214AE"/>
    <w:rsid w:val="3B0D21A6"/>
    <w:rsid w:val="3B124BB9"/>
    <w:rsid w:val="3B2220F5"/>
    <w:rsid w:val="3B247C1B"/>
    <w:rsid w:val="3B5878C5"/>
    <w:rsid w:val="3B7A5A8D"/>
    <w:rsid w:val="3B903503"/>
    <w:rsid w:val="3BA05290"/>
    <w:rsid w:val="3BB0325D"/>
    <w:rsid w:val="3C045EE9"/>
    <w:rsid w:val="3C2459F9"/>
    <w:rsid w:val="3C3A2B60"/>
    <w:rsid w:val="3C4B567C"/>
    <w:rsid w:val="3C6C6886"/>
    <w:rsid w:val="3C710A9B"/>
    <w:rsid w:val="3C740B22"/>
    <w:rsid w:val="3C942B7F"/>
    <w:rsid w:val="3C9613C2"/>
    <w:rsid w:val="3CA37266"/>
    <w:rsid w:val="3CA803D8"/>
    <w:rsid w:val="3CA8662A"/>
    <w:rsid w:val="3CAB3899"/>
    <w:rsid w:val="3CE75344"/>
    <w:rsid w:val="3CF4361D"/>
    <w:rsid w:val="3CF76527"/>
    <w:rsid w:val="3D315030"/>
    <w:rsid w:val="3D385C00"/>
    <w:rsid w:val="3D463DBE"/>
    <w:rsid w:val="3D4B05F7"/>
    <w:rsid w:val="3D536F54"/>
    <w:rsid w:val="3D7F365D"/>
    <w:rsid w:val="3D80667C"/>
    <w:rsid w:val="3D8F1598"/>
    <w:rsid w:val="3D931DA2"/>
    <w:rsid w:val="3D934BE4"/>
    <w:rsid w:val="3D995F73"/>
    <w:rsid w:val="3DE2791A"/>
    <w:rsid w:val="3DF02037"/>
    <w:rsid w:val="3DFD7B27"/>
    <w:rsid w:val="3E0B50C2"/>
    <w:rsid w:val="3E0E4BB3"/>
    <w:rsid w:val="3E22515D"/>
    <w:rsid w:val="3E263CAA"/>
    <w:rsid w:val="3E396CAE"/>
    <w:rsid w:val="3E506F79"/>
    <w:rsid w:val="3E614CE2"/>
    <w:rsid w:val="3E78202C"/>
    <w:rsid w:val="3E7D047A"/>
    <w:rsid w:val="3EA62247"/>
    <w:rsid w:val="3EC82FB3"/>
    <w:rsid w:val="3ED05615"/>
    <w:rsid w:val="3F0F473E"/>
    <w:rsid w:val="3F250AB4"/>
    <w:rsid w:val="3F2F6B8F"/>
    <w:rsid w:val="3F6251B6"/>
    <w:rsid w:val="3F7E3CCE"/>
    <w:rsid w:val="3F9115F7"/>
    <w:rsid w:val="3FB3156E"/>
    <w:rsid w:val="3FB65AD9"/>
    <w:rsid w:val="3FBA0B4E"/>
    <w:rsid w:val="3FD339BE"/>
    <w:rsid w:val="3FE05723"/>
    <w:rsid w:val="40185875"/>
    <w:rsid w:val="402C0554"/>
    <w:rsid w:val="403D6978"/>
    <w:rsid w:val="40452C81"/>
    <w:rsid w:val="40582115"/>
    <w:rsid w:val="405D1A2A"/>
    <w:rsid w:val="405E0525"/>
    <w:rsid w:val="40646D0C"/>
    <w:rsid w:val="40955117"/>
    <w:rsid w:val="40AD420F"/>
    <w:rsid w:val="410762AC"/>
    <w:rsid w:val="41151DB4"/>
    <w:rsid w:val="41601F71"/>
    <w:rsid w:val="41932D5F"/>
    <w:rsid w:val="41A05B22"/>
    <w:rsid w:val="41AF2209"/>
    <w:rsid w:val="41C95079"/>
    <w:rsid w:val="41EA3241"/>
    <w:rsid w:val="41FF4F3E"/>
    <w:rsid w:val="420A6C99"/>
    <w:rsid w:val="42312C1E"/>
    <w:rsid w:val="423408FB"/>
    <w:rsid w:val="42925DB2"/>
    <w:rsid w:val="42B52A5A"/>
    <w:rsid w:val="42EB4309"/>
    <w:rsid w:val="42F16099"/>
    <w:rsid w:val="433429C6"/>
    <w:rsid w:val="435C016E"/>
    <w:rsid w:val="437159C8"/>
    <w:rsid w:val="43AE09CA"/>
    <w:rsid w:val="43B91888"/>
    <w:rsid w:val="43C95804"/>
    <w:rsid w:val="4403491A"/>
    <w:rsid w:val="445826D6"/>
    <w:rsid w:val="44703ED1"/>
    <w:rsid w:val="447F4114"/>
    <w:rsid w:val="448917EC"/>
    <w:rsid w:val="44A2710B"/>
    <w:rsid w:val="44BE2144"/>
    <w:rsid w:val="44C1472D"/>
    <w:rsid w:val="44CD30D2"/>
    <w:rsid w:val="44D3620E"/>
    <w:rsid w:val="44E4041B"/>
    <w:rsid w:val="44FC7513"/>
    <w:rsid w:val="450D39DC"/>
    <w:rsid w:val="45141548"/>
    <w:rsid w:val="452C0D9A"/>
    <w:rsid w:val="452F78E8"/>
    <w:rsid w:val="45686B2D"/>
    <w:rsid w:val="457E78C3"/>
    <w:rsid w:val="457F0202"/>
    <w:rsid w:val="457F1EF2"/>
    <w:rsid w:val="45806396"/>
    <w:rsid w:val="45DB3EF9"/>
    <w:rsid w:val="45E85CE9"/>
    <w:rsid w:val="46032B23"/>
    <w:rsid w:val="46317690"/>
    <w:rsid w:val="463A1ECC"/>
    <w:rsid w:val="46B81CA9"/>
    <w:rsid w:val="46E62229"/>
    <w:rsid w:val="46ED1809"/>
    <w:rsid w:val="46FA3F26"/>
    <w:rsid w:val="47024B89"/>
    <w:rsid w:val="470C6541"/>
    <w:rsid w:val="47134FE8"/>
    <w:rsid w:val="47266AC9"/>
    <w:rsid w:val="47811F51"/>
    <w:rsid w:val="47C84024"/>
    <w:rsid w:val="47F40975"/>
    <w:rsid w:val="47F60B91"/>
    <w:rsid w:val="48054931"/>
    <w:rsid w:val="482F5E51"/>
    <w:rsid w:val="483B0352"/>
    <w:rsid w:val="486758C4"/>
    <w:rsid w:val="487C41DD"/>
    <w:rsid w:val="488C2ACF"/>
    <w:rsid w:val="488F7C16"/>
    <w:rsid w:val="48931F3C"/>
    <w:rsid w:val="48AA54D8"/>
    <w:rsid w:val="48D32C81"/>
    <w:rsid w:val="4901159C"/>
    <w:rsid w:val="49153299"/>
    <w:rsid w:val="49180694"/>
    <w:rsid w:val="495B760C"/>
    <w:rsid w:val="49677321"/>
    <w:rsid w:val="4974292D"/>
    <w:rsid w:val="498B5C77"/>
    <w:rsid w:val="49B27967"/>
    <w:rsid w:val="49CA6C64"/>
    <w:rsid w:val="49DF0B35"/>
    <w:rsid w:val="49EF5898"/>
    <w:rsid w:val="4A0D488A"/>
    <w:rsid w:val="4A0D5D1E"/>
    <w:rsid w:val="4A2A75AB"/>
    <w:rsid w:val="4A3855BE"/>
    <w:rsid w:val="4A4554B8"/>
    <w:rsid w:val="4A5E5DDF"/>
    <w:rsid w:val="4A7F6F7D"/>
    <w:rsid w:val="4A9511DA"/>
    <w:rsid w:val="4AC705C3"/>
    <w:rsid w:val="4ACF1226"/>
    <w:rsid w:val="4AD4683C"/>
    <w:rsid w:val="4AD60806"/>
    <w:rsid w:val="4ADD12D2"/>
    <w:rsid w:val="4AF54F29"/>
    <w:rsid w:val="4B007631"/>
    <w:rsid w:val="4B232DA2"/>
    <w:rsid w:val="4B296B88"/>
    <w:rsid w:val="4B5670C1"/>
    <w:rsid w:val="4BA72908"/>
    <w:rsid w:val="4BCD6803"/>
    <w:rsid w:val="4C1E1B11"/>
    <w:rsid w:val="4C352DFF"/>
    <w:rsid w:val="4C63431C"/>
    <w:rsid w:val="4C637F6F"/>
    <w:rsid w:val="4C7D7357"/>
    <w:rsid w:val="4C891FD4"/>
    <w:rsid w:val="4CA010CC"/>
    <w:rsid w:val="4CEC2563"/>
    <w:rsid w:val="4D0072CE"/>
    <w:rsid w:val="4D0C636D"/>
    <w:rsid w:val="4D1D67F6"/>
    <w:rsid w:val="4D562C80"/>
    <w:rsid w:val="4D6B3488"/>
    <w:rsid w:val="4D7560B4"/>
    <w:rsid w:val="4D77225E"/>
    <w:rsid w:val="4D7D31BB"/>
    <w:rsid w:val="4D930C30"/>
    <w:rsid w:val="4D9E721C"/>
    <w:rsid w:val="4DAB1AD6"/>
    <w:rsid w:val="4E06707A"/>
    <w:rsid w:val="4E5C54C6"/>
    <w:rsid w:val="4E661EA1"/>
    <w:rsid w:val="4ECC5774"/>
    <w:rsid w:val="4EE73FDF"/>
    <w:rsid w:val="4EEB4A7F"/>
    <w:rsid w:val="4F1A44F5"/>
    <w:rsid w:val="4F3A01B4"/>
    <w:rsid w:val="4F3A75B6"/>
    <w:rsid w:val="4F561F16"/>
    <w:rsid w:val="4F585C8E"/>
    <w:rsid w:val="4F5876FA"/>
    <w:rsid w:val="4F6208BA"/>
    <w:rsid w:val="4F7A5C04"/>
    <w:rsid w:val="4F8C3B89"/>
    <w:rsid w:val="4F936CC6"/>
    <w:rsid w:val="4F9812E6"/>
    <w:rsid w:val="50137E07"/>
    <w:rsid w:val="501D6F9B"/>
    <w:rsid w:val="501E0C85"/>
    <w:rsid w:val="50402E5B"/>
    <w:rsid w:val="50760AC1"/>
    <w:rsid w:val="507C44FD"/>
    <w:rsid w:val="509314F5"/>
    <w:rsid w:val="50B45146"/>
    <w:rsid w:val="50B91612"/>
    <w:rsid w:val="50C57353"/>
    <w:rsid w:val="50EC2B32"/>
    <w:rsid w:val="50FD73A0"/>
    <w:rsid w:val="51037E7B"/>
    <w:rsid w:val="511676E7"/>
    <w:rsid w:val="51625CF9"/>
    <w:rsid w:val="51890380"/>
    <w:rsid w:val="51932FAD"/>
    <w:rsid w:val="51AB479B"/>
    <w:rsid w:val="522602C5"/>
    <w:rsid w:val="523227C6"/>
    <w:rsid w:val="52376968"/>
    <w:rsid w:val="52662470"/>
    <w:rsid w:val="5268268C"/>
    <w:rsid w:val="527252B8"/>
    <w:rsid w:val="52B551A5"/>
    <w:rsid w:val="52BB0A0D"/>
    <w:rsid w:val="52D7511B"/>
    <w:rsid w:val="52DE1FCB"/>
    <w:rsid w:val="532A1B08"/>
    <w:rsid w:val="535844AE"/>
    <w:rsid w:val="536852EA"/>
    <w:rsid w:val="5386726D"/>
    <w:rsid w:val="538961A4"/>
    <w:rsid w:val="53A45945"/>
    <w:rsid w:val="53A6324B"/>
    <w:rsid w:val="53CB1124"/>
    <w:rsid w:val="540445A3"/>
    <w:rsid w:val="54104D89"/>
    <w:rsid w:val="54297BF9"/>
    <w:rsid w:val="544B176B"/>
    <w:rsid w:val="54776BB6"/>
    <w:rsid w:val="547846DC"/>
    <w:rsid w:val="5479292E"/>
    <w:rsid w:val="549F7EBB"/>
    <w:rsid w:val="54BB7C66"/>
    <w:rsid w:val="54C17E31"/>
    <w:rsid w:val="55264138"/>
    <w:rsid w:val="553B5952"/>
    <w:rsid w:val="554B4D08"/>
    <w:rsid w:val="55515659"/>
    <w:rsid w:val="5566710A"/>
    <w:rsid w:val="55853555"/>
    <w:rsid w:val="558E2409"/>
    <w:rsid w:val="55B160F8"/>
    <w:rsid w:val="55BB6615"/>
    <w:rsid w:val="55E42029"/>
    <w:rsid w:val="55F81F79"/>
    <w:rsid w:val="56010E2D"/>
    <w:rsid w:val="560721BC"/>
    <w:rsid w:val="56293EE0"/>
    <w:rsid w:val="56450EDB"/>
    <w:rsid w:val="568E6439"/>
    <w:rsid w:val="56E12A0D"/>
    <w:rsid w:val="56E322E1"/>
    <w:rsid w:val="56EE0C86"/>
    <w:rsid w:val="56F02C50"/>
    <w:rsid w:val="572B18A4"/>
    <w:rsid w:val="573E39BB"/>
    <w:rsid w:val="57596A47"/>
    <w:rsid w:val="576176AA"/>
    <w:rsid w:val="57822B16"/>
    <w:rsid w:val="579B7990"/>
    <w:rsid w:val="57A53A3A"/>
    <w:rsid w:val="57AF0E5C"/>
    <w:rsid w:val="57CA16F3"/>
    <w:rsid w:val="58191461"/>
    <w:rsid w:val="581E3FA7"/>
    <w:rsid w:val="583D33C0"/>
    <w:rsid w:val="586438F5"/>
    <w:rsid w:val="58A7742D"/>
    <w:rsid w:val="58D17250"/>
    <w:rsid w:val="58DF2F7C"/>
    <w:rsid w:val="58F5454D"/>
    <w:rsid w:val="58F76517"/>
    <w:rsid w:val="590B5B1F"/>
    <w:rsid w:val="590D1897"/>
    <w:rsid w:val="5919401E"/>
    <w:rsid w:val="591E1BC3"/>
    <w:rsid w:val="596671F9"/>
    <w:rsid w:val="59691FED"/>
    <w:rsid w:val="597162CA"/>
    <w:rsid w:val="597638E0"/>
    <w:rsid w:val="597B2CC1"/>
    <w:rsid w:val="598C3730"/>
    <w:rsid w:val="59BD32BD"/>
    <w:rsid w:val="59D33627"/>
    <w:rsid w:val="59D46859"/>
    <w:rsid w:val="5A094F9B"/>
    <w:rsid w:val="5A19111B"/>
    <w:rsid w:val="5A276988"/>
    <w:rsid w:val="5A2C317E"/>
    <w:rsid w:val="5A3C190B"/>
    <w:rsid w:val="5A5B0D0C"/>
    <w:rsid w:val="5A8D7F61"/>
    <w:rsid w:val="5A981634"/>
    <w:rsid w:val="5AD54636"/>
    <w:rsid w:val="5AD54E03"/>
    <w:rsid w:val="5AF26F96"/>
    <w:rsid w:val="5B0B3659"/>
    <w:rsid w:val="5B3E2BC0"/>
    <w:rsid w:val="5B6360E6"/>
    <w:rsid w:val="5B977B3E"/>
    <w:rsid w:val="5B9E0ECC"/>
    <w:rsid w:val="5BA54009"/>
    <w:rsid w:val="5BCF63A9"/>
    <w:rsid w:val="5C2C4F2D"/>
    <w:rsid w:val="5C5679F9"/>
    <w:rsid w:val="5C7120A1"/>
    <w:rsid w:val="5C797243"/>
    <w:rsid w:val="5C806824"/>
    <w:rsid w:val="5CB52971"/>
    <w:rsid w:val="5CD32DF8"/>
    <w:rsid w:val="5CD4149F"/>
    <w:rsid w:val="5CF323B1"/>
    <w:rsid w:val="5CFD7E74"/>
    <w:rsid w:val="5D63417B"/>
    <w:rsid w:val="5D775E79"/>
    <w:rsid w:val="5D8B36D2"/>
    <w:rsid w:val="5D8F4F70"/>
    <w:rsid w:val="5D924A61"/>
    <w:rsid w:val="5DAF116F"/>
    <w:rsid w:val="5DB449D7"/>
    <w:rsid w:val="5DD30284"/>
    <w:rsid w:val="5E162F9C"/>
    <w:rsid w:val="5E3F4457"/>
    <w:rsid w:val="5E4C10B3"/>
    <w:rsid w:val="5E4C4C10"/>
    <w:rsid w:val="5E5166CA"/>
    <w:rsid w:val="5E5B30A5"/>
    <w:rsid w:val="5E6957C1"/>
    <w:rsid w:val="5E8545C5"/>
    <w:rsid w:val="5E875C48"/>
    <w:rsid w:val="5EC7698C"/>
    <w:rsid w:val="5ECB7E0E"/>
    <w:rsid w:val="5EE70977"/>
    <w:rsid w:val="5EF84D97"/>
    <w:rsid w:val="5F17346F"/>
    <w:rsid w:val="5F5A270B"/>
    <w:rsid w:val="5FD217D5"/>
    <w:rsid w:val="5FFC0099"/>
    <w:rsid w:val="602045A6"/>
    <w:rsid w:val="60310561"/>
    <w:rsid w:val="60365B77"/>
    <w:rsid w:val="603C0CB4"/>
    <w:rsid w:val="605D1356"/>
    <w:rsid w:val="608B78E2"/>
    <w:rsid w:val="609B1E7E"/>
    <w:rsid w:val="60B85F03"/>
    <w:rsid w:val="60DC361E"/>
    <w:rsid w:val="60F33A68"/>
    <w:rsid w:val="61016185"/>
    <w:rsid w:val="612956DC"/>
    <w:rsid w:val="612A4D6D"/>
    <w:rsid w:val="613227E3"/>
    <w:rsid w:val="613B24C6"/>
    <w:rsid w:val="614C4F26"/>
    <w:rsid w:val="615564D1"/>
    <w:rsid w:val="616650DA"/>
    <w:rsid w:val="616933C9"/>
    <w:rsid w:val="61A15272"/>
    <w:rsid w:val="61B74A96"/>
    <w:rsid w:val="61C4171F"/>
    <w:rsid w:val="61F93300"/>
    <w:rsid w:val="61F96E5C"/>
    <w:rsid w:val="621D48D8"/>
    <w:rsid w:val="624A77E6"/>
    <w:rsid w:val="62854B94"/>
    <w:rsid w:val="631E435E"/>
    <w:rsid w:val="63213CF4"/>
    <w:rsid w:val="633345F0"/>
    <w:rsid w:val="63AC7EFE"/>
    <w:rsid w:val="63B079EF"/>
    <w:rsid w:val="63B86816"/>
    <w:rsid w:val="63C94F54"/>
    <w:rsid w:val="63D86F45"/>
    <w:rsid w:val="6420377A"/>
    <w:rsid w:val="644606A8"/>
    <w:rsid w:val="644F5459"/>
    <w:rsid w:val="6450412D"/>
    <w:rsid w:val="64602371"/>
    <w:rsid w:val="64994970"/>
    <w:rsid w:val="64B928D3"/>
    <w:rsid w:val="64CA053B"/>
    <w:rsid w:val="64CA0F84"/>
    <w:rsid w:val="64CA31F0"/>
    <w:rsid w:val="64D771FD"/>
    <w:rsid w:val="64D911C7"/>
    <w:rsid w:val="64DA367B"/>
    <w:rsid w:val="64DD4813"/>
    <w:rsid w:val="64E14962"/>
    <w:rsid w:val="64F61D79"/>
    <w:rsid w:val="65241F3A"/>
    <w:rsid w:val="65282833"/>
    <w:rsid w:val="652E26F9"/>
    <w:rsid w:val="65366619"/>
    <w:rsid w:val="65416DD3"/>
    <w:rsid w:val="65727C4B"/>
    <w:rsid w:val="658554FB"/>
    <w:rsid w:val="65883BF7"/>
    <w:rsid w:val="658B6DC7"/>
    <w:rsid w:val="659A0956"/>
    <w:rsid w:val="659E34C7"/>
    <w:rsid w:val="659F7D1B"/>
    <w:rsid w:val="65AA3925"/>
    <w:rsid w:val="65E676F8"/>
    <w:rsid w:val="660B3602"/>
    <w:rsid w:val="660C6F8D"/>
    <w:rsid w:val="661C75BD"/>
    <w:rsid w:val="662D5327"/>
    <w:rsid w:val="667C62AE"/>
    <w:rsid w:val="668F2A3A"/>
    <w:rsid w:val="66903B07"/>
    <w:rsid w:val="669058B5"/>
    <w:rsid w:val="66A23F66"/>
    <w:rsid w:val="66AD4998"/>
    <w:rsid w:val="66B5531C"/>
    <w:rsid w:val="66BA7997"/>
    <w:rsid w:val="66E14363"/>
    <w:rsid w:val="66E16111"/>
    <w:rsid w:val="672524A2"/>
    <w:rsid w:val="673301D2"/>
    <w:rsid w:val="673B3A73"/>
    <w:rsid w:val="676A395C"/>
    <w:rsid w:val="67713939"/>
    <w:rsid w:val="67CD5013"/>
    <w:rsid w:val="67DD2D7C"/>
    <w:rsid w:val="684C2884"/>
    <w:rsid w:val="68662D72"/>
    <w:rsid w:val="68A33BCF"/>
    <w:rsid w:val="68AB7651"/>
    <w:rsid w:val="68B61551"/>
    <w:rsid w:val="68D60C2D"/>
    <w:rsid w:val="68D90E35"/>
    <w:rsid w:val="690C1B6B"/>
    <w:rsid w:val="692F585A"/>
    <w:rsid w:val="6931512E"/>
    <w:rsid w:val="69EE74C3"/>
    <w:rsid w:val="69FF3DA6"/>
    <w:rsid w:val="6A0A597F"/>
    <w:rsid w:val="6A250690"/>
    <w:rsid w:val="6A5938E3"/>
    <w:rsid w:val="6A5C267E"/>
    <w:rsid w:val="6A617C95"/>
    <w:rsid w:val="6A8169BA"/>
    <w:rsid w:val="6A9516EC"/>
    <w:rsid w:val="6AA803E7"/>
    <w:rsid w:val="6AAF57D6"/>
    <w:rsid w:val="6AE90161"/>
    <w:rsid w:val="6B014ED0"/>
    <w:rsid w:val="6B054AC4"/>
    <w:rsid w:val="6B2947D1"/>
    <w:rsid w:val="6B865960"/>
    <w:rsid w:val="6BA5042F"/>
    <w:rsid w:val="6BB87D88"/>
    <w:rsid w:val="6BD60F99"/>
    <w:rsid w:val="6BE26BB3"/>
    <w:rsid w:val="6BF30DC0"/>
    <w:rsid w:val="6BF95CAB"/>
    <w:rsid w:val="6BFF0DBE"/>
    <w:rsid w:val="6C0A54C0"/>
    <w:rsid w:val="6C4B29AA"/>
    <w:rsid w:val="6C507FC1"/>
    <w:rsid w:val="6C7C2B64"/>
    <w:rsid w:val="6C7F2654"/>
    <w:rsid w:val="6CBD73A9"/>
    <w:rsid w:val="6D0D3798"/>
    <w:rsid w:val="6D360A56"/>
    <w:rsid w:val="6D746AAD"/>
    <w:rsid w:val="6D79369D"/>
    <w:rsid w:val="6D866288"/>
    <w:rsid w:val="6DA47CF5"/>
    <w:rsid w:val="6DA5433C"/>
    <w:rsid w:val="6E0A1704"/>
    <w:rsid w:val="6E113780"/>
    <w:rsid w:val="6E11552E"/>
    <w:rsid w:val="6E315BD0"/>
    <w:rsid w:val="6E3631E6"/>
    <w:rsid w:val="6E495542"/>
    <w:rsid w:val="6E70494A"/>
    <w:rsid w:val="6E7855AD"/>
    <w:rsid w:val="6E7D42EE"/>
    <w:rsid w:val="6ECD3B4B"/>
    <w:rsid w:val="6ED24CBD"/>
    <w:rsid w:val="6ED26B2E"/>
    <w:rsid w:val="6EF70BC7"/>
    <w:rsid w:val="6F062BB9"/>
    <w:rsid w:val="6F0C1D3D"/>
    <w:rsid w:val="6F5558EE"/>
    <w:rsid w:val="6F751AEC"/>
    <w:rsid w:val="6F7B1AEF"/>
    <w:rsid w:val="6F8C57B4"/>
    <w:rsid w:val="6F997ED1"/>
    <w:rsid w:val="6FBA7D43"/>
    <w:rsid w:val="703025E3"/>
    <w:rsid w:val="703379DD"/>
    <w:rsid w:val="707216B3"/>
    <w:rsid w:val="708C533F"/>
    <w:rsid w:val="709A7A5C"/>
    <w:rsid w:val="70A64653"/>
    <w:rsid w:val="70B52AE8"/>
    <w:rsid w:val="70B7060E"/>
    <w:rsid w:val="70BC3E77"/>
    <w:rsid w:val="70F3716D"/>
    <w:rsid w:val="70F829D5"/>
    <w:rsid w:val="711C7DEE"/>
    <w:rsid w:val="715A543E"/>
    <w:rsid w:val="71A87053"/>
    <w:rsid w:val="71B132B0"/>
    <w:rsid w:val="71BB5EDC"/>
    <w:rsid w:val="71CA611F"/>
    <w:rsid w:val="71CB5851"/>
    <w:rsid w:val="72101EA0"/>
    <w:rsid w:val="7218332F"/>
    <w:rsid w:val="72322114"/>
    <w:rsid w:val="724F1FEB"/>
    <w:rsid w:val="72757DB1"/>
    <w:rsid w:val="72783DCD"/>
    <w:rsid w:val="727E484F"/>
    <w:rsid w:val="728F462D"/>
    <w:rsid w:val="729B7F48"/>
    <w:rsid w:val="72AE77EF"/>
    <w:rsid w:val="72B017B9"/>
    <w:rsid w:val="72BB1F0C"/>
    <w:rsid w:val="72D1172F"/>
    <w:rsid w:val="72F316A6"/>
    <w:rsid w:val="73020FF3"/>
    <w:rsid w:val="73267CCD"/>
    <w:rsid w:val="73685BF0"/>
    <w:rsid w:val="739048A5"/>
    <w:rsid w:val="73B21B10"/>
    <w:rsid w:val="73B862A1"/>
    <w:rsid w:val="73BC5F3C"/>
    <w:rsid w:val="745F28C4"/>
    <w:rsid w:val="747C78F7"/>
    <w:rsid w:val="747F7695"/>
    <w:rsid w:val="7483115A"/>
    <w:rsid w:val="749B0247"/>
    <w:rsid w:val="74AB5D69"/>
    <w:rsid w:val="74CE5F27"/>
    <w:rsid w:val="74DF6386"/>
    <w:rsid w:val="750A2372"/>
    <w:rsid w:val="750E6C6B"/>
    <w:rsid w:val="753D283B"/>
    <w:rsid w:val="756E14B8"/>
    <w:rsid w:val="75864A53"/>
    <w:rsid w:val="75CF06D9"/>
    <w:rsid w:val="75D1787A"/>
    <w:rsid w:val="75DF032D"/>
    <w:rsid w:val="75FC2F67"/>
    <w:rsid w:val="760140DA"/>
    <w:rsid w:val="76045978"/>
    <w:rsid w:val="760F4A49"/>
    <w:rsid w:val="76133B2A"/>
    <w:rsid w:val="76530DD9"/>
    <w:rsid w:val="767A350B"/>
    <w:rsid w:val="76A77C3C"/>
    <w:rsid w:val="77083846"/>
    <w:rsid w:val="775A6197"/>
    <w:rsid w:val="7789082B"/>
    <w:rsid w:val="779A2861"/>
    <w:rsid w:val="77BD0907"/>
    <w:rsid w:val="77DE0B76"/>
    <w:rsid w:val="77F205C7"/>
    <w:rsid w:val="78120820"/>
    <w:rsid w:val="78126A72"/>
    <w:rsid w:val="781400F4"/>
    <w:rsid w:val="78144598"/>
    <w:rsid w:val="783B1B25"/>
    <w:rsid w:val="783E6762"/>
    <w:rsid w:val="785610A2"/>
    <w:rsid w:val="78615304"/>
    <w:rsid w:val="789B25C4"/>
    <w:rsid w:val="78D76F87"/>
    <w:rsid w:val="78E21FA1"/>
    <w:rsid w:val="78F148D9"/>
    <w:rsid w:val="78F357D1"/>
    <w:rsid w:val="78FF6FF6"/>
    <w:rsid w:val="79226841"/>
    <w:rsid w:val="793F73F3"/>
    <w:rsid w:val="794B223C"/>
    <w:rsid w:val="79752E15"/>
    <w:rsid w:val="7999158E"/>
    <w:rsid w:val="79C75A4A"/>
    <w:rsid w:val="79D51B05"/>
    <w:rsid w:val="79F71A7C"/>
    <w:rsid w:val="7A08012D"/>
    <w:rsid w:val="7A0F3269"/>
    <w:rsid w:val="7A1B6D05"/>
    <w:rsid w:val="7A1E0906"/>
    <w:rsid w:val="7A41719B"/>
    <w:rsid w:val="7A4A7B5C"/>
    <w:rsid w:val="7A4C320B"/>
    <w:rsid w:val="7A536C4F"/>
    <w:rsid w:val="7A5E1074"/>
    <w:rsid w:val="7A637111"/>
    <w:rsid w:val="7A644541"/>
    <w:rsid w:val="7A856043"/>
    <w:rsid w:val="7AA716F4"/>
    <w:rsid w:val="7AAA2F92"/>
    <w:rsid w:val="7AAE4C6D"/>
    <w:rsid w:val="7AC9574D"/>
    <w:rsid w:val="7ACA5211"/>
    <w:rsid w:val="7AE30F47"/>
    <w:rsid w:val="7AED7F62"/>
    <w:rsid w:val="7B000A80"/>
    <w:rsid w:val="7B3D416D"/>
    <w:rsid w:val="7B475882"/>
    <w:rsid w:val="7B7F6999"/>
    <w:rsid w:val="7B8B5094"/>
    <w:rsid w:val="7B8E2477"/>
    <w:rsid w:val="7BB4552D"/>
    <w:rsid w:val="7BB5399C"/>
    <w:rsid w:val="7C044924"/>
    <w:rsid w:val="7C1D11E6"/>
    <w:rsid w:val="7C233619"/>
    <w:rsid w:val="7C5238E1"/>
    <w:rsid w:val="7C547659"/>
    <w:rsid w:val="7CB63E70"/>
    <w:rsid w:val="7CE7399F"/>
    <w:rsid w:val="7D226E2B"/>
    <w:rsid w:val="7D6452D1"/>
    <w:rsid w:val="7D781125"/>
    <w:rsid w:val="7D8628FA"/>
    <w:rsid w:val="7D943A85"/>
    <w:rsid w:val="7DA41F1A"/>
    <w:rsid w:val="7DA57A41"/>
    <w:rsid w:val="7DAF266D"/>
    <w:rsid w:val="7DB05310"/>
    <w:rsid w:val="7DC77AC8"/>
    <w:rsid w:val="7DE42E8D"/>
    <w:rsid w:val="7DF12C86"/>
    <w:rsid w:val="7E0712F2"/>
    <w:rsid w:val="7E292420"/>
    <w:rsid w:val="7E355268"/>
    <w:rsid w:val="7E546F05"/>
    <w:rsid w:val="7E786F03"/>
    <w:rsid w:val="7EA06B86"/>
    <w:rsid w:val="7EA877E8"/>
    <w:rsid w:val="7EAA7A04"/>
    <w:rsid w:val="7EAF6DC9"/>
    <w:rsid w:val="7EB25E33"/>
    <w:rsid w:val="7EC42148"/>
    <w:rsid w:val="7ECB34D7"/>
    <w:rsid w:val="7ED24865"/>
    <w:rsid w:val="7EE33B7E"/>
    <w:rsid w:val="7EEF3F71"/>
    <w:rsid w:val="7EF43FBB"/>
    <w:rsid w:val="7F01339C"/>
    <w:rsid w:val="7F160BF6"/>
    <w:rsid w:val="7F364DF4"/>
    <w:rsid w:val="7F36750F"/>
    <w:rsid w:val="7F4339B5"/>
    <w:rsid w:val="7F482E61"/>
    <w:rsid w:val="7F5B0CFF"/>
    <w:rsid w:val="7FA2248A"/>
    <w:rsid w:val="7FDD39BD"/>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spacing w:before="260" w:after="260"/>
      <w:outlineLvl w:val="2"/>
    </w:pPr>
    <w:rPr>
      <w:rFonts w:ascii="宋体" w:hAnsi="宋体" w:eastAsia="宋体" w:cs="Times New Roman"/>
      <w:szCs w:val="32"/>
    </w:rPr>
  </w:style>
  <w:style w:type="paragraph" w:styleId="5">
    <w:name w:val="heading 6"/>
    <w:basedOn w:val="1"/>
    <w:next w:val="1"/>
    <w:qFormat/>
    <w:uiPriority w:val="0"/>
    <w:pPr>
      <w:spacing w:before="60" w:after="60" w:line="360" w:lineRule="auto"/>
      <w:outlineLvl w:val="5"/>
    </w:pPr>
    <w:rPr>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next w:val="8"/>
    <w:qFormat/>
    <w:uiPriority w:val="0"/>
    <w:pPr>
      <w:ind w:firstLine="420" w:firstLineChars="200"/>
    </w:pPr>
    <w:rPr>
      <w:szCs w:val="20"/>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annotation text"/>
    <w:basedOn w:val="1"/>
    <w:link w:val="38"/>
    <w:unhideWhenUsed/>
    <w:qFormat/>
    <w:uiPriority w:val="0"/>
    <w:pPr>
      <w:jc w:val="left"/>
    </w:pPr>
    <w:rPr>
      <w:kern w:val="0"/>
      <w:sz w:val="20"/>
    </w:rPr>
  </w:style>
  <w:style w:type="paragraph" w:styleId="10">
    <w:name w:val="Body Text"/>
    <w:basedOn w:val="1"/>
    <w:next w:val="1"/>
    <w:unhideWhenUsed/>
    <w:qFormat/>
    <w:uiPriority w:val="0"/>
    <w:pPr>
      <w:spacing w:after="120"/>
    </w:pPr>
    <w:rPr>
      <w:sz w:val="24"/>
    </w:rPr>
  </w:style>
  <w:style w:type="paragraph" w:styleId="11">
    <w:name w:val="Body Text Indent"/>
    <w:basedOn w:val="1"/>
    <w:unhideWhenUsed/>
    <w:qFormat/>
    <w:uiPriority w:val="99"/>
    <w:pPr>
      <w:spacing w:after="120"/>
      <w:ind w:left="420" w:leftChars="200"/>
    </w:pPr>
    <w:rPr>
      <w:kern w:val="0"/>
      <w:sz w:val="20"/>
      <w:szCs w:val="20"/>
    </w:rPr>
  </w:style>
  <w:style w:type="paragraph" w:styleId="12">
    <w:name w:val="Plain Text"/>
    <w:basedOn w:val="1"/>
    <w:qFormat/>
    <w:uiPriority w:val="0"/>
    <w:rPr>
      <w:rFonts w:ascii="宋体" w:hAnsi="Courier New"/>
    </w:rPr>
  </w:style>
  <w:style w:type="paragraph" w:styleId="13">
    <w:name w:val="header"/>
    <w:basedOn w:val="1"/>
    <w:link w:val="37"/>
    <w:qFormat/>
    <w:uiPriority w:val="0"/>
    <w:pP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Body Text 2"/>
    <w:basedOn w:val="1"/>
    <w:qFormat/>
    <w:uiPriority w:val="99"/>
    <w:pPr>
      <w:spacing w:before="240"/>
    </w:pPr>
    <w:rPr>
      <w:rFonts w:ascii="Calibri" w:hAnsi="Calibri"/>
      <w:color w:val="FF000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annotation subject"/>
    <w:basedOn w:val="9"/>
    <w:next w:val="9"/>
    <w:link w:val="39"/>
    <w:qFormat/>
    <w:uiPriority w:val="0"/>
    <w:rPr>
      <w:b/>
      <w:bCs/>
      <w:kern w:val="2"/>
      <w:sz w:val="21"/>
    </w:rPr>
  </w:style>
  <w:style w:type="paragraph" w:styleId="19">
    <w:name w:val="Body Text First Indent"/>
    <w:basedOn w:val="10"/>
    <w:qFormat/>
    <w:uiPriority w:val="0"/>
    <w:pPr>
      <w:snapToGrid w:val="0"/>
      <w:spacing w:line="560" w:lineRule="exact"/>
      <w:ind w:firstLine="200" w:firstLineChars="200"/>
    </w:pPr>
    <w:rPr>
      <w:rFonts w:ascii="仿宋" w:hAnsi="仿宋" w:cs="仿宋"/>
    </w:rPr>
  </w:style>
  <w:style w:type="paragraph" w:styleId="20">
    <w:name w:val="Body Text First Indent 2"/>
    <w:basedOn w:val="11"/>
    <w:semiHidden/>
    <w:qFormat/>
    <w:uiPriority w:val="0"/>
    <w:pPr>
      <w:spacing w:after="120"/>
      <w:ind w:left="420" w:leftChars="200" w:firstLine="420" w:firstLineChars="200"/>
    </w:pPr>
    <w:rPr>
      <w:kern w:val="0"/>
      <w:sz w:val="20"/>
      <w:szCs w:val="24"/>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basedOn w:val="23"/>
    <w:qFormat/>
    <w:uiPriority w:val="0"/>
    <w:rPr>
      <w:sz w:val="21"/>
      <w:szCs w:val="21"/>
    </w:rPr>
  </w:style>
  <w:style w:type="paragraph" w:styleId="27">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8">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9">
    <w:name w:val="List Paragraph"/>
    <w:basedOn w:val="1"/>
    <w:qFormat/>
    <w:uiPriority w:val="34"/>
    <w:pPr>
      <w:ind w:firstLine="420" w:firstLineChars="200"/>
    </w:pPr>
  </w:style>
  <w:style w:type="character" w:customStyle="1" w:styleId="30">
    <w:name w:val="NormalCharacter"/>
    <w:qFormat/>
    <w:uiPriority w:val="0"/>
    <w:rPr>
      <w:kern w:val="2"/>
      <w:sz w:val="21"/>
      <w:szCs w:val="24"/>
      <w:lang w:val="en-US" w:eastAsia="zh-CN" w:bidi="ar-SA"/>
    </w:rPr>
  </w:style>
  <w:style w:type="paragraph" w:customStyle="1" w:styleId="31">
    <w:name w:val="Table Paragraph"/>
    <w:basedOn w:val="1"/>
    <w:qFormat/>
    <w:uiPriority w:val="0"/>
    <w:pPr>
      <w:autoSpaceDE w:val="0"/>
      <w:autoSpaceDN w:val="0"/>
      <w:jc w:val="left"/>
    </w:pPr>
    <w:rPr>
      <w:rFonts w:ascii="宋体" w:hAnsi="宋体" w:cs="宋体"/>
      <w:kern w:val="0"/>
      <w:sz w:val="22"/>
      <w:szCs w:val="22"/>
    </w:rPr>
  </w:style>
  <w:style w:type="paragraph" w:customStyle="1" w:styleId="32">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qowt-font5-gb2312"/>
    <w:qFormat/>
    <w:uiPriority w:val="0"/>
  </w:style>
  <w:style w:type="paragraph" w:customStyle="1" w:styleId="34">
    <w:name w:val="正文格式"/>
    <w:basedOn w:val="11"/>
    <w:qFormat/>
    <w:uiPriority w:val="99"/>
    <w:pPr>
      <w:spacing w:after="0" w:line="360" w:lineRule="auto"/>
      <w:ind w:left="0" w:leftChars="0" w:firstLine="600"/>
    </w:pPr>
    <w:rPr>
      <w:rFonts w:eastAsia="仿宋_GB2312"/>
      <w:sz w:val="30"/>
      <w:szCs w:val="30"/>
    </w:rPr>
  </w:style>
  <w:style w:type="paragraph" w:customStyle="1" w:styleId="35">
    <w:name w:val="msolistparagraph"/>
    <w:basedOn w:val="1"/>
    <w:qFormat/>
    <w:uiPriority w:val="0"/>
    <w:pPr>
      <w:ind w:firstLine="420" w:firstLineChars="200"/>
    </w:pPr>
  </w:style>
  <w:style w:type="paragraph" w:customStyle="1" w:styleId="3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7">
    <w:name w:val="页眉 字符"/>
    <w:basedOn w:val="23"/>
    <w:link w:val="13"/>
    <w:qFormat/>
    <w:uiPriority w:val="0"/>
    <w:rPr>
      <w:kern w:val="2"/>
      <w:sz w:val="18"/>
      <w:szCs w:val="18"/>
    </w:rPr>
  </w:style>
  <w:style w:type="character" w:customStyle="1" w:styleId="38">
    <w:name w:val="批注文字 字符"/>
    <w:basedOn w:val="23"/>
    <w:link w:val="9"/>
    <w:qFormat/>
    <w:uiPriority w:val="0"/>
    <w:rPr>
      <w:szCs w:val="24"/>
    </w:rPr>
  </w:style>
  <w:style w:type="character" w:customStyle="1" w:styleId="39">
    <w:name w:val="批注主题 字符"/>
    <w:basedOn w:val="38"/>
    <w:link w:val="18"/>
    <w:qFormat/>
    <w:uiPriority w:val="0"/>
    <w:rPr>
      <w:b/>
      <w:bCs/>
      <w:kern w:val="2"/>
      <w:sz w:val="21"/>
      <w:szCs w:val="24"/>
    </w:rPr>
  </w:style>
  <w:style w:type="paragraph" w:customStyle="1" w:styleId="40">
    <w:name w:val="9前海 正文"/>
    <w:basedOn w:val="41"/>
    <w:qFormat/>
    <w:uiPriority w:val="0"/>
    <w:pPr>
      <w:ind w:firstLine="640"/>
    </w:pPr>
    <w:rPr>
      <w:rFonts w:ascii="仿宋_GB2312" w:eastAsia="仿宋_GB2312"/>
    </w:rPr>
  </w:style>
  <w:style w:type="paragraph" w:customStyle="1" w:styleId="4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2">
    <w:name w:val="列出段落2"/>
    <w:basedOn w:val="1"/>
    <w:qFormat/>
    <w:uiPriority w:val="34"/>
    <w:pPr>
      <w:ind w:firstLine="420" w:firstLineChars="200"/>
    </w:pPr>
  </w:style>
  <w:style w:type="paragraph" w:customStyle="1" w:styleId="43">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44">
    <w:name w:val="No Spacing"/>
    <w:qFormat/>
    <w:uiPriority w:val="1"/>
    <w:pPr>
      <w:adjustRightInd w:val="0"/>
      <w:snapToGrid w:val="0"/>
      <w:jc w:val="center"/>
    </w:pPr>
    <w:rPr>
      <w:rFonts w:ascii="Tahoma" w:hAnsi="Tahoma" w:eastAsia="宋体"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15323</Words>
  <Characters>16080</Characters>
  <Lines>5243</Lines>
  <Paragraphs>2645</Paragraphs>
  <TotalTime>1</TotalTime>
  <ScaleCrop>false</ScaleCrop>
  <LinksUpToDate>false</LinksUpToDate>
  <CharactersWithSpaces>16371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2025-02-12T01:50:00Z</dcterms:created>
  <dc:creator>黎俊</dc:creator>
  <cp:lastModifiedBy>黎俊</cp:lastModifiedBy>
  <cp:lastPrinted>2025-09-26T00:37:00Z</cp:lastPrinted>
  <dcterms:modified xsi:type="dcterms:W3CDTF">2025-12-30T02:36:08Z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833036A87C1D4BBF8BFE03AA683245D3_13</vt:lpwstr>
  </property>
</Properties>
</file>