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97543">
      <w:pPr>
        <w:pStyle w:val="6"/>
        <w:jc w:val="left"/>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rPr>
        <w:t>1</w:t>
      </w:r>
    </w:p>
    <w:p w14:paraId="7E1BA35B">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赴美国迈阿密举办“Amazing Shenzhen在世界行走到深圳停留”</w:t>
      </w:r>
    </w:p>
    <w:p w14:paraId="28244B1B">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旅游推介活动项目评审评分表</w:t>
      </w:r>
    </w:p>
    <w:tbl>
      <w:tblPr>
        <w:tblStyle w:val="10"/>
        <w:tblpPr w:leftFromText="180" w:rightFromText="180" w:vertAnchor="text" w:horzAnchor="page" w:tblpX="755" w:tblpY="651"/>
        <w:tblOverlap w:val="never"/>
        <w:tblW w:w="1587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823"/>
        <w:gridCol w:w="756"/>
        <w:gridCol w:w="758"/>
        <w:gridCol w:w="7139"/>
        <w:gridCol w:w="1874"/>
        <w:gridCol w:w="1812"/>
        <w:gridCol w:w="1983"/>
      </w:tblGrid>
      <w:tr w14:paraId="39C30A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25" w:hRule="atLeast"/>
          <w:tblHeader/>
        </w:trPr>
        <w:tc>
          <w:tcPr>
            <w:tcW w:w="727" w:type="dxa"/>
            <w:tcBorders>
              <w:top w:val="single" w:color="auto" w:sz="8" w:space="0"/>
              <w:left w:val="single" w:color="auto" w:sz="8" w:space="0"/>
              <w:bottom w:val="single" w:color="auto" w:sz="4" w:space="0"/>
              <w:right w:val="single" w:color="auto" w:sz="8" w:space="0"/>
            </w:tcBorders>
            <w:noWrap w:val="0"/>
            <w:vAlign w:val="center"/>
          </w:tcPr>
          <w:p w14:paraId="22A6ACB5">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类别</w:t>
            </w:r>
          </w:p>
        </w:tc>
        <w:tc>
          <w:tcPr>
            <w:tcW w:w="823" w:type="dxa"/>
            <w:tcBorders>
              <w:top w:val="single" w:color="auto" w:sz="8" w:space="0"/>
              <w:left w:val="single" w:color="auto" w:sz="8" w:space="0"/>
              <w:right w:val="single" w:color="auto" w:sz="8" w:space="0"/>
            </w:tcBorders>
            <w:noWrap w:val="0"/>
            <w:vAlign w:val="center"/>
          </w:tcPr>
          <w:p w14:paraId="30C560FF">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评分项目</w:t>
            </w:r>
          </w:p>
        </w:tc>
        <w:tc>
          <w:tcPr>
            <w:tcW w:w="756" w:type="dxa"/>
            <w:tcBorders>
              <w:top w:val="single" w:color="auto" w:sz="8" w:space="0"/>
              <w:left w:val="single" w:color="auto" w:sz="8" w:space="0"/>
              <w:right w:val="single" w:color="auto" w:sz="8" w:space="0"/>
            </w:tcBorders>
            <w:noWrap w:val="0"/>
            <w:vAlign w:val="center"/>
          </w:tcPr>
          <w:p w14:paraId="6B4CD4CE">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权重</w:t>
            </w:r>
          </w:p>
        </w:tc>
        <w:tc>
          <w:tcPr>
            <w:tcW w:w="758" w:type="dxa"/>
            <w:tcBorders>
              <w:top w:val="single" w:color="auto" w:sz="8" w:space="0"/>
              <w:left w:val="single" w:color="auto" w:sz="8" w:space="0"/>
              <w:right w:val="single" w:color="auto" w:sz="8" w:space="0"/>
            </w:tcBorders>
            <w:noWrap w:val="0"/>
            <w:vAlign w:val="center"/>
          </w:tcPr>
          <w:p w14:paraId="75C58D25">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分值</w:t>
            </w:r>
          </w:p>
        </w:tc>
        <w:tc>
          <w:tcPr>
            <w:tcW w:w="7139" w:type="dxa"/>
            <w:tcBorders>
              <w:top w:val="single" w:color="auto" w:sz="8" w:space="0"/>
              <w:left w:val="single" w:color="auto" w:sz="8" w:space="0"/>
              <w:right w:val="single" w:color="auto" w:sz="8" w:space="0"/>
            </w:tcBorders>
            <w:noWrap w:val="0"/>
            <w:vAlign w:val="center"/>
          </w:tcPr>
          <w:p w14:paraId="51B02566">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评分参考及范围</w:t>
            </w:r>
          </w:p>
        </w:tc>
        <w:tc>
          <w:tcPr>
            <w:tcW w:w="1874" w:type="dxa"/>
            <w:tcBorders>
              <w:top w:val="single" w:color="auto" w:sz="8" w:space="0"/>
              <w:left w:val="single" w:color="auto" w:sz="8" w:space="0"/>
              <w:right w:val="single" w:color="auto" w:sz="8" w:space="0"/>
            </w:tcBorders>
            <w:noWrap w:val="0"/>
            <w:vAlign w:val="center"/>
          </w:tcPr>
          <w:p w14:paraId="11A43338">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812" w:type="dxa"/>
            <w:tcBorders>
              <w:top w:val="single" w:color="auto" w:sz="8" w:space="0"/>
              <w:left w:val="single" w:color="auto" w:sz="8" w:space="0"/>
              <w:right w:val="single" w:color="auto" w:sz="8" w:space="0"/>
            </w:tcBorders>
            <w:noWrap w:val="0"/>
            <w:vAlign w:val="center"/>
          </w:tcPr>
          <w:p w14:paraId="7285E644">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983" w:type="dxa"/>
            <w:tcBorders>
              <w:top w:val="single" w:color="auto" w:sz="8" w:space="0"/>
              <w:left w:val="single" w:color="auto" w:sz="8" w:space="0"/>
              <w:right w:val="single" w:color="auto" w:sz="8" w:space="0"/>
            </w:tcBorders>
            <w:noWrap w:val="0"/>
            <w:vAlign w:val="center"/>
          </w:tcPr>
          <w:p w14:paraId="61592CFA">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r>
      <w:tr w14:paraId="654515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52AA0D99">
            <w:pPr>
              <w:jc w:val="both"/>
              <w:rPr>
                <w:rFonts w:ascii="仿宋_GB2312" w:hAnsi="仿宋" w:eastAsia="仿宋_GB2312"/>
                <w:sz w:val="24"/>
              </w:rPr>
            </w:pPr>
            <w:r>
              <w:rPr>
                <w:rFonts w:hint="eastAsia" w:ascii="仿宋_GB2312" w:hAnsi="仿宋" w:eastAsia="仿宋_GB2312"/>
                <w:sz w:val="24"/>
              </w:rPr>
              <w:t>价格</w:t>
            </w:r>
          </w:p>
        </w:tc>
        <w:tc>
          <w:tcPr>
            <w:tcW w:w="823" w:type="dxa"/>
            <w:vMerge w:val="restart"/>
            <w:tcBorders>
              <w:top w:val="single" w:color="auto" w:sz="8" w:space="0"/>
              <w:left w:val="single" w:color="auto" w:sz="4" w:space="0"/>
              <w:right w:val="single" w:color="auto" w:sz="8" w:space="0"/>
            </w:tcBorders>
            <w:noWrap w:val="0"/>
            <w:vAlign w:val="center"/>
          </w:tcPr>
          <w:p w14:paraId="043B520B">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投标总价</w:t>
            </w:r>
          </w:p>
        </w:tc>
        <w:tc>
          <w:tcPr>
            <w:tcW w:w="756" w:type="dxa"/>
            <w:vMerge w:val="restart"/>
            <w:tcBorders>
              <w:top w:val="single" w:color="auto" w:sz="8" w:space="0"/>
              <w:left w:val="single" w:color="auto" w:sz="8" w:space="0"/>
              <w:right w:val="single" w:color="auto" w:sz="8" w:space="0"/>
            </w:tcBorders>
            <w:noWrap w:val="0"/>
            <w:vAlign w:val="center"/>
          </w:tcPr>
          <w:p w14:paraId="3B9CD5BF">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w:t>
            </w:r>
          </w:p>
        </w:tc>
        <w:tc>
          <w:tcPr>
            <w:tcW w:w="758" w:type="dxa"/>
            <w:vMerge w:val="restart"/>
            <w:tcBorders>
              <w:top w:val="single" w:color="auto" w:sz="8" w:space="0"/>
              <w:left w:val="single" w:color="auto" w:sz="8" w:space="0"/>
              <w:right w:val="single" w:color="auto" w:sz="8" w:space="0"/>
            </w:tcBorders>
            <w:noWrap w:val="0"/>
            <w:vAlign w:val="center"/>
          </w:tcPr>
          <w:p w14:paraId="5EDE0B22">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分</w:t>
            </w:r>
          </w:p>
        </w:tc>
        <w:tc>
          <w:tcPr>
            <w:tcW w:w="7139" w:type="dxa"/>
            <w:vMerge w:val="restart"/>
            <w:tcBorders>
              <w:top w:val="single" w:color="auto" w:sz="8" w:space="0"/>
              <w:left w:val="single" w:color="auto" w:sz="8" w:space="0"/>
              <w:right w:val="single" w:color="auto" w:sz="8" w:space="0"/>
            </w:tcBorders>
            <w:noWrap w:val="0"/>
            <w:vAlign w:val="center"/>
          </w:tcPr>
          <w:p w14:paraId="21AD7657">
            <w:pPr>
              <w:widowControl/>
              <w:spacing w:line="320" w:lineRule="exact"/>
              <w:jc w:val="both"/>
              <w:rPr>
                <w:rFonts w:hint="eastAsia" w:ascii="仿宋_GB2312" w:hAnsi="仿宋" w:eastAsia="仿宋_GB2312"/>
                <w:sz w:val="24"/>
                <w:szCs w:val="24"/>
                <w:lang w:bidi="th-TH"/>
              </w:rPr>
            </w:pPr>
            <w:r>
              <w:rPr>
                <w:rFonts w:hint="eastAsia" w:ascii="仿宋_GB2312" w:hAnsi="仿宋" w:eastAsia="仿宋_GB2312"/>
                <w:sz w:val="24"/>
                <w:szCs w:val="24"/>
                <w:lang w:bidi="th-TH"/>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1874" w:type="dxa"/>
            <w:tcBorders>
              <w:top w:val="single" w:color="auto" w:sz="8" w:space="0"/>
              <w:left w:val="single" w:color="auto" w:sz="8" w:space="0"/>
              <w:right w:val="single" w:color="auto" w:sz="8" w:space="0"/>
            </w:tcBorders>
            <w:noWrap w:val="0"/>
            <w:vAlign w:val="center"/>
          </w:tcPr>
          <w:p w14:paraId="0C76E882">
            <w:pPr>
              <w:spacing w:line="240" w:lineRule="exact"/>
              <w:jc w:val="center"/>
              <w:rPr>
                <w:rFonts w:hint="eastAsia" w:ascii="仿宋_GB2312" w:hAnsi="仿宋" w:eastAsia="仿宋_GB2312"/>
                <w:sz w:val="24"/>
              </w:rPr>
            </w:pPr>
          </w:p>
          <w:p w14:paraId="5AA8B74E">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42F371D9">
            <w:pPr>
              <w:spacing w:line="240" w:lineRule="exact"/>
              <w:jc w:val="center"/>
              <w:rPr>
                <w:rFonts w:hint="eastAsia" w:ascii="仿宋_GB2312" w:hAnsi="仿宋" w:eastAsia="仿宋_GB2312"/>
                <w:sz w:val="24"/>
              </w:rPr>
            </w:pPr>
          </w:p>
          <w:p w14:paraId="1EE1C078">
            <w:pPr>
              <w:spacing w:line="240" w:lineRule="exact"/>
              <w:jc w:val="center"/>
              <w:rPr>
                <w:rFonts w:hint="eastAsia" w:ascii="仿宋_GB2312" w:hAnsi="仿宋" w:eastAsia="仿宋_GB2312"/>
                <w:sz w:val="24"/>
              </w:rPr>
            </w:pPr>
          </w:p>
          <w:p w14:paraId="7A50E2EB">
            <w:pPr>
              <w:spacing w:line="240" w:lineRule="exact"/>
              <w:jc w:val="center"/>
              <w:rPr>
                <w:rFonts w:hint="eastAsia" w:ascii="仿宋_GB2312" w:hAnsi="仿宋" w:eastAsia="仿宋_GB2312"/>
                <w:sz w:val="24"/>
              </w:rPr>
            </w:pPr>
          </w:p>
          <w:p w14:paraId="279D6C47">
            <w:pPr>
              <w:spacing w:line="240" w:lineRule="exact"/>
              <w:jc w:val="center"/>
              <w:rPr>
                <w:rFonts w:ascii="仿宋_GB2312" w:hAnsi="仿宋" w:eastAsia="仿宋_GB2312"/>
                <w:sz w:val="24"/>
              </w:rPr>
            </w:pPr>
            <w:r>
              <w:rPr>
                <w:rFonts w:hint="eastAsia" w:ascii="仿宋_GB2312" w:hAnsi="仿宋" w:eastAsia="仿宋_GB2312"/>
                <w:sz w:val="24"/>
              </w:rPr>
              <w:t>报价（元）：</w:t>
            </w:r>
          </w:p>
        </w:tc>
        <w:tc>
          <w:tcPr>
            <w:tcW w:w="1812" w:type="dxa"/>
            <w:tcBorders>
              <w:top w:val="single" w:color="auto" w:sz="8" w:space="0"/>
              <w:left w:val="single" w:color="auto" w:sz="8" w:space="0"/>
              <w:right w:val="single" w:color="auto" w:sz="8" w:space="0"/>
            </w:tcBorders>
            <w:noWrap w:val="0"/>
            <w:vAlign w:val="center"/>
          </w:tcPr>
          <w:p w14:paraId="3BDCB496">
            <w:pPr>
              <w:spacing w:line="240" w:lineRule="exact"/>
              <w:jc w:val="center"/>
              <w:rPr>
                <w:rFonts w:hint="eastAsia" w:ascii="仿宋_GB2312" w:hAnsi="仿宋" w:eastAsia="仿宋_GB2312"/>
                <w:sz w:val="24"/>
              </w:rPr>
            </w:pPr>
          </w:p>
          <w:p w14:paraId="71E6FFDF">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118F9F27">
            <w:pPr>
              <w:spacing w:line="240" w:lineRule="exact"/>
              <w:jc w:val="center"/>
              <w:rPr>
                <w:rFonts w:hint="eastAsia" w:ascii="仿宋_GB2312" w:hAnsi="仿宋" w:eastAsia="仿宋_GB2312"/>
                <w:sz w:val="24"/>
              </w:rPr>
            </w:pPr>
          </w:p>
          <w:p w14:paraId="69264B11">
            <w:pPr>
              <w:spacing w:line="240" w:lineRule="exact"/>
              <w:jc w:val="center"/>
              <w:rPr>
                <w:rFonts w:hint="eastAsia" w:ascii="仿宋_GB2312" w:hAnsi="仿宋" w:eastAsia="仿宋_GB2312"/>
                <w:sz w:val="24"/>
              </w:rPr>
            </w:pPr>
          </w:p>
          <w:p w14:paraId="62C1F4E7">
            <w:pPr>
              <w:spacing w:line="240" w:lineRule="exact"/>
              <w:jc w:val="center"/>
              <w:rPr>
                <w:rFonts w:hint="eastAsia" w:ascii="仿宋_GB2312" w:hAnsi="仿宋" w:eastAsia="仿宋_GB2312"/>
                <w:sz w:val="24"/>
              </w:rPr>
            </w:pPr>
          </w:p>
          <w:p w14:paraId="241977F1">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c>
          <w:tcPr>
            <w:tcW w:w="1983" w:type="dxa"/>
            <w:tcBorders>
              <w:top w:val="single" w:color="auto" w:sz="8" w:space="0"/>
              <w:left w:val="single" w:color="auto" w:sz="8" w:space="0"/>
              <w:right w:val="single" w:color="auto" w:sz="8" w:space="0"/>
            </w:tcBorders>
            <w:noWrap w:val="0"/>
            <w:vAlign w:val="center"/>
          </w:tcPr>
          <w:p w14:paraId="7940247C">
            <w:pPr>
              <w:spacing w:line="240" w:lineRule="exact"/>
              <w:jc w:val="center"/>
              <w:rPr>
                <w:rFonts w:hint="eastAsia" w:ascii="仿宋_GB2312" w:hAnsi="仿宋" w:eastAsia="仿宋_GB2312"/>
                <w:sz w:val="24"/>
              </w:rPr>
            </w:pPr>
          </w:p>
          <w:p w14:paraId="310633A2">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05C6162B">
            <w:pPr>
              <w:spacing w:line="240" w:lineRule="exact"/>
              <w:jc w:val="center"/>
              <w:rPr>
                <w:rFonts w:hint="eastAsia" w:ascii="仿宋_GB2312" w:hAnsi="仿宋" w:eastAsia="仿宋_GB2312"/>
                <w:sz w:val="24"/>
              </w:rPr>
            </w:pPr>
          </w:p>
          <w:p w14:paraId="3789127C">
            <w:pPr>
              <w:spacing w:line="240" w:lineRule="exact"/>
              <w:jc w:val="center"/>
              <w:rPr>
                <w:rFonts w:hint="eastAsia" w:ascii="仿宋_GB2312" w:hAnsi="仿宋" w:eastAsia="仿宋_GB2312"/>
                <w:sz w:val="24"/>
              </w:rPr>
            </w:pPr>
          </w:p>
          <w:p w14:paraId="7999D83F">
            <w:pPr>
              <w:spacing w:line="240" w:lineRule="exact"/>
              <w:jc w:val="center"/>
              <w:rPr>
                <w:rFonts w:hint="eastAsia" w:ascii="仿宋_GB2312" w:hAnsi="仿宋" w:eastAsia="仿宋_GB2312"/>
                <w:sz w:val="24"/>
              </w:rPr>
            </w:pPr>
          </w:p>
          <w:p w14:paraId="16C6157D">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r>
      <w:tr w14:paraId="4949AA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45" w:hRule="atLeast"/>
          <w:tblHeader/>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688A2B08">
            <w:pPr>
              <w:jc w:val="both"/>
              <w:rPr>
                <w:rFonts w:ascii="仿宋_GB2312" w:hAnsi="仿宋" w:eastAsia="仿宋_GB2312"/>
                <w:sz w:val="24"/>
              </w:rPr>
            </w:pPr>
          </w:p>
        </w:tc>
        <w:tc>
          <w:tcPr>
            <w:tcW w:w="823" w:type="dxa"/>
            <w:vMerge w:val="continue"/>
            <w:tcBorders>
              <w:left w:val="single" w:color="auto" w:sz="4" w:space="0"/>
              <w:right w:val="single" w:color="auto" w:sz="8" w:space="0"/>
            </w:tcBorders>
            <w:noWrap w:val="0"/>
            <w:vAlign w:val="center"/>
          </w:tcPr>
          <w:p w14:paraId="5839D596">
            <w:pPr>
              <w:widowControl/>
              <w:spacing w:line="320" w:lineRule="exact"/>
              <w:jc w:val="center"/>
              <w:rPr>
                <w:rFonts w:hint="eastAsia" w:ascii="仿宋_GB2312" w:hAnsi="仿宋" w:eastAsia="仿宋_GB2312"/>
                <w:sz w:val="24"/>
                <w:szCs w:val="24"/>
                <w:lang w:bidi="th-TH"/>
              </w:rPr>
            </w:pPr>
          </w:p>
        </w:tc>
        <w:tc>
          <w:tcPr>
            <w:tcW w:w="756" w:type="dxa"/>
            <w:vMerge w:val="continue"/>
            <w:tcBorders>
              <w:left w:val="single" w:color="auto" w:sz="8" w:space="0"/>
              <w:right w:val="single" w:color="auto" w:sz="8" w:space="0"/>
            </w:tcBorders>
            <w:noWrap w:val="0"/>
            <w:vAlign w:val="center"/>
          </w:tcPr>
          <w:p w14:paraId="62D8F50E">
            <w:pPr>
              <w:widowControl/>
              <w:spacing w:line="320" w:lineRule="exact"/>
              <w:jc w:val="center"/>
              <w:rPr>
                <w:rFonts w:hint="eastAsia" w:ascii="仿宋_GB2312" w:hAnsi="仿宋" w:eastAsia="仿宋_GB2312"/>
                <w:sz w:val="24"/>
                <w:szCs w:val="24"/>
                <w:lang w:bidi="th-TH"/>
              </w:rPr>
            </w:pPr>
          </w:p>
        </w:tc>
        <w:tc>
          <w:tcPr>
            <w:tcW w:w="758" w:type="dxa"/>
            <w:vMerge w:val="continue"/>
            <w:tcBorders>
              <w:left w:val="single" w:color="auto" w:sz="8" w:space="0"/>
              <w:right w:val="single" w:color="auto" w:sz="8" w:space="0"/>
            </w:tcBorders>
            <w:noWrap w:val="0"/>
            <w:vAlign w:val="center"/>
          </w:tcPr>
          <w:p w14:paraId="499F84A7">
            <w:pPr>
              <w:widowControl/>
              <w:spacing w:line="320" w:lineRule="exact"/>
              <w:jc w:val="center"/>
              <w:rPr>
                <w:rFonts w:hint="eastAsia" w:ascii="仿宋_GB2312" w:hAnsi="仿宋" w:eastAsia="仿宋_GB2312"/>
                <w:sz w:val="24"/>
                <w:szCs w:val="24"/>
                <w:lang w:bidi="th-TH"/>
              </w:rPr>
            </w:pPr>
          </w:p>
        </w:tc>
        <w:tc>
          <w:tcPr>
            <w:tcW w:w="7139" w:type="dxa"/>
            <w:vMerge w:val="continue"/>
            <w:tcBorders>
              <w:left w:val="single" w:color="auto" w:sz="8" w:space="0"/>
              <w:right w:val="single" w:color="auto" w:sz="8" w:space="0"/>
            </w:tcBorders>
            <w:noWrap w:val="0"/>
            <w:vAlign w:val="center"/>
          </w:tcPr>
          <w:p w14:paraId="74EB3DF1">
            <w:pPr>
              <w:widowControl/>
              <w:spacing w:line="320" w:lineRule="exact"/>
              <w:jc w:val="both"/>
              <w:rPr>
                <w:rFonts w:hint="eastAsia" w:ascii="仿宋_GB2312" w:hAnsi="仿宋" w:eastAsia="仿宋_GB2312"/>
                <w:sz w:val="24"/>
                <w:szCs w:val="24"/>
                <w:lang w:bidi="th-TH"/>
              </w:rPr>
            </w:pPr>
          </w:p>
        </w:tc>
        <w:tc>
          <w:tcPr>
            <w:tcW w:w="1874" w:type="dxa"/>
            <w:tcBorders>
              <w:top w:val="single" w:color="auto" w:sz="8" w:space="0"/>
              <w:left w:val="single" w:color="auto" w:sz="8" w:space="0"/>
              <w:right w:val="single" w:color="auto" w:sz="8" w:space="0"/>
            </w:tcBorders>
            <w:noWrap w:val="0"/>
            <w:vAlign w:val="center"/>
          </w:tcPr>
          <w:p w14:paraId="605EF03D">
            <w:pPr>
              <w:spacing w:line="240" w:lineRule="exact"/>
              <w:jc w:val="center"/>
              <w:rPr>
                <w:rFonts w:ascii="仿宋_GB2312" w:hAnsi="仿宋" w:eastAsia="仿宋_GB2312"/>
                <w:sz w:val="24"/>
              </w:rPr>
            </w:pPr>
          </w:p>
        </w:tc>
        <w:tc>
          <w:tcPr>
            <w:tcW w:w="1812" w:type="dxa"/>
            <w:tcBorders>
              <w:top w:val="single" w:color="auto" w:sz="8" w:space="0"/>
              <w:left w:val="single" w:color="auto" w:sz="8" w:space="0"/>
              <w:right w:val="single" w:color="auto" w:sz="8" w:space="0"/>
            </w:tcBorders>
            <w:noWrap w:val="0"/>
            <w:vAlign w:val="center"/>
          </w:tcPr>
          <w:p w14:paraId="48CBB394">
            <w:pPr>
              <w:spacing w:line="240" w:lineRule="exact"/>
              <w:jc w:val="center"/>
              <w:rPr>
                <w:rFonts w:ascii="仿宋_GB2312" w:hAnsi="仿宋" w:eastAsia="仿宋_GB2312"/>
                <w:sz w:val="24"/>
              </w:rPr>
            </w:pPr>
          </w:p>
        </w:tc>
        <w:tc>
          <w:tcPr>
            <w:tcW w:w="1983" w:type="dxa"/>
            <w:tcBorders>
              <w:top w:val="single" w:color="auto" w:sz="8" w:space="0"/>
              <w:left w:val="single" w:color="auto" w:sz="8" w:space="0"/>
              <w:right w:val="single" w:color="auto" w:sz="8" w:space="0"/>
            </w:tcBorders>
            <w:noWrap w:val="0"/>
            <w:vAlign w:val="center"/>
          </w:tcPr>
          <w:p w14:paraId="5068669F">
            <w:pPr>
              <w:spacing w:line="240" w:lineRule="exact"/>
              <w:jc w:val="center"/>
              <w:rPr>
                <w:rFonts w:ascii="仿宋_GB2312" w:hAnsi="仿宋" w:eastAsia="仿宋_GB2312"/>
                <w:sz w:val="24"/>
              </w:rPr>
            </w:pPr>
          </w:p>
        </w:tc>
      </w:tr>
      <w:tr w14:paraId="4A00ED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58"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7CA82B7C">
            <w:pPr>
              <w:jc w:val="both"/>
              <w:rPr>
                <w:rFonts w:hint="eastAsia" w:ascii="仿宋_GB2312" w:hAnsi="仿宋" w:eastAsia="仿宋_GB2312" w:cs="Times New Roman"/>
                <w:sz w:val="24"/>
              </w:rPr>
            </w:pPr>
          </w:p>
          <w:p w14:paraId="3B627C0C">
            <w:pPr>
              <w:jc w:val="both"/>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138D66FE">
            <w:pPr>
              <w:widowControl/>
              <w:spacing w:line="320" w:lineRule="exact"/>
              <w:jc w:val="center"/>
              <w:rPr>
                <w:rFonts w:hint="eastAsia" w:ascii="仿宋_GB2312" w:hAnsi="仿宋" w:eastAsia="仿宋_GB2312" w:cs="Times New Roman"/>
                <w:sz w:val="24"/>
                <w:szCs w:val="24"/>
                <w:lang w:bidi="th-TH"/>
              </w:rPr>
            </w:pPr>
            <w:r>
              <w:rPr>
                <w:rFonts w:hint="eastAsia" w:ascii="仿宋_GB2312" w:hAnsi="仿宋" w:eastAsia="仿宋_GB2312"/>
                <w:sz w:val="24"/>
                <w:szCs w:val="24"/>
                <w:lang w:val="en-US" w:eastAsia="zh-CN" w:bidi="th-TH"/>
              </w:rPr>
              <w:t>项目</w:t>
            </w:r>
            <w:r>
              <w:rPr>
                <w:rFonts w:hint="eastAsia" w:ascii="仿宋_GB2312" w:hAnsi="仿宋" w:eastAsia="仿宋_GB2312"/>
                <w:sz w:val="24"/>
                <w:szCs w:val="24"/>
                <w:lang w:bidi="th-TH"/>
              </w:rPr>
              <w:t>方案</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4DAD6694">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1A141B2F">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468C4C0F">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根据投标方提供</w:t>
            </w:r>
            <w:r>
              <w:rPr>
                <w:rFonts w:hint="eastAsia" w:ascii="仿宋_GB2312" w:hAnsi="仿宋" w:eastAsia="仿宋_GB2312" w:cs="Times New Roman"/>
                <w:color w:val="auto"/>
                <w:sz w:val="24"/>
                <w:szCs w:val="24"/>
                <w:lang w:eastAsia="zh-CN" w:bidi="th-TH"/>
              </w:rPr>
              <w:t>的项目</w:t>
            </w:r>
            <w:r>
              <w:rPr>
                <w:rFonts w:hint="eastAsia" w:ascii="仿宋_GB2312" w:hAnsi="仿宋" w:eastAsia="仿宋_GB2312" w:cs="Times New Roman"/>
                <w:color w:val="auto"/>
                <w:sz w:val="24"/>
                <w:szCs w:val="24"/>
                <w:lang w:bidi="th-TH"/>
              </w:rPr>
              <w:t>方案进行评分，</w:t>
            </w:r>
            <w:r>
              <w:rPr>
                <w:rFonts w:hint="eastAsia" w:ascii="仿宋_GB2312" w:hAnsi="仿宋" w:eastAsia="仿宋_GB2312" w:cs="Times New Roman"/>
                <w:color w:val="auto"/>
                <w:sz w:val="24"/>
                <w:szCs w:val="24"/>
                <w:lang w:eastAsia="zh-CN" w:bidi="th-TH"/>
              </w:rPr>
              <w:t>涵盖</w:t>
            </w:r>
            <w:r>
              <w:rPr>
                <w:rFonts w:hint="eastAsia" w:ascii="仿宋_GB2312" w:hAnsi="仿宋" w:eastAsia="仿宋_GB2312" w:cs="Times New Roman"/>
                <w:color w:val="auto"/>
                <w:sz w:val="24"/>
                <w:szCs w:val="24"/>
                <w:lang w:val="en-US" w:eastAsia="zh-CN" w:bidi="th-TH"/>
              </w:rPr>
              <w:t>旅游推介活动策划、执行、保障等服务内容</w:t>
            </w:r>
            <w:r>
              <w:rPr>
                <w:rFonts w:hint="eastAsia" w:ascii="仿宋_GB2312" w:hAnsi="仿宋" w:eastAsia="仿宋_GB2312" w:cs="Times New Roman"/>
                <w:color w:val="auto"/>
                <w:sz w:val="24"/>
                <w:szCs w:val="24"/>
                <w:lang w:bidi="th-TH"/>
              </w:rPr>
              <w:t>。</w:t>
            </w:r>
          </w:p>
          <w:p w14:paraId="6BECAF04">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（1）方案内容全面具体，表达清晰；</w:t>
            </w:r>
          </w:p>
          <w:p w14:paraId="4250C41E">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（2）方案内容完整、严谨、针对性强；</w:t>
            </w:r>
          </w:p>
          <w:p w14:paraId="222805B0">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 w:eastAsia="仿宋_GB2312" w:cs="Times New Roman"/>
                <w:color w:val="auto"/>
                <w:sz w:val="24"/>
                <w:szCs w:val="24"/>
                <w:lang w:bidi="th-TH"/>
              </w:rPr>
              <w:t>（3）方案内容先进，科学合理、可操作性强</w:t>
            </w:r>
            <w:r>
              <w:rPr>
                <w:rFonts w:hint="eastAsia" w:ascii="仿宋_GB2312" w:hAnsi="仿宋" w:eastAsia="仿宋_GB2312" w:cs="Times New Roman"/>
                <w:color w:val="auto"/>
                <w:sz w:val="24"/>
                <w:szCs w:val="24"/>
                <w:lang w:eastAsia="zh-CN" w:bidi="th-TH"/>
              </w:rPr>
              <w:t>。</w:t>
            </w:r>
          </w:p>
          <w:p w14:paraId="34AFAE2F">
            <w:pPr>
              <w:widowControl/>
              <w:spacing w:line="320" w:lineRule="exact"/>
              <w:jc w:val="left"/>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三</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w:t>
            </w:r>
            <w:r>
              <w:rPr>
                <w:rFonts w:hint="eastAsia" w:ascii="仿宋_GB2312" w:hAnsi="仿宋" w:eastAsia="仿宋_GB2312"/>
                <w:color w:val="auto"/>
                <w:sz w:val="24"/>
                <w:szCs w:val="24"/>
                <w:lang w:bidi="th-TH"/>
              </w:rPr>
              <w:t>安排合理、详尽、可操作性强为优：</w:t>
            </w:r>
            <w:r>
              <w:rPr>
                <w:rFonts w:hint="eastAsia" w:ascii="仿宋_GB2312" w:hAnsi="仿宋" w:eastAsia="仿宋_GB2312"/>
                <w:color w:val="auto"/>
                <w:sz w:val="24"/>
                <w:szCs w:val="24"/>
                <w:lang w:val="en-US" w:eastAsia="zh-CN" w:bidi="th-TH"/>
              </w:rPr>
              <w:t>31-40</w:t>
            </w:r>
            <w:r>
              <w:rPr>
                <w:rFonts w:hint="eastAsia" w:ascii="仿宋_GB2312" w:hAnsi="仿宋" w:eastAsia="仿宋_GB2312"/>
                <w:color w:val="auto"/>
                <w:sz w:val="24"/>
                <w:szCs w:val="24"/>
                <w:lang w:bidi="th-TH"/>
              </w:rPr>
              <w:t>分；</w:t>
            </w:r>
          </w:p>
          <w:p w14:paraId="7B582172">
            <w:pPr>
              <w:widowControl/>
              <w:spacing w:line="320" w:lineRule="exact"/>
              <w:jc w:val="left"/>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二</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w:t>
            </w:r>
            <w:r>
              <w:rPr>
                <w:rFonts w:hint="eastAsia" w:ascii="仿宋_GB2312" w:hAnsi="仿宋" w:eastAsia="仿宋_GB2312"/>
                <w:color w:val="auto"/>
                <w:sz w:val="24"/>
                <w:szCs w:val="24"/>
                <w:lang w:bidi="th-TH"/>
              </w:rPr>
              <w:t>安排</w:t>
            </w:r>
            <w:r>
              <w:rPr>
                <w:rFonts w:hint="eastAsia" w:ascii="仿宋_GB2312" w:hAnsi="仿宋" w:eastAsia="仿宋_GB2312"/>
                <w:color w:val="auto"/>
                <w:sz w:val="24"/>
                <w:szCs w:val="24"/>
                <w:lang w:eastAsia="zh-CN" w:bidi="th-TH"/>
              </w:rPr>
              <w:t>较好</w:t>
            </w:r>
            <w:r>
              <w:rPr>
                <w:rFonts w:hint="eastAsia" w:ascii="仿宋_GB2312" w:hAnsi="仿宋" w:eastAsia="仿宋_GB2312"/>
                <w:color w:val="auto"/>
                <w:sz w:val="24"/>
                <w:szCs w:val="24"/>
                <w:lang w:bidi="th-TH"/>
              </w:rPr>
              <w:t>、可操作性</w:t>
            </w:r>
            <w:r>
              <w:rPr>
                <w:rFonts w:hint="eastAsia" w:ascii="仿宋_GB2312" w:hAnsi="仿宋" w:eastAsia="仿宋_GB2312"/>
                <w:color w:val="auto"/>
                <w:sz w:val="24"/>
                <w:szCs w:val="24"/>
                <w:lang w:eastAsia="zh-CN" w:bidi="th-TH"/>
              </w:rPr>
              <w:t>良好</w:t>
            </w:r>
            <w:r>
              <w:rPr>
                <w:rFonts w:hint="eastAsia" w:ascii="仿宋_GB2312" w:hAnsi="仿宋" w:eastAsia="仿宋_GB2312"/>
                <w:color w:val="auto"/>
                <w:sz w:val="24"/>
                <w:szCs w:val="24"/>
                <w:lang w:bidi="th-TH"/>
              </w:rPr>
              <w:t>为良：</w:t>
            </w:r>
            <w:r>
              <w:rPr>
                <w:rFonts w:hint="eastAsia" w:ascii="仿宋_GB2312" w:hAnsi="仿宋" w:eastAsia="仿宋_GB2312"/>
                <w:color w:val="auto"/>
                <w:sz w:val="24"/>
                <w:szCs w:val="24"/>
                <w:lang w:val="en-US" w:eastAsia="zh-CN" w:bidi="th-TH"/>
              </w:rPr>
              <w:t>15</w:t>
            </w:r>
            <w:r>
              <w:rPr>
                <w:rFonts w:hint="eastAsia" w:ascii="仿宋_GB2312" w:hAnsi="仿宋" w:eastAsia="仿宋_GB2312"/>
                <w:color w:val="auto"/>
                <w:sz w:val="24"/>
                <w:szCs w:val="24"/>
                <w:lang w:bidi="th-TH"/>
              </w:rPr>
              <w:t>-</w:t>
            </w:r>
            <w:r>
              <w:rPr>
                <w:rFonts w:hint="eastAsia" w:ascii="仿宋_GB2312" w:hAnsi="仿宋" w:eastAsia="仿宋_GB2312"/>
                <w:color w:val="auto"/>
                <w:sz w:val="24"/>
                <w:szCs w:val="24"/>
                <w:lang w:val="en-US" w:eastAsia="zh-CN" w:bidi="th-TH"/>
              </w:rPr>
              <w:t>30</w:t>
            </w:r>
            <w:r>
              <w:rPr>
                <w:rFonts w:hint="eastAsia" w:ascii="仿宋_GB2312" w:hAnsi="仿宋" w:eastAsia="仿宋_GB2312"/>
                <w:color w:val="auto"/>
                <w:sz w:val="24"/>
                <w:szCs w:val="24"/>
                <w:lang w:bidi="th-TH"/>
              </w:rPr>
              <w:t>分；</w:t>
            </w:r>
          </w:p>
          <w:p w14:paraId="18EF1910">
            <w:pPr>
              <w:widowControl/>
              <w:spacing w:line="320" w:lineRule="exact"/>
              <w:jc w:val="left"/>
              <w:rPr>
                <w:rFonts w:hint="default" w:ascii="仿宋_GB2312" w:hAnsi="仿宋" w:eastAsia="仿宋_GB2312" w:cs="Times New Roman"/>
                <w:color w:val="auto"/>
                <w:sz w:val="24"/>
                <w:szCs w:val="24"/>
                <w:lang w:val="en-US" w:eastAsia="zh-CN"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一</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或其他情况，</w:t>
            </w:r>
            <w:r>
              <w:rPr>
                <w:rFonts w:hint="eastAsia" w:ascii="仿宋_GB2312" w:hAnsi="仿宋" w:eastAsia="仿宋_GB2312"/>
                <w:color w:val="auto"/>
                <w:sz w:val="24"/>
                <w:szCs w:val="24"/>
                <w:lang w:bidi="th-TH"/>
              </w:rPr>
              <w:t>安排不合理、可操作性</w:t>
            </w:r>
            <w:r>
              <w:rPr>
                <w:rFonts w:hint="eastAsia" w:ascii="仿宋_GB2312" w:hAnsi="仿宋" w:eastAsia="仿宋_GB2312"/>
                <w:color w:val="auto"/>
                <w:sz w:val="24"/>
                <w:szCs w:val="24"/>
                <w:lang w:eastAsia="zh-CN" w:bidi="th-TH"/>
              </w:rPr>
              <w:t>不佳</w:t>
            </w:r>
            <w:r>
              <w:rPr>
                <w:rFonts w:hint="eastAsia" w:ascii="仿宋_GB2312" w:hAnsi="仿宋" w:eastAsia="仿宋_GB2312"/>
                <w:color w:val="auto"/>
                <w:sz w:val="24"/>
                <w:szCs w:val="24"/>
                <w:lang w:bidi="th-TH"/>
              </w:rPr>
              <w:t>为差：0-</w:t>
            </w:r>
            <w:r>
              <w:rPr>
                <w:rFonts w:hint="eastAsia" w:ascii="仿宋_GB2312" w:hAnsi="仿宋" w:eastAsia="仿宋_GB2312"/>
                <w:color w:val="auto"/>
                <w:sz w:val="24"/>
                <w:szCs w:val="24"/>
                <w:lang w:val="en-US" w:eastAsia="zh-CN" w:bidi="th-TH"/>
              </w:rPr>
              <w:t>14</w:t>
            </w:r>
            <w:r>
              <w:rPr>
                <w:rFonts w:hint="eastAsia" w:ascii="仿宋_GB2312" w:hAnsi="仿宋" w:eastAsia="仿宋_GB2312"/>
                <w:color w:val="auto"/>
                <w:sz w:val="24"/>
                <w:szCs w:val="24"/>
                <w:lang w:bidi="th-TH"/>
              </w:rPr>
              <w:t>分</w:t>
            </w:r>
            <w:r>
              <w:rPr>
                <w:rFonts w:hint="eastAsia" w:ascii="仿宋_GB2312" w:hAnsi="仿宋" w:eastAsia="仿宋_GB2312"/>
                <w:color w:val="auto"/>
                <w:sz w:val="24"/>
                <w:szCs w:val="24"/>
                <w:lang w:eastAsia="zh-CN" w:bidi="th-TH"/>
              </w:rPr>
              <w:t>。</w:t>
            </w:r>
          </w:p>
        </w:tc>
        <w:tc>
          <w:tcPr>
            <w:tcW w:w="1874" w:type="dxa"/>
            <w:tcBorders>
              <w:top w:val="single" w:color="auto" w:sz="6" w:space="0"/>
              <w:left w:val="single" w:color="auto" w:sz="6" w:space="0"/>
              <w:bottom w:val="single" w:color="auto" w:sz="6" w:space="0"/>
              <w:right w:val="single" w:color="auto" w:sz="8" w:space="0"/>
            </w:tcBorders>
            <w:noWrap w:val="0"/>
            <w:vAlign w:val="center"/>
          </w:tcPr>
          <w:p w14:paraId="62C04C23">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5737F89B">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7A1124E0">
            <w:pPr>
              <w:widowControl/>
              <w:spacing w:line="440" w:lineRule="exact"/>
              <w:jc w:val="left"/>
              <w:rPr>
                <w:rFonts w:ascii="仿宋_GB2312" w:hAnsi="仿宋" w:eastAsia="仿宋_GB2312"/>
                <w:sz w:val="24"/>
              </w:rPr>
            </w:pPr>
          </w:p>
        </w:tc>
      </w:tr>
      <w:tr w14:paraId="115C49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restart"/>
            <w:tcBorders>
              <w:top w:val="single" w:color="auto" w:sz="4" w:space="0"/>
              <w:left w:val="single" w:color="auto" w:sz="4" w:space="0"/>
              <w:right w:val="single" w:color="auto" w:sz="4" w:space="0"/>
            </w:tcBorders>
            <w:noWrap w:val="0"/>
            <w:vAlign w:val="center"/>
          </w:tcPr>
          <w:p w14:paraId="5B8A089B">
            <w:pPr>
              <w:widowControl/>
              <w:jc w:val="left"/>
              <w:rPr>
                <w:rFonts w:hint="eastAsia" w:ascii="仿宋_GB2312" w:hAnsi="仿宋" w:eastAsia="仿宋_GB2312"/>
                <w:sz w:val="24"/>
                <w:lang w:eastAsia="zh-CN"/>
              </w:rPr>
            </w:pPr>
            <w:r>
              <w:rPr>
                <w:rFonts w:hint="eastAsia" w:ascii="仿宋_GB2312" w:hAnsi="仿宋" w:eastAsia="仿宋_GB2312"/>
                <w:sz w:val="24"/>
                <w:lang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47099C9E">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经验</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4F383935">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val="en-US" w:eastAsia="zh-CN" w:bidi="th-TH"/>
              </w:rPr>
              <w:t>25</w:t>
            </w:r>
            <w:r>
              <w:rPr>
                <w:rFonts w:hint="eastAsia" w:ascii="仿宋_GB2312" w:hAnsi="仿宋" w:eastAsia="仿宋_GB2312"/>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26CC374D">
            <w:pPr>
              <w:widowControl/>
              <w:spacing w:line="320" w:lineRule="exact"/>
              <w:jc w:val="center"/>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val="en-US" w:eastAsia="zh-CN" w:bidi="th-TH"/>
              </w:rPr>
              <w:t>25</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0A8520EC">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 w:eastAsia="仿宋_GB2312" w:cs="Times New Roman"/>
                <w:color w:val="auto"/>
                <w:sz w:val="24"/>
                <w:szCs w:val="24"/>
                <w:lang w:bidi="th-TH"/>
              </w:rPr>
              <w:t>投标人提供近3年类似项目业绩，每提供一份得5分，最高得1</w:t>
            </w:r>
            <w:r>
              <w:rPr>
                <w:rFonts w:hint="eastAsia" w:ascii="仿宋_GB2312" w:hAnsi="仿宋" w:eastAsia="仿宋_GB2312" w:cs="Times New Roman"/>
                <w:color w:val="auto"/>
                <w:sz w:val="24"/>
                <w:szCs w:val="24"/>
                <w:lang w:val="en-US" w:eastAsia="zh-CN" w:bidi="th-TH"/>
              </w:rPr>
              <w:t>5</w:t>
            </w:r>
            <w:r>
              <w:rPr>
                <w:rFonts w:hint="eastAsia" w:ascii="仿宋_GB2312" w:hAnsi="仿宋" w:eastAsia="仿宋_GB2312" w:cs="Times New Roman"/>
                <w:color w:val="auto"/>
                <w:sz w:val="24"/>
                <w:szCs w:val="24"/>
                <w:lang w:bidi="th-TH"/>
              </w:rPr>
              <w:t>分</w:t>
            </w:r>
            <w:r>
              <w:rPr>
                <w:rFonts w:hint="eastAsia" w:ascii="仿宋_GB2312" w:hAnsi="仿宋" w:eastAsia="仿宋_GB2312" w:cs="Times New Roman"/>
                <w:color w:val="auto"/>
                <w:sz w:val="24"/>
                <w:szCs w:val="24"/>
                <w:lang w:eastAsia="zh-CN" w:bidi="th-TH"/>
              </w:rPr>
              <w:t>；如</w:t>
            </w:r>
            <w:r>
              <w:rPr>
                <w:rFonts w:hint="eastAsia" w:ascii="仿宋_GB2312" w:hAnsi="仿宋" w:eastAsia="仿宋_GB2312" w:cs="Times New Roman"/>
                <w:color w:val="auto"/>
                <w:sz w:val="24"/>
                <w:szCs w:val="24"/>
                <w:lang w:bidi="th-TH"/>
              </w:rPr>
              <w:t>为市级及以上文化旅游部门提供过类似服务的</w:t>
            </w:r>
            <w:r>
              <w:rPr>
                <w:rFonts w:hint="eastAsia" w:ascii="仿宋_GB2312" w:hAnsi="仿宋" w:eastAsia="仿宋_GB2312" w:cs="Times New Roman"/>
                <w:color w:val="auto"/>
                <w:sz w:val="24"/>
                <w:szCs w:val="24"/>
                <w:lang w:eastAsia="zh-CN" w:bidi="th-TH"/>
              </w:rPr>
              <w:t>，再</w:t>
            </w:r>
            <w:r>
              <w:rPr>
                <w:rFonts w:hint="eastAsia" w:ascii="仿宋_GB2312" w:hAnsi="仿宋" w:eastAsia="仿宋_GB2312" w:cs="Times New Roman"/>
                <w:color w:val="auto"/>
                <w:sz w:val="24"/>
                <w:szCs w:val="24"/>
                <w:lang w:bidi="th-TH"/>
              </w:rPr>
              <w:t>得10分</w:t>
            </w:r>
            <w:r>
              <w:rPr>
                <w:rFonts w:hint="eastAsia" w:ascii="仿宋_GB2312" w:hAnsi="仿宋" w:eastAsia="仿宋_GB2312" w:cs="Times New Roman"/>
                <w:color w:val="auto"/>
                <w:sz w:val="24"/>
                <w:szCs w:val="24"/>
                <w:lang w:eastAsia="zh-CN" w:bidi="th-TH"/>
              </w:rPr>
              <w:t>。两项</w:t>
            </w:r>
            <w:r>
              <w:rPr>
                <w:rFonts w:hint="eastAsia" w:ascii="仿宋_GB2312" w:hAnsi="仿宋" w:eastAsia="仿宋_GB2312" w:cs="Times New Roman"/>
                <w:color w:val="auto"/>
                <w:sz w:val="24"/>
                <w:szCs w:val="24"/>
                <w:lang w:bidi="th-TH"/>
              </w:rPr>
              <w:t>最高得</w:t>
            </w:r>
            <w:r>
              <w:rPr>
                <w:rFonts w:hint="eastAsia" w:ascii="仿宋_GB2312" w:hAnsi="仿宋" w:eastAsia="仿宋_GB2312" w:cs="Times New Roman"/>
                <w:color w:val="auto"/>
                <w:sz w:val="24"/>
                <w:szCs w:val="24"/>
                <w:lang w:val="en-US" w:eastAsia="zh-CN" w:bidi="th-TH"/>
              </w:rPr>
              <w:t>25</w:t>
            </w:r>
            <w:r>
              <w:rPr>
                <w:rFonts w:hint="eastAsia" w:ascii="仿宋_GB2312" w:hAnsi="仿宋" w:eastAsia="仿宋_GB2312" w:cs="Times New Roman"/>
                <w:color w:val="auto"/>
                <w:sz w:val="24"/>
                <w:szCs w:val="24"/>
                <w:lang w:bidi="th-TH"/>
              </w:rPr>
              <w:t>分。（投标人须提供相关证明材料或合同复印件）</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11784828">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5B12975D">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58CE8CAF">
            <w:pPr>
              <w:widowControl/>
              <w:spacing w:line="440" w:lineRule="exact"/>
              <w:jc w:val="left"/>
              <w:rPr>
                <w:rFonts w:ascii="仿宋_GB2312" w:hAnsi="仿宋" w:eastAsia="仿宋_GB2312"/>
                <w:sz w:val="24"/>
              </w:rPr>
            </w:pPr>
          </w:p>
        </w:tc>
      </w:tr>
      <w:tr w14:paraId="709D12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right w:val="single" w:color="auto" w:sz="4" w:space="0"/>
            </w:tcBorders>
            <w:noWrap w:val="0"/>
            <w:vAlign w:val="center"/>
          </w:tcPr>
          <w:p w14:paraId="16E4F96E">
            <w:pPr>
              <w:widowControl/>
              <w:jc w:val="left"/>
              <w:rPr>
                <w:rFonts w:hint="eastAsia" w:ascii="仿宋_GB2312" w:hAnsi="仿宋" w:eastAsia="仿宋_GB2312"/>
                <w:sz w:val="24"/>
                <w:lang w:eastAsia="zh-CN"/>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699EB938">
            <w:pPr>
              <w:widowControl/>
              <w:spacing w:line="320" w:lineRule="exact"/>
              <w:jc w:val="center"/>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资源</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641B8FD1">
            <w:pPr>
              <w:widowControl/>
              <w:spacing w:line="320" w:lineRule="exact"/>
              <w:jc w:val="center"/>
              <w:rPr>
                <w:rFonts w:hint="default" w:ascii="仿宋_GB2312" w:hAnsi="仿宋" w:eastAsia="仿宋_GB2312"/>
                <w:sz w:val="24"/>
                <w:szCs w:val="24"/>
                <w:lang w:val="en-US" w:eastAsia="zh-CN" w:bidi="th-TH"/>
              </w:rPr>
            </w:pPr>
            <w:r>
              <w:rPr>
                <w:rFonts w:hint="eastAsia" w:ascii="仿宋_GB2312" w:hAnsi="仿宋" w:eastAsia="仿宋_GB2312"/>
                <w:sz w:val="24"/>
                <w:szCs w:val="24"/>
                <w:lang w:val="en-US" w:eastAsia="zh-CN" w:bidi="th-TH"/>
              </w:rPr>
              <w:t>10%</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0BD8911C">
            <w:pPr>
              <w:widowControl/>
              <w:spacing w:line="320" w:lineRule="exact"/>
              <w:jc w:val="center"/>
              <w:rPr>
                <w:rFonts w:hint="default" w:ascii="仿宋_GB2312" w:hAnsi="仿宋" w:eastAsia="仿宋_GB2312"/>
                <w:color w:val="auto"/>
                <w:sz w:val="24"/>
                <w:szCs w:val="24"/>
                <w:lang w:val="en-US" w:eastAsia="zh-CN" w:bidi="th-TH"/>
              </w:rPr>
            </w:pPr>
            <w:r>
              <w:rPr>
                <w:rFonts w:hint="eastAsia" w:ascii="仿宋_GB2312" w:hAnsi="仿宋" w:eastAsia="仿宋_GB2312"/>
                <w:color w:val="auto"/>
                <w:sz w:val="24"/>
                <w:szCs w:val="24"/>
                <w:lang w:val="en-US" w:eastAsia="zh-CN" w:bidi="th-TH"/>
              </w:rPr>
              <w:t>10分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0298441A">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投标人提供</w:t>
            </w:r>
            <w:r>
              <w:rPr>
                <w:rFonts w:hint="eastAsia" w:ascii="仿宋_GB2312" w:hAnsi="仿宋" w:eastAsia="仿宋_GB2312" w:cs="Times New Roman"/>
                <w:color w:val="auto"/>
                <w:sz w:val="24"/>
                <w:szCs w:val="24"/>
                <w:lang w:eastAsia="zh-CN" w:bidi="th-TH"/>
              </w:rPr>
              <w:t>近3年在海外举办活动合作证明，每提供一份得</w:t>
            </w:r>
            <w:r>
              <w:rPr>
                <w:rFonts w:hint="eastAsia" w:ascii="仿宋_GB2312" w:hAnsi="仿宋" w:eastAsia="仿宋_GB2312" w:cs="Times New Roman"/>
                <w:color w:val="auto"/>
                <w:sz w:val="24"/>
                <w:szCs w:val="24"/>
                <w:lang w:eastAsia="zh" w:bidi="th-TH"/>
              </w:rPr>
              <w:t>5</w:t>
            </w:r>
            <w:r>
              <w:rPr>
                <w:rFonts w:hint="eastAsia" w:ascii="仿宋_GB2312" w:hAnsi="仿宋" w:eastAsia="仿宋_GB2312" w:cs="Times New Roman"/>
                <w:color w:val="auto"/>
                <w:sz w:val="24"/>
                <w:szCs w:val="24"/>
                <w:lang w:eastAsia="zh-CN" w:bidi="th-TH"/>
              </w:rPr>
              <w:t>分，最高得</w:t>
            </w:r>
            <w:r>
              <w:rPr>
                <w:rFonts w:hint="eastAsia" w:ascii="仿宋_GB2312" w:hAnsi="仿宋" w:eastAsia="仿宋_GB2312" w:cs="Times New Roman"/>
                <w:color w:val="auto"/>
                <w:sz w:val="24"/>
                <w:szCs w:val="24"/>
                <w:lang w:eastAsia="zh" w:bidi="th-TH"/>
              </w:rPr>
              <w:t>1</w:t>
            </w:r>
            <w:r>
              <w:rPr>
                <w:rFonts w:hint="eastAsia" w:ascii="仿宋_GB2312" w:hAnsi="仿宋" w:eastAsia="仿宋_GB2312" w:cs="Times New Roman"/>
                <w:color w:val="auto"/>
                <w:sz w:val="24"/>
                <w:szCs w:val="24"/>
                <w:lang w:val="en-US" w:eastAsia="zh-CN" w:bidi="th-TH"/>
              </w:rPr>
              <w:t>0</w:t>
            </w:r>
            <w:r>
              <w:rPr>
                <w:rFonts w:hint="eastAsia" w:ascii="仿宋_GB2312" w:hAnsi="仿宋" w:eastAsia="仿宋_GB2312" w:cs="Times New Roman"/>
                <w:color w:val="auto"/>
                <w:sz w:val="24"/>
                <w:szCs w:val="24"/>
                <w:lang w:eastAsia="zh-CN" w:bidi="th-TH"/>
              </w:rPr>
              <w:t>分。（要求提供合同或中标通知书复印件）</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29849D57">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23F6E4A4">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0F461960">
            <w:pPr>
              <w:widowControl/>
              <w:spacing w:line="440" w:lineRule="exact"/>
              <w:jc w:val="left"/>
              <w:rPr>
                <w:rFonts w:ascii="仿宋_GB2312" w:hAnsi="仿宋" w:eastAsia="仿宋_GB2312"/>
                <w:sz w:val="24"/>
              </w:rPr>
            </w:pPr>
          </w:p>
        </w:tc>
      </w:tr>
      <w:tr w14:paraId="06FA88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bottom w:val="single" w:color="auto" w:sz="4" w:space="0"/>
              <w:right w:val="single" w:color="auto" w:sz="4" w:space="0"/>
            </w:tcBorders>
            <w:noWrap w:val="0"/>
            <w:vAlign w:val="center"/>
          </w:tcPr>
          <w:p w14:paraId="23607E42">
            <w:pPr>
              <w:widowControl/>
              <w:jc w:val="left"/>
              <w:rPr>
                <w:rFonts w:ascii="仿宋_GB2312" w:hAnsi="仿宋" w:eastAsia="仿宋_GB2312"/>
                <w:sz w:val="24"/>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27BB15D5">
            <w:pPr>
              <w:spacing w:line="360" w:lineRule="exact"/>
              <w:jc w:val="center"/>
              <w:rPr>
                <w:rFonts w:ascii="仿宋_GB2312" w:hAnsi="仿宋" w:eastAsia="仿宋_GB2312"/>
                <w:sz w:val="24"/>
              </w:rPr>
            </w:pPr>
            <w:r>
              <w:rPr>
                <w:rFonts w:hint="eastAsia" w:ascii="仿宋_GB2312" w:hAnsi="仿宋" w:eastAsia="仿宋_GB2312"/>
                <w:sz w:val="24"/>
              </w:rPr>
              <w:t>违约承诺</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8E58415">
            <w:pPr>
              <w:spacing w:line="360" w:lineRule="exact"/>
              <w:jc w:val="center"/>
              <w:rPr>
                <w:rFonts w:ascii="仿宋_GB2312" w:hAnsi="仿宋" w:eastAsia="仿宋_GB2312"/>
                <w:sz w:val="24"/>
              </w:rPr>
            </w:pPr>
            <w:r>
              <w:rPr>
                <w:rFonts w:hint="eastAsia" w:ascii="仿宋_GB2312" w:hAnsi="仿宋" w:eastAsia="仿宋_GB2312"/>
                <w:sz w:val="24"/>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1E731867">
            <w:pPr>
              <w:widowControl/>
              <w:spacing w:line="360" w:lineRule="exact"/>
              <w:jc w:val="center"/>
              <w:rPr>
                <w:rFonts w:ascii="仿宋_GB2312" w:hAnsi="仿宋" w:eastAsia="仿宋_GB2312"/>
                <w:color w:val="auto"/>
                <w:sz w:val="24"/>
              </w:rPr>
            </w:pPr>
            <w:r>
              <w:rPr>
                <w:rFonts w:hint="eastAsia" w:ascii="仿宋_GB2312" w:hAnsi="仿宋" w:eastAsia="仿宋_GB2312"/>
                <w:color w:val="auto"/>
                <w:sz w:val="24"/>
              </w:rPr>
              <w:t>5分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189A0F8C">
            <w:pPr>
              <w:widowControl/>
              <w:spacing w:line="320" w:lineRule="exact"/>
              <w:jc w:val="left"/>
              <w:rPr>
                <w:rFonts w:ascii="仿宋_GB2312" w:hAnsi="仿宋" w:eastAsia="仿宋_GB2312"/>
                <w:color w:val="auto"/>
                <w:sz w:val="24"/>
              </w:rPr>
            </w:pPr>
            <w:r>
              <w:rPr>
                <w:rFonts w:hint="eastAsia" w:ascii="仿宋_GB2312" w:hAnsi="仿宋" w:eastAsia="仿宋_GB2312"/>
                <w:color w:val="auto"/>
                <w:sz w:val="24"/>
              </w:rPr>
              <w:t>承诺满足招标文件要求，保证措施合理且有针对性，有具体的违约责任承诺。提供违约承诺得5分。要求提供承诺（格式自定）作为得分依据，未提供承诺或承诺内容不满足要求不得分。</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06ADFCA5">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239AE060">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1331F4F6">
            <w:pPr>
              <w:widowControl/>
              <w:spacing w:line="440" w:lineRule="exact"/>
              <w:jc w:val="left"/>
              <w:rPr>
                <w:rFonts w:ascii="仿宋_GB2312" w:hAnsi="仿宋" w:eastAsia="仿宋_GB2312"/>
                <w:sz w:val="24"/>
              </w:rPr>
            </w:pPr>
          </w:p>
        </w:tc>
      </w:tr>
      <w:tr w14:paraId="14E05A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0" w:hRule="atLeast"/>
          <w:tblHeader/>
        </w:trPr>
        <w:tc>
          <w:tcPr>
            <w:tcW w:w="10203" w:type="dxa"/>
            <w:gridSpan w:val="5"/>
            <w:tcBorders>
              <w:top w:val="single" w:color="auto" w:sz="6" w:space="0"/>
              <w:left w:val="single" w:color="auto" w:sz="8" w:space="0"/>
              <w:bottom w:val="single" w:color="auto" w:sz="8" w:space="0"/>
              <w:right w:val="single" w:color="auto" w:sz="8" w:space="0"/>
            </w:tcBorders>
            <w:noWrap w:val="0"/>
            <w:vAlign w:val="top"/>
          </w:tcPr>
          <w:p w14:paraId="5B04FC01">
            <w:pPr>
              <w:jc w:val="center"/>
              <w:rPr>
                <w:rFonts w:ascii="宋体" w:hAnsi="宋体" w:cs="宋体"/>
                <w:b/>
                <w:color w:val="000000"/>
                <w:kern w:val="0"/>
                <w:sz w:val="28"/>
                <w:szCs w:val="28"/>
              </w:rPr>
            </w:pPr>
            <w:r>
              <w:rPr>
                <w:rFonts w:hint="eastAsia" w:ascii="宋体" w:hAnsi="宋体" w:cs="宋体"/>
                <w:b/>
                <w:color w:val="000000"/>
                <w:kern w:val="0"/>
                <w:sz w:val="28"/>
                <w:szCs w:val="28"/>
              </w:rPr>
              <w:t>评分合计</w:t>
            </w:r>
          </w:p>
        </w:tc>
        <w:tc>
          <w:tcPr>
            <w:tcW w:w="1874" w:type="dxa"/>
            <w:tcBorders>
              <w:top w:val="single" w:color="auto" w:sz="6" w:space="0"/>
              <w:left w:val="single" w:color="auto" w:sz="8" w:space="0"/>
              <w:bottom w:val="single" w:color="auto" w:sz="8" w:space="0"/>
              <w:right w:val="single" w:color="auto" w:sz="8" w:space="0"/>
            </w:tcBorders>
            <w:noWrap w:val="0"/>
            <w:vAlign w:val="top"/>
          </w:tcPr>
          <w:p w14:paraId="08467891">
            <w:pPr>
              <w:jc w:val="center"/>
              <w:rPr>
                <w:rFonts w:ascii="宋体" w:hAnsi="宋体" w:cs="宋体"/>
                <w:b/>
                <w:color w:val="000000"/>
                <w:kern w:val="0"/>
                <w:sz w:val="28"/>
                <w:szCs w:val="28"/>
              </w:rPr>
            </w:pPr>
          </w:p>
        </w:tc>
        <w:tc>
          <w:tcPr>
            <w:tcW w:w="1812" w:type="dxa"/>
            <w:tcBorders>
              <w:top w:val="single" w:color="auto" w:sz="6" w:space="0"/>
              <w:left w:val="single" w:color="auto" w:sz="8" w:space="0"/>
              <w:bottom w:val="single" w:color="auto" w:sz="8" w:space="0"/>
              <w:right w:val="single" w:color="auto" w:sz="8" w:space="0"/>
            </w:tcBorders>
            <w:noWrap w:val="0"/>
            <w:vAlign w:val="top"/>
          </w:tcPr>
          <w:p w14:paraId="4C2433FA">
            <w:pPr>
              <w:jc w:val="center"/>
              <w:rPr>
                <w:rFonts w:ascii="宋体" w:hAnsi="宋体" w:cs="宋体"/>
                <w:b/>
                <w:color w:val="000000"/>
                <w:kern w:val="0"/>
                <w:sz w:val="28"/>
                <w:szCs w:val="28"/>
              </w:rPr>
            </w:pPr>
          </w:p>
        </w:tc>
        <w:tc>
          <w:tcPr>
            <w:tcW w:w="1983" w:type="dxa"/>
            <w:tcBorders>
              <w:top w:val="single" w:color="auto" w:sz="6" w:space="0"/>
              <w:left w:val="single" w:color="auto" w:sz="8" w:space="0"/>
              <w:bottom w:val="single" w:color="auto" w:sz="8" w:space="0"/>
              <w:right w:val="single" w:color="auto" w:sz="8" w:space="0"/>
            </w:tcBorders>
            <w:noWrap w:val="0"/>
            <w:vAlign w:val="top"/>
          </w:tcPr>
          <w:p w14:paraId="787E6C31">
            <w:pPr>
              <w:jc w:val="center"/>
              <w:rPr>
                <w:rFonts w:ascii="宋体" w:hAnsi="宋体" w:cs="宋体"/>
                <w:b/>
                <w:color w:val="000000"/>
                <w:kern w:val="0"/>
                <w:sz w:val="28"/>
                <w:szCs w:val="28"/>
              </w:rPr>
            </w:pPr>
          </w:p>
        </w:tc>
      </w:tr>
    </w:tbl>
    <w:p w14:paraId="2FE69162">
      <w:pPr>
        <w:pStyle w:val="7"/>
        <w:rPr>
          <w:rFonts w:hint="eastAsia"/>
          <w:lang w:val="en" w:eastAsia="zh-CN"/>
        </w:rPr>
        <w:sectPr>
          <w:pgSz w:w="16838" w:h="11906" w:orient="landscape"/>
          <w:pgMar w:top="1800" w:right="1440" w:bottom="1800" w:left="1440" w:header="851" w:footer="992" w:gutter="0"/>
          <w:cols w:space="720" w:num="1"/>
          <w:docGrid w:type="lines" w:linePitch="312" w:charSpace="0"/>
        </w:sectPr>
      </w:pPr>
    </w:p>
    <w:p w14:paraId="25A8D5DC">
      <w:pPr>
        <w:pStyle w:val="6"/>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642EE913">
      <w:pPr>
        <w:pStyle w:val="4"/>
        <w:spacing w:line="600" w:lineRule="exact"/>
        <w:jc w:val="center"/>
        <w:rPr>
          <w:rFonts w:hint="eastAsia"/>
        </w:rPr>
      </w:pPr>
      <w:r>
        <w:rPr>
          <w:rFonts w:hint="eastAsia"/>
        </w:rPr>
        <w:t>政府采购投标及履约承诺函（模板）</w:t>
      </w:r>
    </w:p>
    <w:p w14:paraId="3E1A8E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rPr>
      </w:pPr>
      <w:r>
        <w:rPr>
          <w:rFonts w:hint="eastAsia" w:ascii="宋体" w:hAnsi="宋体"/>
        </w:rPr>
        <w:t>致：</w:t>
      </w:r>
      <w:r>
        <w:rPr>
          <w:rFonts w:hint="eastAsia" w:ascii="宋体" w:hAnsi="宋体"/>
          <w:u w:val="single"/>
        </w:rPr>
        <w:t>深圳市文化广电旅游体育局</w:t>
      </w:r>
    </w:p>
    <w:p w14:paraId="72E253EC">
      <w:pPr>
        <w:keepNext w:val="0"/>
        <w:keepLines w:val="0"/>
        <w:pageBreakBefore w:val="0"/>
        <w:widowControl w:val="0"/>
        <w:kinsoku/>
        <w:wordWrap/>
        <w:overflowPunct/>
        <w:topLinePunct w:val="0"/>
        <w:autoSpaceDE/>
        <w:autoSpaceDN/>
        <w:bidi w:val="0"/>
        <w:adjustRightInd/>
        <w:snapToGrid/>
        <w:spacing w:line="500" w:lineRule="exact"/>
        <w:ind w:right="-815" w:firstLine="630" w:firstLineChars="300"/>
        <w:textAlignment w:val="auto"/>
        <w:rPr>
          <w:rFonts w:ascii="宋体" w:hAnsi="宋体"/>
        </w:rPr>
      </w:pPr>
      <w:r>
        <w:rPr>
          <w:rFonts w:hint="eastAsia" w:ascii="宋体" w:hAnsi="宋体"/>
        </w:rPr>
        <w:t>我单位承诺：</w:t>
      </w:r>
    </w:p>
    <w:p w14:paraId="213597B1">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1.我单位本招标项目所提供的货物或服务未侵犯知识产权。</w:t>
      </w:r>
    </w:p>
    <w:p w14:paraId="03BE70B5">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2.我单位参与本项目投标前三年内，在经营活动中没有重大违法记录。</w:t>
      </w:r>
    </w:p>
    <w:p w14:paraId="59CF6632">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3.我单位参与本项目政府采购活动时不存在被有关部门禁止参与政府采购活动且在有效期内的情况。</w:t>
      </w:r>
    </w:p>
    <w:p w14:paraId="7826D055">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4.我单位具备《中华人民共和国政府采购法》第二十二条规定的条件。</w:t>
      </w:r>
    </w:p>
    <w:p w14:paraId="57425B62">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5.我单位未被列入失信被执行人、重大税收违法案件当事人名单、政府采购严重违法失信行为记录名单。</w:t>
      </w:r>
    </w:p>
    <w:p w14:paraId="4D2D4826">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6.我单位参与该项目投标，严格遵循公平竞争的原则，不恶意串通，不妨碍其他投标人 的竞争行为，不损害采购人或者其他投标人的合法权益。我单位已清楚，如违反上述要求，将作投标无效处理。</w:t>
      </w:r>
    </w:p>
    <w:p w14:paraId="72745D0C">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7.我单位如果中标，做到守信，不偷工减料，依照本项目招标文件需求内容、签署的采购合同及本单位在投标中所作的一切承诺履约。</w:t>
      </w:r>
    </w:p>
    <w:p w14:paraId="305AA207">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190287E8">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ascii="宋体" w:hAnsi="宋体"/>
        </w:rPr>
      </w:pPr>
      <w:r>
        <w:rPr>
          <w:rFonts w:hint="eastAsia" w:ascii="宋体" w:hAnsi="宋体"/>
        </w:rPr>
        <w:t>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w:t>
      </w:r>
      <w:r>
        <w:rPr>
          <w:rFonts w:ascii="宋体" w:hAnsi="宋体"/>
        </w:rPr>
        <w:t xml:space="preserve"> </w:t>
      </w:r>
    </w:p>
    <w:p w14:paraId="548D0F50">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textAlignment w:val="auto"/>
        <w:rPr>
          <w:rFonts w:hint="eastAsia" w:ascii="宋体" w:hAnsi="宋体"/>
        </w:rPr>
      </w:pPr>
      <w:r>
        <w:rPr>
          <w:rFonts w:hint="eastAsia" w:ascii="宋体" w:hAnsi="宋体"/>
        </w:rPr>
        <w:t xml:space="preserve">10.我单位承诺不非法转包、分包。 以上承诺，如有违反，愿依照国家相关法律处理，并承担由此给采购人带来的损失。                                             </w:t>
      </w:r>
    </w:p>
    <w:p w14:paraId="7A2F6A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7224F88A">
      <w:pPr>
        <w:spacing w:line="480" w:lineRule="auto"/>
        <w:ind w:firstLine="435"/>
        <w:rPr>
          <w:color w:val="000000"/>
          <w:u w:val="single"/>
        </w:rPr>
      </w:pPr>
      <w:r>
        <w:rPr>
          <w:rFonts w:hint="eastAsia" w:ascii="宋体" w:hAnsi="宋体"/>
        </w:rPr>
        <w:t>投标单位（公章）：</w:t>
      </w:r>
      <w:r>
        <w:rPr>
          <w:rFonts w:hint="eastAsia" w:ascii="宋体" w:hAnsi="宋体"/>
          <w:u w:val="single"/>
        </w:rPr>
        <w:t xml:space="preserve">                               </w:t>
      </w:r>
    </w:p>
    <w:p w14:paraId="62370FA3">
      <w:pPr>
        <w:spacing w:line="480" w:lineRule="auto"/>
        <w:ind w:firstLine="420" w:firstLineChars="200"/>
        <w:rPr>
          <w:rFonts w:hint="eastAsia" w:ascii="黑体" w:hAnsi="黑体" w:eastAsia="黑体" w:cs="黑体"/>
          <w:color w:val="000000"/>
          <w:kern w:val="2"/>
          <w:sz w:val="32"/>
          <w:szCs w:val="32"/>
          <w:u w:val="none"/>
          <w:lang w:val="en-US" w:eastAsia="zh-CN" w:bidi="ar-SA"/>
        </w:rPr>
      </w:pPr>
      <w:r>
        <w:rPr>
          <w:rFonts w:hint="eastAsia" w:ascii="宋体" w:hAnsi="宋体"/>
        </w:rPr>
        <w:t>法定代表人或其授权代表签名：</w:t>
      </w:r>
      <w:r>
        <w:rPr>
          <w:rFonts w:hint="eastAsia" w:ascii="宋体" w:hAnsi="宋体"/>
          <w:u w:val="single"/>
        </w:rPr>
        <w:t xml:space="preserve">                     </w:t>
      </w:r>
      <w:r>
        <w:rPr>
          <w:rFonts w:hint="eastAsia" w:ascii="宋体" w:hAnsi="宋体"/>
          <w:u w:val="single"/>
        </w:rPr>
        <w:br w:type="page"/>
      </w:r>
      <w:r>
        <w:rPr>
          <w:rFonts w:hint="eastAsia" w:ascii="黑体" w:hAnsi="黑体" w:eastAsia="黑体" w:cs="黑体"/>
          <w:color w:val="000000"/>
          <w:kern w:val="2"/>
          <w:sz w:val="32"/>
          <w:szCs w:val="32"/>
          <w:u w:val="none"/>
          <w:lang w:val="en-US" w:eastAsia="zh-CN" w:bidi="ar-SA"/>
        </w:rPr>
        <w:t>附件3</w:t>
      </w:r>
    </w:p>
    <w:p w14:paraId="146514FB">
      <w:pPr>
        <w:pStyle w:val="7"/>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563E023C">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2D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65C286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E4166F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07674D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21BFC42">
            <w:pPr>
              <w:jc w:val="center"/>
              <w:rPr>
                <w:rFonts w:hint="eastAsia" w:ascii="方正仿宋_GBK" w:hAnsi="方正仿宋_GBK" w:eastAsia="方正仿宋_GBK" w:cs="方正仿宋_GBK"/>
                <w:sz w:val="24"/>
                <w:szCs w:val="24"/>
                <w:vertAlign w:val="baseline"/>
                <w:lang w:val="en-US" w:eastAsia="zh-CN"/>
              </w:rPr>
            </w:pPr>
          </w:p>
        </w:tc>
      </w:tr>
      <w:tr w14:paraId="4730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28B559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69C8D0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D81326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5BF3132A">
            <w:pPr>
              <w:jc w:val="center"/>
              <w:rPr>
                <w:rFonts w:hint="eastAsia" w:ascii="方正仿宋_GBK" w:hAnsi="方正仿宋_GBK" w:eastAsia="方正仿宋_GBK" w:cs="方正仿宋_GBK"/>
                <w:sz w:val="24"/>
                <w:szCs w:val="24"/>
                <w:vertAlign w:val="baseline"/>
                <w:lang w:val="en-US" w:eastAsia="zh-CN"/>
              </w:rPr>
            </w:pPr>
          </w:p>
        </w:tc>
      </w:tr>
      <w:tr w14:paraId="2A16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23F8D2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39A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63962C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93E518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072B3E5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8663D6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4C4ACA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D86EA2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209FB75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FADC00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525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205053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965E0C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031ED9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BF4657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4D355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34BD37">
            <w:pPr>
              <w:jc w:val="center"/>
              <w:rPr>
                <w:rFonts w:hint="eastAsia" w:ascii="方正仿宋_GBK" w:hAnsi="方正仿宋_GBK" w:eastAsia="方正仿宋_GBK" w:cs="方正仿宋_GBK"/>
                <w:sz w:val="24"/>
                <w:szCs w:val="24"/>
                <w:vertAlign w:val="baseline"/>
                <w:lang w:val="en-US" w:eastAsia="zh-CN"/>
              </w:rPr>
            </w:pPr>
          </w:p>
        </w:tc>
      </w:tr>
      <w:tr w14:paraId="6F18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775625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DA60FE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463DE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0EECA2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50FA2C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A1075CF">
            <w:pPr>
              <w:jc w:val="center"/>
              <w:rPr>
                <w:rFonts w:hint="eastAsia" w:ascii="方正仿宋_GBK" w:hAnsi="方正仿宋_GBK" w:eastAsia="方正仿宋_GBK" w:cs="方正仿宋_GBK"/>
                <w:sz w:val="24"/>
                <w:szCs w:val="24"/>
                <w:vertAlign w:val="baseline"/>
                <w:lang w:val="en-US" w:eastAsia="zh-CN"/>
              </w:rPr>
            </w:pPr>
          </w:p>
        </w:tc>
      </w:tr>
      <w:tr w14:paraId="3F00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C2033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4862881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A47825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306A4C3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63C786A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73B064D5">
            <w:pPr>
              <w:jc w:val="center"/>
              <w:rPr>
                <w:rFonts w:hint="eastAsia" w:ascii="方正仿宋_GBK" w:hAnsi="方正仿宋_GBK" w:eastAsia="方正仿宋_GBK" w:cs="方正仿宋_GBK"/>
                <w:sz w:val="24"/>
                <w:szCs w:val="24"/>
                <w:vertAlign w:val="baseline"/>
                <w:lang w:val="en-US" w:eastAsia="zh-CN"/>
              </w:rPr>
            </w:pPr>
          </w:p>
        </w:tc>
      </w:tr>
      <w:tr w14:paraId="37A0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F094D1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3860447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9577B3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72E8B7C">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AD1110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B1E012D">
            <w:pPr>
              <w:jc w:val="center"/>
              <w:rPr>
                <w:rFonts w:hint="eastAsia" w:ascii="方正仿宋_GBK" w:hAnsi="方正仿宋_GBK" w:eastAsia="方正仿宋_GBK" w:cs="方正仿宋_GBK"/>
                <w:sz w:val="24"/>
                <w:szCs w:val="24"/>
                <w:vertAlign w:val="baseline"/>
                <w:lang w:val="en-US" w:eastAsia="zh-CN"/>
              </w:rPr>
            </w:pPr>
          </w:p>
        </w:tc>
      </w:tr>
      <w:tr w14:paraId="40E5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B127AD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4FB99D8A">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A67321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344C278">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96BA12F">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038A30F8">
            <w:pPr>
              <w:jc w:val="center"/>
              <w:rPr>
                <w:rFonts w:hint="eastAsia" w:ascii="方正仿宋_GBK" w:hAnsi="方正仿宋_GBK" w:eastAsia="方正仿宋_GBK" w:cs="方正仿宋_GBK"/>
                <w:sz w:val="24"/>
                <w:szCs w:val="24"/>
                <w:vertAlign w:val="baseline"/>
                <w:lang w:val="en-US" w:eastAsia="zh-CN"/>
              </w:rPr>
            </w:pPr>
          </w:p>
        </w:tc>
      </w:tr>
      <w:tr w14:paraId="32A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E0CC951">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2A02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A2266C3">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670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654ADDD">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CBE292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2D480C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FF5BA8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5CD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0022D28">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EAF6503">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6919EC8">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01D3A4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3A8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5E00952">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BA1B9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EEDA24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CF8A155">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764E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027981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4E9C519A"/>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FEAEB7-A7CA-4453-A673-3270FFA8C2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2" w:fontKey="{72529B5B-98F9-4DD1-BAAC-78AA36EB2335}"/>
  </w:font>
  <w:font w:name="仿宋_GB2312">
    <w:altName w:val="仿宋"/>
    <w:panose1 w:val="02010609030101010101"/>
    <w:charset w:val="86"/>
    <w:family w:val="modern"/>
    <w:pitch w:val="default"/>
    <w:sig w:usb0="00000000" w:usb1="00000000" w:usb2="00000000" w:usb3="00000000" w:csb0="00040000" w:csb1="00000000"/>
    <w:embedRegular r:id="rId3" w:fontKey="{3CD484FB-9AFA-4500-AA56-08960D1AE2DD}"/>
  </w:font>
  <w:font w:name="仿宋">
    <w:panose1 w:val="02010609060101010101"/>
    <w:charset w:val="86"/>
    <w:family w:val="modern"/>
    <w:pitch w:val="default"/>
    <w:sig w:usb0="800002BF" w:usb1="38CF7CFA" w:usb2="00000016" w:usb3="00000000" w:csb0="00040001" w:csb1="00000000"/>
    <w:embedRegular r:id="rId4" w:fontKey="{E452189C-41DE-4CC5-92AA-807A115A3EC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embedRegular r:id="rId5" w:fontKey="{D6B089EC-EB7A-4C23-872C-9D4A008B9E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57FB1"/>
    <w:rsid w:val="09B7B458"/>
    <w:rsid w:val="0AD2395D"/>
    <w:rsid w:val="0DDF285F"/>
    <w:rsid w:val="133E1DA7"/>
    <w:rsid w:val="1E3E925B"/>
    <w:rsid w:val="23CA460C"/>
    <w:rsid w:val="241F25D0"/>
    <w:rsid w:val="3EFF9A74"/>
    <w:rsid w:val="3F9F3863"/>
    <w:rsid w:val="3FA27FF4"/>
    <w:rsid w:val="3FEF95EF"/>
    <w:rsid w:val="4157760A"/>
    <w:rsid w:val="4DC77690"/>
    <w:rsid w:val="59BFDDE3"/>
    <w:rsid w:val="5EF7884D"/>
    <w:rsid w:val="5F4C4BF3"/>
    <w:rsid w:val="643852E6"/>
    <w:rsid w:val="6DFF2F50"/>
    <w:rsid w:val="6EEFC771"/>
    <w:rsid w:val="735F0740"/>
    <w:rsid w:val="738A0BB5"/>
    <w:rsid w:val="76EFF932"/>
    <w:rsid w:val="76F57FB1"/>
    <w:rsid w:val="77D7867D"/>
    <w:rsid w:val="77FDC6F6"/>
    <w:rsid w:val="7BD7684B"/>
    <w:rsid w:val="7DFE023F"/>
    <w:rsid w:val="7EBCC30E"/>
    <w:rsid w:val="7FBF8C01"/>
    <w:rsid w:val="7FEDFA17"/>
    <w:rsid w:val="7FFFEF73"/>
    <w:rsid w:val="ADFBD508"/>
    <w:rsid w:val="BD7FB2D4"/>
    <w:rsid w:val="BEFEEA5E"/>
    <w:rsid w:val="CDFF3A92"/>
    <w:rsid w:val="D3DF91A4"/>
    <w:rsid w:val="D9DEA6C4"/>
    <w:rsid w:val="DDF6C787"/>
    <w:rsid w:val="E7FFDECB"/>
    <w:rsid w:val="EB7F3FFC"/>
    <w:rsid w:val="EF3FF856"/>
    <w:rsid w:val="FA6702A7"/>
    <w:rsid w:val="FBD34FF8"/>
    <w:rsid w:val="FBDF2F06"/>
    <w:rsid w:val="FD76DFCA"/>
    <w:rsid w:val="FF3B0B4A"/>
    <w:rsid w:val="FFDF11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360" w:lineRule="auto"/>
      <w:ind w:left="420" w:leftChars="200" w:firstLine="420" w:firstLineChars="200"/>
    </w:pPr>
    <w:rPr>
      <w:rFonts w:ascii="Calibri" w:hAnsi="Calibri"/>
      <w:szCs w:val="21"/>
    </w:rPr>
  </w:style>
  <w:style w:type="paragraph" w:styleId="3">
    <w:name w:val="Body Text Indent"/>
    <w:basedOn w:val="1"/>
    <w:qFormat/>
    <w:uiPriority w:val="99"/>
    <w:pPr>
      <w:ind w:firstLine="900"/>
    </w:pPr>
    <w:rPr>
      <w:sz w:val="28"/>
      <w:szCs w:val="20"/>
    </w:rPr>
  </w:style>
  <w:style w:type="paragraph" w:styleId="5">
    <w:name w:val="Normal Indent"/>
    <w:basedOn w:val="1"/>
    <w:next w:val="6"/>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6">
    <w:name w:val="Body Text"/>
    <w:basedOn w:val="1"/>
    <w:next w:val="7"/>
    <w:qFormat/>
    <w:uiPriority w:val="0"/>
    <w:pPr>
      <w:spacing w:line="360" w:lineRule="auto"/>
    </w:pPr>
    <w:rPr>
      <w:b/>
      <w:bCs/>
      <w:sz w:val="24"/>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2"/>
    <w:basedOn w:val="1"/>
    <w:unhideWhenUsed/>
    <w:qFormat/>
    <w:uiPriority w:val="99"/>
    <w:pPr>
      <w:spacing w:after="120" w:line="480" w:lineRule="auto"/>
      <w:ind w:left="420" w:leftChars="200"/>
    </w:pPr>
    <w:rPr>
      <w:rFonts w:ascii="Calibri" w:hAnsi="Calibri" w:eastAsia="宋体" w:cs="Times New Roman"/>
      <w:szCs w:val="22"/>
    </w:rPr>
  </w:style>
  <w:style w:type="paragraph" w:styleId="9">
    <w:name w:val="Normal (Web)"/>
    <w:basedOn w:val="1"/>
    <w:unhideWhenUsed/>
    <w:qFormat/>
    <w:uiPriority w:val="99"/>
    <w:pPr>
      <w:spacing w:beforeAutospacing="1" w:afterAutospacing="1"/>
      <w:jc w:val="left"/>
    </w:pPr>
    <w:rPr>
      <w:rFonts w:ascii="Calibri" w:hAnsi="Calibri" w:eastAsia="宋体"/>
      <w:kern w:val="0"/>
      <w:sz w:val="24"/>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3454</Words>
  <Characters>3657</Characters>
  <Lines>0</Lines>
  <Paragraphs>0</Paragraphs>
  <TotalTime>7</TotalTime>
  <ScaleCrop>false</ScaleCrop>
  <LinksUpToDate>false</LinksUpToDate>
  <CharactersWithSpaces>3803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2025-06-24T18:28:00Z</dcterms:created>
  <dc:creator>ljiashan</dc:creator>
  <cp:lastModifiedBy>lenovo</cp:lastModifiedBy>
  <dcterms:modified xsi:type="dcterms:W3CDTF">2025-12-12T06:35:48Z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E6D4ABE84AA94F09AE9BDC5FA550ACD3_13</vt:lpwstr>
  </property>
  <property fmtid="{D5CDD505-2E9C-101B-9397-08002B2CF9AE}" pid="4" name="KSOTemplateDocerSaveRecord">
    <vt:lpwstr>eyJoZGlkIjoiNjFkY2I4ZTFmZWIzZDcyNjRhYjBiMzRhNmQ4NWM3MDgiLCJ1c2VySWQiOiIyNTU2MzI0NTUifQ==</vt:lpwstr>
  </property>
</Properties>
</file>