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9941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6" w:lineRule="atLeast"/>
        <w:ind w:left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  <w:t>附件1</w:t>
      </w:r>
    </w:p>
    <w:p w14:paraId="04A57AC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1" w:afterLines="50" w:afterAutospacing="0" w:line="0" w:lineRule="atLeast"/>
        <w:ind w:left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深圳市畜牧兽医领域行政违法行为首违不罚清单</w:t>
      </w:r>
    </w:p>
    <w:tbl>
      <w:tblPr>
        <w:tblStyle w:val="8"/>
        <w:tblW w:w="499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579"/>
        <w:gridCol w:w="5247"/>
        <w:gridCol w:w="2274"/>
        <w:gridCol w:w="1975"/>
        <w:gridCol w:w="1562"/>
      </w:tblGrid>
      <w:tr w14:paraId="41735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1A70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noWrap w:val="0"/>
            <w:vAlign w:val="center"/>
          </w:tcPr>
          <w:p w14:paraId="68C0894B">
            <w:pPr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事项名称</w:t>
            </w:r>
          </w:p>
        </w:tc>
        <w:tc>
          <w:tcPr>
            <w:tcW w:w="5343" w:type="dxa"/>
            <w:tcBorders>
              <w:tl2br w:val="nil"/>
              <w:tr2bl w:val="nil"/>
            </w:tcBorders>
            <w:noWrap w:val="0"/>
            <w:vAlign w:val="center"/>
          </w:tcPr>
          <w:p w14:paraId="5309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设定依据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noWrap w:val="0"/>
            <w:vAlign w:val="center"/>
          </w:tcPr>
          <w:p w14:paraId="3D88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适用情形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 w14:paraId="3FDB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免处罚依据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 w14:paraId="3B6A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配套监管措施</w:t>
            </w:r>
          </w:p>
        </w:tc>
      </w:tr>
      <w:tr w14:paraId="5AC2F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3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001B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noWrap w:val="0"/>
            <w:vAlign w:val="center"/>
          </w:tcPr>
          <w:p w14:paraId="7D5B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动物、动物产品的运载工具在装载前和卸载后未按照规定及时清洗、消毒的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eastAsia="zh-CN"/>
              </w:rPr>
              <w:t>行为的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行政处罚</w:t>
            </w:r>
          </w:p>
        </w:tc>
        <w:tc>
          <w:tcPr>
            <w:tcW w:w="5343" w:type="dxa"/>
            <w:tcBorders>
              <w:tl2br w:val="nil"/>
              <w:tr2bl w:val="nil"/>
            </w:tcBorders>
            <w:noWrap w:val="0"/>
            <w:vAlign w:val="center"/>
          </w:tcPr>
          <w:p w14:paraId="4566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《中华人民共和国动物防疫法》（2021年）第五十二条第四款：运载工具在装载前和卸载后应当及时清洗、消毒。</w:t>
            </w:r>
          </w:p>
          <w:p w14:paraId="62DE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动物防疫法》（2021年）第九十二条：违反本法规定，有下列行为之一的，由县级以上地方人民政府农业农村主管部门责令限期改正，可以处一千元以下罚款；逾期不改正的，处一千元以上五千元以下罚款，由县级以上地方人民政府农业农村主管部门委托动物诊疗机构、无害化处理场所等代为处理，所需处理费用由违法行为人承担：……（四）动物、动物产品的运载工具在装载前和卸载后未按照规定及时清洗、消毒的；……。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noWrap w:val="0"/>
            <w:vAlign w:val="center"/>
          </w:tcPr>
          <w:p w14:paraId="18C21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1．初次违法；</w:t>
            </w:r>
          </w:p>
          <w:p w14:paraId="1F532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2．危害后果轻微：未造成直接实际损失，未造成动物疫病传播风险；</w:t>
            </w:r>
          </w:p>
          <w:p w14:paraId="04C48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3．及时改正：在执法机关限定期限内改正。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 w14:paraId="46A6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《中华人民共和国行政处罚法》第三十三条第一款：初次违法且危害后果轻微并及时改正的，可以不予行政处罚。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 w14:paraId="45E1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责令改正，按规定进行清洗消毒并及时复查；</w:t>
            </w:r>
          </w:p>
          <w:p w14:paraId="7996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加强教育、劝导示范、指导约谈等。</w:t>
            </w:r>
          </w:p>
        </w:tc>
      </w:tr>
      <w:tr w14:paraId="76F63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4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3B67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noWrap w:val="0"/>
            <w:vAlign w:val="center"/>
          </w:tcPr>
          <w:p w14:paraId="4A74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未经备案从事动物运输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eastAsia="zh-CN"/>
              </w:rPr>
              <w:t>的行为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的行政处罚</w:t>
            </w:r>
          </w:p>
        </w:tc>
        <w:tc>
          <w:tcPr>
            <w:tcW w:w="5343" w:type="dxa"/>
            <w:tcBorders>
              <w:tl2br w:val="nil"/>
              <w:tr2bl w:val="nil"/>
            </w:tcBorders>
            <w:noWrap w:val="0"/>
            <w:vAlign w:val="center"/>
          </w:tcPr>
          <w:p w14:paraId="6872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动物防疫法》（2021年）第五十二条第三款：从事动物运输的单位、个人以及车辆，应当向所在地县级人民政府农业农村主管部门备案，妥善保存行程路线和托运人提供的动物名称、检疫证明编号、数量等信息。具体办法由国务院农业农村主管部门制定。</w:t>
            </w:r>
          </w:p>
          <w:p w14:paraId="1329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动物防疫法》（2021年）第九十八条：违反本法规定，有下列行为之一的，由县级以上地方人民政府农业农村主管部门责令改正，处三千元以上三万元以下罚款；情节严重的，责令停业整顿，并处三万元以上十万元以下罚款：……（三）未经备案从事动物运输的；……。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noWrap w:val="0"/>
            <w:vAlign w:val="center"/>
          </w:tcPr>
          <w:p w14:paraId="32A07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初次违法；</w:t>
            </w:r>
          </w:p>
          <w:p w14:paraId="5FEDC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危害后果轻微：未造成直接实际损失和未造成动物疫病传播风险；</w:t>
            </w:r>
          </w:p>
          <w:p w14:paraId="40448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及时改正：在执法机关限定期限内改正。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 w14:paraId="6151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《中华人民共和国行政处罚法》第三十三条第一款：初次违法且危害后果轻微并及时改正的，可以不予行政处罚。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 w14:paraId="50B3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责令改正，按规定进行备案并及时复查；</w:t>
            </w:r>
          </w:p>
          <w:p w14:paraId="1912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加强教育、劝导示范、指导约谈等。</w:t>
            </w:r>
          </w:p>
        </w:tc>
      </w:tr>
    </w:tbl>
    <w:p w14:paraId="2ECA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21" w:leftChars="10" w:right="21" w:rightChars="1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napToGrid w:val="0"/>
          <w:color w:val="000000"/>
          <w:spacing w:val="0"/>
          <w:kern w:val="21"/>
          <w:sz w:val="21"/>
          <w:szCs w:val="21"/>
          <w:highlight w:val="none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6838" w:h="11906" w:orient="landscape"/>
          <w:pgMar w:top="1417" w:right="1843" w:bottom="1417" w:left="1843" w:header="130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0" w:charSpace="0"/>
        </w:sectPr>
      </w:pPr>
    </w:p>
    <w:p w14:paraId="4A72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" w:leftChars="10" w:right="21" w:rightChars="1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napToGrid w:val="0"/>
          <w:color w:val="000000"/>
          <w:spacing w:val="0"/>
          <w:kern w:val="21"/>
          <w:sz w:val="21"/>
          <w:szCs w:val="21"/>
          <w:highlight w:val="none"/>
          <w:lang w:val="en-US" w:eastAsia="zh-CN"/>
        </w:rPr>
      </w:pPr>
    </w:p>
    <w:tbl>
      <w:tblPr>
        <w:tblStyle w:val="8"/>
        <w:tblW w:w="499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634"/>
        <w:gridCol w:w="4898"/>
        <w:gridCol w:w="2529"/>
        <w:gridCol w:w="1964"/>
        <w:gridCol w:w="1607"/>
      </w:tblGrid>
      <w:tr w14:paraId="3BB30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02" w:type="dxa"/>
            <w:tcBorders>
              <w:tl2br w:val="nil"/>
              <w:tr2bl w:val="nil"/>
            </w:tcBorders>
            <w:noWrap w:val="0"/>
            <w:vAlign w:val="center"/>
          </w:tcPr>
          <w:p w14:paraId="2807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 w14:paraId="56B2EDF5">
            <w:pPr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事项名称</w:t>
            </w:r>
          </w:p>
        </w:tc>
        <w:tc>
          <w:tcPr>
            <w:tcW w:w="4907" w:type="dxa"/>
            <w:tcBorders>
              <w:tl2br w:val="nil"/>
              <w:tr2bl w:val="nil"/>
            </w:tcBorders>
            <w:noWrap w:val="0"/>
            <w:vAlign w:val="center"/>
          </w:tcPr>
          <w:p w14:paraId="49F8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设定依据</w:t>
            </w:r>
          </w:p>
        </w:tc>
        <w:tc>
          <w:tcPr>
            <w:tcW w:w="2534" w:type="dxa"/>
            <w:tcBorders>
              <w:tl2br w:val="nil"/>
              <w:tr2bl w:val="nil"/>
            </w:tcBorders>
            <w:noWrap w:val="0"/>
            <w:vAlign w:val="center"/>
          </w:tcPr>
          <w:p w14:paraId="5A46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适用情形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vAlign w:val="center"/>
          </w:tcPr>
          <w:p w14:paraId="4BE5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免处罚依据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3C03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配套监管措施</w:t>
            </w:r>
          </w:p>
        </w:tc>
      </w:tr>
      <w:tr w14:paraId="315D7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1" w:hRule="atLeast"/>
          <w:jc w:val="center"/>
        </w:trPr>
        <w:tc>
          <w:tcPr>
            <w:tcW w:w="502" w:type="dxa"/>
            <w:tcBorders>
              <w:tl2br w:val="nil"/>
              <w:tr2bl w:val="nil"/>
            </w:tcBorders>
            <w:noWrap w:val="0"/>
            <w:vAlign w:val="center"/>
          </w:tcPr>
          <w:p w14:paraId="1BBD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 w14:paraId="0B7F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用药记录不完整真实的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eastAsia="zh-CN"/>
              </w:rPr>
              <w:t>行为的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行政处罚</w:t>
            </w:r>
          </w:p>
        </w:tc>
        <w:tc>
          <w:tcPr>
            <w:tcW w:w="4907" w:type="dxa"/>
            <w:tcBorders>
              <w:tl2br w:val="nil"/>
              <w:tr2bl w:val="nil"/>
            </w:tcBorders>
            <w:noWrap w:val="0"/>
            <w:vAlign w:val="center"/>
          </w:tcPr>
          <w:p w14:paraId="65F3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《兽药管理条例》（2020年）第三十八条：兽药使用单位，应当遵守国务院兽医行政管理部门制定的兽药安全使用规定，并建立用药记录。</w:t>
            </w:r>
          </w:p>
          <w:p w14:paraId="4FCC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《兽药管理条例》（2020年）第六十二条：违反本条例规定，未按照国家有关兽药安全使用规定使用兽药的、未建立用药记录或者记录不完整真实的，或者使用禁止使用的药品和其他化合物的，或者将人用药品用于动物的，责令其立即改正，并对饲喂了违禁药物及其他化合物的动物及其产品进行无害化处理；对违法单位处1万元以上5万元以下罚款；给他人造成损失的，依法承担赔偿责任。</w:t>
            </w:r>
          </w:p>
        </w:tc>
        <w:tc>
          <w:tcPr>
            <w:tcW w:w="2534" w:type="dxa"/>
            <w:tcBorders>
              <w:tl2br w:val="nil"/>
              <w:tr2bl w:val="nil"/>
            </w:tcBorders>
            <w:noWrap w:val="0"/>
            <w:vAlign w:val="center"/>
          </w:tcPr>
          <w:p w14:paraId="05A68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初次违法；</w:t>
            </w:r>
          </w:p>
          <w:p w14:paraId="62E99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危害后果轻微：已建立用药记录，只是用药记录不完整，使用的兽药具备合法资质，未造成直接实际损失，未影响动物疫病防控，未危及食品安全；</w:t>
            </w:r>
          </w:p>
          <w:p w14:paraId="08AA7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及时改正：在执法机关限定期限内改正。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vAlign w:val="center"/>
          </w:tcPr>
          <w:p w14:paraId="0E5E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《中华人民共和国行政处罚法》第三十三条第一款：初次违法且危害后果轻微并及时改正的，可以不予行政处罚。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06FE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责令改正，完善用药记录并及时复查；</w:t>
            </w:r>
          </w:p>
          <w:p w14:paraId="3D1AB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加强教育、劝导示范、指导约谈等。</w:t>
            </w:r>
          </w:p>
        </w:tc>
      </w:tr>
      <w:tr w14:paraId="2C1E1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7" w:hRule="atLeast"/>
          <w:jc w:val="center"/>
        </w:trPr>
        <w:tc>
          <w:tcPr>
            <w:tcW w:w="502" w:type="dxa"/>
            <w:tcBorders>
              <w:tl2br w:val="nil"/>
              <w:tr2bl w:val="nil"/>
            </w:tcBorders>
            <w:noWrap w:val="0"/>
            <w:vAlign w:val="center"/>
          </w:tcPr>
          <w:p w14:paraId="07F5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 w14:paraId="591E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对未经兽医开具处方使用兽用处方药的行为的行政处罚</w:t>
            </w:r>
          </w:p>
        </w:tc>
        <w:tc>
          <w:tcPr>
            <w:tcW w:w="4907" w:type="dxa"/>
            <w:tcBorders>
              <w:tl2br w:val="nil"/>
              <w:tr2bl w:val="nil"/>
            </w:tcBorders>
            <w:noWrap w:val="0"/>
            <w:vAlign w:val="center"/>
          </w:tcPr>
          <w:p w14:paraId="1AD1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《兽药管理条例》（2020年）第四十九条第二款：禁止未经兽医开具处方销售、购买、使用国务院兽医行政管理部门规定实行处方药管理的兽药。</w:t>
            </w:r>
          </w:p>
          <w:p w14:paraId="5F07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《兽药管理条例》（2020年）第六十六条：违反本条例规定，未经兽医开具处方销售、购买、使用兽用处方药的，责令其限期改正，没收违法所得，并处5万元以下罚款；给他人造成损失的，依法承担赔偿责任。</w:t>
            </w:r>
          </w:p>
        </w:tc>
        <w:tc>
          <w:tcPr>
            <w:tcW w:w="2534" w:type="dxa"/>
            <w:tcBorders>
              <w:tl2br w:val="nil"/>
              <w:tr2bl w:val="nil"/>
            </w:tcBorders>
            <w:noWrap w:val="0"/>
            <w:vAlign w:val="center"/>
          </w:tcPr>
          <w:p w14:paraId="32EDB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初次违法；</w:t>
            </w:r>
          </w:p>
          <w:p w14:paraId="4F4BC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危害后果轻微：涉案兽药合法，涉案兽药货值500元以下，未造成直接实际损失，未影响动物质量安全；</w:t>
            </w:r>
          </w:p>
          <w:p w14:paraId="78BE9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及时改正：在执法机关限定期限内改正。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vAlign w:val="center"/>
          </w:tcPr>
          <w:p w14:paraId="6429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《中华人民共和国行政处罚法》第三十三条第一款：初次违法且危害后果轻微并及时改正的，可以不予行政处罚。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40C5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责令限期改正，经兽医开具处方使用兽用处方药并及时复查；</w:t>
            </w:r>
          </w:p>
          <w:p w14:paraId="51BE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加强教育、劝导示范、指导约谈等。</w:t>
            </w:r>
          </w:p>
        </w:tc>
      </w:tr>
    </w:tbl>
    <w:p w14:paraId="2F3E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" w:leftChars="10" w:right="21" w:rightChars="1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napToGrid w:val="0"/>
          <w:color w:val="000000"/>
          <w:spacing w:val="0"/>
          <w:kern w:val="2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snapToGrid w:val="0"/>
          <w:color w:val="000000"/>
          <w:spacing w:val="0"/>
          <w:kern w:val="21"/>
          <w:sz w:val="21"/>
          <w:szCs w:val="21"/>
          <w:lang w:val="en-US" w:eastAsia="zh-CN"/>
        </w:rPr>
        <w:br w:type="page"/>
      </w:r>
    </w:p>
    <w:tbl>
      <w:tblPr>
        <w:tblStyle w:val="8"/>
        <w:tblW w:w="499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948"/>
        <w:gridCol w:w="4709"/>
        <w:gridCol w:w="2404"/>
        <w:gridCol w:w="1964"/>
        <w:gridCol w:w="1607"/>
      </w:tblGrid>
      <w:tr w14:paraId="78382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 w14:paraId="0BDF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495B8B8B">
            <w:pPr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事项名称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noWrap w:val="0"/>
            <w:vAlign w:val="center"/>
          </w:tcPr>
          <w:p w14:paraId="1B3A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设定依据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noWrap w:val="0"/>
            <w:vAlign w:val="center"/>
          </w:tcPr>
          <w:p w14:paraId="0B4E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适用情形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F40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免处罚依据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noWrap w:val="0"/>
            <w:vAlign w:val="center"/>
          </w:tcPr>
          <w:p w14:paraId="554A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配套监管措施</w:t>
            </w:r>
          </w:p>
        </w:tc>
      </w:tr>
      <w:tr w14:paraId="72DD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noWrap w:val="0"/>
            <w:vAlign w:val="center"/>
          </w:tcPr>
          <w:p w14:paraId="512E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7EBB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饲料、饲料添加剂生产企业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不依照《饲料和饲料添加剂管理条例》规定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实行采购、生产、销售记录制度或者产品留样观察制度的行政处罚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noWrap w:val="0"/>
            <w:vAlign w:val="center"/>
          </w:tcPr>
          <w:p w14:paraId="433F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饲料和饲料添加剂管理条例》（2017年）第十七条第三款：饲料、饲料添加剂生产企业应当如实记录采购的饲料原料、单一饲料、饲料添加剂、药物饲料添加剂、添加剂预混合饲料和用于饲料添加剂生产的原料的名称、产地、数量、保质期、许可证明文件编号、质量检验信息、生产企业名称或者供货者名称及其联系方式、进货日期等。记录保存期限不得少于2年。</w:t>
            </w:r>
          </w:p>
          <w:p w14:paraId="1CA0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饲料和饲料添加剂管理条例》（2017年）第十八条：饲料、饲料添加剂生产企业，应当按照产品质量标准以及国务院农业行政主管部门制定的饲料、饲料添加剂质量安全管理规范和饲料添加剂安全使用规范组织生产，对生产过程实施有效控制并实行生产记录和产品留样观察制度。</w:t>
            </w:r>
          </w:p>
          <w:p w14:paraId="60C0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饲料和饲料添加剂管理条例》（2017年）第十九条第二款：饲料、饲料添加剂生产企业应当如实记录出厂销售的饲料、饲料添加剂的名称、数量、生产日期、生产批次、质量检验信息、购货者名称及其联系方式、销售日期等。记录保存期限不得少于2年。</w:t>
            </w:r>
          </w:p>
          <w:p w14:paraId="7D9C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饲料和饲料添加剂管理条例》（2017年）第四十一条：饲料、饲料添加剂生产企业不依照本条例规定实行采购、生产、销售记录制度或者产品留样观察制度的，由县级以上地方人民政府饲料管理部门责令改正，处1万元以上2万元以下罚款。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noWrap w:val="0"/>
            <w:vAlign w:val="center"/>
          </w:tcPr>
          <w:p w14:paraId="0D90E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1．初次违法；</w:t>
            </w:r>
          </w:p>
          <w:p w14:paraId="2CEEA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2．危害后果轻微：已建立记录或留样观察制度，但记录不规范，未影响饲料质量，未造成直接实际损失；</w:t>
            </w:r>
          </w:p>
          <w:p w14:paraId="1BC62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及时改正：在执法机关限定期限内改正。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ABF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《中华人民共和国行政处罚法》第三十三条第一款：初次违法且危害后果轻微并及时改正的，可以不予行政处罚。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noWrap w:val="0"/>
            <w:vAlign w:val="center"/>
          </w:tcPr>
          <w:p w14:paraId="429B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责令改正，按规定完善采购、生产、销售记录及建立留样观察制度并及时复查；</w:t>
            </w:r>
          </w:p>
          <w:p w14:paraId="3DC7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加强教育、劝导示范、指导约谈等。</w:t>
            </w:r>
          </w:p>
        </w:tc>
      </w:tr>
    </w:tbl>
    <w:p w14:paraId="043D3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" w:leftChars="10" w:right="21" w:rightChars="1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napToGrid w:val="0"/>
          <w:color w:val="000000"/>
          <w:spacing w:val="0"/>
          <w:kern w:val="2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snapToGrid w:val="0"/>
          <w:color w:val="000000"/>
          <w:spacing w:val="0"/>
          <w:kern w:val="21"/>
          <w:sz w:val="21"/>
          <w:szCs w:val="21"/>
          <w:lang w:val="en-US" w:eastAsia="zh-CN"/>
        </w:rPr>
        <w:br w:type="page"/>
      </w:r>
    </w:p>
    <w:tbl>
      <w:tblPr>
        <w:tblStyle w:val="8"/>
        <w:tblW w:w="499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736"/>
        <w:gridCol w:w="4833"/>
        <w:gridCol w:w="2494"/>
        <w:gridCol w:w="1963"/>
        <w:gridCol w:w="1607"/>
      </w:tblGrid>
      <w:tr w14:paraId="48253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noWrap w:val="0"/>
            <w:vAlign w:val="center"/>
          </w:tcPr>
          <w:p w14:paraId="4203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 w14:paraId="2516496F">
            <w:pPr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事项名称</w:t>
            </w:r>
          </w:p>
        </w:tc>
        <w:tc>
          <w:tcPr>
            <w:tcW w:w="4851" w:type="dxa"/>
            <w:tcBorders>
              <w:tl2br w:val="nil"/>
              <w:tr2bl w:val="nil"/>
            </w:tcBorders>
            <w:noWrap w:val="0"/>
            <w:vAlign w:val="center"/>
          </w:tcPr>
          <w:p w14:paraId="53F2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设定依据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 w:val="0"/>
            <w:vAlign w:val="center"/>
          </w:tcPr>
          <w:p w14:paraId="7996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适用情形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vAlign w:val="center"/>
          </w:tcPr>
          <w:p w14:paraId="00C4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免处罚依据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 w14:paraId="4669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配套监管措施</w:t>
            </w:r>
          </w:p>
        </w:tc>
      </w:tr>
      <w:tr w14:paraId="48D52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5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noWrap w:val="0"/>
            <w:vAlign w:val="center"/>
          </w:tcPr>
          <w:p w14:paraId="1B08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 w14:paraId="72FB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饲料、饲料添加剂经营者对饲料、饲料添加剂进行拆包、分装的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行为的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4851" w:type="dxa"/>
            <w:tcBorders>
              <w:tl2br w:val="nil"/>
              <w:tr2bl w:val="nil"/>
            </w:tcBorders>
            <w:noWrap w:val="0"/>
            <w:vAlign w:val="center"/>
          </w:tcPr>
          <w:p w14:paraId="0283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《饲料和饲料添加剂管理条例》（2017年）第二十三条第二款：饲料、饲料添加剂经营者不得对饲料、饲料添加剂进行拆包、分装，不得对饲料、饲料添加剂进行再加工或者添加任何物质。</w:t>
            </w:r>
          </w:p>
          <w:p w14:paraId="3334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饲料和饲料添加剂管理条例》（2017年）第四十四条：饲料、饲料添加剂经营者有下列行为之一的，由县级人民政府饲料管理部门责令改正，没收违法所得和违法经营的产品，并处2000元以上1万元以下罚款：（一）对饲料、饲料添加剂进行拆包、分装的；……。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 w:val="0"/>
            <w:vAlign w:val="center"/>
          </w:tcPr>
          <w:p w14:paraId="53A4F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1．初次违法；</w:t>
            </w:r>
          </w:p>
          <w:p w14:paraId="3AAEC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2．危害后果轻微：拆包、分装前产品为合格产品，货值金额1000元以下，未影响饲料质量，未造成直接实际损失；</w:t>
            </w:r>
          </w:p>
          <w:p w14:paraId="354F8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及时改正：在执法机关限定期限内改正。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vAlign w:val="center"/>
          </w:tcPr>
          <w:p w14:paraId="3F67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《中华人民共和国行政处罚法》第三十三条第一款：初次违法且危害后果轻微并及时改正的，可以不予行政处罚。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 w14:paraId="0435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责令改正并及时复查；</w:t>
            </w:r>
          </w:p>
          <w:p w14:paraId="6225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加强教育、劝导示范、指导约谈等。</w:t>
            </w:r>
          </w:p>
        </w:tc>
      </w:tr>
      <w:tr w14:paraId="3094E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9" w:hRule="atLeast"/>
          <w:jc w:val="center"/>
        </w:trPr>
        <w:tc>
          <w:tcPr>
            <w:tcW w:w="501" w:type="dxa"/>
            <w:tcBorders>
              <w:tl2br w:val="nil"/>
              <w:tr2bl w:val="nil"/>
            </w:tcBorders>
            <w:noWrap w:val="0"/>
            <w:vAlign w:val="center"/>
          </w:tcPr>
          <w:p w14:paraId="7E36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 w14:paraId="77B6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饲料、饲料添加剂经营者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不依照《饲料和饲料添加剂管理条例》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规定实行产品购销台账制度的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行为的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4851" w:type="dxa"/>
            <w:tcBorders>
              <w:tl2br w:val="nil"/>
              <w:tr2bl w:val="nil"/>
            </w:tcBorders>
            <w:noWrap w:val="0"/>
            <w:vAlign w:val="center"/>
          </w:tcPr>
          <w:p w14:paraId="5509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饲料和饲料添加剂管理条例》（2017年）第二十三条第四款：饲料、饲料添加剂经营者应当建立产品购销台账，如实记录购销产品的名称、许可证明文件编号、规格、数量、保质期、生产企业名称或者供货者名称及其联系方式、购销时间等。购销台账保存期限不得少于2年。</w:t>
            </w:r>
          </w:p>
          <w:p w14:paraId="4648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饲料和饲料添加剂管理条例》（2017年）第四十四条：饲料、饲料添加剂经营者有下列行为之一的，由县级人民政府饲料管理部门责令改正，没收违法所得和违法经营的产品，并处2000元以上1万元以下罚款：……（二）不依照本条例规定实行产品购销台账制度的；……。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 w:val="0"/>
            <w:vAlign w:val="center"/>
          </w:tcPr>
          <w:p w14:paraId="594B8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1．初次违法；</w:t>
            </w:r>
          </w:p>
          <w:p w14:paraId="32DA8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2．危害后果轻微：已建立台账，仅记录不规范或者没有保存2年，未影响饲料质量，未造成直接实际损失；</w:t>
            </w:r>
          </w:p>
          <w:p w14:paraId="510D1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  <w:t>及时改正：在执法机关限定期限内改正。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vAlign w:val="center"/>
          </w:tcPr>
          <w:p w14:paraId="0CA9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《中华人民共和国行政处罚法》第三十三条第一款：初次违法且危害后果轻微并及时改正的，可以不予行政处罚。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 w14:paraId="65FA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责令改正，按规定完善台账并及时复查；</w:t>
            </w:r>
          </w:p>
          <w:p w14:paraId="55E9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加强教育、劝导示范、指导约谈等。</w:t>
            </w:r>
          </w:p>
        </w:tc>
      </w:tr>
    </w:tbl>
    <w:p w14:paraId="3A0DCFF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9" w:beforeLines="40" w:line="340" w:lineRule="atLeast"/>
        <w:ind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pacing w:val="0"/>
          <w:kern w:val="0"/>
          <w:sz w:val="21"/>
          <w:szCs w:val="21"/>
          <w:lang w:val="en-US" w:eastAsia="zh-CN"/>
        </w:rPr>
        <w:t>注：1．适用情形是指符合规定的全部条件。</w:t>
      </w:r>
    </w:p>
    <w:p w14:paraId="3DD66EFD"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pacing w:val="0"/>
          <w:kern w:val="0"/>
          <w:sz w:val="21"/>
          <w:szCs w:val="21"/>
          <w:lang w:val="en-US" w:eastAsia="zh-CN"/>
        </w:rPr>
        <w:t>2．本清单适用情形所称“以下”均包含本数。</w:t>
      </w:r>
      <w:bookmarkStart w:id="0" w:name="_GoBack"/>
      <w:bookmarkEnd w:id="0"/>
    </w:p>
    <w:sectPr>
      <w:pgSz w:w="16838" w:h="11906" w:orient="landscape"/>
      <w:pgMar w:top="1417" w:right="1843" w:bottom="1417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02913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A797E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8A797E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84D51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8C29996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0C3A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BE78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0BE78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17732">
    <w:pPr>
      <w:pStyle w:val="6"/>
      <w:jc w:val="distribute"/>
    </w:pPr>
    <w:r>
      <w:rPr>
        <w:rFonts w:hint="eastAsia" w:ascii="宋体" w:hAnsi="宋体"/>
      </w:rPr>
      <w:t xml:space="preserve">深圳市人民政府公报 </w:t>
    </w:r>
    <w:r>
      <w:rPr>
        <w:rFonts w:hint="eastAsia" w:ascii="宋体" w:hAnsi="宋体"/>
        <w:lang w:val="en-US" w:eastAsia="zh-CN"/>
      </w:rPr>
      <w:t xml:space="preserve">                                                                                                              </w:t>
    </w:r>
    <w:r>
      <w:rPr>
        <w:rFonts w:hint="eastAsia" w:ascii="宋体" w:hAnsi="宋体"/>
      </w:rPr>
      <w:t xml:space="preserve">  202</w:t>
    </w:r>
    <w:r>
      <w:rPr>
        <w:rFonts w:hint="eastAsia" w:ascii="宋体" w:hAnsi="宋体"/>
        <w:lang w:val="en-US" w:eastAsia="zh-CN"/>
      </w:rPr>
      <w:t>5</w:t>
    </w:r>
    <w:r>
      <w:rPr>
        <w:rFonts w:hint="eastAsia" w:ascii="宋体" w:hAnsi="宋体"/>
      </w:rPr>
      <w:t>年第</w:t>
    </w:r>
    <w:r>
      <w:rPr>
        <w:rFonts w:hint="eastAsia" w:ascii="宋体" w:hAnsi="宋体"/>
        <w:lang w:val="en-US" w:eastAsia="zh-CN"/>
      </w:rPr>
      <w:t>39</w:t>
    </w:r>
    <w:r>
      <w:rPr>
        <w:rFonts w:hint="eastAsia" w:ascii="宋体" w:hAnsi="宋体"/>
      </w:rPr>
      <w:t>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26849"/>
    <w:rsid w:val="6C2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4"/>
    <w:qFormat/>
    <w:uiPriority w:val="0"/>
    <w:pPr>
      <w:spacing w:after="120"/>
    </w:pPr>
    <w:rPr>
      <w:rFonts w:ascii="Times New Roman" w:hAnsi="Times New Roman"/>
      <w:szCs w:val="20"/>
    </w:r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line="580" w:lineRule="exact"/>
      <w:jc w:val="center"/>
      <w:outlineLvl w:val="0"/>
    </w:pPr>
    <w:rPr>
      <w:rFonts w:ascii="Arial" w:hAnsi="Arial" w:eastAsia="隶书" w:cs="Arial"/>
      <w:b/>
      <w:bCs/>
      <w:sz w:val="44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 Char1"/>
    <w:basedOn w:val="1"/>
    <w:qFormat/>
    <w:uiPriority w:val="0"/>
    <w:rPr>
      <w:rFonts w:ascii="Times New Roman" w:hAnsi="Times New Roman"/>
      <w:kern w:val="36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2025-12-10T07:54:00Z</dcterms:created>
  <dc:creator>朴灿灿1405689278</dc:creator>
  <cp:lastModifiedBy>朴灿灿1405689278</cp:lastModifiedBy>
  <dcterms:modified xsi:type="dcterms:W3CDTF">2025-12-10T07:56:17Z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7E76788736CA41F6B6104A847039C080_11</vt:lpwstr>
  </property>
  <property fmtid="{D5CDD505-2E9C-101B-9397-08002B2CF9AE}" pid="4" name="KSOTemplateDocerSaveRecord">
    <vt:lpwstr>eyJoZGlkIjoiNWY2NjY3ZTM1ODM5YTdiNGYyN2Y5YjdmOGEzYzBkZTIiLCJ1c2VySWQiOiIxODgwMTgwNiJ9</vt:lpwstr>
  </property>
</Properties>
</file>