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jc w:val="center"/>
        <w:rPr>
          <w:rFonts w:hint="eastAsia" w:ascii="宋体" w:hAnsi="宋体" w:cs="宋体"/>
          <w:b/>
          <w:color w:val="auto"/>
          <w:sz w:val="72"/>
          <w:szCs w:val="72"/>
        </w:rPr>
      </w:pPr>
      <w:r>
        <w:rPr>
          <w:rFonts w:hint="eastAsia" w:ascii="宋体" w:hAnsi="宋体" w:cs="宋体"/>
          <w:b/>
          <w:color w:val="auto"/>
          <w:sz w:val="72"/>
          <w:szCs w:val="72"/>
        </w:rPr>
        <w:t>简易招标文件</w:t>
      </w:r>
    </w:p>
    <w:p>
      <w:pPr>
        <w:jc w:val="center"/>
        <w:rPr>
          <w:rFonts w:hint="eastAsia" w:ascii="宋体" w:hAnsi="宋体" w:cs="宋体"/>
          <w:color w:val="auto"/>
        </w:rPr>
      </w:pPr>
    </w:p>
    <w:p>
      <w:pPr>
        <w:rPr>
          <w:rFonts w:hint="eastAsia" w:ascii="宋体" w:hAnsi="宋体" w:cs="宋体"/>
          <w:color w:val="auto"/>
        </w:rPr>
      </w:pPr>
    </w:p>
    <w:p>
      <w:pPr>
        <w:pStyle w:val="2"/>
        <w:ind w:firstLine="420"/>
        <w:rPr>
          <w:rFonts w:hint="eastAsia" w:ascii="宋体" w:hAnsi="宋体" w:cs="宋体"/>
          <w:color w:val="auto"/>
        </w:rPr>
      </w:pPr>
    </w:p>
    <w:p>
      <w:pPr>
        <w:pStyle w:val="2"/>
        <w:ind w:firstLine="420"/>
        <w:rPr>
          <w:rFonts w:hint="eastAsia" w:ascii="宋体" w:hAnsi="宋体" w:cs="宋体"/>
          <w:color w:val="auto"/>
        </w:rPr>
      </w:pPr>
    </w:p>
    <w:p>
      <w:pPr>
        <w:rPr>
          <w:rFonts w:hint="eastAsia" w:ascii="宋体" w:hAnsi="宋体" w:cs="宋体"/>
          <w:b/>
          <w:color w:val="auto"/>
          <w:sz w:val="44"/>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招标编号：</w:t>
      </w:r>
      <w:r>
        <w:rPr>
          <w:rFonts w:hint="eastAsia" w:ascii="宋体" w:hAnsi="宋体" w:cs="宋体"/>
          <w:b/>
          <w:color w:val="auto"/>
          <w:sz w:val="36"/>
          <w:szCs w:val="36"/>
          <w:lang w:eastAsia="zh-CN"/>
        </w:rPr>
        <w:t>QH2025150</w:t>
      </w:r>
    </w:p>
    <w:p>
      <w:pPr>
        <w:pStyle w:val="2"/>
        <w:ind w:firstLine="420"/>
        <w:rPr>
          <w:rFonts w:hint="eastAsia" w:ascii="宋体" w:hAnsi="宋体" w:cs="宋体"/>
          <w:color w:val="auto"/>
        </w:rPr>
      </w:pPr>
    </w:p>
    <w:p>
      <w:pPr>
        <w:pStyle w:val="2"/>
        <w:ind w:firstLine="420"/>
        <w:rPr>
          <w:rFonts w:hint="eastAsia" w:ascii="宋体" w:hAnsi="宋体" w:cs="宋体"/>
          <w:color w:val="auto"/>
        </w:rPr>
      </w:pPr>
    </w:p>
    <w:p>
      <w:pPr>
        <w:pStyle w:val="2"/>
        <w:ind w:firstLine="420"/>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ind w:left="2304" w:leftChars="247" w:right="-319" w:rightChars="-152" w:hanging="1785" w:hangingChars="494"/>
        <w:textAlignment w:val="auto"/>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前海</w:t>
      </w:r>
      <w:r>
        <w:rPr>
          <w:rFonts w:hint="eastAsia" w:ascii="宋体" w:hAnsi="宋体" w:cs="宋体"/>
          <w:b/>
          <w:color w:val="auto"/>
          <w:sz w:val="36"/>
          <w:szCs w:val="36"/>
          <w:lang w:val="en-US" w:eastAsia="zh-CN"/>
        </w:rPr>
        <w:t>国资国企综合财务管理支持服务项目</w:t>
      </w:r>
    </w:p>
    <w:p>
      <w:pPr>
        <w:ind w:firstLine="3264" w:firstLineChars="739"/>
        <w:rPr>
          <w:rFonts w:hint="eastAsia" w:ascii="宋体" w:hAnsi="宋体" w:cs="宋体"/>
          <w:b/>
          <w:color w:val="auto"/>
          <w:sz w:val="44"/>
        </w:rPr>
      </w:pPr>
    </w:p>
    <w:p>
      <w:pPr>
        <w:ind w:left="1260" w:leftChars="600" w:firstLine="1855" w:firstLineChars="420"/>
        <w:rPr>
          <w:rFonts w:hint="eastAsia" w:ascii="宋体" w:hAnsi="宋体" w:cs="宋体"/>
          <w:b/>
          <w:color w:val="auto"/>
          <w:sz w:val="44"/>
        </w:rPr>
      </w:pPr>
    </w:p>
    <w:p>
      <w:pPr>
        <w:rPr>
          <w:rFonts w:hint="eastAsia" w:ascii="宋体" w:hAnsi="宋体" w:cs="宋体"/>
          <w:b/>
          <w:color w:val="auto"/>
          <w:sz w:val="44"/>
        </w:rPr>
      </w:pPr>
    </w:p>
    <w:p>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hint="eastAsia" w:ascii="宋体" w:hAnsi="宋体" w:cs="宋体"/>
          <w:b/>
          <w:bCs/>
          <w:color w:val="auto"/>
          <w:sz w:val="36"/>
          <w:szCs w:val="36"/>
        </w:rPr>
      </w:pPr>
      <w:r>
        <w:rPr>
          <w:rFonts w:hint="eastAsia" w:ascii="宋体" w:hAnsi="宋体" w:cs="宋体"/>
          <w:b/>
          <w:bCs/>
          <w:color w:val="auto"/>
          <w:sz w:val="36"/>
          <w:szCs w:val="36"/>
        </w:rPr>
        <w:t>2025年</w:t>
      </w:r>
      <w:r>
        <w:rPr>
          <w:rFonts w:hint="eastAsia" w:ascii="宋体" w:hAnsi="宋体" w:cs="宋体"/>
          <w:b/>
          <w:bCs/>
          <w:color w:val="auto"/>
          <w:sz w:val="36"/>
          <w:szCs w:val="36"/>
          <w:lang w:val="en-US" w:eastAsia="zh-CN"/>
        </w:rPr>
        <w:t>12</w:t>
      </w:r>
      <w:r>
        <w:rPr>
          <w:rFonts w:hint="eastAsia" w:ascii="宋体" w:hAnsi="宋体" w:cs="宋体"/>
          <w:b/>
          <w:bCs/>
          <w:color w:val="auto"/>
          <w:sz w:val="36"/>
          <w:szCs w:val="36"/>
        </w:rPr>
        <w:t>月</w:t>
      </w:r>
    </w:p>
    <w:p>
      <w:pPr>
        <w:autoSpaceDE w:val="0"/>
        <w:autoSpaceDN w:val="0"/>
        <w:adjustRightInd w:val="0"/>
        <w:spacing w:line="360" w:lineRule="auto"/>
        <w:jc w:val="center"/>
        <w:rPr>
          <w:rFonts w:hint="eastAsia" w:ascii="宋体" w:hAnsi="宋体" w:cs="宋体"/>
          <w:b/>
          <w:bCs/>
          <w:color w:val="auto"/>
          <w:kern w:val="0"/>
          <w:sz w:val="36"/>
          <w:szCs w:val="36"/>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rPr>
        <w:t>特别警示条款</w:t>
      </w:r>
    </w:p>
    <w:p>
      <w:pPr>
        <w:ind w:firstLine="480" w:firstLineChars="200"/>
        <w:rPr>
          <w:rFonts w:hint="eastAsia" w:ascii="宋体" w:hAnsi="宋体" w:cs="宋体"/>
          <w:color w:val="auto"/>
          <w:sz w:val="24"/>
        </w:rPr>
      </w:pPr>
      <w:r>
        <w:rPr>
          <w:rFonts w:hint="eastAsia" w:ascii="宋体" w:hAnsi="宋体" w:cs="宋体"/>
          <w:color w:val="auto"/>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4482" w:type="pct"/>
            <w:noWrap w:val="0"/>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noWrap w:val="0"/>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4482" w:type="pct"/>
            <w:noWrap w:val="0"/>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auto"/>
          <w:sz w:val="24"/>
        </w:rPr>
      </w:pPr>
      <w:r>
        <w:rPr>
          <w:rStyle w:val="24"/>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hd w:val="clear" w:color="auto" w:fill="FFFFFF"/>
        <w:spacing w:before="0" w:beforeAutospacing="0" w:after="0" w:afterAutospacing="0" w:line="360" w:lineRule="auto"/>
        <w:ind w:firstLine="480" w:firstLineChars="200"/>
        <w:rPr>
          <w:rFonts w:hint="eastAsia"/>
          <w:color w:val="auto"/>
        </w:rPr>
      </w:pPr>
      <w:bookmarkStart w:id="1" w:name="_Toc2750"/>
      <w:r>
        <w:rPr>
          <w:rFonts w:hint="eastAsia"/>
          <w:color w:val="auto"/>
        </w:rPr>
        <w:t>（一）在采购活动中应当回避而未回避的；</w:t>
      </w:r>
      <w:bookmarkEnd w:id="1"/>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（二）未按照本条例规定签订、履行采购合同，造成严重后果的；</w:t>
      </w:r>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（三）隐瞒真实情况，提供虚假资料的；</w:t>
      </w:r>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（四）以非法手段排斥其他供应商参与竞争的；</w:t>
      </w:r>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（五）与其他采购参加人串通投标的；</w:t>
      </w:r>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（六）恶意投诉的；</w:t>
      </w:r>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（七）向采购项目相关人行贿或者提供其他不当利益的；</w:t>
      </w:r>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（八）阻碍、抗拒主管部门监督检查的；</w:t>
      </w:r>
    </w:p>
    <w:p>
      <w:pPr>
        <w:pStyle w:val="17"/>
        <w:shd w:val="clear" w:color="auto" w:fill="FFFFFF"/>
        <w:spacing w:before="0" w:beforeAutospacing="0" w:after="0" w:afterAutospacing="0" w:line="360" w:lineRule="auto"/>
        <w:ind w:firstLine="480" w:firstLineChars="200"/>
        <w:rPr>
          <w:rFonts w:hint="eastAsia"/>
          <w:color w:val="auto"/>
        </w:rPr>
      </w:pPr>
      <w:r>
        <w:rPr>
          <w:rFonts w:hint="eastAsia"/>
          <w:color w:val="auto"/>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360" w:lineRule="auto"/>
        <w:ind w:firstLine="480" w:firstLineChars="200"/>
        <w:rPr>
          <w:rFonts w:hint="eastAsia"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（四）投标保证金不是从投标供应商基本账户转出的；</w:t>
      </w:r>
    </w:p>
    <w:p>
      <w:pPr>
        <w:keepLines/>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（五）其他隐瞒真实情况、提供虚假资料的行为。</w:t>
      </w:r>
    </w:p>
    <w:p>
      <w:pPr>
        <w:keepLines/>
        <w:spacing w:line="360" w:lineRule="auto"/>
        <w:ind w:firstLine="480" w:firstLineChars="200"/>
        <w:jc w:val="left"/>
        <w:rPr>
          <w:rFonts w:hint="eastAsia" w:ascii="宋体" w:hAnsi="宋体" w:cs="宋体"/>
          <w:color w:val="auto"/>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360" w:lineRule="auto"/>
        <w:ind w:firstLine="482" w:firstLineChars="200"/>
        <w:jc w:val="left"/>
        <w:rPr>
          <w:rFonts w:hint="eastAsia"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auto"/>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pStyle w:val="9"/>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《关于在相关自由贸易试验区和自由贸易港开展推动解决政府采购异常低价问题试点工作的通知》</w:t>
      </w:r>
    </w:p>
    <w:p>
      <w:pPr>
        <w:pStyle w:val="9"/>
        <w:tabs>
          <w:tab w:val="left" w:pos="562"/>
          <w:tab w:val="left" w:pos="3372"/>
          <w:tab w:val="left" w:pos="3653"/>
        </w:tabs>
        <w:spacing w:line="360" w:lineRule="auto"/>
        <w:ind w:firstLine="482" w:firstLineChars="200"/>
        <w:rPr>
          <w:rFonts w:hint="eastAsia" w:ascii="宋体" w:hAnsi="宋体" w:cs="宋体"/>
          <w:b/>
          <w:bCs/>
          <w:color w:val="auto"/>
        </w:rPr>
      </w:pPr>
      <w:r>
        <w:rPr>
          <w:rFonts w:hint="eastAsia" w:ascii="宋体" w:hAnsi="宋体" w:cs="宋体"/>
          <w:b/>
          <w:bCs/>
          <w:color w:val="auto"/>
        </w:rPr>
        <w:t>强化政府采购异常低价审查：</w:t>
      </w:r>
    </w:p>
    <w:p>
      <w:pPr>
        <w:pStyle w:val="9"/>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试点地区采购人应当在采购文件中明确异常低价投标（响应）审查的有关内容，主要包括：</w:t>
      </w:r>
    </w:p>
    <w:p>
      <w:pPr>
        <w:pStyle w:val="9"/>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9"/>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9"/>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auto"/>
          <w:sz w:val="36"/>
          <w:szCs w:val="36"/>
          <w:lang w:val="zh-CN"/>
        </w:rPr>
      </w:pPr>
      <w:bookmarkStart w:id="6" w:name="_Toc20808"/>
      <w:r>
        <w:rPr>
          <w:rFonts w:hint="eastAsia" w:ascii="宋体" w:hAnsi="宋体" w:cs="宋体"/>
          <w:b/>
          <w:bCs/>
          <w:color w:val="auto"/>
          <w:sz w:val="36"/>
          <w:szCs w:val="36"/>
          <w:lang w:val="zh-CN"/>
        </w:rPr>
        <w:t>目录</w:t>
      </w:r>
      <w:bookmarkEnd w:id="0"/>
      <w:bookmarkEnd w:id="6"/>
    </w:p>
    <w:p>
      <w:pPr>
        <w:pStyle w:val="15"/>
        <w:tabs>
          <w:tab w:val="right" w:leader="dot" w:pos="8306"/>
        </w:tabs>
        <w:spacing w:line="480" w:lineRule="auto"/>
        <w:rPr>
          <w:b/>
          <w:bCs/>
          <w:color w:val="auto"/>
          <w:sz w:val="24"/>
          <w:szCs w:val="32"/>
        </w:rPr>
      </w:pPr>
    </w:p>
    <w:p>
      <w:pPr>
        <w:pStyle w:val="15"/>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"_Toc17273" </w:instrText>
      </w:r>
      <w:r>
        <w:rPr>
          <w:color w:val="auto"/>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6</w:t>
      </w:r>
      <w:r>
        <w:rPr>
          <w:b/>
          <w:bCs/>
          <w:color w:val="auto"/>
          <w:sz w:val="24"/>
        </w:rPr>
        <w:fldChar w:fldCharType="end"/>
      </w:r>
      <w:r>
        <w:rPr>
          <w:b/>
          <w:bCs/>
          <w:color w:val="auto"/>
          <w:sz w:val="24"/>
        </w:rPr>
        <w:fldChar w:fldCharType="end"/>
      </w:r>
    </w:p>
    <w:p>
      <w:pPr>
        <w:pStyle w:val="15"/>
        <w:tabs>
          <w:tab w:val="right" w:leader="dot" w:pos="8306"/>
        </w:tabs>
        <w:spacing w:line="360" w:lineRule="auto"/>
        <w:rPr>
          <w:b/>
          <w:bCs/>
          <w:color w:val="auto"/>
          <w:sz w:val="24"/>
        </w:rPr>
      </w:pPr>
      <w:r>
        <w:rPr>
          <w:color w:val="auto"/>
        </w:rPr>
        <w:fldChar w:fldCharType="begin"/>
      </w:r>
      <w:r>
        <w:rPr>
          <w:color w:val="auto"/>
        </w:rPr>
        <w:instrText xml:space="preserve"> HYPERLINK \l "_Toc10214" </w:instrText>
      </w:r>
      <w:r>
        <w:rPr>
          <w:color w:val="auto"/>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10</w:t>
      </w:r>
      <w:r>
        <w:rPr>
          <w:b/>
          <w:bCs/>
          <w:color w:val="auto"/>
          <w:sz w:val="24"/>
        </w:rPr>
        <w:fldChar w:fldCharType="end"/>
      </w:r>
      <w:r>
        <w:rPr>
          <w:b/>
          <w:bCs/>
          <w:color w:val="auto"/>
          <w:sz w:val="24"/>
        </w:rPr>
        <w:fldChar w:fldCharType="end"/>
      </w:r>
    </w:p>
    <w:p>
      <w:pPr>
        <w:pStyle w:val="15"/>
        <w:tabs>
          <w:tab w:val="right" w:leader="dot" w:pos="8306"/>
        </w:tabs>
        <w:spacing w:line="360" w:lineRule="auto"/>
        <w:rPr>
          <w:b/>
          <w:bCs/>
          <w:color w:val="auto"/>
          <w:sz w:val="24"/>
        </w:rPr>
      </w:pPr>
      <w:r>
        <w:rPr>
          <w:color w:val="auto"/>
        </w:rPr>
        <w:fldChar w:fldCharType="begin"/>
      </w:r>
      <w:r>
        <w:rPr>
          <w:color w:val="auto"/>
        </w:rPr>
        <w:instrText xml:space="preserve"> HYPERLINK \l "_Toc20176" </w:instrText>
      </w:r>
      <w:r>
        <w:rPr>
          <w:color w:val="auto"/>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13</w:t>
      </w:r>
      <w:r>
        <w:rPr>
          <w:b/>
          <w:bCs/>
          <w:color w:val="auto"/>
          <w:sz w:val="24"/>
        </w:rPr>
        <w:fldChar w:fldCharType="end"/>
      </w:r>
      <w:r>
        <w:rPr>
          <w:b/>
          <w:bCs/>
          <w:color w:val="auto"/>
          <w:sz w:val="24"/>
        </w:rPr>
        <w:fldChar w:fldCharType="end"/>
      </w:r>
    </w:p>
    <w:p>
      <w:pPr>
        <w:pStyle w:val="15"/>
        <w:tabs>
          <w:tab w:val="right" w:leader="dot" w:pos="8306"/>
        </w:tabs>
        <w:spacing w:line="360" w:lineRule="auto"/>
        <w:rPr>
          <w:b/>
          <w:bCs/>
          <w:color w:val="auto"/>
          <w:sz w:val="24"/>
        </w:rPr>
      </w:pPr>
      <w:r>
        <w:rPr>
          <w:color w:val="auto"/>
        </w:rPr>
        <w:fldChar w:fldCharType="begin"/>
      </w:r>
      <w:r>
        <w:rPr>
          <w:color w:val="auto"/>
        </w:rPr>
        <w:instrText xml:space="preserve"> HYPERLINK \l "_Toc3567" </w:instrText>
      </w:r>
      <w:r>
        <w:rPr>
          <w:color w:val="auto"/>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15</w:t>
      </w:r>
      <w:r>
        <w:rPr>
          <w:b/>
          <w:bCs/>
          <w:color w:val="auto"/>
          <w:sz w:val="24"/>
        </w:rPr>
        <w:fldChar w:fldCharType="end"/>
      </w:r>
      <w:r>
        <w:rPr>
          <w:b/>
          <w:bCs/>
          <w:color w:val="auto"/>
          <w:sz w:val="24"/>
        </w:rPr>
        <w:fldChar w:fldCharType="end"/>
      </w:r>
    </w:p>
    <w:p>
      <w:pPr>
        <w:pStyle w:val="15"/>
        <w:tabs>
          <w:tab w:val="right" w:leader="dot" w:pos="8306"/>
        </w:tabs>
        <w:spacing w:line="360" w:lineRule="auto"/>
        <w:rPr>
          <w:b/>
          <w:bCs/>
          <w:color w:val="auto"/>
          <w:sz w:val="24"/>
        </w:rPr>
      </w:pPr>
      <w:r>
        <w:rPr>
          <w:color w:val="auto"/>
        </w:rPr>
        <w:fldChar w:fldCharType="begin"/>
      </w:r>
      <w:r>
        <w:rPr>
          <w:color w:val="auto"/>
        </w:rPr>
        <w:instrText xml:space="preserve"> HYPERLINK \l "_Toc25518" </w:instrText>
      </w:r>
      <w:r>
        <w:rPr>
          <w:color w:val="auto"/>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end"/>
      </w:r>
      <w:r>
        <w:rPr>
          <w:rFonts w:hint="eastAsia"/>
          <w:b/>
          <w:bCs/>
          <w:color w:val="auto"/>
          <w:sz w:val="24"/>
        </w:rPr>
        <w:t>26</w:t>
      </w:r>
    </w:p>
    <w:p>
      <w:pPr>
        <w:pStyle w:val="15"/>
        <w:tabs>
          <w:tab w:val="right" w:leader="dot" w:pos="8306"/>
        </w:tabs>
        <w:spacing w:line="360" w:lineRule="auto"/>
        <w:rPr>
          <w:b/>
          <w:bCs/>
          <w:color w:val="auto"/>
          <w:sz w:val="24"/>
        </w:rPr>
      </w:pPr>
      <w:r>
        <w:rPr>
          <w:color w:val="auto"/>
        </w:rPr>
        <w:fldChar w:fldCharType="begin"/>
      </w:r>
      <w:r>
        <w:rPr>
          <w:color w:val="auto"/>
        </w:rPr>
        <w:instrText xml:space="preserve"> HYPERLINK \l "_Toc23822" </w:instrText>
      </w:r>
      <w:r>
        <w:rPr>
          <w:color w:val="auto"/>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end"/>
      </w:r>
      <w:r>
        <w:rPr>
          <w:rFonts w:hint="eastAsia"/>
          <w:b/>
          <w:bCs/>
          <w:color w:val="auto"/>
          <w:sz w:val="24"/>
        </w:rPr>
        <w:t>32</w:t>
      </w:r>
    </w:p>
    <w:p>
      <w:pPr>
        <w:pStyle w:val="15"/>
        <w:tabs>
          <w:tab w:val="right" w:leader="dot" w:pos="8306"/>
        </w:tabs>
        <w:spacing w:line="360" w:lineRule="auto"/>
        <w:rPr>
          <w:b/>
          <w:bCs/>
          <w:color w:val="auto"/>
          <w:sz w:val="24"/>
        </w:rPr>
      </w:pPr>
      <w:r>
        <w:rPr>
          <w:color w:val="auto"/>
        </w:rPr>
        <w:fldChar w:fldCharType="begin"/>
      </w:r>
      <w:r>
        <w:rPr>
          <w:color w:val="auto"/>
        </w:rPr>
        <w:instrText xml:space="preserve"> HYPERLINK \l "_Toc9548" </w:instrText>
      </w:r>
      <w:r>
        <w:rPr>
          <w:color w:val="auto"/>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end"/>
      </w:r>
      <w:r>
        <w:rPr>
          <w:rFonts w:hint="eastAsia"/>
          <w:b/>
          <w:bCs/>
          <w:color w:val="auto"/>
          <w:sz w:val="24"/>
        </w:rPr>
        <w:t>38</w:t>
      </w:r>
    </w:p>
    <w:p>
      <w:pPr>
        <w:pStyle w:val="15"/>
        <w:tabs>
          <w:tab w:val="right" w:leader="dot" w:pos="8306"/>
        </w:tabs>
        <w:spacing w:line="360" w:lineRule="auto"/>
        <w:rPr>
          <w:b/>
          <w:bCs/>
          <w:color w:val="auto"/>
          <w:sz w:val="24"/>
        </w:rPr>
      </w:pPr>
      <w:r>
        <w:rPr>
          <w:color w:val="auto"/>
        </w:rPr>
        <w:fldChar w:fldCharType="begin"/>
      </w:r>
      <w:r>
        <w:rPr>
          <w:color w:val="auto"/>
        </w:rPr>
        <w:instrText xml:space="preserve"> HYPERLINK \l "_Toc742" </w:instrText>
      </w:r>
      <w:r>
        <w:rPr>
          <w:color w:val="auto"/>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end"/>
      </w:r>
      <w:r>
        <w:rPr>
          <w:rFonts w:hint="eastAsia"/>
          <w:b/>
          <w:bCs/>
          <w:color w:val="auto"/>
          <w:sz w:val="24"/>
        </w:rPr>
        <w:t>57</w:t>
      </w:r>
    </w:p>
    <w:p>
      <w:pPr>
        <w:pStyle w:val="15"/>
        <w:tabs>
          <w:tab w:val="right" w:leader="dot" w:pos="8306"/>
        </w:tabs>
        <w:spacing w:line="360" w:lineRule="auto"/>
        <w:rPr>
          <w:rFonts w:hint="eastAsia"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hint="eastAsia"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7" w:name="_Toc17273"/>
      <w:r>
        <w:rPr>
          <w:rFonts w:hint="eastAsia" w:ascii="宋体" w:hAnsi="宋体" w:cs="宋体"/>
          <w:b/>
          <w:bCs/>
          <w:color w:val="auto"/>
          <w:sz w:val="24"/>
        </w:rPr>
        <w:t>招标邀请书（招标公告）</w:t>
      </w:r>
      <w:bookmarkEnd w:id="7"/>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文件编码：0722-2025FE</w:t>
      </w:r>
      <w:r>
        <w:rPr>
          <w:rFonts w:hint="eastAsia" w:ascii="宋体" w:hAnsi="宋体" w:cs="宋体"/>
          <w:color w:val="auto"/>
          <w:sz w:val="24"/>
          <w:highlight w:val="none"/>
          <w:lang w:val="en-US" w:eastAsia="zh-CN"/>
        </w:rPr>
        <w:t>8126</w:t>
      </w:r>
      <w:r>
        <w:rPr>
          <w:rFonts w:hint="eastAsia" w:ascii="宋体" w:hAnsi="宋体" w:cs="宋体"/>
          <w:color w:val="auto"/>
          <w:sz w:val="24"/>
          <w:highlight w:val="none"/>
        </w:rPr>
        <w:t>SZF-1</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中国远东国际招标有限公司（以下简称采购代理机构）受深圳市前海深港现代服务业合作区管理局委托就</w:t>
      </w:r>
      <w:r>
        <w:rPr>
          <w:rFonts w:hint="eastAsia" w:ascii="宋体" w:hAnsi="宋体" w:cs="宋体"/>
          <w:color w:val="auto"/>
          <w:sz w:val="24"/>
          <w:u w:val="single"/>
          <w:lang w:eastAsia="zh-CN"/>
        </w:rPr>
        <w:t>前海</w:t>
      </w:r>
      <w:r>
        <w:rPr>
          <w:rFonts w:hint="eastAsia" w:ascii="宋体" w:hAnsi="宋体" w:cs="宋体"/>
          <w:color w:val="auto"/>
          <w:sz w:val="24"/>
          <w:u w:val="single"/>
          <w:lang w:val="en-US" w:eastAsia="zh-CN"/>
        </w:rPr>
        <w:t>国资国企综合财务管理支持服务项目</w:t>
      </w:r>
      <w:r>
        <w:rPr>
          <w:rFonts w:hint="eastAsia" w:ascii="宋体" w:hAnsi="宋体" w:cs="宋体"/>
          <w:color w:val="auto"/>
          <w:sz w:val="24"/>
        </w:rPr>
        <w:t>（招标编号：</w:t>
      </w:r>
      <w:r>
        <w:rPr>
          <w:rFonts w:hint="eastAsia" w:ascii="宋体" w:hAnsi="宋体" w:cs="宋体"/>
          <w:color w:val="auto"/>
          <w:sz w:val="24"/>
          <w:u w:val="single"/>
          <w:lang w:val="en-US" w:eastAsia="zh-CN"/>
        </w:rPr>
        <w:t>QH2025150</w:t>
      </w:r>
      <w:r>
        <w:rPr>
          <w:rFonts w:hint="eastAsia" w:ascii="宋体" w:hAnsi="宋体" w:cs="宋体"/>
          <w:color w:val="auto"/>
          <w:sz w:val="24"/>
        </w:rPr>
        <w:t>）采用简易招标方式采购，欢迎符合投标人资格要求的专业供应商积极参加投标。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招标编号</w:t>
            </w:r>
          </w:p>
        </w:tc>
        <w:tc>
          <w:tcPr>
            <w:tcW w:w="7015" w:type="dxa"/>
            <w:noWrap w:val="0"/>
            <w:vAlign w:val="center"/>
          </w:tcPr>
          <w:p>
            <w:pPr>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QH2025150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val="en-US" w:eastAsia="zh-CN"/>
              </w:rPr>
              <w:t>前海国资国企综合财务管理支持服务项目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rPr>
                <w:color w:val="auto"/>
              </w:rPr>
            </w:pPr>
            <w:r>
              <w:rPr>
                <w:rFonts w:hint="eastAsia" w:ascii="宋体" w:hAnsi="宋体" w:cs="宋体"/>
                <w:color w:val="auto"/>
                <w:sz w:val="24"/>
                <w:lang w:val="en-US" w:eastAsia="zh-CN"/>
              </w:rPr>
              <w:t>1.按月度协助形成前海局属企业财务分析报告，按季度协助汇总梳理形成前海局属企业经营情况分析报告，协助汇总形成前海局属企业年度主要财务指标情况表、局属企业财务情况专项报告；2.提供前海国资国企综合财务管理相关支持服务，包括但不限于以下支持服务内容：重大经济事项分析、税务分析、成本分析与控制、财务风险研判、年度预算合理性分析、其他综合财务管理相关服务</w:t>
            </w:r>
            <w:r>
              <w:rPr>
                <w:rFonts w:hint="eastAsia" w:ascii="宋体" w:hAnsi="宋体" w:cs="宋体"/>
                <w:color w:val="auto"/>
                <w:sz w:val="24"/>
                <w:lang w:eastAsia="zh-CN"/>
              </w:rPr>
              <w:t>。</w:t>
            </w:r>
            <w:r>
              <w:rPr>
                <w:rFonts w:hint="eastAsia" w:ascii="宋体" w:hAnsi="宋体" w:cs="宋体"/>
                <w:color w:val="auto"/>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项目预算</w:t>
            </w:r>
          </w:p>
          <w:p>
            <w:pPr>
              <w:spacing w:line="360" w:lineRule="auto"/>
              <w:jc w:val="center"/>
              <w:rPr>
                <w:rFonts w:hint="eastAsia" w:ascii="宋体" w:hAnsi="宋体" w:cs="宋体"/>
                <w:color w:val="auto"/>
                <w:sz w:val="24"/>
              </w:rPr>
            </w:pPr>
            <w:r>
              <w:rPr>
                <w:rFonts w:hint="eastAsia" w:ascii="宋体" w:hAnsi="宋体" w:cs="宋体"/>
                <w:color w:val="auto"/>
                <w:sz w:val="24"/>
              </w:rPr>
              <w:t>（最高限价）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rPr>
              <w:t>¥</w:t>
            </w:r>
            <w:r>
              <w:rPr>
                <w:rFonts w:hint="eastAsia" w:ascii="宋体" w:hAnsi="宋体" w:cs="宋体"/>
                <w:color w:val="auto"/>
                <w:sz w:val="24"/>
                <w:lang w:val="en-US" w:eastAsia="zh-CN"/>
              </w:rPr>
              <w:t>4</w:t>
            </w:r>
            <w:r>
              <w:rPr>
                <w:rFonts w:hint="default" w:ascii="宋体" w:hAnsi="宋体" w:cs="宋体"/>
                <w:color w:val="auto"/>
                <w:sz w:val="24"/>
                <w:lang w:val="en-US" w:eastAsia="zh-CN"/>
              </w:rPr>
              <w:t>5</w:t>
            </w:r>
            <w:r>
              <w:rPr>
                <w:rFonts w:hint="eastAsia" w:ascii="宋体" w:hAnsi="宋体" w:cs="宋体"/>
                <w:color w:val="auto"/>
                <w:sz w:val="24"/>
                <w:lang w:val="en-US" w:eastAsia="zh-CN"/>
              </w:rPr>
              <w:t>0</w:t>
            </w:r>
            <w:r>
              <w:rPr>
                <w:rFonts w:hint="eastAsia" w:ascii="宋体" w:hAnsi="宋体" w:cs="宋体"/>
                <w:color w:val="auto"/>
                <w:sz w:val="24"/>
              </w:rPr>
              <w:t>,000.00</w:t>
            </w:r>
            <w:r>
              <w:rPr>
                <w:rFonts w:hint="eastAsia" w:ascii="宋体" w:hAnsi="宋体" w:cs="宋体"/>
                <w:color w:val="auto"/>
                <w:sz w:val="24"/>
                <w:lang w:eastAsia="zh-CN"/>
              </w:rPr>
              <w:t>（人民币</w:t>
            </w:r>
            <w:r>
              <w:rPr>
                <w:rFonts w:hint="eastAsia" w:ascii="宋体" w:hAnsi="宋体" w:cs="宋体"/>
                <w:color w:val="auto"/>
                <w:sz w:val="24"/>
                <w:lang w:val="en-US" w:eastAsia="zh-CN"/>
              </w:rPr>
              <w:t>肆拾伍万</w:t>
            </w:r>
            <w:r>
              <w:rPr>
                <w:rFonts w:hint="eastAsia" w:ascii="宋体" w:hAnsi="宋体" w:cs="宋体"/>
                <w:color w:val="auto"/>
                <w:sz w:val="24"/>
                <w:lang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rPr>
              <w:t>将投标文件密封并在</w:t>
            </w:r>
            <w:r>
              <w:rPr>
                <w:rFonts w:hint="eastAsia" w:ascii="宋体" w:hAnsi="宋体" w:cs="宋体"/>
                <w:b/>
                <w:bCs/>
                <w:color w:val="auto"/>
                <w:kern w:val="0"/>
                <w:sz w:val="24"/>
              </w:rPr>
              <w:t>2025年</w:t>
            </w:r>
            <w:r>
              <w:rPr>
                <w:rFonts w:hint="eastAsia" w:ascii="宋体" w:hAnsi="宋体" w:cs="宋体"/>
                <w:b/>
                <w:bCs/>
                <w:color w:val="auto"/>
                <w:kern w:val="0"/>
                <w:sz w:val="24"/>
                <w:lang w:val="en-US" w:eastAsia="zh-CN"/>
              </w:rPr>
              <w:t>12</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11</w:t>
            </w:r>
            <w:r>
              <w:rPr>
                <w:rFonts w:hint="eastAsia" w:ascii="宋体" w:hAnsi="宋体" w:cs="宋体"/>
                <w:b/>
                <w:bCs/>
                <w:color w:val="auto"/>
                <w:kern w:val="0"/>
                <w:sz w:val="24"/>
              </w:rPr>
              <w:t>日</w:t>
            </w:r>
            <w:r>
              <w:rPr>
                <w:rFonts w:hint="eastAsia" w:ascii="宋体" w:hAnsi="宋体" w:cs="宋体"/>
                <w:b/>
                <w:bCs/>
                <w:color w:val="auto"/>
                <w:kern w:val="0"/>
                <w:sz w:val="24"/>
                <w:lang w:val="en-US" w:eastAsia="zh-CN"/>
              </w:rPr>
              <w:t>14</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0时（北京时间）</w:t>
            </w:r>
            <w:r>
              <w:rPr>
                <w:rFonts w:hint="eastAsia" w:ascii="宋体" w:hAnsi="宋体" w:cs="宋体"/>
                <w:color w:val="auto"/>
                <w:kern w:val="0"/>
                <w:sz w:val="24"/>
              </w:rPr>
              <w:t>前送达（现场递交或邮寄）至深圳市南山区前海深港合作区桂湾</w:t>
            </w:r>
            <w:r>
              <w:rPr>
                <w:rFonts w:hint="eastAsia" w:ascii="宋体" w:hAnsi="宋体" w:cs="宋体"/>
                <w:color w:val="auto"/>
                <w:kern w:val="0"/>
                <w:sz w:val="24"/>
                <w:highlight w:val="none"/>
              </w:rPr>
              <w:t>五路123号前海管理局前海大厦T1栋</w:t>
            </w:r>
            <w:r>
              <w:rPr>
                <w:rFonts w:hint="eastAsia" w:ascii="宋体" w:hAnsi="宋体" w:cs="宋体"/>
                <w:color w:val="auto"/>
                <w:kern w:val="0"/>
                <w:sz w:val="24"/>
                <w:highlight w:val="none"/>
                <w:lang w:val="en-US" w:eastAsia="zh-CN"/>
              </w:rPr>
              <w:t>2512</w:t>
            </w:r>
            <w:r>
              <w:rPr>
                <w:rFonts w:hint="eastAsia" w:ascii="宋体" w:hAnsi="宋体" w:cs="宋体"/>
                <w:color w:val="auto"/>
                <w:kern w:val="0"/>
                <w:sz w:val="24"/>
                <w:highlight w:val="none"/>
              </w:rPr>
              <w:t>室</w:t>
            </w:r>
          </w:p>
          <w:p>
            <w:pPr>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李龙</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18123923844</w:t>
            </w:r>
          </w:p>
          <w:p>
            <w:pPr>
              <w:adjustRightInd w:val="0"/>
              <w:snapToGrid w:val="0"/>
              <w:spacing w:line="360" w:lineRule="auto"/>
              <w:jc w:val="left"/>
              <w:rPr>
                <w:rFonts w:hint="eastAsia" w:ascii="宋体" w:hAnsi="宋体" w:cs="宋体"/>
                <w:color w:val="auto"/>
                <w:kern w:val="0"/>
                <w:sz w:val="24"/>
              </w:rPr>
            </w:pPr>
            <w:r>
              <w:rPr>
                <w:rFonts w:hint="eastAsia" w:ascii="宋体" w:hAnsi="宋体" w:cs="宋体"/>
                <w:color w:val="auto"/>
                <w:kern w:val="0"/>
                <w:sz w:val="24"/>
                <w:highlight w:val="none"/>
              </w:rPr>
              <w:t>注：如需现场谈判，投标人</w:t>
            </w:r>
            <w:r>
              <w:rPr>
                <w:rFonts w:hint="eastAsia" w:ascii="宋体" w:hAnsi="宋体" w:cs="宋体"/>
                <w:color w:val="auto"/>
                <w:kern w:val="0"/>
                <w:sz w:val="24"/>
              </w:rPr>
              <w:t>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在中华人民共和国境内注册的具有独立法人资格或具有独立承担民事责任的能力的其他组织</w:t>
            </w:r>
            <w:r>
              <w:rPr>
                <w:rFonts w:hint="eastAsia" w:ascii="宋体" w:hAnsi="宋体" w:cs="宋体"/>
                <w:b/>
                <w:bCs/>
                <w:color w:val="auto"/>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参与政府采购项目投标的供应商近三年内无行贿犯罪记录</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spacing w:line="360" w:lineRule="auto"/>
              <w:rPr>
                <w:rFonts w:hint="eastAsia" w:ascii="宋体" w:hAnsi="宋体" w:cs="宋体"/>
                <w:color w:val="auto"/>
                <w:kern w:val="0"/>
                <w:sz w:val="24"/>
              </w:rPr>
            </w:pPr>
            <w:r>
              <w:rPr>
                <w:rFonts w:hint="eastAsia" w:ascii="宋体" w:hAnsi="宋体" w:cs="宋体"/>
                <w:color w:val="auto"/>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auto"/>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为此项目提供整体设计、规范编制或者项目管理、监理、检测等服务的供应商，不得再参加此项目的其他招标采购活动</w:t>
            </w:r>
            <w:r>
              <w:rPr>
                <w:rFonts w:hint="eastAsia" w:ascii="宋体" w:hAnsi="宋体" w:cs="宋体"/>
                <w:b/>
                <w:bCs/>
                <w:color w:val="auto"/>
                <w:kern w:val="0"/>
                <w:sz w:val="24"/>
              </w:rPr>
              <w:t>（由投标人在《政府采购投标及履约承诺函》中作出声明）；</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u w:val="single"/>
              </w:rPr>
              <w:t>其他未列明行业。</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3"/>
              </w:numPr>
              <w:spacing w:line="360" w:lineRule="auto"/>
              <w:rPr>
                <w:rFonts w:hint="eastAsia" w:ascii="宋体" w:hAnsi="宋体" w:cs="宋体"/>
                <w:color w:val="auto"/>
                <w:sz w:val="24"/>
              </w:rPr>
            </w:pPr>
            <w:bookmarkStart w:id="8" w:name="OLE_LINK5"/>
            <w:r>
              <w:rPr>
                <w:rFonts w:hint="eastAsia" w:ascii="宋体" w:hAnsi="宋体" w:cs="宋体"/>
                <w:color w:val="auto"/>
                <w:sz w:val="24"/>
              </w:rPr>
              <w:t>本</w:t>
            </w:r>
            <w:r>
              <w:rPr>
                <w:rFonts w:hint="eastAsia" w:ascii="宋体" w:hAnsi="宋体" w:cs="宋体"/>
                <w:color w:val="auto"/>
                <w:sz w:val="24"/>
                <w:highlight w:val="none"/>
              </w:rPr>
              <w:t>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的合同金额。投标人的报价不可高于预算（限价），否则投标人的投标文件视同无效。项目服务费</w:t>
            </w:r>
            <w:r>
              <w:rPr>
                <w:rFonts w:hint="eastAsia" w:ascii="宋体" w:hAnsi="宋体" w:cs="宋体"/>
                <w:color w:val="auto"/>
                <w:sz w:val="24"/>
                <w:highlight w:val="none"/>
                <w:lang w:eastAsia="zh-CN"/>
              </w:rPr>
              <w:t>包括但不限于人员研究费用、调研差旅费、专家咨询费、资料费、税费等所有费用</w:t>
            </w:r>
            <w:r>
              <w:rPr>
                <w:rFonts w:hint="eastAsia" w:ascii="宋体" w:hAnsi="宋体" w:cs="宋体"/>
                <w:color w:val="auto"/>
                <w:sz w:val="24"/>
                <w:highlight w:val="none"/>
              </w:rPr>
              <w:t>，并提供合同要求的有关成果材料，以及其它相关服务的全部费用</w:t>
            </w:r>
            <w:r>
              <w:rPr>
                <w:rFonts w:hint="eastAsia" w:ascii="宋体" w:hAnsi="宋体" w:cs="宋体"/>
                <w:color w:val="auto"/>
                <w:sz w:val="24"/>
                <w:highlight w:val="none"/>
                <w:lang w:eastAsia="zh-CN"/>
              </w:rPr>
              <w:t>。</w:t>
            </w:r>
            <w:r>
              <w:rPr>
                <w:rFonts w:hint="eastAsia" w:ascii="宋体" w:hAnsi="宋体" w:cs="宋体"/>
                <w:color w:val="auto"/>
                <w:sz w:val="24"/>
                <w:highlight w:val="none"/>
              </w:rPr>
              <w:t>一经中标，正式报价总价作为中标人与采购人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r>
              <w:rPr>
                <w:rFonts w:hint="eastAsia" w:ascii="宋体" w:hAnsi="宋体" w:cs="宋体"/>
                <w:color w:val="auto"/>
                <w:sz w:val="24"/>
                <w:highlight w:val="none"/>
                <w:lang w:eastAsia="zh-CN"/>
              </w:rPr>
              <w:t>。</w:t>
            </w:r>
          </w:p>
          <w:bookmarkEnd w:id="8"/>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1.采购人信息</w:t>
            </w:r>
          </w:p>
          <w:p>
            <w:pPr>
              <w:spacing w:line="360" w:lineRule="auto"/>
              <w:rPr>
                <w:rFonts w:hint="eastAsia" w:ascii="宋体" w:hAnsi="宋体" w:cs="宋体"/>
                <w:color w:val="auto"/>
                <w:kern w:val="0"/>
                <w:sz w:val="24"/>
              </w:rPr>
            </w:pPr>
            <w:bookmarkStart w:id="9" w:name="_Toc28359086"/>
            <w:bookmarkStart w:id="10" w:name="_Toc28359009"/>
            <w:r>
              <w:rPr>
                <w:rFonts w:hint="eastAsia" w:ascii="宋体" w:hAnsi="宋体" w:cs="宋体"/>
                <w:color w:val="auto"/>
                <w:kern w:val="0"/>
                <w:sz w:val="24"/>
              </w:rPr>
              <w:t>名  称：深圳市前海深港现代服务业合作区管理局</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地  址：深圳市南山区前海深港合作区桂湾五路123号前海管理局前海</w:t>
            </w:r>
            <w:r>
              <w:rPr>
                <w:rFonts w:hint="eastAsia" w:ascii="宋体" w:hAnsi="宋体" w:cs="宋体"/>
                <w:color w:val="auto"/>
                <w:kern w:val="0"/>
                <w:sz w:val="24"/>
                <w:highlight w:val="none"/>
              </w:rPr>
              <w:t>大厦T1栋</w:t>
            </w:r>
          </w:p>
          <w:p>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eastAsia="zh-CN"/>
              </w:rPr>
              <w:t>李龙</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话：18123923844</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9"/>
            <w:bookmarkEnd w:id="10"/>
          </w:p>
          <w:p>
            <w:pPr>
              <w:spacing w:line="360" w:lineRule="auto"/>
              <w:rPr>
                <w:rFonts w:hint="eastAsia" w:ascii="宋体" w:hAnsi="宋体" w:cs="宋体"/>
                <w:color w:val="auto"/>
                <w:kern w:val="0"/>
                <w:sz w:val="24"/>
                <w:highlight w:val="none"/>
              </w:rPr>
            </w:pPr>
            <w:bookmarkStart w:id="11" w:name="_Toc28359010"/>
            <w:bookmarkStart w:id="12" w:name="_Toc28359087"/>
            <w:r>
              <w:rPr>
                <w:rFonts w:hint="eastAsia" w:ascii="宋体" w:hAnsi="宋体" w:cs="宋体"/>
                <w:color w:val="auto"/>
                <w:kern w:val="0"/>
                <w:sz w:val="24"/>
                <w:highlight w:val="none"/>
              </w:rPr>
              <w:t>名  称：中国远东国际招标有限公司</w:t>
            </w:r>
          </w:p>
          <w:p>
            <w:pPr>
              <w:spacing w:line="360" w:lineRule="auto"/>
              <w:rPr>
                <w:rFonts w:hint="eastAsia" w:ascii="宋体" w:hAnsi="宋体" w:cs="宋体"/>
                <w:color w:val="auto"/>
                <w:kern w:val="0"/>
                <w:sz w:val="24"/>
              </w:rPr>
            </w:pPr>
            <w:r>
              <w:rPr>
                <w:rFonts w:hint="eastAsia" w:ascii="宋体" w:hAnsi="宋体" w:cs="宋体"/>
                <w:color w:val="auto"/>
                <w:kern w:val="0"/>
                <w:sz w:val="24"/>
                <w:highlight w:val="none"/>
              </w:rPr>
              <w:t>地  址：深圳市</w:t>
            </w:r>
            <w:r>
              <w:rPr>
                <w:rFonts w:hint="eastAsia" w:ascii="宋体" w:hAnsi="宋体" w:cs="宋体"/>
                <w:color w:val="auto"/>
                <w:kern w:val="0"/>
                <w:sz w:val="24"/>
              </w:rPr>
              <w:t>福田区上步南路1001号锦峰大厦22楼</w:t>
            </w:r>
          </w:p>
          <w:p>
            <w:pPr>
              <w:spacing w:line="360" w:lineRule="auto"/>
              <w:rPr>
                <w:rFonts w:hint="eastAsia" w:ascii="宋体" w:hAnsi="宋体" w:cs="宋体"/>
                <w:color w:val="auto"/>
                <w:kern w:val="0"/>
                <w:sz w:val="24"/>
              </w:rPr>
            </w:pPr>
            <w:r>
              <w:rPr>
                <w:rFonts w:hint="eastAsia" w:ascii="宋体" w:hAnsi="宋体" w:cs="宋体"/>
                <w:color w:val="auto"/>
                <w:kern w:val="0"/>
                <w:sz w:val="24"/>
              </w:rPr>
              <w:t>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p>
            <w:pPr>
              <w:spacing w:line="360" w:lineRule="auto"/>
              <w:rPr>
                <w:rFonts w:hint="eastAsia" w:ascii="宋体" w:hAnsi="宋体" w:cs="宋体"/>
                <w:color w:val="auto"/>
                <w:kern w:val="0"/>
                <w:sz w:val="24"/>
              </w:rPr>
            </w:pPr>
            <w:r>
              <w:rPr>
                <w:rFonts w:hint="eastAsia" w:ascii="宋体" w:hAnsi="宋体" w:cs="宋体"/>
                <w:color w:val="auto"/>
                <w:kern w:val="0"/>
                <w:sz w:val="24"/>
              </w:rPr>
              <w:t>传  真：0755-82077519</w:t>
            </w:r>
          </w:p>
          <w:p>
            <w:pPr>
              <w:spacing w:line="360" w:lineRule="auto"/>
              <w:rPr>
                <w:rFonts w:hint="eastAsia" w:ascii="宋体" w:hAnsi="宋体" w:cs="宋体"/>
                <w:color w:val="auto"/>
                <w:kern w:val="0"/>
                <w:sz w:val="24"/>
              </w:rPr>
            </w:pPr>
            <w:r>
              <w:rPr>
                <w:rFonts w:hint="eastAsia" w:ascii="宋体" w:hAnsi="宋体" w:cs="宋体"/>
                <w:color w:val="auto"/>
                <w:kern w:val="0"/>
                <w:sz w:val="24"/>
              </w:rPr>
              <w:t>3.项目联系方式</w:t>
            </w:r>
            <w:bookmarkEnd w:id="11"/>
            <w:bookmarkEnd w:id="12"/>
          </w:p>
          <w:p>
            <w:pPr>
              <w:spacing w:line="360" w:lineRule="auto"/>
              <w:rPr>
                <w:rFonts w:hint="eastAsia" w:ascii="宋体" w:hAnsi="宋体" w:cs="宋体"/>
                <w:color w:val="auto"/>
                <w:kern w:val="0"/>
                <w:sz w:val="24"/>
              </w:rPr>
            </w:pPr>
            <w:r>
              <w:rPr>
                <w:rFonts w:hint="eastAsia" w:ascii="宋体" w:hAnsi="宋体" w:cs="宋体"/>
                <w:color w:val="auto"/>
                <w:kern w:val="0"/>
                <w:sz w:val="24"/>
              </w:rPr>
              <w:t>项目联系人：凌女士、伍先生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tc>
      </w:tr>
    </w:tbl>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中国远东国际招标有限公司</w:t>
      </w:r>
    </w:p>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2025年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5</w:t>
      </w:r>
      <w:r>
        <w:rPr>
          <w:rFonts w:hint="eastAsia" w:ascii="宋体" w:hAnsi="宋体" w:cs="宋体"/>
          <w:color w:val="auto"/>
          <w:sz w:val="24"/>
        </w:rPr>
        <w:t>日</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3" w:name="_Toc10214"/>
      <w:r>
        <w:rPr>
          <w:rFonts w:hint="eastAsia" w:ascii="宋体" w:hAnsi="宋体" w:cs="宋体"/>
          <w:b/>
          <w:bCs/>
          <w:color w:val="auto"/>
          <w:sz w:val="24"/>
        </w:rPr>
        <w:t>投标须知</w:t>
      </w:r>
      <w:bookmarkEnd w:id="13"/>
    </w:p>
    <w:p>
      <w:pPr>
        <w:spacing w:line="360" w:lineRule="auto"/>
        <w:rPr>
          <w:rFonts w:hint="eastAsia"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lang w:eastAsia="zh-CN"/>
        </w:rPr>
        <w:t>前海</w:t>
      </w:r>
      <w:r>
        <w:rPr>
          <w:rFonts w:hint="eastAsia" w:ascii="宋体" w:hAnsi="宋体" w:cs="宋体"/>
          <w:color w:val="auto"/>
          <w:sz w:val="24"/>
          <w:lang w:val="en-US" w:eastAsia="zh-CN"/>
        </w:rPr>
        <w:t>国资国企综合财务管理支持服务项目</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auto"/>
          <w:sz w:val="24"/>
        </w:rPr>
      </w:pPr>
      <w:r>
        <w:rPr>
          <w:rFonts w:hint="eastAsia" w:ascii="宋体" w:hAnsi="宋体" w:cs="宋体"/>
          <w:b/>
          <w:bCs/>
          <w:color w:val="auto"/>
          <w:sz w:val="24"/>
        </w:rPr>
        <w:t>2.1、本次采购公开征集供应商，报名且符合招标文件初审的供应商满足3家或3家以上的，采用综合评分法的方式进行。</w:t>
      </w:r>
      <w:r>
        <w:rPr>
          <w:rFonts w:hint="eastAsia" w:ascii="宋体" w:hAnsi="宋体" w:cs="宋体"/>
          <w:b/>
          <w:bCs/>
          <w:color w:val="auto"/>
          <w:sz w:val="24"/>
          <w:u w:val="single"/>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auto"/>
          <w:sz w:val="24"/>
        </w:rPr>
      </w:pPr>
      <w:r>
        <w:rPr>
          <w:rFonts w:hint="eastAsia" w:ascii="宋体" w:hAnsi="宋体" w:cs="宋体"/>
          <w:b/>
          <w:bCs/>
          <w:color w:val="auto"/>
          <w:sz w:val="24"/>
        </w:rPr>
        <w:t>2.2、对于重新组织简易招标(公开征集)，仍出现有效投标供应商不足3家的情形，按以下流程执行：</w:t>
      </w:r>
    </w:p>
    <w:p>
      <w:pPr>
        <w:spacing w:line="360" w:lineRule="auto"/>
        <w:rPr>
          <w:rFonts w:hint="eastAsia" w:ascii="宋体" w:hAnsi="宋体" w:cs="宋体"/>
          <w:b/>
          <w:bCs/>
          <w:color w:val="auto"/>
          <w:sz w:val="24"/>
        </w:rPr>
      </w:pPr>
      <w:r>
        <w:rPr>
          <w:rFonts w:hint="eastAsia" w:ascii="宋体" w:hAnsi="宋体" w:cs="宋体"/>
          <w:b/>
          <w:bCs/>
          <w:color w:val="auto"/>
          <w:sz w:val="24"/>
        </w:rPr>
        <w:t>a.有效投标人为2家的，可在2家有效投标人中取得分最高者为中标供应商；</w:t>
      </w:r>
    </w:p>
    <w:p>
      <w:pPr>
        <w:spacing w:line="360" w:lineRule="auto"/>
        <w:rPr>
          <w:rFonts w:hint="eastAsia" w:ascii="宋体" w:hAnsi="宋体" w:cs="宋体"/>
          <w:color w:val="auto"/>
          <w:sz w:val="24"/>
        </w:rPr>
      </w:pPr>
      <w:r>
        <w:rPr>
          <w:rFonts w:hint="eastAsia" w:ascii="宋体" w:hAnsi="宋体" w:cs="宋体"/>
          <w:b/>
          <w:bCs/>
          <w:color w:val="auto"/>
          <w:sz w:val="24"/>
        </w:rPr>
        <w:t>b.如参与投标且符合招标文件要求的供应商仅有1家，评审委员会应与投标供应商进行谈判，</w:t>
      </w:r>
      <w:r>
        <w:rPr>
          <w:rFonts w:hint="eastAsia" w:ascii="宋体" w:hAnsi="宋体" w:cs="宋体"/>
          <w:b/>
          <w:bCs/>
          <w:color w:val="auto"/>
          <w:sz w:val="24"/>
          <w:u w:val="single"/>
        </w:rPr>
        <w:t>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5套（1套正本，4套副本，</w:t>
      </w:r>
      <w:bookmarkStart w:id="14" w:name="OLE_LINK6"/>
      <w:r>
        <w:rPr>
          <w:rFonts w:hint="eastAsia" w:ascii="宋体" w:hAnsi="宋体" w:cs="宋体"/>
          <w:b/>
          <w:color w:val="auto"/>
          <w:sz w:val="24"/>
        </w:rPr>
        <w:t>1份电子文档：PDF格式的正本投标文件扫描件、与正本一致的word文档格式的投标文件</w:t>
      </w:r>
      <w:bookmarkEnd w:id="14"/>
      <w:r>
        <w:rPr>
          <w:rFonts w:hint="eastAsia" w:ascii="宋体" w:hAnsi="宋体" w:cs="宋体"/>
          <w:b/>
          <w:bCs/>
          <w:color w:val="auto"/>
          <w:sz w:val="24"/>
        </w:rPr>
        <w:t>）</w:t>
      </w:r>
      <w:r>
        <w:rPr>
          <w:rFonts w:hint="eastAsia" w:ascii="宋体" w:hAnsi="宋体" w:cs="宋体"/>
          <w:color w:val="auto"/>
          <w:sz w:val="24"/>
        </w:rPr>
        <w:t>完备的资料进行投标。</w:t>
      </w:r>
    </w:p>
    <w:p>
      <w:pPr>
        <w:spacing w:line="360" w:lineRule="auto"/>
        <w:rPr>
          <w:rFonts w:hint="eastAsia"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rPr>
      </w:pPr>
      <w:r>
        <w:rPr>
          <w:rFonts w:hint="eastAsia" w:ascii="宋体" w:hAnsi="宋体" w:cs="宋体"/>
          <w:color w:val="auto"/>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技术部分。</w:t>
      </w:r>
    </w:p>
    <w:p>
      <w:pPr>
        <w:snapToGrid w:val="0"/>
        <w:spacing w:line="360" w:lineRule="auto"/>
        <w:rPr>
          <w:rFonts w:hint="eastAsia"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hint="eastAsia"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hint="eastAsia" w:ascii="宋体" w:hAnsi="宋体" w:cs="宋体"/>
          <w:color w:val="auto"/>
          <w:sz w:val="24"/>
        </w:rPr>
      </w:pPr>
      <w:r>
        <w:rPr>
          <w:rFonts w:hint="eastAsia" w:ascii="宋体" w:hAnsi="宋体" w:cs="宋体"/>
          <w:color w:val="auto"/>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rPr>
      </w:pPr>
      <w:r>
        <w:rPr>
          <w:rFonts w:hint="eastAsia" w:ascii="宋体" w:hAnsi="宋体" w:cs="宋体"/>
          <w:color w:val="auto"/>
          <w:sz w:val="24"/>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（2）原则上成交价不超过最初报价的95%。</w:t>
      </w:r>
    </w:p>
    <w:p>
      <w:pPr>
        <w:snapToGrid w:val="0"/>
        <w:spacing w:line="360" w:lineRule="auto"/>
        <w:rPr>
          <w:rFonts w:hint="eastAsia" w:ascii="宋体" w:hAnsi="宋体" w:cs="宋体"/>
          <w:color w:val="auto"/>
          <w:sz w:val="24"/>
        </w:rPr>
      </w:pPr>
      <w:r>
        <w:rPr>
          <w:rFonts w:hint="eastAsia" w:ascii="宋体" w:hAnsi="宋体" w:cs="宋体"/>
          <w:color w:val="auto"/>
          <w:sz w:val="24"/>
        </w:rPr>
        <w:t>14、所有的评审/谈判内容都必须保密。</w:t>
      </w:r>
    </w:p>
    <w:p>
      <w:pPr>
        <w:snapToGrid w:val="0"/>
        <w:spacing w:line="360" w:lineRule="auto"/>
        <w:rPr>
          <w:rFonts w:hint="eastAsia"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以《深圳市财政委员会关于规范深圳市社会采购代理机构管理有关事项的补充通知》（深财购〔2018〕27号）代理费用参考标准的80%按差额定率累进法进行计费，</w:t>
      </w:r>
      <w:r>
        <w:rPr>
          <w:rFonts w:hint="eastAsia" w:ascii="宋体" w:hAnsi="宋体" w:cs="宋体"/>
          <w:color w:val="auto"/>
          <w:sz w:val="24"/>
          <w:lang w:val="en-US" w:eastAsia="zh-CN"/>
        </w:rPr>
        <w:t>由中标人支付，</w:t>
      </w:r>
      <w:r>
        <w:rPr>
          <w:rFonts w:hint="eastAsia" w:ascii="宋体" w:hAnsi="宋体" w:cs="宋体"/>
          <w:color w:val="auto"/>
          <w:sz w:val="24"/>
        </w:rPr>
        <w:t>若以上计算金额小于3000元，则按3000元收取。</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r>
    </w:tbl>
    <w:p>
      <w:pPr>
        <w:spacing w:line="360" w:lineRule="auto"/>
        <w:rPr>
          <w:rFonts w:hint="eastAsia" w:ascii="宋体" w:hAnsi="宋体" w:cs="宋体"/>
          <w:color w:val="auto"/>
          <w:sz w:val="24"/>
        </w:rPr>
      </w:pPr>
      <w:r>
        <w:rPr>
          <w:rFonts w:hint="eastAsia" w:ascii="宋体" w:hAnsi="宋体" w:cs="宋体"/>
          <w:color w:val="auto"/>
          <w:sz w:val="24"/>
        </w:rPr>
        <w:t>招标代理服务费缴纳至：</w:t>
      </w:r>
    </w:p>
    <w:p>
      <w:pPr>
        <w:spacing w:line="360" w:lineRule="auto"/>
        <w:rPr>
          <w:rFonts w:hint="eastAsia" w:ascii="宋体" w:hAnsi="宋体" w:cs="宋体"/>
          <w:color w:val="auto"/>
          <w:sz w:val="24"/>
        </w:rPr>
      </w:pPr>
      <w:r>
        <w:rPr>
          <w:rFonts w:hint="eastAsia" w:ascii="宋体" w:hAnsi="宋体" w:cs="宋体"/>
          <w:color w:val="auto"/>
          <w:sz w:val="24"/>
        </w:rPr>
        <w:t>开户名称：中国远东国际招标有限公司深圳分公司</w:t>
      </w:r>
    </w:p>
    <w:p>
      <w:pPr>
        <w:spacing w:line="360" w:lineRule="auto"/>
        <w:rPr>
          <w:rFonts w:hint="eastAsia" w:ascii="宋体" w:hAnsi="宋体" w:cs="宋体"/>
          <w:color w:val="auto"/>
          <w:sz w:val="24"/>
        </w:rPr>
      </w:pPr>
      <w:r>
        <w:rPr>
          <w:rFonts w:hint="eastAsia" w:ascii="宋体" w:hAnsi="宋体" w:cs="宋体"/>
          <w:color w:val="auto"/>
          <w:sz w:val="24"/>
        </w:rPr>
        <w:t>银行账号：11013651025501</w:t>
      </w:r>
    </w:p>
    <w:p>
      <w:pPr>
        <w:spacing w:line="360" w:lineRule="auto"/>
        <w:rPr>
          <w:rFonts w:hint="eastAsia" w:ascii="宋体" w:hAnsi="宋体" w:cs="宋体"/>
          <w:b/>
          <w:bCs/>
          <w:color w:val="auto"/>
          <w:sz w:val="24"/>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rPr>
        <w:t>开户银行：平安银行深圳中电支行</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15" w:name="_Toc20176"/>
      <w:r>
        <w:rPr>
          <w:rFonts w:hint="eastAsia" w:ascii="宋体" w:hAnsi="宋体" w:cs="宋体"/>
          <w:b/>
          <w:bCs/>
          <w:color w:val="auto"/>
          <w:sz w:val="24"/>
        </w:rPr>
        <w:t>评标程序</w:t>
      </w:r>
      <w:bookmarkEnd w:id="15"/>
    </w:p>
    <w:p>
      <w:pPr>
        <w:spacing w:line="360" w:lineRule="auto"/>
        <w:rPr>
          <w:rFonts w:hint="eastAsia" w:ascii="宋体" w:hAnsi="宋体" w:cs="宋体"/>
          <w:color w:val="auto"/>
          <w:sz w:val="24"/>
        </w:rPr>
      </w:pPr>
      <w:r>
        <w:rPr>
          <w:rFonts w:hint="eastAsia" w:ascii="宋体" w:hAnsi="宋体" w:cs="宋体"/>
          <w:color w:val="auto"/>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rPr>
      </w:pPr>
      <w:r>
        <w:rPr>
          <w:rFonts w:hint="eastAsia" w:ascii="宋体" w:hAnsi="宋体" w:cs="宋体"/>
          <w:color w:val="auto"/>
          <w:sz w:val="24"/>
        </w:rPr>
        <w:t>二、参加会议人员：投标人代表（如需）、项目负责代表、评审委员会成员、监督部门代表（如需）、采购代理机构代表。</w:t>
      </w:r>
    </w:p>
    <w:p>
      <w:pPr>
        <w:spacing w:line="360" w:lineRule="auto"/>
        <w:rPr>
          <w:rFonts w:hint="eastAsia" w:ascii="宋体" w:hAnsi="宋体" w:cs="宋体"/>
          <w:color w:val="auto"/>
          <w:sz w:val="24"/>
        </w:rPr>
      </w:pPr>
      <w:r>
        <w:rPr>
          <w:rFonts w:hint="eastAsia" w:ascii="宋体" w:hAnsi="宋体" w:cs="宋体"/>
          <w:color w:val="auto"/>
          <w:sz w:val="24"/>
        </w:rPr>
        <w:t>三、会议主持人：中国远东国际招标有限公司工作人员 。</w:t>
      </w:r>
    </w:p>
    <w:p>
      <w:pPr>
        <w:spacing w:line="360" w:lineRule="auto"/>
        <w:rPr>
          <w:rFonts w:hint="eastAsia" w:ascii="宋体" w:hAnsi="宋体" w:cs="宋体"/>
          <w:color w:val="auto"/>
          <w:sz w:val="24"/>
        </w:rPr>
      </w:pPr>
      <w:r>
        <w:rPr>
          <w:rFonts w:hint="eastAsia" w:ascii="宋体" w:hAnsi="宋体" w:cs="宋体"/>
          <w:color w:val="auto"/>
          <w:sz w:val="24"/>
        </w:rPr>
        <w:t>四、开标时间：2025年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日1</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0时（北京时间）。</w:t>
      </w:r>
    </w:p>
    <w:p>
      <w:pPr>
        <w:spacing w:line="360" w:lineRule="auto"/>
        <w:rPr>
          <w:rFonts w:hint="eastAsia" w:ascii="宋体" w:hAnsi="宋体" w:cs="宋体"/>
          <w:color w:val="auto"/>
          <w:sz w:val="24"/>
        </w:rPr>
      </w:pPr>
      <w:r>
        <w:rPr>
          <w:rFonts w:hint="eastAsia" w:ascii="宋体" w:hAnsi="宋体" w:cs="宋体"/>
          <w:color w:val="auto"/>
          <w:sz w:val="24"/>
        </w:rPr>
        <w:t>五、会议开始：2025年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日1</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0时（北京时间）由会议主持人宣布定标会议开始。</w:t>
      </w:r>
    </w:p>
    <w:p>
      <w:pPr>
        <w:spacing w:line="360" w:lineRule="auto"/>
        <w:rPr>
          <w:rFonts w:hint="eastAsia" w:ascii="宋体" w:hAnsi="宋体" w:cs="宋体"/>
          <w:color w:val="auto"/>
          <w:sz w:val="24"/>
        </w:rPr>
      </w:pPr>
      <w:r>
        <w:rPr>
          <w:rFonts w:hint="eastAsia" w:ascii="宋体" w:hAnsi="宋体" w:cs="宋体"/>
          <w:color w:val="auto"/>
          <w:sz w:val="24"/>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auto"/>
          <w:sz w:val="24"/>
        </w:rPr>
      </w:pPr>
      <w:r>
        <w:rPr>
          <w:rFonts w:hint="eastAsia" w:ascii="宋体" w:hAnsi="宋体" w:cs="宋体"/>
          <w:color w:val="auto"/>
          <w:sz w:val="24"/>
        </w:rPr>
        <w:t>七、由采购代理机构代表现场拆封投标文件，并分发给评审委员会成员。</w:t>
      </w:r>
    </w:p>
    <w:p>
      <w:pPr>
        <w:spacing w:line="360" w:lineRule="auto"/>
        <w:rPr>
          <w:rFonts w:hint="eastAsia" w:ascii="宋体" w:hAnsi="宋体" w:cs="宋体"/>
          <w:color w:val="auto"/>
          <w:sz w:val="24"/>
        </w:rPr>
      </w:pPr>
      <w:r>
        <w:rPr>
          <w:rFonts w:hint="eastAsia" w:ascii="宋体" w:hAnsi="宋体" w:cs="宋体"/>
          <w:color w:val="auto"/>
          <w:sz w:val="24"/>
        </w:rPr>
        <w:t>八、评审委员会审查供应商的投标文件，工作人员记录审查的情况。</w:t>
      </w:r>
    </w:p>
    <w:p>
      <w:pPr>
        <w:spacing w:line="360" w:lineRule="auto"/>
        <w:rPr>
          <w:rFonts w:hint="eastAsia" w:ascii="宋体" w:hAnsi="宋体" w:cs="宋体"/>
          <w:color w:val="auto"/>
          <w:sz w:val="24"/>
        </w:rPr>
      </w:pPr>
      <w:r>
        <w:rPr>
          <w:rFonts w:hint="eastAsia" w:ascii="宋体" w:hAnsi="宋体" w:cs="宋体"/>
          <w:color w:val="auto"/>
          <w:sz w:val="24"/>
        </w:rPr>
        <w:t>九、评审委员会按以下工作程序进行：</w:t>
      </w:r>
    </w:p>
    <w:p>
      <w:pPr>
        <w:spacing w:line="360" w:lineRule="auto"/>
        <w:rPr>
          <w:rFonts w:hint="eastAsia" w:ascii="宋体" w:hAnsi="宋体" w:cs="宋体"/>
          <w:color w:val="auto"/>
          <w:sz w:val="24"/>
        </w:rPr>
      </w:pPr>
      <w:r>
        <w:rPr>
          <w:rFonts w:hint="eastAsia" w:ascii="宋体" w:hAnsi="宋体" w:cs="宋体"/>
          <w:color w:val="auto"/>
          <w:sz w:val="24"/>
        </w:rPr>
        <w:t>1、评标委员会对各供应商的投标文件进行初审，对未能通过初审的投标文件作投标无效处理。</w:t>
      </w:r>
    </w:p>
    <w:p>
      <w:pPr>
        <w:spacing w:line="360" w:lineRule="auto"/>
        <w:rPr>
          <w:rFonts w:hint="eastAsia" w:ascii="宋体" w:hAnsi="宋体" w:cs="宋体"/>
          <w:color w:val="auto"/>
          <w:sz w:val="24"/>
        </w:rPr>
      </w:pPr>
      <w:r>
        <w:rPr>
          <w:rFonts w:hint="eastAsia" w:ascii="宋体" w:hAnsi="宋体" w:cs="宋体"/>
          <w:color w:val="auto"/>
          <w:sz w:val="24"/>
        </w:rPr>
        <w:t>2、对通过初审的供应商的投标文件进行详细的比较和评价。如需要，进行必要的澄清/说明工作。</w:t>
      </w:r>
    </w:p>
    <w:p>
      <w:pPr>
        <w:spacing w:line="360" w:lineRule="auto"/>
        <w:rPr>
          <w:rFonts w:hint="eastAsia" w:ascii="宋体" w:hAnsi="宋体" w:cs="宋体"/>
          <w:color w:val="auto"/>
          <w:sz w:val="24"/>
        </w:rPr>
      </w:pPr>
      <w:r>
        <w:rPr>
          <w:rFonts w:hint="eastAsia" w:ascii="宋体" w:hAnsi="宋体" w:cs="宋体"/>
          <w:color w:val="auto"/>
          <w:sz w:val="24"/>
        </w:rPr>
        <w:t>3、根据参与投标且符合招标文件要求的供应商数量情况，确定本项目的评审方法。</w:t>
      </w:r>
    </w:p>
    <w:p>
      <w:pPr>
        <w:spacing w:line="360" w:lineRule="auto"/>
        <w:rPr>
          <w:rFonts w:hint="eastAsia" w:ascii="宋体" w:hAnsi="宋体" w:cs="宋体"/>
          <w:color w:val="auto"/>
          <w:sz w:val="24"/>
        </w:rPr>
      </w:pPr>
      <w:r>
        <w:rPr>
          <w:rFonts w:hint="eastAsia" w:ascii="宋体" w:hAnsi="宋体" w:cs="宋体"/>
          <w:color w:val="auto"/>
          <w:sz w:val="24"/>
        </w:rPr>
        <w:t>4、采用综合评分法的情况：评审委员会将分别对供应商递交的投标文件进行评审。</w:t>
      </w:r>
    </w:p>
    <w:p>
      <w:pPr>
        <w:spacing w:line="360" w:lineRule="auto"/>
        <w:rPr>
          <w:rFonts w:hint="eastAsia" w:ascii="宋体" w:hAnsi="宋体" w:cs="宋体"/>
          <w:color w:val="auto"/>
          <w:sz w:val="24"/>
        </w:rPr>
      </w:pPr>
      <w:r>
        <w:rPr>
          <w:rFonts w:hint="eastAsia" w:ascii="宋体" w:hAnsi="宋体" w:cs="宋体"/>
          <w:color w:val="auto"/>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rPr>
      </w:pPr>
      <w:r>
        <w:rPr>
          <w:rFonts w:hint="eastAsia" w:ascii="宋体" w:hAnsi="宋体" w:cs="宋体"/>
          <w:color w:val="auto"/>
          <w:sz w:val="24"/>
        </w:rPr>
        <w:t>4.2如果二个及以上供应商的综合评分相同时，取投标价格低者为第一中标候选人。</w:t>
      </w:r>
    </w:p>
    <w:p>
      <w:pPr>
        <w:spacing w:line="360" w:lineRule="auto"/>
        <w:rPr>
          <w:rFonts w:hint="eastAsia" w:ascii="宋体" w:hAnsi="宋体" w:cs="宋体"/>
          <w:color w:val="auto"/>
          <w:sz w:val="24"/>
        </w:rPr>
      </w:pPr>
      <w:r>
        <w:rPr>
          <w:rFonts w:hint="eastAsia" w:ascii="宋体" w:hAnsi="宋体" w:cs="宋体"/>
          <w:color w:val="auto"/>
          <w:sz w:val="24"/>
        </w:rPr>
        <w:t>4.3如果二个及以上供应商的综合评分相同，且投标价格也相同时，取技术部分得分高者为第一中标候选人。</w:t>
      </w:r>
    </w:p>
    <w:p>
      <w:pPr>
        <w:spacing w:line="360" w:lineRule="auto"/>
        <w:rPr>
          <w:rFonts w:hint="eastAsia" w:ascii="宋体" w:hAnsi="宋体" w:cs="宋体"/>
          <w:color w:val="auto"/>
          <w:sz w:val="24"/>
        </w:rPr>
      </w:pPr>
      <w:r>
        <w:rPr>
          <w:rFonts w:hint="eastAsia" w:ascii="宋体" w:hAnsi="宋体" w:cs="宋体"/>
          <w:color w:val="auto"/>
          <w:sz w:val="24"/>
        </w:rPr>
        <w:t>5、采用谈判的情况：参与投标且符合招标文件要求的供应商仅有一家，评审委员会将与投标供应商进行谈判。</w:t>
      </w:r>
    </w:p>
    <w:p>
      <w:pPr>
        <w:spacing w:line="360" w:lineRule="auto"/>
        <w:rPr>
          <w:rFonts w:hint="eastAsia" w:ascii="宋体" w:hAnsi="宋体" w:cs="宋体"/>
          <w:color w:val="auto"/>
          <w:sz w:val="24"/>
        </w:rPr>
      </w:pPr>
      <w:r>
        <w:rPr>
          <w:rFonts w:hint="eastAsia" w:ascii="宋体" w:hAnsi="宋体" w:cs="宋体"/>
          <w:color w:val="auto"/>
          <w:sz w:val="24"/>
        </w:rPr>
        <w:t>5.1 供应商在谈判时由项目负责人与评审委员会进行谈判；</w:t>
      </w:r>
    </w:p>
    <w:p>
      <w:pPr>
        <w:spacing w:line="360" w:lineRule="auto"/>
        <w:rPr>
          <w:rFonts w:hint="eastAsia" w:ascii="宋体" w:hAnsi="宋体" w:cs="宋体"/>
          <w:color w:val="auto"/>
          <w:sz w:val="24"/>
        </w:rPr>
      </w:pPr>
      <w:r>
        <w:rPr>
          <w:rFonts w:hint="eastAsia" w:ascii="宋体" w:hAnsi="宋体" w:cs="宋体"/>
          <w:color w:val="auto"/>
          <w:sz w:val="24"/>
        </w:rPr>
        <w:t>5.2 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rPr>
      </w:pPr>
      <w:r>
        <w:rPr>
          <w:rFonts w:hint="eastAsia" w:ascii="宋体" w:hAnsi="宋体" w:cs="宋体"/>
          <w:color w:val="auto"/>
          <w:sz w:val="24"/>
        </w:rPr>
        <w:t>6、评审委员会按照本项目招标文件中规定的评标方法确定中标供应商。</w:t>
      </w:r>
    </w:p>
    <w:p>
      <w:pPr>
        <w:spacing w:line="360" w:lineRule="auto"/>
        <w:rPr>
          <w:rFonts w:hint="eastAsia" w:ascii="宋体" w:hAnsi="宋体" w:cs="宋体"/>
          <w:color w:val="auto"/>
          <w:sz w:val="24"/>
        </w:rPr>
      </w:pPr>
      <w:r>
        <w:rPr>
          <w:rFonts w:hint="eastAsia" w:ascii="宋体" w:hAnsi="宋体" w:cs="宋体"/>
          <w:color w:val="auto"/>
          <w:sz w:val="24"/>
        </w:rPr>
        <w:t>十、根据本次采购的结果，1</w:t>
      </w:r>
      <w:r>
        <w:rPr>
          <w:rFonts w:ascii="宋体" w:hAnsi="宋体" w:cs="宋体"/>
          <w:color w:val="auto"/>
          <w:sz w:val="24"/>
        </w:rPr>
        <w:t>0</w:t>
      </w:r>
      <w:r>
        <w:rPr>
          <w:rFonts w:hint="eastAsia" w:ascii="宋体" w:hAnsi="宋体" w:cs="宋体"/>
          <w:color w:val="auto"/>
          <w:sz w:val="24"/>
        </w:rPr>
        <w:t>个工作日内与中标供应商签订合同。</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9"/>
        <w:rPr>
          <w:rFonts w:hint="eastAsia" w:ascii="宋体" w:hAnsi="宋体" w:cs="宋体"/>
          <w:color w:val="auto"/>
        </w:rPr>
      </w:pPr>
      <w:r>
        <w:rPr>
          <w:rFonts w:hint="eastAsia"/>
          <w:color w:val="auto"/>
        </w:rPr>
        <w:br w:type="page"/>
      </w:r>
    </w:p>
    <w:p>
      <w:pPr>
        <w:numPr>
          <w:ilvl w:val="0"/>
          <w:numId w:val="1"/>
        </w:numPr>
        <w:spacing w:line="360" w:lineRule="auto"/>
        <w:jc w:val="center"/>
        <w:outlineLvl w:val="0"/>
        <w:rPr>
          <w:rFonts w:hint="eastAsia" w:ascii="宋体" w:hAnsi="宋体" w:cs="宋体"/>
          <w:b/>
          <w:bCs/>
          <w:color w:val="auto"/>
          <w:sz w:val="24"/>
        </w:rPr>
      </w:pPr>
      <w:bookmarkStart w:id="16" w:name="_Toc3567"/>
      <w:r>
        <w:rPr>
          <w:rFonts w:hint="eastAsia" w:ascii="宋体" w:hAnsi="宋体" w:cs="宋体"/>
          <w:b/>
          <w:bCs/>
          <w:color w:val="auto"/>
          <w:sz w:val="24"/>
        </w:rPr>
        <w:t>合同格式及合同条款</w:t>
      </w:r>
      <w:bookmarkEnd w:id="16"/>
    </w:p>
    <w:p>
      <w:pPr>
        <w:spacing w:line="360" w:lineRule="auto"/>
        <w:ind w:firstLine="470" w:firstLineChars="196"/>
        <w:jc w:val="center"/>
        <w:rPr>
          <w:rFonts w:hint="eastAsia" w:ascii="宋体" w:hAnsi="宋体" w:cs="宋体"/>
          <w:color w:val="auto"/>
          <w:sz w:val="24"/>
        </w:rPr>
      </w:pPr>
      <w:bookmarkStart w:id="17" w:name="_Toc73518163"/>
      <w:bookmarkStart w:id="18" w:name="_Toc73517685"/>
      <w:bookmarkStart w:id="19" w:name="_Toc73521680"/>
      <w:bookmarkStart w:id="20" w:name="_Toc100052414"/>
      <w:bookmarkStart w:id="21" w:name="_Toc101074886"/>
      <w:bookmarkStart w:id="22" w:name="_Toc73521592"/>
      <w:bookmarkStart w:id="23" w:name="_Toc84303603"/>
    </w:p>
    <w:bookmarkEnd w:id="17"/>
    <w:bookmarkEnd w:id="18"/>
    <w:bookmarkEnd w:id="19"/>
    <w:bookmarkEnd w:id="20"/>
    <w:bookmarkEnd w:id="21"/>
    <w:bookmarkEnd w:id="22"/>
    <w:bookmarkEnd w:id="23"/>
    <w:p>
      <w:pPr>
        <w:pStyle w:val="2"/>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合同编号（甲方）：            </w:t>
      </w:r>
    </w:p>
    <w:p>
      <w:pPr>
        <w:pStyle w:val="2"/>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合同编号（乙方）：            </w:t>
      </w:r>
    </w:p>
    <w:p>
      <w:pPr>
        <w:pStyle w:val="2"/>
        <w:spacing w:line="360" w:lineRule="auto"/>
        <w:ind w:left="1470" w:right="1470" w:firstLine="482"/>
        <w:jc w:val="center"/>
        <w:rPr>
          <w:rFonts w:hint="eastAsia" w:ascii="宋体" w:hAnsi="宋体" w:cs="宋体"/>
          <w:b/>
          <w:color w:val="auto"/>
          <w:sz w:val="24"/>
          <w:szCs w:val="24"/>
        </w:rPr>
      </w:pPr>
    </w:p>
    <w:p>
      <w:pPr>
        <w:pStyle w:val="2"/>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pStyle w:val="2"/>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outlineLvl w:val="1"/>
        <w:rPr>
          <w:rFonts w:hint="eastAsia" w:ascii="宋体" w:hAnsi="宋体" w:cs="宋体"/>
          <w:b/>
          <w:color w:val="auto"/>
          <w:sz w:val="32"/>
          <w:szCs w:val="32"/>
          <w:lang w:val="en-US" w:eastAsia="zh-CN"/>
        </w:rPr>
      </w:pPr>
      <w:r>
        <w:rPr>
          <w:rFonts w:hint="eastAsia" w:ascii="宋体" w:hAnsi="宋体" w:cs="宋体"/>
          <w:b/>
          <w:color w:val="auto"/>
          <w:sz w:val="32"/>
          <w:szCs w:val="32"/>
          <w:lang w:val="en-US" w:eastAsia="zh-CN"/>
        </w:rPr>
        <w:t>前海国资国企综合财务管理支持服务项目</w:t>
      </w:r>
    </w:p>
    <w:p>
      <w:p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委托合同</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pStyle w:val="2"/>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2"/>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ind w:firstLine="720" w:firstLineChars="3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u w:val="single"/>
        </w:rPr>
        <w:t>：</w:t>
      </w:r>
      <w:r>
        <w:rPr>
          <w:rFonts w:hint="eastAsia" w:ascii="宋体" w:hAnsi="宋体" w:cs="宋体"/>
          <w:color w:val="auto"/>
          <w:sz w:val="24"/>
          <w:u w:val="single"/>
          <w:lang w:eastAsia="zh-CN"/>
        </w:rPr>
        <w:t>前海</w:t>
      </w:r>
      <w:r>
        <w:rPr>
          <w:rFonts w:hint="eastAsia" w:ascii="宋体" w:hAnsi="宋体" w:cs="宋体"/>
          <w:color w:val="auto"/>
          <w:sz w:val="24"/>
          <w:u w:val="single"/>
          <w:lang w:val="en-US" w:eastAsia="zh-CN"/>
        </w:rPr>
        <w:t>国资国企综合财务管理支持服务项目</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r>
        <w:rPr>
          <w:rFonts w:hint="eastAsia" w:ascii="宋体" w:hAnsi="宋体" w:cs="宋体"/>
          <w:color w:val="auto"/>
          <w:sz w:val="24"/>
        </w:rPr>
        <w:t>二〇二五年  月</w:t>
      </w:r>
    </w:p>
    <w:p>
      <w:pPr>
        <w:spacing w:line="360" w:lineRule="auto"/>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甲方： </w:t>
      </w:r>
      <w:r>
        <w:rPr>
          <w:rFonts w:hint="eastAsia" w:ascii="宋体" w:hAnsi="宋体" w:cs="宋体"/>
          <w:color w:val="auto"/>
          <w:sz w:val="24"/>
          <w:u w:val="single"/>
        </w:rPr>
        <w:t>深圳市前海深港现代服务业合作区管理局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地址： </w:t>
      </w:r>
      <w:r>
        <w:rPr>
          <w:rFonts w:hint="eastAsia" w:ascii="宋体" w:hAnsi="宋体" w:cs="宋体"/>
          <w:color w:val="auto"/>
          <w:sz w:val="24"/>
          <w:u w:val="single"/>
        </w:rPr>
        <w:t>深圳市前海深港合作区</w:t>
      </w:r>
      <w:r>
        <w:rPr>
          <w:rFonts w:ascii="宋体" w:hAnsi="宋体" w:cs="宋体"/>
          <w:color w:val="auto"/>
          <w:sz w:val="24"/>
          <w:u w:val="single"/>
        </w:rPr>
        <w:t>桂湾五路123号前海大厦T1栋前海管理局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rPr>
          <w:rFonts w:hint="eastAsia" w:ascii="宋体" w:hAnsi="宋体" w:cs="宋体"/>
          <w:b/>
          <w:bCs/>
          <w:color w:val="auto"/>
          <w:sz w:val="24"/>
        </w:rPr>
      </w:pPr>
      <w:r>
        <w:rPr>
          <w:rFonts w:hint="eastAsia" w:ascii="宋体" w:hAnsi="宋体" w:cs="宋体"/>
          <w:b/>
          <w:bCs/>
          <w:color w:val="auto"/>
          <w:sz w:val="24"/>
        </w:rPr>
        <w:t>乙方：</w:t>
      </w:r>
    </w:p>
    <w:p>
      <w:pPr>
        <w:spacing w:line="360" w:lineRule="auto"/>
        <w:rPr>
          <w:rFonts w:hint="eastAsia" w:ascii="宋体" w:hAnsi="宋体" w:cs="宋体"/>
          <w:b/>
          <w:bCs/>
          <w:color w:val="auto"/>
          <w:sz w:val="24"/>
        </w:rPr>
      </w:pPr>
      <w:r>
        <w:rPr>
          <w:rFonts w:hint="eastAsia" w:ascii="宋体" w:hAnsi="宋体" w:cs="宋体"/>
          <w:b/>
          <w:bCs/>
          <w:color w:val="auto"/>
          <w:sz w:val="24"/>
        </w:rPr>
        <w:t>地址：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以下甲方和乙方合称“双方”。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根据《中华人民共和国民法典》等法律、法规的相关规定和编号为【</w:t>
      </w:r>
      <w:r>
        <w:rPr>
          <w:rFonts w:hint="eastAsia" w:ascii="宋体" w:hAnsi="宋体" w:cs="宋体"/>
          <w:color w:val="auto"/>
          <w:sz w:val="24"/>
          <w:u w:val="single"/>
          <w:lang w:val="en-US" w:eastAsia="zh-CN"/>
        </w:rPr>
        <w:t>QH2025150</w:t>
      </w:r>
      <w:r>
        <w:rPr>
          <w:rFonts w:hint="eastAsia" w:ascii="宋体" w:hAnsi="宋体" w:cs="宋体"/>
          <w:color w:val="auto"/>
          <w:sz w:val="24"/>
        </w:rPr>
        <w:t>】招标项目的中标结果，由【***】单位（以下简称乙方）为中标人。按照《中华人民共和国民法典》和《深圳经济特区政府采购条例》，经甲乙双方协商，就甲方委托</w:t>
      </w:r>
      <w:r>
        <w:rPr>
          <w:rFonts w:hint="eastAsia" w:ascii="宋体" w:hAnsi="宋体" w:cs="宋体"/>
          <w:b/>
          <w:bCs/>
          <w:color w:val="auto"/>
          <w:sz w:val="24"/>
          <w:u w:val="single"/>
        </w:rPr>
        <w:t>乙方开展</w:t>
      </w:r>
      <w:r>
        <w:rPr>
          <w:rFonts w:hint="eastAsia" w:ascii="宋体" w:hAnsi="宋体" w:cs="宋体"/>
          <w:b w:val="0"/>
          <w:bCs w:val="0"/>
          <w:color w:val="auto"/>
          <w:sz w:val="24"/>
          <w:u w:val="single"/>
          <w:lang w:eastAsia="zh-CN"/>
        </w:rPr>
        <w:t>前海</w:t>
      </w:r>
      <w:r>
        <w:rPr>
          <w:rFonts w:hint="eastAsia" w:ascii="宋体" w:hAnsi="宋体" w:cs="宋体"/>
          <w:color w:val="auto"/>
          <w:sz w:val="24"/>
          <w:u w:val="single"/>
          <w:lang w:val="en-US" w:eastAsia="zh-CN"/>
        </w:rPr>
        <w:t>国资国企综合财务管理支持服务项目</w:t>
      </w:r>
      <w:r>
        <w:rPr>
          <w:rFonts w:hint="eastAsia" w:ascii="宋体" w:hAnsi="宋体" w:cs="宋体"/>
          <w:b/>
          <w:bCs/>
          <w:color w:val="auto"/>
          <w:kern w:val="0"/>
          <w:sz w:val="24"/>
          <w:u w:val="single"/>
        </w:rPr>
        <w:t>（以下简称本项目）</w:t>
      </w:r>
      <w:r>
        <w:rPr>
          <w:rFonts w:hint="eastAsia" w:ascii="宋体" w:hAnsi="宋体" w:cs="宋体"/>
          <w:color w:val="auto"/>
          <w:sz w:val="24"/>
        </w:rPr>
        <w:t>，达成以下合同条款：</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第一条 项目内容</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项目名称：</w:t>
      </w:r>
      <w:r>
        <w:rPr>
          <w:rFonts w:hint="eastAsia" w:ascii="宋体" w:hAnsi="宋体" w:cs="宋体"/>
          <w:color w:val="auto"/>
          <w:sz w:val="24"/>
          <w:lang w:eastAsia="zh-CN"/>
        </w:rPr>
        <w:t>前海</w:t>
      </w:r>
      <w:r>
        <w:rPr>
          <w:rFonts w:hint="eastAsia" w:ascii="宋体" w:hAnsi="宋体" w:cs="宋体"/>
          <w:color w:val="auto"/>
          <w:sz w:val="24"/>
          <w:lang w:val="en-US" w:eastAsia="zh-CN"/>
        </w:rPr>
        <w:t>国资国企综合财务管理支持服务项目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color w:val="auto"/>
          <w:sz w:val="24"/>
        </w:rPr>
      </w:pPr>
      <w:r>
        <w:rPr>
          <w:rFonts w:hint="eastAsia" w:ascii="宋体" w:hAnsi="宋体" w:cs="宋体"/>
          <w:bCs/>
          <w:color w:val="auto"/>
          <w:sz w:val="24"/>
          <w:lang w:val="en-US" w:eastAsia="zh-CN"/>
        </w:rPr>
        <w:t>2</w:t>
      </w:r>
      <w:r>
        <w:rPr>
          <w:rFonts w:hint="eastAsia" w:ascii="宋体" w:hAnsi="宋体" w:cs="宋体"/>
          <w:color w:val="auto"/>
          <w:sz w:val="24"/>
          <w:lang w:val="en-US" w:eastAsia="zh-CN"/>
        </w:rPr>
        <w:t>.服务</w:t>
      </w:r>
      <w:r>
        <w:rPr>
          <w:rFonts w:hint="eastAsia" w:ascii="宋体" w:hAnsi="宋体" w:cs="宋体"/>
          <w:color w:val="auto"/>
          <w:sz w:val="24"/>
        </w:rPr>
        <w:t>内容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2.1.根据前海国企月度财务报表，协助汇总梳理形成主要财务指标表，结合年度预算及上年同期财务情况，按月度协助形成前海局属企业财务分析报告，次月第5个工作日内完成；</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2.2.根据前海国企季度财务报表及季度经营情况报告，结合企业季度经营情况、年度预算及上年同期财务情况，按季度协助汇总梳理形成前海局属企业经营情况分析报告，次月第10个工作日内完成；</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2.3.根据前海国企年度财务报表，协助汇总形成前海局属企业年度主要财务指标情况表、局属企业财务情况专项报告，次年4月30日前完成；</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2.4.提供前海国资国企综合财务管理相关支持服务，包括但不限于以下支持服务内容：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（1）重大经济事项分析：基于企业重大经济事项相关材料，协助分析研判企业相关重大经济事项的财务可行性，提供专业意见，结合具体需求，信息资料齐全之日起3个工作日内完成；</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（2）税务分析：根据企业重大经济事项，提供相关税务分析服务，协助提出税务优化建议，结合具体需求，信息资料齐全之日起3个工作日内完成；</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（3）成本分析与控制：结合企业特征，通过成本效益分析来识别成本节约的机会，协助提出成本控制优化建议，结合具体需求，信息资料齐全之日起5个工作日内完成；</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4）财务风险研判：协助评估企业的财务风险，协助研判企业财务风险分析与预警机制是否完善，提供债务管理、财务运营、资金管理等方面风险研判支持服务，结合具体需求，信息资料齐全之日起5个工作日内完成；</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（5）年度预算合理性分析：结合对企业的财务分析，综合开展企业年度预算合理性、科学性分析，协助形成对企业年度预算的合理性判断及相关优化建议，结合具体需求，信息资料齐全之日起10个工作日内完成；</w:t>
      </w:r>
    </w:p>
    <w:p>
      <w:pPr>
        <w:spacing w:line="360" w:lineRule="auto"/>
        <w:ind w:firstLine="480" w:firstLineChars="200"/>
        <w:outlineLvl w:val="1"/>
        <w:rPr>
          <w:rFonts w:hint="eastAsia" w:ascii="宋体" w:hAnsi="宋体" w:cs="宋体"/>
          <w:b/>
          <w:bCs/>
          <w:color w:val="auto"/>
          <w:sz w:val="24"/>
        </w:rPr>
      </w:pPr>
      <w:r>
        <w:rPr>
          <w:rFonts w:hint="eastAsia" w:ascii="宋体" w:hAnsi="宋体" w:cs="宋体"/>
          <w:bCs/>
          <w:color w:val="auto"/>
          <w:sz w:val="24"/>
          <w:lang w:val="en-US" w:eastAsia="zh-CN"/>
        </w:rPr>
        <w:t>（6）其他综合财务管理相关服务，结合具体需求，信息资料齐全之日起5个工作日内完成。</w:t>
      </w:r>
    </w:p>
    <w:p>
      <w:pPr>
        <w:spacing w:line="360" w:lineRule="auto"/>
        <w:ind w:firstLine="482" w:firstLineChars="200"/>
        <w:outlineLvl w:val="1"/>
        <w:rPr>
          <w:rFonts w:hint="default" w:ascii="宋体" w:hAnsi="宋体" w:eastAsia="宋体" w:cs="宋体"/>
          <w:b/>
          <w:bCs/>
          <w:color w:val="auto"/>
          <w:sz w:val="24"/>
          <w:lang w:val="en-US" w:eastAsia="zh-CN"/>
        </w:rPr>
      </w:pPr>
      <w:r>
        <w:rPr>
          <w:rFonts w:hint="eastAsia" w:ascii="宋体" w:hAnsi="宋体" w:cs="宋体"/>
          <w:b/>
          <w:bCs/>
          <w:color w:val="auto"/>
          <w:sz w:val="24"/>
        </w:rPr>
        <w:t>第二条  服务期限</w:t>
      </w:r>
      <w:r>
        <w:rPr>
          <w:rFonts w:hint="eastAsia" w:ascii="宋体" w:hAnsi="宋体" w:cs="宋体"/>
          <w:b/>
          <w:bCs/>
          <w:color w:val="auto"/>
          <w:sz w:val="24"/>
          <w:lang w:val="en-US" w:eastAsia="zh-CN"/>
        </w:rPr>
        <w:t>及服务地点</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1.服务期限：本项目服务期限自签订合同之日起1年，本项目不属于长期服务项目</w:t>
      </w:r>
      <w:r>
        <w:rPr>
          <w:rFonts w:hint="eastAsia" w:ascii="宋体" w:hAnsi="宋体" w:cs="宋体"/>
          <w:color w:val="auto"/>
          <w:sz w:val="24"/>
          <w:lang w:eastAsia="zh-CN"/>
        </w:rPr>
        <w:t>。</w:t>
      </w:r>
    </w:p>
    <w:p>
      <w:pPr>
        <w:widowControl/>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2.服务地点：甲方指定地点</w:t>
      </w:r>
      <w:r>
        <w:rPr>
          <w:rFonts w:hint="eastAsia" w:ascii="宋体" w:hAnsi="宋体" w:cs="宋体"/>
          <w:color w:val="auto"/>
          <w:sz w:val="24"/>
          <w:lang w:eastAsia="zh-CN"/>
        </w:rPr>
        <w:t>。</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第三条  项目资料归属</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所有提交给甲方的项目文件及相关资料的</w:t>
      </w:r>
      <w:r>
        <w:rPr>
          <w:rFonts w:ascii="宋体" w:hAnsi="宋体" w:cs="宋体"/>
          <w:color w:val="auto"/>
          <w:sz w:val="24"/>
        </w:rPr>
        <w:t>阶段性成果及</w:t>
      </w:r>
      <w:r>
        <w:rPr>
          <w:rFonts w:hint="eastAsia" w:ascii="宋体" w:hAnsi="宋体" w:cs="宋体"/>
          <w:color w:val="auto"/>
          <w:sz w:val="24"/>
        </w:rPr>
        <w:t>最后文本，包括为履行服务范围所编制的计划和证明资料等，都属于甲方</w:t>
      </w:r>
      <w:r>
        <w:rPr>
          <w:rFonts w:ascii="宋体" w:hAnsi="宋体" w:cs="宋体"/>
          <w:color w:val="auto"/>
          <w:sz w:val="24"/>
        </w:rPr>
        <w:t>所有</w:t>
      </w:r>
      <w:r>
        <w:rPr>
          <w:rFonts w:hint="eastAsia" w:ascii="宋体" w:hAnsi="宋体" w:cs="宋体"/>
          <w:color w:val="auto"/>
          <w:sz w:val="24"/>
        </w:rPr>
        <w:t>，乙方在提交给甲方之前应将上述资料进行整理归类和编制索引。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rPr>
        <w:t xml:space="preserve">第四条 </w:t>
      </w:r>
      <w:r>
        <w:rPr>
          <w:rFonts w:hint="eastAsia" w:ascii="宋体" w:hAnsi="宋体" w:cs="宋体"/>
          <w:b/>
          <w:bCs/>
          <w:color w:val="auto"/>
          <w:sz w:val="24"/>
          <w:szCs w:val="24"/>
        </w:rPr>
        <w:t>各方的权利义务</w:t>
      </w:r>
    </w:p>
    <w:p>
      <w:pPr>
        <w:spacing w:line="360" w:lineRule="auto"/>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甲方的权利义务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1.甲方有权向乙方询问项目工作进展及相关情况，并要求乙方在指定时间内做出答复。</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2.甲方有权对乙方提供的服务进行验收，有权对乙方提交的项目成果文件进行审核并提出修改意见。</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3.如甲方确认乙方工作人员未按照本合同要求履行职责，甲方有权要求乙方限期更换人员，直至终止合同并要求乙方承担相应赔偿责任。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4.甲方对乙方在委托权限范围内完成委托事项有指导、监督权利。</w:t>
      </w:r>
    </w:p>
    <w:p>
      <w:pPr>
        <w:tabs>
          <w:tab w:val="left" w:pos="4111"/>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5.如乙方所提供的服务、最终成果报告等不符合本合同的要求，甲方有权要求乙方重新执行相应的工作服务，由此产生的全部费用由乙方自行承担，同时，甲方的付款时间相应顺延。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6.甲方有权要求乙方全面履行合同。甲方不接受部分履行，如本合同项下部分成果文件未能按时交付则视为整体延误。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7.甲方要求乙方比本合同约定时间提前交付成果时，须征得乙方同意。因此而增加工作量，经协商确认，甲方应向乙方支付必要的费用。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8. 甲方应将项目所需相关档案资料、信息数据等移交给乙方，并要求乙方签收甲方提供的材料清单。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9.甲方应按照本合同的约定向乙方支付服务费用。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10.甲方指定项目联系人： </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姓名：</w:t>
      </w:r>
      <w:r>
        <w:rPr>
          <w:rFonts w:hint="eastAsia" w:ascii="宋体" w:hAnsi="宋体" w:cs="宋体"/>
          <w:color w:val="auto"/>
          <w:sz w:val="24"/>
          <w:lang w:eastAsia="zh-CN"/>
        </w:rPr>
        <w:t>李龙</w:t>
      </w:r>
    </w:p>
    <w:p>
      <w:pPr>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联系方式：</w:t>
      </w:r>
      <w:r>
        <w:rPr>
          <w:rFonts w:hint="eastAsia" w:ascii="宋体" w:hAnsi="宋体" w:cs="宋体"/>
          <w:color w:val="auto"/>
          <w:sz w:val="24"/>
          <w:lang w:val="en-US" w:eastAsia="zh-CN"/>
        </w:rPr>
        <w:t>18123923844</w:t>
      </w:r>
    </w:p>
    <w:p>
      <w:pPr>
        <w:spacing w:line="360" w:lineRule="auto"/>
        <w:ind w:firstLine="480" w:firstLineChars="200"/>
        <w:outlineLvl w:val="2"/>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乙方的权利义务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1.乙方所提供的建议、请示、报告和通知均应采用书面形式；</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2.乙方不得接受与项目相关不当利益，若经甲方查证发生此类不当行为，甲方有权终止合同，并视情节移交廉政部门。</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3.乙方应充分了解甲方意图和思路，认真研讨工作方案，开展各项工作。</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4.乙方应及时完成各项工作，并充分考虑甲方评审所需时间要求。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5.乙方应充分协调内部资源，保证工作质量。</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6.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7</w:t>
      </w:r>
      <w:r>
        <w:rPr>
          <w:rFonts w:hint="eastAsia" w:ascii="宋体" w:hAnsi="宋体" w:cs="宋体"/>
          <w:color w:val="auto"/>
          <w:sz w:val="24"/>
          <w:lang w:val="en-US" w:eastAsia="zh-CN"/>
        </w:rPr>
        <w:t>.</w:t>
      </w:r>
      <w:r>
        <w:rPr>
          <w:rFonts w:hint="eastAsia" w:ascii="宋体" w:hAnsi="宋体" w:eastAsia="宋体" w:cs="宋体"/>
          <w:color w:val="auto"/>
          <w:sz w:val="24"/>
        </w:rPr>
        <w:t>乙方应接受甲方对工作进展的询问、监督和指导，严格按本合同约定的内容、标准和期限完成项目工作，并向甲方提交要求的各类报告。项目工作完成后，乙方应按照甲方要求将完成本项目的工作总结交给甲方。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8.乙方应采取必要措施配合甲方验收人员的工作，对于验收过程中发现的问题，乙方应在发现问题之日起3天内进行改正和调整，以符合甲方的需要。</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9.乙方有维护甲方声誉的义务，乙方不能以甲方名义从事与本项目无关的任何事务，否则甲方有权追究其相关责任。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10.乙方应独立完成本项目。未经甲方书面在先同意，乙方不得向任何第三方全部或部分转让本项目。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14.针对甲方就乙方提交的工作报告等相关文件提出的修改意见，乙方应当在甲方指定的修改时间内完成修改。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15.乙方指定项目联系人：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w:t>
      </w:r>
    </w:p>
    <w:p>
      <w:pPr>
        <w:spacing w:line="360" w:lineRule="auto"/>
        <w:ind w:firstLine="480" w:firstLineChars="200"/>
        <w:outlineLvl w:val="1"/>
        <w:rPr>
          <w:color w:val="auto"/>
          <w:sz w:val="24"/>
          <w:u w:val="single"/>
        </w:rPr>
      </w:pPr>
      <w:r>
        <w:rPr>
          <w:rFonts w:hint="eastAsia" w:ascii="宋体" w:hAnsi="宋体" w:eastAsia="宋体" w:cs="宋体"/>
          <w:color w:val="auto"/>
          <w:sz w:val="24"/>
        </w:rPr>
        <w:t>联系方式：</w:t>
      </w:r>
      <w:r>
        <w:rPr>
          <w:rFonts w:hint="eastAsia" w:ascii="宋体" w:hAnsi="宋体" w:eastAsia="宋体" w:cs="宋体"/>
          <w:color w:val="auto"/>
          <w:sz w:val="24"/>
          <w:u w:val="single"/>
        </w:rPr>
        <w:t xml:space="preserve">                   </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五</w:t>
      </w:r>
      <w:r>
        <w:rPr>
          <w:rFonts w:hint="eastAsia" w:ascii="宋体" w:hAnsi="宋体" w:cs="宋体"/>
          <w:b/>
          <w:bCs/>
          <w:color w:val="auto"/>
          <w:sz w:val="24"/>
        </w:rPr>
        <w:t>条  人员要求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以下为本项目团队</w:t>
      </w:r>
      <w:r>
        <w:rPr>
          <w:rFonts w:hint="eastAsia" w:ascii="宋体" w:hAnsi="宋体" w:cs="宋体"/>
          <w:color w:val="auto"/>
          <w:sz w:val="24"/>
          <w:lang w:eastAsia="zh-CN"/>
        </w:rPr>
        <w:t>成员</w:t>
      </w:r>
      <w:r>
        <w:rPr>
          <w:rFonts w:hint="eastAsia" w:ascii="宋体" w:hAnsi="宋体" w:cs="宋体"/>
          <w:color w:val="auto"/>
          <w:sz w:val="24"/>
        </w:rPr>
        <w:t>。</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性别</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年龄</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职称、职务</w:t>
            </w: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拟任</w:t>
            </w:r>
            <w:r>
              <w:rPr>
                <w:rFonts w:ascii="宋体" w:hAnsi="宋体" w:cs="宋体"/>
                <w:color w:val="auto"/>
                <w:sz w:val="24"/>
              </w:rPr>
              <w:t>团队</w:t>
            </w:r>
            <w:r>
              <w:rPr>
                <w:rFonts w:hint="eastAsia" w:ascii="宋体" w:hAnsi="宋体" w:cs="宋体"/>
                <w:color w:val="auto"/>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rPr>
            </w:pP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参加本项目的人员必须具有国家和有关部门规定的相应资质</w:t>
      </w:r>
      <w:r>
        <w:rPr>
          <w:rFonts w:hint="eastAsia" w:ascii="宋体" w:hAnsi="宋体" w:cs="宋体"/>
          <w:color w:val="auto"/>
          <w:sz w:val="24"/>
          <w:lang w:eastAsia="zh-CN"/>
        </w:rPr>
        <w:t>，项目负责人必须具有注册会计师证书</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参加本项目的人员配置必须与合同中的项目成员组成一致，若需调整需经甲方同意后，方可变更。</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必须以乙方直属人员</w:t>
      </w:r>
      <w:r>
        <w:rPr>
          <w:rFonts w:ascii="宋体" w:hAnsi="宋体" w:cs="宋体"/>
          <w:color w:val="auto"/>
          <w:sz w:val="24"/>
        </w:rPr>
        <w:t>（直属人员指</w:t>
      </w:r>
      <w:r>
        <w:rPr>
          <w:rFonts w:hint="eastAsia" w:ascii="宋体" w:hAnsi="宋体" w:cs="宋体"/>
          <w:color w:val="auto"/>
          <w:sz w:val="24"/>
        </w:rPr>
        <w:t>劳动合同、社会保险等劳动关系</w:t>
      </w:r>
      <w:r>
        <w:rPr>
          <w:rFonts w:ascii="宋体" w:hAnsi="宋体" w:cs="宋体"/>
          <w:color w:val="auto"/>
          <w:sz w:val="24"/>
        </w:rPr>
        <w:t>在乙方的人员）</w:t>
      </w:r>
      <w:r>
        <w:rPr>
          <w:rFonts w:hint="eastAsia" w:ascii="宋体" w:hAnsi="宋体" w:cs="宋体"/>
          <w:color w:val="auto"/>
          <w:sz w:val="24"/>
        </w:rPr>
        <w:t>参与本项目服务，不得使用挂靠队伍。</w:t>
      </w:r>
    </w:p>
    <w:p>
      <w:pPr>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lang w:val="en-US" w:eastAsia="zh-CN"/>
        </w:rPr>
        <w:t>乙方安排的项目服务团队成员不得少于4人，并提供一名驻场人员。</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六</w:t>
      </w:r>
      <w:r>
        <w:rPr>
          <w:rFonts w:hint="eastAsia" w:ascii="宋体" w:hAnsi="宋体" w:cs="宋体"/>
          <w:b/>
          <w:bCs/>
          <w:color w:val="auto"/>
          <w:sz w:val="24"/>
        </w:rPr>
        <w:t>条 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5.乙方完成本合同项目的研究开发人员享有在有关技术成果材料上写明技术成果完成者的权利和与甲方共同获得有关荣誉证书、奖励的权利。</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七</w:t>
      </w:r>
      <w:r>
        <w:rPr>
          <w:rFonts w:hint="eastAsia" w:ascii="宋体" w:hAnsi="宋体" w:cs="宋体"/>
          <w:b/>
          <w:bCs/>
          <w:color w:val="auto"/>
          <w:sz w:val="24"/>
        </w:rPr>
        <w:t>条  保密条款</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auto"/>
          <w:sz w:val="24"/>
          <w:lang w:eastAsia="zh-CN"/>
        </w:rPr>
        <w:t>，</w:t>
      </w:r>
      <w:r>
        <w:rPr>
          <w:rFonts w:hint="eastAsia" w:ascii="宋体" w:hAnsi="宋体" w:cs="宋体"/>
          <w:color w:val="auto"/>
          <w:sz w:val="24"/>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4.乙方实施项目的程序应符合国家安全、保密的有关规定和标准。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5.上述保密义务不适用以下情况：</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八</w:t>
      </w:r>
      <w:r>
        <w:rPr>
          <w:rFonts w:hint="eastAsia" w:ascii="宋体" w:hAnsi="宋体" w:cs="宋体"/>
          <w:b/>
          <w:bCs/>
          <w:color w:val="auto"/>
          <w:sz w:val="24"/>
        </w:rPr>
        <w:t>条  项目服务费用及付款方式</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合同价款：</w:t>
      </w:r>
      <w:r>
        <w:rPr>
          <w:rFonts w:hint="eastAsia" w:ascii="宋体" w:hAnsi="宋体" w:cs="宋体"/>
          <w:color w:val="auto"/>
          <w:sz w:val="24"/>
          <w:lang w:val="en-US" w:eastAsia="zh-CN"/>
        </w:rPr>
        <w:t>本合同总价包干，服务费总金额共计人民币 XXXX 元整（￥ ）。服务费包括但不限于人员研究费用、调研差旅费、专家咨询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付款方式：</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合同价款由甲方分3期支付至乙方指定银行账户：</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2.1.首期款：合同签订后，乙方向甲方提出付款申请，甲方向乙方支付合同费用的30%；人民币  整（¥  元）</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2.2.第2期：本合同签订满6个月，乙方完成月度财务分析报告、季度经营情况分析报告，并经甲方验收合格后，向乙方指定银行账户支付本合同第二期款项40%；人民币  整（¥  元）</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2.3.第3期：乙方完成合同内约定的全部成果并经甲方验收合格后，向乙方指定银行账户支付本合同尾款</w:t>
      </w:r>
      <w:r>
        <w:rPr>
          <w:rFonts w:hint="eastAsia" w:ascii="宋体" w:hAnsi="宋体" w:cs="宋体"/>
          <w:color w:val="auto"/>
          <w:sz w:val="24"/>
        </w:rPr>
        <w:t>。</w:t>
      </w:r>
      <w:r>
        <w:rPr>
          <w:rFonts w:hint="eastAsia" w:ascii="宋体" w:hAnsi="宋体" w:cs="宋体"/>
          <w:color w:val="auto"/>
          <w:sz w:val="24"/>
          <w:lang w:val="en-US" w:eastAsia="zh-CN"/>
        </w:rPr>
        <w:t>人民币  整（¥  元）</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2.4</w:t>
      </w:r>
      <w:r>
        <w:rPr>
          <w:rFonts w:hint="eastAsia" w:ascii="宋体" w:hAnsi="宋体" w:cs="宋体"/>
          <w:color w:val="auto"/>
          <w:sz w:val="24"/>
          <w:lang w:eastAsia="zh-CN"/>
        </w:rPr>
        <w:t>.</w:t>
      </w:r>
      <w:r>
        <w:rPr>
          <w:rFonts w:hint="eastAsia" w:ascii="宋体" w:hAnsi="宋体" w:cs="宋体"/>
          <w:color w:val="auto"/>
          <w:sz w:val="24"/>
          <w:lang w:val="en-US" w:eastAsia="zh-CN"/>
        </w:rPr>
        <w:t>上述每期款项均在满足付款条件，且甲方收到乙方开具的载明相应金额的合格发票后</w:t>
      </w:r>
      <w:r>
        <w:rPr>
          <w:rFonts w:hint="default" w:ascii="宋体" w:hAnsi="宋体" w:cs="宋体"/>
          <w:color w:val="auto"/>
          <w:sz w:val="24"/>
          <w:lang w:val="en-US" w:eastAsia="zh-CN"/>
        </w:rPr>
        <w:t>15</w:t>
      </w:r>
      <w:r>
        <w:rPr>
          <w:rFonts w:hint="eastAsia" w:ascii="宋体" w:hAnsi="宋体" w:cs="宋体"/>
          <w:color w:val="auto"/>
          <w:sz w:val="24"/>
          <w:lang w:val="en-US" w:eastAsia="zh-CN"/>
        </w:rPr>
        <w:t>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乙方银行账户信息：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开户银行：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户名：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账号：</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九</w:t>
      </w:r>
      <w:r>
        <w:rPr>
          <w:rFonts w:hint="eastAsia" w:ascii="宋体" w:hAnsi="宋体" w:cs="宋体"/>
          <w:b/>
          <w:bCs/>
          <w:color w:val="auto"/>
          <w:sz w:val="24"/>
        </w:rPr>
        <w:t>条 项目成果验收要求</w:t>
      </w:r>
    </w:p>
    <w:p>
      <w:pPr>
        <w:widowControl/>
        <w:spacing w:line="360" w:lineRule="auto"/>
        <w:ind w:firstLine="480" w:firstLineChars="200"/>
        <w:jc w:val="left"/>
        <w:outlineLvl w:val="2"/>
        <w:rPr>
          <w:rFonts w:hint="eastAsia" w:ascii="宋体" w:hAnsi="宋体" w:cs="宋体"/>
          <w:color w:val="auto"/>
          <w:sz w:val="24"/>
        </w:rPr>
      </w:pPr>
      <w:bookmarkStart w:id="24" w:name="OLE_LINK8"/>
      <w:r>
        <w:rPr>
          <w:rFonts w:hint="eastAsia" w:ascii="宋体" w:hAnsi="宋体" w:cs="宋体"/>
          <w:color w:val="auto"/>
          <w:sz w:val="24"/>
        </w:rPr>
        <w:t>项目工作成果需满足国家颁布的有关法律、法规及政策要求，符合相关的技术规范和标准，且必须通过</w:t>
      </w:r>
      <w:r>
        <w:rPr>
          <w:rFonts w:hint="eastAsia" w:ascii="宋体" w:hAnsi="宋体" w:cs="宋体"/>
          <w:color w:val="auto"/>
          <w:sz w:val="24"/>
          <w:lang w:val="en-US" w:eastAsia="zh-CN"/>
        </w:rPr>
        <w:t>甲方</w:t>
      </w:r>
      <w:r>
        <w:rPr>
          <w:rFonts w:hint="eastAsia" w:ascii="宋体" w:hAnsi="宋体" w:cs="宋体"/>
          <w:color w:val="auto"/>
          <w:sz w:val="24"/>
        </w:rPr>
        <w:t>审查。</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乙方</w:t>
      </w:r>
      <w:r>
        <w:rPr>
          <w:rFonts w:hint="eastAsia" w:ascii="宋体" w:hAnsi="宋体" w:cs="宋体"/>
          <w:color w:val="auto"/>
          <w:sz w:val="24"/>
        </w:rPr>
        <w:t>提交的最终成果包括：</w:t>
      </w:r>
      <w:r>
        <w:rPr>
          <w:rFonts w:hint="eastAsia" w:ascii="宋体" w:hAnsi="宋体" w:cs="宋体"/>
          <w:color w:val="auto"/>
          <w:sz w:val="24"/>
          <w:lang w:eastAsia="zh-CN"/>
        </w:rPr>
        <w:t>协助完成的</w:t>
      </w:r>
      <w:r>
        <w:rPr>
          <w:rFonts w:hint="eastAsia" w:ascii="宋体" w:hAnsi="宋体" w:cs="宋体"/>
          <w:color w:val="auto"/>
          <w:sz w:val="24"/>
        </w:rPr>
        <w:t>局属企业月度财务分析报告、局属企业季度经营情况分析报告、局属企业年度主要财务指标情况表、局属企业</w:t>
      </w:r>
      <w:r>
        <w:rPr>
          <w:rFonts w:hint="eastAsia" w:ascii="宋体" w:hAnsi="宋体" w:cs="宋体"/>
          <w:color w:val="auto"/>
          <w:sz w:val="24"/>
          <w:lang w:eastAsia="zh-CN"/>
        </w:rPr>
        <w:t>年度</w:t>
      </w:r>
      <w:r>
        <w:rPr>
          <w:rFonts w:hint="eastAsia" w:ascii="宋体" w:hAnsi="宋体" w:cs="宋体"/>
          <w:color w:val="auto"/>
          <w:sz w:val="24"/>
        </w:rPr>
        <w:t>财务情况专项报告等管理</w:t>
      </w:r>
      <w:r>
        <w:rPr>
          <w:rFonts w:hint="eastAsia" w:ascii="宋体" w:hAnsi="宋体" w:cs="宋体"/>
          <w:color w:val="auto"/>
          <w:sz w:val="24"/>
          <w:lang w:eastAsia="zh-CN"/>
        </w:rPr>
        <w:t>支持</w:t>
      </w:r>
      <w:r>
        <w:rPr>
          <w:rFonts w:hint="eastAsia" w:ascii="宋体" w:hAnsi="宋体" w:cs="宋体"/>
          <w:color w:val="auto"/>
          <w:sz w:val="24"/>
        </w:rPr>
        <w:t>服务成果文件，纸质文本2套，电子版1套。</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2.项目最终成果验收合格的标志为通过</w:t>
      </w:r>
      <w:r>
        <w:rPr>
          <w:rFonts w:hint="eastAsia" w:ascii="宋体" w:hAnsi="宋体" w:cs="宋体"/>
          <w:color w:val="auto"/>
          <w:sz w:val="24"/>
          <w:lang w:val="en-US" w:eastAsia="zh-CN"/>
        </w:rPr>
        <w:t>甲方</w:t>
      </w:r>
      <w:r>
        <w:rPr>
          <w:rFonts w:hint="eastAsia" w:ascii="宋体" w:hAnsi="宋体" w:cs="宋体"/>
          <w:color w:val="auto"/>
          <w:sz w:val="24"/>
        </w:rPr>
        <w:t>验收。</w:t>
      </w:r>
    </w:p>
    <w:bookmarkEnd w:id="24"/>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第十条 合同提前终止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sz w:val="24"/>
          <w:lang w:eastAsia="zh-CN"/>
        </w:rPr>
        <w:t>.</w:t>
      </w:r>
      <w:r>
        <w:rPr>
          <w:rFonts w:hint="eastAsia" w:ascii="宋体" w:hAnsi="宋体" w:cs="宋体"/>
          <w:color w:val="auto"/>
          <w:kern w:val="0"/>
          <w:sz w:val="24"/>
        </w:rPr>
        <w:t>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sz w:val="24"/>
          <w:lang w:eastAsia="zh-CN"/>
        </w:rPr>
        <w:t>.</w:t>
      </w:r>
      <w:r>
        <w:rPr>
          <w:rFonts w:hint="eastAsia" w:ascii="宋体" w:hAnsi="宋体" w:cs="宋体"/>
          <w:color w:val="auto"/>
          <w:kern w:val="0"/>
          <w:sz w:val="24"/>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sz w:val="24"/>
          <w:lang w:eastAsia="zh-CN"/>
        </w:rPr>
        <w:t>.</w:t>
      </w:r>
      <w:r>
        <w:rPr>
          <w:rFonts w:hint="eastAsia" w:ascii="宋体" w:hAnsi="宋体" w:cs="宋体"/>
          <w:color w:val="auto"/>
          <w:kern w:val="0"/>
          <w:sz w:val="24"/>
        </w:rPr>
        <w:t>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甲方的职能发生转变，不再具有委托职能。</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sz w:val="24"/>
          <w:lang w:eastAsia="zh-CN"/>
        </w:rPr>
        <w:t>.</w:t>
      </w:r>
      <w:r>
        <w:rPr>
          <w:rFonts w:hint="eastAsia" w:ascii="宋体" w:hAnsi="宋体" w:cs="宋体"/>
          <w:color w:val="auto"/>
          <w:kern w:val="0"/>
          <w:sz w:val="24"/>
        </w:rPr>
        <w:t>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（3）</w:t>
      </w:r>
      <w:r>
        <w:rPr>
          <w:rFonts w:hint="eastAsia" w:ascii="宋体" w:hAnsi="宋体" w:cs="宋体"/>
          <w:color w:val="auto"/>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一</w:t>
      </w:r>
      <w:r>
        <w:rPr>
          <w:rFonts w:hint="eastAsia" w:ascii="宋体" w:hAnsi="宋体" w:cs="宋体"/>
          <w:b/>
          <w:bCs/>
          <w:color w:val="auto"/>
          <w:sz w:val="24"/>
        </w:rPr>
        <w:t>条  争议解决办法</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二</w:t>
      </w:r>
      <w:r>
        <w:rPr>
          <w:rFonts w:hint="eastAsia" w:ascii="宋体" w:hAnsi="宋体" w:cs="宋体"/>
          <w:b/>
          <w:bCs/>
          <w:color w:val="auto"/>
          <w:sz w:val="24"/>
        </w:rPr>
        <w:t>条 项目变更</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在合同所约定的工作范畴内的服务，本合同价格不予变更。</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三</w:t>
      </w:r>
      <w:r>
        <w:rPr>
          <w:rFonts w:hint="eastAsia" w:ascii="宋体" w:hAnsi="宋体" w:cs="宋体"/>
          <w:b/>
          <w:bCs/>
          <w:color w:val="auto"/>
          <w:sz w:val="24"/>
        </w:rPr>
        <w:t>条 风险责任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乙方应完全地按照【</w:t>
      </w:r>
      <w:r>
        <w:rPr>
          <w:rFonts w:hint="eastAsia" w:ascii="宋体" w:hAnsi="宋体" w:cs="宋体"/>
          <w:color w:val="auto"/>
          <w:sz w:val="24"/>
          <w:lang w:val="en-US" w:eastAsia="zh-CN"/>
        </w:rPr>
        <w:t>QH2025150</w:t>
      </w:r>
      <w:r>
        <w:rPr>
          <w:rFonts w:hint="eastAsia" w:ascii="宋体" w:hAnsi="宋体" w:cs="宋体"/>
          <w:color w:val="auto"/>
          <w:sz w:val="24"/>
        </w:rPr>
        <w:t>】号招标文件的要求和乙方投标文件的承诺以及本合同约定完成本项目，出于自身财务、技术、人力等原因导致项目失败的，应承担全部责任。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四</w:t>
      </w:r>
      <w:r>
        <w:rPr>
          <w:rFonts w:hint="eastAsia" w:ascii="宋体" w:hAnsi="宋体" w:cs="宋体"/>
          <w:b/>
          <w:bCs/>
          <w:color w:val="auto"/>
          <w:sz w:val="24"/>
        </w:rPr>
        <w:t>条  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本合同项下的工作内容不可分割，任一文件的迟延交付均视为整个项目的迟延交付。</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本合同履行期间，发生下述情形时，甲方有权解除本合同，乙方除应退还甲方已支付的全部款项外</w:t>
      </w:r>
      <w:r>
        <w:rPr>
          <w:rFonts w:hint="eastAsia" w:ascii="宋体" w:hAnsi="宋体" w:cs="宋体"/>
          <w:color w:val="auto"/>
          <w:sz w:val="24"/>
          <w:lang w:val="en-US" w:eastAsia="zh-CN"/>
        </w:rPr>
        <w:t>，</w:t>
      </w:r>
      <w:r>
        <w:rPr>
          <w:rFonts w:hint="eastAsia" w:ascii="宋体" w:hAnsi="宋体" w:cs="宋体"/>
          <w:color w:val="auto"/>
          <w:sz w:val="24"/>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1.乙方未能按合同约定的日期(含协商延缓的日期)完成经甲方审核通过的相关报告，延误时间超过10个工作日；</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2.因乙方工作的错误或遗漏造成成果质量不符合本合同要求，且乙方未按甲方要求采取及时有效的补救措施的；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3.乙方虽如期提报活动方案、阶段成果、活动总结等总结性成果资料，但最终成果连续二次未能通过甲方验收的；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5.发现乙方或乙方工作人员出现全部或部分丧失履行委托服务能力的情况，甲方有权通知乙方限期整改或更换工作人员，期限届满乙方并未进行改善的；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6.乙方明确表示或者以自己的行为表明不履行本合同的。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上述违约责任各自独立且可累加。如本合同所约定的违约金无法弥补因违约行为所造成的损失，违约方应补偿上述不足部分的损失。</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五</w:t>
      </w:r>
      <w:r>
        <w:rPr>
          <w:rFonts w:hint="eastAsia" w:ascii="宋体" w:hAnsi="宋体" w:cs="宋体"/>
          <w:b/>
          <w:bCs/>
          <w:color w:val="auto"/>
          <w:sz w:val="24"/>
        </w:rPr>
        <w:t>条  其他</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（1）合同书及补充协议；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）投标书</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）招标文件（编号：</w:t>
      </w:r>
      <w:r>
        <w:rPr>
          <w:rFonts w:hint="eastAsia" w:ascii="宋体" w:hAnsi="宋体" w:cs="宋体"/>
          <w:color w:val="auto"/>
          <w:sz w:val="24"/>
          <w:lang w:val="en-US" w:eastAsia="zh-CN"/>
        </w:rPr>
        <w:t>QH2025150</w:t>
      </w:r>
      <w:r>
        <w:rPr>
          <w:rFonts w:hint="eastAsia" w:ascii="宋体" w:hAnsi="宋体" w:cs="宋体"/>
          <w:color w:val="auto"/>
          <w:sz w:val="24"/>
        </w:rPr>
        <w:t>）及其澄清、补正公告</w:t>
      </w:r>
      <w:r>
        <w:rPr>
          <w:rFonts w:hint="eastAsia" w:ascii="宋体" w:hAnsi="宋体" w:cs="宋体"/>
          <w:color w:val="auto"/>
          <w:sz w:val="24"/>
          <w:lang w:eastAsia="zh-CN"/>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eastAsia="zh-CN"/>
        </w:rPr>
        <w:t>.</w:t>
      </w:r>
      <w:r>
        <w:rPr>
          <w:rFonts w:hint="eastAsia" w:ascii="宋体" w:hAnsi="宋体" w:cs="宋体"/>
          <w:color w:val="auto"/>
          <w:sz w:val="24"/>
        </w:rPr>
        <w:t>本合同各条标题仅为提示之用，应以条文内容确定各方的权利义务。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w:t>
      </w:r>
      <w:r>
        <w:rPr>
          <w:rFonts w:hint="eastAsia" w:ascii="宋体" w:hAnsi="宋体" w:cs="宋体"/>
          <w:color w:val="auto"/>
          <w:sz w:val="24"/>
        </w:rPr>
        <w:t>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5</w:t>
      </w:r>
      <w:r>
        <w:rPr>
          <w:rFonts w:hint="eastAsia" w:ascii="宋体" w:hAnsi="宋体" w:cs="宋体"/>
          <w:color w:val="auto"/>
          <w:sz w:val="24"/>
          <w:lang w:eastAsia="zh-CN"/>
        </w:rPr>
        <w:t>.</w:t>
      </w:r>
      <w:r>
        <w:rPr>
          <w:rFonts w:hint="eastAsia" w:ascii="宋体" w:hAnsi="宋体" w:cs="宋体"/>
          <w:color w:val="auto"/>
          <w:kern w:val="0"/>
          <w:sz w:val="24"/>
        </w:rPr>
        <w:t>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6</w:t>
      </w:r>
      <w:r>
        <w:rPr>
          <w:rFonts w:hint="eastAsia" w:ascii="宋体" w:hAnsi="宋体" w:cs="宋体"/>
          <w:color w:val="auto"/>
          <w:sz w:val="24"/>
          <w:lang w:eastAsia="zh-CN"/>
        </w:rPr>
        <w:t>.</w:t>
      </w:r>
      <w:r>
        <w:rPr>
          <w:rFonts w:hint="eastAsia" w:ascii="宋体" w:hAnsi="宋体" w:cs="宋体"/>
          <w:color w:val="auto"/>
          <w:kern w:val="0"/>
          <w:sz w:val="24"/>
        </w:rPr>
        <w:t>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7</w:t>
      </w:r>
      <w:r>
        <w:rPr>
          <w:rFonts w:hint="eastAsia" w:ascii="宋体" w:hAnsi="宋体" w:cs="宋体"/>
          <w:color w:val="auto"/>
          <w:sz w:val="24"/>
          <w:lang w:eastAsia="zh-CN"/>
        </w:rPr>
        <w:t>.</w:t>
      </w:r>
      <w:r>
        <w:rPr>
          <w:rFonts w:hint="eastAsia" w:ascii="宋体" w:hAnsi="宋体" w:cs="宋体"/>
          <w:color w:val="auto"/>
          <w:kern w:val="0"/>
          <w:sz w:val="24"/>
        </w:rPr>
        <w:t>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8</w:t>
      </w:r>
      <w:r>
        <w:rPr>
          <w:rFonts w:hint="eastAsia" w:ascii="宋体" w:hAnsi="宋体" w:cs="宋体"/>
          <w:color w:val="auto"/>
          <w:sz w:val="24"/>
          <w:lang w:eastAsia="zh-CN"/>
        </w:rPr>
        <w:t>.</w:t>
      </w:r>
      <w:r>
        <w:rPr>
          <w:rFonts w:hint="eastAsia" w:ascii="宋体" w:hAnsi="宋体" w:cs="宋体"/>
          <w:color w:val="auto"/>
          <w:kern w:val="0"/>
          <w:sz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9</w:t>
      </w:r>
      <w:r>
        <w:rPr>
          <w:rFonts w:hint="eastAsia" w:ascii="宋体" w:hAnsi="宋体" w:cs="宋体"/>
          <w:color w:val="auto"/>
          <w:sz w:val="24"/>
          <w:lang w:eastAsia="zh-CN"/>
        </w:rPr>
        <w:t>.</w:t>
      </w:r>
      <w:r>
        <w:rPr>
          <w:rFonts w:hint="eastAsia" w:ascii="宋体" w:hAnsi="宋体" w:cs="宋体"/>
          <w:color w:val="auto"/>
          <w:kern w:val="0"/>
          <w:sz w:val="24"/>
        </w:rPr>
        <w:t>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10</w:t>
      </w:r>
      <w:r>
        <w:rPr>
          <w:rFonts w:hint="eastAsia" w:ascii="宋体" w:hAnsi="宋体" w:cs="宋体"/>
          <w:color w:val="auto"/>
          <w:sz w:val="24"/>
          <w:lang w:eastAsia="zh-CN"/>
        </w:rPr>
        <w:t>.</w:t>
      </w:r>
      <w:r>
        <w:rPr>
          <w:rFonts w:hint="eastAsia" w:ascii="宋体" w:hAnsi="宋体" w:cs="宋体"/>
          <w:color w:val="auto"/>
          <w:kern w:val="0"/>
          <w:sz w:val="24"/>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eastAsia="zh-CN"/>
        </w:rPr>
        <w:t>.</w:t>
      </w:r>
      <w:r>
        <w:rPr>
          <w:rFonts w:hint="eastAsia" w:ascii="宋体" w:hAnsi="宋体" w:cs="宋体"/>
          <w:color w:val="auto"/>
          <w:sz w:val="24"/>
        </w:rPr>
        <w:t>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eastAsia="zh-CN"/>
        </w:rPr>
        <w:t>.</w:t>
      </w:r>
      <w:r>
        <w:rPr>
          <w:rFonts w:hint="eastAsia" w:ascii="宋体" w:hAnsi="宋体" w:cs="宋体"/>
          <w:color w:val="auto"/>
          <w:sz w:val="24"/>
        </w:rPr>
        <w:t>本合同一式六份，甲、乙方各执三份，均具有同等法律效力。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（以下无正文，为签章栏）</w:t>
      </w:r>
    </w:p>
    <w:p>
      <w:pPr>
        <w:widowControl/>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（本页为签章页）</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ind w:left="8312" w:hanging="8312" w:hangingChars="3450"/>
        <w:rPr>
          <w:rFonts w:hint="eastAsia" w:ascii="宋体" w:hAnsi="宋体" w:cs="宋体"/>
          <w:b/>
          <w:color w:val="auto"/>
          <w:sz w:val="24"/>
        </w:rPr>
      </w:pPr>
      <w:r>
        <w:rPr>
          <w:rFonts w:hint="eastAsia" w:ascii="宋体" w:hAnsi="宋体" w:cs="宋体"/>
          <w:b/>
          <w:color w:val="auto"/>
          <w:sz w:val="24"/>
        </w:rPr>
        <w:t>甲方名称：                                 乙方名称：</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深圳市前海深港现代服务业合作区管理局</w:t>
      </w:r>
      <w:r>
        <w:rPr>
          <w:rFonts w:hint="eastAsia" w:ascii="宋体" w:hAnsi="宋体" w:cs="宋体"/>
          <w:color w:val="auto"/>
          <w:sz w:val="24"/>
        </w:rPr>
        <w:tab/>
      </w:r>
      <w:r>
        <w:rPr>
          <w:rFonts w:hint="eastAsia" w:ascii="宋体" w:hAnsi="宋体" w:cs="宋体"/>
          <w:color w:val="auto"/>
          <w:sz w:val="24"/>
        </w:rPr>
        <w:t xml:space="preserve">     </w:t>
      </w:r>
    </w:p>
    <w:p>
      <w:pPr>
        <w:adjustRightInd w:val="0"/>
        <w:snapToGrid w:val="0"/>
        <w:spacing w:line="360" w:lineRule="auto"/>
        <w:ind w:firstLine="200"/>
        <w:rPr>
          <w:rFonts w:hint="eastAsia" w:ascii="宋体" w:hAnsi="宋体" w:cs="宋体"/>
          <w:color w:val="auto"/>
          <w:sz w:val="24"/>
        </w:rPr>
      </w:pPr>
      <w:r>
        <w:rPr>
          <w:rFonts w:hint="eastAsia" w:ascii="宋体" w:hAnsi="宋体" w:cs="宋体"/>
          <w:color w:val="auto"/>
          <w:sz w:val="24"/>
        </w:rPr>
        <w:t>（盖章）</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（盖章）</w:t>
      </w: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法定代表人或授权代表：（签字）</w:t>
      </w:r>
    </w:p>
    <w:p>
      <w:pPr>
        <w:widowControl/>
        <w:adjustRightInd w:val="0"/>
        <w:snapToGrid w:val="0"/>
        <w:spacing w:line="360" w:lineRule="auto"/>
        <w:ind w:firstLine="200"/>
        <w:jc w:val="left"/>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日期：                                       日期：</w:t>
      </w:r>
    </w:p>
    <w:p>
      <w:pPr>
        <w:adjustRightInd w:val="0"/>
        <w:snapToGrid w:val="0"/>
        <w:spacing w:line="360" w:lineRule="auto"/>
        <w:ind w:firstLine="720" w:firstLineChars="3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b/>
          <w:bCs/>
          <w:color w:val="auto"/>
          <w:szCs w:val="21"/>
        </w:rPr>
        <w:t>注：本合同样本仅供参考，具体条款内容采购人和中标人按前海管理局合同样本签订。实际合同样本不改变本招标文件的实质条件</w:t>
      </w:r>
      <w:r>
        <w:rPr>
          <w:rFonts w:hint="eastAsia" w:ascii="宋体" w:hAnsi="宋体" w:cs="宋体"/>
          <w:b/>
          <w:bCs/>
          <w:color w:val="auto"/>
          <w:sz w:val="24"/>
        </w:rPr>
        <w:t>。</w:t>
      </w:r>
    </w:p>
    <w:p>
      <w:pPr>
        <w:snapToGrid w:val="0"/>
        <w:spacing w:line="360" w:lineRule="auto"/>
        <w:rPr>
          <w:rFonts w:hint="eastAsia" w:ascii="宋体" w:hAnsi="宋体" w:cs="宋体"/>
          <w:color w:val="auto"/>
          <w:sz w:val="24"/>
        </w:rPr>
      </w:pPr>
    </w:p>
    <w:p>
      <w:pPr>
        <w:pStyle w:val="9"/>
        <w:rPr>
          <w:rFonts w:hint="eastAsia" w:ascii="宋体" w:hAnsi="宋体" w:cs="宋体"/>
          <w:color w:val="auto"/>
        </w:rPr>
      </w:pPr>
    </w:p>
    <w:p>
      <w:pPr>
        <w:rPr>
          <w:color w:val="auto"/>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25" w:name="_Toc25518"/>
      <w:r>
        <w:rPr>
          <w:rFonts w:hint="eastAsia" w:ascii="宋体" w:hAnsi="宋体" w:cs="宋体"/>
          <w:b/>
          <w:bCs/>
          <w:color w:val="auto"/>
          <w:sz w:val="24"/>
        </w:rPr>
        <w:t>用户需求书</w:t>
      </w:r>
      <w:bookmarkEnd w:id="25"/>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bookmarkStart w:id="26" w:name="_Toc11045"/>
      <w:bookmarkStart w:id="27" w:name="_Toc23726"/>
      <w:r>
        <w:rPr>
          <w:rFonts w:hint="eastAsia" w:ascii="宋体" w:hAnsi="宋体" w:cs="宋体"/>
          <w:b/>
          <w:color w:val="auto"/>
          <w:sz w:val="24"/>
        </w:rPr>
        <w:t>说明：本章“用户需求书”的全部内容为本项目正常开展的基本要求，投标人必须完全响应，否则将导致投标无效。</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一、</w:t>
      </w:r>
      <w:bookmarkEnd w:id="26"/>
      <w:bookmarkEnd w:id="27"/>
      <w:bookmarkStart w:id="28" w:name="_Toc96337997"/>
      <w:bookmarkStart w:id="29" w:name="_Toc51746099"/>
      <w:r>
        <w:rPr>
          <w:rFonts w:hint="eastAsia" w:ascii="宋体" w:hAnsi="宋体" w:cs="宋体"/>
          <w:b/>
          <w:color w:val="auto"/>
          <w:sz w:val="24"/>
        </w:rPr>
        <w:t>项目背景</w:t>
      </w:r>
      <w:bookmarkEnd w:id="28"/>
    </w:p>
    <w:bookmarkEnd w:id="29"/>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为促进局属企业回归企业本质，拟通过开展国资国企经营情况分析，围绕“一利五率”等硬指标，按月度、季度、年度形成前海国资国企经营情况分析报告，强化财务监督力量，切实督促和指导局属企业增强竞争力和可持续发展能力。为做好国资国企经营情况分析，拟选取会计师事务所开展前海国资国企综合财务管理支持服务工作。</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二、服务主要内容</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（一）根据前海国企月度财务报表，协助汇总梳理形成主要财务指标表，结合年度预算及上年同期财务情况，按月度协助形成前海局属企业财务分析报告，次月第5个工作日内完成；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（二）根据前海国企季度财务报表及季度经营情况报告，结合企业季度经营情况、年度预算及上年同期财务情况，按季度协助汇总梳理形成前海局属企业经营情况分析报告，次月第10个工作日内完成；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（三）根据前海国企年度财务报表，协助汇总形成前海局属企业年度主要财务指标情况表、局属企业财务情况专项报告，次年4月30日前完成；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（四）提供前海国资国企综合财务管理相关支持服务，包括但不限于以下支持服务内容：</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（1）重大经济事项分析：基于企业重大经济事项相关材料，协助分析研判企业相关重大经济事项的财务可行性，提供专业意见，结合具体需求，信息资料齐全之日起3个工作日内完成；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（2）税务分析：根据企业重大经济事项，提供相关税务分析服务，协助提出税务优化建议，结合具体需求，信息资料齐全之日起3个工作日内完成；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（3）成本分析与控制：结合企业特征，通过成本效益分析来识别成本节约的机会，协助提出成本控制优化建议，结合具体需求，信息资料齐全之日起5个工作日内完成；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4）财务风险研判：协助评估企业的财务风险，协助研判企业财务风险分析与预警机制是否完善，提供债务管理、财务运营、资金管理等方面风险研判支持服务，结合具体需求，信息资料齐全之日起5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（5）年度预算合理性分析：结合对企业的财务分析，综合开展企业年度预算合理性、科学性分析，协助形成对企业年度预算的合理性判断及相关优化建议，结合具体需求，信息资料齐全之日起10个工作日内完成；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（6）其他综合财务管理相关服务，结合具体需求，信息资料齐全之日起5个工作日内完成。</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
          <w:color w:val="auto"/>
          <w:sz w:val="24"/>
          <w:lang w:val="en-US" w:eastAsia="zh-CN"/>
        </w:rPr>
        <w:t>三、项目团队要求</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Cs/>
          <w:color w:val="auto"/>
          <w:sz w:val="24"/>
          <w:lang w:val="en-US" w:eastAsia="zh-CN"/>
        </w:rPr>
      </w:pPr>
      <w:r>
        <w:rPr>
          <w:rFonts w:hint="eastAsia" w:ascii="宋体" w:hAnsi="宋体" w:cs="宋体"/>
          <w:bCs/>
          <w:color w:val="auto"/>
          <w:sz w:val="24"/>
        </w:rPr>
        <w:t>拟安排的项目负责人必须具有注册会计师证书（有效证书复印件或扫描件），项目团队人员</w:t>
      </w:r>
      <w:r>
        <w:rPr>
          <w:rFonts w:hint="eastAsia" w:ascii="宋体" w:hAnsi="宋体" w:cs="宋体"/>
          <w:bCs/>
          <w:color w:val="auto"/>
          <w:sz w:val="24"/>
          <w:lang w:eastAsia="zh-CN"/>
        </w:rPr>
        <w:t>（</w:t>
      </w:r>
      <w:r>
        <w:rPr>
          <w:rFonts w:hint="eastAsia" w:ascii="宋体" w:hAnsi="宋体" w:cs="宋体"/>
          <w:bCs/>
          <w:color w:val="auto"/>
          <w:sz w:val="24"/>
          <w:lang w:val="en-US" w:eastAsia="zh-CN"/>
        </w:rPr>
        <w:t>含项目负责人</w:t>
      </w:r>
      <w:r>
        <w:rPr>
          <w:rFonts w:hint="eastAsia" w:ascii="宋体" w:hAnsi="宋体" w:cs="宋体"/>
          <w:bCs/>
          <w:color w:val="auto"/>
          <w:sz w:val="24"/>
          <w:lang w:eastAsia="zh-CN"/>
        </w:rPr>
        <w:t>）</w:t>
      </w:r>
      <w:r>
        <w:rPr>
          <w:rFonts w:hint="eastAsia" w:ascii="宋体" w:hAnsi="宋体" w:cs="宋体"/>
          <w:bCs/>
          <w:color w:val="auto"/>
          <w:sz w:val="24"/>
        </w:rPr>
        <w:t>至少4人（提供团队人员信息表（格式自拟）），</w:t>
      </w:r>
      <w:r>
        <w:rPr>
          <w:rFonts w:hint="eastAsia" w:ascii="宋体" w:hAnsi="宋体" w:cs="宋体"/>
          <w:bCs/>
          <w:color w:val="auto"/>
          <w:sz w:val="24"/>
          <w:lang w:val="en-US" w:eastAsia="zh-CN"/>
        </w:rPr>
        <w:t>其中包含</w:t>
      </w:r>
      <w:r>
        <w:rPr>
          <w:rFonts w:hint="eastAsia" w:ascii="宋体" w:hAnsi="宋体" w:cs="宋体"/>
          <w:bCs/>
          <w:color w:val="auto"/>
          <w:sz w:val="24"/>
        </w:rPr>
        <w:t>一名驻场人员（提供驻场人员信息表（格式自拟））</w:t>
      </w:r>
      <w:r>
        <w:rPr>
          <w:rFonts w:hint="eastAsia" w:ascii="宋体" w:hAnsi="宋体" w:cs="宋体"/>
          <w:color w:val="auto"/>
          <w:sz w:val="24"/>
          <w:lang w:bidi="ar"/>
        </w:rPr>
        <w:t>。</w:t>
      </w:r>
    </w:p>
    <w:p>
      <w:pPr>
        <w:pStyle w:val="31"/>
        <w:tabs>
          <w:tab w:val="left" w:pos="720"/>
        </w:tabs>
        <w:autoSpaceDE w:val="0"/>
        <w:autoSpaceDN w:val="0"/>
        <w:adjustRightInd w:val="0"/>
        <w:spacing w:line="360" w:lineRule="auto"/>
        <w:ind w:right="17" w:firstLine="480"/>
        <w:jc w:val="left"/>
        <w:rPr>
          <w:rFonts w:hint="eastAsia" w:ascii="宋体" w:hAnsi="宋体" w:cs="宋体"/>
          <w:b/>
          <w:color w:val="auto"/>
          <w:sz w:val="24"/>
        </w:rPr>
      </w:pPr>
      <w:r>
        <w:rPr>
          <w:rFonts w:hint="eastAsia" w:ascii="宋体" w:hAnsi="宋体" w:cs="宋体"/>
          <w:b/>
          <w:color w:val="auto"/>
          <w:sz w:val="24"/>
          <w:lang w:val="en-US" w:eastAsia="zh-CN"/>
        </w:rPr>
        <w:t>四、</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rPr>
      </w:pPr>
      <w:r>
        <w:rPr>
          <w:rFonts w:hint="eastAsia" w:ascii="宋体" w:hAnsi="宋体" w:cs="宋体"/>
          <w:b/>
          <w:bCs/>
          <w:color w:val="auto"/>
          <w:kern w:val="0"/>
          <w:sz w:val="24"/>
        </w:rPr>
        <w:t>（一）服务期限</w:t>
      </w:r>
    </w:p>
    <w:p>
      <w:pPr>
        <w:pStyle w:val="31"/>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本项目服务期限自签订合同之日起1年，本项目不属于长期服务项目</w:t>
      </w:r>
      <w:r>
        <w:rPr>
          <w:rFonts w:hint="eastAsia" w:ascii="宋体" w:hAnsi="宋体" w:cs="宋体"/>
          <w:bCs/>
          <w:color w:val="auto"/>
          <w:sz w:val="24"/>
          <w:lang w:eastAsia="zh-CN"/>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auto"/>
          <w:sz w:val="24"/>
        </w:rPr>
      </w:pPr>
      <w:r>
        <w:rPr>
          <w:rFonts w:hint="eastAsia" w:ascii="宋体" w:hAnsi="宋体" w:cs="宋体"/>
          <w:b/>
          <w:bCs/>
          <w:color w:val="auto"/>
          <w:kern w:val="0"/>
          <w:sz w:val="24"/>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rPr>
      </w:pPr>
      <w:r>
        <w:rPr>
          <w:rFonts w:hint="eastAsia" w:ascii="宋体" w:hAnsi="宋体" w:cs="宋体"/>
          <w:bCs/>
          <w:color w:val="auto"/>
          <w:sz w:val="24"/>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三</w:t>
      </w:r>
      <w:r>
        <w:rPr>
          <w:rFonts w:hint="eastAsia" w:ascii="宋体" w:hAnsi="宋体" w:cs="宋体"/>
          <w:b/>
          <w:bCs/>
          <w:color w:val="auto"/>
          <w:kern w:val="0"/>
          <w:sz w:val="24"/>
        </w:rPr>
        <w:t>）项目成果验收要求</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rPr>
      </w:pPr>
      <w:r>
        <w:rPr>
          <w:rFonts w:hint="eastAsia" w:ascii="宋体" w:hAnsi="宋体" w:cs="宋体"/>
          <w:bCs/>
          <w:color w:val="auto"/>
          <w:sz w:val="24"/>
        </w:rPr>
        <w:t>项目工作成果需满足国家颁布的有关法律、法规及政策要求，符合相关的技术规范和标准，且必须通过采购方审查。</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rPr>
      </w:pPr>
      <w:r>
        <w:rPr>
          <w:rFonts w:hint="eastAsia" w:ascii="宋体" w:hAnsi="宋体" w:cs="宋体"/>
          <w:bCs/>
          <w:color w:val="auto"/>
          <w:sz w:val="24"/>
        </w:rPr>
        <w:t>1.中标人提交的最终成果包括：协助完成的局属企业月度财务分析报告、局属企业季度经营情况分析报告、局属企业年度主要财务指标情况表、局属企业年度财务情况专项报告等管理</w:t>
      </w:r>
      <w:r>
        <w:rPr>
          <w:rFonts w:hint="eastAsia" w:ascii="宋体" w:hAnsi="宋体" w:cs="宋体"/>
          <w:bCs/>
          <w:color w:val="auto"/>
          <w:sz w:val="24"/>
          <w:lang w:eastAsia="zh-CN"/>
        </w:rPr>
        <w:t>支持</w:t>
      </w:r>
      <w:r>
        <w:rPr>
          <w:rFonts w:hint="eastAsia" w:ascii="宋体" w:hAnsi="宋体" w:cs="宋体"/>
          <w:bCs/>
          <w:color w:val="auto"/>
          <w:sz w:val="24"/>
        </w:rPr>
        <w:t>服务成果文件，纸质文本2套，电子版1套。</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Cs/>
          <w:color w:val="auto"/>
          <w:sz w:val="24"/>
          <w:lang w:eastAsia="zh-CN"/>
        </w:rPr>
      </w:pPr>
      <w:r>
        <w:rPr>
          <w:rFonts w:hint="eastAsia" w:ascii="宋体" w:hAnsi="宋体" w:cs="宋体"/>
          <w:bCs/>
          <w:color w:val="auto"/>
          <w:sz w:val="24"/>
        </w:rPr>
        <w:t>2.项目最终成果验收合格的标志为通过采购方验收</w:t>
      </w:r>
      <w:r>
        <w:rPr>
          <w:rFonts w:hint="eastAsia" w:ascii="宋体" w:hAnsi="宋体" w:cs="宋体"/>
          <w:bCs/>
          <w:color w:val="auto"/>
          <w:sz w:val="24"/>
          <w:lang w:eastAsia="zh-CN"/>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四</w:t>
      </w:r>
      <w:r>
        <w:rPr>
          <w:rFonts w:hint="eastAsia" w:ascii="宋体" w:hAnsi="宋体" w:cs="宋体"/>
          <w:b/>
          <w:bCs/>
          <w:color w:val="auto"/>
          <w:kern w:val="0"/>
          <w:sz w:val="24"/>
        </w:rPr>
        <w:t>）报价要求</w:t>
      </w:r>
    </w:p>
    <w:p>
      <w:pPr>
        <w:widowControl/>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1.本次投标为总价包干，投标报价总价作为中标人与采购人</w:t>
      </w:r>
      <w:r>
        <w:rPr>
          <w:rFonts w:hint="eastAsia" w:ascii="宋体" w:hAnsi="宋体" w:cs="宋体"/>
          <w:color w:val="auto"/>
          <w:sz w:val="24"/>
          <w:lang w:eastAsia="zh-CN"/>
        </w:rPr>
        <w:t>签订</w:t>
      </w:r>
      <w:r>
        <w:rPr>
          <w:rFonts w:hint="eastAsia" w:ascii="宋体" w:hAnsi="宋体" w:cs="宋体"/>
          <w:color w:val="auto"/>
          <w:sz w:val="24"/>
        </w:rPr>
        <w:t>的合同金额。投标人的报价不可高于预算（限价），否则投标人的投标文件视同无效。项目服务费</w:t>
      </w:r>
      <w:r>
        <w:rPr>
          <w:rFonts w:hint="eastAsia" w:ascii="宋体" w:hAnsi="宋体" w:cs="宋体"/>
          <w:color w:val="auto"/>
          <w:sz w:val="24"/>
          <w:lang w:eastAsia="zh-CN"/>
        </w:rPr>
        <w:t>包括但不限于人员研究费用、调研差旅费、专家咨询费、资料费、税费等所有费用</w:t>
      </w:r>
      <w:r>
        <w:rPr>
          <w:rFonts w:hint="eastAsia" w:ascii="宋体" w:hAnsi="宋体" w:cs="宋体"/>
          <w:color w:val="auto"/>
          <w:sz w:val="24"/>
        </w:rPr>
        <w:t>，并提供合同要求的有关成果材料，以及其它相关服务的全部费用。一经中标，正式报价总价作为中标人与采购人</w:t>
      </w:r>
      <w:r>
        <w:rPr>
          <w:rFonts w:hint="eastAsia" w:ascii="宋体" w:hAnsi="宋体" w:cs="宋体"/>
          <w:color w:val="auto"/>
          <w:sz w:val="24"/>
          <w:lang w:eastAsia="zh-CN"/>
        </w:rPr>
        <w:t>签订</w:t>
      </w:r>
      <w:r>
        <w:rPr>
          <w:rFonts w:hint="eastAsia" w:ascii="宋体" w:hAnsi="宋体" w:cs="宋体"/>
          <w:color w:val="auto"/>
          <w:sz w:val="24"/>
        </w:rPr>
        <w:t>的合同金额，合同期限内不做调整</w:t>
      </w:r>
      <w:r>
        <w:rPr>
          <w:rFonts w:hint="eastAsia" w:ascii="宋体" w:hAnsi="宋体" w:cs="宋体"/>
          <w:color w:val="auto"/>
          <w:sz w:val="24"/>
          <w:lang w:eastAsia="zh-CN"/>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五</w:t>
      </w:r>
      <w:r>
        <w:rPr>
          <w:rFonts w:hint="eastAsia" w:ascii="宋体" w:hAnsi="宋体" w:cs="宋体"/>
          <w:b/>
          <w:bCs/>
          <w:color w:val="auto"/>
          <w:kern w:val="0"/>
          <w:sz w:val="24"/>
        </w:rPr>
        <w:t>）付款方式</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项目价款由采购人分3期支付至中标人指定银行账户：</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1.首期款：合同签订后，中标人向采购人提出付款申请，采购人向中标人支付合同费用的30%；</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2.第2期：本合同签订满6个月，中标人完成月度财务分析报告、季度经营情况分析报告，并经采购人验收合格后，向中标人指定银行账户支付本合同第二期款项40%；</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3.第3期：中标人完成合同内约定的全部成果并经采购人验收合格后，向中标人指定银行账户支付本合同尾款；</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4.上述每期款项均在满足付款条件，且采购人收到中标人开具的载明相应金额的合格发票后</w:t>
      </w:r>
      <w:r>
        <w:rPr>
          <w:rFonts w:hint="default" w:ascii="宋体" w:hAnsi="宋体" w:cs="宋体"/>
          <w:color w:val="auto"/>
          <w:sz w:val="24"/>
          <w:lang w:val="en-US" w:eastAsia="zh-CN"/>
        </w:rPr>
        <w:t>15</w:t>
      </w:r>
      <w:r>
        <w:rPr>
          <w:rFonts w:hint="eastAsia" w:ascii="宋体" w:hAnsi="宋体" w:cs="宋体"/>
          <w:color w:val="auto"/>
          <w:sz w:val="24"/>
          <w:lang w:val="en-US" w:eastAsia="zh-CN"/>
        </w:rPr>
        <w:t>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auto"/>
          <w:kern w:val="0"/>
          <w:sz w:val="24"/>
        </w:rPr>
      </w:pPr>
      <w:r>
        <w:rPr>
          <w:rFonts w:hint="eastAsia" w:ascii="宋体" w:hAnsi="宋体" w:eastAsia="宋体" w:cs="宋体"/>
          <w:b/>
          <w:bCs/>
          <w:color w:val="auto"/>
          <w:kern w:val="0"/>
          <w:sz w:val="24"/>
        </w:rPr>
        <w:t>（五）成果权属与知识产权</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1.双方对本合同有关的知识产权以及与之相关的所有权利归属约定如下： 本项目全部阶段性成果和最终成果（包括为后续服务范围所编制的材料）的知识产权以及与之相关的所有权利归采购人所有；本合同签署前双方已经拥有的知识产权权利，仍归各自所有。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中标人所提交的全部中间成果和最终成果材料及任何数据、资料、软件等不得侵犯任何第三方的知识产权或其他权利，由于该等文件、材料、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未经采购人书面在先同意，中标人不得将本项目的中间成果和最终成果材料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5.中标人完成本合同项目的研究开发人员享有在有关技术成果材料上写明技术成果完成者的权利和与采购人共同获得有关荣誉证书、奖励的权利。</w:t>
      </w:r>
    </w:p>
    <w:p>
      <w:pPr>
        <w:widowControl/>
        <w:spacing w:line="360" w:lineRule="auto"/>
        <w:ind w:firstLine="482" w:firstLineChars="200"/>
        <w:outlineLvl w:val="2"/>
        <w:rPr>
          <w:rFonts w:hint="eastAsia" w:ascii="宋体" w:hAnsi="宋体" w:eastAsia="宋体" w:cs="宋体"/>
          <w:b/>
          <w:bCs/>
          <w:color w:val="auto"/>
          <w:sz w:val="24"/>
        </w:rPr>
      </w:pPr>
      <w:r>
        <w:rPr>
          <w:rFonts w:hint="eastAsia" w:ascii="宋体" w:hAnsi="宋体" w:eastAsia="宋体" w:cs="宋体"/>
          <w:b/>
          <w:bCs/>
          <w:color w:val="auto"/>
          <w:kern w:val="0"/>
          <w:sz w:val="24"/>
        </w:rPr>
        <w:t>（六）</w:t>
      </w:r>
      <w:r>
        <w:rPr>
          <w:rFonts w:hint="eastAsia" w:ascii="宋体" w:hAnsi="宋体" w:eastAsia="宋体" w:cs="宋体"/>
          <w:b/>
          <w:bCs/>
          <w:color w:val="auto"/>
          <w:sz w:val="24"/>
        </w:rPr>
        <w:t>保密条款</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3.中标人须以保密方式处理在编制本项目成果材料过程中自采购人、采购人工作人员或采购人关联机构获得的相关信息、资料、图纸、数据等，或由采购人在履行本合同过程中明确指明为秘密的任何信息</w:t>
      </w:r>
      <w:r>
        <w:rPr>
          <w:rFonts w:hint="eastAsia" w:ascii="宋体" w:hAnsi="宋体" w:cs="宋体"/>
          <w:color w:val="auto"/>
          <w:sz w:val="24"/>
          <w:lang w:eastAsia="zh-CN"/>
        </w:rPr>
        <w:t>，</w:t>
      </w:r>
      <w:r>
        <w:rPr>
          <w:rFonts w:hint="eastAsia" w:ascii="宋体" w:hAnsi="宋体" w:eastAsia="宋体" w:cs="宋体"/>
          <w:color w:val="auto"/>
          <w:sz w:val="24"/>
        </w:rPr>
        <w:t>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4.中标人实施项目的程序应符合国家安全、保密的有关规定和标准。</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5.上述保密义务不适用以下情况：</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（1）获取的信息已被合法公开；</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（2）获得信息拥有方书面许可并在该许可范围内披露；</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（3）国家法律、法规规定的情形。</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eastAsia="宋体" w:cs="宋体"/>
          <w:b/>
          <w:bCs/>
          <w:color w:val="auto"/>
          <w:sz w:val="24"/>
        </w:rPr>
      </w:pPr>
      <w:r>
        <w:rPr>
          <w:rFonts w:hint="eastAsia" w:ascii="宋体" w:hAnsi="宋体" w:eastAsia="宋体" w:cs="宋体"/>
          <w:b/>
          <w:bCs/>
          <w:color w:val="auto"/>
          <w:kern w:val="0"/>
          <w:sz w:val="24"/>
        </w:rPr>
        <w:t>（七）</w:t>
      </w:r>
      <w:r>
        <w:rPr>
          <w:rFonts w:hint="eastAsia" w:ascii="宋体" w:hAnsi="宋体" w:eastAsia="宋体" w:cs="宋体"/>
          <w:b/>
          <w:bCs/>
          <w:color w:val="auto"/>
          <w:sz w:val="24"/>
        </w:rPr>
        <w:t>违约责任</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如中标人未按照本合同约定的时间完成本项目各阶段工作，每迟延一日，采购人有权自尚未支付的合同款项中扣除本合同服务费总金额的1‰的逾期违约金。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本合同项下的工作内容不可分割，任一文件的迟延交付均视为整个项目的迟延交付。</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本合同履行期间，发生下述情形时，采购人有权解除本合同，中标人除应退还采购人已支付的全部款项外</w:t>
      </w:r>
      <w:r>
        <w:rPr>
          <w:rFonts w:hint="eastAsia" w:ascii="宋体" w:hAnsi="宋体" w:cs="宋体"/>
          <w:color w:val="auto"/>
          <w:sz w:val="24"/>
          <w:lang w:eastAsia="zh-CN"/>
        </w:rPr>
        <w:t>，</w:t>
      </w:r>
      <w:r>
        <w:rPr>
          <w:rFonts w:hint="eastAsia" w:ascii="宋体" w:hAnsi="宋体" w:eastAsia="宋体" w:cs="宋体"/>
          <w:color w:val="auto"/>
          <w:sz w:val="24"/>
        </w:rPr>
        <w:t>还应在合同解除通知发出之日起10日内向采购人支付合同总价款10%的违约金。中标人应同时将已完成的项目成果移交给采购人，并将全部有关资料退还采购人：</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1.中标人未能按合同约定的日期(含协商延缓的日期)完成经采购人要求的相关报告，延误时间超过10个工作日；</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2.因中标人工作的错误或遗漏造成成果质量不符合本合同要求，且中标人未按采购人要求采取及时有效的补救措施的；</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3.中标人虽如期提报活动方案、阶段成果、活动总结等总结性成果资料，但最终成果连续二次未能通过采购人验收的；</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4.未经采购人书面在先同意，中标人擅自将本合同项目与任何第三方合作，或将本合同标的全部或部分擅自转包或分包给任何第三方，且未按采购人的要求终止与第三方的协议的；</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5.发现中标人或中标人工作人员出现全部或部分丧失履行委托服务能力的情况，采购人有权通知中标人限期整改或更换工作人员，期限届满中标人并未进行改善的；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6.中标人明确表示或者以自己的行为表明不履行本合同的。</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如采购人无正当理由拒绝接受服务，到期明确表示拒付服务款项，中标人有权要求采购人支付本合同项下服务费总金额10%的违约金。</w:t>
      </w:r>
    </w:p>
    <w:p>
      <w:pPr>
        <w:widowControl/>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上述违约责任各自独立且可累加。如本合同所约定的违约金无法弥补因违约行为所造成的损失，违约方应补偿上述不足部分的损失。</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br w:type="page"/>
      </w:r>
    </w:p>
    <w:p>
      <w:pPr>
        <w:widowControl/>
        <w:spacing w:line="360" w:lineRule="auto"/>
        <w:ind w:firstLine="482" w:firstLineChars="200"/>
        <w:jc w:val="center"/>
        <w:outlineLvl w:val="0"/>
        <w:rPr>
          <w:rFonts w:ascii="宋体" w:cs="宋体"/>
          <w:b/>
          <w:bCs/>
          <w:color w:val="auto"/>
          <w:sz w:val="24"/>
        </w:rPr>
      </w:pPr>
      <w:bookmarkStart w:id="30" w:name="_Toc23822"/>
      <w:r>
        <w:rPr>
          <w:rFonts w:hint="eastAsia" w:ascii="宋体" w:cs="宋体"/>
          <w:b/>
          <w:bCs/>
          <w:color w:val="auto"/>
          <w:sz w:val="24"/>
        </w:rPr>
        <w:t>第六章 投标文件初审及招标项目评分表</w:t>
      </w:r>
      <w:bookmarkEnd w:id="30"/>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hint="eastAsia"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w:t>
            </w:r>
          </w:p>
        </w:tc>
        <w:tc>
          <w:tcPr>
            <w:tcW w:w="7108"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rPr>
            </w:pPr>
            <w:r>
              <w:rPr>
                <w:rFonts w:hint="eastAsia" w:ascii="宋体" w:hAnsi="宋体" w:cs="宋体"/>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3</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4</w:t>
            </w:r>
          </w:p>
        </w:tc>
        <w:tc>
          <w:tcPr>
            <w:tcW w:w="7108" w:type="dxa"/>
            <w:noWrap w:val="0"/>
            <w:vAlign w:val="center"/>
          </w:tcPr>
          <w:p>
            <w:pPr>
              <w:spacing w:line="360" w:lineRule="auto"/>
              <w:rPr>
                <w:rFonts w:hint="eastAsia"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5</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6</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7</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8</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报价合理性审查</w:t>
            </w:r>
          </w:p>
          <w:p>
            <w:pPr>
              <w:spacing w:line="360" w:lineRule="auto"/>
              <w:rPr>
                <w:rFonts w:hint="eastAsia" w:ascii="宋体" w:hAnsi="宋体" w:cs="宋体"/>
                <w:color w:val="auto"/>
                <w:sz w:val="24"/>
              </w:rPr>
            </w:pPr>
            <w:r>
              <w:rPr>
                <w:rFonts w:hint="eastAsia" w:ascii="宋体" w:hAnsi="宋体" w:cs="宋体"/>
                <w:color w:val="auto"/>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auto"/>
                <w:sz w:val="24"/>
              </w:rPr>
            </w:pPr>
            <w:r>
              <w:rPr>
                <w:rFonts w:hint="eastAsia" w:ascii="宋体" w:hAnsi="宋体" w:cs="宋体"/>
                <w:color w:val="auto"/>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auto"/>
                <w:sz w:val="24"/>
              </w:rPr>
            </w:pPr>
            <w:r>
              <w:rPr>
                <w:rFonts w:hint="eastAsia" w:ascii="宋体" w:hAnsi="宋体" w:cs="宋体"/>
                <w:color w:val="auto"/>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auto"/>
                <w:sz w:val="24"/>
              </w:rPr>
            </w:pPr>
            <w:r>
              <w:rPr>
                <w:rFonts w:hint="eastAsia" w:ascii="宋体" w:hAnsi="宋体" w:cs="宋体"/>
                <w:color w:val="auto"/>
                <w:sz w:val="24"/>
              </w:rPr>
              <w:t>（三）投标（响应）报价低于采购项目最高限价45%的，即投标（响应）报价&lt;采购项目最高限价×45%；</w:t>
            </w:r>
          </w:p>
          <w:p>
            <w:pPr>
              <w:spacing w:line="360" w:lineRule="auto"/>
              <w:rPr>
                <w:rFonts w:hint="eastAsia" w:ascii="宋体" w:hAnsi="宋体" w:cs="宋体"/>
                <w:color w:val="auto"/>
                <w:sz w:val="24"/>
              </w:rPr>
            </w:pPr>
            <w:r>
              <w:rPr>
                <w:rFonts w:hint="eastAsia" w:ascii="宋体" w:hAnsi="宋体" w:cs="宋体"/>
                <w:color w:val="auto"/>
                <w:sz w:val="24"/>
              </w:rPr>
              <w:t>（四）其他评审委员会认为供应商报价过低，有可能影响产品质量或者不能诚信履约的情形。</w:t>
            </w:r>
          </w:p>
          <w:p>
            <w:pPr>
              <w:spacing w:line="360" w:lineRule="auto"/>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9</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10</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spacing w:line="360" w:lineRule="auto"/>
              <w:rPr>
                <w:rFonts w:hint="eastAsia"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11</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rPr>
            </w:pPr>
            <w:r>
              <w:rPr>
                <w:rFonts w:hint="eastAsia" w:ascii="宋体" w:hAnsi="宋体" w:cs="宋体"/>
                <w:color w:val="auto"/>
                <w:sz w:val="24"/>
              </w:rPr>
              <w:t>12</w:t>
            </w:r>
          </w:p>
        </w:tc>
        <w:tc>
          <w:tcPr>
            <w:tcW w:w="7108" w:type="dxa"/>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未出现法律、法规规定的其他情形</w:t>
            </w:r>
          </w:p>
        </w:tc>
      </w:tr>
    </w:tbl>
    <w:p>
      <w:pPr>
        <w:spacing w:line="360" w:lineRule="auto"/>
        <w:jc w:val="center"/>
        <w:rPr>
          <w:rFonts w:hint="eastAsia" w:ascii="宋体" w:hAnsi="宋体" w:cs="宋体"/>
          <w:color w:val="auto"/>
          <w:sz w:val="24"/>
          <w:lang w:val="fr-CH"/>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21"/>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223"/>
        <w:gridCol w:w="5411"/>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rPr>
              <w:t>1</w:t>
            </w:r>
            <w:r>
              <w:rPr>
                <w:rFonts w:hint="eastAsia" w:ascii="宋体" w:hAnsi="宋体" w:cs="宋体"/>
                <w:b/>
                <w:color w:val="auto"/>
                <w:sz w:val="24"/>
                <w:lang w:val="en-US" w:eastAsia="zh-CN"/>
              </w:rPr>
              <w:t>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223"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411"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1223"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b/>
                <w:color w:val="auto"/>
                <w:sz w:val="24"/>
              </w:rPr>
              <w:t>投标报价</w:t>
            </w:r>
          </w:p>
        </w:tc>
        <w:tc>
          <w:tcPr>
            <w:tcW w:w="5411" w:type="dxa"/>
            <w:noWrap w:val="0"/>
            <w:vAlign w:val="center"/>
          </w:tcPr>
          <w:p>
            <w:pPr>
              <w:pStyle w:val="8"/>
              <w:spacing w:line="360" w:lineRule="auto"/>
              <w:rPr>
                <w:rFonts w:hint="eastAsia" w:ascii="宋体" w:hAnsi="宋体" w:cs="宋体"/>
                <w:color w:val="auto"/>
                <w:sz w:val="24"/>
              </w:rPr>
            </w:pPr>
            <w:r>
              <w:rPr>
                <w:rFonts w:hint="eastAsia" w:ascii="宋体" w:hAnsi="宋体" w:cs="宋体"/>
                <w:color w:val="auto"/>
                <w:sz w:val="24"/>
              </w:rPr>
              <w:t>采用低价优先法计算，即满足招标文件要求且投标价格最低的投标报价为评标基准价，其价格分为满分。其他投标人的价格分统一按照下列公式计算：</w:t>
            </w:r>
          </w:p>
          <w:p>
            <w:pPr>
              <w:pStyle w:val="8"/>
              <w:spacing w:line="360" w:lineRule="auto"/>
              <w:rPr>
                <w:rFonts w:hint="eastAsia" w:ascii="宋体" w:hAnsi="宋体" w:eastAsia="宋体" w:cs="宋体"/>
                <w:color w:val="auto"/>
                <w:sz w:val="24"/>
                <w:lang w:eastAsia="zh-CN"/>
              </w:rPr>
            </w:pPr>
            <w:r>
              <w:rPr>
                <w:rFonts w:hint="eastAsia" w:ascii="宋体" w:hAnsi="宋体" w:cs="宋体"/>
                <w:b/>
                <w:bCs/>
                <w:color w:val="auto"/>
                <w:sz w:val="24"/>
              </w:rPr>
              <w:t>投标报价得分=(评标基准价／投标报价)×1</w:t>
            </w:r>
            <w:r>
              <w:rPr>
                <w:rFonts w:hint="eastAsia" w:ascii="宋体" w:hAnsi="宋体" w:cs="宋体"/>
                <w:b/>
                <w:bCs/>
                <w:color w:val="auto"/>
                <w:sz w:val="24"/>
                <w:lang w:val="en-US" w:eastAsia="zh-CN"/>
              </w:rPr>
              <w:t>0</w:t>
            </w:r>
          </w:p>
          <w:p>
            <w:pPr>
              <w:numPr>
                <w:ilvl w:val="0"/>
                <w:numId w:val="5"/>
              </w:numPr>
              <w:spacing w:line="360" w:lineRule="auto"/>
              <w:ind w:left="250" w:hanging="249" w:hangingChars="104"/>
              <w:jc w:val="left"/>
              <w:rPr>
                <w:rFonts w:hint="eastAsia" w:ascii="宋体" w:hAnsi="宋体" w:cs="宋体"/>
                <w:bCs/>
                <w:color w:val="auto"/>
                <w:sz w:val="24"/>
              </w:rPr>
            </w:pP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numPr>
                <w:ilvl w:val="0"/>
                <w:numId w:val="5"/>
              </w:numPr>
              <w:spacing w:line="360" w:lineRule="auto"/>
              <w:ind w:left="0" w:hanging="9"/>
              <w:jc w:val="left"/>
              <w:rPr>
                <w:rFonts w:hint="eastAsia" w:ascii="宋体" w:hAnsi="宋体" w:cs="宋体"/>
                <w:b/>
                <w:color w:val="auto"/>
                <w:sz w:val="24"/>
              </w:rPr>
            </w:pPr>
            <w:r>
              <w:rPr>
                <w:rFonts w:hint="eastAsia" w:ascii="宋体" w:hAnsi="宋体" w:cs="宋体"/>
                <w:bCs/>
                <w:color w:val="auto"/>
                <w:sz w:val="24"/>
              </w:rPr>
              <w:t>根据财库〔2020〕46号、财库〔2014〕68号及财库〔2017〕141号及（深财购〔2022〕31号）文件规定：</w:t>
            </w:r>
            <w:r>
              <w:rPr>
                <w:rFonts w:hint="eastAsia" w:ascii="宋体" w:hAnsi="宋体" w:cs="宋体"/>
                <w:b/>
                <w:color w:val="auto"/>
                <w:sz w:val="24"/>
              </w:rPr>
              <w:t>本项目非专门面向中小企业的项目，对小型和微型企业、监狱企业或残疾人福利性企业产品的价格给予10%的扣除，用扣除后的价格</w:t>
            </w:r>
            <w:r>
              <w:rPr>
                <w:rFonts w:hint="eastAsia" w:ascii="宋体" w:hAnsi="宋体" w:cs="宋体"/>
                <w:b/>
                <w:color w:val="auto"/>
                <w:sz w:val="24"/>
                <w:lang w:eastAsia="zh-CN"/>
              </w:rPr>
              <w:t>作</w:t>
            </w:r>
            <w:r>
              <w:rPr>
                <w:rFonts w:hint="eastAsia" w:ascii="宋体" w:hAnsi="宋体" w:cs="宋体"/>
                <w:b/>
                <w:color w:val="auto"/>
                <w:sz w:val="24"/>
              </w:rPr>
              <w:t>为“经评审合格的投标报价”参与价格评审。</w:t>
            </w:r>
          </w:p>
          <w:p>
            <w:pPr>
              <w:spacing w:line="360" w:lineRule="auto"/>
              <w:jc w:val="left"/>
              <w:rPr>
                <w:rFonts w:hint="eastAsia" w:ascii="宋体" w:hAnsi="宋体" w:cs="宋体"/>
                <w:color w:val="auto"/>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noWrap w:val="0"/>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二、</w:t>
            </w:r>
            <w:r>
              <w:rPr>
                <w:rFonts w:hint="eastAsia" w:ascii="宋体" w:hAnsi="宋体" w:cs="宋体"/>
                <w:b/>
                <w:color w:val="auto"/>
                <w:sz w:val="24"/>
                <w:lang w:val="en-US" w:eastAsia="zh-CN"/>
              </w:rPr>
              <w:t>技术</w:t>
            </w:r>
            <w:r>
              <w:rPr>
                <w:rFonts w:hint="eastAsia" w:ascii="宋体" w:hAnsi="宋体" w:cs="宋体"/>
                <w:b/>
                <w:color w:val="auto"/>
                <w:sz w:val="24"/>
                <w:lang w:val="zh-CN"/>
              </w:rPr>
              <w:t>部分（</w:t>
            </w:r>
            <w:r>
              <w:rPr>
                <w:rFonts w:hint="eastAsia" w:ascii="宋体" w:hAnsi="宋体" w:cs="宋体"/>
                <w:b/>
                <w:color w:val="auto"/>
                <w:sz w:val="24"/>
                <w:lang w:val="en-US" w:eastAsia="zh-CN"/>
              </w:rPr>
              <w:t>55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223"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411"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223" w:type="dxa"/>
            <w:noWrap w:val="0"/>
            <w:vAlign w:val="center"/>
          </w:tcPr>
          <w:p>
            <w:pPr>
              <w:autoSpaceDE w:val="0"/>
              <w:autoSpaceDN w:val="0"/>
              <w:adjustRightIn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对项目需求的响应及理解</w:t>
            </w:r>
          </w:p>
        </w:tc>
        <w:tc>
          <w:tcPr>
            <w:tcW w:w="5411" w:type="dxa"/>
            <w:noWrap w:val="0"/>
            <w:vAlign w:val="center"/>
          </w:tcPr>
          <w:p>
            <w:pPr>
              <w:spacing w:line="360" w:lineRule="auto"/>
              <w:jc w:val="left"/>
              <w:rPr>
                <w:rFonts w:hint="eastAsia" w:ascii="宋体" w:hAnsi="宋体" w:eastAsia="宋体" w:cs="宋体"/>
                <w:b/>
                <w:bCs w:val="0"/>
                <w:color w:val="auto"/>
                <w:sz w:val="24"/>
              </w:rPr>
            </w:pPr>
            <w:r>
              <w:rPr>
                <w:rFonts w:hint="eastAsia" w:ascii="宋体" w:hAnsi="宋体" w:eastAsia="宋体" w:cs="宋体"/>
                <w:b/>
                <w:bCs w:val="0"/>
                <w:color w:val="auto"/>
                <w:sz w:val="24"/>
              </w:rPr>
              <w:t>（一）评审内容：</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（1）对本项目背景、存在问题等工作内容的理解；</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（2）对本项目需求理解；</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（3）对服务需求的技术响应方案。</w:t>
            </w:r>
          </w:p>
          <w:p>
            <w:pPr>
              <w:spacing w:line="360" w:lineRule="auto"/>
              <w:jc w:val="left"/>
              <w:rPr>
                <w:rFonts w:hint="eastAsia" w:ascii="宋体" w:hAnsi="宋体" w:eastAsia="宋体" w:cs="宋体"/>
                <w:b/>
                <w:bCs w:val="0"/>
                <w:color w:val="auto"/>
                <w:sz w:val="24"/>
              </w:rPr>
            </w:pPr>
            <w:r>
              <w:rPr>
                <w:rFonts w:hint="eastAsia" w:ascii="宋体" w:hAnsi="宋体" w:eastAsia="宋体" w:cs="宋体"/>
                <w:b/>
                <w:bCs w:val="0"/>
                <w:color w:val="auto"/>
                <w:sz w:val="24"/>
              </w:rPr>
              <w:t>（二）评审标准：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满足以上三点得12分；满足任意两点得8分；满足任意一点得4分，不满足不得分。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在此基础上，评委根据各供应商的具体响应内容进行进一步评审：</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（1）需求的理解把握有深度，需求理解细致到位，可操作性强的评价为优，加8分；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（2）需求理解基本完整，需求理解较细致，可操作性较强的评价为良，加5分；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（3）需求理解存在偏差，需求理解不够细致，可操作性一般的评价为中加2分；</w:t>
            </w:r>
          </w:p>
          <w:p>
            <w:pPr>
              <w:spacing w:line="360" w:lineRule="auto"/>
              <w:jc w:val="left"/>
              <w:rPr>
                <w:rFonts w:hint="default" w:ascii="宋体" w:hAnsi="宋体" w:eastAsia="宋体" w:cs="宋体"/>
                <w:bCs/>
                <w:color w:val="auto"/>
                <w:sz w:val="24"/>
                <w:lang w:val="en-US"/>
              </w:rPr>
            </w:pPr>
            <w:r>
              <w:rPr>
                <w:rFonts w:hint="eastAsia" w:ascii="宋体" w:hAnsi="宋体" w:eastAsia="宋体" w:cs="宋体"/>
                <w:bCs/>
                <w:color w:val="auto"/>
                <w:sz w:val="24"/>
              </w:rPr>
              <w:t>（4）内容不全有严重缺漏项的评价为差的，不加分。</w:t>
            </w:r>
          </w:p>
        </w:tc>
        <w:tc>
          <w:tcPr>
            <w:tcW w:w="894" w:type="dxa"/>
            <w:noWrap w:val="0"/>
            <w:vAlign w:val="center"/>
          </w:tcPr>
          <w:p>
            <w:pPr>
              <w:spacing w:line="360" w:lineRule="auto"/>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rPr>
              <w:t>20</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223" w:type="dxa"/>
            <w:noWrap w:val="0"/>
            <w:vAlign w:val="center"/>
          </w:tcPr>
          <w:p>
            <w:pPr>
              <w:autoSpaceDE w:val="0"/>
              <w:autoSpaceDN w:val="0"/>
              <w:adjustRightIn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项目重点难点分析、应对措施</w:t>
            </w:r>
          </w:p>
        </w:tc>
        <w:tc>
          <w:tcPr>
            <w:tcW w:w="5411" w:type="dxa"/>
            <w:noWrap w:val="0"/>
            <w:vAlign w:val="center"/>
          </w:tcPr>
          <w:p>
            <w:pPr>
              <w:spacing w:line="360" w:lineRule="auto"/>
              <w:jc w:val="left"/>
              <w:rPr>
                <w:rFonts w:hint="eastAsia" w:ascii="宋体" w:hAnsi="宋体" w:eastAsia="宋体" w:cs="宋体"/>
                <w:b/>
                <w:bCs w:val="0"/>
                <w:color w:val="auto"/>
                <w:sz w:val="24"/>
              </w:rPr>
            </w:pPr>
            <w:r>
              <w:rPr>
                <w:rFonts w:hint="eastAsia" w:ascii="宋体" w:hAnsi="宋体" w:eastAsia="宋体" w:cs="宋体"/>
                <w:b/>
                <w:bCs w:val="0"/>
                <w:color w:val="auto"/>
                <w:sz w:val="24"/>
              </w:rPr>
              <w:t>（一）评分内容</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1.详细阐述本项目存在的重难点问题；</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2.根据项目重难点，详细阐述对应的应对措施。</w:t>
            </w:r>
          </w:p>
          <w:p>
            <w:pPr>
              <w:spacing w:line="360" w:lineRule="auto"/>
              <w:jc w:val="left"/>
              <w:rPr>
                <w:rFonts w:hint="eastAsia" w:ascii="宋体" w:hAnsi="宋体" w:eastAsia="宋体" w:cs="宋体"/>
                <w:b/>
                <w:bCs w:val="0"/>
                <w:color w:val="auto"/>
                <w:sz w:val="24"/>
              </w:rPr>
            </w:pPr>
            <w:r>
              <w:rPr>
                <w:rFonts w:hint="eastAsia" w:ascii="宋体" w:hAnsi="宋体" w:eastAsia="宋体" w:cs="宋体"/>
                <w:b/>
                <w:bCs w:val="0"/>
                <w:color w:val="auto"/>
                <w:sz w:val="24"/>
              </w:rPr>
              <w:t>（二）评分标准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1.提供以上2项内容得8分，其他情况不得分。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2.在此基础上，评审人员再根据以上内容进行加分：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（1）重难点问题分析思路严格清晰，应对措施制定详细，并将各项工作内容分解细化到可执行层面每项工作，加7分；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（2）重难点问题分析思路较好，应对措施一般，关键工作内容已分解细化到可执行层面每项工作，加4分；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（3）重难点问题分析思路不清晰，应对措施一般，工作内容分解细化程度欠佳或未提供，加0分。</w:t>
            </w:r>
          </w:p>
        </w:tc>
        <w:tc>
          <w:tcPr>
            <w:tcW w:w="894" w:type="dxa"/>
            <w:noWrap w:val="0"/>
            <w:vAlign w:val="center"/>
          </w:tcPr>
          <w:p>
            <w:pPr>
              <w:spacing w:line="360" w:lineRule="auto"/>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rPr>
              <w:t>15</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223" w:type="dxa"/>
            <w:noWrap w:val="0"/>
            <w:vAlign w:val="center"/>
          </w:tcPr>
          <w:p>
            <w:pPr>
              <w:autoSpaceDE w:val="0"/>
              <w:autoSpaceDN w:val="0"/>
              <w:adjustRightInd w:val="0"/>
              <w:spacing w:line="360" w:lineRule="auto"/>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zh-CN"/>
              </w:rPr>
              <w:t>质量（完成时间、安全）保障措施及方案</w:t>
            </w:r>
          </w:p>
        </w:tc>
        <w:tc>
          <w:tcPr>
            <w:tcW w:w="5411" w:type="dxa"/>
            <w:noWrap w:val="0"/>
            <w:vAlign w:val="top"/>
          </w:tcPr>
          <w:p>
            <w:pPr>
              <w:spacing w:line="360" w:lineRule="auto"/>
              <w:jc w:val="left"/>
              <w:rPr>
                <w:rFonts w:hint="eastAsia" w:ascii="宋体" w:hAnsi="宋体" w:eastAsia="宋体" w:cs="宋体"/>
                <w:b/>
                <w:bCs w:val="0"/>
                <w:color w:val="auto"/>
                <w:sz w:val="24"/>
              </w:rPr>
            </w:pPr>
            <w:r>
              <w:rPr>
                <w:rFonts w:hint="eastAsia" w:ascii="宋体" w:hAnsi="宋体" w:eastAsia="宋体" w:cs="宋体"/>
                <w:b/>
                <w:bCs w:val="0"/>
                <w:color w:val="auto"/>
                <w:sz w:val="24"/>
              </w:rPr>
              <w:t>（一）评审内容：</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（1）质量、安全保障措施；</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（2）工期保障能力；</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（3）项目人员工作安排；</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（4）其他保障措施。</w:t>
            </w:r>
          </w:p>
          <w:p>
            <w:pPr>
              <w:spacing w:line="360" w:lineRule="auto"/>
              <w:jc w:val="left"/>
              <w:rPr>
                <w:rFonts w:hint="eastAsia" w:ascii="宋体" w:hAnsi="宋体" w:eastAsia="宋体" w:cs="宋体"/>
                <w:b/>
                <w:bCs w:val="0"/>
                <w:color w:val="auto"/>
                <w:sz w:val="24"/>
              </w:rPr>
            </w:pPr>
            <w:r>
              <w:rPr>
                <w:rFonts w:hint="eastAsia" w:ascii="宋体" w:hAnsi="宋体" w:eastAsia="宋体" w:cs="宋体"/>
                <w:b/>
                <w:bCs w:val="0"/>
                <w:color w:val="auto"/>
                <w:sz w:val="24"/>
              </w:rPr>
              <w:t>（二）评审标准：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满足以上四点得12分，满足任意</w:t>
            </w:r>
            <w:r>
              <w:rPr>
                <w:rFonts w:hint="eastAsia" w:ascii="宋体" w:hAnsi="宋体" w:cs="宋体"/>
                <w:bCs/>
                <w:color w:val="auto"/>
                <w:sz w:val="24"/>
                <w:lang w:val="en-US" w:eastAsia="zh-CN"/>
              </w:rPr>
              <w:t>三</w:t>
            </w:r>
            <w:r>
              <w:rPr>
                <w:rFonts w:hint="eastAsia" w:ascii="宋体" w:hAnsi="宋体" w:eastAsia="宋体" w:cs="宋体"/>
                <w:bCs/>
                <w:color w:val="auto"/>
                <w:sz w:val="24"/>
              </w:rPr>
              <w:t>点得</w:t>
            </w:r>
            <w:r>
              <w:rPr>
                <w:rFonts w:hint="eastAsia" w:ascii="宋体" w:hAnsi="宋体" w:cs="宋体"/>
                <w:bCs/>
                <w:color w:val="auto"/>
                <w:sz w:val="24"/>
                <w:lang w:val="en-US" w:eastAsia="zh-CN"/>
              </w:rPr>
              <w:t>9</w:t>
            </w:r>
            <w:r>
              <w:rPr>
                <w:rFonts w:hint="eastAsia" w:ascii="宋体" w:hAnsi="宋体" w:eastAsia="宋体" w:cs="宋体"/>
                <w:bCs/>
                <w:color w:val="auto"/>
                <w:sz w:val="24"/>
              </w:rPr>
              <w:t>分，满足任意</w:t>
            </w:r>
            <w:r>
              <w:rPr>
                <w:rFonts w:hint="eastAsia" w:ascii="宋体" w:hAnsi="宋体" w:cs="宋体"/>
                <w:bCs/>
                <w:color w:val="auto"/>
                <w:sz w:val="24"/>
                <w:lang w:val="en-US" w:eastAsia="zh-CN"/>
              </w:rPr>
              <w:t>两</w:t>
            </w:r>
            <w:r>
              <w:rPr>
                <w:rFonts w:hint="eastAsia" w:ascii="宋体" w:hAnsi="宋体" w:eastAsia="宋体" w:cs="宋体"/>
                <w:bCs/>
                <w:color w:val="auto"/>
                <w:sz w:val="24"/>
              </w:rPr>
              <w:t>点得</w:t>
            </w:r>
            <w:r>
              <w:rPr>
                <w:rFonts w:hint="eastAsia" w:ascii="宋体" w:hAnsi="宋体" w:cs="宋体"/>
                <w:bCs/>
                <w:color w:val="auto"/>
                <w:sz w:val="24"/>
                <w:lang w:val="en-US" w:eastAsia="zh-CN"/>
              </w:rPr>
              <w:t>6</w:t>
            </w:r>
            <w:r>
              <w:rPr>
                <w:rFonts w:hint="eastAsia" w:ascii="宋体" w:hAnsi="宋体" w:eastAsia="宋体" w:cs="宋体"/>
                <w:bCs/>
                <w:color w:val="auto"/>
                <w:sz w:val="24"/>
              </w:rPr>
              <w:t>分，满足任意一点得3分，不满足不得分。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在此基础上，评委根据各供应商的具体响应内容进行进一步评审：</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（1）保障措施完整，工期保障能力强，项目组人员的工作安排合理，能保障服务质量，评价为优加8分；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（2）保障措施较完整，工期保障能力较强，项目组人员的工作安排较合理，较能保障服务质量的，评价为良，加5分；</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（3）保障措施一般完整，工期保障能力一般，项目组人员的工作安排一般合理，基本能保障服务质量，评价为中，加2分；</w:t>
            </w:r>
          </w:p>
          <w:p>
            <w:pPr>
              <w:spacing w:line="360" w:lineRule="auto"/>
              <w:jc w:val="left"/>
              <w:rPr>
                <w:rFonts w:hint="eastAsia" w:ascii="宋体" w:hAnsi="宋体" w:eastAsia="宋体" w:cs="宋体"/>
                <w:bCs/>
                <w:color w:val="auto"/>
                <w:sz w:val="24"/>
                <w:lang w:val="en-US" w:eastAsia="zh-CN"/>
              </w:rPr>
            </w:pPr>
            <w:r>
              <w:rPr>
                <w:rFonts w:hint="eastAsia" w:ascii="宋体" w:hAnsi="宋体" w:eastAsia="宋体" w:cs="宋体"/>
                <w:bCs/>
                <w:color w:val="auto"/>
                <w:sz w:val="24"/>
              </w:rPr>
              <w:t>（4）保障措施不完整，工期保障能力差，项目组人员的工作安排不合理，不能保障服务质量，评价为差</w:t>
            </w:r>
            <w:r>
              <w:rPr>
                <w:rFonts w:hint="eastAsia" w:ascii="宋体" w:hAnsi="宋体" w:cs="宋体"/>
                <w:bCs/>
                <w:color w:val="auto"/>
                <w:sz w:val="24"/>
                <w:lang w:eastAsia="zh-CN"/>
              </w:rPr>
              <w:t>，</w:t>
            </w:r>
            <w:r>
              <w:rPr>
                <w:rFonts w:hint="eastAsia" w:ascii="宋体" w:hAnsi="宋体" w:eastAsia="宋体" w:cs="宋体"/>
                <w:bCs/>
                <w:color w:val="auto"/>
                <w:sz w:val="24"/>
              </w:rPr>
              <w:t>不加分。</w:t>
            </w:r>
          </w:p>
        </w:tc>
        <w:tc>
          <w:tcPr>
            <w:tcW w:w="894" w:type="dxa"/>
            <w:noWrap w:val="0"/>
            <w:vAlign w:val="center"/>
          </w:tcPr>
          <w:p>
            <w:pPr>
              <w:spacing w:line="360" w:lineRule="auto"/>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rPr>
              <w:t>20</w:t>
            </w:r>
          </w:p>
        </w:tc>
        <w:tc>
          <w:tcPr>
            <w:tcW w:w="829" w:type="dxa"/>
            <w:noWrap w:val="0"/>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三、商务部分（</w:t>
            </w:r>
            <w:r>
              <w:rPr>
                <w:rFonts w:hint="eastAsia" w:ascii="宋体" w:hAnsi="宋体" w:cs="宋体"/>
                <w:b/>
                <w:color w:val="auto"/>
                <w:sz w:val="24"/>
                <w:lang w:val="en-US" w:eastAsia="zh-CN"/>
              </w:rPr>
              <w:t>35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223" w:type="dxa"/>
            <w:noWrap w:val="0"/>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411"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894"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829" w:type="dxa"/>
            <w:noWrap w:val="0"/>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23" w:type="dxa"/>
            <w:noWrap w:val="0"/>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投标人类似项目经验</w:t>
            </w:r>
          </w:p>
        </w:tc>
        <w:tc>
          <w:tcPr>
            <w:tcW w:w="5411" w:type="dxa"/>
            <w:noWrap w:val="0"/>
            <w:vAlign w:val="top"/>
          </w:tcPr>
          <w:p>
            <w:pPr>
              <w:pStyle w:val="2"/>
              <w:ind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（一）评分内容</w:t>
            </w:r>
          </w:p>
          <w:p>
            <w:pPr>
              <w:pStyle w:val="2"/>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1.2021年1月1日</w:t>
            </w:r>
            <w:r>
              <w:rPr>
                <w:rFonts w:hint="eastAsia" w:ascii="宋体" w:hAnsi="宋体" w:eastAsia="宋体" w:cs="宋体"/>
                <w:color w:val="auto"/>
                <w:sz w:val="24"/>
                <w:szCs w:val="24"/>
                <w:lang w:val="zh-CN"/>
              </w:rPr>
              <w:t>起至投标截止之日，投标人具有类似管理咨询服务项目经验，且甲方为企业、政府机关或行政事业单位；提供一项合同得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提供两份合同得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分；提供三份及以上得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。本小项最高得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分。（类似</w:t>
            </w:r>
            <w:r>
              <w:rPr>
                <w:rFonts w:hint="eastAsia" w:ascii="宋体" w:hAnsi="宋体" w:eastAsia="宋体" w:cs="宋体"/>
                <w:color w:val="auto"/>
                <w:sz w:val="24"/>
                <w:szCs w:val="24"/>
                <w:lang w:val="zh-CN"/>
              </w:rPr>
              <w:t>项目是指服务内容主要为向甲方提供</w:t>
            </w:r>
            <w:r>
              <w:rPr>
                <w:rFonts w:hint="eastAsia" w:ascii="宋体" w:hAnsi="宋体" w:eastAsia="宋体" w:cs="宋体"/>
                <w:color w:val="auto"/>
                <w:sz w:val="24"/>
                <w:szCs w:val="24"/>
              </w:rPr>
              <w:t>财务审计、经济责任审计、绩效审计、内控体系建设、内控风险评估、内控报告编制、</w:t>
            </w:r>
            <w:r>
              <w:rPr>
                <w:rFonts w:hint="eastAsia" w:ascii="宋体" w:hAnsi="宋体" w:eastAsia="宋体" w:cs="宋体"/>
                <w:color w:val="auto"/>
                <w:sz w:val="24"/>
                <w:szCs w:val="24"/>
                <w:lang w:val="zh-CN"/>
              </w:rPr>
              <w:t>经济事项的财务专业意见、税务建议、成本控制优化建议、财务风险研判、预算合理性分析等管理建议，符合其中一项即可。</w:t>
            </w:r>
            <w:r>
              <w:rPr>
                <w:rFonts w:hint="eastAsia" w:ascii="宋体" w:hAnsi="宋体" w:eastAsia="宋体" w:cs="宋体"/>
                <w:color w:val="auto"/>
                <w:sz w:val="24"/>
                <w:szCs w:val="24"/>
              </w:rPr>
              <w:t>）续签合同按一份合同计算。</w:t>
            </w:r>
          </w:p>
          <w:p>
            <w:pPr>
              <w:pStyle w:val="2"/>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2.上述合同中，</w:t>
            </w:r>
            <w:r>
              <w:rPr>
                <w:rFonts w:hint="eastAsia" w:ascii="宋体" w:hAnsi="宋体" w:eastAsia="宋体" w:cs="宋体"/>
                <w:color w:val="auto"/>
                <w:sz w:val="24"/>
                <w:szCs w:val="24"/>
                <w:lang w:val="zh-CN"/>
              </w:rPr>
              <w:t>有任一合同的服务成果甲方履约评价为满意或优秀</w:t>
            </w:r>
            <w:r>
              <w:rPr>
                <w:rFonts w:hint="eastAsia" w:ascii="宋体" w:hAnsi="宋体" w:eastAsia="宋体" w:cs="宋体"/>
                <w:color w:val="auto"/>
                <w:sz w:val="24"/>
                <w:szCs w:val="24"/>
                <w:lang w:val="en-US" w:eastAsia="zh-CN"/>
              </w:rPr>
              <w:t>或评价表中同等最高评价的</w:t>
            </w:r>
            <w:r>
              <w:rPr>
                <w:rFonts w:hint="eastAsia" w:ascii="宋体" w:hAnsi="宋体" w:eastAsia="宋体" w:cs="宋体"/>
                <w:color w:val="auto"/>
                <w:sz w:val="24"/>
                <w:szCs w:val="24"/>
                <w:lang w:val="zh-CN"/>
              </w:rPr>
              <w:t>（如履约为评分的，要求为</w:t>
            </w:r>
            <w:r>
              <w:rPr>
                <w:rFonts w:hint="eastAsia" w:ascii="宋体" w:hAnsi="宋体" w:eastAsia="宋体" w:cs="宋体"/>
                <w:color w:val="auto"/>
                <w:sz w:val="24"/>
                <w:szCs w:val="24"/>
              </w:rPr>
              <w:t>90分或以上</w:t>
            </w:r>
            <w:r>
              <w:rPr>
                <w:rFonts w:hint="eastAsia" w:ascii="宋体" w:hAnsi="宋体" w:eastAsia="宋体" w:cs="宋体"/>
                <w:color w:val="auto"/>
                <w:sz w:val="24"/>
                <w:szCs w:val="24"/>
                <w:lang w:val="zh-CN"/>
              </w:rPr>
              <w:t>）的加</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分。本小项最高得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p>
            <w:pPr>
              <w:pStyle w:val="2"/>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本项综合得分最高为10分。</w:t>
            </w:r>
          </w:p>
          <w:p>
            <w:pPr>
              <w:pStyle w:val="2"/>
              <w:ind w:firstLine="0" w:firstLineChars="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（二）评分标准</w:t>
            </w:r>
          </w:p>
          <w:p>
            <w:pPr>
              <w:pStyle w:val="2"/>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须提供业绩合同关键页（包括但不限于合同封面、合作内容、签订时间及双方盖章页等）扫描件或复印件，扫描件或复印件加盖投标人公章，原件备查；</w:t>
            </w:r>
          </w:p>
          <w:p>
            <w:pPr>
              <w:pStyle w:val="2"/>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提供</w:t>
            </w:r>
            <w:r>
              <w:rPr>
                <w:rFonts w:hint="eastAsia" w:ascii="宋体" w:hAnsi="宋体" w:cs="宋体"/>
                <w:color w:val="auto"/>
                <w:sz w:val="24"/>
                <w:szCs w:val="24"/>
                <w:lang w:val="zh-CN"/>
              </w:rPr>
              <w:t>具有</w:t>
            </w:r>
            <w:r>
              <w:rPr>
                <w:rFonts w:hint="eastAsia" w:ascii="宋体" w:hAnsi="宋体" w:eastAsia="宋体" w:cs="宋体"/>
                <w:color w:val="auto"/>
                <w:sz w:val="24"/>
                <w:szCs w:val="24"/>
                <w:lang w:val="zh-CN"/>
              </w:rPr>
              <w:t>合同甲方</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lang w:val="zh-CN"/>
              </w:rPr>
              <w:t>章（</w:t>
            </w:r>
            <w:r>
              <w:rPr>
                <w:rFonts w:hint="eastAsia" w:ascii="宋体" w:hAnsi="宋体" w:eastAsia="宋体" w:cs="宋体"/>
                <w:color w:val="auto"/>
                <w:sz w:val="24"/>
                <w:szCs w:val="24"/>
                <w:lang w:val="en-US" w:eastAsia="zh-CN"/>
              </w:rPr>
              <w:t>或业务章</w:t>
            </w:r>
            <w:r>
              <w:rPr>
                <w:rFonts w:hint="eastAsia" w:ascii="宋体" w:hAnsi="宋体" w:eastAsia="宋体" w:cs="宋体"/>
                <w:color w:val="auto"/>
                <w:sz w:val="24"/>
                <w:szCs w:val="24"/>
                <w:lang w:val="zh-CN"/>
              </w:rPr>
              <w:t>）的履约评价扫描件或复印件；</w:t>
            </w:r>
          </w:p>
          <w:p>
            <w:pPr>
              <w:pStyle w:val="2"/>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投标人提供虚假材料的，将做无效投标处理，涉嫌存在违法违规行为的，依法报主管部门处理处罚。</w:t>
            </w:r>
          </w:p>
        </w:tc>
        <w:tc>
          <w:tcPr>
            <w:tcW w:w="894" w:type="dxa"/>
            <w:noWrap w:val="0"/>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829" w:type="dxa"/>
            <w:noWrap w:val="0"/>
            <w:vAlign w:val="center"/>
          </w:tcPr>
          <w:p>
            <w:pPr>
              <w:widowControl/>
              <w:jc w:val="center"/>
              <w:textAlignment w:val="center"/>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bidi="ar"/>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p>
        </w:tc>
        <w:tc>
          <w:tcPr>
            <w:tcW w:w="1223" w:type="dxa"/>
            <w:noWrap w:val="0"/>
            <w:vAlign w:val="center"/>
          </w:tcPr>
          <w:p>
            <w:pPr>
              <w:widowControl/>
              <w:jc w:val="center"/>
              <w:textAlignment w:val="center"/>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bidi="ar"/>
              </w:rPr>
              <w:t>拟派本项目负责人（1人）</w:t>
            </w:r>
          </w:p>
        </w:tc>
        <w:tc>
          <w:tcPr>
            <w:tcW w:w="5411" w:type="dxa"/>
            <w:noWrap w:val="0"/>
            <w:vAlign w:val="top"/>
          </w:tcPr>
          <w:p>
            <w:pPr>
              <w:spacing w:line="360" w:lineRule="auto"/>
              <w:ind w:right="-107" w:rightChars="-51"/>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（一）评分内容：</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拟安排项目负责人须为投标单位员工，以劳动合同及社保为准，否则本项不得分。（退休返聘人员提供返聘合同或加盖投标人公章的说明函）</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（1）从事财务、审计相关工作年限10年（含）以上的，得5分，否则不得分。</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（2）具有牵头组织过与本项目类似的项目经验的，提供一份合同得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分；最高得5分。（类似</w:t>
            </w:r>
            <w:r>
              <w:rPr>
                <w:rFonts w:hint="eastAsia" w:ascii="宋体" w:hAnsi="宋体" w:eastAsia="宋体" w:cs="宋体"/>
                <w:color w:val="auto"/>
                <w:sz w:val="24"/>
                <w:szCs w:val="24"/>
                <w:lang w:val="zh-CN"/>
              </w:rPr>
              <w:t>项目同上，</w:t>
            </w:r>
            <w:r>
              <w:rPr>
                <w:rFonts w:hint="eastAsia" w:ascii="宋体" w:hAnsi="宋体" w:eastAsia="宋体" w:cs="宋体"/>
                <w:color w:val="auto"/>
                <w:sz w:val="24"/>
                <w:szCs w:val="24"/>
              </w:rPr>
              <w:t>续签合同不重复计分。）</w:t>
            </w:r>
          </w:p>
          <w:p>
            <w:pPr>
              <w:spacing w:line="360" w:lineRule="auto"/>
              <w:ind w:right="-107" w:rightChars="-51"/>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（二）评分依据：</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（1）按上述要求提供有效证明文件（劳动合同）和由社保部门出具的在投标人处购买的投标截止日前</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个月内任意</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个月社保证明作为得分依据；</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（2）如投标人为新成立企业且成立时间不足</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个月可提供情况说明或者证明材料亦视为符合；如依法不需要缴纳社会保险的，应提供相应文件证明；如为退休返聘人员</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提供返聘合同或加盖投标人公章的说明函。</w:t>
            </w:r>
            <w:r>
              <w:rPr>
                <w:rFonts w:hint="eastAsia" w:ascii="宋体" w:hAnsi="宋体" w:eastAsia="宋体" w:cs="宋体"/>
                <w:color w:val="auto"/>
                <w:sz w:val="24"/>
                <w:szCs w:val="24"/>
                <w:lang w:val="zh-CN"/>
              </w:rPr>
              <w:t>工作年限以投标人出具的盖公章的承诺函为准（格式自拟）。</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提供业绩合同关键页（包括但不限于合同封面、合作内容、签订时间及双方盖章页、人员姓名页等）扫描件或复印件，扫描件或复印件加盖投标人公章，原件备查；</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上述评分依据提供扫描件(截图)或复印件并加盖投标人公章，原件备查。评分中出现无证明资料或专家无法凭所提供资料判断是否得分的情况，一律作不得分处理。</w:t>
            </w:r>
          </w:p>
        </w:tc>
        <w:tc>
          <w:tcPr>
            <w:tcW w:w="894" w:type="dxa"/>
            <w:noWrap w:val="0"/>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10</w:t>
            </w:r>
          </w:p>
        </w:tc>
        <w:tc>
          <w:tcPr>
            <w:tcW w:w="829" w:type="dxa"/>
            <w:noWrap w:val="0"/>
            <w:vAlign w:val="center"/>
          </w:tcPr>
          <w:p>
            <w:pPr>
              <w:widowControl/>
              <w:jc w:val="center"/>
              <w:textAlignment w:val="center"/>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bidi="ar"/>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23" w:type="dxa"/>
            <w:noWrap w:val="0"/>
            <w:vAlign w:val="center"/>
          </w:tcPr>
          <w:p>
            <w:pPr>
              <w:widowControl/>
              <w:jc w:val="center"/>
              <w:textAlignment w:val="center"/>
              <w:rPr>
                <w:rFonts w:hint="eastAsia" w:ascii="宋体" w:hAnsi="宋体" w:eastAsia="宋体" w:cs="宋体"/>
                <w:color w:val="auto"/>
                <w:sz w:val="24"/>
                <w:szCs w:val="24"/>
                <w:lang w:val="zh-CN"/>
              </w:rPr>
            </w:pPr>
            <w:r>
              <w:rPr>
                <w:rFonts w:hint="eastAsia" w:ascii="宋体" w:hAnsi="宋体" w:eastAsia="宋体" w:cs="宋体"/>
                <w:color w:val="auto"/>
                <w:kern w:val="0"/>
                <w:sz w:val="24"/>
                <w:szCs w:val="24"/>
                <w:lang w:bidi="ar"/>
              </w:rPr>
              <w:t>项目组其他成员（项目负责人除外）</w:t>
            </w:r>
          </w:p>
        </w:tc>
        <w:tc>
          <w:tcPr>
            <w:tcW w:w="5411" w:type="dxa"/>
            <w:noWrap w:val="0"/>
            <w:vAlign w:val="top"/>
          </w:tcPr>
          <w:p>
            <w:pPr>
              <w:spacing w:line="360" w:lineRule="auto"/>
              <w:ind w:right="-107" w:rightChars="-51"/>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（一）评分内容：</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拟安排项目组其他人员须为投标单位员工，以劳动合同及社保为准，否则本项不得分。（退休返聘人员提供返聘合同或加盖投标人公章的说明函）</w:t>
            </w:r>
          </w:p>
          <w:p>
            <w:pPr>
              <w:spacing w:line="360" w:lineRule="auto"/>
              <w:ind w:right="-107" w:rightChars="-5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（1）项目组其他人员</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驻场人员除外</w:t>
            </w:r>
            <w:r>
              <w:rPr>
                <w:rFonts w:hint="eastAsia" w:ascii="宋体" w:hAnsi="宋体" w:cs="宋体"/>
                <w:color w:val="auto"/>
                <w:sz w:val="24"/>
                <w:szCs w:val="24"/>
                <w:lang w:eastAsia="zh-CN"/>
              </w:rPr>
              <w:t>）</w:t>
            </w:r>
            <w:r>
              <w:rPr>
                <w:rFonts w:hint="eastAsia" w:ascii="宋体" w:hAnsi="宋体" w:eastAsia="宋体" w:cs="宋体"/>
                <w:color w:val="auto"/>
                <w:sz w:val="24"/>
                <w:szCs w:val="24"/>
              </w:rPr>
              <w:t>有两位及以上为中级审计师/中级会计师（或以上）或会计（或审计）专业本科（或以上）学历或有类似项目经验，且从事财务、审计相关工作年限5年（含）以上的，得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分；有一位的，得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分；否则不得分。</w:t>
            </w:r>
            <w:r>
              <w:rPr>
                <w:rFonts w:hint="eastAsia" w:ascii="宋体" w:hAnsi="宋体" w:cs="宋体"/>
                <w:color w:val="auto"/>
                <w:sz w:val="24"/>
                <w:szCs w:val="24"/>
                <w:lang w:eastAsia="zh-CN"/>
              </w:rPr>
              <w:t>本小项最高得</w:t>
            </w:r>
            <w:r>
              <w:rPr>
                <w:rFonts w:hint="eastAsia" w:ascii="宋体" w:hAnsi="宋体" w:cs="宋体"/>
                <w:color w:val="auto"/>
                <w:sz w:val="24"/>
                <w:szCs w:val="24"/>
                <w:lang w:val="en-US" w:eastAsia="zh-CN"/>
              </w:rPr>
              <w:t>4分。</w:t>
            </w:r>
            <w:r>
              <w:rPr>
                <w:rFonts w:hint="eastAsia" w:ascii="宋体" w:hAnsi="宋体" w:eastAsia="宋体" w:cs="宋体"/>
                <w:color w:val="auto"/>
                <w:sz w:val="24"/>
                <w:szCs w:val="24"/>
              </w:rPr>
              <w:t>（类似</w:t>
            </w:r>
            <w:r>
              <w:rPr>
                <w:rFonts w:hint="eastAsia" w:ascii="宋体" w:hAnsi="宋体" w:eastAsia="宋体" w:cs="宋体"/>
                <w:color w:val="auto"/>
                <w:sz w:val="24"/>
                <w:szCs w:val="24"/>
                <w:lang w:val="zh-CN"/>
              </w:rPr>
              <w:t>项目同上</w:t>
            </w:r>
            <w:r>
              <w:rPr>
                <w:rFonts w:hint="eastAsia" w:ascii="宋体" w:hAnsi="宋体" w:eastAsia="宋体" w:cs="宋体"/>
                <w:color w:val="auto"/>
                <w:sz w:val="24"/>
                <w:szCs w:val="24"/>
              </w:rPr>
              <w:t>）【提供有效合同关键页，通过合同无法证明的可同时提供合同甲方出具的证明】</w:t>
            </w:r>
            <w:r>
              <w:rPr>
                <w:rFonts w:hint="eastAsia" w:ascii="宋体" w:hAnsi="宋体" w:cs="宋体"/>
                <w:color w:val="auto"/>
                <w:sz w:val="24"/>
                <w:szCs w:val="24"/>
                <w:lang w:eastAsia="zh-CN"/>
              </w:rPr>
              <w:t>。</w:t>
            </w:r>
          </w:p>
          <w:p>
            <w:pPr>
              <w:spacing w:line="360" w:lineRule="auto"/>
              <w:ind w:right="-107" w:rightChars="-51"/>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）驻场人员（</w:t>
            </w:r>
            <w:r>
              <w:rPr>
                <w:rFonts w:hint="eastAsia" w:ascii="宋体" w:hAnsi="宋体" w:cs="宋体"/>
                <w:color w:val="auto"/>
                <w:sz w:val="24"/>
                <w:szCs w:val="24"/>
                <w:lang w:val="en-US" w:eastAsia="zh-CN"/>
              </w:rPr>
              <w:t>1名</w:t>
            </w:r>
            <w:r>
              <w:rPr>
                <w:rFonts w:hint="eastAsia" w:ascii="宋体" w:hAnsi="宋体" w:cs="宋体"/>
                <w:color w:val="auto"/>
                <w:sz w:val="24"/>
                <w:szCs w:val="24"/>
                <w:lang w:eastAsia="zh-CN"/>
              </w:rPr>
              <w:t>）取得中级审计师/中级会计师（或以上）资格证书的，得</w:t>
            </w:r>
            <w:r>
              <w:rPr>
                <w:rFonts w:hint="eastAsia" w:ascii="宋体" w:hAnsi="宋体" w:cs="宋体"/>
                <w:color w:val="auto"/>
                <w:sz w:val="24"/>
                <w:szCs w:val="24"/>
                <w:lang w:val="en-US" w:eastAsia="zh-CN"/>
              </w:rPr>
              <w:t>2分；</w:t>
            </w:r>
            <w:r>
              <w:rPr>
                <w:rFonts w:hint="eastAsia" w:ascii="宋体" w:hAnsi="宋体" w:cs="宋体"/>
                <w:color w:val="auto"/>
                <w:sz w:val="24"/>
                <w:szCs w:val="24"/>
                <w:lang w:eastAsia="zh-CN"/>
              </w:rPr>
              <w:t>驻场人员具备财务工作经验的，每</w:t>
            </w:r>
            <w:r>
              <w:rPr>
                <w:rFonts w:hint="eastAsia" w:ascii="宋体" w:hAnsi="宋体" w:cs="宋体"/>
                <w:color w:val="auto"/>
                <w:sz w:val="24"/>
                <w:szCs w:val="24"/>
                <w:lang w:val="en-US" w:eastAsia="zh-CN"/>
              </w:rPr>
              <w:t>1年</w:t>
            </w:r>
            <w:r>
              <w:rPr>
                <w:rFonts w:hint="eastAsia" w:ascii="宋体" w:hAnsi="宋体" w:cs="宋体"/>
                <w:color w:val="auto"/>
                <w:sz w:val="24"/>
                <w:szCs w:val="24"/>
                <w:lang w:eastAsia="zh-CN"/>
              </w:rPr>
              <w:t>财务</w:t>
            </w:r>
            <w:r>
              <w:rPr>
                <w:rFonts w:hint="eastAsia" w:ascii="宋体" w:hAnsi="宋体" w:cs="宋体"/>
                <w:color w:val="auto"/>
                <w:sz w:val="24"/>
                <w:szCs w:val="24"/>
                <w:lang w:val="en-US" w:eastAsia="zh-CN"/>
              </w:rPr>
              <w:t>工作</w:t>
            </w:r>
            <w:r>
              <w:rPr>
                <w:rFonts w:hint="eastAsia" w:ascii="宋体" w:hAnsi="宋体" w:eastAsia="宋体" w:cs="宋体"/>
                <w:color w:val="auto"/>
                <w:sz w:val="24"/>
                <w:szCs w:val="24"/>
              </w:rPr>
              <w:t>年限</w:t>
            </w:r>
            <w:r>
              <w:rPr>
                <w:rFonts w:hint="eastAsia" w:ascii="宋体" w:hAnsi="宋体" w:cs="宋体"/>
                <w:color w:val="auto"/>
                <w:sz w:val="24"/>
                <w:szCs w:val="24"/>
                <w:lang w:val="en-US" w:eastAsia="zh-CN"/>
              </w:rPr>
              <w:t>得1分（封顶4分）。</w:t>
            </w:r>
            <w:r>
              <w:rPr>
                <w:rFonts w:hint="eastAsia" w:ascii="宋体" w:hAnsi="宋体" w:cs="宋体"/>
                <w:color w:val="auto"/>
                <w:sz w:val="24"/>
                <w:szCs w:val="24"/>
                <w:lang w:eastAsia="zh-CN"/>
              </w:rPr>
              <w:t>本小项最高得</w:t>
            </w:r>
            <w:r>
              <w:rPr>
                <w:rFonts w:hint="eastAsia" w:ascii="宋体" w:hAnsi="宋体" w:cs="宋体"/>
                <w:color w:val="auto"/>
                <w:sz w:val="24"/>
                <w:szCs w:val="24"/>
                <w:lang w:val="en-US" w:eastAsia="zh-CN"/>
              </w:rPr>
              <w:t>6分。</w:t>
            </w:r>
          </w:p>
          <w:p>
            <w:pPr>
              <w:spacing w:line="360" w:lineRule="auto"/>
              <w:ind w:right="-107" w:rightChars="-51"/>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（二）评分依据：</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（1）要求提供拟安排的项目组其他人员的有效证明文件（劳动合同）及投标截止日前</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个月内任意</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个月的社保证明；如投标人为新成立企业且成立时间不足</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个月可提供情况说明或者证明材料亦视为符合；如依法不需要缴纳社会保险的，应提供相应文件证明；如为退休返聘人员</w:t>
            </w:r>
            <w:r>
              <w:rPr>
                <w:rFonts w:hint="eastAsia" w:ascii="宋体" w:hAnsi="宋体" w:cs="宋体"/>
                <w:color w:val="FF0000"/>
                <w:sz w:val="24"/>
                <w:szCs w:val="24"/>
                <w:lang w:eastAsia="zh-CN"/>
              </w:rPr>
              <w:t>，</w:t>
            </w:r>
            <w:r>
              <w:rPr>
                <w:rFonts w:hint="eastAsia" w:ascii="宋体" w:hAnsi="宋体" w:eastAsia="宋体" w:cs="宋体"/>
                <w:color w:val="auto"/>
                <w:sz w:val="24"/>
                <w:szCs w:val="24"/>
              </w:rPr>
              <w:t>提供返聘合同或加盖投标人公章的说明函。</w:t>
            </w:r>
            <w:r>
              <w:rPr>
                <w:rFonts w:hint="eastAsia" w:ascii="宋体" w:hAnsi="宋体" w:eastAsia="宋体" w:cs="宋体"/>
                <w:color w:val="auto"/>
                <w:sz w:val="24"/>
                <w:szCs w:val="24"/>
                <w:lang w:val="zh-CN"/>
              </w:rPr>
              <w:t>工作年限以投标人出具的盖公章的承诺函为准（格式自拟）。</w:t>
            </w:r>
          </w:p>
          <w:p>
            <w:pPr>
              <w:spacing w:line="360" w:lineRule="auto"/>
              <w:ind w:right="-107" w:rightChars="-51"/>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提供业绩合同关键页（包括但不限于合同封面、合作内容、签订时间及双方盖章页、人员姓名页等）扫描件或复印件，扫描件或复印件加盖投标人公章，原件备查；</w:t>
            </w:r>
          </w:p>
          <w:p>
            <w:pPr>
              <w:pStyle w:val="2"/>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）学历、职称须提供相关证书复印件。</w:t>
            </w:r>
            <w:r>
              <w:rPr>
                <w:rFonts w:hint="eastAsia" w:ascii="宋体" w:hAnsi="宋体" w:cs="宋体"/>
                <w:color w:val="auto"/>
                <w:sz w:val="24"/>
                <w:szCs w:val="24"/>
                <w:lang w:val="en-US" w:eastAsia="zh-CN"/>
              </w:rPr>
              <w:t>学历</w:t>
            </w:r>
            <w:r>
              <w:rPr>
                <w:rFonts w:hint="eastAsia" w:ascii="宋体" w:hAnsi="宋体" w:eastAsia="宋体" w:cs="宋体"/>
                <w:color w:val="auto"/>
                <w:sz w:val="24"/>
                <w:szCs w:val="24"/>
                <w:lang w:val="zh-CN"/>
              </w:rPr>
              <w:t>要求提供毕业证书复印件（或原件扫描件）以及学信网查询记录。对于较早颁发的学历证书，学信网无法查询的，要求提供证书复印件和其他佐证材料（如毕业院校、人社部门等颁发机构或监管机构等单位出具的证明）作为得分的依据（若为境外留学学历，无需提供学信网查询记录，需提供教育部留学服务中心出具的学历学位认证书）。</w:t>
            </w:r>
          </w:p>
          <w:p>
            <w:pPr>
              <w:spacing w:line="360" w:lineRule="auto"/>
              <w:ind w:right="-107" w:rightChars="-51"/>
              <w:rPr>
                <w:rFonts w:hint="eastAsia" w:ascii="宋体" w:hAnsi="宋体" w:eastAsia="宋体" w:cs="宋体"/>
                <w:color w:val="auto"/>
                <w:sz w:val="24"/>
                <w:szCs w:val="24"/>
              </w:rPr>
            </w:pPr>
            <w:r>
              <w:rPr>
                <w:rFonts w:hint="eastAsia" w:ascii="宋体" w:hAnsi="宋体" w:eastAsia="宋体" w:cs="宋体"/>
                <w:color w:val="auto"/>
                <w:sz w:val="24"/>
                <w:szCs w:val="24"/>
              </w:rPr>
              <w:t>以上资料均要求提供扫描件或复印件，加盖投标人公章。无法提供该项不得分。</w:t>
            </w:r>
          </w:p>
        </w:tc>
        <w:tc>
          <w:tcPr>
            <w:tcW w:w="894" w:type="dxa"/>
            <w:noWrap w:val="0"/>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829" w:type="dxa"/>
            <w:noWrap w:val="0"/>
            <w:vAlign w:val="center"/>
          </w:tcPr>
          <w:p>
            <w:pPr>
              <w:widowControl/>
              <w:jc w:val="center"/>
              <w:textAlignment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4</w:t>
            </w:r>
          </w:p>
        </w:tc>
        <w:tc>
          <w:tcPr>
            <w:tcW w:w="1223" w:type="dxa"/>
            <w:shd w:val="clear" w:color="auto" w:fill="auto"/>
            <w:noWrap w:val="0"/>
            <w:vAlign w:val="center"/>
          </w:tcPr>
          <w:p>
            <w:pPr>
              <w:autoSpaceDE w:val="0"/>
              <w:autoSpaceDN w:val="0"/>
              <w:adjustRightInd w:val="0"/>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诚信声明与承诺</w:t>
            </w:r>
          </w:p>
        </w:tc>
        <w:tc>
          <w:tcPr>
            <w:tcW w:w="5411" w:type="dxa"/>
            <w:shd w:val="clear" w:color="auto" w:fill="auto"/>
            <w:noWrap w:val="0"/>
            <w:vAlign w:val="center"/>
          </w:tcPr>
          <w:p>
            <w:pPr>
              <w:spacing w:line="360" w:lineRule="auto"/>
              <w:rPr>
                <w:rFonts w:hint="eastAsia" w:ascii="宋体" w:hAnsi="宋体" w:cs="宋体"/>
                <w:color w:val="auto"/>
                <w:sz w:val="24"/>
              </w:rPr>
            </w:pPr>
            <w:r>
              <w:rPr>
                <w:rFonts w:hint="eastAsia" w:ascii="宋体" w:hAnsi="宋体" w:cs="宋体"/>
                <w:color w:val="auto"/>
                <w:sz w:val="24"/>
              </w:rPr>
              <w:t>（一）评分内容：</w:t>
            </w:r>
          </w:p>
          <w:p>
            <w:pPr>
              <w:spacing w:line="360" w:lineRule="auto"/>
              <w:rPr>
                <w:rFonts w:hint="eastAsia" w:ascii="宋体" w:hAnsi="宋体" w:cs="宋体"/>
                <w:color w:val="auto"/>
                <w:sz w:val="24"/>
              </w:rPr>
            </w:pPr>
            <w:r>
              <w:rPr>
                <w:rFonts w:hint="eastAsia" w:ascii="宋体" w:hAnsi="宋体" w:cs="宋体"/>
                <w:color w:val="auto"/>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（二）评分依据</w:t>
            </w:r>
            <w:bookmarkStart w:id="44" w:name="_GoBack"/>
            <w:bookmarkEnd w:id="44"/>
            <w:r>
              <w:rPr>
                <w:rFonts w:hint="eastAsia" w:ascii="宋体" w:hAnsi="宋体" w:cs="宋体"/>
                <w:color w:val="auto"/>
                <w:sz w:val="24"/>
                <w:lang w:eastAsia="zh-CN"/>
              </w:rPr>
              <w:t>：</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1、投标人提供诚信声明与承诺加盖公章；</w:t>
            </w:r>
          </w:p>
          <w:p>
            <w:pPr>
              <w:spacing w:line="360" w:lineRule="auto"/>
              <w:rPr>
                <w:rFonts w:hint="eastAsia" w:ascii="宋体" w:hAnsi="宋体" w:eastAsia="宋体" w:cs="宋体"/>
                <w:color w:val="auto"/>
                <w:kern w:val="0"/>
                <w:sz w:val="24"/>
                <w:szCs w:val="24"/>
                <w:lang w:val="zh-CN" w:eastAsia="zh-CN" w:bidi="ar-SA"/>
              </w:rPr>
            </w:pPr>
            <w:r>
              <w:rPr>
                <w:rFonts w:hint="eastAsia" w:ascii="宋体" w:hAnsi="宋体" w:cs="宋体"/>
                <w:color w:val="auto"/>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auto"/>
                <w:sz w:val="24"/>
              </w:rPr>
              <w:t>。</w:t>
            </w:r>
          </w:p>
        </w:tc>
        <w:tc>
          <w:tcPr>
            <w:tcW w:w="894" w:type="dxa"/>
            <w:shd w:val="clear" w:color="auto" w:fill="auto"/>
            <w:noWrap w:val="0"/>
            <w:vAlign w:val="center"/>
          </w:tcPr>
          <w:p>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w:t>
            </w:r>
          </w:p>
        </w:tc>
        <w:tc>
          <w:tcPr>
            <w:tcW w:w="829" w:type="dxa"/>
            <w:shd w:val="clear" w:color="auto" w:fill="auto"/>
            <w:noWrap w:val="0"/>
            <w:vAlign w:val="center"/>
          </w:tcPr>
          <w:p>
            <w:pPr>
              <w:spacing w:line="360" w:lineRule="auto"/>
              <w:jc w:val="center"/>
              <w:rPr>
                <w:rFonts w:hint="eastAsia" w:ascii="宋体" w:hAnsi="宋体" w:eastAsia="宋体" w:cs="宋体"/>
                <w:color w:val="auto"/>
                <w:kern w:val="2"/>
                <w:sz w:val="24"/>
                <w:szCs w:val="24"/>
                <w:lang w:val="zh-CN" w:eastAsia="zh-CN" w:bidi="ar-SA"/>
              </w:rPr>
            </w:pPr>
            <w:r>
              <w:rPr>
                <w:rFonts w:hint="eastAsia" w:ascii="宋体" w:hAnsi="宋体" w:cs="宋体"/>
                <w:color w:val="auto"/>
                <w:sz w:val="24"/>
                <w:lang w:val="zh-CN"/>
              </w:rPr>
              <w:t>评审委员打分</w:t>
            </w:r>
          </w:p>
        </w:tc>
      </w:tr>
    </w:tbl>
    <w:p>
      <w:pPr>
        <w:pStyle w:val="3"/>
        <w:rPr>
          <w:color w:val="auto"/>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rPr>
      </w:pPr>
      <w:bookmarkStart w:id="31" w:name="_Toc9548"/>
      <w:bookmarkStart w:id="32" w:name="_Hlk28269117"/>
      <w:r>
        <w:rPr>
          <w:rFonts w:hint="eastAsia" w:ascii="宋体" w:hAnsi="宋体" w:cs="宋体"/>
          <w:b/>
          <w:bCs/>
          <w:color w:val="auto"/>
          <w:sz w:val="24"/>
        </w:rPr>
        <w:t>第七章 附件（投标文件格式）</w:t>
      </w:r>
      <w:bookmarkEnd w:id="31"/>
    </w:p>
    <w:p>
      <w:pPr>
        <w:keepNext/>
        <w:keepLines/>
        <w:spacing w:before="260" w:after="260" w:line="440" w:lineRule="exact"/>
        <w:jc w:val="center"/>
        <w:outlineLvl w:val="1"/>
        <w:rPr>
          <w:rFonts w:hint="eastAsia" w:ascii="宋体" w:hAnsi="宋体" w:cs="宋体"/>
          <w:b/>
          <w:bCs/>
          <w:color w:val="auto"/>
          <w:sz w:val="24"/>
        </w:rPr>
      </w:pPr>
      <w:bookmarkStart w:id="33" w:name="_Toc19494"/>
      <w:bookmarkStart w:id="34" w:name="_Toc6548"/>
      <w:bookmarkStart w:id="35" w:name="_Toc5116"/>
      <w:bookmarkStart w:id="36" w:name="_Toc31827"/>
      <w:r>
        <w:rPr>
          <w:rFonts w:hint="eastAsia" w:ascii="宋体" w:hAnsi="宋体" w:cs="宋体"/>
          <w:b/>
          <w:bCs/>
          <w:color w:val="auto"/>
          <w:sz w:val="24"/>
        </w:rPr>
        <w:t>1、投标文件密封袋/封面参考</w:t>
      </w:r>
      <w:bookmarkEnd w:id="33"/>
      <w:bookmarkEnd w:id="34"/>
      <w:bookmarkEnd w:id="35"/>
      <w:bookmarkEnd w:id="36"/>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9"/>
              <w:tabs>
                <w:tab w:val="left" w:pos="562"/>
                <w:tab w:val="left" w:pos="3372"/>
                <w:tab w:val="left" w:pos="3653"/>
              </w:tabs>
              <w:spacing w:line="360" w:lineRule="auto"/>
              <w:rPr>
                <w:rFonts w:ascii="仿宋_GB2312" w:eastAsia="仿宋_GB2312"/>
                <w:b/>
                <w:color w:val="auto"/>
                <w:sz w:val="32"/>
              </w:rPr>
            </w:pPr>
          </w:p>
          <w:p>
            <w:pPr>
              <w:pStyle w:val="9"/>
              <w:tabs>
                <w:tab w:val="left" w:pos="562"/>
                <w:tab w:val="left" w:pos="3372"/>
                <w:tab w:val="left" w:pos="3653"/>
              </w:tabs>
              <w:spacing w:line="360" w:lineRule="auto"/>
              <w:jc w:val="center"/>
              <w:rPr>
                <w:rFonts w:ascii="黑体" w:eastAsia="黑体"/>
                <w:b/>
                <w:color w:val="auto"/>
                <w:sz w:val="72"/>
                <w:szCs w:val="72"/>
              </w:rPr>
            </w:pPr>
          </w:p>
          <w:p>
            <w:pPr>
              <w:pStyle w:val="9"/>
              <w:tabs>
                <w:tab w:val="left" w:pos="562"/>
                <w:tab w:val="left" w:pos="3372"/>
                <w:tab w:val="left" w:pos="3653"/>
              </w:tabs>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9"/>
              <w:tabs>
                <w:tab w:val="left" w:pos="562"/>
                <w:tab w:val="left" w:pos="3372"/>
                <w:tab w:val="left" w:pos="3653"/>
              </w:tabs>
              <w:spacing w:line="360" w:lineRule="auto"/>
              <w:jc w:val="center"/>
              <w:rPr>
                <w:rFonts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9"/>
              <w:tabs>
                <w:tab w:val="left" w:pos="562"/>
                <w:tab w:val="left" w:pos="3372"/>
                <w:tab w:val="left" w:pos="3653"/>
              </w:tabs>
              <w:spacing w:line="360" w:lineRule="auto"/>
              <w:rPr>
                <w:rFonts w:ascii="仿宋_GB2312" w:eastAsia="仿宋_GB2312"/>
                <w:b/>
                <w:color w:val="auto"/>
                <w:sz w:val="32"/>
              </w:rPr>
            </w:pPr>
          </w:p>
          <w:p>
            <w:pPr>
              <w:rPr>
                <w:color w:val="auto"/>
              </w:rPr>
            </w:pPr>
          </w:p>
          <w:p>
            <w:pPr>
              <w:pStyle w:val="9"/>
              <w:tabs>
                <w:tab w:val="left" w:pos="562"/>
                <w:tab w:val="left" w:pos="3372"/>
                <w:tab w:val="left" w:pos="3653"/>
              </w:tabs>
              <w:spacing w:line="400" w:lineRule="exact"/>
              <w:ind w:firstLine="900" w:firstLineChars="320"/>
              <w:rPr>
                <w:rFonts w:ascii="仿宋_GB2312" w:eastAsia="仿宋_GB2312"/>
                <w:b/>
                <w:color w:val="auto"/>
                <w:sz w:val="28"/>
                <w:szCs w:val="28"/>
              </w:rPr>
            </w:pP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9"/>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9"/>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hint="eastAsia" w:ascii="宋体" w:hAnsi="宋体" w:cs="Arial"/>
                <w:b/>
                <w:bCs/>
                <w:color w:val="auto"/>
                <w:sz w:val="28"/>
                <w:szCs w:val="28"/>
              </w:rPr>
            </w:pPr>
          </w:p>
          <w:p>
            <w:pPr>
              <w:spacing w:line="360" w:lineRule="auto"/>
              <w:jc w:val="center"/>
              <w:rPr>
                <w:rFonts w:hint="eastAsia" w:ascii="宋体" w:hAnsi="宋体" w:cs="Arial"/>
                <w:b/>
                <w:bCs/>
                <w:color w:val="auto"/>
                <w:sz w:val="28"/>
                <w:szCs w:val="28"/>
              </w:rPr>
            </w:pPr>
          </w:p>
          <w:p>
            <w:pPr>
              <w:spacing w:line="360" w:lineRule="auto"/>
              <w:jc w:val="center"/>
              <w:rPr>
                <w:rFonts w:ascii="仿宋_GB2312" w:eastAsia="仿宋_GB2312"/>
                <w:b/>
                <w:color w:val="auto"/>
                <w:sz w:val="32"/>
              </w:rPr>
            </w:pPr>
            <w:r>
              <w:rPr>
                <w:rFonts w:hint="eastAsia" w:ascii="宋体" w:hAnsi="宋体" w:cs="Arial"/>
                <w:b/>
                <w:bCs/>
                <w:color w:val="auto"/>
                <w:sz w:val="28"/>
                <w:szCs w:val="28"/>
              </w:rPr>
              <w:t>【年月日时分之前不得启封。】</w:t>
            </w:r>
          </w:p>
        </w:tc>
      </w:tr>
    </w:tbl>
    <w:p>
      <w:pPr>
        <w:spacing w:line="360" w:lineRule="auto"/>
        <w:jc w:val="center"/>
        <w:rPr>
          <w:rFonts w:hint="eastAsia" w:ascii="宋体" w:hAnsi="宋体" w:cs="宋体"/>
          <w:b/>
          <w:bCs/>
          <w:color w:val="auto"/>
          <w:sz w:val="24"/>
        </w:rPr>
      </w:pPr>
    </w:p>
    <w:p>
      <w:pPr>
        <w:spacing w:before="100" w:beforeAutospacing="1" w:after="100" w:afterAutospacing="1"/>
        <w:jc w:val="center"/>
        <w:outlineLvl w:val="1"/>
        <w:rPr>
          <w:rFonts w:hint="eastAsia" w:ascii="宋体" w:hAnsi="宋体" w:cs="宋体"/>
          <w:b/>
          <w:color w:val="auto"/>
          <w:sz w:val="24"/>
        </w:rPr>
      </w:pPr>
      <w:bookmarkStart w:id="37" w:name="_Toc16724"/>
      <w:r>
        <w:rPr>
          <w:rFonts w:hint="eastAsia" w:ascii="宋体" w:hAnsi="宋体" w:cs="宋体"/>
          <w:b/>
          <w:color w:val="auto"/>
          <w:sz w:val="24"/>
        </w:rPr>
        <w:t>2、投标文件—目录</w:t>
      </w:r>
      <w:bookmarkEnd w:id="37"/>
    </w:p>
    <w:p>
      <w:pPr>
        <w:spacing w:line="360" w:lineRule="auto"/>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6"/>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投标一览表；</w:t>
      </w:r>
    </w:p>
    <w:p>
      <w:pPr>
        <w:numPr>
          <w:ilvl w:val="0"/>
          <w:numId w:val="6"/>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分类报价明细表；</w:t>
      </w:r>
    </w:p>
    <w:p>
      <w:pPr>
        <w:spacing w:line="360" w:lineRule="auto"/>
        <w:rPr>
          <w:rFonts w:hint="eastAsia" w:ascii="宋体" w:hAnsi="宋体" w:cs="宋体"/>
          <w:b/>
          <w:bCs/>
          <w:color w:val="auto"/>
          <w:sz w:val="24"/>
          <w:u w:val="wave"/>
        </w:rPr>
      </w:pPr>
      <w:r>
        <w:rPr>
          <w:rFonts w:hint="eastAsia" w:ascii="宋体" w:hAnsi="宋体" w:cs="宋体"/>
          <w:b/>
          <w:bCs/>
          <w:color w:val="auto"/>
          <w:sz w:val="24"/>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法定代表人授权书及身份证明；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cs="宋体"/>
          <w:color w:val="auto"/>
          <w:sz w:val="24"/>
          <w:lang w:val="fr-CH"/>
        </w:rPr>
        <w:t>投标人简介</w:t>
      </w:r>
      <w:r>
        <w:rPr>
          <w:rFonts w:hint="eastAsia" w:ascii="宋体" w:hAnsi="宋体" w:eastAsia="宋体" w:cs="宋体"/>
          <w:color w:val="auto"/>
          <w:sz w:val="24"/>
          <w:lang w:val="fr-CH"/>
        </w:rPr>
        <w:t>；</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投标人类似项目经验；</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拟派本项目负责人（1人）；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项目组其他成员（项目负责人除外）；</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对项目需求的响应及理解；</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项目重点难点分析、应对措施；</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质量（完成时间、安全）保障措施及方案；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9"/>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t>投标一览表；</w:t>
      </w:r>
    </w:p>
    <w:p>
      <w:pPr>
        <w:spacing w:line="360" w:lineRule="auto"/>
        <w:rPr>
          <w:rFonts w:hint="eastAsia" w:ascii="宋体" w:hAnsi="宋体" w:cs="宋体"/>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投标一览表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21"/>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投标价</w:t>
            </w:r>
          </w:p>
          <w:p>
            <w:pPr>
              <w:spacing w:after="60" w:line="360" w:lineRule="auto"/>
              <w:jc w:val="center"/>
              <w:rPr>
                <w:rFonts w:hint="eastAsia"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hint="eastAsia" w:ascii="宋体" w:hAnsi="宋体" w:cs="宋体"/>
                <w:color w:val="auto"/>
                <w:sz w:val="24"/>
                <w:u w:val="single"/>
              </w:rPr>
            </w:pPr>
          </w:p>
        </w:tc>
        <w:tc>
          <w:tcPr>
            <w:tcW w:w="2896" w:type="dxa"/>
            <w:noWrap w:val="0"/>
            <w:vAlign w:val="center"/>
          </w:tcPr>
          <w:p>
            <w:pPr>
              <w:spacing w:line="360" w:lineRule="auto"/>
              <w:jc w:val="center"/>
              <w:rPr>
                <w:rFonts w:hint="eastAsia" w:ascii="宋体" w:hAnsi="宋体" w:cs="宋体"/>
                <w:color w:val="auto"/>
                <w:sz w:val="24"/>
                <w:u w:val="single"/>
              </w:rPr>
            </w:pPr>
          </w:p>
        </w:tc>
        <w:tc>
          <w:tcPr>
            <w:tcW w:w="1318" w:type="dxa"/>
            <w:noWrap w:val="0"/>
            <w:vAlign w:val="center"/>
          </w:tcPr>
          <w:p>
            <w:pPr>
              <w:spacing w:line="360" w:lineRule="auto"/>
              <w:jc w:val="center"/>
              <w:rPr>
                <w:rFonts w:hint="eastAsia" w:ascii="宋体" w:hAnsi="宋体" w:cs="宋体"/>
                <w:color w:val="auto"/>
                <w:sz w:val="24"/>
                <w:u w:val="single"/>
              </w:rPr>
            </w:pP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9"/>
        <w:rPr>
          <w:color w:val="auto"/>
        </w:rPr>
      </w:pPr>
    </w:p>
    <w:p>
      <w:pPr>
        <w:numPr>
          <w:ilvl w:val="0"/>
          <w:numId w:val="9"/>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分项报价清单；</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分项报价清单</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p>
    <w:tbl>
      <w:tblPr>
        <w:tblStyle w:val="2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序号</w:t>
            </w:r>
          </w:p>
        </w:tc>
        <w:tc>
          <w:tcPr>
            <w:tcW w:w="2212" w:type="dxa"/>
            <w:noWrap w:val="0"/>
            <w:vAlign w:val="center"/>
          </w:tcPr>
          <w:p>
            <w:pPr>
              <w:pStyle w:val="11"/>
              <w:spacing w:line="360" w:lineRule="auto"/>
              <w:jc w:val="center"/>
              <w:rPr>
                <w:rFonts w:hint="eastAsia" w:hAnsi="宋体" w:cs="宋体"/>
                <w:color w:val="auto"/>
                <w:sz w:val="24"/>
              </w:rPr>
            </w:pPr>
            <w:r>
              <w:rPr>
                <w:rFonts w:hint="eastAsia" w:hAnsi="宋体" w:cs="宋体"/>
                <w:color w:val="auto"/>
                <w:sz w:val="24"/>
              </w:rPr>
              <w:t>项目名称、内容</w:t>
            </w:r>
          </w:p>
        </w:tc>
        <w:tc>
          <w:tcPr>
            <w:tcW w:w="720" w:type="dxa"/>
            <w:noWrap w:val="0"/>
            <w:vAlign w:val="center"/>
          </w:tcPr>
          <w:p>
            <w:pPr>
              <w:pStyle w:val="11"/>
              <w:spacing w:line="360" w:lineRule="auto"/>
              <w:jc w:val="center"/>
              <w:rPr>
                <w:rFonts w:hint="eastAsia" w:hAnsi="宋体" w:cs="宋体"/>
                <w:color w:val="auto"/>
                <w:sz w:val="24"/>
              </w:rPr>
            </w:pPr>
            <w:r>
              <w:rPr>
                <w:rFonts w:hint="eastAsia" w:hAnsi="宋体" w:cs="宋体"/>
                <w:color w:val="auto"/>
                <w:sz w:val="24"/>
              </w:rPr>
              <w:t>单位</w:t>
            </w:r>
          </w:p>
        </w:tc>
        <w:tc>
          <w:tcPr>
            <w:tcW w:w="1800" w:type="dxa"/>
            <w:noWrap w:val="0"/>
            <w:vAlign w:val="center"/>
          </w:tcPr>
          <w:p>
            <w:pPr>
              <w:pStyle w:val="11"/>
              <w:spacing w:line="360" w:lineRule="auto"/>
              <w:jc w:val="center"/>
              <w:rPr>
                <w:rFonts w:hint="eastAsia" w:hAnsi="宋体" w:cs="宋体"/>
                <w:color w:val="auto"/>
                <w:sz w:val="24"/>
              </w:rPr>
            </w:pPr>
            <w:r>
              <w:rPr>
                <w:rFonts w:hint="eastAsia" w:hAnsi="宋体" w:cs="宋体"/>
                <w:color w:val="auto"/>
                <w:sz w:val="24"/>
              </w:rPr>
              <w:t>数量（工作量）</w:t>
            </w:r>
          </w:p>
        </w:tc>
        <w:tc>
          <w:tcPr>
            <w:tcW w:w="1620" w:type="dxa"/>
            <w:noWrap w:val="0"/>
            <w:vAlign w:val="center"/>
          </w:tcPr>
          <w:p>
            <w:pPr>
              <w:pStyle w:val="11"/>
              <w:spacing w:line="360" w:lineRule="auto"/>
              <w:jc w:val="center"/>
              <w:rPr>
                <w:rFonts w:hint="eastAsia" w:hAnsi="宋体" w:cs="宋体"/>
                <w:color w:val="auto"/>
                <w:sz w:val="24"/>
              </w:rPr>
            </w:pPr>
            <w:r>
              <w:rPr>
                <w:rFonts w:hint="eastAsia" w:hAnsi="宋体" w:cs="宋体"/>
                <w:color w:val="auto"/>
                <w:sz w:val="24"/>
              </w:rPr>
              <w:t>单价</w:t>
            </w:r>
          </w:p>
        </w:tc>
        <w:tc>
          <w:tcPr>
            <w:tcW w:w="1620" w:type="dxa"/>
            <w:noWrap w:val="0"/>
            <w:vAlign w:val="center"/>
          </w:tcPr>
          <w:p>
            <w:pPr>
              <w:pStyle w:val="11"/>
              <w:spacing w:line="360" w:lineRule="auto"/>
              <w:jc w:val="center"/>
              <w:rPr>
                <w:rFonts w:hint="eastAsia"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1</w:t>
            </w:r>
          </w:p>
        </w:tc>
        <w:tc>
          <w:tcPr>
            <w:tcW w:w="2212" w:type="dxa"/>
            <w:noWrap w:val="0"/>
            <w:vAlign w:val="center"/>
          </w:tcPr>
          <w:p>
            <w:pPr>
              <w:pStyle w:val="11"/>
              <w:spacing w:line="360" w:lineRule="auto"/>
              <w:jc w:val="center"/>
              <w:rPr>
                <w:rFonts w:hint="eastAsia"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hint="eastAsia" w:ascii="宋体" w:hAnsi="宋体" w:cs="宋体"/>
                <w:color w:val="auto"/>
                <w:sz w:val="24"/>
              </w:rPr>
            </w:pP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1"/>
              <w:spacing w:line="360" w:lineRule="auto"/>
              <w:jc w:val="center"/>
              <w:rPr>
                <w:rFonts w:hint="eastAsia" w:hAnsi="宋体" w:cs="宋体"/>
                <w:color w:val="auto"/>
                <w:sz w:val="24"/>
              </w:rPr>
            </w:pPr>
            <w:r>
              <w:rPr>
                <w:rFonts w:hint="eastAsia" w:hAnsi="宋体" w:cs="宋体"/>
                <w:color w:val="auto"/>
                <w:sz w:val="24"/>
              </w:rPr>
              <w:t>…</w:t>
            </w:r>
          </w:p>
        </w:tc>
        <w:tc>
          <w:tcPr>
            <w:tcW w:w="2212" w:type="dxa"/>
            <w:noWrap w:val="0"/>
            <w:vAlign w:val="center"/>
          </w:tcPr>
          <w:p>
            <w:pPr>
              <w:pStyle w:val="11"/>
              <w:spacing w:line="360" w:lineRule="auto"/>
              <w:jc w:val="center"/>
              <w:rPr>
                <w:rFonts w:hint="eastAsia" w:hAnsi="宋体" w:cs="宋体"/>
                <w:color w:val="auto"/>
                <w:sz w:val="24"/>
              </w:rPr>
            </w:pPr>
            <w:r>
              <w:rPr>
                <w:rFonts w:hint="eastAsia" w:hAnsi="宋体" w:cs="宋体"/>
                <w:color w:val="auto"/>
                <w:sz w:val="24"/>
              </w:rPr>
              <w:t>…</w:t>
            </w:r>
          </w:p>
        </w:tc>
        <w:tc>
          <w:tcPr>
            <w:tcW w:w="720" w:type="dxa"/>
            <w:noWrap w:val="0"/>
            <w:vAlign w:val="center"/>
          </w:tcPr>
          <w:p>
            <w:pPr>
              <w:pStyle w:val="11"/>
              <w:spacing w:line="360" w:lineRule="auto"/>
              <w:jc w:val="center"/>
              <w:rPr>
                <w:rFonts w:hint="eastAsia" w:hAnsi="宋体" w:cs="宋体"/>
                <w:color w:val="auto"/>
                <w:sz w:val="24"/>
              </w:rPr>
            </w:pPr>
          </w:p>
        </w:tc>
        <w:tc>
          <w:tcPr>
            <w:tcW w:w="180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c>
          <w:tcPr>
            <w:tcW w:w="1620" w:type="dxa"/>
            <w:noWrap w:val="0"/>
            <w:vAlign w:val="center"/>
          </w:tcPr>
          <w:p>
            <w:pPr>
              <w:pStyle w:val="11"/>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11"/>
              <w:spacing w:line="360" w:lineRule="auto"/>
              <w:rPr>
                <w:rFonts w:hint="eastAsia" w:hAnsi="宋体" w:cs="宋体"/>
                <w:color w:val="auto"/>
                <w:sz w:val="24"/>
              </w:rPr>
            </w:pPr>
            <w:r>
              <w:rPr>
                <w:rFonts w:hint="eastAsia" w:hAnsi="宋体" w:cs="宋体"/>
                <w:color w:val="auto"/>
                <w:sz w:val="24"/>
              </w:rPr>
              <w:t>报价合计</w:t>
            </w: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outlineLvl w:val="2"/>
        <w:rPr>
          <w:rFonts w:hint="eastAsia"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投标响应书</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hint="eastAsia"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hint="eastAsia"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hint="eastAsia"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hint="eastAsia"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9"/>
        <w:rPr>
          <w:color w:val="auto"/>
        </w:rPr>
      </w:pP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sz w:val="24"/>
          <w:lang w:val="fr-CH"/>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spacing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政府采购投标及履约承诺函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rPr>
        <w:t>。</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hAnsi="宋体" w:cs="宋体"/>
          <w:color w:val="auto"/>
        </w:rPr>
        <w:br w:type="page"/>
      </w:r>
      <w:r>
        <w:rPr>
          <w:rFonts w:hint="eastAsia" w:ascii="宋体" w:hAnsi="宋体" w:cs="宋体"/>
          <w:color w:val="auto"/>
          <w:sz w:val="24"/>
        </w:rPr>
        <w:t>关于资格的声明函；</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关于资格的声明函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hint="eastAsia"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rPr>
      </w:pPr>
      <w:r>
        <w:rPr>
          <w:rFonts w:hint="eastAsia" w:ascii="宋体" w:hAnsi="宋体" w:cs="宋体"/>
          <w:color w:val="auto"/>
          <w:sz w:val="24"/>
        </w:rPr>
        <w:t>特此承诺！</w:t>
      </w:r>
    </w:p>
    <w:p>
      <w:pPr>
        <w:spacing w:line="360" w:lineRule="auto"/>
        <w:ind w:left="420"/>
        <w:rPr>
          <w:rFonts w:hint="eastAsia" w:ascii="宋体" w:hAnsi="宋体" w:cs="宋体"/>
          <w:color w:val="auto"/>
          <w:sz w:val="24"/>
        </w:rPr>
      </w:pPr>
    </w:p>
    <w:p>
      <w:pPr>
        <w:tabs>
          <w:tab w:val="left" w:pos="4860"/>
        </w:tabs>
        <w:adjustRightInd w:val="0"/>
        <w:snapToGrid w:val="0"/>
        <w:spacing w:line="360" w:lineRule="auto"/>
        <w:ind w:right="105" w:rightChars="50"/>
        <w:rPr>
          <w:rFonts w:hint="eastAsia" w:ascii="宋体" w:hAnsi="宋体" w:cs="宋体"/>
          <w:color w:val="auto"/>
          <w:sz w:val="24"/>
        </w:rPr>
      </w:pPr>
      <w:r>
        <w:rPr>
          <w:rFonts w:hint="eastAsia" w:ascii="宋体" w:hAnsi="宋体" w:cs="宋体"/>
          <w:color w:val="auto"/>
          <w:sz w:val="24"/>
        </w:rPr>
        <w:t>投标供应商名称（盖章）：</w:t>
      </w:r>
    </w:p>
    <w:p>
      <w:pPr>
        <w:spacing w:line="360" w:lineRule="auto"/>
        <w:rPr>
          <w:rFonts w:hint="eastAsia" w:ascii="宋体" w:hAnsi="宋体" w:cs="宋体"/>
          <w:color w:val="auto"/>
          <w:kern w:val="0"/>
          <w:sz w:val="24"/>
        </w:rPr>
      </w:pPr>
      <w:r>
        <w:rPr>
          <w:rFonts w:hint="eastAsia" w:ascii="宋体" w:hAnsi="宋体" w:cs="宋体"/>
          <w:color w:val="auto"/>
          <w:sz w:val="24"/>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法定代表人证明书及身份证明；</w:t>
      </w:r>
    </w:p>
    <w:p>
      <w:pPr>
        <w:spacing w:before="120" w:after="120" w:line="360" w:lineRule="auto"/>
        <w:jc w:val="center"/>
        <w:rPr>
          <w:rFonts w:hint="eastAsia" w:ascii="宋体" w:hAnsi="宋体" w:cs="宋体"/>
          <w:b/>
          <w:color w:val="auto"/>
          <w:sz w:val="24"/>
        </w:rPr>
      </w:pPr>
    </w:p>
    <w:p>
      <w:pPr>
        <w:spacing w:before="120" w:after="120" w:line="360" w:lineRule="auto"/>
        <w:jc w:val="center"/>
        <w:rPr>
          <w:rFonts w:hint="eastAsia" w:ascii="宋体" w:hAnsi="宋体" w:cs="宋体"/>
          <w:color w:val="auto"/>
          <w:sz w:val="24"/>
          <w:u w:val="single"/>
        </w:rPr>
      </w:pPr>
      <w:r>
        <w:rPr>
          <w:rFonts w:hint="eastAsia" w:ascii="宋体" w:hAnsi="宋体" w:cs="宋体"/>
          <w:b/>
          <w:color w:val="auto"/>
          <w:sz w:val="24"/>
        </w:rPr>
        <w:t>法定代表人证明书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hint="eastAsia"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hint="eastAsia" w:ascii="宋体" w:hAnsi="宋体" w:cs="宋体"/>
          <w:color w:val="auto"/>
          <w:sz w:val="24"/>
        </w:rPr>
      </w:pPr>
      <w:r>
        <w:rPr>
          <w:rFonts w:hint="eastAsia" w:ascii="宋体" w:hAnsi="宋体" w:cs="宋体"/>
          <w:color w:val="auto"/>
          <w:sz w:val="24"/>
        </w:rPr>
        <w:t>附：代表人性别：   年龄：      身份证号码：</w:t>
      </w:r>
    </w:p>
    <w:p>
      <w:pPr>
        <w:spacing w:line="360" w:lineRule="auto"/>
        <w:rPr>
          <w:rFonts w:hint="eastAsia" w:ascii="宋体" w:hAnsi="宋体" w:cs="宋体"/>
          <w:color w:val="auto"/>
          <w:sz w:val="24"/>
        </w:rPr>
      </w:pPr>
      <w:r>
        <w:rPr>
          <w:rFonts w:hint="eastAsia" w:ascii="宋体" w:hAnsi="宋体" w:cs="宋体"/>
          <w:color w:val="auto"/>
          <w:sz w:val="24"/>
        </w:rPr>
        <w:t>营业执照号码：                 经济性质：</w:t>
      </w:r>
    </w:p>
    <w:p>
      <w:pPr>
        <w:spacing w:line="360" w:lineRule="auto"/>
        <w:rPr>
          <w:rFonts w:hint="eastAsia" w:ascii="宋体" w:hAnsi="宋体" w:cs="宋体"/>
          <w:color w:val="auto"/>
          <w:sz w:val="24"/>
        </w:rPr>
      </w:pPr>
      <w:r>
        <w:rPr>
          <w:rFonts w:hint="eastAsia" w:ascii="宋体" w:hAnsi="宋体" w:cs="宋体"/>
          <w:color w:val="auto"/>
          <w:sz w:val="24"/>
        </w:rPr>
        <w:t>主营（产）：</w:t>
      </w:r>
    </w:p>
    <w:p>
      <w:pPr>
        <w:spacing w:line="360" w:lineRule="auto"/>
        <w:rPr>
          <w:rFonts w:hint="eastAsia" w:ascii="宋体" w:hAnsi="宋体" w:cs="宋体"/>
          <w:color w:val="auto"/>
          <w:sz w:val="24"/>
        </w:rPr>
      </w:pPr>
      <w:r>
        <w:rPr>
          <w:rFonts w:hint="eastAsia" w:ascii="宋体" w:hAnsi="宋体" w:cs="宋体"/>
          <w:color w:val="auto"/>
          <w:sz w:val="24"/>
        </w:rPr>
        <w:t>兼营（产）：</w:t>
      </w:r>
    </w:p>
    <w:p>
      <w:pPr>
        <w:spacing w:line="360" w:lineRule="auto"/>
        <w:rPr>
          <w:rFonts w:hint="eastAsia" w:ascii="宋体" w:hAnsi="宋体" w:cs="宋体"/>
          <w:color w:val="auto"/>
          <w:sz w:val="24"/>
        </w:rPr>
      </w:pPr>
      <w:r>
        <w:rPr>
          <w:rFonts w:hint="eastAsia" w:ascii="宋体" w:hAnsi="宋体" w:cs="宋体"/>
          <w:color w:val="auto"/>
          <w:sz w:val="24"/>
        </w:rPr>
        <w:t>进口物品经营许可证号码：</w:t>
      </w:r>
    </w:p>
    <w:p>
      <w:pPr>
        <w:spacing w:line="360" w:lineRule="auto"/>
        <w:rPr>
          <w:rFonts w:hint="eastAsia" w:ascii="宋体" w:hAnsi="宋体" w:cs="宋体"/>
          <w:color w:val="auto"/>
          <w:sz w:val="24"/>
        </w:rPr>
      </w:pPr>
      <w:r>
        <w:rPr>
          <w:rFonts w:hint="eastAsia" w:ascii="宋体" w:hAnsi="宋体" w:cs="宋体"/>
          <w:color w:val="auto"/>
          <w:sz w:val="24"/>
        </w:rPr>
        <w:t>主营：</w:t>
      </w:r>
    </w:p>
    <w:p>
      <w:pPr>
        <w:spacing w:line="360" w:lineRule="auto"/>
        <w:rPr>
          <w:rFonts w:hint="eastAsia" w:ascii="宋体" w:hAnsi="宋体" w:cs="宋体"/>
          <w:color w:val="auto"/>
          <w:sz w:val="24"/>
        </w:rPr>
      </w:pPr>
      <w:r>
        <w:rPr>
          <w:rFonts w:hint="eastAsia" w:ascii="宋体" w:hAnsi="宋体" w:cs="宋体"/>
          <w:color w:val="auto"/>
          <w:sz w:val="24"/>
        </w:rPr>
        <w:t>兼营：</w:t>
      </w:r>
    </w:p>
    <w:p>
      <w:pPr>
        <w:spacing w:line="360" w:lineRule="auto"/>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2、内容必须填写真实、清楚，涂改无效，不得转让、买卖</w:t>
      </w:r>
      <w:r>
        <w:rPr>
          <w:rFonts w:hint="eastAsia" w:ascii="宋体" w:hAnsi="宋体" w:cs="宋体"/>
          <w:color w:val="auto"/>
          <w:sz w:val="24"/>
          <w:lang w:eastAsia="zh-CN"/>
        </w:rPr>
        <w:t>。</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法定代表人（签字或签章）：</w:t>
      </w:r>
    </w:p>
    <w:p>
      <w:pPr>
        <w:spacing w:before="120" w:after="120"/>
        <w:jc w:val="left"/>
        <w:rPr>
          <w:rFonts w:hint="eastAsia" w:ascii="宋体" w:hAnsi="宋体" w:cs="宋体"/>
          <w:color w:val="auto"/>
          <w:szCs w:val="21"/>
        </w:rPr>
      </w:pPr>
    </w:p>
    <w:p>
      <w:pPr>
        <w:spacing w:before="120" w:after="120" w:line="360" w:lineRule="auto"/>
        <w:jc w:val="left"/>
        <w:rPr>
          <w:rFonts w:hint="eastAsia" w:ascii="宋体" w:hAnsi="宋体" w:cs="宋体"/>
          <w:b/>
          <w:color w:val="auto"/>
          <w:sz w:val="24"/>
        </w:rPr>
      </w:pPr>
      <w:r>
        <w:rPr>
          <w:rFonts w:hint="eastAsia" w:ascii="宋体" w:hAnsi="宋体" w:cs="宋体"/>
          <w:b/>
          <w:color w:val="auto"/>
          <w:sz w:val="24"/>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11"/>
              <w:spacing w:line="360" w:lineRule="auto"/>
              <w:rPr>
                <w:rFonts w:ascii="Arial Narrow" w:hAnsi="Arial Narrow"/>
                <w:b/>
                <w:bCs/>
                <w:color w:val="auto"/>
                <w:szCs w:val="21"/>
              </w:rPr>
            </w:pPr>
          </w:p>
        </w:tc>
        <w:tc>
          <w:tcPr>
            <w:tcW w:w="4240" w:type="dxa"/>
            <w:noWrap w:val="0"/>
            <w:vAlign w:val="top"/>
          </w:tcPr>
          <w:p>
            <w:pPr>
              <w:pStyle w:val="11"/>
              <w:spacing w:line="360" w:lineRule="auto"/>
              <w:rPr>
                <w:rFonts w:ascii="Arial Narrow" w:hAnsi="Arial Narrow"/>
                <w:b/>
                <w:bCs/>
                <w:color w:val="auto"/>
                <w:szCs w:val="21"/>
              </w:rPr>
            </w:pPr>
          </w:p>
        </w:tc>
      </w:tr>
    </w:tbl>
    <w:p>
      <w:pPr>
        <w:tabs>
          <w:tab w:val="left" w:pos="640"/>
          <w:tab w:val="left" w:pos="1260"/>
          <w:tab w:val="left" w:pos="1418"/>
        </w:tabs>
        <w:spacing w:line="360" w:lineRule="auto"/>
        <w:rPr>
          <w:color w:val="auto"/>
          <w:szCs w:val="21"/>
          <w:lang w:val="fr-CH"/>
        </w:rPr>
      </w:pPr>
      <w:r>
        <w:rPr>
          <w:rFonts w:hint="eastAsia"/>
          <w:color w:val="auto"/>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法定代表人授权书及身份证明；</w:t>
      </w:r>
    </w:p>
    <w:p>
      <w:pPr>
        <w:pStyle w:val="11"/>
        <w:spacing w:line="360" w:lineRule="auto"/>
        <w:jc w:val="center"/>
        <w:rPr>
          <w:rFonts w:hint="eastAsia" w:hAnsi="宋体" w:cs="宋体"/>
          <w:b/>
          <w:color w:val="auto"/>
          <w:sz w:val="24"/>
        </w:rPr>
      </w:pPr>
    </w:p>
    <w:p>
      <w:pPr>
        <w:pStyle w:val="11"/>
        <w:spacing w:line="360" w:lineRule="auto"/>
        <w:jc w:val="center"/>
        <w:rPr>
          <w:rFonts w:hint="eastAsia" w:hAnsi="宋体" w:cs="宋体"/>
          <w:b/>
          <w:color w:val="auto"/>
          <w:sz w:val="24"/>
        </w:rPr>
      </w:pPr>
      <w:r>
        <w:rPr>
          <w:rFonts w:hint="eastAsia" w:hAnsi="宋体" w:cs="宋体"/>
          <w:b/>
          <w:color w:val="auto"/>
          <w:sz w:val="24"/>
        </w:rPr>
        <w:t>法定代表人授权书</w:t>
      </w:r>
    </w:p>
    <w:p>
      <w:pPr>
        <w:pStyle w:val="11"/>
        <w:spacing w:line="360" w:lineRule="auto"/>
        <w:rPr>
          <w:rFonts w:hint="eastAsia" w:hAnsi="宋体" w:cs="宋体"/>
          <w:color w:val="auto"/>
          <w:sz w:val="24"/>
        </w:rPr>
      </w:pPr>
    </w:p>
    <w:p>
      <w:pPr>
        <w:pStyle w:val="11"/>
        <w:spacing w:line="360" w:lineRule="auto"/>
        <w:rPr>
          <w:rFonts w:hint="eastAsia" w:hAnsi="宋体" w:cs="宋体"/>
          <w:color w:val="auto"/>
          <w:sz w:val="24"/>
        </w:rPr>
      </w:pPr>
      <w:r>
        <w:rPr>
          <w:rFonts w:hint="eastAsia" w:hAnsi="宋体" w:cs="宋体"/>
          <w:b/>
          <w:color w:val="auto"/>
          <w:sz w:val="24"/>
        </w:rPr>
        <w:t>深圳市前海深港现代服务业合作区管理局：</w:t>
      </w:r>
    </w:p>
    <w:p>
      <w:pPr>
        <w:pStyle w:val="11"/>
        <w:spacing w:line="360" w:lineRule="auto"/>
        <w:ind w:firstLine="420"/>
        <w:rPr>
          <w:rFonts w:hint="eastAsia"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11"/>
        <w:spacing w:line="360" w:lineRule="auto"/>
        <w:rPr>
          <w:rFonts w:hint="eastAsia" w:hAnsi="宋体" w:cs="宋体"/>
          <w:color w:val="auto"/>
          <w:sz w:val="24"/>
        </w:rPr>
      </w:pPr>
    </w:p>
    <w:p>
      <w:pPr>
        <w:spacing w:line="360" w:lineRule="auto"/>
        <w:ind w:firstLine="57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法定代表人（签字或签章）：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被授权人代表（签字或签章）：</w:t>
      </w:r>
    </w:p>
    <w:p>
      <w:pPr>
        <w:tabs>
          <w:tab w:val="left" w:pos="640"/>
          <w:tab w:val="left" w:pos="1260"/>
          <w:tab w:val="left" w:pos="1418"/>
        </w:tabs>
        <w:spacing w:line="360" w:lineRule="auto"/>
        <w:rPr>
          <w:rFonts w:hint="eastAsia" w:ascii="宋体" w:hAnsi="宋体" w:cs="宋体"/>
          <w:b/>
          <w:color w:val="auto"/>
          <w:sz w:val="24"/>
        </w:rPr>
      </w:pPr>
    </w:p>
    <w:p>
      <w:pPr>
        <w:tabs>
          <w:tab w:val="left" w:pos="640"/>
          <w:tab w:val="left" w:pos="1260"/>
          <w:tab w:val="left" w:pos="1418"/>
        </w:tabs>
        <w:spacing w:line="360" w:lineRule="auto"/>
        <w:rPr>
          <w:rFonts w:hint="eastAsia" w:ascii="宋体" w:hAnsi="宋体" w:cs="宋体"/>
          <w:b/>
          <w:color w:val="auto"/>
          <w:sz w:val="24"/>
        </w:rPr>
      </w:pPr>
      <w:r>
        <w:rPr>
          <w:rFonts w:hint="eastAsia" w:ascii="宋体" w:hAnsi="宋体" w:cs="宋体"/>
          <w:b/>
          <w:color w:val="auto"/>
          <w:sz w:val="24"/>
        </w:rPr>
        <w:t>附身份证正反面</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1"/>
              <w:spacing w:line="360" w:lineRule="auto"/>
              <w:rPr>
                <w:rFonts w:ascii="Arial Narrow" w:hAnsi="Arial Narrow"/>
                <w:b/>
                <w:bCs/>
                <w:color w:val="auto"/>
                <w:szCs w:val="21"/>
              </w:rPr>
            </w:pPr>
          </w:p>
        </w:tc>
        <w:tc>
          <w:tcPr>
            <w:tcW w:w="4677" w:type="dxa"/>
            <w:noWrap w:val="0"/>
            <w:vAlign w:val="top"/>
          </w:tcPr>
          <w:p>
            <w:pPr>
              <w:pStyle w:val="11"/>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hint="eastAsia" w:ascii="宋体" w:hAnsi="宋体" w:cs="宋体"/>
          <w:color w:val="auto"/>
          <w:sz w:val="24"/>
          <w:lang w:val="fr-CH"/>
        </w:rPr>
      </w:pPr>
      <w:r>
        <w:rPr>
          <w:rFonts w:hint="eastAsia"/>
          <w:color w:val="auto"/>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auto"/>
          <w:sz w:val="24"/>
          <w:lang w:val="fr-CH"/>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auto"/>
          <w:sz w:val="24"/>
          <w:lang w:val="fr-CH"/>
        </w:rPr>
      </w:pPr>
      <w:r>
        <w:rPr>
          <w:rFonts w:hint="eastAsia" w:ascii="宋体" w:hAnsi="宋体" w:cs="宋体"/>
          <w:color w:val="auto"/>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传真：</w:t>
      </w:r>
    </w:p>
    <w:p>
      <w:pPr>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9"/>
        <w:rPr>
          <w:color w:val="auto"/>
          <w:lang w:val="fr-CH"/>
        </w:rPr>
      </w:pPr>
    </w:p>
    <w:p>
      <w:pPr>
        <w:tabs>
          <w:tab w:val="left" w:pos="640"/>
          <w:tab w:val="left" w:pos="1260"/>
          <w:tab w:val="left" w:pos="1418"/>
        </w:tabs>
        <w:spacing w:line="360" w:lineRule="auto"/>
        <w:rPr>
          <w:rFonts w:hint="eastAsia" w:ascii="宋体" w:hAnsi="宋体" w:cs="宋体"/>
          <w:color w:val="auto"/>
          <w:sz w:val="24"/>
          <w:lang w:val="fr-CH"/>
        </w:rPr>
      </w:pPr>
    </w:p>
    <w:p>
      <w:pPr>
        <w:numPr>
          <w:ilvl w:val="0"/>
          <w:numId w:val="10"/>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rPr>
        <w:t>供应商</w:t>
      </w:r>
      <w:r>
        <w:rPr>
          <w:rFonts w:hint="eastAsia" w:ascii="宋体" w:hAnsi="宋体" w:cs="宋体"/>
          <w:color w:val="auto"/>
          <w:sz w:val="24"/>
          <w:lang w:val="fr-CH"/>
        </w:rPr>
        <w:t>简介；</w:t>
      </w:r>
    </w:p>
    <w:p>
      <w:pPr>
        <w:pStyle w:val="11"/>
        <w:spacing w:line="360" w:lineRule="auto"/>
        <w:jc w:val="center"/>
        <w:rPr>
          <w:rFonts w:hint="eastAsia" w:hAnsi="宋体" w:cs="宋体"/>
          <w:b/>
          <w:bCs/>
          <w:color w:val="auto"/>
          <w:sz w:val="24"/>
        </w:rPr>
      </w:pPr>
      <w:r>
        <w:rPr>
          <w:rFonts w:hint="eastAsia" w:hAnsi="宋体" w:cs="宋体"/>
          <w:b/>
          <w:bCs/>
          <w:color w:val="auto"/>
          <w:sz w:val="24"/>
        </w:rPr>
        <w:t>供应商基本情况一览表</w:t>
      </w:r>
    </w:p>
    <w:p>
      <w:pPr>
        <w:pStyle w:val="11"/>
        <w:spacing w:line="360" w:lineRule="auto"/>
        <w:ind w:firstLine="420"/>
        <w:rPr>
          <w:rFonts w:hint="eastAsia" w:hAnsi="宋体" w:cs="宋体"/>
          <w:color w:val="auto"/>
          <w:sz w:val="24"/>
        </w:rPr>
      </w:pPr>
      <w:r>
        <w:rPr>
          <w:rFonts w:hint="eastAsia" w:hAnsi="宋体" w:cs="宋体"/>
          <w:color w:val="auto"/>
          <w:sz w:val="24"/>
        </w:rPr>
        <w:t>1．名称及概况：</w:t>
      </w:r>
    </w:p>
    <w:p>
      <w:pPr>
        <w:pStyle w:val="11"/>
        <w:spacing w:line="360" w:lineRule="auto"/>
        <w:ind w:firstLine="420"/>
        <w:rPr>
          <w:rFonts w:hint="eastAsia" w:hAnsi="宋体" w:cs="宋体"/>
          <w:color w:val="auto"/>
          <w:sz w:val="24"/>
        </w:rPr>
      </w:pPr>
      <w:r>
        <w:rPr>
          <w:rFonts w:hint="eastAsia" w:hAnsi="宋体" w:cs="宋体"/>
          <w:color w:val="auto"/>
          <w:sz w:val="24"/>
        </w:rPr>
        <w:t>（1）供应商名称：_______________________________________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（2）地址：______________________________________________</w:t>
      </w:r>
    </w:p>
    <w:p>
      <w:pPr>
        <w:pStyle w:val="11"/>
        <w:spacing w:line="360" w:lineRule="auto"/>
        <w:ind w:firstLine="660" w:firstLineChars="275"/>
        <w:rPr>
          <w:rFonts w:hint="eastAsia" w:hAnsi="宋体" w:cs="宋体"/>
          <w:color w:val="auto"/>
          <w:sz w:val="24"/>
        </w:rPr>
      </w:pPr>
      <w:r>
        <w:rPr>
          <w:rFonts w:hint="eastAsia" w:hAnsi="宋体" w:cs="宋体"/>
          <w:color w:val="auto"/>
          <w:sz w:val="24"/>
        </w:rPr>
        <w:t xml:space="preserve">   邮政编码：___________________________________________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 xml:space="preserve">     电话号码：___________________________________________ </w:t>
      </w:r>
    </w:p>
    <w:p>
      <w:pPr>
        <w:pStyle w:val="11"/>
        <w:spacing w:line="360" w:lineRule="auto"/>
        <w:ind w:firstLine="420"/>
        <w:rPr>
          <w:rFonts w:hint="eastAsia" w:hAnsi="宋体" w:cs="宋体"/>
          <w:color w:val="auto"/>
          <w:sz w:val="24"/>
        </w:rPr>
      </w:pPr>
      <w:r>
        <w:rPr>
          <w:rFonts w:hint="eastAsia" w:hAnsi="宋体" w:cs="宋体"/>
          <w:color w:val="auto"/>
          <w:sz w:val="24"/>
        </w:rPr>
        <w:t xml:space="preserve">     传真号码：___________________________________________ </w:t>
      </w:r>
    </w:p>
    <w:p>
      <w:pPr>
        <w:pStyle w:val="11"/>
        <w:spacing w:line="360" w:lineRule="auto"/>
        <w:ind w:firstLine="420"/>
        <w:rPr>
          <w:rFonts w:hint="eastAsia" w:hAnsi="宋体" w:cs="宋体"/>
          <w:color w:val="auto"/>
          <w:sz w:val="24"/>
        </w:rPr>
      </w:pPr>
      <w:r>
        <w:rPr>
          <w:rFonts w:hint="eastAsia" w:hAnsi="宋体" w:cs="宋体"/>
          <w:color w:val="auto"/>
          <w:sz w:val="24"/>
        </w:rPr>
        <w:t>（3）成立和／或注册日期：_________________________________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（4）法人代表：___________________________________________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（5）开户银行：___________________________________________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（6）开户账号：___________________________________________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（7）注册资金：___________________________________________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（8）近两年财务基本情况</w:t>
      </w:r>
    </w:p>
    <w:p>
      <w:pPr>
        <w:pStyle w:val="11"/>
        <w:spacing w:line="360" w:lineRule="auto"/>
        <w:ind w:firstLine="420"/>
        <w:rPr>
          <w:rFonts w:hint="eastAsia" w:hAnsi="宋体" w:cs="宋体"/>
          <w:color w:val="auto"/>
          <w:sz w:val="24"/>
        </w:rPr>
      </w:pPr>
      <w:r>
        <w:rPr>
          <w:rFonts w:hint="eastAsia" w:hAnsi="宋体" w:cs="宋体"/>
          <w:color w:val="auto"/>
          <w:sz w:val="24"/>
        </w:rPr>
        <w:t xml:space="preserve">    ①货币资金期末数：_____________________________________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 xml:space="preserve">    ③年营业总额（值）：___________________________________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 xml:space="preserve">    ③资产负债率：_________________________________________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 xml:space="preserve">    ④销售利润率：_________________________________________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 xml:space="preserve">    ⑤资本收益率：_________________________________________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（9）项目主要联系人（姓名、职务、通讯）：</w:t>
      </w:r>
    </w:p>
    <w:p>
      <w:pPr>
        <w:pStyle w:val="11"/>
        <w:spacing w:line="360" w:lineRule="auto"/>
        <w:rPr>
          <w:rFonts w:hint="eastAsia" w:hAnsi="宋体" w:cs="宋体"/>
          <w:color w:val="auto"/>
          <w:sz w:val="24"/>
        </w:rPr>
      </w:pPr>
      <w:r>
        <w:rPr>
          <w:rFonts w:hint="eastAsia" w:hAnsi="宋体" w:cs="宋体"/>
          <w:color w:val="auto"/>
          <w:sz w:val="24"/>
        </w:rPr>
        <w:t>_____________________________________________________________________</w:t>
      </w:r>
    </w:p>
    <w:p>
      <w:pPr>
        <w:pStyle w:val="11"/>
        <w:spacing w:line="360" w:lineRule="auto"/>
        <w:ind w:firstLine="420"/>
        <w:rPr>
          <w:rFonts w:hint="eastAsia" w:hAnsi="宋体" w:cs="宋体"/>
          <w:color w:val="auto"/>
          <w:sz w:val="24"/>
        </w:rPr>
      </w:pPr>
      <w:r>
        <w:rPr>
          <w:rFonts w:hint="eastAsia" w:hAnsi="宋体" w:cs="宋体"/>
          <w:color w:val="auto"/>
          <w:sz w:val="24"/>
        </w:rPr>
        <w:t>（10）公司概况；</w:t>
      </w:r>
    </w:p>
    <w:p>
      <w:pPr>
        <w:pStyle w:val="11"/>
        <w:spacing w:line="360" w:lineRule="auto"/>
        <w:ind w:firstLine="420"/>
        <w:rPr>
          <w:rFonts w:hint="eastAsia" w:hAnsi="宋体" w:cs="宋体"/>
          <w:color w:val="auto"/>
          <w:sz w:val="24"/>
        </w:rPr>
      </w:pPr>
      <w:r>
        <w:rPr>
          <w:rFonts w:hint="eastAsia" w:hAnsi="宋体" w:cs="宋体"/>
          <w:color w:val="auto"/>
          <w:sz w:val="24"/>
        </w:rPr>
        <w:t>（11）公司组织机构；</w:t>
      </w:r>
    </w:p>
    <w:p>
      <w:pPr>
        <w:pStyle w:val="11"/>
        <w:spacing w:line="360" w:lineRule="auto"/>
        <w:ind w:firstLine="420"/>
        <w:rPr>
          <w:rFonts w:hint="eastAsia" w:hAnsi="宋体" w:cs="宋体"/>
          <w:color w:val="auto"/>
          <w:sz w:val="24"/>
        </w:rPr>
      </w:pPr>
      <w:r>
        <w:rPr>
          <w:rFonts w:hint="eastAsia" w:hAnsi="宋体" w:cs="宋体"/>
          <w:color w:val="auto"/>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9"/>
        <w:rPr>
          <w:color w:val="auto"/>
          <w:lang w:val="fr-CH"/>
        </w:rPr>
      </w:pPr>
    </w:p>
    <w:p>
      <w:pPr>
        <w:tabs>
          <w:tab w:val="left" w:pos="640"/>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p>
    <w:p>
      <w:pPr>
        <w:numPr>
          <w:ilvl w:val="0"/>
          <w:numId w:val="10"/>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投标人类似项目经验；</w:t>
      </w:r>
    </w:p>
    <w:p>
      <w:pPr>
        <w:numPr>
          <w:ilvl w:val="0"/>
          <w:numId w:val="10"/>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拟派本项目负责人（1人）；</w:t>
      </w:r>
    </w:p>
    <w:p>
      <w:pPr>
        <w:numPr>
          <w:ilvl w:val="0"/>
          <w:numId w:val="10"/>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项目组其他成员（项目负责人除外）；</w:t>
      </w:r>
    </w:p>
    <w:p>
      <w:pPr>
        <w:tabs>
          <w:tab w:val="left" w:pos="640"/>
          <w:tab w:val="left" w:pos="1260"/>
          <w:tab w:val="left" w:pos="1418"/>
        </w:tabs>
        <w:jc w:val="center"/>
        <w:rPr>
          <w:rFonts w:hint="eastAsia" w:ascii="宋体" w:hAnsi="宋体" w:cs="宋体"/>
          <w:b/>
          <w:bCs/>
          <w:color w:val="auto"/>
          <w:szCs w:val="21"/>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fr-CH"/>
        </w:rPr>
        <w:t>诚信</w:t>
      </w:r>
      <w:r>
        <w:rPr>
          <w:rFonts w:hint="eastAsia" w:ascii="宋体" w:hAnsi="宋体" w:cs="宋体"/>
          <w:b/>
          <w:bCs/>
          <w:color w:val="auto"/>
          <w:sz w:val="24"/>
        </w:rPr>
        <w:t>声明与承诺</w:t>
      </w:r>
      <w:r>
        <w:rPr>
          <w:rFonts w:hint="eastAsia" w:ascii="宋体" w:hAnsi="宋体" w:cs="宋体"/>
          <w:b/>
          <w:bCs/>
          <w:color w:val="auto"/>
          <w:sz w:val="24"/>
          <w:lang w:val="fr-CH"/>
        </w:rPr>
        <w:t>；</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诚信声明与承诺</w:t>
      </w:r>
    </w:p>
    <w:p>
      <w:pPr>
        <w:spacing w:line="360" w:lineRule="auto"/>
        <w:rPr>
          <w:rFonts w:hint="eastAsia" w:ascii="宋体" w:hAnsi="宋体" w:cs="宋体"/>
          <w:b/>
          <w:bCs/>
          <w:color w:val="auto"/>
          <w:sz w:val="24"/>
        </w:rPr>
      </w:pPr>
      <w:r>
        <w:rPr>
          <w:rFonts w:hint="eastAsia" w:ascii="宋体" w:hAnsi="宋体" w:cs="宋体"/>
          <w:b/>
          <w:bCs/>
          <w:color w:val="auto"/>
          <w:sz w:val="24"/>
        </w:rPr>
        <w:t>中国远东国际招标有限公司：</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我司对上述内容的真实性负责。如有虚假，将依法承担相应责任。</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特此声明与承诺！</w:t>
      </w:r>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11"/>
        <w:spacing w:line="360" w:lineRule="auto"/>
        <w:jc w:val="left"/>
        <w:rPr>
          <w:rFonts w:hint="eastAsia" w:hAnsi="宋体" w:cs="宋体"/>
          <w:color w:val="auto"/>
          <w:sz w:val="24"/>
        </w:rPr>
      </w:pPr>
    </w:p>
    <w:p>
      <w:pPr>
        <w:pStyle w:val="11"/>
        <w:spacing w:line="360" w:lineRule="auto"/>
        <w:jc w:val="left"/>
        <w:rPr>
          <w:rFonts w:hint="eastAsia" w:hAnsi="宋体" w:cs="宋体"/>
          <w:color w:val="auto"/>
          <w:sz w:val="24"/>
        </w:rPr>
      </w:pPr>
    </w:p>
    <w:p>
      <w:pPr>
        <w:spacing w:before="100" w:beforeAutospacing="1" w:after="100" w:afterAutospacing="1" w:line="360" w:lineRule="auto"/>
        <w:rPr>
          <w:rFonts w:hint="eastAsia" w:ascii="宋体" w:hAnsi="宋体" w:cs="宋体"/>
          <w:b/>
          <w:bCs/>
          <w:color w:val="auto"/>
          <w:sz w:val="24"/>
        </w:rPr>
      </w:pPr>
      <w:r>
        <w:rPr>
          <w:rFonts w:hint="eastAsia" w:ascii="宋体" w:hAnsi="宋体" w:cs="宋体"/>
          <w:b/>
          <w:bCs/>
          <w:color w:val="auto"/>
          <w:sz w:val="24"/>
        </w:rPr>
        <w:t>注：近三年内，如投标人有任何违法违规、受惩罚和禁止、不良信用等记录，必须列明记载，并附网络截图（加盖公章）。</w:t>
      </w:r>
    </w:p>
    <w:p>
      <w:pPr>
        <w:pStyle w:val="9"/>
        <w:rPr>
          <w:color w:val="auto"/>
          <w:lang w:val="fr-CH"/>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政府采购违法行为风险知悉确认书</w:t>
      </w:r>
    </w:p>
    <w:p>
      <w:pPr>
        <w:spacing w:line="360" w:lineRule="auto"/>
        <w:ind w:left="420"/>
        <w:jc w:val="center"/>
        <w:outlineLvl w:val="3"/>
        <w:rPr>
          <w:rFonts w:ascii="宋体"/>
          <w:b/>
          <w:color w:val="auto"/>
          <w:sz w:val="24"/>
        </w:rPr>
      </w:pPr>
      <w:r>
        <w:rPr>
          <w:rFonts w:hint="eastAsia" w:ascii="宋体"/>
          <w:b/>
          <w:color w:val="auto"/>
          <w:sz w:val="24"/>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7607" w:type="dxa"/>
            <w:noWrap w:val="0"/>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7607" w:type="dxa"/>
            <w:noWrap w:val="0"/>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以下文字请投标供应商</w:t>
      </w:r>
      <w:r>
        <w:rPr>
          <w:rFonts w:hint="eastAsia" w:ascii="宋体" w:hAnsi="宋体" w:cs="仿宋_GB2312"/>
          <w:b/>
          <w:bCs/>
          <w:color w:val="auto"/>
          <w:kern w:val="0"/>
          <w:sz w:val="24"/>
        </w:rPr>
        <w:t>抄写并确认</w:t>
      </w:r>
      <w:r>
        <w:rPr>
          <w:rFonts w:hint="eastAsia" w:ascii="宋体" w:hAnsi="宋体" w:cs="仿宋_GB2312"/>
          <w:color w:val="auto"/>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3840" w:firstLineChars="1600"/>
        <w:jc w:val="left"/>
        <w:rPr>
          <w:rFonts w:hint="eastAsia" w:ascii="宋体" w:hAnsi="宋体" w:cs="仿宋_GB2312"/>
          <w:color w:val="auto"/>
          <w:kern w:val="0"/>
          <w:sz w:val="24"/>
          <w:u w:val="single"/>
        </w:rPr>
      </w:pPr>
      <w:r>
        <w:rPr>
          <w:rFonts w:hint="eastAsia" w:ascii="宋体" w:hAnsi="宋体" w:cs="仿宋_GB2312"/>
          <w:color w:val="auto"/>
          <w:kern w:val="0"/>
          <w:sz w:val="24"/>
        </w:rPr>
        <w:t>负责人</w:t>
      </w:r>
      <w:r>
        <w:rPr>
          <w:rFonts w:ascii="宋体" w:hAnsi="宋体" w:cs="仿宋_GB2312"/>
          <w:color w:val="auto"/>
          <w:kern w:val="0"/>
          <w:sz w:val="24"/>
        </w:rPr>
        <w:t>/</w:t>
      </w:r>
      <w:r>
        <w:rPr>
          <w:rFonts w:hint="eastAsia" w:ascii="宋体" w:hAnsi="宋体" w:cs="仿宋_GB2312"/>
          <w:color w:val="auto"/>
          <w:kern w:val="0"/>
          <w:sz w:val="24"/>
        </w:rPr>
        <w:t>投标授权代表签名：</w:t>
      </w:r>
      <w:r>
        <w:rPr>
          <w:rFonts w:hint="eastAsia" w:ascii="宋体" w:hAnsi="宋体" w:cs="仿宋_GB2312"/>
          <w:color w:val="auto"/>
          <w:kern w:val="0"/>
          <w:sz w:val="24"/>
          <w:u w:val="single"/>
        </w:rPr>
        <w:t xml:space="preserve">                </w:t>
      </w:r>
    </w:p>
    <w:p>
      <w:pPr>
        <w:autoSpaceDE w:val="0"/>
        <w:autoSpaceDN w:val="0"/>
        <w:adjustRightInd w:val="0"/>
        <w:spacing w:line="360" w:lineRule="auto"/>
        <w:ind w:firstLine="4920" w:firstLineChars="2050"/>
        <w:jc w:val="left"/>
        <w:rPr>
          <w:rFonts w:hint="eastAsia" w:ascii="宋体" w:hAnsi="宋体" w:cs="仿宋_GB2312"/>
          <w:color w:val="auto"/>
          <w:kern w:val="0"/>
          <w:sz w:val="24"/>
        </w:rPr>
      </w:pPr>
      <w:r>
        <w:rPr>
          <w:rFonts w:hint="eastAsia" w:ascii="宋体" w:hAnsi="宋体" w:cs="仿宋_GB2312"/>
          <w:color w:val="auto"/>
          <w:kern w:val="0"/>
          <w:sz w:val="24"/>
        </w:rPr>
        <w:t>知悉人（公章）：</w:t>
      </w:r>
    </w:p>
    <w:p>
      <w:pPr>
        <w:spacing w:line="360" w:lineRule="auto"/>
        <w:jc w:val="right"/>
        <w:rPr>
          <w:rFonts w:hint="eastAsia" w:ascii="宋体" w:hAnsi="宋体" w:cs="宋体"/>
          <w:color w:val="auto"/>
          <w:sz w:val="24"/>
        </w:rPr>
      </w:pPr>
      <w:r>
        <w:rPr>
          <w:rFonts w:hint="eastAsia" w:ascii="宋体" w:hAnsi="宋体" w:cs="仿宋_GB2312"/>
          <w:color w:val="auto"/>
          <w:kern w:val="0"/>
          <w:sz w:val="24"/>
        </w:rPr>
        <w:t>日期： 202  年   月   日</w:t>
      </w:r>
      <w:r>
        <w:rPr>
          <w:rFonts w:hint="eastAsia" w:ascii="宋体" w:hAnsi="宋体" w:cs="宋体"/>
          <w:color w:val="auto"/>
          <w:sz w:val="24"/>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keepNext/>
        <w:keepLines/>
        <w:jc w:val="center"/>
        <w:outlineLvl w:val="4"/>
        <w:rPr>
          <w:rFonts w:hint="eastAsia" w:ascii="宋体" w:hAnsi="宋体" w:cs="宋体"/>
          <w:bCs/>
          <w:color w:val="auto"/>
          <w:kern w:val="44"/>
          <w:sz w:val="24"/>
        </w:rPr>
      </w:pPr>
      <w:r>
        <w:rPr>
          <w:rFonts w:hint="eastAsia" w:ascii="宋体" w:hAnsi="宋体" w:cs="宋体"/>
          <w:b/>
          <w:bCs/>
          <w:color w:val="auto"/>
          <w:sz w:val="24"/>
        </w:rPr>
        <w:t>①中小企业声明函（工程、服务）</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企业名称（盖章）</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日期：</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p>
    <w:p>
      <w:pPr>
        <w:jc w:val="left"/>
        <w:rPr>
          <w:rFonts w:hint="eastAsia" w:ascii="宋体" w:hAnsi="宋体" w:cs="宋体"/>
          <w:b/>
          <w:bCs/>
          <w:color w:val="auto"/>
          <w:sz w:val="24"/>
        </w:rPr>
      </w:pPr>
      <w:r>
        <w:rPr>
          <w:rFonts w:hint="eastAsia" w:ascii="宋体" w:hAnsi="宋体" w:cs="宋体"/>
          <w:b/>
          <w:bCs/>
          <w:color w:val="auto"/>
          <w:sz w:val="24"/>
        </w:rPr>
        <w:t>注意事项：</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1.从业人员、营业收入、资产总额填报上一年度数据，无上一年度数据的新成立企业可不填报；</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4.相关承接/承建企业的所属行业应当与采购标的所属行业（采购文件中明确的行业）相一致。</w:t>
      </w:r>
    </w:p>
    <w:p>
      <w:pPr>
        <w:ind w:firstLine="480" w:firstLineChars="200"/>
        <w:rPr>
          <w:rFonts w:hint="eastAsia" w:ascii="宋体" w:hAnsi="宋体" w:cs="宋体"/>
          <w:b/>
          <w:color w:val="auto"/>
          <w:sz w:val="24"/>
        </w:rPr>
      </w:pPr>
      <w:r>
        <w:rPr>
          <w:rFonts w:hint="eastAsia" w:ascii="宋体" w:hAnsi="宋体" w:cs="宋体"/>
          <w:color w:val="auto"/>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附：中小企业划型标准规定</w:t>
      </w:r>
    </w:p>
    <w:p>
      <w:pPr>
        <w:rPr>
          <w:rFonts w:hint="eastAsia" w:ascii="宋体" w:hAnsi="宋体" w:cs="宋体"/>
          <w:color w:val="auto"/>
          <w:sz w:val="24"/>
        </w:rPr>
      </w:pPr>
    </w:p>
    <w:p>
      <w:pPr>
        <w:ind w:firstLine="480" w:firstLineChars="200"/>
        <w:rPr>
          <w:rFonts w:hint="eastAsia" w:ascii="宋体" w:hAnsi="宋体" w:cs="宋体"/>
          <w:color w:val="auto"/>
          <w:sz w:val="24"/>
        </w:rPr>
      </w:pPr>
      <w:r>
        <w:rPr>
          <w:rFonts w:hint="eastAsia" w:ascii="宋体" w:hAnsi="宋体" w:cs="宋体"/>
          <w:color w:val="auto"/>
          <w:sz w:val="24"/>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b/>
          <w:color w:val="auto"/>
          <w:sz w:val="24"/>
        </w:rPr>
        <w:t>②残疾人福利性单位声明函（样表）</w:t>
      </w:r>
    </w:p>
    <w:p>
      <w:pPr>
        <w:spacing w:line="620" w:lineRule="exact"/>
        <w:ind w:firstLine="480" w:firstLineChars="200"/>
        <w:rPr>
          <w:rFonts w:hint="eastAsia" w:ascii="宋体" w:hAnsi="宋体" w:cs="宋体"/>
          <w:color w:val="auto"/>
          <w:spacing w:val="6"/>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rPr>
        <w:t>单位参加</w:t>
      </w:r>
      <w:r>
        <w:rPr>
          <w:rFonts w:hint="eastAsia" w:ascii="宋体" w:hAnsi="宋体" w:cs="宋体"/>
          <w:color w:val="auto"/>
          <w:spacing w:val="6"/>
          <w:sz w:val="24"/>
          <w:u w:val="single"/>
        </w:rPr>
        <w:t xml:space="preserve"> （采购单位名称） </w:t>
      </w:r>
      <w:r>
        <w:rPr>
          <w:rFonts w:hint="eastAsia" w:ascii="宋体" w:hAnsi="宋体" w:cs="宋体"/>
          <w:color w:val="auto"/>
          <w:spacing w:val="6"/>
          <w:sz w:val="24"/>
        </w:rPr>
        <w:t>单位的</w:t>
      </w:r>
      <w:r>
        <w:rPr>
          <w:rFonts w:hint="eastAsia" w:ascii="宋体" w:hAnsi="宋体" w:cs="宋体"/>
          <w:color w:val="auto"/>
          <w:spacing w:val="6"/>
          <w:sz w:val="24"/>
          <w:u w:val="single"/>
        </w:rPr>
        <w:t xml:space="preserve"> （采购项目名称） </w:t>
      </w:r>
      <w:r>
        <w:rPr>
          <w:rFonts w:hint="eastAsia" w:ascii="宋体" w:hAnsi="宋体" w:cs="宋体"/>
          <w:color w:val="auto"/>
          <w:spacing w:val="6"/>
          <w:sz w:val="24"/>
        </w:rPr>
        <w:t>项目</w:t>
      </w:r>
      <w:r>
        <w:rPr>
          <w:rFonts w:hint="eastAsia" w:ascii="宋体" w:hAnsi="宋体" w:cs="宋体"/>
          <w:color w:val="auto"/>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pPr>
        <w:spacing w:line="620" w:lineRule="exact"/>
        <w:ind w:firstLine="504" w:firstLineChars="200"/>
        <w:rPr>
          <w:rFonts w:hint="eastAsia" w:ascii="宋体" w:hAnsi="宋体" w:cs="宋体"/>
          <w:color w:val="auto"/>
          <w:spacing w:val="6"/>
          <w:sz w:val="24"/>
        </w:rPr>
      </w:pPr>
    </w:p>
    <w:p>
      <w:pPr>
        <w:spacing w:line="620" w:lineRule="exact"/>
        <w:ind w:firstLine="504" w:firstLineChars="200"/>
        <w:rPr>
          <w:rFonts w:hint="eastAsia" w:ascii="宋体" w:hAnsi="宋体" w:cs="宋体"/>
          <w:color w:val="auto"/>
          <w:spacing w:val="6"/>
          <w:sz w:val="24"/>
        </w:rPr>
      </w:pPr>
    </w:p>
    <w:p>
      <w:pPr>
        <w:tabs>
          <w:tab w:val="left" w:pos="4860"/>
        </w:tabs>
        <w:spacing w:line="620" w:lineRule="exact"/>
        <w:ind w:right="1560" w:firstLine="504" w:firstLineChars="200"/>
        <w:jc w:val="center"/>
        <w:rPr>
          <w:rFonts w:hint="eastAsia" w:ascii="宋体" w:hAnsi="宋体" w:cs="宋体"/>
          <w:color w:val="auto"/>
          <w:spacing w:val="6"/>
          <w:sz w:val="24"/>
        </w:rPr>
      </w:pPr>
      <w:r>
        <w:rPr>
          <w:rFonts w:hint="eastAsia" w:ascii="宋体" w:hAnsi="宋体" w:cs="宋体"/>
          <w:color w:val="auto"/>
          <w:spacing w:val="6"/>
          <w:sz w:val="24"/>
        </w:rPr>
        <w:t xml:space="preserve">               单位名称（盖章）：</w:t>
      </w:r>
    </w:p>
    <w:p>
      <w:pPr>
        <w:tabs>
          <w:tab w:val="left" w:pos="4860"/>
        </w:tabs>
        <w:spacing w:line="620" w:lineRule="exact"/>
        <w:ind w:right="1560" w:firstLine="504" w:firstLineChars="200"/>
        <w:jc w:val="center"/>
        <w:rPr>
          <w:rStyle w:val="32"/>
          <w:rFonts w:hint="eastAsia" w:ascii="宋体" w:hAnsi="宋体" w:cs="宋体"/>
          <w:color w:val="auto"/>
          <w:sz w:val="24"/>
        </w:rPr>
      </w:pPr>
      <w:r>
        <w:rPr>
          <w:rFonts w:hint="eastAsia" w:ascii="宋体" w:hAnsi="宋体" w:cs="宋体"/>
          <w:color w:val="auto"/>
          <w:spacing w:val="6"/>
          <w:sz w:val="24"/>
        </w:rPr>
        <w:t xml:space="preserve">                        日  期：</w:t>
      </w:r>
    </w:p>
    <w:p>
      <w:pPr>
        <w:snapToGrid w:val="0"/>
        <w:spacing w:line="360" w:lineRule="auto"/>
        <w:ind w:firstLine="480" w:firstLineChars="200"/>
        <w:jc w:val="left"/>
        <w:textAlignment w:val="baseline"/>
        <w:rPr>
          <w:rStyle w:val="32"/>
          <w:rFonts w:hint="eastAsia" w:ascii="宋体" w:hAnsi="宋体" w:cs="宋体"/>
          <w:color w:val="auto"/>
          <w:sz w:val="24"/>
        </w:rPr>
      </w:pPr>
    </w:p>
    <w:p>
      <w:pPr>
        <w:snapToGrid w:val="0"/>
        <w:spacing w:line="360" w:lineRule="auto"/>
        <w:ind w:firstLine="482" w:firstLineChars="200"/>
        <w:jc w:val="left"/>
        <w:textAlignment w:val="baseline"/>
        <w:rPr>
          <w:rStyle w:val="32"/>
          <w:rFonts w:hint="eastAsia" w:ascii="宋体" w:hAnsi="宋体" w:cs="宋体"/>
          <w:b/>
          <w:color w:val="auto"/>
          <w:sz w:val="24"/>
        </w:rPr>
      </w:pPr>
      <w:r>
        <w:rPr>
          <w:rStyle w:val="32"/>
          <w:rFonts w:hint="eastAsia" w:ascii="宋体" w:hAnsi="宋体" w:cs="宋体"/>
          <w:b/>
          <w:color w:val="auto"/>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2"/>
          <w:rFonts w:hint="eastAsia" w:ascii="宋体" w:hAnsi="宋体" w:cs="宋体"/>
          <w:b/>
          <w:color w:val="auto"/>
          <w:sz w:val="24"/>
        </w:rPr>
      </w:pPr>
      <w:r>
        <w:rPr>
          <w:rStyle w:val="32"/>
          <w:rFonts w:hint="eastAsia" w:ascii="宋体" w:hAnsi="宋体" w:cs="宋体"/>
          <w:b/>
          <w:color w:val="auto"/>
          <w:sz w:val="24"/>
        </w:rPr>
        <w:br w:type="page"/>
      </w:r>
      <w:r>
        <w:rPr>
          <w:rStyle w:val="32"/>
          <w:rFonts w:hint="eastAsia" w:ascii="宋体" w:hAnsi="宋体" w:cs="宋体"/>
          <w:b/>
          <w:color w:val="auto"/>
          <w:sz w:val="24"/>
        </w:rPr>
        <w:t>③监狱企业声明函</w:t>
      </w:r>
    </w:p>
    <w:p>
      <w:pPr>
        <w:snapToGrid w:val="0"/>
        <w:spacing w:line="620" w:lineRule="exact"/>
        <w:ind w:firstLine="504" w:firstLineChars="200"/>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本单位郑重声明，根据《财政部司法部关于政府采购支持监狱企业发展有关问题的通知》（财库〔2014〕68号）的规定，本单位为符合条件的监狱企业，且本单位参加</w:t>
      </w:r>
      <w:r>
        <w:rPr>
          <w:rStyle w:val="32"/>
          <w:rFonts w:hint="eastAsia" w:ascii="宋体" w:hAnsi="宋体" w:cs="宋体"/>
          <w:color w:val="auto"/>
          <w:spacing w:val="6"/>
          <w:sz w:val="24"/>
          <w:u w:val="single"/>
        </w:rPr>
        <w:t xml:space="preserve"> （采购单位名称） </w:t>
      </w:r>
      <w:r>
        <w:rPr>
          <w:rStyle w:val="32"/>
          <w:rFonts w:hint="eastAsia" w:ascii="宋体" w:hAnsi="宋体" w:cs="宋体"/>
          <w:color w:val="auto"/>
          <w:spacing w:val="6"/>
          <w:sz w:val="24"/>
        </w:rPr>
        <w:t>单位的</w:t>
      </w:r>
      <w:r>
        <w:rPr>
          <w:rStyle w:val="32"/>
          <w:rFonts w:hint="eastAsia" w:ascii="宋体" w:hAnsi="宋体" w:cs="宋体"/>
          <w:color w:val="auto"/>
          <w:spacing w:val="6"/>
          <w:sz w:val="24"/>
          <w:u w:val="single"/>
        </w:rPr>
        <w:t xml:space="preserve"> （采购项目名称） </w:t>
      </w:r>
      <w:r>
        <w:rPr>
          <w:rStyle w:val="32"/>
          <w:rFonts w:hint="eastAsia" w:ascii="宋体" w:hAnsi="宋体" w:cs="宋体"/>
          <w:color w:val="auto"/>
          <w:spacing w:val="6"/>
          <w:sz w:val="24"/>
        </w:rPr>
        <w:t>项目采购</w:t>
      </w:r>
      <w:r>
        <w:rPr>
          <w:rStyle w:val="32"/>
          <w:rFonts w:hint="eastAsia" w:ascii="宋体" w:hAnsi="宋体" w:cs="宋体"/>
          <w:color w:val="auto"/>
          <w:kern w:val="0"/>
          <w:sz w:val="24"/>
        </w:rPr>
        <w:t>活动，并提供：□本单位制造的货物；□由本单位承担的工程、提供服务；□提供其他监狱企业制造的货物（承诺人在□处打√）</w:t>
      </w:r>
      <w:r>
        <w:rPr>
          <w:rStyle w:val="32"/>
          <w:rFonts w:hint="eastAsia" w:ascii="宋体" w:hAnsi="宋体" w:cs="宋体"/>
          <w:color w:val="auto"/>
          <w:spacing w:val="6"/>
          <w:sz w:val="24"/>
        </w:rPr>
        <w:t>。</w:t>
      </w:r>
      <w:r>
        <w:rPr>
          <w:rStyle w:val="32"/>
          <w:rFonts w:hint="eastAsia" w:ascii="宋体" w:hAnsi="宋体" w:cs="宋体"/>
          <w:color w:val="auto"/>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本单位对上述声明的真实性负责。如有虚假，将依法承担相应责任。</w:t>
      </w:r>
    </w:p>
    <w:p>
      <w:pPr>
        <w:snapToGrid w:val="0"/>
        <w:spacing w:line="620" w:lineRule="exact"/>
        <w:ind w:firstLine="504" w:firstLineChars="200"/>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32"/>
          <w:rFonts w:hint="eastAsia" w:ascii="宋体" w:hAnsi="宋体" w:cs="宋体"/>
          <w:color w:val="auto"/>
          <w:spacing w:val="6"/>
          <w:sz w:val="24"/>
        </w:rPr>
      </w:pPr>
    </w:p>
    <w:p>
      <w:pPr>
        <w:snapToGrid w:val="0"/>
        <w:spacing w:line="620" w:lineRule="exact"/>
        <w:ind w:firstLine="504" w:firstLineChars="200"/>
        <w:textAlignment w:val="baseline"/>
        <w:rPr>
          <w:rStyle w:val="32"/>
          <w:rFonts w:hint="eastAsia" w:ascii="宋体" w:hAnsi="宋体" w:cs="宋体"/>
          <w:color w:val="auto"/>
          <w:spacing w:val="6"/>
          <w:sz w:val="24"/>
        </w:rPr>
      </w:pPr>
    </w:p>
    <w:p>
      <w:pPr>
        <w:tabs>
          <w:tab w:val="left" w:pos="4860"/>
        </w:tabs>
        <w:snapToGrid w:val="0"/>
        <w:spacing w:line="620" w:lineRule="exact"/>
        <w:ind w:right="1560" w:firstLine="504" w:firstLineChars="200"/>
        <w:jc w:val="center"/>
        <w:textAlignment w:val="baseline"/>
        <w:rPr>
          <w:rStyle w:val="32"/>
          <w:rFonts w:hint="eastAsia" w:ascii="宋体" w:hAnsi="宋体" w:cs="宋体"/>
          <w:color w:val="auto"/>
          <w:spacing w:val="6"/>
          <w:sz w:val="24"/>
        </w:rPr>
      </w:pPr>
      <w:r>
        <w:rPr>
          <w:rStyle w:val="32"/>
          <w:rFonts w:hint="eastAsia" w:ascii="宋体" w:hAnsi="宋体" w:cs="宋体"/>
          <w:color w:val="auto"/>
          <w:spacing w:val="6"/>
          <w:sz w:val="24"/>
        </w:rPr>
        <w:t xml:space="preserve">               单位名称（盖章）：</w:t>
      </w:r>
    </w:p>
    <w:p>
      <w:pPr>
        <w:tabs>
          <w:tab w:val="left" w:pos="640"/>
          <w:tab w:val="left" w:pos="840"/>
          <w:tab w:val="left" w:pos="1260"/>
          <w:tab w:val="left" w:pos="1418"/>
        </w:tabs>
        <w:spacing w:line="360" w:lineRule="auto"/>
        <w:rPr>
          <w:rFonts w:hint="eastAsia" w:ascii="宋体" w:hAnsi="宋体" w:cs="宋体"/>
          <w:color w:val="auto"/>
          <w:spacing w:val="6"/>
          <w:sz w:val="24"/>
        </w:rPr>
      </w:pPr>
      <w:r>
        <w:rPr>
          <w:rStyle w:val="32"/>
          <w:rFonts w:hint="eastAsia" w:ascii="宋体" w:hAnsi="宋体" w:cs="宋体"/>
          <w:color w:val="auto"/>
          <w:spacing w:val="6"/>
          <w:sz w:val="24"/>
        </w:rPr>
        <w:t xml:space="preserve">                          日  期</w:t>
      </w:r>
      <w:r>
        <w:rPr>
          <w:rFonts w:hint="eastAsia" w:ascii="宋体" w:hAnsi="宋体" w:cs="宋体"/>
          <w:color w:val="auto"/>
          <w:spacing w:val="6"/>
          <w:sz w:val="24"/>
        </w:rPr>
        <w:t>：</w:t>
      </w:r>
    </w:p>
    <w:p>
      <w:pPr>
        <w:rPr>
          <w:color w:val="auto"/>
        </w:rPr>
      </w:pPr>
      <w:r>
        <w:rPr>
          <w:rFonts w:hint="eastAsia" w:ascii="宋体" w:hAnsi="宋体" w:cs="宋体"/>
          <w:color w:val="auto"/>
          <w:spacing w:val="6"/>
          <w:sz w:val="24"/>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auto"/>
          <w:sz w:val="24"/>
        </w:rPr>
      </w:pPr>
      <w:r>
        <w:rPr>
          <w:rFonts w:hint="eastAsia" w:ascii="宋体" w:hAnsi="宋体" w:cs="宋体"/>
          <w:b/>
          <w:bCs/>
          <w:color w:val="auto"/>
          <w:sz w:val="24"/>
        </w:rPr>
        <w:t>供应商基本情况表、社保证明及股权关系证明</w:t>
      </w:r>
    </w:p>
    <w:p>
      <w:pPr>
        <w:snapToGrid w:val="0"/>
        <w:rPr>
          <w:rFonts w:hint="eastAsia" w:ascii="宋体" w:hAnsi="宋体" w:cs="宋体"/>
          <w:b/>
          <w:color w:val="auto"/>
          <w:sz w:val="24"/>
          <w:highlight w:val="yellow"/>
        </w:rPr>
      </w:pPr>
      <w:r>
        <w:rPr>
          <w:rFonts w:hint="eastAsia" w:ascii="宋体" w:hAnsi="宋体" w:cs="宋体"/>
          <w:b/>
          <w:color w:val="auto"/>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1.《供应商基本情况表》</w:t>
      </w:r>
    </w:p>
    <w:p>
      <w:pPr>
        <w:adjustRightInd w:val="0"/>
        <w:snapToGrid w:val="0"/>
        <w:jc w:val="left"/>
        <w:rPr>
          <w:rFonts w:hint="eastAsia" w:ascii="宋体" w:hAnsi="宋体" w:cs="宋体"/>
          <w:color w:val="auto"/>
          <w:sz w:val="24"/>
        </w:rPr>
      </w:pPr>
      <w:r>
        <w:rPr>
          <w:rFonts w:hint="eastAsia" w:ascii="宋体" w:hAnsi="宋体" w:cs="宋体"/>
          <w:color w:val="auto"/>
          <w:sz w:val="24"/>
        </w:rPr>
        <w:t>填表单位（</w:t>
      </w:r>
      <w:r>
        <w:rPr>
          <w:rFonts w:hint="eastAsia" w:ascii="宋体" w:hAnsi="宋体" w:cs="宋体"/>
          <w:b/>
          <w:bCs/>
          <w:color w:val="auto"/>
          <w:sz w:val="24"/>
        </w:rPr>
        <w:t>加盖单位公章，必填项</w:t>
      </w:r>
      <w:r>
        <w:rPr>
          <w:rFonts w:hint="eastAsia" w:ascii="宋体" w:hAnsi="宋体" w:cs="宋体"/>
          <w:color w:val="auto"/>
          <w:sz w:val="24"/>
        </w:rPr>
        <w:t>）：</w:t>
      </w:r>
    </w:p>
    <w:p>
      <w:pPr>
        <w:adjustRightInd w:val="0"/>
        <w:snapToGrid w:val="0"/>
        <w:jc w:val="left"/>
        <w:rPr>
          <w:rFonts w:hint="eastAsia" w:ascii="宋体" w:hAnsi="宋体" w:cs="宋体"/>
          <w:color w:val="auto"/>
          <w:sz w:val="24"/>
        </w:rPr>
      </w:pPr>
      <w:r>
        <w:rPr>
          <w:rFonts w:hint="eastAsia" w:ascii="宋体" w:hAnsi="宋体" w:cs="宋体"/>
          <w:color w:val="auto"/>
          <w:sz w:val="24"/>
        </w:rPr>
        <w:t>填表日期（</w:t>
      </w:r>
      <w:r>
        <w:rPr>
          <w:rFonts w:hint="eastAsia" w:ascii="宋体" w:hAnsi="宋体" w:cs="宋体"/>
          <w:b/>
          <w:bCs/>
          <w:color w:val="auto"/>
          <w:sz w:val="24"/>
        </w:rPr>
        <w:t>必填项</w:t>
      </w:r>
      <w:r>
        <w:rPr>
          <w:rFonts w:hint="eastAsia" w:ascii="宋体" w:hAnsi="宋体" w:cs="宋体"/>
          <w:color w:val="auto"/>
          <w:sz w:val="24"/>
        </w:rPr>
        <w:t>）：        年     月      日</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采购人</w:t>
            </w:r>
          </w:p>
        </w:tc>
        <w:tc>
          <w:tcPr>
            <w:tcW w:w="1406" w:type="pct"/>
            <w:gridSpan w:val="2"/>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项目名称</w:t>
            </w:r>
          </w:p>
        </w:tc>
        <w:tc>
          <w:tcPr>
            <w:tcW w:w="1656" w:type="pct"/>
            <w:gridSpan w:val="2"/>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投标（响应）供应商</w:t>
            </w:r>
          </w:p>
        </w:tc>
        <w:tc>
          <w:tcPr>
            <w:tcW w:w="1406" w:type="pct"/>
            <w:gridSpan w:val="2"/>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供应商统一社会信用代码</w:t>
            </w:r>
          </w:p>
        </w:tc>
        <w:tc>
          <w:tcPr>
            <w:tcW w:w="1656" w:type="pct"/>
            <w:gridSpan w:val="2"/>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noWrap w:val="0"/>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职务</w:t>
            </w:r>
          </w:p>
        </w:tc>
        <w:tc>
          <w:tcPr>
            <w:tcW w:w="543"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姓名</w:t>
            </w:r>
          </w:p>
        </w:tc>
        <w:tc>
          <w:tcPr>
            <w:tcW w:w="1188" w:type="pct"/>
            <w:gridSpan w:val="2"/>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身份证号码</w:t>
            </w:r>
          </w:p>
        </w:tc>
        <w:tc>
          <w:tcPr>
            <w:tcW w:w="821"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劳动合同</w:t>
            </w:r>
          </w:p>
          <w:p>
            <w:pPr>
              <w:widowControl/>
              <w:snapToGrid w:val="0"/>
              <w:jc w:val="center"/>
              <w:rPr>
                <w:rFonts w:hint="eastAsia" w:ascii="宋体" w:hAnsi="宋体" w:cs="宋体"/>
                <w:bCs/>
                <w:color w:val="auto"/>
                <w:sz w:val="24"/>
              </w:rPr>
            </w:pPr>
            <w:r>
              <w:rPr>
                <w:rFonts w:hint="eastAsia" w:ascii="宋体" w:hAnsi="宋体" w:cs="宋体"/>
                <w:bCs/>
                <w:color w:val="auto"/>
                <w:sz w:val="24"/>
              </w:rPr>
              <w:t>关系单位</w:t>
            </w:r>
          </w:p>
        </w:tc>
        <w:tc>
          <w:tcPr>
            <w:tcW w:w="835" w:type="pct"/>
            <w:tcBorders>
              <w:bottom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缴纳社会</w:t>
            </w:r>
          </w:p>
          <w:p>
            <w:pPr>
              <w:widowControl/>
              <w:snapToGrid w:val="0"/>
              <w:jc w:val="center"/>
              <w:rPr>
                <w:rFonts w:hint="eastAsia" w:ascii="宋体" w:hAnsi="宋体" w:cs="宋体"/>
                <w:bCs/>
                <w:color w:val="auto"/>
                <w:sz w:val="24"/>
              </w:rPr>
            </w:pPr>
            <w:r>
              <w:rPr>
                <w:rFonts w:hint="eastAsia" w:ascii="宋体" w:hAnsi="宋体" w:cs="宋体"/>
                <w:bCs/>
                <w:color w:val="auto"/>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3</w:t>
            </w:r>
          </w:p>
        </w:tc>
        <w:tc>
          <w:tcPr>
            <w:tcW w:w="1223" w:type="pct"/>
            <w:gridSpan w:val="2"/>
            <w:tcBorders>
              <w:top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项目负责人（如有）</w:t>
            </w:r>
          </w:p>
        </w:tc>
        <w:tc>
          <w:tcPr>
            <w:tcW w:w="543"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821"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c>
          <w:tcPr>
            <w:tcW w:w="835" w:type="pct"/>
            <w:tcBorders>
              <w:top w:val="single" w:color="auto" w:sz="4" w:space="0"/>
            </w:tcBorders>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4</w:t>
            </w:r>
          </w:p>
        </w:tc>
        <w:tc>
          <w:tcPr>
            <w:tcW w:w="1223"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主要技术人员（如有）</w:t>
            </w:r>
          </w:p>
        </w:tc>
        <w:tc>
          <w:tcPr>
            <w:tcW w:w="543" w:type="pct"/>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p>
        </w:tc>
        <w:tc>
          <w:tcPr>
            <w:tcW w:w="821" w:type="pct"/>
            <w:noWrap w:val="0"/>
            <w:vAlign w:val="center"/>
          </w:tcPr>
          <w:p>
            <w:pPr>
              <w:widowControl/>
              <w:snapToGrid w:val="0"/>
              <w:jc w:val="center"/>
              <w:rPr>
                <w:rFonts w:hint="eastAsia" w:ascii="宋体" w:hAnsi="宋体" w:cs="宋体"/>
                <w:bCs/>
                <w:color w:val="auto"/>
                <w:sz w:val="24"/>
              </w:rPr>
            </w:pPr>
          </w:p>
        </w:tc>
        <w:tc>
          <w:tcPr>
            <w:tcW w:w="835" w:type="pct"/>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5</w:t>
            </w:r>
          </w:p>
        </w:tc>
        <w:tc>
          <w:tcPr>
            <w:tcW w:w="1223" w:type="pct"/>
            <w:gridSpan w:val="2"/>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投标文件编制人员（必填项）</w:t>
            </w:r>
          </w:p>
        </w:tc>
        <w:tc>
          <w:tcPr>
            <w:tcW w:w="543" w:type="pct"/>
            <w:noWrap w:val="0"/>
            <w:vAlign w:val="center"/>
          </w:tcPr>
          <w:p>
            <w:pPr>
              <w:widowControl/>
              <w:snapToGrid w:val="0"/>
              <w:jc w:val="center"/>
              <w:rPr>
                <w:rFonts w:hint="eastAsia" w:ascii="宋体" w:hAnsi="宋体" w:cs="宋体"/>
                <w:bCs/>
                <w:color w:val="auto"/>
                <w:sz w:val="24"/>
              </w:rPr>
            </w:pPr>
          </w:p>
        </w:tc>
        <w:tc>
          <w:tcPr>
            <w:tcW w:w="1188" w:type="pct"/>
            <w:gridSpan w:val="2"/>
            <w:noWrap w:val="0"/>
            <w:vAlign w:val="center"/>
          </w:tcPr>
          <w:p>
            <w:pPr>
              <w:widowControl/>
              <w:snapToGrid w:val="0"/>
              <w:jc w:val="center"/>
              <w:rPr>
                <w:rFonts w:hint="eastAsia" w:ascii="宋体" w:hAnsi="宋体" w:cs="宋体"/>
                <w:bCs/>
                <w:color w:val="auto"/>
                <w:sz w:val="24"/>
              </w:rPr>
            </w:pPr>
          </w:p>
        </w:tc>
        <w:tc>
          <w:tcPr>
            <w:tcW w:w="821" w:type="pct"/>
            <w:noWrap w:val="0"/>
            <w:vAlign w:val="center"/>
          </w:tcPr>
          <w:p>
            <w:pPr>
              <w:widowControl/>
              <w:snapToGrid w:val="0"/>
              <w:jc w:val="center"/>
              <w:rPr>
                <w:rFonts w:hint="eastAsia" w:ascii="宋体" w:hAnsi="宋体" w:cs="宋体"/>
                <w:bCs/>
                <w:color w:val="auto"/>
                <w:sz w:val="24"/>
              </w:rPr>
            </w:pPr>
          </w:p>
        </w:tc>
        <w:tc>
          <w:tcPr>
            <w:tcW w:w="835" w:type="pct"/>
            <w:noWrap w:val="0"/>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widowControl/>
              <w:snapToGrid w:val="0"/>
              <w:rPr>
                <w:rFonts w:hint="eastAsia" w:ascii="宋体" w:hAnsi="宋体" w:cs="宋体"/>
                <w:b/>
                <w:color w:val="auto"/>
                <w:sz w:val="24"/>
              </w:rPr>
            </w:pPr>
            <w:r>
              <w:rPr>
                <w:rFonts w:hint="eastAsia" w:ascii="宋体" w:hAnsi="宋体" w:cs="宋体"/>
                <w:b/>
                <w:color w:val="auto"/>
                <w:sz w:val="24"/>
              </w:rPr>
              <w:t>说明：1.同一职务有多人担任（如主要技术人员），应分行填写。</w:t>
            </w:r>
          </w:p>
          <w:p>
            <w:pPr>
              <w:pStyle w:val="7"/>
              <w:ind w:firstLine="723" w:firstLineChars="300"/>
              <w:rPr>
                <w:rFonts w:hint="eastAsia" w:ascii="宋体" w:hAnsi="宋体" w:cs="宋体"/>
                <w:b/>
                <w:color w:val="auto"/>
                <w:sz w:val="24"/>
                <w:szCs w:val="24"/>
              </w:rPr>
            </w:pPr>
            <w:r>
              <w:rPr>
                <w:rFonts w:hint="eastAsia" w:ascii="宋体" w:hAnsi="宋体" w:cs="宋体"/>
                <w:b/>
                <w:color w:val="auto"/>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auto"/>
                <w:sz w:val="24"/>
              </w:rPr>
            </w:pPr>
            <w:r>
              <w:rPr>
                <w:rFonts w:hint="eastAsia" w:ascii="宋体" w:hAnsi="宋体" w:cs="宋体"/>
                <w:bCs/>
                <w:color w:val="auto"/>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宋体" w:hAnsi="宋体" w:cs="宋体"/>
                <w:b/>
                <w:color w:val="auto"/>
                <w:sz w:val="24"/>
              </w:rPr>
            </w:pPr>
            <w:r>
              <w:rPr>
                <w:rFonts w:hint="eastAsia" w:ascii="宋体" w:hAnsi="宋体" w:cs="宋体"/>
                <w:b/>
                <w:color w:val="auto"/>
                <w:sz w:val="24"/>
              </w:rPr>
              <w:t>说明：</w:t>
            </w:r>
          </w:p>
          <w:p>
            <w:pPr>
              <w:widowControl/>
              <w:snapToGrid w:val="0"/>
              <w:rPr>
                <w:rFonts w:hint="eastAsia" w:ascii="宋体" w:hAnsi="宋体" w:cs="宋体"/>
                <w:b/>
                <w:color w:val="auto"/>
                <w:sz w:val="24"/>
              </w:rPr>
            </w:pPr>
            <w:r>
              <w:rPr>
                <w:rFonts w:hint="eastAsia" w:ascii="宋体" w:hAnsi="宋体" w:cs="宋体"/>
                <w:b/>
                <w:color w:val="auto"/>
                <w:sz w:val="24"/>
              </w:rPr>
              <w:t>1.同一关联关系类型有多个主体的，应分行填写。</w:t>
            </w:r>
          </w:p>
          <w:p>
            <w:pPr>
              <w:pStyle w:val="7"/>
              <w:ind w:firstLine="0" w:firstLineChars="0"/>
              <w:rPr>
                <w:rFonts w:hint="eastAsia" w:ascii="宋体" w:hAnsi="宋体" w:cs="宋体"/>
                <w:color w:val="auto"/>
                <w:sz w:val="24"/>
                <w:szCs w:val="24"/>
              </w:rPr>
            </w:pPr>
            <w:r>
              <w:rPr>
                <w:rFonts w:hint="eastAsia" w:ascii="宋体" w:hAnsi="宋体" w:cs="宋体"/>
                <w:b/>
                <w:color w:val="auto"/>
                <w:sz w:val="24"/>
                <w:szCs w:val="24"/>
              </w:rPr>
              <w:t>2.上述规定的控股、管理关系仅限于直接控股、直接管理关系，不包括间接的控股或管理关系。</w:t>
            </w:r>
          </w:p>
        </w:tc>
      </w:tr>
    </w:tbl>
    <w:p>
      <w:pPr>
        <w:snapToGrid w:val="0"/>
        <w:rPr>
          <w:rFonts w:hint="eastAsia" w:ascii="宋体" w:hAnsi="宋体" w:cs="宋体"/>
          <w:b/>
          <w:color w:val="auto"/>
          <w:sz w:val="24"/>
        </w:rPr>
      </w:pPr>
      <w:r>
        <w:rPr>
          <w:rFonts w:hint="eastAsia" w:ascii="宋体" w:hAnsi="宋体" w:cs="宋体"/>
          <w:b/>
          <w:color w:val="auto"/>
          <w:sz w:val="24"/>
        </w:rPr>
        <w:t>备注：注明“必填项”的必须填写；未注明“必填项”的，如供应商未填写则视为未安排（或无）。</w:t>
      </w:r>
    </w:p>
    <w:p>
      <w:pPr>
        <w:widowControl/>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2.社保</w:t>
      </w:r>
      <w:bookmarkStart w:id="38" w:name="OLE_LINK9"/>
      <w:r>
        <w:rPr>
          <w:rFonts w:hint="eastAsia" w:ascii="宋体" w:hAnsi="宋体" w:cs="宋体"/>
          <w:b/>
          <w:color w:val="auto"/>
          <w:sz w:val="28"/>
          <w:szCs w:val="28"/>
        </w:rPr>
        <w:t>证明</w:t>
      </w:r>
      <w:bookmarkEnd w:id="38"/>
      <w:r>
        <w:rPr>
          <w:rFonts w:hint="eastAsia" w:ascii="宋体" w:hAnsi="宋体" w:cs="宋体"/>
          <w:b/>
          <w:color w:val="auto"/>
          <w:sz w:val="28"/>
          <w:szCs w:val="28"/>
        </w:rPr>
        <w:t>材料：</w:t>
      </w:r>
    </w:p>
    <w:p>
      <w:pPr>
        <w:widowControl/>
        <w:snapToGrid w:val="0"/>
        <w:rPr>
          <w:rFonts w:hint="eastAsia" w:ascii="宋体" w:hAnsi="宋体" w:cs="宋体"/>
          <w:bCs/>
          <w:color w:val="auto"/>
          <w:sz w:val="24"/>
        </w:rPr>
      </w:pPr>
      <w:r>
        <w:rPr>
          <w:rFonts w:hint="eastAsia" w:ascii="宋体" w:hAnsi="宋体" w:cs="宋体"/>
          <w:bCs/>
          <w:color w:val="auto"/>
          <w:sz w:val="24"/>
        </w:rPr>
        <w:t>（1）法定代表人/单位负责人/主要经营负责人</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7"/>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（2）投标授权代表人</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7"/>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（3）项目负责人（如本项目未安排，可不提供）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7"/>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（4）主要技术人员（如本项目未安排，可不提供）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7"/>
        <w:widowControl/>
        <w:ind w:firstLine="480"/>
        <w:rPr>
          <w:rFonts w:hint="eastAsia" w:ascii="宋体" w:hAnsi="宋体" w:cs="宋体"/>
          <w:bCs/>
          <w:color w:val="auto"/>
          <w:sz w:val="24"/>
          <w:szCs w:val="24"/>
        </w:rPr>
      </w:pPr>
    </w:p>
    <w:p>
      <w:pPr>
        <w:widowControl/>
        <w:numPr>
          <w:ilvl w:val="0"/>
          <w:numId w:val="12"/>
        </w:numPr>
        <w:snapToGrid w:val="0"/>
        <w:rPr>
          <w:rFonts w:hint="eastAsia" w:ascii="宋体" w:hAnsi="宋体" w:cs="宋体"/>
          <w:bCs/>
          <w:color w:val="auto"/>
          <w:sz w:val="24"/>
        </w:rPr>
      </w:pPr>
      <w:r>
        <w:rPr>
          <w:rFonts w:hint="eastAsia" w:ascii="宋体" w:hAnsi="宋体" w:cs="宋体"/>
          <w:bCs/>
          <w:color w:val="auto"/>
          <w:sz w:val="24"/>
        </w:rPr>
        <w:t>投标文件编制人员</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7"/>
        <w:widowControl/>
        <w:ind w:firstLine="480"/>
        <w:rPr>
          <w:rFonts w:hint="eastAsia" w:ascii="宋体" w:hAnsi="宋体" w:cs="宋体"/>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注：</w:t>
      </w:r>
    </w:p>
    <w:p>
      <w:pPr>
        <w:widowControl/>
        <w:snapToGrid w:val="0"/>
        <w:rPr>
          <w:rFonts w:hint="eastAsia" w:ascii="宋体" w:hAnsi="宋体" w:cs="宋体"/>
          <w:bCs/>
          <w:color w:val="auto"/>
          <w:sz w:val="24"/>
        </w:rPr>
      </w:pPr>
      <w:r>
        <w:rPr>
          <w:rFonts w:hint="eastAsia" w:ascii="宋体" w:hAnsi="宋体" w:cs="宋体"/>
          <w:bCs/>
          <w:color w:val="auto"/>
          <w:sz w:val="24"/>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auto"/>
          <w:sz w:val="24"/>
        </w:rPr>
      </w:pPr>
      <w:r>
        <w:rPr>
          <w:rFonts w:hint="eastAsia" w:ascii="宋体" w:hAnsi="宋体" w:cs="宋体"/>
          <w:bCs/>
          <w:color w:val="auto"/>
          <w:sz w:val="24"/>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auto"/>
          <w:sz w:val="24"/>
        </w:rPr>
      </w:pPr>
      <w:r>
        <w:rPr>
          <w:rFonts w:hint="eastAsia" w:ascii="宋体" w:hAnsi="宋体" w:cs="宋体"/>
          <w:bCs/>
          <w:color w:val="auto"/>
          <w:sz w:val="24"/>
        </w:rPr>
        <w:t>3.如无法按上述要求提供人员社会保险证明材料的，提交以下材料亦视为符合：</w:t>
      </w:r>
    </w:p>
    <w:p>
      <w:pPr>
        <w:widowControl/>
        <w:snapToGrid w:val="0"/>
        <w:rPr>
          <w:rFonts w:hint="eastAsia" w:ascii="宋体" w:hAnsi="宋体" w:cs="宋体"/>
          <w:bCs/>
          <w:color w:val="auto"/>
          <w:sz w:val="24"/>
        </w:rPr>
      </w:pPr>
      <w:r>
        <w:rPr>
          <w:rFonts w:hint="eastAsia" w:ascii="宋体" w:hAnsi="宋体" w:cs="宋体"/>
          <w:bCs/>
          <w:color w:val="auto"/>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auto"/>
          <w:sz w:val="28"/>
          <w:szCs w:val="28"/>
        </w:rPr>
      </w:pPr>
    </w:p>
    <w:p>
      <w:pPr>
        <w:snapToGrid w:val="0"/>
        <w:rPr>
          <w:rFonts w:hint="eastAsia" w:ascii="宋体" w:hAnsi="宋体" w:cs="宋体"/>
          <w:b/>
          <w:color w:val="auto"/>
          <w:sz w:val="28"/>
          <w:szCs w:val="28"/>
        </w:rPr>
      </w:pPr>
      <w:r>
        <w:rPr>
          <w:rFonts w:hint="eastAsia" w:ascii="宋体" w:hAnsi="宋体" w:cs="宋体"/>
          <w:b/>
          <w:color w:val="auto"/>
          <w:sz w:val="28"/>
          <w:szCs w:val="28"/>
        </w:rPr>
        <w:t>3.</w:t>
      </w:r>
      <w:bookmarkStart w:id="39" w:name="OLE_LINK10"/>
      <w:r>
        <w:rPr>
          <w:rFonts w:hint="eastAsia" w:ascii="宋体" w:hAnsi="宋体" w:cs="宋体"/>
          <w:b/>
          <w:color w:val="auto"/>
          <w:sz w:val="28"/>
          <w:szCs w:val="28"/>
        </w:rPr>
        <w:t>股权关系证明</w:t>
      </w:r>
      <w:bookmarkEnd w:id="39"/>
      <w:r>
        <w:rPr>
          <w:rFonts w:hint="eastAsia" w:ascii="宋体" w:hAnsi="宋体" w:cs="宋体"/>
          <w:b/>
          <w:color w:val="auto"/>
          <w:sz w:val="28"/>
          <w:szCs w:val="28"/>
        </w:rPr>
        <w:t>材料：</w:t>
      </w:r>
    </w:p>
    <w:p>
      <w:pPr>
        <w:widowControl/>
        <w:snapToGrid w:val="0"/>
        <w:rPr>
          <w:rFonts w:hint="eastAsia" w:ascii="宋体" w:hAnsi="宋体" w:cs="宋体"/>
          <w:b/>
          <w:color w:val="auto"/>
          <w:sz w:val="24"/>
        </w:rPr>
      </w:pPr>
      <w:r>
        <w:rPr>
          <w:rFonts w:hint="eastAsia" w:ascii="宋体" w:hAnsi="宋体" w:cs="宋体"/>
          <w:b/>
          <w:color w:val="auto"/>
          <w:sz w:val="24"/>
        </w:rPr>
        <w:t>（1）股权（或管理）关系证明材料：</w:t>
      </w:r>
    </w:p>
    <w:p>
      <w:pPr>
        <w:widowControl/>
        <w:snapToGrid w:val="0"/>
        <w:rPr>
          <w:rFonts w:hint="eastAsia" w:ascii="宋体" w:hAnsi="宋体" w:cs="宋体"/>
          <w:bCs/>
          <w:color w:val="auto"/>
          <w:sz w:val="24"/>
        </w:rPr>
      </w:pPr>
      <w:r>
        <w:rPr>
          <w:rFonts w:hint="eastAsia" w:ascii="宋体" w:hAnsi="宋体" w:cs="宋体"/>
          <w:bCs/>
          <w:color w:val="auto"/>
          <w:sz w:val="24"/>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auto"/>
          <w:sz w:val="24"/>
        </w:rPr>
      </w:pPr>
    </w:p>
    <w:p>
      <w:pPr>
        <w:widowControl/>
        <w:snapToGrid w:val="0"/>
        <w:jc w:val="left"/>
        <w:rPr>
          <w:rFonts w:hint="eastAsia" w:ascii="宋体" w:hAnsi="宋体" w:cs="宋体"/>
          <w:b/>
          <w:color w:val="auto"/>
          <w:sz w:val="24"/>
        </w:rPr>
      </w:pPr>
      <w:r>
        <w:rPr>
          <w:rFonts w:hint="eastAsia" w:ascii="宋体" w:hAnsi="宋体" w:cs="宋体"/>
          <w:b/>
          <w:color w:val="auto"/>
          <w:sz w:val="24"/>
        </w:rPr>
        <w:t>（2）股权关系情况承诺函</w:t>
      </w:r>
    </w:p>
    <w:p>
      <w:pPr>
        <w:widowControl/>
        <w:snapToGrid w:val="0"/>
        <w:ind w:firstLine="482" w:firstLineChars="200"/>
        <w:jc w:val="center"/>
        <w:rPr>
          <w:rFonts w:hint="eastAsia" w:ascii="宋体" w:hAnsi="宋体" w:cs="宋体"/>
          <w:bCs/>
          <w:color w:val="auto"/>
          <w:sz w:val="24"/>
        </w:rPr>
      </w:pPr>
      <w:r>
        <w:rPr>
          <w:rFonts w:hint="eastAsia" w:ascii="宋体" w:hAnsi="宋体" w:cs="宋体"/>
          <w:b/>
          <w:color w:val="auto"/>
          <w:sz w:val="24"/>
        </w:rPr>
        <w:t>《股权关系情况承诺函》</w:t>
      </w:r>
    </w:p>
    <w:p>
      <w:pPr>
        <w:widowControl/>
        <w:snapToGrid w:val="0"/>
        <w:ind w:firstLine="480" w:firstLineChars="200"/>
        <w:rPr>
          <w:rFonts w:hint="eastAsia" w:ascii="宋体" w:hAnsi="宋体" w:cs="宋体"/>
          <w:bCs/>
          <w:color w:val="auto"/>
          <w:sz w:val="24"/>
        </w:rPr>
      </w:pPr>
      <w:r>
        <w:rPr>
          <w:rFonts w:hint="eastAsia" w:ascii="宋体" w:hAnsi="宋体" w:cs="宋体"/>
          <w:bCs/>
          <w:color w:val="auto"/>
          <w:sz w:val="24"/>
        </w:rPr>
        <w:t>我公司申请参加</w:t>
      </w:r>
      <w:r>
        <w:rPr>
          <w:rFonts w:hint="eastAsia" w:ascii="宋体" w:hAnsi="宋体" w:cs="宋体"/>
          <w:bCs/>
          <w:color w:val="auto"/>
          <w:sz w:val="24"/>
          <w:u w:val="single"/>
        </w:rPr>
        <w:t xml:space="preserve">            </w:t>
      </w:r>
      <w:r>
        <w:rPr>
          <w:rFonts w:hint="eastAsia" w:ascii="宋体" w:hAnsi="宋体" w:cs="宋体"/>
          <w:bCs/>
          <w:color w:val="auto"/>
          <w:sz w:val="24"/>
        </w:rPr>
        <w:t>项目（项目编号为</w:t>
      </w:r>
      <w:r>
        <w:rPr>
          <w:rFonts w:hint="eastAsia" w:ascii="宋体" w:hAnsi="宋体" w:cs="宋体"/>
          <w:bCs/>
          <w:color w:val="auto"/>
          <w:sz w:val="24"/>
          <w:u w:val="single"/>
        </w:rPr>
        <w:t xml:space="preserve">         </w:t>
      </w:r>
      <w:r>
        <w:rPr>
          <w:rFonts w:hint="eastAsia" w:ascii="宋体" w:hAnsi="宋体" w:cs="宋体"/>
          <w:bCs/>
          <w:color w:val="auto"/>
          <w:sz w:val="24"/>
        </w:rPr>
        <w:t>）的投标，并作出如下承诺：</w:t>
      </w:r>
    </w:p>
    <w:p>
      <w:pPr>
        <w:widowControl/>
        <w:snapToGrid w:val="0"/>
        <w:rPr>
          <w:rFonts w:hint="eastAsia" w:ascii="宋体" w:hAnsi="宋体" w:cs="宋体"/>
          <w:bCs/>
          <w:color w:val="auto"/>
          <w:sz w:val="24"/>
        </w:rPr>
      </w:pPr>
      <w:r>
        <w:rPr>
          <w:rFonts w:hint="eastAsia" w:ascii="宋体" w:hAnsi="宋体" w:cs="宋体"/>
          <w:bCs/>
          <w:color w:val="auto"/>
          <w:sz w:val="24"/>
        </w:rPr>
        <w:t>我公司承诺所填的股权关系情况真实、准确、完整。</w:t>
      </w:r>
    </w:p>
    <w:p>
      <w:pPr>
        <w:widowControl/>
        <w:snapToGrid w:val="0"/>
        <w:rPr>
          <w:rFonts w:hint="eastAsia" w:ascii="宋体" w:hAnsi="宋体" w:cs="宋体"/>
          <w:bCs/>
          <w:color w:val="auto"/>
          <w:sz w:val="24"/>
        </w:rPr>
      </w:pPr>
      <w:r>
        <w:rPr>
          <w:rFonts w:hint="eastAsia" w:ascii="宋体" w:hAnsi="宋体" w:cs="宋体"/>
          <w:bCs/>
          <w:color w:val="auto"/>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auto"/>
          <w:sz w:val="24"/>
        </w:rPr>
      </w:pPr>
      <w:r>
        <w:rPr>
          <w:rFonts w:hint="eastAsia" w:ascii="宋体" w:hAnsi="宋体" w:cs="宋体"/>
          <w:bCs/>
          <w:color w:val="auto"/>
          <w:sz w:val="24"/>
        </w:rPr>
        <w:t>特此承诺！</w:t>
      </w:r>
    </w:p>
    <w:p>
      <w:pPr>
        <w:widowControl/>
        <w:snapToGrid w:val="0"/>
        <w:rPr>
          <w:rFonts w:hint="eastAsia" w:ascii="宋体" w:hAnsi="宋体" w:cs="宋体"/>
          <w:bCs/>
          <w:color w:val="auto"/>
          <w:sz w:val="24"/>
        </w:rPr>
      </w:pPr>
    </w:p>
    <w:p>
      <w:pPr>
        <w:widowControl/>
        <w:snapToGrid w:val="0"/>
        <w:rPr>
          <w:rFonts w:hint="eastAsia" w:ascii="宋体" w:hAnsi="宋体" w:cs="宋体"/>
          <w:bCs/>
          <w:color w:val="auto"/>
          <w:sz w:val="24"/>
        </w:rPr>
      </w:pPr>
      <w:r>
        <w:rPr>
          <w:rFonts w:hint="eastAsia" w:ascii="宋体" w:hAnsi="宋体" w:cs="宋体"/>
          <w:bCs/>
          <w:color w:val="auto"/>
          <w:sz w:val="24"/>
        </w:rPr>
        <w:t xml:space="preserve">                                供应商名称（加盖公章</w:t>
      </w:r>
      <w:r>
        <w:rPr>
          <w:rFonts w:hint="eastAsia" w:ascii="宋体" w:hAnsi="宋体" w:cs="宋体"/>
          <w:bCs/>
          <w:color w:val="auto"/>
          <w:sz w:val="24"/>
        </w:rPr>
        <w:tab/>
      </w:r>
      <w:r>
        <w:rPr>
          <w:rFonts w:hint="eastAsia" w:ascii="宋体" w:hAnsi="宋体" w:cs="宋体"/>
          <w:bCs/>
          <w:color w:val="auto"/>
          <w:sz w:val="24"/>
        </w:rPr>
        <w:t xml:space="preserve">）： </w:t>
      </w:r>
    </w:p>
    <w:p>
      <w:pPr>
        <w:widowControl/>
        <w:snapToGrid w:val="0"/>
        <w:ind w:firstLine="3840" w:firstLineChars="1600"/>
        <w:rPr>
          <w:rFonts w:hint="eastAsia" w:ascii="宋体" w:hAnsi="宋体" w:cs="宋体"/>
          <w:bCs/>
          <w:color w:val="auto"/>
          <w:sz w:val="24"/>
        </w:rPr>
      </w:pPr>
      <w:r>
        <w:rPr>
          <w:rFonts w:hint="eastAsia" w:ascii="宋体" w:hAnsi="宋体" w:cs="宋体"/>
          <w:bCs/>
          <w:color w:val="auto"/>
          <w:sz w:val="24"/>
        </w:rPr>
        <w:t>日  期：       年    月   日</w:t>
      </w:r>
    </w:p>
    <w:p>
      <w:pPr>
        <w:widowControl/>
        <w:snapToGrid w:val="0"/>
        <w:rPr>
          <w:rFonts w:hint="eastAsia" w:ascii="宋体" w:hAnsi="宋体" w:cs="宋体"/>
          <w:bCs/>
          <w:color w:val="auto"/>
          <w:sz w:val="24"/>
        </w:rPr>
      </w:pPr>
    </w:p>
    <w:p>
      <w:pPr>
        <w:tabs>
          <w:tab w:val="left" w:pos="640"/>
          <w:tab w:val="left" w:pos="840"/>
          <w:tab w:val="left" w:pos="1260"/>
          <w:tab w:val="left" w:pos="1418"/>
        </w:tabs>
        <w:spacing w:line="360" w:lineRule="auto"/>
        <w:rPr>
          <w:rFonts w:hint="eastAsia" w:ascii="宋体" w:hAnsi="宋体" w:cs="宋体"/>
          <w:bCs/>
          <w:color w:val="auto"/>
          <w:sz w:val="24"/>
        </w:rPr>
      </w:pPr>
      <w:r>
        <w:rPr>
          <w:rFonts w:hint="eastAsia" w:ascii="宋体" w:hAnsi="宋体" w:cs="宋体"/>
          <w:bCs/>
          <w:color w:val="auto"/>
          <w:sz w:val="24"/>
        </w:rPr>
        <w:t>注：代理机构将于截标当日同步通过上述网站进行查询，查询结果与供应商填报信息不一致的，以代理机构于截标当日的查询结果为准。</w:t>
      </w:r>
    </w:p>
    <w:p>
      <w:pPr>
        <w:rPr>
          <w:rFonts w:hint="eastAsia" w:ascii="宋体" w:hAnsi="宋体" w:cs="宋体"/>
          <w:bCs/>
          <w:color w:val="auto"/>
          <w:sz w:val="24"/>
        </w:rPr>
      </w:pPr>
      <w:r>
        <w:rPr>
          <w:rFonts w:hint="eastAsia" w:ascii="宋体" w:hAnsi="宋体" w:cs="宋体"/>
          <w:bCs/>
          <w:color w:val="auto"/>
          <w:sz w:val="24"/>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color w:val="auto"/>
          <w:sz w:val="24"/>
        </w:rPr>
      </w:pPr>
    </w:p>
    <w:p>
      <w:pPr>
        <w:spacing w:line="360" w:lineRule="auto"/>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（三）技术部分</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用户需求响应表；</w:t>
      </w:r>
    </w:p>
    <w:p>
      <w:pPr>
        <w:spacing w:after="78"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用户需求响应表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hint="eastAsia" w:ascii="宋体" w:hAnsi="宋体" w:cs="宋体"/>
          <w:bCs/>
          <w:color w:val="auto"/>
          <w:sz w:val="24"/>
        </w:rPr>
      </w:pPr>
      <w:r>
        <w:rPr>
          <w:rFonts w:hint="eastAsia" w:ascii="宋体" w:hAnsi="宋体" w:cs="宋体"/>
          <w:bCs/>
          <w:color w:val="auto"/>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招标文件要求</w:t>
            </w:r>
          </w:p>
        </w:tc>
        <w:tc>
          <w:tcPr>
            <w:tcW w:w="3052"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投标文件响应</w:t>
            </w:r>
          </w:p>
        </w:tc>
        <w:tc>
          <w:tcPr>
            <w:tcW w:w="2106" w:type="dxa"/>
            <w:noWrap w:val="0"/>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noWrap w:val="0"/>
            <w:vAlign w:val="center"/>
          </w:tcPr>
          <w:p>
            <w:pPr>
              <w:spacing w:line="360" w:lineRule="auto"/>
              <w:rPr>
                <w:rFonts w:hint="eastAsia"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hint="eastAsia" w:ascii="宋体" w:hAnsi="宋体" w:cs="宋体"/>
                <w:bCs/>
                <w:color w:val="auto"/>
                <w:sz w:val="24"/>
              </w:rPr>
            </w:pPr>
            <w:r>
              <w:rPr>
                <w:rFonts w:hint="eastAsia" w:ascii="宋体" w:hAnsi="宋体" w:cs="宋体"/>
                <w:b/>
                <w:color w:val="auto"/>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rPr>
              <w:t>。如投标人中标后被发现不能满足招标文件“第五章 用户需求书”的，采购单位有权拒绝签订合同，一切后果由投标人承担。</w:t>
            </w:r>
          </w:p>
        </w:tc>
        <w:tc>
          <w:tcPr>
            <w:tcW w:w="3052" w:type="dxa"/>
            <w:noWrap w:val="0"/>
            <w:vAlign w:val="center"/>
          </w:tcPr>
          <w:p>
            <w:pPr>
              <w:spacing w:line="360" w:lineRule="auto"/>
              <w:jc w:val="left"/>
              <w:rPr>
                <w:rFonts w:hint="eastAsia"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rPr>
            </w:pPr>
            <w:r>
              <w:rPr>
                <w:rFonts w:hint="eastAsia" w:ascii="宋体" w:hAnsi="宋体" w:cs="宋体"/>
                <w:bCs/>
                <w:color w:val="auto"/>
                <w:sz w:val="24"/>
              </w:rPr>
              <w:t>无需另行编制填写内容。</w:t>
            </w:r>
          </w:p>
        </w:tc>
        <w:tc>
          <w:tcPr>
            <w:tcW w:w="2106" w:type="dxa"/>
            <w:noWrap w:val="0"/>
            <w:vAlign w:val="center"/>
          </w:tcPr>
          <w:p>
            <w:pPr>
              <w:spacing w:line="360" w:lineRule="auto"/>
              <w:jc w:val="center"/>
              <w:rPr>
                <w:rFonts w:hint="eastAsia" w:ascii="宋体" w:hAnsi="宋体" w:cs="宋体"/>
                <w:bCs/>
                <w:color w:val="auto"/>
                <w:sz w:val="24"/>
              </w:rPr>
            </w:pPr>
          </w:p>
        </w:tc>
      </w:tr>
    </w:tbl>
    <w:p>
      <w:pPr>
        <w:spacing w:after="78" w:line="360" w:lineRule="auto"/>
        <w:rPr>
          <w:rFonts w:hint="eastAsia" w:ascii="宋体" w:hAnsi="宋体" w:cs="宋体"/>
          <w:bCs/>
          <w:color w:val="auto"/>
          <w:sz w:val="24"/>
        </w:rPr>
      </w:pPr>
    </w:p>
    <w:p>
      <w:pPr>
        <w:spacing w:after="78" w:line="360" w:lineRule="auto"/>
        <w:rPr>
          <w:rFonts w:hint="eastAsia" w:ascii="宋体" w:hAnsi="宋体" w:cs="宋体"/>
          <w:bCs/>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9"/>
        <w:spacing w:line="360" w:lineRule="auto"/>
        <w:rPr>
          <w:color w:val="auto"/>
          <w:lang w:val="fr-CH"/>
        </w:rPr>
      </w:pP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br w:type="page"/>
      </w:r>
      <w:r>
        <w:rPr>
          <w:rFonts w:hint="eastAsia" w:ascii="宋体" w:hAnsi="宋体" w:cs="宋体"/>
          <w:color w:val="auto"/>
          <w:sz w:val="24"/>
          <w:lang w:val="sq-AL"/>
        </w:rPr>
        <w:t>对项目需求的响应及理解；</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项目重点难点分析、应对措施；</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质量（完成时间、安全）保障措施及方案；</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投标人认为有必要提供的其他材料。</w:t>
      </w:r>
      <w:bookmarkEnd w:id="32"/>
    </w:p>
    <w:p>
      <w:pPr>
        <w:tabs>
          <w:tab w:val="left" w:pos="360"/>
        </w:tabs>
        <w:spacing w:line="300" w:lineRule="auto"/>
        <w:outlineLvl w:val="0"/>
        <w:rPr>
          <w:rFonts w:hint="eastAsia" w:ascii="宋体" w:hAnsi="宋体" w:cs="宋体"/>
          <w:b/>
          <w:bCs/>
          <w:color w:val="auto"/>
          <w:sz w:val="24"/>
        </w:rPr>
      </w:pPr>
      <w:r>
        <w:rPr>
          <w:rFonts w:hint="eastAsia" w:ascii="宋体" w:hAnsi="宋体" w:cs="宋体"/>
          <w:color w:val="auto"/>
          <w:sz w:val="24"/>
          <w:lang w:val="fr-CH"/>
        </w:rPr>
        <w:br w:type="page"/>
      </w:r>
      <w:bookmarkStart w:id="40" w:name="_Toc742"/>
      <w:bookmarkStart w:id="41" w:name="_Toc6251"/>
      <w:r>
        <w:rPr>
          <w:rFonts w:hint="eastAsia" w:ascii="宋体" w:hAnsi="宋体" w:cs="宋体"/>
          <w:b/>
          <w:bCs/>
          <w:color w:val="auto"/>
          <w:sz w:val="24"/>
        </w:rPr>
        <w:t>附件：相关政策</w:t>
      </w:r>
      <w:bookmarkEnd w:id="40"/>
      <w:bookmarkEnd w:id="41"/>
    </w:p>
    <w:p>
      <w:pPr>
        <w:tabs>
          <w:tab w:val="left" w:pos="360"/>
        </w:tabs>
        <w:outlineLvl w:val="1"/>
        <w:rPr>
          <w:rFonts w:hint="eastAsia"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9"/>
        <w:tabs>
          <w:tab w:val="left" w:pos="562"/>
          <w:tab w:val="left" w:pos="3372"/>
          <w:tab w:val="left" w:pos="3653"/>
        </w:tabs>
        <w:rPr>
          <w:rFonts w:hint="eastAsia" w:ascii="宋体" w:hAnsi="宋体" w:cs="宋体"/>
          <w:color w:val="auto"/>
        </w:rPr>
      </w:pPr>
    </w:p>
    <w:p>
      <w:pPr>
        <w:widowControl/>
        <w:shd w:val="clear" w:color="auto" w:fill="FFFFFF"/>
        <w:jc w:val="center"/>
        <w:rPr>
          <w:rFonts w:hint="eastAsia"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hint="eastAsia"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hint="eastAsia" w:ascii="宋体" w:hAnsi="宋体" w:cs="宋体"/>
          <w:color w:val="auto"/>
          <w:kern w:val="0"/>
          <w:sz w:val="24"/>
        </w:rPr>
      </w:pPr>
    </w:p>
    <w:p>
      <w:pPr>
        <w:jc w:val="center"/>
        <w:rPr>
          <w:rFonts w:hint="eastAsia" w:ascii="宋体" w:hAnsi="宋体" w:cs="宋体"/>
          <w:b/>
          <w:bCs/>
          <w:color w:val="auto"/>
          <w:sz w:val="24"/>
        </w:rPr>
      </w:pPr>
      <w:r>
        <w:rPr>
          <w:rFonts w:hint="eastAsia" w:ascii="宋体" w:hAnsi="宋体" w:cs="宋体"/>
          <w:b/>
          <w:bCs/>
          <w:color w:val="auto"/>
          <w:sz w:val="24"/>
        </w:rPr>
        <w:t>政府采购促进中小企业发展管理办法</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9"/>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（四）框架协议采购项目；</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（六）明确采购标的对应的中小企业划分标准所属行业；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9"/>
        <w:tabs>
          <w:tab w:val="left" w:pos="562"/>
          <w:tab w:val="left" w:pos="3372"/>
          <w:tab w:val="left" w:pos="3653"/>
        </w:tabs>
        <w:spacing w:before="5"/>
        <w:rPr>
          <w:rFonts w:hint="eastAsia" w:ascii="宋体" w:hAnsi="宋体" w:cs="宋体"/>
          <w:color w:val="auto"/>
        </w:rPr>
      </w:pPr>
    </w:p>
    <w:p>
      <w:pPr>
        <w:pStyle w:val="9"/>
        <w:tabs>
          <w:tab w:val="left" w:pos="562"/>
          <w:tab w:val="left" w:pos="3372"/>
          <w:tab w:val="left" w:pos="3653"/>
        </w:tabs>
        <w:ind w:firstLine="480" w:firstLineChars="200"/>
        <w:outlineLvl w:val="0"/>
        <w:rPr>
          <w:rFonts w:hint="eastAsia" w:ascii="宋体" w:hAnsi="宋体" w:cs="宋体"/>
          <w:color w:val="auto"/>
          <w:kern w:val="0"/>
        </w:rPr>
      </w:pPr>
      <w:r>
        <w:rPr>
          <w:rFonts w:hint="eastAsia" w:ascii="宋体" w:hAnsi="宋体" w:cs="宋体"/>
          <w:color w:val="auto"/>
          <w:kern w:val="0"/>
        </w:rPr>
        <w:t>附：1.中小企业声明函</w:t>
      </w:r>
    </w:p>
    <w:p>
      <w:pPr>
        <w:pStyle w:val="9"/>
        <w:tabs>
          <w:tab w:val="left" w:pos="562"/>
          <w:tab w:val="left" w:pos="3372"/>
          <w:tab w:val="left" w:pos="3653"/>
        </w:tabs>
        <w:ind w:firstLine="960" w:firstLineChars="400"/>
        <w:rPr>
          <w:rFonts w:hint="eastAsia" w:ascii="宋体" w:hAnsi="宋体" w:cs="宋体"/>
          <w:color w:val="auto"/>
          <w:kern w:val="0"/>
        </w:rPr>
      </w:pPr>
      <w:r>
        <w:rPr>
          <w:rFonts w:hint="eastAsia" w:ascii="宋体" w:hAnsi="宋体" w:cs="宋体"/>
          <w:color w:val="auto"/>
          <w:kern w:val="0"/>
        </w:rPr>
        <w:t>2.面向中小企业预留项目执行情况公告</w:t>
      </w:r>
    </w:p>
    <w:p>
      <w:pPr>
        <w:pStyle w:val="9"/>
        <w:tabs>
          <w:tab w:val="left" w:pos="562"/>
          <w:tab w:val="left" w:pos="3372"/>
          <w:tab w:val="left" w:pos="3653"/>
        </w:tabs>
        <w:spacing w:before="30"/>
        <w:outlineLvl w:val="0"/>
        <w:rPr>
          <w:rFonts w:hint="eastAsia"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hint="eastAsia" w:ascii="宋体" w:hAnsi="宋体" w:cs="宋体"/>
          <w:color w:val="auto"/>
          <w:sz w:val="24"/>
        </w:rPr>
      </w:pPr>
      <w:r>
        <w:rPr>
          <w:rFonts w:hint="eastAsia" w:ascii="宋体" w:hAnsi="宋体" w:cs="宋体"/>
          <w:color w:val="auto"/>
          <w:sz w:val="24"/>
        </w:rPr>
        <w:t>中小企业声明函（货物）</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）采购活动，提供的货物全部由符合政策要求的中小企业制造。相关企业（含联合体中的中小企业、签订分包意向协议的中小企业） 的具体情况如下：</w:t>
      </w:r>
    </w:p>
    <w:p>
      <w:pPr>
        <w:pStyle w:val="9"/>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auto"/>
        </w:rPr>
      </w:pPr>
      <w:r>
        <w:rPr>
          <w:rFonts w:hint="eastAsia" w:ascii="宋体" w:hAnsi="宋体" w:cs="宋体"/>
          <w:color w:val="auto"/>
          <w:spacing w:val="-2"/>
        </w:rPr>
        <w:t>企业名称（盖章）日期：</w:t>
      </w:r>
    </w:p>
    <w:p>
      <w:pPr>
        <w:pStyle w:val="9"/>
        <w:tabs>
          <w:tab w:val="left" w:pos="562"/>
          <w:tab w:val="left" w:pos="3372"/>
          <w:tab w:val="left" w:pos="3653"/>
        </w:tabs>
        <w:jc w:val="center"/>
        <w:rPr>
          <w:rFonts w:hint="eastAsia"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9"/>
        <w:tabs>
          <w:tab w:val="left" w:pos="562"/>
          <w:tab w:val="left" w:pos="3372"/>
          <w:tab w:val="left" w:pos="3653"/>
        </w:tabs>
        <w:ind w:firstLine="472" w:firstLineChars="200"/>
        <w:rPr>
          <w:rFonts w:hint="eastAsia" w:ascii="宋体" w:hAnsi="宋体" w:cs="宋体"/>
          <w:color w:val="auto"/>
          <w:spacing w:val="-2"/>
        </w:rPr>
      </w:pPr>
    </w:p>
    <w:p>
      <w:pPr>
        <w:pStyle w:val="9"/>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注意事项：</w:t>
      </w:r>
    </w:p>
    <w:p>
      <w:pPr>
        <w:pStyle w:val="9"/>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1.从业人员、营业收入、资产总额填报上一年度数据，无上一年度数据的新成立企业可不填报。</w:t>
      </w:r>
    </w:p>
    <w:p>
      <w:pPr>
        <w:pStyle w:val="9"/>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9"/>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3.事业单位、社会组织等非企业主体不享受中小企业扶持政策，但事业单位、社会组织等非企业主体提供全部由中小企业制造的货物参加货物采购项目的除外。</w:t>
      </w:r>
    </w:p>
    <w:p>
      <w:pPr>
        <w:pStyle w:val="9"/>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4.相关承接/承建企业的所属行业应当与采购标的所属行业（采购文件中明确的行业）相一致。</w:t>
      </w:r>
    </w:p>
    <w:p>
      <w:pPr>
        <w:pStyle w:val="9"/>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9"/>
        <w:tabs>
          <w:tab w:val="left" w:pos="562"/>
          <w:tab w:val="left" w:pos="3372"/>
          <w:tab w:val="left" w:pos="3653"/>
        </w:tabs>
        <w:ind w:left="4200" w:leftChars="2000"/>
        <w:rPr>
          <w:rFonts w:hint="eastAsia" w:ascii="宋体" w:hAnsi="宋体" w:cs="宋体"/>
          <w:color w:val="auto"/>
          <w:spacing w:val="-2"/>
        </w:rPr>
      </w:pPr>
    </w:p>
    <w:p>
      <w:pPr>
        <w:pStyle w:val="9"/>
        <w:tabs>
          <w:tab w:val="left" w:pos="562"/>
          <w:tab w:val="left" w:pos="3372"/>
          <w:tab w:val="left" w:pos="3653"/>
        </w:tabs>
        <w:ind w:left="4200" w:leftChars="2000"/>
        <w:rPr>
          <w:rFonts w:hint="eastAsia" w:ascii="宋体" w:hAnsi="宋体" w:cs="宋体"/>
          <w:color w:val="auto"/>
          <w:spacing w:val="-2"/>
        </w:rPr>
      </w:pPr>
      <w:r>
        <w:rPr>
          <w:rFonts w:hint="eastAsia" w:ascii="宋体" w:hAnsi="宋体" w:cs="宋体"/>
          <w:color w:val="auto"/>
          <w:spacing w:val="-2"/>
        </w:rPr>
        <w:t>企业名称（盖章）日期：</w:t>
      </w:r>
    </w:p>
    <w:p>
      <w:pPr>
        <w:pStyle w:val="9"/>
        <w:tabs>
          <w:tab w:val="left" w:pos="562"/>
          <w:tab w:val="left" w:pos="3372"/>
          <w:tab w:val="left" w:pos="3653"/>
        </w:tabs>
        <w:spacing w:before="30"/>
        <w:rPr>
          <w:rFonts w:hint="eastAsia"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hint="eastAsia"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9"/>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9"/>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9"/>
        <w:tabs>
          <w:tab w:val="left" w:pos="562"/>
          <w:tab w:val="left" w:pos="3372"/>
          <w:tab w:val="left" w:pos="3653"/>
        </w:tabs>
        <w:jc w:val="center"/>
        <w:rPr>
          <w:rFonts w:hint="eastAsia" w:ascii="宋体" w:hAnsi="宋体" w:cs="宋体"/>
          <w:b/>
          <w:bCs/>
          <w:color w:val="auto"/>
        </w:rPr>
      </w:pPr>
      <w:r>
        <w:rPr>
          <w:rFonts w:hint="eastAsia" w:ascii="宋体" w:hAnsi="宋体" w:cs="宋体"/>
          <w:b/>
          <w:bCs/>
          <w:color w:val="auto"/>
        </w:rPr>
        <w:t>面向中小企业预留项目明细</w:t>
      </w:r>
    </w:p>
    <w:tbl>
      <w:tblPr>
        <w:tblStyle w:val="21"/>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33"/>
              <w:jc w:val="center"/>
              <w:rPr>
                <w:rFonts w:hint="eastAsia"/>
                <w:b/>
                <w:color w:val="auto"/>
                <w:sz w:val="24"/>
                <w:szCs w:val="24"/>
              </w:rPr>
            </w:pPr>
            <w:r>
              <w:rPr>
                <w:rFonts w:hint="eastAsia"/>
                <w:b/>
                <w:color w:val="auto"/>
                <w:sz w:val="24"/>
                <w:szCs w:val="24"/>
              </w:rPr>
              <w:t>序号</w:t>
            </w:r>
          </w:p>
        </w:tc>
        <w:tc>
          <w:tcPr>
            <w:tcW w:w="1866" w:type="dxa"/>
            <w:noWrap w:val="0"/>
            <w:vAlign w:val="center"/>
          </w:tcPr>
          <w:p>
            <w:pPr>
              <w:pStyle w:val="33"/>
              <w:jc w:val="center"/>
              <w:rPr>
                <w:rFonts w:hint="eastAsia"/>
                <w:b/>
                <w:color w:val="auto"/>
                <w:sz w:val="24"/>
                <w:szCs w:val="24"/>
              </w:rPr>
            </w:pPr>
            <w:r>
              <w:rPr>
                <w:rFonts w:hint="eastAsia"/>
                <w:b/>
                <w:color w:val="auto"/>
                <w:sz w:val="24"/>
                <w:szCs w:val="24"/>
              </w:rPr>
              <w:t>项目名称</w:t>
            </w:r>
          </w:p>
        </w:tc>
        <w:tc>
          <w:tcPr>
            <w:tcW w:w="2010" w:type="dxa"/>
            <w:noWrap w:val="0"/>
            <w:vAlign w:val="center"/>
          </w:tcPr>
          <w:p>
            <w:pPr>
              <w:pStyle w:val="33"/>
              <w:jc w:val="center"/>
              <w:rPr>
                <w:rFonts w:hint="eastAsia"/>
                <w:b/>
                <w:color w:val="auto"/>
                <w:sz w:val="24"/>
                <w:szCs w:val="24"/>
              </w:rPr>
            </w:pPr>
            <w:r>
              <w:rPr>
                <w:rFonts w:hint="eastAsia"/>
                <w:b/>
                <w:color w:val="auto"/>
                <w:sz w:val="24"/>
                <w:szCs w:val="24"/>
              </w:rPr>
              <w:t>预留选项</w:t>
            </w:r>
          </w:p>
        </w:tc>
        <w:tc>
          <w:tcPr>
            <w:tcW w:w="2296" w:type="dxa"/>
            <w:noWrap w:val="0"/>
            <w:vAlign w:val="center"/>
          </w:tcPr>
          <w:p>
            <w:pPr>
              <w:pStyle w:val="33"/>
              <w:jc w:val="center"/>
              <w:rPr>
                <w:rFonts w:hint="eastAsia"/>
                <w:b/>
                <w:color w:val="auto"/>
                <w:sz w:val="24"/>
                <w:szCs w:val="24"/>
              </w:rPr>
            </w:pPr>
            <w:r>
              <w:rPr>
                <w:rFonts w:hint="eastAsia"/>
                <w:b/>
                <w:color w:val="auto"/>
                <w:sz w:val="24"/>
                <w:szCs w:val="24"/>
              </w:rPr>
              <w:t>面向中小企业采购金额</w:t>
            </w:r>
          </w:p>
        </w:tc>
        <w:tc>
          <w:tcPr>
            <w:tcW w:w="1784" w:type="dxa"/>
            <w:noWrap w:val="0"/>
            <w:vAlign w:val="center"/>
          </w:tcPr>
          <w:p>
            <w:pPr>
              <w:pStyle w:val="33"/>
              <w:jc w:val="center"/>
              <w:rPr>
                <w:rFonts w:hint="eastAsia"/>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33"/>
              <w:jc w:val="center"/>
              <w:rPr>
                <w:rFonts w:hint="eastAsia"/>
                <w:color w:val="auto"/>
                <w:sz w:val="24"/>
                <w:szCs w:val="24"/>
              </w:rPr>
            </w:pPr>
          </w:p>
        </w:tc>
        <w:tc>
          <w:tcPr>
            <w:tcW w:w="1866" w:type="dxa"/>
            <w:tcBorders>
              <w:bottom w:val="nil"/>
            </w:tcBorders>
            <w:noWrap w:val="0"/>
            <w:vAlign w:val="center"/>
          </w:tcPr>
          <w:p>
            <w:pPr>
              <w:pStyle w:val="33"/>
              <w:jc w:val="center"/>
              <w:rPr>
                <w:rFonts w:hint="eastAsia"/>
                <w:color w:val="auto"/>
                <w:sz w:val="24"/>
                <w:szCs w:val="24"/>
              </w:rPr>
            </w:pPr>
          </w:p>
        </w:tc>
        <w:tc>
          <w:tcPr>
            <w:tcW w:w="2010" w:type="dxa"/>
            <w:tcBorders>
              <w:bottom w:val="nil"/>
            </w:tcBorders>
            <w:noWrap w:val="0"/>
            <w:vAlign w:val="center"/>
          </w:tcPr>
          <w:p>
            <w:pPr>
              <w:pStyle w:val="33"/>
              <w:jc w:val="center"/>
              <w:rPr>
                <w:rFonts w:hint="eastAsia"/>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33"/>
              <w:jc w:val="center"/>
              <w:rPr>
                <w:rFonts w:hint="eastAsia"/>
                <w:color w:val="auto"/>
                <w:sz w:val="24"/>
                <w:szCs w:val="24"/>
              </w:rPr>
            </w:pPr>
          </w:p>
        </w:tc>
        <w:tc>
          <w:tcPr>
            <w:tcW w:w="1784" w:type="dxa"/>
            <w:vMerge w:val="restart"/>
            <w:noWrap w:val="0"/>
            <w:vAlign w:val="center"/>
          </w:tcPr>
          <w:p>
            <w:pPr>
              <w:pStyle w:val="33"/>
              <w:jc w:val="center"/>
              <w:rPr>
                <w:rFonts w:hint="eastAsia"/>
                <w:color w:val="auto"/>
                <w:sz w:val="24"/>
                <w:szCs w:val="24"/>
              </w:rPr>
            </w:pPr>
          </w:p>
          <w:p>
            <w:pPr>
              <w:pStyle w:val="33"/>
              <w:jc w:val="center"/>
              <w:rPr>
                <w:rFonts w:hint="eastAsia"/>
                <w:color w:val="auto"/>
                <w:sz w:val="24"/>
                <w:szCs w:val="24"/>
              </w:rPr>
            </w:pPr>
          </w:p>
          <w:p>
            <w:pPr>
              <w:pStyle w:val="33"/>
              <w:jc w:val="center"/>
              <w:rPr>
                <w:rFonts w:hint="eastAsia"/>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bottom w:val="nil"/>
            </w:tcBorders>
            <w:noWrap w:val="0"/>
            <w:vAlign w:val="center"/>
          </w:tcPr>
          <w:p>
            <w:pPr>
              <w:pStyle w:val="33"/>
              <w:jc w:val="center"/>
              <w:rPr>
                <w:rFonts w:hint="eastAsia"/>
                <w:color w:val="auto"/>
                <w:sz w:val="24"/>
                <w:szCs w:val="24"/>
              </w:rPr>
            </w:pPr>
          </w:p>
        </w:tc>
        <w:tc>
          <w:tcPr>
            <w:tcW w:w="2010" w:type="dxa"/>
            <w:tcBorders>
              <w:top w:val="nil"/>
              <w:bottom w:val="nil"/>
            </w:tcBorders>
            <w:noWrap w:val="0"/>
            <w:vAlign w:val="center"/>
          </w:tcPr>
          <w:p>
            <w:pPr>
              <w:pStyle w:val="33"/>
              <w:jc w:val="center"/>
              <w:rPr>
                <w:rFonts w:hint="eastAsia"/>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rPr>
            </w:pPr>
          </w:p>
        </w:tc>
        <w:tc>
          <w:tcPr>
            <w:tcW w:w="1866" w:type="dxa"/>
            <w:tcBorders>
              <w:top w:val="nil"/>
            </w:tcBorders>
            <w:noWrap w:val="0"/>
            <w:vAlign w:val="center"/>
          </w:tcPr>
          <w:p>
            <w:pPr>
              <w:pStyle w:val="33"/>
              <w:jc w:val="center"/>
              <w:rPr>
                <w:rFonts w:hint="eastAsia"/>
                <w:color w:val="auto"/>
                <w:sz w:val="24"/>
                <w:szCs w:val="24"/>
              </w:rPr>
            </w:pPr>
          </w:p>
        </w:tc>
        <w:tc>
          <w:tcPr>
            <w:tcW w:w="2010" w:type="dxa"/>
            <w:tcBorders>
              <w:top w:val="nil"/>
            </w:tcBorders>
            <w:noWrap w:val="0"/>
            <w:vAlign w:val="center"/>
          </w:tcPr>
          <w:p>
            <w:pPr>
              <w:pStyle w:val="33"/>
              <w:jc w:val="center"/>
              <w:rPr>
                <w:rFonts w:hint="eastAsia"/>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33"/>
              <w:jc w:val="center"/>
              <w:rPr>
                <w:rFonts w:hint="eastAsia"/>
                <w:color w:val="auto"/>
                <w:sz w:val="24"/>
                <w:szCs w:val="24"/>
              </w:rPr>
            </w:pPr>
          </w:p>
        </w:tc>
        <w:tc>
          <w:tcPr>
            <w:tcW w:w="1784" w:type="dxa"/>
            <w:vMerge w:val="continue"/>
            <w:tcBorders>
              <w:top w:val="nil"/>
            </w:tcBorders>
            <w:noWrap w:val="0"/>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33"/>
              <w:jc w:val="center"/>
              <w:rPr>
                <w:rFonts w:hint="eastAsia"/>
                <w:color w:val="auto"/>
                <w:sz w:val="24"/>
                <w:szCs w:val="24"/>
              </w:rPr>
            </w:pPr>
            <w:r>
              <w:rPr>
                <w:rFonts w:hint="eastAsia"/>
                <w:color w:val="auto"/>
                <w:sz w:val="24"/>
                <w:szCs w:val="24"/>
              </w:rPr>
              <w:t>……</w:t>
            </w:r>
          </w:p>
        </w:tc>
        <w:tc>
          <w:tcPr>
            <w:tcW w:w="1866" w:type="dxa"/>
            <w:noWrap w:val="0"/>
            <w:vAlign w:val="center"/>
          </w:tcPr>
          <w:p>
            <w:pPr>
              <w:pStyle w:val="33"/>
              <w:jc w:val="center"/>
              <w:rPr>
                <w:rFonts w:hint="eastAsia"/>
                <w:color w:val="auto"/>
                <w:sz w:val="24"/>
                <w:szCs w:val="24"/>
              </w:rPr>
            </w:pPr>
            <w:r>
              <w:rPr>
                <w:rFonts w:hint="eastAsia"/>
                <w:color w:val="auto"/>
                <w:sz w:val="24"/>
                <w:szCs w:val="24"/>
              </w:rPr>
              <w:t>……</w:t>
            </w:r>
          </w:p>
        </w:tc>
        <w:tc>
          <w:tcPr>
            <w:tcW w:w="2010" w:type="dxa"/>
            <w:noWrap w:val="0"/>
            <w:vAlign w:val="center"/>
          </w:tcPr>
          <w:p>
            <w:pPr>
              <w:pStyle w:val="33"/>
              <w:jc w:val="center"/>
              <w:rPr>
                <w:rFonts w:hint="eastAsia"/>
                <w:color w:val="auto"/>
                <w:sz w:val="24"/>
                <w:szCs w:val="24"/>
              </w:rPr>
            </w:pPr>
            <w:r>
              <w:rPr>
                <w:rFonts w:hint="eastAsia"/>
                <w:color w:val="auto"/>
                <w:sz w:val="24"/>
                <w:szCs w:val="24"/>
              </w:rPr>
              <w:t>……</w:t>
            </w:r>
          </w:p>
        </w:tc>
        <w:tc>
          <w:tcPr>
            <w:tcW w:w="2296" w:type="dxa"/>
            <w:noWrap w:val="0"/>
            <w:vAlign w:val="center"/>
          </w:tcPr>
          <w:p>
            <w:pPr>
              <w:pStyle w:val="33"/>
              <w:jc w:val="center"/>
              <w:rPr>
                <w:rFonts w:hint="eastAsia"/>
                <w:color w:val="auto"/>
                <w:sz w:val="24"/>
                <w:szCs w:val="24"/>
              </w:rPr>
            </w:pPr>
            <w:r>
              <w:rPr>
                <w:rFonts w:hint="eastAsia"/>
                <w:color w:val="auto"/>
                <w:sz w:val="24"/>
                <w:szCs w:val="24"/>
              </w:rPr>
              <w:t>……</w:t>
            </w:r>
          </w:p>
        </w:tc>
        <w:tc>
          <w:tcPr>
            <w:tcW w:w="1784" w:type="dxa"/>
            <w:noWrap w:val="0"/>
            <w:vAlign w:val="center"/>
          </w:tcPr>
          <w:p>
            <w:pPr>
              <w:pStyle w:val="33"/>
              <w:jc w:val="center"/>
              <w:rPr>
                <w:rFonts w:hint="eastAsia"/>
                <w:color w:val="auto"/>
                <w:sz w:val="24"/>
                <w:szCs w:val="24"/>
              </w:rPr>
            </w:pPr>
            <w:r>
              <w:rPr>
                <w:rFonts w:hint="eastAsia"/>
                <w:color w:val="auto"/>
                <w:sz w:val="24"/>
                <w:szCs w:val="24"/>
              </w:rPr>
              <w:t>……</w:t>
            </w:r>
          </w:p>
        </w:tc>
      </w:tr>
    </w:tbl>
    <w:p>
      <w:pPr>
        <w:pStyle w:val="9"/>
        <w:tabs>
          <w:tab w:val="left" w:pos="562"/>
          <w:tab w:val="left" w:pos="3372"/>
          <w:tab w:val="left" w:pos="3653"/>
        </w:tabs>
        <w:spacing w:before="128"/>
        <w:ind w:left="4220" w:right="1843"/>
        <w:rPr>
          <w:rFonts w:hint="eastAsia" w:ascii="宋体" w:hAnsi="宋体" w:cs="宋体"/>
          <w:color w:val="auto"/>
        </w:rPr>
      </w:pPr>
      <w:r>
        <w:rPr>
          <w:rFonts w:hint="eastAsia" w:ascii="宋体" w:hAnsi="宋体" w:cs="宋体"/>
          <w:color w:val="auto"/>
        </w:rPr>
        <w:t>部门（单位）名称： 日期：</w:t>
      </w:r>
    </w:p>
    <w:p>
      <w:pPr>
        <w:pStyle w:val="9"/>
        <w:tabs>
          <w:tab w:val="left" w:pos="562"/>
          <w:tab w:val="left" w:pos="3372"/>
          <w:tab w:val="left" w:pos="3653"/>
        </w:tabs>
        <w:rPr>
          <w:rFonts w:hint="eastAsia" w:ascii="宋体" w:hAnsi="宋体" w:cs="宋体"/>
          <w:color w:val="auto"/>
        </w:rPr>
      </w:pPr>
    </w:p>
    <w:p>
      <w:pPr>
        <w:pStyle w:val="18"/>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9"/>
        <w:tabs>
          <w:tab w:val="left" w:pos="562"/>
          <w:tab w:val="left" w:pos="3372"/>
          <w:tab w:val="left" w:pos="3653"/>
        </w:tabs>
        <w:rPr>
          <w:rFonts w:hint="eastAsia" w:ascii="宋体" w:hAnsi="宋体" w:cs="宋体"/>
          <w:color w:val="auto"/>
        </w:rPr>
      </w:pPr>
    </w:p>
    <w:p>
      <w:pPr>
        <w:jc w:val="center"/>
        <w:rPr>
          <w:rFonts w:hint="eastAsia"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hint="eastAsia" w:ascii="宋体" w:hAnsi="宋体" w:cs="宋体"/>
          <w:color w:val="auto"/>
          <w:sz w:val="24"/>
        </w:rPr>
      </w:pPr>
      <w:r>
        <w:rPr>
          <w:rFonts w:hint="eastAsia" w:ascii="宋体" w:hAnsi="宋体" w:cs="宋体"/>
          <w:color w:val="auto"/>
          <w:sz w:val="24"/>
        </w:rPr>
        <w:t>工信部联企业〔2011〕300号</w:t>
      </w:r>
    </w:p>
    <w:p>
      <w:pPr>
        <w:ind w:firstLine="480" w:firstLineChars="200"/>
        <w:rPr>
          <w:rFonts w:hint="eastAsia"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hint="eastAsia"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hint="eastAsia"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hint="eastAsia" w:ascii="宋体" w:hAnsi="宋体" w:cs="宋体"/>
          <w:color w:val="auto"/>
          <w:sz w:val="24"/>
        </w:rPr>
      </w:pPr>
      <w:r>
        <w:rPr>
          <w:rFonts w:hint="eastAsia" w:ascii="宋体" w:hAnsi="宋体" w:cs="宋体"/>
          <w:color w:val="auto"/>
          <w:sz w:val="24"/>
        </w:rPr>
        <w:t>二○一一年六月十八日</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 xml:space="preserve">中小企业划型标准规定 </w:t>
      </w:r>
    </w:p>
    <w:p>
      <w:pPr>
        <w:ind w:firstLine="480" w:firstLineChars="200"/>
        <w:rPr>
          <w:rFonts w:hint="eastAsia"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rPr>
      </w:pPr>
    </w:p>
    <w:p>
      <w:pPr>
        <w:pStyle w:val="18"/>
        <w:jc w:val="both"/>
        <w:outlineLvl w:val="9"/>
        <w:rPr>
          <w:rFonts w:hint="eastAsia" w:ascii="宋体" w:hAnsi="宋体" w:eastAsia="宋体" w:cs="宋体"/>
          <w:color w:val="auto"/>
          <w:sz w:val="24"/>
          <w:szCs w:val="24"/>
        </w:rPr>
      </w:pPr>
    </w:p>
    <w:p>
      <w:pPr>
        <w:pStyle w:val="18"/>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rPr>
      </w:pPr>
    </w:p>
    <w:p>
      <w:pPr>
        <w:widowControl/>
        <w:shd w:val="clear" w:color="auto" w:fill="FFFFFF"/>
        <w:jc w:val="center"/>
        <w:rPr>
          <w:rFonts w:hint="eastAsia"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hint="eastAsia"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r>
        <w:rPr>
          <w:rFonts w:hint="eastAsia" w:ascii="宋体" w:hAnsi="宋体" w:cs="宋体"/>
          <w:color w:val="auto"/>
          <w:kern w:val="0"/>
          <w:sz w:val="24"/>
        </w:rPr>
        <w:t>附表：</w:t>
      </w:r>
    </w:p>
    <w:p>
      <w:pPr>
        <w:widowControl/>
        <w:jc w:val="center"/>
        <w:rPr>
          <w:rFonts w:hint="eastAsia" w:ascii="宋体" w:hAnsi="宋体" w:cs="宋体"/>
          <w:color w:val="auto"/>
          <w:kern w:val="0"/>
          <w:sz w:val="24"/>
        </w:rPr>
      </w:pPr>
      <w:r>
        <w:rPr>
          <w:rFonts w:hint="eastAsia" w:ascii="宋体" w:hAnsi="宋体" w:cs="宋体"/>
          <w:color w:val="auto"/>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hint="eastAsia"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rPr>
            </w:pP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9"/>
        <w:tabs>
          <w:tab w:val="left" w:pos="562"/>
          <w:tab w:val="left" w:pos="3372"/>
          <w:tab w:val="left" w:pos="3653"/>
        </w:tabs>
        <w:rPr>
          <w:rFonts w:hint="eastAsia" w:ascii="宋体" w:hAnsi="宋体" w:cs="宋体"/>
          <w:color w:val="auto"/>
        </w:rPr>
      </w:pPr>
    </w:p>
    <w:p>
      <w:pPr>
        <w:pStyle w:val="18"/>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hint="eastAsia" w:ascii="宋体" w:hAnsi="宋体" w:cs="宋体"/>
          <w:bCs/>
          <w:color w:val="auto"/>
          <w:sz w:val="24"/>
        </w:rPr>
      </w:pPr>
    </w:p>
    <w:p>
      <w:pPr>
        <w:shd w:val="clear" w:color="auto" w:fill="FFFFFF"/>
        <w:rPr>
          <w:rFonts w:hint="eastAsia" w:ascii="宋体" w:hAnsi="宋体" w:cs="宋体"/>
          <w:bCs/>
          <w:color w:val="auto"/>
          <w:sz w:val="24"/>
        </w:rPr>
      </w:pPr>
      <w:r>
        <w:rPr>
          <w:rFonts w:hint="eastAsia" w:ascii="宋体" w:hAnsi="宋体" w:cs="宋体"/>
          <w:bCs/>
          <w:color w:val="auto"/>
          <w:sz w:val="24"/>
        </w:rPr>
        <w:t>关于促进残疾人就业政府采购政策的通知</w:t>
      </w:r>
    </w:p>
    <w:p>
      <w:pPr>
        <w:pStyle w:val="17"/>
        <w:shd w:val="clear" w:color="auto" w:fill="FFFFFF"/>
        <w:spacing w:before="0" w:beforeAutospacing="0" w:after="0" w:afterAutospacing="0"/>
        <w:jc w:val="center"/>
        <w:rPr>
          <w:rFonts w:hint="eastAsia"/>
          <w:color w:val="auto"/>
        </w:rPr>
      </w:pPr>
      <w:r>
        <w:rPr>
          <w:rFonts w:hint="eastAsia"/>
          <w:color w:val="auto"/>
        </w:rPr>
        <w:t>　　</w:t>
      </w:r>
      <w:bookmarkStart w:id="42" w:name="sendNo"/>
      <w:r>
        <w:rPr>
          <w:rFonts w:hint="eastAsia"/>
          <w:color w:val="auto"/>
        </w:rPr>
        <w:t>财库〔</w:t>
      </w:r>
      <w:bookmarkEnd w:id="42"/>
      <w:r>
        <w:rPr>
          <w:rFonts w:hint="eastAsia"/>
          <w:color w:val="auto"/>
        </w:rPr>
        <w:t>2017〕141号</w:t>
      </w:r>
    </w:p>
    <w:p>
      <w:pPr>
        <w:pStyle w:val="17"/>
        <w:shd w:val="clear" w:color="auto" w:fill="FFFFFF"/>
        <w:spacing w:before="0" w:beforeAutospacing="0" w:after="0" w:afterAutospacing="0"/>
        <w:ind w:firstLine="480" w:firstLineChars="200"/>
        <w:rPr>
          <w:rFonts w:hint="eastAsia"/>
          <w:color w:val="auto"/>
        </w:rPr>
      </w:pPr>
      <w:bookmarkStart w:id="43"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3"/>
      <w:r>
        <w:rPr>
          <w:rFonts w:hint="eastAsia"/>
          <w:color w:val="auto"/>
        </w:rPr>
        <w:t>：</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一、享受政府采购支持政策的残疾人福利性单位应当同时满足以下条件：</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（一）安置的残疾人占本单位在职职工人数的比例不低于25%（含25%），并且安置的残疾人人数不少于10人（含10人）；</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（二）依法与安置的每位残疾人签订了一年以上（含一年）的劳动合同或服务协议；</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ind w:firstLine="480" w:firstLineChars="200"/>
        <w:rPr>
          <w:rFonts w:hint="eastAsia"/>
          <w:color w:val="auto"/>
        </w:rPr>
      </w:pPr>
      <w:r>
        <w:rPr>
          <w:rFonts w:hint="eastAsia"/>
          <w:color w:val="auto"/>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ind w:firstLine="480" w:firstLineChars="200"/>
        <w:rPr>
          <w:rFonts w:hint="eastAsia"/>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ind w:firstLine="480" w:firstLineChars="200"/>
        <w:rPr>
          <w:rFonts w:hint="eastAsia"/>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ind w:firstLine="480" w:firstLineChars="200"/>
        <w:rPr>
          <w:rFonts w:hint="eastAsia"/>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560" w:lineRule="exact"/>
        <w:ind w:firstLine="480" w:firstLineChars="200"/>
        <w:rPr>
          <w:rFonts w:hint="eastAsia"/>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560" w:lineRule="exact"/>
        <w:ind w:firstLine="480" w:firstLineChars="200"/>
        <w:rPr>
          <w:rFonts w:hint="eastAsia"/>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560" w:lineRule="exact"/>
        <w:ind w:firstLine="480" w:firstLineChars="200"/>
        <w:rPr>
          <w:rFonts w:hint="eastAsia"/>
          <w:color w:val="auto"/>
        </w:rPr>
      </w:pPr>
      <w:r>
        <w:rPr>
          <w:rFonts w:hint="eastAsia"/>
          <w:color w:val="auto"/>
        </w:rPr>
        <w:t>七、本通知自2017年10月1日起执行。</w:t>
      </w:r>
    </w:p>
    <w:p>
      <w:pPr>
        <w:pStyle w:val="17"/>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财政部 民政部 中国残疾人联合会</w:t>
      </w:r>
    </w:p>
    <w:p>
      <w:pPr>
        <w:pStyle w:val="17"/>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2017年8月22日</w:t>
      </w:r>
    </w:p>
    <w:p>
      <w:pPr>
        <w:pStyle w:val="34"/>
        <w:shd w:val="clear" w:color="auto" w:fill="FFFFFF"/>
        <w:spacing w:before="0" w:beforeAutospacing="0" w:after="0" w:afterAutospacing="0" w:line="560" w:lineRule="exact"/>
        <w:jc w:val="both"/>
        <w:rPr>
          <w:rFonts w:hint="eastAsia"/>
          <w:color w:val="auto"/>
        </w:rPr>
      </w:pPr>
      <w:r>
        <w:rPr>
          <w:rFonts w:hint="eastAsia"/>
          <w:color w:val="auto"/>
        </w:rPr>
        <w:t>附件：</w:t>
      </w:r>
    </w:p>
    <w:p>
      <w:pPr>
        <w:pStyle w:val="34"/>
        <w:shd w:val="clear" w:color="auto" w:fill="FFFFFF"/>
        <w:spacing w:before="0" w:beforeAutospacing="0" w:after="0" w:afterAutospacing="0" w:line="560" w:lineRule="exact"/>
        <w:ind w:firstLine="482" w:firstLineChars="200"/>
        <w:jc w:val="center"/>
        <w:rPr>
          <w:rFonts w:hint="eastAsia"/>
          <w:color w:val="auto"/>
        </w:rPr>
      </w:pPr>
      <w:r>
        <w:rPr>
          <w:rStyle w:val="35"/>
          <w:rFonts w:hint="eastAsia"/>
          <w:b/>
          <w:bCs/>
          <w:color w:val="auto"/>
        </w:rPr>
        <w:t>残疾人福利性单位声明函</w:t>
      </w:r>
    </w:p>
    <w:p>
      <w:pPr>
        <w:pStyle w:val="34"/>
        <w:shd w:val="clear" w:color="auto" w:fill="FFFFFF"/>
        <w:spacing w:before="0" w:beforeAutospacing="0" w:after="0" w:afterAutospacing="0" w:line="560" w:lineRule="exact"/>
        <w:ind w:firstLine="480" w:firstLineChars="200"/>
        <w:jc w:val="both"/>
        <w:rPr>
          <w:rFonts w:hint="eastAsia"/>
          <w:color w:val="auto"/>
        </w:rPr>
      </w:pPr>
      <w:r>
        <w:rPr>
          <w:rStyle w:val="35"/>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4"/>
        <w:shd w:val="clear" w:color="auto" w:fill="FFFFFF"/>
        <w:spacing w:before="0" w:beforeAutospacing="0" w:after="0" w:afterAutospacing="0" w:line="560" w:lineRule="exact"/>
        <w:ind w:firstLine="480" w:firstLineChars="200"/>
        <w:jc w:val="both"/>
        <w:rPr>
          <w:rFonts w:hint="eastAsia"/>
          <w:color w:val="auto"/>
        </w:rPr>
      </w:pPr>
      <w:r>
        <w:rPr>
          <w:rStyle w:val="35"/>
          <w:rFonts w:hint="eastAsia"/>
          <w:color w:val="auto"/>
        </w:rPr>
        <w:t>本单位对上述声明的真实性负责。如有虚假，将依法承担相应责任。</w:t>
      </w:r>
    </w:p>
    <w:p>
      <w:pPr>
        <w:pStyle w:val="34"/>
        <w:shd w:val="clear" w:color="auto" w:fill="FFFFFF"/>
        <w:spacing w:before="0" w:beforeAutospacing="0" w:after="0" w:afterAutospacing="0" w:line="560" w:lineRule="exact"/>
        <w:ind w:firstLine="480" w:firstLineChars="200"/>
        <w:jc w:val="both"/>
        <w:rPr>
          <w:rFonts w:hint="eastAsia"/>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34"/>
        <w:shd w:val="clear" w:color="auto" w:fill="FFFFFF"/>
        <w:spacing w:before="0" w:beforeAutospacing="0" w:after="0" w:afterAutospacing="0" w:line="560" w:lineRule="exact"/>
        <w:ind w:right="2100" w:rightChars="1000"/>
        <w:jc w:val="right"/>
        <w:rPr>
          <w:rFonts w:hint="eastAsia"/>
          <w:color w:val="auto"/>
        </w:rPr>
      </w:pPr>
      <w:r>
        <w:rPr>
          <w:rStyle w:val="35"/>
          <w:rFonts w:hint="eastAsia"/>
          <w:color w:val="auto"/>
        </w:rPr>
        <w:t>单位名称（盖章）：</w:t>
      </w:r>
    </w:p>
    <w:p>
      <w:pPr>
        <w:pStyle w:val="34"/>
        <w:shd w:val="clear" w:color="auto" w:fill="FFFFFF"/>
        <w:spacing w:before="0" w:beforeAutospacing="0" w:after="0" w:afterAutospacing="0" w:line="560" w:lineRule="exact"/>
        <w:ind w:right="2100" w:rightChars="1000"/>
        <w:jc w:val="right"/>
        <w:rPr>
          <w:rFonts w:hint="eastAsia"/>
          <w:color w:val="auto"/>
          <w:lang w:val="fr-CH"/>
        </w:rPr>
      </w:pPr>
      <w:r>
        <w:rPr>
          <w:rStyle w:val="35"/>
          <w:rFonts w:hint="eastAsia"/>
          <w:color w:val="auto"/>
        </w:rPr>
        <w:t>日 期：</w:t>
      </w:r>
    </w:p>
    <w:p>
      <w:pPr>
        <w:tabs>
          <w:tab w:val="left" w:pos="640"/>
          <w:tab w:val="left" w:pos="1260"/>
          <w:tab w:val="left" w:pos="1418"/>
        </w:tabs>
        <w:spacing w:line="360" w:lineRule="auto"/>
        <w:ind w:right="-420" w:rightChars="-200"/>
        <w:rPr>
          <w:rFonts w:hint="eastAsia" w:ascii="宋体" w:hAnsi="宋体" w:cs="宋体"/>
          <w:color w:val="auto"/>
          <w:sz w:val="24"/>
          <w:lang w:val="fr-CH"/>
        </w:rPr>
      </w:pPr>
    </w:p>
    <w:p>
      <w:pPr>
        <w:rPr>
          <w:color w:val="auto"/>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00"/>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C6A85"/>
    <w:rsid w:val="001C60B0"/>
    <w:rsid w:val="003A4DB8"/>
    <w:rsid w:val="00771B68"/>
    <w:rsid w:val="0089189B"/>
    <w:rsid w:val="00C93875"/>
    <w:rsid w:val="00D62CC9"/>
    <w:rsid w:val="00E747E3"/>
    <w:rsid w:val="00F46D15"/>
    <w:rsid w:val="00F72CA9"/>
    <w:rsid w:val="00FF40AC"/>
    <w:rsid w:val="01001B5E"/>
    <w:rsid w:val="01145951"/>
    <w:rsid w:val="01161381"/>
    <w:rsid w:val="012515C4"/>
    <w:rsid w:val="01EF572E"/>
    <w:rsid w:val="020442FF"/>
    <w:rsid w:val="023A007E"/>
    <w:rsid w:val="02477318"/>
    <w:rsid w:val="02B81FC4"/>
    <w:rsid w:val="03140A3C"/>
    <w:rsid w:val="036839EA"/>
    <w:rsid w:val="036D7252"/>
    <w:rsid w:val="037405E1"/>
    <w:rsid w:val="037800D1"/>
    <w:rsid w:val="037C7496"/>
    <w:rsid w:val="03812AD8"/>
    <w:rsid w:val="038D16A3"/>
    <w:rsid w:val="03A2514E"/>
    <w:rsid w:val="03AC3BF8"/>
    <w:rsid w:val="03B24C65"/>
    <w:rsid w:val="03BB1D6C"/>
    <w:rsid w:val="03BC4BD4"/>
    <w:rsid w:val="03E5503B"/>
    <w:rsid w:val="03FF0592"/>
    <w:rsid w:val="040C3CF2"/>
    <w:rsid w:val="041651F4"/>
    <w:rsid w:val="047E3CBC"/>
    <w:rsid w:val="048719B2"/>
    <w:rsid w:val="04972A57"/>
    <w:rsid w:val="049A4077"/>
    <w:rsid w:val="04A44EF6"/>
    <w:rsid w:val="04AC3B33"/>
    <w:rsid w:val="04B10661"/>
    <w:rsid w:val="04D255BF"/>
    <w:rsid w:val="04EC463F"/>
    <w:rsid w:val="050D4546"/>
    <w:rsid w:val="052809B7"/>
    <w:rsid w:val="05525F81"/>
    <w:rsid w:val="05763BF2"/>
    <w:rsid w:val="05C72C4A"/>
    <w:rsid w:val="05D438B9"/>
    <w:rsid w:val="05E27A84"/>
    <w:rsid w:val="05F652DD"/>
    <w:rsid w:val="05F94DCD"/>
    <w:rsid w:val="060A7F0C"/>
    <w:rsid w:val="06416BB8"/>
    <w:rsid w:val="06456265"/>
    <w:rsid w:val="066F355D"/>
    <w:rsid w:val="06910EAC"/>
    <w:rsid w:val="0697042D"/>
    <w:rsid w:val="069A3EBB"/>
    <w:rsid w:val="06CE1F71"/>
    <w:rsid w:val="06E20F03"/>
    <w:rsid w:val="06E415DA"/>
    <w:rsid w:val="070357EA"/>
    <w:rsid w:val="07043A2A"/>
    <w:rsid w:val="07200C9D"/>
    <w:rsid w:val="07307616"/>
    <w:rsid w:val="0754675F"/>
    <w:rsid w:val="076B39F3"/>
    <w:rsid w:val="07D9475A"/>
    <w:rsid w:val="080A5070"/>
    <w:rsid w:val="08123F24"/>
    <w:rsid w:val="08326375"/>
    <w:rsid w:val="084F5179"/>
    <w:rsid w:val="08987BE8"/>
    <w:rsid w:val="08A059D4"/>
    <w:rsid w:val="08AE6343"/>
    <w:rsid w:val="08AF2F0D"/>
    <w:rsid w:val="08D32682"/>
    <w:rsid w:val="08D35DAA"/>
    <w:rsid w:val="08D37B58"/>
    <w:rsid w:val="08EF6AC2"/>
    <w:rsid w:val="09185F2E"/>
    <w:rsid w:val="097815DF"/>
    <w:rsid w:val="09840E52"/>
    <w:rsid w:val="098E31D7"/>
    <w:rsid w:val="09A84B8F"/>
    <w:rsid w:val="09D57431"/>
    <w:rsid w:val="09D9508C"/>
    <w:rsid w:val="09F47D86"/>
    <w:rsid w:val="0A333A71"/>
    <w:rsid w:val="0A3D797F"/>
    <w:rsid w:val="0A3E078F"/>
    <w:rsid w:val="0A3E54A5"/>
    <w:rsid w:val="0A7F6940"/>
    <w:rsid w:val="0AB539B9"/>
    <w:rsid w:val="0AF77F0E"/>
    <w:rsid w:val="0AF87123"/>
    <w:rsid w:val="0B1D330C"/>
    <w:rsid w:val="0B422D73"/>
    <w:rsid w:val="0B4E1717"/>
    <w:rsid w:val="0B514CED"/>
    <w:rsid w:val="0B98CC57"/>
    <w:rsid w:val="0BA12829"/>
    <w:rsid w:val="0BAE21B6"/>
    <w:rsid w:val="0BCB720C"/>
    <w:rsid w:val="0BE85AA6"/>
    <w:rsid w:val="0C0A1AE2"/>
    <w:rsid w:val="0C23344D"/>
    <w:rsid w:val="0C2506CA"/>
    <w:rsid w:val="0C393981"/>
    <w:rsid w:val="0C3B7EEE"/>
    <w:rsid w:val="0C5B233E"/>
    <w:rsid w:val="0C8B0141"/>
    <w:rsid w:val="0CA03970"/>
    <w:rsid w:val="0CAA0BCF"/>
    <w:rsid w:val="0D0B2017"/>
    <w:rsid w:val="0D2729F3"/>
    <w:rsid w:val="0D3F6000"/>
    <w:rsid w:val="0D5D3E94"/>
    <w:rsid w:val="0D907DC5"/>
    <w:rsid w:val="0D9A5BFA"/>
    <w:rsid w:val="0D9F44AC"/>
    <w:rsid w:val="0DAC6849"/>
    <w:rsid w:val="0DE620DB"/>
    <w:rsid w:val="0DFE5677"/>
    <w:rsid w:val="0E19425F"/>
    <w:rsid w:val="0E1C2E40"/>
    <w:rsid w:val="0E2624D8"/>
    <w:rsid w:val="0E3F3599"/>
    <w:rsid w:val="0E4219DB"/>
    <w:rsid w:val="0E83792A"/>
    <w:rsid w:val="0E903DF5"/>
    <w:rsid w:val="0E9E4764"/>
    <w:rsid w:val="0F072309"/>
    <w:rsid w:val="0F18017D"/>
    <w:rsid w:val="0F1D7D7F"/>
    <w:rsid w:val="0F6B6D3C"/>
    <w:rsid w:val="0F851480"/>
    <w:rsid w:val="0FA1450C"/>
    <w:rsid w:val="0FB04146"/>
    <w:rsid w:val="0FD45C52"/>
    <w:rsid w:val="0FDC3796"/>
    <w:rsid w:val="0FF74205"/>
    <w:rsid w:val="1008458B"/>
    <w:rsid w:val="102313C5"/>
    <w:rsid w:val="108F25B6"/>
    <w:rsid w:val="10947BCD"/>
    <w:rsid w:val="10C34956"/>
    <w:rsid w:val="11286567"/>
    <w:rsid w:val="1131366D"/>
    <w:rsid w:val="11502F48"/>
    <w:rsid w:val="1193356B"/>
    <w:rsid w:val="11AC7198"/>
    <w:rsid w:val="11DA02A7"/>
    <w:rsid w:val="11E20D72"/>
    <w:rsid w:val="11F72B09"/>
    <w:rsid w:val="124318AA"/>
    <w:rsid w:val="12631F4C"/>
    <w:rsid w:val="129C720C"/>
    <w:rsid w:val="12BE3152"/>
    <w:rsid w:val="12D76496"/>
    <w:rsid w:val="13001549"/>
    <w:rsid w:val="130D1EB8"/>
    <w:rsid w:val="130F5C30"/>
    <w:rsid w:val="13346287"/>
    <w:rsid w:val="134929F4"/>
    <w:rsid w:val="136071FB"/>
    <w:rsid w:val="137B7981"/>
    <w:rsid w:val="138559A4"/>
    <w:rsid w:val="138959E3"/>
    <w:rsid w:val="138F7287"/>
    <w:rsid w:val="139B74C4"/>
    <w:rsid w:val="13A445CA"/>
    <w:rsid w:val="13E23345"/>
    <w:rsid w:val="13E87CB7"/>
    <w:rsid w:val="13FE380B"/>
    <w:rsid w:val="140432BB"/>
    <w:rsid w:val="142E0338"/>
    <w:rsid w:val="14740441"/>
    <w:rsid w:val="148443FC"/>
    <w:rsid w:val="149F2FE4"/>
    <w:rsid w:val="14A423A8"/>
    <w:rsid w:val="14EE644B"/>
    <w:rsid w:val="153100AC"/>
    <w:rsid w:val="154F67B8"/>
    <w:rsid w:val="15652DAA"/>
    <w:rsid w:val="157B0AED"/>
    <w:rsid w:val="159E5049"/>
    <w:rsid w:val="15A517B3"/>
    <w:rsid w:val="15AE1730"/>
    <w:rsid w:val="15E92BC7"/>
    <w:rsid w:val="15FD3709"/>
    <w:rsid w:val="16157A01"/>
    <w:rsid w:val="167A7865"/>
    <w:rsid w:val="168B1A72"/>
    <w:rsid w:val="16B74615"/>
    <w:rsid w:val="16C32C88"/>
    <w:rsid w:val="16C358AF"/>
    <w:rsid w:val="16C73E99"/>
    <w:rsid w:val="16CB6312"/>
    <w:rsid w:val="16D637FC"/>
    <w:rsid w:val="16DE1BA1"/>
    <w:rsid w:val="16DE4297"/>
    <w:rsid w:val="16F76FA7"/>
    <w:rsid w:val="17141A67"/>
    <w:rsid w:val="171D7411"/>
    <w:rsid w:val="17283764"/>
    <w:rsid w:val="172A3039"/>
    <w:rsid w:val="17365E81"/>
    <w:rsid w:val="1773288D"/>
    <w:rsid w:val="178D1D96"/>
    <w:rsid w:val="178E2610"/>
    <w:rsid w:val="17966920"/>
    <w:rsid w:val="17A27073"/>
    <w:rsid w:val="17A74C5B"/>
    <w:rsid w:val="17A821AF"/>
    <w:rsid w:val="17CE7E68"/>
    <w:rsid w:val="180B1483"/>
    <w:rsid w:val="18117D55"/>
    <w:rsid w:val="183459BE"/>
    <w:rsid w:val="183D4C8C"/>
    <w:rsid w:val="183D7B1A"/>
    <w:rsid w:val="184F3D45"/>
    <w:rsid w:val="189F1A11"/>
    <w:rsid w:val="18BE7B6B"/>
    <w:rsid w:val="18C272A1"/>
    <w:rsid w:val="18E37943"/>
    <w:rsid w:val="191C4C03"/>
    <w:rsid w:val="192561AE"/>
    <w:rsid w:val="192A5572"/>
    <w:rsid w:val="194D3428"/>
    <w:rsid w:val="195B397D"/>
    <w:rsid w:val="19946E8F"/>
    <w:rsid w:val="199E39C2"/>
    <w:rsid w:val="19A8293B"/>
    <w:rsid w:val="19B4308D"/>
    <w:rsid w:val="19B72B7E"/>
    <w:rsid w:val="19C9198C"/>
    <w:rsid w:val="19E53A5C"/>
    <w:rsid w:val="19F93196"/>
    <w:rsid w:val="19FD4712"/>
    <w:rsid w:val="1A332204"/>
    <w:rsid w:val="1A7F3E24"/>
    <w:rsid w:val="1ABA2925"/>
    <w:rsid w:val="1AC217DA"/>
    <w:rsid w:val="1ADA4D76"/>
    <w:rsid w:val="1AE856E5"/>
    <w:rsid w:val="1AFE2C2B"/>
    <w:rsid w:val="1B1F09DB"/>
    <w:rsid w:val="1B785BC3"/>
    <w:rsid w:val="1B982FF3"/>
    <w:rsid w:val="1BCC2910"/>
    <w:rsid w:val="1BCC5812"/>
    <w:rsid w:val="1BD971F4"/>
    <w:rsid w:val="1C0F2CE1"/>
    <w:rsid w:val="1C224C26"/>
    <w:rsid w:val="1C4032FE"/>
    <w:rsid w:val="1C406E5A"/>
    <w:rsid w:val="1C4F3541"/>
    <w:rsid w:val="1C67088B"/>
    <w:rsid w:val="1C9821F8"/>
    <w:rsid w:val="1CA76EDA"/>
    <w:rsid w:val="1CE74054"/>
    <w:rsid w:val="1CF90CC4"/>
    <w:rsid w:val="1D864D41"/>
    <w:rsid w:val="1DD65CC8"/>
    <w:rsid w:val="1DD84EE2"/>
    <w:rsid w:val="1DE63A32"/>
    <w:rsid w:val="1DEF28E6"/>
    <w:rsid w:val="1DFFA1A8"/>
    <w:rsid w:val="1E0D5462"/>
    <w:rsid w:val="1E2702D2"/>
    <w:rsid w:val="1E276524"/>
    <w:rsid w:val="1E4862C5"/>
    <w:rsid w:val="1E594203"/>
    <w:rsid w:val="1E7B23CC"/>
    <w:rsid w:val="1EC575F3"/>
    <w:rsid w:val="1F0B126A"/>
    <w:rsid w:val="1F10520A"/>
    <w:rsid w:val="1F2B2044"/>
    <w:rsid w:val="1F42113B"/>
    <w:rsid w:val="1F7C63FB"/>
    <w:rsid w:val="1F7E111D"/>
    <w:rsid w:val="1F9803AC"/>
    <w:rsid w:val="1FC54AD0"/>
    <w:rsid w:val="1FD46237"/>
    <w:rsid w:val="203D01A7"/>
    <w:rsid w:val="204F58BE"/>
    <w:rsid w:val="209F2A54"/>
    <w:rsid w:val="20D3029D"/>
    <w:rsid w:val="20D73ACA"/>
    <w:rsid w:val="20FD1BD4"/>
    <w:rsid w:val="210F5BEB"/>
    <w:rsid w:val="211F34E2"/>
    <w:rsid w:val="215E465C"/>
    <w:rsid w:val="21671CF6"/>
    <w:rsid w:val="217955C5"/>
    <w:rsid w:val="218E0668"/>
    <w:rsid w:val="21B06830"/>
    <w:rsid w:val="21C36564"/>
    <w:rsid w:val="21CB5418"/>
    <w:rsid w:val="21D2742D"/>
    <w:rsid w:val="21DB27DD"/>
    <w:rsid w:val="21ED1832"/>
    <w:rsid w:val="21EF66FA"/>
    <w:rsid w:val="222C5B8B"/>
    <w:rsid w:val="22806A26"/>
    <w:rsid w:val="228D764F"/>
    <w:rsid w:val="228F6446"/>
    <w:rsid w:val="229C6DE9"/>
    <w:rsid w:val="22A939AB"/>
    <w:rsid w:val="22B97967"/>
    <w:rsid w:val="22D64075"/>
    <w:rsid w:val="22D84291"/>
    <w:rsid w:val="22E569AE"/>
    <w:rsid w:val="22E76282"/>
    <w:rsid w:val="22E91FFA"/>
    <w:rsid w:val="22F42369"/>
    <w:rsid w:val="231150AD"/>
    <w:rsid w:val="233D68BC"/>
    <w:rsid w:val="23515DF1"/>
    <w:rsid w:val="23BD5235"/>
    <w:rsid w:val="23C465C3"/>
    <w:rsid w:val="23CD1D77"/>
    <w:rsid w:val="24150BCD"/>
    <w:rsid w:val="24281889"/>
    <w:rsid w:val="24561911"/>
    <w:rsid w:val="24961D0D"/>
    <w:rsid w:val="24B403E6"/>
    <w:rsid w:val="24C809DF"/>
    <w:rsid w:val="24C90A33"/>
    <w:rsid w:val="251A3303"/>
    <w:rsid w:val="252437BD"/>
    <w:rsid w:val="253611E3"/>
    <w:rsid w:val="2547125A"/>
    <w:rsid w:val="25545725"/>
    <w:rsid w:val="255F65A3"/>
    <w:rsid w:val="25710085"/>
    <w:rsid w:val="25CA1509"/>
    <w:rsid w:val="25EC437E"/>
    <w:rsid w:val="25EE5B79"/>
    <w:rsid w:val="2603369C"/>
    <w:rsid w:val="260450DB"/>
    <w:rsid w:val="263C4015"/>
    <w:rsid w:val="26920BFA"/>
    <w:rsid w:val="26BE19EF"/>
    <w:rsid w:val="26CC19EC"/>
    <w:rsid w:val="26E054C2"/>
    <w:rsid w:val="270645C5"/>
    <w:rsid w:val="2707406D"/>
    <w:rsid w:val="273E668C"/>
    <w:rsid w:val="275B16C7"/>
    <w:rsid w:val="276E6F72"/>
    <w:rsid w:val="2781787A"/>
    <w:rsid w:val="27CE5C62"/>
    <w:rsid w:val="281D44F4"/>
    <w:rsid w:val="28355CE1"/>
    <w:rsid w:val="28440A5B"/>
    <w:rsid w:val="284B72B3"/>
    <w:rsid w:val="284C045D"/>
    <w:rsid w:val="28846049"/>
    <w:rsid w:val="28CC3C7C"/>
    <w:rsid w:val="28E31299"/>
    <w:rsid w:val="2901747F"/>
    <w:rsid w:val="29157C90"/>
    <w:rsid w:val="29540304"/>
    <w:rsid w:val="29673C78"/>
    <w:rsid w:val="296D07FE"/>
    <w:rsid w:val="29A5570A"/>
    <w:rsid w:val="29A63C37"/>
    <w:rsid w:val="29D62BAC"/>
    <w:rsid w:val="2A1B6CAB"/>
    <w:rsid w:val="2A390483"/>
    <w:rsid w:val="2A726D79"/>
    <w:rsid w:val="2A900FAD"/>
    <w:rsid w:val="2AB62A28"/>
    <w:rsid w:val="2AB638DA"/>
    <w:rsid w:val="2B141BDE"/>
    <w:rsid w:val="2B56190D"/>
    <w:rsid w:val="2B794137"/>
    <w:rsid w:val="2B7F70A5"/>
    <w:rsid w:val="2B8072A0"/>
    <w:rsid w:val="2BBF0C1C"/>
    <w:rsid w:val="2BFA5278"/>
    <w:rsid w:val="2BFD31EF"/>
    <w:rsid w:val="2BFFB3E8"/>
    <w:rsid w:val="2C17011F"/>
    <w:rsid w:val="2C2B3086"/>
    <w:rsid w:val="2C387B4E"/>
    <w:rsid w:val="2C525562"/>
    <w:rsid w:val="2C610E53"/>
    <w:rsid w:val="2C755D0D"/>
    <w:rsid w:val="2C8E59C0"/>
    <w:rsid w:val="2CA13945"/>
    <w:rsid w:val="2CAC2A7B"/>
    <w:rsid w:val="2CC24314"/>
    <w:rsid w:val="2CCE2260"/>
    <w:rsid w:val="2CD94F5A"/>
    <w:rsid w:val="2CDD07AF"/>
    <w:rsid w:val="2CE65C9B"/>
    <w:rsid w:val="2CF90D9F"/>
    <w:rsid w:val="2D687FBF"/>
    <w:rsid w:val="2D9B2143"/>
    <w:rsid w:val="2D9E319D"/>
    <w:rsid w:val="2DB86843"/>
    <w:rsid w:val="2DC7118A"/>
    <w:rsid w:val="2DC86BB5"/>
    <w:rsid w:val="2DD83397"/>
    <w:rsid w:val="2DE57862"/>
    <w:rsid w:val="2DFE6E37"/>
    <w:rsid w:val="2E36630F"/>
    <w:rsid w:val="2E813A2E"/>
    <w:rsid w:val="2E97B9E8"/>
    <w:rsid w:val="2EBA6F40"/>
    <w:rsid w:val="2ED31DB0"/>
    <w:rsid w:val="2F191EB9"/>
    <w:rsid w:val="2F3445FD"/>
    <w:rsid w:val="2F3B04EC"/>
    <w:rsid w:val="2F57653D"/>
    <w:rsid w:val="2F6B1FE9"/>
    <w:rsid w:val="2F762E67"/>
    <w:rsid w:val="2FAF0127"/>
    <w:rsid w:val="2FD656B4"/>
    <w:rsid w:val="2FE32848"/>
    <w:rsid w:val="2FFEBAA9"/>
    <w:rsid w:val="304F5466"/>
    <w:rsid w:val="30566D41"/>
    <w:rsid w:val="3075313F"/>
    <w:rsid w:val="311B7998"/>
    <w:rsid w:val="312D57A8"/>
    <w:rsid w:val="312E5FEB"/>
    <w:rsid w:val="314D7FA5"/>
    <w:rsid w:val="31927ECA"/>
    <w:rsid w:val="31C76D4C"/>
    <w:rsid w:val="31CB5EAD"/>
    <w:rsid w:val="31D356B0"/>
    <w:rsid w:val="31D75713"/>
    <w:rsid w:val="31DC0F7C"/>
    <w:rsid w:val="324A23F5"/>
    <w:rsid w:val="326276D3"/>
    <w:rsid w:val="3284085C"/>
    <w:rsid w:val="32851613"/>
    <w:rsid w:val="32954E27"/>
    <w:rsid w:val="329D695D"/>
    <w:rsid w:val="32C97752"/>
    <w:rsid w:val="33233306"/>
    <w:rsid w:val="33323549"/>
    <w:rsid w:val="336F02F9"/>
    <w:rsid w:val="33751688"/>
    <w:rsid w:val="339C4E66"/>
    <w:rsid w:val="339E473B"/>
    <w:rsid w:val="339E5833"/>
    <w:rsid w:val="33AE06F6"/>
    <w:rsid w:val="33CF0D98"/>
    <w:rsid w:val="33DC1707"/>
    <w:rsid w:val="3410342A"/>
    <w:rsid w:val="34207846"/>
    <w:rsid w:val="3437693D"/>
    <w:rsid w:val="346F257B"/>
    <w:rsid w:val="34916467"/>
    <w:rsid w:val="349A75F8"/>
    <w:rsid w:val="34C46423"/>
    <w:rsid w:val="34EB7E53"/>
    <w:rsid w:val="35156C7E"/>
    <w:rsid w:val="35213875"/>
    <w:rsid w:val="35366BF5"/>
    <w:rsid w:val="353A66E5"/>
    <w:rsid w:val="353F5AA9"/>
    <w:rsid w:val="35586B6B"/>
    <w:rsid w:val="3579545F"/>
    <w:rsid w:val="35A3428A"/>
    <w:rsid w:val="35B81867"/>
    <w:rsid w:val="35BE328B"/>
    <w:rsid w:val="35C661CB"/>
    <w:rsid w:val="35E11256"/>
    <w:rsid w:val="35F74A58"/>
    <w:rsid w:val="35FC7755"/>
    <w:rsid w:val="35FD16B9"/>
    <w:rsid w:val="35FE5964"/>
    <w:rsid w:val="36034D29"/>
    <w:rsid w:val="361231BE"/>
    <w:rsid w:val="3655404E"/>
    <w:rsid w:val="365E5169"/>
    <w:rsid w:val="36785007"/>
    <w:rsid w:val="367B6FB5"/>
    <w:rsid w:val="36AC7588"/>
    <w:rsid w:val="36AE738B"/>
    <w:rsid w:val="36B67168"/>
    <w:rsid w:val="36C42DDA"/>
    <w:rsid w:val="36D50FD8"/>
    <w:rsid w:val="371C0798"/>
    <w:rsid w:val="37313B18"/>
    <w:rsid w:val="375E2A17"/>
    <w:rsid w:val="377744E3"/>
    <w:rsid w:val="378C0679"/>
    <w:rsid w:val="37AD13F0"/>
    <w:rsid w:val="38082ACA"/>
    <w:rsid w:val="38277363"/>
    <w:rsid w:val="38314519"/>
    <w:rsid w:val="38336D98"/>
    <w:rsid w:val="386C3059"/>
    <w:rsid w:val="388760E5"/>
    <w:rsid w:val="3891486E"/>
    <w:rsid w:val="38AD71CE"/>
    <w:rsid w:val="38F512A1"/>
    <w:rsid w:val="392C04C3"/>
    <w:rsid w:val="39406294"/>
    <w:rsid w:val="394A3E0E"/>
    <w:rsid w:val="394B1EE3"/>
    <w:rsid w:val="396B6FBE"/>
    <w:rsid w:val="396E1053"/>
    <w:rsid w:val="39791FF2"/>
    <w:rsid w:val="39AD3929"/>
    <w:rsid w:val="39BB1996"/>
    <w:rsid w:val="39DF5DDD"/>
    <w:rsid w:val="39F64F22"/>
    <w:rsid w:val="3A257964"/>
    <w:rsid w:val="3A3A5061"/>
    <w:rsid w:val="3A3C6A5B"/>
    <w:rsid w:val="3A4678DA"/>
    <w:rsid w:val="3A543DA5"/>
    <w:rsid w:val="3A571AE7"/>
    <w:rsid w:val="3A8D375B"/>
    <w:rsid w:val="3AA72A81"/>
    <w:rsid w:val="3AAA60BB"/>
    <w:rsid w:val="3AD1189A"/>
    <w:rsid w:val="3AD84A09"/>
    <w:rsid w:val="3B607CCB"/>
    <w:rsid w:val="3B8A3141"/>
    <w:rsid w:val="3B8C6111"/>
    <w:rsid w:val="3B9FDDBF"/>
    <w:rsid w:val="3BA05290"/>
    <w:rsid w:val="3BB371F1"/>
    <w:rsid w:val="3BC431AC"/>
    <w:rsid w:val="3C381797"/>
    <w:rsid w:val="3C4B567C"/>
    <w:rsid w:val="3C6C6886"/>
    <w:rsid w:val="3C7C3A87"/>
    <w:rsid w:val="3C942B7F"/>
    <w:rsid w:val="3C9613C2"/>
    <w:rsid w:val="3C9E39FD"/>
    <w:rsid w:val="3CAB3899"/>
    <w:rsid w:val="3CE75344"/>
    <w:rsid w:val="3D3B8F1B"/>
    <w:rsid w:val="3D463DBE"/>
    <w:rsid w:val="3D4B05F7"/>
    <w:rsid w:val="3D536F54"/>
    <w:rsid w:val="3D6F2940"/>
    <w:rsid w:val="3D7D285B"/>
    <w:rsid w:val="3D8F1598"/>
    <w:rsid w:val="3D995F73"/>
    <w:rsid w:val="3DE2791A"/>
    <w:rsid w:val="3E263CAA"/>
    <w:rsid w:val="3E29379B"/>
    <w:rsid w:val="3E396CAE"/>
    <w:rsid w:val="3E3C527C"/>
    <w:rsid w:val="3E506F79"/>
    <w:rsid w:val="3E778A6A"/>
    <w:rsid w:val="3E78202C"/>
    <w:rsid w:val="3E894239"/>
    <w:rsid w:val="3E8D1F7B"/>
    <w:rsid w:val="3EA62247"/>
    <w:rsid w:val="3EAD43CC"/>
    <w:rsid w:val="3EDB1F8C"/>
    <w:rsid w:val="3F0F473E"/>
    <w:rsid w:val="3F485EA2"/>
    <w:rsid w:val="3F6074C6"/>
    <w:rsid w:val="3F6251B6"/>
    <w:rsid w:val="3F9D8232"/>
    <w:rsid w:val="3FB65AD9"/>
    <w:rsid w:val="3FE05723"/>
    <w:rsid w:val="3FEF729A"/>
    <w:rsid w:val="3FF6D583"/>
    <w:rsid w:val="3FFEAA71"/>
    <w:rsid w:val="40185875"/>
    <w:rsid w:val="40452C81"/>
    <w:rsid w:val="40674F83"/>
    <w:rsid w:val="40F40462"/>
    <w:rsid w:val="41151DB4"/>
    <w:rsid w:val="41166258"/>
    <w:rsid w:val="41605725"/>
    <w:rsid w:val="417A40E4"/>
    <w:rsid w:val="41FED1C2"/>
    <w:rsid w:val="41FF4F3E"/>
    <w:rsid w:val="420756AF"/>
    <w:rsid w:val="42312C1E"/>
    <w:rsid w:val="42351E4A"/>
    <w:rsid w:val="42905B96"/>
    <w:rsid w:val="42925DB2"/>
    <w:rsid w:val="42AE426E"/>
    <w:rsid w:val="42EB4309"/>
    <w:rsid w:val="435C016E"/>
    <w:rsid w:val="436F7EA2"/>
    <w:rsid w:val="437159C8"/>
    <w:rsid w:val="439B0C97"/>
    <w:rsid w:val="43AC4C52"/>
    <w:rsid w:val="43AE09CA"/>
    <w:rsid w:val="43E7787B"/>
    <w:rsid w:val="444035EC"/>
    <w:rsid w:val="44507CD3"/>
    <w:rsid w:val="445826D6"/>
    <w:rsid w:val="446E021C"/>
    <w:rsid w:val="44890AEF"/>
    <w:rsid w:val="448917EC"/>
    <w:rsid w:val="44C1472D"/>
    <w:rsid w:val="44C72567"/>
    <w:rsid w:val="44CD30D2"/>
    <w:rsid w:val="44D3620E"/>
    <w:rsid w:val="450D39DC"/>
    <w:rsid w:val="452F78E8"/>
    <w:rsid w:val="456D1210"/>
    <w:rsid w:val="45755466"/>
    <w:rsid w:val="458E3B2C"/>
    <w:rsid w:val="459260C9"/>
    <w:rsid w:val="45C460E2"/>
    <w:rsid w:val="45CB62B0"/>
    <w:rsid w:val="45EA74A6"/>
    <w:rsid w:val="46032B23"/>
    <w:rsid w:val="46191F15"/>
    <w:rsid w:val="46342CDD"/>
    <w:rsid w:val="465A0995"/>
    <w:rsid w:val="468C5B4C"/>
    <w:rsid w:val="469D030B"/>
    <w:rsid w:val="46B81CA9"/>
    <w:rsid w:val="46B8390E"/>
    <w:rsid w:val="470C6541"/>
    <w:rsid w:val="47525B10"/>
    <w:rsid w:val="478C7274"/>
    <w:rsid w:val="47A766F5"/>
    <w:rsid w:val="47BE5973"/>
    <w:rsid w:val="47C84024"/>
    <w:rsid w:val="47CD5197"/>
    <w:rsid w:val="47D91D8D"/>
    <w:rsid w:val="48054931"/>
    <w:rsid w:val="48360F8E"/>
    <w:rsid w:val="483B0352"/>
    <w:rsid w:val="487C41DD"/>
    <w:rsid w:val="48931F3C"/>
    <w:rsid w:val="489D100D"/>
    <w:rsid w:val="48DC364A"/>
    <w:rsid w:val="49125EA8"/>
    <w:rsid w:val="4955220D"/>
    <w:rsid w:val="495B760C"/>
    <w:rsid w:val="498B5C77"/>
    <w:rsid w:val="49CB11E1"/>
    <w:rsid w:val="49DB1DED"/>
    <w:rsid w:val="49DF0B35"/>
    <w:rsid w:val="49EA64D4"/>
    <w:rsid w:val="49F44C5D"/>
    <w:rsid w:val="4A0D488A"/>
    <w:rsid w:val="4A135CEC"/>
    <w:rsid w:val="4A2A75AB"/>
    <w:rsid w:val="4A3D212B"/>
    <w:rsid w:val="4A5B2F2E"/>
    <w:rsid w:val="4A8204BA"/>
    <w:rsid w:val="4AC705C3"/>
    <w:rsid w:val="4ACF1226"/>
    <w:rsid w:val="4B007631"/>
    <w:rsid w:val="4B232DA2"/>
    <w:rsid w:val="4B2B0B52"/>
    <w:rsid w:val="4B320132"/>
    <w:rsid w:val="4B95246F"/>
    <w:rsid w:val="4BA32DDE"/>
    <w:rsid w:val="4BAE65E0"/>
    <w:rsid w:val="4BC863A1"/>
    <w:rsid w:val="4BCD6803"/>
    <w:rsid w:val="4C03387D"/>
    <w:rsid w:val="4C1E1B11"/>
    <w:rsid w:val="4C63431C"/>
    <w:rsid w:val="4C637F6F"/>
    <w:rsid w:val="4C857281"/>
    <w:rsid w:val="4C891FD4"/>
    <w:rsid w:val="4CB031DA"/>
    <w:rsid w:val="4CC052CA"/>
    <w:rsid w:val="4CCD0EE7"/>
    <w:rsid w:val="4CFC67F4"/>
    <w:rsid w:val="4D1675E0"/>
    <w:rsid w:val="4D1D67F6"/>
    <w:rsid w:val="4D562C80"/>
    <w:rsid w:val="4D7560B4"/>
    <w:rsid w:val="4D77225E"/>
    <w:rsid w:val="4D930C30"/>
    <w:rsid w:val="4D9E721C"/>
    <w:rsid w:val="4DA8316C"/>
    <w:rsid w:val="4DAB1AD6"/>
    <w:rsid w:val="4DFE254E"/>
    <w:rsid w:val="4E0B4C6B"/>
    <w:rsid w:val="4E9040B9"/>
    <w:rsid w:val="4F561F16"/>
    <w:rsid w:val="4F585C8E"/>
    <w:rsid w:val="4F6208BA"/>
    <w:rsid w:val="4F7A5C04"/>
    <w:rsid w:val="4F8C3B89"/>
    <w:rsid w:val="4F900B6C"/>
    <w:rsid w:val="4F936CC6"/>
    <w:rsid w:val="4F9812E6"/>
    <w:rsid w:val="4FB8497E"/>
    <w:rsid w:val="501D6F9B"/>
    <w:rsid w:val="50250266"/>
    <w:rsid w:val="50402E5B"/>
    <w:rsid w:val="50427092"/>
    <w:rsid w:val="50446212"/>
    <w:rsid w:val="5057684C"/>
    <w:rsid w:val="50870229"/>
    <w:rsid w:val="50B45146"/>
    <w:rsid w:val="50C7131D"/>
    <w:rsid w:val="51037E7B"/>
    <w:rsid w:val="511676E7"/>
    <w:rsid w:val="511B3417"/>
    <w:rsid w:val="51625CF9"/>
    <w:rsid w:val="516A7EFA"/>
    <w:rsid w:val="51890380"/>
    <w:rsid w:val="51932FAD"/>
    <w:rsid w:val="521E12C4"/>
    <w:rsid w:val="522602C5"/>
    <w:rsid w:val="523227C6"/>
    <w:rsid w:val="52376968"/>
    <w:rsid w:val="524E5126"/>
    <w:rsid w:val="5268268C"/>
    <w:rsid w:val="527C7390"/>
    <w:rsid w:val="52B2524E"/>
    <w:rsid w:val="52DE1FCB"/>
    <w:rsid w:val="52F04AE9"/>
    <w:rsid w:val="52F061DD"/>
    <w:rsid w:val="52F77C51"/>
    <w:rsid w:val="531E6426"/>
    <w:rsid w:val="532A1B08"/>
    <w:rsid w:val="536852EA"/>
    <w:rsid w:val="538961A4"/>
    <w:rsid w:val="53913EDA"/>
    <w:rsid w:val="53A45945"/>
    <w:rsid w:val="53A6324B"/>
    <w:rsid w:val="53AC3F77"/>
    <w:rsid w:val="540A1361"/>
    <w:rsid w:val="54297BF9"/>
    <w:rsid w:val="543D24EC"/>
    <w:rsid w:val="549B4897"/>
    <w:rsid w:val="549F7EBB"/>
    <w:rsid w:val="54A31759"/>
    <w:rsid w:val="54BB7C66"/>
    <w:rsid w:val="54CE77E9"/>
    <w:rsid w:val="54F41009"/>
    <w:rsid w:val="55447A06"/>
    <w:rsid w:val="558318CB"/>
    <w:rsid w:val="558E2409"/>
    <w:rsid w:val="55B160F8"/>
    <w:rsid w:val="55CC2F32"/>
    <w:rsid w:val="55E0078B"/>
    <w:rsid w:val="55F06C20"/>
    <w:rsid w:val="55FA40AB"/>
    <w:rsid w:val="55FFB74B"/>
    <w:rsid w:val="560721BC"/>
    <w:rsid w:val="561D378D"/>
    <w:rsid w:val="56384123"/>
    <w:rsid w:val="5653600F"/>
    <w:rsid w:val="56B912AC"/>
    <w:rsid w:val="56E322E1"/>
    <w:rsid w:val="56F02C50"/>
    <w:rsid w:val="57154464"/>
    <w:rsid w:val="571B241A"/>
    <w:rsid w:val="576176AA"/>
    <w:rsid w:val="57822B16"/>
    <w:rsid w:val="5785783C"/>
    <w:rsid w:val="579B7990"/>
    <w:rsid w:val="57A53A3A"/>
    <w:rsid w:val="57CF2E23"/>
    <w:rsid w:val="57E52089"/>
    <w:rsid w:val="57FE77F3"/>
    <w:rsid w:val="581651B7"/>
    <w:rsid w:val="581E3FA7"/>
    <w:rsid w:val="58247A66"/>
    <w:rsid w:val="582F0470"/>
    <w:rsid w:val="583D33C0"/>
    <w:rsid w:val="583F5C3D"/>
    <w:rsid w:val="585D4315"/>
    <w:rsid w:val="585F1E3B"/>
    <w:rsid w:val="58B21E57"/>
    <w:rsid w:val="58D17250"/>
    <w:rsid w:val="58E467E4"/>
    <w:rsid w:val="58F5454D"/>
    <w:rsid w:val="590B5B1F"/>
    <w:rsid w:val="590D1897"/>
    <w:rsid w:val="59691FED"/>
    <w:rsid w:val="597638E0"/>
    <w:rsid w:val="59AF294E"/>
    <w:rsid w:val="59D46859"/>
    <w:rsid w:val="5A094F9B"/>
    <w:rsid w:val="5A1E7C63"/>
    <w:rsid w:val="5A276988"/>
    <w:rsid w:val="5A4F0EF0"/>
    <w:rsid w:val="5A931906"/>
    <w:rsid w:val="5A981634"/>
    <w:rsid w:val="5A9B58C8"/>
    <w:rsid w:val="5ABC3575"/>
    <w:rsid w:val="5B1038C0"/>
    <w:rsid w:val="5B136F0D"/>
    <w:rsid w:val="5B7E7C0D"/>
    <w:rsid w:val="5B8D3163"/>
    <w:rsid w:val="5B977B3E"/>
    <w:rsid w:val="5B9E0ECC"/>
    <w:rsid w:val="5BDF9D66"/>
    <w:rsid w:val="5C1B076F"/>
    <w:rsid w:val="5C2C4F2D"/>
    <w:rsid w:val="5C441F61"/>
    <w:rsid w:val="5C574268"/>
    <w:rsid w:val="5C7120A1"/>
    <w:rsid w:val="5C806824"/>
    <w:rsid w:val="5CB52971"/>
    <w:rsid w:val="5CD514D3"/>
    <w:rsid w:val="5CD66444"/>
    <w:rsid w:val="5CDF179C"/>
    <w:rsid w:val="5CED210B"/>
    <w:rsid w:val="5CF37F1D"/>
    <w:rsid w:val="5CFC8A0E"/>
    <w:rsid w:val="5D3929EA"/>
    <w:rsid w:val="5D5977A1"/>
    <w:rsid w:val="5D63417B"/>
    <w:rsid w:val="5D6D5967"/>
    <w:rsid w:val="5D8B36D2"/>
    <w:rsid w:val="5D8F4F70"/>
    <w:rsid w:val="5D900CE9"/>
    <w:rsid w:val="5DAB167E"/>
    <w:rsid w:val="5DAF116F"/>
    <w:rsid w:val="5DD26CE9"/>
    <w:rsid w:val="5DD30284"/>
    <w:rsid w:val="5DD34AB4"/>
    <w:rsid w:val="5DFB0858"/>
    <w:rsid w:val="5DFF0A0F"/>
    <w:rsid w:val="5E56783C"/>
    <w:rsid w:val="5E5B30A5"/>
    <w:rsid w:val="5E627F18"/>
    <w:rsid w:val="5E8545C5"/>
    <w:rsid w:val="5EB332EB"/>
    <w:rsid w:val="5EBFA9F6"/>
    <w:rsid w:val="5EC7698C"/>
    <w:rsid w:val="5EE70977"/>
    <w:rsid w:val="5F85B9AE"/>
    <w:rsid w:val="5FB962D5"/>
    <w:rsid w:val="5FFAAD0E"/>
    <w:rsid w:val="5FFFD531"/>
    <w:rsid w:val="602045A6"/>
    <w:rsid w:val="6021764B"/>
    <w:rsid w:val="60367925"/>
    <w:rsid w:val="60457B68"/>
    <w:rsid w:val="60834419"/>
    <w:rsid w:val="608B78E2"/>
    <w:rsid w:val="60910B83"/>
    <w:rsid w:val="609A4F3F"/>
    <w:rsid w:val="60A8015D"/>
    <w:rsid w:val="60B85F03"/>
    <w:rsid w:val="60C413D5"/>
    <w:rsid w:val="60DC361E"/>
    <w:rsid w:val="60E0295D"/>
    <w:rsid w:val="60F90189"/>
    <w:rsid w:val="613B24C6"/>
    <w:rsid w:val="61442516"/>
    <w:rsid w:val="614C5323"/>
    <w:rsid w:val="616933C9"/>
    <w:rsid w:val="61717698"/>
    <w:rsid w:val="61A15272"/>
    <w:rsid w:val="61B76844"/>
    <w:rsid w:val="61BE4076"/>
    <w:rsid w:val="61C4171F"/>
    <w:rsid w:val="61C72A34"/>
    <w:rsid w:val="61F93300"/>
    <w:rsid w:val="62166DC4"/>
    <w:rsid w:val="621D48D8"/>
    <w:rsid w:val="624A1CB6"/>
    <w:rsid w:val="624A77E6"/>
    <w:rsid w:val="625B18C5"/>
    <w:rsid w:val="62854B94"/>
    <w:rsid w:val="62B0228F"/>
    <w:rsid w:val="630C2BBF"/>
    <w:rsid w:val="63141A74"/>
    <w:rsid w:val="631E435E"/>
    <w:rsid w:val="63213CF4"/>
    <w:rsid w:val="63780255"/>
    <w:rsid w:val="63811F35"/>
    <w:rsid w:val="63AC7EFE"/>
    <w:rsid w:val="63B514A9"/>
    <w:rsid w:val="63D86F45"/>
    <w:rsid w:val="63E2436F"/>
    <w:rsid w:val="64410F8F"/>
    <w:rsid w:val="6450412D"/>
    <w:rsid w:val="646B203D"/>
    <w:rsid w:val="64832C8B"/>
    <w:rsid w:val="64A0142F"/>
    <w:rsid w:val="64AF5EF8"/>
    <w:rsid w:val="64CA053B"/>
    <w:rsid w:val="64CA31F0"/>
    <w:rsid w:val="64DA367B"/>
    <w:rsid w:val="64DD4813"/>
    <w:rsid w:val="64E14962"/>
    <w:rsid w:val="64F61D79"/>
    <w:rsid w:val="650476EC"/>
    <w:rsid w:val="65282833"/>
    <w:rsid w:val="652E26F9"/>
    <w:rsid w:val="65366619"/>
    <w:rsid w:val="65560416"/>
    <w:rsid w:val="655A5C70"/>
    <w:rsid w:val="65640A91"/>
    <w:rsid w:val="656E190F"/>
    <w:rsid w:val="65727C4B"/>
    <w:rsid w:val="657367EC"/>
    <w:rsid w:val="65785BCE"/>
    <w:rsid w:val="658554FB"/>
    <w:rsid w:val="658B6DC7"/>
    <w:rsid w:val="659F7D1B"/>
    <w:rsid w:val="65AA3925"/>
    <w:rsid w:val="65F242EE"/>
    <w:rsid w:val="65FB7383"/>
    <w:rsid w:val="660B3602"/>
    <w:rsid w:val="66320049"/>
    <w:rsid w:val="667C62AE"/>
    <w:rsid w:val="668F2A3A"/>
    <w:rsid w:val="66A23F66"/>
    <w:rsid w:val="66AD4998"/>
    <w:rsid w:val="66B2326C"/>
    <w:rsid w:val="66BA7997"/>
    <w:rsid w:val="66CF5FF7"/>
    <w:rsid w:val="66DF815B"/>
    <w:rsid w:val="66E14363"/>
    <w:rsid w:val="676A395C"/>
    <w:rsid w:val="67717495"/>
    <w:rsid w:val="678278F4"/>
    <w:rsid w:val="67A55390"/>
    <w:rsid w:val="67CD5013"/>
    <w:rsid w:val="67DD2D7C"/>
    <w:rsid w:val="6803183C"/>
    <w:rsid w:val="685E3F02"/>
    <w:rsid w:val="68662D72"/>
    <w:rsid w:val="68A33BCF"/>
    <w:rsid w:val="68A4383E"/>
    <w:rsid w:val="69061224"/>
    <w:rsid w:val="693C4933"/>
    <w:rsid w:val="69562DE6"/>
    <w:rsid w:val="69FF3DA6"/>
    <w:rsid w:val="6A010FA4"/>
    <w:rsid w:val="6A0A597F"/>
    <w:rsid w:val="6A250690"/>
    <w:rsid w:val="6A5938E3"/>
    <w:rsid w:val="6A6D1142"/>
    <w:rsid w:val="6A7ACA07"/>
    <w:rsid w:val="6A9242F2"/>
    <w:rsid w:val="6A9516EC"/>
    <w:rsid w:val="6ABB4B13"/>
    <w:rsid w:val="6AD370E6"/>
    <w:rsid w:val="6AE90161"/>
    <w:rsid w:val="6AFEFD6B"/>
    <w:rsid w:val="6B030D4C"/>
    <w:rsid w:val="6B2111D2"/>
    <w:rsid w:val="6B2947D1"/>
    <w:rsid w:val="6B6F70A7"/>
    <w:rsid w:val="6B96571C"/>
    <w:rsid w:val="6BB87D88"/>
    <w:rsid w:val="6BCD2110"/>
    <w:rsid w:val="6BDF974C"/>
    <w:rsid w:val="6BE26BB3"/>
    <w:rsid w:val="6BE44432"/>
    <w:rsid w:val="6BE91CF0"/>
    <w:rsid w:val="6BFF0DBE"/>
    <w:rsid w:val="6C270A6A"/>
    <w:rsid w:val="6C7C2B64"/>
    <w:rsid w:val="6CCB42C0"/>
    <w:rsid w:val="6CE81FA7"/>
    <w:rsid w:val="6CF62EDC"/>
    <w:rsid w:val="6D5C2995"/>
    <w:rsid w:val="6D746AAD"/>
    <w:rsid w:val="6D960737"/>
    <w:rsid w:val="6DA5433C"/>
    <w:rsid w:val="6DD864C0"/>
    <w:rsid w:val="6DE5E0A1"/>
    <w:rsid w:val="6E0A1704"/>
    <w:rsid w:val="6E315BD0"/>
    <w:rsid w:val="6E495542"/>
    <w:rsid w:val="6E6811D8"/>
    <w:rsid w:val="6E70494A"/>
    <w:rsid w:val="6E7855AD"/>
    <w:rsid w:val="6E7D42EE"/>
    <w:rsid w:val="6E9F8B19"/>
    <w:rsid w:val="6EBB7C16"/>
    <w:rsid w:val="6EBC2CB3"/>
    <w:rsid w:val="6ECD3B4B"/>
    <w:rsid w:val="6ED70525"/>
    <w:rsid w:val="6EE79BD2"/>
    <w:rsid w:val="6EF70BC7"/>
    <w:rsid w:val="6EF86BF2"/>
    <w:rsid w:val="6F046767"/>
    <w:rsid w:val="6F062BB9"/>
    <w:rsid w:val="6F1FC1AB"/>
    <w:rsid w:val="6F321C00"/>
    <w:rsid w:val="6F7B1AEF"/>
    <w:rsid w:val="6F8C57B4"/>
    <w:rsid w:val="6F997ED1"/>
    <w:rsid w:val="6FA50623"/>
    <w:rsid w:val="6FB54687"/>
    <w:rsid w:val="6FF9A8FE"/>
    <w:rsid w:val="703379DD"/>
    <w:rsid w:val="705636CC"/>
    <w:rsid w:val="708B7819"/>
    <w:rsid w:val="709A7A5C"/>
    <w:rsid w:val="70BC3E77"/>
    <w:rsid w:val="70EA5A55"/>
    <w:rsid w:val="711C7DEE"/>
    <w:rsid w:val="7121017E"/>
    <w:rsid w:val="71327C95"/>
    <w:rsid w:val="715A543E"/>
    <w:rsid w:val="71924BD7"/>
    <w:rsid w:val="71931C63"/>
    <w:rsid w:val="71A87053"/>
    <w:rsid w:val="71B132B0"/>
    <w:rsid w:val="71B27028"/>
    <w:rsid w:val="71CA611F"/>
    <w:rsid w:val="71CB5851"/>
    <w:rsid w:val="71F65166"/>
    <w:rsid w:val="720B144F"/>
    <w:rsid w:val="720F50E6"/>
    <w:rsid w:val="72101EA0"/>
    <w:rsid w:val="722F0678"/>
    <w:rsid w:val="724F1FEB"/>
    <w:rsid w:val="72757DB1"/>
    <w:rsid w:val="727B566C"/>
    <w:rsid w:val="72AE77EF"/>
    <w:rsid w:val="72BB1F0C"/>
    <w:rsid w:val="72F316A6"/>
    <w:rsid w:val="73020FF3"/>
    <w:rsid w:val="732B193A"/>
    <w:rsid w:val="733662C6"/>
    <w:rsid w:val="739048A5"/>
    <w:rsid w:val="73C86FF9"/>
    <w:rsid w:val="74422EB3"/>
    <w:rsid w:val="744C3764"/>
    <w:rsid w:val="74523551"/>
    <w:rsid w:val="747F7695"/>
    <w:rsid w:val="7483115A"/>
    <w:rsid w:val="74BF500F"/>
    <w:rsid w:val="74CE5F27"/>
    <w:rsid w:val="74D177C5"/>
    <w:rsid w:val="74FF5651"/>
    <w:rsid w:val="7501454E"/>
    <w:rsid w:val="750E6C6B"/>
    <w:rsid w:val="75211121"/>
    <w:rsid w:val="75351ABD"/>
    <w:rsid w:val="753520BF"/>
    <w:rsid w:val="756E14B8"/>
    <w:rsid w:val="759058D2"/>
    <w:rsid w:val="75CF06D9"/>
    <w:rsid w:val="75D1787A"/>
    <w:rsid w:val="75FF2DF6"/>
    <w:rsid w:val="76045978"/>
    <w:rsid w:val="760F4A49"/>
    <w:rsid w:val="76133B2A"/>
    <w:rsid w:val="7614205F"/>
    <w:rsid w:val="76522B87"/>
    <w:rsid w:val="76530DD9"/>
    <w:rsid w:val="767A350B"/>
    <w:rsid w:val="76984A3E"/>
    <w:rsid w:val="76A77C3C"/>
    <w:rsid w:val="77423369"/>
    <w:rsid w:val="77701517"/>
    <w:rsid w:val="77933457"/>
    <w:rsid w:val="779C40BA"/>
    <w:rsid w:val="77A47413"/>
    <w:rsid w:val="77D94873"/>
    <w:rsid w:val="77F205C7"/>
    <w:rsid w:val="78126A72"/>
    <w:rsid w:val="781400F4"/>
    <w:rsid w:val="78174088"/>
    <w:rsid w:val="783E6762"/>
    <w:rsid w:val="785610A2"/>
    <w:rsid w:val="78615304"/>
    <w:rsid w:val="787212BF"/>
    <w:rsid w:val="78C35DF4"/>
    <w:rsid w:val="78CD1A77"/>
    <w:rsid w:val="78D76F87"/>
    <w:rsid w:val="78E026CC"/>
    <w:rsid w:val="78ED4BF6"/>
    <w:rsid w:val="790074D7"/>
    <w:rsid w:val="79226841"/>
    <w:rsid w:val="79276766"/>
    <w:rsid w:val="792CFA55"/>
    <w:rsid w:val="7947274B"/>
    <w:rsid w:val="794B223C"/>
    <w:rsid w:val="79725A1A"/>
    <w:rsid w:val="79752E15"/>
    <w:rsid w:val="798E6BCC"/>
    <w:rsid w:val="7999158E"/>
    <w:rsid w:val="79E30FE6"/>
    <w:rsid w:val="79E93803"/>
    <w:rsid w:val="79ED50A1"/>
    <w:rsid w:val="7A08012D"/>
    <w:rsid w:val="7A41719B"/>
    <w:rsid w:val="7A6B1FA0"/>
    <w:rsid w:val="7A7521C0"/>
    <w:rsid w:val="7A856043"/>
    <w:rsid w:val="7AA716F4"/>
    <w:rsid w:val="7AB03FD0"/>
    <w:rsid w:val="7AB931D5"/>
    <w:rsid w:val="7AD718AD"/>
    <w:rsid w:val="7AFDAAB5"/>
    <w:rsid w:val="7B3F16C0"/>
    <w:rsid w:val="7B475882"/>
    <w:rsid w:val="7B6018A2"/>
    <w:rsid w:val="7B643141"/>
    <w:rsid w:val="7B7512C2"/>
    <w:rsid w:val="7B8B5094"/>
    <w:rsid w:val="7B8F32FD"/>
    <w:rsid w:val="7BAC560C"/>
    <w:rsid w:val="7BAF87C6"/>
    <w:rsid w:val="7BB4552D"/>
    <w:rsid w:val="7BB7D00A"/>
    <w:rsid w:val="7BDF47C2"/>
    <w:rsid w:val="7BF91591"/>
    <w:rsid w:val="7BFF49AB"/>
    <w:rsid w:val="7C1508DF"/>
    <w:rsid w:val="7C2537C3"/>
    <w:rsid w:val="7C3C2310"/>
    <w:rsid w:val="7C40555D"/>
    <w:rsid w:val="7C4E4C8C"/>
    <w:rsid w:val="7C5238E1"/>
    <w:rsid w:val="7C547659"/>
    <w:rsid w:val="7C7C7D36"/>
    <w:rsid w:val="7CE21BD1"/>
    <w:rsid w:val="7CE7399F"/>
    <w:rsid w:val="7CEC1640"/>
    <w:rsid w:val="7CEEB1C5"/>
    <w:rsid w:val="7CFB76FF"/>
    <w:rsid w:val="7CFD5F97"/>
    <w:rsid w:val="7D1DC837"/>
    <w:rsid w:val="7D575FCD"/>
    <w:rsid w:val="7D6C5904"/>
    <w:rsid w:val="7D8628FA"/>
    <w:rsid w:val="7D943A85"/>
    <w:rsid w:val="7DAF266D"/>
    <w:rsid w:val="7DEF4A40"/>
    <w:rsid w:val="7E042739"/>
    <w:rsid w:val="7E066731"/>
    <w:rsid w:val="7E1990F3"/>
    <w:rsid w:val="7E292420"/>
    <w:rsid w:val="7E8B143F"/>
    <w:rsid w:val="7EA877E8"/>
    <w:rsid w:val="7EAA7A04"/>
    <w:rsid w:val="7EC16AFC"/>
    <w:rsid w:val="7EC42148"/>
    <w:rsid w:val="7EE33B7E"/>
    <w:rsid w:val="7EEF3F71"/>
    <w:rsid w:val="7F01339C"/>
    <w:rsid w:val="7F160BF6"/>
    <w:rsid w:val="7F2552DD"/>
    <w:rsid w:val="7F4C0ABC"/>
    <w:rsid w:val="7F5367D3"/>
    <w:rsid w:val="7F651B7D"/>
    <w:rsid w:val="7F652D49"/>
    <w:rsid w:val="7F6A2F8B"/>
    <w:rsid w:val="7F7F2AAF"/>
    <w:rsid w:val="7F933D56"/>
    <w:rsid w:val="7FA2248A"/>
    <w:rsid w:val="7FD93C46"/>
    <w:rsid w:val="7FDD39BD"/>
    <w:rsid w:val="7FEE35BB"/>
    <w:rsid w:val="7FF16F6D"/>
    <w:rsid w:val="7FF627D5"/>
    <w:rsid w:val="7FF64583"/>
    <w:rsid w:val="8B7B736D"/>
    <w:rsid w:val="97B31B7B"/>
    <w:rsid w:val="9B767C56"/>
    <w:rsid w:val="9EAE4546"/>
    <w:rsid w:val="9F475535"/>
    <w:rsid w:val="9F9FDC19"/>
    <w:rsid w:val="B7DF608F"/>
    <w:rsid w:val="BEDFC3FC"/>
    <w:rsid w:val="BF740157"/>
    <w:rsid w:val="BF781E74"/>
    <w:rsid w:val="C1F35481"/>
    <w:rsid w:val="C39D74C9"/>
    <w:rsid w:val="C7F65831"/>
    <w:rsid w:val="CBAF1EB4"/>
    <w:rsid w:val="CBBFC806"/>
    <w:rsid w:val="CECF9F80"/>
    <w:rsid w:val="CEFBE7D1"/>
    <w:rsid w:val="CF8F20FD"/>
    <w:rsid w:val="CFFF9065"/>
    <w:rsid w:val="D1E7E4C1"/>
    <w:rsid w:val="D7DF7738"/>
    <w:rsid w:val="D9EBF5AD"/>
    <w:rsid w:val="DA8FAEC0"/>
    <w:rsid w:val="DB3EB286"/>
    <w:rsid w:val="DD1B5CAD"/>
    <w:rsid w:val="DDDA92C8"/>
    <w:rsid w:val="DEBE07FF"/>
    <w:rsid w:val="DFBEE660"/>
    <w:rsid w:val="DFEE14D0"/>
    <w:rsid w:val="DFFA3F9D"/>
    <w:rsid w:val="DFFBADAB"/>
    <w:rsid w:val="E38FEAF7"/>
    <w:rsid w:val="E98F34D6"/>
    <w:rsid w:val="EBDFE77F"/>
    <w:rsid w:val="EBF79656"/>
    <w:rsid w:val="EC7FF10B"/>
    <w:rsid w:val="EE3FB192"/>
    <w:rsid w:val="EF58F171"/>
    <w:rsid w:val="EFBFAD12"/>
    <w:rsid w:val="F39D91C3"/>
    <w:rsid w:val="F3B3D8B3"/>
    <w:rsid w:val="F45F5297"/>
    <w:rsid w:val="F5FE0E03"/>
    <w:rsid w:val="F78B52F8"/>
    <w:rsid w:val="F7ABAD41"/>
    <w:rsid w:val="F7FF87AB"/>
    <w:rsid w:val="F9DF7F9D"/>
    <w:rsid w:val="FAF7B383"/>
    <w:rsid w:val="FBBA7DBD"/>
    <w:rsid w:val="FBCF2D8A"/>
    <w:rsid w:val="FBEE8239"/>
    <w:rsid w:val="FC6C311F"/>
    <w:rsid w:val="FCFD0BD3"/>
    <w:rsid w:val="FCFD4EA5"/>
    <w:rsid w:val="FD5F43B1"/>
    <w:rsid w:val="FDFDC401"/>
    <w:rsid w:val="FDFF6E4E"/>
    <w:rsid w:val="FEFB3B55"/>
    <w:rsid w:val="FF1FDD0A"/>
    <w:rsid w:val="FF7BA128"/>
    <w:rsid w:val="FFEF6B10"/>
    <w:rsid w:val="FFFB676A"/>
    <w:rsid w:val="FFFD61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7">
    <w:name w:val="Normal Indent"/>
    <w:basedOn w:val="1"/>
    <w:qFormat/>
    <w:uiPriority w:val="0"/>
    <w:pPr>
      <w:ind w:firstLine="420" w:firstLineChars="200"/>
    </w:pPr>
    <w:rPr>
      <w:szCs w:val="20"/>
    </w:rPr>
  </w:style>
  <w:style w:type="paragraph" w:styleId="8">
    <w:name w:val="annotation text"/>
    <w:basedOn w:val="1"/>
    <w:link w:val="27"/>
    <w:unhideWhenUsed/>
    <w:qFormat/>
    <w:uiPriority w:val="0"/>
    <w:pPr>
      <w:jc w:val="left"/>
    </w:pPr>
    <w:rPr>
      <w:kern w:val="0"/>
      <w:sz w:val="20"/>
    </w:rPr>
  </w:style>
  <w:style w:type="paragraph" w:styleId="9">
    <w:name w:val="Body Text"/>
    <w:basedOn w:val="1"/>
    <w:next w:val="1"/>
    <w:unhideWhenUsed/>
    <w:qFormat/>
    <w:uiPriority w:val="0"/>
    <w:pPr>
      <w:spacing w:after="120"/>
    </w:pPr>
    <w:rPr>
      <w:sz w:val="24"/>
    </w:rPr>
  </w:style>
  <w:style w:type="paragraph" w:styleId="10">
    <w:name w:val="Body Text Indent"/>
    <w:basedOn w:val="1"/>
    <w:unhideWhenUsed/>
    <w:qFormat/>
    <w:uiPriority w:val="99"/>
    <w:pPr>
      <w:spacing w:after="120"/>
      <w:ind w:left="420" w:leftChars="200"/>
    </w:pPr>
    <w:rPr>
      <w:kern w:val="0"/>
      <w:sz w:val="20"/>
      <w:szCs w:val="20"/>
    </w:rPr>
  </w:style>
  <w:style w:type="paragraph" w:styleId="11">
    <w:name w:val="Plain Text"/>
    <w:basedOn w:val="1"/>
    <w:qFormat/>
    <w:uiPriority w:val="0"/>
    <w:rPr>
      <w:rFonts w:ascii="宋体" w:hAnsi="Courier New"/>
    </w:rPr>
  </w:style>
  <w:style w:type="paragraph" w:styleId="12">
    <w:name w:val="Balloon Text"/>
    <w:basedOn w:val="1"/>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link w:val="28"/>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2"/>
    <w:basedOn w:val="1"/>
    <w:qFormat/>
    <w:uiPriority w:val="99"/>
    <w:pPr>
      <w:spacing w:before="240"/>
    </w:pPr>
    <w:rPr>
      <w:rFonts w:ascii="Calibri" w:hAnsi="Calibri"/>
      <w:color w:val="FF0000"/>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29"/>
    <w:qFormat/>
    <w:uiPriority w:val="0"/>
    <w:rPr>
      <w:b/>
      <w:bCs/>
      <w:kern w:val="2"/>
      <w:sz w:val="21"/>
    </w:rPr>
  </w:style>
  <w:style w:type="paragraph" w:styleId="20">
    <w:name w:val="Body Text First Indent"/>
    <w:basedOn w:val="9"/>
    <w:qFormat/>
    <w:uiPriority w:val="0"/>
    <w:pPr>
      <w:snapToGrid w:val="0"/>
      <w:spacing w:line="560" w:lineRule="exact"/>
      <w:ind w:firstLine="200" w:firstLineChars="200"/>
    </w:pPr>
    <w:rPr>
      <w:rFonts w:ascii="仿宋" w:hAnsi="仿宋" w:cs="仿宋"/>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character" w:customStyle="1" w:styleId="27">
    <w:name w:val="批注文字 字符"/>
    <w:basedOn w:val="23"/>
    <w:link w:val="8"/>
    <w:qFormat/>
    <w:uiPriority w:val="0"/>
    <w:rPr>
      <w:szCs w:val="24"/>
    </w:rPr>
  </w:style>
  <w:style w:type="character" w:customStyle="1" w:styleId="28">
    <w:name w:val="页眉 字符"/>
    <w:basedOn w:val="23"/>
    <w:link w:val="14"/>
    <w:qFormat/>
    <w:uiPriority w:val="0"/>
    <w:rPr>
      <w:kern w:val="2"/>
      <w:sz w:val="18"/>
      <w:szCs w:val="18"/>
    </w:rPr>
  </w:style>
  <w:style w:type="character" w:customStyle="1" w:styleId="29">
    <w:name w:val="批注主题 字符"/>
    <w:basedOn w:val="27"/>
    <w:link w:val="19"/>
    <w:qFormat/>
    <w:uiPriority w:val="0"/>
    <w:rPr>
      <w:b/>
      <w:bCs/>
      <w:kern w:val="2"/>
      <w:sz w:val="21"/>
      <w:szCs w:val="24"/>
    </w:rPr>
  </w:style>
  <w:style w:type="paragraph" w:styleId="30">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31">
    <w:name w:val="List Paragraph"/>
    <w:basedOn w:val="1"/>
    <w:qFormat/>
    <w:uiPriority w:val="34"/>
    <w:pPr>
      <w:ind w:firstLine="420" w:firstLineChars="200"/>
    </w:pPr>
  </w:style>
  <w:style w:type="character" w:customStyle="1" w:styleId="32">
    <w:name w:val="NormalCharacter"/>
    <w:qFormat/>
    <w:uiPriority w:val="0"/>
    <w:rPr>
      <w:kern w:val="2"/>
      <w:sz w:val="21"/>
      <w:szCs w:val="24"/>
      <w:lang w:val="en-US" w:eastAsia="zh-CN" w:bidi="ar-SA"/>
    </w:rPr>
  </w:style>
  <w:style w:type="paragraph" w:customStyle="1" w:styleId="33">
    <w:name w:val="Table Paragraph"/>
    <w:basedOn w:val="1"/>
    <w:qFormat/>
    <w:uiPriority w:val="0"/>
    <w:pPr>
      <w:autoSpaceDE w:val="0"/>
      <w:autoSpaceDN w:val="0"/>
      <w:jc w:val="left"/>
    </w:pPr>
    <w:rPr>
      <w:rFonts w:ascii="宋体" w:hAnsi="宋体" w:cs="宋体"/>
      <w:kern w:val="0"/>
      <w:sz w:val="22"/>
      <w:szCs w:val="22"/>
    </w:rPr>
  </w:style>
  <w:style w:type="paragraph" w:customStyle="1" w:styleId="34">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5">
    <w:name w:val="qowt-font5-gb2312"/>
    <w:qFormat/>
    <w:uiPriority w:val="0"/>
  </w:style>
  <w:style w:type="paragraph" w:customStyle="1" w:styleId="36">
    <w:name w:val="正文格式"/>
    <w:basedOn w:val="10"/>
    <w:qFormat/>
    <w:uiPriority w:val="99"/>
    <w:pPr>
      <w:spacing w:after="0" w:line="360" w:lineRule="auto"/>
      <w:ind w:left="0" w:leftChars="0" w:firstLine="600"/>
    </w:pPr>
    <w:rPr>
      <w:rFonts w:eastAsia="仿宋_GB2312"/>
      <w:sz w:val="30"/>
      <w:szCs w:val="30"/>
    </w:rPr>
  </w:style>
  <w:style w:type="paragraph" w:customStyle="1" w:styleId="37">
    <w:name w:val="msolistparagraph"/>
    <w:basedOn w:val="1"/>
    <w:qFormat/>
    <w:uiPriority w:val="0"/>
    <w:pPr>
      <w:ind w:firstLine="420" w:firstLineChars="200"/>
    </w:pPr>
  </w:style>
  <w:style w:type="paragraph" w:customStyle="1" w:styleId="3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9前海 正文"/>
    <w:basedOn w:val="40"/>
    <w:qFormat/>
    <w:uiPriority w:val="0"/>
    <w:pPr>
      <w:ind w:firstLine="640"/>
    </w:pPr>
    <w:rPr>
      <w:rFonts w:ascii="仿宋_GB2312" w:eastAsia="仿宋_GB2312"/>
    </w:rPr>
  </w:style>
  <w:style w:type="paragraph" w:customStyle="1" w:styleId="40">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1">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4412</Words>
  <Characters>4537</Characters>
  <Lines>412</Lines>
  <Paragraphs>116</Paragraphs>
  <TotalTime>2</TotalTime>
  <ScaleCrop>false</ScaleCrop>
  <LinksUpToDate>false</LinksUpToDate>
  <CharactersWithSpaces>4571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2025-02-17T09:50:00Z</dcterms:created>
  <dc:creator>黎俊</dc:creator>
  <cp:lastModifiedBy>黎俊</cp:lastModifiedBy>
  <cp:lastPrinted>2025-12-04T19:46:00Z</cp:lastPrinted>
  <dcterms:modified xsi:type="dcterms:W3CDTF">2025-12-05T03:12:44Z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8EF8677268FB498FA56E6BE463345B62</vt:lpwstr>
  </property>
</Properties>
</file>