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highlight w:val="none"/>
          <w:lang w:val="en-US" w:eastAsia="zh-CN" w:bidi="ar"/>
        </w:rPr>
      </w:pPr>
      <w:bookmarkStart w:id="4" w:name="_GoBack"/>
      <w:bookmarkEnd w:id="4"/>
      <w:bookmarkStart w:id="0" w:name="_Toc1301093694"/>
      <w:bookmarkStart w:id="1" w:name="_Toc339012327"/>
      <w:bookmarkStart w:id="2" w:name="_Toc640692197"/>
      <w:bookmarkStart w:id="3" w:name="_Toc1131707677"/>
      <w:r>
        <w:rPr>
          <w:rFonts w:hint="eastAsia" w:ascii="方正小标宋_GBK" w:hAnsi="方正小标宋_GBK" w:eastAsia="方正小标宋_GBK" w:cs="方正小标宋_GBK"/>
          <w:bCs w:val="0"/>
          <w:color w:val="auto"/>
          <w:sz w:val="44"/>
          <w:szCs w:val="44"/>
          <w:highlight w:val="none"/>
          <w:lang w:val="en-US" w:eastAsia="zh-CN" w:bidi="ar"/>
        </w:rPr>
        <w:t>应用场景揭榜支持行动操作规程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一、政策内容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鼓励企业参与人工智能和机器人应用场景“揭榜挂帅”项目，对参与项目的发榜方、揭榜方根据项目实际建设情况分别给予最高300万元、500万元资助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二、资助标准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参与项目的发榜方、揭榜方分别根据项目实际建设情况给予最高300万元、500万元资助。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设定依据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《南山区支持创新创业“六个一”行动方案》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申报对象及条件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南山区合法经营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五、办理流程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（一）榜单征集：产业主管部门征集并拟定榜单；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榜单发布：A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i南山发布榜单及揭榜通知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（三）揭榜申报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揭榜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单位通过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i南山提交申报材料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（四）初步审查：产业主管部门对申报材料的完整性、规范性和符合性进行审查；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（五）评审论证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组织专家评审会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并确定最终揭榜单位及揭榜形式；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（六）方案优化：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优化项目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实施计划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项目落地方案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（七）备案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立项：经产业主管部门审定后，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向社会公示揭榜结果，各方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签订三方协议；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（八）资金支持：产业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主管部门开通申报渠道，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相关产业政策予以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资金支持。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六、附则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本操作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  <w:t>规程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由深圳市南山区科技创新局、区工业和信息化局负责解释，自发布之日起实施。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郑培松（区科创局人工智能产业办公室）0755-88168123；廖常荣（区工信局重点产业科）0755-88168718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6AC223C"/>
    <w:rsid w:val="FEF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区工业和信息化局帐户</cp:lastModifiedBy>
  <dcterms:modified xsi:type="dcterms:W3CDTF">2025-11-28T17:51:25Z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