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000000" w:themeColor="text1"/>
          <w14:textFill>
            <w14:solidFill>
              <w14:schemeClr w14:val="tx1"/>
            </w14:solidFill>
          </w14:textFill>
        </w:rPr>
      </w:pPr>
    </w:p>
    <w:p>
      <w:pPr>
        <w:jc w:val="center"/>
        <w:rPr>
          <w:rFonts w:ascii="宋体" w:hAnsi="宋体" w:cs="宋体"/>
          <w:b/>
          <w:color w:val="000000" w:themeColor="text1"/>
          <w:sz w:val="72"/>
          <w:szCs w:val="72"/>
          <w14:textFill>
            <w14:solidFill>
              <w14:schemeClr w14:val="tx1"/>
            </w14:solidFill>
          </w14:textFill>
        </w:rPr>
      </w:pPr>
      <w:r>
        <w:rPr>
          <w:rFonts w:hint="eastAsia" w:ascii="宋体" w:hAnsi="宋体" w:cs="宋体"/>
          <w:b/>
          <w:color w:val="000000" w:themeColor="text1"/>
          <w:sz w:val="72"/>
          <w:szCs w:val="72"/>
          <w14:textFill>
            <w14:solidFill>
              <w14:schemeClr w14:val="tx1"/>
            </w14:solidFill>
          </w14:textFill>
        </w:rPr>
        <w:t>简易招标文件</w:t>
      </w:r>
    </w:p>
    <w:p>
      <w:pPr>
        <w:jc w:val="cente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pStyle w:val="30"/>
        <w:ind w:firstLine="420"/>
        <w:rPr>
          <w:rFonts w:ascii="宋体" w:hAnsi="宋体" w:cs="宋体"/>
          <w:color w:val="000000" w:themeColor="text1"/>
          <w14:textFill>
            <w14:solidFill>
              <w14:schemeClr w14:val="tx1"/>
            </w14:solidFill>
          </w14:textFill>
        </w:rPr>
      </w:pPr>
    </w:p>
    <w:p>
      <w:pPr>
        <w:pStyle w:val="30"/>
        <w:ind w:firstLine="420"/>
        <w:rPr>
          <w:rFonts w:ascii="宋体" w:hAnsi="宋体" w:cs="宋体"/>
          <w:color w:val="000000" w:themeColor="text1"/>
          <w14:textFill>
            <w14:solidFill>
              <w14:schemeClr w14:val="tx1"/>
            </w14:solidFill>
          </w14:textFill>
        </w:rPr>
      </w:pPr>
    </w:p>
    <w:p>
      <w:pPr>
        <w:rPr>
          <w:rFonts w:ascii="宋体" w:hAnsi="宋体" w:cs="宋体"/>
          <w:b/>
          <w:color w:val="000000" w:themeColor="text1"/>
          <w:sz w:val="44"/>
          <w14:textFill>
            <w14:solidFill>
              <w14:schemeClr w14:val="tx1"/>
            </w14:solidFill>
          </w14:textFill>
        </w:rPr>
      </w:pPr>
    </w:p>
    <w:p>
      <w:pPr>
        <w:ind w:left="2326" w:leftChars="247" w:right="-319" w:rightChars="-152" w:hanging="1807" w:hangingChars="500"/>
        <w:rPr>
          <w:rFonts w:ascii="宋体" w:hAnsi="宋体" w:cs="宋体"/>
          <w:b/>
          <w:color w:val="000000" w:themeColor="text1"/>
          <w:sz w:val="36"/>
          <w:szCs w:val="36"/>
          <w14:textFill>
            <w14:solidFill>
              <w14:schemeClr w14:val="tx1"/>
            </w14:solidFill>
          </w14:textFill>
        </w:rPr>
      </w:pPr>
      <w:r>
        <w:rPr>
          <w:rFonts w:hint="eastAsia" w:ascii="宋体" w:hAnsi="宋体" w:cs="宋体"/>
          <w:b/>
          <w:color w:val="000000" w:themeColor="text1"/>
          <w:sz w:val="36"/>
          <w:szCs w:val="36"/>
          <w14:textFill>
            <w14:solidFill>
              <w14:schemeClr w14:val="tx1"/>
            </w14:solidFill>
          </w14:textFill>
        </w:rPr>
        <w:t>招标编号：QH2025146</w:t>
      </w:r>
    </w:p>
    <w:p>
      <w:pPr>
        <w:pStyle w:val="30"/>
        <w:ind w:firstLine="420"/>
        <w:rPr>
          <w:rFonts w:ascii="宋体" w:hAnsi="宋体" w:cs="宋体"/>
          <w:color w:val="000000" w:themeColor="text1"/>
          <w14:textFill>
            <w14:solidFill>
              <w14:schemeClr w14:val="tx1"/>
            </w14:solidFill>
          </w14:textFill>
        </w:rPr>
      </w:pPr>
    </w:p>
    <w:p>
      <w:pPr>
        <w:pStyle w:val="30"/>
        <w:ind w:firstLine="420"/>
        <w:rPr>
          <w:rFonts w:ascii="宋体" w:hAnsi="宋体" w:cs="宋体"/>
          <w:color w:val="000000" w:themeColor="text1"/>
          <w14:textFill>
            <w14:solidFill>
              <w14:schemeClr w14:val="tx1"/>
            </w14:solidFill>
          </w14:textFill>
        </w:rPr>
      </w:pPr>
    </w:p>
    <w:p>
      <w:pPr>
        <w:pStyle w:val="30"/>
        <w:ind w:firstLine="420"/>
        <w:rPr>
          <w:rFonts w:ascii="宋体" w:hAnsi="宋体" w:cs="宋体"/>
          <w:color w:val="000000" w:themeColor="text1"/>
          <w14:textFill>
            <w14:solidFill>
              <w14:schemeClr w14:val="tx1"/>
            </w14:solidFill>
          </w14:textFill>
        </w:rPr>
      </w:pPr>
    </w:p>
    <w:p>
      <w:pPr>
        <w:ind w:left="2304" w:leftChars="247" w:right="-319" w:rightChars="-152" w:hanging="1785" w:hangingChars="494"/>
        <w:rPr>
          <w:rFonts w:ascii="宋体" w:hAnsi="宋体" w:cs="宋体"/>
          <w:b/>
          <w:color w:val="000000" w:themeColor="text1"/>
          <w:sz w:val="36"/>
          <w:szCs w:val="36"/>
          <w14:textFill>
            <w14:solidFill>
              <w14:schemeClr w14:val="tx1"/>
            </w14:solidFill>
          </w14:textFill>
        </w:rPr>
      </w:pPr>
      <w:r>
        <w:rPr>
          <w:rFonts w:hint="eastAsia" w:ascii="宋体" w:hAnsi="宋体" w:cs="宋体"/>
          <w:b/>
          <w:color w:val="000000" w:themeColor="text1"/>
          <w:sz w:val="36"/>
          <w:szCs w:val="36"/>
          <w14:textFill>
            <w14:solidFill>
              <w14:schemeClr w14:val="tx1"/>
            </w14:solidFill>
          </w14:textFill>
        </w:rPr>
        <w:t>招标项目：“港税e”香港居民个人所得税优惠政策落实提升服务项目</w:t>
      </w:r>
    </w:p>
    <w:p>
      <w:pPr>
        <w:ind w:firstLine="3264" w:firstLineChars="739"/>
        <w:rPr>
          <w:rFonts w:ascii="宋体" w:hAnsi="宋体" w:cs="宋体"/>
          <w:b/>
          <w:color w:val="000000" w:themeColor="text1"/>
          <w:sz w:val="44"/>
          <w14:textFill>
            <w14:solidFill>
              <w14:schemeClr w14:val="tx1"/>
            </w14:solidFill>
          </w14:textFill>
        </w:rPr>
      </w:pPr>
    </w:p>
    <w:p>
      <w:pPr>
        <w:ind w:left="1260" w:leftChars="600" w:firstLine="1855" w:firstLineChars="420"/>
        <w:rPr>
          <w:rFonts w:ascii="宋体" w:hAnsi="宋体" w:cs="宋体"/>
          <w:b/>
          <w:color w:val="000000" w:themeColor="text1"/>
          <w:sz w:val="44"/>
          <w14:textFill>
            <w14:solidFill>
              <w14:schemeClr w14:val="tx1"/>
            </w14:solidFill>
          </w14:textFill>
        </w:rPr>
      </w:pPr>
    </w:p>
    <w:p>
      <w:pPr>
        <w:rPr>
          <w:rFonts w:ascii="宋体" w:hAnsi="宋体" w:cs="宋体"/>
          <w:b/>
          <w:color w:val="000000" w:themeColor="text1"/>
          <w:sz w:val="44"/>
          <w14:textFill>
            <w14:solidFill>
              <w14:schemeClr w14:val="tx1"/>
            </w14:solidFill>
          </w14:textFill>
        </w:rPr>
      </w:pPr>
    </w:p>
    <w:p>
      <w:pPr>
        <w:jc w:val="center"/>
        <w:rPr>
          <w:rFonts w:ascii="宋体" w:hAnsi="宋体" w:cs="宋体"/>
          <w:b/>
          <w:bCs/>
          <w:color w:val="000000" w:themeColor="text1"/>
          <w:sz w:val="36"/>
          <w:szCs w:val="36"/>
          <w:lang w:val="zh-CN"/>
          <w14:textFill>
            <w14:solidFill>
              <w14:schemeClr w14:val="tx1"/>
            </w14:solidFill>
          </w14:textFill>
        </w:rPr>
      </w:pPr>
      <w:r>
        <w:rPr>
          <w:rFonts w:hint="eastAsia" w:ascii="宋体" w:hAnsi="宋体" w:cs="宋体"/>
          <w:b/>
          <w:bCs/>
          <w:color w:val="000000" w:themeColor="text1"/>
          <w:sz w:val="36"/>
          <w:szCs w:val="36"/>
          <w:lang w:val="zh-CN"/>
          <w14:textFill>
            <w14:solidFill>
              <w14:schemeClr w14:val="tx1"/>
            </w14:solidFill>
          </w14:textFill>
        </w:rPr>
        <w:t>深圳市前海深港现代服务业合作区管理局</w:t>
      </w:r>
    </w:p>
    <w:p>
      <w:pPr>
        <w:jc w:val="center"/>
        <w:rPr>
          <w:rFonts w:ascii="宋体" w:hAnsi="宋体" w:cs="宋体"/>
          <w:b/>
          <w:bCs/>
          <w:color w:val="000000" w:themeColor="text1"/>
          <w:sz w:val="36"/>
          <w:szCs w:val="36"/>
          <w14:textFill>
            <w14:solidFill>
              <w14:schemeClr w14:val="tx1"/>
            </w14:solidFill>
          </w14:textFill>
        </w:rPr>
      </w:pPr>
      <w:r>
        <w:rPr>
          <w:rFonts w:hint="eastAsia" w:ascii="宋体" w:hAnsi="宋体" w:cs="宋体"/>
          <w:b/>
          <w:bCs/>
          <w:color w:val="000000" w:themeColor="text1"/>
          <w:sz w:val="36"/>
          <w:szCs w:val="36"/>
          <w14:textFill>
            <w14:solidFill>
              <w14:schemeClr w14:val="tx1"/>
            </w14:solidFill>
          </w14:textFill>
        </w:rPr>
        <w:t>2025年11月</w:t>
      </w:r>
    </w:p>
    <w:p>
      <w:pPr>
        <w:autoSpaceDE w:val="0"/>
        <w:autoSpaceDN w:val="0"/>
        <w:adjustRightInd w:val="0"/>
        <w:spacing w:line="360" w:lineRule="auto"/>
        <w:jc w:val="center"/>
        <w:rPr>
          <w:rFonts w:ascii="宋体" w:hAnsi="宋体" w:cs="宋体"/>
          <w:b/>
          <w:bCs/>
          <w:color w:val="000000" w:themeColor="text1"/>
          <w:kern w:val="0"/>
          <w:sz w:val="36"/>
          <w:szCs w:val="36"/>
          <w14:textFill>
            <w14:solidFill>
              <w14:schemeClr w14:val="tx1"/>
            </w14:solidFill>
          </w14:textFill>
        </w:rPr>
      </w:pPr>
      <w:bookmarkStart w:id="0" w:name="_Toc12932"/>
      <w:r>
        <w:rPr>
          <w:rFonts w:ascii="宋体" w:hAnsi="宋体"/>
          <w:b/>
          <w:bCs/>
          <w:color w:val="000000" w:themeColor="text1"/>
          <w:sz w:val="32"/>
          <w:szCs w:val="40"/>
          <w:u w:val="single"/>
          <w14:textFill>
            <w14:solidFill>
              <w14:schemeClr w14:val="tx1"/>
            </w14:solidFill>
          </w14:textFill>
        </w:rPr>
        <w:br w:type="page"/>
      </w:r>
      <w:r>
        <w:rPr>
          <w:rFonts w:hint="eastAsia" w:ascii="宋体" w:hAnsi="宋体" w:cs="宋体"/>
          <w:b/>
          <w:bCs/>
          <w:color w:val="000000" w:themeColor="text1"/>
          <w:kern w:val="0"/>
          <w:sz w:val="36"/>
          <w:szCs w:val="36"/>
          <w14:textFill>
            <w14:solidFill>
              <w14:schemeClr w14:val="tx1"/>
            </w14:solidFill>
          </w14:textFill>
        </w:rPr>
        <w:t>特别警示条款</w:t>
      </w:r>
    </w:p>
    <w:p>
      <w:pPr>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参与本项目政府采购活动的供应商应认真阅读以下特别警示条款，不得存在以下所列禁止情形，一旦发现，将被处以记入供应商诚信档案、罚款、取消参与政府采购资格、吊销营业执照等处罚；构成犯罪的，依法追究刑事责任。</w:t>
      </w:r>
    </w:p>
    <w:tbl>
      <w:tblPr>
        <w:tblStyle w:val="21"/>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1"/>
        <w:gridCol w:w="7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pct"/>
            <w:vAlign w:val="center"/>
          </w:tcPr>
          <w:p>
            <w:pPr>
              <w:jc w:val="center"/>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序号</w:t>
            </w:r>
          </w:p>
        </w:tc>
        <w:tc>
          <w:tcPr>
            <w:tcW w:w="4482" w:type="pct"/>
            <w:vAlign w:val="center"/>
          </w:tcPr>
          <w:p>
            <w:pPr>
              <w:jc w:val="center"/>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供应商参与投标禁止情形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pct"/>
            <w:vAlign w:val="center"/>
          </w:tcPr>
          <w:p>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p>
        </w:tc>
        <w:tc>
          <w:tcPr>
            <w:tcW w:w="4482" w:type="pct"/>
            <w:vAlign w:val="center"/>
          </w:tcPr>
          <w:p>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与其他投标供应商的法定代表人、主要经营负责人、投标授权代表人、项目负责人、主要技术人员为</w:t>
            </w:r>
            <w:r>
              <w:rPr>
                <w:rFonts w:hint="eastAsia" w:ascii="宋体" w:hAnsi="宋体" w:cs="宋体"/>
                <w:b/>
                <w:bCs/>
                <w:color w:val="000000" w:themeColor="text1"/>
                <w:sz w:val="24"/>
                <w14:textFill>
                  <w14:solidFill>
                    <w14:schemeClr w14:val="tx1"/>
                  </w14:solidFill>
                </w14:textFill>
              </w:rPr>
              <w:t>同一人、属同一单位或者在同一单位缴纳社会保险</w:t>
            </w:r>
            <w:r>
              <w:rPr>
                <w:rFonts w:hint="eastAsia" w:ascii="宋体" w:hAnsi="宋体" w:cs="宋体"/>
                <w:color w:val="000000" w:themeColor="text1"/>
                <w:sz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pct"/>
            <w:vAlign w:val="center"/>
          </w:tcPr>
          <w:p>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p>
        </w:tc>
        <w:tc>
          <w:tcPr>
            <w:tcW w:w="4482" w:type="pct"/>
            <w:vAlign w:val="center"/>
          </w:tcPr>
          <w:p>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参与本项目政府采购活动时，与其他投标供应商存在单位负责人为</w:t>
            </w:r>
            <w:r>
              <w:rPr>
                <w:rFonts w:hint="eastAsia" w:ascii="宋体" w:hAnsi="宋体" w:cs="宋体"/>
                <w:b/>
                <w:bCs/>
                <w:color w:val="000000" w:themeColor="text1"/>
                <w:sz w:val="24"/>
                <w14:textFill>
                  <w14:solidFill>
                    <w14:schemeClr w14:val="tx1"/>
                  </w14:solidFill>
                </w14:textFill>
              </w:rPr>
              <w:t>同一人或直接控股、管理关系</w:t>
            </w:r>
            <w:r>
              <w:rPr>
                <w:rFonts w:hint="eastAsia" w:ascii="宋体" w:hAnsi="宋体" w:cs="宋体"/>
                <w:color w:val="000000" w:themeColor="text1"/>
                <w:sz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pct"/>
            <w:vAlign w:val="center"/>
          </w:tcPr>
          <w:p>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w:t>
            </w:r>
          </w:p>
        </w:tc>
        <w:tc>
          <w:tcPr>
            <w:tcW w:w="4482" w:type="pct"/>
            <w:vAlign w:val="center"/>
          </w:tcPr>
          <w:p>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与其他投标供应商的投标文件或部分投标文件</w:t>
            </w:r>
            <w:r>
              <w:rPr>
                <w:rFonts w:hint="eastAsia" w:ascii="宋体" w:hAnsi="宋体" w:cs="宋体"/>
                <w:b/>
                <w:bCs/>
                <w:color w:val="000000" w:themeColor="text1"/>
                <w:sz w:val="24"/>
                <w14:textFill>
                  <w14:solidFill>
                    <w14:schemeClr w14:val="tx1"/>
                  </w14:solidFill>
                </w14:textFill>
              </w:rPr>
              <w:t>相互混装或存在非正常一致</w:t>
            </w:r>
            <w:r>
              <w:rPr>
                <w:rFonts w:hint="eastAsia" w:ascii="宋体" w:hAnsi="宋体" w:cs="宋体"/>
                <w:color w:val="000000" w:themeColor="text1"/>
                <w:sz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pct"/>
            <w:vAlign w:val="center"/>
          </w:tcPr>
          <w:p>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w:t>
            </w:r>
          </w:p>
        </w:tc>
        <w:tc>
          <w:tcPr>
            <w:tcW w:w="4482" w:type="pct"/>
            <w:vAlign w:val="center"/>
          </w:tcPr>
          <w:p>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与其他投标供应商的投标文件由</w:t>
            </w:r>
            <w:r>
              <w:rPr>
                <w:rFonts w:hint="eastAsia" w:ascii="宋体" w:hAnsi="宋体" w:cs="宋体"/>
                <w:b/>
                <w:bCs/>
                <w:color w:val="000000" w:themeColor="text1"/>
                <w:sz w:val="24"/>
                <w14:textFill>
                  <w14:solidFill>
                    <w14:schemeClr w14:val="tx1"/>
                  </w14:solidFill>
                </w14:textFill>
              </w:rPr>
              <w:t>同一单位或者同一人编制</w:t>
            </w:r>
            <w:r>
              <w:rPr>
                <w:rFonts w:hint="eastAsia" w:ascii="宋体" w:hAnsi="宋体" w:cs="宋体"/>
                <w:color w:val="000000" w:themeColor="text1"/>
                <w:sz w:val="24"/>
                <w14:textFill>
                  <w14:solidFill>
                    <w14:schemeClr w14:val="tx1"/>
                  </w14:solidFill>
                </w14:textFill>
              </w:rPr>
              <w:t>，或者使用</w:t>
            </w:r>
            <w:r>
              <w:rPr>
                <w:rFonts w:hint="eastAsia" w:ascii="宋体" w:hAnsi="宋体" w:cs="宋体"/>
                <w:b/>
                <w:bCs/>
                <w:color w:val="000000" w:themeColor="text1"/>
                <w:sz w:val="24"/>
                <w14:textFill>
                  <w14:solidFill>
                    <w14:schemeClr w14:val="tx1"/>
                  </w14:solidFill>
                </w14:textFill>
              </w:rPr>
              <w:t>同一设备编制</w:t>
            </w:r>
            <w:r>
              <w:rPr>
                <w:rFonts w:hint="eastAsia" w:ascii="宋体" w:hAnsi="宋体" w:cs="宋体"/>
                <w:color w:val="000000" w:themeColor="text1"/>
                <w:sz w:val="24"/>
                <w14:textFill>
                  <w14:solidFill>
                    <w14:schemeClr w14:val="tx1"/>
                  </w14:solidFill>
                </w14:textFill>
              </w:rPr>
              <w:t>（“文件制作机器码”“文件创建标识码”一致）。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pct"/>
            <w:vAlign w:val="center"/>
          </w:tcPr>
          <w:p>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w:t>
            </w:r>
          </w:p>
        </w:tc>
        <w:tc>
          <w:tcPr>
            <w:tcW w:w="4482" w:type="pct"/>
            <w:vAlign w:val="center"/>
          </w:tcPr>
          <w:p>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提供</w:t>
            </w:r>
            <w:r>
              <w:rPr>
                <w:rFonts w:hint="eastAsia" w:ascii="宋体" w:hAnsi="宋体" w:cs="宋体"/>
                <w:b/>
                <w:bCs/>
                <w:color w:val="000000" w:themeColor="text1"/>
                <w:sz w:val="24"/>
                <w14:textFill>
                  <w14:solidFill>
                    <w14:schemeClr w14:val="tx1"/>
                  </w14:solidFill>
                </w14:textFill>
              </w:rPr>
              <w:t>未经出具机构核实</w:t>
            </w:r>
            <w:r>
              <w:rPr>
                <w:rFonts w:hint="eastAsia" w:ascii="宋体" w:hAnsi="宋体" w:cs="宋体"/>
                <w:color w:val="000000" w:themeColor="text1"/>
                <w:sz w:val="24"/>
                <w14:textFill>
                  <w14:solidFill>
                    <w14:schemeClr w14:val="tx1"/>
                  </w14:solidFill>
                </w14:textFill>
              </w:rPr>
              <w:t>的虚假的检验检测报告、业绩材料、社保缴纳证明、学历学位证书、职称认证证书等材料。</w:t>
            </w:r>
          </w:p>
        </w:tc>
      </w:tr>
    </w:tbl>
    <w:p>
      <w:pPr>
        <w:autoSpaceDE w:val="0"/>
        <w:autoSpaceDN w:val="0"/>
        <w:adjustRightInd w:val="0"/>
        <w:spacing w:line="360" w:lineRule="auto"/>
        <w:jc w:val="center"/>
        <w:rPr>
          <w:rFonts w:ascii="宋体" w:hAnsi="宋体" w:cs="宋体"/>
          <w:b/>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《深圳经济特区政府采购条例》</w:t>
      </w:r>
    </w:p>
    <w:p>
      <w:pPr>
        <w:autoSpaceDE w:val="0"/>
        <w:autoSpaceDN w:val="0"/>
        <w:adjustRightInd w:val="0"/>
        <w:spacing w:line="360" w:lineRule="auto"/>
        <w:ind w:left="239" w:leftChars="114" w:firstLine="241" w:firstLineChars="100"/>
        <w:jc w:val="left"/>
        <w:rPr>
          <w:rFonts w:ascii="宋体" w:hAnsi="宋体" w:cs="宋体"/>
          <w:color w:val="000000" w:themeColor="text1"/>
          <w:sz w:val="24"/>
          <w14:textFill>
            <w14:solidFill>
              <w14:schemeClr w14:val="tx1"/>
            </w14:solidFill>
          </w14:textFill>
        </w:rPr>
      </w:pPr>
      <w:r>
        <w:rPr>
          <w:rStyle w:val="23"/>
          <w:rFonts w:hint="eastAsia" w:ascii="宋体" w:hAnsi="宋体" w:cs="宋体"/>
          <w:color w:val="000000" w:themeColor="text1"/>
          <w:sz w:val="24"/>
          <w14:textFill>
            <w14:solidFill>
              <w14:schemeClr w14:val="tx1"/>
            </w14:solidFill>
          </w14:textFill>
        </w:rPr>
        <w:t>第五十七条</w:t>
      </w:r>
      <w:r>
        <w:rPr>
          <w:rFonts w:hint="eastAsia" w:ascii="宋体" w:hAnsi="宋体" w:cs="宋体"/>
          <w:color w:val="000000" w:themeColor="text1"/>
          <w:sz w:val="24"/>
          <w14:textFill>
            <w14:solidFill>
              <w14:schemeClr w14:val="tx1"/>
            </w14:solidFill>
          </w14:textFill>
        </w:rPr>
        <w:t> 供应商在政府采购中，有下列行为之一的，一至三年内禁止其参与本市政府采购，并由主管部门记入供应商诚信档案，处采购金额千分之十以上千分之二十以下罚款；情节严重的，取消其参与本市政府采购资格，处采购金额千分之二十以上千分之三十以下罚款，并由市场监管部门依法吊销其营业执照；给他人造成损失的，依法承担赔偿责任；构成犯罪的，依法追究刑事责任：</w:t>
      </w:r>
    </w:p>
    <w:p>
      <w:pPr>
        <w:pStyle w:val="16"/>
        <w:shd w:val="clear" w:color="auto" w:fill="FFFFFF"/>
        <w:spacing w:before="0" w:beforeAutospacing="0" w:after="0" w:afterAutospacing="0" w:line="360" w:lineRule="auto"/>
        <w:ind w:firstLine="480" w:firstLineChars="200"/>
        <w:rPr>
          <w:color w:val="000000" w:themeColor="text1"/>
          <w14:textFill>
            <w14:solidFill>
              <w14:schemeClr w14:val="tx1"/>
            </w14:solidFill>
          </w14:textFill>
        </w:rPr>
      </w:pPr>
      <w:bookmarkStart w:id="1" w:name="_Toc2750"/>
      <w:r>
        <w:rPr>
          <w:rFonts w:hint="eastAsia"/>
          <w:color w:val="000000" w:themeColor="text1"/>
          <w14:textFill>
            <w14:solidFill>
              <w14:schemeClr w14:val="tx1"/>
            </w14:solidFill>
          </w14:textFill>
        </w:rPr>
        <w:t>（一）在采购活动中应当回避而未回避的；</w:t>
      </w:r>
      <w:bookmarkEnd w:id="1"/>
    </w:p>
    <w:p>
      <w:pPr>
        <w:pStyle w:val="16"/>
        <w:shd w:val="clear" w:color="auto" w:fill="FFFFFF"/>
        <w:spacing w:before="0" w:beforeAutospacing="0" w:after="0" w:afterAutospacing="0" w:line="360" w:lineRule="auto"/>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（二）未按照本条例规定签订、履行采购合同，造成严重后果的；</w:t>
      </w:r>
    </w:p>
    <w:p>
      <w:pPr>
        <w:pStyle w:val="16"/>
        <w:shd w:val="clear" w:color="auto" w:fill="FFFFFF"/>
        <w:spacing w:before="0" w:beforeAutospacing="0" w:after="0" w:afterAutospacing="0" w:line="360" w:lineRule="auto"/>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（三）隐瞒真实情况，提供虚假资料的；</w:t>
      </w:r>
    </w:p>
    <w:p>
      <w:pPr>
        <w:pStyle w:val="16"/>
        <w:shd w:val="clear" w:color="auto" w:fill="FFFFFF"/>
        <w:spacing w:before="0" w:beforeAutospacing="0" w:after="0" w:afterAutospacing="0" w:line="360" w:lineRule="auto"/>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（四）以非法手段排斥其他供应商参与竞争的；</w:t>
      </w:r>
    </w:p>
    <w:p>
      <w:pPr>
        <w:pStyle w:val="16"/>
        <w:shd w:val="clear" w:color="auto" w:fill="FFFFFF"/>
        <w:spacing w:before="0" w:beforeAutospacing="0" w:after="0" w:afterAutospacing="0" w:line="360" w:lineRule="auto"/>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（五）与其他采购参加人串通投标的；</w:t>
      </w:r>
    </w:p>
    <w:p>
      <w:pPr>
        <w:pStyle w:val="16"/>
        <w:shd w:val="clear" w:color="auto" w:fill="FFFFFF"/>
        <w:spacing w:before="0" w:beforeAutospacing="0" w:after="0" w:afterAutospacing="0" w:line="360" w:lineRule="auto"/>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（六）恶意投诉的；</w:t>
      </w:r>
    </w:p>
    <w:p>
      <w:pPr>
        <w:pStyle w:val="16"/>
        <w:shd w:val="clear" w:color="auto" w:fill="FFFFFF"/>
        <w:spacing w:before="0" w:beforeAutospacing="0" w:after="0" w:afterAutospacing="0" w:line="360" w:lineRule="auto"/>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（七）向采购项目相关人行贿或者提供其他不当利益的；</w:t>
      </w:r>
    </w:p>
    <w:p>
      <w:pPr>
        <w:pStyle w:val="16"/>
        <w:shd w:val="clear" w:color="auto" w:fill="FFFFFF"/>
        <w:spacing w:before="0" w:beforeAutospacing="0" w:after="0" w:afterAutospacing="0" w:line="360" w:lineRule="auto"/>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（八）阻碍、抗拒主管部门监督检查的；</w:t>
      </w:r>
    </w:p>
    <w:p>
      <w:pPr>
        <w:pStyle w:val="16"/>
        <w:shd w:val="clear" w:color="auto" w:fill="FFFFFF"/>
        <w:spacing w:before="0" w:beforeAutospacing="0" w:after="0" w:afterAutospacing="0" w:line="360" w:lineRule="auto"/>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（九）其他违反本条例规定的行为。</w:t>
      </w:r>
    </w:p>
    <w:p>
      <w:pPr>
        <w:autoSpaceDE w:val="0"/>
        <w:autoSpaceDN w:val="0"/>
        <w:adjustRightInd w:val="0"/>
        <w:spacing w:line="360" w:lineRule="auto"/>
        <w:ind w:firstLine="360" w:firstLineChars="150"/>
        <w:jc w:val="left"/>
        <w:rPr>
          <w:rFonts w:ascii="宋体" w:hAnsi="宋体" w:cs="宋体"/>
          <w:color w:val="000000" w:themeColor="text1"/>
          <w:kern w:val="0"/>
          <w:sz w:val="24"/>
          <w14:textFill>
            <w14:solidFill>
              <w14:schemeClr w14:val="tx1"/>
            </w14:solidFill>
          </w14:textFill>
        </w:rPr>
      </w:pPr>
    </w:p>
    <w:p>
      <w:pPr>
        <w:autoSpaceDE w:val="0"/>
        <w:autoSpaceDN w:val="0"/>
        <w:adjustRightInd w:val="0"/>
        <w:spacing w:line="360" w:lineRule="auto"/>
        <w:jc w:val="center"/>
        <w:rPr>
          <w:rFonts w:ascii="宋体" w:hAnsi="宋体" w:cs="宋体"/>
          <w:b/>
          <w:color w:val="000000" w:themeColor="text1"/>
          <w:kern w:val="0"/>
          <w:sz w:val="24"/>
          <w14:textFill>
            <w14:solidFill>
              <w14:schemeClr w14:val="tx1"/>
            </w14:solidFill>
          </w14:textFill>
        </w:rPr>
      </w:pPr>
    </w:p>
    <w:p>
      <w:pPr>
        <w:autoSpaceDE w:val="0"/>
        <w:autoSpaceDN w:val="0"/>
        <w:adjustRightInd w:val="0"/>
        <w:spacing w:line="360" w:lineRule="auto"/>
        <w:jc w:val="center"/>
        <w:rPr>
          <w:rFonts w:ascii="宋体" w:hAnsi="宋体" w:cs="宋体"/>
          <w:b/>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《深圳经济特区政府采购条例实施细则》</w:t>
      </w:r>
    </w:p>
    <w:p>
      <w:pPr>
        <w:keepLines/>
        <w:spacing w:line="360" w:lineRule="auto"/>
        <w:ind w:firstLine="482" w:firstLineChars="200"/>
        <w:rPr>
          <w:rFonts w:ascii="宋体" w:hAnsi="宋体" w:cs="宋体"/>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第七十五条</w:t>
      </w:r>
      <w:r>
        <w:rPr>
          <w:rFonts w:hint="eastAsia" w:ascii="宋体" w:hAnsi="宋体" w:cs="宋体"/>
          <w:color w:val="000000" w:themeColor="text1"/>
          <w:sz w:val="24"/>
          <w14:textFill>
            <w14:solidFill>
              <w14:schemeClr w14:val="tx1"/>
            </w14:solidFill>
          </w14:textFill>
        </w:rPr>
        <w:t> 供应商有下列情形的，属于采购条例所称的串通投标行为，按照采购条例第五十七条有关规定处理：</w:t>
      </w:r>
    </w:p>
    <w:p>
      <w:pPr>
        <w:keepLines/>
        <w:spacing w:line="360" w:lineRule="auto"/>
        <w:ind w:firstLine="480" w:firstLineChars="200"/>
        <w:rPr>
          <w:rFonts w:ascii="宋体" w:hAnsi="宋体" w:cs="宋体"/>
          <w:color w:val="000000" w:themeColor="text1"/>
          <w:sz w:val="24"/>
          <w14:textFill>
            <w14:solidFill>
              <w14:schemeClr w14:val="tx1"/>
            </w14:solidFill>
          </w14:textFill>
        </w:rPr>
      </w:pPr>
      <w:bookmarkStart w:id="2" w:name="_Toc6281"/>
      <w:r>
        <w:rPr>
          <w:rFonts w:hint="eastAsia" w:ascii="宋体" w:hAnsi="宋体" w:cs="宋体"/>
          <w:color w:val="000000" w:themeColor="text1"/>
          <w:sz w:val="24"/>
          <w14:textFill>
            <w14:solidFill>
              <w14:schemeClr w14:val="tx1"/>
            </w14:solidFill>
          </w14:textFill>
        </w:rPr>
        <w:t>（一）投标供应商之间相互约定给予未中标的供应商利益补偿；</w:t>
      </w:r>
      <w:bookmarkEnd w:id="2"/>
    </w:p>
    <w:p>
      <w:pPr>
        <w:keepLines/>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（二）不同投标供应商的法定代表人、主要经营负责人、项目投标授权代表人、项目负责人、主要技术人员为同一人、属同一单位或者在同一单位缴纳社会保险；　　　　 </w:t>
      </w:r>
    </w:p>
    <w:p>
      <w:pPr>
        <w:keepLines/>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（三）不同投标供应商的投标文件由同一单位或者同一人编制，或者由同一人分阶段参与编制的；</w:t>
      </w:r>
    </w:p>
    <w:p>
      <w:pPr>
        <w:keepLines/>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（四）不同投标供应商的投标文件或部分投标文件相互混装；</w:t>
      </w:r>
    </w:p>
    <w:p>
      <w:pPr>
        <w:keepLines/>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（五）不同投标供应商的投标文件内容存在非正常一致；</w:t>
      </w:r>
    </w:p>
    <w:p>
      <w:pPr>
        <w:keepLines/>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（六）由同一单位工作人员为两家以上（含两家）供应商进行同一项投标活动的；</w:t>
      </w:r>
    </w:p>
    <w:p>
      <w:pPr>
        <w:keepLines/>
        <w:spacing w:line="360" w:lineRule="auto"/>
        <w:ind w:firstLine="480" w:firstLineChars="200"/>
        <w:rPr>
          <w:rFonts w:ascii="宋体" w:hAnsi="宋体" w:cs="宋体"/>
          <w:color w:val="000000" w:themeColor="text1"/>
          <w:sz w:val="24"/>
          <w14:textFill>
            <w14:solidFill>
              <w14:schemeClr w14:val="tx1"/>
            </w14:solidFill>
          </w14:textFill>
        </w:rPr>
      </w:pPr>
      <w:bookmarkStart w:id="3" w:name="_Toc31089"/>
      <w:r>
        <w:rPr>
          <w:rFonts w:hint="eastAsia" w:ascii="宋体" w:hAnsi="宋体" w:cs="宋体"/>
          <w:color w:val="000000" w:themeColor="text1"/>
          <w:sz w:val="24"/>
          <w14:textFill>
            <w14:solidFill>
              <w14:schemeClr w14:val="tx1"/>
            </w14:solidFill>
          </w14:textFill>
        </w:rPr>
        <w:t>（七）主管部门依照法律、法规认定的其他情形。</w:t>
      </w:r>
      <w:bookmarkEnd w:id="3"/>
    </w:p>
    <w:p>
      <w:pPr>
        <w:keepLines/>
        <w:spacing w:line="360" w:lineRule="auto"/>
        <w:ind w:firstLine="482" w:firstLineChars="200"/>
        <w:rPr>
          <w:rFonts w:ascii="宋体" w:hAnsi="宋体" w:cs="宋体"/>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第七十七条</w:t>
      </w:r>
      <w:r>
        <w:rPr>
          <w:rFonts w:hint="eastAsia" w:ascii="宋体" w:hAnsi="宋体" w:cs="宋体"/>
          <w:color w:val="000000" w:themeColor="text1"/>
          <w:sz w:val="24"/>
          <w14:textFill>
            <w14:solidFill>
              <w14:schemeClr w14:val="tx1"/>
            </w14:solidFill>
          </w14:textFill>
        </w:rPr>
        <w:t> 供应商有下列情形之一的，属于隐瞒真实情况，提供虚假资料，按照采购条例第五十七条的有关规定处理：</w:t>
      </w:r>
    </w:p>
    <w:p>
      <w:pPr>
        <w:keepLines/>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（一）通过转让或者租借等方式从其他单位获取资格或者资质证书投标的；</w:t>
      </w:r>
    </w:p>
    <w:p>
      <w:pPr>
        <w:keepLines/>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（二）由其他单位或者其他单位负责人在投标供应商编制的投标文件上加盖印章或者签字的；</w:t>
      </w:r>
    </w:p>
    <w:p>
      <w:pPr>
        <w:keepLines/>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（三）项目负责人或者主要技术人员不是本单位人员的；</w:t>
      </w:r>
    </w:p>
    <w:p>
      <w:pPr>
        <w:keepLines/>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（四）投标保证金不是从投标供应商基本账户转出的；</w:t>
      </w:r>
    </w:p>
    <w:p>
      <w:pPr>
        <w:keepLines/>
        <w:spacing w:line="360" w:lineRule="auto"/>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（五）其他隐瞒真实情况、提供虚假资料的行为。</w:t>
      </w:r>
    </w:p>
    <w:p>
      <w:pPr>
        <w:keepLines/>
        <w:spacing w:line="360" w:lineRule="auto"/>
        <w:ind w:firstLine="480" w:firstLineChars="200"/>
        <w:jc w:val="left"/>
        <w:rPr>
          <w:rFonts w:ascii="宋体" w:hAnsi="宋体" w:cs="宋体"/>
          <w:color w:val="000000" w:themeColor="text1"/>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投标供应商不能提供项目负责人或者主要技术人员的劳动合同、社会保险等劳动关系证明材料的，视为存在前款第（三）项规定的情形。</w:t>
      </w:r>
    </w:p>
    <w:p>
      <w:pPr>
        <w:autoSpaceDE w:val="0"/>
        <w:autoSpaceDN w:val="0"/>
        <w:adjustRightInd w:val="0"/>
        <w:spacing w:line="360" w:lineRule="auto"/>
        <w:jc w:val="center"/>
        <w:rPr>
          <w:rFonts w:ascii="宋体" w:hAnsi="宋体" w:cs="宋体"/>
          <w:b/>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 xml:space="preserve">《中华人民共和国政府采购法实施条例》 </w:t>
      </w:r>
    </w:p>
    <w:p>
      <w:pPr>
        <w:spacing w:line="360" w:lineRule="auto"/>
        <w:ind w:firstLine="482" w:firstLineChars="200"/>
        <w:jc w:val="left"/>
        <w:rPr>
          <w:rFonts w:ascii="宋体" w:hAnsi="宋体" w:cs="宋体"/>
          <w:color w:val="000000" w:themeColor="text1"/>
          <w:sz w:val="24"/>
          <w14:textFill>
            <w14:solidFill>
              <w14:schemeClr w14:val="tx1"/>
            </w14:solidFill>
          </w14:textFill>
        </w:rPr>
      </w:pPr>
      <w:bookmarkStart w:id="4" w:name="_Toc10451"/>
      <w:r>
        <w:rPr>
          <w:rFonts w:hint="eastAsia" w:ascii="宋体" w:hAnsi="宋体" w:cs="宋体"/>
          <w:b/>
          <w:bCs/>
          <w:color w:val="000000" w:themeColor="text1"/>
          <w:sz w:val="24"/>
          <w14:textFill>
            <w14:solidFill>
              <w14:schemeClr w14:val="tx1"/>
            </w14:solidFill>
          </w14:textFill>
        </w:rPr>
        <w:t>第十八条</w:t>
      </w:r>
      <w:r>
        <w:rPr>
          <w:rFonts w:hint="eastAsia" w:ascii="宋体" w:hAnsi="宋体" w:cs="宋体"/>
          <w:color w:val="000000" w:themeColor="text1"/>
          <w:sz w:val="24"/>
          <w14:textFill>
            <w14:solidFill>
              <w14:schemeClr w14:val="tx1"/>
            </w14:solidFill>
          </w14:textFill>
        </w:rPr>
        <w:t xml:space="preserve"> 单位负责人为同一人或者存在直接控股、管理关系的不同供应商，不得参加同一合同项下的政府采购活动。</w:t>
      </w:r>
      <w:bookmarkEnd w:id="4"/>
    </w:p>
    <w:p>
      <w:pPr>
        <w:spacing w:line="360" w:lineRule="auto"/>
        <w:ind w:firstLine="480" w:firstLineChars="200"/>
        <w:jc w:val="left"/>
        <w:rPr>
          <w:rFonts w:ascii="宋体" w:hAnsi="宋体" w:cs="宋体"/>
          <w:color w:val="000000" w:themeColor="text1"/>
          <w14:textFill>
            <w14:solidFill>
              <w14:schemeClr w14:val="tx1"/>
            </w14:solidFill>
          </w14:textFill>
        </w:rPr>
      </w:pPr>
      <w:bookmarkStart w:id="5" w:name="_Toc4495"/>
      <w:r>
        <w:rPr>
          <w:rFonts w:hint="eastAsia" w:ascii="宋体" w:hAnsi="宋体" w:cs="宋体"/>
          <w:color w:val="000000" w:themeColor="text1"/>
          <w:sz w:val="24"/>
          <w14:textFill>
            <w14:solidFill>
              <w14:schemeClr w14:val="tx1"/>
            </w14:solidFill>
          </w14:textFill>
        </w:rPr>
        <w:t>除单一来源采购项目外，为采购项目提供整体设计、规范编制或者项目管理、监 理、检测等服务的供应商，不得再参加该采购项目的其他采购活动。</w:t>
      </w:r>
      <w:bookmarkEnd w:id="5"/>
    </w:p>
    <w:p>
      <w:pPr>
        <w:autoSpaceDE w:val="0"/>
        <w:autoSpaceDN w:val="0"/>
        <w:adjustRightInd w:val="0"/>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 xml:space="preserve">《深圳市财政局关于采购文件增加风险告知有关事项的通知》 </w:t>
      </w:r>
    </w:p>
    <w:p>
      <w:pPr>
        <w:pStyle w:val="8"/>
        <w:tabs>
          <w:tab w:val="left" w:pos="562"/>
          <w:tab w:val="left" w:pos="3372"/>
          <w:tab w:val="left" w:pos="3653"/>
        </w:tabs>
        <w:spacing w:line="360" w:lineRule="auto"/>
        <w:ind w:firstLine="48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各投标供应商应按要求提交《政府采购违法行为风险知悉确认书》（详见第七章 附件（投标文件格式）《政府采购违法行为风险知悉确认书》）。该文件由负责人或投标授权代表签字并加盖单位公章后，与投标文件一并提交。需要注意的是，该风险知悉确认书用于对供应商违法行为的警示，不作为供应商资格性审查及符合性审查条件。</w:t>
      </w:r>
    </w:p>
    <w:p>
      <w:pPr>
        <w:autoSpaceDE w:val="0"/>
        <w:autoSpaceDN w:val="0"/>
        <w:adjustRightInd w:val="0"/>
        <w:spacing w:line="360" w:lineRule="auto"/>
        <w:jc w:val="center"/>
        <w:rPr>
          <w:rFonts w:ascii="宋体" w:hAnsi="宋体" w:cs="宋体"/>
          <w:b/>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《关于在相关自由贸易试验区和自由贸易港开展推动解决政府采购异常低价问题试点工作的通知》</w:t>
      </w:r>
    </w:p>
    <w:p>
      <w:pPr>
        <w:pStyle w:val="8"/>
        <w:tabs>
          <w:tab w:val="left" w:pos="562"/>
          <w:tab w:val="left" w:pos="3372"/>
          <w:tab w:val="left" w:pos="3653"/>
        </w:tabs>
        <w:spacing w:line="360" w:lineRule="auto"/>
        <w:ind w:firstLine="482" w:firstLineChars="200"/>
        <w:rPr>
          <w:rFonts w:ascii="宋体" w:hAnsi="宋体" w:cs="宋体"/>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强化政府采购异常低价审查：</w:t>
      </w:r>
    </w:p>
    <w:p>
      <w:pPr>
        <w:pStyle w:val="8"/>
        <w:tabs>
          <w:tab w:val="left" w:pos="562"/>
          <w:tab w:val="left" w:pos="3372"/>
          <w:tab w:val="left" w:pos="3653"/>
        </w:tabs>
        <w:spacing w:line="360" w:lineRule="auto"/>
        <w:ind w:firstLine="48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试点地区采购人应当在采购文件中明确异常低价投标（响应）审查的有关内容，主要包括：</w:t>
      </w:r>
    </w:p>
    <w:p>
      <w:pPr>
        <w:pStyle w:val="8"/>
        <w:tabs>
          <w:tab w:val="left" w:pos="562"/>
          <w:tab w:val="left" w:pos="3372"/>
          <w:tab w:val="left" w:pos="3653"/>
        </w:tabs>
        <w:spacing w:line="360" w:lineRule="auto"/>
        <w:ind w:firstLine="48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政府采购评审中出现下列情形之一的，评审委员会应当启动异常低价投标（响应）审查程序：（一）投标（响应）报价低于全部通过符合性审查供应商投标（响应）报价平均值50%的，即投标（响应）报价&lt;全部通过符合性审查供应商投标（响应）报价平均值×50%；（二）投标（响应）报价低于通过符合性审查且报价次低供应商投标（响应）报价50%的，即投标（响应）报价&lt;通过符合性审查且报价次低供应商投标（响应）报价×50%；（三）投标（响应）报价低于采购项目最高限价45%的，即投标（响应）报价&lt;采购项目最高限价×45%；（四）其他评审委员会认为供应商报价过低，有可能影响产品质量或者不能诚信履约的情形。</w:t>
      </w:r>
    </w:p>
    <w:p>
      <w:pPr>
        <w:pStyle w:val="8"/>
        <w:tabs>
          <w:tab w:val="left" w:pos="562"/>
          <w:tab w:val="left" w:pos="3372"/>
          <w:tab w:val="left" w:pos="3653"/>
        </w:tabs>
        <w:spacing w:line="360" w:lineRule="auto"/>
        <w:ind w:firstLine="48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评审委员会启动异常低价投标（响应）审查后，应当要求相关供应商在评审现场合理的时间内提供书面说明及必要的证明材料，对投标（响应）价格作出解释。书面说明、证明材料主要是项目具体成本测算等与报价合理性相关的说明、材料。</w:t>
      </w:r>
    </w:p>
    <w:p>
      <w:pPr>
        <w:pStyle w:val="8"/>
        <w:tabs>
          <w:tab w:val="left" w:pos="562"/>
          <w:tab w:val="left" w:pos="3372"/>
          <w:tab w:val="left" w:pos="3653"/>
        </w:tabs>
        <w:spacing w:line="360" w:lineRule="auto"/>
        <w:ind w:firstLine="48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评审委员会应当结合同类产品在主要电商平台的价格、该行业当地薪资水平等情况，依据专业经验对报价合理性进行判断。如果投标（响应）供应商不提供书面说明、证明材料，或者提供的书面说明、证明材料不能证明其报价合理性的，应当将其作为无效投标（响应）处理。审查相关情况应当在评审报告中记录。</w:t>
      </w:r>
    </w:p>
    <w:p>
      <w:pPr>
        <w:jc w:val="center"/>
        <w:outlineLvl w:val="0"/>
        <w:rPr>
          <w:rFonts w:ascii="宋体" w:hAnsi="宋体" w:cs="宋体"/>
          <w:b/>
          <w:bCs/>
          <w:color w:val="000000" w:themeColor="text1"/>
          <w:sz w:val="36"/>
          <w:szCs w:val="36"/>
          <w:lang w:val="zh-CN"/>
          <w14:textFill>
            <w14:solidFill>
              <w14:schemeClr w14:val="tx1"/>
            </w14:solidFill>
          </w14:textFill>
        </w:rPr>
      </w:pPr>
      <w:bookmarkStart w:id="6" w:name="_Toc20808"/>
      <w:r>
        <w:rPr>
          <w:rFonts w:hint="eastAsia" w:ascii="宋体" w:hAnsi="宋体" w:cs="宋体"/>
          <w:b/>
          <w:bCs/>
          <w:color w:val="000000" w:themeColor="text1"/>
          <w:sz w:val="36"/>
          <w:szCs w:val="36"/>
          <w:lang w:val="zh-CN"/>
          <w14:textFill>
            <w14:solidFill>
              <w14:schemeClr w14:val="tx1"/>
            </w14:solidFill>
          </w14:textFill>
        </w:rPr>
        <w:t>目录</w:t>
      </w:r>
      <w:bookmarkEnd w:id="0"/>
      <w:bookmarkEnd w:id="6"/>
    </w:p>
    <w:p>
      <w:pPr>
        <w:pStyle w:val="14"/>
        <w:tabs>
          <w:tab w:val="right" w:leader="dot" w:pos="8306"/>
        </w:tabs>
        <w:spacing w:line="480" w:lineRule="auto"/>
        <w:rPr>
          <w:b/>
          <w:bCs/>
          <w:color w:val="000000" w:themeColor="text1"/>
          <w:sz w:val="24"/>
          <w:szCs w:val="32"/>
          <w14:textFill>
            <w14:solidFill>
              <w14:schemeClr w14:val="tx1"/>
            </w14:solidFill>
          </w14:textFill>
        </w:rPr>
      </w:pPr>
    </w:p>
    <w:p>
      <w:pPr>
        <w:pStyle w:val="14"/>
        <w:tabs>
          <w:tab w:val="right" w:leader="dot" w:pos="8306"/>
        </w:tabs>
        <w:spacing w:line="360" w:lineRule="auto"/>
        <w:rPr>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fldChar w:fldCharType="begin"/>
      </w:r>
      <w:r>
        <w:rPr>
          <w:rFonts w:hint="eastAsia" w:ascii="宋体" w:hAnsi="宋体" w:cs="宋体"/>
          <w:b/>
          <w:bCs/>
          <w:color w:val="000000" w:themeColor="text1"/>
          <w:sz w:val="24"/>
          <w14:textFill>
            <w14:solidFill>
              <w14:schemeClr w14:val="tx1"/>
            </w14:solidFill>
          </w14:textFill>
        </w:rPr>
        <w:instrText xml:space="preserve">TOC \o "1-1" \h \u </w:instrText>
      </w:r>
      <w:r>
        <w:rPr>
          <w:rFonts w:hint="eastAsia" w:ascii="宋体" w:hAnsi="宋体" w:cs="宋体"/>
          <w:b/>
          <w:bCs/>
          <w:color w:val="000000" w:themeColor="text1"/>
          <w:sz w:val="24"/>
          <w14:textFill>
            <w14:solidFill>
              <w14:schemeClr w14:val="tx1"/>
            </w14:solidFill>
          </w14:textFill>
        </w:rPr>
        <w:fldChar w:fldCharType="separate"/>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"_Toc17273" </w:instrText>
      </w:r>
      <w:r>
        <w:rPr>
          <w:color w:val="000000" w:themeColor="text1"/>
          <w14:textFill>
            <w14:solidFill>
              <w14:schemeClr w14:val="tx1"/>
            </w14:solidFill>
          </w14:textFill>
        </w:rPr>
        <w:fldChar w:fldCharType="separate"/>
      </w:r>
      <w:r>
        <w:rPr>
          <w:rFonts w:hint="eastAsia" w:ascii="宋体" w:hAnsi="宋体" w:cs="宋体"/>
          <w:b/>
          <w:bCs/>
          <w:color w:val="000000" w:themeColor="text1"/>
          <w:sz w:val="24"/>
          <w14:textFill>
            <w14:solidFill>
              <w14:schemeClr w14:val="tx1"/>
            </w14:solidFill>
          </w14:textFill>
        </w:rPr>
        <w:t>第一章 招标邀请书（招标公告）</w:t>
      </w:r>
      <w:r>
        <w:rPr>
          <w:b/>
          <w:bCs/>
          <w:color w:val="000000" w:themeColor="text1"/>
          <w:sz w:val="24"/>
          <w14:textFill>
            <w14:solidFill>
              <w14:schemeClr w14:val="tx1"/>
            </w14:solidFill>
          </w14:textFill>
        </w:rPr>
        <w:tab/>
      </w:r>
      <w:r>
        <w:rPr>
          <w:b/>
          <w:bCs/>
          <w:color w:val="000000" w:themeColor="text1"/>
          <w:sz w:val="24"/>
          <w14:textFill>
            <w14:solidFill>
              <w14:schemeClr w14:val="tx1"/>
            </w14:solidFill>
          </w14:textFill>
        </w:rPr>
        <w:fldChar w:fldCharType="begin"/>
      </w:r>
      <w:r>
        <w:rPr>
          <w:b/>
          <w:bCs/>
          <w:color w:val="000000" w:themeColor="text1"/>
          <w:sz w:val="24"/>
          <w14:textFill>
            <w14:solidFill>
              <w14:schemeClr w14:val="tx1"/>
            </w14:solidFill>
          </w14:textFill>
        </w:rPr>
        <w:instrText xml:space="preserve"> PAGEREF _Toc17273 \h </w:instrText>
      </w:r>
      <w:r>
        <w:rPr>
          <w:b/>
          <w:bCs/>
          <w:color w:val="000000" w:themeColor="text1"/>
          <w:sz w:val="24"/>
          <w14:textFill>
            <w14:solidFill>
              <w14:schemeClr w14:val="tx1"/>
            </w14:solidFill>
          </w14:textFill>
        </w:rPr>
        <w:fldChar w:fldCharType="separate"/>
      </w:r>
      <w:r>
        <w:rPr>
          <w:b/>
          <w:bCs/>
          <w:color w:val="000000" w:themeColor="text1"/>
          <w:sz w:val="24"/>
          <w14:textFill>
            <w14:solidFill>
              <w14:schemeClr w14:val="tx1"/>
            </w14:solidFill>
          </w14:textFill>
        </w:rPr>
        <w:t>6</w:t>
      </w:r>
      <w:r>
        <w:rPr>
          <w:b/>
          <w:bCs/>
          <w:color w:val="000000" w:themeColor="text1"/>
          <w:sz w:val="24"/>
          <w14:textFill>
            <w14:solidFill>
              <w14:schemeClr w14:val="tx1"/>
            </w14:solidFill>
          </w14:textFill>
        </w:rPr>
        <w:fldChar w:fldCharType="end"/>
      </w:r>
      <w:r>
        <w:rPr>
          <w:b/>
          <w:bCs/>
          <w:color w:val="000000" w:themeColor="text1"/>
          <w:sz w:val="24"/>
          <w14:textFill>
            <w14:solidFill>
              <w14:schemeClr w14:val="tx1"/>
            </w14:solidFill>
          </w14:textFill>
        </w:rPr>
        <w:fldChar w:fldCharType="end"/>
      </w:r>
    </w:p>
    <w:p>
      <w:pPr>
        <w:pStyle w:val="14"/>
        <w:tabs>
          <w:tab w:val="right" w:leader="dot" w:pos="8306"/>
        </w:tabs>
        <w:spacing w:line="360" w:lineRule="auto"/>
        <w:rPr>
          <w:b/>
          <w:bCs/>
          <w:color w:val="000000" w:themeColor="text1"/>
          <w:sz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"_Toc10214" </w:instrText>
      </w:r>
      <w:r>
        <w:rPr>
          <w:color w:val="000000" w:themeColor="text1"/>
          <w14:textFill>
            <w14:solidFill>
              <w14:schemeClr w14:val="tx1"/>
            </w14:solidFill>
          </w14:textFill>
        </w:rPr>
        <w:fldChar w:fldCharType="separate"/>
      </w:r>
      <w:r>
        <w:rPr>
          <w:rFonts w:hint="eastAsia" w:ascii="宋体" w:hAnsi="宋体" w:cs="宋体"/>
          <w:b/>
          <w:bCs/>
          <w:color w:val="000000" w:themeColor="text1"/>
          <w:sz w:val="24"/>
          <w14:textFill>
            <w14:solidFill>
              <w14:schemeClr w14:val="tx1"/>
            </w14:solidFill>
          </w14:textFill>
        </w:rPr>
        <w:t>第二章 投标须知</w:t>
      </w:r>
      <w:r>
        <w:rPr>
          <w:b/>
          <w:bCs/>
          <w:color w:val="000000" w:themeColor="text1"/>
          <w:sz w:val="24"/>
          <w14:textFill>
            <w14:solidFill>
              <w14:schemeClr w14:val="tx1"/>
            </w14:solidFill>
          </w14:textFill>
        </w:rPr>
        <w:tab/>
      </w:r>
      <w:r>
        <w:rPr>
          <w:b/>
          <w:bCs/>
          <w:color w:val="000000" w:themeColor="text1"/>
          <w:sz w:val="24"/>
          <w14:textFill>
            <w14:solidFill>
              <w14:schemeClr w14:val="tx1"/>
            </w14:solidFill>
          </w14:textFill>
        </w:rPr>
        <w:fldChar w:fldCharType="begin"/>
      </w:r>
      <w:r>
        <w:rPr>
          <w:b/>
          <w:bCs/>
          <w:color w:val="000000" w:themeColor="text1"/>
          <w:sz w:val="24"/>
          <w14:textFill>
            <w14:solidFill>
              <w14:schemeClr w14:val="tx1"/>
            </w14:solidFill>
          </w14:textFill>
        </w:rPr>
        <w:instrText xml:space="preserve"> PAGEREF _Toc10214 \h </w:instrText>
      </w:r>
      <w:r>
        <w:rPr>
          <w:b/>
          <w:bCs/>
          <w:color w:val="000000" w:themeColor="text1"/>
          <w:sz w:val="24"/>
          <w14:textFill>
            <w14:solidFill>
              <w14:schemeClr w14:val="tx1"/>
            </w14:solidFill>
          </w14:textFill>
        </w:rPr>
        <w:fldChar w:fldCharType="separate"/>
      </w:r>
      <w:r>
        <w:rPr>
          <w:b/>
          <w:bCs/>
          <w:color w:val="000000" w:themeColor="text1"/>
          <w:sz w:val="24"/>
          <w14:textFill>
            <w14:solidFill>
              <w14:schemeClr w14:val="tx1"/>
            </w14:solidFill>
          </w14:textFill>
        </w:rPr>
        <w:t>10</w:t>
      </w:r>
      <w:r>
        <w:rPr>
          <w:b/>
          <w:bCs/>
          <w:color w:val="000000" w:themeColor="text1"/>
          <w:sz w:val="24"/>
          <w14:textFill>
            <w14:solidFill>
              <w14:schemeClr w14:val="tx1"/>
            </w14:solidFill>
          </w14:textFill>
        </w:rPr>
        <w:fldChar w:fldCharType="end"/>
      </w:r>
      <w:r>
        <w:rPr>
          <w:b/>
          <w:bCs/>
          <w:color w:val="000000" w:themeColor="text1"/>
          <w:sz w:val="24"/>
          <w14:textFill>
            <w14:solidFill>
              <w14:schemeClr w14:val="tx1"/>
            </w14:solidFill>
          </w14:textFill>
        </w:rPr>
        <w:fldChar w:fldCharType="end"/>
      </w:r>
    </w:p>
    <w:p>
      <w:pPr>
        <w:pStyle w:val="14"/>
        <w:tabs>
          <w:tab w:val="right" w:leader="dot" w:pos="8306"/>
        </w:tabs>
        <w:spacing w:line="360" w:lineRule="auto"/>
        <w:rPr>
          <w:b/>
          <w:bCs/>
          <w:color w:val="000000" w:themeColor="text1"/>
          <w:sz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"_Toc20176" </w:instrText>
      </w:r>
      <w:r>
        <w:rPr>
          <w:color w:val="000000" w:themeColor="text1"/>
          <w14:textFill>
            <w14:solidFill>
              <w14:schemeClr w14:val="tx1"/>
            </w14:solidFill>
          </w14:textFill>
        </w:rPr>
        <w:fldChar w:fldCharType="separate"/>
      </w:r>
      <w:r>
        <w:rPr>
          <w:rFonts w:hint="eastAsia" w:ascii="宋体" w:hAnsi="宋体" w:cs="宋体"/>
          <w:b/>
          <w:bCs/>
          <w:color w:val="000000" w:themeColor="text1"/>
          <w:sz w:val="24"/>
          <w14:textFill>
            <w14:solidFill>
              <w14:schemeClr w14:val="tx1"/>
            </w14:solidFill>
          </w14:textFill>
        </w:rPr>
        <w:t>第三章 评标程序</w:t>
      </w:r>
      <w:r>
        <w:rPr>
          <w:b/>
          <w:bCs/>
          <w:color w:val="000000" w:themeColor="text1"/>
          <w:sz w:val="24"/>
          <w14:textFill>
            <w14:solidFill>
              <w14:schemeClr w14:val="tx1"/>
            </w14:solidFill>
          </w14:textFill>
        </w:rPr>
        <w:tab/>
      </w:r>
      <w:r>
        <w:rPr>
          <w:b/>
          <w:bCs/>
          <w:color w:val="000000" w:themeColor="text1"/>
          <w:sz w:val="24"/>
          <w14:textFill>
            <w14:solidFill>
              <w14:schemeClr w14:val="tx1"/>
            </w14:solidFill>
          </w14:textFill>
        </w:rPr>
        <w:fldChar w:fldCharType="begin"/>
      </w:r>
      <w:r>
        <w:rPr>
          <w:b/>
          <w:bCs/>
          <w:color w:val="000000" w:themeColor="text1"/>
          <w:sz w:val="24"/>
          <w14:textFill>
            <w14:solidFill>
              <w14:schemeClr w14:val="tx1"/>
            </w14:solidFill>
          </w14:textFill>
        </w:rPr>
        <w:instrText xml:space="preserve"> PAGEREF _Toc20176 \h </w:instrText>
      </w:r>
      <w:r>
        <w:rPr>
          <w:b/>
          <w:bCs/>
          <w:color w:val="000000" w:themeColor="text1"/>
          <w:sz w:val="24"/>
          <w14:textFill>
            <w14:solidFill>
              <w14:schemeClr w14:val="tx1"/>
            </w14:solidFill>
          </w14:textFill>
        </w:rPr>
        <w:fldChar w:fldCharType="separate"/>
      </w:r>
      <w:r>
        <w:rPr>
          <w:b/>
          <w:bCs/>
          <w:color w:val="000000" w:themeColor="text1"/>
          <w:sz w:val="24"/>
          <w14:textFill>
            <w14:solidFill>
              <w14:schemeClr w14:val="tx1"/>
            </w14:solidFill>
          </w14:textFill>
        </w:rPr>
        <w:t>13</w:t>
      </w:r>
      <w:r>
        <w:rPr>
          <w:b/>
          <w:bCs/>
          <w:color w:val="000000" w:themeColor="text1"/>
          <w:sz w:val="24"/>
          <w14:textFill>
            <w14:solidFill>
              <w14:schemeClr w14:val="tx1"/>
            </w14:solidFill>
          </w14:textFill>
        </w:rPr>
        <w:fldChar w:fldCharType="end"/>
      </w:r>
      <w:r>
        <w:rPr>
          <w:b/>
          <w:bCs/>
          <w:color w:val="000000" w:themeColor="text1"/>
          <w:sz w:val="24"/>
          <w14:textFill>
            <w14:solidFill>
              <w14:schemeClr w14:val="tx1"/>
            </w14:solidFill>
          </w14:textFill>
        </w:rPr>
        <w:fldChar w:fldCharType="end"/>
      </w:r>
    </w:p>
    <w:p>
      <w:pPr>
        <w:pStyle w:val="14"/>
        <w:tabs>
          <w:tab w:val="right" w:leader="dot" w:pos="8306"/>
        </w:tabs>
        <w:spacing w:line="360" w:lineRule="auto"/>
        <w:rPr>
          <w:b/>
          <w:bCs/>
          <w:color w:val="000000" w:themeColor="text1"/>
          <w:sz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"_Toc3567" </w:instrText>
      </w:r>
      <w:r>
        <w:rPr>
          <w:color w:val="000000" w:themeColor="text1"/>
          <w14:textFill>
            <w14:solidFill>
              <w14:schemeClr w14:val="tx1"/>
            </w14:solidFill>
          </w14:textFill>
        </w:rPr>
        <w:fldChar w:fldCharType="separate"/>
      </w:r>
      <w:r>
        <w:rPr>
          <w:rFonts w:hint="eastAsia" w:ascii="宋体" w:hAnsi="宋体" w:cs="宋体"/>
          <w:b/>
          <w:bCs/>
          <w:color w:val="000000" w:themeColor="text1"/>
          <w:sz w:val="24"/>
          <w14:textFill>
            <w14:solidFill>
              <w14:schemeClr w14:val="tx1"/>
            </w14:solidFill>
          </w14:textFill>
        </w:rPr>
        <w:t>第四章 合同格式及合同条款</w:t>
      </w:r>
      <w:r>
        <w:rPr>
          <w:b/>
          <w:bCs/>
          <w:color w:val="000000" w:themeColor="text1"/>
          <w:sz w:val="24"/>
          <w14:textFill>
            <w14:solidFill>
              <w14:schemeClr w14:val="tx1"/>
            </w14:solidFill>
          </w14:textFill>
        </w:rPr>
        <w:tab/>
      </w:r>
      <w:r>
        <w:rPr>
          <w:b/>
          <w:bCs/>
          <w:color w:val="000000" w:themeColor="text1"/>
          <w:sz w:val="24"/>
          <w14:textFill>
            <w14:solidFill>
              <w14:schemeClr w14:val="tx1"/>
            </w14:solidFill>
          </w14:textFill>
        </w:rPr>
        <w:fldChar w:fldCharType="begin"/>
      </w:r>
      <w:r>
        <w:rPr>
          <w:b/>
          <w:bCs/>
          <w:color w:val="000000" w:themeColor="text1"/>
          <w:sz w:val="24"/>
          <w14:textFill>
            <w14:solidFill>
              <w14:schemeClr w14:val="tx1"/>
            </w14:solidFill>
          </w14:textFill>
        </w:rPr>
        <w:instrText xml:space="preserve"> PAGEREF _Toc3567 \h </w:instrText>
      </w:r>
      <w:r>
        <w:rPr>
          <w:b/>
          <w:bCs/>
          <w:color w:val="000000" w:themeColor="text1"/>
          <w:sz w:val="24"/>
          <w14:textFill>
            <w14:solidFill>
              <w14:schemeClr w14:val="tx1"/>
            </w14:solidFill>
          </w14:textFill>
        </w:rPr>
        <w:fldChar w:fldCharType="separate"/>
      </w:r>
      <w:r>
        <w:rPr>
          <w:b/>
          <w:bCs/>
          <w:color w:val="000000" w:themeColor="text1"/>
          <w:sz w:val="24"/>
          <w14:textFill>
            <w14:solidFill>
              <w14:schemeClr w14:val="tx1"/>
            </w14:solidFill>
          </w14:textFill>
        </w:rPr>
        <w:t>15</w:t>
      </w:r>
      <w:r>
        <w:rPr>
          <w:b/>
          <w:bCs/>
          <w:color w:val="000000" w:themeColor="text1"/>
          <w:sz w:val="24"/>
          <w14:textFill>
            <w14:solidFill>
              <w14:schemeClr w14:val="tx1"/>
            </w14:solidFill>
          </w14:textFill>
        </w:rPr>
        <w:fldChar w:fldCharType="end"/>
      </w:r>
      <w:r>
        <w:rPr>
          <w:b/>
          <w:bCs/>
          <w:color w:val="000000" w:themeColor="text1"/>
          <w:sz w:val="24"/>
          <w14:textFill>
            <w14:solidFill>
              <w14:schemeClr w14:val="tx1"/>
            </w14:solidFill>
          </w14:textFill>
        </w:rPr>
        <w:fldChar w:fldCharType="end"/>
      </w:r>
    </w:p>
    <w:p>
      <w:pPr>
        <w:pStyle w:val="14"/>
        <w:tabs>
          <w:tab w:val="right" w:leader="dot" w:pos="8306"/>
        </w:tabs>
        <w:spacing w:line="360" w:lineRule="auto"/>
        <w:rPr>
          <w:b/>
          <w:bCs/>
          <w:color w:val="000000" w:themeColor="text1"/>
          <w:sz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"_Toc25518" </w:instrText>
      </w:r>
      <w:r>
        <w:rPr>
          <w:color w:val="000000" w:themeColor="text1"/>
          <w14:textFill>
            <w14:solidFill>
              <w14:schemeClr w14:val="tx1"/>
            </w14:solidFill>
          </w14:textFill>
        </w:rPr>
        <w:fldChar w:fldCharType="separate"/>
      </w:r>
      <w:r>
        <w:rPr>
          <w:rFonts w:hint="eastAsia" w:ascii="宋体" w:hAnsi="宋体" w:cs="宋体"/>
          <w:b/>
          <w:bCs/>
          <w:color w:val="000000" w:themeColor="text1"/>
          <w:sz w:val="24"/>
          <w14:textFill>
            <w14:solidFill>
              <w14:schemeClr w14:val="tx1"/>
            </w14:solidFill>
          </w14:textFill>
        </w:rPr>
        <w:t>第五章 用户需求书</w:t>
      </w:r>
      <w:r>
        <w:rPr>
          <w:b/>
          <w:bCs/>
          <w:color w:val="000000" w:themeColor="text1"/>
          <w:sz w:val="24"/>
          <w14:textFill>
            <w14:solidFill>
              <w14:schemeClr w14:val="tx1"/>
            </w14:solidFill>
          </w14:textFill>
        </w:rPr>
        <w:tab/>
      </w:r>
      <w:r>
        <w:rPr>
          <w:b/>
          <w:bCs/>
          <w:color w:val="000000" w:themeColor="text1"/>
          <w:sz w:val="24"/>
          <w14:textFill>
            <w14:solidFill>
              <w14:schemeClr w14:val="tx1"/>
            </w14:solidFill>
          </w14:textFill>
        </w:rPr>
        <w:fldChar w:fldCharType="end"/>
      </w:r>
      <w:r>
        <w:rPr>
          <w:rFonts w:hint="eastAsia"/>
          <w:b/>
          <w:bCs/>
          <w:color w:val="000000" w:themeColor="text1"/>
          <w:sz w:val="24"/>
          <w14:textFill>
            <w14:solidFill>
              <w14:schemeClr w14:val="tx1"/>
            </w14:solidFill>
          </w14:textFill>
        </w:rPr>
        <w:t>26</w:t>
      </w:r>
    </w:p>
    <w:p>
      <w:pPr>
        <w:pStyle w:val="14"/>
        <w:tabs>
          <w:tab w:val="right" w:leader="dot" w:pos="8306"/>
        </w:tabs>
        <w:spacing w:line="360" w:lineRule="auto"/>
        <w:rPr>
          <w:b/>
          <w:bCs/>
          <w:color w:val="000000" w:themeColor="text1"/>
          <w:sz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"_Toc23822" </w:instrText>
      </w:r>
      <w:r>
        <w:rPr>
          <w:color w:val="000000" w:themeColor="text1"/>
          <w14:textFill>
            <w14:solidFill>
              <w14:schemeClr w14:val="tx1"/>
            </w14:solidFill>
          </w14:textFill>
        </w:rPr>
        <w:fldChar w:fldCharType="separate"/>
      </w:r>
      <w:r>
        <w:rPr>
          <w:rFonts w:hint="eastAsia" w:ascii="宋体" w:cs="宋体"/>
          <w:b/>
          <w:bCs/>
          <w:color w:val="000000" w:themeColor="text1"/>
          <w:sz w:val="24"/>
          <w14:textFill>
            <w14:solidFill>
              <w14:schemeClr w14:val="tx1"/>
            </w14:solidFill>
          </w14:textFill>
        </w:rPr>
        <w:t>第六章 投标文件初审及招标项目评分表</w:t>
      </w:r>
      <w:r>
        <w:rPr>
          <w:b/>
          <w:bCs/>
          <w:color w:val="000000" w:themeColor="text1"/>
          <w:sz w:val="24"/>
          <w14:textFill>
            <w14:solidFill>
              <w14:schemeClr w14:val="tx1"/>
            </w14:solidFill>
          </w14:textFill>
        </w:rPr>
        <w:tab/>
      </w:r>
      <w:r>
        <w:rPr>
          <w:b/>
          <w:bCs/>
          <w:color w:val="000000" w:themeColor="text1"/>
          <w:sz w:val="24"/>
          <w14:textFill>
            <w14:solidFill>
              <w14:schemeClr w14:val="tx1"/>
            </w14:solidFill>
          </w14:textFill>
        </w:rPr>
        <w:fldChar w:fldCharType="end"/>
      </w:r>
      <w:r>
        <w:rPr>
          <w:rFonts w:hint="eastAsia"/>
          <w:b/>
          <w:bCs/>
          <w:color w:val="000000" w:themeColor="text1"/>
          <w:sz w:val="24"/>
          <w14:textFill>
            <w14:solidFill>
              <w14:schemeClr w14:val="tx1"/>
            </w14:solidFill>
          </w14:textFill>
        </w:rPr>
        <w:t>32</w:t>
      </w:r>
    </w:p>
    <w:p>
      <w:pPr>
        <w:pStyle w:val="14"/>
        <w:tabs>
          <w:tab w:val="right" w:leader="dot" w:pos="8306"/>
        </w:tabs>
        <w:spacing w:line="360" w:lineRule="auto"/>
        <w:rPr>
          <w:b/>
          <w:bCs/>
          <w:color w:val="000000" w:themeColor="text1"/>
          <w:sz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"_Toc9548" </w:instrText>
      </w:r>
      <w:r>
        <w:rPr>
          <w:color w:val="000000" w:themeColor="text1"/>
          <w14:textFill>
            <w14:solidFill>
              <w14:schemeClr w14:val="tx1"/>
            </w14:solidFill>
          </w14:textFill>
        </w:rPr>
        <w:fldChar w:fldCharType="separate"/>
      </w:r>
      <w:r>
        <w:rPr>
          <w:rFonts w:hint="eastAsia" w:ascii="宋体" w:hAnsi="宋体" w:cs="宋体"/>
          <w:b/>
          <w:bCs/>
          <w:color w:val="000000" w:themeColor="text1"/>
          <w:sz w:val="24"/>
          <w14:textFill>
            <w14:solidFill>
              <w14:schemeClr w14:val="tx1"/>
            </w14:solidFill>
          </w14:textFill>
        </w:rPr>
        <w:t>第七章 附件（投标文件格式）</w:t>
      </w:r>
      <w:r>
        <w:rPr>
          <w:b/>
          <w:bCs/>
          <w:color w:val="000000" w:themeColor="text1"/>
          <w:sz w:val="24"/>
          <w14:textFill>
            <w14:solidFill>
              <w14:schemeClr w14:val="tx1"/>
            </w14:solidFill>
          </w14:textFill>
        </w:rPr>
        <w:tab/>
      </w:r>
      <w:r>
        <w:rPr>
          <w:b/>
          <w:bCs/>
          <w:color w:val="000000" w:themeColor="text1"/>
          <w:sz w:val="24"/>
          <w14:textFill>
            <w14:solidFill>
              <w14:schemeClr w14:val="tx1"/>
            </w14:solidFill>
          </w14:textFill>
        </w:rPr>
        <w:fldChar w:fldCharType="end"/>
      </w:r>
      <w:r>
        <w:rPr>
          <w:rFonts w:hint="eastAsia"/>
          <w:b/>
          <w:bCs/>
          <w:color w:val="000000" w:themeColor="text1"/>
          <w:sz w:val="24"/>
          <w14:textFill>
            <w14:solidFill>
              <w14:schemeClr w14:val="tx1"/>
            </w14:solidFill>
          </w14:textFill>
        </w:rPr>
        <w:t>38</w:t>
      </w:r>
    </w:p>
    <w:p>
      <w:pPr>
        <w:pStyle w:val="14"/>
        <w:tabs>
          <w:tab w:val="right" w:leader="dot" w:pos="8306"/>
        </w:tabs>
        <w:spacing w:line="360" w:lineRule="auto"/>
        <w:rPr>
          <w:b/>
          <w:bCs/>
          <w:color w:val="000000" w:themeColor="text1"/>
          <w:sz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"_Toc742" </w:instrText>
      </w:r>
      <w:r>
        <w:rPr>
          <w:color w:val="000000" w:themeColor="text1"/>
          <w14:textFill>
            <w14:solidFill>
              <w14:schemeClr w14:val="tx1"/>
            </w14:solidFill>
          </w14:textFill>
        </w:rPr>
        <w:fldChar w:fldCharType="separate"/>
      </w:r>
      <w:r>
        <w:rPr>
          <w:rFonts w:hint="eastAsia" w:ascii="宋体" w:hAnsi="宋体" w:cs="宋体"/>
          <w:b/>
          <w:bCs/>
          <w:color w:val="000000" w:themeColor="text1"/>
          <w:sz w:val="24"/>
          <w14:textFill>
            <w14:solidFill>
              <w14:schemeClr w14:val="tx1"/>
            </w14:solidFill>
          </w14:textFill>
        </w:rPr>
        <w:t>附件：相关政策</w:t>
      </w:r>
      <w:r>
        <w:rPr>
          <w:b/>
          <w:bCs/>
          <w:color w:val="000000" w:themeColor="text1"/>
          <w:sz w:val="24"/>
          <w14:textFill>
            <w14:solidFill>
              <w14:schemeClr w14:val="tx1"/>
            </w14:solidFill>
          </w14:textFill>
        </w:rPr>
        <w:tab/>
      </w:r>
      <w:r>
        <w:rPr>
          <w:b/>
          <w:bCs/>
          <w:color w:val="000000" w:themeColor="text1"/>
          <w:sz w:val="24"/>
          <w14:textFill>
            <w14:solidFill>
              <w14:schemeClr w14:val="tx1"/>
            </w14:solidFill>
          </w14:textFill>
        </w:rPr>
        <w:fldChar w:fldCharType="end"/>
      </w:r>
      <w:r>
        <w:rPr>
          <w:rFonts w:hint="eastAsia"/>
          <w:b/>
          <w:bCs/>
          <w:color w:val="000000" w:themeColor="text1"/>
          <w:sz w:val="24"/>
          <w14:textFill>
            <w14:solidFill>
              <w14:schemeClr w14:val="tx1"/>
            </w14:solidFill>
          </w14:textFill>
        </w:rPr>
        <w:t>57</w:t>
      </w:r>
    </w:p>
    <w:p>
      <w:pPr>
        <w:pStyle w:val="14"/>
        <w:tabs>
          <w:tab w:val="right" w:leader="dot" w:pos="8306"/>
        </w:tabs>
        <w:spacing w:line="360" w:lineRule="auto"/>
        <w:rPr>
          <w:rFonts w:ascii="宋体" w:hAnsi="宋体" w:cs="宋体"/>
          <w:b/>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fldChar w:fldCharType="end"/>
      </w:r>
    </w:p>
    <w:p>
      <w:pPr>
        <w:spacing w:line="360" w:lineRule="auto"/>
        <w:rPr>
          <w:color w:val="000000" w:themeColor="text1"/>
          <w14:textFill>
            <w14:solidFill>
              <w14:schemeClr w14:val="tx1"/>
            </w14:solidFill>
          </w14:textFill>
        </w:rPr>
      </w:pPr>
    </w:p>
    <w:p>
      <w:pPr>
        <w:numPr>
          <w:ilvl w:val="0"/>
          <w:numId w:val="1"/>
        </w:numPr>
        <w:spacing w:line="360" w:lineRule="auto"/>
        <w:jc w:val="center"/>
        <w:outlineLvl w:val="0"/>
        <w:rPr>
          <w:rFonts w:ascii="宋体" w:hAnsi="宋体" w:cs="宋体"/>
          <w:b/>
          <w:bCs/>
          <w:color w:val="000000" w:themeColor="text1"/>
          <w:sz w:val="24"/>
          <w14:textFill>
            <w14:solidFill>
              <w14:schemeClr w14:val="tx1"/>
            </w14:solidFill>
          </w14:textFill>
        </w:rPr>
      </w:pPr>
      <w:r>
        <w:rPr>
          <w:rFonts w:ascii="宋体"/>
          <w:b/>
          <w:bCs/>
          <w:color w:val="000000" w:themeColor="text1"/>
          <w:sz w:val="32"/>
          <w:szCs w:val="28"/>
          <w14:textFill>
            <w14:solidFill>
              <w14:schemeClr w14:val="tx1"/>
            </w14:solidFill>
          </w14:textFill>
        </w:rPr>
        <w:br w:type="page"/>
      </w:r>
      <w:r>
        <w:rPr>
          <w:rFonts w:hint="eastAsia" w:ascii="宋体"/>
          <w:b/>
          <w:bCs/>
          <w:color w:val="000000" w:themeColor="text1"/>
          <w:sz w:val="32"/>
          <w:szCs w:val="28"/>
          <w14:textFill>
            <w14:solidFill>
              <w14:schemeClr w14:val="tx1"/>
            </w14:solidFill>
          </w14:textFill>
        </w:rPr>
        <w:t xml:space="preserve"> </w:t>
      </w:r>
      <w:bookmarkStart w:id="7" w:name="_Toc17273"/>
      <w:r>
        <w:rPr>
          <w:rFonts w:hint="eastAsia" w:ascii="宋体" w:hAnsi="宋体" w:cs="宋体"/>
          <w:b/>
          <w:bCs/>
          <w:color w:val="000000" w:themeColor="text1"/>
          <w:sz w:val="24"/>
          <w14:textFill>
            <w14:solidFill>
              <w14:schemeClr w14:val="tx1"/>
            </w14:solidFill>
          </w14:textFill>
        </w:rPr>
        <w:t>招标邀请书（招标公告）</w:t>
      </w:r>
      <w:bookmarkEnd w:id="7"/>
    </w:p>
    <w:p>
      <w:pPr>
        <w:spacing w:line="360" w:lineRule="auto"/>
        <w:ind w:firstLine="480" w:firstLineChars="200"/>
        <w:jc w:val="righ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文件编码：0722-2025FE8124SZF-1</w:t>
      </w:r>
    </w:p>
    <w:p>
      <w:pPr>
        <w:spacing w:line="360" w:lineRule="auto"/>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中国远东国际招标有限公司（以下简称采购代理机构）受深圳市前海深港现代服务业合作区管理局委托就</w:t>
      </w:r>
      <w:r>
        <w:rPr>
          <w:rFonts w:hint="eastAsia" w:ascii="宋体" w:hAnsi="宋体" w:cs="宋体"/>
          <w:color w:val="000000" w:themeColor="text1"/>
          <w:sz w:val="24"/>
          <w:u w:val="single"/>
          <w14:textFill>
            <w14:solidFill>
              <w14:schemeClr w14:val="tx1"/>
            </w14:solidFill>
          </w14:textFill>
        </w:rPr>
        <w:t>“港税e”香港居民个人所得税优惠政策落实提升服务项目</w:t>
      </w:r>
      <w:r>
        <w:rPr>
          <w:rFonts w:hint="eastAsia" w:ascii="宋体" w:hAnsi="宋体" w:cs="宋体"/>
          <w:color w:val="000000" w:themeColor="text1"/>
          <w:sz w:val="24"/>
          <w14:textFill>
            <w14:solidFill>
              <w14:schemeClr w14:val="tx1"/>
            </w14:solidFill>
          </w14:textFill>
        </w:rPr>
        <w:t>（招标编号：</w:t>
      </w:r>
      <w:r>
        <w:rPr>
          <w:rFonts w:hint="eastAsia" w:ascii="宋体" w:hAnsi="宋体" w:cs="宋体"/>
          <w:color w:val="000000" w:themeColor="text1"/>
          <w:sz w:val="24"/>
          <w:u w:val="single"/>
          <w14:textFill>
            <w14:solidFill>
              <w14:schemeClr w14:val="tx1"/>
            </w14:solidFill>
          </w14:textFill>
        </w:rPr>
        <w:t>QH2025146</w:t>
      </w:r>
      <w:r>
        <w:rPr>
          <w:rFonts w:hint="eastAsia" w:ascii="宋体" w:hAnsi="宋体" w:cs="宋体"/>
          <w:color w:val="000000" w:themeColor="text1"/>
          <w:sz w:val="24"/>
          <w14:textFill>
            <w14:solidFill>
              <w14:schemeClr w14:val="tx1"/>
            </w14:solidFill>
          </w14:textFill>
        </w:rPr>
        <w:t>）采用简易招标方式采购，欢迎符合投标人资格要求的专业供应商积极参加投标。</w:t>
      </w:r>
    </w:p>
    <w:tbl>
      <w:tblPr>
        <w:tblStyle w:val="20"/>
        <w:tblW w:w="86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6"/>
        <w:gridCol w:w="7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676" w:type="dxa"/>
            <w:vAlign w:val="center"/>
          </w:tcPr>
          <w:p>
            <w:pPr>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招标编号</w:t>
            </w:r>
          </w:p>
        </w:tc>
        <w:tc>
          <w:tcPr>
            <w:tcW w:w="7015" w:type="dxa"/>
            <w:vAlign w:val="center"/>
          </w:tcPr>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QH2025146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676" w:type="dxa"/>
            <w:vAlign w:val="center"/>
          </w:tcPr>
          <w:p>
            <w:pPr>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招标项目名称</w:t>
            </w:r>
          </w:p>
        </w:tc>
        <w:tc>
          <w:tcPr>
            <w:tcW w:w="7015" w:type="dxa"/>
            <w:vAlign w:val="center"/>
          </w:tcPr>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“港税e”香港居民个人所得税优惠政策落实提升服务项目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676" w:type="dxa"/>
            <w:vAlign w:val="center"/>
          </w:tcPr>
          <w:p>
            <w:pPr>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标的内容</w:t>
            </w:r>
          </w:p>
        </w:tc>
        <w:tc>
          <w:tcPr>
            <w:tcW w:w="7015" w:type="dxa"/>
            <w:vAlign w:val="center"/>
          </w:tcPr>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w:t>
            </w:r>
            <w:bookmarkStart w:id="8" w:name="OLE_LINK3"/>
            <w:r>
              <w:rPr>
                <w:rFonts w:hint="eastAsia" w:ascii="宋体" w:hAnsi="宋体" w:cs="宋体"/>
                <w:color w:val="000000" w:themeColor="text1"/>
                <w:sz w:val="24"/>
                <w14:textFill>
                  <w14:solidFill>
                    <w14:schemeClr w14:val="tx1"/>
                  </w14:solidFill>
                </w14:textFill>
              </w:rPr>
              <w:t xml:space="preserve"> </w:t>
            </w:r>
            <w:bookmarkEnd w:id="8"/>
            <w:r>
              <w:rPr>
                <w:rFonts w:hint="eastAsia" w:ascii="宋体" w:hAnsi="宋体" w:cs="宋体"/>
                <w:color w:val="000000" w:themeColor="text1"/>
                <w:sz w:val="24"/>
                <w14:textFill>
                  <w14:solidFill>
                    <w14:schemeClr w14:val="tx1"/>
                  </w14:solidFill>
                </w14:textFill>
              </w:rPr>
              <w:t>本项目为“港税e”香港居民个人所得税优惠政策落实提升服务项目。为深入贯彻落实《财政部 税务总局关于前海深港现代服务业合作区个人所得税优惠政策的通知》要求，应对2026年税收制度变化，确保在前海工作的香港居民能够持续、便捷地享受“税负超过香港部分予以免征”的政策红利，特实施本项目。</w:t>
            </w:r>
          </w:p>
          <w:p>
            <w:pPr>
              <w:spacing w:line="360" w:lineRule="auto"/>
              <w:ind w:firstLine="480" w:firstLineChars="200"/>
              <w:rPr>
                <w:color w:val="000000" w:themeColor="text1"/>
                <w14:textFill>
                  <w14:solidFill>
                    <w14:schemeClr w14:val="tx1"/>
                  </w14:solidFill>
                </w14:textFill>
              </w:rPr>
            </w:pPr>
            <w:r>
              <w:rPr>
                <w:rFonts w:hint="eastAsia" w:ascii="宋体" w:hAnsi="宋体" w:cs="宋体"/>
                <w:color w:val="000000" w:themeColor="text1"/>
                <w:sz w:val="24"/>
                <w14:textFill>
                  <w14:solidFill>
                    <w14:schemeClr w14:val="tx1"/>
                  </w14:solidFill>
                </w14:textFill>
              </w:rPr>
              <w:t>项目主要内容包括：“港税e”适配个人所得税汇算清缴试算、申报规则调整、适配香港 2025-26 财年薪俸税、利得税政策变化调整、通过自然人电子税务局WEB端及前海企业服务一体化平台移动端提供的个税试算服务进行体验优化，并开展系统日常运维保障。旨在通过提供专业的运维服务，提升政策申报的精准性与便捷性，稳定香港居民人才队伍，优化前海合作区的国际化营商环境，间接服务于区域招商引资与高质量发展大局。具体详见用户需求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676" w:type="dxa"/>
            <w:vAlign w:val="center"/>
          </w:tcPr>
          <w:p>
            <w:pPr>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项目预算</w:t>
            </w:r>
          </w:p>
          <w:p>
            <w:pPr>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（最高限价）</w:t>
            </w:r>
          </w:p>
        </w:tc>
        <w:tc>
          <w:tcPr>
            <w:tcW w:w="7015" w:type="dxa"/>
            <w:vAlign w:val="center"/>
          </w:tcPr>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¥254,000.00（人民币贰拾伍万肆仟元整）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676" w:type="dxa"/>
            <w:vAlign w:val="center"/>
          </w:tcPr>
          <w:p>
            <w:pPr>
              <w:spacing w:line="360" w:lineRule="auto"/>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标书获得办法</w:t>
            </w:r>
          </w:p>
        </w:tc>
        <w:tc>
          <w:tcPr>
            <w:tcW w:w="7015" w:type="dxa"/>
            <w:vAlign w:val="center"/>
          </w:tcPr>
          <w:p>
            <w:pPr>
              <w:spacing w:line="360" w:lineRule="auto"/>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招标文件为电子版，投标人可在前海管理局官网（信息公开-招标公告栏目）(http://qh.sz.gov.cn/)免费下载。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676" w:type="dxa"/>
            <w:vAlign w:val="center"/>
          </w:tcPr>
          <w:p>
            <w:pPr>
              <w:spacing w:line="360" w:lineRule="auto"/>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报名方式</w:t>
            </w:r>
          </w:p>
        </w:tc>
        <w:tc>
          <w:tcPr>
            <w:tcW w:w="7015" w:type="dxa"/>
            <w:vAlign w:val="center"/>
          </w:tcPr>
          <w:p>
            <w:pPr>
              <w:adjustRightInd w:val="0"/>
              <w:snapToGrid w:val="0"/>
              <w:spacing w:line="360" w:lineRule="auto"/>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将投标文件密封并在</w:t>
            </w:r>
            <w:r>
              <w:rPr>
                <w:rFonts w:hint="eastAsia" w:ascii="宋体" w:hAnsi="宋体" w:cs="宋体"/>
                <w:b/>
                <w:bCs/>
                <w:color w:val="000000" w:themeColor="text1"/>
                <w:kern w:val="0"/>
                <w:sz w:val="24"/>
                <w14:textFill>
                  <w14:solidFill>
                    <w14:schemeClr w14:val="tx1"/>
                  </w14:solidFill>
                </w14:textFill>
              </w:rPr>
              <w:t>2025年</w:t>
            </w:r>
            <w:r>
              <w:rPr>
                <w:rFonts w:hint="eastAsia" w:ascii="宋体" w:hAnsi="宋体" w:cs="宋体"/>
                <w:b/>
                <w:bCs/>
                <w:color w:val="000000" w:themeColor="text1"/>
                <w:kern w:val="0"/>
                <w:sz w:val="24"/>
                <w:lang w:val="en-US" w:eastAsia="zh-CN"/>
                <w14:textFill>
                  <w14:solidFill>
                    <w14:schemeClr w14:val="tx1"/>
                  </w14:solidFill>
                </w14:textFill>
              </w:rPr>
              <w:t>12</w:t>
            </w:r>
            <w:r>
              <w:rPr>
                <w:rFonts w:hint="eastAsia" w:ascii="宋体" w:hAnsi="宋体" w:cs="宋体"/>
                <w:b/>
                <w:bCs/>
                <w:color w:val="000000" w:themeColor="text1"/>
                <w:kern w:val="0"/>
                <w:sz w:val="24"/>
                <w14:textFill>
                  <w14:solidFill>
                    <w14:schemeClr w14:val="tx1"/>
                  </w14:solidFill>
                </w14:textFill>
              </w:rPr>
              <w:t>月</w:t>
            </w:r>
            <w:r>
              <w:rPr>
                <w:rFonts w:hint="eastAsia" w:ascii="宋体" w:hAnsi="宋体" w:cs="宋体"/>
                <w:b/>
                <w:bCs/>
                <w:color w:val="000000" w:themeColor="text1"/>
                <w:kern w:val="0"/>
                <w:sz w:val="24"/>
                <w:lang w:val="en-US" w:eastAsia="zh-CN"/>
                <w14:textFill>
                  <w14:solidFill>
                    <w14:schemeClr w14:val="tx1"/>
                  </w14:solidFill>
                </w14:textFill>
              </w:rPr>
              <w:t>2</w:t>
            </w:r>
            <w:r>
              <w:rPr>
                <w:rFonts w:hint="eastAsia" w:ascii="宋体" w:hAnsi="宋体" w:cs="宋体"/>
                <w:b/>
                <w:bCs/>
                <w:color w:val="000000" w:themeColor="text1"/>
                <w:kern w:val="0"/>
                <w:sz w:val="24"/>
                <w14:textFill>
                  <w14:solidFill>
                    <w14:schemeClr w14:val="tx1"/>
                  </w14:solidFill>
                </w14:textFill>
              </w:rPr>
              <w:t>日1</w:t>
            </w:r>
            <w:r>
              <w:rPr>
                <w:rFonts w:hint="eastAsia" w:ascii="宋体" w:hAnsi="宋体" w:cs="宋体"/>
                <w:b/>
                <w:bCs/>
                <w:color w:val="000000" w:themeColor="text1"/>
                <w:kern w:val="0"/>
                <w:sz w:val="24"/>
                <w:lang w:val="en-US" w:eastAsia="zh-CN"/>
                <w14:textFill>
                  <w14:solidFill>
                    <w14:schemeClr w14:val="tx1"/>
                  </w14:solidFill>
                </w14:textFill>
              </w:rPr>
              <w:t>4</w:t>
            </w:r>
            <w:r>
              <w:rPr>
                <w:rFonts w:hint="eastAsia" w:ascii="宋体" w:hAnsi="宋体" w:cs="宋体"/>
                <w:b/>
                <w:bCs/>
                <w:color w:val="000000" w:themeColor="text1"/>
                <w:kern w:val="0"/>
                <w:sz w:val="24"/>
                <w14:textFill>
                  <w14:solidFill>
                    <w14:schemeClr w14:val="tx1"/>
                  </w14:solidFill>
                </w14:textFill>
              </w:rPr>
              <w:t>：</w:t>
            </w:r>
            <w:r>
              <w:rPr>
                <w:rFonts w:hint="eastAsia" w:ascii="宋体" w:hAnsi="宋体" w:cs="宋体"/>
                <w:b/>
                <w:bCs/>
                <w:color w:val="000000" w:themeColor="text1"/>
                <w:kern w:val="0"/>
                <w:sz w:val="24"/>
                <w:lang w:val="en-US" w:eastAsia="zh-CN"/>
                <w14:textFill>
                  <w14:solidFill>
                    <w14:schemeClr w14:val="tx1"/>
                  </w14:solidFill>
                </w14:textFill>
              </w:rPr>
              <w:t>3</w:t>
            </w:r>
            <w:r>
              <w:rPr>
                <w:rFonts w:hint="eastAsia" w:ascii="宋体" w:hAnsi="宋体" w:cs="宋体"/>
                <w:b/>
                <w:bCs/>
                <w:color w:val="000000" w:themeColor="text1"/>
                <w:kern w:val="0"/>
                <w:sz w:val="24"/>
                <w14:textFill>
                  <w14:solidFill>
                    <w14:schemeClr w14:val="tx1"/>
                  </w14:solidFill>
                </w14:textFill>
              </w:rPr>
              <w:t>0时（北京时间）</w:t>
            </w:r>
            <w:r>
              <w:rPr>
                <w:rFonts w:hint="eastAsia" w:ascii="宋体" w:hAnsi="宋体" w:cs="宋体"/>
                <w:color w:val="000000" w:themeColor="text1"/>
                <w:kern w:val="0"/>
                <w:sz w:val="24"/>
                <w14:textFill>
                  <w14:solidFill>
                    <w14:schemeClr w14:val="tx1"/>
                  </w14:solidFill>
                </w14:textFill>
              </w:rPr>
              <w:t>前送达（现场递交或邮寄）至深圳市南山区前海深港合作区桂湾五路123号前海管理局前海大厦T1栋2313室</w:t>
            </w:r>
          </w:p>
          <w:p>
            <w:pPr>
              <w:adjustRightInd w:val="0"/>
              <w:snapToGrid w:val="0"/>
              <w:spacing w:line="360" w:lineRule="auto"/>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联  系  人：</w:t>
            </w:r>
            <w:r>
              <w:rPr>
                <w:rFonts w:hint="eastAsia" w:ascii="宋体" w:hAnsi="宋体" w:cs="宋体"/>
                <w:color w:val="000000" w:themeColor="text1"/>
                <w:sz w:val="24"/>
                <w14:textFill>
                  <w14:solidFill>
                    <w14:schemeClr w14:val="tx1"/>
                  </w14:solidFill>
                </w14:textFill>
              </w:rPr>
              <w:t>孙小姐</w:t>
            </w:r>
          </w:p>
          <w:p>
            <w:pPr>
              <w:adjustRightInd w:val="0"/>
              <w:snapToGrid w:val="0"/>
              <w:spacing w:line="360" w:lineRule="auto"/>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电      话：</w:t>
            </w:r>
            <w:bookmarkStart w:id="9" w:name="OLE_LINK4"/>
            <w:r>
              <w:rPr>
                <w:rFonts w:hint="eastAsia" w:ascii="宋体" w:hAnsi="宋体" w:cs="宋体"/>
                <w:color w:val="000000" w:themeColor="text1"/>
                <w:kern w:val="0"/>
                <w:sz w:val="24"/>
                <w14:textFill>
                  <w14:solidFill>
                    <w14:schemeClr w14:val="tx1"/>
                  </w14:solidFill>
                </w14:textFill>
              </w:rPr>
              <w:t>0755-</w:t>
            </w:r>
            <w:bookmarkEnd w:id="9"/>
            <w:r>
              <w:rPr>
                <w:rFonts w:hint="eastAsia" w:ascii="宋体" w:hAnsi="宋体" w:cs="宋体"/>
                <w:color w:val="000000" w:themeColor="text1"/>
                <w:kern w:val="0"/>
                <w:sz w:val="24"/>
                <w14:textFill>
                  <w14:solidFill>
                    <w14:schemeClr w14:val="tx1"/>
                  </w14:solidFill>
                </w14:textFill>
              </w:rPr>
              <w:t>88105376</w:t>
            </w:r>
          </w:p>
          <w:p>
            <w:pPr>
              <w:adjustRightInd w:val="0"/>
              <w:snapToGrid w:val="0"/>
              <w:spacing w:line="360" w:lineRule="auto"/>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注：如需现场谈判，投标人需在评标半小时内到达评标现场。若因特殊原因，可进行视频会议谈判。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676" w:type="dxa"/>
            <w:vAlign w:val="center"/>
          </w:tcPr>
          <w:p>
            <w:pPr>
              <w:spacing w:line="360" w:lineRule="auto"/>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投标人资格要求</w:t>
            </w:r>
          </w:p>
        </w:tc>
        <w:tc>
          <w:tcPr>
            <w:tcW w:w="7015" w:type="dxa"/>
            <w:vAlign w:val="center"/>
          </w:tcPr>
          <w:p>
            <w:pPr>
              <w:numPr>
                <w:ilvl w:val="0"/>
                <w:numId w:val="2"/>
              </w:numPr>
              <w:spacing w:line="360" w:lineRule="auto"/>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在中华人民共和国境内注册的具有独立法人资格或具有独立承担民事责任的能力的其他组织</w:t>
            </w:r>
            <w:r>
              <w:rPr>
                <w:rFonts w:hint="eastAsia" w:ascii="宋体" w:hAnsi="宋体" w:cs="宋体"/>
                <w:b/>
                <w:bCs/>
                <w:color w:val="000000" w:themeColor="text1"/>
                <w:kern w:val="0"/>
                <w:sz w:val="24"/>
                <w14:textFill>
                  <w14:solidFill>
                    <w14:schemeClr w14:val="tx1"/>
                  </w14:solidFill>
                </w14:textFill>
              </w:rPr>
              <w:t>（提供营业执照或事业单位法人证等法人证明复印件加盖投标人公章，分支机构投标须提供总公司(或总所)出具的愿为其参与本项目投标的行为以及履约等行为承担民事责任的承诺函，且同一家总公司(或总所)若有两家或两家以上的分支机构，总公司(或总所)只能授权一家参与投标）</w:t>
            </w:r>
            <w:r>
              <w:rPr>
                <w:rFonts w:hint="eastAsia" w:ascii="宋体" w:hAnsi="宋体" w:cs="宋体"/>
                <w:color w:val="000000" w:themeColor="text1"/>
                <w:kern w:val="0"/>
                <w:sz w:val="24"/>
                <w14:textFill>
                  <w14:solidFill>
                    <w14:schemeClr w14:val="tx1"/>
                  </w14:solidFill>
                </w14:textFill>
              </w:rPr>
              <w:t>；</w:t>
            </w:r>
          </w:p>
          <w:p>
            <w:pPr>
              <w:numPr>
                <w:ilvl w:val="0"/>
                <w:numId w:val="2"/>
              </w:numPr>
              <w:spacing w:line="360" w:lineRule="auto"/>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参与政府采购项目投标的供应商近三年内无行贿犯罪记录</w:t>
            </w:r>
            <w:r>
              <w:rPr>
                <w:rFonts w:hint="eastAsia" w:ascii="宋体" w:hAnsi="宋体" w:cs="宋体"/>
                <w:b/>
                <w:bCs/>
                <w:color w:val="000000" w:themeColor="text1"/>
                <w:kern w:val="0"/>
                <w:sz w:val="24"/>
                <w14:textFill>
                  <w14:solidFill>
                    <w14:schemeClr w14:val="tx1"/>
                  </w14:solidFill>
                </w14:textFill>
              </w:rPr>
              <w:t>（由投标人在《政府采购投标及履约承诺函》中作出声明）</w:t>
            </w:r>
            <w:r>
              <w:rPr>
                <w:rFonts w:hint="eastAsia" w:ascii="宋体" w:hAnsi="宋体" w:cs="宋体"/>
                <w:color w:val="000000" w:themeColor="text1"/>
                <w:kern w:val="0"/>
                <w:sz w:val="24"/>
                <w14:textFill>
                  <w14:solidFill>
                    <w14:schemeClr w14:val="tx1"/>
                  </w14:solidFill>
                </w14:textFill>
              </w:rPr>
              <w:t>；</w:t>
            </w:r>
          </w:p>
          <w:p>
            <w:pPr>
              <w:numPr>
                <w:ilvl w:val="0"/>
                <w:numId w:val="2"/>
              </w:numPr>
              <w:spacing w:line="360" w:lineRule="auto"/>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参与本项目投标前三年内，在经营活动中没有重大违法记录以及不存在被有关部门禁止参与政府采购活动且在有效期内的情况</w:t>
            </w:r>
            <w:r>
              <w:rPr>
                <w:rFonts w:hint="eastAsia" w:ascii="宋体" w:hAnsi="宋体" w:cs="宋体"/>
                <w:b/>
                <w:bCs/>
                <w:color w:val="000000" w:themeColor="text1"/>
                <w:kern w:val="0"/>
                <w:sz w:val="24"/>
                <w14:textFill>
                  <w14:solidFill>
                    <w14:schemeClr w14:val="tx1"/>
                  </w14:solidFill>
                </w14:textFill>
              </w:rPr>
              <w:t>（由投标人在《政府采购投标及履约承诺函》中作出声明）</w:t>
            </w:r>
            <w:r>
              <w:rPr>
                <w:rFonts w:hint="eastAsia" w:ascii="宋体" w:hAnsi="宋体" w:cs="宋体"/>
                <w:color w:val="000000" w:themeColor="text1"/>
                <w:kern w:val="0"/>
                <w:sz w:val="24"/>
                <w14:textFill>
                  <w14:solidFill>
                    <w14:schemeClr w14:val="tx1"/>
                  </w14:solidFill>
                </w14:textFill>
              </w:rPr>
              <w:t>；</w:t>
            </w:r>
          </w:p>
          <w:p>
            <w:pPr>
              <w:numPr>
                <w:ilvl w:val="0"/>
                <w:numId w:val="2"/>
              </w:numPr>
              <w:spacing w:line="360" w:lineRule="auto"/>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投标人承诺“本单位（公司）不存在《深圳市财政局政府采购供应商信用信息管理办法》（深财规〔2023〕3号）列明的严重违法失信行为”</w:t>
            </w:r>
            <w:r>
              <w:rPr>
                <w:rFonts w:hint="eastAsia" w:ascii="宋体" w:hAnsi="宋体" w:cs="宋体"/>
                <w:b/>
                <w:bCs/>
                <w:color w:val="000000" w:themeColor="text1"/>
                <w:kern w:val="0"/>
                <w:sz w:val="24"/>
                <w14:textFill>
                  <w14:solidFill>
                    <w14:schemeClr w14:val="tx1"/>
                  </w14:solidFill>
                </w14:textFill>
              </w:rPr>
              <w:t>（由投标人在《政府采购投标及履约承诺函》中作出声明）</w:t>
            </w:r>
            <w:r>
              <w:rPr>
                <w:rFonts w:hint="eastAsia" w:ascii="宋体" w:hAnsi="宋体" w:cs="宋体"/>
                <w:color w:val="000000" w:themeColor="text1"/>
                <w:kern w:val="0"/>
                <w:sz w:val="24"/>
                <w14:textFill>
                  <w14:solidFill>
                    <w14:schemeClr w14:val="tx1"/>
                  </w14:solidFill>
                </w14:textFill>
              </w:rPr>
              <w:t>；</w:t>
            </w:r>
          </w:p>
          <w:p>
            <w:pPr>
              <w:spacing w:line="360" w:lineRule="auto"/>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注：采购代理机构将通过“信用中国”中“信用服务”栏的“重大税收违法失信主体”“失信被执行人”“中国政府采购网”中的“政府采购严重违法失信行为记录名单”“深圳信用网”以及“深圳市政府采购监管网”为供应商信用信息的查询渠道，相关信息以开标当日的查询结果为准。信用信息查询记录应当作为项目档案材料一并保存。】</w:t>
            </w:r>
          </w:p>
          <w:p>
            <w:pPr>
              <w:numPr>
                <w:ilvl w:val="0"/>
                <w:numId w:val="2"/>
              </w:numPr>
              <w:spacing w:line="360" w:lineRule="auto"/>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w:t>
            </w:r>
            <w:r>
              <w:rPr>
                <w:rFonts w:hint="eastAsia" w:ascii="宋体" w:hAnsi="宋体" w:cs="宋体"/>
                <w:b/>
                <w:bCs/>
                <w:color w:val="000000" w:themeColor="text1"/>
                <w:kern w:val="0"/>
                <w:sz w:val="24"/>
                <w14:textFill>
                  <w14:solidFill>
                    <w14:schemeClr w14:val="tx1"/>
                  </w14:solidFill>
                </w14:textFill>
              </w:rPr>
              <w:t>（由投标人提供《供应商基本情况表》并加盖公章，同时提供投标人的社保缴纳证明材料及股权关系证明材料，格式见-投标文件格式）；</w:t>
            </w:r>
          </w:p>
          <w:p>
            <w:pPr>
              <w:numPr>
                <w:ilvl w:val="0"/>
                <w:numId w:val="2"/>
              </w:numPr>
              <w:spacing w:line="360" w:lineRule="auto"/>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为此项目提供整体设计、规范编制或者项目管理、监理、检测等服务的供应商，不得再参加此项目的其他招标采购活动</w:t>
            </w:r>
            <w:r>
              <w:rPr>
                <w:rFonts w:hint="eastAsia" w:ascii="宋体" w:hAnsi="宋体" w:cs="宋体"/>
                <w:b/>
                <w:bCs/>
                <w:color w:val="000000" w:themeColor="text1"/>
                <w:kern w:val="0"/>
                <w:sz w:val="24"/>
                <w14:textFill>
                  <w14:solidFill>
                    <w14:schemeClr w14:val="tx1"/>
                  </w14:solidFill>
                </w14:textFill>
              </w:rPr>
              <w:t>（由投标人在《政府采购投标及履约承诺函》中作出声明）；</w:t>
            </w:r>
          </w:p>
          <w:p>
            <w:pPr>
              <w:numPr>
                <w:ilvl w:val="0"/>
                <w:numId w:val="2"/>
              </w:numPr>
              <w:spacing w:line="360" w:lineRule="auto"/>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落实政府采购政策需满足的资格要求：本项目不属于专门面向特定企业（单位）的采购项目，本项目采购标的对应的中小企业划分标准所属行业为：</w:t>
            </w:r>
            <w:r>
              <w:rPr>
                <w:rFonts w:hint="eastAsia" w:ascii="宋体" w:hAnsi="宋体" w:cs="宋体"/>
                <w:color w:val="000000" w:themeColor="text1"/>
                <w:kern w:val="0"/>
                <w:sz w:val="24"/>
                <w:u w:val="single"/>
                <w14:textFill>
                  <w14:solidFill>
                    <w14:schemeClr w14:val="tx1"/>
                  </w14:solidFill>
                </w14:textFill>
              </w:rPr>
              <w:t>其他未列明行业。</w:t>
            </w:r>
          </w:p>
          <w:p>
            <w:pPr>
              <w:numPr>
                <w:ilvl w:val="0"/>
                <w:numId w:val="2"/>
              </w:numPr>
              <w:spacing w:line="360" w:lineRule="auto"/>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本项目不接受联合体投标、不允许非法分包、转包。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76" w:type="dxa"/>
            <w:vAlign w:val="center"/>
          </w:tcPr>
          <w:p>
            <w:pPr>
              <w:spacing w:line="360" w:lineRule="auto"/>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报价要求</w:t>
            </w:r>
          </w:p>
        </w:tc>
        <w:tc>
          <w:tcPr>
            <w:tcW w:w="7015" w:type="dxa"/>
            <w:vAlign w:val="center"/>
          </w:tcPr>
          <w:p>
            <w:pPr>
              <w:numPr>
                <w:ilvl w:val="0"/>
                <w:numId w:val="3"/>
              </w:numPr>
              <w:spacing w:line="360" w:lineRule="auto"/>
              <w:rPr>
                <w:rFonts w:ascii="宋体" w:hAnsi="宋体" w:cs="宋体"/>
                <w:color w:val="000000" w:themeColor="text1"/>
                <w:sz w:val="24"/>
                <w14:textFill>
                  <w14:solidFill>
                    <w14:schemeClr w14:val="tx1"/>
                  </w14:solidFill>
                </w14:textFill>
              </w:rPr>
            </w:pPr>
            <w:bookmarkStart w:id="10" w:name="OLE_LINK5"/>
            <w:r>
              <w:rPr>
                <w:rFonts w:hint="eastAsia" w:ascii="宋体" w:hAnsi="宋体" w:cs="宋体"/>
                <w:color w:val="000000" w:themeColor="text1"/>
                <w:sz w:val="24"/>
                <w14:textFill>
                  <w14:solidFill>
                    <w14:schemeClr w14:val="tx1"/>
                  </w14:solidFill>
                </w14:textFill>
              </w:rPr>
              <w:t>本次投标为总价包干，投标报价总价作为中标人与采购人</w:t>
            </w:r>
            <w:r>
              <w:rPr>
                <w:rFonts w:hint="eastAsia" w:ascii="宋体" w:hAnsi="宋体" w:cs="宋体"/>
                <w:color w:val="000000" w:themeColor="text1"/>
                <w:sz w:val="24"/>
                <w:lang w:eastAsia="zh-CN"/>
                <w14:textFill>
                  <w14:solidFill>
                    <w14:schemeClr w14:val="tx1"/>
                  </w14:solidFill>
                </w14:textFill>
              </w:rPr>
              <w:t>签订</w:t>
            </w:r>
            <w:r>
              <w:rPr>
                <w:rFonts w:hint="eastAsia" w:ascii="宋体" w:hAnsi="宋体" w:cs="宋体"/>
                <w:color w:val="000000" w:themeColor="text1"/>
                <w:sz w:val="24"/>
                <w14:textFill>
                  <w14:solidFill>
                    <w14:schemeClr w14:val="tx1"/>
                  </w14:solidFill>
                </w14:textFill>
              </w:rPr>
              <w:t>的合同金额。投标人的报价不可高于预算（限价），否则投标人的投标文件视同无效。项目服务费包括但不限于人员研究费用、调研差旅费、专家咨询费、资料费、税费等所有费用，并提供合同要求的有关成果材料，以及其它相关服务的全部费用。一经中标，正式报价总价作为中标人与采购人</w:t>
            </w:r>
            <w:r>
              <w:rPr>
                <w:rFonts w:hint="eastAsia" w:ascii="宋体" w:hAnsi="宋体" w:cs="宋体"/>
                <w:color w:val="000000" w:themeColor="text1"/>
                <w:sz w:val="24"/>
                <w:lang w:eastAsia="zh-CN"/>
                <w14:textFill>
                  <w14:solidFill>
                    <w14:schemeClr w14:val="tx1"/>
                  </w14:solidFill>
                </w14:textFill>
              </w:rPr>
              <w:t>签订</w:t>
            </w:r>
            <w:r>
              <w:rPr>
                <w:rFonts w:hint="eastAsia" w:ascii="宋体" w:hAnsi="宋体" w:cs="宋体"/>
                <w:color w:val="000000" w:themeColor="text1"/>
                <w:sz w:val="24"/>
                <w14:textFill>
                  <w14:solidFill>
                    <w14:schemeClr w14:val="tx1"/>
                  </w14:solidFill>
                </w14:textFill>
              </w:rPr>
              <w:t>的合同金额，合同期限内不做调整。</w:t>
            </w:r>
          </w:p>
          <w:bookmarkEnd w:id="10"/>
          <w:p>
            <w:pPr>
              <w:numPr>
                <w:ilvl w:val="0"/>
                <w:numId w:val="3"/>
              </w:num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评标时，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numPr>
                <w:ilvl w:val="0"/>
                <w:numId w:val="3"/>
              </w:num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投标人的投标报价，应是本项目招标范围和招标文件及合同条款上所列的各项内容中所述的全部，不得以任何理由予以重复，并以投标人在投标文件中提出的综合单价或总价为依据。</w:t>
            </w:r>
          </w:p>
          <w:p>
            <w:pPr>
              <w:numPr>
                <w:ilvl w:val="0"/>
                <w:numId w:val="3"/>
              </w:num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投标人应充分了解项目的位置、情况、道路及任何其他足以影响投标报价的情况，任何因忽视或误解项目情况而导致的索赔或服务期限延长申请将不获批准。</w:t>
            </w:r>
          </w:p>
          <w:p>
            <w:pPr>
              <w:numPr>
                <w:ilvl w:val="0"/>
                <w:numId w:val="3"/>
              </w:num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除非采购代理机构通过修改招标文件予以更正，否则，投标人应毫无例外地按招标文件所列的清单中项目和数量填报综合单价或总价。投标人未填综合单价或总价的项目，在实施后，将不得以支付，并视作该项费用已包括在其他有价款的综合单价或总价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9" w:hRule="atLeast"/>
          <w:jc w:val="center"/>
        </w:trPr>
        <w:tc>
          <w:tcPr>
            <w:tcW w:w="1676" w:type="dxa"/>
            <w:vAlign w:val="center"/>
          </w:tcPr>
          <w:p>
            <w:pPr>
              <w:spacing w:line="360" w:lineRule="auto"/>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联系方式</w:t>
            </w:r>
          </w:p>
        </w:tc>
        <w:tc>
          <w:tcPr>
            <w:tcW w:w="7015" w:type="dxa"/>
            <w:vAlign w:val="center"/>
          </w:tcPr>
          <w:p>
            <w:pPr>
              <w:spacing w:line="360" w:lineRule="auto"/>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1.采购人信息</w:t>
            </w:r>
          </w:p>
          <w:p>
            <w:pPr>
              <w:spacing w:line="360" w:lineRule="auto"/>
              <w:rPr>
                <w:rFonts w:ascii="宋体" w:hAnsi="宋体" w:cs="宋体"/>
                <w:color w:val="000000" w:themeColor="text1"/>
                <w:kern w:val="0"/>
                <w:sz w:val="24"/>
                <w14:textFill>
                  <w14:solidFill>
                    <w14:schemeClr w14:val="tx1"/>
                  </w14:solidFill>
                </w14:textFill>
              </w:rPr>
            </w:pPr>
            <w:bookmarkStart w:id="11" w:name="_Toc28359009"/>
            <w:bookmarkStart w:id="12" w:name="_Toc28359086"/>
            <w:r>
              <w:rPr>
                <w:rFonts w:hint="eastAsia" w:ascii="宋体" w:hAnsi="宋体" w:cs="宋体"/>
                <w:color w:val="000000" w:themeColor="text1"/>
                <w:kern w:val="0"/>
                <w:sz w:val="24"/>
                <w14:textFill>
                  <w14:solidFill>
                    <w14:schemeClr w14:val="tx1"/>
                  </w14:solidFill>
                </w14:textFill>
              </w:rPr>
              <w:t>名  称：深圳市前海深港现代服务业合作区管理局</w:t>
            </w:r>
          </w:p>
          <w:p>
            <w:pPr>
              <w:spacing w:line="360" w:lineRule="auto"/>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地  址：深圳市南山区前海深港合作区桂湾五路123号前海管理局前海大厦T1栋</w:t>
            </w:r>
          </w:p>
          <w:p>
            <w:pPr>
              <w:spacing w:line="360" w:lineRule="auto"/>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联系人：孙小姐</w:t>
            </w:r>
          </w:p>
          <w:p>
            <w:pPr>
              <w:spacing w:line="360" w:lineRule="auto"/>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电  话：0755-88105376</w:t>
            </w:r>
          </w:p>
          <w:p>
            <w:pPr>
              <w:spacing w:line="360" w:lineRule="auto"/>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2.采购代理机构信息</w:t>
            </w:r>
            <w:bookmarkEnd w:id="11"/>
            <w:bookmarkEnd w:id="12"/>
          </w:p>
          <w:p>
            <w:pPr>
              <w:spacing w:line="360" w:lineRule="auto"/>
              <w:rPr>
                <w:rFonts w:ascii="宋体" w:hAnsi="宋体" w:cs="宋体"/>
                <w:color w:val="000000" w:themeColor="text1"/>
                <w:kern w:val="0"/>
                <w:sz w:val="24"/>
                <w14:textFill>
                  <w14:solidFill>
                    <w14:schemeClr w14:val="tx1"/>
                  </w14:solidFill>
                </w14:textFill>
              </w:rPr>
            </w:pPr>
            <w:bookmarkStart w:id="13" w:name="_Toc28359010"/>
            <w:bookmarkStart w:id="14" w:name="_Toc28359087"/>
            <w:r>
              <w:rPr>
                <w:rFonts w:hint="eastAsia" w:ascii="宋体" w:hAnsi="宋体" w:cs="宋体"/>
                <w:color w:val="000000" w:themeColor="text1"/>
                <w:kern w:val="0"/>
                <w:sz w:val="24"/>
                <w14:textFill>
                  <w14:solidFill>
                    <w14:schemeClr w14:val="tx1"/>
                  </w14:solidFill>
                </w14:textFill>
              </w:rPr>
              <w:t>名  称：中国远东国际招标有限公司</w:t>
            </w:r>
          </w:p>
          <w:p>
            <w:pPr>
              <w:spacing w:line="360" w:lineRule="auto"/>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地  址：深圳市福田区上步南路1001号锦峰大厦22楼</w:t>
            </w:r>
          </w:p>
          <w:p>
            <w:pPr>
              <w:spacing w:line="360" w:lineRule="auto"/>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联系人：凌女士、伍先生</w:t>
            </w:r>
          </w:p>
          <w:p>
            <w:pPr>
              <w:spacing w:line="360" w:lineRule="auto"/>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电  话：0755-82078919、82077364转108</w:t>
            </w:r>
          </w:p>
          <w:p>
            <w:pPr>
              <w:spacing w:line="360" w:lineRule="auto"/>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传  真：0755-82077519</w:t>
            </w:r>
          </w:p>
          <w:p>
            <w:pPr>
              <w:spacing w:line="360" w:lineRule="auto"/>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3.项目联系方式</w:t>
            </w:r>
            <w:bookmarkEnd w:id="13"/>
            <w:bookmarkEnd w:id="14"/>
          </w:p>
          <w:p>
            <w:pPr>
              <w:spacing w:line="360" w:lineRule="auto"/>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项目联系人：凌女士、伍先生</w:t>
            </w:r>
          </w:p>
          <w:p>
            <w:pPr>
              <w:spacing w:line="360" w:lineRule="auto"/>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电　话：0755-82078919、82077364转108</w:t>
            </w:r>
          </w:p>
        </w:tc>
      </w:tr>
    </w:tbl>
    <w:p>
      <w:pPr>
        <w:adjustRightInd w:val="0"/>
        <w:snapToGrid w:val="0"/>
        <w:spacing w:line="360" w:lineRule="auto"/>
        <w:ind w:firstLine="480" w:firstLineChars="200"/>
        <w:jc w:val="righ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中国远东国际招标有限公司</w:t>
      </w:r>
    </w:p>
    <w:p>
      <w:pPr>
        <w:adjustRightInd w:val="0"/>
        <w:snapToGrid w:val="0"/>
        <w:spacing w:line="360" w:lineRule="auto"/>
        <w:ind w:firstLine="480" w:firstLineChars="200"/>
        <w:jc w:val="righ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ab/>
      </w:r>
      <w:r>
        <w:rPr>
          <w:rFonts w:hint="eastAsia" w:ascii="宋体" w:hAnsi="宋体" w:cs="宋体"/>
          <w:color w:val="000000" w:themeColor="text1"/>
          <w:sz w:val="24"/>
          <w14:textFill>
            <w14:solidFill>
              <w14:schemeClr w14:val="tx1"/>
            </w14:solidFill>
          </w14:textFill>
        </w:rPr>
        <w:tab/>
      </w:r>
      <w:r>
        <w:rPr>
          <w:rFonts w:hint="eastAsia" w:ascii="宋体" w:hAnsi="宋体" w:cs="宋体"/>
          <w:color w:val="000000" w:themeColor="text1"/>
          <w:sz w:val="24"/>
          <w14:textFill>
            <w14:solidFill>
              <w14:schemeClr w14:val="tx1"/>
            </w14:solidFill>
          </w14:textFill>
        </w:rPr>
        <w:t xml:space="preserve"> 2025年</w:t>
      </w:r>
      <w:r>
        <w:rPr>
          <w:rFonts w:hint="eastAsia" w:ascii="宋体" w:hAnsi="宋体" w:cs="宋体"/>
          <w:color w:val="000000" w:themeColor="text1"/>
          <w:sz w:val="24"/>
          <w:lang w:val="en-US" w:eastAsia="zh-CN"/>
          <w14:textFill>
            <w14:solidFill>
              <w14:schemeClr w14:val="tx1"/>
            </w14:solidFill>
          </w14:textFill>
        </w:rPr>
        <w:t>11</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lang w:val="en-US" w:eastAsia="zh-CN"/>
          <w14:textFill>
            <w14:solidFill>
              <w14:schemeClr w14:val="tx1"/>
            </w14:solidFill>
          </w14:textFill>
        </w:rPr>
        <w:t>25</w:t>
      </w:r>
      <w:r>
        <w:rPr>
          <w:rFonts w:hint="eastAsia" w:ascii="宋体" w:hAnsi="宋体" w:cs="宋体"/>
          <w:color w:val="000000" w:themeColor="text1"/>
          <w:sz w:val="24"/>
          <w14:textFill>
            <w14:solidFill>
              <w14:schemeClr w14:val="tx1"/>
            </w14:solidFill>
          </w14:textFill>
        </w:rPr>
        <w:t>日</w:t>
      </w:r>
    </w:p>
    <w:p>
      <w:pPr>
        <w:numPr>
          <w:ilvl w:val="0"/>
          <w:numId w:val="1"/>
        </w:numPr>
        <w:spacing w:line="360" w:lineRule="auto"/>
        <w:jc w:val="center"/>
        <w:outlineLvl w:val="0"/>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br w:type="page"/>
      </w:r>
      <w:r>
        <w:rPr>
          <w:rFonts w:hint="eastAsia" w:ascii="宋体" w:hAnsi="宋体" w:cs="宋体"/>
          <w:b/>
          <w:bCs/>
          <w:color w:val="000000" w:themeColor="text1"/>
          <w:sz w:val="24"/>
          <w14:textFill>
            <w14:solidFill>
              <w14:schemeClr w14:val="tx1"/>
            </w14:solidFill>
          </w14:textFill>
        </w:rPr>
        <w:t xml:space="preserve"> </w:t>
      </w:r>
      <w:bookmarkStart w:id="15" w:name="_Toc10214"/>
      <w:r>
        <w:rPr>
          <w:rFonts w:hint="eastAsia" w:ascii="宋体" w:hAnsi="宋体" w:cs="宋体"/>
          <w:b/>
          <w:bCs/>
          <w:color w:val="000000" w:themeColor="text1"/>
          <w:sz w:val="24"/>
          <w14:textFill>
            <w14:solidFill>
              <w14:schemeClr w14:val="tx1"/>
            </w14:solidFill>
          </w14:textFill>
        </w:rPr>
        <w:t>投标须知</w:t>
      </w:r>
      <w:bookmarkEnd w:id="15"/>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1、本项目是深圳市前海深港现代服务业合作区管理局的“港税e”香港居民个人所得税优惠政策落实提升服务项目。</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本项目不属于《深圳市2025-2026年政府集中采购目录及限额标准》规定应集中采购项目，根据《中华人民共和国政府采购法》、《深圳经济特区政府采购条例》的有关规定，中国远东国际招标有限公司受深圳市前海深港现代服务业合作区管理局委托组织采购。</w:t>
      </w:r>
    </w:p>
    <w:p>
      <w:pPr>
        <w:spacing w:line="360" w:lineRule="auto"/>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2.1、本次采购公开征集供应商，报名且符合招标文件初审的供应商满足3家或3家以上的，采用综合评分法的方式进行。</w:t>
      </w:r>
      <w:r>
        <w:rPr>
          <w:rFonts w:hint="eastAsia" w:ascii="宋体" w:hAnsi="宋体" w:cs="宋体"/>
          <w:b/>
          <w:bCs/>
          <w:color w:val="000000" w:themeColor="text1"/>
          <w:sz w:val="24"/>
          <w:u w:val="single"/>
          <w14:textFill>
            <w14:solidFill>
              <w14:schemeClr w14:val="tx1"/>
            </w14:solidFill>
          </w14:textFill>
        </w:rPr>
        <w:t>报名且符合招标文件初审的供应商不足3家而导致招标失败的，应重新组织简易招标(公开征集)或转为其他采购方式采购。</w:t>
      </w:r>
    </w:p>
    <w:p>
      <w:pPr>
        <w:spacing w:line="360" w:lineRule="auto"/>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2.2、对于重新组织简易招标(公开征集)，仍出现有效投标供应商不足3家的情形，按以下流程执行：</w:t>
      </w:r>
    </w:p>
    <w:p>
      <w:pPr>
        <w:spacing w:line="360" w:lineRule="auto"/>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a.有效投标人为2家的，可在2家有效投标人中取得分最高者为中标供应商；</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b.如参与投标且符合招标文件要求的供应商仅有1家，评审委员会应与投标供应商进行谈判，</w:t>
      </w:r>
      <w:r>
        <w:rPr>
          <w:rFonts w:hint="eastAsia" w:ascii="宋体" w:hAnsi="宋体" w:cs="宋体"/>
          <w:b/>
          <w:bCs/>
          <w:color w:val="000000" w:themeColor="text1"/>
          <w:sz w:val="24"/>
          <w:u w:val="single"/>
          <w14:textFill>
            <w14:solidFill>
              <w14:schemeClr w14:val="tx1"/>
            </w14:solidFill>
          </w14:textFill>
        </w:rPr>
        <w:t>原则上成交价不超过最初报价的95%。</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3、本项目根据项目的实际情况，公开征集符合投标人资格的供应商。请各供应商根据本文件的要求，准备</w:t>
      </w:r>
      <w:r>
        <w:rPr>
          <w:rFonts w:hint="eastAsia" w:ascii="宋体" w:hAnsi="宋体" w:cs="宋体"/>
          <w:b/>
          <w:bCs/>
          <w:color w:val="000000" w:themeColor="text1"/>
          <w:sz w:val="24"/>
          <w14:textFill>
            <w14:solidFill>
              <w14:schemeClr w14:val="tx1"/>
            </w14:solidFill>
          </w14:textFill>
        </w:rPr>
        <w:t>5套（1套正本，4套副本，</w:t>
      </w:r>
      <w:bookmarkStart w:id="16" w:name="OLE_LINK6"/>
      <w:r>
        <w:rPr>
          <w:rFonts w:hint="eastAsia" w:ascii="宋体" w:hAnsi="宋体" w:cs="宋体"/>
          <w:b/>
          <w:color w:val="000000" w:themeColor="text1"/>
          <w:sz w:val="24"/>
          <w14:textFill>
            <w14:solidFill>
              <w14:schemeClr w14:val="tx1"/>
            </w14:solidFill>
          </w14:textFill>
        </w:rPr>
        <w:t>1份电子文档：PDF格式的正本投标文件扫描件、与正本一致的word文档格式的投标文件</w:t>
      </w:r>
      <w:bookmarkEnd w:id="16"/>
      <w:r>
        <w:rPr>
          <w:rFonts w:hint="eastAsia" w:ascii="宋体" w:hAnsi="宋体" w:cs="宋体"/>
          <w:b/>
          <w:bCs/>
          <w:color w:val="000000" w:themeColor="text1"/>
          <w:sz w:val="24"/>
          <w14:textFill>
            <w14:solidFill>
              <w14:schemeClr w14:val="tx1"/>
            </w14:solidFill>
          </w14:textFill>
        </w:rPr>
        <w:t>）</w:t>
      </w:r>
      <w:r>
        <w:rPr>
          <w:rFonts w:hint="eastAsia" w:ascii="宋体" w:hAnsi="宋体" w:cs="宋体"/>
          <w:color w:val="000000" w:themeColor="text1"/>
          <w:sz w:val="24"/>
          <w14:textFill>
            <w14:solidFill>
              <w14:schemeClr w14:val="tx1"/>
            </w14:solidFill>
          </w14:textFill>
        </w:rPr>
        <w:t>完备的资料进行投标。</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4、本招标文件已对本次采购项目的商务条件和货物或服务的质量、技术要求、成果要求、交货要求、售后服务作出了明确的规定。</w:t>
      </w:r>
    </w:p>
    <w:p>
      <w:pPr>
        <w:snapToGrid w:val="0"/>
        <w:spacing w:after="78" w:afterLines="25"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5、响应文件要包括如下内容：</w:t>
      </w:r>
    </w:p>
    <w:p>
      <w:pPr>
        <w:numPr>
          <w:ilvl w:val="0"/>
          <w:numId w:val="4"/>
        </w:numPr>
        <w:tabs>
          <w:tab w:val="clear" w:pos="-420"/>
        </w:tabs>
        <w:snapToGrid w:val="0"/>
        <w:spacing w:after="78" w:afterLines="25" w:line="360" w:lineRule="auto"/>
        <w:ind w:left="1050" w:hanging="42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价格部分；</w:t>
      </w:r>
    </w:p>
    <w:p>
      <w:pPr>
        <w:numPr>
          <w:ilvl w:val="0"/>
          <w:numId w:val="4"/>
        </w:numPr>
        <w:tabs>
          <w:tab w:val="clear" w:pos="-420"/>
        </w:tabs>
        <w:snapToGrid w:val="0"/>
        <w:spacing w:after="78" w:afterLines="25" w:line="360" w:lineRule="auto"/>
        <w:ind w:left="1050" w:hanging="42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商务部分；</w:t>
      </w:r>
    </w:p>
    <w:p>
      <w:pPr>
        <w:numPr>
          <w:ilvl w:val="0"/>
          <w:numId w:val="4"/>
        </w:numPr>
        <w:tabs>
          <w:tab w:val="clear" w:pos="-420"/>
        </w:tabs>
        <w:snapToGrid w:val="0"/>
        <w:spacing w:after="78" w:afterLines="25" w:line="360" w:lineRule="auto"/>
        <w:ind w:left="1050" w:hanging="42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技术部分。</w:t>
      </w:r>
    </w:p>
    <w:p>
      <w:pPr>
        <w:snapToGrid w:val="0"/>
        <w:spacing w:line="360" w:lineRule="auto"/>
        <w:rPr>
          <w:rFonts w:ascii="宋体" w:hAnsi="宋体" w:cs="宋体"/>
          <w:b/>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w:t>
      </w:r>
      <w:r>
        <w:rPr>
          <w:rFonts w:hint="eastAsia" w:ascii="宋体" w:hAnsi="宋体" w:cs="宋体"/>
          <w:bCs/>
          <w:color w:val="000000" w:themeColor="text1"/>
          <w:sz w:val="24"/>
          <w14:textFill>
            <w14:solidFill>
              <w14:schemeClr w14:val="tx1"/>
            </w14:solidFill>
          </w14:textFill>
        </w:rPr>
        <w:t>采购人会对本次招标的项目确定一个最高限价，最终成交价格超出最高限价将会被当作投标无效处理。</w:t>
      </w:r>
    </w:p>
    <w:p>
      <w:pPr>
        <w:snapToGrid w:val="0"/>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7、如采购人要求参加投标的供应商需在现场述标时，要派出熟悉本项目情况的项目负责人和对报价有决策权的代表参加，供应商代表要有法人代表的授权，同时要提供法人代表证明。</w:t>
      </w:r>
    </w:p>
    <w:p>
      <w:pPr>
        <w:snapToGrid w:val="0"/>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8、采购人有权根据项目的实际情况提出质量标准、服务标准、交货标准、交货时间、验收方式、付款方式、履约保证、价格等方面的要求，并就这些内容进行评审，所有供应商都在同一标准下进行评审。</w:t>
      </w:r>
    </w:p>
    <w:p>
      <w:pPr>
        <w:snapToGrid w:val="0"/>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9、本次采购凡涉及知识产权问题，由项目供应商负责。</w:t>
      </w:r>
    </w:p>
    <w:p>
      <w:pPr>
        <w:snapToGrid w:val="0"/>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10、采购人将组成评审委员会，评审工作由评审委员会独立负责。</w:t>
      </w:r>
    </w:p>
    <w:p>
      <w:pPr>
        <w:snapToGrid w:val="0"/>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11、供应商应在规定的时间内提交投标文件，如需供应商代表到达现场，采购人或采购代理机构将至少在开标前一个工作日发出通知，供应商代表必须在规定的时间到达现场。</w:t>
      </w:r>
    </w:p>
    <w:p>
      <w:pPr>
        <w:snapToGrid w:val="0"/>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12、采用综合评分法的情况：评审委员会将分别对供应商递交的投标文件进行评审。</w:t>
      </w:r>
    </w:p>
    <w:p>
      <w:pPr>
        <w:snapToGrid w:val="0"/>
        <w:spacing w:line="360" w:lineRule="auto"/>
        <w:ind w:firstLine="360" w:firstLineChars="1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（1）评审委员会将根据供应商的供货能力、服务能力、货物的质量、是否满足本次采购的商务条件、报价等方面的情况进行综合评审，评标委员会依据得分情况，取综合得分最高的供应商为第一中标候选人。</w:t>
      </w:r>
    </w:p>
    <w:p>
      <w:pPr>
        <w:snapToGrid w:val="0"/>
        <w:spacing w:line="360" w:lineRule="auto"/>
        <w:ind w:firstLine="360" w:firstLineChars="1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（2）如果二个及以上供应商的综合评分相同时，取投标价格低者为第一中标候选人。</w:t>
      </w:r>
    </w:p>
    <w:p>
      <w:pPr>
        <w:snapToGrid w:val="0"/>
        <w:spacing w:line="360" w:lineRule="auto"/>
        <w:ind w:firstLine="360" w:firstLineChars="1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（3）如果二个及以上供应商的综合评分相同，且投标价格也相同时，取技术部分得分高者为第一中标候选人。</w:t>
      </w:r>
    </w:p>
    <w:p>
      <w:pPr>
        <w:snapToGrid w:val="0"/>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13、采用谈判的情况：参与投标且符合招标文件要求的供应商仅有一家，评审委员会将与投标供应商进行谈判。</w:t>
      </w:r>
    </w:p>
    <w:p>
      <w:pPr>
        <w:snapToGrid w:val="0"/>
        <w:spacing w:line="360" w:lineRule="auto"/>
        <w:ind w:firstLine="360" w:firstLineChars="1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（1）供应商在谈判时由项目负责人与评审委员会进行谈判；</w:t>
      </w:r>
    </w:p>
    <w:p>
      <w:pPr>
        <w:snapToGrid w:val="0"/>
        <w:spacing w:line="360" w:lineRule="auto"/>
        <w:ind w:firstLine="360" w:firstLineChars="1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（2）原则上成交价不超过最初报价的95%。</w:t>
      </w:r>
    </w:p>
    <w:p>
      <w:pPr>
        <w:snapToGrid w:val="0"/>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14、所有的评审/谈判内容都必须保密。</w:t>
      </w:r>
    </w:p>
    <w:p>
      <w:pPr>
        <w:snapToGrid w:val="0"/>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15、招标代理服务收费：</w:t>
      </w:r>
    </w:p>
    <w:p>
      <w:pPr>
        <w:snapToGrid w:val="0"/>
        <w:spacing w:line="360" w:lineRule="auto"/>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以《深圳市财政委员会关于规范深圳市社会采购代理机构管理有关事项的补充通知》（深财购〔2018〕27号）代理费用参考标准的80%按差额定率累进法进行计费，由中标人支付，若以上计算金额小于3000元，则按3000元收取。</w:t>
      </w:r>
    </w:p>
    <w:p>
      <w:pPr>
        <w:snapToGrid w:val="0"/>
        <w:spacing w:line="360" w:lineRule="auto"/>
        <w:ind w:firstLine="360" w:firstLineChars="1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具体计取费率标准如下表所示：</w:t>
      </w:r>
    </w:p>
    <w:tbl>
      <w:tblPr>
        <w:tblStyle w:val="20"/>
        <w:tblW w:w="861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124"/>
        <w:gridCol w:w="1843"/>
        <w:gridCol w:w="1755"/>
        <w:gridCol w:w="189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3124" w:type="dxa"/>
            <w:vMerge w:val="restart"/>
            <w:shd w:val="clear" w:color="auto" w:fill="D7D7D7"/>
            <w:vAlign w:val="center"/>
          </w:tcPr>
          <w:p>
            <w:pPr>
              <w:adjustRightInd w:val="0"/>
              <w:snapToGrid w:val="0"/>
              <w:spacing w:line="360" w:lineRule="auto"/>
              <w:ind w:right="26"/>
              <w:jc w:val="center"/>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中标金额</w:t>
            </w:r>
          </w:p>
        </w:tc>
        <w:tc>
          <w:tcPr>
            <w:tcW w:w="5495" w:type="dxa"/>
            <w:gridSpan w:val="3"/>
            <w:shd w:val="clear" w:color="auto" w:fill="D7D7D7"/>
            <w:vAlign w:val="center"/>
          </w:tcPr>
          <w:p>
            <w:pPr>
              <w:adjustRightInd w:val="0"/>
              <w:snapToGrid w:val="0"/>
              <w:spacing w:line="360" w:lineRule="auto"/>
              <w:ind w:right="26"/>
              <w:jc w:val="center"/>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各类型招标代理服务费计算费率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1" w:hRule="atLeast"/>
          <w:jc w:val="center"/>
        </w:trPr>
        <w:tc>
          <w:tcPr>
            <w:tcW w:w="3124" w:type="dxa"/>
            <w:vMerge w:val="continue"/>
            <w:shd w:val="clear" w:color="auto" w:fill="D7D7D7"/>
            <w:vAlign w:val="center"/>
          </w:tcPr>
          <w:p>
            <w:pPr>
              <w:adjustRightInd w:val="0"/>
              <w:snapToGrid w:val="0"/>
              <w:spacing w:line="360" w:lineRule="auto"/>
              <w:ind w:right="26"/>
              <w:jc w:val="center"/>
              <w:rPr>
                <w:rFonts w:ascii="宋体" w:hAnsi="宋体" w:cs="宋体"/>
                <w:b/>
                <w:bCs/>
                <w:color w:val="000000" w:themeColor="text1"/>
                <w:sz w:val="24"/>
                <w14:textFill>
                  <w14:solidFill>
                    <w14:schemeClr w14:val="tx1"/>
                  </w14:solidFill>
                </w14:textFill>
              </w:rPr>
            </w:pPr>
          </w:p>
        </w:tc>
        <w:tc>
          <w:tcPr>
            <w:tcW w:w="1843" w:type="dxa"/>
            <w:shd w:val="clear" w:color="auto" w:fill="D7D7D7"/>
            <w:vAlign w:val="center"/>
          </w:tcPr>
          <w:p>
            <w:pPr>
              <w:adjustRightInd w:val="0"/>
              <w:snapToGrid w:val="0"/>
              <w:spacing w:line="360" w:lineRule="auto"/>
              <w:ind w:right="26"/>
              <w:jc w:val="center"/>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货物招标</w:t>
            </w:r>
          </w:p>
        </w:tc>
        <w:tc>
          <w:tcPr>
            <w:tcW w:w="1755" w:type="dxa"/>
            <w:shd w:val="clear" w:color="auto" w:fill="D7D7D7"/>
            <w:vAlign w:val="center"/>
          </w:tcPr>
          <w:p>
            <w:pPr>
              <w:adjustRightInd w:val="0"/>
              <w:snapToGrid w:val="0"/>
              <w:spacing w:line="360" w:lineRule="auto"/>
              <w:ind w:right="26"/>
              <w:jc w:val="center"/>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服务招标</w:t>
            </w:r>
          </w:p>
        </w:tc>
        <w:tc>
          <w:tcPr>
            <w:tcW w:w="1897" w:type="dxa"/>
            <w:shd w:val="clear" w:color="auto" w:fill="D7D7D7"/>
            <w:vAlign w:val="center"/>
          </w:tcPr>
          <w:p>
            <w:pPr>
              <w:adjustRightInd w:val="0"/>
              <w:snapToGrid w:val="0"/>
              <w:spacing w:line="360" w:lineRule="auto"/>
              <w:ind w:right="26"/>
              <w:jc w:val="center"/>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工程招标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100万元以下</w:t>
            </w:r>
          </w:p>
        </w:tc>
        <w:tc>
          <w:tcPr>
            <w:tcW w:w="1843" w:type="dxa"/>
            <w:vAlign w:val="center"/>
          </w:tcPr>
          <w:p>
            <w:pPr>
              <w:adjustRightInd w:val="0"/>
              <w:snapToGrid w:val="0"/>
              <w:spacing w:line="360" w:lineRule="auto"/>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1.5%</w:t>
            </w:r>
          </w:p>
        </w:tc>
        <w:tc>
          <w:tcPr>
            <w:tcW w:w="1755" w:type="dxa"/>
            <w:vAlign w:val="center"/>
          </w:tcPr>
          <w:p>
            <w:pPr>
              <w:adjustRightInd w:val="0"/>
              <w:snapToGrid w:val="0"/>
              <w:spacing w:line="360" w:lineRule="auto"/>
              <w:ind w:right="28"/>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1.5%</w:t>
            </w:r>
          </w:p>
        </w:tc>
        <w:tc>
          <w:tcPr>
            <w:tcW w:w="1897" w:type="dxa"/>
            <w:vAlign w:val="center"/>
          </w:tcPr>
          <w:p>
            <w:pPr>
              <w:adjustRightInd w:val="0"/>
              <w:snapToGrid w:val="0"/>
              <w:spacing w:line="360" w:lineRule="auto"/>
              <w:ind w:right="28"/>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100万元（含）-500万元</w:t>
            </w:r>
          </w:p>
        </w:tc>
        <w:tc>
          <w:tcPr>
            <w:tcW w:w="1843" w:type="dxa"/>
            <w:vAlign w:val="center"/>
          </w:tcPr>
          <w:p>
            <w:pPr>
              <w:adjustRightInd w:val="0"/>
              <w:snapToGrid w:val="0"/>
              <w:spacing w:line="360" w:lineRule="auto"/>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w:t>
            </w:r>
          </w:p>
        </w:tc>
        <w:tc>
          <w:tcPr>
            <w:tcW w:w="1755" w:type="dxa"/>
            <w:vAlign w:val="center"/>
          </w:tcPr>
          <w:p>
            <w:pPr>
              <w:adjustRightInd w:val="0"/>
              <w:snapToGrid w:val="0"/>
              <w:spacing w:line="360" w:lineRule="auto"/>
              <w:ind w:right="28"/>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0.8%</w:t>
            </w:r>
          </w:p>
        </w:tc>
        <w:tc>
          <w:tcPr>
            <w:tcW w:w="1897" w:type="dxa"/>
            <w:vAlign w:val="center"/>
          </w:tcPr>
          <w:p>
            <w:pPr>
              <w:adjustRightInd w:val="0"/>
              <w:snapToGrid w:val="0"/>
              <w:spacing w:line="360" w:lineRule="auto"/>
              <w:ind w:right="28"/>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500万元（含）-1000万元</w:t>
            </w:r>
          </w:p>
        </w:tc>
        <w:tc>
          <w:tcPr>
            <w:tcW w:w="1843" w:type="dxa"/>
            <w:vAlign w:val="center"/>
          </w:tcPr>
          <w:p>
            <w:pPr>
              <w:adjustRightInd w:val="0"/>
              <w:snapToGrid w:val="0"/>
              <w:spacing w:line="360" w:lineRule="auto"/>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0.8%</w:t>
            </w:r>
          </w:p>
        </w:tc>
        <w:tc>
          <w:tcPr>
            <w:tcW w:w="1755" w:type="dxa"/>
            <w:vAlign w:val="center"/>
          </w:tcPr>
          <w:p>
            <w:pPr>
              <w:adjustRightInd w:val="0"/>
              <w:snapToGrid w:val="0"/>
              <w:spacing w:line="360" w:lineRule="auto"/>
              <w:ind w:right="28"/>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0.45%</w:t>
            </w:r>
          </w:p>
        </w:tc>
        <w:tc>
          <w:tcPr>
            <w:tcW w:w="1897" w:type="dxa"/>
            <w:vAlign w:val="center"/>
          </w:tcPr>
          <w:p>
            <w:pPr>
              <w:adjustRightInd w:val="0"/>
              <w:snapToGrid w:val="0"/>
              <w:spacing w:line="360" w:lineRule="auto"/>
              <w:ind w:right="28"/>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0.55%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1000万元（含）-5000万元</w:t>
            </w:r>
          </w:p>
        </w:tc>
        <w:tc>
          <w:tcPr>
            <w:tcW w:w="1843" w:type="dxa"/>
            <w:vAlign w:val="center"/>
          </w:tcPr>
          <w:p>
            <w:pPr>
              <w:adjustRightInd w:val="0"/>
              <w:snapToGrid w:val="0"/>
              <w:spacing w:line="360" w:lineRule="auto"/>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0.5%</w:t>
            </w:r>
          </w:p>
        </w:tc>
        <w:tc>
          <w:tcPr>
            <w:tcW w:w="1755" w:type="dxa"/>
            <w:vAlign w:val="center"/>
          </w:tcPr>
          <w:p>
            <w:pPr>
              <w:adjustRightInd w:val="0"/>
              <w:snapToGrid w:val="0"/>
              <w:spacing w:line="360" w:lineRule="auto"/>
              <w:ind w:right="28"/>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0.25%</w:t>
            </w:r>
          </w:p>
        </w:tc>
        <w:tc>
          <w:tcPr>
            <w:tcW w:w="1897" w:type="dxa"/>
            <w:vAlign w:val="center"/>
          </w:tcPr>
          <w:p>
            <w:pPr>
              <w:adjustRightInd w:val="0"/>
              <w:snapToGrid w:val="0"/>
              <w:spacing w:line="360" w:lineRule="auto"/>
              <w:ind w:right="28"/>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0.35%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5000万元（含）-1亿元</w:t>
            </w:r>
          </w:p>
        </w:tc>
        <w:tc>
          <w:tcPr>
            <w:tcW w:w="1843" w:type="dxa"/>
            <w:vAlign w:val="center"/>
          </w:tcPr>
          <w:p>
            <w:pPr>
              <w:adjustRightInd w:val="0"/>
              <w:snapToGrid w:val="0"/>
              <w:spacing w:line="360" w:lineRule="auto"/>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0.25%</w:t>
            </w:r>
          </w:p>
        </w:tc>
        <w:tc>
          <w:tcPr>
            <w:tcW w:w="1755" w:type="dxa"/>
            <w:vAlign w:val="center"/>
          </w:tcPr>
          <w:p>
            <w:pPr>
              <w:adjustRightInd w:val="0"/>
              <w:snapToGrid w:val="0"/>
              <w:spacing w:line="360" w:lineRule="auto"/>
              <w:ind w:right="28"/>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0.1%</w:t>
            </w:r>
          </w:p>
        </w:tc>
        <w:tc>
          <w:tcPr>
            <w:tcW w:w="1897" w:type="dxa"/>
            <w:vAlign w:val="center"/>
          </w:tcPr>
          <w:p>
            <w:pPr>
              <w:adjustRightInd w:val="0"/>
              <w:snapToGrid w:val="0"/>
              <w:spacing w:line="360" w:lineRule="auto"/>
              <w:ind w:right="28"/>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1亿元（含）-5亿元</w:t>
            </w:r>
          </w:p>
        </w:tc>
        <w:tc>
          <w:tcPr>
            <w:tcW w:w="1843" w:type="dxa"/>
            <w:vAlign w:val="center"/>
          </w:tcPr>
          <w:p>
            <w:pPr>
              <w:adjustRightInd w:val="0"/>
              <w:snapToGrid w:val="0"/>
              <w:spacing w:line="360" w:lineRule="auto"/>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0.05%</w:t>
            </w:r>
          </w:p>
        </w:tc>
        <w:tc>
          <w:tcPr>
            <w:tcW w:w="1755" w:type="dxa"/>
            <w:vAlign w:val="center"/>
          </w:tcPr>
          <w:p>
            <w:pPr>
              <w:adjustRightInd w:val="0"/>
              <w:snapToGrid w:val="0"/>
              <w:spacing w:line="360" w:lineRule="auto"/>
              <w:ind w:right="28"/>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0.05%</w:t>
            </w:r>
          </w:p>
        </w:tc>
        <w:tc>
          <w:tcPr>
            <w:tcW w:w="1897" w:type="dxa"/>
            <w:vAlign w:val="center"/>
          </w:tcPr>
          <w:p>
            <w:pPr>
              <w:adjustRightInd w:val="0"/>
              <w:snapToGrid w:val="0"/>
              <w:spacing w:line="360" w:lineRule="auto"/>
              <w:ind w:right="28"/>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5亿元（含）-10亿元</w:t>
            </w:r>
          </w:p>
        </w:tc>
        <w:tc>
          <w:tcPr>
            <w:tcW w:w="1843" w:type="dxa"/>
            <w:vAlign w:val="center"/>
          </w:tcPr>
          <w:p>
            <w:pPr>
              <w:adjustRightInd w:val="0"/>
              <w:snapToGrid w:val="0"/>
              <w:spacing w:line="360" w:lineRule="auto"/>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0.035%</w:t>
            </w:r>
          </w:p>
        </w:tc>
        <w:tc>
          <w:tcPr>
            <w:tcW w:w="1755" w:type="dxa"/>
            <w:vAlign w:val="center"/>
          </w:tcPr>
          <w:p>
            <w:pPr>
              <w:adjustRightInd w:val="0"/>
              <w:snapToGrid w:val="0"/>
              <w:spacing w:line="360" w:lineRule="auto"/>
              <w:ind w:right="28"/>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0.035%</w:t>
            </w:r>
          </w:p>
        </w:tc>
        <w:tc>
          <w:tcPr>
            <w:tcW w:w="1897" w:type="dxa"/>
            <w:vAlign w:val="center"/>
          </w:tcPr>
          <w:p>
            <w:pPr>
              <w:adjustRightInd w:val="0"/>
              <w:snapToGrid w:val="0"/>
              <w:spacing w:line="360" w:lineRule="auto"/>
              <w:ind w:right="28"/>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0.035%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10亿元（含）-50亿元</w:t>
            </w:r>
          </w:p>
        </w:tc>
        <w:tc>
          <w:tcPr>
            <w:tcW w:w="1843" w:type="dxa"/>
            <w:vAlign w:val="center"/>
          </w:tcPr>
          <w:p>
            <w:pPr>
              <w:adjustRightInd w:val="0"/>
              <w:snapToGrid w:val="0"/>
              <w:spacing w:line="360" w:lineRule="auto"/>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0.008%</w:t>
            </w:r>
          </w:p>
        </w:tc>
        <w:tc>
          <w:tcPr>
            <w:tcW w:w="1755" w:type="dxa"/>
            <w:vAlign w:val="center"/>
          </w:tcPr>
          <w:p>
            <w:pPr>
              <w:adjustRightInd w:val="0"/>
              <w:snapToGrid w:val="0"/>
              <w:spacing w:line="360" w:lineRule="auto"/>
              <w:ind w:right="28"/>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0.008%</w:t>
            </w:r>
          </w:p>
        </w:tc>
        <w:tc>
          <w:tcPr>
            <w:tcW w:w="1897" w:type="dxa"/>
            <w:vAlign w:val="center"/>
          </w:tcPr>
          <w:p>
            <w:pPr>
              <w:adjustRightInd w:val="0"/>
              <w:snapToGrid w:val="0"/>
              <w:spacing w:line="360" w:lineRule="auto"/>
              <w:ind w:right="28"/>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0.008%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50亿元（含）-100亿元</w:t>
            </w:r>
          </w:p>
        </w:tc>
        <w:tc>
          <w:tcPr>
            <w:tcW w:w="1843" w:type="dxa"/>
            <w:vAlign w:val="center"/>
          </w:tcPr>
          <w:p>
            <w:pPr>
              <w:adjustRightInd w:val="0"/>
              <w:snapToGrid w:val="0"/>
              <w:spacing w:line="360" w:lineRule="auto"/>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0.006%</w:t>
            </w:r>
          </w:p>
        </w:tc>
        <w:tc>
          <w:tcPr>
            <w:tcW w:w="1755" w:type="dxa"/>
            <w:vAlign w:val="center"/>
          </w:tcPr>
          <w:p>
            <w:pPr>
              <w:adjustRightInd w:val="0"/>
              <w:snapToGrid w:val="0"/>
              <w:spacing w:line="360" w:lineRule="auto"/>
              <w:ind w:right="28"/>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0.006%</w:t>
            </w:r>
          </w:p>
        </w:tc>
        <w:tc>
          <w:tcPr>
            <w:tcW w:w="1897" w:type="dxa"/>
            <w:vAlign w:val="center"/>
          </w:tcPr>
          <w:p>
            <w:pPr>
              <w:adjustRightInd w:val="0"/>
              <w:snapToGrid w:val="0"/>
              <w:spacing w:line="360" w:lineRule="auto"/>
              <w:ind w:right="28"/>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0.006%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3124" w:type="dxa"/>
            <w:vAlign w:val="center"/>
          </w:tcPr>
          <w:p>
            <w:pPr>
              <w:adjustRightInd w:val="0"/>
              <w:snapToGrid w:val="0"/>
              <w:spacing w:line="360" w:lineRule="auto"/>
              <w:ind w:right="28"/>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100亿元（含）以上</w:t>
            </w:r>
          </w:p>
        </w:tc>
        <w:tc>
          <w:tcPr>
            <w:tcW w:w="1843" w:type="dxa"/>
            <w:vAlign w:val="center"/>
          </w:tcPr>
          <w:p>
            <w:pPr>
              <w:adjustRightInd w:val="0"/>
              <w:snapToGrid w:val="0"/>
              <w:spacing w:line="360" w:lineRule="auto"/>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0.004%</w:t>
            </w:r>
          </w:p>
        </w:tc>
        <w:tc>
          <w:tcPr>
            <w:tcW w:w="1755" w:type="dxa"/>
            <w:vAlign w:val="center"/>
          </w:tcPr>
          <w:p>
            <w:pPr>
              <w:adjustRightInd w:val="0"/>
              <w:snapToGrid w:val="0"/>
              <w:spacing w:line="360" w:lineRule="auto"/>
              <w:ind w:right="28"/>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0.004%</w:t>
            </w:r>
          </w:p>
        </w:tc>
        <w:tc>
          <w:tcPr>
            <w:tcW w:w="1897" w:type="dxa"/>
            <w:vAlign w:val="center"/>
          </w:tcPr>
          <w:p>
            <w:pPr>
              <w:adjustRightInd w:val="0"/>
              <w:snapToGrid w:val="0"/>
              <w:spacing w:line="360" w:lineRule="auto"/>
              <w:ind w:right="28"/>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0.004%</w:t>
            </w:r>
          </w:p>
        </w:tc>
      </w:tr>
    </w:tbl>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招标代理服务费缴纳至：</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开户名称：中国远东国际招标有限公司深圳分公司</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银行账号：11013651025501</w:t>
      </w:r>
    </w:p>
    <w:p>
      <w:pPr>
        <w:spacing w:line="360" w:lineRule="auto"/>
        <w:rPr>
          <w:rFonts w:ascii="宋体" w:hAnsi="宋体" w:cs="宋体"/>
          <w:b/>
          <w:bCs/>
          <w:color w:val="000000" w:themeColor="text1"/>
          <w:sz w:val="24"/>
          <w14:textFill>
            <w14:solidFill>
              <w14:schemeClr w14:val="tx1"/>
            </w14:solidFill>
          </w14:textFill>
        </w:rPr>
        <w:sectPr>
          <w:footerReference r:id="rId3" w:type="default"/>
          <w:footerReference r:id="rId4" w:type="even"/>
          <w:pgSz w:w="11906" w:h="16838"/>
          <w:pgMar w:top="1440" w:right="1800" w:bottom="1440" w:left="1800" w:header="851" w:footer="992" w:gutter="0"/>
          <w:cols w:space="720" w:num="1"/>
          <w:docGrid w:type="lines" w:linePitch="312" w:charSpace="0"/>
        </w:sectPr>
      </w:pPr>
      <w:r>
        <w:rPr>
          <w:rFonts w:hint="eastAsia" w:ascii="宋体" w:hAnsi="宋体" w:cs="宋体"/>
          <w:color w:val="000000" w:themeColor="text1"/>
          <w:sz w:val="24"/>
          <w14:textFill>
            <w14:solidFill>
              <w14:schemeClr w14:val="tx1"/>
            </w14:solidFill>
          </w14:textFill>
        </w:rPr>
        <w:t>开户银行：平安银行深圳中电支行</w:t>
      </w:r>
    </w:p>
    <w:p>
      <w:pPr>
        <w:numPr>
          <w:ilvl w:val="0"/>
          <w:numId w:val="1"/>
        </w:numPr>
        <w:spacing w:line="360" w:lineRule="auto"/>
        <w:jc w:val="center"/>
        <w:outlineLvl w:val="0"/>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 xml:space="preserve"> </w:t>
      </w:r>
      <w:bookmarkStart w:id="17" w:name="_Toc20176"/>
      <w:r>
        <w:rPr>
          <w:rFonts w:hint="eastAsia" w:ascii="宋体" w:hAnsi="宋体" w:cs="宋体"/>
          <w:b/>
          <w:bCs/>
          <w:color w:val="000000" w:themeColor="text1"/>
          <w:sz w:val="24"/>
          <w14:textFill>
            <w14:solidFill>
              <w14:schemeClr w14:val="tx1"/>
            </w14:solidFill>
          </w14:textFill>
        </w:rPr>
        <w:t>评标程序</w:t>
      </w:r>
      <w:bookmarkEnd w:id="17"/>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一、依法成立评审委员会。在投标截止日前由前海管理局授权招标代理机构在深圳市政府采购评审专家库中抽取专家，组建不少于3人（单数）的评审委员会，其中专家人数为1人，其他专家由采购主办部门委派，评审委员会在投标截止日前一天组成。</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二、参加会议人员：投标人代表（如需）、项目负责代表、评审委员会成员、监督部门代表（如需）、采购代理机构代表。</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三、会议主持人：中国远东国际招标有限公司工作人员 。</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四、开标时间：2025年</w:t>
      </w:r>
      <w:r>
        <w:rPr>
          <w:rFonts w:hint="eastAsia" w:ascii="宋体" w:hAnsi="宋体" w:cs="宋体"/>
          <w:color w:val="000000" w:themeColor="text1"/>
          <w:sz w:val="24"/>
          <w:lang w:val="en-US" w:eastAsia="zh-CN"/>
          <w14:textFill>
            <w14:solidFill>
              <w14:schemeClr w14:val="tx1"/>
            </w14:solidFill>
          </w14:textFill>
        </w:rPr>
        <w:t>12</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lang w:val="en-US" w:eastAsia="zh-CN"/>
          <w14:textFill>
            <w14:solidFill>
              <w14:schemeClr w14:val="tx1"/>
            </w14:solidFill>
          </w14:textFill>
        </w:rPr>
        <w:t>2</w:t>
      </w:r>
      <w:r>
        <w:rPr>
          <w:rFonts w:hint="eastAsia" w:ascii="宋体" w:hAnsi="宋体" w:cs="宋体"/>
          <w:color w:val="000000" w:themeColor="text1"/>
          <w:sz w:val="24"/>
          <w14:textFill>
            <w14:solidFill>
              <w14:schemeClr w14:val="tx1"/>
            </w14:solidFill>
          </w14:textFill>
        </w:rPr>
        <w:t>日1</w:t>
      </w:r>
      <w:r>
        <w:rPr>
          <w:rFonts w:hint="eastAsia" w:ascii="宋体" w:hAnsi="宋体" w:cs="宋体"/>
          <w:color w:val="000000" w:themeColor="text1"/>
          <w:sz w:val="24"/>
          <w:lang w:val="en-US" w:eastAsia="zh-CN"/>
          <w14:textFill>
            <w14:solidFill>
              <w14:schemeClr w14:val="tx1"/>
            </w14:solidFill>
          </w14:textFill>
        </w:rPr>
        <w:t>4</w:t>
      </w:r>
      <w:r>
        <w:rPr>
          <w:rFonts w:hint="eastAsia" w:ascii="宋体" w:hAnsi="宋体" w:cs="宋体"/>
          <w:color w:val="000000" w:themeColor="text1"/>
          <w:sz w:val="24"/>
          <w14:textFill>
            <w14:solidFill>
              <w14:schemeClr w14:val="tx1"/>
            </w14:solidFill>
          </w14:textFill>
        </w:rPr>
        <w:t>:</w:t>
      </w:r>
      <w:r>
        <w:rPr>
          <w:rFonts w:hint="eastAsia" w:ascii="宋体" w:hAnsi="宋体" w:cs="宋体"/>
          <w:color w:val="000000" w:themeColor="text1"/>
          <w:sz w:val="24"/>
          <w:lang w:val="en-US" w:eastAsia="zh-CN"/>
          <w14:textFill>
            <w14:solidFill>
              <w14:schemeClr w14:val="tx1"/>
            </w14:solidFill>
          </w14:textFill>
        </w:rPr>
        <w:t>3</w:t>
      </w:r>
      <w:r>
        <w:rPr>
          <w:rFonts w:hint="eastAsia" w:ascii="宋体" w:hAnsi="宋体" w:cs="宋体"/>
          <w:color w:val="000000" w:themeColor="text1"/>
          <w:sz w:val="24"/>
          <w14:textFill>
            <w14:solidFill>
              <w14:schemeClr w14:val="tx1"/>
            </w14:solidFill>
          </w14:textFill>
        </w:rPr>
        <w:t>0时（北京时间）。</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五、会议开始：2025年</w:t>
      </w:r>
      <w:r>
        <w:rPr>
          <w:rFonts w:hint="eastAsia" w:ascii="宋体" w:hAnsi="宋体" w:cs="宋体"/>
          <w:color w:val="000000" w:themeColor="text1"/>
          <w:sz w:val="24"/>
          <w:lang w:val="en-US" w:eastAsia="zh-CN"/>
          <w14:textFill>
            <w14:solidFill>
              <w14:schemeClr w14:val="tx1"/>
            </w14:solidFill>
          </w14:textFill>
        </w:rPr>
        <w:t>12</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lang w:val="en-US" w:eastAsia="zh-CN"/>
          <w14:textFill>
            <w14:solidFill>
              <w14:schemeClr w14:val="tx1"/>
            </w14:solidFill>
          </w14:textFill>
        </w:rPr>
        <w:t>2</w:t>
      </w:r>
      <w:r>
        <w:rPr>
          <w:rFonts w:hint="eastAsia" w:ascii="宋体" w:hAnsi="宋体" w:cs="宋体"/>
          <w:color w:val="000000" w:themeColor="text1"/>
          <w:sz w:val="24"/>
          <w14:textFill>
            <w14:solidFill>
              <w14:schemeClr w14:val="tx1"/>
            </w14:solidFill>
          </w14:textFill>
        </w:rPr>
        <w:t>日1</w:t>
      </w:r>
      <w:r>
        <w:rPr>
          <w:rFonts w:hint="eastAsia" w:ascii="宋体" w:hAnsi="宋体" w:cs="宋体"/>
          <w:color w:val="000000" w:themeColor="text1"/>
          <w:sz w:val="24"/>
          <w:lang w:val="en-US" w:eastAsia="zh-CN"/>
          <w14:textFill>
            <w14:solidFill>
              <w14:schemeClr w14:val="tx1"/>
            </w14:solidFill>
          </w14:textFill>
        </w:rPr>
        <w:t>4</w:t>
      </w:r>
      <w:r>
        <w:rPr>
          <w:rFonts w:hint="eastAsia" w:ascii="宋体" w:hAnsi="宋体" w:cs="宋体"/>
          <w:color w:val="000000" w:themeColor="text1"/>
          <w:sz w:val="24"/>
          <w14:textFill>
            <w14:solidFill>
              <w14:schemeClr w14:val="tx1"/>
            </w14:solidFill>
          </w14:textFill>
        </w:rPr>
        <w:t>:</w:t>
      </w:r>
      <w:r>
        <w:rPr>
          <w:rFonts w:hint="eastAsia" w:ascii="宋体" w:hAnsi="宋体" w:cs="宋体"/>
          <w:color w:val="000000" w:themeColor="text1"/>
          <w:sz w:val="24"/>
          <w:lang w:val="en-US" w:eastAsia="zh-CN"/>
          <w14:textFill>
            <w14:solidFill>
              <w14:schemeClr w14:val="tx1"/>
            </w14:solidFill>
          </w14:textFill>
        </w:rPr>
        <w:t>3</w:t>
      </w:r>
      <w:r>
        <w:rPr>
          <w:rFonts w:hint="eastAsia" w:ascii="宋体" w:hAnsi="宋体" w:cs="宋体"/>
          <w:color w:val="000000" w:themeColor="text1"/>
          <w:sz w:val="24"/>
          <w14:textFill>
            <w14:solidFill>
              <w14:schemeClr w14:val="tx1"/>
            </w14:solidFill>
          </w14:textFill>
        </w:rPr>
        <w:t>0时（北京时间）由会议主持人宣布定标会议开始。</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六、项目负责代表向采购代理机构代表送交投标文件，监督部门代表（如有）确认投标文件密封完整，未密封投标文件将作为投标无效处理。</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七、由采购代理机构代表现场拆封投标文件，并分发给评审委员会成员。</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八、评审委员会审查供应商的投标文件，工作人员记录审查的情况。</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九、评审委员会按以下工作程序进行：</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1、评标委员会对各供应商的投标文件进行初审，对未能通过初审的投标文件作投标无效处理。</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2、对通过初审的供应商的投标文件进行详细的比较和评价。如需要，进行必要的澄清/说明工作。</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3、根据参与投标且符合招标文件要求的供应商数量情况，确定本项目的评审方法。</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4、采用综合评分法的情况：评审委员会将分别对供应商递交的投标文件进行评审。</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4.1评审委员会将根据供应商的供货能力、服务能力、货物的质量、是否满足本次采购的商务条件、报价等方面的情况进行综合评价，评标委员会依据得分情况推荐综合得分第一名的供应商为第一中标候选人；</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4.2如果二个及以上供应商的综合评分相同时，取投标价格低者为第一中标候选人。</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4.3如果二个及以上供应商的综合评分相同，且投标价格也相同时，取技术部分得分高者为第一中标候选人。</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5、采用谈判的情况：参与投标且符合招标文件要求的供应商仅有一家，评审委员会将与投标供应商进行谈判。</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5.1 供应商在谈判时由项目负责人与评审委员会进行谈判；</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5.2 原则上成交价不超过最初报价的95%。</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5.3 评审委员会在谈判环节确定本项目最后的方案和承诺的内容，确定符合本次采购要求。如经谈判，供应商无法对招标实质性要求作出完全的响应，该供应商将被要求退出本次谈判，项目招标失败。</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6、评审委员会按照本项目招标文件中规定的评标方法确定中标供应商。</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十、根据本次采购的结果，1</w:t>
      </w:r>
      <w:r>
        <w:rPr>
          <w:rFonts w:ascii="宋体" w:hAnsi="宋体" w:cs="宋体"/>
          <w:color w:val="000000" w:themeColor="text1"/>
          <w:sz w:val="24"/>
          <w14:textFill>
            <w14:solidFill>
              <w14:schemeClr w14:val="tx1"/>
            </w14:solidFill>
          </w14:textFill>
        </w:rPr>
        <w:t>0</w:t>
      </w:r>
      <w:r>
        <w:rPr>
          <w:rFonts w:hint="eastAsia" w:ascii="宋体" w:hAnsi="宋体" w:cs="宋体"/>
          <w:color w:val="000000" w:themeColor="text1"/>
          <w:sz w:val="24"/>
          <w14:textFill>
            <w14:solidFill>
              <w14:schemeClr w14:val="tx1"/>
            </w14:solidFill>
          </w14:textFill>
        </w:rPr>
        <w:t>个工作日内与中标供应商签订合同。</w:t>
      </w:r>
    </w:p>
    <w:p>
      <w:pPr>
        <w:spacing w:line="360" w:lineRule="auto"/>
        <w:rPr>
          <w:rFonts w:ascii="宋体" w:hAnsi="宋体" w:cs="宋体"/>
          <w:color w:val="000000" w:themeColor="text1"/>
          <w:sz w:val="24"/>
          <w14:textFill>
            <w14:solidFill>
              <w14:schemeClr w14:val="tx1"/>
            </w14:solidFill>
          </w14:textFill>
        </w:rPr>
      </w:pPr>
    </w:p>
    <w:p>
      <w:pPr>
        <w:spacing w:line="360" w:lineRule="auto"/>
        <w:rPr>
          <w:rFonts w:ascii="宋体" w:hAnsi="宋体" w:cs="宋体"/>
          <w:color w:val="000000" w:themeColor="text1"/>
          <w:sz w:val="24"/>
          <w14:textFill>
            <w14:solidFill>
              <w14:schemeClr w14:val="tx1"/>
            </w14:solidFill>
          </w14:textFill>
        </w:rPr>
      </w:pPr>
    </w:p>
    <w:p>
      <w:pPr>
        <w:spacing w:line="360" w:lineRule="auto"/>
        <w:rPr>
          <w:rFonts w:ascii="宋体" w:hAnsi="宋体" w:cs="宋体"/>
          <w:color w:val="000000" w:themeColor="text1"/>
          <w:sz w:val="24"/>
          <w14:textFill>
            <w14:solidFill>
              <w14:schemeClr w14:val="tx1"/>
            </w14:solidFill>
          </w14:textFill>
        </w:rPr>
      </w:pPr>
    </w:p>
    <w:p>
      <w:pPr>
        <w:spacing w:line="360" w:lineRule="auto"/>
        <w:rPr>
          <w:rFonts w:ascii="宋体" w:hAnsi="宋体" w:cs="宋体"/>
          <w:color w:val="000000" w:themeColor="text1"/>
          <w:sz w:val="24"/>
          <w14:textFill>
            <w14:solidFill>
              <w14:schemeClr w14:val="tx1"/>
            </w14:solidFill>
          </w14:textFill>
        </w:rPr>
      </w:pPr>
    </w:p>
    <w:p>
      <w:pPr>
        <w:pStyle w:val="8"/>
        <w:rPr>
          <w:rFonts w:ascii="宋体" w:hAnsi="宋体" w:cs="宋体"/>
          <w:color w:val="000000" w:themeColor="text1"/>
          <w14:textFill>
            <w14:solidFill>
              <w14:schemeClr w14:val="tx1"/>
            </w14:solidFill>
          </w14:textFill>
        </w:rPr>
      </w:pPr>
      <w:r>
        <w:rPr>
          <w:rFonts w:hint="eastAsia"/>
          <w:color w:val="000000" w:themeColor="text1"/>
          <w14:textFill>
            <w14:solidFill>
              <w14:schemeClr w14:val="tx1"/>
            </w14:solidFill>
          </w14:textFill>
        </w:rPr>
        <w:br w:type="page"/>
      </w:r>
    </w:p>
    <w:p>
      <w:pPr>
        <w:numPr>
          <w:ilvl w:val="0"/>
          <w:numId w:val="1"/>
        </w:numPr>
        <w:spacing w:line="360" w:lineRule="auto"/>
        <w:jc w:val="center"/>
        <w:outlineLvl w:val="0"/>
        <w:rPr>
          <w:rFonts w:ascii="宋体" w:hAnsi="宋体" w:cs="宋体"/>
          <w:b/>
          <w:bCs/>
          <w:color w:val="000000" w:themeColor="text1"/>
          <w:sz w:val="24"/>
          <w14:textFill>
            <w14:solidFill>
              <w14:schemeClr w14:val="tx1"/>
            </w14:solidFill>
          </w14:textFill>
        </w:rPr>
      </w:pPr>
      <w:bookmarkStart w:id="18" w:name="_Toc3567"/>
      <w:r>
        <w:rPr>
          <w:rFonts w:hint="eastAsia" w:ascii="宋体" w:hAnsi="宋体" w:cs="宋体"/>
          <w:b/>
          <w:bCs/>
          <w:color w:val="000000" w:themeColor="text1"/>
          <w:sz w:val="24"/>
          <w14:textFill>
            <w14:solidFill>
              <w14:schemeClr w14:val="tx1"/>
            </w14:solidFill>
          </w14:textFill>
        </w:rPr>
        <w:t>合同格式及合同条款</w:t>
      </w:r>
      <w:bookmarkEnd w:id="18"/>
    </w:p>
    <w:p>
      <w:pPr>
        <w:spacing w:line="360" w:lineRule="auto"/>
        <w:ind w:firstLine="470" w:firstLineChars="196"/>
        <w:jc w:val="center"/>
        <w:rPr>
          <w:rFonts w:ascii="宋体" w:hAnsi="宋体" w:cs="宋体"/>
          <w:color w:val="000000" w:themeColor="text1"/>
          <w:sz w:val="24"/>
          <w14:textFill>
            <w14:solidFill>
              <w14:schemeClr w14:val="tx1"/>
            </w14:solidFill>
          </w14:textFill>
        </w:rPr>
      </w:pPr>
      <w:bookmarkStart w:id="19" w:name="_Toc84303603"/>
      <w:bookmarkStart w:id="20" w:name="_Toc101074886"/>
      <w:bookmarkStart w:id="21" w:name="_Toc73518163"/>
      <w:bookmarkStart w:id="22" w:name="_Toc73517685"/>
      <w:bookmarkStart w:id="23" w:name="_Toc73521680"/>
      <w:bookmarkStart w:id="24" w:name="_Toc73521592"/>
      <w:bookmarkStart w:id="25" w:name="_Toc100052414"/>
    </w:p>
    <w:bookmarkEnd w:id="19"/>
    <w:bookmarkEnd w:id="20"/>
    <w:bookmarkEnd w:id="21"/>
    <w:bookmarkEnd w:id="22"/>
    <w:bookmarkEnd w:id="23"/>
    <w:bookmarkEnd w:id="24"/>
    <w:bookmarkEnd w:id="25"/>
    <w:p>
      <w:pPr>
        <w:pStyle w:val="30"/>
        <w:spacing w:line="360" w:lineRule="auto"/>
        <w:ind w:left="1470" w:right="1470" w:firstLine="482"/>
        <w:jc w:val="center"/>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 xml:space="preserve">                        合同编号（甲方）：            </w:t>
      </w:r>
    </w:p>
    <w:p>
      <w:pPr>
        <w:pStyle w:val="30"/>
        <w:spacing w:line="360" w:lineRule="auto"/>
        <w:ind w:left="1470" w:right="1470" w:firstLine="482"/>
        <w:jc w:val="center"/>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 xml:space="preserve">                        合同编号（乙方）：            </w:t>
      </w:r>
    </w:p>
    <w:p>
      <w:pPr>
        <w:pStyle w:val="30"/>
        <w:spacing w:line="360" w:lineRule="auto"/>
        <w:ind w:left="1470" w:right="1470" w:firstLine="482"/>
        <w:jc w:val="center"/>
        <w:rPr>
          <w:rFonts w:ascii="宋体" w:hAnsi="宋体" w:cs="宋体"/>
          <w:b/>
          <w:color w:val="000000" w:themeColor="text1"/>
          <w:sz w:val="24"/>
          <w:szCs w:val="24"/>
          <w14:textFill>
            <w14:solidFill>
              <w14:schemeClr w14:val="tx1"/>
            </w14:solidFill>
          </w14:textFill>
        </w:rPr>
      </w:pPr>
    </w:p>
    <w:p>
      <w:pPr>
        <w:pStyle w:val="30"/>
        <w:spacing w:line="360" w:lineRule="auto"/>
        <w:ind w:left="1470" w:right="1470" w:firstLine="482"/>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 xml:space="preserve"> </w:t>
      </w:r>
    </w:p>
    <w:p>
      <w:pPr>
        <w:pStyle w:val="30"/>
        <w:spacing w:line="360" w:lineRule="auto"/>
        <w:ind w:left="1470" w:right="1470" w:firstLine="482"/>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 xml:space="preserve"> </w:t>
      </w:r>
    </w:p>
    <w:p>
      <w:pPr>
        <w:spacing w:line="360" w:lineRule="auto"/>
        <w:jc w:val="center"/>
        <w:outlineLvl w:val="1"/>
        <w:rPr>
          <w:rFonts w:ascii="宋体" w:hAnsi="宋体" w:cs="宋体"/>
          <w:b/>
          <w:color w:val="000000" w:themeColor="text1"/>
          <w:sz w:val="32"/>
          <w:szCs w:val="32"/>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t>“港税e”香港居民个人所得税优惠政策落实提升服务项目</w:t>
      </w:r>
    </w:p>
    <w:p>
      <w:pPr>
        <w:spacing w:line="360" w:lineRule="auto"/>
        <w:jc w:val="center"/>
        <w:outlineLvl w:val="1"/>
        <w:rPr>
          <w:rFonts w:ascii="宋体" w:hAnsi="宋体" w:cs="宋体"/>
          <w:b/>
          <w:color w:val="000000" w:themeColor="text1"/>
          <w:sz w:val="32"/>
          <w:szCs w:val="32"/>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t>委托合同</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w:t>
      </w:r>
    </w:p>
    <w:p>
      <w:pPr>
        <w:pStyle w:val="30"/>
        <w:spacing w:line="360" w:lineRule="auto"/>
        <w:ind w:left="1470" w:right="1470" w:firstLine="48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w:t>
      </w:r>
    </w:p>
    <w:p>
      <w:pPr>
        <w:pStyle w:val="30"/>
        <w:spacing w:line="360" w:lineRule="auto"/>
        <w:ind w:left="1470" w:right="1470" w:firstLine="48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w:t>
      </w:r>
    </w:p>
    <w:p>
      <w:pPr>
        <w:spacing w:line="360" w:lineRule="auto"/>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 xml:space="preserve">  </w:t>
      </w:r>
    </w:p>
    <w:p>
      <w:pPr>
        <w:spacing w:line="360" w:lineRule="auto"/>
        <w:ind w:firstLine="720" w:firstLineChars="300"/>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项目名称</w:t>
      </w:r>
      <w:r>
        <w:rPr>
          <w:rFonts w:hint="eastAsia" w:ascii="宋体" w:hAnsi="宋体" w:cs="宋体"/>
          <w:color w:val="000000" w:themeColor="text1"/>
          <w:sz w:val="24"/>
          <w:u w:val="single"/>
          <w14:textFill>
            <w14:solidFill>
              <w14:schemeClr w14:val="tx1"/>
            </w14:solidFill>
          </w14:textFill>
        </w:rPr>
        <w:t>：“港税e”香港居民个人所得税优惠政策落实提升服务项目</w:t>
      </w:r>
    </w:p>
    <w:p>
      <w:pPr>
        <w:spacing w:line="360" w:lineRule="auto"/>
        <w:ind w:firstLine="720" w:firstLineChars="300"/>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委托方（甲方）：</w:t>
      </w:r>
      <w:r>
        <w:rPr>
          <w:rFonts w:hint="eastAsia" w:ascii="宋体" w:hAnsi="宋体" w:cs="宋体"/>
          <w:color w:val="000000" w:themeColor="text1"/>
          <w:sz w:val="24"/>
          <w:u w:val="single"/>
          <w14:textFill>
            <w14:solidFill>
              <w14:schemeClr w14:val="tx1"/>
            </w14:solidFill>
          </w14:textFill>
        </w:rPr>
        <w:t xml:space="preserve">  深圳市前海深港现代服务业合作区管理局  </w:t>
      </w:r>
    </w:p>
    <w:p>
      <w:pPr>
        <w:spacing w:line="360" w:lineRule="auto"/>
        <w:ind w:firstLine="720" w:firstLineChars="300"/>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承接方（乙方）：</w:t>
      </w:r>
      <w:r>
        <w:rPr>
          <w:rFonts w:hint="eastAsia" w:ascii="宋体" w:hAnsi="宋体" w:cs="宋体"/>
          <w:color w:val="000000" w:themeColor="text1"/>
          <w:sz w:val="24"/>
          <w:u w:val="single"/>
          <w14:textFill>
            <w14:solidFill>
              <w14:schemeClr w14:val="tx1"/>
            </w14:solidFill>
          </w14:textFill>
        </w:rPr>
        <w:t xml:space="preserve">                                        </w:t>
      </w:r>
    </w:p>
    <w:p>
      <w:pPr>
        <w:spacing w:line="360" w:lineRule="auto"/>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 xml:space="preserve"> </w:t>
      </w:r>
    </w:p>
    <w:p>
      <w:pPr>
        <w:spacing w:line="360" w:lineRule="auto"/>
        <w:jc w:val="center"/>
        <w:rPr>
          <w:rFonts w:ascii="宋体" w:hAnsi="宋体" w:cs="宋体"/>
          <w:color w:val="000000" w:themeColor="text1"/>
          <w:sz w:val="24"/>
          <w14:textFill>
            <w14:solidFill>
              <w14:schemeClr w14:val="tx1"/>
            </w14:solidFill>
          </w14:textFill>
        </w:rPr>
      </w:pPr>
    </w:p>
    <w:p>
      <w:pPr>
        <w:spacing w:line="360" w:lineRule="auto"/>
        <w:jc w:val="center"/>
        <w:rPr>
          <w:rFonts w:ascii="宋体" w:hAnsi="宋体" w:cs="宋体"/>
          <w:color w:val="000000" w:themeColor="text1"/>
          <w:sz w:val="24"/>
          <w14:textFill>
            <w14:solidFill>
              <w14:schemeClr w14:val="tx1"/>
            </w14:solidFill>
          </w14:textFill>
        </w:rPr>
      </w:pPr>
    </w:p>
    <w:p>
      <w:pPr>
        <w:spacing w:line="360" w:lineRule="auto"/>
        <w:jc w:val="center"/>
        <w:rPr>
          <w:rFonts w:ascii="宋体" w:hAnsi="宋体" w:cs="宋体"/>
          <w:color w:val="000000" w:themeColor="text1"/>
          <w:sz w:val="24"/>
          <w14:textFill>
            <w14:solidFill>
              <w14:schemeClr w14:val="tx1"/>
            </w14:solidFill>
          </w14:textFill>
        </w:rPr>
      </w:pPr>
    </w:p>
    <w:p>
      <w:pPr>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二〇二五年  月</w:t>
      </w:r>
    </w:p>
    <w:p>
      <w:pPr>
        <w:spacing w:line="360" w:lineRule="auto"/>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br w:type="page"/>
      </w:r>
      <w:r>
        <w:rPr>
          <w:rFonts w:hint="eastAsia" w:ascii="宋体" w:hAnsi="宋体" w:cs="宋体"/>
          <w:b/>
          <w:bCs/>
          <w:color w:val="000000" w:themeColor="text1"/>
          <w:sz w:val="24"/>
          <w14:textFill>
            <w14:solidFill>
              <w14:schemeClr w14:val="tx1"/>
            </w14:solidFill>
          </w14:textFill>
        </w:rPr>
        <w:t xml:space="preserve">甲方： </w:t>
      </w:r>
      <w:r>
        <w:rPr>
          <w:rFonts w:hint="eastAsia" w:ascii="宋体" w:hAnsi="宋体" w:cs="宋体"/>
          <w:color w:val="000000" w:themeColor="text1"/>
          <w:sz w:val="24"/>
          <w:u w:val="single"/>
          <w14:textFill>
            <w14:solidFill>
              <w14:schemeClr w14:val="tx1"/>
            </w14:solidFill>
          </w14:textFill>
        </w:rPr>
        <w:t>深圳市前海深港现代服务业合作区管理局</w:t>
      </w:r>
    </w:p>
    <w:p>
      <w:pPr>
        <w:spacing w:line="360" w:lineRule="auto"/>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 xml:space="preserve">地址： </w:t>
      </w:r>
      <w:r>
        <w:rPr>
          <w:rFonts w:hint="eastAsia" w:ascii="宋体" w:hAnsi="宋体" w:cs="宋体"/>
          <w:color w:val="000000" w:themeColor="text1"/>
          <w:sz w:val="24"/>
          <w:u w:val="single"/>
          <w14:textFill>
            <w14:solidFill>
              <w14:schemeClr w14:val="tx1"/>
            </w14:solidFill>
          </w14:textFill>
        </w:rPr>
        <w:t>深圳市前海深港合作区</w:t>
      </w:r>
      <w:r>
        <w:rPr>
          <w:rFonts w:ascii="宋体" w:hAnsi="宋体" w:cs="宋体"/>
          <w:color w:val="000000" w:themeColor="text1"/>
          <w:sz w:val="24"/>
          <w:u w:val="single"/>
          <w14:textFill>
            <w14:solidFill>
              <w14:schemeClr w14:val="tx1"/>
            </w14:solidFill>
          </w14:textFill>
        </w:rPr>
        <w:t>桂湾五路123号前海大厦T1栋前海管理局</w:t>
      </w:r>
    </w:p>
    <w:p>
      <w:pPr>
        <w:spacing w:line="360" w:lineRule="auto"/>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 xml:space="preserve"> </w:t>
      </w:r>
    </w:p>
    <w:p>
      <w:pPr>
        <w:spacing w:line="360" w:lineRule="auto"/>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乙方：</w:t>
      </w:r>
    </w:p>
    <w:p>
      <w:pPr>
        <w:spacing w:line="360" w:lineRule="auto"/>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地址：</w:t>
      </w:r>
    </w:p>
    <w:p>
      <w:pPr>
        <w:spacing w:line="360" w:lineRule="auto"/>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 xml:space="preserve"> </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以下甲方和乙方合称“双方”。</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根据《中华人民共和国民法典》等法律、法规的相关规定和编号为【QH2025146】招标项目的中标结果，由【***】单位（以下简称乙方）为中标人。按照《中华人民共和国民法典》和《深圳经济特区政府采购条例》，经甲乙双方协商，就甲方委托</w:t>
      </w:r>
      <w:r>
        <w:rPr>
          <w:rFonts w:hint="eastAsia" w:ascii="宋体" w:hAnsi="宋体" w:cs="宋体"/>
          <w:b/>
          <w:bCs/>
          <w:color w:val="000000" w:themeColor="text1"/>
          <w:sz w:val="24"/>
          <w:u w:val="single"/>
          <w14:textFill>
            <w14:solidFill>
              <w14:schemeClr w14:val="tx1"/>
            </w14:solidFill>
          </w14:textFill>
        </w:rPr>
        <w:t>乙方开展</w:t>
      </w:r>
      <w:r>
        <w:rPr>
          <w:rFonts w:hint="eastAsia" w:ascii="宋体" w:hAnsi="宋体" w:cs="宋体"/>
          <w:color w:val="000000" w:themeColor="text1"/>
          <w:sz w:val="24"/>
          <w:u w:val="single"/>
          <w14:textFill>
            <w14:solidFill>
              <w14:schemeClr w14:val="tx1"/>
            </w14:solidFill>
          </w14:textFill>
        </w:rPr>
        <w:t>“港税e”香港居民个人所得税优惠政策落实提升服务项目</w:t>
      </w:r>
      <w:r>
        <w:rPr>
          <w:rFonts w:hint="eastAsia" w:ascii="宋体" w:hAnsi="宋体" w:cs="宋体"/>
          <w:b/>
          <w:bCs/>
          <w:color w:val="000000" w:themeColor="text1"/>
          <w:kern w:val="0"/>
          <w:sz w:val="24"/>
          <w:u w:val="single"/>
          <w14:textFill>
            <w14:solidFill>
              <w14:schemeClr w14:val="tx1"/>
            </w14:solidFill>
          </w14:textFill>
        </w:rPr>
        <w:t>（以下简称本项目）</w:t>
      </w:r>
      <w:r>
        <w:rPr>
          <w:rFonts w:hint="eastAsia" w:ascii="宋体" w:hAnsi="宋体" w:cs="宋体"/>
          <w:color w:val="000000" w:themeColor="text1"/>
          <w:sz w:val="24"/>
          <w14:textFill>
            <w14:solidFill>
              <w14:schemeClr w14:val="tx1"/>
            </w14:solidFill>
          </w14:textFill>
        </w:rPr>
        <w:t>，达成以下合同条款：</w:t>
      </w:r>
    </w:p>
    <w:p>
      <w:pPr>
        <w:spacing w:line="360" w:lineRule="auto"/>
        <w:ind w:firstLine="482" w:firstLineChars="200"/>
        <w:outlineLvl w:val="1"/>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第一条 项目内容</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1.项目名称：“港税e”香港居民个人所得税优惠政策落实提升服务项目</w:t>
      </w:r>
    </w:p>
    <w:p>
      <w:pPr>
        <w:tabs>
          <w:tab w:val="left" w:pos="720"/>
        </w:tabs>
        <w:autoSpaceDE w:val="0"/>
        <w:autoSpaceDN w:val="0"/>
        <w:adjustRightInd w:val="0"/>
        <w:spacing w:line="360" w:lineRule="auto"/>
        <w:ind w:right="17" w:firstLine="480" w:firstLineChars="200"/>
        <w:jc w:val="left"/>
        <w:outlineLvl w:val="1"/>
        <w:rPr>
          <w:rFonts w:ascii="宋体" w:hAnsi="宋体" w:cs="宋体"/>
          <w:b/>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2</w:t>
      </w:r>
      <w:r>
        <w:rPr>
          <w:rFonts w:hint="eastAsia" w:ascii="宋体" w:hAnsi="宋体" w:cs="宋体"/>
          <w:color w:val="000000" w:themeColor="text1"/>
          <w:sz w:val="24"/>
          <w14:textFill>
            <w14:solidFill>
              <w14:schemeClr w14:val="tx1"/>
            </w14:solidFill>
          </w14:textFill>
        </w:rPr>
        <w:t>.服务内容</w:t>
      </w:r>
    </w:p>
    <w:p>
      <w:pPr>
        <w:spacing w:line="360" w:lineRule="auto"/>
        <w:ind w:firstLine="480" w:firstLineChars="200"/>
        <w:outlineLvl w:val="1"/>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乙方需围绕</w:t>
      </w:r>
      <w:r>
        <w:rPr>
          <w:rFonts w:hint="eastAsia" w:ascii="宋体" w:hAnsi="宋体" w:cs="宋体"/>
          <w:bCs/>
          <w:color w:val="000000" w:themeColor="text1"/>
          <w:sz w:val="24"/>
          <w:lang w:eastAsia="zh-CN"/>
          <w14:textFill>
            <w14:solidFill>
              <w14:schemeClr w14:val="tx1"/>
            </w14:solidFill>
          </w14:textFill>
        </w:rPr>
        <w:t>“</w:t>
      </w:r>
      <w:r>
        <w:rPr>
          <w:rFonts w:hint="eastAsia" w:ascii="宋体" w:hAnsi="宋体" w:cs="宋体"/>
          <w:bCs/>
          <w:color w:val="000000" w:themeColor="text1"/>
          <w:sz w:val="24"/>
          <w14:textFill>
            <w14:solidFill>
              <w14:schemeClr w14:val="tx1"/>
            </w14:solidFill>
          </w14:textFill>
        </w:rPr>
        <w:t>港税e</w:t>
      </w:r>
      <w:r>
        <w:rPr>
          <w:rFonts w:hint="default" w:ascii="宋体" w:hAnsi="宋体" w:cs="宋体"/>
          <w:bCs/>
          <w:color w:val="000000" w:themeColor="text1"/>
          <w:sz w:val="24"/>
          <w:lang w:val="en-US" w:eastAsia="zh-CN"/>
          <w14:textFill>
            <w14:solidFill>
              <w14:schemeClr w14:val="tx1"/>
            </w14:solidFill>
          </w14:textFill>
        </w:rPr>
        <w:t>”</w:t>
      </w:r>
      <w:r>
        <w:rPr>
          <w:rFonts w:hint="eastAsia" w:ascii="宋体" w:hAnsi="宋体" w:cs="宋体"/>
          <w:bCs/>
          <w:color w:val="000000" w:themeColor="text1"/>
          <w:sz w:val="24"/>
          <w14:textFill>
            <w14:solidFill>
              <w14:schemeClr w14:val="tx1"/>
            </w14:solidFill>
          </w14:textFill>
        </w:rPr>
        <w:t>香港居民个人所得税优惠服务的用户体验提升与系统稳定运行，提供以五下方面的专业服务：</w:t>
      </w:r>
    </w:p>
    <w:p>
      <w:pPr>
        <w:spacing w:line="360" w:lineRule="auto"/>
        <w:ind w:firstLine="480" w:firstLineChars="200"/>
        <w:outlineLvl w:val="1"/>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2.1.适配香港税收政策变化</w:t>
      </w:r>
    </w:p>
    <w:p>
      <w:pPr>
        <w:spacing w:line="360" w:lineRule="auto"/>
        <w:ind w:firstLine="480" w:firstLineChars="200"/>
        <w:outlineLvl w:val="1"/>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适配香港 2025-26 财年薪俸税、利得税政策变化，对测算服务计算规则进行调整，主要包括利得税、薪俸税及个人入息课税的宽减额度调整，根据最新政策，每宗个案的宽减额度上限调整为 1500 港元。</w:t>
      </w:r>
    </w:p>
    <w:p>
      <w:pPr>
        <w:spacing w:line="360" w:lineRule="auto"/>
        <w:ind w:firstLine="480" w:firstLineChars="200"/>
        <w:outlineLvl w:val="1"/>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2.2.适配</w:t>
      </w:r>
      <w:r>
        <w:rPr>
          <w:rFonts w:hint="eastAsia" w:ascii="宋体" w:hAnsi="宋体" w:cs="宋体"/>
          <w:bCs/>
          <w:color w:val="000000" w:themeColor="text1"/>
          <w:sz w:val="24"/>
          <w:lang w:val="en-US" w:eastAsia="zh-CN"/>
          <w14:textFill>
            <w14:solidFill>
              <w14:schemeClr w14:val="tx1"/>
            </w14:solidFill>
          </w14:textFill>
        </w:rPr>
        <w:t>内地</w:t>
      </w:r>
      <w:bookmarkStart w:id="51" w:name="_GoBack"/>
      <w:bookmarkEnd w:id="51"/>
      <w:r>
        <w:rPr>
          <w:rFonts w:hint="eastAsia" w:ascii="宋体" w:hAnsi="宋体" w:cs="宋体"/>
          <w:bCs/>
          <w:color w:val="000000" w:themeColor="text1"/>
          <w:sz w:val="24"/>
          <w14:textFill>
            <w14:solidFill>
              <w14:schemeClr w14:val="tx1"/>
            </w14:solidFill>
          </w14:textFill>
        </w:rPr>
        <w:t>税收政策及申报规则变化</w:t>
      </w:r>
    </w:p>
    <w:p>
      <w:pPr>
        <w:spacing w:line="360" w:lineRule="auto"/>
        <w:ind w:firstLine="480" w:firstLineChars="200"/>
        <w:outlineLvl w:val="1"/>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适配 2025 年度个人所得税政策变化，以及国家税务总局自然人电子税务局汇算清缴试算、申报规则调整。</w:t>
      </w:r>
    </w:p>
    <w:p>
      <w:pPr>
        <w:spacing w:line="360" w:lineRule="auto"/>
        <w:ind w:firstLine="480" w:firstLineChars="200"/>
        <w:outlineLvl w:val="1"/>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2.3.WEB 端试算服务体验优化</w:t>
      </w:r>
    </w:p>
    <w:p>
      <w:pPr>
        <w:spacing w:line="360" w:lineRule="auto"/>
        <w:ind w:firstLine="480" w:firstLineChars="200"/>
        <w:outlineLvl w:val="1"/>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根据前期香港居民反馈的热点意见，对通过自然人电子税务局 WEB 端提供的试算服务体验进行自查优化。</w:t>
      </w:r>
    </w:p>
    <w:p>
      <w:pPr>
        <w:spacing w:line="360" w:lineRule="auto"/>
        <w:ind w:firstLine="480" w:firstLineChars="200"/>
        <w:outlineLvl w:val="1"/>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2.4.移动端试算服务体验优化</w:t>
      </w:r>
    </w:p>
    <w:p>
      <w:pPr>
        <w:spacing w:line="360" w:lineRule="auto"/>
        <w:ind w:firstLine="480" w:firstLineChars="200"/>
        <w:outlineLvl w:val="1"/>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根据前期香港居民反馈的热点意见，对通过前海企业服务一体化平台移动端提供的试算服务体验进行自查优化。</w:t>
      </w:r>
    </w:p>
    <w:p>
      <w:pPr>
        <w:spacing w:line="360" w:lineRule="auto"/>
        <w:ind w:firstLine="480" w:firstLineChars="200"/>
        <w:outlineLvl w:val="1"/>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2.5.日常维护</w:t>
      </w:r>
    </w:p>
    <w:p>
      <w:pPr>
        <w:spacing w:line="360" w:lineRule="auto"/>
        <w:ind w:firstLine="480" w:firstLineChars="200"/>
        <w:outlineLvl w:val="1"/>
        <w:rPr>
          <w:rFonts w:ascii="宋体" w:hAnsi="宋体" w:cs="宋体"/>
          <w:b/>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定期系统健康巡检和风险排查：每天定时进行日常巡检和风险排查，对服务对象系统的网络、存储、数据库、中间件等基础环境、资源使用、信息安全等进行巡检。</w:t>
      </w:r>
    </w:p>
    <w:p>
      <w:pPr>
        <w:spacing w:line="360" w:lineRule="auto"/>
        <w:ind w:firstLine="480" w:firstLineChars="200"/>
        <w:outlineLvl w:val="1"/>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3.培训要求</w:t>
      </w:r>
    </w:p>
    <w:p>
      <w:pPr>
        <w:spacing w:line="360" w:lineRule="auto"/>
        <w:ind w:firstLine="480" w:firstLineChars="200"/>
        <w:outlineLvl w:val="1"/>
        <w:rPr>
          <w:rFonts w:ascii="宋体" w:hAnsi="宋体" w:cs="宋体"/>
          <w:b/>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乙方对提供服务需要用到的计算机工具的基本使用方法对相关工作人员进行培训，在工具使用过程中出现的问题进行现场解答和技术指导。乙方需对相关工作人员进行操作培训，指导正确使用计算机工具，并对使用过程中出现的问题进行解答和技术指导。</w:t>
      </w:r>
    </w:p>
    <w:p>
      <w:pPr>
        <w:spacing w:line="360" w:lineRule="auto"/>
        <w:ind w:firstLine="482" w:firstLineChars="200"/>
        <w:outlineLvl w:val="1"/>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第二条  服务期限及服务地点</w:t>
      </w:r>
    </w:p>
    <w:p>
      <w:pPr>
        <w:widowControl/>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1.服务期限：本项目服务期限为自合同签订后12个月内完成全部项目工作内容并提交最终成果。</w:t>
      </w:r>
    </w:p>
    <w:p>
      <w:pPr>
        <w:widowControl/>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2.服务地点：甲方指定地点。</w:t>
      </w:r>
    </w:p>
    <w:p>
      <w:pPr>
        <w:spacing w:line="360" w:lineRule="auto"/>
        <w:ind w:firstLine="482" w:firstLineChars="200"/>
        <w:outlineLvl w:val="1"/>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第三条  项目资料归属</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1.所有提交给甲方的项目文件及相关资料的</w:t>
      </w:r>
      <w:r>
        <w:rPr>
          <w:rFonts w:ascii="宋体" w:hAnsi="宋体" w:cs="宋体"/>
          <w:color w:val="000000" w:themeColor="text1"/>
          <w:sz w:val="24"/>
          <w14:textFill>
            <w14:solidFill>
              <w14:schemeClr w14:val="tx1"/>
            </w14:solidFill>
          </w14:textFill>
        </w:rPr>
        <w:t>阶段性成果及</w:t>
      </w:r>
      <w:r>
        <w:rPr>
          <w:rFonts w:hint="eastAsia" w:ascii="宋体" w:hAnsi="宋体" w:cs="宋体"/>
          <w:color w:val="000000" w:themeColor="text1"/>
          <w:sz w:val="24"/>
          <w14:textFill>
            <w14:solidFill>
              <w14:schemeClr w14:val="tx1"/>
            </w14:solidFill>
          </w14:textFill>
        </w:rPr>
        <w:t>最后文本，包括为履行服务范围所编制的计划和证明资料等，都属于甲方</w:t>
      </w:r>
      <w:r>
        <w:rPr>
          <w:rFonts w:ascii="宋体" w:hAnsi="宋体" w:cs="宋体"/>
          <w:color w:val="000000" w:themeColor="text1"/>
          <w:sz w:val="24"/>
          <w14:textFill>
            <w14:solidFill>
              <w14:schemeClr w14:val="tx1"/>
            </w14:solidFill>
          </w14:textFill>
        </w:rPr>
        <w:t>所有</w:t>
      </w:r>
      <w:r>
        <w:rPr>
          <w:rFonts w:hint="eastAsia" w:ascii="宋体" w:hAnsi="宋体" w:cs="宋体"/>
          <w:color w:val="000000" w:themeColor="text1"/>
          <w:sz w:val="24"/>
          <w14:textFill>
            <w14:solidFill>
              <w14:schemeClr w14:val="tx1"/>
            </w14:solidFill>
          </w14:textFill>
        </w:rPr>
        <w:t>，乙方在提交给甲方之前应将上述资料进行整理归类和编制索引。</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2.乙方未经甲方的书面同意，不得将上述资料用于与本项目之外的任何项目，也不得将其泄露或授权给第三方使用。</w:t>
      </w:r>
    </w:p>
    <w:p>
      <w:pPr>
        <w:spacing w:line="360" w:lineRule="auto"/>
        <w:ind w:firstLine="482" w:firstLineChars="200"/>
        <w:outlineLvl w:val="1"/>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第四条  甲方的义务</w:t>
      </w:r>
    </w:p>
    <w:p>
      <w:pPr>
        <w:spacing w:line="460" w:lineRule="exact"/>
        <w:ind w:firstLine="480" w:firstLineChars="20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1</w:t>
      </w:r>
      <w:r>
        <w:rPr>
          <w:rFonts w:hint="eastAsia" w:ascii="宋体" w:hAnsi="宋体" w:cs="宋体"/>
          <w:color w:val="000000" w:themeColor="text1"/>
          <w:sz w:val="24"/>
          <w14:textFill>
            <w14:solidFill>
              <w14:schemeClr w14:val="tx1"/>
            </w14:solidFill>
          </w14:textFill>
        </w:rPr>
        <w:t>.向乙方提供与本项目服务工作有关的资料。</w:t>
      </w:r>
    </w:p>
    <w:p>
      <w:pPr>
        <w:spacing w:line="460" w:lineRule="exact"/>
        <w:ind w:firstLine="480" w:firstLineChars="20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2</w:t>
      </w:r>
      <w:r>
        <w:rPr>
          <w:rFonts w:hint="eastAsia" w:ascii="宋体" w:hAnsi="宋体" w:cs="宋体"/>
          <w:color w:val="000000" w:themeColor="text1"/>
          <w:sz w:val="24"/>
          <w14:textFill>
            <w14:solidFill>
              <w14:schemeClr w14:val="tx1"/>
            </w14:solidFill>
          </w14:textFill>
        </w:rPr>
        <w:t>.负责组织对项目成果的</w:t>
      </w:r>
      <w:r>
        <w:rPr>
          <w:rFonts w:ascii="宋体" w:hAnsi="宋体" w:cs="宋体"/>
          <w:color w:val="000000" w:themeColor="text1"/>
          <w:sz w:val="24"/>
          <w14:textFill>
            <w14:solidFill>
              <w14:schemeClr w14:val="tx1"/>
            </w14:solidFill>
          </w14:textFill>
        </w:rPr>
        <w:t>验收</w:t>
      </w:r>
      <w:r>
        <w:rPr>
          <w:rFonts w:hint="eastAsia" w:ascii="宋体" w:hAnsi="宋体" w:cs="宋体"/>
          <w:color w:val="000000" w:themeColor="text1"/>
          <w:sz w:val="24"/>
          <w14:textFill>
            <w14:solidFill>
              <w14:schemeClr w14:val="tx1"/>
            </w14:solidFill>
          </w14:textFill>
        </w:rPr>
        <w:t>。</w:t>
      </w:r>
    </w:p>
    <w:p>
      <w:pPr>
        <w:spacing w:line="460" w:lineRule="exact"/>
        <w:ind w:firstLine="480" w:firstLineChars="20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3</w:t>
      </w:r>
      <w:r>
        <w:rPr>
          <w:rFonts w:hint="eastAsia" w:ascii="宋体" w:hAnsi="宋体" w:cs="宋体"/>
          <w:color w:val="000000" w:themeColor="text1"/>
          <w:sz w:val="24"/>
          <w14:textFill>
            <w14:solidFill>
              <w14:schemeClr w14:val="tx1"/>
            </w14:solidFill>
          </w14:textFill>
        </w:rPr>
        <w:t>.根据合同的条款按时支付合同价款。</w:t>
      </w:r>
    </w:p>
    <w:p>
      <w:pPr>
        <w:spacing w:line="360" w:lineRule="auto"/>
        <w:ind w:firstLine="482" w:firstLineChars="200"/>
        <w:outlineLvl w:val="1"/>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第五条 乙方的义务</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１.应按照【QH2025146】号招标文件、乙方投标文件以及本合同的要求按期完成本项目服务工作。</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2.在履行合同期间或合同规定期限内，不得泄露与本合同规定业务活动有关的保密资料。</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乙方应按国家、广东省及深圳市的有关法律法规、设计标准、技术规范以及本合同约定的工作内容、工作进度等要求提供研究服务，并对其提交的研究意见负责。对于与本项目工作内容相关的其他相关项目，乙方应进行充分了解并做好协调与衔接工作。</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4.对甲方提出的合理的额外服务，不应予以拒绝。</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乙方应接受甲方对工作进展的询问、监督和指导，严格按本合同约定的内容、标准和期限完成项目研究工作，并向甲方提交项目研究成果。项目工作完成后，乙方应按照甲方要求将完成本项目的工作总结和相关台</w:t>
      </w:r>
      <w:r>
        <w:rPr>
          <w:rFonts w:hint="eastAsia" w:ascii="宋体" w:hAnsi="宋体" w:cs="宋体"/>
          <w:color w:val="000000" w:themeColor="text1"/>
          <w:sz w:val="24"/>
          <w:lang w:eastAsia="zh-CN"/>
          <w14:textFill>
            <w14:solidFill>
              <w14:schemeClr w14:val="tx1"/>
            </w14:solidFill>
          </w14:textFill>
        </w:rPr>
        <w:t>账</w:t>
      </w:r>
      <w:r>
        <w:rPr>
          <w:rFonts w:hint="eastAsia" w:ascii="宋体" w:hAnsi="宋体" w:cs="宋体"/>
          <w:color w:val="000000" w:themeColor="text1"/>
          <w:sz w:val="24"/>
          <w14:textFill>
            <w14:solidFill>
              <w14:schemeClr w14:val="tx1"/>
            </w14:solidFill>
          </w14:textFill>
        </w:rPr>
        <w:t>资料交给甲方。</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6.乙方应采取必要措施配合甲方验收人员的工作，对于验收过程中发现的问题，乙方应在发现问题之日起3天内进行改正，以符合甲方的需要。</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7.乙方应独立完成本项目。未经甲方书面在先同意，乙方不得向任何第三方全部或部分转让本项目。</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8.乙方对其工作人员在合同履行期间的一切行为负责，期间发生的一切安全事故责任、其它人身损害及因此发生的人身损害赔偿和其他费用由乙方自行承担，与甲方无关。若因此导致甲方支付赔偿及其他费用，乙方应全部偿还给甲方。</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9.为保证项目成果的质量，乙方在合同履行期间，应按照本项目工作内容要求组织专业的项目团队，团队成员应与投标文件一致。团队负责人负责对项目实施全过程进行组织和指导，并承担项目的实质性工作。负责人及相关工作人员名单在甲方确认后如需更换，乙方应事先征得甲方的书面同意，且接替的工作人员的职位、资历、资质应与原定工作人员相当。</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10.乙方有维护甲方声誉的义务，乙方不能以甲方名义从事与本项目无关的任何事务，否则甲方有权追究其相关责任。</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11.本合同期满或提前解除、终止后，乙方应将甲方的档案资料、信息数据等交还甲方，并应销毁或删除所有备份。</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12.乙方在完成本项目过程中，不得损害其他任何第三方的知识产权等合法权益，否则由此造成的相关责任应当由乙方自行承担，与甲方无关。</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13.乙方指定项目联系人</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乙方： </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姓名： </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联系方式： </w:t>
      </w:r>
    </w:p>
    <w:p>
      <w:pPr>
        <w:spacing w:line="360" w:lineRule="auto"/>
        <w:ind w:firstLine="480" w:firstLineChars="200"/>
        <w:rPr>
          <w:color w:val="000000" w:themeColor="text1"/>
          <w14:textFill>
            <w14:solidFill>
              <w14:schemeClr w14:val="tx1"/>
            </w14:solidFill>
          </w14:textFill>
        </w:rPr>
      </w:pPr>
      <w:r>
        <w:rPr>
          <w:rFonts w:hint="eastAsia" w:ascii="宋体" w:hAnsi="宋体" w:cs="宋体"/>
          <w:color w:val="000000" w:themeColor="text1"/>
          <w:sz w:val="24"/>
          <w14:textFill>
            <w14:solidFill>
              <w14:schemeClr w14:val="tx1"/>
            </w14:solidFill>
          </w14:textFill>
        </w:rPr>
        <w:t>乙方变更项目联系人的，应当在5个工作日内以书面形式通知甲方。未及时通知并影响本合同履行或造成损失的，应承担相应的责任。乙方变更通讯地址或者联系方式，应及时将变更后的地址、联系方式通知甲方，否则乙方应对此造成的一切后果承担责任。</w:t>
      </w:r>
    </w:p>
    <w:p>
      <w:pPr>
        <w:spacing w:line="360" w:lineRule="auto"/>
        <w:ind w:firstLine="482" w:firstLineChars="200"/>
        <w:outlineLvl w:val="1"/>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第六条  甲方的权利</w:t>
      </w:r>
    </w:p>
    <w:p>
      <w:pPr>
        <w:snapToGrid w:val="0"/>
        <w:spacing w:line="360" w:lineRule="auto"/>
        <w:ind w:firstLine="420" w:firstLineChars="175"/>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1.甲方对项目过程的决策、控制、实施等环节实行全面管理，协调和监督研究工作开展，控制项目工作过程，进行项目成果验收。</w:t>
      </w:r>
    </w:p>
    <w:p>
      <w:pPr>
        <w:snapToGrid w:val="0"/>
        <w:spacing w:line="360" w:lineRule="auto"/>
        <w:ind w:firstLine="420" w:firstLineChars="175"/>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2.检查乙方人员到位情况，如因人力、能力不足致使工作不能按计划完成时，有权要求乙方增加或替换相应的技术人员，直至甲方认可，乙方不得拒绝。</w:t>
      </w:r>
    </w:p>
    <w:p>
      <w:pPr>
        <w:snapToGrid w:val="0"/>
        <w:spacing w:line="360" w:lineRule="auto"/>
        <w:ind w:firstLine="420" w:firstLineChars="175"/>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3.甲方有权向乙方询问项目工作进展及相关情况，并要求乙方在指定时间内做出答复。</w:t>
      </w:r>
    </w:p>
    <w:p>
      <w:pPr>
        <w:snapToGrid w:val="0"/>
        <w:spacing w:line="360" w:lineRule="auto"/>
        <w:ind w:firstLine="420" w:firstLineChars="175"/>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4.甲方有权对乙方提交的阶段性成果、最终成果送审稿等相关工作文件进行审核并提出修改意见。</w:t>
      </w:r>
    </w:p>
    <w:p>
      <w:pPr>
        <w:snapToGrid w:val="0"/>
        <w:spacing w:line="360" w:lineRule="auto"/>
        <w:ind w:firstLine="420" w:firstLineChars="175"/>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5.甲方对乙方在委托权限范围内完成委托事项有指导、监督权利。</w:t>
      </w:r>
    </w:p>
    <w:p>
      <w:pPr>
        <w:snapToGrid w:val="0"/>
        <w:spacing w:line="360" w:lineRule="auto"/>
        <w:ind w:firstLine="420" w:firstLineChars="175"/>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6.甲方有权要求乙方全面履行合同。甲方不接受部分履行，如本合同项下部分成果文件未能按时交付则视为整体延误。</w:t>
      </w:r>
    </w:p>
    <w:p>
      <w:pPr>
        <w:snapToGrid w:val="0"/>
        <w:spacing w:line="360" w:lineRule="auto"/>
        <w:ind w:firstLine="420" w:firstLineChars="175"/>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7.如乙方所提供的项目成果不符合本合同的要求，甲方有权要求乙方重新执行相应的工作服务，由此产生的全部费用由乙方自行承担，同时，甲方的付款时间相应顺延。</w:t>
      </w:r>
    </w:p>
    <w:p>
      <w:pPr>
        <w:spacing w:line="360" w:lineRule="auto"/>
        <w:ind w:firstLine="482" w:firstLineChars="200"/>
        <w:outlineLvl w:val="1"/>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第七条  乙方的权利</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1.乙方在本项目服务过程中，如甲方提供的资料不明确时可向甲方提出书面报告。</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2.乙方在本项目服务过程中，有权要求甲方就本服务业务有关的问题予以协调和支持。</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3.乙方在本项目服务过程中，有到现场勘察并要求甲方协调的权利。</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4.根据合同约定收取相应的合同价款。</w:t>
      </w:r>
    </w:p>
    <w:p>
      <w:pPr>
        <w:spacing w:line="460" w:lineRule="exact"/>
        <w:ind w:firstLine="480" w:firstLineChars="20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5</w:t>
      </w:r>
      <w:r>
        <w:rPr>
          <w:rFonts w:hint="eastAsia" w:ascii="宋体" w:hAnsi="宋体" w:cs="宋体"/>
          <w:color w:val="000000" w:themeColor="text1"/>
          <w:sz w:val="24"/>
          <w14:textFill>
            <w14:solidFill>
              <w14:schemeClr w14:val="tx1"/>
            </w14:solidFill>
          </w14:textFill>
        </w:rPr>
        <w:t>.乙方就本协议项下全部义务无条件对甲方承担连带责任。</w:t>
      </w:r>
    </w:p>
    <w:p>
      <w:pPr>
        <w:spacing w:line="360" w:lineRule="auto"/>
        <w:ind w:firstLine="482" w:firstLineChars="200"/>
        <w:outlineLvl w:val="1"/>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第八条  人员要求</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以下为本项目核心领导团队。</w:t>
      </w:r>
    </w:p>
    <w:tbl>
      <w:tblPr>
        <w:tblStyle w:val="20"/>
        <w:tblW w:w="81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169"/>
        <w:gridCol w:w="677"/>
        <w:gridCol w:w="677"/>
        <w:gridCol w:w="677"/>
        <w:gridCol w:w="1392"/>
        <w:gridCol w:w="29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序号</w:t>
            </w:r>
          </w:p>
        </w:tc>
        <w:tc>
          <w:tcPr>
            <w:tcW w:w="1169"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姓名</w:t>
            </w:r>
          </w:p>
        </w:tc>
        <w:tc>
          <w:tcPr>
            <w:tcW w:w="677"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性别</w:t>
            </w:r>
          </w:p>
        </w:tc>
        <w:tc>
          <w:tcPr>
            <w:tcW w:w="677"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年龄</w:t>
            </w:r>
          </w:p>
        </w:tc>
        <w:tc>
          <w:tcPr>
            <w:tcW w:w="677"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学历</w:t>
            </w:r>
          </w:p>
        </w:tc>
        <w:tc>
          <w:tcPr>
            <w:tcW w:w="1392"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职称、职务</w:t>
            </w:r>
          </w:p>
        </w:tc>
        <w:tc>
          <w:tcPr>
            <w:tcW w:w="2909"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拟任</w:t>
            </w:r>
            <w:r>
              <w:rPr>
                <w:rFonts w:ascii="宋体" w:hAnsi="宋体" w:cs="宋体"/>
                <w:color w:val="000000" w:themeColor="text1"/>
                <w:sz w:val="24"/>
                <w14:textFill>
                  <w14:solidFill>
                    <w14:schemeClr w14:val="tx1"/>
                  </w14:solidFill>
                </w14:textFill>
              </w:rPr>
              <w:t>团队</w:t>
            </w:r>
            <w:r>
              <w:rPr>
                <w:rFonts w:hint="eastAsia" w:ascii="宋体" w:hAnsi="宋体" w:cs="宋体"/>
                <w:color w:val="000000" w:themeColor="text1"/>
                <w:sz w:val="24"/>
                <w14:textFill>
                  <w14:solidFill>
                    <w14:schemeClr w14:val="tx1"/>
                  </w14:solidFill>
                </w14:textFill>
              </w:rPr>
              <w:t>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p>
        </w:tc>
        <w:tc>
          <w:tcPr>
            <w:tcW w:w="1169"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color w:val="000000" w:themeColor="text1"/>
                <w:sz w:val="24"/>
                <w14:textFill>
                  <w14:solidFill>
                    <w14:schemeClr w14:val="tx1"/>
                  </w14:solidFill>
                </w14:textFill>
              </w:rPr>
            </w:pPr>
          </w:p>
        </w:tc>
        <w:tc>
          <w:tcPr>
            <w:tcW w:w="677"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color w:val="000000" w:themeColor="text1"/>
                <w:sz w:val="24"/>
                <w14:textFill>
                  <w14:solidFill>
                    <w14:schemeClr w14:val="tx1"/>
                  </w14:solidFill>
                </w14:textFill>
              </w:rPr>
            </w:pPr>
          </w:p>
        </w:tc>
        <w:tc>
          <w:tcPr>
            <w:tcW w:w="677"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color w:val="000000" w:themeColor="text1"/>
                <w:sz w:val="24"/>
                <w14:textFill>
                  <w14:solidFill>
                    <w14:schemeClr w14:val="tx1"/>
                  </w14:solidFill>
                </w14:textFill>
              </w:rPr>
            </w:pPr>
          </w:p>
        </w:tc>
        <w:tc>
          <w:tcPr>
            <w:tcW w:w="677"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color w:val="000000" w:themeColor="text1"/>
                <w:sz w:val="24"/>
                <w14:textFill>
                  <w14:solidFill>
                    <w14:schemeClr w14:val="tx1"/>
                  </w14:solidFill>
                </w14:textFill>
              </w:rPr>
            </w:pPr>
          </w:p>
        </w:tc>
        <w:tc>
          <w:tcPr>
            <w:tcW w:w="1392"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color w:val="000000" w:themeColor="text1"/>
                <w:sz w:val="24"/>
                <w14:textFill>
                  <w14:solidFill>
                    <w14:schemeClr w14:val="tx1"/>
                  </w14:solidFill>
                </w14:textFill>
              </w:rPr>
            </w:pPr>
          </w:p>
        </w:tc>
        <w:tc>
          <w:tcPr>
            <w:tcW w:w="2909"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p>
        </w:tc>
        <w:tc>
          <w:tcPr>
            <w:tcW w:w="1169"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color w:val="000000" w:themeColor="text1"/>
                <w:sz w:val="24"/>
                <w14:textFill>
                  <w14:solidFill>
                    <w14:schemeClr w14:val="tx1"/>
                  </w14:solidFill>
                </w14:textFill>
              </w:rPr>
            </w:pPr>
          </w:p>
        </w:tc>
        <w:tc>
          <w:tcPr>
            <w:tcW w:w="677"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color w:val="000000" w:themeColor="text1"/>
                <w:sz w:val="24"/>
                <w14:textFill>
                  <w14:solidFill>
                    <w14:schemeClr w14:val="tx1"/>
                  </w14:solidFill>
                </w14:textFill>
              </w:rPr>
            </w:pPr>
          </w:p>
        </w:tc>
        <w:tc>
          <w:tcPr>
            <w:tcW w:w="677"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color w:val="000000" w:themeColor="text1"/>
                <w:sz w:val="24"/>
                <w14:textFill>
                  <w14:solidFill>
                    <w14:schemeClr w14:val="tx1"/>
                  </w14:solidFill>
                </w14:textFill>
              </w:rPr>
            </w:pPr>
          </w:p>
        </w:tc>
        <w:tc>
          <w:tcPr>
            <w:tcW w:w="677"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color w:val="000000" w:themeColor="text1"/>
                <w:sz w:val="24"/>
                <w14:textFill>
                  <w14:solidFill>
                    <w14:schemeClr w14:val="tx1"/>
                  </w14:solidFill>
                </w14:textFill>
              </w:rPr>
            </w:pPr>
          </w:p>
        </w:tc>
        <w:tc>
          <w:tcPr>
            <w:tcW w:w="1392"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color w:val="000000" w:themeColor="text1"/>
                <w:sz w:val="24"/>
                <w14:textFill>
                  <w14:solidFill>
                    <w14:schemeClr w14:val="tx1"/>
                  </w14:solidFill>
                </w14:textFill>
              </w:rPr>
            </w:pPr>
          </w:p>
        </w:tc>
        <w:tc>
          <w:tcPr>
            <w:tcW w:w="2909"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color w:val="000000" w:themeColor="text1"/>
                <w:sz w:val="24"/>
                <w14:textFill>
                  <w14:solidFill>
                    <w14:schemeClr w14:val="tx1"/>
                  </w14:solidFill>
                </w14:textFill>
              </w:rPr>
            </w:pPr>
          </w:p>
        </w:tc>
      </w:tr>
    </w:tbl>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1.参加本项目的人员必须具有国家和有关部门规定的相应资质。</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2.参加本项目的人员配置必须与合同中的项目成员组成一致，若需调整需经甲方同意后，方可变更。</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3.乙方应当以直属人员</w:t>
      </w:r>
      <w:r>
        <w:rPr>
          <w:rFonts w:ascii="宋体" w:hAnsi="宋体" w:cs="宋体"/>
          <w:color w:val="000000" w:themeColor="text1"/>
          <w:sz w:val="24"/>
          <w14:textFill>
            <w14:solidFill>
              <w14:schemeClr w14:val="tx1"/>
            </w14:solidFill>
          </w14:textFill>
        </w:rPr>
        <w:t>（直属人员指</w:t>
      </w:r>
      <w:r>
        <w:rPr>
          <w:rFonts w:hint="eastAsia" w:ascii="宋体" w:hAnsi="宋体" w:cs="宋体"/>
          <w:color w:val="000000" w:themeColor="text1"/>
          <w:sz w:val="24"/>
          <w14:textFill>
            <w14:solidFill>
              <w14:schemeClr w14:val="tx1"/>
            </w14:solidFill>
          </w14:textFill>
        </w:rPr>
        <w:t>劳动合同、社会保险等劳动关系</w:t>
      </w:r>
      <w:r>
        <w:rPr>
          <w:rFonts w:ascii="宋体" w:hAnsi="宋体" w:cs="宋体"/>
          <w:color w:val="000000" w:themeColor="text1"/>
          <w:sz w:val="24"/>
          <w14:textFill>
            <w14:solidFill>
              <w14:schemeClr w14:val="tx1"/>
            </w14:solidFill>
          </w14:textFill>
        </w:rPr>
        <w:t>在乙方的人员）</w:t>
      </w:r>
      <w:r>
        <w:rPr>
          <w:rFonts w:hint="eastAsia" w:ascii="宋体" w:hAnsi="宋体" w:cs="宋体"/>
          <w:color w:val="000000" w:themeColor="text1"/>
          <w:sz w:val="24"/>
          <w14:textFill>
            <w14:solidFill>
              <w14:schemeClr w14:val="tx1"/>
            </w14:solidFill>
          </w14:textFill>
        </w:rPr>
        <w:t>参与本项目服务，不得使用挂靠队伍。</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4.乙方拟安排的项目服务团队成员不得少于1人。</w:t>
      </w:r>
    </w:p>
    <w:p>
      <w:pPr>
        <w:spacing w:line="360" w:lineRule="auto"/>
        <w:ind w:firstLine="482" w:firstLineChars="200"/>
        <w:outlineLvl w:val="1"/>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第九条 成果权属与知识产权</w:t>
      </w:r>
    </w:p>
    <w:p>
      <w:pPr>
        <w:widowControl/>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1.本项目全部阶段性成果和最终成果的所有权、知识产权以及与之相关的所有权利归甲方所有；本合同签署前双方已经拥有的知识产权权利，仍归各自所有。</w:t>
      </w:r>
    </w:p>
    <w:p>
      <w:pPr>
        <w:widowControl/>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2.双方确定，甲方有权对乙方按照本合同约定提供的成果进行后续改进。由此产生的具有实质性或创造性技术进步特征的新的技术成果及其权利全部由甲方享有。</w:t>
      </w:r>
    </w:p>
    <w:p>
      <w:pPr>
        <w:widowControl/>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乙方所提交的全部阶段性成果和最终成果文件及任何数据、资料、软件等不得侵犯任何第三方的知识产权或其他权利，由于该等文件、数据、资料、软件侵权所导致的任何索赔或责任均由乙方承担。同时，甲方有权要求乙方修改成果至不侵权或解除合同，并保留要求乙方赔偿全部损失的权利，包括但不限于上述索赔或责任所产生的诉讼费用、合理的律师费用、鉴定评估费用、调查费用、和解金额或生效法律文书中规定的赔偿金额。</w:t>
      </w:r>
    </w:p>
    <w:p>
      <w:pPr>
        <w:widowControl/>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未经甲方书面在先同意，乙方不得将本项目的阶段性成果和/或最终成果文件及任何数据、资料、软件向任何第三方转让、授权任何第三方使用或用于本合同项目外的其他项目。如发生以上情况，乙方应向甲方支付本合同总价款20%的违约金，如果违约金无法弥补甲方的损失，甲方有权要求乙方赔偿全部损失，包括但不限于上述索赔或责任所产生的诉讼费用、合理的律师费用、鉴定评估费用、调查费用、和解金额或生效法律文书中规定的赔偿金额。</w:t>
      </w:r>
    </w:p>
    <w:p>
      <w:pPr>
        <w:widowControl/>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5.乙方完成本项目的研究人员享有在有关技术成果文件上署名的权利和与甲方共同获得有关荣誉证书、奖励的权利。</w:t>
      </w:r>
    </w:p>
    <w:p>
      <w:pPr>
        <w:spacing w:line="360" w:lineRule="auto"/>
        <w:ind w:firstLine="482" w:firstLineChars="200"/>
        <w:outlineLvl w:val="1"/>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第十条  保密条款</w:t>
      </w:r>
    </w:p>
    <w:p>
      <w:pPr>
        <w:widowControl/>
        <w:spacing w:line="360" w:lineRule="auto"/>
        <w:ind w:firstLine="480" w:firstLineChars="200"/>
        <w:rPr>
          <w:rFonts w:ascii="宋体" w:hAnsi="宋体" w:cs="宋体"/>
          <w:color w:val="000000" w:themeColor="text1"/>
          <w:sz w:val="24"/>
          <w14:textFill>
            <w14:solidFill>
              <w14:schemeClr w14:val="tx1"/>
            </w14:solidFill>
          </w14:textFill>
        </w:rPr>
      </w:pPr>
      <w:bookmarkStart w:id="26" w:name="_Toc216520223"/>
      <w:r>
        <w:rPr>
          <w:rFonts w:hint="eastAsia" w:ascii="宋体" w:hAnsi="宋体" w:cs="宋体"/>
          <w:color w:val="000000" w:themeColor="text1"/>
          <w:sz w:val="24"/>
          <w14:textFill>
            <w14:solidFill>
              <w14:schemeClr w14:val="tx1"/>
            </w14:solidFill>
          </w14:textFill>
        </w:rPr>
        <w:t>1.甲乙双方应保守的秘密是指不为公众所知悉、能为权利人带来经济利益、具有实用性并经权利人采取保密措施的技术信息和经营信息，或由甲乙双方在履行本合同过程中明确指明为秘密的、法律所认可的任何信息，以及乙方在履行本合同过程中所获得或接触到的任何甲方内部数据资料。</w:t>
      </w:r>
      <w:bookmarkEnd w:id="26"/>
    </w:p>
    <w:p>
      <w:pPr>
        <w:widowControl/>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双方应遵守国家的有关保密规定。妥善保管对方提供的资料，保守对方的各项秘密，并保护对方的知识产权。获取对方秘密的一方应当采取有效的保护方式防止秘密未经授权而被使用、传播或公开，仅可以将该秘密用于履行其在本合同项下的义务，且只能由相关的技术人员使用。</w:t>
      </w:r>
    </w:p>
    <w:p>
      <w:pPr>
        <w:widowControl/>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3.乙方须以保密方式处理在编制本项目成果文件过程中自甲方、甲方工作人员或甲方关联机构获得的相关信息、资料、图纸、数据等，或由甲方在履行本合同过程中明确指明为秘密的任何信息</w:t>
      </w:r>
      <w:r>
        <w:rPr>
          <w:rFonts w:hint="eastAsia" w:ascii="宋体" w:hAnsi="宋体" w:cs="宋体"/>
          <w:color w:val="000000" w:themeColor="text1"/>
          <w:sz w:val="24"/>
          <w:lang w:eastAsia="zh-CN"/>
          <w14:textFill>
            <w14:solidFill>
              <w14:schemeClr w14:val="tx1"/>
            </w14:solidFill>
          </w14:textFill>
        </w:rPr>
        <w:t>，</w:t>
      </w:r>
      <w:r>
        <w:rPr>
          <w:rFonts w:hint="eastAsia" w:ascii="宋体" w:hAnsi="宋体" w:cs="宋体"/>
          <w:color w:val="000000" w:themeColor="text1"/>
          <w:sz w:val="24"/>
          <w14:textFill>
            <w14:solidFill>
              <w14:schemeClr w14:val="tx1"/>
            </w14:solidFill>
          </w14:textFill>
        </w:rPr>
        <w:t>以及乙方因本项目工作所直接或间接取得、处理或接触的任何其他资料。未经甲方书面在先同意，不得向任何第三方透露任何有关本项目的内容，或公开任何项目中间成果或最终成果。即使向履行本合同有关的人员提供前述保密信息，也应限于履行合同的必需范围，且这些人员应接受至少与本条款同等严格的保密条款的约束。</w:t>
      </w:r>
    </w:p>
    <w:p>
      <w:pPr>
        <w:widowControl/>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4.乙方实施项目的程序应符合国家安全、保密的有关规定和标准。</w:t>
      </w:r>
    </w:p>
    <w:p>
      <w:pPr>
        <w:widowControl/>
        <w:spacing w:line="360" w:lineRule="auto"/>
        <w:ind w:firstLine="480" w:firstLineChars="200"/>
        <w:rPr>
          <w:rFonts w:ascii="宋体" w:hAnsi="宋体" w:cs="宋体"/>
          <w:color w:val="000000" w:themeColor="text1"/>
          <w:sz w:val="24"/>
          <w14:textFill>
            <w14:solidFill>
              <w14:schemeClr w14:val="tx1"/>
            </w14:solidFill>
          </w14:textFill>
        </w:rPr>
      </w:pPr>
      <w:bookmarkStart w:id="27" w:name="_Toc216520224"/>
      <w:r>
        <w:rPr>
          <w:rFonts w:hint="eastAsia" w:ascii="宋体" w:hAnsi="宋体" w:cs="宋体"/>
          <w:color w:val="000000" w:themeColor="text1"/>
          <w:sz w:val="24"/>
          <w14:textFill>
            <w14:solidFill>
              <w14:schemeClr w14:val="tx1"/>
            </w14:solidFill>
          </w14:textFill>
        </w:rPr>
        <w:t>5</w:t>
      </w:r>
      <w:bookmarkEnd w:id="27"/>
      <w:bookmarkStart w:id="28" w:name="_Toc216520226"/>
      <w:r>
        <w:rPr>
          <w:rFonts w:hint="eastAsia" w:ascii="宋体" w:hAnsi="宋体" w:cs="宋体"/>
          <w:color w:val="000000" w:themeColor="text1"/>
          <w:sz w:val="24"/>
          <w14:textFill>
            <w14:solidFill>
              <w14:schemeClr w14:val="tx1"/>
            </w14:solidFill>
          </w14:textFill>
        </w:rPr>
        <w:t>.上述保密义务不适用以下情况：</w:t>
      </w:r>
      <w:bookmarkEnd w:id="28"/>
    </w:p>
    <w:p>
      <w:pPr>
        <w:widowControl/>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（1）获取的信息已被合法公开；</w:t>
      </w:r>
    </w:p>
    <w:p>
      <w:pPr>
        <w:widowControl/>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（2）获得信息拥有方书面许可并在该许可范围内披露；</w:t>
      </w:r>
    </w:p>
    <w:p>
      <w:pPr>
        <w:widowControl/>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（3）国家法律、法规规定的情形。</w:t>
      </w:r>
    </w:p>
    <w:p>
      <w:pPr>
        <w:widowControl/>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如乙方违反上述保密条款，甲方有权解除本合同，乙方应在合同解除通知发出之日起10日内向甲方支付本合同服务费总金额20%的违约金，如果违约金无法弥补甲方损失，甲方保留要求乙方赔偿全部损失的权利，包括但不限于前述责任所产生的诉讼费用、合理的律师费用、鉴定评估费用、调查费用、和解金额或生效法律文书中规定的赔偿金额。</w:t>
      </w:r>
    </w:p>
    <w:p>
      <w:pPr>
        <w:widowControl/>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本合同的保密义务包括，未经甲方许可，乙方不得就其可通过开发的软件系统能够获得的任何甲方客户信息、数据以及商业秘密，与任何第三方开展任何形式的合作开发或者项目研究，或者向任何第三方出售该等数据、信息。</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8.无论本合同或本合同其他条款是否有效，本保密条款始终约束双方。国家秘密的保密期限由国家有关部门确定，工作秘密的保密期限由甲方确定。</w:t>
      </w:r>
    </w:p>
    <w:p>
      <w:pPr>
        <w:spacing w:line="360" w:lineRule="auto"/>
        <w:ind w:firstLine="482" w:firstLineChars="200"/>
        <w:outlineLvl w:val="1"/>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第十一条  项目服务费用及付款方式</w:t>
      </w:r>
    </w:p>
    <w:p>
      <w:pPr>
        <w:widowControl/>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1.合同价款：本合同总价包干</w:t>
      </w:r>
      <w:r>
        <w:rPr>
          <w:rFonts w:hint="eastAsia" w:ascii="宋体" w:hAnsi="宋体" w:cs="宋体"/>
          <w:color w:val="000000" w:themeColor="text1"/>
          <w:sz w:val="24"/>
          <w:lang w:eastAsia="zh-CN"/>
          <w14:textFill>
            <w14:solidFill>
              <w14:schemeClr w14:val="tx1"/>
            </w14:solidFill>
          </w14:textFill>
        </w:rPr>
        <w:t>，</w:t>
      </w:r>
      <w:r>
        <w:rPr>
          <w:rFonts w:hint="eastAsia" w:ascii="宋体" w:hAnsi="宋体" w:cs="宋体"/>
          <w:color w:val="000000" w:themeColor="text1"/>
          <w:sz w:val="24"/>
          <w14:textFill>
            <w14:solidFill>
              <w14:schemeClr w14:val="tx1"/>
            </w14:solidFill>
          </w14:textFill>
        </w:rPr>
        <w:t>服务费总金额共计人民币 XXXX 元整（￥ ）。服务费包括但不限于人员研究费用、调研差旅费、专家咨询费、资料费、税费等所有费用，并提供合同要求的有关成果材料，以及其它相关服务的全部费用，在合同实施期间，除另签补充合同外，甲方不接受乙方以任何理由、任何名目提出增加费用的要求。</w:t>
      </w:r>
    </w:p>
    <w:p>
      <w:pPr>
        <w:widowControl/>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2.付款方式：</w:t>
      </w:r>
    </w:p>
    <w:p>
      <w:pPr>
        <w:widowControl/>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合同价款由甲方分3期支付至乙方指定银行账户：</w:t>
      </w:r>
    </w:p>
    <w:p>
      <w:pPr>
        <w:widowControl/>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2.1.首期：合同签订生效后，根据乙方的付款申请，向乙方指定银行账户支付合同服务费总金额的30%；人民币  整（¥  元）</w:t>
      </w:r>
    </w:p>
    <w:p>
      <w:pPr>
        <w:widowControl/>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2.2.第2期：项目服务6个月后，乙方交付6个月服务报告并经甲方审核通过后，根据乙方的付款申请，甲方向乙方指定银行账户支付本合同服务费总金额的50%；人民币  整（¥  元）</w:t>
      </w:r>
    </w:p>
    <w:p>
      <w:pPr>
        <w:widowControl/>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2.3.第3期：项目期满后，乙方交付服务报告并经甲方审核通过后，根据乙方的付款申请，甲方向乙方指定银行账户支付本合同服务费总金额的20%。人民币  整（¥  元）</w:t>
      </w:r>
    </w:p>
    <w:p>
      <w:pPr>
        <w:widowControl/>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2.4.上述每期款项均在满足付款条件，且甲方收到乙方开具的载明相应金额的合格发票后10个工作日内付至乙方指定银行账户。如未及时收到发票，则甲方相应付款时间顺延。若因甲方付款审批影响支付进度，请乙方予以谅解，并不得就此向甲方索赔。</w:t>
      </w:r>
    </w:p>
    <w:p>
      <w:pPr>
        <w:widowControl/>
        <w:spacing w:line="360" w:lineRule="auto"/>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3.乙方银行账户信息：</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开户银行： </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户名：</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账号：</w:t>
      </w:r>
    </w:p>
    <w:p>
      <w:pPr>
        <w:spacing w:line="360" w:lineRule="auto"/>
        <w:ind w:firstLine="482" w:firstLineChars="200"/>
        <w:outlineLvl w:val="1"/>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第十二条 交付成果与验收要求</w:t>
      </w:r>
    </w:p>
    <w:p>
      <w:pPr>
        <w:widowControl/>
        <w:spacing w:line="360" w:lineRule="auto"/>
        <w:ind w:firstLine="480" w:firstLineChars="200"/>
        <w:jc w:val="left"/>
        <w:outlineLvl w:val="2"/>
        <w:rPr>
          <w:rFonts w:ascii="宋体" w:hAnsi="宋体" w:cs="宋体"/>
          <w:color w:val="000000" w:themeColor="text1"/>
          <w:sz w:val="24"/>
          <w14:textFill>
            <w14:solidFill>
              <w14:schemeClr w14:val="tx1"/>
            </w14:solidFill>
          </w14:textFill>
        </w:rPr>
      </w:pPr>
      <w:bookmarkStart w:id="29" w:name="OLE_LINK8"/>
      <w:r>
        <w:rPr>
          <w:rFonts w:hint="eastAsia" w:ascii="宋体" w:hAnsi="宋体" w:cs="宋体"/>
          <w:color w:val="000000" w:themeColor="text1"/>
          <w:sz w:val="24"/>
          <w14:textFill>
            <w14:solidFill>
              <w14:schemeClr w14:val="tx1"/>
            </w14:solidFill>
          </w14:textFill>
        </w:rPr>
        <w:t>1.交付成果</w:t>
      </w:r>
    </w:p>
    <w:p>
      <w:pPr>
        <w:widowControl/>
        <w:spacing w:line="360" w:lineRule="auto"/>
        <w:ind w:firstLine="480" w:firstLineChars="200"/>
        <w:jc w:val="left"/>
        <w:outlineLvl w:val="2"/>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乙方应按照甲方要求，移交项目服务过程中的各类文档，并进行产出物的交付，至少包括项目过程文件、最终成果文件等，最终成果文件为形成《“港税e”香港居民个人所得税优惠政策落实提升服务报告》。分别以书面形式（按甲方要求印制  份）和电子文件形式提交内容应清晰完整，且和项目相符，并保持版本一致。</w:t>
      </w:r>
    </w:p>
    <w:p>
      <w:pPr>
        <w:widowControl/>
        <w:spacing w:line="360" w:lineRule="auto"/>
        <w:ind w:firstLine="480" w:firstLineChars="200"/>
        <w:jc w:val="left"/>
        <w:outlineLvl w:val="2"/>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2.验收要求</w:t>
      </w:r>
    </w:p>
    <w:p>
      <w:pPr>
        <w:widowControl/>
        <w:spacing w:line="360" w:lineRule="auto"/>
        <w:ind w:firstLine="480" w:firstLineChars="200"/>
        <w:jc w:val="left"/>
        <w:outlineLvl w:val="2"/>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协助甲方，在合同服务期内开展前海“港税e”香港居民个人所得税优惠政策落实提升服务，形成《“港税e”香港居民个人所得税优惠政策落实提升服务报告》成果，最终成果验收合格的标志为甲方审查通过。</w:t>
      </w:r>
    </w:p>
    <w:bookmarkEnd w:id="29"/>
    <w:p>
      <w:pPr>
        <w:spacing w:line="360" w:lineRule="auto"/>
        <w:ind w:firstLine="482" w:firstLineChars="200"/>
        <w:outlineLvl w:val="1"/>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第十三条 合同提前终止</w:t>
      </w:r>
    </w:p>
    <w:p>
      <w:pPr>
        <w:adjustRightInd w:val="0"/>
        <w:spacing w:line="360" w:lineRule="auto"/>
        <w:ind w:firstLine="480" w:firstLineChars="200"/>
        <w:textAlignment w:val="baseline"/>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w:t>
      </w:r>
      <w:r>
        <w:rPr>
          <w:rFonts w:hint="eastAsia" w:ascii="宋体" w:hAnsi="宋体" w:cs="宋体"/>
          <w:color w:val="000000" w:themeColor="text1"/>
          <w:sz w:val="24"/>
          <w14:textFill>
            <w14:solidFill>
              <w14:schemeClr w14:val="tx1"/>
            </w14:solidFill>
          </w14:textFill>
        </w:rPr>
        <w:t>.</w:t>
      </w:r>
      <w:r>
        <w:rPr>
          <w:rFonts w:hint="eastAsia" w:ascii="宋体" w:hAnsi="宋体" w:cs="宋体"/>
          <w:color w:val="000000" w:themeColor="text1"/>
          <w:kern w:val="0"/>
          <w:sz w:val="24"/>
          <w14:textFill>
            <w14:solidFill>
              <w14:schemeClr w14:val="tx1"/>
            </w14:solidFill>
          </w14:textFill>
        </w:rPr>
        <w:t>双方协商同意提前终止本合同的，按双方协商约定的方式进行清算执行。</w:t>
      </w:r>
    </w:p>
    <w:p>
      <w:pPr>
        <w:adjustRightInd w:val="0"/>
        <w:spacing w:line="360" w:lineRule="auto"/>
        <w:ind w:firstLine="480" w:firstLineChars="200"/>
        <w:textAlignment w:val="baseline"/>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w:t>
      </w:r>
      <w:r>
        <w:rPr>
          <w:rFonts w:hint="eastAsia" w:ascii="宋体" w:hAnsi="宋体" w:cs="宋体"/>
          <w:color w:val="000000" w:themeColor="text1"/>
          <w:sz w:val="24"/>
          <w14:textFill>
            <w14:solidFill>
              <w14:schemeClr w14:val="tx1"/>
            </w14:solidFill>
          </w14:textFill>
        </w:rPr>
        <w:t>.</w:t>
      </w:r>
      <w:r>
        <w:rPr>
          <w:rFonts w:hint="eastAsia" w:ascii="宋体" w:hAnsi="宋体" w:cs="宋体"/>
          <w:color w:val="000000" w:themeColor="text1"/>
          <w:kern w:val="0"/>
          <w:sz w:val="24"/>
          <w14:textFill>
            <w14:solidFill>
              <w14:schemeClr w14:val="tx1"/>
            </w14:solidFill>
          </w14:textFill>
        </w:rPr>
        <w:t>如果一方发生破产、解散、被依法关闭、撤销或已进入清算阶段等情形，发生上述情形的一方有义务在事由发生后15个工作日内以书面方式通知对方，对方有权解除合同。在该等情形下，甲方已向乙方支付的款项不退还，尚未支付的款项不再支付，同时乙方应向甲方提交在合同终止日前完成的所有项目文件和相关资料。</w:t>
      </w:r>
    </w:p>
    <w:p>
      <w:pPr>
        <w:adjustRightInd w:val="0"/>
        <w:spacing w:line="360" w:lineRule="auto"/>
        <w:ind w:firstLine="480" w:firstLineChars="200"/>
        <w:textAlignment w:val="baseline"/>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w:t>
      </w:r>
      <w:r>
        <w:rPr>
          <w:rFonts w:hint="eastAsia" w:ascii="宋体" w:hAnsi="宋体" w:cs="宋体"/>
          <w:color w:val="000000" w:themeColor="text1"/>
          <w:sz w:val="24"/>
          <w14:textFill>
            <w14:solidFill>
              <w14:schemeClr w14:val="tx1"/>
            </w14:solidFill>
          </w14:textFill>
        </w:rPr>
        <w:t>.</w:t>
      </w:r>
      <w:r>
        <w:rPr>
          <w:rFonts w:hint="eastAsia" w:ascii="宋体" w:hAnsi="宋体" w:cs="宋体"/>
          <w:color w:val="000000" w:themeColor="text1"/>
          <w:kern w:val="0"/>
          <w:sz w:val="24"/>
          <w14:textFill>
            <w14:solidFill>
              <w14:schemeClr w14:val="tx1"/>
            </w14:solidFill>
          </w14:textFill>
        </w:rPr>
        <w:t>有下列情形之一的，本合同自甲方向乙方发出书面通知之日起终止：</w:t>
      </w:r>
    </w:p>
    <w:p>
      <w:pPr>
        <w:adjustRightInd w:val="0"/>
        <w:spacing w:line="360" w:lineRule="auto"/>
        <w:ind w:firstLine="480" w:firstLineChars="200"/>
        <w:textAlignment w:val="baseline"/>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szCs w:val="20"/>
          <w14:textFill>
            <w14:solidFill>
              <w14:schemeClr w14:val="tx1"/>
            </w14:solidFill>
          </w14:textFill>
        </w:rPr>
        <w:t>（1）</w:t>
      </w:r>
      <w:r>
        <w:rPr>
          <w:rFonts w:hint="eastAsia" w:ascii="宋体" w:hAnsi="宋体" w:cs="宋体"/>
          <w:color w:val="000000" w:themeColor="text1"/>
          <w:kern w:val="0"/>
          <w:sz w:val="24"/>
          <w14:textFill>
            <w14:solidFill>
              <w14:schemeClr w14:val="tx1"/>
            </w14:solidFill>
          </w14:textFill>
        </w:rPr>
        <w:t>甲方的职能发生转变，不再具有委托职能。</w:t>
      </w:r>
    </w:p>
    <w:p>
      <w:pPr>
        <w:adjustRightInd w:val="0"/>
        <w:spacing w:line="360" w:lineRule="auto"/>
        <w:ind w:firstLine="480" w:firstLineChars="200"/>
        <w:textAlignment w:val="baseline"/>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szCs w:val="20"/>
          <w14:textFill>
            <w14:solidFill>
              <w14:schemeClr w14:val="tx1"/>
            </w14:solidFill>
          </w14:textFill>
        </w:rPr>
        <w:t>（2）</w:t>
      </w:r>
      <w:r>
        <w:rPr>
          <w:rFonts w:hint="eastAsia" w:ascii="宋体" w:hAnsi="宋体" w:cs="宋体"/>
          <w:color w:val="000000" w:themeColor="text1"/>
          <w:kern w:val="0"/>
          <w:sz w:val="24"/>
          <w14:textFill>
            <w14:solidFill>
              <w14:schemeClr w14:val="tx1"/>
            </w14:solidFill>
          </w14:textFill>
        </w:rPr>
        <w:t>本合同签订时适用的法律法规或政策发生变化，且对本合同的继续履行造成重大影响。</w:t>
      </w:r>
    </w:p>
    <w:p>
      <w:pPr>
        <w:adjustRightInd w:val="0"/>
        <w:spacing w:line="360" w:lineRule="auto"/>
        <w:ind w:firstLine="480" w:firstLineChars="200"/>
        <w:textAlignment w:val="baseline"/>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发生以上情形，甲方已向乙方支付的款项不退还，尚未支付的款项不再支付，同时乙方应向甲方提交在合同终止日前完成的所有项目文件和相关资料。</w:t>
      </w:r>
    </w:p>
    <w:p>
      <w:pPr>
        <w:adjustRightInd w:val="0"/>
        <w:spacing w:line="360" w:lineRule="auto"/>
        <w:ind w:firstLine="480" w:firstLineChars="200"/>
        <w:textAlignment w:val="baseline"/>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w:t>
      </w:r>
      <w:r>
        <w:rPr>
          <w:rFonts w:hint="eastAsia" w:ascii="宋体" w:hAnsi="宋体" w:cs="宋体"/>
          <w:color w:val="000000" w:themeColor="text1"/>
          <w:sz w:val="24"/>
          <w14:textFill>
            <w14:solidFill>
              <w14:schemeClr w14:val="tx1"/>
            </w14:solidFill>
          </w14:textFill>
        </w:rPr>
        <w:t>.</w:t>
      </w:r>
      <w:r>
        <w:rPr>
          <w:rFonts w:hint="eastAsia" w:ascii="宋体" w:hAnsi="宋体" w:cs="宋体"/>
          <w:color w:val="000000" w:themeColor="text1"/>
          <w:kern w:val="0"/>
          <w:sz w:val="24"/>
          <w14:textFill>
            <w14:solidFill>
              <w14:schemeClr w14:val="tx1"/>
            </w14:solidFill>
          </w14:textFill>
        </w:rPr>
        <w:t>如发生不可抗力或其他超出合同双方控制的事件，致使一方无法履行合同，本合同解除。</w:t>
      </w:r>
    </w:p>
    <w:p>
      <w:pPr>
        <w:adjustRightInd w:val="0"/>
        <w:spacing w:line="360" w:lineRule="auto"/>
        <w:ind w:firstLine="480" w:firstLineChars="200"/>
        <w:textAlignment w:val="baseline"/>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szCs w:val="20"/>
          <w14:textFill>
            <w14:solidFill>
              <w14:schemeClr w14:val="tx1"/>
            </w14:solidFill>
          </w14:textFill>
        </w:rPr>
        <w:t>（1）</w:t>
      </w:r>
      <w:r>
        <w:rPr>
          <w:rFonts w:hint="eastAsia" w:ascii="宋体" w:hAnsi="宋体" w:cs="宋体"/>
          <w:color w:val="000000" w:themeColor="text1"/>
          <w:kern w:val="0"/>
          <w:sz w:val="24"/>
          <w14:textFill>
            <w14:solidFill>
              <w14:schemeClr w14:val="tx1"/>
            </w14:solidFill>
          </w14:textFill>
        </w:rPr>
        <w:t>本合同所称不可抗力是指自然灾害、战争、地震等不可预见、不可避免、不可克服的情况。不可抗力事件发生后，受影响一方应立即通知对方，并在力所能及的条件下迅速采取措施，尽力减少损失。不可抗力事件结束后48小时内受影响方应向对方通报受影响情况。如不可抗力事件持续发生，受影响方应每隔7天向对方书面报告一次受影响情况。不可抗力事件结束后14天内，受影响方应向对方提交正式报告及有关部门开具的证明材料。</w:t>
      </w:r>
    </w:p>
    <w:p>
      <w:pPr>
        <w:adjustRightInd w:val="0"/>
        <w:spacing w:line="360" w:lineRule="auto"/>
        <w:ind w:firstLine="480" w:firstLineChars="200"/>
        <w:textAlignment w:val="baseline"/>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szCs w:val="20"/>
          <w14:textFill>
            <w14:solidFill>
              <w14:schemeClr w14:val="tx1"/>
            </w14:solidFill>
          </w14:textFill>
        </w:rPr>
        <w:t>（2）</w:t>
      </w:r>
      <w:r>
        <w:rPr>
          <w:rFonts w:hint="eastAsia" w:ascii="宋体" w:hAnsi="宋体" w:cs="宋体"/>
          <w:color w:val="000000" w:themeColor="text1"/>
          <w:kern w:val="0"/>
          <w:sz w:val="24"/>
          <w14:textFill>
            <w14:solidFill>
              <w14:schemeClr w14:val="tx1"/>
            </w14:solidFill>
          </w14:textFill>
        </w:rPr>
        <w:t>发生不可抗力，甲乙双方承担各自的损失。由于其中一方迟延履行合同义务后发生不可抗力的，其违约责任不能免除。</w:t>
      </w:r>
    </w:p>
    <w:p>
      <w:pPr>
        <w:adjustRightInd w:val="0"/>
        <w:spacing w:line="360" w:lineRule="auto"/>
        <w:ind w:firstLine="480" w:firstLineChars="200"/>
        <w:textAlignment w:val="baseline"/>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szCs w:val="20"/>
          <w14:textFill>
            <w14:solidFill>
              <w14:schemeClr w14:val="tx1"/>
            </w14:solidFill>
          </w14:textFill>
        </w:rPr>
        <w:t>（3）</w:t>
      </w:r>
      <w:r>
        <w:rPr>
          <w:rFonts w:hint="eastAsia" w:ascii="宋体" w:hAnsi="宋体" w:cs="宋体"/>
          <w:color w:val="000000" w:themeColor="text1"/>
          <w:kern w:val="0"/>
          <w:sz w:val="24"/>
          <w14:textFill>
            <w14:solidFill>
              <w14:schemeClr w14:val="tx1"/>
            </w14:solidFill>
          </w14:textFill>
        </w:rPr>
        <w:t>不可抗力事件导致一方无法履行合同义务或继续履行已无意义，由双方协商终止本合同并进行清算，甲方应按照乙方已完成的工作量支付款项，同时乙方应向甲方提交在合同终止日前完成的所有项目文件和相关资料。</w:t>
      </w:r>
    </w:p>
    <w:p>
      <w:pPr>
        <w:spacing w:line="360" w:lineRule="auto"/>
        <w:ind w:firstLine="482" w:firstLineChars="200"/>
        <w:outlineLvl w:val="1"/>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第十四条  争议解决办法</w:t>
      </w:r>
    </w:p>
    <w:p>
      <w:pPr>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因本合同的履行发生的或与本合同有关的争议或纠纷，由甲乙双方协商解决。协商不成的，任意一方有权向深圳前海合作区人民法院提起诉讼。</w:t>
      </w:r>
    </w:p>
    <w:p>
      <w:pPr>
        <w:spacing w:line="360" w:lineRule="auto"/>
        <w:ind w:firstLine="482" w:firstLineChars="200"/>
        <w:outlineLvl w:val="1"/>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第十五条 项目变更</w:t>
      </w:r>
    </w:p>
    <w:p>
      <w:pPr>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1.本合同履行过程中的需求变更和进度调整，以甲乙双方达成一致的书面文件为准。</w:t>
      </w:r>
    </w:p>
    <w:p>
      <w:pPr>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2.乙方遇到不能按时交货或按期完工的情况，应及时以书面形式将不能按时完工的理由、延误时间通知甲方。甲方在收到乙方通知后，根据情况决定是否延长完成时间。如同意延长，则乙方责任期也相应延长。</w:t>
      </w:r>
    </w:p>
    <w:p>
      <w:pPr>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3.因非乙方责任造成项目进度推迟或延误，无法按照合同约定的日期完成相应的项目，双方经过协商可以进一步约定完成的日期，乙方的责任期也随之顺延。</w:t>
      </w:r>
    </w:p>
    <w:p>
      <w:pPr>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4、在合同所约定的工作范畴内的服务，本合同价格不予变更。</w:t>
      </w:r>
    </w:p>
    <w:p>
      <w:pPr>
        <w:spacing w:line="360" w:lineRule="auto"/>
        <w:ind w:firstLine="482" w:firstLineChars="200"/>
        <w:outlineLvl w:val="1"/>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第十六条 风险责任</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乙方应完全地按照【QH2025146】号招标文件的要求和乙方投标文件的承诺完成本项目，出于自身财务、技术、人力等原因导致项目失败的，应承担全部责任。</w:t>
      </w:r>
    </w:p>
    <w:p>
      <w:pPr>
        <w:spacing w:line="360" w:lineRule="auto"/>
        <w:ind w:firstLine="482" w:firstLineChars="200"/>
        <w:outlineLvl w:val="1"/>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第十七条  违约责任</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1.乙方未按照本合同约定的时间完成本项目各阶段工作，每延迟一日，甲方有权自尚未支付的合同款项中扣除本合同服务费总金额的1‰的逾期违约金。</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2.本项目项下的工作内容不可分割，任一文件的迟延交付均视为整个项目的迟延交付。</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3.本合同履行期间，发生下述情形时，甲方有权解除本合同，乙方除应退还甲方已支付的全部款项外</w:t>
      </w:r>
      <w:r>
        <w:rPr>
          <w:rFonts w:hint="eastAsia" w:ascii="宋体" w:hAnsi="宋体" w:cs="宋体"/>
          <w:color w:val="000000" w:themeColor="text1"/>
          <w:sz w:val="24"/>
          <w:lang w:eastAsia="zh-CN"/>
          <w14:textFill>
            <w14:solidFill>
              <w14:schemeClr w14:val="tx1"/>
            </w14:solidFill>
          </w14:textFill>
        </w:rPr>
        <w:t>，</w:t>
      </w:r>
      <w:r>
        <w:rPr>
          <w:rFonts w:hint="eastAsia" w:ascii="宋体" w:hAnsi="宋体" w:cs="宋体"/>
          <w:color w:val="000000" w:themeColor="text1"/>
          <w:sz w:val="24"/>
          <w14:textFill>
            <w14:solidFill>
              <w14:schemeClr w14:val="tx1"/>
            </w14:solidFill>
          </w14:textFill>
        </w:rPr>
        <w:t>还应在合同解除通知发出之日起10日内向甲方支付合同总价款20%的违约金。乙方应同时将已完成的项目成果移交给甲方，并将全部有关资料退还甲方：</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（1）因乙方原因，未能按合同约定的日期(含协商延缓的日期)确保完成项目内容的；</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（2）因乙方工作的错误或遗漏造成项目质量不达标，工作成果质量低劣，不能满足甲方工作需要和要求；</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（3）乙方虽如期提交最终成果，但连续二次未能通过甲方验收的；</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（4）未经甲方书面在先同意，乙方擅自将本合同项目与任何第三方合作，或将本合同标的全部或部分擅自转委托给任何第三方，且未按甲方的要求终止与第三方的合同的；</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（5）项目负责人未承担本合同项目实质性工作，或未经甲方书面在先同意，乙方擅自更换项目负责人的；</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（6）发现乙方或乙方工作人员出现全部或部分丧失履行委托服务能力的情况，甲方有权通知乙方限期整改或更换工作人员，期限届满乙方并未进行改善的；</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（7）乙方明确表示或者以自己的行为表明不履行本合同的。</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除因甲方付款审批影响支付进度的情况外，如甲方未按照本合同约定的时间支付服务费，乙方书面催告甲方并给予不少于30个工作日的履行期限后甲方仍未支付的，乙方有权自该期限届满之日起要求甲方支付该阶段应付而未付合同价款每日1‰的逾期违约金。甲方无正当理由拒绝接受服务，到期明确表示拒付服务款项的，甲方向乙方偿付本合同总价5%的违约金。</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上述违约责任各自独立且可累加。本合同所约定的违约金如低于因违约行为所造成的损失，违约方应补偿上述不足部分的损失，包括但不限于前述责任所产生的诉讼费用、合理的律师费用、鉴定评估费用、调查费用、和解金额或生效法律文书中规定的赔偿金额。</w:t>
      </w:r>
    </w:p>
    <w:p>
      <w:pPr>
        <w:spacing w:line="360" w:lineRule="auto"/>
        <w:ind w:firstLine="482" w:firstLineChars="200"/>
        <w:outlineLvl w:val="1"/>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第十八条  其他</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有关本项目的中标文件、招标文件、投标书等共同构成本合同的组成部分，上述文件可相互说明。如果上述文件发生矛盾或产生不一致时，按以下顺序进行解释，同一顺序的文件发生矛盾或存在不一致时，应以签订日期在后的为准：</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（1）合同书及补充协议；</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（2）中标通知书；</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（3）招标文件（编号：QH2025146）及其澄清、补正公告；</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（4）投标书。</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2.本合同附件（如有）为合同不可分割的组成部分，与本合同一并加盖骑缝章后具有同等法律效力。若附件与合同正文有任何冲突，以合同正文为准。</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3.本合同各条标题仅为提示之用，应以条文内容确定各方的权利义务。</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4.本合同未尽事宜，由双方协商签订补充协议进行约定。补充协议应以书面形式作成，经双方法定代表人或其授权代表签字、盖章后与本合同具有同等法律效力。</w:t>
      </w:r>
    </w:p>
    <w:p>
      <w:pPr>
        <w:adjustRightInd w:val="0"/>
        <w:spacing w:line="360" w:lineRule="auto"/>
        <w:ind w:firstLine="480" w:firstLineChars="200"/>
        <w:textAlignment w:val="baseline"/>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5</w:t>
      </w:r>
      <w:r>
        <w:rPr>
          <w:rFonts w:hint="eastAsia" w:ascii="宋体" w:hAnsi="宋体" w:cs="宋体"/>
          <w:color w:val="000000" w:themeColor="text1"/>
          <w:sz w:val="24"/>
          <w14:textFill>
            <w14:solidFill>
              <w14:schemeClr w14:val="tx1"/>
            </w14:solidFill>
          </w14:textFill>
        </w:rPr>
        <w:t>.</w:t>
      </w:r>
      <w:r>
        <w:rPr>
          <w:rFonts w:hint="eastAsia" w:ascii="宋体" w:hAnsi="宋体" w:cs="宋体"/>
          <w:color w:val="000000" w:themeColor="text1"/>
          <w:kern w:val="0"/>
          <w:sz w:val="24"/>
          <w14:textFill>
            <w14:solidFill>
              <w14:schemeClr w14:val="tx1"/>
            </w14:solidFill>
          </w14:textFill>
        </w:rPr>
        <w:t>本合同约定的权利和义务不因合同双方发生收购、兼并、重组、分立而发生变化。如果发生上述情形，则本合同约定的权利和义务随之转移至收购、兼并、重组或分立后成立的单位。</w:t>
      </w:r>
    </w:p>
    <w:p>
      <w:pPr>
        <w:adjustRightInd w:val="0"/>
        <w:spacing w:line="360" w:lineRule="auto"/>
        <w:ind w:firstLine="480" w:firstLineChars="200"/>
        <w:textAlignment w:val="baseline"/>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6</w:t>
      </w:r>
      <w:r>
        <w:rPr>
          <w:rFonts w:hint="eastAsia" w:ascii="宋体" w:hAnsi="宋体" w:cs="宋体"/>
          <w:color w:val="000000" w:themeColor="text1"/>
          <w:sz w:val="24"/>
          <w14:textFill>
            <w14:solidFill>
              <w14:schemeClr w14:val="tx1"/>
            </w14:solidFill>
          </w14:textFill>
        </w:rPr>
        <w:t>.</w:t>
      </w:r>
      <w:r>
        <w:rPr>
          <w:rFonts w:hint="eastAsia" w:ascii="宋体" w:hAnsi="宋体" w:cs="宋体"/>
          <w:color w:val="000000" w:themeColor="text1"/>
          <w:kern w:val="0"/>
          <w:sz w:val="24"/>
          <w14:textFill>
            <w14:solidFill>
              <w14:schemeClr w14:val="tx1"/>
            </w14:solidFill>
          </w14:textFill>
        </w:rPr>
        <w:t>本合同在国家法律、法规和规章规定的范围内执行。当国家法律、法规和规章发生变化导致本合同有关条款与之抵触时，双方协商变更或废止该条款，在此情况下，双方互不承担责任。</w:t>
      </w:r>
    </w:p>
    <w:p>
      <w:pPr>
        <w:adjustRightInd w:val="0"/>
        <w:spacing w:line="360" w:lineRule="auto"/>
        <w:ind w:firstLine="480" w:firstLineChars="200"/>
        <w:textAlignment w:val="baseline"/>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7</w:t>
      </w:r>
      <w:r>
        <w:rPr>
          <w:rFonts w:hint="eastAsia" w:ascii="宋体" w:hAnsi="宋体" w:cs="宋体"/>
          <w:color w:val="000000" w:themeColor="text1"/>
          <w:sz w:val="24"/>
          <w14:textFill>
            <w14:solidFill>
              <w14:schemeClr w14:val="tx1"/>
            </w14:solidFill>
          </w14:textFill>
        </w:rPr>
        <w:t>.</w:t>
      </w:r>
      <w:r>
        <w:rPr>
          <w:rFonts w:hint="eastAsia" w:ascii="宋体" w:hAnsi="宋体" w:cs="宋体"/>
          <w:color w:val="000000" w:themeColor="text1"/>
          <w:kern w:val="0"/>
          <w:sz w:val="24"/>
          <w14:textFill>
            <w14:solidFill>
              <w14:schemeClr w14:val="tx1"/>
            </w14:solidFill>
          </w14:textFill>
        </w:rPr>
        <w:t>如果本合同的任何条款在任何时候变成不合法、无效或不可强制执行而不从根本上影响本合同的效力时，本合同的其他条款不受影响。</w:t>
      </w:r>
    </w:p>
    <w:p>
      <w:pPr>
        <w:adjustRightInd w:val="0"/>
        <w:spacing w:line="360" w:lineRule="auto"/>
        <w:ind w:firstLine="480" w:firstLineChars="200"/>
        <w:textAlignment w:val="baseline"/>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8</w:t>
      </w:r>
      <w:r>
        <w:rPr>
          <w:rFonts w:hint="eastAsia" w:ascii="宋体" w:hAnsi="宋体" w:cs="宋体"/>
          <w:color w:val="000000" w:themeColor="text1"/>
          <w:sz w:val="24"/>
          <w14:textFill>
            <w14:solidFill>
              <w14:schemeClr w14:val="tx1"/>
            </w14:solidFill>
          </w14:textFill>
        </w:rPr>
        <w:t>.</w:t>
      </w:r>
      <w:r>
        <w:rPr>
          <w:rFonts w:hint="eastAsia" w:ascii="宋体" w:hAnsi="宋体" w:cs="宋体"/>
          <w:color w:val="000000" w:themeColor="text1"/>
          <w:kern w:val="0"/>
          <w:sz w:val="24"/>
          <w14:textFill>
            <w14:solidFill>
              <w14:schemeClr w14:val="tx1"/>
            </w14:solidFill>
          </w14:textFill>
        </w:rPr>
        <w:t>未得到对方的书面许可，一方均不得以广告或在公共场合使用或摹仿对方的商业名称、商标、图案、服务标志、符号、代码、型号或缩写，任何一方均不得声称对对方的商业名称、商标、图案、服务标志、符号、代码、型号或缩写拥有所有权。</w:t>
      </w:r>
    </w:p>
    <w:p>
      <w:pPr>
        <w:adjustRightInd w:val="0"/>
        <w:spacing w:line="360" w:lineRule="auto"/>
        <w:ind w:firstLine="480" w:firstLineChars="200"/>
        <w:textAlignment w:val="baseline"/>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9</w:t>
      </w:r>
      <w:r>
        <w:rPr>
          <w:rFonts w:hint="eastAsia" w:ascii="宋体" w:hAnsi="宋体" w:cs="宋体"/>
          <w:color w:val="000000" w:themeColor="text1"/>
          <w:sz w:val="24"/>
          <w14:textFill>
            <w14:solidFill>
              <w14:schemeClr w14:val="tx1"/>
            </w14:solidFill>
          </w14:textFill>
        </w:rPr>
        <w:t>.</w:t>
      </w:r>
      <w:r>
        <w:rPr>
          <w:rFonts w:hint="eastAsia" w:ascii="宋体" w:hAnsi="宋体" w:cs="宋体"/>
          <w:color w:val="000000" w:themeColor="text1"/>
          <w:kern w:val="0"/>
          <w:sz w:val="24"/>
          <w14:textFill>
            <w14:solidFill>
              <w14:schemeClr w14:val="tx1"/>
            </w14:solidFill>
          </w14:textFill>
        </w:rPr>
        <w:t>任何一方未经另一方同意不得向任何第三方透露本合同的签订及其内容。甲方向其关联公司透露前述内容的，不受此限。</w:t>
      </w:r>
    </w:p>
    <w:p>
      <w:pPr>
        <w:adjustRightInd w:val="0"/>
        <w:spacing w:line="360" w:lineRule="auto"/>
        <w:ind w:firstLine="480" w:firstLineChars="200"/>
        <w:textAlignment w:val="baseline"/>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w:t>
      </w:r>
      <w:r>
        <w:rPr>
          <w:rFonts w:hint="eastAsia" w:ascii="宋体" w:hAnsi="宋体" w:cs="宋体"/>
          <w:color w:val="000000" w:themeColor="text1"/>
          <w:sz w:val="24"/>
          <w14:textFill>
            <w14:solidFill>
              <w14:schemeClr w14:val="tx1"/>
            </w14:solidFill>
          </w14:textFill>
        </w:rPr>
        <w:t>.</w:t>
      </w:r>
      <w:r>
        <w:rPr>
          <w:rFonts w:hint="eastAsia" w:ascii="宋体" w:hAnsi="宋体" w:cs="宋体"/>
          <w:color w:val="000000" w:themeColor="text1"/>
          <w:kern w:val="0"/>
          <w:sz w:val="24"/>
          <w14:textFill>
            <w14:solidFill>
              <w14:schemeClr w14:val="tx1"/>
            </w14:solidFill>
          </w14:textFill>
        </w:rPr>
        <w:t>甲乙双方因履行本合同或与本合同有关的一切通知都必须按照本合同中的地址，以书面形式或双方确认的传真或类似的通讯方式进行。采用信函形式的应使用挂号信或者具有良好信誉的特快专递送达。如使用传真，自收到传真系统提示发送成功报告时即视为已经送达对方；如使用挂号信件或特快专递，通知日期即为邮件寄出日期并以邮戳为准，自通知日起【三】日后即视为已经送达对方。</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11.本合同自双方法定代表人或其授权代表签字、盖章之日起生效，有效期至本合同全部权利义务履行完毕之日止。</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12.本合同一式六份，甲、乙方各执三份，均具有同等法律效力。</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（以下无正文，为签章栏）</w:t>
      </w:r>
    </w:p>
    <w:p>
      <w:pPr>
        <w:widowControl/>
        <w:spacing w:line="360" w:lineRule="auto"/>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br w:type="page"/>
      </w:r>
      <w:r>
        <w:rPr>
          <w:rFonts w:hint="eastAsia" w:ascii="宋体" w:hAnsi="宋体" w:cs="宋体"/>
          <w:color w:val="000000" w:themeColor="text1"/>
          <w:sz w:val="24"/>
          <w14:textFill>
            <w14:solidFill>
              <w14:schemeClr w14:val="tx1"/>
            </w14:solidFill>
          </w14:textFill>
        </w:rPr>
        <w:t>（本页为签章页）</w:t>
      </w:r>
    </w:p>
    <w:p>
      <w:pPr>
        <w:adjustRightInd w:val="0"/>
        <w:snapToGrid w:val="0"/>
        <w:spacing w:line="360" w:lineRule="auto"/>
        <w:rPr>
          <w:rFonts w:ascii="宋体" w:hAnsi="宋体" w:cs="宋体"/>
          <w:color w:val="000000" w:themeColor="text1"/>
          <w:sz w:val="24"/>
          <w14:textFill>
            <w14:solidFill>
              <w14:schemeClr w14:val="tx1"/>
            </w14:solidFill>
          </w14:textFill>
        </w:rPr>
      </w:pPr>
    </w:p>
    <w:p>
      <w:pPr>
        <w:adjustRightInd w:val="0"/>
        <w:snapToGrid w:val="0"/>
        <w:spacing w:line="360" w:lineRule="auto"/>
        <w:rPr>
          <w:rFonts w:ascii="宋体" w:hAnsi="宋体" w:cs="宋体"/>
          <w:color w:val="000000" w:themeColor="text1"/>
          <w:sz w:val="24"/>
          <w14:textFill>
            <w14:solidFill>
              <w14:schemeClr w14:val="tx1"/>
            </w14:solidFill>
          </w14:textFill>
        </w:rPr>
      </w:pPr>
    </w:p>
    <w:p>
      <w:pPr>
        <w:adjustRightInd w:val="0"/>
        <w:snapToGrid w:val="0"/>
        <w:spacing w:line="360" w:lineRule="auto"/>
        <w:rPr>
          <w:rFonts w:ascii="宋体" w:hAnsi="宋体" w:cs="宋体"/>
          <w:color w:val="000000" w:themeColor="text1"/>
          <w:sz w:val="24"/>
          <w14:textFill>
            <w14:solidFill>
              <w14:schemeClr w14:val="tx1"/>
            </w14:solidFill>
          </w14:textFill>
        </w:rPr>
      </w:pPr>
    </w:p>
    <w:p>
      <w:pPr>
        <w:adjustRightInd w:val="0"/>
        <w:snapToGrid w:val="0"/>
        <w:spacing w:line="360" w:lineRule="auto"/>
        <w:ind w:firstLine="200"/>
        <w:rPr>
          <w:rFonts w:ascii="宋体" w:hAnsi="宋体" w:cs="宋体"/>
          <w:color w:val="000000" w:themeColor="text1"/>
          <w:sz w:val="24"/>
          <w14:textFill>
            <w14:solidFill>
              <w14:schemeClr w14:val="tx1"/>
            </w14:solidFill>
          </w14:textFill>
        </w:rPr>
      </w:pPr>
    </w:p>
    <w:p>
      <w:pPr>
        <w:adjustRightInd w:val="0"/>
        <w:snapToGrid w:val="0"/>
        <w:spacing w:line="360" w:lineRule="auto"/>
        <w:ind w:left="8312" w:hanging="8312" w:hangingChars="345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甲方名称：                                 乙方名称：</w:t>
      </w:r>
    </w:p>
    <w:p>
      <w:pPr>
        <w:adjustRightInd w:val="0"/>
        <w:snapToGrid w:val="0"/>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深圳市前海深港现代服务业合作区管理局</w:t>
      </w:r>
      <w:r>
        <w:rPr>
          <w:rFonts w:hint="eastAsia" w:ascii="宋体" w:hAnsi="宋体" w:cs="宋体"/>
          <w:color w:val="000000" w:themeColor="text1"/>
          <w:sz w:val="24"/>
          <w14:textFill>
            <w14:solidFill>
              <w14:schemeClr w14:val="tx1"/>
            </w14:solidFill>
          </w14:textFill>
        </w:rPr>
        <w:tab/>
      </w:r>
      <w:r>
        <w:rPr>
          <w:rFonts w:hint="eastAsia" w:ascii="宋体" w:hAnsi="宋体" w:cs="宋体"/>
          <w:color w:val="000000" w:themeColor="text1"/>
          <w:sz w:val="24"/>
          <w14:textFill>
            <w14:solidFill>
              <w14:schemeClr w14:val="tx1"/>
            </w14:solidFill>
          </w14:textFill>
        </w:rPr>
        <w:t xml:space="preserve">     </w:t>
      </w:r>
    </w:p>
    <w:p>
      <w:pPr>
        <w:adjustRightInd w:val="0"/>
        <w:snapToGrid w:val="0"/>
        <w:spacing w:line="360" w:lineRule="auto"/>
        <w:ind w:firstLine="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（盖章）</w:t>
      </w:r>
      <w:r>
        <w:rPr>
          <w:rFonts w:hint="eastAsia" w:ascii="宋体" w:hAnsi="宋体" w:cs="宋体"/>
          <w:color w:val="000000" w:themeColor="text1"/>
          <w:sz w:val="24"/>
          <w14:textFill>
            <w14:solidFill>
              <w14:schemeClr w14:val="tx1"/>
            </w14:solidFill>
          </w14:textFill>
        </w:rPr>
        <w:tab/>
      </w:r>
      <w:r>
        <w:rPr>
          <w:rFonts w:hint="eastAsia" w:ascii="宋体" w:hAnsi="宋体" w:cs="宋体"/>
          <w:color w:val="000000" w:themeColor="text1"/>
          <w:sz w:val="24"/>
          <w14:textFill>
            <w14:solidFill>
              <w14:schemeClr w14:val="tx1"/>
            </w14:solidFill>
          </w14:textFill>
        </w:rPr>
        <w:tab/>
      </w:r>
      <w:r>
        <w:rPr>
          <w:rFonts w:hint="eastAsia" w:ascii="宋体" w:hAnsi="宋体" w:cs="宋体"/>
          <w:color w:val="000000" w:themeColor="text1"/>
          <w:sz w:val="24"/>
          <w14:textFill>
            <w14:solidFill>
              <w14:schemeClr w14:val="tx1"/>
            </w14:solidFill>
          </w14:textFill>
        </w:rPr>
        <w:tab/>
      </w:r>
      <w:r>
        <w:rPr>
          <w:rFonts w:hint="eastAsia" w:ascii="宋体" w:hAnsi="宋体" w:cs="宋体"/>
          <w:color w:val="000000" w:themeColor="text1"/>
          <w:sz w:val="24"/>
          <w14:textFill>
            <w14:solidFill>
              <w14:schemeClr w14:val="tx1"/>
            </w14:solidFill>
          </w14:textFill>
        </w:rPr>
        <w:tab/>
      </w:r>
      <w:r>
        <w:rPr>
          <w:rFonts w:hint="eastAsia" w:ascii="宋体" w:hAnsi="宋体" w:cs="宋体"/>
          <w:color w:val="000000" w:themeColor="text1"/>
          <w:sz w:val="24"/>
          <w14:textFill>
            <w14:solidFill>
              <w14:schemeClr w14:val="tx1"/>
            </w14:solidFill>
          </w14:textFill>
        </w:rPr>
        <w:tab/>
      </w:r>
      <w:r>
        <w:rPr>
          <w:rFonts w:hint="eastAsia" w:ascii="宋体" w:hAnsi="宋体" w:cs="宋体"/>
          <w:color w:val="000000" w:themeColor="text1"/>
          <w:sz w:val="24"/>
          <w14:textFill>
            <w14:solidFill>
              <w14:schemeClr w14:val="tx1"/>
            </w14:solidFill>
          </w14:textFill>
        </w:rPr>
        <w:tab/>
      </w:r>
      <w:r>
        <w:rPr>
          <w:rFonts w:hint="eastAsia" w:ascii="宋体" w:hAnsi="宋体" w:cs="宋体"/>
          <w:color w:val="000000" w:themeColor="text1"/>
          <w:sz w:val="24"/>
          <w14:textFill>
            <w14:solidFill>
              <w14:schemeClr w14:val="tx1"/>
            </w14:solidFill>
          </w14:textFill>
        </w:rPr>
        <w:tab/>
      </w:r>
      <w:r>
        <w:rPr>
          <w:rFonts w:hint="eastAsia" w:ascii="宋体" w:hAnsi="宋体" w:cs="宋体"/>
          <w:color w:val="000000" w:themeColor="text1"/>
          <w:sz w:val="24"/>
          <w14:textFill>
            <w14:solidFill>
              <w14:schemeClr w14:val="tx1"/>
            </w14:solidFill>
          </w14:textFill>
        </w:rPr>
        <w:t xml:space="preserve">           （盖章）</w:t>
      </w:r>
    </w:p>
    <w:p>
      <w:pPr>
        <w:adjustRightInd w:val="0"/>
        <w:snapToGrid w:val="0"/>
        <w:spacing w:line="360" w:lineRule="auto"/>
        <w:ind w:firstLine="200"/>
        <w:rPr>
          <w:rFonts w:ascii="宋体" w:hAnsi="宋体" w:cs="宋体"/>
          <w:color w:val="000000" w:themeColor="text1"/>
          <w:sz w:val="24"/>
          <w14:textFill>
            <w14:solidFill>
              <w14:schemeClr w14:val="tx1"/>
            </w14:solidFill>
          </w14:textFill>
        </w:rPr>
      </w:pPr>
    </w:p>
    <w:p>
      <w:pPr>
        <w:adjustRightInd w:val="0"/>
        <w:snapToGrid w:val="0"/>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法定代表人或授权代表：（签字） </w:t>
      </w:r>
      <w:r>
        <w:rPr>
          <w:rFonts w:hint="eastAsia" w:ascii="宋体" w:hAnsi="宋体" w:cs="宋体"/>
          <w:color w:val="000000" w:themeColor="text1"/>
          <w:sz w:val="24"/>
          <w14:textFill>
            <w14:solidFill>
              <w14:schemeClr w14:val="tx1"/>
            </w14:solidFill>
          </w14:textFill>
        </w:rPr>
        <w:tab/>
      </w:r>
      <w:r>
        <w:rPr>
          <w:rFonts w:hint="eastAsia" w:ascii="宋体" w:hAnsi="宋体" w:cs="宋体"/>
          <w:color w:val="000000" w:themeColor="text1"/>
          <w:sz w:val="24"/>
          <w14:textFill>
            <w14:solidFill>
              <w14:schemeClr w14:val="tx1"/>
            </w14:solidFill>
          </w14:textFill>
        </w:rPr>
        <w:tab/>
      </w:r>
      <w:r>
        <w:rPr>
          <w:rFonts w:hint="eastAsia" w:ascii="宋体" w:hAnsi="宋体" w:cs="宋体"/>
          <w:color w:val="000000" w:themeColor="text1"/>
          <w:sz w:val="24"/>
          <w14:textFill>
            <w14:solidFill>
              <w14:schemeClr w14:val="tx1"/>
            </w14:solidFill>
          </w14:textFill>
        </w:rPr>
        <w:t xml:space="preserve">     法定代表人或授权代表：（签字）</w:t>
      </w:r>
    </w:p>
    <w:p>
      <w:pPr>
        <w:widowControl/>
        <w:adjustRightInd w:val="0"/>
        <w:snapToGrid w:val="0"/>
        <w:spacing w:line="360" w:lineRule="auto"/>
        <w:ind w:firstLine="200"/>
        <w:jc w:val="left"/>
        <w:rPr>
          <w:rFonts w:ascii="宋体" w:hAnsi="宋体" w:cs="宋体"/>
          <w:color w:val="000000" w:themeColor="text1"/>
          <w:sz w:val="24"/>
          <w14:textFill>
            <w14:solidFill>
              <w14:schemeClr w14:val="tx1"/>
            </w14:solidFill>
          </w14:textFill>
        </w:rPr>
      </w:pPr>
    </w:p>
    <w:p>
      <w:pPr>
        <w:adjustRightInd w:val="0"/>
        <w:snapToGrid w:val="0"/>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日期：                                       日期：</w:t>
      </w:r>
    </w:p>
    <w:p>
      <w:pPr>
        <w:adjustRightInd w:val="0"/>
        <w:snapToGrid w:val="0"/>
        <w:spacing w:line="360" w:lineRule="auto"/>
        <w:ind w:firstLine="720" w:firstLineChars="300"/>
        <w:rPr>
          <w:rFonts w:ascii="宋体" w:hAnsi="宋体" w:cs="宋体"/>
          <w:color w:val="000000" w:themeColor="text1"/>
          <w:sz w:val="24"/>
          <w14:textFill>
            <w14:solidFill>
              <w14:schemeClr w14:val="tx1"/>
            </w14:solidFill>
          </w14:textFill>
        </w:rPr>
      </w:pPr>
    </w:p>
    <w:p>
      <w:pPr>
        <w:adjustRightInd w:val="0"/>
        <w:snapToGrid w:val="0"/>
        <w:spacing w:line="360" w:lineRule="auto"/>
        <w:rPr>
          <w:rFonts w:ascii="宋体" w:hAnsi="宋体" w:cs="宋体"/>
          <w:color w:val="000000" w:themeColor="text1"/>
          <w:sz w:val="24"/>
          <w14:textFill>
            <w14:solidFill>
              <w14:schemeClr w14:val="tx1"/>
            </w14:solidFill>
          </w14:textFill>
        </w:rPr>
      </w:pPr>
      <w:r>
        <w:rPr>
          <w:rFonts w:hint="eastAsia" w:ascii="宋体" w:hAnsi="宋体"/>
          <w:b/>
          <w:bCs/>
          <w:color w:val="000000" w:themeColor="text1"/>
          <w:szCs w:val="21"/>
          <w14:textFill>
            <w14:solidFill>
              <w14:schemeClr w14:val="tx1"/>
            </w14:solidFill>
          </w14:textFill>
        </w:rPr>
        <w:t>注：本合同样本仅供参考，具体条款内容采购人和中标人按前海管理局合同样本签订。实际合同样本不改变本招标文件的实质条件</w:t>
      </w:r>
      <w:r>
        <w:rPr>
          <w:rFonts w:hint="eastAsia" w:ascii="宋体" w:hAnsi="宋体" w:cs="宋体"/>
          <w:b/>
          <w:bCs/>
          <w:color w:val="000000" w:themeColor="text1"/>
          <w:sz w:val="24"/>
          <w14:textFill>
            <w14:solidFill>
              <w14:schemeClr w14:val="tx1"/>
            </w14:solidFill>
          </w14:textFill>
        </w:rPr>
        <w:t>。</w:t>
      </w:r>
    </w:p>
    <w:p>
      <w:pPr>
        <w:snapToGrid w:val="0"/>
        <w:spacing w:line="360" w:lineRule="auto"/>
        <w:rPr>
          <w:rFonts w:ascii="宋体" w:hAnsi="宋体" w:cs="宋体"/>
          <w:color w:val="000000" w:themeColor="text1"/>
          <w:sz w:val="24"/>
          <w14:textFill>
            <w14:solidFill>
              <w14:schemeClr w14:val="tx1"/>
            </w14:solidFill>
          </w14:textFill>
        </w:rPr>
      </w:pPr>
    </w:p>
    <w:p>
      <w:pPr>
        <w:pStyle w:val="8"/>
        <w:rPr>
          <w:rFonts w:ascii="宋体" w:hAnsi="宋体" w:cs="宋体"/>
          <w:color w:val="000000" w:themeColor="text1"/>
          <w14:textFill>
            <w14:solidFill>
              <w14:schemeClr w14:val="tx1"/>
            </w14:solidFill>
          </w14:textFill>
        </w:rPr>
      </w:pPr>
    </w:p>
    <w:p>
      <w:pPr>
        <w:rPr>
          <w:color w:val="000000" w:themeColor="text1"/>
          <w14:textFill>
            <w14:solidFill>
              <w14:schemeClr w14:val="tx1"/>
            </w14:solidFill>
          </w14:textFill>
        </w:rPr>
      </w:pPr>
    </w:p>
    <w:p>
      <w:pPr>
        <w:numPr>
          <w:ilvl w:val="0"/>
          <w:numId w:val="1"/>
        </w:numPr>
        <w:spacing w:line="360" w:lineRule="auto"/>
        <w:jc w:val="center"/>
        <w:outlineLvl w:val="0"/>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br w:type="page"/>
      </w:r>
      <w:r>
        <w:rPr>
          <w:rFonts w:hint="eastAsia" w:ascii="宋体" w:hAnsi="宋体" w:cs="宋体"/>
          <w:b/>
          <w:bCs/>
          <w:color w:val="000000" w:themeColor="text1"/>
          <w:sz w:val="24"/>
          <w14:textFill>
            <w14:solidFill>
              <w14:schemeClr w14:val="tx1"/>
            </w14:solidFill>
          </w14:textFill>
        </w:rPr>
        <w:t xml:space="preserve"> </w:t>
      </w:r>
      <w:bookmarkStart w:id="30" w:name="_Toc25518"/>
      <w:r>
        <w:rPr>
          <w:rFonts w:hint="eastAsia" w:ascii="宋体" w:hAnsi="宋体" w:cs="宋体"/>
          <w:b/>
          <w:bCs/>
          <w:color w:val="000000" w:themeColor="text1"/>
          <w:sz w:val="24"/>
          <w14:textFill>
            <w14:solidFill>
              <w14:schemeClr w14:val="tx1"/>
            </w14:solidFill>
          </w14:textFill>
        </w:rPr>
        <w:t>用户需求书</w:t>
      </w:r>
      <w:bookmarkEnd w:id="30"/>
    </w:p>
    <w:p>
      <w:pPr>
        <w:pStyle w:val="31"/>
        <w:tabs>
          <w:tab w:val="left" w:pos="720"/>
        </w:tabs>
        <w:autoSpaceDE w:val="0"/>
        <w:autoSpaceDN w:val="0"/>
        <w:adjustRightInd w:val="0"/>
        <w:spacing w:line="360" w:lineRule="auto"/>
        <w:ind w:right="17" w:firstLine="482"/>
        <w:jc w:val="left"/>
        <w:outlineLvl w:val="1"/>
        <w:rPr>
          <w:rFonts w:ascii="宋体" w:hAnsi="宋体" w:cs="宋体"/>
          <w:b/>
          <w:color w:val="000000" w:themeColor="text1"/>
          <w:sz w:val="24"/>
          <w14:textFill>
            <w14:solidFill>
              <w14:schemeClr w14:val="tx1"/>
            </w14:solidFill>
          </w14:textFill>
        </w:rPr>
      </w:pPr>
      <w:bookmarkStart w:id="31" w:name="_Toc11045"/>
      <w:bookmarkStart w:id="32" w:name="_Toc23726"/>
      <w:r>
        <w:rPr>
          <w:rFonts w:hint="eastAsia" w:ascii="宋体" w:hAnsi="宋体" w:cs="宋体"/>
          <w:b/>
          <w:color w:val="000000" w:themeColor="text1"/>
          <w:sz w:val="24"/>
          <w14:textFill>
            <w14:solidFill>
              <w14:schemeClr w14:val="tx1"/>
            </w14:solidFill>
          </w14:textFill>
        </w:rPr>
        <w:t>说明：本章“用户需求书”的全部内容为本项目正常开展的基本要求，投标人必须完全响应，否则将导致投标无效。</w:t>
      </w:r>
    </w:p>
    <w:p>
      <w:pPr>
        <w:pStyle w:val="31"/>
        <w:tabs>
          <w:tab w:val="left" w:pos="720"/>
        </w:tabs>
        <w:autoSpaceDE w:val="0"/>
        <w:autoSpaceDN w:val="0"/>
        <w:adjustRightInd w:val="0"/>
        <w:spacing w:line="360" w:lineRule="auto"/>
        <w:ind w:right="17" w:firstLine="482"/>
        <w:jc w:val="left"/>
        <w:outlineLvl w:val="1"/>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一、</w:t>
      </w:r>
      <w:bookmarkEnd w:id="31"/>
      <w:bookmarkEnd w:id="32"/>
      <w:bookmarkStart w:id="33" w:name="_Toc51746099"/>
      <w:r>
        <w:rPr>
          <w:rFonts w:hint="eastAsia" w:ascii="宋体" w:hAnsi="宋体" w:cs="宋体"/>
          <w:b/>
          <w:color w:val="000000" w:themeColor="text1"/>
          <w:sz w:val="24"/>
          <w:lang w:val="zh-CN"/>
          <w14:textFill>
            <w14:solidFill>
              <w14:schemeClr w14:val="tx1"/>
            </w14:solidFill>
          </w14:textFill>
        </w:rPr>
        <w:t>项目概况</w:t>
      </w:r>
    </w:p>
    <w:bookmarkEnd w:id="33"/>
    <w:p>
      <w:pPr>
        <w:pStyle w:val="31"/>
        <w:tabs>
          <w:tab w:val="left" w:pos="720"/>
        </w:tabs>
        <w:autoSpaceDE w:val="0"/>
        <w:autoSpaceDN w:val="0"/>
        <w:adjustRightInd w:val="0"/>
        <w:spacing w:line="360" w:lineRule="auto"/>
        <w:ind w:right="17" w:firstLine="480"/>
        <w:jc w:val="left"/>
        <w:outlineLvl w:val="1"/>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（一）本项目为“港税e”香港居民个人所得税优惠政策落实提升服务项目。为深入贯彻落实《财政部 税务总局关于前海深港现代服务业合作区个人所得税优惠政策的通知》要求，应对2026年税收制度变化，确保在前海工作的香港居民能够持续、便捷地享受“税负超过香港部分予以免征”的政策红利，特实施本项目。</w:t>
      </w:r>
    </w:p>
    <w:p>
      <w:pPr>
        <w:pStyle w:val="31"/>
        <w:tabs>
          <w:tab w:val="left" w:pos="720"/>
        </w:tabs>
        <w:autoSpaceDE w:val="0"/>
        <w:autoSpaceDN w:val="0"/>
        <w:adjustRightInd w:val="0"/>
        <w:spacing w:line="360" w:lineRule="auto"/>
        <w:ind w:right="17" w:firstLine="480"/>
        <w:jc w:val="left"/>
        <w:outlineLvl w:val="1"/>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（二）项目主要内容包括：“港税e”适配个人所得税汇算清缴试算、申报规则调整、适配香港 2025-26 财年薪俸税、利得税政策变化调整、通过自然人电子税务局WEB端及前海企业服务一体化平台移动端提供的个税试算服务进行体验优化，并开展系统日常运维保障。旨在通过提供专业的运维服务，提升政策申报的精准性与便捷性，稳定香港居民人才队伍，优化前海合作区的国际化营商环境，间接服务于区域招商引资与高质量发展大局。</w:t>
      </w:r>
    </w:p>
    <w:p>
      <w:pPr>
        <w:pStyle w:val="31"/>
        <w:tabs>
          <w:tab w:val="left" w:pos="720"/>
        </w:tabs>
        <w:autoSpaceDE w:val="0"/>
        <w:autoSpaceDN w:val="0"/>
        <w:adjustRightInd w:val="0"/>
        <w:spacing w:line="360" w:lineRule="auto"/>
        <w:ind w:right="17" w:firstLine="482"/>
        <w:jc w:val="left"/>
        <w:outlineLvl w:val="1"/>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二、项目服务内容及服务要求</w:t>
      </w:r>
    </w:p>
    <w:p>
      <w:pPr>
        <w:pStyle w:val="31"/>
        <w:tabs>
          <w:tab w:val="left" w:pos="720"/>
        </w:tabs>
        <w:autoSpaceDE w:val="0"/>
        <w:autoSpaceDN w:val="0"/>
        <w:adjustRightInd w:val="0"/>
        <w:spacing w:line="360" w:lineRule="auto"/>
        <w:ind w:right="17" w:firstLine="480"/>
        <w:jc w:val="left"/>
        <w:outlineLvl w:val="1"/>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供应商需围绕</w:t>
      </w:r>
      <w:r>
        <w:rPr>
          <w:rFonts w:hint="eastAsia" w:ascii="宋体" w:hAnsi="宋体" w:cs="宋体"/>
          <w:bCs/>
          <w:color w:val="000000" w:themeColor="text1"/>
          <w:sz w:val="24"/>
          <w:lang w:eastAsia="zh-CN"/>
          <w14:textFill>
            <w14:solidFill>
              <w14:schemeClr w14:val="tx1"/>
            </w14:solidFill>
          </w14:textFill>
        </w:rPr>
        <w:t>“</w:t>
      </w:r>
      <w:r>
        <w:rPr>
          <w:rFonts w:hint="eastAsia" w:ascii="宋体" w:hAnsi="宋体" w:cs="宋体"/>
          <w:bCs/>
          <w:color w:val="000000" w:themeColor="text1"/>
          <w:sz w:val="24"/>
          <w14:textFill>
            <w14:solidFill>
              <w14:schemeClr w14:val="tx1"/>
            </w14:solidFill>
          </w14:textFill>
        </w:rPr>
        <w:t>港税e</w:t>
      </w:r>
      <w:r>
        <w:rPr>
          <w:rFonts w:hint="eastAsia" w:ascii="宋体" w:hAnsi="宋体" w:cs="宋体"/>
          <w:bCs/>
          <w:color w:val="000000" w:themeColor="text1"/>
          <w:sz w:val="24"/>
          <w:lang w:eastAsia="zh-CN"/>
          <w14:textFill>
            <w14:solidFill>
              <w14:schemeClr w14:val="tx1"/>
            </w14:solidFill>
          </w14:textFill>
        </w:rPr>
        <w:t>”</w:t>
      </w:r>
      <w:r>
        <w:rPr>
          <w:rFonts w:hint="eastAsia" w:ascii="宋体" w:hAnsi="宋体" w:cs="宋体"/>
          <w:bCs/>
          <w:color w:val="000000" w:themeColor="text1"/>
          <w:sz w:val="24"/>
          <w14:textFill>
            <w14:solidFill>
              <w14:schemeClr w14:val="tx1"/>
            </w14:solidFill>
          </w14:textFill>
        </w:rPr>
        <w:t>香港居民个人所得税优惠服务的用户体验提升与系统稳定运行，提供以五下方面的专业服务：</w:t>
      </w:r>
    </w:p>
    <w:p>
      <w:pPr>
        <w:pStyle w:val="31"/>
        <w:tabs>
          <w:tab w:val="left" w:pos="720"/>
        </w:tabs>
        <w:autoSpaceDE w:val="0"/>
        <w:autoSpaceDN w:val="0"/>
        <w:adjustRightInd w:val="0"/>
        <w:spacing w:line="360" w:lineRule="auto"/>
        <w:ind w:right="17" w:firstLine="480"/>
        <w:jc w:val="left"/>
        <w:outlineLvl w:val="1"/>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（一）适配香港税收政策变化</w:t>
      </w:r>
    </w:p>
    <w:p>
      <w:pPr>
        <w:pStyle w:val="31"/>
        <w:tabs>
          <w:tab w:val="left" w:pos="720"/>
        </w:tabs>
        <w:autoSpaceDE w:val="0"/>
        <w:autoSpaceDN w:val="0"/>
        <w:adjustRightInd w:val="0"/>
        <w:spacing w:line="360" w:lineRule="auto"/>
        <w:ind w:right="17" w:firstLine="480"/>
        <w:jc w:val="left"/>
        <w:outlineLvl w:val="1"/>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适配香港 2025-26 财年薪俸税、利得税政策变化，对测算服务计算规则进行调整，主要包括利得税、薪俸税及个人入息课税的宽减额度调整，根据最新政策，每宗个案的宽减额度上限调整为 1500 港元。</w:t>
      </w:r>
    </w:p>
    <w:p>
      <w:pPr>
        <w:pStyle w:val="31"/>
        <w:tabs>
          <w:tab w:val="left" w:pos="720"/>
        </w:tabs>
        <w:autoSpaceDE w:val="0"/>
        <w:autoSpaceDN w:val="0"/>
        <w:adjustRightInd w:val="0"/>
        <w:spacing w:line="360" w:lineRule="auto"/>
        <w:ind w:right="17" w:firstLine="480"/>
        <w:jc w:val="left"/>
        <w:outlineLvl w:val="1"/>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（二）适配大陆税收政策及申报规则变化</w:t>
      </w:r>
    </w:p>
    <w:p>
      <w:pPr>
        <w:pStyle w:val="31"/>
        <w:tabs>
          <w:tab w:val="left" w:pos="720"/>
        </w:tabs>
        <w:autoSpaceDE w:val="0"/>
        <w:autoSpaceDN w:val="0"/>
        <w:adjustRightInd w:val="0"/>
        <w:spacing w:line="360" w:lineRule="auto"/>
        <w:ind w:right="17" w:firstLine="480"/>
        <w:jc w:val="left"/>
        <w:outlineLvl w:val="1"/>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适配 2025 年度个人所得税政策变化，以及国家税务总局自然人电子税务局汇算清缴试算、申报规则调整。</w:t>
      </w:r>
    </w:p>
    <w:p>
      <w:pPr>
        <w:pStyle w:val="31"/>
        <w:tabs>
          <w:tab w:val="left" w:pos="720"/>
        </w:tabs>
        <w:autoSpaceDE w:val="0"/>
        <w:autoSpaceDN w:val="0"/>
        <w:adjustRightInd w:val="0"/>
        <w:spacing w:line="360" w:lineRule="auto"/>
        <w:ind w:right="17" w:firstLine="480"/>
        <w:jc w:val="left"/>
        <w:outlineLvl w:val="1"/>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（三）WEB 端试算服务体验优化</w:t>
      </w:r>
    </w:p>
    <w:p>
      <w:pPr>
        <w:pStyle w:val="31"/>
        <w:tabs>
          <w:tab w:val="left" w:pos="720"/>
        </w:tabs>
        <w:autoSpaceDE w:val="0"/>
        <w:autoSpaceDN w:val="0"/>
        <w:adjustRightInd w:val="0"/>
        <w:spacing w:line="360" w:lineRule="auto"/>
        <w:ind w:right="17" w:firstLine="480"/>
        <w:jc w:val="left"/>
        <w:outlineLvl w:val="1"/>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根据前期香港居民反馈的热点意见，对通过自然人电子税务局 WEB 端提供的试算服务体验进行自查优化。</w:t>
      </w:r>
    </w:p>
    <w:p>
      <w:pPr>
        <w:pStyle w:val="31"/>
        <w:tabs>
          <w:tab w:val="left" w:pos="720"/>
        </w:tabs>
        <w:autoSpaceDE w:val="0"/>
        <w:autoSpaceDN w:val="0"/>
        <w:adjustRightInd w:val="0"/>
        <w:spacing w:line="360" w:lineRule="auto"/>
        <w:ind w:right="17" w:firstLine="480"/>
        <w:jc w:val="left"/>
        <w:outlineLvl w:val="1"/>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（四）移动端试算服务体验优化</w:t>
      </w:r>
    </w:p>
    <w:p>
      <w:pPr>
        <w:pStyle w:val="31"/>
        <w:tabs>
          <w:tab w:val="left" w:pos="720"/>
        </w:tabs>
        <w:autoSpaceDE w:val="0"/>
        <w:autoSpaceDN w:val="0"/>
        <w:adjustRightInd w:val="0"/>
        <w:spacing w:line="360" w:lineRule="auto"/>
        <w:ind w:right="17" w:firstLine="480"/>
        <w:jc w:val="left"/>
        <w:outlineLvl w:val="1"/>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根据前期香港居民反馈的热点意见，对通过前海企业服务一体化平台移动端提供的试算服务体验进行自查优化。</w:t>
      </w:r>
    </w:p>
    <w:p>
      <w:pPr>
        <w:pStyle w:val="31"/>
        <w:tabs>
          <w:tab w:val="left" w:pos="720"/>
        </w:tabs>
        <w:autoSpaceDE w:val="0"/>
        <w:autoSpaceDN w:val="0"/>
        <w:adjustRightInd w:val="0"/>
        <w:spacing w:line="360" w:lineRule="auto"/>
        <w:ind w:right="17" w:firstLine="480"/>
        <w:jc w:val="left"/>
        <w:outlineLvl w:val="1"/>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（五）日常维护</w:t>
      </w:r>
    </w:p>
    <w:p>
      <w:pPr>
        <w:pStyle w:val="31"/>
        <w:tabs>
          <w:tab w:val="left" w:pos="720"/>
        </w:tabs>
        <w:autoSpaceDE w:val="0"/>
        <w:autoSpaceDN w:val="0"/>
        <w:adjustRightInd w:val="0"/>
        <w:spacing w:line="360" w:lineRule="auto"/>
        <w:ind w:right="17" w:firstLine="480"/>
        <w:jc w:val="left"/>
        <w:outlineLvl w:val="1"/>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定期系统健康巡检和风险排查：每天定时进行日常巡检和风险排查，对服务对象系统的网络、存储、数据库、中间件等基础环境、资源使用、信息安全等进行巡检。</w:t>
      </w:r>
    </w:p>
    <w:p>
      <w:pPr>
        <w:pStyle w:val="31"/>
        <w:tabs>
          <w:tab w:val="left" w:pos="720"/>
        </w:tabs>
        <w:autoSpaceDE w:val="0"/>
        <w:autoSpaceDN w:val="0"/>
        <w:adjustRightInd w:val="0"/>
        <w:spacing w:line="360" w:lineRule="auto"/>
        <w:ind w:right="17" w:firstLine="482"/>
        <w:jc w:val="left"/>
        <w:outlineLvl w:val="1"/>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三、项目团队要求</w:t>
      </w:r>
    </w:p>
    <w:p>
      <w:pPr>
        <w:pStyle w:val="31"/>
        <w:tabs>
          <w:tab w:val="left" w:pos="720"/>
        </w:tabs>
        <w:autoSpaceDE w:val="0"/>
        <w:autoSpaceDN w:val="0"/>
        <w:adjustRightInd w:val="0"/>
        <w:spacing w:line="360" w:lineRule="auto"/>
        <w:ind w:right="17" w:firstLine="480"/>
        <w:jc w:val="left"/>
        <w:outlineLvl w:val="1"/>
        <w:rPr>
          <w:rFonts w:ascii="宋体" w:hAnsi="宋体" w:cs="宋体"/>
          <w:bCs/>
          <w:color w:val="000000" w:themeColor="text1"/>
          <w:sz w:val="24"/>
          <w14:textFill>
            <w14:solidFill>
              <w14:schemeClr w14:val="tx1"/>
            </w14:solidFill>
          </w14:textFill>
        </w:rPr>
      </w:pPr>
      <w:r>
        <w:rPr>
          <w:rFonts w:hint="eastAsia" w:ascii="宋体" w:hAnsi="宋体" w:cs="宋体"/>
          <w:color w:val="000000" w:themeColor="text1"/>
          <w:sz w:val="24"/>
          <w:lang w:bidi="ar"/>
          <w14:textFill>
            <w14:solidFill>
              <w14:schemeClr w14:val="tx1"/>
            </w14:solidFill>
          </w14:textFill>
        </w:rPr>
        <w:t>中标人拟安排的项目服务团队成员不得少于</w:t>
      </w:r>
      <w:r>
        <w:rPr>
          <w:rFonts w:ascii="宋体" w:hAnsi="宋体" w:cs="宋体"/>
          <w:color w:val="000000" w:themeColor="text1"/>
          <w:sz w:val="24"/>
          <w:lang w:bidi="ar"/>
          <w14:textFill>
            <w14:solidFill>
              <w14:schemeClr w14:val="tx1"/>
            </w14:solidFill>
          </w14:textFill>
        </w:rPr>
        <w:t>1</w:t>
      </w:r>
      <w:r>
        <w:rPr>
          <w:rFonts w:hint="eastAsia" w:ascii="宋体" w:hAnsi="宋体" w:cs="宋体"/>
          <w:color w:val="000000" w:themeColor="text1"/>
          <w:sz w:val="24"/>
          <w:lang w:bidi="ar"/>
          <w14:textFill>
            <w14:solidFill>
              <w14:schemeClr w14:val="tx1"/>
            </w14:solidFill>
          </w14:textFill>
        </w:rPr>
        <w:t>人。</w:t>
      </w:r>
    </w:p>
    <w:p>
      <w:pPr>
        <w:pStyle w:val="31"/>
        <w:tabs>
          <w:tab w:val="left" w:pos="720"/>
        </w:tabs>
        <w:autoSpaceDE w:val="0"/>
        <w:autoSpaceDN w:val="0"/>
        <w:adjustRightInd w:val="0"/>
        <w:spacing w:line="360" w:lineRule="auto"/>
        <w:ind w:right="17" w:firstLine="482"/>
        <w:jc w:val="left"/>
        <w:outlineLvl w:val="1"/>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四、交付成果与验收要求</w:t>
      </w:r>
    </w:p>
    <w:p>
      <w:pPr>
        <w:pStyle w:val="31"/>
        <w:tabs>
          <w:tab w:val="left" w:pos="720"/>
        </w:tabs>
        <w:autoSpaceDE w:val="0"/>
        <w:autoSpaceDN w:val="0"/>
        <w:adjustRightInd w:val="0"/>
        <w:spacing w:line="360" w:lineRule="auto"/>
        <w:ind w:right="17" w:firstLine="480"/>
        <w:jc w:val="left"/>
        <w:outlineLvl w:val="1"/>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（一）交付成果</w:t>
      </w:r>
    </w:p>
    <w:p>
      <w:pPr>
        <w:pStyle w:val="31"/>
        <w:tabs>
          <w:tab w:val="left" w:pos="720"/>
        </w:tabs>
        <w:autoSpaceDE w:val="0"/>
        <w:autoSpaceDN w:val="0"/>
        <w:adjustRightInd w:val="0"/>
        <w:spacing w:line="360" w:lineRule="auto"/>
        <w:ind w:right="17" w:firstLine="480"/>
        <w:jc w:val="left"/>
        <w:outlineLvl w:val="1"/>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中标人应按照采购人要求，移交项目服务过程中的各类文档，并进行产出物的交付，至少包括项目过程文件、最终成果文件等，最终成果文件为形成《“港税e”香港居民个人所得税优惠政策落实提升服务报告》。</w:t>
      </w:r>
      <w:r>
        <w:rPr>
          <w:rFonts w:hint="eastAsia" w:ascii="宋体" w:hAnsi="宋体" w:cs="宋体"/>
          <w:color w:val="000000" w:themeColor="text1"/>
          <w:sz w:val="24"/>
          <w14:textFill>
            <w14:solidFill>
              <w14:schemeClr w14:val="tx1"/>
            </w14:solidFill>
          </w14:textFill>
        </w:rPr>
        <w:t>分别以书面形式（按</w:t>
      </w:r>
      <w:r>
        <w:rPr>
          <w:rFonts w:hint="eastAsia" w:ascii="宋体" w:hAnsi="宋体" w:cs="宋体"/>
          <w:color w:val="000000" w:themeColor="text1"/>
          <w:sz w:val="24"/>
          <w:lang w:val="en-US" w:eastAsia="zh-CN"/>
          <w14:textFill>
            <w14:solidFill>
              <w14:schemeClr w14:val="tx1"/>
            </w14:solidFill>
          </w14:textFill>
        </w:rPr>
        <w:t>采购人</w:t>
      </w:r>
      <w:r>
        <w:rPr>
          <w:rFonts w:hint="eastAsia" w:ascii="宋体" w:hAnsi="宋体" w:cs="宋体"/>
          <w:color w:val="000000" w:themeColor="text1"/>
          <w:sz w:val="24"/>
          <w14:textFill>
            <w14:solidFill>
              <w14:schemeClr w14:val="tx1"/>
            </w14:solidFill>
          </w14:textFill>
        </w:rPr>
        <w:t>要求印制）和电子文件形式提交</w:t>
      </w:r>
      <w:r>
        <w:rPr>
          <w:rFonts w:hint="eastAsia" w:ascii="宋体" w:hAnsi="宋体" w:cs="宋体"/>
          <w:color w:val="000000" w:themeColor="text1"/>
          <w:sz w:val="24"/>
          <w:lang w:eastAsia="zh-CN"/>
          <w14:textFill>
            <w14:solidFill>
              <w14:schemeClr w14:val="tx1"/>
            </w14:solidFill>
          </w14:textFill>
        </w:rPr>
        <w:t>，</w:t>
      </w:r>
      <w:r>
        <w:rPr>
          <w:rFonts w:hint="eastAsia" w:ascii="宋体" w:hAnsi="宋体" w:cs="宋体"/>
          <w:bCs/>
          <w:color w:val="000000" w:themeColor="text1"/>
          <w:sz w:val="24"/>
          <w14:textFill>
            <w14:solidFill>
              <w14:schemeClr w14:val="tx1"/>
            </w14:solidFill>
          </w14:textFill>
        </w:rPr>
        <w:t>内容应清晰完整，且和项目相符，并保持版本一致。</w:t>
      </w:r>
    </w:p>
    <w:p>
      <w:pPr>
        <w:pStyle w:val="31"/>
        <w:tabs>
          <w:tab w:val="left" w:pos="720"/>
        </w:tabs>
        <w:autoSpaceDE w:val="0"/>
        <w:autoSpaceDN w:val="0"/>
        <w:adjustRightInd w:val="0"/>
        <w:spacing w:line="360" w:lineRule="auto"/>
        <w:ind w:right="17" w:firstLine="480"/>
        <w:jc w:val="left"/>
        <w:outlineLvl w:val="1"/>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（二）验收要求</w:t>
      </w:r>
    </w:p>
    <w:p>
      <w:pPr>
        <w:pStyle w:val="31"/>
        <w:tabs>
          <w:tab w:val="left" w:pos="720"/>
        </w:tabs>
        <w:autoSpaceDE w:val="0"/>
        <w:autoSpaceDN w:val="0"/>
        <w:adjustRightInd w:val="0"/>
        <w:spacing w:line="360" w:lineRule="auto"/>
        <w:ind w:right="17" w:firstLine="480"/>
        <w:jc w:val="left"/>
        <w:outlineLvl w:val="1"/>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协助采购人，在合同服务期内开展前海“港税e”香港居民个人所得税优惠政策落实提升服务，合同服务期满后形成《“港税e”香港居民个人所得税优惠政策落实提升服务报告》成果，</w:t>
      </w:r>
      <w:r>
        <w:rPr>
          <w:rFonts w:hint="eastAsia" w:ascii="宋体" w:hAnsi="宋体" w:cs="宋体"/>
          <w:color w:val="000000" w:themeColor="text1"/>
          <w:sz w:val="24"/>
          <w14:textFill>
            <w14:solidFill>
              <w14:schemeClr w14:val="tx1"/>
            </w14:solidFill>
          </w14:textFill>
        </w:rPr>
        <w:t>最终成果验收合格的标志为</w:t>
      </w:r>
      <w:r>
        <w:rPr>
          <w:rFonts w:hint="eastAsia" w:ascii="宋体" w:hAnsi="宋体" w:cs="宋体"/>
          <w:color w:val="000000" w:themeColor="text1"/>
          <w:sz w:val="24"/>
          <w:lang w:val="en-US" w:eastAsia="zh-CN"/>
          <w14:textFill>
            <w14:solidFill>
              <w14:schemeClr w14:val="tx1"/>
            </w14:solidFill>
          </w14:textFill>
        </w:rPr>
        <w:t>采购人</w:t>
      </w:r>
      <w:r>
        <w:rPr>
          <w:rFonts w:hint="eastAsia" w:ascii="宋体" w:hAnsi="宋体" w:cs="宋体"/>
          <w:color w:val="000000" w:themeColor="text1"/>
          <w:sz w:val="24"/>
          <w14:textFill>
            <w14:solidFill>
              <w14:schemeClr w14:val="tx1"/>
            </w14:solidFill>
          </w14:textFill>
        </w:rPr>
        <w:t>审查通过</w:t>
      </w:r>
      <w:r>
        <w:rPr>
          <w:rFonts w:hint="eastAsia" w:ascii="宋体" w:hAnsi="宋体" w:cs="宋体"/>
          <w:bCs/>
          <w:color w:val="000000" w:themeColor="text1"/>
          <w:sz w:val="24"/>
          <w14:textFill>
            <w14:solidFill>
              <w14:schemeClr w14:val="tx1"/>
            </w14:solidFill>
          </w14:textFill>
        </w:rPr>
        <w:t>。</w:t>
      </w:r>
    </w:p>
    <w:p>
      <w:pPr>
        <w:pStyle w:val="31"/>
        <w:tabs>
          <w:tab w:val="left" w:pos="720"/>
        </w:tabs>
        <w:autoSpaceDE w:val="0"/>
        <w:autoSpaceDN w:val="0"/>
        <w:adjustRightInd w:val="0"/>
        <w:spacing w:line="360" w:lineRule="auto"/>
        <w:ind w:right="17" w:firstLine="482"/>
        <w:jc w:val="left"/>
        <w:outlineLvl w:val="1"/>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五、培训要求</w:t>
      </w:r>
    </w:p>
    <w:p>
      <w:pPr>
        <w:pStyle w:val="31"/>
        <w:tabs>
          <w:tab w:val="left" w:pos="720"/>
        </w:tabs>
        <w:autoSpaceDE w:val="0"/>
        <w:autoSpaceDN w:val="0"/>
        <w:adjustRightInd w:val="0"/>
        <w:spacing w:line="360" w:lineRule="auto"/>
        <w:ind w:right="17" w:firstLine="480"/>
        <w:jc w:val="left"/>
        <w:outlineLvl w:val="1"/>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中标人对提供服务需要用到的计算机工具的基本使用方法对相关工作人员进行培训，在工具使用过程中出现的问题进行现场解答和技术指导。中标人需对相关工作人员进行操作培训，指导正确使用计算机工具，并对使用过程中出现的问题进行解答和技术指导。</w:t>
      </w:r>
    </w:p>
    <w:p>
      <w:pPr>
        <w:pStyle w:val="31"/>
        <w:tabs>
          <w:tab w:val="left" w:pos="720"/>
        </w:tabs>
        <w:autoSpaceDE w:val="0"/>
        <w:autoSpaceDN w:val="0"/>
        <w:adjustRightInd w:val="0"/>
        <w:spacing w:line="360" w:lineRule="auto"/>
        <w:ind w:right="17" w:firstLine="482"/>
        <w:jc w:val="left"/>
        <w:outlineLvl w:val="1"/>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六、商务要求</w:t>
      </w:r>
    </w:p>
    <w:p>
      <w:pPr>
        <w:tabs>
          <w:tab w:val="left" w:pos="720"/>
        </w:tabs>
        <w:autoSpaceDE w:val="0"/>
        <w:autoSpaceDN w:val="0"/>
        <w:adjustRightInd w:val="0"/>
        <w:spacing w:line="360" w:lineRule="auto"/>
        <w:ind w:right="17" w:firstLine="482" w:firstLineChars="200"/>
        <w:outlineLvl w:val="2"/>
        <w:rPr>
          <w:rFonts w:ascii="宋体" w:hAnsi="宋体" w:cs="宋体"/>
          <w:color w:val="000000" w:themeColor="text1"/>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（一）服务期限</w:t>
      </w:r>
    </w:p>
    <w:p>
      <w:pPr>
        <w:pStyle w:val="31"/>
        <w:tabs>
          <w:tab w:val="left" w:pos="720"/>
        </w:tabs>
        <w:autoSpaceDE w:val="0"/>
        <w:autoSpaceDN w:val="0"/>
        <w:adjustRightInd w:val="0"/>
        <w:spacing w:line="360" w:lineRule="auto"/>
        <w:ind w:right="17" w:firstLine="480"/>
        <w:jc w:val="left"/>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本项目服务期限为自合同签订后12个月内完成全部项目工作内容并提交最终成果。</w:t>
      </w:r>
    </w:p>
    <w:p>
      <w:pPr>
        <w:tabs>
          <w:tab w:val="left" w:pos="720"/>
        </w:tabs>
        <w:autoSpaceDE w:val="0"/>
        <w:autoSpaceDN w:val="0"/>
        <w:adjustRightInd w:val="0"/>
        <w:spacing w:line="360" w:lineRule="auto"/>
        <w:ind w:right="17" w:firstLine="482" w:firstLineChars="200"/>
        <w:outlineLvl w:val="2"/>
        <w:rPr>
          <w:rFonts w:ascii="宋体" w:hAnsi="宋体" w:cs="宋体"/>
          <w:bCs/>
          <w:color w:val="000000" w:themeColor="text1"/>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（二）服务地点</w:t>
      </w:r>
    </w:p>
    <w:p>
      <w:pPr>
        <w:tabs>
          <w:tab w:val="left" w:pos="720"/>
        </w:tabs>
        <w:autoSpaceDE w:val="0"/>
        <w:autoSpaceDN w:val="0"/>
        <w:adjustRightInd w:val="0"/>
        <w:spacing w:line="360" w:lineRule="auto"/>
        <w:ind w:right="17" w:firstLine="480" w:firstLineChars="200"/>
        <w:outlineLvl w:val="2"/>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采购人指定地点。</w:t>
      </w:r>
    </w:p>
    <w:p>
      <w:pPr>
        <w:tabs>
          <w:tab w:val="left" w:pos="720"/>
        </w:tabs>
        <w:autoSpaceDE w:val="0"/>
        <w:autoSpaceDN w:val="0"/>
        <w:adjustRightInd w:val="0"/>
        <w:spacing w:line="360" w:lineRule="auto"/>
        <w:ind w:right="17" w:firstLine="482" w:firstLineChars="200"/>
        <w:outlineLvl w:val="2"/>
        <w:rPr>
          <w:rFonts w:ascii="宋体" w:hAns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（三）报价要求</w:t>
      </w:r>
    </w:p>
    <w:p>
      <w:pPr>
        <w:widowControl/>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1.本次投标为总价包干，投标报价总价作为中标人与采购人</w:t>
      </w:r>
      <w:r>
        <w:rPr>
          <w:rFonts w:hint="eastAsia" w:ascii="宋体" w:hAnsi="宋体" w:cs="宋体"/>
          <w:color w:val="000000" w:themeColor="text1"/>
          <w:sz w:val="24"/>
          <w:lang w:eastAsia="zh-CN"/>
          <w14:textFill>
            <w14:solidFill>
              <w14:schemeClr w14:val="tx1"/>
            </w14:solidFill>
          </w14:textFill>
        </w:rPr>
        <w:t>签订</w:t>
      </w:r>
      <w:r>
        <w:rPr>
          <w:rFonts w:hint="eastAsia" w:ascii="宋体" w:hAnsi="宋体" w:cs="宋体"/>
          <w:color w:val="000000" w:themeColor="text1"/>
          <w:sz w:val="24"/>
          <w14:textFill>
            <w14:solidFill>
              <w14:schemeClr w14:val="tx1"/>
            </w14:solidFill>
          </w14:textFill>
        </w:rPr>
        <w:t>的合同金额。投标人的报价不可高于预算（限价），否则投标人的投标文件视同无效。项目服务费包括但不限于人员研究费用、调研差旅费、专家咨询费、资料费、税费等所有费用，并提供合同要求的有关成果材料，以及其它相关服务的全部费用。一经中标，正式报价总价作为中标人与采购人</w:t>
      </w:r>
      <w:r>
        <w:rPr>
          <w:rFonts w:hint="eastAsia" w:ascii="宋体" w:hAnsi="宋体" w:cs="宋体"/>
          <w:color w:val="000000" w:themeColor="text1"/>
          <w:sz w:val="24"/>
          <w:lang w:eastAsia="zh-CN"/>
          <w14:textFill>
            <w14:solidFill>
              <w14:schemeClr w14:val="tx1"/>
            </w14:solidFill>
          </w14:textFill>
        </w:rPr>
        <w:t>签订</w:t>
      </w:r>
      <w:r>
        <w:rPr>
          <w:rFonts w:hint="eastAsia" w:ascii="宋体" w:hAnsi="宋体" w:cs="宋体"/>
          <w:color w:val="000000" w:themeColor="text1"/>
          <w:sz w:val="24"/>
          <w14:textFill>
            <w14:solidFill>
              <w14:schemeClr w14:val="tx1"/>
            </w14:solidFill>
          </w14:textFill>
        </w:rPr>
        <w:t>的合同金额，合同期限内不做调整。</w:t>
      </w:r>
    </w:p>
    <w:p>
      <w:pPr>
        <w:widowControl/>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评标时，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widowControl/>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3.投标人的投标报价，应是本项目招标范围和招标文件及合同条款上所列的各项内容中所述的全部，不得以任何理由予以重复，并以投标人在投标文件中提出的综合单价或总价为依据。</w:t>
      </w:r>
    </w:p>
    <w:p>
      <w:pPr>
        <w:widowControl/>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4.投标人应充分了解项目的位置、情况、道路及任何其他足以影响投标报价的情况，任何因忽视或误解项目情况而导致的索赔或服务期限延长申请将不获批准。</w:t>
      </w:r>
    </w:p>
    <w:p>
      <w:pPr>
        <w:widowControl/>
        <w:spacing w:line="360" w:lineRule="auto"/>
        <w:ind w:firstLine="480" w:firstLineChars="200"/>
        <w:rPr>
          <w:rFonts w:ascii="宋体" w:hAnsi="宋体" w:cs="宋体"/>
          <w:b/>
          <w:bCs/>
          <w:color w:val="000000" w:themeColor="text1"/>
          <w:kern w:val="0"/>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除非采购代理机构通过修改招标文件予以更正，否则，投标人应毫无例外地按招标文件所列的清单中项目和数量填报综合单价或总价。投标人未填综合单价或总价的项目，在实施后，将不得以支付，并视作该项费用已包括在其他有价款的综合单价或总价内。</w:t>
      </w:r>
    </w:p>
    <w:p>
      <w:pPr>
        <w:tabs>
          <w:tab w:val="left" w:pos="720"/>
        </w:tabs>
        <w:autoSpaceDE w:val="0"/>
        <w:autoSpaceDN w:val="0"/>
        <w:adjustRightInd w:val="0"/>
        <w:spacing w:line="360" w:lineRule="auto"/>
        <w:ind w:right="17" w:firstLine="482" w:firstLineChars="200"/>
        <w:outlineLvl w:val="2"/>
        <w:rPr>
          <w:rFonts w:ascii="宋体" w:hAns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（四）付款方式</w:t>
      </w:r>
    </w:p>
    <w:p>
      <w:pPr>
        <w:widowControl/>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项目价款由采购人分3期支付至中标人指定银行账户：</w:t>
      </w:r>
    </w:p>
    <w:p>
      <w:pPr>
        <w:widowControl/>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1.首期：合同签订生效后，根据中标人的付款申请，向中标人指定银行账户支付合同服务费总金额的30%；</w:t>
      </w:r>
    </w:p>
    <w:p>
      <w:pPr>
        <w:widowControl/>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2.第2期：项目服务6个月后，供应商交付6个月服务报告并经审核通过后，根据中标人的付款申请，向中标人指定银行账户支付本合同服务费总金额的50%；</w:t>
      </w:r>
    </w:p>
    <w:p>
      <w:pPr>
        <w:widowControl/>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3.第3期：项目期满后，供应商交付服务报告并经审核通过后，根据中标人的付款申请，向中标人指定银行账户支付本合同服务费总金额的20%；</w:t>
      </w:r>
    </w:p>
    <w:p>
      <w:pPr>
        <w:widowControl/>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上述每期款项均在满足付款条件，且采购人收到中标人开具的载明相应金额的合格发票后10个工作日内付至中标人指定银行账户。如未及时收到发票，则采购人相应付款时间顺延。若因采购人付款审批影响支付进度，请中标人予以谅解，并不得就此向采购人索赔。</w:t>
      </w:r>
    </w:p>
    <w:p>
      <w:pPr>
        <w:tabs>
          <w:tab w:val="left" w:pos="720"/>
        </w:tabs>
        <w:autoSpaceDE w:val="0"/>
        <w:autoSpaceDN w:val="0"/>
        <w:adjustRightInd w:val="0"/>
        <w:spacing w:line="360" w:lineRule="auto"/>
        <w:ind w:right="17" w:firstLine="482" w:firstLineChars="200"/>
        <w:outlineLvl w:val="2"/>
        <w:rPr>
          <w:rFonts w:ascii="宋体" w:hAns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（五）成果权属与知识产权</w:t>
      </w:r>
    </w:p>
    <w:p>
      <w:pPr>
        <w:widowControl/>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1.本项目全部阶段性成果和最终成果的所有权、知识产权以及与之相关的所有权利归采购人所有；本合同签署前双方已经拥有的知识产权权利，仍归各自所有。</w:t>
      </w:r>
    </w:p>
    <w:p>
      <w:pPr>
        <w:widowControl/>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2.双方确定，采购人有权对中标人按照本合同约定提供的成果进行后续改进。由此产生的具有实质性或创造性技术进步特征的新的技术成果及其权利全部由采购人享有。</w:t>
      </w:r>
    </w:p>
    <w:p>
      <w:pPr>
        <w:widowControl/>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中标人所提交的全部阶段性成果和最终成果文件及任何数据、资料、软件等不得侵犯任何第三方的知识产权或其他权利，由于该等文件、数据、资料、软件侵权所导致的任何索赔或责任均由中标人承担。同时，采购人有权要求中标人修改成果至不侵权或解除合同，并保留要求中标人赔偿全部损失的权利，包括但不限于上述索赔或责任所产生的诉讼费用、合理的律师费用、鉴定评估费用、调查费用、和解金额或生效法律文书中规定的赔偿金额。</w:t>
      </w:r>
    </w:p>
    <w:p>
      <w:pPr>
        <w:widowControl/>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未经采购人书面在先同意，中标人不得将本项目的阶段性成果和/或最终成果文件及任何数据、资料、软件向任何第三方转让、授权任何第三方使用或用于本合同项目外的其他项目。如发生以上情况，中标人应向采购人支付本合同总价款20%的违约金，如果违约金无法弥补采购人的损失，采购人有权要求中标人赔偿全部损失，包括但不限于上述索赔或责任所产生的诉讼费用、合理的律师费用、鉴定评估费用、调查费用、和解金额或生效法律文书中规定的赔偿金额。</w:t>
      </w:r>
    </w:p>
    <w:p>
      <w:pPr>
        <w:widowControl/>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5.中标人完成本项目的研究人员享有在有关技术成果文件上署名的权利和与采购人共同获得有关荣誉证书、奖励的权利。</w:t>
      </w:r>
    </w:p>
    <w:p>
      <w:pPr>
        <w:widowControl/>
        <w:spacing w:line="360" w:lineRule="auto"/>
        <w:ind w:firstLine="482" w:firstLineChars="200"/>
        <w:outlineLvl w:val="2"/>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（六）</w:t>
      </w:r>
      <w:r>
        <w:rPr>
          <w:rFonts w:hint="eastAsia" w:ascii="宋体" w:hAnsi="宋体" w:cs="宋体"/>
          <w:b/>
          <w:bCs/>
          <w:color w:val="000000" w:themeColor="text1"/>
          <w:sz w:val="24"/>
          <w14:textFill>
            <w14:solidFill>
              <w14:schemeClr w14:val="tx1"/>
            </w14:solidFill>
          </w14:textFill>
        </w:rPr>
        <w:t>保密条款</w:t>
      </w:r>
    </w:p>
    <w:p>
      <w:pPr>
        <w:widowControl/>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双方应保守的秘密是指不为公众所知悉、能为权利人带来经济利益、具有实用性并经权利人采取保密措施的技术信息和经营信息，或由双方在履行本合同过程中明确指明为秘密的、法律所认可的任何信息，以及中标人在履行本合同过程中所获得或接触到的任何采购人内部数据资料。</w:t>
      </w:r>
    </w:p>
    <w:p>
      <w:pPr>
        <w:widowControl/>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双方应遵守国家的有关保密规定。妥善保管对方提供的资料，保守对方的各项秘密，并保护对方的知识产权。获取对方秘密的一方应当采取有效的保护方式防止秘密未经授权而被使用、传播或公开，仅可以将该秘密用于履行其在本合同项下的义务，且只能由相关的技术人员使用。</w:t>
      </w:r>
    </w:p>
    <w:p>
      <w:pPr>
        <w:widowControl/>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3.中标人须以保密方式处理在编制本项目成果文件过程中自采购人、采购人工作人员或采购人关联机构获得的相关信息、资料、图纸、数据等，或由采购人在履行本合同过程中明确指明为秘密的任何信息</w:t>
      </w:r>
      <w:r>
        <w:rPr>
          <w:rFonts w:hint="eastAsia" w:ascii="宋体" w:hAnsi="宋体" w:cs="宋体"/>
          <w:color w:val="000000" w:themeColor="text1"/>
          <w:sz w:val="24"/>
          <w:lang w:eastAsia="zh-CN"/>
          <w14:textFill>
            <w14:solidFill>
              <w14:schemeClr w14:val="tx1"/>
            </w14:solidFill>
          </w14:textFill>
        </w:rPr>
        <w:t>，</w:t>
      </w:r>
      <w:r>
        <w:rPr>
          <w:rFonts w:hint="eastAsia" w:ascii="宋体" w:hAnsi="宋体" w:cs="宋体"/>
          <w:color w:val="000000" w:themeColor="text1"/>
          <w:sz w:val="24"/>
          <w14:textFill>
            <w14:solidFill>
              <w14:schemeClr w14:val="tx1"/>
            </w14:solidFill>
          </w14:textFill>
        </w:rPr>
        <w:t>以及中标人因本项目工作所直接或间接取得、处理或接触的任何其他资料。未经采购人书面在先同意，不得向任何第三方透露任何有关本项目的内容，或公开任何项目中间成果或最终成果。即使向履行本合同有关的人员提供前述保密信息，也应限于履行合同的必需范围，且这些人员应接受至少与本条款同等严格的保密条款的约束。</w:t>
      </w:r>
    </w:p>
    <w:p>
      <w:pPr>
        <w:widowControl/>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4.中标人实施项目的程序应符合国家安全、保密的有关规定和标准。</w:t>
      </w:r>
    </w:p>
    <w:p>
      <w:pPr>
        <w:widowControl/>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5.上述保密义务不适用以下情况：</w:t>
      </w:r>
    </w:p>
    <w:p>
      <w:pPr>
        <w:widowControl/>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（1）获取的信息已被合法公开；</w:t>
      </w:r>
    </w:p>
    <w:p>
      <w:pPr>
        <w:widowControl/>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（2）获得信息拥有方书面许可并在该许可范围内披露；</w:t>
      </w:r>
    </w:p>
    <w:p>
      <w:pPr>
        <w:widowControl/>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（3）国家法律、法规规定的情形。</w:t>
      </w:r>
    </w:p>
    <w:p>
      <w:pPr>
        <w:widowControl/>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如中标人违反上述保密条款，采购人有权解除本合同，中标人应在合同解除通知发出之日起10日内向采购人支付本合同服务费总金额20%的违约金，如果违约金无法弥补采购人损失，采购人保留要求中标人赔偿全部损失的权利，包括但不限于前述责任所产生的诉讼费用、合理的律师费用、鉴定评估费用、调查费用、和解金额或生效法律文书中规定的赔偿金额。</w:t>
      </w:r>
    </w:p>
    <w:p>
      <w:pPr>
        <w:widowControl/>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本合同的保密义务包括，未经采购人许可，中标人不得就其可通过开发的软件系统能够获得的任何采购人客户信息、数据以及商业秘密，与任何第三方开展任何形式的合作开发或者项目研究，或者向任何第三方出售该等数据、信息。</w:t>
      </w:r>
    </w:p>
    <w:p>
      <w:pPr>
        <w:widowControl/>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8.无论本合同或本合同其他条款是否有效，本保密条款始终约束双方。国家秘密的保密期限由国家有关部门确定，工作秘密的保密期限由采购人确定。</w:t>
      </w:r>
    </w:p>
    <w:p>
      <w:pPr>
        <w:widowControl/>
        <w:spacing w:line="360" w:lineRule="auto"/>
        <w:ind w:firstLine="482" w:firstLineChars="200"/>
        <w:outlineLvl w:val="2"/>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（七）</w:t>
      </w:r>
      <w:r>
        <w:rPr>
          <w:rFonts w:hint="eastAsia" w:ascii="宋体" w:hAnsi="宋体" w:cs="宋体"/>
          <w:b/>
          <w:bCs/>
          <w:color w:val="000000" w:themeColor="text1"/>
          <w:sz w:val="24"/>
          <w14:textFill>
            <w14:solidFill>
              <w14:schemeClr w14:val="tx1"/>
            </w14:solidFill>
          </w14:textFill>
        </w:rPr>
        <w:t>违约责任</w:t>
      </w:r>
    </w:p>
    <w:p>
      <w:pPr>
        <w:widowControl/>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1.中标人未按照本项目约定的时间完成本项目各阶段工作，每延迟一日，采购人有权自尚未支付的项目款项中扣除本项目服务费总金额的1‰的逾期违约金。</w:t>
      </w:r>
    </w:p>
    <w:p>
      <w:pPr>
        <w:widowControl/>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2.本项目下的工作内容不可分割，任一文件的迟延交付均视为整个项目的迟延交付。</w:t>
      </w:r>
    </w:p>
    <w:p>
      <w:pPr>
        <w:widowControl/>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3.本项目履行期间，发生下述情形时，采购人有权解除本项目合同，中标人除应退还采购人已支付的全部款项外</w:t>
      </w:r>
      <w:r>
        <w:rPr>
          <w:rFonts w:hint="eastAsia" w:ascii="宋体" w:hAnsi="宋体" w:cs="宋体"/>
          <w:color w:val="000000" w:themeColor="text1"/>
          <w:sz w:val="24"/>
          <w:lang w:eastAsia="zh-CN"/>
          <w14:textFill>
            <w14:solidFill>
              <w14:schemeClr w14:val="tx1"/>
            </w14:solidFill>
          </w14:textFill>
        </w:rPr>
        <w:t>，</w:t>
      </w:r>
      <w:r>
        <w:rPr>
          <w:rFonts w:hint="eastAsia" w:ascii="宋体" w:hAnsi="宋体" w:cs="宋体"/>
          <w:color w:val="000000" w:themeColor="text1"/>
          <w:sz w:val="24"/>
          <w14:textFill>
            <w14:solidFill>
              <w14:schemeClr w14:val="tx1"/>
            </w14:solidFill>
          </w14:textFill>
        </w:rPr>
        <w:t>还应在项目合同解除通知发出之日起10日内向采购人支付项目合同总价款20%的违约金。中标人应同时将已完成的项目成果移交给采购人，并将全部有关资料退还采购人：</w:t>
      </w:r>
    </w:p>
    <w:p>
      <w:pPr>
        <w:widowControl/>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（1）因中标人原因，未能按合同约定的日期(含协商延缓的日期)确保活动正常举办的；</w:t>
      </w:r>
    </w:p>
    <w:p>
      <w:pPr>
        <w:widowControl/>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（2）因中标人工作的错误或遗漏造成项目质量不达标，工作成果质量低劣，不能满足采购分工作需要和要求；</w:t>
      </w:r>
    </w:p>
    <w:p>
      <w:pPr>
        <w:widowControl/>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（3）中标人虽如期提交最终成果，但连续二次未能通过采购人验收的；</w:t>
      </w:r>
    </w:p>
    <w:p>
      <w:pPr>
        <w:widowControl/>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（4）未经采购人书面在先同意，中标人擅自将本项目与任何第三方合作，或将本项目标的全部或部分擅自转委托给任何第三方，且未按采购人的要求终止与第三方的项目合同的；</w:t>
      </w:r>
    </w:p>
    <w:p>
      <w:pPr>
        <w:widowControl/>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（5）项目负责人未承担本合同项目实质性工作，或未经采购人书面在先同意，中标人擅自更换项目负责人的；</w:t>
      </w:r>
    </w:p>
    <w:p>
      <w:pPr>
        <w:widowControl/>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（6）发现中标人或中标人工作人员出现全部或部分丧失履行委托服务能力的情况，采购人有权通知中标人限期整改或更换工作人员，期限届满中标人并未进行改善的；</w:t>
      </w:r>
    </w:p>
    <w:p>
      <w:pPr>
        <w:widowControl/>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（7）中标人明确表示或者以自己的行为表明不履行本合同的。</w:t>
      </w:r>
    </w:p>
    <w:p>
      <w:pPr>
        <w:widowControl/>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 除因采购人付款审批影响支付进度的情况外，如采购人未按照本项目约定的时间支付服务费，中标人书面催告采购人并给予不少于30个工作日的履行期限后采购人仍未支付的，中标人有权自该期限届满之日起要求采购人支付该阶段应付而未付项目合同价款每日1‰的逾期违约金。采购人无正当理由拒绝接受服务，到期明确表示拒付服务款项的，采购人向中标人偿付本项目合同总价5%的违约金。</w:t>
      </w:r>
    </w:p>
    <w:p>
      <w:pPr>
        <w:widowControl/>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上述违约责任各自独立且可累加。本项目所约定的违约金如低于因违约行为所造成的损失，违约方应补偿上述不足部分的损失，包括但不限于前述责任所产生的诉讼费用、合理的律师费用、鉴定评估费用、调查费用、和解金额或生效法律文书中规定的赔偿金额。</w:t>
      </w:r>
    </w:p>
    <w:p>
      <w:pPr>
        <w:widowControl/>
        <w:spacing w:line="360" w:lineRule="auto"/>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br w:type="page"/>
      </w:r>
    </w:p>
    <w:p>
      <w:pPr>
        <w:widowControl/>
        <w:spacing w:line="360" w:lineRule="auto"/>
        <w:ind w:firstLine="482" w:firstLineChars="200"/>
        <w:jc w:val="center"/>
        <w:outlineLvl w:val="0"/>
        <w:rPr>
          <w:rFonts w:ascii="宋体" w:cs="宋体"/>
          <w:b/>
          <w:bCs/>
          <w:color w:val="000000" w:themeColor="text1"/>
          <w:sz w:val="24"/>
          <w14:textFill>
            <w14:solidFill>
              <w14:schemeClr w14:val="tx1"/>
            </w14:solidFill>
          </w14:textFill>
        </w:rPr>
      </w:pPr>
      <w:bookmarkStart w:id="34" w:name="_Toc23822"/>
      <w:r>
        <w:rPr>
          <w:rFonts w:hint="eastAsia" w:ascii="宋体" w:cs="宋体"/>
          <w:b/>
          <w:bCs/>
          <w:color w:val="000000" w:themeColor="text1"/>
          <w:sz w:val="24"/>
          <w14:textFill>
            <w14:solidFill>
              <w14:schemeClr w14:val="tx1"/>
            </w14:solidFill>
          </w14:textFill>
        </w:rPr>
        <w:t>第六章 投标文件初审及招标项目评分表</w:t>
      </w:r>
      <w:bookmarkEnd w:id="34"/>
    </w:p>
    <w:p>
      <w:pPr>
        <w:spacing w:line="360" w:lineRule="auto"/>
        <w:jc w:val="center"/>
        <w:rPr>
          <w:rFonts w:ascii="宋体" w:hAnsi="宋体" w:cs="宋体"/>
          <w:b/>
          <w:color w:val="000000" w:themeColor="text1"/>
          <w:sz w:val="24"/>
          <w14:textFill>
            <w14:solidFill>
              <w14:schemeClr w14:val="tx1"/>
            </w14:solidFill>
          </w14:textFill>
        </w:rPr>
      </w:pPr>
    </w:p>
    <w:p>
      <w:pPr>
        <w:spacing w:line="360" w:lineRule="auto"/>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投标文件初审表（不可偏离条款）</w:t>
      </w:r>
    </w:p>
    <w:p>
      <w:pPr>
        <w:spacing w:line="360" w:lineRule="auto"/>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（凡有下列情形之一的，投标文件无效，投标作废标处理）</w:t>
      </w:r>
    </w:p>
    <w:tbl>
      <w:tblPr>
        <w:tblStyle w:val="20"/>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1"/>
        <w:gridCol w:w="71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9" w:type="dxa"/>
            <w:gridSpan w:val="2"/>
          </w:tcPr>
          <w:p>
            <w:pPr>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资格性检查表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p>
        </w:tc>
        <w:tc>
          <w:tcPr>
            <w:tcW w:w="7108" w:type="dxa"/>
          </w:tcPr>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未出现“投标人不具备招标文件所列的资格要求，或未提交相应的资格证明资料（详见招标公告 投标人资格要求）”的情形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9" w:type="dxa"/>
            <w:gridSpan w:val="2"/>
          </w:tcPr>
          <w:p>
            <w:pPr>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符合性检查表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p>
        </w:tc>
        <w:tc>
          <w:tcPr>
            <w:tcW w:w="7108" w:type="dxa"/>
            <w:vAlign w:val="center"/>
          </w:tcPr>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未出现“将一个包中的内容拆开投标”的情形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w:t>
            </w:r>
          </w:p>
        </w:tc>
        <w:tc>
          <w:tcPr>
            <w:tcW w:w="7108" w:type="dxa"/>
            <w:vAlign w:val="center"/>
          </w:tcPr>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未出现“投标文件未按规定密封、签字、盖章”的情形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w:t>
            </w:r>
          </w:p>
        </w:tc>
        <w:tc>
          <w:tcPr>
            <w:tcW w:w="7108" w:type="dxa"/>
            <w:vAlign w:val="center"/>
          </w:tcPr>
          <w:p>
            <w:pPr>
              <w:spacing w:line="360" w:lineRule="auto"/>
              <w:rPr>
                <w:rFonts w:ascii="宋体" w:hAnsi="宋体" w:cs="宋体"/>
                <w:b/>
                <w:bCs/>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按要求提供有效的法定代表人/负责人证明书、法定代表人/负责人授权委托书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w:t>
            </w:r>
          </w:p>
        </w:tc>
        <w:tc>
          <w:tcPr>
            <w:tcW w:w="7108" w:type="dxa"/>
            <w:vAlign w:val="center"/>
          </w:tcPr>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未出现“招标文件未规定允许有替代方案时，对同一项目投标时，同时提供两套或两套以上的投标方案”的情形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w:t>
            </w:r>
          </w:p>
        </w:tc>
        <w:tc>
          <w:tcPr>
            <w:tcW w:w="7108" w:type="dxa"/>
            <w:vAlign w:val="center"/>
          </w:tcPr>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未出现“分项报价或投标总价高于预算金额（最高投标限价）或投标报价有严重缺漏项”的情形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w:t>
            </w:r>
          </w:p>
        </w:tc>
        <w:tc>
          <w:tcPr>
            <w:tcW w:w="7108" w:type="dxa"/>
            <w:vAlign w:val="center"/>
          </w:tcPr>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未出现“同一项目出现两个及以上报价，按规定又无法确定哪个是有效报价”的情形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8</w:t>
            </w:r>
          </w:p>
        </w:tc>
        <w:tc>
          <w:tcPr>
            <w:tcW w:w="7108" w:type="dxa"/>
            <w:vAlign w:val="center"/>
          </w:tcPr>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报价合理性审查</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供应商出现下列情形之一的，评审委员会应当启动异常低价投标（响应）审查程序，要求相关供应商在评标现场合理的时间内提供书面说明及必要的相关证明材料，对投标（响应）价格作出解释（书面说明、证明材料主要是项目具体成本测算等与报价合理性相关的说明、材料）：</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（一）投标（响应）报价低于全部通过符合性审查供应商投标（响应）报价平均值50%的，即投标（响应）报价&lt;全部通过符合性审查供应商投标（响应）报价平均值×50%；</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（二）投标（响应）报价低于通过符合性审查且报价次低供应商投标（响应）报价50%的，即投标（响应）报价&lt;通过符合性审查且报价次低供应商投标（响应）报价×50%；</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（三）投标（响应）报价低于采购项目最高限价45%的，即投标（响应）报价&lt;采购项目最高限价×45%；</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（四）其他评审委员会认为供应商报价过低，有可能影响产品质量或者不能诚信履约的情形。</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评审委员会应当结合同类产品在主要电商平台的价格、该行业当地薪资水平等情况，依据专业经验对报价合理性进行判断。如果投标(响应)供应商不提供书面说明、证明材料，或者提供的书面说明、证明材料不能证明其报价合理性的，应当将其作为无效投标(响应)处理。审查相关情况应当在评审报告中记录（评审委员会成员对投标人提供的说明材料判断不一致的，按照“少数服从多数”的原则确定评审委员会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9</w:t>
            </w:r>
          </w:p>
        </w:tc>
        <w:tc>
          <w:tcPr>
            <w:tcW w:w="7108" w:type="dxa"/>
            <w:vAlign w:val="center"/>
          </w:tcPr>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未出现“投标文件载明的招标项目完成或服务期限不满足招标文件规定的”的情形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w:t>
            </w:r>
          </w:p>
        </w:tc>
        <w:tc>
          <w:tcPr>
            <w:tcW w:w="7108" w:type="dxa"/>
            <w:vAlign w:val="center"/>
          </w:tcPr>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未出现“所投货物或工程或服务在质量、技术、方案等方面没有实质性满足招标文件要求”的情形</w:t>
            </w:r>
          </w:p>
          <w:p>
            <w:pPr>
              <w:spacing w:line="360" w:lineRule="auto"/>
              <w:rPr>
                <w:rFonts w:ascii="宋体" w:hAnsi="宋体" w:cs="宋体"/>
                <w:b/>
                <w:bCs/>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（是否实质性满足招标文件要求，由评标委员会来做出评判）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w:t>
            </w:r>
          </w:p>
        </w:tc>
        <w:tc>
          <w:tcPr>
            <w:tcW w:w="7108" w:type="dxa"/>
            <w:vAlign w:val="center"/>
          </w:tcPr>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未出现“《用户需求响应表》未按要求填写，经评审委员会认定存在不明或不实的”的情形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12</w:t>
            </w:r>
          </w:p>
        </w:tc>
        <w:tc>
          <w:tcPr>
            <w:tcW w:w="7108" w:type="dxa"/>
            <w:vAlign w:val="center"/>
          </w:tcPr>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未出现法律、法规规定的其他情形</w:t>
            </w:r>
          </w:p>
        </w:tc>
      </w:tr>
    </w:tbl>
    <w:p>
      <w:pPr>
        <w:spacing w:line="360" w:lineRule="auto"/>
        <w:jc w:val="center"/>
        <w:rPr>
          <w:rFonts w:ascii="宋体" w:hAnsi="宋体" w:cs="宋体"/>
          <w:color w:val="000000" w:themeColor="text1"/>
          <w:sz w:val="24"/>
          <w:lang w:val="fr-CH"/>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br w:type="page"/>
      </w:r>
      <w:r>
        <w:rPr>
          <w:rFonts w:hint="eastAsia" w:ascii="宋体" w:hAnsi="宋体" w:cs="宋体"/>
          <w:b/>
          <w:bCs/>
          <w:color w:val="000000" w:themeColor="text1"/>
          <w:sz w:val="24"/>
          <w14:textFill>
            <w14:solidFill>
              <w14:schemeClr w14:val="tx1"/>
            </w14:solidFill>
          </w14:textFill>
        </w:rPr>
        <w:t>招标项目评分表</w:t>
      </w:r>
    </w:p>
    <w:tbl>
      <w:tblPr>
        <w:tblStyle w:val="20"/>
        <w:tblW w:w="907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22"/>
        <w:gridCol w:w="1223"/>
        <w:gridCol w:w="5411"/>
        <w:gridCol w:w="894"/>
        <w:gridCol w:w="82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9079" w:type="dxa"/>
            <w:gridSpan w:val="5"/>
            <w:shd w:val="clear" w:color="auto" w:fill="D9D9D9"/>
            <w:vAlign w:val="center"/>
          </w:tcPr>
          <w:p>
            <w:pPr>
              <w:autoSpaceDE w:val="0"/>
              <w:autoSpaceDN w:val="0"/>
              <w:adjustRightInd w:val="0"/>
              <w:spacing w:line="360" w:lineRule="auto"/>
              <w:jc w:val="center"/>
              <w:rPr>
                <w:rFonts w:ascii="宋体" w:hAnsi="宋体" w:cs="宋体"/>
                <w:b/>
                <w:color w:val="000000" w:themeColor="text1"/>
                <w:sz w:val="24"/>
                <w:lang w:val="zh-CN"/>
                <w14:textFill>
                  <w14:solidFill>
                    <w14:schemeClr w14:val="tx1"/>
                  </w14:solidFill>
                </w14:textFill>
              </w:rPr>
            </w:pPr>
            <w:r>
              <w:rPr>
                <w:rFonts w:hint="eastAsia" w:ascii="宋体" w:hAnsi="宋体" w:cs="宋体"/>
                <w:b/>
                <w:color w:val="000000" w:themeColor="text1"/>
                <w:sz w:val="24"/>
                <w:lang w:val="zh-CN"/>
                <w14:textFill>
                  <w14:solidFill>
                    <w14:schemeClr w14:val="tx1"/>
                  </w14:solidFill>
                </w14:textFill>
              </w:rPr>
              <w:t>一、价格部分（</w:t>
            </w:r>
            <w:r>
              <w:rPr>
                <w:rFonts w:hint="eastAsia" w:ascii="宋体" w:hAnsi="宋体" w:cs="宋体"/>
                <w:b/>
                <w:color w:val="000000" w:themeColor="text1"/>
                <w:sz w:val="24"/>
                <w14:textFill>
                  <w14:solidFill>
                    <w14:schemeClr w14:val="tx1"/>
                  </w14:solidFill>
                </w14:textFill>
              </w:rPr>
              <w:t>10</w:t>
            </w:r>
            <w:r>
              <w:rPr>
                <w:rFonts w:hint="eastAsia" w:ascii="宋体" w:hAnsi="宋体" w:cs="宋体"/>
                <w:b/>
                <w:color w:val="000000" w:themeColor="text1"/>
                <w:sz w:val="24"/>
                <w:lang w:val="zh-CN"/>
                <w14:textFill>
                  <w14:solidFill>
                    <w14:schemeClr w14:val="tx1"/>
                  </w14:solidFill>
                </w14:textFill>
              </w:rPr>
              <w:t>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vAlign w:val="center"/>
          </w:tcPr>
          <w:p>
            <w:pPr>
              <w:autoSpaceDE w:val="0"/>
              <w:autoSpaceDN w:val="0"/>
              <w:adjustRightInd w:val="0"/>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序号</w:t>
            </w:r>
          </w:p>
        </w:tc>
        <w:tc>
          <w:tcPr>
            <w:tcW w:w="1223" w:type="dxa"/>
            <w:vAlign w:val="center"/>
          </w:tcPr>
          <w:p>
            <w:pPr>
              <w:autoSpaceDE w:val="0"/>
              <w:autoSpaceDN w:val="0"/>
              <w:adjustRightInd w:val="0"/>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内容</w:t>
            </w:r>
          </w:p>
        </w:tc>
        <w:tc>
          <w:tcPr>
            <w:tcW w:w="5411" w:type="dxa"/>
            <w:vAlign w:val="center"/>
          </w:tcPr>
          <w:p>
            <w:pPr>
              <w:autoSpaceDE w:val="0"/>
              <w:autoSpaceDN w:val="0"/>
              <w:adjustRightInd w:val="0"/>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评分规则</w:t>
            </w:r>
          </w:p>
        </w:tc>
        <w:tc>
          <w:tcPr>
            <w:tcW w:w="894" w:type="dxa"/>
            <w:vAlign w:val="center"/>
          </w:tcPr>
          <w:p>
            <w:pPr>
              <w:autoSpaceDE w:val="0"/>
              <w:autoSpaceDN w:val="0"/>
              <w:adjustRightInd w:val="0"/>
              <w:spacing w:line="360" w:lineRule="auto"/>
              <w:jc w:val="center"/>
              <w:rPr>
                <w:rFonts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权重</w:t>
            </w:r>
          </w:p>
        </w:tc>
        <w:tc>
          <w:tcPr>
            <w:tcW w:w="829" w:type="dxa"/>
            <w:vAlign w:val="center"/>
          </w:tcPr>
          <w:p>
            <w:pPr>
              <w:autoSpaceDE w:val="0"/>
              <w:autoSpaceDN w:val="0"/>
              <w:adjustRightInd w:val="0"/>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评分方式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22" w:type="dxa"/>
            <w:vAlign w:val="center"/>
          </w:tcPr>
          <w:p>
            <w:pPr>
              <w:autoSpaceDE w:val="0"/>
              <w:autoSpaceDN w:val="0"/>
              <w:adjustRightInd w:val="0"/>
              <w:spacing w:line="360" w:lineRule="auto"/>
              <w:jc w:val="center"/>
              <w:rPr>
                <w:rFonts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1</w:t>
            </w:r>
          </w:p>
        </w:tc>
        <w:tc>
          <w:tcPr>
            <w:tcW w:w="1223" w:type="dxa"/>
            <w:vAlign w:val="center"/>
          </w:tcPr>
          <w:p>
            <w:pPr>
              <w:autoSpaceDE w:val="0"/>
              <w:autoSpaceDN w:val="0"/>
              <w:adjustRightInd w:val="0"/>
              <w:spacing w:line="360" w:lineRule="auto"/>
              <w:jc w:val="center"/>
              <w:rPr>
                <w:rFonts w:ascii="宋体" w:hAnsi="宋体" w:cs="宋体"/>
                <w:color w:val="000000" w:themeColor="text1"/>
                <w:sz w:val="24"/>
                <w:lang w:val="zh-CN"/>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投标报价</w:t>
            </w:r>
          </w:p>
        </w:tc>
        <w:tc>
          <w:tcPr>
            <w:tcW w:w="5411" w:type="dxa"/>
            <w:vAlign w:val="center"/>
          </w:tcPr>
          <w:p>
            <w:pPr>
              <w:pStyle w:val="7"/>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采用低价优先法计算，即满足招标文件要求且投标价格最低的投标报价为评标基准价，其价格分为满分。其他投标人的价格分统一按照下列公式计算：</w:t>
            </w:r>
          </w:p>
          <w:p>
            <w:pPr>
              <w:pStyle w:val="7"/>
              <w:spacing w:line="360" w:lineRule="auto"/>
              <w:rPr>
                <w:rFonts w:ascii="宋体" w:hAnsi="宋体" w:cs="宋体"/>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投标报价得分=(评标基准价／投标报价)×10</w:t>
            </w:r>
          </w:p>
          <w:p>
            <w:pPr>
              <w:numPr>
                <w:ilvl w:val="0"/>
                <w:numId w:val="5"/>
              </w:numPr>
              <w:spacing w:line="360" w:lineRule="auto"/>
              <w:ind w:left="250" w:hanging="249" w:hangingChars="104"/>
              <w:jc w:val="left"/>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价格评分仅限于有效投标人，</w:t>
            </w:r>
            <w:r>
              <w:rPr>
                <w:rFonts w:hint="eastAsia" w:ascii="宋体" w:hAnsi="宋体" w:cs="宋体"/>
                <w:color w:val="000000" w:themeColor="text1"/>
                <w:sz w:val="24"/>
                <w14:textFill>
                  <w14:solidFill>
                    <w14:schemeClr w14:val="tx1"/>
                  </w14:solidFill>
                </w14:textFill>
              </w:rPr>
              <w:t>当价格分&lt;0时，取0。</w:t>
            </w:r>
          </w:p>
          <w:p>
            <w:pPr>
              <w:numPr>
                <w:ilvl w:val="0"/>
                <w:numId w:val="5"/>
              </w:numPr>
              <w:spacing w:line="360" w:lineRule="auto"/>
              <w:ind w:left="0" w:hanging="9"/>
              <w:jc w:val="left"/>
              <w:rPr>
                <w:rFonts w:ascii="宋体" w:hAnsi="宋体" w:cs="宋体"/>
                <w:b/>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根据财库〔2020〕46号、财库〔2014〕68号及财库〔2017〕141号及（深财购〔2022〕31号）文件规定：</w:t>
            </w:r>
            <w:r>
              <w:rPr>
                <w:rFonts w:hint="eastAsia" w:ascii="宋体" w:hAnsi="宋体" w:cs="宋体"/>
                <w:b/>
                <w:color w:val="000000" w:themeColor="text1"/>
                <w:sz w:val="24"/>
                <w14:textFill>
                  <w14:solidFill>
                    <w14:schemeClr w14:val="tx1"/>
                  </w14:solidFill>
                </w14:textFill>
              </w:rPr>
              <w:t>本项目非专门面向中小企业的项目，对小型和微型企业、监狱企业或残疾人福利性企业产品的价格给予10%的扣除，用扣除后的价格即为“经评审合格的投标报价”参与价格评审。</w:t>
            </w:r>
          </w:p>
          <w:p>
            <w:pPr>
              <w:spacing w:line="360" w:lineRule="auto"/>
              <w:jc w:val="left"/>
              <w:rPr>
                <w:rFonts w:ascii="宋体" w:hAnsi="宋体" w:cs="宋体"/>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监狱企业应当提供由省级以上监狱管理局、戒毒管理局（含新疆生产建设兵团）出具的属于监狱企业的证明文件，中小企业提供中小企业声明函，残疾人福利性企业提供残疾人福利性企业声明函。</w:t>
            </w:r>
          </w:p>
        </w:tc>
        <w:tc>
          <w:tcPr>
            <w:tcW w:w="894" w:type="dxa"/>
            <w:vAlign w:val="center"/>
          </w:tcPr>
          <w:p>
            <w:pPr>
              <w:autoSpaceDE w:val="0"/>
              <w:autoSpaceDN w:val="0"/>
              <w:adjustRightInd w:val="0"/>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w:t>
            </w:r>
          </w:p>
        </w:tc>
        <w:tc>
          <w:tcPr>
            <w:tcW w:w="829" w:type="dxa"/>
            <w:vAlign w:val="center"/>
          </w:tcPr>
          <w:p>
            <w:pPr>
              <w:autoSpaceDE w:val="0"/>
              <w:autoSpaceDN w:val="0"/>
              <w:adjustRightInd w:val="0"/>
              <w:spacing w:line="360" w:lineRule="auto"/>
              <w:jc w:val="center"/>
              <w:rPr>
                <w:rFonts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9079" w:type="dxa"/>
            <w:gridSpan w:val="5"/>
            <w:shd w:val="clear" w:color="auto" w:fill="D9D9D9"/>
            <w:vAlign w:val="center"/>
          </w:tcPr>
          <w:p>
            <w:pPr>
              <w:autoSpaceDE w:val="0"/>
              <w:autoSpaceDN w:val="0"/>
              <w:adjustRightInd w:val="0"/>
              <w:spacing w:line="360" w:lineRule="auto"/>
              <w:jc w:val="center"/>
              <w:rPr>
                <w:rFonts w:ascii="宋体" w:hAnsi="宋体" w:cs="宋体"/>
                <w:b/>
                <w:color w:val="000000" w:themeColor="text1"/>
                <w:sz w:val="24"/>
                <w:lang w:val="zh-CN"/>
                <w14:textFill>
                  <w14:solidFill>
                    <w14:schemeClr w14:val="tx1"/>
                  </w14:solidFill>
                </w14:textFill>
              </w:rPr>
            </w:pPr>
            <w:r>
              <w:rPr>
                <w:rFonts w:hint="eastAsia" w:ascii="宋体" w:hAnsi="宋体" w:cs="宋体"/>
                <w:b/>
                <w:color w:val="000000" w:themeColor="text1"/>
                <w:sz w:val="24"/>
                <w:lang w:val="zh-CN"/>
                <w14:textFill>
                  <w14:solidFill>
                    <w14:schemeClr w14:val="tx1"/>
                  </w14:solidFill>
                </w14:textFill>
              </w:rPr>
              <w:t>二、商务部分（</w:t>
            </w:r>
            <w:r>
              <w:rPr>
                <w:rFonts w:hint="eastAsia" w:ascii="宋体" w:hAnsi="宋体" w:cs="宋体"/>
                <w:b/>
                <w:color w:val="000000" w:themeColor="text1"/>
                <w:sz w:val="24"/>
                <w14:textFill>
                  <w14:solidFill>
                    <w14:schemeClr w14:val="tx1"/>
                  </w14:solidFill>
                </w14:textFill>
              </w:rPr>
              <w:t>39</w:t>
            </w:r>
            <w:r>
              <w:rPr>
                <w:rFonts w:hint="eastAsia" w:ascii="宋体" w:hAnsi="宋体" w:cs="宋体"/>
                <w:b/>
                <w:color w:val="000000" w:themeColor="text1"/>
                <w:sz w:val="24"/>
                <w:lang w:val="zh-CN"/>
                <w14:textFill>
                  <w14:solidFill>
                    <w14:schemeClr w14:val="tx1"/>
                  </w14:solidFill>
                </w14:textFill>
              </w:rPr>
              <w:t>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vAlign w:val="center"/>
          </w:tcPr>
          <w:p>
            <w:pPr>
              <w:autoSpaceDE w:val="0"/>
              <w:autoSpaceDN w:val="0"/>
              <w:adjustRightInd w:val="0"/>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序号</w:t>
            </w:r>
          </w:p>
        </w:tc>
        <w:tc>
          <w:tcPr>
            <w:tcW w:w="1223" w:type="dxa"/>
            <w:vAlign w:val="center"/>
          </w:tcPr>
          <w:p>
            <w:pPr>
              <w:autoSpaceDE w:val="0"/>
              <w:autoSpaceDN w:val="0"/>
              <w:adjustRightInd w:val="0"/>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内容</w:t>
            </w:r>
          </w:p>
        </w:tc>
        <w:tc>
          <w:tcPr>
            <w:tcW w:w="5411" w:type="dxa"/>
            <w:vAlign w:val="center"/>
          </w:tcPr>
          <w:p>
            <w:pPr>
              <w:autoSpaceDE w:val="0"/>
              <w:autoSpaceDN w:val="0"/>
              <w:adjustRightInd w:val="0"/>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评分规则</w:t>
            </w:r>
          </w:p>
        </w:tc>
        <w:tc>
          <w:tcPr>
            <w:tcW w:w="894" w:type="dxa"/>
            <w:vAlign w:val="center"/>
          </w:tcPr>
          <w:p>
            <w:pPr>
              <w:autoSpaceDE w:val="0"/>
              <w:autoSpaceDN w:val="0"/>
              <w:adjustRightInd w:val="0"/>
              <w:spacing w:line="360" w:lineRule="auto"/>
              <w:jc w:val="center"/>
              <w:rPr>
                <w:rFonts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权重</w:t>
            </w:r>
          </w:p>
        </w:tc>
        <w:tc>
          <w:tcPr>
            <w:tcW w:w="829" w:type="dxa"/>
            <w:vAlign w:val="center"/>
          </w:tcPr>
          <w:p>
            <w:pPr>
              <w:autoSpaceDE w:val="0"/>
              <w:autoSpaceDN w:val="0"/>
              <w:adjustRightInd w:val="0"/>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评分方式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vAlign w:val="center"/>
          </w:tcPr>
          <w:p>
            <w:pPr>
              <w:autoSpaceDE w:val="0"/>
              <w:autoSpaceDN w:val="0"/>
              <w:adjustRightInd w:val="0"/>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p>
        </w:tc>
        <w:tc>
          <w:tcPr>
            <w:tcW w:w="1223" w:type="dxa"/>
            <w:vAlign w:val="center"/>
          </w:tcPr>
          <w:p>
            <w:pPr>
              <w:autoSpaceDE w:val="0"/>
              <w:autoSpaceDN w:val="0"/>
              <w:adjustRightInd w:val="0"/>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投标人通过相关认证情况</w:t>
            </w:r>
          </w:p>
        </w:tc>
        <w:tc>
          <w:tcPr>
            <w:tcW w:w="5411" w:type="dxa"/>
          </w:tcPr>
          <w:p>
            <w:pPr>
              <w:spacing w:line="360" w:lineRule="auto"/>
              <w:jc w:val="left"/>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（一）评分内容：</w:t>
            </w:r>
          </w:p>
          <w:p>
            <w:pPr>
              <w:spacing w:line="360" w:lineRule="auto"/>
              <w:jc w:val="left"/>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1.投标人通过质量管理体系认证</w:t>
            </w:r>
            <w:r>
              <w:rPr>
                <w:rFonts w:hint="eastAsia" w:ascii="宋体" w:hAnsi="宋体" w:cs="宋体"/>
                <w:bCs/>
                <w:color w:val="000000" w:themeColor="text1"/>
                <w:sz w:val="24"/>
                <w:lang w:eastAsia="zh-CN"/>
                <w14:textFill>
                  <w14:solidFill>
                    <w14:schemeClr w14:val="tx1"/>
                  </w14:solidFill>
                </w14:textFill>
              </w:rPr>
              <w:t>，</w:t>
            </w:r>
            <w:r>
              <w:rPr>
                <w:rFonts w:hint="eastAsia" w:ascii="宋体" w:hAnsi="宋体" w:cs="宋体"/>
                <w:bCs/>
                <w:color w:val="000000" w:themeColor="text1"/>
                <w:sz w:val="24"/>
                <w14:textFill>
                  <w14:solidFill>
                    <w14:schemeClr w14:val="tx1"/>
                  </w14:solidFill>
                </w14:textFill>
              </w:rPr>
              <w:t>认证范围覆盖：软件开发</w:t>
            </w:r>
            <w:r>
              <w:rPr>
                <w:rFonts w:hint="eastAsia" w:ascii="宋体" w:hAnsi="宋体" w:cs="宋体"/>
                <w:bCs/>
                <w:color w:val="000000" w:themeColor="text1"/>
                <w:sz w:val="24"/>
                <w:lang w:val="en-US" w:eastAsia="zh-CN"/>
                <w14:textFill>
                  <w14:solidFill>
                    <w14:schemeClr w14:val="tx1"/>
                  </w14:solidFill>
                </w14:textFill>
              </w:rPr>
              <w:t>相关内容</w:t>
            </w:r>
            <w:r>
              <w:rPr>
                <w:rFonts w:hint="eastAsia" w:ascii="宋体" w:hAnsi="宋体" w:cs="宋体"/>
                <w:bCs/>
                <w:color w:val="000000" w:themeColor="text1"/>
                <w:sz w:val="24"/>
                <w14:textFill>
                  <w14:solidFill>
                    <w14:schemeClr w14:val="tx1"/>
                  </w14:solidFill>
                </w14:textFill>
              </w:rPr>
              <w:t xml:space="preserve">，得5分； </w:t>
            </w:r>
          </w:p>
          <w:p>
            <w:pPr>
              <w:spacing w:line="360" w:lineRule="auto"/>
              <w:jc w:val="left"/>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2.投标人通过环境管理体系认证的，</w:t>
            </w:r>
            <w:bookmarkStart w:id="35" w:name="OLE_LINK11"/>
            <w:r>
              <w:rPr>
                <w:rFonts w:hint="eastAsia" w:ascii="宋体" w:hAnsi="宋体" w:cs="宋体"/>
                <w:bCs/>
                <w:color w:val="000000" w:themeColor="text1"/>
                <w:sz w:val="24"/>
                <w14:textFill>
                  <w14:solidFill>
                    <w14:schemeClr w14:val="tx1"/>
                  </w14:solidFill>
                </w14:textFill>
              </w:rPr>
              <w:t>认证范围覆盖：软件开发</w:t>
            </w:r>
            <w:r>
              <w:rPr>
                <w:rFonts w:hint="eastAsia" w:ascii="宋体" w:hAnsi="宋体" w:cs="宋体"/>
                <w:bCs/>
                <w:color w:val="000000" w:themeColor="text1"/>
                <w:sz w:val="24"/>
                <w:lang w:val="en-US" w:eastAsia="zh-CN"/>
                <w14:textFill>
                  <w14:solidFill>
                    <w14:schemeClr w14:val="tx1"/>
                  </w14:solidFill>
                </w14:textFill>
              </w:rPr>
              <w:t>相关内容</w:t>
            </w:r>
            <w:r>
              <w:rPr>
                <w:rFonts w:hint="eastAsia" w:ascii="宋体" w:hAnsi="宋体" w:cs="宋体"/>
                <w:bCs/>
                <w:color w:val="000000" w:themeColor="text1"/>
                <w:sz w:val="24"/>
                <w14:textFill>
                  <w14:solidFill>
                    <w14:schemeClr w14:val="tx1"/>
                  </w14:solidFill>
                </w14:textFill>
              </w:rPr>
              <w:t>，</w:t>
            </w:r>
            <w:bookmarkEnd w:id="35"/>
            <w:r>
              <w:rPr>
                <w:rFonts w:hint="eastAsia" w:ascii="宋体" w:hAnsi="宋体" w:cs="宋体"/>
                <w:bCs/>
                <w:color w:val="000000" w:themeColor="text1"/>
                <w:sz w:val="24"/>
                <w14:textFill>
                  <w14:solidFill>
                    <w14:schemeClr w14:val="tx1"/>
                  </w14:solidFill>
                </w14:textFill>
              </w:rPr>
              <w:t>得5分；</w:t>
            </w:r>
          </w:p>
          <w:p>
            <w:pPr>
              <w:spacing w:line="360" w:lineRule="auto"/>
              <w:jc w:val="left"/>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3.投标人通过职业健康安全管理体系认证的，认证范围覆盖：软件开发</w:t>
            </w:r>
            <w:r>
              <w:rPr>
                <w:rFonts w:hint="eastAsia" w:ascii="宋体" w:hAnsi="宋体" w:cs="宋体"/>
                <w:bCs/>
                <w:color w:val="000000" w:themeColor="text1"/>
                <w:sz w:val="24"/>
                <w:lang w:val="en-US" w:eastAsia="zh-CN"/>
                <w14:textFill>
                  <w14:solidFill>
                    <w14:schemeClr w14:val="tx1"/>
                  </w14:solidFill>
                </w14:textFill>
              </w:rPr>
              <w:t>相关内容</w:t>
            </w:r>
            <w:r>
              <w:rPr>
                <w:rFonts w:hint="eastAsia" w:ascii="宋体" w:hAnsi="宋体" w:cs="宋体"/>
                <w:bCs/>
                <w:color w:val="000000" w:themeColor="text1"/>
                <w:sz w:val="24"/>
                <w14:textFill>
                  <w14:solidFill>
                    <w14:schemeClr w14:val="tx1"/>
                  </w14:solidFill>
                </w14:textFill>
              </w:rPr>
              <w:t>，得5分。</w:t>
            </w:r>
          </w:p>
          <w:p>
            <w:pPr>
              <w:spacing w:line="360" w:lineRule="auto"/>
              <w:jc w:val="left"/>
              <w:rPr>
                <w:rFonts w:hint="eastAsia" w:ascii="宋体" w:hAnsi="宋体" w:eastAsia="宋体" w:cs="宋体"/>
                <w:bCs/>
                <w:color w:val="000000" w:themeColor="text1"/>
                <w:sz w:val="24"/>
                <w:lang w:eastAsia="zh-CN"/>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（二）评分依据</w:t>
            </w:r>
            <w:r>
              <w:rPr>
                <w:rFonts w:hint="eastAsia" w:ascii="宋体" w:hAnsi="宋体" w:cs="宋体"/>
                <w:bCs/>
                <w:color w:val="000000" w:themeColor="text1"/>
                <w:sz w:val="24"/>
                <w:lang w:eastAsia="zh-CN"/>
                <w14:textFill>
                  <w14:solidFill>
                    <w14:schemeClr w14:val="tx1"/>
                  </w14:solidFill>
                </w14:textFill>
              </w:rPr>
              <w:t>：</w:t>
            </w:r>
          </w:p>
          <w:p>
            <w:pPr>
              <w:spacing w:line="360" w:lineRule="auto"/>
              <w:jc w:val="left"/>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1.要求提供有效的认证证书以及同时提供中国</w:t>
            </w:r>
          </w:p>
          <w:p>
            <w:pPr>
              <w:spacing w:line="360" w:lineRule="auto"/>
              <w:jc w:val="left"/>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国家认证认可监督管理委员会（http://www.cnca.gov.cn/）有效的查询截图作为得分依据。由于成立时间不足三个月导致不能办理相应认证证书的，提供认证机构出具的“成立时间不足三个月，不能办理认证”的书面证明材料，按已经获得计分。</w:t>
            </w:r>
          </w:p>
          <w:p>
            <w:pPr>
              <w:spacing w:line="360" w:lineRule="auto"/>
              <w:jc w:val="left"/>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2.以上资料均要求提供扫描件（或官方网站截图）加盖公章，原件备查。评分中出现无证明资料或专家无法凭所提供资料判断是否得分的情况，一律作不得分处理。</w:t>
            </w:r>
          </w:p>
        </w:tc>
        <w:tc>
          <w:tcPr>
            <w:tcW w:w="894" w:type="dxa"/>
            <w:vAlign w:val="center"/>
          </w:tcPr>
          <w:p>
            <w:pPr>
              <w:autoSpaceDE w:val="0"/>
              <w:autoSpaceDN w:val="0"/>
              <w:adjustRightInd w:val="0"/>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15</w:t>
            </w:r>
          </w:p>
        </w:tc>
        <w:tc>
          <w:tcPr>
            <w:tcW w:w="829" w:type="dxa"/>
            <w:vAlign w:val="center"/>
          </w:tcPr>
          <w:p>
            <w:pPr>
              <w:autoSpaceDE w:val="0"/>
              <w:autoSpaceDN w:val="0"/>
              <w:adjustRightInd w:val="0"/>
              <w:spacing w:line="360" w:lineRule="auto"/>
              <w:jc w:val="center"/>
              <w:rPr>
                <w:rFonts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vAlign w:val="center"/>
          </w:tcPr>
          <w:p>
            <w:pPr>
              <w:autoSpaceDE w:val="0"/>
              <w:autoSpaceDN w:val="0"/>
              <w:adjustRightInd w:val="0"/>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p>
        </w:tc>
        <w:tc>
          <w:tcPr>
            <w:tcW w:w="1223" w:type="dxa"/>
            <w:vAlign w:val="center"/>
          </w:tcPr>
          <w:p>
            <w:pPr>
              <w:autoSpaceDE w:val="0"/>
              <w:autoSpaceDN w:val="0"/>
              <w:adjustRightInd w:val="0"/>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投标人同类项目业绩情况</w:t>
            </w:r>
          </w:p>
        </w:tc>
        <w:tc>
          <w:tcPr>
            <w:tcW w:w="5411" w:type="dxa"/>
          </w:tcPr>
          <w:p>
            <w:pPr>
              <w:spacing w:line="360" w:lineRule="auto"/>
              <w:jc w:val="left"/>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（一）评分内容：</w:t>
            </w:r>
          </w:p>
          <w:p>
            <w:pPr>
              <w:spacing w:line="360" w:lineRule="auto"/>
              <w:jc w:val="left"/>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2022年10月至本项目开标之日止，具有以下案例：</w:t>
            </w:r>
          </w:p>
          <w:p>
            <w:pPr>
              <w:spacing w:line="360" w:lineRule="auto"/>
              <w:jc w:val="left"/>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具有个人所得税税收业务相关项目（服务类或者运维类或者开发类之一）案例的，每提供1个得1分，最高得5分。</w:t>
            </w:r>
          </w:p>
          <w:p>
            <w:pPr>
              <w:spacing w:line="360" w:lineRule="auto"/>
              <w:jc w:val="left"/>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案例时间以合同签订时间为准。同一项目仅得一次分数，不可重复得分。</w:t>
            </w:r>
          </w:p>
          <w:p>
            <w:pPr>
              <w:spacing w:line="360" w:lineRule="auto"/>
              <w:jc w:val="left"/>
              <w:rPr>
                <w:rFonts w:hint="eastAsia" w:ascii="宋体" w:hAnsi="宋体" w:eastAsia="宋体" w:cs="宋体"/>
                <w:bCs/>
                <w:color w:val="000000" w:themeColor="text1"/>
                <w:sz w:val="24"/>
                <w:lang w:eastAsia="zh-CN"/>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（二）评分依据</w:t>
            </w:r>
            <w:r>
              <w:rPr>
                <w:rFonts w:hint="eastAsia" w:ascii="宋体" w:hAnsi="宋体" w:cs="宋体"/>
                <w:bCs/>
                <w:color w:val="000000" w:themeColor="text1"/>
                <w:sz w:val="24"/>
                <w:lang w:eastAsia="zh-CN"/>
                <w14:textFill>
                  <w14:solidFill>
                    <w14:schemeClr w14:val="tx1"/>
                  </w14:solidFill>
                </w14:textFill>
              </w:rPr>
              <w:t>：</w:t>
            </w:r>
          </w:p>
          <w:p>
            <w:pPr>
              <w:spacing w:line="360" w:lineRule="auto"/>
              <w:jc w:val="left"/>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1.要求同时提供合同关键信息（包括但不限于合同封面、合作内容、双方盖章页等）和履约评价良好（合格）或者验收合格证明文件作为得分依据，履约评价良好（合格）或者验收合格证明文件需加盖合同甲方公章（或甲方业务章）。</w:t>
            </w:r>
          </w:p>
          <w:p>
            <w:pPr>
              <w:spacing w:line="360" w:lineRule="auto"/>
              <w:jc w:val="left"/>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2.通过合同关键信息无法判断是否得分的，还须同时提供能证明得分的其他证明资料，如项目报告或合同甲方出具的证明文件等。</w:t>
            </w:r>
          </w:p>
          <w:p>
            <w:pPr>
              <w:spacing w:line="360" w:lineRule="auto"/>
              <w:jc w:val="left"/>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3.以上资料均要求提供扫描件加盖公章，原件备查。评分中出现无证明资料或专家无法凭所提供资料判断是否得分的情况，一律作不得分处理。</w:t>
            </w:r>
          </w:p>
        </w:tc>
        <w:tc>
          <w:tcPr>
            <w:tcW w:w="894" w:type="dxa"/>
            <w:vAlign w:val="center"/>
          </w:tcPr>
          <w:p>
            <w:pPr>
              <w:autoSpaceDE w:val="0"/>
              <w:autoSpaceDN w:val="0"/>
              <w:adjustRightInd w:val="0"/>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w:t>
            </w:r>
          </w:p>
        </w:tc>
        <w:tc>
          <w:tcPr>
            <w:tcW w:w="829" w:type="dxa"/>
            <w:vAlign w:val="center"/>
          </w:tcPr>
          <w:p>
            <w:pPr>
              <w:autoSpaceDE w:val="0"/>
              <w:autoSpaceDN w:val="0"/>
              <w:adjustRightInd w:val="0"/>
              <w:spacing w:line="360" w:lineRule="auto"/>
              <w:jc w:val="center"/>
              <w:rPr>
                <w:rFonts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vAlign w:val="center"/>
          </w:tcPr>
          <w:p>
            <w:pPr>
              <w:autoSpaceDE w:val="0"/>
              <w:autoSpaceDN w:val="0"/>
              <w:adjustRightInd w:val="0"/>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w:t>
            </w:r>
          </w:p>
        </w:tc>
        <w:tc>
          <w:tcPr>
            <w:tcW w:w="1223" w:type="dxa"/>
            <w:vAlign w:val="center"/>
          </w:tcPr>
          <w:p>
            <w:pPr>
              <w:autoSpaceDE w:val="0"/>
              <w:autoSpaceDN w:val="0"/>
              <w:adjustRightInd w:val="0"/>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项目服务成员</w:t>
            </w:r>
          </w:p>
        </w:tc>
        <w:tc>
          <w:tcPr>
            <w:tcW w:w="5411" w:type="dxa"/>
          </w:tcPr>
          <w:p>
            <w:pPr>
              <w:spacing w:line="360" w:lineRule="auto"/>
              <w:jc w:val="left"/>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（一）评分内容：</w:t>
            </w:r>
          </w:p>
          <w:p>
            <w:pPr>
              <w:spacing w:line="360" w:lineRule="auto"/>
              <w:jc w:val="left"/>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1.项目服务成员具有本科及以上学历的，1人得</w:t>
            </w:r>
            <w:r>
              <w:rPr>
                <w:rFonts w:ascii="宋体" w:hAnsi="宋体" w:cs="宋体"/>
                <w:bCs/>
                <w:color w:val="000000" w:themeColor="text1"/>
                <w:sz w:val="24"/>
                <w14:textFill>
                  <w14:solidFill>
                    <w14:schemeClr w14:val="tx1"/>
                  </w14:solidFill>
                </w14:textFill>
              </w:rPr>
              <w:t>5</w:t>
            </w:r>
            <w:r>
              <w:rPr>
                <w:rFonts w:hint="eastAsia" w:ascii="宋体" w:hAnsi="宋体" w:cs="宋体"/>
                <w:bCs/>
                <w:color w:val="000000" w:themeColor="text1"/>
                <w:sz w:val="24"/>
                <w14:textFill>
                  <w14:solidFill>
                    <w14:schemeClr w14:val="tx1"/>
                  </w14:solidFill>
                </w14:textFill>
              </w:rPr>
              <w:t>分，满分</w:t>
            </w:r>
            <w:r>
              <w:rPr>
                <w:rFonts w:ascii="宋体" w:hAnsi="宋体" w:cs="宋体"/>
                <w:bCs/>
                <w:color w:val="000000" w:themeColor="text1"/>
                <w:sz w:val="24"/>
                <w14:textFill>
                  <w14:solidFill>
                    <w14:schemeClr w14:val="tx1"/>
                  </w14:solidFill>
                </w14:textFill>
              </w:rPr>
              <w:t>5</w:t>
            </w:r>
            <w:r>
              <w:rPr>
                <w:rFonts w:hint="eastAsia" w:ascii="宋体" w:hAnsi="宋体" w:cs="宋体"/>
                <w:bCs/>
                <w:color w:val="000000" w:themeColor="text1"/>
                <w:sz w:val="24"/>
                <w14:textFill>
                  <w14:solidFill>
                    <w14:schemeClr w14:val="tx1"/>
                  </w14:solidFill>
                </w14:textFill>
              </w:rPr>
              <w:t>分。</w:t>
            </w:r>
          </w:p>
          <w:p>
            <w:pPr>
              <w:spacing w:line="360" w:lineRule="auto"/>
              <w:jc w:val="left"/>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2.项目服务成员具有1年以上信息化项目工作经验的，1人得</w:t>
            </w:r>
            <w:r>
              <w:rPr>
                <w:rFonts w:ascii="宋体" w:hAnsi="宋体" w:cs="宋体"/>
                <w:bCs/>
                <w:color w:val="000000" w:themeColor="text1"/>
                <w:sz w:val="24"/>
                <w14:textFill>
                  <w14:solidFill>
                    <w14:schemeClr w14:val="tx1"/>
                  </w14:solidFill>
                </w14:textFill>
              </w:rPr>
              <w:t>5</w:t>
            </w:r>
            <w:r>
              <w:rPr>
                <w:rFonts w:hint="eastAsia" w:ascii="宋体" w:hAnsi="宋体" w:cs="宋体"/>
                <w:bCs/>
                <w:color w:val="000000" w:themeColor="text1"/>
                <w:sz w:val="24"/>
                <w14:textFill>
                  <w14:solidFill>
                    <w14:schemeClr w14:val="tx1"/>
                  </w14:solidFill>
                </w14:textFill>
              </w:rPr>
              <w:t>分，满分</w:t>
            </w:r>
            <w:r>
              <w:rPr>
                <w:rFonts w:ascii="宋体" w:hAnsi="宋体" w:cs="宋体"/>
                <w:bCs/>
                <w:color w:val="000000" w:themeColor="text1"/>
                <w:sz w:val="24"/>
                <w14:textFill>
                  <w14:solidFill>
                    <w14:schemeClr w14:val="tx1"/>
                  </w14:solidFill>
                </w14:textFill>
              </w:rPr>
              <w:t>5</w:t>
            </w:r>
            <w:r>
              <w:rPr>
                <w:rFonts w:hint="eastAsia" w:ascii="宋体" w:hAnsi="宋体" w:cs="宋体"/>
                <w:bCs/>
                <w:color w:val="000000" w:themeColor="text1"/>
                <w:sz w:val="24"/>
                <w14:textFill>
                  <w14:solidFill>
                    <w14:schemeClr w14:val="tx1"/>
                  </w14:solidFill>
                </w14:textFill>
              </w:rPr>
              <w:t>分。</w:t>
            </w:r>
          </w:p>
          <w:p>
            <w:pPr>
              <w:spacing w:line="360" w:lineRule="auto"/>
              <w:jc w:val="left"/>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以上人员同时满足上述两个条件可重复计分。</w:t>
            </w:r>
          </w:p>
          <w:p>
            <w:pPr>
              <w:spacing w:line="360" w:lineRule="auto"/>
              <w:jc w:val="left"/>
              <w:rPr>
                <w:rFonts w:hint="eastAsia" w:ascii="宋体" w:hAnsi="宋体" w:eastAsia="宋体" w:cs="宋体"/>
                <w:bCs/>
                <w:color w:val="000000" w:themeColor="text1"/>
                <w:sz w:val="24"/>
                <w:lang w:eastAsia="zh-CN"/>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（二）评分依据</w:t>
            </w:r>
            <w:r>
              <w:rPr>
                <w:rFonts w:hint="eastAsia" w:ascii="宋体" w:hAnsi="宋体" w:cs="宋体"/>
                <w:bCs/>
                <w:color w:val="000000" w:themeColor="text1"/>
                <w:sz w:val="24"/>
                <w:lang w:eastAsia="zh-CN"/>
                <w14:textFill>
                  <w14:solidFill>
                    <w14:schemeClr w14:val="tx1"/>
                  </w14:solidFill>
                </w14:textFill>
              </w:rPr>
              <w:t>：</w:t>
            </w:r>
          </w:p>
          <w:p>
            <w:pPr>
              <w:spacing w:line="360" w:lineRule="auto"/>
              <w:jc w:val="left"/>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1.</w:t>
            </w:r>
            <w:r>
              <w:rPr>
                <w:rFonts w:hint="eastAsia" w:ascii="宋体" w:hAnsi="宋体" w:cs="宋体"/>
                <w:color w:val="000000" w:themeColor="text1"/>
                <w:sz w:val="24"/>
                <w14:textFill>
                  <w14:solidFill>
                    <w14:schemeClr w14:val="tx1"/>
                  </w14:solidFill>
                </w14:textFill>
              </w:rPr>
              <w:t>拟提供的人员必须是投标人自有员工，需提供开标截止日前3个月任意一个月由投标人为相关人员缴纳社保的社保证明（社保证明资料应当至少包含医疗保险，证明资料可为社保收缴部门盖章证明资料、社保窗口打印资料或社保官网截图。）及就职投标人的承诺书加盖公章</w:t>
            </w:r>
            <w:r>
              <w:rPr>
                <w:rFonts w:hint="eastAsia" w:ascii="宋体" w:hAnsi="宋体" w:cs="宋体"/>
                <w:color w:val="000000" w:themeColor="text1"/>
                <w:sz w:val="24"/>
                <w:lang w:val="en-US" w:eastAsia="zh-CN"/>
                <w14:textFill>
                  <w14:solidFill>
                    <w14:schemeClr w14:val="tx1"/>
                  </w14:solidFill>
                </w14:textFill>
              </w:rPr>
              <w:t>(格式自拟)</w:t>
            </w:r>
            <w:r>
              <w:rPr>
                <w:rFonts w:hint="eastAsia" w:ascii="宋体" w:hAnsi="宋体" w:cs="宋体"/>
                <w:color w:val="000000" w:themeColor="text1"/>
                <w:sz w:val="24"/>
                <w14:textFill>
                  <w14:solidFill>
                    <w14:schemeClr w14:val="tx1"/>
                  </w14:solidFill>
                </w14:textFill>
              </w:rPr>
              <w:t>，原件备查。如投标人成立不足1个月的，可提供加盖公章的情况说明或者证明材料亦视为符合。本项目不接受退休返聘人员</w:t>
            </w:r>
            <w:r>
              <w:rPr>
                <w:rFonts w:hint="eastAsia" w:ascii="宋体" w:hAnsi="宋体" w:cs="宋体"/>
                <w:bCs/>
                <w:color w:val="000000" w:themeColor="text1"/>
                <w:sz w:val="24"/>
                <w14:textFill>
                  <w14:solidFill>
                    <w14:schemeClr w14:val="tx1"/>
                  </w14:solidFill>
                </w14:textFill>
              </w:rPr>
              <w:t>。</w:t>
            </w:r>
          </w:p>
          <w:p>
            <w:pPr>
              <w:spacing w:line="360" w:lineRule="auto"/>
              <w:jc w:val="left"/>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2.学历证明：学历证明需提供毕业证书复印件及学信网查询截图，原件备查。对于较早颁发的学历证书，学信网无法查询的，除要求提供证书扫描件，需要提供其他佐证材料（如毕业院校、人社部门等颁发机构或监管机构等单位出具的证明）作为可以得分的依据。</w:t>
            </w:r>
          </w:p>
          <w:p>
            <w:pPr>
              <w:spacing w:line="360" w:lineRule="auto"/>
              <w:jc w:val="left"/>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3.以上资料均要求提供扫描件（或官方网站截图）加盖公章，原件备查。评分中出现无证明资料或专家无法凭所提供资料判断是否得分的情况，一律作不得分处理。</w:t>
            </w:r>
          </w:p>
          <w:p>
            <w:pPr>
              <w:spacing w:line="360" w:lineRule="auto"/>
              <w:jc w:val="left"/>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4.涉及考察人员工作经验的，工作经验年限以</w:t>
            </w:r>
            <w:r>
              <w:rPr>
                <w:rFonts w:hint="eastAsia" w:ascii="宋体" w:hAnsi="宋体" w:cs="宋体"/>
                <w:bCs/>
                <w:color w:val="000000" w:themeColor="text1"/>
                <w:sz w:val="24"/>
                <w:lang w:val="en-US" w:eastAsia="zh-CN"/>
                <w14:textFill>
                  <w14:solidFill>
                    <w14:schemeClr w14:val="tx1"/>
                  </w14:solidFill>
                </w14:textFill>
              </w:rPr>
              <w:t>满足年限的业绩合同计算</w:t>
            </w:r>
            <w:r>
              <w:rPr>
                <w:rFonts w:hint="eastAsia" w:ascii="宋体" w:hAnsi="宋体" w:cs="宋体"/>
                <w:bCs/>
                <w:color w:val="000000" w:themeColor="text1"/>
                <w:sz w:val="24"/>
                <w14:textFill>
                  <w14:solidFill>
                    <w14:schemeClr w14:val="tx1"/>
                  </w14:solidFill>
                </w14:textFill>
              </w:rPr>
              <w:t>，要求提供参与项目合同关键信息</w:t>
            </w:r>
            <w:r>
              <w:rPr>
                <w:rFonts w:hint="eastAsia" w:ascii="宋体" w:hAnsi="宋体" w:eastAsia="宋体" w:cs="宋体"/>
                <w:color w:val="000000" w:themeColor="text1"/>
                <w:sz w:val="24"/>
                <w:szCs w:val="24"/>
                <w:lang w:val="en-US" w:eastAsia="zh-CN"/>
                <w14:textFill>
                  <w14:solidFill>
                    <w14:schemeClr w14:val="tx1"/>
                  </w14:solidFill>
                </w14:textFill>
              </w:rPr>
              <w:t>（体现</w:t>
            </w:r>
            <w:r>
              <w:rPr>
                <w:rFonts w:hint="eastAsia" w:ascii="宋体" w:hAnsi="宋体" w:cs="宋体"/>
                <w:color w:val="000000" w:themeColor="text1"/>
                <w:sz w:val="24"/>
                <w:szCs w:val="24"/>
                <w:lang w:val="en-US" w:eastAsia="zh-CN"/>
                <w14:textFill>
                  <w14:solidFill>
                    <w14:schemeClr w14:val="tx1"/>
                  </w14:solidFill>
                </w14:textFill>
              </w:rPr>
              <w:t>人员</w:t>
            </w:r>
            <w:r>
              <w:rPr>
                <w:rFonts w:hint="eastAsia" w:ascii="宋体" w:hAnsi="宋体" w:eastAsia="宋体" w:cs="宋体"/>
                <w:color w:val="000000" w:themeColor="text1"/>
                <w:sz w:val="24"/>
                <w:szCs w:val="24"/>
                <w:lang w:val="en-US" w:eastAsia="zh-CN"/>
                <w14:textFill>
                  <w14:solidFill>
                    <w14:schemeClr w14:val="tx1"/>
                  </w14:solidFill>
                </w14:textFill>
              </w:rPr>
              <w:t>名称）</w:t>
            </w:r>
            <w:r>
              <w:rPr>
                <w:rFonts w:hint="eastAsia" w:ascii="宋体" w:hAnsi="宋体" w:cs="宋体"/>
                <w:bCs/>
                <w:color w:val="000000" w:themeColor="text1"/>
                <w:sz w:val="24"/>
                <w14:textFill>
                  <w14:solidFill>
                    <w14:schemeClr w14:val="tx1"/>
                  </w14:solidFill>
                </w14:textFill>
              </w:rPr>
              <w:t>作为得分依据，通过合同关键信息无法判断是否得分的，还须同时提供投标人承诺</w:t>
            </w:r>
            <w:r>
              <w:rPr>
                <w:rFonts w:hint="eastAsia" w:ascii="宋体" w:hAnsi="宋体" w:cs="宋体"/>
                <w:color w:val="000000" w:themeColor="text1"/>
                <w:sz w:val="24"/>
                <w:lang w:val="en-US" w:eastAsia="zh-CN"/>
                <w14:textFill>
                  <w14:solidFill>
                    <w14:schemeClr w14:val="tx1"/>
                  </w14:solidFill>
                </w14:textFill>
              </w:rPr>
              <w:t>(格式自拟)</w:t>
            </w:r>
            <w:r>
              <w:rPr>
                <w:rFonts w:hint="eastAsia" w:ascii="宋体" w:hAnsi="宋体" w:cs="宋体"/>
                <w:bCs/>
                <w:color w:val="000000" w:themeColor="text1"/>
                <w:sz w:val="24"/>
                <w14:textFill>
                  <w14:solidFill>
                    <w14:schemeClr w14:val="tx1"/>
                  </w14:solidFill>
                </w14:textFill>
              </w:rPr>
              <w:t>。</w:t>
            </w:r>
          </w:p>
        </w:tc>
        <w:tc>
          <w:tcPr>
            <w:tcW w:w="894" w:type="dxa"/>
            <w:vAlign w:val="center"/>
          </w:tcPr>
          <w:p>
            <w:pPr>
              <w:autoSpaceDE w:val="0"/>
              <w:autoSpaceDN w:val="0"/>
              <w:adjustRightInd w:val="0"/>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w:t>
            </w:r>
          </w:p>
        </w:tc>
        <w:tc>
          <w:tcPr>
            <w:tcW w:w="829" w:type="dxa"/>
            <w:vAlign w:val="center"/>
          </w:tcPr>
          <w:p>
            <w:pPr>
              <w:autoSpaceDE w:val="0"/>
              <w:autoSpaceDN w:val="0"/>
              <w:adjustRightInd w:val="0"/>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vAlign w:val="center"/>
          </w:tcPr>
          <w:p>
            <w:pPr>
              <w:autoSpaceDE w:val="0"/>
              <w:autoSpaceDN w:val="0"/>
              <w:adjustRightInd w:val="0"/>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w:t>
            </w:r>
          </w:p>
        </w:tc>
        <w:tc>
          <w:tcPr>
            <w:tcW w:w="1223" w:type="dxa"/>
            <w:vAlign w:val="center"/>
          </w:tcPr>
          <w:p>
            <w:pPr>
              <w:autoSpaceDE w:val="0"/>
              <w:autoSpaceDN w:val="0"/>
              <w:adjustRightInd w:val="0"/>
              <w:spacing w:line="360" w:lineRule="auto"/>
              <w:jc w:val="center"/>
              <w:rPr>
                <w:rFonts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投标人自主知识产权产品（创新、设计）情况</w:t>
            </w:r>
          </w:p>
        </w:tc>
        <w:tc>
          <w:tcPr>
            <w:tcW w:w="5411" w:type="dxa"/>
          </w:tcPr>
          <w:p>
            <w:pPr>
              <w:spacing w:line="360" w:lineRule="auto"/>
              <w:jc w:val="left"/>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（一）评分内容：</w:t>
            </w:r>
          </w:p>
          <w:p>
            <w:pPr>
              <w:spacing w:line="360" w:lineRule="auto"/>
              <w:jc w:val="left"/>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投标人拥有网上业务的办理类软件或管理类软件自主知识产权，即具有软件著作权证书（或专利）的，每提供1个证书得2分，最高可得4分。</w:t>
            </w:r>
          </w:p>
          <w:p>
            <w:pPr>
              <w:spacing w:line="360" w:lineRule="auto"/>
              <w:jc w:val="left"/>
              <w:rPr>
                <w:rFonts w:hint="eastAsia" w:ascii="宋体" w:hAnsi="宋体" w:eastAsia="宋体" w:cs="宋体"/>
                <w:bCs/>
                <w:color w:val="000000" w:themeColor="text1"/>
                <w:sz w:val="24"/>
                <w:lang w:eastAsia="zh-CN"/>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（二）评分依据</w:t>
            </w:r>
            <w:r>
              <w:rPr>
                <w:rFonts w:hint="eastAsia" w:ascii="宋体" w:hAnsi="宋体" w:cs="宋体"/>
                <w:bCs/>
                <w:color w:val="000000" w:themeColor="text1"/>
                <w:sz w:val="24"/>
                <w:lang w:eastAsia="zh-CN"/>
                <w14:textFill>
                  <w14:solidFill>
                    <w14:schemeClr w14:val="tx1"/>
                  </w14:solidFill>
                </w14:textFill>
              </w:rPr>
              <w:t>：</w:t>
            </w:r>
          </w:p>
          <w:p>
            <w:pPr>
              <w:spacing w:line="360" w:lineRule="auto"/>
              <w:jc w:val="left"/>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1.提供投标人合法使用产权（著作权或专利）的证明材料。</w:t>
            </w:r>
            <w:r>
              <w:rPr>
                <w:rFonts w:ascii="宋体" w:hAnsi="宋体" w:cs="宋体"/>
                <w:bCs/>
                <w:color w:val="000000" w:themeColor="text1"/>
                <w:sz w:val="24"/>
                <w14:textFill>
                  <w14:solidFill>
                    <w14:schemeClr w14:val="tx1"/>
                  </w14:solidFill>
                </w14:textFill>
              </w:rPr>
              <w:t>1</w:t>
            </w:r>
            <w:r>
              <w:rPr>
                <w:rFonts w:hint="eastAsia" w:ascii="宋体" w:hAnsi="宋体" w:cs="宋体"/>
                <w:bCs/>
                <w:color w:val="000000" w:themeColor="text1"/>
                <w:sz w:val="24"/>
                <w14:textFill>
                  <w14:solidFill>
                    <w14:schemeClr w14:val="tx1"/>
                  </w14:solidFill>
                </w14:textFill>
              </w:rPr>
              <w:t>）</w:t>
            </w:r>
            <w:r>
              <w:rPr>
                <w:rFonts w:ascii="宋体" w:hAnsi="宋体" w:cs="宋体"/>
                <w:bCs/>
                <w:color w:val="000000" w:themeColor="text1"/>
                <w:sz w:val="24"/>
                <w14:textFill>
                  <w14:solidFill>
                    <w14:schemeClr w14:val="tx1"/>
                  </w14:solidFill>
                </w14:textFill>
              </w:rPr>
              <w:t>自主开发的提供专利证书或软件著作权登记证书（</w:t>
            </w:r>
            <w:bookmarkStart w:id="36" w:name="OLE_LINK20"/>
            <w:r>
              <w:rPr>
                <w:rFonts w:ascii="宋体" w:hAnsi="宋体" w:cs="宋体"/>
                <w:bCs/>
                <w:color w:val="000000" w:themeColor="text1"/>
                <w:sz w:val="24"/>
                <w14:textFill>
                  <w14:solidFill>
                    <w14:schemeClr w14:val="tx1"/>
                  </w14:solidFill>
                </w14:textFill>
              </w:rPr>
              <w:t>著作权人</w:t>
            </w:r>
            <w:r>
              <w:rPr>
                <w:rFonts w:hint="eastAsia" w:ascii="宋体" w:hAnsi="宋体" w:cs="宋体"/>
                <w:bCs/>
                <w:color w:val="000000" w:themeColor="text1"/>
                <w:sz w:val="24"/>
                <w14:textFill>
                  <w14:solidFill>
                    <w14:schemeClr w14:val="tx1"/>
                  </w14:solidFill>
                </w14:textFill>
              </w:rPr>
              <w:t>/专利权人</w:t>
            </w:r>
            <w:bookmarkEnd w:id="36"/>
            <w:r>
              <w:rPr>
                <w:rFonts w:ascii="宋体" w:hAnsi="宋体" w:cs="宋体"/>
                <w:bCs/>
                <w:color w:val="000000" w:themeColor="text1"/>
                <w:sz w:val="24"/>
                <w14:textFill>
                  <w14:solidFill>
                    <w14:schemeClr w14:val="tx1"/>
                  </w14:solidFill>
                </w14:textFill>
              </w:rPr>
              <w:t>需为投标人），原件备查： 2</w:t>
            </w:r>
            <w:r>
              <w:rPr>
                <w:rFonts w:hint="eastAsia" w:ascii="宋体" w:hAnsi="宋体" w:cs="宋体"/>
                <w:bCs/>
                <w:color w:val="000000" w:themeColor="text1"/>
                <w:sz w:val="24"/>
                <w14:textFill>
                  <w14:solidFill>
                    <w14:schemeClr w14:val="tx1"/>
                  </w14:solidFill>
                </w14:textFill>
              </w:rPr>
              <w:t>）</w:t>
            </w:r>
            <w:r>
              <w:rPr>
                <w:rFonts w:ascii="宋体" w:hAnsi="宋体" w:cs="宋体"/>
                <w:bCs/>
                <w:color w:val="000000" w:themeColor="text1"/>
                <w:sz w:val="24"/>
                <w14:textFill>
                  <w14:solidFill>
                    <w14:schemeClr w14:val="tx1"/>
                  </w14:solidFill>
                </w14:textFill>
              </w:rPr>
              <w:t>购买或</w:t>
            </w:r>
            <w:bookmarkStart w:id="37" w:name="OLE_LINK2"/>
            <w:r>
              <w:rPr>
                <w:rFonts w:ascii="宋体" w:hAnsi="宋体" w:cs="宋体"/>
                <w:bCs/>
                <w:color w:val="000000" w:themeColor="text1"/>
                <w:sz w:val="24"/>
                <w14:textFill>
                  <w14:solidFill>
                    <w14:schemeClr w14:val="tx1"/>
                  </w14:solidFill>
                </w14:textFill>
              </w:rPr>
              <w:t>租赁的提供</w:t>
            </w:r>
            <w:bookmarkEnd w:id="37"/>
            <w:r>
              <w:rPr>
                <w:rFonts w:ascii="宋体" w:hAnsi="宋体" w:cs="宋体"/>
                <w:bCs/>
                <w:color w:val="000000" w:themeColor="text1"/>
                <w:sz w:val="24"/>
                <w14:textFill>
                  <w14:solidFill>
                    <w14:schemeClr w14:val="tx1"/>
                  </w14:solidFill>
                </w14:textFill>
              </w:rPr>
              <w:t>专利证书或软件著作权登记证书（著作权人</w:t>
            </w:r>
            <w:r>
              <w:rPr>
                <w:rFonts w:hint="eastAsia" w:ascii="宋体" w:hAnsi="宋体" w:cs="宋体"/>
                <w:bCs/>
                <w:color w:val="000000" w:themeColor="text1"/>
                <w:sz w:val="24"/>
                <w14:textFill>
                  <w14:solidFill>
                    <w14:schemeClr w14:val="tx1"/>
                  </w14:solidFill>
                </w14:textFill>
              </w:rPr>
              <w:t>/专利权人</w:t>
            </w:r>
            <w:r>
              <w:rPr>
                <w:rFonts w:ascii="宋体" w:hAnsi="宋体" w:cs="宋体"/>
                <w:bCs/>
                <w:color w:val="000000" w:themeColor="text1"/>
                <w:sz w:val="24"/>
                <w14:textFill>
                  <w14:solidFill>
                    <w14:schemeClr w14:val="tx1"/>
                  </w14:solidFill>
                </w14:textFill>
              </w:rPr>
              <w:t>需为出售或出租方）和提供购买合同或租赁合同</w:t>
            </w:r>
            <w:r>
              <w:rPr>
                <w:rFonts w:hint="eastAsia" w:ascii="宋体" w:hAnsi="宋体" w:cs="宋体"/>
                <w:bCs/>
                <w:color w:val="000000" w:themeColor="text1"/>
                <w:sz w:val="24"/>
                <w14:textFill>
                  <w14:solidFill>
                    <w14:schemeClr w14:val="tx1"/>
                  </w14:solidFill>
                </w14:textFill>
              </w:rPr>
              <w:t>。</w:t>
            </w:r>
          </w:p>
          <w:p>
            <w:pPr>
              <w:spacing w:line="360" w:lineRule="auto"/>
              <w:jc w:val="left"/>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2.以上资料均要求提供扫描件（或官方网站截图）加盖公章，原件备查。评分中出现无证明资料或专家无法凭所提供资料判断是否得分的情况，一律作不得分处理。</w:t>
            </w:r>
          </w:p>
        </w:tc>
        <w:tc>
          <w:tcPr>
            <w:tcW w:w="894" w:type="dxa"/>
            <w:vAlign w:val="center"/>
          </w:tcPr>
          <w:p>
            <w:pPr>
              <w:autoSpaceDE w:val="0"/>
              <w:autoSpaceDN w:val="0"/>
              <w:adjustRightInd w:val="0"/>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w:t>
            </w:r>
          </w:p>
        </w:tc>
        <w:tc>
          <w:tcPr>
            <w:tcW w:w="829" w:type="dxa"/>
            <w:vAlign w:val="center"/>
          </w:tcPr>
          <w:p>
            <w:pPr>
              <w:autoSpaceDE w:val="0"/>
              <w:autoSpaceDN w:val="0"/>
              <w:adjustRightInd w:val="0"/>
              <w:spacing w:line="360" w:lineRule="auto"/>
              <w:jc w:val="center"/>
              <w:rPr>
                <w:rFonts w:ascii="宋体" w:hAnsi="宋体" w:cs="宋体"/>
                <w:color w:val="000000" w:themeColor="text1"/>
                <w:sz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vAlign w:val="center"/>
          </w:tcPr>
          <w:p>
            <w:pPr>
              <w:autoSpaceDE w:val="0"/>
              <w:autoSpaceDN w:val="0"/>
              <w:adjustRightInd w:val="0"/>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w:t>
            </w:r>
          </w:p>
        </w:tc>
        <w:tc>
          <w:tcPr>
            <w:tcW w:w="1223" w:type="dxa"/>
            <w:vAlign w:val="center"/>
          </w:tcPr>
          <w:p>
            <w:pPr>
              <w:autoSpaceDE w:val="0"/>
              <w:autoSpaceDN w:val="0"/>
              <w:adjustRightInd w:val="0"/>
              <w:spacing w:line="360" w:lineRule="auto"/>
              <w:jc w:val="center"/>
              <w:rPr>
                <w:rFonts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诚信声明与承诺</w:t>
            </w:r>
          </w:p>
        </w:tc>
        <w:tc>
          <w:tcPr>
            <w:tcW w:w="5411" w:type="dxa"/>
            <w:vAlign w:val="center"/>
          </w:tcPr>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（一）评分内容：</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根据《深圳市财政局关于印发&lt;深圳市财政局政府采购供应商信用信息管理办法&gt;的通知》（深财规〔2023〕3号）相关规定，如供应商在全国范围内存在因政府采购违法、违规行为受到财政部门罚款等一般行政处罚信息，或者存在该办法第十一条所称在本市集中采购活动中的一般违法失信行为记录信息，且在公示期内的，本项不得分，否则得满分。</w:t>
            </w:r>
          </w:p>
          <w:p>
            <w:pPr>
              <w:spacing w:line="360" w:lineRule="auto"/>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（二）评分依据</w:t>
            </w:r>
            <w:r>
              <w:rPr>
                <w:rFonts w:hint="eastAsia" w:ascii="宋体" w:hAnsi="宋体" w:cs="宋体"/>
                <w:color w:val="000000" w:themeColor="text1"/>
                <w:sz w:val="24"/>
                <w:lang w:eastAsia="zh-CN"/>
                <w14:textFill>
                  <w14:solidFill>
                    <w14:schemeClr w14:val="tx1"/>
                  </w14:solidFill>
                </w14:textFill>
              </w:rPr>
              <w:t>：</w:t>
            </w:r>
          </w:p>
          <w:p>
            <w:pPr>
              <w:spacing w:line="360" w:lineRule="auto"/>
              <w:rPr>
                <w:rFonts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1、投标人提供诚信声明与承诺加盖公章；</w:t>
            </w:r>
          </w:p>
          <w:p>
            <w:pPr>
              <w:spacing w:line="360" w:lineRule="auto"/>
              <w:rPr>
                <w:rFonts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2、采购代理机构通过信用信息查询渠道，包括“信用中国”（www.creditchina.gov.cn）、“中国政府采购网”（www.ccgp.gov.cn）、“深圳市政府采购监管网”（http://zfcg.sz.gov.cn）以及市、区财政部门认定的其他渠道查询供应商信用信息</w:t>
            </w:r>
            <w:r>
              <w:rPr>
                <w:rFonts w:hint="eastAsia" w:ascii="宋体" w:hAnsi="宋体" w:cs="宋体"/>
                <w:color w:val="000000" w:themeColor="text1"/>
                <w:sz w:val="24"/>
                <w14:textFill>
                  <w14:solidFill>
                    <w14:schemeClr w14:val="tx1"/>
                  </w14:solidFill>
                </w14:textFill>
              </w:rPr>
              <w:t>。</w:t>
            </w:r>
          </w:p>
        </w:tc>
        <w:tc>
          <w:tcPr>
            <w:tcW w:w="894" w:type="dxa"/>
            <w:vAlign w:val="center"/>
          </w:tcPr>
          <w:p>
            <w:pPr>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w:t>
            </w:r>
          </w:p>
        </w:tc>
        <w:tc>
          <w:tcPr>
            <w:tcW w:w="829" w:type="dxa"/>
            <w:vAlign w:val="center"/>
          </w:tcPr>
          <w:p>
            <w:pPr>
              <w:spacing w:line="360" w:lineRule="auto"/>
              <w:jc w:val="center"/>
              <w:rPr>
                <w:rFonts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7" w:hRule="atLeast"/>
          <w:jc w:val="center"/>
        </w:trPr>
        <w:tc>
          <w:tcPr>
            <w:tcW w:w="9079" w:type="dxa"/>
            <w:gridSpan w:val="5"/>
            <w:shd w:val="clear" w:color="auto" w:fill="D9D9D9"/>
            <w:vAlign w:val="center"/>
          </w:tcPr>
          <w:p>
            <w:pPr>
              <w:autoSpaceDE w:val="0"/>
              <w:autoSpaceDN w:val="0"/>
              <w:adjustRightInd w:val="0"/>
              <w:spacing w:line="360" w:lineRule="auto"/>
              <w:jc w:val="center"/>
              <w:rPr>
                <w:rFonts w:ascii="宋体" w:hAnsi="宋体" w:cs="宋体"/>
                <w:b/>
                <w:color w:val="000000" w:themeColor="text1"/>
                <w:sz w:val="24"/>
                <w:lang w:val="zh-CN"/>
                <w14:textFill>
                  <w14:solidFill>
                    <w14:schemeClr w14:val="tx1"/>
                  </w14:solidFill>
                </w14:textFill>
              </w:rPr>
            </w:pPr>
            <w:r>
              <w:rPr>
                <w:rFonts w:hint="eastAsia" w:ascii="宋体" w:hAnsi="宋体" w:cs="宋体"/>
                <w:b/>
                <w:color w:val="000000" w:themeColor="text1"/>
                <w:sz w:val="24"/>
                <w:lang w:val="zh-CN"/>
                <w14:textFill>
                  <w14:solidFill>
                    <w14:schemeClr w14:val="tx1"/>
                  </w14:solidFill>
                </w14:textFill>
              </w:rPr>
              <w:t>三、技术部分（</w:t>
            </w:r>
            <w:r>
              <w:rPr>
                <w:rFonts w:hint="eastAsia" w:ascii="宋体" w:hAnsi="宋体" w:cs="宋体"/>
                <w:b/>
                <w:color w:val="000000" w:themeColor="text1"/>
                <w:sz w:val="24"/>
                <w14:textFill>
                  <w14:solidFill>
                    <w14:schemeClr w14:val="tx1"/>
                  </w14:solidFill>
                </w14:textFill>
              </w:rPr>
              <w:t>51</w:t>
            </w:r>
            <w:r>
              <w:rPr>
                <w:rFonts w:hint="eastAsia" w:ascii="宋体" w:hAnsi="宋体" w:cs="宋体"/>
                <w:b/>
                <w:color w:val="000000" w:themeColor="text1"/>
                <w:sz w:val="24"/>
                <w:lang w:val="zh-CN"/>
                <w14:textFill>
                  <w14:solidFill>
                    <w14:schemeClr w14:val="tx1"/>
                  </w14:solidFill>
                </w14:textFill>
              </w:rPr>
              <w:t>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vAlign w:val="center"/>
          </w:tcPr>
          <w:p>
            <w:pPr>
              <w:autoSpaceDE w:val="0"/>
              <w:autoSpaceDN w:val="0"/>
              <w:adjustRightInd w:val="0"/>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序号</w:t>
            </w:r>
          </w:p>
        </w:tc>
        <w:tc>
          <w:tcPr>
            <w:tcW w:w="1223" w:type="dxa"/>
            <w:vAlign w:val="center"/>
          </w:tcPr>
          <w:p>
            <w:pPr>
              <w:autoSpaceDE w:val="0"/>
              <w:autoSpaceDN w:val="0"/>
              <w:adjustRightInd w:val="0"/>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内容</w:t>
            </w:r>
          </w:p>
        </w:tc>
        <w:tc>
          <w:tcPr>
            <w:tcW w:w="5411" w:type="dxa"/>
            <w:vAlign w:val="center"/>
          </w:tcPr>
          <w:p>
            <w:pPr>
              <w:autoSpaceDE w:val="0"/>
              <w:autoSpaceDN w:val="0"/>
              <w:adjustRightInd w:val="0"/>
              <w:spacing w:line="360" w:lineRule="auto"/>
              <w:jc w:val="center"/>
              <w:rPr>
                <w:rFonts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评分规则</w:t>
            </w:r>
          </w:p>
        </w:tc>
        <w:tc>
          <w:tcPr>
            <w:tcW w:w="894" w:type="dxa"/>
            <w:vAlign w:val="center"/>
          </w:tcPr>
          <w:p>
            <w:pPr>
              <w:autoSpaceDE w:val="0"/>
              <w:autoSpaceDN w:val="0"/>
              <w:adjustRightInd w:val="0"/>
              <w:spacing w:line="360" w:lineRule="auto"/>
              <w:jc w:val="center"/>
              <w:rPr>
                <w:rFonts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权重</w:t>
            </w:r>
          </w:p>
        </w:tc>
        <w:tc>
          <w:tcPr>
            <w:tcW w:w="829" w:type="dxa"/>
            <w:vAlign w:val="center"/>
          </w:tcPr>
          <w:p>
            <w:pPr>
              <w:autoSpaceDE w:val="0"/>
              <w:autoSpaceDN w:val="0"/>
              <w:adjustRightInd w:val="0"/>
              <w:spacing w:line="360" w:lineRule="auto"/>
              <w:jc w:val="center"/>
              <w:rPr>
                <w:rFonts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评分方式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vAlign w:val="center"/>
          </w:tcPr>
          <w:p>
            <w:pPr>
              <w:autoSpaceDE w:val="0"/>
              <w:autoSpaceDN w:val="0"/>
              <w:adjustRightInd w:val="0"/>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p>
        </w:tc>
        <w:tc>
          <w:tcPr>
            <w:tcW w:w="1223" w:type="dxa"/>
            <w:vAlign w:val="center"/>
          </w:tcPr>
          <w:p>
            <w:pPr>
              <w:autoSpaceDE w:val="0"/>
              <w:autoSpaceDN w:val="0"/>
              <w:adjustRightInd w:val="0"/>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项目实施方案</w:t>
            </w:r>
          </w:p>
        </w:tc>
        <w:tc>
          <w:tcPr>
            <w:tcW w:w="5411" w:type="dxa"/>
          </w:tcPr>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（一）评审内容：</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根据投标人提供项目实施方案，方案内容包含不限于：</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1.适配香港税收政策变化</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2.适配大陆税收政策及申报规则变化</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3.WEB 端试算服务体验优化</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4.移动端试算服务体验优化</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5.日常维护</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方案满足以上五项得5分，满足三至四项得3分，满足一至两项得1分，其他情况不得分。</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（二）评审标准：</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在此基础上提供的实施方案，根据方案理解是否精准、分析是否深入进一步评分：</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1.对上述实施方案内容理解精准，分析深入的，方案具备较高可操作性，能有效确保项目实施进度和实施质量的评价为优，加5分；</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2.对上述实施方案内容理解较为准确，分析较为深入的，项目实施进度和质量保证措施合理的评价为良，加3分；</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3.对上述实施方案内容理解一般，分析基本正确的评价为中，加1分；</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4.对上述实施方案内容理解差，分析一般的评价为差，不加分。</w:t>
            </w:r>
          </w:p>
        </w:tc>
        <w:tc>
          <w:tcPr>
            <w:tcW w:w="894" w:type="dxa"/>
            <w:vAlign w:val="center"/>
          </w:tcPr>
          <w:p>
            <w:pPr>
              <w:autoSpaceDE w:val="0"/>
              <w:autoSpaceDN w:val="0"/>
              <w:adjustRightInd w:val="0"/>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w:t>
            </w:r>
          </w:p>
        </w:tc>
        <w:tc>
          <w:tcPr>
            <w:tcW w:w="829" w:type="dxa"/>
            <w:vAlign w:val="center"/>
          </w:tcPr>
          <w:p>
            <w:pPr>
              <w:autoSpaceDE w:val="0"/>
              <w:autoSpaceDN w:val="0"/>
              <w:adjustRightInd w:val="0"/>
              <w:spacing w:line="360" w:lineRule="auto"/>
              <w:jc w:val="center"/>
              <w:rPr>
                <w:rFonts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vAlign w:val="center"/>
          </w:tcPr>
          <w:p>
            <w:pPr>
              <w:autoSpaceDE w:val="0"/>
              <w:autoSpaceDN w:val="0"/>
              <w:adjustRightInd w:val="0"/>
              <w:spacing w:line="360" w:lineRule="auto"/>
              <w:jc w:val="center"/>
              <w:rPr>
                <w:rFonts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p>
        </w:tc>
        <w:tc>
          <w:tcPr>
            <w:tcW w:w="1223" w:type="dxa"/>
            <w:vAlign w:val="center"/>
          </w:tcPr>
          <w:p>
            <w:pPr>
              <w:autoSpaceDE w:val="0"/>
              <w:autoSpaceDN w:val="0"/>
              <w:adjustRightInd w:val="0"/>
              <w:spacing w:line="360" w:lineRule="auto"/>
              <w:jc w:val="center"/>
              <w:rPr>
                <w:rFonts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项目需求理解</w:t>
            </w:r>
          </w:p>
        </w:tc>
        <w:tc>
          <w:tcPr>
            <w:tcW w:w="5411" w:type="dxa"/>
          </w:tcPr>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（一）评审内容：</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根据投标人提供项目理解分析，方案内容包含不限于：</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1、对本项目涉及的国家税务总局自然人电子税务局的理解，包括上述系统的业务架构、技术架构、数据架构、业务流程等是否有了解；</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2、对本项目所建设的“港税e”需求的理解，重点是考察该服务与国家税务总局自然人电子税务局的合理衔接是否有理解； </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方案满足以上二项得4分，满足一项得2分，不满足或未提供不得分。</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（二）评审标准：</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在此基础上提供的实施方案，根据方案理解是否精准、分析是否深入进一步评分：</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1.对上述内容理解精准，分析深入的，并能提供佐证的评价为优，加6分；</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2.对上述内容理解较为准确，分析较为深入的评价为良，加3分；</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3.对上述内容理解一般，分析基本正确的评价为中，加1分；</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4.对上述实施方案内容理解差，分析一般的评价为差，不加分。</w:t>
            </w:r>
          </w:p>
        </w:tc>
        <w:tc>
          <w:tcPr>
            <w:tcW w:w="894" w:type="dxa"/>
            <w:vAlign w:val="center"/>
          </w:tcPr>
          <w:p>
            <w:pPr>
              <w:autoSpaceDE w:val="0"/>
              <w:autoSpaceDN w:val="0"/>
              <w:adjustRightInd w:val="0"/>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w:t>
            </w:r>
          </w:p>
        </w:tc>
        <w:tc>
          <w:tcPr>
            <w:tcW w:w="829" w:type="dxa"/>
            <w:vAlign w:val="center"/>
          </w:tcPr>
          <w:p>
            <w:pPr>
              <w:autoSpaceDE w:val="0"/>
              <w:autoSpaceDN w:val="0"/>
              <w:adjustRightInd w:val="0"/>
              <w:spacing w:line="360" w:lineRule="auto"/>
              <w:jc w:val="center"/>
              <w:rPr>
                <w:rFonts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vAlign w:val="center"/>
          </w:tcPr>
          <w:p>
            <w:pPr>
              <w:autoSpaceDE w:val="0"/>
              <w:autoSpaceDN w:val="0"/>
              <w:adjustRightInd w:val="0"/>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w:t>
            </w:r>
          </w:p>
        </w:tc>
        <w:tc>
          <w:tcPr>
            <w:tcW w:w="1223" w:type="dxa"/>
            <w:vAlign w:val="center"/>
          </w:tcPr>
          <w:p>
            <w:pPr>
              <w:autoSpaceDE w:val="0"/>
              <w:autoSpaceDN w:val="0"/>
              <w:adjustRightInd w:val="0"/>
              <w:spacing w:line="360" w:lineRule="auto"/>
              <w:jc w:val="center"/>
              <w:rPr>
                <w:rFonts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项目重点难点分析、应对措施及相关的合理化建议</w:t>
            </w:r>
          </w:p>
        </w:tc>
        <w:tc>
          <w:tcPr>
            <w:tcW w:w="5411" w:type="dxa"/>
          </w:tcPr>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（一）评审内容：</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根据考察投标人对项目重点难点分析、应对措施及相关的合理化建议，内容包含不限于：</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1.</w:t>
            </w:r>
            <w:r>
              <w:rPr>
                <w:rFonts w:hint="eastAsia" w:ascii="宋体" w:hAnsi="宋体" w:cs="宋体"/>
                <w:color w:val="000000" w:themeColor="text1"/>
                <w:sz w:val="24"/>
                <w14:textFill>
                  <w14:solidFill>
                    <w14:schemeClr w14:val="tx1"/>
                  </w14:solidFill>
                </w14:textFill>
              </w:rPr>
              <w:t>对内地及香港居民个人所得税政策的理解；</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2.</w:t>
            </w:r>
            <w:r>
              <w:rPr>
                <w:rFonts w:hint="eastAsia" w:ascii="宋体" w:hAnsi="宋体" w:cs="宋体"/>
                <w:color w:val="000000" w:themeColor="text1"/>
                <w:sz w:val="24"/>
                <w14:textFill>
                  <w14:solidFill>
                    <w14:schemeClr w14:val="tx1"/>
                  </w14:solidFill>
                </w14:textFill>
              </w:rPr>
              <w:t>对项目中的重点难点的分析和表述；</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3.</w:t>
            </w:r>
            <w:r>
              <w:rPr>
                <w:rFonts w:hint="eastAsia" w:ascii="宋体" w:hAnsi="宋体" w:cs="宋体"/>
                <w:color w:val="000000" w:themeColor="text1"/>
                <w:sz w:val="24"/>
                <w14:textFill>
                  <w14:solidFill>
                    <w14:schemeClr w14:val="tx1"/>
                  </w14:solidFill>
                </w14:textFill>
              </w:rPr>
              <w:t>针对重点难点提出的解决方案等内容。</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方案满足以上三项得</w:t>
            </w:r>
            <w:r>
              <w:rPr>
                <w:rFonts w:ascii="宋体" w:hAnsi="宋体" w:cs="宋体"/>
                <w:color w:val="000000" w:themeColor="text1"/>
                <w:sz w:val="24"/>
                <w14:textFill>
                  <w14:solidFill>
                    <w14:schemeClr w14:val="tx1"/>
                  </w14:solidFill>
                </w14:textFill>
              </w:rPr>
              <w:t>6</w:t>
            </w:r>
            <w:r>
              <w:rPr>
                <w:rFonts w:hint="eastAsia" w:ascii="宋体" w:hAnsi="宋体" w:cs="宋体"/>
                <w:color w:val="000000" w:themeColor="text1"/>
                <w:sz w:val="24"/>
                <w14:textFill>
                  <w14:solidFill>
                    <w14:schemeClr w14:val="tx1"/>
                  </w14:solidFill>
                </w14:textFill>
              </w:rPr>
              <w:t>分，满足二项得</w:t>
            </w:r>
            <w:r>
              <w:rPr>
                <w:rFonts w:ascii="宋体" w:hAnsi="宋体" w:cs="宋体"/>
                <w:color w:val="000000" w:themeColor="text1"/>
                <w:sz w:val="24"/>
                <w14:textFill>
                  <w14:solidFill>
                    <w14:schemeClr w14:val="tx1"/>
                  </w14:solidFill>
                </w14:textFill>
              </w:rPr>
              <w:t>4</w:t>
            </w:r>
            <w:r>
              <w:rPr>
                <w:rFonts w:hint="eastAsia" w:ascii="宋体" w:hAnsi="宋体" w:cs="宋体"/>
                <w:color w:val="000000" w:themeColor="text1"/>
                <w:sz w:val="24"/>
                <w14:textFill>
                  <w14:solidFill>
                    <w14:schemeClr w14:val="tx1"/>
                  </w14:solidFill>
                </w14:textFill>
              </w:rPr>
              <w:t>分，满足一项得</w:t>
            </w:r>
            <w:r>
              <w:rPr>
                <w:rFonts w:ascii="宋体" w:hAnsi="宋体" w:cs="宋体"/>
                <w:color w:val="000000" w:themeColor="text1"/>
                <w:sz w:val="24"/>
                <w14:textFill>
                  <w14:solidFill>
                    <w14:schemeClr w14:val="tx1"/>
                  </w14:solidFill>
                </w14:textFill>
              </w:rPr>
              <w:t>2</w:t>
            </w:r>
            <w:r>
              <w:rPr>
                <w:rFonts w:hint="eastAsia" w:ascii="宋体" w:hAnsi="宋体" w:cs="宋体"/>
                <w:color w:val="000000" w:themeColor="text1"/>
                <w:sz w:val="24"/>
                <w14:textFill>
                  <w14:solidFill>
                    <w14:schemeClr w14:val="tx1"/>
                  </w14:solidFill>
                </w14:textFill>
              </w:rPr>
              <w:t>分，不满足或未提供不得分。</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（二）评审标准：</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在此基础上提供的实施方案，根据方案理解是否精准、分析是否深入进一步评分：</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1.对上述内容理解精准，分析深入的评价为优，加</w:t>
            </w:r>
            <w:r>
              <w:rPr>
                <w:rFonts w:ascii="宋体" w:hAnsi="宋体" w:cs="宋体"/>
                <w:color w:val="000000" w:themeColor="text1"/>
                <w:sz w:val="24"/>
                <w14:textFill>
                  <w14:solidFill>
                    <w14:schemeClr w14:val="tx1"/>
                  </w14:solidFill>
                </w14:textFill>
              </w:rPr>
              <w:t>4</w:t>
            </w:r>
            <w:r>
              <w:rPr>
                <w:rFonts w:hint="eastAsia" w:ascii="宋体" w:hAnsi="宋体" w:cs="宋体"/>
                <w:color w:val="000000" w:themeColor="text1"/>
                <w:sz w:val="24"/>
                <w14:textFill>
                  <w14:solidFill>
                    <w14:schemeClr w14:val="tx1"/>
                  </w14:solidFill>
                </w14:textFill>
              </w:rPr>
              <w:t>分；</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2.对上述内容理解较为准确，分析较为深入的评价为良，加2分；</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3.对上述内容理解一般，分析基本正确的评价为中，加1分；</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4.对上述实施方案内容理解差，分析一般的评价为差，不加分。</w:t>
            </w:r>
          </w:p>
        </w:tc>
        <w:tc>
          <w:tcPr>
            <w:tcW w:w="894" w:type="dxa"/>
            <w:vAlign w:val="center"/>
          </w:tcPr>
          <w:p>
            <w:pPr>
              <w:autoSpaceDE w:val="0"/>
              <w:autoSpaceDN w:val="0"/>
              <w:adjustRightInd w:val="0"/>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r>
              <w:rPr>
                <w:rFonts w:hint="eastAsia" w:ascii="宋体" w:hAnsi="宋体" w:cs="宋体"/>
                <w:color w:val="000000" w:themeColor="text1"/>
                <w:szCs w:val="21"/>
                <w14:textFill>
                  <w14:solidFill>
                    <w14:schemeClr w14:val="tx1"/>
                  </w14:solidFill>
                </w14:textFill>
              </w:rPr>
              <w:t>0</w:t>
            </w:r>
          </w:p>
        </w:tc>
        <w:tc>
          <w:tcPr>
            <w:tcW w:w="829" w:type="dxa"/>
            <w:vAlign w:val="center"/>
          </w:tcPr>
          <w:p>
            <w:pPr>
              <w:autoSpaceDE w:val="0"/>
              <w:autoSpaceDN w:val="0"/>
              <w:adjustRightInd w:val="0"/>
              <w:spacing w:line="360" w:lineRule="auto"/>
              <w:jc w:val="center"/>
              <w:rPr>
                <w:rFonts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vAlign w:val="center"/>
          </w:tcPr>
          <w:p>
            <w:pPr>
              <w:autoSpaceDE w:val="0"/>
              <w:autoSpaceDN w:val="0"/>
              <w:adjustRightInd w:val="0"/>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w:t>
            </w:r>
          </w:p>
        </w:tc>
        <w:tc>
          <w:tcPr>
            <w:tcW w:w="1223" w:type="dxa"/>
            <w:vAlign w:val="center"/>
          </w:tcPr>
          <w:p>
            <w:pPr>
              <w:autoSpaceDE w:val="0"/>
              <w:autoSpaceDN w:val="0"/>
              <w:adjustRightInd w:val="0"/>
              <w:spacing w:line="360" w:lineRule="auto"/>
              <w:jc w:val="center"/>
              <w:rPr>
                <w:rFonts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质量（完成时间、安全、环保）保障措施及方案</w:t>
            </w:r>
          </w:p>
        </w:tc>
        <w:tc>
          <w:tcPr>
            <w:tcW w:w="5411" w:type="dxa"/>
          </w:tcPr>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（一）评审内容：</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根据投标人对项目服务质量（完成时间、安全、环保）保障措施及方案提供方案，内容包含不限于：</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1.质量保障措施；</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2.风险控制计划；</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3.应急响应处理措施。</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方案满足以上三项得6分，满足二项得4分，满足一项得2分，不满足或未提供不得分。</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（二）评审标准：</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在此基础上提供的实施方案，根据方案理解是否精准、分析是否深入进一步评分：</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1.对上述内容理解精准，分析深入的评价为优，加3分；</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2.对上述内容理解较为准确，分析较为深入的评价为良，加2分；</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3.对上述内容理解一般，分析基本正确的评价为中，加1分；</w:t>
            </w:r>
          </w:p>
          <w:p>
            <w:pPr>
              <w:spacing w:line="360" w:lineRule="auto"/>
              <w:rPr>
                <w:rFonts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4.对上述实施方案内容理解差，分析一般的评价为差，不加分。</w:t>
            </w:r>
          </w:p>
        </w:tc>
        <w:tc>
          <w:tcPr>
            <w:tcW w:w="894" w:type="dxa"/>
            <w:vAlign w:val="center"/>
          </w:tcPr>
          <w:p>
            <w:pPr>
              <w:autoSpaceDE w:val="0"/>
              <w:autoSpaceDN w:val="0"/>
              <w:adjustRightInd w:val="0"/>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9</w:t>
            </w:r>
          </w:p>
        </w:tc>
        <w:tc>
          <w:tcPr>
            <w:tcW w:w="829" w:type="dxa"/>
            <w:vAlign w:val="center"/>
          </w:tcPr>
          <w:p>
            <w:pPr>
              <w:autoSpaceDE w:val="0"/>
              <w:autoSpaceDN w:val="0"/>
              <w:adjustRightInd w:val="0"/>
              <w:spacing w:line="360" w:lineRule="auto"/>
              <w:jc w:val="center"/>
              <w:rPr>
                <w:rFonts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vAlign w:val="center"/>
          </w:tcPr>
          <w:p>
            <w:pPr>
              <w:autoSpaceDE w:val="0"/>
              <w:autoSpaceDN w:val="0"/>
              <w:adjustRightInd w:val="0"/>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w:t>
            </w:r>
          </w:p>
        </w:tc>
        <w:tc>
          <w:tcPr>
            <w:tcW w:w="1223" w:type="dxa"/>
            <w:vAlign w:val="center"/>
          </w:tcPr>
          <w:p>
            <w:pPr>
              <w:autoSpaceDE w:val="0"/>
              <w:autoSpaceDN w:val="0"/>
              <w:adjustRightInd w:val="0"/>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项目完成（服务期满）后的服务承诺</w:t>
            </w:r>
          </w:p>
        </w:tc>
        <w:tc>
          <w:tcPr>
            <w:tcW w:w="5411" w:type="dxa"/>
          </w:tcPr>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投标人承诺以下全部三项的得6分，否则不得分。</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（1）服务期满后主动离岗； </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（2）与后续服务公司进行交接； </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（3）服务期满，后续服务公司未到位前仍按原合同服务承诺提供服务。</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要求提供承诺（格式自定）加盖公章作为得分依据，未提供承诺或承诺内容不满足要求不得分。</w:t>
            </w:r>
          </w:p>
        </w:tc>
        <w:tc>
          <w:tcPr>
            <w:tcW w:w="894" w:type="dxa"/>
            <w:vAlign w:val="center"/>
          </w:tcPr>
          <w:p>
            <w:pPr>
              <w:autoSpaceDE w:val="0"/>
              <w:autoSpaceDN w:val="0"/>
              <w:adjustRightInd w:val="0"/>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w:t>
            </w:r>
          </w:p>
        </w:tc>
        <w:tc>
          <w:tcPr>
            <w:tcW w:w="829" w:type="dxa"/>
            <w:vAlign w:val="center"/>
          </w:tcPr>
          <w:p>
            <w:pPr>
              <w:autoSpaceDE w:val="0"/>
              <w:autoSpaceDN w:val="0"/>
              <w:adjustRightInd w:val="0"/>
              <w:spacing w:line="360" w:lineRule="auto"/>
              <w:jc w:val="center"/>
              <w:rPr>
                <w:rFonts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vAlign w:val="center"/>
          </w:tcPr>
          <w:p>
            <w:pPr>
              <w:autoSpaceDE w:val="0"/>
              <w:autoSpaceDN w:val="0"/>
              <w:adjustRightInd w:val="0"/>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w:t>
            </w:r>
          </w:p>
        </w:tc>
        <w:tc>
          <w:tcPr>
            <w:tcW w:w="1223" w:type="dxa"/>
            <w:vAlign w:val="center"/>
          </w:tcPr>
          <w:p>
            <w:pPr>
              <w:autoSpaceDE w:val="0"/>
              <w:autoSpaceDN w:val="0"/>
              <w:adjustRightInd w:val="0"/>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其他服务承诺</w:t>
            </w:r>
          </w:p>
        </w:tc>
        <w:tc>
          <w:tcPr>
            <w:tcW w:w="5411" w:type="dxa"/>
          </w:tcPr>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投标人承诺以下全部两项的得6分，否则不得分。</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1.服务质量达到招标文件要求；</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2.对未能达到的管理要求承担管理责任。</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要求提供承诺（格式自定）加盖公章作为得分依据，未提供承诺或承诺内容不满足要求不得分。</w:t>
            </w:r>
          </w:p>
        </w:tc>
        <w:tc>
          <w:tcPr>
            <w:tcW w:w="894" w:type="dxa"/>
            <w:vAlign w:val="center"/>
          </w:tcPr>
          <w:p>
            <w:pPr>
              <w:autoSpaceDE w:val="0"/>
              <w:autoSpaceDN w:val="0"/>
              <w:adjustRightInd w:val="0"/>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w:t>
            </w:r>
          </w:p>
        </w:tc>
        <w:tc>
          <w:tcPr>
            <w:tcW w:w="829" w:type="dxa"/>
            <w:vAlign w:val="center"/>
          </w:tcPr>
          <w:p>
            <w:pPr>
              <w:autoSpaceDE w:val="0"/>
              <w:autoSpaceDN w:val="0"/>
              <w:adjustRightInd w:val="0"/>
              <w:spacing w:line="360" w:lineRule="auto"/>
              <w:jc w:val="center"/>
              <w:rPr>
                <w:rFonts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评审委员打分</w:t>
            </w:r>
          </w:p>
        </w:tc>
      </w:tr>
    </w:tbl>
    <w:p>
      <w:pPr>
        <w:pStyle w:val="2"/>
        <w:rPr>
          <w:color w:val="000000" w:themeColor="text1"/>
          <w:lang w:val="fr-CH"/>
          <w14:textFill>
            <w14:solidFill>
              <w14:schemeClr w14:val="tx1"/>
            </w14:solidFill>
          </w14:textFill>
        </w:rPr>
        <w:sectPr>
          <w:pgSz w:w="11906" w:h="16838"/>
          <w:pgMar w:top="850" w:right="1803" w:bottom="709" w:left="1803" w:header="851" w:footer="992" w:gutter="0"/>
          <w:cols w:space="720" w:num="1"/>
          <w:docGrid w:type="lines" w:linePitch="319" w:charSpace="0"/>
        </w:sectPr>
      </w:pPr>
    </w:p>
    <w:p>
      <w:pPr>
        <w:spacing w:line="360" w:lineRule="auto"/>
        <w:jc w:val="center"/>
        <w:outlineLvl w:val="0"/>
        <w:rPr>
          <w:rFonts w:ascii="宋体" w:hAnsi="宋体" w:cs="宋体"/>
          <w:b/>
          <w:bCs/>
          <w:color w:val="000000" w:themeColor="text1"/>
          <w:sz w:val="24"/>
          <w14:textFill>
            <w14:solidFill>
              <w14:schemeClr w14:val="tx1"/>
            </w14:solidFill>
          </w14:textFill>
        </w:rPr>
      </w:pPr>
      <w:bookmarkStart w:id="38" w:name="_Toc9548"/>
      <w:bookmarkStart w:id="39" w:name="_Hlk28269117"/>
      <w:r>
        <w:rPr>
          <w:rFonts w:hint="eastAsia" w:ascii="宋体" w:hAnsi="宋体" w:cs="宋体"/>
          <w:b/>
          <w:bCs/>
          <w:color w:val="000000" w:themeColor="text1"/>
          <w:sz w:val="24"/>
          <w14:textFill>
            <w14:solidFill>
              <w14:schemeClr w14:val="tx1"/>
            </w14:solidFill>
          </w14:textFill>
        </w:rPr>
        <w:t>第七章 附件（投标文件格式）</w:t>
      </w:r>
      <w:bookmarkEnd w:id="38"/>
    </w:p>
    <w:p>
      <w:pPr>
        <w:keepNext/>
        <w:keepLines/>
        <w:spacing w:before="260" w:after="260" w:line="440" w:lineRule="exact"/>
        <w:jc w:val="center"/>
        <w:outlineLvl w:val="1"/>
        <w:rPr>
          <w:rFonts w:ascii="宋体" w:hAnsi="宋体" w:cs="宋体"/>
          <w:b/>
          <w:bCs/>
          <w:color w:val="000000" w:themeColor="text1"/>
          <w:sz w:val="24"/>
          <w14:textFill>
            <w14:solidFill>
              <w14:schemeClr w14:val="tx1"/>
            </w14:solidFill>
          </w14:textFill>
        </w:rPr>
      </w:pPr>
      <w:bookmarkStart w:id="40" w:name="_Toc6548"/>
      <w:bookmarkStart w:id="41" w:name="_Toc19494"/>
      <w:bookmarkStart w:id="42" w:name="_Toc31827"/>
      <w:bookmarkStart w:id="43" w:name="_Toc5116"/>
      <w:r>
        <w:rPr>
          <w:rFonts w:hint="eastAsia" w:ascii="宋体" w:hAnsi="宋体" w:cs="宋体"/>
          <w:b/>
          <w:bCs/>
          <w:color w:val="000000" w:themeColor="text1"/>
          <w:sz w:val="24"/>
          <w14:textFill>
            <w14:solidFill>
              <w14:schemeClr w14:val="tx1"/>
            </w14:solidFill>
          </w14:textFill>
        </w:rPr>
        <w:t>1、投标文件密封袋/封面参考</w:t>
      </w:r>
      <w:bookmarkEnd w:id="40"/>
      <w:bookmarkEnd w:id="41"/>
      <w:bookmarkEnd w:id="42"/>
      <w:bookmarkEnd w:id="43"/>
    </w:p>
    <w:tbl>
      <w:tblPr>
        <w:tblStyle w:val="20"/>
        <w:tblW w:w="8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2" w:hRule="atLeast"/>
          <w:jc w:val="center"/>
        </w:trPr>
        <w:tc>
          <w:tcPr>
            <w:tcW w:w="8540" w:type="dxa"/>
          </w:tcPr>
          <w:p>
            <w:pPr>
              <w:pStyle w:val="8"/>
              <w:tabs>
                <w:tab w:val="left" w:pos="562"/>
                <w:tab w:val="left" w:pos="3372"/>
                <w:tab w:val="left" w:pos="3653"/>
              </w:tabs>
              <w:spacing w:line="360" w:lineRule="auto"/>
              <w:rPr>
                <w:rFonts w:ascii="仿宋_GB2312" w:eastAsia="仿宋_GB2312"/>
                <w:b/>
                <w:color w:val="000000" w:themeColor="text1"/>
                <w:sz w:val="32"/>
                <w14:textFill>
                  <w14:solidFill>
                    <w14:schemeClr w14:val="tx1"/>
                  </w14:solidFill>
                </w14:textFill>
              </w:rPr>
            </w:pPr>
          </w:p>
          <w:p>
            <w:pPr>
              <w:pStyle w:val="8"/>
              <w:tabs>
                <w:tab w:val="left" w:pos="562"/>
                <w:tab w:val="left" w:pos="3372"/>
                <w:tab w:val="left" w:pos="3653"/>
              </w:tabs>
              <w:spacing w:line="360" w:lineRule="auto"/>
              <w:jc w:val="center"/>
              <w:rPr>
                <w:rFonts w:ascii="黑体" w:eastAsia="黑体"/>
                <w:b/>
                <w:color w:val="000000" w:themeColor="text1"/>
                <w:sz w:val="72"/>
                <w:szCs w:val="72"/>
                <w14:textFill>
                  <w14:solidFill>
                    <w14:schemeClr w14:val="tx1"/>
                  </w14:solidFill>
                </w14:textFill>
              </w:rPr>
            </w:pPr>
          </w:p>
          <w:p>
            <w:pPr>
              <w:pStyle w:val="8"/>
              <w:tabs>
                <w:tab w:val="left" w:pos="562"/>
                <w:tab w:val="left" w:pos="3372"/>
                <w:tab w:val="left" w:pos="3653"/>
              </w:tabs>
              <w:spacing w:line="360" w:lineRule="auto"/>
              <w:jc w:val="center"/>
              <w:rPr>
                <w:rFonts w:ascii="黑体" w:eastAsia="黑体"/>
                <w:b/>
                <w:color w:val="000000" w:themeColor="text1"/>
                <w:sz w:val="72"/>
                <w:szCs w:val="72"/>
                <w14:textFill>
                  <w14:solidFill>
                    <w14:schemeClr w14:val="tx1"/>
                  </w14:solidFill>
                </w14:textFill>
              </w:rPr>
            </w:pPr>
            <w:r>
              <w:rPr>
                <w:rFonts w:hint="eastAsia" w:ascii="黑体" w:eastAsia="黑体"/>
                <w:b/>
                <w:color w:val="000000" w:themeColor="text1"/>
                <w:sz w:val="72"/>
                <w:szCs w:val="72"/>
                <w14:textFill>
                  <w14:solidFill>
                    <w14:schemeClr w14:val="tx1"/>
                  </w14:solidFill>
                </w14:textFill>
              </w:rPr>
              <w:t>投 标 文 件</w:t>
            </w:r>
          </w:p>
          <w:p>
            <w:pPr>
              <w:pStyle w:val="8"/>
              <w:tabs>
                <w:tab w:val="left" w:pos="562"/>
                <w:tab w:val="left" w:pos="3372"/>
                <w:tab w:val="left" w:pos="3653"/>
              </w:tabs>
              <w:spacing w:line="360" w:lineRule="auto"/>
              <w:jc w:val="center"/>
              <w:rPr>
                <w:rFonts w:ascii="黑体" w:eastAsia="黑体"/>
                <w:b/>
                <w:strike/>
                <w:color w:val="000000" w:themeColor="text1"/>
                <w:sz w:val="32"/>
                <w14:textFill>
                  <w14:solidFill>
                    <w14:schemeClr w14:val="tx1"/>
                  </w14:solidFill>
                </w14:textFill>
              </w:rPr>
            </w:pPr>
          </w:p>
          <w:p>
            <w:pPr>
              <w:spacing w:after="120" w:line="360" w:lineRule="auto"/>
              <w:ind w:firstLine="3385" w:firstLineChars="651"/>
              <w:textAlignment w:val="baseline"/>
              <w:rPr>
                <w:rFonts w:ascii="黑体" w:eastAsia="黑体"/>
                <w:color w:val="000000" w:themeColor="text1"/>
                <w:sz w:val="32"/>
                <w14:textFill>
                  <w14:solidFill>
                    <w14:schemeClr w14:val="tx1"/>
                  </w14:solidFill>
                </w14:textFill>
              </w:rPr>
            </w:pPr>
            <w:r>
              <w:rPr>
                <w:rFonts w:hint="eastAsia" w:ascii="黑体" w:eastAsia="黑体"/>
                <w:color w:val="000000" w:themeColor="text1"/>
                <w:sz w:val="52"/>
                <w:szCs w:val="52"/>
                <w14:textFill>
                  <w14:solidFill>
                    <w14:schemeClr w14:val="tx1"/>
                  </w14:solidFill>
                </w14:textFill>
              </w:rPr>
              <w:t xml:space="preserve">口 </w:t>
            </w:r>
            <w:r>
              <w:rPr>
                <w:rFonts w:hint="eastAsia" w:ascii="黑体" w:eastAsia="黑体"/>
                <w:color w:val="000000" w:themeColor="text1"/>
                <w:sz w:val="32"/>
                <w14:textFill>
                  <w14:solidFill>
                    <w14:schemeClr w14:val="tx1"/>
                  </w14:solidFill>
                </w14:textFill>
              </w:rPr>
              <w:t>正本</w:t>
            </w:r>
          </w:p>
          <w:p>
            <w:pPr>
              <w:spacing w:after="120" w:line="360" w:lineRule="auto"/>
              <w:ind w:firstLine="3385" w:firstLineChars="651"/>
              <w:textAlignment w:val="baseline"/>
              <w:rPr>
                <w:rFonts w:ascii="黑体" w:eastAsia="黑体"/>
                <w:color w:val="000000" w:themeColor="text1"/>
                <w:sz w:val="32"/>
                <w14:textFill>
                  <w14:solidFill>
                    <w14:schemeClr w14:val="tx1"/>
                  </w14:solidFill>
                </w14:textFill>
              </w:rPr>
            </w:pPr>
            <w:r>
              <w:rPr>
                <w:rFonts w:hint="eastAsia" w:ascii="黑体" w:eastAsia="黑体"/>
                <w:color w:val="000000" w:themeColor="text1"/>
                <w:sz w:val="52"/>
                <w:szCs w:val="52"/>
                <w14:textFill>
                  <w14:solidFill>
                    <w14:schemeClr w14:val="tx1"/>
                  </w14:solidFill>
                </w14:textFill>
              </w:rPr>
              <w:t xml:space="preserve">口 </w:t>
            </w:r>
            <w:r>
              <w:rPr>
                <w:rFonts w:hint="eastAsia" w:ascii="黑体" w:eastAsia="黑体"/>
                <w:color w:val="000000" w:themeColor="text1"/>
                <w:sz w:val="32"/>
                <w14:textFill>
                  <w14:solidFill>
                    <w14:schemeClr w14:val="tx1"/>
                  </w14:solidFill>
                </w14:textFill>
              </w:rPr>
              <w:t>副本</w:t>
            </w:r>
          </w:p>
          <w:p>
            <w:pPr>
              <w:pStyle w:val="8"/>
              <w:tabs>
                <w:tab w:val="left" w:pos="562"/>
                <w:tab w:val="left" w:pos="3372"/>
                <w:tab w:val="left" w:pos="3653"/>
              </w:tabs>
              <w:spacing w:line="360" w:lineRule="auto"/>
              <w:rPr>
                <w:rFonts w:ascii="仿宋_GB2312" w:eastAsia="仿宋_GB2312"/>
                <w:b/>
                <w:color w:val="000000" w:themeColor="text1"/>
                <w:sz w:val="32"/>
                <w14:textFill>
                  <w14:solidFill>
                    <w14:schemeClr w14:val="tx1"/>
                  </w14:solidFill>
                </w14:textFill>
              </w:rPr>
            </w:pPr>
          </w:p>
          <w:p>
            <w:pPr>
              <w:rPr>
                <w:color w:val="000000" w:themeColor="text1"/>
                <w14:textFill>
                  <w14:solidFill>
                    <w14:schemeClr w14:val="tx1"/>
                  </w14:solidFill>
                </w14:textFill>
              </w:rPr>
            </w:pPr>
          </w:p>
          <w:p>
            <w:pPr>
              <w:pStyle w:val="8"/>
              <w:tabs>
                <w:tab w:val="left" w:pos="562"/>
                <w:tab w:val="left" w:pos="3372"/>
                <w:tab w:val="left" w:pos="3653"/>
              </w:tabs>
              <w:spacing w:line="400" w:lineRule="exact"/>
              <w:ind w:firstLine="900" w:firstLineChars="320"/>
              <w:rPr>
                <w:rFonts w:ascii="仿宋_GB2312" w:eastAsia="仿宋_GB2312"/>
                <w:b/>
                <w:color w:val="000000" w:themeColor="text1"/>
                <w:sz w:val="28"/>
                <w:szCs w:val="28"/>
                <w14:textFill>
                  <w14:solidFill>
                    <w14:schemeClr w14:val="tx1"/>
                  </w14:solidFill>
                </w14:textFill>
              </w:rPr>
            </w:pPr>
          </w:p>
          <w:p>
            <w:pPr>
              <w:pStyle w:val="8"/>
              <w:tabs>
                <w:tab w:val="left" w:pos="562"/>
                <w:tab w:val="left" w:pos="3372"/>
                <w:tab w:val="left" w:pos="3653"/>
              </w:tabs>
              <w:spacing w:line="400" w:lineRule="exact"/>
              <w:ind w:firstLine="900" w:firstLineChars="320"/>
              <w:rPr>
                <w:rFonts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项目编号：</w:t>
            </w:r>
            <w:r>
              <w:rPr>
                <w:rFonts w:hint="eastAsia" w:ascii="宋体" w:hAnsi="宋体" w:cs="Arial"/>
                <w:b/>
                <w:bCs/>
                <w:color w:val="000000" w:themeColor="text1"/>
                <w:sz w:val="28"/>
                <w:szCs w:val="28"/>
                <w:u w:val="single"/>
                <w14:textFill>
                  <w14:solidFill>
                    <w14:schemeClr w14:val="tx1"/>
                  </w14:solidFill>
                </w14:textFill>
              </w:rPr>
              <w:t xml:space="preserve">                                   </w:t>
            </w:r>
          </w:p>
          <w:p>
            <w:pPr>
              <w:pStyle w:val="8"/>
              <w:tabs>
                <w:tab w:val="left" w:pos="562"/>
                <w:tab w:val="left" w:pos="3372"/>
                <w:tab w:val="left" w:pos="3653"/>
              </w:tabs>
              <w:spacing w:line="400" w:lineRule="exact"/>
              <w:ind w:firstLine="900" w:firstLineChars="320"/>
              <w:rPr>
                <w:rFonts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项目名称：</w:t>
            </w:r>
            <w:r>
              <w:rPr>
                <w:rFonts w:hint="eastAsia" w:ascii="宋体" w:hAnsi="宋体" w:cs="Arial"/>
                <w:b/>
                <w:bCs/>
                <w:color w:val="000000" w:themeColor="text1"/>
                <w:sz w:val="28"/>
                <w:szCs w:val="28"/>
                <w:u w:val="single"/>
                <w14:textFill>
                  <w14:solidFill>
                    <w14:schemeClr w14:val="tx1"/>
                  </w14:solidFill>
                </w14:textFill>
              </w:rPr>
              <w:t xml:space="preserve">                                   </w:t>
            </w:r>
          </w:p>
          <w:p>
            <w:pPr>
              <w:pStyle w:val="8"/>
              <w:tabs>
                <w:tab w:val="left" w:pos="562"/>
                <w:tab w:val="left" w:pos="3372"/>
                <w:tab w:val="left" w:pos="3653"/>
              </w:tabs>
              <w:spacing w:line="400" w:lineRule="exact"/>
              <w:ind w:firstLine="900" w:firstLineChars="320"/>
              <w:rPr>
                <w:rFonts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投标人名称：</w:t>
            </w:r>
            <w:r>
              <w:rPr>
                <w:rFonts w:hint="eastAsia" w:ascii="宋体" w:hAnsi="宋体" w:cs="Arial"/>
                <w:b/>
                <w:bCs/>
                <w:color w:val="000000" w:themeColor="text1"/>
                <w:sz w:val="28"/>
                <w:szCs w:val="28"/>
                <w:u w:val="single"/>
                <w14:textFill>
                  <w14:solidFill>
                    <w14:schemeClr w14:val="tx1"/>
                  </w14:solidFill>
                </w14:textFill>
              </w:rPr>
              <w:t xml:space="preserve">                     （加盖公章）</w:t>
            </w:r>
          </w:p>
          <w:p>
            <w:pPr>
              <w:pStyle w:val="8"/>
              <w:tabs>
                <w:tab w:val="left" w:pos="562"/>
                <w:tab w:val="left" w:pos="3372"/>
                <w:tab w:val="left" w:pos="3653"/>
              </w:tabs>
              <w:spacing w:line="400" w:lineRule="exact"/>
              <w:ind w:firstLine="900" w:firstLineChars="320"/>
              <w:rPr>
                <w:rFonts w:ascii="宋体" w:hAnsi="宋体" w:cs="Arial"/>
                <w:b/>
                <w:bCs/>
                <w:color w:val="000000" w:themeColor="text1"/>
                <w:sz w:val="28"/>
                <w:szCs w:val="28"/>
                <w:u w:val="single"/>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投标人地址：</w:t>
            </w:r>
            <w:r>
              <w:rPr>
                <w:rFonts w:hint="eastAsia" w:ascii="宋体" w:hAnsi="宋体" w:cs="Arial"/>
                <w:b/>
                <w:bCs/>
                <w:color w:val="000000" w:themeColor="text1"/>
                <w:sz w:val="28"/>
                <w:szCs w:val="28"/>
                <w:u w:val="single"/>
                <w14:textFill>
                  <w14:solidFill>
                    <w14:schemeClr w14:val="tx1"/>
                  </w14:solidFill>
                </w14:textFill>
              </w:rPr>
              <w:t xml:space="preserve">                                 </w:t>
            </w:r>
          </w:p>
          <w:p>
            <w:pPr>
              <w:pStyle w:val="8"/>
              <w:tabs>
                <w:tab w:val="left" w:pos="562"/>
                <w:tab w:val="left" w:pos="3372"/>
                <w:tab w:val="left" w:pos="3653"/>
              </w:tabs>
              <w:spacing w:line="400" w:lineRule="exact"/>
              <w:ind w:firstLine="900" w:firstLineChars="320"/>
              <w:rPr>
                <w:rFonts w:ascii="宋体" w:hAnsi="宋体" w:cs="Arial"/>
                <w:b/>
                <w:bCs/>
                <w:color w:val="000000" w:themeColor="text1"/>
                <w:sz w:val="28"/>
                <w:szCs w:val="28"/>
                <w:u w:val="single"/>
                <w14:textFill>
                  <w14:solidFill>
                    <w14:schemeClr w14:val="tx1"/>
                  </w14:solidFill>
                </w14:textFill>
              </w:rPr>
            </w:pPr>
            <w:r>
              <w:rPr>
                <w:rFonts w:hint="eastAsia" w:ascii="宋体" w:hAnsi="宋体" w:cs="Arial"/>
                <w:b/>
                <w:bCs/>
                <w:color w:val="000000" w:themeColor="text1"/>
                <w:sz w:val="28"/>
                <w:szCs w:val="28"/>
                <w14:textFill>
                  <w14:solidFill>
                    <w14:schemeClr w14:val="tx1"/>
                  </w14:solidFill>
                </w14:textFill>
              </w:rPr>
              <w:t>法定代表人/被授权人：</w:t>
            </w:r>
            <w:r>
              <w:rPr>
                <w:rFonts w:hint="eastAsia" w:ascii="宋体" w:hAnsi="宋体" w:cs="Arial"/>
                <w:b/>
                <w:bCs/>
                <w:color w:val="000000" w:themeColor="text1"/>
                <w:sz w:val="28"/>
                <w:szCs w:val="28"/>
                <w:u w:val="single"/>
                <w14:textFill>
                  <w14:solidFill>
                    <w14:schemeClr w14:val="tx1"/>
                  </w14:solidFill>
                </w14:textFill>
              </w:rPr>
              <w:t xml:space="preserve">                        </w:t>
            </w:r>
          </w:p>
          <w:p>
            <w:pPr>
              <w:pStyle w:val="8"/>
              <w:tabs>
                <w:tab w:val="left" w:pos="562"/>
                <w:tab w:val="left" w:pos="3372"/>
                <w:tab w:val="left" w:pos="3653"/>
              </w:tabs>
              <w:spacing w:line="400" w:lineRule="exact"/>
              <w:ind w:firstLine="900" w:firstLineChars="320"/>
              <w:rPr>
                <w:rFonts w:ascii="宋体" w:hAnsi="宋体" w:cs="宋体"/>
                <w:b/>
                <w:color w:val="000000" w:themeColor="text1"/>
                <w:sz w:val="28"/>
                <w:szCs w:val="28"/>
                <w14:textFill>
                  <w14:solidFill>
                    <w14:schemeClr w14:val="tx1"/>
                  </w14:solidFill>
                </w14:textFill>
              </w:rPr>
            </w:pPr>
            <w:r>
              <w:rPr>
                <w:rFonts w:hint="eastAsia" w:ascii="宋体" w:hAnsi="宋体" w:cs="Arial"/>
                <w:b/>
                <w:bCs/>
                <w:color w:val="000000" w:themeColor="text1"/>
                <w:sz w:val="28"/>
                <w:szCs w:val="28"/>
                <w14:textFill>
                  <w14:solidFill>
                    <w14:schemeClr w14:val="tx1"/>
                  </w14:solidFill>
                </w14:textFill>
              </w:rPr>
              <w:t>联系电话：</w:t>
            </w:r>
            <w:r>
              <w:rPr>
                <w:rFonts w:hint="eastAsia" w:ascii="宋体" w:hAnsi="宋体" w:cs="Arial"/>
                <w:b/>
                <w:bCs/>
                <w:color w:val="000000" w:themeColor="text1"/>
                <w:sz w:val="28"/>
                <w:szCs w:val="28"/>
                <w:u w:val="single"/>
                <w14:textFill>
                  <w14:solidFill>
                    <w14:schemeClr w14:val="tx1"/>
                  </w14:solidFill>
                </w14:textFill>
              </w:rPr>
              <w:t xml:space="preserve">                                   </w:t>
            </w:r>
          </w:p>
          <w:p>
            <w:pPr>
              <w:spacing w:line="360" w:lineRule="auto"/>
              <w:jc w:val="center"/>
              <w:rPr>
                <w:rFonts w:ascii="宋体" w:hAnsi="宋体" w:cs="Arial"/>
                <w:b/>
                <w:bCs/>
                <w:color w:val="000000" w:themeColor="text1"/>
                <w:sz w:val="28"/>
                <w:szCs w:val="28"/>
                <w14:textFill>
                  <w14:solidFill>
                    <w14:schemeClr w14:val="tx1"/>
                  </w14:solidFill>
                </w14:textFill>
              </w:rPr>
            </w:pPr>
          </w:p>
          <w:p>
            <w:pPr>
              <w:spacing w:line="360" w:lineRule="auto"/>
              <w:jc w:val="center"/>
              <w:rPr>
                <w:rFonts w:ascii="宋体" w:hAnsi="宋体" w:cs="Arial"/>
                <w:b/>
                <w:bCs/>
                <w:color w:val="000000" w:themeColor="text1"/>
                <w:sz w:val="28"/>
                <w:szCs w:val="28"/>
                <w14:textFill>
                  <w14:solidFill>
                    <w14:schemeClr w14:val="tx1"/>
                  </w14:solidFill>
                </w14:textFill>
              </w:rPr>
            </w:pPr>
          </w:p>
          <w:p>
            <w:pPr>
              <w:spacing w:line="360" w:lineRule="auto"/>
              <w:jc w:val="center"/>
              <w:rPr>
                <w:rFonts w:ascii="仿宋_GB2312" w:eastAsia="仿宋_GB2312"/>
                <w:b/>
                <w:color w:val="000000" w:themeColor="text1"/>
                <w:sz w:val="32"/>
                <w14:textFill>
                  <w14:solidFill>
                    <w14:schemeClr w14:val="tx1"/>
                  </w14:solidFill>
                </w14:textFill>
              </w:rPr>
            </w:pPr>
            <w:r>
              <w:rPr>
                <w:rFonts w:hint="eastAsia" w:ascii="宋体" w:hAnsi="宋体" w:cs="Arial"/>
                <w:b/>
                <w:bCs/>
                <w:color w:val="000000" w:themeColor="text1"/>
                <w:sz w:val="28"/>
                <w:szCs w:val="28"/>
                <w14:textFill>
                  <w14:solidFill>
                    <w14:schemeClr w14:val="tx1"/>
                  </w14:solidFill>
                </w14:textFill>
              </w:rPr>
              <w:t>【年月日时分之前不得启封。】</w:t>
            </w:r>
          </w:p>
        </w:tc>
      </w:tr>
    </w:tbl>
    <w:p>
      <w:pPr>
        <w:spacing w:line="360" w:lineRule="auto"/>
        <w:jc w:val="center"/>
        <w:rPr>
          <w:rFonts w:ascii="宋体" w:hAnsi="宋体" w:cs="宋体"/>
          <w:b/>
          <w:bCs/>
          <w:color w:val="000000" w:themeColor="text1"/>
          <w:sz w:val="24"/>
          <w14:textFill>
            <w14:solidFill>
              <w14:schemeClr w14:val="tx1"/>
            </w14:solidFill>
          </w14:textFill>
        </w:rPr>
      </w:pPr>
    </w:p>
    <w:p>
      <w:pPr>
        <w:spacing w:before="100" w:beforeAutospacing="1" w:after="100" w:afterAutospacing="1"/>
        <w:jc w:val="center"/>
        <w:outlineLvl w:val="1"/>
        <w:rPr>
          <w:rFonts w:ascii="宋体" w:hAnsi="宋体" w:cs="宋体"/>
          <w:b/>
          <w:color w:val="000000" w:themeColor="text1"/>
          <w:sz w:val="24"/>
          <w14:textFill>
            <w14:solidFill>
              <w14:schemeClr w14:val="tx1"/>
            </w14:solidFill>
          </w14:textFill>
        </w:rPr>
      </w:pPr>
      <w:bookmarkStart w:id="44" w:name="_Toc16724"/>
      <w:r>
        <w:rPr>
          <w:rFonts w:hint="eastAsia" w:ascii="宋体" w:hAnsi="宋体" w:cs="宋体"/>
          <w:b/>
          <w:color w:val="000000" w:themeColor="text1"/>
          <w:sz w:val="24"/>
          <w14:textFill>
            <w14:solidFill>
              <w14:schemeClr w14:val="tx1"/>
            </w14:solidFill>
          </w14:textFill>
        </w:rPr>
        <w:t>2、投标文件—目录</w:t>
      </w:r>
      <w:bookmarkEnd w:id="44"/>
    </w:p>
    <w:p>
      <w:pPr>
        <w:spacing w:line="360" w:lineRule="auto"/>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（一）</w:t>
      </w:r>
      <w:r>
        <w:rPr>
          <w:rFonts w:hint="eastAsia" w:ascii="宋体" w:hAnsi="宋体" w:cs="宋体"/>
          <w:b/>
          <w:bCs/>
          <w:color w:val="000000" w:themeColor="text1"/>
          <w:sz w:val="24"/>
          <w:lang w:val="zh-CN"/>
          <w14:textFill>
            <w14:solidFill>
              <w14:schemeClr w14:val="tx1"/>
            </w14:solidFill>
          </w14:textFill>
        </w:rPr>
        <w:t>价格部分</w:t>
      </w:r>
    </w:p>
    <w:p>
      <w:pPr>
        <w:numPr>
          <w:ilvl w:val="0"/>
          <w:numId w:val="6"/>
        </w:numPr>
        <w:tabs>
          <w:tab w:val="left" w:pos="640"/>
          <w:tab w:val="clear" w:pos="425"/>
        </w:tabs>
        <w:spacing w:line="360" w:lineRule="auto"/>
        <w:ind w:left="625" w:hanging="625"/>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投标一览表；</w:t>
      </w:r>
    </w:p>
    <w:p>
      <w:pPr>
        <w:numPr>
          <w:ilvl w:val="0"/>
          <w:numId w:val="6"/>
        </w:numPr>
        <w:tabs>
          <w:tab w:val="left" w:pos="640"/>
          <w:tab w:val="clear" w:pos="425"/>
        </w:tabs>
        <w:spacing w:line="360" w:lineRule="auto"/>
        <w:ind w:left="625" w:hanging="625"/>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分类报价明细表；</w:t>
      </w:r>
    </w:p>
    <w:p>
      <w:pPr>
        <w:spacing w:line="360" w:lineRule="auto"/>
        <w:rPr>
          <w:rFonts w:ascii="宋体" w:hAnsi="宋体" w:cs="宋体"/>
          <w:b/>
          <w:bCs/>
          <w:color w:val="000000" w:themeColor="text1"/>
          <w:sz w:val="24"/>
          <w:u w:val="wave"/>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（二）商务部分</w:t>
      </w:r>
    </w:p>
    <w:p>
      <w:pPr>
        <w:numPr>
          <w:ilvl w:val="0"/>
          <w:numId w:val="7"/>
        </w:numPr>
        <w:tabs>
          <w:tab w:val="left" w:pos="640"/>
          <w:tab w:val="left" w:pos="1260"/>
          <w:tab w:val="left" w:pos="1418"/>
        </w:tabs>
        <w:spacing w:line="360" w:lineRule="auto"/>
        <w:ind w:left="845" w:hanging="845"/>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投标响应书；</w:t>
      </w:r>
    </w:p>
    <w:p>
      <w:pPr>
        <w:numPr>
          <w:ilvl w:val="0"/>
          <w:numId w:val="7"/>
        </w:numPr>
        <w:tabs>
          <w:tab w:val="left" w:pos="640"/>
          <w:tab w:val="left" w:pos="1260"/>
          <w:tab w:val="left" w:pos="1418"/>
        </w:tabs>
        <w:spacing w:line="360" w:lineRule="auto"/>
        <w:ind w:left="645" w:hanging="645"/>
        <w:rPr>
          <w:rFonts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营业执照【其他组织提供《事业单位法人证书》或《民办非企业单位登记证书》】及税务登记册证副本复印件(加盖投标人公章，若提供的营业执照为三证合一，则税务登记证可不单独提供)；分支机构投标须提供总公司(或总所)出具的愿为其参与本项目投标的行为以及履约等行为承担民事责任的承诺函，且同一家总公司(或总所)若有两家或两家以上的分支机构，总公司(或总所)只能授权一家参与投标；</w:t>
      </w:r>
    </w:p>
    <w:p>
      <w:pPr>
        <w:numPr>
          <w:ilvl w:val="0"/>
          <w:numId w:val="7"/>
        </w:numPr>
        <w:tabs>
          <w:tab w:val="left" w:pos="640"/>
          <w:tab w:val="left" w:pos="1260"/>
          <w:tab w:val="left" w:pos="1418"/>
        </w:tabs>
        <w:spacing w:line="360" w:lineRule="auto"/>
        <w:ind w:left="645" w:hanging="645"/>
        <w:rPr>
          <w:rFonts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政府采购投标及履约承诺函；</w:t>
      </w:r>
    </w:p>
    <w:p>
      <w:pPr>
        <w:numPr>
          <w:ilvl w:val="0"/>
          <w:numId w:val="7"/>
        </w:numPr>
        <w:tabs>
          <w:tab w:val="left" w:pos="640"/>
          <w:tab w:val="left" w:pos="1260"/>
          <w:tab w:val="left" w:pos="1418"/>
        </w:tabs>
        <w:spacing w:line="360" w:lineRule="auto"/>
        <w:ind w:left="645" w:hanging="645"/>
        <w:rPr>
          <w:rFonts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关于资格的声明函；</w:t>
      </w:r>
    </w:p>
    <w:p>
      <w:pPr>
        <w:numPr>
          <w:ilvl w:val="0"/>
          <w:numId w:val="7"/>
        </w:numPr>
        <w:tabs>
          <w:tab w:val="left" w:pos="640"/>
          <w:tab w:val="left" w:pos="1260"/>
          <w:tab w:val="left" w:pos="1418"/>
        </w:tabs>
        <w:spacing w:line="360" w:lineRule="auto"/>
        <w:ind w:left="645" w:hanging="645"/>
        <w:rPr>
          <w:rFonts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法人代表证明书及身份证明；</w:t>
      </w:r>
    </w:p>
    <w:p>
      <w:pPr>
        <w:numPr>
          <w:ilvl w:val="0"/>
          <w:numId w:val="7"/>
        </w:numPr>
        <w:tabs>
          <w:tab w:val="left" w:pos="640"/>
          <w:tab w:val="left" w:pos="1260"/>
          <w:tab w:val="left" w:pos="1418"/>
        </w:tabs>
        <w:spacing w:line="360" w:lineRule="auto"/>
        <w:ind w:left="645" w:hanging="645"/>
        <w:rPr>
          <w:rFonts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法定代表人授权书及身份证明；</w:t>
      </w:r>
    </w:p>
    <w:p>
      <w:pPr>
        <w:numPr>
          <w:ilvl w:val="0"/>
          <w:numId w:val="7"/>
        </w:numPr>
        <w:tabs>
          <w:tab w:val="left" w:pos="640"/>
          <w:tab w:val="left" w:pos="1260"/>
          <w:tab w:val="left" w:pos="1418"/>
        </w:tabs>
        <w:spacing w:line="360" w:lineRule="auto"/>
        <w:ind w:left="645" w:hanging="645"/>
        <w:rPr>
          <w:rFonts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招标代理服务费承诺书；</w:t>
      </w:r>
    </w:p>
    <w:p>
      <w:pPr>
        <w:numPr>
          <w:ilvl w:val="0"/>
          <w:numId w:val="7"/>
        </w:numPr>
        <w:tabs>
          <w:tab w:val="left" w:pos="640"/>
          <w:tab w:val="left" w:pos="1260"/>
          <w:tab w:val="left" w:pos="1418"/>
        </w:tabs>
        <w:spacing w:line="360" w:lineRule="auto"/>
        <w:ind w:left="845" w:hanging="845"/>
        <w:rPr>
          <w:rFonts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投标人简介；</w:t>
      </w:r>
    </w:p>
    <w:p>
      <w:pPr>
        <w:numPr>
          <w:ilvl w:val="0"/>
          <w:numId w:val="7"/>
        </w:numPr>
        <w:tabs>
          <w:tab w:val="left" w:pos="640"/>
          <w:tab w:val="left" w:pos="840"/>
          <w:tab w:val="left" w:pos="1260"/>
          <w:tab w:val="left" w:pos="1418"/>
        </w:tabs>
        <w:spacing w:line="360" w:lineRule="auto"/>
        <w:ind w:left="845" w:hanging="845"/>
        <w:rPr>
          <w:rFonts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投标人通过相关认证情况；</w:t>
      </w:r>
    </w:p>
    <w:p>
      <w:pPr>
        <w:numPr>
          <w:ilvl w:val="0"/>
          <w:numId w:val="7"/>
        </w:numPr>
        <w:tabs>
          <w:tab w:val="left" w:pos="640"/>
          <w:tab w:val="left" w:pos="840"/>
          <w:tab w:val="left" w:pos="1260"/>
          <w:tab w:val="left" w:pos="1418"/>
        </w:tabs>
        <w:spacing w:line="360" w:lineRule="auto"/>
        <w:ind w:left="845" w:hanging="845"/>
        <w:rPr>
          <w:rFonts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投标人同类项目业绩情况；</w:t>
      </w:r>
    </w:p>
    <w:p>
      <w:pPr>
        <w:numPr>
          <w:ilvl w:val="0"/>
          <w:numId w:val="7"/>
        </w:numPr>
        <w:tabs>
          <w:tab w:val="left" w:pos="640"/>
          <w:tab w:val="left" w:pos="840"/>
          <w:tab w:val="left" w:pos="1260"/>
          <w:tab w:val="left" w:pos="1418"/>
        </w:tabs>
        <w:spacing w:line="360" w:lineRule="auto"/>
        <w:ind w:left="845" w:hanging="845"/>
        <w:rPr>
          <w:rFonts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项目服务成员；</w:t>
      </w:r>
    </w:p>
    <w:p>
      <w:pPr>
        <w:numPr>
          <w:ilvl w:val="0"/>
          <w:numId w:val="7"/>
        </w:numPr>
        <w:tabs>
          <w:tab w:val="left" w:pos="640"/>
          <w:tab w:val="left" w:pos="840"/>
          <w:tab w:val="left" w:pos="1260"/>
          <w:tab w:val="left" w:pos="1418"/>
        </w:tabs>
        <w:spacing w:line="360" w:lineRule="auto"/>
        <w:ind w:left="845" w:hanging="845"/>
        <w:rPr>
          <w:rFonts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投标人自主知识产权产品（创新、设计）情况；</w:t>
      </w:r>
    </w:p>
    <w:p>
      <w:pPr>
        <w:numPr>
          <w:ilvl w:val="0"/>
          <w:numId w:val="7"/>
        </w:numPr>
        <w:tabs>
          <w:tab w:val="left" w:pos="640"/>
          <w:tab w:val="left" w:pos="840"/>
          <w:tab w:val="left" w:pos="1260"/>
          <w:tab w:val="left" w:pos="1418"/>
        </w:tabs>
        <w:spacing w:line="360" w:lineRule="auto"/>
        <w:ind w:left="845" w:hanging="845"/>
        <w:rPr>
          <w:rFonts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诚信声明与承诺；</w:t>
      </w:r>
    </w:p>
    <w:p>
      <w:pPr>
        <w:numPr>
          <w:ilvl w:val="0"/>
          <w:numId w:val="7"/>
        </w:numPr>
        <w:tabs>
          <w:tab w:val="left" w:pos="640"/>
          <w:tab w:val="left" w:pos="840"/>
          <w:tab w:val="left" w:pos="1260"/>
          <w:tab w:val="left" w:pos="1418"/>
        </w:tabs>
        <w:spacing w:line="360" w:lineRule="auto"/>
        <w:ind w:left="845" w:hanging="845"/>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政府采购违法行为风险知悉确认书；</w:t>
      </w:r>
    </w:p>
    <w:p>
      <w:pPr>
        <w:numPr>
          <w:ilvl w:val="0"/>
          <w:numId w:val="7"/>
        </w:numPr>
        <w:tabs>
          <w:tab w:val="left" w:pos="640"/>
          <w:tab w:val="left" w:pos="840"/>
          <w:tab w:val="left" w:pos="1260"/>
          <w:tab w:val="left" w:pos="1418"/>
        </w:tabs>
        <w:spacing w:line="360" w:lineRule="auto"/>
        <w:ind w:left="845" w:hanging="845"/>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参与价格扣除的证明文件；</w:t>
      </w:r>
    </w:p>
    <w:p>
      <w:pPr>
        <w:numPr>
          <w:ilvl w:val="0"/>
          <w:numId w:val="7"/>
        </w:numPr>
        <w:tabs>
          <w:tab w:val="left" w:pos="640"/>
          <w:tab w:val="left" w:pos="840"/>
          <w:tab w:val="left" w:pos="1260"/>
          <w:tab w:val="left" w:pos="1418"/>
        </w:tabs>
        <w:spacing w:line="360" w:lineRule="auto"/>
        <w:ind w:left="845" w:hanging="845"/>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供应商基本情况表、社保证明及股权关系证明；</w:t>
      </w:r>
    </w:p>
    <w:p>
      <w:pPr>
        <w:numPr>
          <w:ilvl w:val="0"/>
          <w:numId w:val="7"/>
        </w:numPr>
        <w:tabs>
          <w:tab w:val="left" w:pos="640"/>
          <w:tab w:val="left" w:pos="840"/>
          <w:tab w:val="left" w:pos="1260"/>
          <w:tab w:val="left" w:pos="1418"/>
        </w:tabs>
        <w:spacing w:line="360" w:lineRule="auto"/>
        <w:ind w:left="845" w:hanging="845"/>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投标人认为有必要提供的其他材料。</w:t>
      </w:r>
    </w:p>
    <w:p>
      <w:pPr>
        <w:spacing w:line="360" w:lineRule="auto"/>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（三）技术部分</w:t>
      </w:r>
    </w:p>
    <w:p>
      <w:pPr>
        <w:numPr>
          <w:ilvl w:val="0"/>
          <w:numId w:val="8"/>
        </w:numPr>
        <w:tabs>
          <w:tab w:val="left" w:pos="640"/>
          <w:tab w:val="left" w:pos="1260"/>
          <w:tab w:val="left" w:pos="1418"/>
        </w:tabs>
        <w:spacing w:line="360" w:lineRule="auto"/>
        <w:ind w:left="640" w:right="-420" w:rightChars="-200" w:hanging="640"/>
        <w:rPr>
          <w:rFonts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用户需求响应表；</w:t>
      </w:r>
    </w:p>
    <w:p>
      <w:pPr>
        <w:numPr>
          <w:ilvl w:val="0"/>
          <w:numId w:val="8"/>
        </w:numPr>
        <w:tabs>
          <w:tab w:val="left" w:pos="640"/>
          <w:tab w:val="left" w:pos="1260"/>
          <w:tab w:val="left" w:pos="1418"/>
        </w:tabs>
        <w:spacing w:line="360" w:lineRule="auto"/>
        <w:ind w:left="845" w:right="-420" w:rightChars="-200" w:hanging="845"/>
        <w:rPr>
          <w:rFonts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项目实施方案；</w:t>
      </w:r>
    </w:p>
    <w:p>
      <w:pPr>
        <w:numPr>
          <w:ilvl w:val="0"/>
          <w:numId w:val="8"/>
        </w:numPr>
        <w:tabs>
          <w:tab w:val="left" w:pos="640"/>
          <w:tab w:val="left" w:pos="1260"/>
          <w:tab w:val="left" w:pos="1418"/>
        </w:tabs>
        <w:spacing w:line="360" w:lineRule="auto"/>
        <w:ind w:left="845" w:right="-420" w:rightChars="-200" w:hanging="845"/>
        <w:rPr>
          <w:rFonts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项目需求理解；</w:t>
      </w:r>
    </w:p>
    <w:p>
      <w:pPr>
        <w:numPr>
          <w:ilvl w:val="0"/>
          <w:numId w:val="8"/>
        </w:numPr>
        <w:tabs>
          <w:tab w:val="left" w:pos="640"/>
          <w:tab w:val="left" w:pos="1260"/>
          <w:tab w:val="left" w:pos="1418"/>
        </w:tabs>
        <w:spacing w:line="360" w:lineRule="auto"/>
        <w:ind w:left="845" w:right="-420" w:rightChars="-200" w:hanging="845"/>
        <w:rPr>
          <w:rFonts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项目重点难点分析、应对措施及相关的合理化建议；</w:t>
      </w:r>
    </w:p>
    <w:p>
      <w:pPr>
        <w:numPr>
          <w:ilvl w:val="0"/>
          <w:numId w:val="8"/>
        </w:numPr>
        <w:tabs>
          <w:tab w:val="left" w:pos="640"/>
          <w:tab w:val="left" w:pos="1260"/>
          <w:tab w:val="left" w:pos="1418"/>
        </w:tabs>
        <w:spacing w:line="360" w:lineRule="auto"/>
        <w:ind w:left="845" w:right="-420" w:rightChars="-200" w:hanging="845"/>
        <w:rPr>
          <w:rFonts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质量（完成时间、安全、环保）保障措施及方案；</w:t>
      </w:r>
    </w:p>
    <w:p>
      <w:pPr>
        <w:numPr>
          <w:ilvl w:val="0"/>
          <w:numId w:val="8"/>
        </w:numPr>
        <w:tabs>
          <w:tab w:val="left" w:pos="640"/>
          <w:tab w:val="left" w:pos="1260"/>
          <w:tab w:val="left" w:pos="1418"/>
        </w:tabs>
        <w:spacing w:line="360" w:lineRule="auto"/>
        <w:ind w:left="845" w:right="-420" w:rightChars="-200" w:hanging="845"/>
        <w:rPr>
          <w:rFonts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项目完成（服务期满）后的服务承诺；</w:t>
      </w:r>
    </w:p>
    <w:p>
      <w:pPr>
        <w:numPr>
          <w:ilvl w:val="0"/>
          <w:numId w:val="8"/>
        </w:numPr>
        <w:tabs>
          <w:tab w:val="left" w:pos="640"/>
          <w:tab w:val="left" w:pos="1260"/>
          <w:tab w:val="left" w:pos="1418"/>
        </w:tabs>
        <w:spacing w:line="360" w:lineRule="auto"/>
        <w:ind w:left="845" w:right="-420" w:rightChars="-200" w:hanging="845"/>
        <w:rPr>
          <w:rFonts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其他服务承诺；</w:t>
      </w:r>
    </w:p>
    <w:p>
      <w:pPr>
        <w:numPr>
          <w:ilvl w:val="0"/>
          <w:numId w:val="8"/>
        </w:numPr>
        <w:tabs>
          <w:tab w:val="left" w:pos="640"/>
          <w:tab w:val="left" w:pos="1260"/>
          <w:tab w:val="left" w:pos="1418"/>
        </w:tabs>
        <w:spacing w:line="360" w:lineRule="auto"/>
        <w:ind w:left="845" w:right="-420" w:rightChars="-200" w:hanging="845"/>
        <w:rPr>
          <w:rFonts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投标人认为有必要提供的其他材料。</w:t>
      </w:r>
    </w:p>
    <w:p>
      <w:pPr>
        <w:outlineLvl w:val="2"/>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br w:type="page"/>
      </w:r>
      <w:r>
        <w:rPr>
          <w:rFonts w:hint="eastAsia" w:ascii="宋体" w:hAnsi="宋体" w:cs="宋体"/>
          <w:b/>
          <w:bCs/>
          <w:color w:val="000000" w:themeColor="text1"/>
          <w:sz w:val="24"/>
          <w14:textFill>
            <w14:solidFill>
              <w14:schemeClr w14:val="tx1"/>
            </w14:solidFill>
          </w14:textFill>
        </w:rPr>
        <w:t>（一）</w:t>
      </w:r>
      <w:r>
        <w:rPr>
          <w:rFonts w:hint="eastAsia" w:ascii="宋体" w:hAnsi="宋体" w:cs="宋体"/>
          <w:b/>
          <w:bCs/>
          <w:color w:val="000000" w:themeColor="text1"/>
          <w:sz w:val="24"/>
          <w:lang w:val="zh-CN"/>
          <w14:textFill>
            <w14:solidFill>
              <w14:schemeClr w14:val="tx1"/>
            </w14:solidFill>
          </w14:textFill>
        </w:rPr>
        <w:t>价格部分</w:t>
      </w:r>
    </w:p>
    <w:p>
      <w:pPr>
        <w:numPr>
          <w:ilvl w:val="0"/>
          <w:numId w:val="9"/>
        </w:numPr>
        <w:tabs>
          <w:tab w:val="left" w:pos="640"/>
          <w:tab w:val="clear" w:pos="425"/>
        </w:tabs>
        <w:ind w:left="625" w:hanging="625"/>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投标一览表；</w:t>
      </w:r>
    </w:p>
    <w:p>
      <w:pPr>
        <w:spacing w:line="360" w:lineRule="auto"/>
        <w:rPr>
          <w:rFonts w:ascii="宋体" w:hAnsi="宋体" w:cs="宋体"/>
          <w:color w:val="000000" w:themeColor="text1"/>
          <w:sz w:val="24"/>
          <w14:textFill>
            <w14:solidFill>
              <w14:schemeClr w14:val="tx1"/>
            </w14:solidFill>
          </w14:textFill>
        </w:rPr>
      </w:pPr>
    </w:p>
    <w:p>
      <w:pPr>
        <w:spacing w:line="360" w:lineRule="auto"/>
        <w:jc w:val="center"/>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投标一览表</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投标供应商名称：（公章）</w:t>
      </w:r>
      <w:r>
        <w:rPr>
          <w:rFonts w:hint="eastAsia" w:ascii="宋体" w:hAnsi="宋体" w:cs="宋体"/>
          <w:color w:val="000000" w:themeColor="text1"/>
          <w:sz w:val="24"/>
          <w:u w:val="single"/>
          <w14:textFill>
            <w14:solidFill>
              <w14:schemeClr w14:val="tx1"/>
            </w14:solidFill>
          </w14:textFill>
        </w:rPr>
        <w:t xml:space="preserve">                             </w:t>
      </w:r>
    </w:p>
    <w:p>
      <w:pPr>
        <w:spacing w:line="360" w:lineRule="auto"/>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招标编号：</w:t>
      </w:r>
      <w:r>
        <w:rPr>
          <w:rFonts w:hint="eastAsia" w:ascii="宋体" w:hAnsi="宋体" w:cs="宋体"/>
          <w:color w:val="000000" w:themeColor="text1"/>
          <w:sz w:val="24"/>
          <w:u w:val="single"/>
          <w14:textFill>
            <w14:solidFill>
              <w14:schemeClr w14:val="tx1"/>
            </w14:solidFill>
          </w14:textFill>
        </w:rPr>
        <w:t xml:space="preserve">                                      </w:t>
      </w:r>
    </w:p>
    <w:tbl>
      <w:tblPr>
        <w:tblStyle w:val="20"/>
        <w:tblW w:w="0" w:type="auto"/>
        <w:tblInd w:w="28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484"/>
        <w:gridCol w:w="2896"/>
        <w:gridCol w:w="131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5" w:hRule="atLeast"/>
        </w:trPr>
        <w:tc>
          <w:tcPr>
            <w:tcW w:w="3484" w:type="dxa"/>
            <w:vAlign w:val="center"/>
          </w:tcPr>
          <w:p>
            <w:pPr>
              <w:spacing w:after="60"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项目名称</w:t>
            </w:r>
          </w:p>
        </w:tc>
        <w:tc>
          <w:tcPr>
            <w:tcW w:w="2896" w:type="dxa"/>
            <w:vAlign w:val="center"/>
          </w:tcPr>
          <w:p>
            <w:pPr>
              <w:spacing w:after="60"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投标价</w:t>
            </w:r>
          </w:p>
          <w:p>
            <w:pPr>
              <w:spacing w:after="60"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（人民币）</w:t>
            </w:r>
          </w:p>
        </w:tc>
        <w:tc>
          <w:tcPr>
            <w:tcW w:w="1318" w:type="dxa"/>
            <w:vAlign w:val="center"/>
          </w:tcPr>
          <w:p>
            <w:pPr>
              <w:spacing w:after="60"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3" w:hRule="atLeast"/>
        </w:trPr>
        <w:tc>
          <w:tcPr>
            <w:tcW w:w="3484" w:type="dxa"/>
            <w:vAlign w:val="center"/>
          </w:tcPr>
          <w:p>
            <w:pPr>
              <w:spacing w:line="360" w:lineRule="auto"/>
              <w:jc w:val="center"/>
              <w:rPr>
                <w:rFonts w:ascii="宋体" w:hAnsi="宋体" w:cs="宋体"/>
                <w:color w:val="000000" w:themeColor="text1"/>
                <w:sz w:val="24"/>
                <w:u w:val="single"/>
                <w14:textFill>
                  <w14:solidFill>
                    <w14:schemeClr w14:val="tx1"/>
                  </w14:solidFill>
                </w14:textFill>
              </w:rPr>
            </w:pPr>
          </w:p>
        </w:tc>
        <w:tc>
          <w:tcPr>
            <w:tcW w:w="2896" w:type="dxa"/>
            <w:vAlign w:val="center"/>
          </w:tcPr>
          <w:p>
            <w:pPr>
              <w:spacing w:line="360" w:lineRule="auto"/>
              <w:jc w:val="center"/>
              <w:rPr>
                <w:rFonts w:ascii="宋体" w:hAnsi="宋体" w:cs="宋体"/>
                <w:color w:val="000000" w:themeColor="text1"/>
                <w:sz w:val="24"/>
                <w:u w:val="single"/>
                <w14:textFill>
                  <w14:solidFill>
                    <w14:schemeClr w14:val="tx1"/>
                  </w14:solidFill>
                </w14:textFill>
              </w:rPr>
            </w:pPr>
          </w:p>
        </w:tc>
        <w:tc>
          <w:tcPr>
            <w:tcW w:w="1318" w:type="dxa"/>
            <w:vAlign w:val="center"/>
          </w:tcPr>
          <w:p>
            <w:pPr>
              <w:spacing w:line="360" w:lineRule="auto"/>
              <w:jc w:val="center"/>
              <w:rPr>
                <w:rFonts w:ascii="宋体" w:hAnsi="宋体" w:cs="宋体"/>
                <w:color w:val="000000" w:themeColor="text1"/>
                <w:sz w:val="24"/>
                <w:u w:val="single"/>
                <w14:textFill>
                  <w14:solidFill>
                    <w14:schemeClr w14:val="tx1"/>
                  </w14:solidFill>
                </w14:textFill>
              </w:rPr>
            </w:pPr>
          </w:p>
        </w:tc>
      </w:tr>
    </w:tbl>
    <w:p>
      <w:pPr>
        <w:spacing w:line="360" w:lineRule="auto"/>
        <w:rPr>
          <w:rFonts w:ascii="宋体" w:hAnsi="宋体" w:cs="宋体"/>
          <w:color w:val="000000" w:themeColor="text1"/>
          <w:sz w:val="24"/>
          <w14:textFill>
            <w14:solidFill>
              <w14:schemeClr w14:val="tx1"/>
            </w14:solidFill>
          </w14:textFill>
        </w:rPr>
      </w:pP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投标供应商授权代表：</w:t>
      </w:r>
      <w:r>
        <w:rPr>
          <w:rFonts w:hint="eastAsia" w:ascii="宋体" w:hAnsi="宋体" w:cs="宋体"/>
          <w:color w:val="000000" w:themeColor="text1"/>
          <w:sz w:val="24"/>
          <w:u w:val="single"/>
          <w14:textFill>
            <w14:solidFill>
              <w14:schemeClr w14:val="tx1"/>
            </w14:solidFill>
          </w14:textFill>
        </w:rPr>
        <w:t xml:space="preserve">                   </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职              务：</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 xml:space="preserve">        </w:t>
      </w:r>
    </w:p>
    <w:p>
      <w:pPr>
        <w:spacing w:line="360" w:lineRule="auto"/>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日              期：</w:t>
      </w:r>
      <w:r>
        <w:rPr>
          <w:rFonts w:hint="eastAsia" w:ascii="宋体" w:hAnsi="宋体" w:cs="宋体"/>
          <w:color w:val="000000" w:themeColor="text1"/>
          <w:sz w:val="24"/>
          <w:u w:val="single"/>
          <w14:textFill>
            <w14:solidFill>
              <w14:schemeClr w14:val="tx1"/>
            </w14:solidFill>
          </w14:textFill>
        </w:rPr>
        <w:t xml:space="preserve">                   </w:t>
      </w:r>
    </w:p>
    <w:p>
      <w:pPr>
        <w:pStyle w:val="8"/>
        <w:rPr>
          <w:color w:val="000000" w:themeColor="text1"/>
          <w14:textFill>
            <w14:solidFill>
              <w14:schemeClr w14:val="tx1"/>
            </w14:solidFill>
          </w14:textFill>
        </w:rPr>
      </w:pPr>
    </w:p>
    <w:p>
      <w:pPr>
        <w:numPr>
          <w:ilvl w:val="0"/>
          <w:numId w:val="9"/>
        </w:numPr>
        <w:tabs>
          <w:tab w:val="left" w:pos="640"/>
          <w:tab w:val="clear" w:pos="425"/>
        </w:tabs>
        <w:ind w:left="625" w:hanging="625"/>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br w:type="page"/>
      </w:r>
      <w:r>
        <w:rPr>
          <w:rFonts w:hint="eastAsia" w:ascii="宋体" w:hAnsi="宋体" w:cs="宋体"/>
          <w:color w:val="000000" w:themeColor="text1"/>
          <w:sz w:val="24"/>
          <w14:textFill>
            <w14:solidFill>
              <w14:schemeClr w14:val="tx1"/>
            </w14:solidFill>
          </w14:textFill>
        </w:rPr>
        <w:t>分项报价清单；</w:t>
      </w:r>
    </w:p>
    <w:p>
      <w:pPr>
        <w:spacing w:line="360" w:lineRule="auto"/>
        <w:jc w:val="center"/>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分项报价清单</w:t>
      </w:r>
    </w:p>
    <w:p>
      <w:pPr>
        <w:spacing w:line="360" w:lineRule="auto"/>
        <w:rPr>
          <w:rFonts w:ascii="宋体" w:hAnsi="宋体" w:cs="宋体"/>
          <w:color w:val="000000" w:themeColor="text1"/>
          <w:sz w:val="24"/>
          <w14:textFill>
            <w14:solidFill>
              <w14:schemeClr w14:val="tx1"/>
            </w14:solidFill>
          </w14:textFill>
        </w:rPr>
      </w:pP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投标供应商名称：（公章）</w:t>
      </w:r>
      <w:r>
        <w:rPr>
          <w:rFonts w:hint="eastAsia" w:ascii="宋体" w:hAnsi="宋体" w:cs="宋体"/>
          <w:color w:val="000000" w:themeColor="text1"/>
          <w:sz w:val="24"/>
          <w:u w:val="single"/>
          <w14:textFill>
            <w14:solidFill>
              <w14:schemeClr w14:val="tx1"/>
            </w14:solidFill>
          </w14:textFill>
        </w:rPr>
        <w:t xml:space="preserve">                             </w:t>
      </w:r>
    </w:p>
    <w:p>
      <w:pPr>
        <w:spacing w:line="360" w:lineRule="auto"/>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招标编号：</w:t>
      </w:r>
      <w:r>
        <w:rPr>
          <w:rFonts w:hint="eastAsia" w:ascii="宋体" w:hAnsi="宋体" w:cs="宋体"/>
          <w:color w:val="000000" w:themeColor="text1"/>
          <w:sz w:val="24"/>
          <w:u w:val="single"/>
          <w14:textFill>
            <w14:solidFill>
              <w14:schemeClr w14:val="tx1"/>
            </w14:solidFill>
          </w14:textFill>
        </w:rPr>
        <w:t xml:space="preserve">                                      </w:t>
      </w:r>
    </w:p>
    <w:p>
      <w:pPr>
        <w:spacing w:line="360" w:lineRule="auto"/>
        <w:rPr>
          <w:rFonts w:ascii="宋体" w:hAnsi="宋体" w:cs="宋体"/>
          <w:color w:val="000000" w:themeColor="text1"/>
          <w:sz w:val="24"/>
          <w:u w:val="single"/>
          <w14:textFill>
            <w14:solidFill>
              <w14:schemeClr w14:val="tx1"/>
            </w14:solidFill>
          </w14:textFill>
        </w:rPr>
      </w:pPr>
    </w:p>
    <w:tbl>
      <w:tblPr>
        <w:tblStyle w:val="20"/>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8"/>
        <w:gridCol w:w="2212"/>
        <w:gridCol w:w="720"/>
        <w:gridCol w:w="1800"/>
        <w:gridCol w:w="1620"/>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1028" w:type="dxa"/>
            <w:vAlign w:val="bottom"/>
          </w:tcPr>
          <w:p>
            <w:pPr>
              <w:pStyle w:val="10"/>
              <w:spacing w:line="360" w:lineRule="auto"/>
              <w:jc w:val="center"/>
              <w:rPr>
                <w:rFonts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序号</w:t>
            </w:r>
          </w:p>
        </w:tc>
        <w:tc>
          <w:tcPr>
            <w:tcW w:w="2212" w:type="dxa"/>
            <w:vAlign w:val="center"/>
          </w:tcPr>
          <w:p>
            <w:pPr>
              <w:pStyle w:val="10"/>
              <w:spacing w:line="360" w:lineRule="auto"/>
              <w:jc w:val="center"/>
              <w:rPr>
                <w:rFonts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项目名称、内容</w:t>
            </w:r>
          </w:p>
        </w:tc>
        <w:tc>
          <w:tcPr>
            <w:tcW w:w="720" w:type="dxa"/>
            <w:vAlign w:val="center"/>
          </w:tcPr>
          <w:p>
            <w:pPr>
              <w:pStyle w:val="10"/>
              <w:spacing w:line="360" w:lineRule="auto"/>
              <w:jc w:val="center"/>
              <w:rPr>
                <w:rFonts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单位</w:t>
            </w:r>
          </w:p>
        </w:tc>
        <w:tc>
          <w:tcPr>
            <w:tcW w:w="1800" w:type="dxa"/>
            <w:vAlign w:val="center"/>
          </w:tcPr>
          <w:p>
            <w:pPr>
              <w:pStyle w:val="10"/>
              <w:spacing w:line="360" w:lineRule="auto"/>
              <w:jc w:val="center"/>
              <w:rPr>
                <w:rFonts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数量（工作量）</w:t>
            </w:r>
          </w:p>
        </w:tc>
        <w:tc>
          <w:tcPr>
            <w:tcW w:w="1620" w:type="dxa"/>
            <w:vAlign w:val="center"/>
          </w:tcPr>
          <w:p>
            <w:pPr>
              <w:pStyle w:val="10"/>
              <w:spacing w:line="360" w:lineRule="auto"/>
              <w:jc w:val="center"/>
              <w:rPr>
                <w:rFonts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单价</w:t>
            </w:r>
          </w:p>
        </w:tc>
        <w:tc>
          <w:tcPr>
            <w:tcW w:w="1620" w:type="dxa"/>
            <w:vAlign w:val="center"/>
          </w:tcPr>
          <w:p>
            <w:pPr>
              <w:pStyle w:val="10"/>
              <w:spacing w:line="360" w:lineRule="auto"/>
              <w:jc w:val="center"/>
              <w:rPr>
                <w:rFonts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028" w:type="dxa"/>
            <w:vAlign w:val="bottom"/>
          </w:tcPr>
          <w:p>
            <w:pPr>
              <w:pStyle w:val="10"/>
              <w:spacing w:line="360" w:lineRule="auto"/>
              <w:jc w:val="center"/>
              <w:rPr>
                <w:rFonts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1</w:t>
            </w:r>
          </w:p>
        </w:tc>
        <w:tc>
          <w:tcPr>
            <w:tcW w:w="2212" w:type="dxa"/>
            <w:vAlign w:val="center"/>
          </w:tcPr>
          <w:p>
            <w:pPr>
              <w:pStyle w:val="10"/>
              <w:spacing w:line="360" w:lineRule="auto"/>
              <w:jc w:val="center"/>
              <w:rPr>
                <w:rFonts w:hAnsi="宋体" w:cs="宋体"/>
                <w:color w:val="000000" w:themeColor="text1"/>
                <w:sz w:val="24"/>
                <w14:textFill>
                  <w14:solidFill>
                    <w14:schemeClr w14:val="tx1"/>
                  </w14:solidFill>
                </w14:textFill>
              </w:rPr>
            </w:pPr>
          </w:p>
        </w:tc>
        <w:tc>
          <w:tcPr>
            <w:tcW w:w="720" w:type="dxa"/>
            <w:vAlign w:val="center"/>
          </w:tcPr>
          <w:p>
            <w:pPr>
              <w:pStyle w:val="10"/>
              <w:spacing w:line="360" w:lineRule="auto"/>
              <w:jc w:val="center"/>
              <w:rPr>
                <w:rFonts w:hAnsi="宋体" w:cs="宋体"/>
                <w:color w:val="000000" w:themeColor="text1"/>
                <w:sz w:val="24"/>
                <w14:textFill>
                  <w14:solidFill>
                    <w14:schemeClr w14:val="tx1"/>
                  </w14:solidFill>
                </w14:textFill>
              </w:rPr>
            </w:pPr>
          </w:p>
        </w:tc>
        <w:tc>
          <w:tcPr>
            <w:tcW w:w="1800" w:type="dxa"/>
            <w:vAlign w:val="center"/>
          </w:tcPr>
          <w:p>
            <w:pPr>
              <w:pStyle w:val="10"/>
              <w:spacing w:line="360" w:lineRule="auto"/>
              <w:jc w:val="center"/>
              <w:rPr>
                <w:rFonts w:hAnsi="宋体" w:cs="宋体"/>
                <w:color w:val="000000" w:themeColor="text1"/>
                <w:sz w:val="24"/>
                <w14:textFill>
                  <w14:solidFill>
                    <w14:schemeClr w14:val="tx1"/>
                  </w14:solidFill>
                </w14:textFill>
              </w:rPr>
            </w:pPr>
          </w:p>
        </w:tc>
        <w:tc>
          <w:tcPr>
            <w:tcW w:w="1620" w:type="dxa"/>
            <w:vAlign w:val="center"/>
          </w:tcPr>
          <w:p>
            <w:pPr>
              <w:pStyle w:val="10"/>
              <w:spacing w:line="360" w:lineRule="auto"/>
              <w:jc w:val="center"/>
              <w:rPr>
                <w:rFonts w:hAnsi="宋体" w:cs="宋体"/>
                <w:color w:val="000000" w:themeColor="text1"/>
                <w:sz w:val="24"/>
                <w14:textFill>
                  <w14:solidFill>
                    <w14:schemeClr w14:val="tx1"/>
                  </w14:solidFill>
                </w14:textFill>
              </w:rPr>
            </w:pPr>
          </w:p>
        </w:tc>
        <w:tc>
          <w:tcPr>
            <w:tcW w:w="1620" w:type="dxa"/>
            <w:vAlign w:val="center"/>
          </w:tcPr>
          <w:p>
            <w:pPr>
              <w:pStyle w:val="10"/>
              <w:spacing w:line="360" w:lineRule="auto"/>
              <w:jc w:val="center"/>
              <w:rPr>
                <w:rFonts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028" w:type="dxa"/>
            <w:vAlign w:val="bottom"/>
          </w:tcPr>
          <w:p>
            <w:pPr>
              <w:pStyle w:val="10"/>
              <w:spacing w:line="360" w:lineRule="auto"/>
              <w:jc w:val="center"/>
              <w:rPr>
                <w:rFonts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2</w:t>
            </w:r>
          </w:p>
        </w:tc>
        <w:tc>
          <w:tcPr>
            <w:tcW w:w="2212" w:type="dxa"/>
            <w:vAlign w:val="center"/>
          </w:tcPr>
          <w:p>
            <w:pPr>
              <w:autoSpaceDE w:val="0"/>
              <w:autoSpaceDN w:val="0"/>
              <w:adjustRightInd w:val="0"/>
              <w:spacing w:line="360" w:lineRule="auto"/>
              <w:jc w:val="center"/>
              <w:rPr>
                <w:rFonts w:ascii="宋体" w:hAnsi="宋体" w:cs="宋体"/>
                <w:color w:val="000000" w:themeColor="text1"/>
                <w:sz w:val="24"/>
                <w14:textFill>
                  <w14:solidFill>
                    <w14:schemeClr w14:val="tx1"/>
                  </w14:solidFill>
                </w14:textFill>
              </w:rPr>
            </w:pPr>
          </w:p>
        </w:tc>
        <w:tc>
          <w:tcPr>
            <w:tcW w:w="720" w:type="dxa"/>
            <w:vAlign w:val="center"/>
          </w:tcPr>
          <w:p>
            <w:pPr>
              <w:pStyle w:val="10"/>
              <w:spacing w:line="360" w:lineRule="auto"/>
              <w:jc w:val="center"/>
              <w:rPr>
                <w:rFonts w:hAnsi="宋体" w:cs="宋体"/>
                <w:color w:val="000000" w:themeColor="text1"/>
                <w:sz w:val="24"/>
                <w14:textFill>
                  <w14:solidFill>
                    <w14:schemeClr w14:val="tx1"/>
                  </w14:solidFill>
                </w14:textFill>
              </w:rPr>
            </w:pPr>
          </w:p>
        </w:tc>
        <w:tc>
          <w:tcPr>
            <w:tcW w:w="1800" w:type="dxa"/>
            <w:vAlign w:val="center"/>
          </w:tcPr>
          <w:p>
            <w:pPr>
              <w:pStyle w:val="10"/>
              <w:spacing w:line="360" w:lineRule="auto"/>
              <w:jc w:val="center"/>
              <w:rPr>
                <w:rFonts w:hAnsi="宋体" w:cs="宋体"/>
                <w:color w:val="000000" w:themeColor="text1"/>
                <w:sz w:val="24"/>
                <w14:textFill>
                  <w14:solidFill>
                    <w14:schemeClr w14:val="tx1"/>
                  </w14:solidFill>
                </w14:textFill>
              </w:rPr>
            </w:pPr>
          </w:p>
        </w:tc>
        <w:tc>
          <w:tcPr>
            <w:tcW w:w="1620" w:type="dxa"/>
            <w:vAlign w:val="center"/>
          </w:tcPr>
          <w:p>
            <w:pPr>
              <w:pStyle w:val="10"/>
              <w:spacing w:line="360" w:lineRule="auto"/>
              <w:jc w:val="center"/>
              <w:rPr>
                <w:rFonts w:hAnsi="宋体" w:cs="宋体"/>
                <w:color w:val="000000" w:themeColor="text1"/>
                <w:sz w:val="24"/>
                <w14:textFill>
                  <w14:solidFill>
                    <w14:schemeClr w14:val="tx1"/>
                  </w14:solidFill>
                </w14:textFill>
              </w:rPr>
            </w:pPr>
          </w:p>
        </w:tc>
        <w:tc>
          <w:tcPr>
            <w:tcW w:w="1620" w:type="dxa"/>
            <w:vAlign w:val="center"/>
          </w:tcPr>
          <w:p>
            <w:pPr>
              <w:pStyle w:val="10"/>
              <w:spacing w:line="360" w:lineRule="auto"/>
              <w:jc w:val="center"/>
              <w:rPr>
                <w:rFonts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028" w:type="dxa"/>
            <w:vAlign w:val="bottom"/>
          </w:tcPr>
          <w:p>
            <w:pPr>
              <w:pStyle w:val="10"/>
              <w:spacing w:line="360" w:lineRule="auto"/>
              <w:jc w:val="center"/>
              <w:rPr>
                <w:rFonts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3</w:t>
            </w:r>
          </w:p>
        </w:tc>
        <w:tc>
          <w:tcPr>
            <w:tcW w:w="2212" w:type="dxa"/>
            <w:vAlign w:val="center"/>
          </w:tcPr>
          <w:p>
            <w:pPr>
              <w:autoSpaceDE w:val="0"/>
              <w:autoSpaceDN w:val="0"/>
              <w:adjustRightInd w:val="0"/>
              <w:spacing w:line="360" w:lineRule="auto"/>
              <w:jc w:val="center"/>
              <w:rPr>
                <w:rFonts w:ascii="宋体" w:hAnsi="宋体" w:cs="宋体"/>
                <w:color w:val="000000" w:themeColor="text1"/>
                <w:sz w:val="24"/>
                <w14:textFill>
                  <w14:solidFill>
                    <w14:schemeClr w14:val="tx1"/>
                  </w14:solidFill>
                </w14:textFill>
              </w:rPr>
            </w:pPr>
          </w:p>
        </w:tc>
        <w:tc>
          <w:tcPr>
            <w:tcW w:w="720" w:type="dxa"/>
            <w:vAlign w:val="center"/>
          </w:tcPr>
          <w:p>
            <w:pPr>
              <w:pStyle w:val="10"/>
              <w:spacing w:line="360" w:lineRule="auto"/>
              <w:jc w:val="center"/>
              <w:rPr>
                <w:rFonts w:hAnsi="宋体" w:cs="宋体"/>
                <w:color w:val="000000" w:themeColor="text1"/>
                <w:sz w:val="24"/>
                <w14:textFill>
                  <w14:solidFill>
                    <w14:schemeClr w14:val="tx1"/>
                  </w14:solidFill>
                </w14:textFill>
              </w:rPr>
            </w:pPr>
          </w:p>
        </w:tc>
        <w:tc>
          <w:tcPr>
            <w:tcW w:w="1800" w:type="dxa"/>
            <w:vAlign w:val="center"/>
          </w:tcPr>
          <w:p>
            <w:pPr>
              <w:pStyle w:val="10"/>
              <w:spacing w:line="360" w:lineRule="auto"/>
              <w:jc w:val="center"/>
              <w:rPr>
                <w:rFonts w:hAnsi="宋体" w:cs="宋体"/>
                <w:color w:val="000000" w:themeColor="text1"/>
                <w:sz w:val="24"/>
                <w14:textFill>
                  <w14:solidFill>
                    <w14:schemeClr w14:val="tx1"/>
                  </w14:solidFill>
                </w14:textFill>
              </w:rPr>
            </w:pPr>
          </w:p>
        </w:tc>
        <w:tc>
          <w:tcPr>
            <w:tcW w:w="1620" w:type="dxa"/>
            <w:vAlign w:val="center"/>
          </w:tcPr>
          <w:p>
            <w:pPr>
              <w:pStyle w:val="10"/>
              <w:spacing w:line="360" w:lineRule="auto"/>
              <w:jc w:val="center"/>
              <w:rPr>
                <w:rFonts w:hAnsi="宋体" w:cs="宋体"/>
                <w:color w:val="000000" w:themeColor="text1"/>
                <w:sz w:val="24"/>
                <w14:textFill>
                  <w14:solidFill>
                    <w14:schemeClr w14:val="tx1"/>
                  </w14:solidFill>
                </w14:textFill>
              </w:rPr>
            </w:pPr>
          </w:p>
        </w:tc>
        <w:tc>
          <w:tcPr>
            <w:tcW w:w="1620" w:type="dxa"/>
            <w:vAlign w:val="center"/>
          </w:tcPr>
          <w:p>
            <w:pPr>
              <w:pStyle w:val="10"/>
              <w:spacing w:line="360" w:lineRule="auto"/>
              <w:jc w:val="center"/>
              <w:rPr>
                <w:rFonts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028" w:type="dxa"/>
            <w:vAlign w:val="bottom"/>
          </w:tcPr>
          <w:p>
            <w:pPr>
              <w:pStyle w:val="10"/>
              <w:spacing w:line="360" w:lineRule="auto"/>
              <w:jc w:val="center"/>
              <w:rPr>
                <w:rFonts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4</w:t>
            </w:r>
          </w:p>
        </w:tc>
        <w:tc>
          <w:tcPr>
            <w:tcW w:w="2212" w:type="dxa"/>
            <w:vAlign w:val="center"/>
          </w:tcPr>
          <w:p>
            <w:pPr>
              <w:autoSpaceDE w:val="0"/>
              <w:autoSpaceDN w:val="0"/>
              <w:adjustRightInd w:val="0"/>
              <w:spacing w:line="360" w:lineRule="auto"/>
              <w:jc w:val="center"/>
              <w:rPr>
                <w:rFonts w:ascii="宋体" w:hAnsi="宋体" w:cs="宋体"/>
                <w:color w:val="000000" w:themeColor="text1"/>
                <w:sz w:val="24"/>
                <w14:textFill>
                  <w14:solidFill>
                    <w14:schemeClr w14:val="tx1"/>
                  </w14:solidFill>
                </w14:textFill>
              </w:rPr>
            </w:pPr>
          </w:p>
        </w:tc>
        <w:tc>
          <w:tcPr>
            <w:tcW w:w="720" w:type="dxa"/>
            <w:vAlign w:val="center"/>
          </w:tcPr>
          <w:p>
            <w:pPr>
              <w:pStyle w:val="10"/>
              <w:spacing w:line="360" w:lineRule="auto"/>
              <w:jc w:val="center"/>
              <w:rPr>
                <w:rFonts w:hAnsi="宋体" w:cs="宋体"/>
                <w:color w:val="000000" w:themeColor="text1"/>
                <w:sz w:val="24"/>
                <w14:textFill>
                  <w14:solidFill>
                    <w14:schemeClr w14:val="tx1"/>
                  </w14:solidFill>
                </w14:textFill>
              </w:rPr>
            </w:pPr>
          </w:p>
        </w:tc>
        <w:tc>
          <w:tcPr>
            <w:tcW w:w="1800" w:type="dxa"/>
            <w:vAlign w:val="center"/>
          </w:tcPr>
          <w:p>
            <w:pPr>
              <w:pStyle w:val="10"/>
              <w:spacing w:line="360" w:lineRule="auto"/>
              <w:jc w:val="center"/>
              <w:rPr>
                <w:rFonts w:hAnsi="宋体" w:cs="宋体"/>
                <w:color w:val="000000" w:themeColor="text1"/>
                <w:sz w:val="24"/>
                <w14:textFill>
                  <w14:solidFill>
                    <w14:schemeClr w14:val="tx1"/>
                  </w14:solidFill>
                </w14:textFill>
              </w:rPr>
            </w:pPr>
          </w:p>
        </w:tc>
        <w:tc>
          <w:tcPr>
            <w:tcW w:w="1620" w:type="dxa"/>
            <w:vAlign w:val="center"/>
          </w:tcPr>
          <w:p>
            <w:pPr>
              <w:pStyle w:val="10"/>
              <w:spacing w:line="360" w:lineRule="auto"/>
              <w:jc w:val="center"/>
              <w:rPr>
                <w:rFonts w:hAnsi="宋体" w:cs="宋体"/>
                <w:color w:val="000000" w:themeColor="text1"/>
                <w:sz w:val="24"/>
                <w14:textFill>
                  <w14:solidFill>
                    <w14:schemeClr w14:val="tx1"/>
                  </w14:solidFill>
                </w14:textFill>
              </w:rPr>
            </w:pPr>
          </w:p>
        </w:tc>
        <w:tc>
          <w:tcPr>
            <w:tcW w:w="1620" w:type="dxa"/>
            <w:vAlign w:val="center"/>
          </w:tcPr>
          <w:p>
            <w:pPr>
              <w:pStyle w:val="10"/>
              <w:spacing w:line="360" w:lineRule="auto"/>
              <w:jc w:val="center"/>
              <w:rPr>
                <w:rFonts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028" w:type="dxa"/>
            <w:vAlign w:val="bottom"/>
          </w:tcPr>
          <w:p>
            <w:pPr>
              <w:pStyle w:val="10"/>
              <w:spacing w:line="360" w:lineRule="auto"/>
              <w:jc w:val="center"/>
              <w:rPr>
                <w:rFonts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5</w:t>
            </w:r>
          </w:p>
        </w:tc>
        <w:tc>
          <w:tcPr>
            <w:tcW w:w="2212" w:type="dxa"/>
            <w:vAlign w:val="center"/>
          </w:tcPr>
          <w:p>
            <w:pPr>
              <w:autoSpaceDE w:val="0"/>
              <w:autoSpaceDN w:val="0"/>
              <w:adjustRightInd w:val="0"/>
              <w:spacing w:line="360" w:lineRule="auto"/>
              <w:jc w:val="center"/>
              <w:rPr>
                <w:rFonts w:ascii="宋体" w:hAnsi="宋体" w:cs="宋体"/>
                <w:color w:val="000000" w:themeColor="text1"/>
                <w:sz w:val="24"/>
                <w14:textFill>
                  <w14:solidFill>
                    <w14:schemeClr w14:val="tx1"/>
                  </w14:solidFill>
                </w14:textFill>
              </w:rPr>
            </w:pPr>
          </w:p>
        </w:tc>
        <w:tc>
          <w:tcPr>
            <w:tcW w:w="720" w:type="dxa"/>
            <w:vAlign w:val="center"/>
          </w:tcPr>
          <w:p>
            <w:pPr>
              <w:pStyle w:val="10"/>
              <w:spacing w:line="360" w:lineRule="auto"/>
              <w:jc w:val="center"/>
              <w:rPr>
                <w:rFonts w:hAnsi="宋体" w:cs="宋体"/>
                <w:color w:val="000000" w:themeColor="text1"/>
                <w:sz w:val="24"/>
                <w14:textFill>
                  <w14:solidFill>
                    <w14:schemeClr w14:val="tx1"/>
                  </w14:solidFill>
                </w14:textFill>
              </w:rPr>
            </w:pPr>
          </w:p>
        </w:tc>
        <w:tc>
          <w:tcPr>
            <w:tcW w:w="1800" w:type="dxa"/>
            <w:vAlign w:val="center"/>
          </w:tcPr>
          <w:p>
            <w:pPr>
              <w:pStyle w:val="10"/>
              <w:spacing w:line="360" w:lineRule="auto"/>
              <w:jc w:val="center"/>
              <w:rPr>
                <w:rFonts w:hAnsi="宋体" w:cs="宋体"/>
                <w:color w:val="000000" w:themeColor="text1"/>
                <w:sz w:val="24"/>
                <w14:textFill>
                  <w14:solidFill>
                    <w14:schemeClr w14:val="tx1"/>
                  </w14:solidFill>
                </w14:textFill>
              </w:rPr>
            </w:pPr>
          </w:p>
        </w:tc>
        <w:tc>
          <w:tcPr>
            <w:tcW w:w="1620" w:type="dxa"/>
            <w:vAlign w:val="center"/>
          </w:tcPr>
          <w:p>
            <w:pPr>
              <w:pStyle w:val="10"/>
              <w:spacing w:line="360" w:lineRule="auto"/>
              <w:jc w:val="center"/>
              <w:rPr>
                <w:rFonts w:hAnsi="宋体" w:cs="宋体"/>
                <w:color w:val="000000" w:themeColor="text1"/>
                <w:sz w:val="24"/>
                <w14:textFill>
                  <w14:solidFill>
                    <w14:schemeClr w14:val="tx1"/>
                  </w14:solidFill>
                </w14:textFill>
              </w:rPr>
            </w:pPr>
          </w:p>
        </w:tc>
        <w:tc>
          <w:tcPr>
            <w:tcW w:w="1620" w:type="dxa"/>
            <w:vAlign w:val="center"/>
          </w:tcPr>
          <w:p>
            <w:pPr>
              <w:pStyle w:val="10"/>
              <w:spacing w:line="360" w:lineRule="auto"/>
              <w:jc w:val="center"/>
              <w:rPr>
                <w:rFonts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028" w:type="dxa"/>
            <w:vAlign w:val="bottom"/>
          </w:tcPr>
          <w:p>
            <w:pPr>
              <w:pStyle w:val="10"/>
              <w:spacing w:line="360" w:lineRule="auto"/>
              <w:jc w:val="center"/>
              <w:rPr>
                <w:rFonts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6</w:t>
            </w:r>
          </w:p>
        </w:tc>
        <w:tc>
          <w:tcPr>
            <w:tcW w:w="2212" w:type="dxa"/>
            <w:vAlign w:val="center"/>
          </w:tcPr>
          <w:p>
            <w:pPr>
              <w:autoSpaceDE w:val="0"/>
              <w:autoSpaceDN w:val="0"/>
              <w:adjustRightInd w:val="0"/>
              <w:spacing w:line="360" w:lineRule="auto"/>
              <w:jc w:val="center"/>
              <w:rPr>
                <w:rFonts w:ascii="宋体" w:hAnsi="宋体" w:cs="宋体"/>
                <w:color w:val="000000" w:themeColor="text1"/>
                <w:sz w:val="24"/>
                <w14:textFill>
                  <w14:solidFill>
                    <w14:schemeClr w14:val="tx1"/>
                  </w14:solidFill>
                </w14:textFill>
              </w:rPr>
            </w:pPr>
          </w:p>
        </w:tc>
        <w:tc>
          <w:tcPr>
            <w:tcW w:w="720" w:type="dxa"/>
            <w:vAlign w:val="center"/>
          </w:tcPr>
          <w:p>
            <w:pPr>
              <w:pStyle w:val="10"/>
              <w:spacing w:line="360" w:lineRule="auto"/>
              <w:jc w:val="center"/>
              <w:rPr>
                <w:rFonts w:hAnsi="宋体" w:cs="宋体"/>
                <w:color w:val="000000" w:themeColor="text1"/>
                <w:sz w:val="24"/>
                <w14:textFill>
                  <w14:solidFill>
                    <w14:schemeClr w14:val="tx1"/>
                  </w14:solidFill>
                </w14:textFill>
              </w:rPr>
            </w:pPr>
          </w:p>
        </w:tc>
        <w:tc>
          <w:tcPr>
            <w:tcW w:w="1800" w:type="dxa"/>
            <w:vAlign w:val="center"/>
          </w:tcPr>
          <w:p>
            <w:pPr>
              <w:pStyle w:val="10"/>
              <w:spacing w:line="360" w:lineRule="auto"/>
              <w:jc w:val="center"/>
              <w:rPr>
                <w:rFonts w:hAnsi="宋体" w:cs="宋体"/>
                <w:color w:val="000000" w:themeColor="text1"/>
                <w:sz w:val="24"/>
                <w14:textFill>
                  <w14:solidFill>
                    <w14:schemeClr w14:val="tx1"/>
                  </w14:solidFill>
                </w14:textFill>
              </w:rPr>
            </w:pPr>
          </w:p>
        </w:tc>
        <w:tc>
          <w:tcPr>
            <w:tcW w:w="1620" w:type="dxa"/>
            <w:vAlign w:val="center"/>
          </w:tcPr>
          <w:p>
            <w:pPr>
              <w:pStyle w:val="10"/>
              <w:spacing w:line="360" w:lineRule="auto"/>
              <w:jc w:val="center"/>
              <w:rPr>
                <w:rFonts w:hAnsi="宋体" w:cs="宋体"/>
                <w:color w:val="000000" w:themeColor="text1"/>
                <w:sz w:val="24"/>
                <w14:textFill>
                  <w14:solidFill>
                    <w14:schemeClr w14:val="tx1"/>
                  </w14:solidFill>
                </w14:textFill>
              </w:rPr>
            </w:pPr>
          </w:p>
        </w:tc>
        <w:tc>
          <w:tcPr>
            <w:tcW w:w="1620" w:type="dxa"/>
            <w:vAlign w:val="center"/>
          </w:tcPr>
          <w:p>
            <w:pPr>
              <w:pStyle w:val="10"/>
              <w:spacing w:line="360" w:lineRule="auto"/>
              <w:jc w:val="center"/>
              <w:rPr>
                <w:rFonts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028" w:type="dxa"/>
            <w:vAlign w:val="bottom"/>
          </w:tcPr>
          <w:p>
            <w:pPr>
              <w:pStyle w:val="10"/>
              <w:spacing w:line="360" w:lineRule="auto"/>
              <w:jc w:val="center"/>
              <w:rPr>
                <w:rFonts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7</w:t>
            </w:r>
          </w:p>
        </w:tc>
        <w:tc>
          <w:tcPr>
            <w:tcW w:w="2212" w:type="dxa"/>
            <w:vAlign w:val="center"/>
          </w:tcPr>
          <w:p>
            <w:pPr>
              <w:autoSpaceDE w:val="0"/>
              <w:autoSpaceDN w:val="0"/>
              <w:adjustRightInd w:val="0"/>
              <w:spacing w:line="360" w:lineRule="auto"/>
              <w:jc w:val="center"/>
              <w:rPr>
                <w:rFonts w:ascii="宋体" w:hAnsi="宋体" w:cs="宋体"/>
                <w:color w:val="000000" w:themeColor="text1"/>
                <w:sz w:val="24"/>
                <w14:textFill>
                  <w14:solidFill>
                    <w14:schemeClr w14:val="tx1"/>
                  </w14:solidFill>
                </w14:textFill>
              </w:rPr>
            </w:pPr>
          </w:p>
        </w:tc>
        <w:tc>
          <w:tcPr>
            <w:tcW w:w="720" w:type="dxa"/>
            <w:vAlign w:val="center"/>
          </w:tcPr>
          <w:p>
            <w:pPr>
              <w:pStyle w:val="10"/>
              <w:spacing w:line="360" w:lineRule="auto"/>
              <w:jc w:val="center"/>
              <w:rPr>
                <w:rFonts w:hAnsi="宋体" w:cs="宋体"/>
                <w:color w:val="000000" w:themeColor="text1"/>
                <w:sz w:val="24"/>
                <w14:textFill>
                  <w14:solidFill>
                    <w14:schemeClr w14:val="tx1"/>
                  </w14:solidFill>
                </w14:textFill>
              </w:rPr>
            </w:pPr>
          </w:p>
        </w:tc>
        <w:tc>
          <w:tcPr>
            <w:tcW w:w="1800" w:type="dxa"/>
            <w:vAlign w:val="center"/>
          </w:tcPr>
          <w:p>
            <w:pPr>
              <w:pStyle w:val="10"/>
              <w:spacing w:line="360" w:lineRule="auto"/>
              <w:jc w:val="center"/>
              <w:rPr>
                <w:rFonts w:hAnsi="宋体" w:cs="宋体"/>
                <w:color w:val="000000" w:themeColor="text1"/>
                <w:sz w:val="24"/>
                <w14:textFill>
                  <w14:solidFill>
                    <w14:schemeClr w14:val="tx1"/>
                  </w14:solidFill>
                </w14:textFill>
              </w:rPr>
            </w:pPr>
          </w:p>
        </w:tc>
        <w:tc>
          <w:tcPr>
            <w:tcW w:w="1620" w:type="dxa"/>
            <w:vAlign w:val="center"/>
          </w:tcPr>
          <w:p>
            <w:pPr>
              <w:pStyle w:val="10"/>
              <w:spacing w:line="360" w:lineRule="auto"/>
              <w:jc w:val="center"/>
              <w:rPr>
                <w:rFonts w:hAnsi="宋体" w:cs="宋体"/>
                <w:color w:val="000000" w:themeColor="text1"/>
                <w:sz w:val="24"/>
                <w14:textFill>
                  <w14:solidFill>
                    <w14:schemeClr w14:val="tx1"/>
                  </w14:solidFill>
                </w14:textFill>
              </w:rPr>
            </w:pPr>
          </w:p>
        </w:tc>
        <w:tc>
          <w:tcPr>
            <w:tcW w:w="1620" w:type="dxa"/>
            <w:vAlign w:val="center"/>
          </w:tcPr>
          <w:p>
            <w:pPr>
              <w:pStyle w:val="10"/>
              <w:spacing w:line="360" w:lineRule="auto"/>
              <w:jc w:val="center"/>
              <w:rPr>
                <w:rFonts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028" w:type="dxa"/>
            <w:vAlign w:val="bottom"/>
          </w:tcPr>
          <w:p>
            <w:pPr>
              <w:pStyle w:val="10"/>
              <w:spacing w:line="360" w:lineRule="auto"/>
              <w:jc w:val="center"/>
              <w:rPr>
                <w:rFonts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8</w:t>
            </w:r>
          </w:p>
        </w:tc>
        <w:tc>
          <w:tcPr>
            <w:tcW w:w="2212" w:type="dxa"/>
            <w:vAlign w:val="center"/>
          </w:tcPr>
          <w:p>
            <w:pPr>
              <w:autoSpaceDE w:val="0"/>
              <w:autoSpaceDN w:val="0"/>
              <w:adjustRightInd w:val="0"/>
              <w:spacing w:line="360" w:lineRule="auto"/>
              <w:jc w:val="center"/>
              <w:rPr>
                <w:rFonts w:ascii="宋体" w:hAnsi="宋体" w:cs="宋体"/>
                <w:color w:val="000000" w:themeColor="text1"/>
                <w:sz w:val="24"/>
                <w14:textFill>
                  <w14:solidFill>
                    <w14:schemeClr w14:val="tx1"/>
                  </w14:solidFill>
                </w14:textFill>
              </w:rPr>
            </w:pPr>
          </w:p>
        </w:tc>
        <w:tc>
          <w:tcPr>
            <w:tcW w:w="720" w:type="dxa"/>
            <w:vAlign w:val="center"/>
          </w:tcPr>
          <w:p>
            <w:pPr>
              <w:pStyle w:val="10"/>
              <w:spacing w:line="360" w:lineRule="auto"/>
              <w:jc w:val="center"/>
              <w:rPr>
                <w:rFonts w:hAnsi="宋体" w:cs="宋体"/>
                <w:color w:val="000000" w:themeColor="text1"/>
                <w:sz w:val="24"/>
                <w14:textFill>
                  <w14:solidFill>
                    <w14:schemeClr w14:val="tx1"/>
                  </w14:solidFill>
                </w14:textFill>
              </w:rPr>
            </w:pPr>
          </w:p>
        </w:tc>
        <w:tc>
          <w:tcPr>
            <w:tcW w:w="1800" w:type="dxa"/>
            <w:vAlign w:val="center"/>
          </w:tcPr>
          <w:p>
            <w:pPr>
              <w:pStyle w:val="10"/>
              <w:spacing w:line="360" w:lineRule="auto"/>
              <w:jc w:val="center"/>
              <w:rPr>
                <w:rFonts w:hAnsi="宋体" w:cs="宋体"/>
                <w:color w:val="000000" w:themeColor="text1"/>
                <w:sz w:val="24"/>
                <w14:textFill>
                  <w14:solidFill>
                    <w14:schemeClr w14:val="tx1"/>
                  </w14:solidFill>
                </w14:textFill>
              </w:rPr>
            </w:pPr>
          </w:p>
        </w:tc>
        <w:tc>
          <w:tcPr>
            <w:tcW w:w="1620" w:type="dxa"/>
            <w:vAlign w:val="center"/>
          </w:tcPr>
          <w:p>
            <w:pPr>
              <w:pStyle w:val="10"/>
              <w:spacing w:line="360" w:lineRule="auto"/>
              <w:jc w:val="center"/>
              <w:rPr>
                <w:rFonts w:hAnsi="宋体" w:cs="宋体"/>
                <w:color w:val="000000" w:themeColor="text1"/>
                <w:sz w:val="24"/>
                <w14:textFill>
                  <w14:solidFill>
                    <w14:schemeClr w14:val="tx1"/>
                  </w14:solidFill>
                </w14:textFill>
              </w:rPr>
            </w:pPr>
          </w:p>
        </w:tc>
        <w:tc>
          <w:tcPr>
            <w:tcW w:w="1620" w:type="dxa"/>
            <w:vAlign w:val="center"/>
          </w:tcPr>
          <w:p>
            <w:pPr>
              <w:pStyle w:val="10"/>
              <w:spacing w:line="360" w:lineRule="auto"/>
              <w:jc w:val="center"/>
              <w:rPr>
                <w:rFonts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028" w:type="dxa"/>
            <w:vAlign w:val="bottom"/>
          </w:tcPr>
          <w:p>
            <w:pPr>
              <w:pStyle w:val="10"/>
              <w:spacing w:line="360" w:lineRule="auto"/>
              <w:jc w:val="center"/>
              <w:rPr>
                <w:rFonts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9</w:t>
            </w:r>
          </w:p>
        </w:tc>
        <w:tc>
          <w:tcPr>
            <w:tcW w:w="2212" w:type="dxa"/>
            <w:vAlign w:val="center"/>
          </w:tcPr>
          <w:p>
            <w:pPr>
              <w:autoSpaceDE w:val="0"/>
              <w:autoSpaceDN w:val="0"/>
              <w:adjustRightInd w:val="0"/>
              <w:spacing w:line="360" w:lineRule="auto"/>
              <w:jc w:val="center"/>
              <w:rPr>
                <w:rFonts w:ascii="宋体" w:hAnsi="宋体" w:cs="宋体"/>
                <w:color w:val="000000" w:themeColor="text1"/>
                <w:sz w:val="24"/>
                <w14:textFill>
                  <w14:solidFill>
                    <w14:schemeClr w14:val="tx1"/>
                  </w14:solidFill>
                </w14:textFill>
              </w:rPr>
            </w:pPr>
          </w:p>
        </w:tc>
        <w:tc>
          <w:tcPr>
            <w:tcW w:w="720" w:type="dxa"/>
            <w:vAlign w:val="center"/>
          </w:tcPr>
          <w:p>
            <w:pPr>
              <w:pStyle w:val="10"/>
              <w:spacing w:line="360" w:lineRule="auto"/>
              <w:jc w:val="center"/>
              <w:rPr>
                <w:rFonts w:hAnsi="宋体" w:cs="宋体"/>
                <w:color w:val="000000" w:themeColor="text1"/>
                <w:sz w:val="24"/>
                <w14:textFill>
                  <w14:solidFill>
                    <w14:schemeClr w14:val="tx1"/>
                  </w14:solidFill>
                </w14:textFill>
              </w:rPr>
            </w:pPr>
          </w:p>
        </w:tc>
        <w:tc>
          <w:tcPr>
            <w:tcW w:w="1800" w:type="dxa"/>
            <w:vAlign w:val="center"/>
          </w:tcPr>
          <w:p>
            <w:pPr>
              <w:pStyle w:val="10"/>
              <w:spacing w:line="360" w:lineRule="auto"/>
              <w:jc w:val="center"/>
              <w:rPr>
                <w:rFonts w:hAnsi="宋体" w:cs="宋体"/>
                <w:color w:val="000000" w:themeColor="text1"/>
                <w:sz w:val="24"/>
                <w14:textFill>
                  <w14:solidFill>
                    <w14:schemeClr w14:val="tx1"/>
                  </w14:solidFill>
                </w14:textFill>
              </w:rPr>
            </w:pPr>
          </w:p>
        </w:tc>
        <w:tc>
          <w:tcPr>
            <w:tcW w:w="1620" w:type="dxa"/>
            <w:vAlign w:val="center"/>
          </w:tcPr>
          <w:p>
            <w:pPr>
              <w:pStyle w:val="10"/>
              <w:spacing w:line="360" w:lineRule="auto"/>
              <w:jc w:val="center"/>
              <w:rPr>
                <w:rFonts w:hAnsi="宋体" w:cs="宋体"/>
                <w:color w:val="000000" w:themeColor="text1"/>
                <w:sz w:val="24"/>
                <w14:textFill>
                  <w14:solidFill>
                    <w14:schemeClr w14:val="tx1"/>
                  </w14:solidFill>
                </w14:textFill>
              </w:rPr>
            </w:pPr>
          </w:p>
        </w:tc>
        <w:tc>
          <w:tcPr>
            <w:tcW w:w="1620" w:type="dxa"/>
            <w:vAlign w:val="center"/>
          </w:tcPr>
          <w:p>
            <w:pPr>
              <w:pStyle w:val="10"/>
              <w:spacing w:line="360" w:lineRule="auto"/>
              <w:jc w:val="center"/>
              <w:rPr>
                <w:rFonts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028" w:type="dxa"/>
            <w:vAlign w:val="bottom"/>
          </w:tcPr>
          <w:p>
            <w:pPr>
              <w:pStyle w:val="10"/>
              <w:spacing w:line="360" w:lineRule="auto"/>
              <w:jc w:val="center"/>
              <w:rPr>
                <w:rFonts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w:t>
            </w:r>
          </w:p>
        </w:tc>
        <w:tc>
          <w:tcPr>
            <w:tcW w:w="2212" w:type="dxa"/>
            <w:vAlign w:val="center"/>
          </w:tcPr>
          <w:p>
            <w:pPr>
              <w:pStyle w:val="10"/>
              <w:spacing w:line="360" w:lineRule="auto"/>
              <w:jc w:val="center"/>
              <w:rPr>
                <w:rFonts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w:t>
            </w:r>
          </w:p>
        </w:tc>
        <w:tc>
          <w:tcPr>
            <w:tcW w:w="720" w:type="dxa"/>
            <w:vAlign w:val="center"/>
          </w:tcPr>
          <w:p>
            <w:pPr>
              <w:pStyle w:val="10"/>
              <w:spacing w:line="360" w:lineRule="auto"/>
              <w:jc w:val="center"/>
              <w:rPr>
                <w:rFonts w:hAnsi="宋体" w:cs="宋体"/>
                <w:color w:val="000000" w:themeColor="text1"/>
                <w:sz w:val="24"/>
                <w14:textFill>
                  <w14:solidFill>
                    <w14:schemeClr w14:val="tx1"/>
                  </w14:solidFill>
                </w14:textFill>
              </w:rPr>
            </w:pPr>
          </w:p>
        </w:tc>
        <w:tc>
          <w:tcPr>
            <w:tcW w:w="1800" w:type="dxa"/>
            <w:vAlign w:val="center"/>
          </w:tcPr>
          <w:p>
            <w:pPr>
              <w:pStyle w:val="10"/>
              <w:spacing w:line="360" w:lineRule="auto"/>
              <w:jc w:val="center"/>
              <w:rPr>
                <w:rFonts w:hAnsi="宋体" w:cs="宋体"/>
                <w:color w:val="000000" w:themeColor="text1"/>
                <w:sz w:val="24"/>
                <w14:textFill>
                  <w14:solidFill>
                    <w14:schemeClr w14:val="tx1"/>
                  </w14:solidFill>
                </w14:textFill>
              </w:rPr>
            </w:pPr>
          </w:p>
        </w:tc>
        <w:tc>
          <w:tcPr>
            <w:tcW w:w="1620" w:type="dxa"/>
            <w:vAlign w:val="center"/>
          </w:tcPr>
          <w:p>
            <w:pPr>
              <w:pStyle w:val="10"/>
              <w:spacing w:line="360" w:lineRule="auto"/>
              <w:jc w:val="center"/>
              <w:rPr>
                <w:rFonts w:hAnsi="宋体" w:cs="宋体"/>
                <w:color w:val="000000" w:themeColor="text1"/>
                <w:sz w:val="24"/>
                <w14:textFill>
                  <w14:solidFill>
                    <w14:schemeClr w14:val="tx1"/>
                  </w14:solidFill>
                </w14:textFill>
              </w:rPr>
            </w:pPr>
          </w:p>
        </w:tc>
        <w:tc>
          <w:tcPr>
            <w:tcW w:w="1620" w:type="dxa"/>
            <w:vAlign w:val="center"/>
          </w:tcPr>
          <w:p>
            <w:pPr>
              <w:pStyle w:val="10"/>
              <w:spacing w:line="360" w:lineRule="auto"/>
              <w:jc w:val="center"/>
              <w:rPr>
                <w:rFonts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jc w:val="center"/>
        </w:trPr>
        <w:tc>
          <w:tcPr>
            <w:tcW w:w="9000" w:type="dxa"/>
            <w:gridSpan w:val="6"/>
          </w:tcPr>
          <w:p>
            <w:pPr>
              <w:pStyle w:val="10"/>
              <w:spacing w:line="360" w:lineRule="auto"/>
              <w:rPr>
                <w:rFonts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报价合计</w:t>
            </w:r>
          </w:p>
        </w:tc>
      </w:tr>
    </w:tbl>
    <w:p>
      <w:pPr>
        <w:spacing w:line="360" w:lineRule="auto"/>
        <w:rPr>
          <w:rFonts w:ascii="宋体" w:hAnsi="宋体" w:cs="宋体"/>
          <w:color w:val="000000" w:themeColor="text1"/>
          <w:sz w:val="24"/>
          <w14:textFill>
            <w14:solidFill>
              <w14:schemeClr w14:val="tx1"/>
            </w14:solidFill>
          </w14:textFill>
        </w:rPr>
      </w:pP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投标供应商授权代表： ________________________</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职              务：</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 xml:space="preserve">        </w:t>
      </w:r>
    </w:p>
    <w:p>
      <w:pPr>
        <w:spacing w:line="360" w:lineRule="auto"/>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日              期：</w:t>
      </w:r>
      <w:r>
        <w:rPr>
          <w:rFonts w:hint="eastAsia" w:ascii="宋体" w:hAnsi="宋体" w:cs="宋体"/>
          <w:color w:val="000000" w:themeColor="text1"/>
          <w:sz w:val="24"/>
          <w:u w:val="single"/>
          <w14:textFill>
            <w14:solidFill>
              <w14:schemeClr w14:val="tx1"/>
            </w14:solidFill>
          </w14:textFill>
        </w:rPr>
        <w:t xml:space="preserve">                   </w:t>
      </w:r>
    </w:p>
    <w:p>
      <w:pPr>
        <w:spacing w:line="360" w:lineRule="auto"/>
        <w:outlineLvl w:val="2"/>
        <w:rPr>
          <w:rFonts w:ascii="宋体" w:hAnsi="宋体" w:cs="宋体"/>
          <w:b/>
          <w:bCs/>
          <w:color w:val="000000" w:themeColor="text1"/>
          <w:sz w:val="24"/>
          <w:u w:val="wave"/>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br w:type="page"/>
      </w:r>
      <w:r>
        <w:rPr>
          <w:rFonts w:hint="eastAsia" w:ascii="宋体" w:hAnsi="宋体" w:cs="宋体"/>
          <w:b/>
          <w:bCs/>
          <w:color w:val="000000" w:themeColor="text1"/>
          <w:sz w:val="24"/>
          <w14:textFill>
            <w14:solidFill>
              <w14:schemeClr w14:val="tx1"/>
            </w14:solidFill>
          </w14:textFill>
        </w:rPr>
        <w:t>（二）商务部分</w:t>
      </w:r>
    </w:p>
    <w:p>
      <w:pPr>
        <w:numPr>
          <w:ilvl w:val="0"/>
          <w:numId w:val="10"/>
        </w:numPr>
        <w:tabs>
          <w:tab w:val="left" w:pos="640"/>
          <w:tab w:val="left" w:pos="1260"/>
          <w:tab w:val="left" w:pos="1418"/>
        </w:tabs>
        <w:spacing w:line="360" w:lineRule="auto"/>
        <w:ind w:left="845" w:hanging="845"/>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投标响应书；</w:t>
      </w:r>
    </w:p>
    <w:p>
      <w:pPr>
        <w:spacing w:line="360" w:lineRule="auto"/>
        <w:jc w:val="center"/>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投标响应书</w:t>
      </w:r>
    </w:p>
    <w:p>
      <w:pPr>
        <w:spacing w:line="360" w:lineRule="auto"/>
        <w:rPr>
          <w:rFonts w:ascii="宋体" w:hAnsi="宋体" w:cs="宋体"/>
          <w:color w:val="000000" w:themeColor="text1"/>
          <w:sz w:val="24"/>
          <w14:textFill>
            <w14:solidFill>
              <w14:schemeClr w14:val="tx1"/>
            </w14:solidFill>
          </w14:textFill>
        </w:rPr>
      </w:pPr>
    </w:p>
    <w:p>
      <w:pPr>
        <w:spacing w:line="360" w:lineRule="auto"/>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致：</w:t>
      </w:r>
      <w:r>
        <w:rPr>
          <w:rFonts w:hint="eastAsia" w:ascii="宋体" w:hAnsi="宋体" w:cs="宋体"/>
          <w:color w:val="000000" w:themeColor="text1"/>
          <w:sz w:val="24"/>
          <w:u w:val="single"/>
          <w14:textFill>
            <w14:solidFill>
              <w14:schemeClr w14:val="tx1"/>
            </w14:solidFill>
          </w14:textFill>
        </w:rPr>
        <w:t xml:space="preserve">                    </w:t>
      </w:r>
    </w:p>
    <w:p>
      <w:pPr>
        <w:spacing w:line="360" w:lineRule="auto"/>
        <w:ind w:firstLine="494" w:firstLineChars="206"/>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根据贵方为</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项目采购的邀请</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（招标文件编号         ），签字代表</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（全名、职务）经正式授权并代表供应商</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（供应商方名称、地址）提交</w:t>
      </w:r>
      <w:r>
        <w:rPr>
          <w:rFonts w:hint="eastAsia" w:ascii="宋体" w:hAnsi="宋体" w:cs="宋体"/>
          <w:b/>
          <w:color w:val="000000" w:themeColor="text1"/>
          <w:sz w:val="24"/>
          <w14:textFill>
            <w14:solidFill>
              <w14:schemeClr w14:val="tx1"/>
            </w14:solidFill>
          </w14:textFill>
        </w:rPr>
        <w:t>一份正本四份副本以及1份电子文档的</w:t>
      </w:r>
      <w:r>
        <w:rPr>
          <w:rFonts w:hint="eastAsia" w:ascii="宋体" w:hAnsi="宋体" w:cs="宋体"/>
          <w:color w:val="000000" w:themeColor="text1"/>
          <w:sz w:val="24"/>
          <w14:textFill>
            <w14:solidFill>
              <w14:schemeClr w14:val="tx1"/>
            </w14:solidFill>
          </w14:textFill>
        </w:rPr>
        <w:t>投标文件。</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据此函，签字代表宣布同意如下：</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1、供应商方将按招标文件的规定履行合同责任和义务。</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2、供应商方已详细审查全部投标文件，包括修改文件（如有的话）以及全部参考资料和有关附件。我们完全理解并同意放弃对这方面有不明及误解的权利。</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3、与本投标项目有关的一切正式往来通讯请寄：</w:t>
      </w:r>
    </w:p>
    <w:p>
      <w:pPr>
        <w:spacing w:line="360" w:lineRule="auto"/>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地址：</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 xml:space="preserve">     邮编：</w:t>
      </w:r>
      <w:r>
        <w:rPr>
          <w:rFonts w:hint="eastAsia" w:ascii="宋体" w:hAnsi="宋体" w:cs="宋体"/>
          <w:color w:val="000000" w:themeColor="text1"/>
          <w:sz w:val="24"/>
          <w:u w:val="single"/>
          <w14:textFill>
            <w14:solidFill>
              <w14:schemeClr w14:val="tx1"/>
            </w14:solidFill>
          </w14:textFill>
        </w:rPr>
        <w:t xml:space="preserve">                      </w:t>
      </w:r>
    </w:p>
    <w:p>
      <w:pPr>
        <w:spacing w:line="360" w:lineRule="auto"/>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电话：</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 xml:space="preserve">     传真：</w:t>
      </w:r>
      <w:r>
        <w:rPr>
          <w:rFonts w:hint="eastAsia" w:ascii="宋体" w:hAnsi="宋体" w:cs="宋体"/>
          <w:color w:val="000000" w:themeColor="text1"/>
          <w:sz w:val="24"/>
          <w:u w:val="single"/>
          <w14:textFill>
            <w14:solidFill>
              <w14:schemeClr w14:val="tx1"/>
            </w14:solidFill>
          </w14:textFill>
        </w:rPr>
        <w:t xml:space="preserve">                      </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邮箱：</w:t>
      </w:r>
      <w:r>
        <w:rPr>
          <w:rFonts w:hint="eastAsia" w:ascii="宋体" w:hAnsi="宋体" w:cs="宋体"/>
          <w:color w:val="000000" w:themeColor="text1"/>
          <w:sz w:val="24"/>
          <w:u w:val="single"/>
          <w14:textFill>
            <w14:solidFill>
              <w14:schemeClr w14:val="tx1"/>
            </w14:solidFill>
          </w14:textFill>
        </w:rPr>
        <w:t xml:space="preserve">                              </w:t>
      </w:r>
    </w:p>
    <w:p>
      <w:pPr>
        <w:spacing w:line="360" w:lineRule="auto"/>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投标供应商授权代表、职务（印刷体）：</w:t>
      </w:r>
      <w:r>
        <w:rPr>
          <w:rFonts w:hint="eastAsia" w:ascii="宋体" w:hAnsi="宋体" w:cs="宋体"/>
          <w:color w:val="000000" w:themeColor="text1"/>
          <w:sz w:val="24"/>
          <w:u w:val="single"/>
          <w14:textFill>
            <w14:solidFill>
              <w14:schemeClr w14:val="tx1"/>
            </w14:solidFill>
          </w14:textFill>
        </w:rPr>
        <w:t xml:space="preserve">                                      </w:t>
      </w:r>
    </w:p>
    <w:p>
      <w:pPr>
        <w:spacing w:line="360" w:lineRule="auto"/>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投标供应商名称：</w:t>
      </w:r>
      <w:r>
        <w:rPr>
          <w:rFonts w:hint="eastAsia" w:ascii="宋体" w:hAnsi="宋体" w:cs="宋体"/>
          <w:color w:val="000000" w:themeColor="text1"/>
          <w:sz w:val="24"/>
          <w:u w:val="single"/>
          <w14:textFill>
            <w14:solidFill>
              <w14:schemeClr w14:val="tx1"/>
            </w14:solidFill>
          </w14:textFill>
        </w:rPr>
        <w:t xml:space="preserve">                             </w:t>
      </w:r>
    </w:p>
    <w:p>
      <w:pPr>
        <w:spacing w:line="360" w:lineRule="auto"/>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（公  章）：</w:t>
      </w:r>
      <w:r>
        <w:rPr>
          <w:rFonts w:hint="eastAsia" w:ascii="宋体" w:hAnsi="宋体" w:cs="宋体"/>
          <w:color w:val="000000" w:themeColor="text1"/>
          <w:sz w:val="24"/>
          <w:u w:val="single"/>
          <w14:textFill>
            <w14:solidFill>
              <w14:schemeClr w14:val="tx1"/>
            </w14:solidFill>
          </w14:textFill>
        </w:rPr>
        <w:t xml:space="preserve">                                 </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      期：</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pPr>
        <w:spacing w:line="360" w:lineRule="auto"/>
        <w:rPr>
          <w:rFonts w:ascii="宋体" w:hAnsi="宋体" w:cs="宋体"/>
          <w:b/>
          <w:bCs/>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投标供应商授权代表：</w:t>
      </w:r>
      <w:r>
        <w:rPr>
          <w:rFonts w:hint="eastAsia" w:ascii="宋体" w:hAnsi="宋体" w:cs="宋体"/>
          <w:color w:val="000000" w:themeColor="text1"/>
          <w:sz w:val="24"/>
          <w:u w:val="single"/>
          <w14:textFill>
            <w14:solidFill>
              <w14:schemeClr w14:val="tx1"/>
            </w14:solidFill>
          </w14:textFill>
        </w:rPr>
        <w:t xml:space="preserve">                           </w:t>
      </w:r>
    </w:p>
    <w:p>
      <w:pPr>
        <w:pStyle w:val="8"/>
        <w:rPr>
          <w:color w:val="000000" w:themeColor="text1"/>
          <w14:textFill>
            <w14:solidFill>
              <w14:schemeClr w14:val="tx1"/>
            </w14:solidFill>
          </w14:textFill>
        </w:rPr>
      </w:pPr>
    </w:p>
    <w:p>
      <w:pPr>
        <w:numPr>
          <w:ilvl w:val="0"/>
          <w:numId w:val="10"/>
        </w:numPr>
        <w:tabs>
          <w:tab w:val="left" w:pos="640"/>
          <w:tab w:val="left" w:pos="1260"/>
          <w:tab w:val="left" w:pos="1418"/>
        </w:tabs>
        <w:spacing w:line="360" w:lineRule="auto"/>
        <w:ind w:left="645" w:hanging="645"/>
        <w:rPr>
          <w:rFonts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br w:type="page"/>
      </w:r>
      <w:r>
        <w:rPr>
          <w:rFonts w:hint="eastAsia" w:ascii="宋体" w:hAnsi="宋体" w:cs="宋体"/>
          <w:color w:val="000000" w:themeColor="text1"/>
          <w:sz w:val="24"/>
          <w:lang w:val="fr-CH"/>
          <w14:textFill>
            <w14:solidFill>
              <w14:schemeClr w14:val="tx1"/>
            </w14:solidFill>
          </w14:textFill>
        </w:rPr>
        <w:t>营业执照【其他组织提供《事业单位法人证书》或《民办非企业单位登记证书》】及税务登记册证副本复印件(加盖投标人公章，若提供的营业执照为三证合一，则税务登记证可不单独提供)；分支机构投标须提供总公司(或总所)出具的愿为其参与本项目投标的行为以及履约等行为承担民事责任的承诺函，且同一家总公司(或总所)若有两家或两家以上的分支机构，总公司(或总所)只能授权一家参与投标；</w:t>
      </w:r>
      <w:r>
        <w:rPr>
          <w:rFonts w:hint="eastAsia" w:ascii="宋体" w:hAnsi="宋体" w:cs="宋体"/>
          <w:color w:val="000000" w:themeColor="text1"/>
          <w:sz w:val="24"/>
          <w:lang w:val="fr-CH"/>
          <w14:textFill>
            <w14:solidFill>
              <w14:schemeClr w14:val="tx1"/>
            </w14:solidFill>
          </w14:textFill>
        </w:rPr>
        <w:br w:type="page"/>
      </w:r>
    </w:p>
    <w:p>
      <w:pPr>
        <w:numPr>
          <w:ilvl w:val="0"/>
          <w:numId w:val="10"/>
        </w:numPr>
        <w:tabs>
          <w:tab w:val="left" w:pos="640"/>
          <w:tab w:val="left" w:pos="1260"/>
          <w:tab w:val="left" w:pos="1418"/>
        </w:tabs>
        <w:spacing w:line="360" w:lineRule="auto"/>
        <w:ind w:left="645" w:hanging="645"/>
        <w:rPr>
          <w:rFonts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政府采购投标及履约承诺函；</w:t>
      </w:r>
    </w:p>
    <w:p>
      <w:pPr>
        <w:spacing w:line="360" w:lineRule="auto"/>
        <w:jc w:val="center"/>
        <w:rPr>
          <w:rFonts w:ascii="宋体" w:hAnsi="宋体" w:cs="宋体"/>
          <w:b/>
          <w:bCs/>
          <w:color w:val="000000" w:themeColor="text1"/>
          <w:sz w:val="24"/>
          <w:lang w:val="fr-CH"/>
          <w14:textFill>
            <w14:solidFill>
              <w14:schemeClr w14:val="tx1"/>
            </w14:solidFill>
          </w14:textFill>
        </w:rPr>
      </w:pPr>
      <w:r>
        <w:rPr>
          <w:rFonts w:hint="eastAsia" w:ascii="宋体" w:hAnsi="宋体" w:cs="宋体"/>
          <w:b/>
          <w:bCs/>
          <w:color w:val="000000" w:themeColor="text1"/>
          <w:sz w:val="24"/>
          <w:lang w:val="fr-CH"/>
          <w14:textFill>
            <w14:solidFill>
              <w14:schemeClr w14:val="tx1"/>
            </w14:solidFill>
          </w14:textFill>
        </w:rPr>
        <w:t>政府采购投标及履约承诺函</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（采购单位名称/代理机构名称）：</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我单位深知本项目对贵局的重要性和紧迫性，亦了解贵局对廉政建设的相关要求，因此我单位承诺如下：</w:t>
      </w:r>
    </w:p>
    <w:p>
      <w:pPr>
        <w:numPr>
          <w:ilvl w:val="0"/>
          <w:numId w:val="11"/>
        </w:num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我单位本招标项目所提供的货物或服务未侵犯知识产权。</w:t>
      </w:r>
    </w:p>
    <w:p>
      <w:pPr>
        <w:widowControl/>
        <w:numPr>
          <w:ilvl w:val="0"/>
          <w:numId w:val="11"/>
        </w:numPr>
        <w:shd w:val="clear" w:color="auto" w:fill="FFFFFF"/>
        <w:spacing w:line="360" w:lineRule="auto"/>
        <w:ind w:right="-4"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我单位</w:t>
      </w:r>
      <w:r>
        <w:rPr>
          <w:rFonts w:hint="eastAsia" w:ascii="宋体" w:hAnsi="宋体" w:cs="宋体"/>
          <w:color w:val="000000" w:themeColor="text1"/>
          <w:kern w:val="0"/>
          <w:sz w:val="24"/>
          <w14:textFill>
            <w14:solidFill>
              <w14:schemeClr w14:val="tx1"/>
            </w14:solidFill>
          </w14:textFill>
        </w:rPr>
        <w:t>及其法定代表人参与政府采购项目投标近三年内（投标人成立不足三年的可从成立之日起算）在经营活动中没有重大违法记录以及不存在被有关部门禁止参与政府采购活动且在有效期内的情况；无串通投标、弄虚作假不良行为记录被暂停投标资格期间或涉嫌串通投标、弄虚作假并正在接受主管部门调查的情况；无因违反建设工程法律、法规规定而受到建设行政主管部门红色警示并正在红色警示期间的情况；</w:t>
      </w:r>
    </w:p>
    <w:p>
      <w:pPr>
        <w:widowControl/>
        <w:numPr>
          <w:ilvl w:val="0"/>
          <w:numId w:val="11"/>
        </w:numPr>
        <w:shd w:val="clear" w:color="auto" w:fill="FFFFFF"/>
        <w:spacing w:line="360" w:lineRule="auto"/>
        <w:ind w:right="-4"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我单位</w:t>
      </w:r>
      <w:r>
        <w:rPr>
          <w:rFonts w:hint="eastAsia" w:ascii="宋体" w:hAnsi="宋体" w:cs="宋体"/>
          <w:color w:val="000000" w:themeColor="text1"/>
          <w:kern w:val="0"/>
          <w:sz w:val="24"/>
          <w14:textFill>
            <w14:solidFill>
              <w14:schemeClr w14:val="tx1"/>
            </w14:solidFill>
          </w14:textFill>
        </w:rPr>
        <w:t>及其法定代表人近三年内（投标人成立不足三年的可从成立之日起算）无行贿犯罪记录；</w:t>
      </w:r>
    </w:p>
    <w:p>
      <w:pPr>
        <w:numPr>
          <w:ilvl w:val="0"/>
          <w:numId w:val="11"/>
        </w:num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我单位具备《中华人民共和国政府采购法》第二十二条第一款的条件。</w:t>
      </w:r>
    </w:p>
    <w:p>
      <w:pPr>
        <w:numPr>
          <w:ilvl w:val="0"/>
          <w:numId w:val="11"/>
        </w:num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符合财政部和深圳市财政局关于诚信管理的要求，</w:t>
      </w:r>
      <w:r>
        <w:rPr>
          <w:rFonts w:hint="eastAsia" w:ascii="宋体" w:hAnsi="宋体" w:cs="宋体"/>
          <w:color w:val="000000" w:themeColor="text1"/>
          <w:kern w:val="0"/>
          <w:sz w:val="24"/>
          <w14:textFill>
            <w14:solidFill>
              <w14:schemeClr w14:val="tx1"/>
            </w14:solidFill>
          </w14:textFill>
        </w:rPr>
        <w:t>至投标截止时间，我单位未有在“信用中国”网（www.creditchina.gov.cn）、中国政府采购网（www.ccgp.gov.cn）、深圳市政府采购监管网（zfcg.sz.gov.cn）和“国家企业信用信息公示系统”（www.gsxt.gov.cn）等4个官网中列入“失信被执行人、重大税收违法失信主体、政府采购严重违法失信行为记录名单”</w:t>
      </w:r>
      <w:r>
        <w:rPr>
          <w:rFonts w:hint="eastAsia" w:ascii="宋体" w:hAnsi="宋体" w:cs="宋体"/>
          <w:color w:val="000000" w:themeColor="text1"/>
          <w:sz w:val="24"/>
          <w14:textFill>
            <w14:solidFill>
              <w14:schemeClr w14:val="tx1"/>
            </w14:solidFill>
          </w14:textFill>
        </w:rPr>
        <w:t>。</w:t>
      </w:r>
    </w:p>
    <w:p>
      <w:pPr>
        <w:numPr>
          <w:ilvl w:val="0"/>
          <w:numId w:val="11"/>
        </w:num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我单位不存在单位法定代表人为同一人或者存在直接控股、管理关系的不同供应商，同时参加本项目投标之情形；我公司未为本项目提供过整体设计、规范编制或者项目管理、监理、检测等服务。</w:t>
      </w:r>
    </w:p>
    <w:p>
      <w:pPr>
        <w:numPr>
          <w:ilvl w:val="0"/>
          <w:numId w:val="11"/>
        </w:num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单位参与该项目投标，严格遵循公平竞争的原则，不恶意串通，不妨碍其他投标人的竞争行为，不损害采购人或者其他投标人的合法权益。我单位已清楚，如违反上述要求，将作投标无效处理，并自动放弃贵局自本项目起所有采购项目的投标事宜。</w:t>
      </w:r>
    </w:p>
    <w:p>
      <w:pPr>
        <w:numPr>
          <w:ilvl w:val="0"/>
          <w:numId w:val="11"/>
        </w:num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我单位如果中标，做到诚实守信，依照本项目招标文件需求内容、签署的采购合同及本单位在投标中所作的一切承诺履约；不非法转包、分包。</w:t>
      </w:r>
    </w:p>
    <w:p>
      <w:pPr>
        <w:numPr>
          <w:ilvl w:val="0"/>
          <w:numId w:val="11"/>
        </w:num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单位承诺不恶意低价谋取中标；对本项目的报价负责，中标后将严格按照本项目招标文件需求、签署的采购合同及我单位在投标中所作的全部承诺履行。我单位清楚，若我单位以“报价太低而无法履约”为理由放弃本项目中标资格时，且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pPr>
        <w:numPr>
          <w:ilvl w:val="0"/>
          <w:numId w:val="11"/>
        </w:num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单位已认真核实了投标文件的全部内容，所有资料均为真实资料。我公司对投标文件中全部投标资料的真实性负责，如被证实我公司的投标文件中存在虚假资料的，则视为我单位隐瞒真实情况、提供虚假资料，我单位愿意接受主管部门作出的行政处罚。</w:t>
      </w:r>
    </w:p>
    <w:p>
      <w:pPr>
        <w:numPr>
          <w:ilvl w:val="0"/>
          <w:numId w:val="11"/>
        </w:num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我单位承诺未参与本项目的采购需求、技术指标、商务指标等内容的设定，不存在对其他投标单位不公平的行为。</w:t>
      </w:r>
    </w:p>
    <w:p>
      <w:pPr>
        <w:numPr>
          <w:ilvl w:val="0"/>
          <w:numId w:val="11"/>
        </w:num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单位承诺严格遵守贵局廉政建设的相关要求，不对采购人进行贿赂，进行有偿报答；不对采购人进行任何形式的利益输送；不对采购人进行宴请和娱乐等消费活动；不对采购人进行赠送各种礼品、现金、有价证券、中介费、好处费等行为。</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13.我单位承诺本单位（公司）不存在《深圳市财政局政府采购供应商信用信息管理办法》（深财规〔2023〕3号）列明的严重违法失信行为。</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以上承诺，如有违反，愿依照国家相关法律处理，并承担由此给采购人带来的损失。</w:t>
      </w:r>
    </w:p>
    <w:p>
      <w:pPr>
        <w:spacing w:line="360" w:lineRule="auto"/>
        <w:ind w:firstLine="480" w:firstLineChars="200"/>
        <w:rPr>
          <w:rFonts w:ascii="宋体" w:hAnsi="宋体" w:cs="宋体"/>
          <w:color w:val="000000" w:themeColor="text1"/>
          <w:sz w:val="24"/>
          <w14:textFill>
            <w14:solidFill>
              <w14:schemeClr w14:val="tx1"/>
            </w14:solidFill>
          </w14:textFill>
        </w:rPr>
      </w:pPr>
    </w:p>
    <w:p>
      <w:pPr>
        <w:tabs>
          <w:tab w:val="left" w:pos="4860"/>
        </w:tabs>
        <w:adjustRightInd w:val="0"/>
        <w:snapToGrid w:val="0"/>
        <w:spacing w:line="360" w:lineRule="auto"/>
        <w:ind w:right="105" w:rightChars="50" w:firstLine="240" w:firstLineChars="1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投标供应商法定代表人或授权代表（签字或签章）：                  </w:t>
      </w:r>
    </w:p>
    <w:p>
      <w:pPr>
        <w:tabs>
          <w:tab w:val="left" w:pos="4860"/>
        </w:tabs>
        <w:adjustRightInd w:val="0"/>
        <w:snapToGrid w:val="0"/>
        <w:spacing w:line="360" w:lineRule="auto"/>
        <w:ind w:right="105" w:rightChars="50" w:firstLine="240" w:firstLineChars="1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投标供应商名称（盖章）：</w:t>
      </w:r>
    </w:p>
    <w:p>
      <w:pPr>
        <w:tabs>
          <w:tab w:val="left" w:pos="4860"/>
        </w:tabs>
        <w:adjustRightInd w:val="0"/>
        <w:snapToGrid w:val="0"/>
        <w:spacing w:line="360" w:lineRule="auto"/>
        <w:ind w:right="105" w:rightChars="50" w:firstLine="240" w:firstLineChars="1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日期：   年  月   日</w:t>
      </w:r>
    </w:p>
    <w:p>
      <w:pPr>
        <w:numPr>
          <w:ilvl w:val="0"/>
          <w:numId w:val="10"/>
        </w:numPr>
        <w:tabs>
          <w:tab w:val="left" w:pos="640"/>
          <w:tab w:val="left" w:pos="1260"/>
          <w:tab w:val="left" w:pos="1418"/>
        </w:tabs>
        <w:spacing w:line="360" w:lineRule="auto"/>
        <w:ind w:left="645" w:hanging="645"/>
        <w:rPr>
          <w:rFonts w:ascii="宋体" w:hAnsi="宋体" w:cs="宋体"/>
          <w:color w:val="000000" w:themeColor="text1"/>
          <w:sz w:val="24"/>
          <w:lang w:val="fr-CH"/>
          <w14:textFill>
            <w14:solidFill>
              <w14:schemeClr w14:val="tx1"/>
            </w14:solidFill>
          </w14:textFill>
        </w:rPr>
      </w:pPr>
      <w:r>
        <w:rPr>
          <w:rFonts w:hint="eastAsia" w:hAnsi="宋体" w:cs="宋体"/>
          <w:color w:val="000000" w:themeColor="text1"/>
          <w14:textFill>
            <w14:solidFill>
              <w14:schemeClr w14:val="tx1"/>
            </w14:solidFill>
          </w14:textFill>
        </w:rPr>
        <w:br w:type="page"/>
      </w:r>
      <w:r>
        <w:rPr>
          <w:rFonts w:hint="eastAsia" w:ascii="宋体" w:hAnsi="宋体" w:cs="宋体"/>
          <w:color w:val="000000" w:themeColor="text1"/>
          <w:sz w:val="24"/>
          <w14:textFill>
            <w14:solidFill>
              <w14:schemeClr w14:val="tx1"/>
            </w14:solidFill>
          </w14:textFill>
        </w:rPr>
        <w:t>关于资格的声明函；</w:t>
      </w:r>
    </w:p>
    <w:p>
      <w:pPr>
        <w:spacing w:line="360" w:lineRule="auto"/>
        <w:jc w:val="center"/>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关于资格的声明函</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（采购单位名称/代理机构名称）：</w:t>
      </w:r>
    </w:p>
    <w:p>
      <w:pPr>
        <w:spacing w:line="360" w:lineRule="auto"/>
        <w:ind w:firstLine="566" w:firstLineChars="236"/>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u w:val="single"/>
          <w14:textFill>
            <w14:solidFill>
              <w14:schemeClr w14:val="tx1"/>
            </w14:solidFill>
          </w14:textFill>
        </w:rPr>
        <w:t xml:space="preserve"> （ 投标人名称）    </w:t>
      </w:r>
      <w:r>
        <w:rPr>
          <w:rFonts w:hint="eastAsia" w:ascii="宋体" w:hAnsi="宋体" w:cs="宋体"/>
          <w:color w:val="000000" w:themeColor="text1"/>
          <w:sz w:val="24"/>
          <w14:textFill>
            <w14:solidFill>
              <w14:schemeClr w14:val="tx1"/>
            </w14:solidFill>
          </w14:textFill>
        </w:rPr>
        <w:t xml:space="preserve"> 参与了</w:t>
      </w:r>
      <w:r>
        <w:rPr>
          <w:rFonts w:hint="eastAsia" w:ascii="宋体" w:hAnsi="宋体" w:cs="宋体"/>
          <w:color w:val="000000" w:themeColor="text1"/>
          <w:sz w:val="24"/>
          <w:u w:val="single"/>
          <w14:textFill>
            <w14:solidFill>
              <w14:schemeClr w14:val="tx1"/>
            </w14:solidFill>
          </w14:textFill>
        </w:rPr>
        <w:t xml:space="preserve"> （项目名称 、招标编号） </w:t>
      </w:r>
      <w:r>
        <w:rPr>
          <w:rFonts w:hint="eastAsia" w:ascii="宋体" w:hAnsi="宋体" w:cs="宋体"/>
          <w:color w:val="000000" w:themeColor="text1"/>
          <w:sz w:val="24"/>
          <w14:textFill>
            <w14:solidFill>
              <w14:schemeClr w14:val="tx1"/>
            </w14:solidFill>
          </w14:textFill>
        </w:rPr>
        <w:t>的投标，现已认真核实了投标文件资格部分的全部资料，所有资料均为真实资料。我单位对投标文件中全部资格投标资料的真实性负责，如被证实我单位的投标文件中存在虚假资料的，则视为我单位隐瞒真实情况、提供虚假资料，我单位愿意接受主管部门作出的行政处罚。</w:t>
      </w:r>
    </w:p>
    <w:p>
      <w:pPr>
        <w:spacing w:line="360" w:lineRule="auto"/>
        <w:ind w:left="42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特此承诺！</w:t>
      </w:r>
    </w:p>
    <w:p>
      <w:pPr>
        <w:spacing w:line="360" w:lineRule="auto"/>
        <w:ind w:left="420"/>
        <w:rPr>
          <w:rFonts w:ascii="宋体" w:hAnsi="宋体" w:cs="宋体"/>
          <w:color w:val="000000" w:themeColor="text1"/>
          <w:sz w:val="24"/>
          <w14:textFill>
            <w14:solidFill>
              <w14:schemeClr w14:val="tx1"/>
            </w14:solidFill>
          </w14:textFill>
        </w:rPr>
      </w:pPr>
    </w:p>
    <w:p>
      <w:pPr>
        <w:tabs>
          <w:tab w:val="left" w:pos="4860"/>
        </w:tabs>
        <w:adjustRightInd w:val="0"/>
        <w:snapToGrid w:val="0"/>
        <w:spacing w:line="360" w:lineRule="auto"/>
        <w:ind w:right="105" w:rightChars="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投标供应商名称（盖章）：</w:t>
      </w:r>
    </w:p>
    <w:p>
      <w:pPr>
        <w:spacing w:line="360" w:lineRule="auto"/>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日期：   年     月     日</w:t>
      </w:r>
    </w:p>
    <w:p>
      <w:pPr>
        <w:numPr>
          <w:ilvl w:val="0"/>
          <w:numId w:val="10"/>
        </w:numPr>
        <w:tabs>
          <w:tab w:val="left" w:pos="640"/>
          <w:tab w:val="left" w:pos="1260"/>
          <w:tab w:val="left" w:pos="1418"/>
        </w:tabs>
        <w:spacing w:line="360" w:lineRule="auto"/>
        <w:ind w:left="645" w:hanging="645"/>
        <w:rPr>
          <w:rFonts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br w:type="page"/>
      </w:r>
      <w:r>
        <w:rPr>
          <w:rFonts w:hint="eastAsia" w:ascii="宋体" w:hAnsi="宋体" w:cs="宋体"/>
          <w:color w:val="000000" w:themeColor="text1"/>
          <w:sz w:val="24"/>
          <w:lang w:val="fr-CH"/>
          <w14:textFill>
            <w14:solidFill>
              <w14:schemeClr w14:val="tx1"/>
            </w14:solidFill>
          </w14:textFill>
        </w:rPr>
        <w:t>法定代表人证明书及身份证明；</w:t>
      </w:r>
    </w:p>
    <w:p>
      <w:pPr>
        <w:spacing w:before="120" w:after="120" w:line="360" w:lineRule="auto"/>
        <w:jc w:val="center"/>
        <w:rPr>
          <w:rFonts w:ascii="宋体" w:hAnsi="宋体" w:cs="宋体"/>
          <w:b/>
          <w:color w:val="000000" w:themeColor="text1"/>
          <w:sz w:val="24"/>
          <w14:textFill>
            <w14:solidFill>
              <w14:schemeClr w14:val="tx1"/>
            </w14:solidFill>
          </w14:textFill>
        </w:rPr>
      </w:pPr>
    </w:p>
    <w:p>
      <w:pPr>
        <w:spacing w:before="120" w:after="120" w:line="360" w:lineRule="auto"/>
        <w:jc w:val="center"/>
        <w:rPr>
          <w:rFonts w:ascii="宋体" w:hAnsi="宋体" w:cs="宋体"/>
          <w:color w:val="000000" w:themeColor="text1"/>
          <w:sz w:val="24"/>
          <w:u w:val="single"/>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法定代表人证明书</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同志，现任我单位职务，为法定代表人，特此证明。</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签发日期：             有效日期：         单位：              </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附：代表人性别：   年龄：      身份证号码：</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营业执照号码：                 经济性质：</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主营（产）：</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兼营（产）：</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进口物品经营许可证号码：</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主营：</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兼营：</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说明：1、法定代表人为企业事业单位、国家机关、社会团体的主要行政负责人。</w:t>
      </w:r>
    </w:p>
    <w:p>
      <w:pPr>
        <w:spacing w:line="360" w:lineRule="auto"/>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2、内容必须填写真实、清楚，涂改无效，不得转让、买卖</w:t>
      </w:r>
      <w:r>
        <w:rPr>
          <w:rFonts w:hint="eastAsia" w:ascii="宋体" w:hAnsi="宋体" w:cs="宋体"/>
          <w:color w:val="000000" w:themeColor="text1"/>
          <w:sz w:val="24"/>
          <w:lang w:eastAsia="zh-CN"/>
          <w14:textFill>
            <w14:solidFill>
              <w14:schemeClr w14:val="tx1"/>
            </w14:solidFill>
          </w14:textFill>
        </w:rPr>
        <w:t>。</w:t>
      </w:r>
    </w:p>
    <w:p>
      <w:pPr>
        <w:tabs>
          <w:tab w:val="left" w:pos="3780"/>
        </w:tabs>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投标供应商名称（盖章）：</w:t>
      </w:r>
    </w:p>
    <w:p>
      <w:pPr>
        <w:tabs>
          <w:tab w:val="left" w:pos="3780"/>
        </w:tabs>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法定代表人（签字或签章）：</w:t>
      </w:r>
    </w:p>
    <w:p>
      <w:pPr>
        <w:spacing w:before="120" w:after="120"/>
        <w:jc w:val="left"/>
        <w:rPr>
          <w:rFonts w:ascii="宋体" w:hAnsi="宋体" w:cs="宋体"/>
          <w:color w:val="000000" w:themeColor="text1"/>
          <w:szCs w:val="21"/>
          <w14:textFill>
            <w14:solidFill>
              <w14:schemeClr w14:val="tx1"/>
            </w14:solidFill>
          </w14:textFill>
        </w:rPr>
      </w:pPr>
    </w:p>
    <w:p>
      <w:pPr>
        <w:spacing w:before="120" w:after="120" w:line="360" w:lineRule="auto"/>
        <w:jc w:val="left"/>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附身份证正反面</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40"/>
        <w:gridCol w:w="4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5" w:hRule="atLeast"/>
          <w:jc w:val="center"/>
        </w:trPr>
        <w:tc>
          <w:tcPr>
            <w:tcW w:w="4240" w:type="dxa"/>
          </w:tcPr>
          <w:p>
            <w:pPr>
              <w:pStyle w:val="10"/>
              <w:spacing w:line="360" w:lineRule="auto"/>
              <w:rPr>
                <w:rFonts w:ascii="Arial Narrow" w:hAnsi="Arial Narrow"/>
                <w:b/>
                <w:bCs/>
                <w:color w:val="000000" w:themeColor="text1"/>
                <w:szCs w:val="21"/>
                <w14:textFill>
                  <w14:solidFill>
                    <w14:schemeClr w14:val="tx1"/>
                  </w14:solidFill>
                </w14:textFill>
              </w:rPr>
            </w:pPr>
          </w:p>
        </w:tc>
        <w:tc>
          <w:tcPr>
            <w:tcW w:w="4240" w:type="dxa"/>
          </w:tcPr>
          <w:p>
            <w:pPr>
              <w:pStyle w:val="10"/>
              <w:spacing w:line="360" w:lineRule="auto"/>
              <w:rPr>
                <w:rFonts w:ascii="Arial Narrow" w:hAnsi="Arial Narrow"/>
                <w:b/>
                <w:bCs/>
                <w:color w:val="000000" w:themeColor="text1"/>
                <w:szCs w:val="21"/>
                <w14:textFill>
                  <w14:solidFill>
                    <w14:schemeClr w14:val="tx1"/>
                  </w14:solidFill>
                </w14:textFill>
              </w:rPr>
            </w:pPr>
          </w:p>
        </w:tc>
      </w:tr>
    </w:tbl>
    <w:p>
      <w:pPr>
        <w:tabs>
          <w:tab w:val="left" w:pos="640"/>
          <w:tab w:val="left" w:pos="1260"/>
          <w:tab w:val="left" w:pos="1418"/>
        </w:tabs>
        <w:spacing w:line="360" w:lineRule="auto"/>
        <w:rPr>
          <w:color w:val="000000" w:themeColor="text1"/>
          <w:szCs w:val="21"/>
          <w:lang w:val="fr-CH"/>
          <w14:textFill>
            <w14:solidFill>
              <w14:schemeClr w14:val="tx1"/>
            </w14:solidFill>
          </w14:textFill>
        </w:rPr>
      </w:pPr>
      <w:r>
        <w:rPr>
          <w:rFonts w:hint="eastAsia"/>
          <w:color w:val="000000" w:themeColor="text1"/>
          <w:szCs w:val="21"/>
          <w14:textFill>
            <w14:solidFill>
              <w14:schemeClr w14:val="tx1"/>
            </w14:solidFill>
          </w14:textFill>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pPr>
        <w:numPr>
          <w:ilvl w:val="0"/>
          <w:numId w:val="10"/>
        </w:numPr>
        <w:tabs>
          <w:tab w:val="left" w:pos="640"/>
          <w:tab w:val="left" w:pos="1260"/>
          <w:tab w:val="left" w:pos="1418"/>
        </w:tabs>
        <w:spacing w:line="360" w:lineRule="auto"/>
        <w:ind w:left="845" w:hanging="845"/>
        <w:rPr>
          <w:rFonts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br w:type="page"/>
      </w:r>
      <w:r>
        <w:rPr>
          <w:rFonts w:hint="eastAsia" w:ascii="宋体" w:hAnsi="宋体" w:cs="宋体"/>
          <w:color w:val="000000" w:themeColor="text1"/>
          <w:sz w:val="24"/>
          <w:lang w:val="fr-CH"/>
          <w14:textFill>
            <w14:solidFill>
              <w14:schemeClr w14:val="tx1"/>
            </w14:solidFill>
          </w14:textFill>
        </w:rPr>
        <w:t>法定代表人授权书及身份证明；</w:t>
      </w:r>
    </w:p>
    <w:p>
      <w:pPr>
        <w:pStyle w:val="10"/>
        <w:spacing w:line="360" w:lineRule="auto"/>
        <w:jc w:val="center"/>
        <w:rPr>
          <w:rFonts w:hAnsi="宋体" w:cs="宋体"/>
          <w:b/>
          <w:color w:val="000000" w:themeColor="text1"/>
          <w:sz w:val="24"/>
          <w14:textFill>
            <w14:solidFill>
              <w14:schemeClr w14:val="tx1"/>
            </w14:solidFill>
          </w14:textFill>
        </w:rPr>
      </w:pPr>
    </w:p>
    <w:p>
      <w:pPr>
        <w:pStyle w:val="10"/>
        <w:spacing w:line="360" w:lineRule="auto"/>
        <w:jc w:val="center"/>
        <w:rPr>
          <w:rFonts w:hAnsi="宋体" w:cs="宋体"/>
          <w:b/>
          <w:color w:val="000000" w:themeColor="text1"/>
          <w:sz w:val="24"/>
          <w14:textFill>
            <w14:solidFill>
              <w14:schemeClr w14:val="tx1"/>
            </w14:solidFill>
          </w14:textFill>
        </w:rPr>
      </w:pPr>
      <w:r>
        <w:rPr>
          <w:rFonts w:hint="eastAsia" w:hAnsi="宋体" w:cs="宋体"/>
          <w:b/>
          <w:color w:val="000000" w:themeColor="text1"/>
          <w:sz w:val="24"/>
          <w14:textFill>
            <w14:solidFill>
              <w14:schemeClr w14:val="tx1"/>
            </w14:solidFill>
          </w14:textFill>
        </w:rPr>
        <w:t>法定代表人授权书</w:t>
      </w:r>
    </w:p>
    <w:p>
      <w:pPr>
        <w:pStyle w:val="10"/>
        <w:spacing w:line="360" w:lineRule="auto"/>
        <w:rPr>
          <w:rFonts w:hAnsi="宋体" w:cs="宋体"/>
          <w:color w:val="000000" w:themeColor="text1"/>
          <w:sz w:val="24"/>
          <w14:textFill>
            <w14:solidFill>
              <w14:schemeClr w14:val="tx1"/>
            </w14:solidFill>
          </w14:textFill>
        </w:rPr>
      </w:pPr>
    </w:p>
    <w:p>
      <w:pPr>
        <w:pStyle w:val="10"/>
        <w:spacing w:line="360" w:lineRule="auto"/>
        <w:rPr>
          <w:rFonts w:hAnsi="宋体" w:cs="宋体"/>
          <w:color w:val="000000" w:themeColor="text1"/>
          <w:sz w:val="24"/>
          <w14:textFill>
            <w14:solidFill>
              <w14:schemeClr w14:val="tx1"/>
            </w14:solidFill>
          </w14:textFill>
        </w:rPr>
      </w:pPr>
      <w:r>
        <w:rPr>
          <w:rFonts w:hint="eastAsia" w:hAnsi="宋体" w:cs="宋体"/>
          <w:b/>
          <w:color w:val="000000" w:themeColor="text1"/>
          <w:sz w:val="24"/>
          <w14:textFill>
            <w14:solidFill>
              <w14:schemeClr w14:val="tx1"/>
            </w14:solidFill>
          </w14:textFill>
        </w:rPr>
        <w:t>深圳市前海深港现代服务业合作区管理局：</w:t>
      </w:r>
    </w:p>
    <w:p>
      <w:pPr>
        <w:pStyle w:val="10"/>
        <w:spacing w:line="360" w:lineRule="auto"/>
        <w:ind w:firstLine="420"/>
        <w:rPr>
          <w:rFonts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本授权书声明：注册于</w:t>
      </w:r>
      <w:r>
        <w:rPr>
          <w:rFonts w:hint="eastAsia" w:hAnsi="宋体" w:cs="宋体"/>
          <w:color w:val="000000" w:themeColor="text1"/>
          <w:sz w:val="24"/>
          <w:u w:val="single"/>
          <w14:textFill>
            <w14:solidFill>
              <w14:schemeClr w14:val="tx1"/>
            </w14:solidFill>
          </w14:textFill>
        </w:rPr>
        <w:t xml:space="preserve">     </w:t>
      </w:r>
      <w:r>
        <w:rPr>
          <w:rFonts w:hint="eastAsia" w:hAnsi="宋体" w:cs="宋体"/>
          <w:color w:val="000000" w:themeColor="text1"/>
          <w:sz w:val="24"/>
          <w14:textFill>
            <w14:solidFill>
              <w14:schemeClr w14:val="tx1"/>
            </w14:solidFill>
          </w14:textFill>
        </w:rPr>
        <w:t>（国家或地区）的</w:t>
      </w:r>
      <w:r>
        <w:rPr>
          <w:rFonts w:hint="eastAsia" w:hAnsi="宋体" w:cs="宋体"/>
          <w:color w:val="000000" w:themeColor="text1"/>
          <w:sz w:val="24"/>
          <w:u w:val="single"/>
          <w14:textFill>
            <w14:solidFill>
              <w14:schemeClr w14:val="tx1"/>
            </w14:solidFill>
          </w14:textFill>
        </w:rPr>
        <w:t xml:space="preserve">     </w:t>
      </w:r>
      <w:r>
        <w:rPr>
          <w:rFonts w:hint="eastAsia" w:hAnsi="宋体" w:cs="宋体"/>
          <w:color w:val="000000" w:themeColor="text1"/>
          <w:sz w:val="24"/>
          <w14:textFill>
            <w14:solidFill>
              <w14:schemeClr w14:val="tx1"/>
            </w14:solidFill>
          </w14:textFill>
        </w:rPr>
        <w:t>（投标人名称）的在下面签字的</w:t>
      </w:r>
      <w:r>
        <w:rPr>
          <w:rFonts w:hint="eastAsia" w:hAnsi="宋体" w:cs="宋体"/>
          <w:color w:val="000000" w:themeColor="text1"/>
          <w:sz w:val="24"/>
          <w:u w:val="single"/>
          <w14:textFill>
            <w14:solidFill>
              <w14:schemeClr w14:val="tx1"/>
            </w14:solidFill>
          </w14:textFill>
        </w:rPr>
        <w:t xml:space="preserve">     </w:t>
      </w:r>
      <w:r>
        <w:rPr>
          <w:rFonts w:hint="eastAsia" w:hAnsi="宋体" w:cs="宋体"/>
          <w:color w:val="000000" w:themeColor="text1"/>
          <w:sz w:val="24"/>
          <w14:textFill>
            <w14:solidFill>
              <w14:schemeClr w14:val="tx1"/>
            </w14:solidFill>
          </w14:textFill>
        </w:rPr>
        <w:t xml:space="preserve"> （法定代表人姓名、职务）代表本公司授权在下面签字的</w:t>
      </w:r>
      <w:r>
        <w:rPr>
          <w:rFonts w:hint="eastAsia" w:hAnsi="宋体" w:cs="宋体"/>
          <w:color w:val="000000" w:themeColor="text1"/>
          <w:sz w:val="24"/>
          <w:u w:val="single"/>
          <w14:textFill>
            <w14:solidFill>
              <w14:schemeClr w14:val="tx1"/>
            </w14:solidFill>
          </w14:textFill>
        </w:rPr>
        <w:t xml:space="preserve">     </w:t>
      </w:r>
      <w:r>
        <w:rPr>
          <w:rFonts w:hint="eastAsia" w:hAnsi="宋体" w:cs="宋体"/>
          <w:color w:val="000000" w:themeColor="text1"/>
          <w:sz w:val="24"/>
          <w14:textFill>
            <w14:solidFill>
              <w14:schemeClr w14:val="tx1"/>
            </w14:solidFill>
          </w14:textFill>
        </w:rPr>
        <w:t>（被授权人的姓名、职务）为本公司的合法代表人，就</w:t>
      </w:r>
      <w:r>
        <w:rPr>
          <w:rFonts w:hint="eastAsia" w:hAnsi="宋体" w:cs="宋体"/>
          <w:color w:val="000000" w:themeColor="text1"/>
          <w:sz w:val="24"/>
          <w:u w:val="single"/>
          <w14:textFill>
            <w14:solidFill>
              <w14:schemeClr w14:val="tx1"/>
            </w14:solidFill>
          </w14:textFill>
        </w:rPr>
        <w:t xml:space="preserve">       </w:t>
      </w:r>
      <w:r>
        <w:rPr>
          <w:rFonts w:hint="eastAsia" w:hAnsi="宋体" w:cs="宋体"/>
          <w:color w:val="000000" w:themeColor="text1"/>
          <w:sz w:val="24"/>
          <w14:textFill>
            <w14:solidFill>
              <w14:schemeClr w14:val="tx1"/>
            </w14:solidFill>
          </w14:textFill>
        </w:rPr>
        <w:t>[招标编号为：</w:t>
      </w:r>
      <w:r>
        <w:rPr>
          <w:rFonts w:hint="eastAsia" w:hAnsi="宋体" w:cs="宋体"/>
          <w:color w:val="000000" w:themeColor="text1"/>
          <w:sz w:val="24"/>
          <w:u w:val="single"/>
          <w14:textFill>
            <w14:solidFill>
              <w14:schemeClr w14:val="tx1"/>
            </w14:solidFill>
          </w14:textFill>
        </w:rPr>
        <w:t xml:space="preserve">     </w:t>
      </w:r>
      <w:r>
        <w:rPr>
          <w:rFonts w:hint="eastAsia" w:hAnsi="宋体" w:cs="宋体"/>
          <w:color w:val="000000" w:themeColor="text1"/>
          <w:sz w:val="24"/>
          <w14:textFill>
            <w14:solidFill>
              <w14:schemeClr w14:val="tx1"/>
            </w14:solidFill>
          </w14:textFill>
        </w:rPr>
        <w:t>]的投标和合同执行，以我方的名义处理一切与之有关的事宜。</w:t>
      </w:r>
    </w:p>
    <w:p>
      <w:pPr>
        <w:pStyle w:val="10"/>
        <w:spacing w:line="360" w:lineRule="auto"/>
        <w:rPr>
          <w:rFonts w:hAnsi="宋体" w:cs="宋体"/>
          <w:color w:val="000000" w:themeColor="text1"/>
          <w:sz w:val="24"/>
          <w14:textFill>
            <w14:solidFill>
              <w14:schemeClr w14:val="tx1"/>
            </w14:solidFill>
          </w14:textFill>
        </w:rPr>
      </w:pPr>
    </w:p>
    <w:p>
      <w:pPr>
        <w:spacing w:line="360" w:lineRule="auto"/>
        <w:ind w:firstLine="57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本授权书于</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日签字生效，特此声明。</w:t>
      </w:r>
    </w:p>
    <w:p>
      <w:pPr>
        <w:spacing w:line="360" w:lineRule="auto"/>
        <w:rPr>
          <w:rFonts w:ascii="宋体" w:hAnsi="宋体" w:cs="宋体"/>
          <w:color w:val="000000" w:themeColor="text1"/>
          <w:sz w:val="24"/>
          <w14:textFill>
            <w14:solidFill>
              <w14:schemeClr w14:val="tx1"/>
            </w14:solidFill>
          </w14:textFill>
        </w:rPr>
      </w:pPr>
    </w:p>
    <w:p>
      <w:pPr>
        <w:spacing w:line="360" w:lineRule="auto"/>
        <w:rPr>
          <w:rFonts w:ascii="宋体" w:hAnsi="宋体" w:cs="宋体"/>
          <w:color w:val="000000" w:themeColor="text1"/>
          <w:sz w:val="24"/>
          <w14:textFill>
            <w14:solidFill>
              <w14:schemeClr w14:val="tx1"/>
            </w14:solidFill>
          </w14:textFill>
        </w:rPr>
      </w:pPr>
    </w:p>
    <w:p>
      <w:pPr>
        <w:tabs>
          <w:tab w:val="left" w:pos="3780"/>
        </w:tabs>
        <w:spacing w:line="360" w:lineRule="auto"/>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投标供应商名称（盖章）：</w:t>
      </w:r>
    </w:p>
    <w:p>
      <w:pPr>
        <w:tabs>
          <w:tab w:val="left" w:pos="3780"/>
        </w:tabs>
        <w:spacing w:line="360" w:lineRule="auto"/>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法定代表人（签字或签章）：</w:t>
      </w:r>
    </w:p>
    <w:p>
      <w:pPr>
        <w:tabs>
          <w:tab w:val="left" w:pos="3780"/>
        </w:tabs>
        <w:spacing w:line="360" w:lineRule="auto"/>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被授权人代表（签字或签章）：</w:t>
      </w:r>
    </w:p>
    <w:p>
      <w:pPr>
        <w:tabs>
          <w:tab w:val="left" w:pos="640"/>
          <w:tab w:val="left" w:pos="1260"/>
          <w:tab w:val="left" w:pos="1418"/>
        </w:tabs>
        <w:spacing w:line="360" w:lineRule="auto"/>
        <w:rPr>
          <w:rFonts w:ascii="宋体" w:hAnsi="宋体" w:cs="宋体"/>
          <w:b/>
          <w:color w:val="000000" w:themeColor="text1"/>
          <w:sz w:val="24"/>
          <w14:textFill>
            <w14:solidFill>
              <w14:schemeClr w14:val="tx1"/>
            </w14:solidFill>
          </w14:textFill>
        </w:rPr>
      </w:pPr>
    </w:p>
    <w:p>
      <w:pPr>
        <w:tabs>
          <w:tab w:val="left" w:pos="640"/>
          <w:tab w:val="left" w:pos="1260"/>
          <w:tab w:val="left" w:pos="1418"/>
        </w:tabs>
        <w:spacing w:line="360" w:lineRule="auto"/>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附身份证正反面</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7"/>
        <w:gridCol w:w="46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jc w:val="center"/>
        </w:trPr>
        <w:tc>
          <w:tcPr>
            <w:tcW w:w="4677" w:type="dxa"/>
          </w:tcPr>
          <w:p>
            <w:pPr>
              <w:pStyle w:val="10"/>
              <w:spacing w:line="360" w:lineRule="auto"/>
              <w:rPr>
                <w:rFonts w:ascii="Arial Narrow" w:hAnsi="Arial Narrow"/>
                <w:b/>
                <w:bCs/>
                <w:color w:val="000000" w:themeColor="text1"/>
                <w:szCs w:val="21"/>
                <w14:textFill>
                  <w14:solidFill>
                    <w14:schemeClr w14:val="tx1"/>
                  </w14:solidFill>
                </w14:textFill>
              </w:rPr>
            </w:pPr>
          </w:p>
        </w:tc>
        <w:tc>
          <w:tcPr>
            <w:tcW w:w="4677" w:type="dxa"/>
          </w:tcPr>
          <w:p>
            <w:pPr>
              <w:pStyle w:val="10"/>
              <w:spacing w:line="360" w:lineRule="auto"/>
              <w:rPr>
                <w:rFonts w:ascii="Arial Narrow" w:hAnsi="Arial Narrow"/>
                <w:b/>
                <w:bCs/>
                <w:color w:val="000000" w:themeColor="text1"/>
                <w:szCs w:val="21"/>
                <w14:textFill>
                  <w14:solidFill>
                    <w14:schemeClr w14:val="tx1"/>
                  </w14:solidFill>
                </w14:textFill>
              </w:rPr>
            </w:pPr>
          </w:p>
        </w:tc>
      </w:tr>
    </w:tbl>
    <w:p>
      <w:pPr>
        <w:tabs>
          <w:tab w:val="left" w:pos="640"/>
          <w:tab w:val="left" w:pos="1260"/>
          <w:tab w:val="left" w:pos="1418"/>
        </w:tabs>
        <w:spacing w:line="360" w:lineRule="auto"/>
        <w:rPr>
          <w:rFonts w:ascii="宋体" w:hAnsi="宋体" w:cs="宋体"/>
          <w:color w:val="000000" w:themeColor="text1"/>
          <w:sz w:val="24"/>
          <w:lang w:val="fr-CH"/>
          <w14:textFill>
            <w14:solidFill>
              <w14:schemeClr w14:val="tx1"/>
            </w14:solidFill>
          </w14:textFill>
        </w:rPr>
      </w:pPr>
      <w:r>
        <w:rPr>
          <w:rFonts w:hint="eastAsia"/>
          <w:color w:val="000000" w:themeColor="text1"/>
          <w:szCs w:val="21"/>
          <w14:textFill>
            <w14:solidFill>
              <w14:schemeClr w14:val="tx1"/>
            </w14:solidFill>
          </w14:textFill>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r>
        <w:rPr>
          <w:rFonts w:hint="eastAsia" w:ascii="宋体" w:hAnsi="宋体" w:cs="宋体"/>
          <w:color w:val="000000" w:themeColor="text1"/>
          <w:sz w:val="24"/>
          <w:lang w:val="fr-CH"/>
          <w14:textFill>
            <w14:solidFill>
              <w14:schemeClr w14:val="tx1"/>
            </w14:solidFill>
          </w14:textFill>
        </w:rPr>
        <w:br w:type="page"/>
      </w:r>
    </w:p>
    <w:p>
      <w:pPr>
        <w:numPr>
          <w:ilvl w:val="0"/>
          <w:numId w:val="10"/>
        </w:numPr>
        <w:tabs>
          <w:tab w:val="left" w:pos="640"/>
          <w:tab w:val="left" w:pos="1260"/>
          <w:tab w:val="left" w:pos="1418"/>
        </w:tabs>
        <w:spacing w:line="360" w:lineRule="auto"/>
        <w:ind w:left="640" w:hanging="640"/>
        <w:rPr>
          <w:rFonts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招标代理服务费承诺书；</w:t>
      </w:r>
    </w:p>
    <w:p>
      <w:pPr>
        <w:widowControl/>
        <w:autoSpaceDE w:val="0"/>
        <w:autoSpaceDN w:val="0"/>
        <w:spacing w:line="360" w:lineRule="auto"/>
        <w:ind w:left="359" w:right="26" w:hanging="357"/>
        <w:jc w:val="center"/>
        <w:textAlignment w:val="bottom"/>
        <w:rPr>
          <w:rFonts w:ascii="宋体" w:hAnsi="宋体" w:cs="宋体"/>
          <w:b/>
          <w:bCs/>
          <w:color w:val="000000" w:themeColor="text1"/>
          <w:sz w:val="24"/>
          <w:lang w:val="fr-CH"/>
          <w14:textFill>
            <w14:solidFill>
              <w14:schemeClr w14:val="tx1"/>
            </w14:solidFill>
          </w14:textFill>
        </w:rPr>
      </w:pPr>
    </w:p>
    <w:p>
      <w:pPr>
        <w:widowControl/>
        <w:autoSpaceDE w:val="0"/>
        <w:autoSpaceDN w:val="0"/>
        <w:spacing w:line="360" w:lineRule="auto"/>
        <w:ind w:left="359" w:right="26" w:hanging="357"/>
        <w:jc w:val="center"/>
        <w:textAlignment w:val="bottom"/>
        <w:rPr>
          <w:rFonts w:ascii="宋体" w:hAnsi="宋体" w:cs="宋体"/>
          <w:b/>
          <w:bCs/>
          <w:color w:val="000000" w:themeColor="text1"/>
          <w:sz w:val="24"/>
          <w:lang w:val="fr-CH"/>
          <w14:textFill>
            <w14:solidFill>
              <w14:schemeClr w14:val="tx1"/>
            </w14:solidFill>
          </w14:textFill>
        </w:rPr>
      </w:pPr>
      <w:r>
        <w:rPr>
          <w:rFonts w:hint="eastAsia" w:ascii="宋体" w:hAnsi="宋体" w:cs="宋体"/>
          <w:b/>
          <w:bCs/>
          <w:color w:val="000000" w:themeColor="text1"/>
          <w:sz w:val="24"/>
          <w:lang w:val="fr-CH"/>
          <w14:textFill>
            <w14:solidFill>
              <w14:schemeClr w14:val="tx1"/>
            </w14:solidFill>
          </w14:textFill>
        </w:rPr>
        <w:t>招标代理服务费承诺书</w:t>
      </w:r>
    </w:p>
    <w:p>
      <w:pPr>
        <w:widowControl/>
        <w:autoSpaceDE w:val="0"/>
        <w:autoSpaceDN w:val="0"/>
        <w:spacing w:line="360" w:lineRule="auto"/>
        <w:ind w:left="359" w:right="26" w:hanging="357"/>
        <w:textAlignment w:val="bottom"/>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致：中国远东国际招标有限公司</w:t>
      </w:r>
    </w:p>
    <w:p>
      <w:pPr>
        <w:widowControl/>
        <w:autoSpaceDE w:val="0"/>
        <w:autoSpaceDN w:val="0"/>
        <w:spacing w:line="360" w:lineRule="auto"/>
        <w:ind w:right="26" w:firstLine="540"/>
        <w:textAlignment w:val="bottom"/>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我们在贵司代理的</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项目（招标编号：</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）（货物/服务/工程）招标中若获中标，我们保证在收到中标通知书后5日内按招标文件的规定，以现金或电汇向贵公司指定的银行账号支付全额招标代理服务费。招标代理服务费按照</w:t>
      </w:r>
      <w:r>
        <w:rPr>
          <w:rFonts w:hint="eastAsia" w:ascii="宋体" w:hAnsi="宋体" w:cs="宋体"/>
          <w:color w:val="000000" w:themeColor="text1"/>
          <w:sz w:val="24"/>
          <w:u w:val="single"/>
          <w14:textFill>
            <w14:solidFill>
              <w14:schemeClr w14:val="tx1"/>
            </w14:solidFill>
          </w14:textFill>
        </w:rPr>
        <w:t>招标文件中的规定</w:t>
      </w:r>
      <w:r>
        <w:rPr>
          <w:rFonts w:hint="eastAsia" w:ascii="宋体" w:hAnsi="宋体" w:cs="宋体"/>
          <w:color w:val="000000" w:themeColor="text1"/>
          <w:sz w:val="24"/>
          <w14:textFill>
            <w14:solidFill>
              <w14:schemeClr w14:val="tx1"/>
            </w14:solidFill>
          </w14:textFill>
        </w:rPr>
        <w:t>计算。</w:t>
      </w:r>
    </w:p>
    <w:p>
      <w:pPr>
        <w:widowControl/>
        <w:autoSpaceDE w:val="0"/>
        <w:autoSpaceDN w:val="0"/>
        <w:spacing w:line="360" w:lineRule="auto"/>
        <w:ind w:right="26" w:firstLine="540"/>
        <w:textAlignment w:val="bottom"/>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特此承诺。</w:t>
      </w:r>
    </w:p>
    <w:p>
      <w:pPr>
        <w:tabs>
          <w:tab w:val="left" w:pos="3780"/>
        </w:tabs>
        <w:spacing w:line="360" w:lineRule="auto"/>
        <w:jc w:val="left"/>
        <w:rPr>
          <w:rFonts w:ascii="宋体" w:hAnsi="宋体" w:cs="宋体"/>
          <w:color w:val="000000" w:themeColor="text1"/>
          <w:sz w:val="24"/>
          <w14:textFill>
            <w14:solidFill>
              <w14:schemeClr w14:val="tx1"/>
            </w14:solidFill>
          </w14:textFill>
        </w:rPr>
      </w:pPr>
    </w:p>
    <w:p>
      <w:pPr>
        <w:tabs>
          <w:tab w:val="left" w:pos="3780"/>
        </w:tabs>
        <w:spacing w:line="360" w:lineRule="auto"/>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投标供应商名称（盖章）：</w:t>
      </w:r>
    </w:p>
    <w:p>
      <w:pPr>
        <w:widowControl/>
        <w:autoSpaceDE w:val="0"/>
        <w:autoSpaceDN w:val="0"/>
        <w:spacing w:line="360" w:lineRule="auto"/>
        <w:ind w:left="359" w:right="26" w:hanging="357"/>
        <w:textAlignment w:val="bottom"/>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投标供应商地址：</w:t>
      </w:r>
    </w:p>
    <w:p>
      <w:pPr>
        <w:widowControl/>
        <w:autoSpaceDE w:val="0"/>
        <w:autoSpaceDN w:val="0"/>
        <w:spacing w:line="360" w:lineRule="auto"/>
        <w:ind w:left="359" w:right="26" w:hanging="357"/>
        <w:textAlignment w:val="bottom"/>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电话：         </w:t>
      </w:r>
    </w:p>
    <w:p>
      <w:pPr>
        <w:widowControl/>
        <w:autoSpaceDE w:val="0"/>
        <w:autoSpaceDN w:val="0"/>
        <w:spacing w:line="360" w:lineRule="auto"/>
        <w:ind w:left="359" w:right="26" w:hanging="357"/>
        <w:textAlignment w:val="bottom"/>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传真：</w:t>
      </w:r>
    </w:p>
    <w:p>
      <w:pPr>
        <w:spacing w:line="360" w:lineRule="auto"/>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日期：   年     月     日</w:t>
      </w:r>
    </w:p>
    <w:p>
      <w:pPr>
        <w:pStyle w:val="8"/>
        <w:rPr>
          <w:color w:val="000000" w:themeColor="text1"/>
          <w:lang w:val="fr-CH"/>
          <w14:textFill>
            <w14:solidFill>
              <w14:schemeClr w14:val="tx1"/>
            </w14:solidFill>
          </w14:textFill>
        </w:rPr>
      </w:pPr>
    </w:p>
    <w:p>
      <w:pPr>
        <w:tabs>
          <w:tab w:val="left" w:pos="640"/>
          <w:tab w:val="left" w:pos="1260"/>
          <w:tab w:val="left" w:pos="1418"/>
        </w:tabs>
        <w:spacing w:line="360" w:lineRule="auto"/>
        <w:rPr>
          <w:rFonts w:ascii="宋体" w:hAnsi="宋体" w:cs="宋体"/>
          <w:color w:val="000000" w:themeColor="text1"/>
          <w:sz w:val="24"/>
          <w:lang w:val="fr-CH"/>
          <w14:textFill>
            <w14:solidFill>
              <w14:schemeClr w14:val="tx1"/>
            </w14:solidFill>
          </w14:textFill>
        </w:rPr>
      </w:pPr>
    </w:p>
    <w:p>
      <w:pPr>
        <w:numPr>
          <w:ilvl w:val="0"/>
          <w:numId w:val="10"/>
        </w:numPr>
        <w:tabs>
          <w:tab w:val="left" w:pos="640"/>
          <w:tab w:val="left" w:pos="1260"/>
          <w:tab w:val="left" w:pos="1418"/>
        </w:tabs>
        <w:spacing w:line="360" w:lineRule="auto"/>
        <w:ind w:left="845" w:hanging="845"/>
        <w:rPr>
          <w:rFonts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br w:type="page"/>
      </w:r>
      <w:r>
        <w:rPr>
          <w:rFonts w:hint="eastAsia" w:ascii="宋体" w:hAnsi="宋体" w:cs="宋体"/>
          <w:color w:val="000000" w:themeColor="text1"/>
          <w:sz w:val="24"/>
          <w14:textFill>
            <w14:solidFill>
              <w14:schemeClr w14:val="tx1"/>
            </w14:solidFill>
          </w14:textFill>
        </w:rPr>
        <w:t>供应商</w:t>
      </w:r>
      <w:r>
        <w:rPr>
          <w:rFonts w:hint="eastAsia" w:ascii="宋体" w:hAnsi="宋体" w:cs="宋体"/>
          <w:color w:val="000000" w:themeColor="text1"/>
          <w:sz w:val="24"/>
          <w:lang w:val="fr-CH"/>
          <w14:textFill>
            <w14:solidFill>
              <w14:schemeClr w14:val="tx1"/>
            </w14:solidFill>
          </w14:textFill>
        </w:rPr>
        <w:t>简介；</w:t>
      </w:r>
    </w:p>
    <w:p>
      <w:pPr>
        <w:pStyle w:val="10"/>
        <w:spacing w:line="360" w:lineRule="auto"/>
        <w:jc w:val="center"/>
        <w:rPr>
          <w:rFonts w:hAnsi="宋体" w:cs="宋体"/>
          <w:b/>
          <w:bCs/>
          <w:color w:val="000000" w:themeColor="text1"/>
          <w:sz w:val="24"/>
          <w14:textFill>
            <w14:solidFill>
              <w14:schemeClr w14:val="tx1"/>
            </w14:solidFill>
          </w14:textFill>
        </w:rPr>
      </w:pPr>
      <w:r>
        <w:rPr>
          <w:rFonts w:hint="eastAsia" w:hAnsi="宋体" w:cs="宋体"/>
          <w:b/>
          <w:bCs/>
          <w:color w:val="000000" w:themeColor="text1"/>
          <w:sz w:val="24"/>
          <w14:textFill>
            <w14:solidFill>
              <w14:schemeClr w14:val="tx1"/>
            </w14:solidFill>
          </w14:textFill>
        </w:rPr>
        <w:t>供应商基本情况一览表</w:t>
      </w:r>
    </w:p>
    <w:p>
      <w:pPr>
        <w:pStyle w:val="10"/>
        <w:spacing w:line="360" w:lineRule="auto"/>
        <w:ind w:firstLine="420"/>
        <w:rPr>
          <w:rFonts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1．名称及概况：</w:t>
      </w:r>
    </w:p>
    <w:p>
      <w:pPr>
        <w:pStyle w:val="10"/>
        <w:spacing w:line="360" w:lineRule="auto"/>
        <w:ind w:firstLine="420"/>
        <w:rPr>
          <w:rFonts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（1）供应商名称：_______________________________________</w:t>
      </w:r>
    </w:p>
    <w:p>
      <w:pPr>
        <w:pStyle w:val="10"/>
        <w:spacing w:line="360" w:lineRule="auto"/>
        <w:ind w:firstLine="420"/>
        <w:rPr>
          <w:rFonts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（2）地址：______________________________________________</w:t>
      </w:r>
    </w:p>
    <w:p>
      <w:pPr>
        <w:pStyle w:val="10"/>
        <w:spacing w:line="360" w:lineRule="auto"/>
        <w:ind w:firstLine="660" w:firstLineChars="275"/>
        <w:rPr>
          <w:rFonts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 xml:space="preserve">   邮政编码：___________________________________________</w:t>
      </w:r>
    </w:p>
    <w:p>
      <w:pPr>
        <w:pStyle w:val="10"/>
        <w:spacing w:line="360" w:lineRule="auto"/>
        <w:ind w:firstLine="420"/>
        <w:rPr>
          <w:rFonts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 xml:space="preserve">     电话号码：___________________________________________ </w:t>
      </w:r>
    </w:p>
    <w:p>
      <w:pPr>
        <w:pStyle w:val="10"/>
        <w:spacing w:line="360" w:lineRule="auto"/>
        <w:ind w:firstLine="420"/>
        <w:rPr>
          <w:rFonts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 xml:space="preserve">     传真号码：___________________________________________ </w:t>
      </w:r>
    </w:p>
    <w:p>
      <w:pPr>
        <w:pStyle w:val="10"/>
        <w:spacing w:line="360" w:lineRule="auto"/>
        <w:ind w:firstLine="420"/>
        <w:rPr>
          <w:rFonts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（3）成立和／或注册日期：_________________________________</w:t>
      </w:r>
    </w:p>
    <w:p>
      <w:pPr>
        <w:pStyle w:val="10"/>
        <w:spacing w:line="360" w:lineRule="auto"/>
        <w:ind w:firstLine="420"/>
        <w:rPr>
          <w:rFonts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（4）法人代表：___________________________________________</w:t>
      </w:r>
    </w:p>
    <w:p>
      <w:pPr>
        <w:pStyle w:val="10"/>
        <w:spacing w:line="360" w:lineRule="auto"/>
        <w:ind w:firstLine="420"/>
        <w:rPr>
          <w:rFonts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（5）开户银行：___________________________________________</w:t>
      </w:r>
    </w:p>
    <w:p>
      <w:pPr>
        <w:pStyle w:val="10"/>
        <w:spacing w:line="360" w:lineRule="auto"/>
        <w:ind w:firstLine="420"/>
        <w:rPr>
          <w:rFonts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（6）开户账号：___________________________________________</w:t>
      </w:r>
    </w:p>
    <w:p>
      <w:pPr>
        <w:pStyle w:val="10"/>
        <w:spacing w:line="360" w:lineRule="auto"/>
        <w:ind w:firstLine="420"/>
        <w:rPr>
          <w:rFonts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（7）注册资金：___________________________________________</w:t>
      </w:r>
    </w:p>
    <w:p>
      <w:pPr>
        <w:pStyle w:val="10"/>
        <w:spacing w:line="360" w:lineRule="auto"/>
        <w:ind w:firstLine="420"/>
        <w:rPr>
          <w:rFonts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（8）近两年财务基本情况</w:t>
      </w:r>
    </w:p>
    <w:p>
      <w:pPr>
        <w:pStyle w:val="10"/>
        <w:spacing w:line="360" w:lineRule="auto"/>
        <w:ind w:firstLine="420"/>
        <w:rPr>
          <w:rFonts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 xml:space="preserve">    ①货币资金期末数：_____________________________________</w:t>
      </w:r>
    </w:p>
    <w:p>
      <w:pPr>
        <w:pStyle w:val="10"/>
        <w:spacing w:line="360" w:lineRule="auto"/>
        <w:ind w:firstLine="420"/>
        <w:rPr>
          <w:rFonts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 xml:space="preserve">    ③年营业总额（值）：___________________________________</w:t>
      </w:r>
    </w:p>
    <w:p>
      <w:pPr>
        <w:pStyle w:val="10"/>
        <w:spacing w:line="360" w:lineRule="auto"/>
        <w:ind w:firstLine="420"/>
        <w:rPr>
          <w:rFonts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 xml:space="preserve">    ③资产负债率：_________________________________________</w:t>
      </w:r>
    </w:p>
    <w:p>
      <w:pPr>
        <w:pStyle w:val="10"/>
        <w:spacing w:line="360" w:lineRule="auto"/>
        <w:ind w:firstLine="420"/>
        <w:rPr>
          <w:rFonts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 xml:space="preserve">    ④销售利润率：_________________________________________</w:t>
      </w:r>
    </w:p>
    <w:p>
      <w:pPr>
        <w:pStyle w:val="10"/>
        <w:spacing w:line="360" w:lineRule="auto"/>
        <w:ind w:firstLine="420"/>
        <w:rPr>
          <w:rFonts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 xml:space="preserve">    ⑤资本收益率：_________________________________________</w:t>
      </w:r>
    </w:p>
    <w:p>
      <w:pPr>
        <w:pStyle w:val="10"/>
        <w:spacing w:line="360" w:lineRule="auto"/>
        <w:ind w:firstLine="420"/>
        <w:rPr>
          <w:rFonts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（9）项目主要联系人（姓名、职务、通讯）：</w:t>
      </w:r>
    </w:p>
    <w:p>
      <w:pPr>
        <w:pStyle w:val="10"/>
        <w:spacing w:line="360" w:lineRule="auto"/>
        <w:rPr>
          <w:rFonts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_____________________________________________________________________</w:t>
      </w:r>
    </w:p>
    <w:p>
      <w:pPr>
        <w:pStyle w:val="10"/>
        <w:spacing w:line="360" w:lineRule="auto"/>
        <w:ind w:firstLine="420"/>
        <w:rPr>
          <w:rFonts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（10）公司概况；</w:t>
      </w:r>
    </w:p>
    <w:p>
      <w:pPr>
        <w:pStyle w:val="10"/>
        <w:spacing w:line="360" w:lineRule="auto"/>
        <w:ind w:firstLine="420"/>
        <w:rPr>
          <w:rFonts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（11）公司组织机构；</w:t>
      </w:r>
    </w:p>
    <w:p>
      <w:pPr>
        <w:pStyle w:val="10"/>
        <w:spacing w:line="360" w:lineRule="auto"/>
        <w:ind w:firstLine="420"/>
        <w:rPr>
          <w:rFonts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兹证明上述说明是真实、正确的，并提供了全部能提供的资料和数据，我们同意遵照贵方要求出示有关证明文件。</w:t>
      </w:r>
    </w:p>
    <w:p>
      <w:pPr>
        <w:tabs>
          <w:tab w:val="left" w:pos="3780"/>
        </w:tabs>
        <w:spacing w:line="360" w:lineRule="auto"/>
        <w:jc w:val="left"/>
        <w:rPr>
          <w:rFonts w:ascii="宋体" w:hAnsi="宋体" w:cs="宋体"/>
          <w:color w:val="000000" w:themeColor="text1"/>
          <w:sz w:val="24"/>
          <w14:textFill>
            <w14:solidFill>
              <w14:schemeClr w14:val="tx1"/>
            </w14:solidFill>
          </w14:textFill>
        </w:rPr>
      </w:pPr>
    </w:p>
    <w:p>
      <w:pPr>
        <w:tabs>
          <w:tab w:val="left" w:pos="3780"/>
        </w:tabs>
        <w:spacing w:line="360" w:lineRule="auto"/>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投标供应商名称（盖章）：</w:t>
      </w:r>
    </w:p>
    <w:p>
      <w:pPr>
        <w:tabs>
          <w:tab w:val="left" w:pos="3780"/>
        </w:tabs>
        <w:spacing w:line="360" w:lineRule="auto"/>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日期：  年  月   日</w:t>
      </w:r>
    </w:p>
    <w:p>
      <w:pPr>
        <w:pStyle w:val="8"/>
        <w:rPr>
          <w:color w:val="000000" w:themeColor="text1"/>
          <w:lang w:val="fr-CH"/>
          <w14:textFill>
            <w14:solidFill>
              <w14:schemeClr w14:val="tx1"/>
            </w14:solidFill>
          </w14:textFill>
        </w:rPr>
      </w:pPr>
    </w:p>
    <w:p>
      <w:pPr>
        <w:tabs>
          <w:tab w:val="left" w:pos="640"/>
        </w:tabs>
        <w:spacing w:line="360" w:lineRule="auto"/>
        <w:rPr>
          <w:rFonts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br w:type="page"/>
      </w:r>
    </w:p>
    <w:p>
      <w:pPr>
        <w:numPr>
          <w:ilvl w:val="0"/>
          <w:numId w:val="10"/>
        </w:numPr>
        <w:tabs>
          <w:tab w:val="left" w:pos="640"/>
        </w:tabs>
        <w:spacing w:line="360" w:lineRule="auto"/>
        <w:ind w:left="845" w:hanging="845"/>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投标人通过相关认证情况；</w:t>
      </w:r>
    </w:p>
    <w:p>
      <w:pPr>
        <w:numPr>
          <w:ilvl w:val="0"/>
          <w:numId w:val="10"/>
        </w:numPr>
        <w:tabs>
          <w:tab w:val="left" w:pos="640"/>
        </w:tabs>
        <w:spacing w:line="360" w:lineRule="auto"/>
        <w:ind w:left="845" w:hanging="845"/>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投标人同类项目业绩情况；</w:t>
      </w:r>
    </w:p>
    <w:p>
      <w:pPr>
        <w:numPr>
          <w:ilvl w:val="0"/>
          <w:numId w:val="10"/>
        </w:numPr>
        <w:tabs>
          <w:tab w:val="left" w:pos="640"/>
        </w:tabs>
        <w:spacing w:line="360" w:lineRule="auto"/>
        <w:ind w:left="845" w:hanging="845"/>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项目服务成员；</w:t>
      </w:r>
    </w:p>
    <w:p>
      <w:pPr>
        <w:numPr>
          <w:ilvl w:val="0"/>
          <w:numId w:val="10"/>
        </w:numPr>
        <w:tabs>
          <w:tab w:val="left" w:pos="640"/>
        </w:tabs>
        <w:spacing w:line="360" w:lineRule="auto"/>
        <w:ind w:left="845" w:hanging="845"/>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投标人自主知识产权产品（创新、设计）情况；</w:t>
      </w:r>
    </w:p>
    <w:p>
      <w:pPr>
        <w:tabs>
          <w:tab w:val="left" w:pos="640"/>
          <w:tab w:val="left" w:pos="1260"/>
          <w:tab w:val="left" w:pos="1418"/>
        </w:tabs>
        <w:jc w:val="center"/>
        <w:rPr>
          <w:rFonts w:ascii="宋体" w:hAnsi="宋体" w:cs="宋体"/>
          <w:b/>
          <w:bCs/>
          <w:color w:val="000000" w:themeColor="text1"/>
          <w:szCs w:val="21"/>
          <w14:textFill>
            <w14:solidFill>
              <w14:schemeClr w14:val="tx1"/>
            </w14:solidFill>
          </w14:textFill>
        </w:rPr>
      </w:pPr>
    </w:p>
    <w:p>
      <w:pPr>
        <w:tabs>
          <w:tab w:val="left" w:pos="640"/>
          <w:tab w:val="left" w:pos="1260"/>
          <w:tab w:val="left" w:pos="1418"/>
        </w:tabs>
        <w:jc w:val="center"/>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注：以上各项请根据“招标项目评分表”中的要求自行填写并提供相应的证明材料。</w:t>
      </w:r>
    </w:p>
    <w:p>
      <w:pPr>
        <w:numPr>
          <w:ilvl w:val="0"/>
          <w:numId w:val="10"/>
        </w:numPr>
        <w:tabs>
          <w:tab w:val="left" w:pos="640"/>
          <w:tab w:val="left" w:pos="840"/>
          <w:tab w:val="left" w:pos="1260"/>
          <w:tab w:val="left" w:pos="1418"/>
        </w:tabs>
        <w:spacing w:line="360" w:lineRule="auto"/>
        <w:ind w:left="845" w:hanging="845"/>
        <w:rPr>
          <w:rFonts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br w:type="page"/>
      </w:r>
      <w:r>
        <w:rPr>
          <w:rFonts w:hint="eastAsia" w:ascii="宋体" w:hAnsi="宋体" w:cs="宋体"/>
          <w:b/>
          <w:bCs/>
          <w:color w:val="000000" w:themeColor="text1"/>
          <w:sz w:val="24"/>
          <w:lang w:val="fr-CH"/>
          <w14:textFill>
            <w14:solidFill>
              <w14:schemeClr w14:val="tx1"/>
            </w14:solidFill>
          </w14:textFill>
        </w:rPr>
        <w:t>诚信</w:t>
      </w:r>
      <w:r>
        <w:rPr>
          <w:rFonts w:hint="eastAsia" w:ascii="宋体" w:hAnsi="宋体" w:cs="宋体"/>
          <w:b/>
          <w:bCs/>
          <w:color w:val="000000" w:themeColor="text1"/>
          <w:sz w:val="24"/>
          <w14:textFill>
            <w14:solidFill>
              <w14:schemeClr w14:val="tx1"/>
            </w14:solidFill>
          </w14:textFill>
        </w:rPr>
        <w:t>声明与承诺</w:t>
      </w:r>
      <w:r>
        <w:rPr>
          <w:rFonts w:hint="eastAsia" w:ascii="宋体" w:hAnsi="宋体" w:cs="宋体"/>
          <w:b/>
          <w:bCs/>
          <w:color w:val="000000" w:themeColor="text1"/>
          <w:sz w:val="24"/>
          <w:lang w:val="fr-CH"/>
          <w14:textFill>
            <w14:solidFill>
              <w14:schemeClr w14:val="tx1"/>
            </w14:solidFill>
          </w14:textFill>
        </w:rPr>
        <w:t>；</w:t>
      </w:r>
    </w:p>
    <w:p>
      <w:pPr>
        <w:spacing w:line="360" w:lineRule="auto"/>
        <w:jc w:val="center"/>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诚信声明与承诺</w:t>
      </w:r>
    </w:p>
    <w:p>
      <w:pPr>
        <w:spacing w:line="360" w:lineRule="auto"/>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中国远东国际招标有限公司：</w:t>
      </w:r>
    </w:p>
    <w:p>
      <w:pPr>
        <w:spacing w:line="360" w:lineRule="auto"/>
        <w:ind w:firstLine="360" w:firstLineChars="15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我公司（单位）参与贵代理机构组织的项目（项目编号：）投标，现就诚信作如下声明与承诺：</w:t>
      </w:r>
    </w:p>
    <w:p>
      <w:pPr>
        <w:spacing w:line="360" w:lineRule="auto"/>
        <w:ind w:firstLine="360" w:firstLineChars="15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司（单位）承诺根据《深圳市财政局关于印发&lt;深圳市财政局政府采购供应商信用信息管理办法&gt;的通知》（深财规〔2023〕3号）相关规定，我司在全国范围内不存在因政府采购违法、违规行为受到财政部门罚款等一般行政处罚信息，不存在该办法第十一条所称在本市集中采购活动中的一般违法失信行为记录信息。</w:t>
      </w:r>
    </w:p>
    <w:p>
      <w:pPr>
        <w:spacing w:line="360" w:lineRule="auto"/>
        <w:ind w:firstLine="360" w:firstLineChars="15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我司对上述内容的真实性负责。如有虚假，将依法承担相应责任。</w:t>
      </w:r>
    </w:p>
    <w:p>
      <w:pPr>
        <w:spacing w:line="360" w:lineRule="auto"/>
        <w:ind w:firstLine="360" w:firstLineChars="15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特此声明与承诺！</w:t>
      </w:r>
    </w:p>
    <w:p>
      <w:pPr>
        <w:spacing w:line="360" w:lineRule="auto"/>
        <w:jc w:val="left"/>
        <w:rPr>
          <w:rFonts w:ascii="宋体" w:hAnsi="宋体" w:cs="宋体"/>
          <w:color w:val="000000" w:themeColor="text1"/>
          <w:sz w:val="24"/>
          <w14:textFill>
            <w14:solidFill>
              <w14:schemeClr w14:val="tx1"/>
            </w14:solidFill>
          </w14:textFill>
        </w:rPr>
      </w:pPr>
    </w:p>
    <w:p>
      <w:pPr>
        <w:spacing w:line="360" w:lineRule="auto"/>
        <w:jc w:val="left"/>
        <w:rPr>
          <w:rFonts w:ascii="宋体" w:hAnsi="宋体" w:cs="宋体"/>
          <w:color w:val="000000" w:themeColor="text1"/>
          <w:sz w:val="24"/>
          <w14:textFill>
            <w14:solidFill>
              <w14:schemeClr w14:val="tx1"/>
            </w14:solidFill>
          </w14:textFill>
        </w:rPr>
      </w:pPr>
    </w:p>
    <w:p>
      <w:pPr>
        <w:tabs>
          <w:tab w:val="left" w:pos="3780"/>
        </w:tabs>
        <w:spacing w:line="360" w:lineRule="auto"/>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投标供应商名称（盖章）：</w:t>
      </w:r>
    </w:p>
    <w:p>
      <w:pPr>
        <w:tabs>
          <w:tab w:val="left" w:pos="3780"/>
        </w:tabs>
        <w:spacing w:line="360" w:lineRule="auto"/>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日期：  年  月   日</w:t>
      </w:r>
    </w:p>
    <w:p>
      <w:pPr>
        <w:pStyle w:val="10"/>
        <w:spacing w:line="360" w:lineRule="auto"/>
        <w:jc w:val="left"/>
        <w:rPr>
          <w:rFonts w:hAnsi="宋体" w:cs="宋体"/>
          <w:color w:val="000000" w:themeColor="text1"/>
          <w:sz w:val="24"/>
          <w14:textFill>
            <w14:solidFill>
              <w14:schemeClr w14:val="tx1"/>
            </w14:solidFill>
          </w14:textFill>
        </w:rPr>
      </w:pPr>
    </w:p>
    <w:p>
      <w:pPr>
        <w:pStyle w:val="10"/>
        <w:spacing w:line="360" w:lineRule="auto"/>
        <w:jc w:val="left"/>
        <w:rPr>
          <w:rFonts w:hAnsi="宋体" w:cs="宋体"/>
          <w:color w:val="000000" w:themeColor="text1"/>
          <w:sz w:val="24"/>
          <w14:textFill>
            <w14:solidFill>
              <w14:schemeClr w14:val="tx1"/>
            </w14:solidFill>
          </w14:textFill>
        </w:rPr>
      </w:pPr>
    </w:p>
    <w:p>
      <w:pPr>
        <w:spacing w:before="100" w:beforeAutospacing="1" w:after="100" w:afterAutospacing="1" w:line="360" w:lineRule="auto"/>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注：近三年内，如投标人有任何违法违规、受惩罚和禁止、不良信用等记录，必须列明记载，并附网络截图（加盖公章）。</w:t>
      </w:r>
    </w:p>
    <w:p>
      <w:pPr>
        <w:pStyle w:val="8"/>
        <w:rPr>
          <w:color w:val="000000" w:themeColor="text1"/>
          <w:lang w:val="fr-CH"/>
          <w14:textFill>
            <w14:solidFill>
              <w14:schemeClr w14:val="tx1"/>
            </w14:solidFill>
          </w14:textFill>
        </w:rPr>
      </w:pPr>
    </w:p>
    <w:p>
      <w:pPr>
        <w:numPr>
          <w:ilvl w:val="0"/>
          <w:numId w:val="10"/>
        </w:numPr>
        <w:tabs>
          <w:tab w:val="left" w:pos="640"/>
          <w:tab w:val="left" w:pos="840"/>
          <w:tab w:val="left" w:pos="1260"/>
          <w:tab w:val="left" w:pos="1418"/>
        </w:tabs>
        <w:spacing w:line="360" w:lineRule="auto"/>
        <w:ind w:left="845" w:hanging="845"/>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br w:type="page"/>
      </w:r>
      <w:r>
        <w:rPr>
          <w:rFonts w:hint="eastAsia" w:ascii="宋体" w:hAnsi="宋体" w:cs="宋体"/>
          <w:color w:val="000000" w:themeColor="text1"/>
          <w:sz w:val="24"/>
          <w14:textFill>
            <w14:solidFill>
              <w14:schemeClr w14:val="tx1"/>
            </w14:solidFill>
          </w14:textFill>
        </w:rPr>
        <w:t>政府采购违法行为风险知悉确认书</w:t>
      </w:r>
    </w:p>
    <w:p>
      <w:pPr>
        <w:spacing w:line="360" w:lineRule="auto"/>
        <w:ind w:left="420"/>
        <w:jc w:val="center"/>
        <w:outlineLvl w:val="3"/>
        <w:rPr>
          <w:rFonts w:ascii="宋体"/>
          <w:b/>
          <w:color w:val="000000" w:themeColor="text1"/>
          <w:sz w:val="24"/>
          <w14:textFill>
            <w14:solidFill>
              <w14:schemeClr w14:val="tx1"/>
            </w14:solidFill>
          </w14:textFill>
        </w:rPr>
      </w:pPr>
      <w:r>
        <w:rPr>
          <w:rFonts w:hint="eastAsia" w:ascii="宋体"/>
          <w:b/>
          <w:color w:val="000000" w:themeColor="text1"/>
          <w:sz w:val="24"/>
          <w14:textFill>
            <w14:solidFill>
              <w14:schemeClr w14:val="tx1"/>
            </w14:solidFill>
          </w14:textFill>
        </w:rPr>
        <w:t>政府采购违法行为风险知悉确认书</w:t>
      </w:r>
    </w:p>
    <w:p>
      <w:pPr>
        <w:autoSpaceDE w:val="0"/>
        <w:autoSpaceDN w:val="0"/>
        <w:adjustRightInd w:val="0"/>
        <w:spacing w:line="360" w:lineRule="auto"/>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本公司（单位）在投标前已充分知悉以下情形为参与政府采购活动时的重大风险事项，并承诺已对下述风险提示事项重点排查，若存在下述情况，我单位愿意依法承担被记入供应商诚信档案、罚款、取消参与政府采购资格、吊销营业执照等处罚；构成犯罪的，依法承担刑事责任。</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9"/>
        <w:gridCol w:w="76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vAlign w:val="center"/>
          </w:tcPr>
          <w:p>
            <w:pPr>
              <w:jc w:val="center"/>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序号</w:t>
            </w:r>
          </w:p>
        </w:tc>
        <w:tc>
          <w:tcPr>
            <w:tcW w:w="7607" w:type="dxa"/>
            <w:vAlign w:val="center"/>
          </w:tcPr>
          <w:p>
            <w:pPr>
              <w:jc w:val="center"/>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供应商参与投标禁止情形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vAlign w:val="center"/>
          </w:tcPr>
          <w:p>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p>
        </w:tc>
        <w:tc>
          <w:tcPr>
            <w:tcW w:w="7607" w:type="dxa"/>
            <w:vAlign w:val="center"/>
          </w:tcPr>
          <w:p>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与其他投标供应商的法定代表人、主要经营负责人、投标授权代表人、项目负责人、主要技术人员为</w:t>
            </w:r>
            <w:r>
              <w:rPr>
                <w:rFonts w:hint="eastAsia" w:ascii="宋体" w:hAnsi="宋体" w:cs="宋体"/>
                <w:b/>
                <w:bCs/>
                <w:color w:val="000000" w:themeColor="text1"/>
                <w:sz w:val="24"/>
                <w14:textFill>
                  <w14:solidFill>
                    <w14:schemeClr w14:val="tx1"/>
                  </w14:solidFill>
                </w14:textFill>
              </w:rPr>
              <w:t>同一人、属同一单位或者在同一单位缴纳社会保险</w:t>
            </w:r>
            <w:r>
              <w:rPr>
                <w:rFonts w:hint="eastAsia" w:ascii="宋体" w:hAnsi="宋体" w:cs="宋体"/>
                <w:color w:val="000000" w:themeColor="text1"/>
                <w:sz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vAlign w:val="center"/>
          </w:tcPr>
          <w:p>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p>
        </w:tc>
        <w:tc>
          <w:tcPr>
            <w:tcW w:w="7607" w:type="dxa"/>
            <w:vAlign w:val="center"/>
          </w:tcPr>
          <w:p>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参与本项目政府采购活动时，与其他投标供应商存在单位负责人为</w:t>
            </w:r>
            <w:r>
              <w:rPr>
                <w:rFonts w:hint="eastAsia" w:ascii="宋体" w:hAnsi="宋体" w:cs="宋体"/>
                <w:b/>
                <w:bCs/>
                <w:color w:val="000000" w:themeColor="text1"/>
                <w:sz w:val="24"/>
                <w14:textFill>
                  <w14:solidFill>
                    <w14:schemeClr w14:val="tx1"/>
                  </w14:solidFill>
                </w14:textFill>
              </w:rPr>
              <w:t>同一人或直接控股、管理关系</w:t>
            </w:r>
            <w:r>
              <w:rPr>
                <w:rFonts w:hint="eastAsia" w:ascii="宋体" w:hAnsi="宋体" w:cs="宋体"/>
                <w:color w:val="000000" w:themeColor="text1"/>
                <w:sz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vAlign w:val="center"/>
          </w:tcPr>
          <w:p>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w:t>
            </w:r>
          </w:p>
        </w:tc>
        <w:tc>
          <w:tcPr>
            <w:tcW w:w="7607" w:type="dxa"/>
            <w:vAlign w:val="center"/>
          </w:tcPr>
          <w:p>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与其他投标供应商的投标文件或部分投标文件</w:t>
            </w:r>
            <w:r>
              <w:rPr>
                <w:rFonts w:hint="eastAsia" w:ascii="宋体" w:hAnsi="宋体" w:cs="宋体"/>
                <w:b/>
                <w:bCs/>
                <w:color w:val="000000" w:themeColor="text1"/>
                <w:sz w:val="24"/>
                <w14:textFill>
                  <w14:solidFill>
                    <w14:schemeClr w14:val="tx1"/>
                  </w14:solidFill>
                </w14:textFill>
              </w:rPr>
              <w:t>相互混装或存在非正常一致</w:t>
            </w:r>
            <w:r>
              <w:rPr>
                <w:rFonts w:hint="eastAsia" w:ascii="宋体" w:hAnsi="宋体" w:cs="宋体"/>
                <w:color w:val="000000" w:themeColor="text1"/>
                <w:sz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vAlign w:val="center"/>
          </w:tcPr>
          <w:p>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w:t>
            </w:r>
          </w:p>
        </w:tc>
        <w:tc>
          <w:tcPr>
            <w:tcW w:w="7607" w:type="dxa"/>
            <w:vAlign w:val="center"/>
          </w:tcPr>
          <w:p>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与其他投标供应商的投标文件由</w:t>
            </w:r>
            <w:r>
              <w:rPr>
                <w:rFonts w:hint="eastAsia" w:ascii="宋体" w:hAnsi="宋体" w:cs="宋体"/>
                <w:b/>
                <w:bCs/>
                <w:color w:val="000000" w:themeColor="text1"/>
                <w:sz w:val="24"/>
                <w14:textFill>
                  <w14:solidFill>
                    <w14:schemeClr w14:val="tx1"/>
                  </w14:solidFill>
                </w14:textFill>
              </w:rPr>
              <w:t>同一单位或者同一人编制</w:t>
            </w:r>
            <w:r>
              <w:rPr>
                <w:rFonts w:hint="eastAsia" w:ascii="宋体" w:hAnsi="宋体" w:cs="宋体"/>
                <w:color w:val="000000" w:themeColor="text1"/>
                <w:sz w:val="24"/>
                <w14:textFill>
                  <w14:solidFill>
                    <w14:schemeClr w14:val="tx1"/>
                  </w14:solidFill>
                </w14:textFill>
              </w:rPr>
              <w:t>，或者使用</w:t>
            </w:r>
            <w:r>
              <w:rPr>
                <w:rFonts w:hint="eastAsia" w:ascii="宋体" w:hAnsi="宋体" w:cs="宋体"/>
                <w:b/>
                <w:bCs/>
                <w:color w:val="000000" w:themeColor="text1"/>
                <w:sz w:val="24"/>
                <w14:textFill>
                  <w14:solidFill>
                    <w14:schemeClr w14:val="tx1"/>
                  </w14:solidFill>
                </w14:textFill>
              </w:rPr>
              <w:t>同一设备编制</w:t>
            </w:r>
            <w:r>
              <w:rPr>
                <w:rFonts w:hint="eastAsia" w:ascii="宋体" w:hAnsi="宋体" w:cs="宋体"/>
                <w:color w:val="000000" w:themeColor="text1"/>
                <w:sz w:val="24"/>
                <w14:textFill>
                  <w14:solidFill>
                    <w14:schemeClr w14:val="tx1"/>
                  </w14:solidFill>
                </w14:textFill>
              </w:rPr>
              <w:t>（“文件制作机器码”“文件创建标识码”一致）。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vAlign w:val="center"/>
          </w:tcPr>
          <w:p>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w:t>
            </w:r>
          </w:p>
        </w:tc>
        <w:tc>
          <w:tcPr>
            <w:tcW w:w="7607" w:type="dxa"/>
            <w:vAlign w:val="center"/>
          </w:tcPr>
          <w:p>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提供</w:t>
            </w:r>
            <w:r>
              <w:rPr>
                <w:rFonts w:hint="eastAsia" w:ascii="宋体" w:hAnsi="宋体" w:cs="宋体"/>
                <w:b/>
                <w:bCs/>
                <w:color w:val="000000" w:themeColor="text1"/>
                <w:sz w:val="24"/>
                <w14:textFill>
                  <w14:solidFill>
                    <w14:schemeClr w14:val="tx1"/>
                  </w14:solidFill>
                </w14:textFill>
              </w:rPr>
              <w:t>未经出具机构核实</w:t>
            </w:r>
            <w:r>
              <w:rPr>
                <w:rFonts w:hint="eastAsia" w:ascii="宋体" w:hAnsi="宋体" w:cs="宋体"/>
                <w:color w:val="000000" w:themeColor="text1"/>
                <w:sz w:val="24"/>
                <w14:textFill>
                  <w14:solidFill>
                    <w14:schemeClr w14:val="tx1"/>
                  </w14:solidFill>
                </w14:textFill>
              </w:rPr>
              <w:t>的虚假的检验检测报告、业绩材料、社保缴纳证明、学历学位证书、职称认证证书等材料。</w:t>
            </w:r>
          </w:p>
        </w:tc>
      </w:tr>
    </w:tbl>
    <w:p>
      <w:pPr>
        <w:autoSpaceDE w:val="0"/>
        <w:autoSpaceDN w:val="0"/>
        <w:adjustRightInd w:val="0"/>
        <w:spacing w:line="360" w:lineRule="auto"/>
        <w:ind w:firstLine="480" w:firstLineChars="200"/>
        <w:jc w:val="left"/>
        <w:rPr>
          <w:rFonts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一、本公司（单位）已充分知悉“隐瞒真实情况，提供虚假资料”的法定情形，相关情形包括但不限于：</w:t>
      </w:r>
    </w:p>
    <w:p>
      <w:pPr>
        <w:autoSpaceDE w:val="0"/>
        <w:autoSpaceDN w:val="0"/>
        <w:adjustRightInd w:val="0"/>
        <w:spacing w:line="360" w:lineRule="auto"/>
        <w:ind w:firstLine="480" w:firstLineChars="200"/>
        <w:jc w:val="left"/>
        <w:rPr>
          <w:rFonts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（一）通过转让或者租借等方式从其他单位获取资格或者资质证书投标的。</w:t>
      </w:r>
    </w:p>
    <w:p>
      <w:pPr>
        <w:autoSpaceDE w:val="0"/>
        <w:autoSpaceDN w:val="0"/>
        <w:adjustRightInd w:val="0"/>
        <w:spacing w:line="360" w:lineRule="auto"/>
        <w:ind w:firstLine="600" w:firstLineChars="250"/>
        <w:jc w:val="left"/>
        <w:rPr>
          <w:rFonts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（二）由其他单位或者其他单位负责人在投标供应商编制的投标文件上加盖印章或者签字的。</w:t>
      </w:r>
    </w:p>
    <w:p>
      <w:pPr>
        <w:autoSpaceDE w:val="0"/>
        <w:autoSpaceDN w:val="0"/>
        <w:adjustRightInd w:val="0"/>
        <w:spacing w:line="360" w:lineRule="auto"/>
        <w:ind w:firstLine="600" w:firstLineChars="250"/>
        <w:jc w:val="left"/>
        <w:rPr>
          <w:rFonts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（三）项目负责人或者主要技术人员不是本单位人员的。</w:t>
      </w:r>
    </w:p>
    <w:p>
      <w:pPr>
        <w:autoSpaceDE w:val="0"/>
        <w:autoSpaceDN w:val="0"/>
        <w:adjustRightInd w:val="0"/>
        <w:spacing w:line="360" w:lineRule="auto"/>
        <w:ind w:firstLine="600" w:firstLineChars="250"/>
        <w:jc w:val="left"/>
        <w:rPr>
          <w:rFonts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（四）投标保证金不是从投标供应商基本账户转出的。</w:t>
      </w:r>
    </w:p>
    <w:p>
      <w:pPr>
        <w:autoSpaceDE w:val="0"/>
        <w:autoSpaceDN w:val="0"/>
        <w:adjustRightInd w:val="0"/>
        <w:spacing w:line="360" w:lineRule="auto"/>
        <w:ind w:firstLine="600" w:firstLineChars="250"/>
        <w:jc w:val="left"/>
        <w:rPr>
          <w:rFonts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（五）其他隐瞒真实情况、提供虚假资料的行为。</w:t>
      </w:r>
    </w:p>
    <w:p>
      <w:pPr>
        <w:autoSpaceDE w:val="0"/>
        <w:autoSpaceDN w:val="0"/>
        <w:adjustRightInd w:val="0"/>
        <w:spacing w:line="360" w:lineRule="auto"/>
        <w:ind w:firstLine="480" w:firstLineChars="200"/>
        <w:jc w:val="left"/>
        <w:rPr>
          <w:rFonts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二、本公司（单位）已充分知悉“与其他采购参加人串通投标”的法定情形，相关情形包括但不限于：</w:t>
      </w:r>
    </w:p>
    <w:p>
      <w:pPr>
        <w:autoSpaceDE w:val="0"/>
        <w:autoSpaceDN w:val="0"/>
        <w:adjustRightInd w:val="0"/>
        <w:spacing w:line="360" w:lineRule="auto"/>
        <w:ind w:firstLine="480" w:firstLineChars="200"/>
        <w:jc w:val="left"/>
        <w:rPr>
          <w:rFonts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（一）投标供应商之间相互约定给予未中标的供应商利益补偿。</w:t>
      </w:r>
    </w:p>
    <w:p>
      <w:pPr>
        <w:autoSpaceDE w:val="0"/>
        <w:autoSpaceDN w:val="0"/>
        <w:adjustRightInd w:val="0"/>
        <w:spacing w:line="360" w:lineRule="auto"/>
        <w:ind w:firstLine="480" w:firstLineChars="200"/>
        <w:jc w:val="left"/>
        <w:rPr>
          <w:rFonts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（二）不同投标供应商的法定代表人、主要经营负责人、项目投标授权代表人、项目负责人、主要技术人员为同一人、属同一单位或者在同一单位缴纳社会保险。</w:t>
      </w:r>
    </w:p>
    <w:p>
      <w:pPr>
        <w:autoSpaceDE w:val="0"/>
        <w:autoSpaceDN w:val="0"/>
        <w:adjustRightInd w:val="0"/>
        <w:spacing w:line="360" w:lineRule="auto"/>
        <w:ind w:firstLine="480" w:firstLineChars="200"/>
        <w:jc w:val="left"/>
        <w:rPr>
          <w:rFonts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（三）不同投标供应商的投标文件由同一单位或者同一人编制，或者由同一人分阶段参与编制的。</w:t>
      </w:r>
    </w:p>
    <w:p>
      <w:pPr>
        <w:autoSpaceDE w:val="0"/>
        <w:autoSpaceDN w:val="0"/>
        <w:adjustRightInd w:val="0"/>
        <w:spacing w:line="360" w:lineRule="auto"/>
        <w:ind w:firstLine="480" w:firstLineChars="200"/>
        <w:jc w:val="left"/>
        <w:rPr>
          <w:rFonts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（四）不同投标供应商的投标文件或部分投标文件相互混装。</w:t>
      </w:r>
    </w:p>
    <w:p>
      <w:pPr>
        <w:autoSpaceDE w:val="0"/>
        <w:autoSpaceDN w:val="0"/>
        <w:adjustRightInd w:val="0"/>
        <w:spacing w:line="360" w:lineRule="auto"/>
        <w:ind w:firstLine="480" w:firstLineChars="200"/>
        <w:jc w:val="left"/>
        <w:rPr>
          <w:rFonts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（五）不同投标供应商的投标文件内容存在非正常一致。</w:t>
      </w:r>
    </w:p>
    <w:p>
      <w:pPr>
        <w:autoSpaceDE w:val="0"/>
        <w:autoSpaceDN w:val="0"/>
        <w:adjustRightInd w:val="0"/>
        <w:spacing w:line="360" w:lineRule="auto"/>
        <w:ind w:firstLine="480" w:firstLineChars="200"/>
        <w:jc w:val="left"/>
        <w:rPr>
          <w:rFonts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（六）由同一单位工作人员为两家以上（含两家）供应商进行同一项投标活动的。</w:t>
      </w:r>
    </w:p>
    <w:p>
      <w:pPr>
        <w:autoSpaceDE w:val="0"/>
        <w:autoSpaceDN w:val="0"/>
        <w:adjustRightInd w:val="0"/>
        <w:spacing w:line="360" w:lineRule="auto"/>
        <w:ind w:firstLine="480" w:firstLineChars="200"/>
        <w:jc w:val="left"/>
        <w:rPr>
          <w:rFonts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（七）不同投标人的投标报价呈规律性差异。</w:t>
      </w:r>
    </w:p>
    <w:p>
      <w:pPr>
        <w:autoSpaceDE w:val="0"/>
        <w:autoSpaceDN w:val="0"/>
        <w:adjustRightInd w:val="0"/>
        <w:spacing w:line="360" w:lineRule="auto"/>
        <w:ind w:firstLine="480" w:firstLineChars="200"/>
        <w:jc w:val="left"/>
        <w:rPr>
          <w:rFonts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（八）不同投标人的投标保证金从同一单位或者个人的账户转出。</w:t>
      </w:r>
    </w:p>
    <w:p>
      <w:pPr>
        <w:autoSpaceDE w:val="0"/>
        <w:autoSpaceDN w:val="0"/>
        <w:adjustRightInd w:val="0"/>
        <w:spacing w:line="360" w:lineRule="auto"/>
        <w:ind w:firstLine="480" w:firstLineChars="200"/>
        <w:jc w:val="left"/>
        <w:rPr>
          <w:rFonts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（九）主管部门依照法律、法规认定的其他情形。</w:t>
      </w:r>
    </w:p>
    <w:p>
      <w:pPr>
        <w:autoSpaceDE w:val="0"/>
        <w:autoSpaceDN w:val="0"/>
        <w:adjustRightInd w:val="0"/>
        <w:spacing w:line="360" w:lineRule="auto"/>
        <w:ind w:firstLine="480" w:firstLineChars="200"/>
        <w:jc w:val="left"/>
        <w:rPr>
          <w:rFonts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三、本公司（单位）已充分知悉下列情形所对应的法律风险，并在投标前已对相关风险事项进行排查。</w:t>
      </w:r>
    </w:p>
    <w:p>
      <w:pPr>
        <w:autoSpaceDE w:val="0"/>
        <w:autoSpaceDN w:val="0"/>
        <w:adjustRightInd w:val="0"/>
        <w:spacing w:line="360" w:lineRule="auto"/>
        <w:ind w:firstLine="360" w:firstLineChars="150"/>
        <w:jc w:val="left"/>
        <w:rPr>
          <w:rFonts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一）对于从其他主体获取的投标资料，供应商应审慎核查，确保投标资料的真实性。如主管部门查实投标文件中存在虚假资料的，无论相关资料是否由第三方或本公司（单位）员工提供，均不影响主管部门对供应商存在“隐瞒真实情况，提供虚假资料”违法行为的认定。</w:t>
      </w:r>
    </w:p>
    <w:p>
      <w:pPr>
        <w:autoSpaceDE w:val="0"/>
        <w:autoSpaceDN w:val="0"/>
        <w:adjustRightInd w:val="0"/>
        <w:spacing w:line="360" w:lineRule="auto"/>
        <w:ind w:firstLine="360" w:firstLineChars="150"/>
        <w:jc w:val="left"/>
        <w:rPr>
          <w:rFonts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（二）对于涉及国家机关出具的公文、证件、证明材料等文件，一旦涉嫌虚假，经查实，主管部门将依法从严处理，并移送有关部门追究法律责任；涉嫌犯罪的，主管部门将一并移送司法机关追究法律责任。</w:t>
      </w:r>
    </w:p>
    <w:p>
      <w:pPr>
        <w:autoSpaceDE w:val="0"/>
        <w:autoSpaceDN w:val="0"/>
        <w:adjustRightInd w:val="0"/>
        <w:spacing w:line="360" w:lineRule="auto"/>
        <w:ind w:firstLine="360" w:firstLineChars="150"/>
        <w:jc w:val="left"/>
        <w:rPr>
          <w:rFonts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（三）对于涉及安全生产、特种作业、抢险救灾、防疫等政府采购项目，供应商实施提供虚假资料、串通投标等违法行为的，主管部门将依法从严处理。</w:t>
      </w:r>
    </w:p>
    <w:p>
      <w:pPr>
        <w:autoSpaceDE w:val="0"/>
        <w:autoSpaceDN w:val="0"/>
        <w:adjustRightInd w:val="0"/>
        <w:spacing w:line="360" w:lineRule="auto"/>
        <w:ind w:firstLine="360" w:firstLineChars="150"/>
        <w:jc w:val="left"/>
        <w:rPr>
          <w:rFonts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四）供应商应严格规范项目授权代表、员工参与招标投标的行为，加强对投标文件的审核。项目授权代表、员工编制、上传投标文件等行为违反政府采购法律法规或招标文件要求的，投标供应商应当依法承担相应法律责任。</w:t>
      </w:r>
    </w:p>
    <w:p>
      <w:pPr>
        <w:autoSpaceDE w:val="0"/>
        <w:autoSpaceDN w:val="0"/>
        <w:adjustRightInd w:val="0"/>
        <w:spacing w:line="360" w:lineRule="auto"/>
        <w:ind w:firstLine="480" w:firstLineChars="200"/>
        <w:jc w:val="left"/>
        <w:rPr>
          <w:rFonts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五）供应商对投标电子密钥负有妥善保管、及时变更和续期等主体责任。供应商使用电子密钥在深圳政府采购网站进行的活动，均具有法律效力，须承担相应的法律后果。供应商擅自将投标密钥出借他人使用所造成的法律后果，由供应商自行承担。</w:t>
      </w:r>
    </w:p>
    <w:p>
      <w:pPr>
        <w:autoSpaceDE w:val="0"/>
        <w:autoSpaceDN w:val="0"/>
        <w:adjustRightInd w:val="0"/>
        <w:spacing w:line="360" w:lineRule="auto"/>
        <w:ind w:firstLine="480" w:firstLineChars="200"/>
        <w:jc w:val="left"/>
        <w:rPr>
          <w:rFonts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（六）单位负责人为同一人或者存在直接控股、管理关系的不同供应商，不得参加同一合同项下的政府采购活动。相关情形如查实，依法作投标无效处理；涉嫌串通投标等违法行为的，主管部门将依法调查处理。</w:t>
      </w:r>
    </w:p>
    <w:p>
      <w:pPr>
        <w:autoSpaceDE w:val="0"/>
        <w:autoSpaceDN w:val="0"/>
        <w:adjustRightInd w:val="0"/>
        <w:spacing w:line="360" w:lineRule="auto"/>
        <w:ind w:firstLine="480" w:firstLineChars="200"/>
        <w:jc w:val="left"/>
        <w:rPr>
          <w:rFonts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四、本公司（单位）已充分知悉政府采购违法、违规行为的法律后果。经查实，若投标供应商存在政府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pPr>
        <w:autoSpaceDE w:val="0"/>
        <w:autoSpaceDN w:val="0"/>
        <w:adjustRightInd w:val="0"/>
        <w:spacing w:line="360" w:lineRule="auto"/>
        <w:jc w:val="left"/>
        <w:rPr>
          <w:rFonts w:ascii="宋体" w:hAnsi="宋体" w:cs="仿宋_GB2312"/>
          <w:color w:val="000000" w:themeColor="text1"/>
          <w:kern w:val="0"/>
          <w:sz w:val="24"/>
          <w14:textFill>
            <w14:solidFill>
              <w14:schemeClr w14:val="tx1"/>
            </w14:solidFill>
          </w14:textFill>
        </w:rPr>
      </w:pPr>
    </w:p>
    <w:p>
      <w:pPr>
        <w:autoSpaceDE w:val="0"/>
        <w:autoSpaceDN w:val="0"/>
        <w:adjustRightInd w:val="0"/>
        <w:spacing w:line="360" w:lineRule="auto"/>
        <w:ind w:firstLine="480" w:firstLineChars="200"/>
        <w:jc w:val="left"/>
        <w:rPr>
          <w:rFonts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以下文字请投标供应商</w:t>
      </w:r>
      <w:r>
        <w:rPr>
          <w:rFonts w:hint="eastAsia" w:ascii="宋体" w:hAnsi="宋体" w:cs="仿宋_GB2312"/>
          <w:b/>
          <w:bCs/>
          <w:color w:val="000000" w:themeColor="text1"/>
          <w:kern w:val="0"/>
          <w:sz w:val="24"/>
          <w14:textFill>
            <w14:solidFill>
              <w14:schemeClr w14:val="tx1"/>
            </w14:solidFill>
          </w14:textFill>
        </w:rPr>
        <w:t>抄写并确认</w:t>
      </w:r>
      <w:r>
        <w:rPr>
          <w:rFonts w:hint="eastAsia" w:ascii="宋体" w:hAnsi="宋体" w:cs="仿宋_GB2312"/>
          <w:color w:val="000000" w:themeColor="text1"/>
          <w:kern w:val="0"/>
          <w:sz w:val="24"/>
          <w14:textFill>
            <w14:solidFill>
              <w14:schemeClr w14:val="tx1"/>
            </w14:solidFill>
          </w14:textFill>
        </w:rPr>
        <w:t>：“本公司（单位）已仔细阅读《政府采购违法行为风险知悉确认书》，充分知悉违法行为的法律后果，并承诺将严谨、诚信、依法依规参与政府采购活动”。</w:t>
      </w:r>
    </w:p>
    <w:p>
      <w:pPr>
        <w:autoSpaceDE w:val="0"/>
        <w:autoSpaceDN w:val="0"/>
        <w:adjustRightInd w:val="0"/>
        <w:spacing w:line="360" w:lineRule="auto"/>
        <w:jc w:val="left"/>
        <w:rPr>
          <w:rFonts w:ascii="宋体" w:hAnsi="宋体" w:cs="仿宋_GB2312"/>
          <w:color w:val="000000" w:themeColor="text1"/>
          <w:kern w:val="0"/>
          <w:sz w:val="24"/>
          <w:u w:val="single"/>
          <w14:textFill>
            <w14:solidFill>
              <w14:schemeClr w14:val="tx1"/>
            </w14:solidFill>
          </w14:textFill>
        </w:rPr>
      </w:pPr>
      <w:r>
        <w:rPr>
          <w:rFonts w:hint="eastAsia" w:ascii="宋体" w:hAnsi="宋体" w:cs="仿宋_GB2312"/>
          <w:color w:val="000000" w:themeColor="text1"/>
          <w:kern w:val="0"/>
          <w:sz w:val="24"/>
          <w:u w:val="single"/>
          <w14:textFill>
            <w14:solidFill>
              <w14:schemeClr w14:val="tx1"/>
            </w14:solidFill>
          </w14:textFill>
        </w:rPr>
        <w:t xml:space="preserve">                                                                                        </w:t>
      </w:r>
    </w:p>
    <w:p>
      <w:pPr>
        <w:autoSpaceDE w:val="0"/>
        <w:autoSpaceDN w:val="0"/>
        <w:adjustRightInd w:val="0"/>
        <w:spacing w:line="360" w:lineRule="auto"/>
        <w:jc w:val="left"/>
        <w:rPr>
          <w:rFonts w:ascii="宋体" w:hAnsi="宋体" w:cs="仿宋_GB2312"/>
          <w:color w:val="000000" w:themeColor="text1"/>
          <w:kern w:val="0"/>
          <w:sz w:val="24"/>
          <w:u w:val="single"/>
          <w14:textFill>
            <w14:solidFill>
              <w14:schemeClr w14:val="tx1"/>
            </w14:solidFill>
          </w14:textFill>
        </w:rPr>
      </w:pPr>
      <w:r>
        <w:rPr>
          <w:rFonts w:hint="eastAsia" w:ascii="宋体" w:hAnsi="宋体" w:cs="仿宋_GB2312"/>
          <w:color w:val="000000" w:themeColor="text1"/>
          <w:kern w:val="0"/>
          <w:sz w:val="24"/>
          <w:u w:val="single"/>
          <w14:textFill>
            <w14:solidFill>
              <w14:schemeClr w14:val="tx1"/>
            </w14:solidFill>
          </w14:textFill>
        </w:rPr>
        <w:t xml:space="preserve">                                                                                       </w:t>
      </w:r>
    </w:p>
    <w:p>
      <w:pPr>
        <w:autoSpaceDE w:val="0"/>
        <w:autoSpaceDN w:val="0"/>
        <w:adjustRightInd w:val="0"/>
        <w:spacing w:line="360" w:lineRule="auto"/>
        <w:jc w:val="left"/>
        <w:rPr>
          <w:rFonts w:ascii="宋体" w:hAnsi="宋体" w:cs="仿宋_GB2312"/>
          <w:color w:val="000000" w:themeColor="text1"/>
          <w:kern w:val="0"/>
          <w:sz w:val="24"/>
          <w:u w:val="single"/>
          <w14:textFill>
            <w14:solidFill>
              <w14:schemeClr w14:val="tx1"/>
            </w14:solidFill>
          </w14:textFill>
        </w:rPr>
      </w:pPr>
      <w:r>
        <w:rPr>
          <w:rFonts w:hint="eastAsia" w:ascii="宋体" w:hAnsi="宋体" w:cs="仿宋_GB2312"/>
          <w:color w:val="000000" w:themeColor="text1"/>
          <w:kern w:val="0"/>
          <w:sz w:val="24"/>
          <w:u w:val="single"/>
          <w14:textFill>
            <w14:solidFill>
              <w14:schemeClr w14:val="tx1"/>
            </w14:solidFill>
          </w14:textFill>
        </w:rPr>
        <w:t xml:space="preserve">                                                                                       </w:t>
      </w:r>
    </w:p>
    <w:p>
      <w:pPr>
        <w:autoSpaceDE w:val="0"/>
        <w:autoSpaceDN w:val="0"/>
        <w:adjustRightInd w:val="0"/>
        <w:spacing w:line="360" w:lineRule="auto"/>
        <w:jc w:val="left"/>
        <w:rPr>
          <w:rFonts w:ascii="宋体" w:hAnsi="宋体" w:cs="仿宋_GB2312"/>
          <w:color w:val="000000" w:themeColor="text1"/>
          <w:kern w:val="0"/>
          <w:sz w:val="24"/>
          <w:u w:val="single"/>
          <w14:textFill>
            <w14:solidFill>
              <w14:schemeClr w14:val="tx1"/>
            </w14:solidFill>
          </w14:textFill>
        </w:rPr>
      </w:pPr>
      <w:r>
        <w:rPr>
          <w:rFonts w:hint="eastAsia" w:ascii="宋体" w:hAnsi="宋体" w:cs="仿宋_GB2312"/>
          <w:color w:val="000000" w:themeColor="text1"/>
          <w:kern w:val="0"/>
          <w:sz w:val="24"/>
          <w:u w:val="single"/>
          <w14:textFill>
            <w14:solidFill>
              <w14:schemeClr w14:val="tx1"/>
            </w14:solidFill>
          </w14:textFill>
        </w:rPr>
        <w:t xml:space="preserve">                                                                                       </w:t>
      </w:r>
    </w:p>
    <w:p>
      <w:pPr>
        <w:autoSpaceDE w:val="0"/>
        <w:autoSpaceDN w:val="0"/>
        <w:adjustRightInd w:val="0"/>
        <w:spacing w:line="360" w:lineRule="auto"/>
        <w:ind w:firstLine="480" w:firstLineChars="200"/>
        <w:jc w:val="left"/>
        <w:rPr>
          <w:rFonts w:ascii="宋体" w:hAnsi="宋体" w:cs="仿宋_GB2312"/>
          <w:color w:val="000000" w:themeColor="text1"/>
          <w:kern w:val="0"/>
          <w:sz w:val="24"/>
          <w14:textFill>
            <w14:solidFill>
              <w14:schemeClr w14:val="tx1"/>
            </w14:solidFill>
          </w14:textFill>
        </w:rPr>
      </w:pPr>
    </w:p>
    <w:p>
      <w:pPr>
        <w:autoSpaceDE w:val="0"/>
        <w:autoSpaceDN w:val="0"/>
        <w:adjustRightInd w:val="0"/>
        <w:spacing w:line="360" w:lineRule="auto"/>
        <w:ind w:firstLine="480" w:firstLineChars="200"/>
        <w:jc w:val="left"/>
        <w:rPr>
          <w:rFonts w:ascii="宋体" w:hAnsi="宋体" w:cs="仿宋_GB2312"/>
          <w:color w:val="000000" w:themeColor="text1"/>
          <w:kern w:val="0"/>
          <w:sz w:val="24"/>
          <w14:textFill>
            <w14:solidFill>
              <w14:schemeClr w14:val="tx1"/>
            </w14:solidFill>
          </w14:textFill>
        </w:rPr>
      </w:pPr>
    </w:p>
    <w:p>
      <w:pPr>
        <w:autoSpaceDE w:val="0"/>
        <w:autoSpaceDN w:val="0"/>
        <w:adjustRightInd w:val="0"/>
        <w:spacing w:line="360" w:lineRule="auto"/>
        <w:ind w:firstLine="480" w:firstLineChars="200"/>
        <w:jc w:val="left"/>
        <w:rPr>
          <w:rFonts w:ascii="宋体" w:hAnsi="宋体" w:cs="仿宋_GB2312"/>
          <w:color w:val="000000" w:themeColor="text1"/>
          <w:kern w:val="0"/>
          <w:sz w:val="24"/>
          <w14:textFill>
            <w14:solidFill>
              <w14:schemeClr w14:val="tx1"/>
            </w14:solidFill>
          </w14:textFill>
        </w:rPr>
      </w:pPr>
    </w:p>
    <w:p>
      <w:pPr>
        <w:autoSpaceDE w:val="0"/>
        <w:autoSpaceDN w:val="0"/>
        <w:adjustRightInd w:val="0"/>
        <w:spacing w:line="360" w:lineRule="auto"/>
        <w:ind w:firstLine="3840" w:firstLineChars="1600"/>
        <w:jc w:val="left"/>
        <w:rPr>
          <w:rFonts w:ascii="宋体" w:hAnsi="宋体" w:cs="仿宋_GB2312"/>
          <w:color w:val="000000" w:themeColor="text1"/>
          <w:kern w:val="0"/>
          <w:sz w:val="24"/>
          <w:u w:val="single"/>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负责人</w:t>
      </w:r>
      <w:r>
        <w:rPr>
          <w:rFonts w:ascii="宋体" w:hAnsi="宋体" w:cs="仿宋_GB2312"/>
          <w:color w:val="000000" w:themeColor="text1"/>
          <w:kern w:val="0"/>
          <w:sz w:val="24"/>
          <w14:textFill>
            <w14:solidFill>
              <w14:schemeClr w14:val="tx1"/>
            </w14:solidFill>
          </w14:textFill>
        </w:rPr>
        <w:t>/</w:t>
      </w:r>
      <w:r>
        <w:rPr>
          <w:rFonts w:hint="eastAsia" w:ascii="宋体" w:hAnsi="宋体" w:cs="仿宋_GB2312"/>
          <w:color w:val="000000" w:themeColor="text1"/>
          <w:kern w:val="0"/>
          <w:sz w:val="24"/>
          <w14:textFill>
            <w14:solidFill>
              <w14:schemeClr w14:val="tx1"/>
            </w14:solidFill>
          </w14:textFill>
        </w:rPr>
        <w:t>投标授权代表签名：</w:t>
      </w:r>
      <w:r>
        <w:rPr>
          <w:rFonts w:hint="eastAsia" w:ascii="宋体" w:hAnsi="宋体" w:cs="仿宋_GB2312"/>
          <w:color w:val="000000" w:themeColor="text1"/>
          <w:kern w:val="0"/>
          <w:sz w:val="24"/>
          <w:u w:val="single"/>
          <w14:textFill>
            <w14:solidFill>
              <w14:schemeClr w14:val="tx1"/>
            </w14:solidFill>
          </w14:textFill>
        </w:rPr>
        <w:t xml:space="preserve">                </w:t>
      </w:r>
    </w:p>
    <w:p>
      <w:pPr>
        <w:autoSpaceDE w:val="0"/>
        <w:autoSpaceDN w:val="0"/>
        <w:adjustRightInd w:val="0"/>
        <w:spacing w:line="360" w:lineRule="auto"/>
        <w:ind w:firstLine="4920" w:firstLineChars="2050"/>
        <w:jc w:val="left"/>
        <w:rPr>
          <w:rFonts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知悉人（公章）：</w:t>
      </w:r>
    </w:p>
    <w:p>
      <w:pPr>
        <w:spacing w:line="360" w:lineRule="auto"/>
        <w:jc w:val="right"/>
        <w:rPr>
          <w:rFonts w:ascii="宋体" w:hAnsi="宋体" w:cs="宋体"/>
          <w:color w:val="000000" w:themeColor="text1"/>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日期： 202  年   月   日</w:t>
      </w:r>
      <w:r>
        <w:rPr>
          <w:rFonts w:hint="eastAsia" w:ascii="宋体" w:hAnsi="宋体" w:cs="宋体"/>
          <w:color w:val="000000" w:themeColor="text1"/>
          <w:sz w:val="24"/>
          <w14:textFill>
            <w14:solidFill>
              <w14:schemeClr w14:val="tx1"/>
            </w14:solidFill>
          </w14:textFill>
        </w:rPr>
        <w:br w:type="page"/>
      </w:r>
    </w:p>
    <w:p>
      <w:pPr>
        <w:numPr>
          <w:ilvl w:val="0"/>
          <w:numId w:val="10"/>
        </w:numPr>
        <w:tabs>
          <w:tab w:val="left" w:pos="640"/>
          <w:tab w:val="left" w:pos="840"/>
          <w:tab w:val="left" w:pos="1260"/>
          <w:tab w:val="left" w:pos="1418"/>
        </w:tabs>
        <w:spacing w:line="360" w:lineRule="auto"/>
        <w:ind w:left="845" w:hanging="845"/>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参与价格扣除的证明文件</w:t>
      </w:r>
    </w:p>
    <w:p>
      <w:pPr>
        <w:keepNext/>
        <w:keepLines/>
        <w:jc w:val="center"/>
        <w:outlineLvl w:val="4"/>
        <w:rPr>
          <w:rFonts w:ascii="宋体" w:hAnsi="宋体" w:cs="宋体"/>
          <w:bCs/>
          <w:color w:val="000000" w:themeColor="text1"/>
          <w:kern w:val="44"/>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①中小企业声明函（工程、服务）</w:t>
      </w:r>
    </w:p>
    <w:p>
      <w:pPr>
        <w:widowControl/>
        <w:ind w:firstLine="480" w:firstLineChars="200"/>
        <w:textAlignment w:val="baseline"/>
        <w:rPr>
          <w:rFonts w:ascii="宋体" w:hAnsi="宋体" w:cs="宋体"/>
          <w:color w:val="000000" w:themeColor="text1"/>
          <w:sz w:val="24"/>
          <w14:textFill>
            <w14:solidFill>
              <w14:schemeClr w14:val="tx1"/>
            </w14:solidFill>
          </w14:textFill>
        </w:rPr>
      </w:pPr>
    </w:p>
    <w:p>
      <w:pPr>
        <w:widowControl/>
        <w:ind w:firstLine="480" w:firstLineChars="200"/>
        <w:textAlignment w:val="baseline"/>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本公司（联合体）郑重声明，根据《政府采购促进中小企业发展管理办法》（财库﹝2020﹞46 号）的规定，本公司</w:t>
      </w:r>
    </w:p>
    <w:p>
      <w:pPr>
        <w:widowControl/>
        <w:ind w:firstLine="480" w:firstLineChars="200"/>
        <w:textAlignment w:val="baseline"/>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（联合体）参加</w:t>
      </w:r>
      <w:r>
        <w:rPr>
          <w:rFonts w:hint="eastAsia" w:ascii="宋体" w:hAnsi="宋体" w:cs="宋体"/>
          <w:color w:val="000000" w:themeColor="text1"/>
          <w:sz w:val="24"/>
          <w:u w:val="single"/>
          <w14:textFill>
            <w14:solidFill>
              <w14:schemeClr w14:val="tx1"/>
            </w14:solidFill>
          </w14:textFill>
        </w:rPr>
        <w:t>（单位名称）</w:t>
      </w:r>
      <w:r>
        <w:rPr>
          <w:rFonts w:hint="eastAsia" w:ascii="宋体" w:hAnsi="宋体" w:cs="宋体"/>
          <w:color w:val="000000" w:themeColor="text1"/>
          <w:sz w:val="24"/>
          <w14:textFill>
            <w14:solidFill>
              <w14:schemeClr w14:val="tx1"/>
            </w14:solidFill>
          </w14:textFill>
        </w:rPr>
        <w:t>的</w:t>
      </w:r>
      <w:r>
        <w:rPr>
          <w:rFonts w:hint="eastAsia" w:ascii="宋体" w:hAnsi="宋体" w:cs="宋体"/>
          <w:color w:val="000000" w:themeColor="text1"/>
          <w:sz w:val="24"/>
          <w:u w:val="single"/>
          <w14:textFill>
            <w14:solidFill>
              <w14:schemeClr w14:val="tx1"/>
            </w14:solidFill>
          </w14:textFill>
        </w:rPr>
        <w:t>（项目名称）</w:t>
      </w:r>
      <w:r>
        <w:rPr>
          <w:rFonts w:hint="eastAsia" w:ascii="宋体" w:hAnsi="宋体" w:cs="宋体"/>
          <w:color w:val="000000" w:themeColor="text1"/>
          <w:sz w:val="24"/>
          <w14:textFill>
            <w14:solidFill>
              <w14:schemeClr w14:val="tx1"/>
            </w14:solidFill>
          </w14:textFill>
        </w:rPr>
        <w:t>采购活动，工程的施工单位全部为符合政策要求的中小企业（或者：服务全部由符合政策要求的中小企业承接）。相关企业（含联合 体中的中小企业、签订分包意向协议的中小企业）的具体情况如下：</w:t>
      </w:r>
    </w:p>
    <w:p>
      <w:pPr>
        <w:widowControl/>
        <w:ind w:firstLine="480" w:firstLineChars="200"/>
        <w:textAlignment w:val="baseline"/>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r>
        <w:rPr>
          <w:rFonts w:hint="eastAsia" w:ascii="宋体" w:hAnsi="宋体" w:cs="宋体"/>
          <w:color w:val="000000" w:themeColor="text1"/>
          <w:sz w:val="24"/>
          <w:u w:val="single"/>
          <w14:textFill>
            <w14:solidFill>
              <w14:schemeClr w14:val="tx1"/>
            </w14:solidFill>
          </w14:textFill>
        </w:rPr>
        <w:t>（标的名称）</w:t>
      </w:r>
      <w:r>
        <w:rPr>
          <w:rFonts w:hint="eastAsia" w:ascii="宋体" w:hAnsi="宋体" w:cs="宋体"/>
          <w:color w:val="000000" w:themeColor="text1"/>
          <w:sz w:val="24"/>
          <w14:textFill>
            <w14:solidFill>
              <w14:schemeClr w14:val="tx1"/>
            </w14:solidFill>
          </w14:textFill>
        </w:rPr>
        <w:t>，属于</w:t>
      </w:r>
      <w:r>
        <w:rPr>
          <w:rFonts w:hint="eastAsia" w:ascii="宋体" w:hAnsi="宋体" w:cs="宋体"/>
          <w:color w:val="000000" w:themeColor="text1"/>
          <w:sz w:val="24"/>
          <w:u w:val="single"/>
          <w14:textFill>
            <w14:solidFill>
              <w14:schemeClr w14:val="tx1"/>
            </w14:solidFill>
          </w14:textFill>
        </w:rPr>
        <w:t>（采购文件中明确的所属行业）</w:t>
      </w:r>
      <w:r>
        <w:rPr>
          <w:rFonts w:hint="eastAsia" w:ascii="宋体" w:hAnsi="宋体" w:cs="宋体"/>
          <w:color w:val="000000" w:themeColor="text1"/>
          <w:sz w:val="24"/>
          <w14:textFill>
            <w14:solidFill>
              <w14:schemeClr w14:val="tx1"/>
            </w14:solidFill>
          </w14:textFill>
        </w:rPr>
        <w:t>；承建（承接）企业为</w:t>
      </w:r>
      <w:r>
        <w:rPr>
          <w:rFonts w:hint="eastAsia" w:ascii="宋体" w:hAnsi="宋体" w:cs="宋体"/>
          <w:color w:val="000000" w:themeColor="text1"/>
          <w:sz w:val="24"/>
          <w:u w:val="single"/>
          <w14:textFill>
            <w14:solidFill>
              <w14:schemeClr w14:val="tx1"/>
            </w14:solidFill>
          </w14:textFill>
        </w:rPr>
        <w:t>（企业名称）</w:t>
      </w:r>
      <w:r>
        <w:rPr>
          <w:rFonts w:hint="eastAsia" w:ascii="宋体" w:hAnsi="宋体" w:cs="宋体"/>
          <w:color w:val="000000" w:themeColor="text1"/>
          <w:sz w:val="24"/>
          <w14:textFill>
            <w14:solidFill>
              <w14:schemeClr w14:val="tx1"/>
            </w14:solidFill>
          </w14:textFill>
        </w:rPr>
        <w:t>，从业人员</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人，营业收入为</w:t>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14:textFill>
            <w14:solidFill>
              <w14:schemeClr w14:val="tx1"/>
            </w14:solidFill>
          </w14:textFill>
        </w:rPr>
        <w:t>万元，资产总额为</w:t>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14:textFill>
            <w14:solidFill>
              <w14:schemeClr w14:val="tx1"/>
            </w14:solidFill>
          </w14:textFill>
        </w:rPr>
        <w:t>万元，属于</w:t>
      </w:r>
      <w:r>
        <w:rPr>
          <w:rFonts w:hint="eastAsia" w:ascii="宋体" w:hAnsi="宋体" w:cs="宋体"/>
          <w:color w:val="000000" w:themeColor="text1"/>
          <w:sz w:val="24"/>
          <w:u w:val="single"/>
          <w14:textFill>
            <w14:solidFill>
              <w14:schemeClr w14:val="tx1"/>
            </w14:solidFill>
          </w14:textFill>
        </w:rPr>
        <w:t>（中型企业、小型企业、微型企业）</w:t>
      </w:r>
    </w:p>
    <w:p>
      <w:pPr>
        <w:widowControl/>
        <w:ind w:firstLine="480" w:firstLineChars="200"/>
        <w:textAlignment w:val="baseline"/>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r>
        <w:rPr>
          <w:rFonts w:hint="eastAsia" w:ascii="宋体" w:hAnsi="宋体" w:cs="宋体"/>
          <w:color w:val="000000" w:themeColor="text1"/>
          <w:sz w:val="24"/>
          <w:u w:val="single"/>
          <w14:textFill>
            <w14:solidFill>
              <w14:schemeClr w14:val="tx1"/>
            </w14:solidFill>
          </w14:textFill>
        </w:rPr>
        <w:t>（标的名称）</w:t>
      </w:r>
      <w:r>
        <w:rPr>
          <w:rFonts w:hint="eastAsia" w:ascii="宋体" w:hAnsi="宋体" w:cs="宋体"/>
          <w:color w:val="000000" w:themeColor="text1"/>
          <w:sz w:val="24"/>
          <w14:textFill>
            <w14:solidFill>
              <w14:schemeClr w14:val="tx1"/>
            </w14:solidFill>
          </w14:textFill>
        </w:rPr>
        <w:t>，属于</w:t>
      </w:r>
      <w:r>
        <w:rPr>
          <w:rFonts w:hint="eastAsia" w:ascii="宋体" w:hAnsi="宋体" w:cs="宋体"/>
          <w:color w:val="000000" w:themeColor="text1"/>
          <w:sz w:val="24"/>
          <w:u w:val="single"/>
          <w14:textFill>
            <w14:solidFill>
              <w14:schemeClr w14:val="tx1"/>
            </w14:solidFill>
          </w14:textFill>
        </w:rPr>
        <w:t>（采购文件中明确的所属行业）</w:t>
      </w:r>
      <w:r>
        <w:rPr>
          <w:rFonts w:hint="eastAsia" w:ascii="宋体" w:hAnsi="宋体" w:cs="宋体"/>
          <w:color w:val="000000" w:themeColor="text1"/>
          <w:sz w:val="24"/>
          <w14:textFill>
            <w14:solidFill>
              <w14:schemeClr w14:val="tx1"/>
            </w14:solidFill>
          </w14:textFill>
        </w:rPr>
        <w:t>；承建（承接）企业为</w:t>
      </w:r>
      <w:r>
        <w:rPr>
          <w:rFonts w:hint="eastAsia" w:ascii="宋体" w:hAnsi="宋体" w:cs="宋体"/>
          <w:color w:val="000000" w:themeColor="text1"/>
          <w:sz w:val="24"/>
          <w:u w:val="single"/>
          <w14:textFill>
            <w14:solidFill>
              <w14:schemeClr w14:val="tx1"/>
            </w14:solidFill>
          </w14:textFill>
        </w:rPr>
        <w:t>（企业名称）</w:t>
      </w:r>
      <w:r>
        <w:rPr>
          <w:rFonts w:hint="eastAsia" w:ascii="宋体" w:hAnsi="宋体" w:cs="宋体"/>
          <w:color w:val="000000" w:themeColor="text1"/>
          <w:sz w:val="24"/>
          <w14:textFill>
            <w14:solidFill>
              <w14:schemeClr w14:val="tx1"/>
            </w14:solidFill>
          </w14:textFill>
        </w:rPr>
        <w:t>，从业人员</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14:textFill>
            <w14:solidFill>
              <w14:schemeClr w14:val="tx1"/>
            </w14:solidFill>
          </w14:textFill>
        </w:rPr>
        <w:t>人，营业收入为</w:t>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14:textFill>
            <w14:solidFill>
              <w14:schemeClr w14:val="tx1"/>
            </w14:solidFill>
          </w14:textFill>
        </w:rPr>
        <w:t>万元，资产总额为</w:t>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万元，属于</w:t>
      </w:r>
      <w:r>
        <w:rPr>
          <w:rFonts w:hint="eastAsia" w:ascii="宋体" w:hAnsi="宋体" w:cs="宋体"/>
          <w:color w:val="000000" w:themeColor="text1"/>
          <w:sz w:val="24"/>
          <w:u w:val="single"/>
          <w14:textFill>
            <w14:solidFill>
              <w14:schemeClr w14:val="tx1"/>
            </w14:solidFill>
          </w14:textFill>
        </w:rPr>
        <w:t>（中型企业、小型企业、微型企业）</w:t>
      </w:r>
    </w:p>
    <w:p>
      <w:pPr>
        <w:widowControl/>
        <w:ind w:firstLine="480" w:firstLineChars="200"/>
        <w:textAlignment w:val="baseline"/>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w:t>
      </w:r>
    </w:p>
    <w:p>
      <w:pPr>
        <w:widowControl/>
        <w:ind w:firstLine="480" w:firstLineChars="200"/>
        <w:textAlignment w:val="baseline"/>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以上企业，不属于大企业的分支机构，不存在控股股东为大企业的情形，也不存在与大企业的负责人为同一人的情形。</w:t>
      </w:r>
    </w:p>
    <w:p>
      <w:pPr>
        <w:widowControl/>
        <w:ind w:firstLine="480" w:firstLineChars="200"/>
        <w:textAlignment w:val="baseline"/>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本企业对上述声明内容的真实性负责。如有虚假，将依法承担相应责任。</w:t>
      </w:r>
    </w:p>
    <w:p>
      <w:pPr>
        <w:widowControl/>
        <w:ind w:firstLine="482" w:firstLineChars="200"/>
        <w:jc w:val="right"/>
        <w:textAlignment w:val="baseline"/>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企业名称（盖章）</w:t>
      </w:r>
    </w:p>
    <w:p>
      <w:pPr>
        <w:widowControl/>
        <w:ind w:firstLine="482" w:firstLineChars="200"/>
        <w:jc w:val="right"/>
        <w:textAlignment w:val="baseline"/>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日期：</w:t>
      </w:r>
    </w:p>
    <w:p>
      <w:pPr>
        <w:widowControl/>
        <w:ind w:firstLine="480" w:firstLineChars="200"/>
        <w:textAlignment w:val="baseline"/>
        <w:rPr>
          <w:rFonts w:ascii="宋体" w:hAnsi="宋体" w:cs="宋体"/>
          <w:color w:val="000000" w:themeColor="text1"/>
          <w:sz w:val="24"/>
          <w14:textFill>
            <w14:solidFill>
              <w14:schemeClr w14:val="tx1"/>
            </w14:solidFill>
          </w14:textFill>
        </w:rPr>
      </w:pPr>
    </w:p>
    <w:p>
      <w:pPr>
        <w:widowControl/>
        <w:ind w:firstLine="480" w:firstLineChars="200"/>
        <w:textAlignment w:val="baseline"/>
        <w:rPr>
          <w:rFonts w:ascii="宋体" w:hAnsi="宋体" w:cs="宋体"/>
          <w:color w:val="000000" w:themeColor="text1"/>
          <w:sz w:val="24"/>
          <w14:textFill>
            <w14:solidFill>
              <w14:schemeClr w14:val="tx1"/>
            </w14:solidFill>
          </w14:textFill>
        </w:rPr>
      </w:pPr>
    </w:p>
    <w:p>
      <w:pPr>
        <w:jc w:val="left"/>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注意事项：</w:t>
      </w:r>
    </w:p>
    <w:p>
      <w:pPr>
        <w:ind w:firstLine="482" w:firstLineChars="200"/>
        <w:jc w:val="left"/>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1.从业人员、营业收入、资产总额填报上一年度数据，无上一年度数据的新成立企业可不填报；</w:t>
      </w:r>
    </w:p>
    <w:p>
      <w:pPr>
        <w:ind w:firstLine="482" w:firstLineChars="200"/>
        <w:jc w:val="left"/>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2.《中小企业声明函》中承接/承建企业所属行业应当与招标文件要求的行业相一致，供应商如有疑问，可根据《国民经济行业分类》（GB/T4754-2002），结合《关于印发中小企业划型标准规定的通知》（工信部联企业〔2011〕300 号）进行判断。</w:t>
      </w:r>
    </w:p>
    <w:p>
      <w:pPr>
        <w:ind w:firstLine="482" w:firstLineChars="200"/>
        <w:jc w:val="left"/>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3.事业单位、社会组织等非企业主体不享受中小企业扶持政策，但事业单位、社会组织等非企业主体提供全部由中小企业制造的货物参加货物采购项目的除外。</w:t>
      </w:r>
    </w:p>
    <w:p>
      <w:pPr>
        <w:ind w:firstLine="482" w:firstLineChars="200"/>
        <w:jc w:val="left"/>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4.相关承接/承建企业的所属行业应当与采购标的所属行业（采购文件中明确的行业）相一致。</w:t>
      </w:r>
    </w:p>
    <w:p>
      <w:pPr>
        <w:ind w:firstLine="480" w:firstLineChars="200"/>
        <w:rPr>
          <w:rFonts w:ascii="宋体" w:hAnsi="宋体" w:cs="宋体"/>
          <w:b/>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5.投标人已知悉《政府采购促进中小企业发展管理办法》（财库〔2020〕46 号）、《中小企业划型标准规定》（工信部联企〔2011〕300 号）、《统计上大中小微型企业划分办法（2017）》等规定，承诺提供的声明函内容是真实的，并知悉根据《政府采购促进中小企业发展管理办法》（财库〔2020〕46 号）第二十条规定，供应商按照本办法规定提供声明函内容不实的，属于提供虚假材料谋取中标、成交，依照《政府采购法》等政府采购有关法律法规规定追究相应责任。</w:t>
      </w:r>
    </w:p>
    <w:p>
      <w:pPr>
        <w:ind w:firstLine="482" w:firstLineChars="200"/>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br w:type="page"/>
      </w:r>
      <w:r>
        <w:rPr>
          <w:rFonts w:hint="eastAsia" w:ascii="宋体" w:hAnsi="宋体" w:cs="宋体"/>
          <w:b/>
          <w:color w:val="000000" w:themeColor="text1"/>
          <w:sz w:val="24"/>
          <w14:textFill>
            <w14:solidFill>
              <w14:schemeClr w14:val="tx1"/>
            </w14:solidFill>
          </w14:textFill>
        </w:rPr>
        <w:t>附：中小企业划型标准规定</w:t>
      </w:r>
    </w:p>
    <w:p>
      <w:pPr>
        <w:rPr>
          <w:rFonts w:ascii="宋体" w:hAnsi="宋体" w:cs="宋体"/>
          <w:color w:val="000000" w:themeColor="text1"/>
          <w:sz w:val="24"/>
          <w14:textFill>
            <w14:solidFill>
              <w14:schemeClr w14:val="tx1"/>
            </w14:solidFill>
          </w14:textFill>
        </w:rPr>
      </w:pPr>
    </w:p>
    <w:p>
      <w:pPr>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一、根据《中华人民共和国中小企业促进法》和《国务院关于进一步促进中小企业发展的若干意见》(国发〔2009〕36号)，制定本规定。 </w:t>
      </w:r>
    </w:p>
    <w:p>
      <w:pPr>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二、中小企业划分为中型、小型、微型三种类型，具体标准根据企业从业人员、营业收入、资产总额等指标，结合行业特点制定。 关于印发中小企业划型标准规定的通知</w:t>
      </w:r>
    </w:p>
    <w:p>
      <w:pPr>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三、本规定适用的行业包括：农、林、牧、渔业，工业（包括采矿业，制造业，电力、热力、燃气及水生产和供应业），建筑业，批发业，零售业，交通运输 业（不含铁路运输业），仓储业，邮政业，住宿业，餐饮业，信息传输业（包括电 信、互联网和相关服务），软件和信息技术服务业，房地产开发经营，物业管理， 租赁和商务服务业，其他未列明行业（包括科学研究和技术服务业，水利、环境和 公共设施管理业，居民服务、修理和其他服务业，社会工作，文化、体育和娱乐业 等）。 </w:t>
      </w:r>
    </w:p>
    <w:p>
      <w:pPr>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四、各行业划型标准为： </w:t>
      </w:r>
    </w:p>
    <w:p>
      <w:pPr>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（一）农、林、牧、渔业。营业收入20000万元以下的为中小微型企业。其中，营业收入500万元及以上的为中型企业，营业收入50万元及以上的为小型企业，营业 收入50万元以下的为微型企业。</w:t>
      </w:r>
    </w:p>
    <w:p>
      <w:pPr>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（二）工业。从业人员1000人以下或营业收入40000万元以下的为中小微型企业。其中，从业人员300人及以上，且营业收入2000万元及以上的为中型企业；从业 人员20人及以上，且营业收入300万元及以上的为小型企业；从业人员20人以下或营 业收入300万元以下的为微型企业。 </w:t>
      </w:r>
    </w:p>
    <w:p>
      <w:pPr>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（三）建筑业。营业收入80000万元以下或资产总额80000万元以下的为中小微 型企业。其中，营业收入6000万元及以上，且资产总额5000万元及以上的为中型企 业；营业收入300万元及以上，且资产总额300万元及以上的为小型企业；营业收入 300万元以下或资产总额300万元以下的为微型企业。 </w:t>
      </w:r>
    </w:p>
    <w:p>
      <w:pPr>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（四）批发业。从业人员200人以下或营业收入40000万元以下的为中小微型企业。其中，从业人员20人及以上，且营业收入5000万元及以上的为中型企业；从业 人员5人及以上，且营业收入1000万元及以上的为小型企业；从业人员5人以下或营 业收入1000万元以下的为微型企业。 </w:t>
      </w:r>
    </w:p>
    <w:p>
      <w:pPr>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（五）零售业。从业人员300人以下或营业收入20000万元以下的为中小微型企业。其中，从业人员50人及以上，且营业收入500万元及以上的为中型企业；从业人 员10人及以上，且营业收入100万元及以上的为小型企业；从业人员10人以下或营业 收入100万元以下的为微型企业。 </w:t>
      </w:r>
    </w:p>
    <w:p>
      <w:pPr>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（六）交通运输业。从业人员1000人以下或营业收入30000万元以下的为中小微 型企业。其中，从业人员300人及以上，且营业收入3000万元及以上的为中型企业； 从业人员20人及以上，且营业收入200万元及以上的为小型企业；从业人员20人以下 或营业收入200万元以下的为微型企业。 </w:t>
      </w:r>
    </w:p>
    <w:p>
      <w:pPr>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（七）仓储业。从业人员200人以下或营业收入30000万元以下的为中小微型企业。其中，从业人员100人及以上，且营业收入1000万元及以上的为中型企业；从业 人员20人及以上，且营业收入100万元及以上的为小型企业；从业人员20人以下或营 业收入100万元以下的为微型企业。</w:t>
      </w:r>
    </w:p>
    <w:p>
      <w:pPr>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（八）邮政业。从业人员1000人以下或营业收入30000万元以下的为中小微型企业。其中，从业人员300人及以上，且营业收入2000万元及以上的为中型企业；从业 人员20人及以上，且营业收入100万元及以上的为小型企业；从业人员20人以下或营 业收入100万元以下的为微型企业。 </w:t>
      </w:r>
    </w:p>
    <w:p>
      <w:pPr>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（九）住宿业。从业人员300人以下或营业收入10000万元以下的为中小微型企 业。其中，从业人员100人及以上，且营业收入2000万元及以上的为中型企业；从业 人员10人及以上，且营业收入100万元及以上的为小型企业；从业人员10人以下或营 业收入100万元以下的为微型企业。 </w:t>
      </w:r>
    </w:p>
    <w:p>
      <w:pPr>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（十）餐饮业。从业人员300人以下或营业收入10000万元以下的为中小微型企 业。其中，从业人员100人及以上，且营业收入2000万元及以上的为中型企业；从业 人员10人及以上，且营业收入100万元及以上的为小型企业；从业人员10人以下或营 业收入100万元以下的为微型企业。 </w:t>
      </w:r>
    </w:p>
    <w:p>
      <w:pPr>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（十一）信息传输业。从业人员2000人以下或营业收入100000万元以下的为中 小微型企业。其中，从业人员100人及以上，且营业收入1000万元及以上的为中型企 业；从业人员10人及以上，且营业收入100万元及以上的为小型企业；从业人员10人 以下或营业收入100万元以下的为微型企业。 </w:t>
      </w:r>
    </w:p>
    <w:p>
      <w:pPr>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（十二）软件和信息技术服务业。从业人员300人以下或营业收入10000万元以下的为中小微型企业。其中，从业人员100人及以上，且营业收入1000万元及以上的 为中型企业；从业人员10人及以上，且营业收入50万元及以上的为小型企业；从业 人员10人以下或营业收入50万元以下的为微型企业。 </w:t>
      </w:r>
    </w:p>
    <w:p>
      <w:pPr>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（十三）房地产开发经营。营业收入200000万元以下或资产总额10000万元以下的为中小微型企业。其中，营业收入1000万元及以上，且资产总额5000万元及以上 的为中型企业；营业收入100万元及以上，且资产总额2000万元及以上的为小型企 业；营业收入100万元以下或资产总额2000万元以下的为微型企业。 </w:t>
      </w:r>
    </w:p>
    <w:p>
      <w:pPr>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（十四）物业管理。从业人员1000人以下或营业收入5000万元以下的为中小微型企业。其中，从业人员300人及以上，且营业收入1000万元及以上的为中型企业； 从业人员100人及以上，且营业收入500万元及以上的为小型企业；从业人员100人以 下或营业收入500万元以下的为微型企业。</w:t>
      </w:r>
    </w:p>
    <w:p>
      <w:pPr>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（十五）租赁和商务服务业。从业人员300人以下或资产总额120000万元以下的 为中小微型企业。其中，从业人员100人及以上，且资产总额8000万元及以上的为中 型企业；从业人员10人及以上，且资产总额100万元及以上的为小型企业；从业人员 10人以下或资产总额100万元以下的为微型企业。 （十六）其他未列明行业。从业人员300人以下的为中小微型企业。其中，从业 人员100人及以上的为中型企业；从业人员10人及以上的为小型企业；从业人员10人 以下的为微型企业。</w:t>
      </w:r>
    </w:p>
    <w:p>
      <w:pPr>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五、企业类型的划分以统计部门的统计数据为依据。 </w:t>
      </w:r>
    </w:p>
    <w:p>
      <w:pPr>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六、本规定适用于在中华人民共和国境内依法设立的各类所有制和各种组织形式的企业。个体工商户和本规定以外的行业，参照本规定进行划型。 </w:t>
      </w:r>
    </w:p>
    <w:p>
      <w:pPr>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七、本规定的中型企业标准上限即为大型企业标准的下限，国家统计部门据此制定大中小微型企业的统计分类。国务院有关部门据此进行相关数据分析，不得制 定与本规定不一致的企业划型标准。</w:t>
      </w:r>
    </w:p>
    <w:p>
      <w:pPr>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八、本规定由工业和信息化部、国家统计局会同有关部门根据《国民经济行业分类》修订情况和企业发展变化情况适时修订。 </w:t>
      </w:r>
    </w:p>
    <w:p>
      <w:pPr>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九、本规定由工业和信息化部、国家统计局会同有关部门负责解释。 </w:t>
      </w:r>
    </w:p>
    <w:p>
      <w:pPr>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十、本规定自发布之日起执行，原国家经贸委、原国家计委、财政部和国家统计局2003年颁布的《中小企业标准暂行规定》同时废止。</w:t>
      </w:r>
    </w:p>
    <w:p>
      <w:pPr>
        <w:adjustRightInd w:val="0"/>
        <w:snapToGrid w:val="0"/>
        <w:spacing w:line="360" w:lineRule="auto"/>
        <w:jc w:val="center"/>
        <w:outlineLvl w:val="4"/>
        <w:rPr>
          <w:rFonts w:ascii="宋体" w:hAnsi="宋体" w:cs="宋体"/>
          <w:b/>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br w:type="page"/>
      </w:r>
      <w:r>
        <w:rPr>
          <w:rFonts w:hint="eastAsia" w:ascii="宋体" w:hAnsi="宋体" w:cs="宋体"/>
          <w:b/>
          <w:color w:val="000000" w:themeColor="text1"/>
          <w:sz w:val="24"/>
          <w14:textFill>
            <w14:solidFill>
              <w14:schemeClr w14:val="tx1"/>
            </w14:solidFill>
          </w14:textFill>
        </w:rPr>
        <w:t>②残疾人福利性单位声明函（样表）</w:t>
      </w:r>
    </w:p>
    <w:p>
      <w:pPr>
        <w:spacing w:line="620" w:lineRule="exact"/>
        <w:ind w:firstLine="480" w:firstLineChars="200"/>
        <w:rPr>
          <w:rFonts w:ascii="宋体" w:hAnsi="宋体" w:cs="宋体"/>
          <w:color w:val="000000" w:themeColor="text1"/>
          <w:spacing w:val="6"/>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本单位郑重声明，根据《财政部 民政部 中国残疾人联合会关于促进残疾人就业政府采购政策的通知》（财库〔2017〕 141号）的规定，本单位为符合条件的残疾人福利性单位，且本</w:t>
      </w:r>
      <w:r>
        <w:rPr>
          <w:rFonts w:hint="eastAsia" w:ascii="宋体" w:hAnsi="宋体" w:cs="宋体"/>
          <w:color w:val="000000" w:themeColor="text1"/>
          <w:spacing w:val="6"/>
          <w:sz w:val="24"/>
          <w14:textFill>
            <w14:solidFill>
              <w14:schemeClr w14:val="tx1"/>
            </w14:solidFill>
          </w14:textFill>
        </w:rPr>
        <w:t>单位参加</w:t>
      </w:r>
      <w:r>
        <w:rPr>
          <w:rFonts w:hint="eastAsia" w:ascii="宋体" w:hAnsi="宋体" w:cs="宋体"/>
          <w:color w:val="000000" w:themeColor="text1"/>
          <w:spacing w:val="6"/>
          <w:sz w:val="24"/>
          <w:u w:val="single"/>
          <w14:textFill>
            <w14:solidFill>
              <w14:schemeClr w14:val="tx1"/>
            </w14:solidFill>
          </w14:textFill>
        </w:rPr>
        <w:t xml:space="preserve"> （采购单位名称） </w:t>
      </w:r>
      <w:r>
        <w:rPr>
          <w:rFonts w:hint="eastAsia" w:ascii="宋体" w:hAnsi="宋体" w:cs="宋体"/>
          <w:color w:val="000000" w:themeColor="text1"/>
          <w:spacing w:val="6"/>
          <w:sz w:val="24"/>
          <w14:textFill>
            <w14:solidFill>
              <w14:schemeClr w14:val="tx1"/>
            </w14:solidFill>
          </w14:textFill>
        </w:rPr>
        <w:t>单位的</w:t>
      </w:r>
      <w:r>
        <w:rPr>
          <w:rFonts w:hint="eastAsia" w:ascii="宋体" w:hAnsi="宋体" w:cs="宋体"/>
          <w:color w:val="000000" w:themeColor="text1"/>
          <w:spacing w:val="6"/>
          <w:sz w:val="24"/>
          <w:u w:val="single"/>
          <w14:textFill>
            <w14:solidFill>
              <w14:schemeClr w14:val="tx1"/>
            </w14:solidFill>
          </w14:textFill>
        </w:rPr>
        <w:t xml:space="preserve"> （采购项目名称） </w:t>
      </w:r>
      <w:r>
        <w:rPr>
          <w:rFonts w:hint="eastAsia" w:ascii="宋体" w:hAnsi="宋体" w:cs="宋体"/>
          <w:color w:val="000000" w:themeColor="text1"/>
          <w:spacing w:val="6"/>
          <w:sz w:val="24"/>
          <w14:textFill>
            <w14:solidFill>
              <w14:schemeClr w14:val="tx1"/>
            </w14:solidFill>
          </w14:textFill>
        </w:rPr>
        <w:t>项目</w:t>
      </w:r>
      <w:r>
        <w:rPr>
          <w:rFonts w:hint="eastAsia" w:ascii="宋体" w:hAnsi="宋体" w:cs="宋体"/>
          <w:color w:val="000000" w:themeColor="text1"/>
          <w:kern w:val="0"/>
          <w:sz w:val="24"/>
          <w14:textFill>
            <w14:solidFill>
              <w14:schemeClr w14:val="tx1"/>
            </w14:solidFill>
          </w14:textFill>
        </w:rPr>
        <w:t>采购活动，并提供：□本单位制造的货物；□由本单位承担的工程、提供服务；□提供其他残疾人福利性单位制造的货物（承诺人在□处打√）。本条所称货物是指单一产品采购项目中的货物，或者非单一产品采购项目中的核心产品（货物），不包括使用非残疾人福利性单位注册商标的货物。</w:t>
      </w:r>
    </w:p>
    <w:p>
      <w:pPr>
        <w:spacing w:line="620" w:lineRule="exact"/>
        <w:ind w:firstLine="504" w:firstLineChars="200"/>
        <w:rPr>
          <w:rFonts w:ascii="宋体" w:hAnsi="宋体" w:cs="宋体"/>
          <w:color w:val="000000" w:themeColor="text1"/>
          <w:spacing w:val="6"/>
          <w:sz w:val="24"/>
          <w14:textFill>
            <w14:solidFill>
              <w14:schemeClr w14:val="tx1"/>
            </w14:solidFill>
          </w14:textFill>
        </w:rPr>
      </w:pPr>
      <w:r>
        <w:rPr>
          <w:rFonts w:hint="eastAsia" w:ascii="宋体" w:hAnsi="宋体" w:cs="宋体"/>
          <w:color w:val="000000" w:themeColor="text1"/>
          <w:spacing w:val="6"/>
          <w:sz w:val="24"/>
          <w14:textFill>
            <w14:solidFill>
              <w14:schemeClr w14:val="tx1"/>
            </w14:solidFill>
          </w14:textFill>
        </w:rPr>
        <w:t>本单位对上述声明的真实性负责。如有虚假，将依法承担相应责任。</w:t>
      </w:r>
    </w:p>
    <w:p>
      <w:pPr>
        <w:spacing w:line="620" w:lineRule="exact"/>
        <w:ind w:firstLine="504" w:firstLineChars="200"/>
        <w:rPr>
          <w:rFonts w:ascii="宋体" w:hAnsi="宋体" w:cs="宋体"/>
          <w:color w:val="000000" w:themeColor="text1"/>
          <w:spacing w:val="6"/>
          <w:sz w:val="24"/>
          <w14:textFill>
            <w14:solidFill>
              <w14:schemeClr w14:val="tx1"/>
            </w14:solidFill>
          </w14:textFill>
        </w:rPr>
      </w:pPr>
    </w:p>
    <w:p>
      <w:pPr>
        <w:spacing w:line="620" w:lineRule="exact"/>
        <w:ind w:firstLine="504" w:firstLineChars="200"/>
        <w:rPr>
          <w:rFonts w:ascii="宋体" w:hAnsi="宋体" w:cs="宋体"/>
          <w:color w:val="000000" w:themeColor="text1"/>
          <w:spacing w:val="6"/>
          <w:sz w:val="24"/>
          <w14:textFill>
            <w14:solidFill>
              <w14:schemeClr w14:val="tx1"/>
            </w14:solidFill>
          </w14:textFill>
        </w:rPr>
      </w:pPr>
    </w:p>
    <w:p>
      <w:pPr>
        <w:tabs>
          <w:tab w:val="left" w:pos="4860"/>
        </w:tabs>
        <w:spacing w:line="620" w:lineRule="exact"/>
        <w:ind w:right="1560" w:firstLine="504" w:firstLineChars="200"/>
        <w:jc w:val="center"/>
        <w:rPr>
          <w:rFonts w:ascii="宋体" w:hAnsi="宋体" w:cs="宋体"/>
          <w:color w:val="000000" w:themeColor="text1"/>
          <w:spacing w:val="6"/>
          <w:sz w:val="24"/>
          <w14:textFill>
            <w14:solidFill>
              <w14:schemeClr w14:val="tx1"/>
            </w14:solidFill>
          </w14:textFill>
        </w:rPr>
      </w:pPr>
      <w:r>
        <w:rPr>
          <w:rFonts w:hint="eastAsia" w:ascii="宋体" w:hAnsi="宋体" w:cs="宋体"/>
          <w:color w:val="000000" w:themeColor="text1"/>
          <w:spacing w:val="6"/>
          <w:sz w:val="24"/>
          <w14:textFill>
            <w14:solidFill>
              <w14:schemeClr w14:val="tx1"/>
            </w14:solidFill>
          </w14:textFill>
        </w:rPr>
        <w:t xml:space="preserve">               单位名称（盖章）：</w:t>
      </w:r>
    </w:p>
    <w:p>
      <w:pPr>
        <w:tabs>
          <w:tab w:val="left" w:pos="4860"/>
        </w:tabs>
        <w:spacing w:line="620" w:lineRule="exact"/>
        <w:ind w:right="1560" w:firstLine="504" w:firstLineChars="200"/>
        <w:jc w:val="center"/>
        <w:rPr>
          <w:rStyle w:val="32"/>
          <w:rFonts w:ascii="宋体" w:hAnsi="宋体" w:cs="宋体"/>
          <w:color w:val="000000" w:themeColor="text1"/>
          <w:sz w:val="24"/>
          <w14:textFill>
            <w14:solidFill>
              <w14:schemeClr w14:val="tx1"/>
            </w14:solidFill>
          </w14:textFill>
        </w:rPr>
      </w:pPr>
      <w:r>
        <w:rPr>
          <w:rFonts w:hint="eastAsia" w:ascii="宋体" w:hAnsi="宋体" w:cs="宋体"/>
          <w:color w:val="000000" w:themeColor="text1"/>
          <w:spacing w:val="6"/>
          <w:sz w:val="24"/>
          <w14:textFill>
            <w14:solidFill>
              <w14:schemeClr w14:val="tx1"/>
            </w14:solidFill>
          </w14:textFill>
        </w:rPr>
        <w:t xml:space="preserve">                        日  期：</w:t>
      </w:r>
    </w:p>
    <w:p>
      <w:pPr>
        <w:snapToGrid w:val="0"/>
        <w:spacing w:line="360" w:lineRule="auto"/>
        <w:ind w:firstLine="480" w:firstLineChars="200"/>
        <w:jc w:val="left"/>
        <w:textAlignment w:val="baseline"/>
        <w:rPr>
          <w:rStyle w:val="32"/>
          <w:rFonts w:ascii="宋体" w:hAnsi="宋体" w:cs="宋体"/>
          <w:color w:val="000000" w:themeColor="text1"/>
          <w:sz w:val="24"/>
          <w14:textFill>
            <w14:solidFill>
              <w14:schemeClr w14:val="tx1"/>
            </w14:solidFill>
          </w14:textFill>
        </w:rPr>
      </w:pPr>
    </w:p>
    <w:p>
      <w:pPr>
        <w:snapToGrid w:val="0"/>
        <w:spacing w:line="360" w:lineRule="auto"/>
        <w:ind w:firstLine="482" w:firstLineChars="200"/>
        <w:jc w:val="left"/>
        <w:textAlignment w:val="baseline"/>
        <w:rPr>
          <w:rStyle w:val="32"/>
          <w:rFonts w:ascii="宋体" w:hAnsi="宋体" w:cs="宋体"/>
          <w:b/>
          <w:color w:val="000000" w:themeColor="text1"/>
          <w:sz w:val="24"/>
          <w14:textFill>
            <w14:solidFill>
              <w14:schemeClr w14:val="tx1"/>
            </w14:solidFill>
          </w14:textFill>
        </w:rPr>
      </w:pPr>
      <w:r>
        <w:rPr>
          <w:rStyle w:val="32"/>
          <w:rFonts w:hint="eastAsia" w:ascii="宋体" w:hAnsi="宋体" w:cs="宋体"/>
          <w:b/>
          <w:color w:val="000000" w:themeColor="text1"/>
          <w:sz w:val="24"/>
          <w14:textFill>
            <w14:solidFill>
              <w14:schemeClr w14:val="tx1"/>
            </w14:solidFill>
          </w14:textFill>
        </w:rPr>
        <w:t>投标人知悉《关于促进残疾人就业政府采购政策的通知》（财库〔2017〕141 号）的规定，承诺提供的声明函内容是真实的，如提供声明函内容不实，则依法追究相关法律责任。</w:t>
      </w:r>
    </w:p>
    <w:p>
      <w:pPr>
        <w:snapToGrid w:val="0"/>
        <w:spacing w:line="360" w:lineRule="auto"/>
        <w:jc w:val="center"/>
        <w:textAlignment w:val="baseline"/>
        <w:outlineLvl w:val="4"/>
        <w:rPr>
          <w:rStyle w:val="32"/>
          <w:rFonts w:ascii="宋体" w:hAnsi="宋体" w:cs="宋体"/>
          <w:b/>
          <w:color w:val="000000" w:themeColor="text1"/>
          <w:sz w:val="24"/>
          <w14:textFill>
            <w14:solidFill>
              <w14:schemeClr w14:val="tx1"/>
            </w14:solidFill>
          </w14:textFill>
        </w:rPr>
      </w:pPr>
      <w:r>
        <w:rPr>
          <w:rStyle w:val="32"/>
          <w:rFonts w:hint="eastAsia" w:ascii="宋体" w:hAnsi="宋体" w:cs="宋体"/>
          <w:b/>
          <w:color w:val="000000" w:themeColor="text1"/>
          <w:sz w:val="24"/>
          <w14:textFill>
            <w14:solidFill>
              <w14:schemeClr w14:val="tx1"/>
            </w14:solidFill>
          </w14:textFill>
        </w:rPr>
        <w:br w:type="page"/>
      </w:r>
      <w:r>
        <w:rPr>
          <w:rStyle w:val="32"/>
          <w:rFonts w:hint="eastAsia" w:ascii="宋体" w:hAnsi="宋体" w:cs="宋体"/>
          <w:b/>
          <w:color w:val="000000" w:themeColor="text1"/>
          <w:sz w:val="24"/>
          <w14:textFill>
            <w14:solidFill>
              <w14:schemeClr w14:val="tx1"/>
            </w14:solidFill>
          </w14:textFill>
        </w:rPr>
        <w:t>③监狱企业声明函</w:t>
      </w:r>
    </w:p>
    <w:p>
      <w:pPr>
        <w:snapToGrid w:val="0"/>
        <w:spacing w:line="620" w:lineRule="exact"/>
        <w:ind w:firstLine="504" w:firstLineChars="200"/>
        <w:textAlignment w:val="baseline"/>
        <w:rPr>
          <w:rStyle w:val="32"/>
          <w:rFonts w:ascii="宋体" w:hAnsi="宋体" w:cs="宋体"/>
          <w:color w:val="000000" w:themeColor="text1"/>
          <w:spacing w:val="6"/>
          <w:sz w:val="24"/>
          <w14:textFill>
            <w14:solidFill>
              <w14:schemeClr w14:val="tx1"/>
            </w14:solidFill>
          </w14:textFill>
        </w:rPr>
      </w:pPr>
      <w:r>
        <w:rPr>
          <w:rStyle w:val="32"/>
          <w:rFonts w:hint="eastAsia" w:ascii="宋体" w:hAnsi="宋体" w:cs="宋体"/>
          <w:color w:val="000000" w:themeColor="text1"/>
          <w:spacing w:val="6"/>
          <w:sz w:val="24"/>
          <w14:textFill>
            <w14:solidFill>
              <w14:schemeClr w14:val="tx1"/>
            </w14:solidFill>
          </w14:textFill>
        </w:rPr>
        <w:t>本单位郑重声明，根据《财政部司法部关于政府采购支持监狱企业发展有关问题的通知》（财库〔2014〕68号）的规定，本单位为符合条件的监狱企业，且本单位参加</w:t>
      </w:r>
      <w:r>
        <w:rPr>
          <w:rStyle w:val="32"/>
          <w:rFonts w:hint="eastAsia" w:ascii="宋体" w:hAnsi="宋体" w:cs="宋体"/>
          <w:color w:val="000000" w:themeColor="text1"/>
          <w:spacing w:val="6"/>
          <w:sz w:val="24"/>
          <w:u w:val="single"/>
          <w14:textFill>
            <w14:solidFill>
              <w14:schemeClr w14:val="tx1"/>
            </w14:solidFill>
          </w14:textFill>
        </w:rPr>
        <w:t xml:space="preserve"> （采购单位名称） </w:t>
      </w:r>
      <w:r>
        <w:rPr>
          <w:rStyle w:val="32"/>
          <w:rFonts w:hint="eastAsia" w:ascii="宋体" w:hAnsi="宋体" w:cs="宋体"/>
          <w:color w:val="000000" w:themeColor="text1"/>
          <w:spacing w:val="6"/>
          <w:sz w:val="24"/>
          <w14:textFill>
            <w14:solidFill>
              <w14:schemeClr w14:val="tx1"/>
            </w14:solidFill>
          </w14:textFill>
        </w:rPr>
        <w:t>单位的</w:t>
      </w:r>
      <w:r>
        <w:rPr>
          <w:rStyle w:val="32"/>
          <w:rFonts w:hint="eastAsia" w:ascii="宋体" w:hAnsi="宋体" w:cs="宋体"/>
          <w:color w:val="000000" w:themeColor="text1"/>
          <w:spacing w:val="6"/>
          <w:sz w:val="24"/>
          <w:u w:val="single"/>
          <w14:textFill>
            <w14:solidFill>
              <w14:schemeClr w14:val="tx1"/>
            </w14:solidFill>
          </w14:textFill>
        </w:rPr>
        <w:t xml:space="preserve"> （采购项目名称） </w:t>
      </w:r>
      <w:r>
        <w:rPr>
          <w:rStyle w:val="32"/>
          <w:rFonts w:hint="eastAsia" w:ascii="宋体" w:hAnsi="宋体" w:cs="宋体"/>
          <w:color w:val="000000" w:themeColor="text1"/>
          <w:spacing w:val="6"/>
          <w:sz w:val="24"/>
          <w14:textFill>
            <w14:solidFill>
              <w14:schemeClr w14:val="tx1"/>
            </w14:solidFill>
          </w14:textFill>
        </w:rPr>
        <w:t>项目采购</w:t>
      </w:r>
      <w:r>
        <w:rPr>
          <w:rStyle w:val="32"/>
          <w:rFonts w:hint="eastAsia" w:ascii="宋体" w:hAnsi="宋体" w:cs="宋体"/>
          <w:color w:val="000000" w:themeColor="text1"/>
          <w:kern w:val="0"/>
          <w:sz w:val="24"/>
          <w14:textFill>
            <w14:solidFill>
              <w14:schemeClr w14:val="tx1"/>
            </w14:solidFill>
          </w14:textFill>
        </w:rPr>
        <w:t>活动，并提供：□本单位制造的货物；□由本单位承担的工程、提供服务；□提供其他监狱企业制造的货物（承诺人在□处打√）</w:t>
      </w:r>
      <w:r>
        <w:rPr>
          <w:rStyle w:val="32"/>
          <w:rFonts w:hint="eastAsia" w:ascii="宋体" w:hAnsi="宋体" w:cs="宋体"/>
          <w:color w:val="000000" w:themeColor="text1"/>
          <w:spacing w:val="6"/>
          <w:sz w:val="24"/>
          <w14:textFill>
            <w14:solidFill>
              <w14:schemeClr w14:val="tx1"/>
            </w14:solidFill>
          </w14:textFill>
        </w:rPr>
        <w:t>。</w:t>
      </w:r>
      <w:r>
        <w:rPr>
          <w:rStyle w:val="32"/>
          <w:rFonts w:hint="eastAsia" w:ascii="宋体" w:hAnsi="宋体" w:cs="宋体"/>
          <w:color w:val="000000" w:themeColor="text1"/>
          <w:kern w:val="0"/>
          <w:sz w:val="24"/>
          <w14:textFill>
            <w14:solidFill>
              <w14:schemeClr w14:val="tx1"/>
            </w14:solidFill>
          </w14:textFill>
        </w:rPr>
        <w:t>本条所称货物是指单一产品采购项目中的货物，或者非单一产品采购项目中的核心产品（货物）。</w:t>
      </w:r>
    </w:p>
    <w:p>
      <w:pPr>
        <w:snapToGrid w:val="0"/>
        <w:spacing w:line="620" w:lineRule="exact"/>
        <w:ind w:firstLine="504" w:firstLineChars="200"/>
        <w:textAlignment w:val="baseline"/>
        <w:rPr>
          <w:rStyle w:val="32"/>
          <w:rFonts w:ascii="宋体" w:hAnsi="宋体" w:cs="宋体"/>
          <w:color w:val="000000" w:themeColor="text1"/>
          <w:spacing w:val="6"/>
          <w:sz w:val="24"/>
          <w14:textFill>
            <w14:solidFill>
              <w14:schemeClr w14:val="tx1"/>
            </w14:solidFill>
          </w14:textFill>
        </w:rPr>
      </w:pPr>
      <w:r>
        <w:rPr>
          <w:rStyle w:val="32"/>
          <w:rFonts w:hint="eastAsia" w:ascii="宋体" w:hAnsi="宋体" w:cs="宋体"/>
          <w:color w:val="000000" w:themeColor="text1"/>
          <w:spacing w:val="6"/>
          <w:sz w:val="24"/>
          <w14:textFill>
            <w14:solidFill>
              <w14:schemeClr w14:val="tx1"/>
            </w14:solidFill>
          </w14:textFill>
        </w:rPr>
        <w:t>本单位对上述声明的真实性负责。如有虚假，将依法承担相应责任。</w:t>
      </w:r>
    </w:p>
    <w:p>
      <w:pPr>
        <w:snapToGrid w:val="0"/>
        <w:spacing w:line="620" w:lineRule="exact"/>
        <w:ind w:firstLine="504" w:firstLineChars="200"/>
        <w:textAlignment w:val="baseline"/>
        <w:rPr>
          <w:rStyle w:val="32"/>
          <w:rFonts w:ascii="宋体" w:hAnsi="宋体" w:cs="宋体"/>
          <w:color w:val="000000" w:themeColor="text1"/>
          <w:spacing w:val="6"/>
          <w:sz w:val="24"/>
          <w14:textFill>
            <w14:solidFill>
              <w14:schemeClr w14:val="tx1"/>
            </w14:solidFill>
          </w14:textFill>
        </w:rPr>
      </w:pPr>
      <w:r>
        <w:rPr>
          <w:rStyle w:val="32"/>
          <w:rFonts w:hint="eastAsia" w:ascii="宋体" w:hAnsi="宋体" w:cs="宋体"/>
          <w:color w:val="000000" w:themeColor="text1"/>
          <w:spacing w:val="6"/>
          <w:sz w:val="24"/>
          <w14:textFill>
            <w14:solidFill>
              <w14:schemeClr w14:val="tx1"/>
            </w14:solidFill>
          </w14:textFill>
        </w:rPr>
        <w:t>附：省级以上监狱管理局、戒毒管理局（含新疆生产建设兵团）出具的监狱企业证明文件。</w:t>
      </w:r>
    </w:p>
    <w:p>
      <w:pPr>
        <w:snapToGrid w:val="0"/>
        <w:spacing w:line="620" w:lineRule="exact"/>
        <w:ind w:firstLine="504" w:firstLineChars="200"/>
        <w:textAlignment w:val="baseline"/>
        <w:rPr>
          <w:rStyle w:val="32"/>
          <w:rFonts w:ascii="宋体" w:hAnsi="宋体" w:cs="宋体"/>
          <w:color w:val="000000" w:themeColor="text1"/>
          <w:spacing w:val="6"/>
          <w:sz w:val="24"/>
          <w14:textFill>
            <w14:solidFill>
              <w14:schemeClr w14:val="tx1"/>
            </w14:solidFill>
          </w14:textFill>
        </w:rPr>
      </w:pPr>
    </w:p>
    <w:p>
      <w:pPr>
        <w:snapToGrid w:val="0"/>
        <w:spacing w:line="620" w:lineRule="exact"/>
        <w:ind w:firstLine="504" w:firstLineChars="200"/>
        <w:textAlignment w:val="baseline"/>
        <w:rPr>
          <w:rStyle w:val="32"/>
          <w:rFonts w:ascii="宋体" w:hAnsi="宋体" w:cs="宋体"/>
          <w:color w:val="000000" w:themeColor="text1"/>
          <w:spacing w:val="6"/>
          <w:sz w:val="24"/>
          <w14:textFill>
            <w14:solidFill>
              <w14:schemeClr w14:val="tx1"/>
            </w14:solidFill>
          </w14:textFill>
        </w:rPr>
      </w:pPr>
    </w:p>
    <w:p>
      <w:pPr>
        <w:tabs>
          <w:tab w:val="left" w:pos="4860"/>
        </w:tabs>
        <w:snapToGrid w:val="0"/>
        <w:spacing w:line="620" w:lineRule="exact"/>
        <w:ind w:right="1560" w:firstLine="504" w:firstLineChars="200"/>
        <w:jc w:val="center"/>
        <w:textAlignment w:val="baseline"/>
        <w:rPr>
          <w:rStyle w:val="32"/>
          <w:rFonts w:ascii="宋体" w:hAnsi="宋体" w:cs="宋体"/>
          <w:color w:val="000000" w:themeColor="text1"/>
          <w:spacing w:val="6"/>
          <w:sz w:val="24"/>
          <w14:textFill>
            <w14:solidFill>
              <w14:schemeClr w14:val="tx1"/>
            </w14:solidFill>
          </w14:textFill>
        </w:rPr>
      </w:pPr>
      <w:r>
        <w:rPr>
          <w:rStyle w:val="32"/>
          <w:rFonts w:hint="eastAsia" w:ascii="宋体" w:hAnsi="宋体" w:cs="宋体"/>
          <w:color w:val="000000" w:themeColor="text1"/>
          <w:spacing w:val="6"/>
          <w:sz w:val="24"/>
          <w14:textFill>
            <w14:solidFill>
              <w14:schemeClr w14:val="tx1"/>
            </w14:solidFill>
          </w14:textFill>
        </w:rPr>
        <w:t xml:space="preserve">               单位名称（盖章）：</w:t>
      </w:r>
    </w:p>
    <w:p>
      <w:pPr>
        <w:tabs>
          <w:tab w:val="left" w:pos="640"/>
          <w:tab w:val="left" w:pos="840"/>
          <w:tab w:val="left" w:pos="1260"/>
          <w:tab w:val="left" w:pos="1418"/>
        </w:tabs>
        <w:spacing w:line="360" w:lineRule="auto"/>
        <w:rPr>
          <w:rFonts w:ascii="宋体" w:hAnsi="宋体" w:cs="宋体"/>
          <w:color w:val="000000" w:themeColor="text1"/>
          <w:spacing w:val="6"/>
          <w:sz w:val="24"/>
          <w14:textFill>
            <w14:solidFill>
              <w14:schemeClr w14:val="tx1"/>
            </w14:solidFill>
          </w14:textFill>
        </w:rPr>
      </w:pPr>
      <w:r>
        <w:rPr>
          <w:rStyle w:val="32"/>
          <w:rFonts w:hint="eastAsia" w:ascii="宋体" w:hAnsi="宋体" w:cs="宋体"/>
          <w:color w:val="000000" w:themeColor="text1"/>
          <w:spacing w:val="6"/>
          <w:sz w:val="24"/>
          <w14:textFill>
            <w14:solidFill>
              <w14:schemeClr w14:val="tx1"/>
            </w14:solidFill>
          </w14:textFill>
        </w:rPr>
        <w:t xml:space="preserve">                          日  期</w:t>
      </w:r>
      <w:r>
        <w:rPr>
          <w:rFonts w:hint="eastAsia" w:ascii="宋体" w:hAnsi="宋体" w:cs="宋体"/>
          <w:color w:val="000000" w:themeColor="text1"/>
          <w:spacing w:val="6"/>
          <w:sz w:val="24"/>
          <w14:textFill>
            <w14:solidFill>
              <w14:schemeClr w14:val="tx1"/>
            </w14:solidFill>
          </w14:textFill>
        </w:rPr>
        <w:t>：</w:t>
      </w:r>
    </w:p>
    <w:p>
      <w:pPr>
        <w:rPr>
          <w:color w:val="000000" w:themeColor="text1"/>
          <w14:textFill>
            <w14:solidFill>
              <w14:schemeClr w14:val="tx1"/>
            </w14:solidFill>
          </w14:textFill>
        </w:rPr>
      </w:pPr>
      <w:r>
        <w:rPr>
          <w:rFonts w:hint="eastAsia" w:ascii="宋体" w:hAnsi="宋体" w:cs="宋体"/>
          <w:color w:val="000000" w:themeColor="text1"/>
          <w:spacing w:val="6"/>
          <w:sz w:val="24"/>
          <w14:textFill>
            <w14:solidFill>
              <w14:schemeClr w14:val="tx1"/>
            </w14:solidFill>
          </w14:textFill>
        </w:rPr>
        <w:br w:type="page"/>
      </w:r>
    </w:p>
    <w:p>
      <w:pPr>
        <w:numPr>
          <w:ilvl w:val="0"/>
          <w:numId w:val="10"/>
        </w:numPr>
        <w:tabs>
          <w:tab w:val="left" w:pos="640"/>
          <w:tab w:val="left" w:pos="840"/>
          <w:tab w:val="left" w:pos="1260"/>
          <w:tab w:val="left" w:pos="1418"/>
        </w:tabs>
        <w:spacing w:line="360" w:lineRule="auto"/>
        <w:ind w:left="845" w:hanging="845"/>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供应商基本情况表、社保证明及股权关系证明</w:t>
      </w:r>
    </w:p>
    <w:p>
      <w:pPr>
        <w:snapToGrid w:val="0"/>
        <w:rPr>
          <w:rFonts w:ascii="宋体" w:hAnsi="宋体" w:cs="宋体"/>
          <w:b/>
          <w:color w:val="000000" w:themeColor="text1"/>
          <w:sz w:val="24"/>
          <w:highlight w:val="yellow"/>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注：根据《深圳经济特区政府采购条例实施细则》第七十五条规定，以下内容将作为判定本项目不同投标供应商是否涉嫌、属于串通投标的重要依据，请供应商认真填报，并保证所填信息的真实、准确和完整。）</w:t>
      </w:r>
    </w:p>
    <w:p>
      <w:pPr>
        <w:snapToGrid w:val="0"/>
        <w:rPr>
          <w:rFonts w:ascii="宋体" w:hAnsi="宋体" w:cs="宋体"/>
          <w:b/>
          <w:color w:val="000000" w:themeColor="text1"/>
          <w:sz w:val="24"/>
          <w14:textFill>
            <w14:solidFill>
              <w14:schemeClr w14:val="tx1"/>
            </w14:solidFill>
          </w14:textFill>
        </w:rPr>
      </w:pPr>
    </w:p>
    <w:p>
      <w:pPr>
        <w:snapToGrid w:val="0"/>
        <w:rPr>
          <w:rFonts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1.《供应商基本情况表》</w:t>
      </w:r>
    </w:p>
    <w:p>
      <w:pPr>
        <w:adjustRightInd w:val="0"/>
        <w:snapToGrid w:val="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填表单位（</w:t>
      </w:r>
      <w:r>
        <w:rPr>
          <w:rFonts w:hint="eastAsia" w:ascii="宋体" w:hAnsi="宋体" w:cs="宋体"/>
          <w:b/>
          <w:bCs/>
          <w:color w:val="000000" w:themeColor="text1"/>
          <w:sz w:val="24"/>
          <w14:textFill>
            <w14:solidFill>
              <w14:schemeClr w14:val="tx1"/>
            </w14:solidFill>
          </w14:textFill>
        </w:rPr>
        <w:t>加盖单位公章，必填项</w:t>
      </w:r>
      <w:r>
        <w:rPr>
          <w:rFonts w:hint="eastAsia" w:ascii="宋体" w:hAnsi="宋体" w:cs="宋体"/>
          <w:color w:val="000000" w:themeColor="text1"/>
          <w:sz w:val="24"/>
          <w14:textFill>
            <w14:solidFill>
              <w14:schemeClr w14:val="tx1"/>
            </w14:solidFill>
          </w14:textFill>
        </w:rPr>
        <w:t>）：</w:t>
      </w:r>
    </w:p>
    <w:p>
      <w:pPr>
        <w:adjustRightInd w:val="0"/>
        <w:snapToGrid w:val="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填表日期（</w:t>
      </w:r>
      <w:r>
        <w:rPr>
          <w:rFonts w:hint="eastAsia" w:ascii="宋体" w:hAnsi="宋体" w:cs="宋体"/>
          <w:b/>
          <w:bCs/>
          <w:color w:val="000000" w:themeColor="text1"/>
          <w:sz w:val="24"/>
          <w14:textFill>
            <w14:solidFill>
              <w14:schemeClr w14:val="tx1"/>
            </w14:solidFill>
          </w14:textFill>
        </w:rPr>
        <w:t>必填项</w:t>
      </w:r>
      <w:r>
        <w:rPr>
          <w:rFonts w:hint="eastAsia" w:ascii="宋体" w:hAnsi="宋体" w:cs="宋体"/>
          <w:color w:val="000000" w:themeColor="text1"/>
          <w:sz w:val="24"/>
          <w14:textFill>
            <w14:solidFill>
              <w14:schemeClr w14:val="tx1"/>
            </w14:solidFill>
          </w14:textFill>
        </w:rPr>
        <w:t>）：        年     月      日</w:t>
      </w:r>
    </w:p>
    <w:tbl>
      <w:tblPr>
        <w:tblStyle w:val="21"/>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9"/>
        <w:gridCol w:w="614"/>
        <w:gridCol w:w="1467"/>
        <w:gridCol w:w="926"/>
        <w:gridCol w:w="718"/>
        <w:gridCol w:w="1304"/>
        <w:gridCol w:w="1398"/>
        <w:gridCol w:w="14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748" w:type="pct"/>
            <w:gridSpan w:val="2"/>
            <w:vAlign w:val="center"/>
          </w:tcPr>
          <w:p>
            <w:pPr>
              <w:widowControl/>
              <w:snapToGrid w:val="0"/>
              <w:jc w:val="center"/>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采购人</w:t>
            </w:r>
          </w:p>
        </w:tc>
        <w:tc>
          <w:tcPr>
            <w:tcW w:w="1406" w:type="pct"/>
            <w:gridSpan w:val="2"/>
            <w:vAlign w:val="center"/>
          </w:tcPr>
          <w:p>
            <w:pPr>
              <w:widowControl/>
              <w:snapToGrid w:val="0"/>
              <w:jc w:val="center"/>
              <w:rPr>
                <w:rFonts w:ascii="宋体" w:hAnsi="宋体" w:cs="宋体"/>
                <w:bCs/>
                <w:color w:val="000000" w:themeColor="text1"/>
                <w:sz w:val="24"/>
                <w14:textFill>
                  <w14:solidFill>
                    <w14:schemeClr w14:val="tx1"/>
                  </w14:solidFill>
                </w14:textFill>
              </w:rPr>
            </w:pPr>
          </w:p>
        </w:tc>
        <w:tc>
          <w:tcPr>
            <w:tcW w:w="1188" w:type="pct"/>
            <w:gridSpan w:val="2"/>
            <w:vAlign w:val="center"/>
          </w:tcPr>
          <w:p>
            <w:pPr>
              <w:widowControl/>
              <w:snapToGrid w:val="0"/>
              <w:jc w:val="center"/>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项目名称</w:t>
            </w:r>
          </w:p>
        </w:tc>
        <w:tc>
          <w:tcPr>
            <w:tcW w:w="1656" w:type="pct"/>
            <w:gridSpan w:val="2"/>
            <w:vAlign w:val="center"/>
          </w:tcPr>
          <w:p>
            <w:pPr>
              <w:widowControl/>
              <w:snapToGrid w:val="0"/>
              <w:jc w:val="center"/>
              <w:rPr>
                <w:rFonts w:ascii="宋体" w:hAnsi="宋体" w:cs="宋体"/>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pct"/>
            <w:gridSpan w:val="2"/>
            <w:vAlign w:val="center"/>
          </w:tcPr>
          <w:p>
            <w:pPr>
              <w:widowControl/>
              <w:snapToGrid w:val="0"/>
              <w:jc w:val="center"/>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投标（响应）供应商</w:t>
            </w:r>
          </w:p>
        </w:tc>
        <w:tc>
          <w:tcPr>
            <w:tcW w:w="1406" w:type="pct"/>
            <w:gridSpan w:val="2"/>
            <w:vAlign w:val="center"/>
          </w:tcPr>
          <w:p>
            <w:pPr>
              <w:widowControl/>
              <w:snapToGrid w:val="0"/>
              <w:jc w:val="center"/>
              <w:rPr>
                <w:rFonts w:ascii="宋体" w:hAnsi="宋体" w:cs="宋体"/>
                <w:bCs/>
                <w:color w:val="000000" w:themeColor="text1"/>
                <w:sz w:val="24"/>
                <w14:textFill>
                  <w14:solidFill>
                    <w14:schemeClr w14:val="tx1"/>
                  </w14:solidFill>
                </w14:textFill>
              </w:rPr>
            </w:pPr>
          </w:p>
        </w:tc>
        <w:tc>
          <w:tcPr>
            <w:tcW w:w="1188" w:type="pct"/>
            <w:gridSpan w:val="2"/>
            <w:vAlign w:val="center"/>
          </w:tcPr>
          <w:p>
            <w:pPr>
              <w:widowControl/>
              <w:snapToGrid w:val="0"/>
              <w:jc w:val="center"/>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供应商统一社会信用代码</w:t>
            </w:r>
          </w:p>
        </w:tc>
        <w:tc>
          <w:tcPr>
            <w:tcW w:w="1656" w:type="pct"/>
            <w:gridSpan w:val="2"/>
            <w:vAlign w:val="center"/>
          </w:tcPr>
          <w:p>
            <w:pPr>
              <w:widowControl/>
              <w:snapToGrid w:val="0"/>
              <w:jc w:val="center"/>
              <w:rPr>
                <w:rFonts w:ascii="宋体" w:hAnsi="宋体" w:cs="宋体"/>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5000" w:type="pct"/>
            <w:gridSpan w:val="8"/>
            <w:vAlign w:val="center"/>
          </w:tcPr>
          <w:p>
            <w:pPr>
              <w:widowControl/>
              <w:snapToGrid w:val="0"/>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投标（响应）供应商相关人员情况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bottom w:val="single" w:color="auto" w:sz="4" w:space="0"/>
            </w:tcBorders>
            <w:vAlign w:val="center"/>
          </w:tcPr>
          <w:p>
            <w:pPr>
              <w:widowControl/>
              <w:snapToGrid w:val="0"/>
              <w:jc w:val="center"/>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序号</w:t>
            </w:r>
          </w:p>
        </w:tc>
        <w:tc>
          <w:tcPr>
            <w:tcW w:w="1223" w:type="pct"/>
            <w:gridSpan w:val="2"/>
            <w:tcBorders>
              <w:bottom w:val="single" w:color="auto" w:sz="4" w:space="0"/>
            </w:tcBorders>
            <w:vAlign w:val="center"/>
          </w:tcPr>
          <w:p>
            <w:pPr>
              <w:widowControl/>
              <w:snapToGrid w:val="0"/>
              <w:jc w:val="center"/>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职务</w:t>
            </w:r>
          </w:p>
        </w:tc>
        <w:tc>
          <w:tcPr>
            <w:tcW w:w="543" w:type="pct"/>
            <w:tcBorders>
              <w:bottom w:val="single" w:color="auto" w:sz="4" w:space="0"/>
            </w:tcBorders>
            <w:vAlign w:val="center"/>
          </w:tcPr>
          <w:p>
            <w:pPr>
              <w:widowControl/>
              <w:snapToGrid w:val="0"/>
              <w:jc w:val="center"/>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姓名</w:t>
            </w:r>
          </w:p>
        </w:tc>
        <w:tc>
          <w:tcPr>
            <w:tcW w:w="1188" w:type="pct"/>
            <w:gridSpan w:val="2"/>
            <w:tcBorders>
              <w:bottom w:val="single" w:color="auto" w:sz="4" w:space="0"/>
            </w:tcBorders>
            <w:vAlign w:val="center"/>
          </w:tcPr>
          <w:p>
            <w:pPr>
              <w:widowControl/>
              <w:snapToGrid w:val="0"/>
              <w:jc w:val="center"/>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身份证号码</w:t>
            </w:r>
          </w:p>
        </w:tc>
        <w:tc>
          <w:tcPr>
            <w:tcW w:w="821" w:type="pct"/>
            <w:tcBorders>
              <w:bottom w:val="single" w:color="auto" w:sz="4" w:space="0"/>
            </w:tcBorders>
            <w:vAlign w:val="center"/>
          </w:tcPr>
          <w:p>
            <w:pPr>
              <w:widowControl/>
              <w:snapToGrid w:val="0"/>
              <w:jc w:val="center"/>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劳动合同</w:t>
            </w:r>
          </w:p>
          <w:p>
            <w:pPr>
              <w:widowControl/>
              <w:snapToGrid w:val="0"/>
              <w:jc w:val="center"/>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关系单位</w:t>
            </w:r>
          </w:p>
        </w:tc>
        <w:tc>
          <w:tcPr>
            <w:tcW w:w="835" w:type="pct"/>
            <w:tcBorders>
              <w:bottom w:val="single" w:color="auto" w:sz="4" w:space="0"/>
            </w:tcBorders>
            <w:vAlign w:val="center"/>
          </w:tcPr>
          <w:p>
            <w:pPr>
              <w:widowControl/>
              <w:snapToGrid w:val="0"/>
              <w:jc w:val="center"/>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缴纳社会</w:t>
            </w:r>
          </w:p>
          <w:p>
            <w:pPr>
              <w:widowControl/>
              <w:snapToGrid w:val="0"/>
              <w:jc w:val="center"/>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保险单位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1</w:t>
            </w:r>
          </w:p>
        </w:tc>
        <w:tc>
          <w:tcPr>
            <w:tcW w:w="1223" w:type="pct"/>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bCs/>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法定代表人/单位负责人/主要经营负责人（必填项）</w:t>
            </w:r>
          </w:p>
        </w:tc>
        <w:tc>
          <w:tcPr>
            <w:tcW w:w="543"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bCs/>
                <w:color w:val="000000" w:themeColor="text1"/>
                <w:sz w:val="24"/>
                <w14:textFill>
                  <w14:solidFill>
                    <w14:schemeClr w14:val="tx1"/>
                  </w14:solidFill>
                </w14:textFill>
              </w:rPr>
            </w:pPr>
          </w:p>
        </w:tc>
        <w:tc>
          <w:tcPr>
            <w:tcW w:w="1188" w:type="pct"/>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bCs/>
                <w:color w:val="000000" w:themeColor="text1"/>
                <w:sz w:val="24"/>
                <w14:textFill>
                  <w14:solidFill>
                    <w14:schemeClr w14:val="tx1"/>
                  </w14:solidFill>
                </w14:textFill>
              </w:rPr>
            </w:pPr>
          </w:p>
        </w:tc>
        <w:tc>
          <w:tcPr>
            <w:tcW w:w="821"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bCs/>
                <w:color w:val="000000" w:themeColor="text1"/>
                <w:sz w:val="24"/>
                <w14:textFill>
                  <w14:solidFill>
                    <w14:schemeClr w14:val="tx1"/>
                  </w14:solidFill>
                </w14:textFill>
              </w:rPr>
            </w:pPr>
          </w:p>
        </w:tc>
        <w:tc>
          <w:tcPr>
            <w:tcW w:w="835"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2</w:t>
            </w:r>
          </w:p>
        </w:tc>
        <w:tc>
          <w:tcPr>
            <w:tcW w:w="1223" w:type="pct"/>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bCs/>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项目投标授权代表人（必填项）</w:t>
            </w:r>
          </w:p>
        </w:tc>
        <w:tc>
          <w:tcPr>
            <w:tcW w:w="543"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bCs/>
                <w:color w:val="000000" w:themeColor="text1"/>
                <w:sz w:val="24"/>
                <w14:textFill>
                  <w14:solidFill>
                    <w14:schemeClr w14:val="tx1"/>
                  </w14:solidFill>
                </w14:textFill>
              </w:rPr>
            </w:pPr>
          </w:p>
        </w:tc>
        <w:tc>
          <w:tcPr>
            <w:tcW w:w="1188" w:type="pct"/>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bCs/>
                <w:color w:val="000000" w:themeColor="text1"/>
                <w:sz w:val="24"/>
                <w14:textFill>
                  <w14:solidFill>
                    <w14:schemeClr w14:val="tx1"/>
                  </w14:solidFill>
                </w14:textFill>
              </w:rPr>
            </w:pPr>
          </w:p>
        </w:tc>
        <w:tc>
          <w:tcPr>
            <w:tcW w:w="821"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bCs/>
                <w:color w:val="000000" w:themeColor="text1"/>
                <w:sz w:val="24"/>
                <w14:textFill>
                  <w14:solidFill>
                    <w14:schemeClr w14:val="tx1"/>
                  </w14:solidFill>
                </w14:textFill>
              </w:rPr>
            </w:pPr>
          </w:p>
        </w:tc>
        <w:tc>
          <w:tcPr>
            <w:tcW w:w="835"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tcBorders>
            <w:vAlign w:val="center"/>
          </w:tcPr>
          <w:p>
            <w:pPr>
              <w:widowControl/>
              <w:snapToGrid w:val="0"/>
              <w:jc w:val="center"/>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3</w:t>
            </w:r>
          </w:p>
        </w:tc>
        <w:tc>
          <w:tcPr>
            <w:tcW w:w="1223" w:type="pct"/>
            <w:gridSpan w:val="2"/>
            <w:tcBorders>
              <w:top w:val="single" w:color="auto" w:sz="4" w:space="0"/>
            </w:tcBorders>
            <w:vAlign w:val="center"/>
          </w:tcPr>
          <w:p>
            <w:pPr>
              <w:widowControl/>
              <w:snapToGrid w:val="0"/>
              <w:jc w:val="center"/>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项目负责人（如有）</w:t>
            </w:r>
          </w:p>
        </w:tc>
        <w:tc>
          <w:tcPr>
            <w:tcW w:w="543" w:type="pct"/>
            <w:tcBorders>
              <w:top w:val="single" w:color="auto" w:sz="4" w:space="0"/>
            </w:tcBorders>
            <w:vAlign w:val="center"/>
          </w:tcPr>
          <w:p>
            <w:pPr>
              <w:widowControl/>
              <w:snapToGrid w:val="0"/>
              <w:jc w:val="center"/>
              <w:rPr>
                <w:rFonts w:ascii="宋体" w:hAnsi="宋体" w:cs="宋体"/>
                <w:bCs/>
                <w:color w:val="000000" w:themeColor="text1"/>
                <w:sz w:val="24"/>
                <w14:textFill>
                  <w14:solidFill>
                    <w14:schemeClr w14:val="tx1"/>
                  </w14:solidFill>
                </w14:textFill>
              </w:rPr>
            </w:pPr>
          </w:p>
        </w:tc>
        <w:tc>
          <w:tcPr>
            <w:tcW w:w="1188" w:type="pct"/>
            <w:gridSpan w:val="2"/>
            <w:tcBorders>
              <w:top w:val="single" w:color="auto" w:sz="4" w:space="0"/>
            </w:tcBorders>
            <w:vAlign w:val="center"/>
          </w:tcPr>
          <w:p>
            <w:pPr>
              <w:widowControl/>
              <w:snapToGrid w:val="0"/>
              <w:jc w:val="center"/>
              <w:rPr>
                <w:rFonts w:ascii="宋体" w:hAnsi="宋体" w:cs="宋体"/>
                <w:bCs/>
                <w:color w:val="000000" w:themeColor="text1"/>
                <w:sz w:val="24"/>
                <w14:textFill>
                  <w14:solidFill>
                    <w14:schemeClr w14:val="tx1"/>
                  </w14:solidFill>
                </w14:textFill>
              </w:rPr>
            </w:pPr>
          </w:p>
        </w:tc>
        <w:tc>
          <w:tcPr>
            <w:tcW w:w="821" w:type="pct"/>
            <w:tcBorders>
              <w:top w:val="single" w:color="auto" w:sz="4" w:space="0"/>
            </w:tcBorders>
            <w:vAlign w:val="center"/>
          </w:tcPr>
          <w:p>
            <w:pPr>
              <w:widowControl/>
              <w:snapToGrid w:val="0"/>
              <w:jc w:val="center"/>
              <w:rPr>
                <w:rFonts w:ascii="宋体" w:hAnsi="宋体" w:cs="宋体"/>
                <w:bCs/>
                <w:color w:val="000000" w:themeColor="text1"/>
                <w:sz w:val="24"/>
                <w14:textFill>
                  <w14:solidFill>
                    <w14:schemeClr w14:val="tx1"/>
                  </w14:solidFill>
                </w14:textFill>
              </w:rPr>
            </w:pPr>
          </w:p>
        </w:tc>
        <w:tc>
          <w:tcPr>
            <w:tcW w:w="835" w:type="pct"/>
            <w:tcBorders>
              <w:top w:val="single" w:color="auto" w:sz="4" w:space="0"/>
            </w:tcBorders>
            <w:vAlign w:val="center"/>
          </w:tcPr>
          <w:p>
            <w:pPr>
              <w:widowControl/>
              <w:snapToGrid w:val="0"/>
              <w:jc w:val="center"/>
              <w:rPr>
                <w:rFonts w:ascii="宋体" w:hAnsi="宋体" w:cs="宋体"/>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vAlign w:val="center"/>
          </w:tcPr>
          <w:p>
            <w:pPr>
              <w:widowControl/>
              <w:snapToGrid w:val="0"/>
              <w:jc w:val="center"/>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4</w:t>
            </w:r>
          </w:p>
        </w:tc>
        <w:tc>
          <w:tcPr>
            <w:tcW w:w="1223" w:type="pct"/>
            <w:gridSpan w:val="2"/>
            <w:vAlign w:val="center"/>
          </w:tcPr>
          <w:p>
            <w:pPr>
              <w:widowControl/>
              <w:snapToGrid w:val="0"/>
              <w:jc w:val="center"/>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主要技术人员（如有）</w:t>
            </w:r>
          </w:p>
        </w:tc>
        <w:tc>
          <w:tcPr>
            <w:tcW w:w="543" w:type="pct"/>
            <w:vAlign w:val="center"/>
          </w:tcPr>
          <w:p>
            <w:pPr>
              <w:widowControl/>
              <w:snapToGrid w:val="0"/>
              <w:jc w:val="center"/>
              <w:rPr>
                <w:rFonts w:ascii="宋体" w:hAnsi="宋体" w:cs="宋体"/>
                <w:bCs/>
                <w:color w:val="000000" w:themeColor="text1"/>
                <w:sz w:val="24"/>
                <w14:textFill>
                  <w14:solidFill>
                    <w14:schemeClr w14:val="tx1"/>
                  </w14:solidFill>
                </w14:textFill>
              </w:rPr>
            </w:pPr>
          </w:p>
        </w:tc>
        <w:tc>
          <w:tcPr>
            <w:tcW w:w="1188" w:type="pct"/>
            <w:gridSpan w:val="2"/>
            <w:vAlign w:val="center"/>
          </w:tcPr>
          <w:p>
            <w:pPr>
              <w:widowControl/>
              <w:snapToGrid w:val="0"/>
              <w:jc w:val="center"/>
              <w:rPr>
                <w:rFonts w:ascii="宋体" w:hAnsi="宋体" w:cs="宋体"/>
                <w:bCs/>
                <w:color w:val="000000" w:themeColor="text1"/>
                <w:sz w:val="24"/>
                <w14:textFill>
                  <w14:solidFill>
                    <w14:schemeClr w14:val="tx1"/>
                  </w14:solidFill>
                </w14:textFill>
              </w:rPr>
            </w:pPr>
          </w:p>
        </w:tc>
        <w:tc>
          <w:tcPr>
            <w:tcW w:w="821" w:type="pct"/>
            <w:vAlign w:val="center"/>
          </w:tcPr>
          <w:p>
            <w:pPr>
              <w:widowControl/>
              <w:snapToGrid w:val="0"/>
              <w:jc w:val="center"/>
              <w:rPr>
                <w:rFonts w:ascii="宋体" w:hAnsi="宋体" w:cs="宋体"/>
                <w:bCs/>
                <w:color w:val="000000" w:themeColor="text1"/>
                <w:sz w:val="24"/>
                <w14:textFill>
                  <w14:solidFill>
                    <w14:schemeClr w14:val="tx1"/>
                  </w14:solidFill>
                </w14:textFill>
              </w:rPr>
            </w:pPr>
          </w:p>
        </w:tc>
        <w:tc>
          <w:tcPr>
            <w:tcW w:w="835" w:type="pct"/>
            <w:vAlign w:val="center"/>
          </w:tcPr>
          <w:p>
            <w:pPr>
              <w:widowControl/>
              <w:snapToGrid w:val="0"/>
              <w:jc w:val="center"/>
              <w:rPr>
                <w:rFonts w:ascii="宋体" w:hAnsi="宋体" w:cs="宋体"/>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vAlign w:val="center"/>
          </w:tcPr>
          <w:p>
            <w:pPr>
              <w:widowControl/>
              <w:snapToGrid w:val="0"/>
              <w:jc w:val="center"/>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5</w:t>
            </w:r>
          </w:p>
        </w:tc>
        <w:tc>
          <w:tcPr>
            <w:tcW w:w="1223" w:type="pct"/>
            <w:gridSpan w:val="2"/>
            <w:vAlign w:val="center"/>
          </w:tcPr>
          <w:p>
            <w:pPr>
              <w:widowControl/>
              <w:snapToGrid w:val="0"/>
              <w:jc w:val="center"/>
              <w:rPr>
                <w:rFonts w:ascii="宋体" w:hAnsi="宋体" w:cs="宋体"/>
                <w:bCs/>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投标文件编制人员（必填项）</w:t>
            </w:r>
          </w:p>
        </w:tc>
        <w:tc>
          <w:tcPr>
            <w:tcW w:w="543" w:type="pct"/>
            <w:vAlign w:val="center"/>
          </w:tcPr>
          <w:p>
            <w:pPr>
              <w:widowControl/>
              <w:snapToGrid w:val="0"/>
              <w:jc w:val="center"/>
              <w:rPr>
                <w:rFonts w:ascii="宋体" w:hAnsi="宋体" w:cs="宋体"/>
                <w:bCs/>
                <w:color w:val="000000" w:themeColor="text1"/>
                <w:sz w:val="24"/>
                <w14:textFill>
                  <w14:solidFill>
                    <w14:schemeClr w14:val="tx1"/>
                  </w14:solidFill>
                </w14:textFill>
              </w:rPr>
            </w:pPr>
          </w:p>
        </w:tc>
        <w:tc>
          <w:tcPr>
            <w:tcW w:w="1188" w:type="pct"/>
            <w:gridSpan w:val="2"/>
            <w:vAlign w:val="center"/>
          </w:tcPr>
          <w:p>
            <w:pPr>
              <w:widowControl/>
              <w:snapToGrid w:val="0"/>
              <w:jc w:val="center"/>
              <w:rPr>
                <w:rFonts w:ascii="宋体" w:hAnsi="宋体" w:cs="宋体"/>
                <w:bCs/>
                <w:color w:val="000000" w:themeColor="text1"/>
                <w:sz w:val="24"/>
                <w14:textFill>
                  <w14:solidFill>
                    <w14:schemeClr w14:val="tx1"/>
                  </w14:solidFill>
                </w14:textFill>
              </w:rPr>
            </w:pPr>
          </w:p>
        </w:tc>
        <w:tc>
          <w:tcPr>
            <w:tcW w:w="821" w:type="pct"/>
            <w:vAlign w:val="center"/>
          </w:tcPr>
          <w:p>
            <w:pPr>
              <w:widowControl/>
              <w:snapToGrid w:val="0"/>
              <w:jc w:val="center"/>
              <w:rPr>
                <w:rFonts w:ascii="宋体" w:hAnsi="宋体" w:cs="宋体"/>
                <w:bCs/>
                <w:color w:val="000000" w:themeColor="text1"/>
                <w:sz w:val="24"/>
                <w14:textFill>
                  <w14:solidFill>
                    <w14:schemeClr w14:val="tx1"/>
                  </w14:solidFill>
                </w14:textFill>
              </w:rPr>
            </w:pPr>
          </w:p>
        </w:tc>
        <w:tc>
          <w:tcPr>
            <w:tcW w:w="835" w:type="pct"/>
            <w:vAlign w:val="center"/>
          </w:tcPr>
          <w:p>
            <w:pPr>
              <w:widowControl/>
              <w:snapToGrid w:val="0"/>
              <w:jc w:val="center"/>
              <w:rPr>
                <w:rFonts w:ascii="宋体" w:hAnsi="宋体" w:cs="宋体"/>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vAlign w:val="center"/>
          </w:tcPr>
          <w:p>
            <w:pPr>
              <w:widowControl/>
              <w:snapToGrid w:val="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说明：1.同一职务有多人担任（如主要技术人员），应分行填写。</w:t>
            </w:r>
          </w:p>
          <w:p>
            <w:pPr>
              <w:pStyle w:val="6"/>
              <w:ind w:firstLine="723" w:firstLineChars="300"/>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2.上述项目负责人、主要技术人员必须为供应商本单位人员。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5000" w:type="pct"/>
            <w:gridSpan w:val="8"/>
            <w:vAlign w:val="center"/>
          </w:tcPr>
          <w:p>
            <w:pPr>
              <w:widowControl/>
              <w:snapToGrid w:val="0"/>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投标（响应）供应商关联关系情况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387"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序号</w:t>
            </w:r>
          </w:p>
        </w:tc>
        <w:tc>
          <w:tcPr>
            <w:tcW w:w="1223" w:type="pct"/>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关联关系类型</w:t>
            </w:r>
          </w:p>
        </w:tc>
        <w:tc>
          <w:tcPr>
            <w:tcW w:w="966" w:type="pct"/>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关联主体名称</w:t>
            </w:r>
          </w:p>
        </w:tc>
        <w:tc>
          <w:tcPr>
            <w:tcW w:w="2422" w:type="pct"/>
            <w:gridSpan w:val="3"/>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1</w:t>
            </w:r>
          </w:p>
        </w:tc>
        <w:tc>
          <w:tcPr>
            <w:tcW w:w="1223" w:type="pct"/>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bCs/>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控股股东（必填项）</w:t>
            </w:r>
          </w:p>
        </w:tc>
        <w:tc>
          <w:tcPr>
            <w:tcW w:w="966" w:type="pct"/>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bCs/>
                <w:color w:val="000000" w:themeColor="text1"/>
                <w:sz w:val="24"/>
                <w14:textFill>
                  <w14:solidFill>
                    <w14:schemeClr w14:val="tx1"/>
                  </w14:solidFill>
                </w14:textFill>
              </w:rPr>
            </w:pPr>
          </w:p>
        </w:tc>
        <w:tc>
          <w:tcPr>
            <w:tcW w:w="2422" w:type="pct"/>
            <w:gridSpan w:val="3"/>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1.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p>
            <w:pPr>
              <w:widowControl/>
              <w:snapToGrid w:val="0"/>
              <w:jc w:val="left"/>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2.如股东为法人或其他组织的，请填写法人或组织的全称及统一社会信用代码；如股东为自然人的，请填写姓名及身份证号。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2</w:t>
            </w:r>
          </w:p>
        </w:tc>
        <w:tc>
          <w:tcPr>
            <w:tcW w:w="1223" w:type="pct"/>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管理关系（如无，可不填写）</w:t>
            </w:r>
          </w:p>
        </w:tc>
        <w:tc>
          <w:tcPr>
            <w:tcW w:w="966" w:type="pct"/>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bCs/>
                <w:color w:val="000000" w:themeColor="text1"/>
                <w:sz w:val="24"/>
                <w14:textFill>
                  <w14:solidFill>
                    <w14:schemeClr w14:val="tx1"/>
                  </w14:solidFill>
                </w14:textFill>
              </w:rPr>
            </w:pPr>
          </w:p>
        </w:tc>
        <w:tc>
          <w:tcPr>
            <w:tcW w:w="2422" w:type="pct"/>
            <w:gridSpan w:val="3"/>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指对投标（响应）供应商不具有出资持股关系，但对其存在管理关系的主体。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tcBorders>
              <w:top w:val="single" w:color="auto" w:sz="4" w:space="0"/>
              <w:left w:val="single" w:color="auto" w:sz="4" w:space="0"/>
              <w:bottom w:val="single" w:color="auto" w:sz="4" w:space="0"/>
              <w:right w:val="single" w:color="auto" w:sz="4" w:space="0"/>
            </w:tcBorders>
            <w:vAlign w:val="center"/>
          </w:tcPr>
          <w:p>
            <w:pPr>
              <w:widowControl/>
              <w:snapToGrid w:val="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说明：</w:t>
            </w:r>
          </w:p>
          <w:p>
            <w:pPr>
              <w:widowControl/>
              <w:snapToGrid w:val="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1.同一关联关系类型有多个主体的，应分行填写。</w:t>
            </w:r>
          </w:p>
          <w:p>
            <w:pPr>
              <w:pStyle w:val="6"/>
              <w:ind w:firstLine="0" w:firstLineChars="0"/>
              <w:rPr>
                <w:rFonts w:ascii="宋体" w:hAnsi="宋体" w:cs="宋体"/>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2.上述规定的控股、管理关系仅限于直接控股、直接管理关系，不包括间接的控股或管理关系。</w:t>
            </w:r>
          </w:p>
        </w:tc>
      </w:tr>
    </w:tbl>
    <w:p>
      <w:pPr>
        <w:snapToGrid w:val="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备注：注明“必填项”的必须填写；未注明“必填项”的，如供应商未填写则视为未安排（或无）。</w:t>
      </w:r>
    </w:p>
    <w:p>
      <w:pPr>
        <w:widowControl/>
        <w:snapToGrid w:val="0"/>
        <w:rPr>
          <w:rFonts w:ascii="宋体" w:hAnsi="宋体" w:cs="宋体"/>
          <w:b/>
          <w:color w:val="000000" w:themeColor="text1"/>
          <w:sz w:val="24"/>
          <w14:textFill>
            <w14:solidFill>
              <w14:schemeClr w14:val="tx1"/>
            </w14:solidFill>
          </w14:textFill>
        </w:rPr>
      </w:pPr>
    </w:p>
    <w:p>
      <w:pPr>
        <w:snapToGrid w:val="0"/>
        <w:rPr>
          <w:rFonts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2.社保</w:t>
      </w:r>
      <w:bookmarkStart w:id="45" w:name="OLE_LINK9"/>
      <w:r>
        <w:rPr>
          <w:rFonts w:hint="eastAsia" w:ascii="宋体" w:hAnsi="宋体" w:cs="宋体"/>
          <w:b/>
          <w:color w:val="000000" w:themeColor="text1"/>
          <w:sz w:val="28"/>
          <w:szCs w:val="28"/>
          <w14:textFill>
            <w14:solidFill>
              <w14:schemeClr w14:val="tx1"/>
            </w14:solidFill>
          </w14:textFill>
        </w:rPr>
        <w:t>证明</w:t>
      </w:r>
      <w:bookmarkEnd w:id="45"/>
      <w:r>
        <w:rPr>
          <w:rFonts w:hint="eastAsia" w:ascii="宋体" w:hAnsi="宋体" w:cs="宋体"/>
          <w:b/>
          <w:color w:val="000000" w:themeColor="text1"/>
          <w:sz w:val="28"/>
          <w:szCs w:val="28"/>
          <w14:textFill>
            <w14:solidFill>
              <w14:schemeClr w14:val="tx1"/>
            </w14:solidFill>
          </w14:textFill>
        </w:rPr>
        <w:t>材料：</w:t>
      </w:r>
    </w:p>
    <w:p>
      <w:pPr>
        <w:widowControl/>
        <w:snapToGrid w:val="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（1）法定代表人/单位负责人/主要经营负责人</w:t>
      </w:r>
    </w:p>
    <w:p>
      <w:pPr>
        <w:widowControl/>
        <w:snapToGrid w:val="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开标前一个月的社保缴纳凭证：</w:t>
      </w:r>
    </w:p>
    <w:p>
      <w:pPr>
        <w:pStyle w:val="6"/>
        <w:widowControl/>
        <w:ind w:firstLine="480"/>
        <w:rPr>
          <w:rFonts w:ascii="宋体" w:hAnsi="宋体" w:cs="宋体"/>
          <w:bCs/>
          <w:color w:val="000000" w:themeColor="text1"/>
          <w:sz w:val="24"/>
          <w:szCs w:val="24"/>
          <w14:textFill>
            <w14:solidFill>
              <w14:schemeClr w14:val="tx1"/>
            </w14:solidFill>
          </w14:textFill>
        </w:rPr>
      </w:pPr>
    </w:p>
    <w:p>
      <w:pPr>
        <w:widowControl/>
        <w:snapToGrid w:val="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（2）投标授权代表人</w:t>
      </w:r>
    </w:p>
    <w:p>
      <w:pPr>
        <w:widowControl/>
        <w:snapToGrid w:val="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身份证复印件（正反面）：</w:t>
      </w:r>
    </w:p>
    <w:p>
      <w:pPr>
        <w:widowControl/>
        <w:snapToGrid w:val="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开标前一个月的社保缴纳凭证：</w:t>
      </w:r>
    </w:p>
    <w:p>
      <w:pPr>
        <w:pStyle w:val="6"/>
        <w:widowControl/>
        <w:ind w:firstLine="480"/>
        <w:rPr>
          <w:rFonts w:ascii="宋体" w:hAnsi="宋体" w:cs="宋体"/>
          <w:bCs/>
          <w:color w:val="000000" w:themeColor="text1"/>
          <w:sz w:val="24"/>
          <w:szCs w:val="24"/>
          <w14:textFill>
            <w14:solidFill>
              <w14:schemeClr w14:val="tx1"/>
            </w14:solidFill>
          </w14:textFill>
        </w:rPr>
      </w:pPr>
    </w:p>
    <w:p>
      <w:pPr>
        <w:widowControl/>
        <w:snapToGrid w:val="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（3）项目负责人（如本项目未安排，可不提供）</w:t>
      </w:r>
    </w:p>
    <w:p>
      <w:pPr>
        <w:widowControl/>
        <w:snapToGrid w:val="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开标前一个月的社保缴纳凭证：</w:t>
      </w:r>
    </w:p>
    <w:p>
      <w:pPr>
        <w:pStyle w:val="6"/>
        <w:widowControl/>
        <w:ind w:firstLine="480"/>
        <w:rPr>
          <w:rFonts w:ascii="宋体" w:hAnsi="宋体" w:cs="宋体"/>
          <w:bCs/>
          <w:color w:val="000000" w:themeColor="text1"/>
          <w:sz w:val="24"/>
          <w:szCs w:val="24"/>
          <w14:textFill>
            <w14:solidFill>
              <w14:schemeClr w14:val="tx1"/>
            </w14:solidFill>
          </w14:textFill>
        </w:rPr>
      </w:pPr>
    </w:p>
    <w:p>
      <w:pPr>
        <w:widowControl/>
        <w:snapToGrid w:val="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（4）主要技术人员（如本项目未安排，可不提供）</w:t>
      </w:r>
    </w:p>
    <w:p>
      <w:pPr>
        <w:widowControl/>
        <w:snapToGrid w:val="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身份证复印件（正反面）：</w:t>
      </w:r>
    </w:p>
    <w:p>
      <w:pPr>
        <w:widowControl/>
        <w:snapToGrid w:val="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开标前一个月的社保缴纳凭证：</w:t>
      </w:r>
    </w:p>
    <w:p>
      <w:pPr>
        <w:pStyle w:val="6"/>
        <w:widowControl/>
        <w:ind w:firstLine="480"/>
        <w:rPr>
          <w:rFonts w:ascii="宋体" w:hAnsi="宋体" w:cs="宋体"/>
          <w:bCs/>
          <w:color w:val="000000" w:themeColor="text1"/>
          <w:sz w:val="24"/>
          <w:szCs w:val="24"/>
          <w14:textFill>
            <w14:solidFill>
              <w14:schemeClr w14:val="tx1"/>
            </w14:solidFill>
          </w14:textFill>
        </w:rPr>
      </w:pPr>
    </w:p>
    <w:p>
      <w:pPr>
        <w:widowControl/>
        <w:numPr>
          <w:ilvl w:val="0"/>
          <w:numId w:val="12"/>
        </w:numPr>
        <w:snapToGrid w:val="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投标文件编制人员</w:t>
      </w:r>
    </w:p>
    <w:p>
      <w:pPr>
        <w:widowControl/>
        <w:snapToGrid w:val="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身份证复印件（正反面）：</w:t>
      </w:r>
    </w:p>
    <w:p>
      <w:pPr>
        <w:widowControl/>
        <w:snapToGrid w:val="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开标前一个月的社保缴纳凭证：</w:t>
      </w:r>
    </w:p>
    <w:p>
      <w:pPr>
        <w:pStyle w:val="6"/>
        <w:widowControl/>
        <w:ind w:firstLine="480"/>
        <w:rPr>
          <w:rFonts w:ascii="宋体" w:hAnsi="宋体" w:cs="宋体"/>
          <w:color w:val="000000" w:themeColor="text1"/>
          <w:sz w:val="24"/>
          <w:szCs w:val="24"/>
          <w14:textFill>
            <w14:solidFill>
              <w14:schemeClr w14:val="tx1"/>
            </w14:solidFill>
          </w14:textFill>
        </w:rPr>
      </w:pPr>
    </w:p>
    <w:p>
      <w:pPr>
        <w:widowControl/>
        <w:snapToGrid w:val="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注：</w:t>
      </w:r>
    </w:p>
    <w:p>
      <w:pPr>
        <w:widowControl/>
        <w:snapToGrid w:val="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1.如开标前近一个月的社保材料因社保部门原因暂时无法取得，则可以往前顺延一个月。其中项目负责人及主要技术人员社保证明须由供应商缴纳。</w:t>
      </w:r>
    </w:p>
    <w:p>
      <w:pPr>
        <w:widowControl/>
        <w:snapToGrid w:val="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2.供应商的项目投标授权代表人与法定代表人为同一人的，则须提供法定代表人的社保证明；本项目未安排项目负责人的，则无须提供项目负责人的社保证明。</w:t>
      </w:r>
    </w:p>
    <w:p>
      <w:pPr>
        <w:widowControl/>
        <w:snapToGrid w:val="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3.如无法按上述要求提供人员社会保险证明材料的，提交以下材料亦视为符合：</w:t>
      </w:r>
    </w:p>
    <w:p>
      <w:pPr>
        <w:widowControl/>
        <w:snapToGrid w:val="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若供应商为新成立企业且成立时间不足一个月，提供加盖投标人公章的情况说明或者证明材料。若为退休人员，提供退休证明。如依法不需要缴纳社会保险的，应提供相应文件证明。若因为社保部门原因无法提供的，需提供劳动合同及社保部门官方通知证明(或官网公告截图)。</w:t>
      </w:r>
    </w:p>
    <w:p>
      <w:pPr>
        <w:snapToGrid w:val="0"/>
        <w:rPr>
          <w:rFonts w:ascii="宋体" w:hAnsi="宋体" w:cs="宋体"/>
          <w:b/>
          <w:color w:val="000000" w:themeColor="text1"/>
          <w:sz w:val="28"/>
          <w:szCs w:val="28"/>
          <w14:textFill>
            <w14:solidFill>
              <w14:schemeClr w14:val="tx1"/>
            </w14:solidFill>
          </w14:textFill>
        </w:rPr>
      </w:pPr>
    </w:p>
    <w:p>
      <w:pPr>
        <w:snapToGrid w:val="0"/>
        <w:rPr>
          <w:rFonts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3.</w:t>
      </w:r>
      <w:bookmarkStart w:id="46" w:name="OLE_LINK10"/>
      <w:r>
        <w:rPr>
          <w:rFonts w:hint="eastAsia" w:ascii="宋体" w:hAnsi="宋体" w:cs="宋体"/>
          <w:b/>
          <w:color w:val="000000" w:themeColor="text1"/>
          <w:sz w:val="28"/>
          <w:szCs w:val="28"/>
          <w14:textFill>
            <w14:solidFill>
              <w14:schemeClr w14:val="tx1"/>
            </w14:solidFill>
          </w14:textFill>
        </w:rPr>
        <w:t>股权关系证明</w:t>
      </w:r>
      <w:bookmarkEnd w:id="46"/>
      <w:r>
        <w:rPr>
          <w:rFonts w:hint="eastAsia" w:ascii="宋体" w:hAnsi="宋体" w:cs="宋体"/>
          <w:b/>
          <w:color w:val="000000" w:themeColor="text1"/>
          <w:sz w:val="28"/>
          <w:szCs w:val="28"/>
          <w14:textFill>
            <w14:solidFill>
              <w14:schemeClr w14:val="tx1"/>
            </w14:solidFill>
          </w14:textFill>
        </w:rPr>
        <w:t>材料：</w:t>
      </w:r>
    </w:p>
    <w:p>
      <w:pPr>
        <w:widowControl/>
        <w:snapToGrid w:val="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（1）股权（或管理）关系证明材料：</w:t>
      </w:r>
    </w:p>
    <w:p>
      <w:pPr>
        <w:widowControl/>
        <w:snapToGrid w:val="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（通过国家企业信用信息公示系统(https://www.gsxt.gov.cn/index.html）、或机关赋码和事业单位登记管理网（http://gjsy.gov.cn/sydwfrxxcx/)、或全国社会组织信用信息公示平台（https://xxgs.chinanpo.mca.gov.cn/gsxt/newList 等网站查询的最新股权（或管理）关系截图）</w:t>
      </w:r>
    </w:p>
    <w:p>
      <w:pPr>
        <w:jc w:val="left"/>
        <w:rPr>
          <w:rFonts w:ascii="宋体" w:hAnsi="宋体" w:cs="宋体"/>
          <w:color w:val="000000" w:themeColor="text1"/>
          <w:sz w:val="24"/>
          <w14:textFill>
            <w14:solidFill>
              <w14:schemeClr w14:val="tx1"/>
            </w14:solidFill>
          </w14:textFill>
        </w:rPr>
      </w:pPr>
    </w:p>
    <w:p>
      <w:pPr>
        <w:widowControl/>
        <w:snapToGrid w:val="0"/>
        <w:jc w:val="left"/>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（2）股权关系情况承诺函</w:t>
      </w:r>
    </w:p>
    <w:p>
      <w:pPr>
        <w:widowControl/>
        <w:snapToGrid w:val="0"/>
        <w:ind w:firstLine="482" w:firstLineChars="200"/>
        <w:jc w:val="center"/>
        <w:rPr>
          <w:rFonts w:ascii="宋体" w:hAnsi="宋体" w:cs="宋体"/>
          <w:bCs/>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《股权关系情况承诺函》</w:t>
      </w:r>
    </w:p>
    <w:p>
      <w:pPr>
        <w:widowControl/>
        <w:snapToGrid w:val="0"/>
        <w:ind w:firstLine="480" w:firstLineChars="20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我公司申请参加</w:t>
      </w:r>
      <w:r>
        <w:rPr>
          <w:rFonts w:hint="eastAsia" w:ascii="宋体" w:hAnsi="宋体" w:cs="宋体"/>
          <w:bCs/>
          <w:color w:val="000000" w:themeColor="text1"/>
          <w:sz w:val="24"/>
          <w:u w:val="single"/>
          <w14:textFill>
            <w14:solidFill>
              <w14:schemeClr w14:val="tx1"/>
            </w14:solidFill>
          </w14:textFill>
        </w:rPr>
        <w:t xml:space="preserve">            </w:t>
      </w:r>
      <w:r>
        <w:rPr>
          <w:rFonts w:hint="eastAsia" w:ascii="宋体" w:hAnsi="宋体" w:cs="宋体"/>
          <w:bCs/>
          <w:color w:val="000000" w:themeColor="text1"/>
          <w:sz w:val="24"/>
          <w14:textFill>
            <w14:solidFill>
              <w14:schemeClr w14:val="tx1"/>
            </w14:solidFill>
          </w14:textFill>
        </w:rPr>
        <w:t>项目（项目编号为</w:t>
      </w:r>
      <w:r>
        <w:rPr>
          <w:rFonts w:hint="eastAsia" w:ascii="宋体" w:hAnsi="宋体" w:cs="宋体"/>
          <w:bCs/>
          <w:color w:val="000000" w:themeColor="text1"/>
          <w:sz w:val="24"/>
          <w:u w:val="single"/>
          <w14:textFill>
            <w14:solidFill>
              <w14:schemeClr w14:val="tx1"/>
            </w14:solidFill>
          </w14:textFill>
        </w:rPr>
        <w:t xml:space="preserve">         </w:t>
      </w:r>
      <w:r>
        <w:rPr>
          <w:rFonts w:hint="eastAsia" w:ascii="宋体" w:hAnsi="宋体" w:cs="宋体"/>
          <w:bCs/>
          <w:color w:val="000000" w:themeColor="text1"/>
          <w:sz w:val="24"/>
          <w14:textFill>
            <w14:solidFill>
              <w14:schemeClr w14:val="tx1"/>
            </w14:solidFill>
          </w14:textFill>
        </w:rPr>
        <w:t>）的投标，并作出如下承诺：</w:t>
      </w:r>
    </w:p>
    <w:p>
      <w:pPr>
        <w:widowControl/>
        <w:snapToGrid w:val="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我公司承诺所填的股权关系情况真实、准确、完整。</w:t>
      </w:r>
    </w:p>
    <w:p>
      <w:pPr>
        <w:widowControl/>
        <w:snapToGrid w:val="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我公司承诺自股权关系证明材料查询之日起至本项目投标截止日止，股权关系如发生变更，将在投标文件中另行申明并附证明材料，保证不出现违背《中华人民共和国政府采购法实施条例》第十八条规定的情形。否则，自愿承担因此产生的不利后果而无异议。</w:t>
      </w:r>
    </w:p>
    <w:p>
      <w:pPr>
        <w:widowControl/>
        <w:snapToGrid w:val="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特此承诺！</w:t>
      </w:r>
    </w:p>
    <w:p>
      <w:pPr>
        <w:widowControl/>
        <w:snapToGrid w:val="0"/>
        <w:rPr>
          <w:rFonts w:ascii="宋体" w:hAnsi="宋体" w:cs="宋体"/>
          <w:bCs/>
          <w:color w:val="000000" w:themeColor="text1"/>
          <w:sz w:val="24"/>
          <w14:textFill>
            <w14:solidFill>
              <w14:schemeClr w14:val="tx1"/>
            </w14:solidFill>
          </w14:textFill>
        </w:rPr>
      </w:pPr>
    </w:p>
    <w:p>
      <w:pPr>
        <w:widowControl/>
        <w:snapToGrid w:val="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 xml:space="preserve">                                供应商名称（加盖公章</w:t>
      </w:r>
      <w:r>
        <w:rPr>
          <w:rFonts w:hint="eastAsia" w:ascii="宋体" w:hAnsi="宋体" w:cs="宋体"/>
          <w:bCs/>
          <w:color w:val="000000" w:themeColor="text1"/>
          <w:sz w:val="24"/>
          <w14:textFill>
            <w14:solidFill>
              <w14:schemeClr w14:val="tx1"/>
            </w14:solidFill>
          </w14:textFill>
        </w:rPr>
        <w:tab/>
      </w:r>
      <w:r>
        <w:rPr>
          <w:rFonts w:hint="eastAsia" w:ascii="宋体" w:hAnsi="宋体" w:cs="宋体"/>
          <w:bCs/>
          <w:color w:val="000000" w:themeColor="text1"/>
          <w:sz w:val="24"/>
          <w14:textFill>
            <w14:solidFill>
              <w14:schemeClr w14:val="tx1"/>
            </w14:solidFill>
          </w14:textFill>
        </w:rPr>
        <w:t xml:space="preserve">）： </w:t>
      </w:r>
    </w:p>
    <w:p>
      <w:pPr>
        <w:widowControl/>
        <w:snapToGrid w:val="0"/>
        <w:ind w:firstLine="3840" w:firstLineChars="160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日  期：       年    月   日</w:t>
      </w:r>
    </w:p>
    <w:p>
      <w:pPr>
        <w:widowControl/>
        <w:snapToGrid w:val="0"/>
        <w:rPr>
          <w:rFonts w:ascii="宋体" w:hAnsi="宋体" w:cs="宋体"/>
          <w:bCs/>
          <w:color w:val="000000" w:themeColor="text1"/>
          <w:sz w:val="24"/>
          <w14:textFill>
            <w14:solidFill>
              <w14:schemeClr w14:val="tx1"/>
            </w14:solidFill>
          </w14:textFill>
        </w:rPr>
      </w:pPr>
    </w:p>
    <w:p>
      <w:pPr>
        <w:tabs>
          <w:tab w:val="left" w:pos="640"/>
          <w:tab w:val="left" w:pos="840"/>
          <w:tab w:val="left" w:pos="1260"/>
          <w:tab w:val="left" w:pos="1418"/>
        </w:tabs>
        <w:spacing w:line="360" w:lineRule="auto"/>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注：代理机构将于截标当日同步通过上述网站进行查询，查询结果与供应商填报信息不一致的，以代理机构于截标当日的查询结果为准。</w:t>
      </w:r>
    </w:p>
    <w:p>
      <w:pPr>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br w:type="page"/>
      </w:r>
    </w:p>
    <w:p>
      <w:pPr>
        <w:numPr>
          <w:ilvl w:val="0"/>
          <w:numId w:val="10"/>
        </w:numPr>
        <w:tabs>
          <w:tab w:val="left" w:pos="640"/>
          <w:tab w:val="left" w:pos="840"/>
          <w:tab w:val="left" w:pos="1260"/>
          <w:tab w:val="left" w:pos="1418"/>
        </w:tabs>
        <w:spacing w:line="360" w:lineRule="auto"/>
        <w:ind w:left="845" w:hanging="845"/>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投标人认为有必要提供的其他材料。</w:t>
      </w:r>
    </w:p>
    <w:p>
      <w:pPr>
        <w:spacing w:line="360" w:lineRule="auto"/>
        <w:rPr>
          <w:rFonts w:ascii="宋体" w:hAnsi="宋体" w:cs="宋体"/>
          <w:color w:val="000000" w:themeColor="text1"/>
          <w:sz w:val="24"/>
          <w14:textFill>
            <w14:solidFill>
              <w14:schemeClr w14:val="tx1"/>
            </w14:solidFill>
          </w14:textFill>
        </w:rPr>
      </w:pPr>
    </w:p>
    <w:p>
      <w:pPr>
        <w:spacing w:line="360" w:lineRule="auto"/>
        <w:outlineLvl w:val="2"/>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br w:type="page"/>
      </w:r>
      <w:r>
        <w:rPr>
          <w:rFonts w:hint="eastAsia" w:ascii="宋体" w:hAnsi="宋体" w:cs="宋体"/>
          <w:b/>
          <w:bCs/>
          <w:color w:val="000000" w:themeColor="text1"/>
          <w:sz w:val="24"/>
          <w14:textFill>
            <w14:solidFill>
              <w14:schemeClr w14:val="tx1"/>
            </w14:solidFill>
          </w14:textFill>
        </w:rPr>
        <w:t>（三）技术部分</w:t>
      </w:r>
    </w:p>
    <w:p>
      <w:pPr>
        <w:numPr>
          <w:ilvl w:val="0"/>
          <w:numId w:val="13"/>
        </w:numPr>
        <w:tabs>
          <w:tab w:val="left" w:pos="640"/>
          <w:tab w:val="left" w:pos="1260"/>
          <w:tab w:val="left" w:pos="1418"/>
        </w:tabs>
        <w:spacing w:line="360" w:lineRule="auto"/>
        <w:ind w:left="845" w:right="-420" w:rightChars="-200" w:hanging="845"/>
        <w:rPr>
          <w:rFonts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用户需求响应表；</w:t>
      </w:r>
    </w:p>
    <w:p>
      <w:pPr>
        <w:spacing w:after="78" w:line="360" w:lineRule="auto"/>
        <w:jc w:val="center"/>
        <w:rPr>
          <w:rFonts w:ascii="宋体" w:hAnsi="宋体" w:cs="宋体"/>
          <w:b/>
          <w:bCs/>
          <w:color w:val="000000" w:themeColor="text1"/>
          <w:sz w:val="24"/>
          <w:lang w:val="fr-CH"/>
          <w14:textFill>
            <w14:solidFill>
              <w14:schemeClr w14:val="tx1"/>
            </w14:solidFill>
          </w14:textFill>
        </w:rPr>
      </w:pPr>
      <w:r>
        <w:rPr>
          <w:rFonts w:hint="eastAsia" w:ascii="宋体" w:hAnsi="宋体" w:cs="宋体"/>
          <w:b/>
          <w:bCs/>
          <w:color w:val="000000" w:themeColor="text1"/>
          <w:sz w:val="24"/>
          <w:lang w:val="fr-CH"/>
          <w14:textFill>
            <w14:solidFill>
              <w14:schemeClr w14:val="tx1"/>
            </w14:solidFill>
          </w14:textFill>
        </w:rPr>
        <w:t>用户需求响应表</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投标供应商名称：（公章）</w:t>
      </w:r>
      <w:r>
        <w:rPr>
          <w:rFonts w:hint="eastAsia" w:ascii="宋体" w:hAnsi="宋体" w:cs="宋体"/>
          <w:color w:val="000000" w:themeColor="text1"/>
          <w:sz w:val="24"/>
          <w:u w:val="single"/>
          <w14:textFill>
            <w14:solidFill>
              <w14:schemeClr w14:val="tx1"/>
            </w14:solidFill>
          </w14:textFill>
        </w:rPr>
        <w:t xml:space="preserve">                             </w:t>
      </w:r>
    </w:p>
    <w:p>
      <w:pPr>
        <w:spacing w:line="360" w:lineRule="auto"/>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招标编号：</w:t>
      </w:r>
      <w:r>
        <w:rPr>
          <w:rFonts w:hint="eastAsia" w:ascii="宋体" w:hAnsi="宋体" w:cs="宋体"/>
          <w:color w:val="000000" w:themeColor="text1"/>
          <w:sz w:val="24"/>
          <w:u w:val="single"/>
          <w14:textFill>
            <w14:solidFill>
              <w14:schemeClr w14:val="tx1"/>
            </w14:solidFill>
          </w14:textFill>
        </w:rPr>
        <w:t xml:space="preserve">                                      </w:t>
      </w:r>
    </w:p>
    <w:p>
      <w:pPr>
        <w:spacing w:after="78" w:line="360" w:lineRule="auto"/>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据招标文件要求，我公司承诺响应如下：</w:t>
      </w:r>
    </w:p>
    <w:tbl>
      <w:tblPr>
        <w:tblStyle w:val="20"/>
        <w:tblW w:w="9543" w:type="dxa"/>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878"/>
        <w:gridCol w:w="3507"/>
        <w:gridCol w:w="3052"/>
        <w:gridCol w:w="2106"/>
      </w:tblGrid>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jc w:val="center"/>
        </w:trPr>
        <w:tc>
          <w:tcPr>
            <w:tcW w:w="878" w:type="dxa"/>
            <w:vAlign w:val="center"/>
          </w:tcPr>
          <w:p>
            <w:pPr>
              <w:spacing w:line="360" w:lineRule="auto"/>
              <w:jc w:val="center"/>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序号</w:t>
            </w:r>
          </w:p>
        </w:tc>
        <w:tc>
          <w:tcPr>
            <w:tcW w:w="3507" w:type="dxa"/>
            <w:vAlign w:val="center"/>
          </w:tcPr>
          <w:p>
            <w:pPr>
              <w:spacing w:line="360" w:lineRule="auto"/>
              <w:jc w:val="center"/>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招标文件要求</w:t>
            </w:r>
          </w:p>
        </w:tc>
        <w:tc>
          <w:tcPr>
            <w:tcW w:w="3052" w:type="dxa"/>
            <w:vAlign w:val="center"/>
          </w:tcPr>
          <w:p>
            <w:pPr>
              <w:spacing w:line="360" w:lineRule="auto"/>
              <w:jc w:val="center"/>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投标文件响应</w:t>
            </w:r>
          </w:p>
        </w:tc>
        <w:tc>
          <w:tcPr>
            <w:tcW w:w="2106" w:type="dxa"/>
            <w:vAlign w:val="center"/>
          </w:tcPr>
          <w:p>
            <w:pPr>
              <w:spacing w:line="360" w:lineRule="auto"/>
              <w:jc w:val="center"/>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偏离说明（无偏离/正偏离/负偏离）</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jc w:val="center"/>
        </w:trPr>
        <w:tc>
          <w:tcPr>
            <w:tcW w:w="878" w:type="dxa"/>
            <w:vAlign w:val="center"/>
          </w:tcPr>
          <w:p>
            <w:pPr>
              <w:spacing w:line="360" w:lineRule="auto"/>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1</w:t>
            </w:r>
          </w:p>
        </w:tc>
        <w:tc>
          <w:tcPr>
            <w:tcW w:w="3507" w:type="dxa"/>
            <w:vAlign w:val="center"/>
          </w:tcPr>
          <w:p>
            <w:pPr>
              <w:spacing w:after="78" w:line="360" w:lineRule="auto"/>
              <w:rPr>
                <w:rFonts w:ascii="宋体" w:hAnsi="宋体" w:cs="宋体"/>
                <w:bCs/>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本项目“用户需求书”的全部内容为项目正常开展的基本要求，投标人必须完全响应满足招标文件“第五章 用户需求书”的全部内容，否则将导致投标无效</w:t>
            </w:r>
            <w:r>
              <w:rPr>
                <w:rFonts w:hint="eastAsia" w:ascii="宋体" w:hAnsi="宋体" w:cs="宋体"/>
                <w:bCs/>
                <w:color w:val="000000" w:themeColor="text1"/>
                <w:sz w:val="24"/>
                <w14:textFill>
                  <w14:solidFill>
                    <w14:schemeClr w14:val="tx1"/>
                  </w14:solidFill>
                </w14:textFill>
              </w:rPr>
              <w:t>。如投标人中标后被发现不能满足招标文件“第五章 用户需求书”的，采购单位有权拒绝签订合同，一切后果由投标人承担。</w:t>
            </w:r>
          </w:p>
        </w:tc>
        <w:tc>
          <w:tcPr>
            <w:tcW w:w="3052" w:type="dxa"/>
            <w:vAlign w:val="center"/>
          </w:tcPr>
          <w:p>
            <w:pPr>
              <w:spacing w:line="360" w:lineRule="auto"/>
              <w:jc w:val="left"/>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填写说明：此项投标人必须完全响应满足，请投标人于“投标文件响应”栏中填写“投标人完全响应满足招标文件“第五章 用户需求书”的全部内容”即可；</w:t>
            </w:r>
          </w:p>
          <w:p>
            <w:pPr>
              <w:spacing w:line="360" w:lineRule="auto"/>
              <w:jc w:val="left"/>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无需另行编制填写内容。</w:t>
            </w:r>
          </w:p>
        </w:tc>
        <w:tc>
          <w:tcPr>
            <w:tcW w:w="2106" w:type="dxa"/>
            <w:vAlign w:val="center"/>
          </w:tcPr>
          <w:p>
            <w:pPr>
              <w:spacing w:line="360" w:lineRule="auto"/>
              <w:jc w:val="center"/>
              <w:rPr>
                <w:rFonts w:ascii="宋体" w:hAnsi="宋体" w:cs="宋体"/>
                <w:bCs/>
                <w:color w:val="000000" w:themeColor="text1"/>
                <w:sz w:val="24"/>
                <w14:textFill>
                  <w14:solidFill>
                    <w14:schemeClr w14:val="tx1"/>
                  </w14:solidFill>
                </w14:textFill>
              </w:rPr>
            </w:pPr>
          </w:p>
        </w:tc>
      </w:tr>
    </w:tbl>
    <w:p>
      <w:pPr>
        <w:spacing w:after="78" w:line="360" w:lineRule="auto"/>
        <w:rPr>
          <w:rFonts w:ascii="宋体" w:hAnsi="宋体" w:cs="宋体"/>
          <w:bCs/>
          <w:color w:val="000000" w:themeColor="text1"/>
          <w:sz w:val="24"/>
          <w14:textFill>
            <w14:solidFill>
              <w14:schemeClr w14:val="tx1"/>
            </w14:solidFill>
          </w14:textFill>
        </w:rPr>
      </w:pPr>
    </w:p>
    <w:p>
      <w:pPr>
        <w:spacing w:after="78" w:line="360" w:lineRule="auto"/>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若响应情况优于招标要求，应作详细说明；“偏离情况”栏中根据响应情况填写，没有达到要求的填“负偏离”，达到要求的填“无偏离”，优于要求的填“正偏离”。</w:t>
      </w:r>
    </w:p>
    <w:p>
      <w:pPr>
        <w:spacing w:line="360" w:lineRule="auto"/>
        <w:rPr>
          <w:rFonts w:ascii="宋体" w:hAnsi="宋体" w:cs="宋体"/>
          <w:color w:val="000000" w:themeColor="text1"/>
          <w:sz w:val="24"/>
          <w14:textFill>
            <w14:solidFill>
              <w14:schemeClr w14:val="tx1"/>
            </w14:solidFill>
          </w14:textFill>
        </w:rPr>
      </w:pP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投标供应商授权代表：</w:t>
      </w:r>
      <w:r>
        <w:rPr>
          <w:rFonts w:hint="eastAsia" w:ascii="宋体" w:hAnsi="宋体" w:cs="宋体"/>
          <w:color w:val="000000" w:themeColor="text1"/>
          <w:sz w:val="24"/>
          <w:u w:val="single"/>
          <w14:textFill>
            <w14:solidFill>
              <w14:schemeClr w14:val="tx1"/>
            </w14:solidFill>
          </w14:textFill>
        </w:rPr>
        <w:t xml:space="preserve">                   </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职              务：</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 xml:space="preserve">        </w:t>
      </w:r>
    </w:p>
    <w:p>
      <w:pPr>
        <w:spacing w:line="360" w:lineRule="auto"/>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日              期：</w:t>
      </w:r>
      <w:r>
        <w:rPr>
          <w:rFonts w:hint="eastAsia" w:ascii="宋体" w:hAnsi="宋体" w:cs="宋体"/>
          <w:color w:val="000000" w:themeColor="text1"/>
          <w:sz w:val="24"/>
          <w:u w:val="single"/>
          <w14:textFill>
            <w14:solidFill>
              <w14:schemeClr w14:val="tx1"/>
            </w14:solidFill>
          </w14:textFill>
        </w:rPr>
        <w:t xml:space="preserve">                   </w:t>
      </w:r>
    </w:p>
    <w:p>
      <w:pPr>
        <w:pStyle w:val="8"/>
        <w:spacing w:line="360" w:lineRule="auto"/>
        <w:rPr>
          <w:color w:val="000000" w:themeColor="text1"/>
          <w:lang w:val="fr-CH"/>
          <w14:textFill>
            <w14:solidFill>
              <w14:schemeClr w14:val="tx1"/>
            </w14:solidFill>
          </w14:textFill>
        </w:rPr>
      </w:pPr>
    </w:p>
    <w:p>
      <w:pPr>
        <w:numPr>
          <w:ilvl w:val="0"/>
          <w:numId w:val="13"/>
        </w:numPr>
        <w:tabs>
          <w:tab w:val="left" w:pos="640"/>
          <w:tab w:val="left" w:pos="1260"/>
          <w:tab w:val="left" w:pos="1418"/>
        </w:tabs>
        <w:spacing w:line="360" w:lineRule="auto"/>
        <w:ind w:left="845" w:right="-420" w:rightChars="-200" w:hanging="845"/>
        <w:rPr>
          <w:rFonts w:ascii="宋体" w:hAnsi="宋体" w:cs="宋体"/>
          <w:color w:val="000000" w:themeColor="text1"/>
          <w:sz w:val="24"/>
          <w:lang w:val="sq-AL"/>
          <w14:textFill>
            <w14:solidFill>
              <w14:schemeClr w14:val="tx1"/>
            </w14:solidFill>
          </w14:textFill>
        </w:rPr>
      </w:pPr>
      <w:r>
        <w:rPr>
          <w:rFonts w:hint="eastAsia" w:ascii="宋体" w:hAnsi="宋体" w:cs="宋体"/>
          <w:color w:val="000000" w:themeColor="text1"/>
          <w:sz w:val="24"/>
          <w:lang w:val="sq-AL"/>
          <w14:textFill>
            <w14:solidFill>
              <w14:schemeClr w14:val="tx1"/>
            </w14:solidFill>
          </w14:textFill>
        </w:rPr>
        <w:br w:type="page"/>
      </w:r>
      <w:r>
        <w:rPr>
          <w:rFonts w:hint="eastAsia" w:ascii="宋体" w:hAnsi="宋体" w:cs="宋体"/>
          <w:color w:val="000000" w:themeColor="text1"/>
          <w:sz w:val="24"/>
          <w:lang w:val="sq-AL"/>
          <w14:textFill>
            <w14:solidFill>
              <w14:schemeClr w14:val="tx1"/>
            </w14:solidFill>
          </w14:textFill>
        </w:rPr>
        <w:t>项目实施方案；</w:t>
      </w:r>
    </w:p>
    <w:p>
      <w:pPr>
        <w:numPr>
          <w:ilvl w:val="0"/>
          <w:numId w:val="13"/>
        </w:numPr>
        <w:tabs>
          <w:tab w:val="left" w:pos="640"/>
          <w:tab w:val="left" w:pos="1260"/>
          <w:tab w:val="left" w:pos="1418"/>
        </w:tabs>
        <w:spacing w:line="360" w:lineRule="auto"/>
        <w:ind w:left="845" w:right="-420" w:rightChars="-200" w:hanging="845"/>
        <w:rPr>
          <w:rFonts w:ascii="宋体" w:hAnsi="宋体" w:cs="宋体"/>
          <w:color w:val="000000" w:themeColor="text1"/>
          <w:sz w:val="24"/>
          <w:lang w:val="sq-AL"/>
          <w14:textFill>
            <w14:solidFill>
              <w14:schemeClr w14:val="tx1"/>
            </w14:solidFill>
          </w14:textFill>
        </w:rPr>
      </w:pPr>
      <w:r>
        <w:rPr>
          <w:rFonts w:hint="eastAsia" w:ascii="宋体" w:hAnsi="宋体" w:cs="宋体"/>
          <w:color w:val="000000" w:themeColor="text1"/>
          <w:sz w:val="24"/>
          <w:lang w:val="sq-AL"/>
          <w14:textFill>
            <w14:solidFill>
              <w14:schemeClr w14:val="tx1"/>
            </w14:solidFill>
          </w14:textFill>
        </w:rPr>
        <w:t>项目需求理解；</w:t>
      </w:r>
    </w:p>
    <w:p>
      <w:pPr>
        <w:numPr>
          <w:ilvl w:val="0"/>
          <w:numId w:val="13"/>
        </w:numPr>
        <w:tabs>
          <w:tab w:val="left" w:pos="640"/>
          <w:tab w:val="left" w:pos="1260"/>
          <w:tab w:val="left" w:pos="1418"/>
        </w:tabs>
        <w:spacing w:line="360" w:lineRule="auto"/>
        <w:ind w:left="845" w:right="-420" w:rightChars="-200" w:hanging="845"/>
        <w:rPr>
          <w:rFonts w:ascii="宋体" w:hAnsi="宋体" w:cs="宋体"/>
          <w:color w:val="000000" w:themeColor="text1"/>
          <w:sz w:val="24"/>
          <w:lang w:val="sq-AL"/>
          <w14:textFill>
            <w14:solidFill>
              <w14:schemeClr w14:val="tx1"/>
            </w14:solidFill>
          </w14:textFill>
        </w:rPr>
      </w:pPr>
      <w:r>
        <w:rPr>
          <w:rFonts w:hint="eastAsia" w:ascii="宋体" w:hAnsi="宋体" w:cs="宋体"/>
          <w:color w:val="000000" w:themeColor="text1"/>
          <w:sz w:val="24"/>
          <w:lang w:val="sq-AL"/>
          <w14:textFill>
            <w14:solidFill>
              <w14:schemeClr w14:val="tx1"/>
            </w14:solidFill>
          </w14:textFill>
        </w:rPr>
        <w:t>项目重点难点分析、应对措施及相关的合理化建议；</w:t>
      </w:r>
    </w:p>
    <w:p>
      <w:pPr>
        <w:numPr>
          <w:ilvl w:val="0"/>
          <w:numId w:val="13"/>
        </w:numPr>
        <w:tabs>
          <w:tab w:val="left" w:pos="640"/>
          <w:tab w:val="left" w:pos="1260"/>
          <w:tab w:val="left" w:pos="1418"/>
        </w:tabs>
        <w:spacing w:line="360" w:lineRule="auto"/>
        <w:ind w:left="845" w:right="-420" w:rightChars="-200" w:hanging="845"/>
        <w:rPr>
          <w:rFonts w:ascii="宋体" w:hAnsi="宋体" w:cs="宋体"/>
          <w:color w:val="000000" w:themeColor="text1"/>
          <w:sz w:val="24"/>
          <w:lang w:val="sq-AL"/>
          <w14:textFill>
            <w14:solidFill>
              <w14:schemeClr w14:val="tx1"/>
            </w14:solidFill>
          </w14:textFill>
        </w:rPr>
      </w:pPr>
      <w:r>
        <w:rPr>
          <w:rFonts w:hint="eastAsia" w:ascii="宋体" w:hAnsi="宋体" w:cs="宋体"/>
          <w:color w:val="000000" w:themeColor="text1"/>
          <w:sz w:val="24"/>
          <w:lang w:val="sq-AL"/>
          <w14:textFill>
            <w14:solidFill>
              <w14:schemeClr w14:val="tx1"/>
            </w14:solidFill>
          </w14:textFill>
        </w:rPr>
        <w:t>质量（完成时间、安全、环保）保障措施及方案；</w:t>
      </w:r>
    </w:p>
    <w:p>
      <w:pPr>
        <w:numPr>
          <w:ilvl w:val="0"/>
          <w:numId w:val="13"/>
        </w:numPr>
        <w:tabs>
          <w:tab w:val="left" w:pos="640"/>
          <w:tab w:val="left" w:pos="1260"/>
          <w:tab w:val="left" w:pos="1418"/>
        </w:tabs>
        <w:spacing w:line="360" w:lineRule="auto"/>
        <w:ind w:left="845" w:right="-420" w:rightChars="-200" w:hanging="845"/>
        <w:rPr>
          <w:rFonts w:ascii="宋体" w:hAnsi="宋体" w:cs="宋体"/>
          <w:color w:val="000000" w:themeColor="text1"/>
          <w:sz w:val="24"/>
          <w:lang w:val="sq-AL"/>
          <w14:textFill>
            <w14:solidFill>
              <w14:schemeClr w14:val="tx1"/>
            </w14:solidFill>
          </w14:textFill>
        </w:rPr>
      </w:pPr>
      <w:r>
        <w:rPr>
          <w:rFonts w:hint="eastAsia" w:ascii="宋体" w:hAnsi="宋体" w:cs="宋体"/>
          <w:color w:val="000000" w:themeColor="text1"/>
          <w:sz w:val="24"/>
          <w:lang w:val="sq-AL"/>
          <w14:textFill>
            <w14:solidFill>
              <w14:schemeClr w14:val="tx1"/>
            </w14:solidFill>
          </w14:textFill>
        </w:rPr>
        <w:t>项目完成（服务期满）后的服务承诺；</w:t>
      </w:r>
    </w:p>
    <w:p>
      <w:pPr>
        <w:numPr>
          <w:ilvl w:val="0"/>
          <w:numId w:val="13"/>
        </w:numPr>
        <w:tabs>
          <w:tab w:val="left" w:pos="640"/>
          <w:tab w:val="left" w:pos="1260"/>
          <w:tab w:val="left" w:pos="1418"/>
        </w:tabs>
        <w:spacing w:line="360" w:lineRule="auto"/>
        <w:ind w:left="845" w:right="-420" w:rightChars="-200" w:hanging="845"/>
        <w:rPr>
          <w:rFonts w:ascii="宋体" w:hAnsi="宋体" w:cs="宋体"/>
          <w:color w:val="000000" w:themeColor="text1"/>
          <w:sz w:val="24"/>
          <w:lang w:val="sq-AL"/>
          <w14:textFill>
            <w14:solidFill>
              <w14:schemeClr w14:val="tx1"/>
            </w14:solidFill>
          </w14:textFill>
        </w:rPr>
      </w:pPr>
      <w:r>
        <w:rPr>
          <w:rFonts w:hint="eastAsia" w:ascii="宋体" w:hAnsi="宋体" w:cs="宋体"/>
          <w:color w:val="000000" w:themeColor="text1"/>
          <w:sz w:val="24"/>
          <w:lang w:val="sq-AL"/>
          <w14:textFill>
            <w14:solidFill>
              <w14:schemeClr w14:val="tx1"/>
            </w14:solidFill>
          </w14:textFill>
        </w:rPr>
        <w:t>其他服务承诺；</w:t>
      </w:r>
    </w:p>
    <w:p>
      <w:pPr>
        <w:tabs>
          <w:tab w:val="left" w:pos="640"/>
          <w:tab w:val="left" w:pos="1260"/>
          <w:tab w:val="left" w:pos="1418"/>
        </w:tabs>
        <w:jc w:val="center"/>
        <w:rPr>
          <w:rFonts w:ascii="宋体" w:hAnsi="宋体" w:cs="宋体"/>
          <w:b/>
          <w:bCs/>
          <w:color w:val="000000" w:themeColor="text1"/>
          <w:sz w:val="24"/>
          <w14:textFill>
            <w14:solidFill>
              <w14:schemeClr w14:val="tx1"/>
            </w14:solidFill>
          </w14:textFill>
        </w:rPr>
      </w:pPr>
    </w:p>
    <w:p>
      <w:pPr>
        <w:tabs>
          <w:tab w:val="left" w:pos="640"/>
          <w:tab w:val="left" w:pos="1260"/>
          <w:tab w:val="left" w:pos="1418"/>
        </w:tabs>
        <w:jc w:val="center"/>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注：以上各项请根据“招标项目评分表”中的要求自行填写并提供相应的证明材料。</w:t>
      </w:r>
    </w:p>
    <w:p>
      <w:pPr>
        <w:numPr>
          <w:ilvl w:val="0"/>
          <w:numId w:val="13"/>
        </w:numPr>
        <w:tabs>
          <w:tab w:val="left" w:pos="640"/>
          <w:tab w:val="left" w:pos="1260"/>
          <w:tab w:val="left" w:pos="1418"/>
        </w:tabs>
        <w:spacing w:line="360" w:lineRule="auto"/>
        <w:ind w:left="845" w:right="-420" w:rightChars="-200" w:hanging="845"/>
        <w:rPr>
          <w:rFonts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br w:type="page"/>
      </w:r>
      <w:r>
        <w:rPr>
          <w:rFonts w:hint="eastAsia" w:ascii="宋体" w:hAnsi="宋体" w:cs="宋体"/>
          <w:color w:val="000000" w:themeColor="text1"/>
          <w:sz w:val="24"/>
          <w:lang w:val="fr-CH"/>
          <w14:textFill>
            <w14:solidFill>
              <w14:schemeClr w14:val="tx1"/>
            </w14:solidFill>
          </w14:textFill>
        </w:rPr>
        <w:t>投标人认为有必要提供的其他材料。</w:t>
      </w:r>
      <w:bookmarkEnd w:id="39"/>
    </w:p>
    <w:p>
      <w:pPr>
        <w:tabs>
          <w:tab w:val="left" w:pos="360"/>
        </w:tabs>
        <w:spacing w:line="300" w:lineRule="auto"/>
        <w:outlineLvl w:val="0"/>
        <w:rPr>
          <w:rFonts w:ascii="宋体" w:hAnsi="宋体" w:cs="宋体"/>
          <w:b/>
          <w:bCs/>
          <w:color w:val="000000" w:themeColor="text1"/>
          <w:sz w:val="24"/>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br w:type="page"/>
      </w:r>
      <w:bookmarkStart w:id="47" w:name="_Toc742"/>
      <w:bookmarkStart w:id="48" w:name="_Toc6251"/>
      <w:r>
        <w:rPr>
          <w:rFonts w:hint="eastAsia" w:ascii="宋体" w:hAnsi="宋体" w:cs="宋体"/>
          <w:b/>
          <w:bCs/>
          <w:color w:val="000000" w:themeColor="text1"/>
          <w:sz w:val="24"/>
          <w14:textFill>
            <w14:solidFill>
              <w14:schemeClr w14:val="tx1"/>
            </w14:solidFill>
          </w14:textFill>
        </w:rPr>
        <w:t>附件：相关政策</w:t>
      </w:r>
      <w:bookmarkEnd w:id="47"/>
      <w:bookmarkEnd w:id="48"/>
    </w:p>
    <w:p>
      <w:pPr>
        <w:tabs>
          <w:tab w:val="left" w:pos="360"/>
        </w:tabs>
        <w:outlineLvl w:val="1"/>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1、财政部、工业和信息化部《关于印发〈政府采购促进中小企业发展管理办法〉的通知》（财库〔2020〕46 号）</w:t>
      </w:r>
    </w:p>
    <w:p>
      <w:pPr>
        <w:pStyle w:val="8"/>
        <w:tabs>
          <w:tab w:val="left" w:pos="562"/>
          <w:tab w:val="left" w:pos="3372"/>
          <w:tab w:val="left" w:pos="3653"/>
        </w:tabs>
        <w:rPr>
          <w:rFonts w:ascii="宋体" w:hAnsi="宋体" w:cs="宋体"/>
          <w:color w:val="000000" w:themeColor="text1"/>
          <w14:textFill>
            <w14:solidFill>
              <w14:schemeClr w14:val="tx1"/>
            </w14:solidFill>
          </w14:textFill>
        </w:rPr>
      </w:pPr>
    </w:p>
    <w:p>
      <w:pPr>
        <w:widowControl/>
        <w:shd w:val="clear" w:color="auto" w:fill="FFFFFF"/>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关于印发《政府采购促进中小企业发展管理办法》的通知</w:t>
      </w:r>
    </w:p>
    <w:p>
      <w:pPr>
        <w:widowControl/>
        <w:shd w:val="clear" w:color="auto" w:fill="FFFFFF"/>
        <w:spacing w:after="240"/>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财库〔2020〕46号</w:t>
      </w:r>
    </w:p>
    <w:p>
      <w:pPr>
        <w:widowControl/>
        <w:shd w:val="clear" w:color="auto" w:fill="FFFFFF"/>
        <w:spacing w:after="24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各中央预算单位办公厅（室），各省、自治区、直辖市、计划单列市财政厅（局）、工业和信息化主管部门，新疆生产建设兵团财政局、工业和信息化主管部门：</w:t>
      </w:r>
    </w:p>
    <w:p>
      <w:pPr>
        <w:widowControl/>
        <w:shd w:val="clear" w:color="auto" w:fill="FFFFFF"/>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为贯彻落实《关于促进中小企业健康发展的指导意见》，发挥政府采购政策功能，促进中小企业发展，根据《中华人民共和国政府采购法》、《中华人民共和国中小企业促进法》等法律法规，财政部、工业和信息化部制定了《政府采购促进中小企业发展管理办法》。现印发给你们，请遵照执行。</w:t>
      </w:r>
    </w:p>
    <w:p>
      <w:pPr>
        <w:widowControl/>
        <w:shd w:val="clear" w:color="auto" w:fill="FFFFFF"/>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附件：政府采购促进中小企业发展管理办法</w:t>
      </w:r>
    </w:p>
    <w:p>
      <w:pPr>
        <w:widowControl/>
        <w:shd w:val="clear" w:color="auto" w:fill="FFFFFF"/>
        <w:jc w:val="righ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财  政  部</w:t>
      </w:r>
    </w:p>
    <w:p>
      <w:pPr>
        <w:widowControl/>
        <w:shd w:val="clear" w:color="auto" w:fill="FFFFFF"/>
        <w:jc w:val="righ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工业和信息化部</w:t>
      </w:r>
    </w:p>
    <w:p>
      <w:pPr>
        <w:widowControl/>
        <w:shd w:val="clear" w:color="auto" w:fill="FFFFFF"/>
        <w:jc w:val="righ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2020年12月18日</w:t>
      </w:r>
    </w:p>
    <w:p>
      <w:pPr>
        <w:autoSpaceDE w:val="0"/>
        <w:autoSpaceDN w:val="0"/>
        <w:adjustRightInd w:val="0"/>
        <w:jc w:val="left"/>
        <w:rPr>
          <w:rFonts w:ascii="宋体" w:hAnsi="宋体" w:cs="宋体"/>
          <w:color w:val="000000" w:themeColor="text1"/>
          <w:kern w:val="0"/>
          <w:sz w:val="24"/>
          <w14:textFill>
            <w14:solidFill>
              <w14:schemeClr w14:val="tx1"/>
            </w14:solidFill>
          </w14:textFill>
        </w:rPr>
      </w:pPr>
    </w:p>
    <w:p>
      <w:pPr>
        <w:jc w:val="center"/>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政府采购促进中小企业发展管理办法</w:t>
      </w:r>
    </w:p>
    <w:p>
      <w:pPr>
        <w:pStyle w:val="8"/>
        <w:tabs>
          <w:tab w:val="left" w:pos="562"/>
          <w:tab w:val="left" w:pos="3372"/>
          <w:tab w:val="left" w:pos="3653"/>
        </w:tabs>
        <w:ind w:firstLine="480" w:firstLineChars="200"/>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第一条 为了发挥政府采购的政策功能，促进中小企业健康发展，根据《中华人民共和国政府采购法》、《中华人民共和国中小企业促进法》等有关法律法规，制定本办法。</w:t>
      </w:r>
    </w:p>
    <w:p>
      <w:pPr>
        <w:pStyle w:val="8"/>
        <w:tabs>
          <w:tab w:val="left" w:pos="562"/>
          <w:tab w:val="left" w:pos="3372"/>
          <w:tab w:val="left" w:pos="3653"/>
        </w:tabs>
        <w:ind w:firstLine="480" w:firstLineChars="200"/>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第二条 本办法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pPr>
        <w:pStyle w:val="8"/>
        <w:tabs>
          <w:tab w:val="left" w:pos="562"/>
          <w:tab w:val="left" w:pos="3372"/>
          <w:tab w:val="left" w:pos="3653"/>
        </w:tabs>
        <w:ind w:firstLine="480" w:firstLineChars="200"/>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第三条 采购人在政府采购活动中应当通过加强采购需求管理，落实预留采购份额、价格评审优惠、优先采购等 措施，提高中小企业在政府采购中的份额，支持中小企业发展。</w:t>
      </w:r>
    </w:p>
    <w:p>
      <w:pPr>
        <w:pStyle w:val="8"/>
        <w:tabs>
          <w:tab w:val="left" w:pos="562"/>
          <w:tab w:val="left" w:pos="3372"/>
          <w:tab w:val="left" w:pos="3653"/>
        </w:tabs>
        <w:ind w:firstLine="480" w:firstLineChars="200"/>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第四条 在政府采购活动中，供应商提供的货物、工程或者服务符合下列情形的，享受本办法规定的中小企业扶持政策：</w:t>
      </w:r>
    </w:p>
    <w:p>
      <w:pPr>
        <w:pStyle w:val="8"/>
        <w:tabs>
          <w:tab w:val="left" w:pos="562"/>
          <w:tab w:val="left" w:pos="3372"/>
          <w:tab w:val="left" w:pos="3653"/>
        </w:tabs>
        <w:ind w:firstLine="480" w:firstLineChars="200"/>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（一）在货物采购项目中，货物由中小企业制造，即货 物由中小企业生产且使用该中小企业商号或者注册商标；</w:t>
      </w:r>
    </w:p>
    <w:p>
      <w:pPr>
        <w:pStyle w:val="8"/>
        <w:tabs>
          <w:tab w:val="left" w:pos="562"/>
          <w:tab w:val="left" w:pos="3372"/>
          <w:tab w:val="left" w:pos="3653"/>
        </w:tabs>
        <w:ind w:firstLine="480" w:firstLineChars="200"/>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（二）在工程采购项目中，工程由中小企业承建，即工 程施工单位为中小企业；</w:t>
      </w:r>
    </w:p>
    <w:p>
      <w:pPr>
        <w:pStyle w:val="8"/>
        <w:tabs>
          <w:tab w:val="left" w:pos="562"/>
          <w:tab w:val="left" w:pos="3372"/>
          <w:tab w:val="left" w:pos="3653"/>
        </w:tabs>
        <w:ind w:firstLine="480" w:firstLineChars="200"/>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（三）在服务采购项目中，服务由中小企业承接，即提供服务的人员为中小企业依照《中华人民共和国劳动合同法》订立劳动合同的从业人员。</w:t>
      </w:r>
    </w:p>
    <w:p>
      <w:pPr>
        <w:pStyle w:val="8"/>
        <w:tabs>
          <w:tab w:val="left" w:pos="562"/>
          <w:tab w:val="left" w:pos="3372"/>
          <w:tab w:val="left" w:pos="3653"/>
        </w:tabs>
        <w:ind w:firstLine="480" w:firstLineChars="200"/>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在货物采购项目中，供应商提供的货物既有中小企业制造货物，也有大型企业制造货物的，不享受本办法规定的中小企业扶持政策。</w:t>
      </w:r>
    </w:p>
    <w:p>
      <w:pPr>
        <w:pStyle w:val="8"/>
        <w:tabs>
          <w:tab w:val="left" w:pos="562"/>
          <w:tab w:val="left" w:pos="3372"/>
          <w:tab w:val="left" w:pos="3653"/>
        </w:tabs>
        <w:ind w:firstLine="480" w:firstLineChars="200"/>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以联合体形式参加政府采购活动，联合体各方均为中小企业的，联合体视同中小企业。其中，联合体各方均为小微企业的，联合体视同小微企业。</w:t>
      </w:r>
    </w:p>
    <w:p>
      <w:pPr>
        <w:pStyle w:val="8"/>
        <w:tabs>
          <w:tab w:val="left" w:pos="562"/>
          <w:tab w:val="left" w:pos="3372"/>
          <w:tab w:val="left" w:pos="3653"/>
        </w:tabs>
        <w:ind w:firstLine="480" w:firstLineChars="200"/>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第五条 采购人在政府采购活动中应当合理确定采购项目的采购需求，不得以企业注册资本、资产总额、营业收入、从业人员、利润、纳税额等规模条件和财务指标作为供应商的资格要求或者评审因素，不得在企业股权结构、经营 年限等方面对中小企业实行差别待遇或者歧视待遇。</w:t>
      </w:r>
    </w:p>
    <w:p>
      <w:pPr>
        <w:pStyle w:val="8"/>
        <w:tabs>
          <w:tab w:val="left" w:pos="562"/>
          <w:tab w:val="left" w:pos="3372"/>
          <w:tab w:val="left" w:pos="3653"/>
        </w:tabs>
        <w:ind w:firstLine="480" w:firstLineChars="200"/>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第六条 主管预算单位应当组织评估本部门及所属单位政府采购项目，统筹制定面向中小企业预留采购份额的具体方案，对适宜由中小企业提供的采购项目和采购包，预留采购份额专门面向中小企业采购，并在政府采购预算中单独列示。</w:t>
      </w:r>
    </w:p>
    <w:p>
      <w:pPr>
        <w:pStyle w:val="8"/>
        <w:tabs>
          <w:tab w:val="left" w:pos="562"/>
          <w:tab w:val="left" w:pos="3372"/>
          <w:tab w:val="left" w:pos="3653"/>
        </w:tabs>
        <w:ind w:firstLine="48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kern w:val="0"/>
          <w14:textFill>
            <w14:solidFill>
              <w14:schemeClr w14:val="tx1"/>
            </w14:solidFill>
          </w14:textFill>
        </w:rPr>
        <w:t>符合下列情形之一的，可不专门面向中小企业预留采购</w:t>
      </w:r>
      <w:r>
        <w:rPr>
          <w:rFonts w:hint="eastAsia" w:ascii="宋体" w:hAnsi="宋体" w:cs="宋体"/>
          <w:color w:val="000000" w:themeColor="text1"/>
          <w14:textFill>
            <w14:solidFill>
              <w14:schemeClr w14:val="tx1"/>
            </w14:solidFill>
          </w14:textFill>
        </w:rPr>
        <w:t>份额：</w:t>
      </w:r>
    </w:p>
    <w:p>
      <w:pPr>
        <w:pStyle w:val="8"/>
        <w:tabs>
          <w:tab w:val="left" w:pos="562"/>
          <w:tab w:val="left" w:pos="3372"/>
          <w:tab w:val="left" w:pos="3653"/>
        </w:tabs>
        <w:ind w:firstLine="480" w:firstLineChars="200"/>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（一）法律法规和国家有关政策明确规定优先或者应当面向事业单位、社会组织等非企业主体采购的；</w:t>
      </w:r>
    </w:p>
    <w:p>
      <w:pPr>
        <w:pStyle w:val="8"/>
        <w:tabs>
          <w:tab w:val="left" w:pos="562"/>
          <w:tab w:val="left" w:pos="3372"/>
          <w:tab w:val="left" w:pos="3653"/>
        </w:tabs>
        <w:ind w:firstLine="480" w:firstLineChars="200"/>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（二）因确需使用不可替代的专利、专有技术，基础设施限制，或者提供特定公共服务等原因，只能从中小企业之外的供应商处采购的；</w:t>
      </w:r>
    </w:p>
    <w:p>
      <w:pPr>
        <w:pStyle w:val="8"/>
        <w:tabs>
          <w:tab w:val="left" w:pos="562"/>
          <w:tab w:val="left" w:pos="3372"/>
          <w:tab w:val="left" w:pos="3653"/>
        </w:tabs>
        <w:ind w:firstLine="480" w:firstLineChars="200"/>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（三）按照本办法规定预留采购份额无法确保充分供应、充分竞争，或者存在可能影响政府采购目标实现的情形；</w:t>
      </w:r>
    </w:p>
    <w:p>
      <w:pPr>
        <w:pStyle w:val="8"/>
        <w:tabs>
          <w:tab w:val="left" w:pos="562"/>
          <w:tab w:val="left" w:pos="3372"/>
          <w:tab w:val="left" w:pos="3653"/>
        </w:tabs>
        <w:ind w:firstLine="480" w:firstLineChars="200"/>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（四）框架协议采购项目；</w:t>
      </w:r>
    </w:p>
    <w:p>
      <w:pPr>
        <w:pStyle w:val="8"/>
        <w:tabs>
          <w:tab w:val="left" w:pos="562"/>
          <w:tab w:val="left" w:pos="3372"/>
          <w:tab w:val="left" w:pos="3653"/>
        </w:tabs>
        <w:ind w:firstLine="480" w:firstLineChars="200"/>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（五）省级以上人民政府财政部门规定的其他情形。 除上述情形外，其他均为适宜由中小企业提供的情形。</w:t>
      </w:r>
    </w:p>
    <w:p>
      <w:pPr>
        <w:pStyle w:val="8"/>
        <w:tabs>
          <w:tab w:val="left" w:pos="562"/>
          <w:tab w:val="left" w:pos="3372"/>
          <w:tab w:val="left" w:pos="3653"/>
        </w:tabs>
        <w:ind w:firstLine="480" w:firstLineChars="200"/>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第七条采购限额标准以上，200万元以下的货物和服务采购项目、400 万元以下的工程采购项目，适宜由中小企业提供的，采购人应当专门面向中小企业采购。</w:t>
      </w:r>
    </w:p>
    <w:p>
      <w:pPr>
        <w:pStyle w:val="8"/>
        <w:tabs>
          <w:tab w:val="left" w:pos="562"/>
          <w:tab w:val="left" w:pos="3372"/>
          <w:tab w:val="left" w:pos="3653"/>
        </w:tabs>
        <w:ind w:firstLine="480" w:firstLineChars="200"/>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第八条 超过 200 万元的货物和服务采购项目、超过400 万元的工程采购项目中适宜由中小企业提供的，预留该部分采购项目预算总额的 30%以上专门面向中小企业采购， 其中预留给小微企业的比例不低于 60%。预留份额通过下列措施进行：</w:t>
      </w:r>
    </w:p>
    <w:p>
      <w:pPr>
        <w:pStyle w:val="8"/>
        <w:tabs>
          <w:tab w:val="left" w:pos="562"/>
          <w:tab w:val="left" w:pos="3372"/>
          <w:tab w:val="left" w:pos="3653"/>
        </w:tabs>
        <w:ind w:firstLine="480" w:firstLineChars="200"/>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（一）将采购项目整体或者设置采购包专门面向中小企业采购；</w:t>
      </w:r>
    </w:p>
    <w:p>
      <w:pPr>
        <w:pStyle w:val="8"/>
        <w:tabs>
          <w:tab w:val="left" w:pos="562"/>
          <w:tab w:val="left" w:pos="3372"/>
          <w:tab w:val="left" w:pos="3653"/>
        </w:tabs>
        <w:ind w:firstLine="480" w:firstLineChars="200"/>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（二）要求供应商以联合体形式参加采购活动，且联合体中中小企业承担的部分达到一定比例；</w:t>
      </w:r>
    </w:p>
    <w:p>
      <w:pPr>
        <w:pStyle w:val="8"/>
        <w:tabs>
          <w:tab w:val="left" w:pos="562"/>
          <w:tab w:val="left" w:pos="3372"/>
          <w:tab w:val="left" w:pos="3653"/>
        </w:tabs>
        <w:ind w:firstLine="480" w:firstLineChars="200"/>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（三）要求获得采购合同的供应商将采购项目中的一定比例分包给一家或者多家中小企业。</w:t>
      </w:r>
    </w:p>
    <w:p>
      <w:pPr>
        <w:pStyle w:val="8"/>
        <w:tabs>
          <w:tab w:val="left" w:pos="562"/>
          <w:tab w:val="left" w:pos="3372"/>
          <w:tab w:val="left" w:pos="3653"/>
        </w:tabs>
        <w:ind w:firstLine="480" w:firstLineChars="200"/>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组成联合体或者接受分包合同的中小企业与联合体内 其他企业、分包企业之间不得存在直接控股、管理关系。</w:t>
      </w:r>
    </w:p>
    <w:p>
      <w:pPr>
        <w:pStyle w:val="8"/>
        <w:tabs>
          <w:tab w:val="left" w:pos="562"/>
          <w:tab w:val="left" w:pos="3372"/>
          <w:tab w:val="left" w:pos="3653"/>
        </w:tabs>
        <w:ind w:firstLine="480" w:firstLineChars="200"/>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第九条 对于经主管预算单位统筹后未预留份额专门面向中小企业采购的采购项目，以及预留份额项目中的非预留部分采购包，采购人、采购代理机构应当对符合本办法规定的小微企业报价给予 6%—10%（工程项目为 3%—5%）的扣除(本项目以10%扣除)，用扣除后的价格参加评审。适用招标投标法的政府采购 工程建设项目，采用综合评估法但未采用低价优先法计算价格分的，评标时应当在采用原报价进行评分的基础上增加其价格得分的 3%—5%作为其价格分。</w:t>
      </w:r>
    </w:p>
    <w:p>
      <w:pPr>
        <w:pStyle w:val="8"/>
        <w:tabs>
          <w:tab w:val="left" w:pos="562"/>
          <w:tab w:val="left" w:pos="3372"/>
          <w:tab w:val="left" w:pos="3653"/>
        </w:tabs>
        <w:ind w:firstLine="480" w:firstLineChars="200"/>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接受大中型企业与小微企业组成联合体或者允许大中 型企业向一家或者多家小微企业分包的采购项目，对于联合协议或者分包意向协议约定小微企业的合同份额占到合同 总金额 30%以上的，采购人、采购代理机构应当对联合体或者大中型企业的报价给予 2%-3%（工程项目为 1%—2%）的扣除，用扣除后的价格参加评审。适用招标投标法的政府采购 工程建设项目，采用综合评估法但未采用低价优先法计算价格分的，评标时应当在采用原报价进行评分的基础上增加其价格得分的 1%—2%作为其价格分。组成联合体或者接受分包的小微企业与联合体内其他企业、分包企业之间存在直接控股、管理关系的，不享受价格扣除优惠政策。</w:t>
      </w:r>
    </w:p>
    <w:p>
      <w:pPr>
        <w:pStyle w:val="8"/>
        <w:tabs>
          <w:tab w:val="left" w:pos="562"/>
          <w:tab w:val="left" w:pos="3372"/>
          <w:tab w:val="left" w:pos="3653"/>
        </w:tabs>
        <w:ind w:firstLine="480" w:firstLineChars="200"/>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价格扣除比例或者价格分加分比例对小型企业和微型企业同等对待，不作区分。具体采购项目的价格扣除比例或者价格分加分比例，由采购人根据采购标的相关行业平均利润率、市场竞争状况等，在本办法规定的幅度内确定。</w:t>
      </w:r>
    </w:p>
    <w:p>
      <w:pPr>
        <w:pStyle w:val="8"/>
        <w:tabs>
          <w:tab w:val="left" w:pos="562"/>
          <w:tab w:val="left" w:pos="3372"/>
          <w:tab w:val="left" w:pos="3653"/>
        </w:tabs>
        <w:ind w:firstLine="480" w:firstLineChars="200"/>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第十条 采购人应当严格按照本办法规定和主管预算单位制定的预留采购份额具体方案开展采购活动。预留份额的采购项目或者采购包，通过发布公告方式邀请供应商后， 符合资格条件的中小企业数量不足 3 家的，应当中止采购活动，视同未预留份额的采购项目或者采购包，按照本办法第九条有关规定重新组织采购活动。</w:t>
      </w:r>
    </w:p>
    <w:p>
      <w:pPr>
        <w:pStyle w:val="8"/>
        <w:tabs>
          <w:tab w:val="left" w:pos="562"/>
          <w:tab w:val="left" w:pos="3372"/>
          <w:tab w:val="left" w:pos="3653"/>
        </w:tabs>
        <w:ind w:firstLine="480" w:firstLineChars="200"/>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第十一条 中小企业参加政府采购活动，应当出具本办法规定的《中小企业声明函》（附1），否则不得享受相关中小企业扶持政策。任何单位和个人不得要求供应商提供《中小企业声明函》之外的中小企业身份证明文件。</w:t>
      </w:r>
    </w:p>
    <w:p>
      <w:pPr>
        <w:pStyle w:val="8"/>
        <w:tabs>
          <w:tab w:val="left" w:pos="562"/>
          <w:tab w:val="left" w:pos="3372"/>
          <w:tab w:val="left" w:pos="3653"/>
        </w:tabs>
        <w:ind w:firstLine="480" w:firstLineChars="200"/>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第十二条 采购项目涉及中小企业采购的，采购文件应当明确以下内容：</w:t>
      </w:r>
    </w:p>
    <w:p>
      <w:pPr>
        <w:pStyle w:val="8"/>
        <w:tabs>
          <w:tab w:val="left" w:pos="562"/>
          <w:tab w:val="left" w:pos="3372"/>
          <w:tab w:val="left" w:pos="3653"/>
        </w:tabs>
        <w:ind w:firstLine="480" w:firstLineChars="200"/>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（一）预留份额的采购项目或者采购包，明确该项目或相关采购包专门面向中小企业采购，以及相关标的及预算金额；</w:t>
      </w:r>
    </w:p>
    <w:p>
      <w:pPr>
        <w:pStyle w:val="8"/>
        <w:tabs>
          <w:tab w:val="left" w:pos="562"/>
          <w:tab w:val="left" w:pos="3372"/>
          <w:tab w:val="left" w:pos="3653"/>
        </w:tabs>
        <w:ind w:firstLine="480" w:firstLineChars="200"/>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（二）要求以联合体形式参加或者合同分包的，明确联合协议或者分包意向协议中中小企业合同金额应当达到的 比例，并作为供应商资格条件；</w:t>
      </w:r>
    </w:p>
    <w:p>
      <w:pPr>
        <w:pStyle w:val="8"/>
        <w:tabs>
          <w:tab w:val="left" w:pos="562"/>
          <w:tab w:val="left" w:pos="3372"/>
          <w:tab w:val="left" w:pos="3653"/>
        </w:tabs>
        <w:ind w:firstLine="480" w:firstLineChars="200"/>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（三）非预留份额的采购项目或者采购包，明确有关价格扣除比例或者价格分加分比例；</w:t>
      </w:r>
    </w:p>
    <w:p>
      <w:pPr>
        <w:pStyle w:val="8"/>
        <w:tabs>
          <w:tab w:val="left" w:pos="562"/>
          <w:tab w:val="left" w:pos="3372"/>
          <w:tab w:val="left" w:pos="3653"/>
        </w:tabs>
        <w:ind w:firstLine="480" w:firstLineChars="200"/>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（四）规定依据本办法规定享受扶持政策获得政府采购合同的，小微企业不得将合同分包给大中型企业，中型企业不得将合同分包给大型企业；</w:t>
      </w:r>
    </w:p>
    <w:p>
      <w:pPr>
        <w:pStyle w:val="8"/>
        <w:tabs>
          <w:tab w:val="left" w:pos="562"/>
          <w:tab w:val="left" w:pos="3372"/>
          <w:tab w:val="left" w:pos="3653"/>
        </w:tabs>
        <w:ind w:firstLine="480" w:firstLineChars="200"/>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（五）采购人认为具备相关条件的，明确对中小企业在资金支付期限、预付款比例等方面的优惠措施；</w:t>
      </w:r>
    </w:p>
    <w:p>
      <w:pPr>
        <w:pStyle w:val="8"/>
        <w:tabs>
          <w:tab w:val="left" w:pos="562"/>
          <w:tab w:val="left" w:pos="3372"/>
          <w:tab w:val="left" w:pos="3653"/>
        </w:tabs>
        <w:ind w:firstLine="480" w:firstLineChars="200"/>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（六）明确采购标的对应的中小企业划分标准所属行业；</w:t>
      </w:r>
    </w:p>
    <w:p>
      <w:pPr>
        <w:pStyle w:val="8"/>
        <w:tabs>
          <w:tab w:val="left" w:pos="562"/>
          <w:tab w:val="left" w:pos="3372"/>
          <w:tab w:val="left" w:pos="3653"/>
        </w:tabs>
        <w:ind w:firstLine="480" w:firstLineChars="200"/>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（七）法律法规和省级以上人民政府财政部门规定的其他事项。</w:t>
      </w:r>
    </w:p>
    <w:p>
      <w:pPr>
        <w:pStyle w:val="8"/>
        <w:tabs>
          <w:tab w:val="left" w:pos="562"/>
          <w:tab w:val="left" w:pos="3372"/>
          <w:tab w:val="left" w:pos="3653"/>
        </w:tabs>
        <w:ind w:firstLine="480" w:firstLineChars="200"/>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第十三条 中标、成交供应商享受本办法规定的中小企业扶持政策的，采购人、采购代理机构应当随中标、成交结果公开中标、成交供应商的《中小企业声明函》。</w:t>
      </w:r>
    </w:p>
    <w:p>
      <w:pPr>
        <w:pStyle w:val="8"/>
        <w:tabs>
          <w:tab w:val="left" w:pos="562"/>
          <w:tab w:val="left" w:pos="3372"/>
          <w:tab w:val="left" w:pos="3653"/>
        </w:tabs>
        <w:ind w:firstLine="480" w:firstLineChars="200"/>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适用招标投标法的政府采购工程建设项目，应当在公示中标候选人时公开中标候选人的《中小企业声明函》。</w:t>
      </w:r>
    </w:p>
    <w:p>
      <w:pPr>
        <w:pStyle w:val="8"/>
        <w:tabs>
          <w:tab w:val="left" w:pos="562"/>
          <w:tab w:val="left" w:pos="3372"/>
          <w:tab w:val="left" w:pos="3653"/>
        </w:tabs>
        <w:ind w:firstLine="480" w:firstLineChars="200"/>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第十四条 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pPr>
        <w:pStyle w:val="8"/>
        <w:tabs>
          <w:tab w:val="left" w:pos="562"/>
          <w:tab w:val="left" w:pos="3372"/>
          <w:tab w:val="left" w:pos="3653"/>
        </w:tabs>
        <w:ind w:firstLine="480" w:firstLineChars="200"/>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第十五条 鼓励各地区、各部门在采购活动中允许中小企业引入信用担保手段，为中小企业在投标（响应）保证、履约保证等方面提供专业化服务。鼓励中小企业依法合规通过政府采购合同融资。</w:t>
      </w:r>
    </w:p>
    <w:p>
      <w:pPr>
        <w:pStyle w:val="8"/>
        <w:tabs>
          <w:tab w:val="left" w:pos="562"/>
          <w:tab w:val="left" w:pos="3372"/>
          <w:tab w:val="left" w:pos="3653"/>
        </w:tabs>
        <w:ind w:firstLine="480" w:firstLineChars="200"/>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第十六条 政府采购监督检查、投诉处理及政府采购行政处罚中对中小企业的认定，由货物制造商或者工程、服务供应商注册登记所在地的县级以上人民政府中小企业主管部门负责。</w:t>
      </w:r>
    </w:p>
    <w:p>
      <w:pPr>
        <w:pStyle w:val="8"/>
        <w:tabs>
          <w:tab w:val="left" w:pos="562"/>
          <w:tab w:val="left" w:pos="3372"/>
          <w:tab w:val="left" w:pos="3653"/>
        </w:tabs>
        <w:ind w:firstLine="480" w:firstLineChars="200"/>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中小企业主管部门应当在收到财政部门或者有关招标 投标行政监督部门关于协助开展中小企业认定函后 10 个工作日内做出书面答复。</w:t>
      </w:r>
    </w:p>
    <w:p>
      <w:pPr>
        <w:pStyle w:val="8"/>
        <w:tabs>
          <w:tab w:val="left" w:pos="562"/>
          <w:tab w:val="left" w:pos="3372"/>
          <w:tab w:val="left" w:pos="3653"/>
        </w:tabs>
        <w:ind w:firstLine="480" w:firstLineChars="200"/>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第十七条 各地区、各部门应当对涉及中小企业采购的 预算项目实施全过程绩效管理，合理设置绩效目标和指标， 落实扶持中小企业有关政策要求，定期开展绩效监控和评价， 强化绩效评价结果应用。</w:t>
      </w:r>
    </w:p>
    <w:p>
      <w:pPr>
        <w:pStyle w:val="8"/>
        <w:tabs>
          <w:tab w:val="left" w:pos="562"/>
          <w:tab w:val="left" w:pos="3372"/>
          <w:tab w:val="left" w:pos="3653"/>
        </w:tabs>
        <w:ind w:firstLine="480" w:firstLineChars="200"/>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 xml:space="preserve">第十八条 主管预算单位应当自2022年起向同级财政部门报告本部门上一年度面向中小企业预留份额和采购的 具体情况，并在中国政府采购网公开预留项目执行情况(附 2)。未达到本办法规定的预留份额比例的，应当作出说明。 </w:t>
      </w:r>
    </w:p>
    <w:p>
      <w:pPr>
        <w:pStyle w:val="8"/>
        <w:tabs>
          <w:tab w:val="left" w:pos="562"/>
          <w:tab w:val="left" w:pos="3372"/>
          <w:tab w:val="left" w:pos="3653"/>
        </w:tabs>
        <w:ind w:firstLine="480" w:firstLineChars="200"/>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第十九条 采购人未按本办法规定为中小企业预留采购份额，采购人、采购代理机构未按照本办法规定要求实施价格扣除或者价格分加分的，属于未按照规定执行政府采购政策，依照《中华人民共和国政府采购法》等国家有关规定追究法律责任。</w:t>
      </w:r>
    </w:p>
    <w:p>
      <w:pPr>
        <w:pStyle w:val="8"/>
        <w:tabs>
          <w:tab w:val="left" w:pos="562"/>
          <w:tab w:val="left" w:pos="3372"/>
          <w:tab w:val="left" w:pos="3653"/>
        </w:tabs>
        <w:ind w:firstLine="480" w:firstLineChars="200"/>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第二十条 供应商按照本办法规定提供声明函内容不实的，属于提供虚假材料谋取中标、成交，依照《中华人民共和国政府采购法》等国家有关规定追究相应责任。</w:t>
      </w:r>
    </w:p>
    <w:p>
      <w:pPr>
        <w:pStyle w:val="8"/>
        <w:tabs>
          <w:tab w:val="left" w:pos="562"/>
          <w:tab w:val="left" w:pos="3372"/>
          <w:tab w:val="left" w:pos="3653"/>
        </w:tabs>
        <w:ind w:firstLine="480" w:firstLineChars="200"/>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适用招标投标法的政府采购工程建设项目，投标人按照 本办法规定提供声明函内容不实的，属于弄虚作假骗取中标，依照《中华人民共和国招标投标法》等国家有关规定追究相应责任。</w:t>
      </w:r>
    </w:p>
    <w:p>
      <w:pPr>
        <w:pStyle w:val="8"/>
        <w:tabs>
          <w:tab w:val="left" w:pos="562"/>
          <w:tab w:val="left" w:pos="3372"/>
          <w:tab w:val="left" w:pos="3653"/>
        </w:tabs>
        <w:ind w:firstLine="480" w:firstLineChars="200"/>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第二十一条 财政部门、中小企业主管部门及其工作人员在履行职责中违反本办法规定及存在其他滥用职权、玩忽职守、徇私舞弊等违法违纪行为的，依照《中华人民共和国政府采购法》、《中华人民共和国公务员法》、《中华人民共和国监察法》、《中华人民共和国政府采购法实施条例》等国家 有关规定追究相应责任；涉嫌犯罪的，依法移送有关国家机 关处理。</w:t>
      </w:r>
    </w:p>
    <w:p>
      <w:pPr>
        <w:pStyle w:val="8"/>
        <w:tabs>
          <w:tab w:val="left" w:pos="562"/>
          <w:tab w:val="left" w:pos="3372"/>
          <w:tab w:val="left" w:pos="3653"/>
        </w:tabs>
        <w:ind w:firstLine="480" w:firstLineChars="200"/>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第二十二条 对外援助项目、国家相关资格或者资质管理制度另有规定的项目，不适用本办法。</w:t>
      </w:r>
    </w:p>
    <w:p>
      <w:pPr>
        <w:pStyle w:val="8"/>
        <w:tabs>
          <w:tab w:val="left" w:pos="562"/>
          <w:tab w:val="left" w:pos="3372"/>
          <w:tab w:val="left" w:pos="3653"/>
        </w:tabs>
        <w:ind w:firstLine="480" w:firstLineChars="200"/>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第二十三条 关于视同中小企业的其他主体的政府采购扶持政策，由财政部会同有关部门另行规定。</w:t>
      </w:r>
    </w:p>
    <w:p>
      <w:pPr>
        <w:pStyle w:val="8"/>
        <w:tabs>
          <w:tab w:val="left" w:pos="562"/>
          <w:tab w:val="left" w:pos="3372"/>
          <w:tab w:val="left" w:pos="3653"/>
        </w:tabs>
        <w:ind w:firstLine="480" w:firstLineChars="200"/>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第二十四条 省级财政部门可以会同中小企业主管部门根据本办法的规定制定具体实施办法。</w:t>
      </w:r>
    </w:p>
    <w:p>
      <w:pPr>
        <w:pStyle w:val="8"/>
        <w:tabs>
          <w:tab w:val="left" w:pos="562"/>
          <w:tab w:val="left" w:pos="3372"/>
          <w:tab w:val="left" w:pos="3653"/>
        </w:tabs>
        <w:ind w:firstLine="480" w:firstLineChars="200"/>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第二十五条 本办法自 2021 年 1 月 1 日起施行。《财政部 工业和信息化部关于印发〈政府采购促进中小企业发展暂行办法〉的通知》（财库﹝2011﹞181 号）同时废止。</w:t>
      </w:r>
    </w:p>
    <w:p>
      <w:pPr>
        <w:pStyle w:val="8"/>
        <w:tabs>
          <w:tab w:val="left" w:pos="562"/>
          <w:tab w:val="left" w:pos="3372"/>
          <w:tab w:val="left" w:pos="3653"/>
        </w:tabs>
        <w:spacing w:before="5"/>
        <w:rPr>
          <w:rFonts w:ascii="宋体" w:hAnsi="宋体" w:cs="宋体"/>
          <w:color w:val="000000" w:themeColor="text1"/>
          <w14:textFill>
            <w14:solidFill>
              <w14:schemeClr w14:val="tx1"/>
            </w14:solidFill>
          </w14:textFill>
        </w:rPr>
      </w:pPr>
    </w:p>
    <w:p>
      <w:pPr>
        <w:pStyle w:val="8"/>
        <w:tabs>
          <w:tab w:val="left" w:pos="562"/>
          <w:tab w:val="left" w:pos="3372"/>
          <w:tab w:val="left" w:pos="3653"/>
        </w:tabs>
        <w:ind w:firstLine="480" w:firstLineChars="200"/>
        <w:outlineLvl w:val="0"/>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附：1.中小企业声明函</w:t>
      </w:r>
    </w:p>
    <w:p>
      <w:pPr>
        <w:pStyle w:val="8"/>
        <w:tabs>
          <w:tab w:val="left" w:pos="562"/>
          <w:tab w:val="left" w:pos="3372"/>
          <w:tab w:val="left" w:pos="3653"/>
        </w:tabs>
        <w:ind w:firstLine="960" w:firstLineChars="400"/>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2.面向中小企业预留项目执行情况公告</w:t>
      </w:r>
    </w:p>
    <w:p>
      <w:pPr>
        <w:pStyle w:val="8"/>
        <w:tabs>
          <w:tab w:val="left" w:pos="562"/>
          <w:tab w:val="left" w:pos="3372"/>
          <w:tab w:val="left" w:pos="3653"/>
        </w:tabs>
        <w:spacing w:before="30"/>
        <w:outlineLvl w:val="0"/>
        <w:rPr>
          <w:rFonts w:ascii="宋体" w:hAnsi="宋体" w:cs="宋体"/>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br w:type="page"/>
      </w:r>
      <w:r>
        <w:rPr>
          <w:rFonts w:hint="eastAsia" w:ascii="宋体" w:hAnsi="宋体" w:cs="宋体"/>
          <w:b/>
          <w:bCs/>
          <w:color w:val="000000" w:themeColor="text1"/>
          <w14:textFill>
            <w14:solidFill>
              <w14:schemeClr w14:val="tx1"/>
            </w14:solidFill>
          </w14:textFill>
        </w:rPr>
        <w:t>附 1</w:t>
      </w:r>
    </w:p>
    <w:p>
      <w:pPr>
        <w:spacing w:after="319" w:afterLines="10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中小企业声明函（货物）</w:t>
      </w:r>
    </w:p>
    <w:p>
      <w:pPr>
        <w:pStyle w:val="8"/>
        <w:tabs>
          <w:tab w:val="left" w:pos="562"/>
          <w:tab w:val="left" w:pos="3372"/>
          <w:tab w:val="left" w:pos="3653"/>
        </w:tabs>
        <w:ind w:firstLine="472" w:firstLineChars="200"/>
        <w:rPr>
          <w:rFonts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本公司（联合体）郑重声明，根据《政府采购促进中小企业发展管理办法》（财库﹝2020﹞46 号）的规定，本公司（联合体）参加（</w:t>
      </w:r>
      <w:r>
        <w:rPr>
          <w:rFonts w:hint="eastAsia" w:ascii="宋体" w:hAnsi="宋体" w:cs="宋体"/>
          <w:color w:val="000000" w:themeColor="text1"/>
          <w:spacing w:val="-2"/>
          <w:u w:val="single"/>
          <w14:textFill>
            <w14:solidFill>
              <w14:schemeClr w14:val="tx1"/>
            </w14:solidFill>
          </w14:textFill>
        </w:rPr>
        <w:t>单位名称</w:t>
      </w:r>
      <w:r>
        <w:rPr>
          <w:rFonts w:hint="eastAsia" w:ascii="宋体" w:hAnsi="宋体" w:cs="宋体"/>
          <w:color w:val="000000" w:themeColor="text1"/>
          <w:spacing w:val="-2"/>
          <w14:textFill>
            <w14:solidFill>
              <w14:schemeClr w14:val="tx1"/>
            </w14:solidFill>
          </w14:textFill>
        </w:rPr>
        <w:t>）的（</w:t>
      </w:r>
      <w:r>
        <w:rPr>
          <w:rFonts w:hint="eastAsia" w:ascii="宋体" w:hAnsi="宋体" w:cs="宋体"/>
          <w:color w:val="000000" w:themeColor="text1"/>
          <w:spacing w:val="-2"/>
          <w:u w:val="single"/>
          <w14:textFill>
            <w14:solidFill>
              <w14:schemeClr w14:val="tx1"/>
            </w14:solidFill>
          </w14:textFill>
        </w:rPr>
        <w:t>项目名称</w:t>
      </w:r>
      <w:r>
        <w:rPr>
          <w:rFonts w:hint="eastAsia" w:ascii="宋体" w:hAnsi="宋体" w:cs="宋体"/>
          <w:color w:val="000000" w:themeColor="text1"/>
          <w:spacing w:val="-2"/>
          <w14:textFill>
            <w14:solidFill>
              <w14:schemeClr w14:val="tx1"/>
            </w14:solidFill>
          </w14:textFill>
        </w:rPr>
        <w:t>）采购活动，提供的货物全部由符合政策要求的中小企业制造。相关企业（含联合体中的中小企业、签订分包意向协议的中小企业） 的具体情况如下：</w:t>
      </w:r>
    </w:p>
    <w:p>
      <w:pPr>
        <w:pStyle w:val="8"/>
        <w:tabs>
          <w:tab w:val="left" w:pos="562"/>
          <w:tab w:val="left" w:pos="3372"/>
          <w:tab w:val="left" w:pos="3653"/>
        </w:tabs>
        <w:ind w:firstLine="480" w:firstLineChars="200"/>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1、（</w:t>
      </w:r>
      <w:r>
        <w:rPr>
          <w:rFonts w:hint="eastAsia" w:ascii="宋体" w:hAnsi="宋体" w:cs="宋体"/>
          <w:color w:val="000000" w:themeColor="text1"/>
          <w:kern w:val="0"/>
          <w:u w:val="single"/>
          <w14:textFill>
            <w14:solidFill>
              <w14:schemeClr w14:val="tx1"/>
            </w14:solidFill>
          </w14:textFill>
        </w:rPr>
        <w:t>标的名称</w:t>
      </w:r>
      <w:r>
        <w:rPr>
          <w:rFonts w:hint="eastAsia" w:ascii="宋体" w:hAnsi="宋体" w:cs="宋体"/>
          <w:color w:val="000000" w:themeColor="text1"/>
          <w:kern w:val="0"/>
          <w14:textFill>
            <w14:solidFill>
              <w14:schemeClr w14:val="tx1"/>
            </w14:solidFill>
          </w14:textFill>
        </w:rPr>
        <w:t>），属于（</w:t>
      </w:r>
      <w:r>
        <w:rPr>
          <w:rFonts w:hint="eastAsia" w:ascii="宋体" w:hAnsi="宋体" w:cs="宋体"/>
          <w:color w:val="000000" w:themeColor="text1"/>
          <w:kern w:val="0"/>
          <w:u w:val="single"/>
          <w14:textFill>
            <w14:solidFill>
              <w14:schemeClr w14:val="tx1"/>
            </w14:solidFill>
          </w14:textFill>
        </w:rPr>
        <w:t>采购文件中明确的所属行业</w:t>
      </w:r>
      <w:r>
        <w:rPr>
          <w:rFonts w:hint="eastAsia" w:ascii="宋体" w:hAnsi="宋体" w:cs="宋体"/>
          <w:color w:val="000000" w:themeColor="text1"/>
          <w:kern w:val="0"/>
          <w14:textFill>
            <w14:solidFill>
              <w14:schemeClr w14:val="tx1"/>
            </w14:solidFill>
          </w14:textFill>
        </w:rPr>
        <w:t>）；制造商为（</w:t>
      </w:r>
      <w:r>
        <w:rPr>
          <w:rFonts w:hint="eastAsia" w:ascii="宋体" w:hAnsi="宋体" w:cs="宋体"/>
          <w:color w:val="000000" w:themeColor="text1"/>
          <w:kern w:val="0"/>
          <w:u w:val="single"/>
          <w14:textFill>
            <w14:solidFill>
              <w14:schemeClr w14:val="tx1"/>
            </w14:solidFill>
          </w14:textFill>
        </w:rPr>
        <w:t>企业名称</w:t>
      </w:r>
      <w:r>
        <w:rPr>
          <w:rFonts w:hint="eastAsia" w:ascii="宋体" w:hAnsi="宋体" w:cs="宋体"/>
          <w:color w:val="000000" w:themeColor="text1"/>
          <w:kern w:val="0"/>
          <w14:textFill>
            <w14:solidFill>
              <w14:schemeClr w14:val="tx1"/>
            </w14:solidFill>
          </w14:textFill>
        </w:rPr>
        <w:t>），从业人员</w:t>
      </w:r>
      <w:r>
        <w:rPr>
          <w:rFonts w:hint="eastAsia" w:ascii="宋体" w:hAnsi="宋体" w:cs="宋体"/>
          <w:color w:val="000000" w:themeColor="text1"/>
          <w:kern w:val="0"/>
          <w:u w:val="single"/>
          <w14:textFill>
            <w14:solidFill>
              <w14:schemeClr w14:val="tx1"/>
            </w14:solidFill>
          </w14:textFill>
        </w:rPr>
        <w:tab/>
      </w:r>
      <w:r>
        <w:rPr>
          <w:rFonts w:hint="eastAsia" w:ascii="宋体" w:hAnsi="宋体" w:cs="宋体"/>
          <w:color w:val="000000" w:themeColor="text1"/>
          <w:kern w:val="0"/>
          <w14:textFill>
            <w14:solidFill>
              <w14:schemeClr w14:val="tx1"/>
            </w14:solidFill>
          </w14:textFill>
        </w:rPr>
        <w:t xml:space="preserve">人，营业收入为 </w:t>
      </w:r>
      <w:r>
        <w:rPr>
          <w:rFonts w:hint="eastAsia" w:ascii="宋体" w:hAnsi="宋体" w:cs="宋体"/>
          <w:color w:val="000000" w:themeColor="text1"/>
          <w:kern w:val="0"/>
          <w:u w:val="single"/>
          <w14:textFill>
            <w14:solidFill>
              <w14:schemeClr w14:val="tx1"/>
            </w14:solidFill>
          </w14:textFill>
        </w:rPr>
        <w:tab/>
      </w:r>
      <w:r>
        <w:rPr>
          <w:rFonts w:hint="eastAsia" w:ascii="宋体" w:hAnsi="宋体" w:cs="宋体"/>
          <w:color w:val="000000" w:themeColor="text1"/>
          <w:kern w:val="0"/>
          <w14:textFill>
            <w14:solidFill>
              <w14:schemeClr w14:val="tx1"/>
            </w14:solidFill>
          </w14:textFill>
        </w:rPr>
        <w:t>万元，资产总额为</w:t>
      </w:r>
      <w:r>
        <w:rPr>
          <w:rFonts w:hint="eastAsia" w:ascii="宋体" w:hAnsi="宋体" w:cs="宋体"/>
          <w:color w:val="000000" w:themeColor="text1"/>
          <w:kern w:val="0"/>
          <w:u w:val="single"/>
          <w14:textFill>
            <w14:solidFill>
              <w14:schemeClr w14:val="tx1"/>
            </w14:solidFill>
          </w14:textFill>
        </w:rPr>
        <w:tab/>
      </w:r>
      <w:r>
        <w:rPr>
          <w:rFonts w:hint="eastAsia" w:ascii="宋体" w:hAnsi="宋体" w:cs="宋体"/>
          <w:color w:val="000000" w:themeColor="text1"/>
          <w:kern w:val="0"/>
          <w:u w:val="single"/>
          <w14:textFill>
            <w14:solidFill>
              <w14:schemeClr w14:val="tx1"/>
            </w14:solidFill>
          </w14:textFill>
        </w:rPr>
        <w:t xml:space="preserve"> </w:t>
      </w:r>
      <w:r>
        <w:rPr>
          <w:rFonts w:hint="eastAsia" w:ascii="宋体" w:hAnsi="宋体" w:cs="宋体"/>
          <w:color w:val="000000" w:themeColor="text1"/>
          <w:kern w:val="0"/>
          <w14:textFill>
            <w14:solidFill>
              <w14:schemeClr w14:val="tx1"/>
            </w14:solidFill>
          </w14:textFill>
        </w:rPr>
        <w:t>万元，属于（</w:t>
      </w:r>
      <w:r>
        <w:rPr>
          <w:rFonts w:hint="eastAsia" w:ascii="宋体" w:hAnsi="宋体" w:cs="宋体"/>
          <w:color w:val="000000" w:themeColor="text1"/>
          <w:kern w:val="0"/>
          <w:u w:val="single"/>
          <w14:textFill>
            <w14:solidFill>
              <w14:schemeClr w14:val="tx1"/>
            </w14:solidFill>
          </w14:textFill>
        </w:rPr>
        <w:t>中型企业、小型企业、微型企业</w:t>
      </w:r>
      <w:r>
        <w:rPr>
          <w:rFonts w:hint="eastAsia" w:ascii="宋体" w:hAnsi="宋体" w:cs="宋体"/>
          <w:color w:val="000000" w:themeColor="text1"/>
          <w:kern w:val="0"/>
          <w14:textFill>
            <w14:solidFill>
              <w14:schemeClr w14:val="tx1"/>
            </w14:solidFill>
          </w14:textFill>
        </w:rPr>
        <w:t>）；</w:t>
      </w:r>
    </w:p>
    <w:p>
      <w:pPr>
        <w:pStyle w:val="8"/>
        <w:tabs>
          <w:tab w:val="left" w:pos="562"/>
          <w:tab w:val="left" w:pos="3372"/>
          <w:tab w:val="left" w:pos="3653"/>
        </w:tabs>
        <w:ind w:firstLine="472" w:firstLineChars="200"/>
        <w:rPr>
          <w:rFonts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2、（</w:t>
      </w:r>
      <w:r>
        <w:rPr>
          <w:rFonts w:hint="eastAsia" w:ascii="宋体" w:hAnsi="宋体" w:cs="宋体"/>
          <w:color w:val="000000" w:themeColor="text1"/>
          <w:spacing w:val="-2"/>
          <w:u w:val="single"/>
          <w14:textFill>
            <w14:solidFill>
              <w14:schemeClr w14:val="tx1"/>
            </w14:solidFill>
          </w14:textFill>
        </w:rPr>
        <w:t>标的名称</w:t>
      </w:r>
      <w:r>
        <w:rPr>
          <w:rFonts w:hint="eastAsia" w:ascii="宋体" w:hAnsi="宋体" w:cs="宋体"/>
          <w:color w:val="000000" w:themeColor="text1"/>
          <w:spacing w:val="-2"/>
          <w14:textFill>
            <w14:solidFill>
              <w14:schemeClr w14:val="tx1"/>
            </w14:solidFill>
          </w14:textFill>
        </w:rPr>
        <w:t>），属于（</w:t>
      </w:r>
      <w:r>
        <w:rPr>
          <w:rFonts w:hint="eastAsia" w:ascii="宋体" w:hAnsi="宋体" w:cs="宋体"/>
          <w:color w:val="000000" w:themeColor="text1"/>
          <w:spacing w:val="-2"/>
          <w:u w:val="single"/>
          <w14:textFill>
            <w14:solidFill>
              <w14:schemeClr w14:val="tx1"/>
            </w14:solidFill>
          </w14:textFill>
        </w:rPr>
        <w:t>采购文件中明确的所属行业</w:t>
      </w:r>
      <w:r>
        <w:rPr>
          <w:rFonts w:hint="eastAsia" w:ascii="宋体" w:hAnsi="宋体" w:cs="宋体"/>
          <w:color w:val="000000" w:themeColor="text1"/>
          <w:spacing w:val="-2"/>
          <w14:textFill>
            <w14:solidFill>
              <w14:schemeClr w14:val="tx1"/>
            </w14:solidFill>
          </w14:textFill>
        </w:rPr>
        <w:t>）；制造商为（</w:t>
      </w:r>
      <w:r>
        <w:rPr>
          <w:rFonts w:hint="eastAsia" w:ascii="宋体" w:hAnsi="宋体" w:cs="宋体"/>
          <w:color w:val="000000" w:themeColor="text1"/>
          <w:spacing w:val="-2"/>
          <w:u w:val="single"/>
          <w14:textFill>
            <w14:solidFill>
              <w14:schemeClr w14:val="tx1"/>
            </w14:solidFill>
          </w14:textFill>
        </w:rPr>
        <w:t>企业名称</w:t>
      </w:r>
      <w:r>
        <w:rPr>
          <w:rFonts w:hint="eastAsia" w:ascii="宋体" w:hAnsi="宋体" w:cs="宋体"/>
          <w:color w:val="000000" w:themeColor="text1"/>
          <w:spacing w:val="-2"/>
          <w14:textFill>
            <w14:solidFill>
              <w14:schemeClr w14:val="tx1"/>
            </w14:solidFill>
          </w14:textFill>
        </w:rPr>
        <w:t>），从业人员</w:t>
      </w:r>
      <w:r>
        <w:rPr>
          <w:rFonts w:hint="eastAsia" w:ascii="宋体" w:hAnsi="宋体" w:cs="宋体"/>
          <w:color w:val="000000" w:themeColor="text1"/>
          <w:spacing w:val="-2"/>
          <w:u w:val="single"/>
          <w14:textFill>
            <w14:solidFill>
              <w14:schemeClr w14:val="tx1"/>
            </w14:solidFill>
          </w14:textFill>
        </w:rPr>
        <w:t xml:space="preserve">    </w:t>
      </w:r>
      <w:r>
        <w:rPr>
          <w:rFonts w:hint="eastAsia" w:ascii="宋体" w:hAnsi="宋体" w:cs="宋体"/>
          <w:color w:val="000000" w:themeColor="text1"/>
          <w:spacing w:val="-2"/>
          <w14:textFill>
            <w14:solidFill>
              <w14:schemeClr w14:val="tx1"/>
            </w14:solidFill>
          </w14:textFill>
        </w:rPr>
        <w:t>人，营业收入为</w:t>
      </w:r>
      <w:r>
        <w:rPr>
          <w:rFonts w:hint="eastAsia" w:ascii="宋体" w:hAnsi="宋体" w:cs="宋体"/>
          <w:color w:val="000000" w:themeColor="text1"/>
          <w:spacing w:val="-2"/>
          <w:u w:val="single"/>
          <w14:textFill>
            <w14:solidFill>
              <w14:schemeClr w14:val="tx1"/>
            </w14:solidFill>
          </w14:textFill>
        </w:rPr>
        <w:tab/>
      </w:r>
      <w:r>
        <w:rPr>
          <w:rFonts w:hint="eastAsia" w:ascii="宋体" w:hAnsi="宋体" w:cs="宋体"/>
          <w:color w:val="000000" w:themeColor="text1"/>
          <w:spacing w:val="-2"/>
          <w14:textFill>
            <w14:solidFill>
              <w14:schemeClr w14:val="tx1"/>
            </w14:solidFill>
          </w14:textFill>
        </w:rPr>
        <w:t>万元，资产总额为</w:t>
      </w:r>
      <w:r>
        <w:rPr>
          <w:rFonts w:hint="eastAsia" w:ascii="宋体" w:hAnsi="宋体" w:cs="宋体"/>
          <w:color w:val="000000" w:themeColor="text1"/>
          <w:spacing w:val="-2"/>
          <w:u w:val="single"/>
          <w14:textFill>
            <w14:solidFill>
              <w14:schemeClr w14:val="tx1"/>
            </w14:solidFill>
          </w14:textFill>
        </w:rPr>
        <w:t xml:space="preserve">   </w:t>
      </w:r>
      <w:r>
        <w:rPr>
          <w:rFonts w:hint="eastAsia" w:ascii="宋体" w:hAnsi="宋体" w:cs="宋体"/>
          <w:color w:val="000000" w:themeColor="text1"/>
          <w:spacing w:val="-2"/>
          <w14:textFill>
            <w14:solidFill>
              <w14:schemeClr w14:val="tx1"/>
            </w14:solidFill>
          </w14:textFill>
        </w:rPr>
        <w:t>万元，属于（</w:t>
      </w:r>
      <w:r>
        <w:rPr>
          <w:rFonts w:hint="eastAsia" w:ascii="宋体" w:hAnsi="宋体" w:cs="宋体"/>
          <w:color w:val="000000" w:themeColor="text1"/>
          <w:spacing w:val="-2"/>
          <w:u w:val="single"/>
          <w14:textFill>
            <w14:solidFill>
              <w14:schemeClr w14:val="tx1"/>
            </w14:solidFill>
          </w14:textFill>
        </w:rPr>
        <w:t>中型企业、小型企业、微型企业</w:t>
      </w:r>
      <w:r>
        <w:rPr>
          <w:rFonts w:hint="eastAsia" w:ascii="宋体" w:hAnsi="宋体" w:cs="宋体"/>
          <w:color w:val="000000" w:themeColor="text1"/>
          <w:spacing w:val="-2"/>
          <w14:textFill>
            <w14:solidFill>
              <w14:schemeClr w14:val="tx1"/>
            </w14:solidFill>
          </w14:textFill>
        </w:rPr>
        <w:t>）；</w:t>
      </w:r>
    </w:p>
    <w:p>
      <w:pPr>
        <w:pStyle w:val="8"/>
        <w:tabs>
          <w:tab w:val="left" w:pos="562"/>
          <w:tab w:val="left" w:pos="3372"/>
          <w:tab w:val="left" w:pos="3653"/>
        </w:tabs>
        <w:ind w:firstLine="472" w:firstLineChars="200"/>
        <w:rPr>
          <w:rFonts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w:t>
      </w:r>
    </w:p>
    <w:p>
      <w:pPr>
        <w:pStyle w:val="8"/>
        <w:tabs>
          <w:tab w:val="left" w:pos="562"/>
          <w:tab w:val="left" w:pos="3372"/>
          <w:tab w:val="left" w:pos="3653"/>
        </w:tabs>
        <w:ind w:firstLine="472" w:firstLineChars="200"/>
        <w:rPr>
          <w:rFonts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以上企业，不属于大企业的分支机构，不存在控股股东为大企业的情形，也不存在与大企业的负责人为同一人的情形。</w:t>
      </w:r>
    </w:p>
    <w:p>
      <w:pPr>
        <w:pStyle w:val="8"/>
        <w:tabs>
          <w:tab w:val="left" w:pos="562"/>
          <w:tab w:val="left" w:pos="3372"/>
          <w:tab w:val="left" w:pos="3653"/>
        </w:tabs>
        <w:ind w:firstLine="472" w:firstLineChars="200"/>
        <w:rPr>
          <w:rFonts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本企业对上述声明内容的真实性负责。如有虚假，将依法承担相应责任。</w:t>
      </w:r>
    </w:p>
    <w:p>
      <w:pPr>
        <w:pStyle w:val="8"/>
        <w:tabs>
          <w:tab w:val="left" w:pos="562"/>
          <w:tab w:val="left" w:pos="3372"/>
          <w:tab w:val="left" w:pos="3653"/>
        </w:tabs>
        <w:ind w:firstLine="472" w:firstLineChars="200"/>
        <w:rPr>
          <w:rFonts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投标人已知悉《政府采购促进中小企业发展管理办法》（财库〔2020〕46 号）、《中小企业划型标准规定》（工信部联企〔2011〕300 号）、《统计上大中小微型企业划分办法（2017）》等规定，承诺提供的声明函内容是真实的，并知悉根据《政府采购促进中小企业发展管理办法》（财库〔2020〕46 号）第二十条规定，供应商按照本办法规定提供声明函内容不实的，属于提供虚假材料谋取中标、成交，依照《政府采购法》等政府采购有关法律法规规定追究相应责任。</w:t>
      </w:r>
    </w:p>
    <w:p>
      <w:pPr>
        <w:pStyle w:val="8"/>
        <w:tabs>
          <w:tab w:val="left" w:pos="562"/>
          <w:tab w:val="left" w:pos="3372"/>
          <w:tab w:val="left" w:pos="3653"/>
        </w:tabs>
        <w:ind w:left="4200" w:leftChars="2000"/>
        <w:rPr>
          <w:rFonts w:ascii="宋体" w:hAnsi="宋体" w:cs="宋体"/>
          <w:color w:val="000000" w:themeColor="text1"/>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企业名称（盖章）日期：</w:t>
      </w:r>
    </w:p>
    <w:p>
      <w:pPr>
        <w:pStyle w:val="8"/>
        <w:tabs>
          <w:tab w:val="left" w:pos="562"/>
          <w:tab w:val="left" w:pos="3372"/>
          <w:tab w:val="left" w:pos="3653"/>
        </w:tabs>
        <w:jc w:val="center"/>
        <w:rPr>
          <w:rFonts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从业人员、营业收入、资产总额填报上一年度数据，无上一年度数据的新成立企业可不填报。</w:t>
      </w:r>
    </w:p>
    <w:p>
      <w:pPr>
        <w:spacing w:after="319" w:afterLines="10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br w:type="page"/>
      </w:r>
      <w:r>
        <w:rPr>
          <w:rFonts w:hint="eastAsia" w:ascii="宋体" w:hAnsi="宋体" w:cs="宋体"/>
          <w:color w:val="000000" w:themeColor="text1"/>
          <w:sz w:val="24"/>
          <w14:textFill>
            <w14:solidFill>
              <w14:schemeClr w14:val="tx1"/>
            </w14:solidFill>
          </w14:textFill>
        </w:rPr>
        <w:t>中小企业声明函（工程、服务）</w:t>
      </w:r>
    </w:p>
    <w:p>
      <w:pPr>
        <w:pStyle w:val="8"/>
        <w:tabs>
          <w:tab w:val="left" w:pos="562"/>
          <w:tab w:val="left" w:pos="3372"/>
          <w:tab w:val="left" w:pos="3653"/>
        </w:tabs>
        <w:ind w:firstLine="472" w:firstLineChars="200"/>
        <w:rPr>
          <w:rFonts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本公司（联合体）郑重声明，根据《政府采购促进中小企业发展管理办法》（财库﹝2020﹞46 号）的规定，本公司（联合体）参加（</w:t>
      </w:r>
      <w:r>
        <w:rPr>
          <w:rFonts w:hint="eastAsia" w:ascii="宋体" w:hAnsi="宋体" w:cs="宋体"/>
          <w:color w:val="000000" w:themeColor="text1"/>
          <w:spacing w:val="-2"/>
          <w:u w:val="single"/>
          <w14:textFill>
            <w14:solidFill>
              <w14:schemeClr w14:val="tx1"/>
            </w14:solidFill>
          </w14:textFill>
        </w:rPr>
        <w:t>单位名称</w:t>
      </w:r>
      <w:r>
        <w:rPr>
          <w:rFonts w:hint="eastAsia" w:ascii="宋体" w:hAnsi="宋体" w:cs="宋体"/>
          <w:color w:val="000000" w:themeColor="text1"/>
          <w:spacing w:val="-2"/>
          <w14:textFill>
            <w14:solidFill>
              <w14:schemeClr w14:val="tx1"/>
            </w14:solidFill>
          </w14:textFill>
        </w:rPr>
        <w:t>）的（</w:t>
      </w:r>
      <w:r>
        <w:rPr>
          <w:rFonts w:hint="eastAsia" w:ascii="宋体" w:hAnsi="宋体" w:cs="宋体"/>
          <w:color w:val="000000" w:themeColor="text1"/>
          <w:spacing w:val="-2"/>
          <w:u w:val="single"/>
          <w14:textFill>
            <w14:solidFill>
              <w14:schemeClr w14:val="tx1"/>
            </w14:solidFill>
          </w14:textFill>
        </w:rPr>
        <w:t>项目名称</w:t>
      </w:r>
      <w:r>
        <w:rPr>
          <w:rFonts w:hint="eastAsia" w:ascii="宋体" w:hAnsi="宋体" w:cs="宋体"/>
          <w:color w:val="000000" w:themeColor="text1"/>
          <w:spacing w:val="-2"/>
          <w14:textFill>
            <w14:solidFill>
              <w14:schemeClr w14:val="tx1"/>
            </w14:solidFill>
          </w14:textFill>
        </w:rPr>
        <w:t>）采购活动，工程的施工单位全部为符合政策要求的中小企业（或者：服务全部由符合政策要求的中小企业承接）。相关企业（含联合 体中的中小企业、签订分包意向协议的中小企业）的具体情况如下：</w:t>
      </w:r>
    </w:p>
    <w:p>
      <w:pPr>
        <w:pStyle w:val="8"/>
        <w:tabs>
          <w:tab w:val="left" w:pos="562"/>
          <w:tab w:val="left" w:pos="3372"/>
          <w:tab w:val="left" w:pos="3653"/>
        </w:tabs>
        <w:ind w:firstLine="472" w:firstLineChars="200"/>
        <w:rPr>
          <w:rFonts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1、（</w:t>
      </w:r>
      <w:r>
        <w:rPr>
          <w:rFonts w:hint="eastAsia" w:ascii="宋体" w:hAnsi="宋体" w:cs="宋体"/>
          <w:color w:val="000000" w:themeColor="text1"/>
          <w:spacing w:val="-2"/>
          <w:u w:val="single"/>
          <w14:textFill>
            <w14:solidFill>
              <w14:schemeClr w14:val="tx1"/>
            </w14:solidFill>
          </w14:textFill>
        </w:rPr>
        <w:t>标的名称</w:t>
      </w:r>
      <w:r>
        <w:rPr>
          <w:rFonts w:hint="eastAsia" w:ascii="宋体" w:hAnsi="宋体" w:cs="宋体"/>
          <w:color w:val="000000" w:themeColor="text1"/>
          <w:spacing w:val="-2"/>
          <w14:textFill>
            <w14:solidFill>
              <w14:schemeClr w14:val="tx1"/>
            </w14:solidFill>
          </w14:textFill>
        </w:rPr>
        <w:t>），属于（</w:t>
      </w:r>
      <w:r>
        <w:rPr>
          <w:rFonts w:hint="eastAsia" w:ascii="宋体" w:hAnsi="宋体" w:cs="宋体"/>
          <w:color w:val="000000" w:themeColor="text1"/>
          <w:spacing w:val="-2"/>
          <w:u w:val="single"/>
          <w14:textFill>
            <w14:solidFill>
              <w14:schemeClr w14:val="tx1"/>
            </w14:solidFill>
          </w14:textFill>
        </w:rPr>
        <w:t>采购文件中明确的所属行业</w:t>
      </w:r>
      <w:r>
        <w:rPr>
          <w:rFonts w:hint="eastAsia" w:ascii="宋体" w:hAnsi="宋体" w:cs="宋体"/>
          <w:color w:val="000000" w:themeColor="text1"/>
          <w:spacing w:val="-2"/>
          <w14:textFill>
            <w14:solidFill>
              <w14:schemeClr w14:val="tx1"/>
            </w14:solidFill>
          </w14:textFill>
        </w:rPr>
        <w:t>）；承建（承接）企业为（</w:t>
      </w:r>
      <w:r>
        <w:rPr>
          <w:rFonts w:hint="eastAsia" w:ascii="宋体" w:hAnsi="宋体" w:cs="宋体"/>
          <w:color w:val="000000" w:themeColor="text1"/>
          <w:spacing w:val="-2"/>
          <w:u w:val="single"/>
          <w14:textFill>
            <w14:solidFill>
              <w14:schemeClr w14:val="tx1"/>
            </w14:solidFill>
          </w14:textFill>
        </w:rPr>
        <w:t>企业名称</w:t>
      </w:r>
      <w:r>
        <w:rPr>
          <w:rFonts w:hint="eastAsia" w:ascii="宋体" w:hAnsi="宋体" w:cs="宋体"/>
          <w:color w:val="000000" w:themeColor="text1"/>
          <w:spacing w:val="-2"/>
          <w14:textFill>
            <w14:solidFill>
              <w14:schemeClr w14:val="tx1"/>
            </w14:solidFill>
          </w14:textFill>
        </w:rPr>
        <w:t>），从业人员</w:t>
      </w:r>
      <w:r>
        <w:rPr>
          <w:rFonts w:hint="eastAsia" w:ascii="宋体" w:hAnsi="宋体" w:cs="宋体"/>
          <w:color w:val="000000" w:themeColor="text1"/>
          <w:spacing w:val="-2"/>
          <w:u w:val="single"/>
          <w14:textFill>
            <w14:solidFill>
              <w14:schemeClr w14:val="tx1"/>
            </w14:solidFill>
          </w14:textFill>
        </w:rPr>
        <w:tab/>
      </w:r>
      <w:r>
        <w:rPr>
          <w:rFonts w:hint="eastAsia" w:ascii="宋体" w:hAnsi="宋体" w:cs="宋体"/>
          <w:color w:val="000000" w:themeColor="text1"/>
          <w:spacing w:val="-2"/>
          <w14:textFill>
            <w14:solidFill>
              <w14:schemeClr w14:val="tx1"/>
            </w14:solidFill>
          </w14:textFill>
        </w:rPr>
        <w:t>人，营业收入为</w:t>
      </w:r>
      <w:r>
        <w:rPr>
          <w:rFonts w:hint="eastAsia" w:ascii="宋体" w:hAnsi="宋体" w:cs="宋体"/>
          <w:color w:val="000000" w:themeColor="text1"/>
          <w:spacing w:val="-2"/>
          <w:u w:val="single"/>
          <w14:textFill>
            <w14:solidFill>
              <w14:schemeClr w14:val="tx1"/>
            </w14:solidFill>
          </w14:textFill>
        </w:rPr>
        <w:tab/>
      </w:r>
      <w:r>
        <w:rPr>
          <w:rFonts w:hint="eastAsia" w:ascii="宋体" w:hAnsi="宋体" w:cs="宋体"/>
          <w:color w:val="000000" w:themeColor="text1"/>
          <w:spacing w:val="-2"/>
          <w14:textFill>
            <w14:solidFill>
              <w14:schemeClr w14:val="tx1"/>
            </w14:solidFill>
          </w14:textFill>
        </w:rPr>
        <w:t>万元，资产总额为</w:t>
      </w:r>
      <w:r>
        <w:rPr>
          <w:rFonts w:hint="eastAsia" w:ascii="宋体" w:hAnsi="宋体" w:cs="宋体"/>
          <w:color w:val="000000" w:themeColor="text1"/>
          <w:spacing w:val="-2"/>
          <w:u w:val="single"/>
          <w14:textFill>
            <w14:solidFill>
              <w14:schemeClr w14:val="tx1"/>
            </w14:solidFill>
          </w14:textFill>
        </w:rPr>
        <w:tab/>
      </w:r>
      <w:r>
        <w:rPr>
          <w:rFonts w:hint="eastAsia" w:ascii="宋体" w:hAnsi="宋体" w:cs="宋体"/>
          <w:color w:val="000000" w:themeColor="text1"/>
          <w:spacing w:val="-2"/>
          <w14:textFill>
            <w14:solidFill>
              <w14:schemeClr w14:val="tx1"/>
            </w14:solidFill>
          </w14:textFill>
        </w:rPr>
        <w:t>万元，属于（</w:t>
      </w:r>
      <w:r>
        <w:rPr>
          <w:rFonts w:hint="eastAsia" w:ascii="宋体" w:hAnsi="宋体" w:cs="宋体"/>
          <w:color w:val="000000" w:themeColor="text1"/>
          <w:spacing w:val="-2"/>
          <w:u w:val="single"/>
          <w14:textFill>
            <w14:solidFill>
              <w14:schemeClr w14:val="tx1"/>
            </w14:solidFill>
          </w14:textFill>
        </w:rPr>
        <w:t>中型企业、小型企业、微型企业</w:t>
      </w:r>
      <w:r>
        <w:rPr>
          <w:rFonts w:hint="eastAsia" w:ascii="宋体" w:hAnsi="宋体" w:cs="宋体"/>
          <w:color w:val="000000" w:themeColor="text1"/>
          <w:spacing w:val="-2"/>
          <w14:textFill>
            <w14:solidFill>
              <w14:schemeClr w14:val="tx1"/>
            </w14:solidFill>
          </w14:textFill>
        </w:rPr>
        <w:t>）。</w:t>
      </w:r>
    </w:p>
    <w:p>
      <w:pPr>
        <w:pStyle w:val="8"/>
        <w:tabs>
          <w:tab w:val="left" w:pos="562"/>
          <w:tab w:val="left" w:pos="3372"/>
          <w:tab w:val="left" w:pos="3653"/>
        </w:tabs>
        <w:ind w:firstLine="472" w:firstLineChars="200"/>
        <w:rPr>
          <w:rFonts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2、（</w:t>
      </w:r>
      <w:r>
        <w:rPr>
          <w:rFonts w:hint="eastAsia" w:ascii="宋体" w:hAnsi="宋体" w:cs="宋体"/>
          <w:color w:val="000000" w:themeColor="text1"/>
          <w:spacing w:val="-2"/>
          <w:u w:val="single"/>
          <w14:textFill>
            <w14:solidFill>
              <w14:schemeClr w14:val="tx1"/>
            </w14:solidFill>
          </w14:textFill>
        </w:rPr>
        <w:t>标的名称</w:t>
      </w:r>
      <w:r>
        <w:rPr>
          <w:rFonts w:hint="eastAsia" w:ascii="宋体" w:hAnsi="宋体" w:cs="宋体"/>
          <w:color w:val="000000" w:themeColor="text1"/>
          <w:spacing w:val="-2"/>
          <w14:textFill>
            <w14:solidFill>
              <w14:schemeClr w14:val="tx1"/>
            </w14:solidFill>
          </w14:textFill>
        </w:rPr>
        <w:t>），属于（</w:t>
      </w:r>
      <w:r>
        <w:rPr>
          <w:rFonts w:hint="eastAsia" w:ascii="宋体" w:hAnsi="宋体" w:cs="宋体"/>
          <w:color w:val="000000" w:themeColor="text1"/>
          <w:spacing w:val="-2"/>
          <w:u w:val="single"/>
          <w14:textFill>
            <w14:solidFill>
              <w14:schemeClr w14:val="tx1"/>
            </w14:solidFill>
          </w14:textFill>
        </w:rPr>
        <w:t>采购文件中明确的所属行业</w:t>
      </w:r>
      <w:r>
        <w:rPr>
          <w:rFonts w:hint="eastAsia" w:ascii="宋体" w:hAnsi="宋体" w:cs="宋体"/>
          <w:color w:val="000000" w:themeColor="text1"/>
          <w:spacing w:val="-2"/>
          <w14:textFill>
            <w14:solidFill>
              <w14:schemeClr w14:val="tx1"/>
            </w14:solidFill>
          </w14:textFill>
        </w:rPr>
        <w:t>） ；承建（承接）企业为（</w:t>
      </w:r>
      <w:r>
        <w:rPr>
          <w:rFonts w:hint="eastAsia" w:ascii="宋体" w:hAnsi="宋体" w:cs="宋体"/>
          <w:color w:val="000000" w:themeColor="text1"/>
          <w:spacing w:val="-2"/>
          <w:u w:val="single"/>
          <w14:textFill>
            <w14:solidFill>
              <w14:schemeClr w14:val="tx1"/>
            </w14:solidFill>
          </w14:textFill>
        </w:rPr>
        <w:t>企业名称</w:t>
      </w:r>
      <w:r>
        <w:rPr>
          <w:rFonts w:hint="eastAsia" w:ascii="宋体" w:hAnsi="宋体" w:cs="宋体"/>
          <w:color w:val="000000" w:themeColor="text1"/>
          <w:spacing w:val="-2"/>
          <w14:textFill>
            <w14:solidFill>
              <w14:schemeClr w14:val="tx1"/>
            </w14:solidFill>
          </w14:textFill>
        </w:rPr>
        <w:t>），从业人员</w:t>
      </w:r>
      <w:r>
        <w:rPr>
          <w:rFonts w:hint="eastAsia" w:ascii="宋体" w:hAnsi="宋体" w:cs="宋体"/>
          <w:color w:val="000000" w:themeColor="text1"/>
          <w:spacing w:val="-2"/>
          <w:u w:val="single"/>
          <w14:textFill>
            <w14:solidFill>
              <w14:schemeClr w14:val="tx1"/>
            </w14:solidFill>
          </w14:textFill>
        </w:rPr>
        <w:tab/>
      </w:r>
      <w:r>
        <w:rPr>
          <w:rFonts w:hint="eastAsia" w:ascii="宋体" w:hAnsi="宋体" w:cs="宋体"/>
          <w:color w:val="000000" w:themeColor="text1"/>
          <w:spacing w:val="-2"/>
          <w14:textFill>
            <w14:solidFill>
              <w14:schemeClr w14:val="tx1"/>
            </w14:solidFill>
          </w14:textFill>
        </w:rPr>
        <w:t>人，营业收入为</w:t>
      </w:r>
      <w:r>
        <w:rPr>
          <w:rFonts w:hint="eastAsia" w:ascii="宋体" w:hAnsi="宋体" w:cs="宋体"/>
          <w:color w:val="000000" w:themeColor="text1"/>
          <w:spacing w:val="-2"/>
          <w:u w:val="single"/>
          <w14:textFill>
            <w14:solidFill>
              <w14:schemeClr w14:val="tx1"/>
            </w14:solidFill>
          </w14:textFill>
        </w:rPr>
        <w:tab/>
      </w:r>
      <w:r>
        <w:rPr>
          <w:rFonts w:hint="eastAsia" w:ascii="宋体" w:hAnsi="宋体" w:cs="宋体"/>
          <w:color w:val="000000" w:themeColor="text1"/>
          <w:spacing w:val="-2"/>
          <w14:textFill>
            <w14:solidFill>
              <w14:schemeClr w14:val="tx1"/>
            </w14:solidFill>
          </w14:textFill>
        </w:rPr>
        <w:t>万元，资产总额为</w:t>
      </w:r>
      <w:r>
        <w:rPr>
          <w:rFonts w:hint="eastAsia" w:ascii="宋体" w:hAnsi="宋体" w:cs="宋体"/>
          <w:color w:val="000000" w:themeColor="text1"/>
          <w:spacing w:val="-2"/>
          <w:u w:val="single"/>
          <w14:textFill>
            <w14:solidFill>
              <w14:schemeClr w14:val="tx1"/>
            </w14:solidFill>
          </w14:textFill>
        </w:rPr>
        <w:tab/>
      </w:r>
      <w:r>
        <w:rPr>
          <w:rFonts w:hint="eastAsia" w:ascii="宋体" w:hAnsi="宋体" w:cs="宋体"/>
          <w:color w:val="000000" w:themeColor="text1"/>
          <w:spacing w:val="-2"/>
          <w14:textFill>
            <w14:solidFill>
              <w14:schemeClr w14:val="tx1"/>
            </w14:solidFill>
          </w14:textFill>
        </w:rPr>
        <w:t>万元，属于（</w:t>
      </w:r>
      <w:r>
        <w:rPr>
          <w:rFonts w:hint="eastAsia" w:ascii="宋体" w:hAnsi="宋体" w:cs="宋体"/>
          <w:color w:val="000000" w:themeColor="text1"/>
          <w:spacing w:val="-2"/>
          <w:u w:val="single"/>
          <w14:textFill>
            <w14:solidFill>
              <w14:schemeClr w14:val="tx1"/>
            </w14:solidFill>
          </w14:textFill>
        </w:rPr>
        <w:t>中型企业、小型企业、微型企业</w:t>
      </w:r>
      <w:r>
        <w:rPr>
          <w:rFonts w:hint="eastAsia" w:ascii="宋体" w:hAnsi="宋体" w:cs="宋体"/>
          <w:color w:val="000000" w:themeColor="text1"/>
          <w:spacing w:val="-2"/>
          <w14:textFill>
            <w14:solidFill>
              <w14:schemeClr w14:val="tx1"/>
            </w14:solidFill>
          </w14:textFill>
        </w:rPr>
        <w:t>）；</w:t>
      </w:r>
    </w:p>
    <w:p>
      <w:pPr>
        <w:pStyle w:val="8"/>
        <w:tabs>
          <w:tab w:val="left" w:pos="562"/>
          <w:tab w:val="left" w:pos="3372"/>
          <w:tab w:val="left" w:pos="3653"/>
        </w:tabs>
        <w:ind w:firstLine="472" w:firstLineChars="200"/>
        <w:rPr>
          <w:rFonts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w:t>
      </w:r>
    </w:p>
    <w:p>
      <w:pPr>
        <w:pStyle w:val="8"/>
        <w:tabs>
          <w:tab w:val="left" w:pos="562"/>
          <w:tab w:val="left" w:pos="3372"/>
          <w:tab w:val="left" w:pos="3653"/>
        </w:tabs>
        <w:ind w:firstLine="472" w:firstLineChars="200"/>
        <w:rPr>
          <w:rFonts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以上企业，不属于大企业的分支机构，不存在控股股东为大企业的情形，也不存在与大企业的负责人为同一人的情形。</w:t>
      </w:r>
    </w:p>
    <w:p>
      <w:pPr>
        <w:pStyle w:val="8"/>
        <w:tabs>
          <w:tab w:val="left" w:pos="562"/>
          <w:tab w:val="left" w:pos="3372"/>
          <w:tab w:val="left" w:pos="3653"/>
        </w:tabs>
        <w:ind w:firstLine="472" w:firstLineChars="200"/>
        <w:rPr>
          <w:rFonts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本企业对上述声明内容的真实性负责。如有虚假，将依法承担相应责任。</w:t>
      </w:r>
    </w:p>
    <w:p>
      <w:pPr>
        <w:pStyle w:val="8"/>
        <w:tabs>
          <w:tab w:val="left" w:pos="562"/>
          <w:tab w:val="left" w:pos="3372"/>
          <w:tab w:val="left" w:pos="3653"/>
        </w:tabs>
        <w:ind w:firstLine="472" w:firstLineChars="200"/>
        <w:rPr>
          <w:rFonts w:ascii="宋体" w:hAnsi="宋体" w:cs="宋体"/>
          <w:color w:val="000000" w:themeColor="text1"/>
          <w:spacing w:val="-2"/>
          <w14:textFill>
            <w14:solidFill>
              <w14:schemeClr w14:val="tx1"/>
            </w14:solidFill>
          </w14:textFill>
        </w:rPr>
      </w:pPr>
    </w:p>
    <w:p>
      <w:pPr>
        <w:pStyle w:val="8"/>
        <w:tabs>
          <w:tab w:val="left" w:pos="562"/>
          <w:tab w:val="left" w:pos="3372"/>
          <w:tab w:val="left" w:pos="3653"/>
        </w:tabs>
        <w:ind w:firstLine="472" w:firstLineChars="200"/>
        <w:rPr>
          <w:rFonts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注意事项：</w:t>
      </w:r>
    </w:p>
    <w:p>
      <w:pPr>
        <w:pStyle w:val="8"/>
        <w:tabs>
          <w:tab w:val="left" w:pos="562"/>
          <w:tab w:val="left" w:pos="3372"/>
          <w:tab w:val="left" w:pos="3653"/>
        </w:tabs>
        <w:spacing w:after="0"/>
        <w:ind w:firstLine="472" w:firstLineChars="200"/>
        <w:rPr>
          <w:rFonts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1.从业人员、营业收入、资产总额填报上一年度数据，无上一年度数据的新成立企业可不填报。</w:t>
      </w:r>
    </w:p>
    <w:p>
      <w:pPr>
        <w:pStyle w:val="8"/>
        <w:tabs>
          <w:tab w:val="left" w:pos="562"/>
          <w:tab w:val="left" w:pos="3372"/>
          <w:tab w:val="left" w:pos="3653"/>
        </w:tabs>
        <w:spacing w:after="0"/>
        <w:ind w:firstLine="472" w:firstLineChars="200"/>
        <w:rPr>
          <w:rFonts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2.《中小企业声明函》中承接/承建企业所属行业应当与招标文件要求的行业相一致，供应商如有疑问，可根据《国民经济行业分类》（GB/T4754-2002），结合《关于印发中小企业划型标准规定的通知》（工信部联企业〔2011〕300 号）进行判断。</w:t>
      </w:r>
    </w:p>
    <w:p>
      <w:pPr>
        <w:pStyle w:val="8"/>
        <w:tabs>
          <w:tab w:val="left" w:pos="562"/>
          <w:tab w:val="left" w:pos="3372"/>
          <w:tab w:val="left" w:pos="3653"/>
        </w:tabs>
        <w:spacing w:after="0"/>
        <w:ind w:firstLine="472" w:firstLineChars="200"/>
        <w:rPr>
          <w:rFonts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3.事业单位、社会组织等非企业主体不享受中小企业扶持政策，但事业单位、社会组织等非企业主体提供全部由中小企业制造的货物参加货物采购项目的除外。</w:t>
      </w:r>
    </w:p>
    <w:p>
      <w:pPr>
        <w:pStyle w:val="8"/>
        <w:tabs>
          <w:tab w:val="left" w:pos="562"/>
          <w:tab w:val="left" w:pos="3372"/>
          <w:tab w:val="left" w:pos="3653"/>
        </w:tabs>
        <w:spacing w:after="0"/>
        <w:ind w:firstLine="472" w:firstLineChars="200"/>
        <w:rPr>
          <w:rFonts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4.相关承接/承建企业的所属行业应当与采购标的所属行业（采购文件中明确的行业）相一致。</w:t>
      </w:r>
    </w:p>
    <w:p>
      <w:pPr>
        <w:pStyle w:val="8"/>
        <w:tabs>
          <w:tab w:val="left" w:pos="562"/>
          <w:tab w:val="left" w:pos="3372"/>
          <w:tab w:val="left" w:pos="3653"/>
        </w:tabs>
        <w:spacing w:after="0"/>
        <w:ind w:firstLine="472" w:firstLineChars="200"/>
        <w:rPr>
          <w:rFonts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投标人已知悉《政府采购促进中小企业发展管理办法》（财库〔2020〕46 号）、《中小企业划型标准规定》（工信部联企〔2011〕300 号）、《统计上大中小微型企业划分办法（2017）》等规定，承诺提供的声明函内容是真实的，并知悉根据《政府采购促进中小企业发展管理办法》（财库〔2020〕46 号）第二十条规定，供应商按照本办法规定提供声明函内容不实的，属于提供虚假材料谋取中标、成交，依照《政府采购法》等政府采购有关法律法规规定追究相应责任。</w:t>
      </w:r>
    </w:p>
    <w:p>
      <w:pPr>
        <w:pStyle w:val="8"/>
        <w:tabs>
          <w:tab w:val="left" w:pos="562"/>
          <w:tab w:val="left" w:pos="3372"/>
          <w:tab w:val="left" w:pos="3653"/>
        </w:tabs>
        <w:ind w:left="4200" w:leftChars="2000"/>
        <w:rPr>
          <w:rFonts w:ascii="宋体" w:hAnsi="宋体" w:cs="宋体"/>
          <w:color w:val="000000" w:themeColor="text1"/>
          <w:spacing w:val="-2"/>
          <w14:textFill>
            <w14:solidFill>
              <w14:schemeClr w14:val="tx1"/>
            </w14:solidFill>
          </w14:textFill>
        </w:rPr>
      </w:pPr>
    </w:p>
    <w:p>
      <w:pPr>
        <w:pStyle w:val="8"/>
        <w:tabs>
          <w:tab w:val="left" w:pos="562"/>
          <w:tab w:val="left" w:pos="3372"/>
          <w:tab w:val="left" w:pos="3653"/>
        </w:tabs>
        <w:ind w:left="4200" w:leftChars="2000"/>
        <w:rPr>
          <w:rFonts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企业名称（盖章）日期：</w:t>
      </w:r>
    </w:p>
    <w:p>
      <w:pPr>
        <w:pStyle w:val="8"/>
        <w:tabs>
          <w:tab w:val="left" w:pos="562"/>
          <w:tab w:val="left" w:pos="3372"/>
          <w:tab w:val="left" w:pos="3653"/>
        </w:tabs>
        <w:spacing w:before="30"/>
        <w:rPr>
          <w:rFonts w:ascii="宋体" w:hAnsi="宋体" w:cs="宋体"/>
          <w:color w:val="000000" w:themeColor="text1"/>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从业人员、营业收入、资产总额填报上一年度数据，无上一年度数据的新成立企业可不填报。</w:t>
      </w:r>
      <w:r>
        <w:rPr>
          <w:rFonts w:hint="eastAsia" w:ascii="宋体" w:hAnsi="宋体" w:cs="宋体"/>
          <w:color w:val="000000" w:themeColor="text1"/>
          <w14:textFill>
            <w14:solidFill>
              <w14:schemeClr w14:val="tx1"/>
            </w14:solidFill>
          </w14:textFill>
        </w:rPr>
        <w:br w:type="page"/>
      </w:r>
      <w:r>
        <w:rPr>
          <w:rFonts w:hint="eastAsia" w:ascii="宋体" w:hAnsi="宋体" w:cs="宋体"/>
          <w:b/>
          <w:bCs/>
          <w:color w:val="000000" w:themeColor="text1"/>
          <w14:textFill>
            <w14:solidFill>
              <w14:schemeClr w14:val="tx1"/>
            </w14:solidFill>
          </w14:textFill>
        </w:rPr>
        <w:t>附 2</w:t>
      </w:r>
    </w:p>
    <w:p>
      <w:pPr>
        <w:jc w:val="center"/>
        <w:rPr>
          <w:rFonts w:ascii="宋体" w:hAnsi="宋体" w:cs="宋体"/>
          <w:b/>
          <w:color w:val="000000" w:themeColor="text1"/>
          <w:sz w:val="24"/>
          <w14:textFill>
            <w14:solidFill>
              <w14:schemeClr w14:val="tx1"/>
            </w14:solidFill>
          </w14:textFill>
        </w:rPr>
      </w:pPr>
      <w:r>
        <w:rPr>
          <w:rFonts w:hint="eastAsia" w:ascii="宋体" w:hAnsi="宋体" w:cs="宋体"/>
          <w:color w:val="000000" w:themeColor="text1"/>
          <w:spacing w:val="-3"/>
          <w:sz w:val="24"/>
          <w:u w:val="single" w:color="000000"/>
          <w14:textFill>
            <w14:solidFill>
              <w14:schemeClr w14:val="tx1"/>
            </w14:solidFill>
          </w14:textFill>
        </w:rPr>
        <w:t>（单位名称）</w:t>
      </w:r>
      <w:r>
        <w:rPr>
          <w:rFonts w:hint="eastAsia" w:ascii="宋体" w:hAnsi="宋体" w:cs="宋体"/>
          <w:color w:val="000000" w:themeColor="text1"/>
          <w:spacing w:val="-29"/>
          <w:sz w:val="24"/>
          <w14:textFill>
            <w14:solidFill>
              <w14:schemeClr w14:val="tx1"/>
            </w14:solidFill>
          </w14:textFill>
        </w:rPr>
        <w:t>××</w:t>
      </w:r>
      <w:r>
        <w:rPr>
          <w:rFonts w:hint="eastAsia" w:ascii="宋体" w:hAnsi="宋体" w:cs="宋体"/>
          <w:b/>
          <w:color w:val="000000" w:themeColor="text1"/>
          <w:sz w:val="24"/>
          <w14:textFill>
            <w14:solidFill>
              <w14:schemeClr w14:val="tx1"/>
            </w14:solidFill>
          </w14:textFill>
        </w:rPr>
        <w:t>年面向中小企业预留项目执行情况公告</w:t>
      </w:r>
    </w:p>
    <w:p>
      <w:pPr>
        <w:pStyle w:val="8"/>
        <w:tabs>
          <w:tab w:val="left" w:pos="562"/>
          <w:tab w:val="left" w:pos="3372"/>
          <w:tab w:val="left" w:pos="3653"/>
        </w:tabs>
        <w:ind w:firstLine="48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根据《政府采购促进中小企业发展管理办法》（财库﹝2020﹞46</w:t>
      </w:r>
      <w:r>
        <w:rPr>
          <w:rFonts w:hint="eastAsia" w:ascii="宋体" w:hAnsi="宋体" w:cs="宋体"/>
          <w:color w:val="000000" w:themeColor="text1"/>
          <w:spacing w:val="-47"/>
          <w14:textFill>
            <w14:solidFill>
              <w14:schemeClr w14:val="tx1"/>
            </w14:solidFill>
          </w14:textFill>
        </w:rPr>
        <w:t xml:space="preserve"> 号</w:t>
      </w:r>
      <w:r>
        <w:rPr>
          <w:rFonts w:hint="eastAsia" w:ascii="宋体" w:hAnsi="宋体" w:cs="宋体"/>
          <w:color w:val="000000" w:themeColor="text1"/>
          <w:spacing w:val="-22"/>
          <w14:textFill>
            <w14:solidFill>
              <w14:schemeClr w14:val="tx1"/>
            </w14:solidFill>
          </w14:textFill>
        </w:rPr>
        <w:t>）</w:t>
      </w:r>
      <w:r>
        <w:rPr>
          <w:rFonts w:hint="eastAsia" w:ascii="宋体" w:hAnsi="宋体" w:cs="宋体"/>
          <w:color w:val="000000" w:themeColor="text1"/>
          <w:spacing w:val="-7"/>
          <w14:textFill>
            <w14:solidFill>
              <w14:schemeClr w14:val="tx1"/>
            </w14:solidFill>
          </w14:textFill>
        </w:rPr>
        <w:t>要求，现对本部门</w:t>
      </w:r>
      <w:r>
        <w:rPr>
          <w:rFonts w:hint="eastAsia" w:ascii="宋体" w:hAnsi="宋体" w:cs="宋体"/>
          <w:color w:val="000000" w:themeColor="text1"/>
          <w:spacing w:val="-3"/>
          <w14:textFill>
            <w14:solidFill>
              <w14:schemeClr w14:val="tx1"/>
            </w14:solidFill>
          </w14:textFill>
        </w:rPr>
        <w:t>（</w:t>
      </w:r>
      <w:r>
        <w:rPr>
          <w:rFonts w:hint="eastAsia" w:ascii="宋体" w:hAnsi="宋体" w:cs="宋体"/>
          <w:color w:val="000000" w:themeColor="text1"/>
          <w14:textFill>
            <w14:solidFill>
              <w14:schemeClr w14:val="tx1"/>
            </w14:solidFill>
          </w14:textFill>
        </w:rPr>
        <w:t>单位</w:t>
      </w:r>
      <w:r>
        <w:rPr>
          <w:rFonts w:hint="eastAsia" w:ascii="宋体" w:hAnsi="宋体" w:cs="宋体"/>
          <w:color w:val="000000" w:themeColor="text1"/>
          <w:spacing w:val="-7"/>
          <w14:textFill>
            <w14:solidFill>
              <w14:schemeClr w14:val="tx1"/>
            </w14:solidFill>
          </w14:textFill>
        </w:rPr>
        <w:t>）</w:t>
      </w:r>
      <w:r>
        <w:rPr>
          <w:rFonts w:hint="eastAsia" w:ascii="宋体" w:hAnsi="宋体" w:cs="宋体"/>
          <w:color w:val="000000" w:themeColor="text1"/>
          <w:spacing w:val="-4"/>
          <w14:textFill>
            <w14:solidFill>
              <w14:schemeClr w14:val="tx1"/>
            </w14:solidFill>
          </w14:textFill>
        </w:rPr>
        <w:t>××年面向中小企业预留项目执行情况公告如下：</w:t>
      </w:r>
    </w:p>
    <w:p>
      <w:pPr>
        <w:pStyle w:val="8"/>
        <w:tabs>
          <w:tab w:val="left" w:pos="562"/>
          <w:tab w:val="left" w:pos="3372"/>
          <w:tab w:val="left" w:pos="3653"/>
        </w:tabs>
        <w:ind w:firstLine="48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本部门（单位）××年预留项目面向中小企业采购共计××万元，其中，面向小微企业采购××万元，占××%。</w:t>
      </w:r>
    </w:p>
    <w:p>
      <w:pPr>
        <w:pStyle w:val="8"/>
        <w:tabs>
          <w:tab w:val="left" w:pos="562"/>
          <w:tab w:val="left" w:pos="3372"/>
          <w:tab w:val="left" w:pos="3653"/>
        </w:tabs>
        <w:jc w:val="center"/>
        <w:rPr>
          <w:rFonts w:ascii="宋体" w:hAnsi="宋体" w:cs="宋体"/>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面向中小企业预留项目明细</w:t>
      </w:r>
    </w:p>
    <w:tbl>
      <w:tblPr>
        <w:tblStyle w:val="20"/>
        <w:tblW w:w="882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70"/>
        <w:gridCol w:w="1866"/>
        <w:gridCol w:w="2010"/>
        <w:gridCol w:w="2296"/>
        <w:gridCol w:w="17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Align w:val="center"/>
          </w:tcPr>
          <w:p>
            <w:pPr>
              <w:pStyle w:val="33"/>
              <w:jc w:val="center"/>
              <w:rPr>
                <w:b/>
                <w:color w:val="000000" w:themeColor="text1"/>
                <w:sz w:val="24"/>
                <w:szCs w:val="24"/>
                <w14:textFill>
                  <w14:solidFill>
                    <w14:schemeClr w14:val="tx1"/>
                  </w14:solidFill>
                </w14:textFill>
              </w:rPr>
            </w:pPr>
            <w:r>
              <w:rPr>
                <w:rFonts w:hint="eastAsia"/>
                <w:b/>
                <w:color w:val="000000" w:themeColor="text1"/>
                <w:sz w:val="24"/>
                <w:szCs w:val="24"/>
                <w14:textFill>
                  <w14:solidFill>
                    <w14:schemeClr w14:val="tx1"/>
                  </w14:solidFill>
                </w14:textFill>
              </w:rPr>
              <w:t>序号</w:t>
            </w:r>
          </w:p>
        </w:tc>
        <w:tc>
          <w:tcPr>
            <w:tcW w:w="1866" w:type="dxa"/>
            <w:vAlign w:val="center"/>
          </w:tcPr>
          <w:p>
            <w:pPr>
              <w:pStyle w:val="33"/>
              <w:jc w:val="center"/>
              <w:rPr>
                <w:b/>
                <w:color w:val="000000" w:themeColor="text1"/>
                <w:sz w:val="24"/>
                <w:szCs w:val="24"/>
                <w14:textFill>
                  <w14:solidFill>
                    <w14:schemeClr w14:val="tx1"/>
                  </w14:solidFill>
                </w14:textFill>
              </w:rPr>
            </w:pPr>
            <w:r>
              <w:rPr>
                <w:rFonts w:hint="eastAsia"/>
                <w:b/>
                <w:color w:val="000000" w:themeColor="text1"/>
                <w:sz w:val="24"/>
                <w:szCs w:val="24"/>
                <w14:textFill>
                  <w14:solidFill>
                    <w14:schemeClr w14:val="tx1"/>
                  </w14:solidFill>
                </w14:textFill>
              </w:rPr>
              <w:t>项目名称</w:t>
            </w:r>
          </w:p>
        </w:tc>
        <w:tc>
          <w:tcPr>
            <w:tcW w:w="2010" w:type="dxa"/>
            <w:vAlign w:val="center"/>
          </w:tcPr>
          <w:p>
            <w:pPr>
              <w:pStyle w:val="33"/>
              <w:jc w:val="center"/>
              <w:rPr>
                <w:b/>
                <w:color w:val="000000" w:themeColor="text1"/>
                <w:sz w:val="24"/>
                <w:szCs w:val="24"/>
                <w14:textFill>
                  <w14:solidFill>
                    <w14:schemeClr w14:val="tx1"/>
                  </w14:solidFill>
                </w14:textFill>
              </w:rPr>
            </w:pPr>
            <w:r>
              <w:rPr>
                <w:rFonts w:hint="eastAsia"/>
                <w:b/>
                <w:color w:val="000000" w:themeColor="text1"/>
                <w:sz w:val="24"/>
                <w:szCs w:val="24"/>
                <w14:textFill>
                  <w14:solidFill>
                    <w14:schemeClr w14:val="tx1"/>
                  </w14:solidFill>
                </w14:textFill>
              </w:rPr>
              <w:t>预留选项</w:t>
            </w:r>
          </w:p>
        </w:tc>
        <w:tc>
          <w:tcPr>
            <w:tcW w:w="2296" w:type="dxa"/>
            <w:vAlign w:val="center"/>
          </w:tcPr>
          <w:p>
            <w:pPr>
              <w:pStyle w:val="33"/>
              <w:jc w:val="center"/>
              <w:rPr>
                <w:b/>
                <w:color w:val="000000" w:themeColor="text1"/>
                <w:sz w:val="24"/>
                <w:szCs w:val="24"/>
                <w14:textFill>
                  <w14:solidFill>
                    <w14:schemeClr w14:val="tx1"/>
                  </w14:solidFill>
                </w14:textFill>
              </w:rPr>
            </w:pPr>
            <w:r>
              <w:rPr>
                <w:rFonts w:hint="eastAsia"/>
                <w:b/>
                <w:color w:val="000000" w:themeColor="text1"/>
                <w:sz w:val="24"/>
                <w:szCs w:val="24"/>
                <w14:textFill>
                  <w14:solidFill>
                    <w14:schemeClr w14:val="tx1"/>
                  </w14:solidFill>
                </w14:textFill>
              </w:rPr>
              <w:t>面向中小企业采购金额</w:t>
            </w:r>
          </w:p>
        </w:tc>
        <w:tc>
          <w:tcPr>
            <w:tcW w:w="1784" w:type="dxa"/>
            <w:vAlign w:val="center"/>
          </w:tcPr>
          <w:p>
            <w:pPr>
              <w:pStyle w:val="33"/>
              <w:jc w:val="center"/>
              <w:rPr>
                <w:b/>
                <w:color w:val="000000" w:themeColor="text1"/>
                <w:sz w:val="24"/>
                <w:szCs w:val="24"/>
                <w14:textFill>
                  <w14:solidFill>
                    <w14:schemeClr w14:val="tx1"/>
                  </w14:solidFill>
                </w14:textFill>
              </w:rPr>
            </w:pPr>
            <w:r>
              <w:rPr>
                <w:rFonts w:hint="eastAsia"/>
                <w:b/>
                <w:color w:val="000000" w:themeColor="text1"/>
                <w:sz w:val="24"/>
                <w:szCs w:val="24"/>
                <w14:textFill>
                  <w14:solidFill>
                    <w14:schemeClr w14:val="tx1"/>
                  </w14:solidFill>
                </w14:textFill>
              </w:rPr>
              <w:t>合同链接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restart"/>
            <w:vAlign w:val="center"/>
          </w:tcPr>
          <w:p>
            <w:pPr>
              <w:pStyle w:val="33"/>
              <w:jc w:val="center"/>
              <w:rPr>
                <w:color w:val="000000" w:themeColor="text1"/>
                <w:sz w:val="24"/>
                <w:szCs w:val="24"/>
                <w14:textFill>
                  <w14:solidFill>
                    <w14:schemeClr w14:val="tx1"/>
                  </w14:solidFill>
                </w14:textFill>
              </w:rPr>
            </w:pPr>
          </w:p>
        </w:tc>
        <w:tc>
          <w:tcPr>
            <w:tcW w:w="1866" w:type="dxa"/>
            <w:tcBorders>
              <w:bottom w:val="nil"/>
            </w:tcBorders>
            <w:vAlign w:val="center"/>
          </w:tcPr>
          <w:p>
            <w:pPr>
              <w:pStyle w:val="33"/>
              <w:jc w:val="center"/>
              <w:rPr>
                <w:color w:val="000000" w:themeColor="text1"/>
                <w:sz w:val="24"/>
                <w:szCs w:val="24"/>
                <w14:textFill>
                  <w14:solidFill>
                    <w14:schemeClr w14:val="tx1"/>
                  </w14:solidFill>
                </w14:textFill>
              </w:rPr>
            </w:pPr>
          </w:p>
        </w:tc>
        <w:tc>
          <w:tcPr>
            <w:tcW w:w="2010" w:type="dxa"/>
            <w:tcBorders>
              <w:bottom w:val="nil"/>
            </w:tcBorders>
            <w:vAlign w:val="center"/>
          </w:tcPr>
          <w:p>
            <w:pPr>
              <w:pStyle w:val="33"/>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（填写“采购项</w:t>
            </w:r>
          </w:p>
        </w:tc>
        <w:tc>
          <w:tcPr>
            <w:tcW w:w="2296" w:type="dxa"/>
            <w:tcBorders>
              <w:bottom w:val="nil"/>
            </w:tcBorders>
            <w:vAlign w:val="center"/>
          </w:tcPr>
          <w:p>
            <w:pPr>
              <w:pStyle w:val="33"/>
              <w:jc w:val="center"/>
              <w:rPr>
                <w:color w:val="000000" w:themeColor="text1"/>
                <w:sz w:val="24"/>
                <w:szCs w:val="24"/>
                <w14:textFill>
                  <w14:solidFill>
                    <w14:schemeClr w14:val="tx1"/>
                  </w14:solidFill>
                </w14:textFill>
              </w:rPr>
            </w:pPr>
          </w:p>
        </w:tc>
        <w:tc>
          <w:tcPr>
            <w:tcW w:w="1784" w:type="dxa"/>
            <w:vMerge w:val="restart"/>
            <w:vAlign w:val="center"/>
          </w:tcPr>
          <w:p>
            <w:pPr>
              <w:pStyle w:val="33"/>
              <w:jc w:val="center"/>
              <w:rPr>
                <w:color w:val="000000" w:themeColor="text1"/>
                <w:sz w:val="24"/>
                <w:szCs w:val="24"/>
                <w14:textFill>
                  <w14:solidFill>
                    <w14:schemeClr w14:val="tx1"/>
                  </w14:solidFill>
                </w14:textFill>
              </w:rPr>
            </w:pPr>
          </w:p>
          <w:p>
            <w:pPr>
              <w:pStyle w:val="33"/>
              <w:jc w:val="center"/>
              <w:rPr>
                <w:color w:val="000000" w:themeColor="text1"/>
                <w:sz w:val="24"/>
                <w:szCs w:val="24"/>
                <w14:textFill>
                  <w14:solidFill>
                    <w14:schemeClr w14:val="tx1"/>
                  </w14:solidFill>
                </w14:textFill>
              </w:rPr>
            </w:pPr>
          </w:p>
          <w:p>
            <w:pPr>
              <w:pStyle w:val="33"/>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（填写合同在中国政府采购网公开的网址，合同 中应当包含有关联合体协议或者分包意向协议）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ascii="宋体" w:hAnsi="宋体" w:cs="宋体"/>
                <w:color w:val="000000" w:themeColor="text1"/>
                <w:sz w:val="24"/>
                <w14:textFill>
                  <w14:solidFill>
                    <w14:schemeClr w14:val="tx1"/>
                  </w14:solidFill>
                </w14:textFill>
              </w:rPr>
            </w:pPr>
          </w:p>
        </w:tc>
        <w:tc>
          <w:tcPr>
            <w:tcW w:w="1866" w:type="dxa"/>
            <w:tcBorders>
              <w:top w:val="nil"/>
              <w:bottom w:val="nil"/>
            </w:tcBorders>
            <w:vAlign w:val="center"/>
          </w:tcPr>
          <w:p>
            <w:pPr>
              <w:pStyle w:val="33"/>
              <w:jc w:val="center"/>
              <w:rPr>
                <w:color w:val="000000" w:themeColor="text1"/>
                <w:sz w:val="24"/>
                <w:szCs w:val="24"/>
                <w14:textFill>
                  <w14:solidFill>
                    <w14:schemeClr w14:val="tx1"/>
                  </w14:solidFill>
                </w14:textFill>
              </w:rPr>
            </w:pPr>
          </w:p>
        </w:tc>
        <w:tc>
          <w:tcPr>
            <w:tcW w:w="2010" w:type="dxa"/>
            <w:tcBorders>
              <w:top w:val="nil"/>
              <w:bottom w:val="nil"/>
            </w:tcBorders>
            <w:vAlign w:val="center"/>
          </w:tcPr>
          <w:p>
            <w:pPr>
              <w:pStyle w:val="33"/>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目整体预留”、</w:t>
            </w:r>
          </w:p>
        </w:tc>
        <w:tc>
          <w:tcPr>
            <w:tcW w:w="2296" w:type="dxa"/>
            <w:tcBorders>
              <w:top w:val="nil"/>
              <w:bottom w:val="nil"/>
            </w:tcBorders>
            <w:vAlign w:val="center"/>
          </w:tcPr>
          <w:p>
            <w:pPr>
              <w:pStyle w:val="33"/>
              <w:jc w:val="center"/>
              <w:rPr>
                <w:color w:val="000000" w:themeColor="text1"/>
                <w:sz w:val="24"/>
                <w:szCs w:val="24"/>
                <w14:textFill>
                  <w14:solidFill>
                    <w14:schemeClr w14:val="tx1"/>
                  </w14:solidFill>
                </w14:textFill>
              </w:rPr>
            </w:pPr>
          </w:p>
        </w:tc>
        <w:tc>
          <w:tcPr>
            <w:tcW w:w="1784" w:type="dxa"/>
            <w:vMerge w:val="continue"/>
            <w:tcBorders>
              <w:top w:val="nil"/>
            </w:tcBorders>
            <w:vAlign w:val="center"/>
          </w:tcPr>
          <w:p>
            <w:pPr>
              <w:jc w:val="center"/>
              <w:rPr>
                <w:rFonts w:ascii="宋体" w:hAnsi="宋体" w:cs="宋体"/>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ascii="宋体" w:hAnsi="宋体" w:cs="宋体"/>
                <w:color w:val="000000" w:themeColor="text1"/>
                <w:sz w:val="24"/>
                <w14:textFill>
                  <w14:solidFill>
                    <w14:schemeClr w14:val="tx1"/>
                  </w14:solidFill>
                </w14:textFill>
              </w:rPr>
            </w:pPr>
          </w:p>
        </w:tc>
        <w:tc>
          <w:tcPr>
            <w:tcW w:w="1866" w:type="dxa"/>
            <w:tcBorders>
              <w:top w:val="nil"/>
              <w:bottom w:val="nil"/>
            </w:tcBorders>
            <w:vAlign w:val="center"/>
          </w:tcPr>
          <w:p>
            <w:pPr>
              <w:pStyle w:val="33"/>
              <w:jc w:val="center"/>
              <w:rPr>
                <w:color w:val="000000" w:themeColor="text1"/>
                <w:sz w:val="24"/>
                <w:szCs w:val="24"/>
                <w14:textFill>
                  <w14:solidFill>
                    <w14:schemeClr w14:val="tx1"/>
                  </w14:solidFill>
                </w14:textFill>
              </w:rPr>
            </w:pPr>
          </w:p>
        </w:tc>
        <w:tc>
          <w:tcPr>
            <w:tcW w:w="2010" w:type="dxa"/>
            <w:tcBorders>
              <w:top w:val="nil"/>
              <w:bottom w:val="nil"/>
            </w:tcBorders>
            <w:vAlign w:val="center"/>
          </w:tcPr>
          <w:p>
            <w:pPr>
              <w:pStyle w:val="33"/>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“设置专门采购</w:t>
            </w:r>
          </w:p>
        </w:tc>
        <w:tc>
          <w:tcPr>
            <w:tcW w:w="2296" w:type="dxa"/>
            <w:tcBorders>
              <w:top w:val="nil"/>
              <w:bottom w:val="nil"/>
            </w:tcBorders>
            <w:vAlign w:val="center"/>
          </w:tcPr>
          <w:p>
            <w:pPr>
              <w:pStyle w:val="33"/>
              <w:jc w:val="center"/>
              <w:rPr>
                <w:color w:val="000000" w:themeColor="text1"/>
                <w:sz w:val="24"/>
                <w:szCs w:val="24"/>
                <w14:textFill>
                  <w14:solidFill>
                    <w14:schemeClr w14:val="tx1"/>
                  </w14:solidFill>
                </w14:textFill>
              </w:rPr>
            </w:pPr>
          </w:p>
        </w:tc>
        <w:tc>
          <w:tcPr>
            <w:tcW w:w="1784" w:type="dxa"/>
            <w:vMerge w:val="continue"/>
            <w:tcBorders>
              <w:top w:val="nil"/>
            </w:tcBorders>
            <w:vAlign w:val="center"/>
          </w:tcPr>
          <w:p>
            <w:pPr>
              <w:jc w:val="center"/>
              <w:rPr>
                <w:rFonts w:ascii="宋体" w:hAnsi="宋体" w:cs="宋体"/>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ascii="宋体" w:hAnsi="宋体" w:cs="宋体"/>
                <w:color w:val="000000" w:themeColor="text1"/>
                <w:sz w:val="24"/>
                <w14:textFill>
                  <w14:solidFill>
                    <w14:schemeClr w14:val="tx1"/>
                  </w14:solidFill>
                </w14:textFill>
              </w:rPr>
            </w:pPr>
          </w:p>
        </w:tc>
        <w:tc>
          <w:tcPr>
            <w:tcW w:w="1866" w:type="dxa"/>
            <w:tcBorders>
              <w:top w:val="nil"/>
              <w:bottom w:val="nil"/>
            </w:tcBorders>
            <w:vAlign w:val="center"/>
          </w:tcPr>
          <w:p>
            <w:pPr>
              <w:pStyle w:val="33"/>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（填写集中采</w:t>
            </w:r>
          </w:p>
        </w:tc>
        <w:tc>
          <w:tcPr>
            <w:tcW w:w="2010" w:type="dxa"/>
            <w:tcBorders>
              <w:top w:val="nil"/>
              <w:bottom w:val="nil"/>
            </w:tcBorders>
            <w:vAlign w:val="center"/>
          </w:tcPr>
          <w:p>
            <w:pPr>
              <w:pStyle w:val="33"/>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包”、“要求以</w:t>
            </w:r>
          </w:p>
        </w:tc>
        <w:tc>
          <w:tcPr>
            <w:tcW w:w="2296" w:type="dxa"/>
            <w:tcBorders>
              <w:top w:val="nil"/>
              <w:bottom w:val="nil"/>
            </w:tcBorders>
            <w:vAlign w:val="center"/>
          </w:tcPr>
          <w:p>
            <w:pPr>
              <w:pStyle w:val="33"/>
              <w:jc w:val="center"/>
              <w:rPr>
                <w:color w:val="000000" w:themeColor="text1"/>
                <w:sz w:val="24"/>
                <w:szCs w:val="24"/>
                <w14:textFill>
                  <w14:solidFill>
                    <w14:schemeClr w14:val="tx1"/>
                  </w14:solidFill>
                </w14:textFill>
              </w:rPr>
            </w:pPr>
          </w:p>
        </w:tc>
        <w:tc>
          <w:tcPr>
            <w:tcW w:w="1784" w:type="dxa"/>
            <w:vMerge w:val="continue"/>
            <w:tcBorders>
              <w:top w:val="nil"/>
            </w:tcBorders>
            <w:vAlign w:val="center"/>
          </w:tcPr>
          <w:p>
            <w:pPr>
              <w:jc w:val="center"/>
              <w:rPr>
                <w:rFonts w:ascii="宋体" w:hAnsi="宋体" w:cs="宋体"/>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ascii="宋体" w:hAnsi="宋体" w:cs="宋体"/>
                <w:color w:val="000000" w:themeColor="text1"/>
                <w:sz w:val="24"/>
                <w14:textFill>
                  <w14:solidFill>
                    <w14:schemeClr w14:val="tx1"/>
                  </w14:solidFill>
                </w14:textFill>
              </w:rPr>
            </w:pPr>
          </w:p>
        </w:tc>
        <w:tc>
          <w:tcPr>
            <w:tcW w:w="1866" w:type="dxa"/>
            <w:tcBorders>
              <w:top w:val="nil"/>
              <w:bottom w:val="nil"/>
            </w:tcBorders>
            <w:vAlign w:val="center"/>
          </w:tcPr>
          <w:p>
            <w:pPr>
              <w:pStyle w:val="33"/>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购目录以内或</w:t>
            </w:r>
          </w:p>
        </w:tc>
        <w:tc>
          <w:tcPr>
            <w:tcW w:w="2010" w:type="dxa"/>
            <w:tcBorders>
              <w:top w:val="nil"/>
              <w:bottom w:val="nil"/>
            </w:tcBorders>
            <w:vAlign w:val="center"/>
          </w:tcPr>
          <w:p>
            <w:pPr>
              <w:pStyle w:val="33"/>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联合体形式参</w:t>
            </w:r>
          </w:p>
        </w:tc>
        <w:tc>
          <w:tcPr>
            <w:tcW w:w="2296" w:type="dxa"/>
            <w:tcBorders>
              <w:top w:val="nil"/>
              <w:bottom w:val="nil"/>
            </w:tcBorders>
            <w:vAlign w:val="center"/>
          </w:tcPr>
          <w:p>
            <w:pPr>
              <w:pStyle w:val="33"/>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（精确到万元）</w:t>
            </w:r>
          </w:p>
        </w:tc>
        <w:tc>
          <w:tcPr>
            <w:tcW w:w="1784" w:type="dxa"/>
            <w:vMerge w:val="continue"/>
            <w:tcBorders>
              <w:top w:val="nil"/>
            </w:tcBorders>
            <w:vAlign w:val="center"/>
          </w:tcPr>
          <w:p>
            <w:pPr>
              <w:jc w:val="center"/>
              <w:rPr>
                <w:rFonts w:ascii="宋体" w:hAnsi="宋体" w:cs="宋体"/>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ascii="宋体" w:hAnsi="宋体" w:cs="宋体"/>
                <w:color w:val="000000" w:themeColor="text1"/>
                <w:sz w:val="24"/>
                <w14:textFill>
                  <w14:solidFill>
                    <w14:schemeClr w14:val="tx1"/>
                  </w14:solidFill>
                </w14:textFill>
              </w:rPr>
            </w:pPr>
          </w:p>
        </w:tc>
        <w:tc>
          <w:tcPr>
            <w:tcW w:w="1866" w:type="dxa"/>
            <w:tcBorders>
              <w:top w:val="nil"/>
              <w:bottom w:val="nil"/>
            </w:tcBorders>
            <w:vAlign w:val="center"/>
          </w:tcPr>
          <w:p>
            <w:pPr>
              <w:pStyle w:val="33"/>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者采购限额标</w:t>
            </w:r>
          </w:p>
        </w:tc>
        <w:tc>
          <w:tcPr>
            <w:tcW w:w="2010" w:type="dxa"/>
            <w:tcBorders>
              <w:top w:val="nil"/>
              <w:bottom w:val="nil"/>
            </w:tcBorders>
            <w:vAlign w:val="center"/>
          </w:tcPr>
          <w:p>
            <w:pPr>
              <w:pStyle w:val="33"/>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加”或者“要求</w:t>
            </w:r>
          </w:p>
        </w:tc>
        <w:tc>
          <w:tcPr>
            <w:tcW w:w="2296" w:type="dxa"/>
            <w:tcBorders>
              <w:top w:val="nil"/>
              <w:bottom w:val="nil"/>
            </w:tcBorders>
            <w:vAlign w:val="center"/>
          </w:tcPr>
          <w:p>
            <w:pPr>
              <w:pStyle w:val="33"/>
              <w:jc w:val="center"/>
              <w:rPr>
                <w:color w:val="000000" w:themeColor="text1"/>
                <w:sz w:val="24"/>
                <w:szCs w:val="24"/>
                <w14:textFill>
                  <w14:solidFill>
                    <w14:schemeClr w14:val="tx1"/>
                  </w14:solidFill>
                </w14:textFill>
              </w:rPr>
            </w:pPr>
          </w:p>
        </w:tc>
        <w:tc>
          <w:tcPr>
            <w:tcW w:w="1784" w:type="dxa"/>
            <w:vMerge w:val="continue"/>
            <w:tcBorders>
              <w:top w:val="nil"/>
            </w:tcBorders>
            <w:vAlign w:val="center"/>
          </w:tcPr>
          <w:p>
            <w:pPr>
              <w:jc w:val="center"/>
              <w:rPr>
                <w:rFonts w:ascii="宋体" w:hAnsi="宋体" w:cs="宋体"/>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ascii="宋体" w:hAnsi="宋体" w:cs="宋体"/>
                <w:color w:val="000000" w:themeColor="text1"/>
                <w:sz w:val="24"/>
                <w14:textFill>
                  <w14:solidFill>
                    <w14:schemeClr w14:val="tx1"/>
                  </w14:solidFill>
                </w14:textFill>
              </w:rPr>
            </w:pPr>
          </w:p>
        </w:tc>
        <w:tc>
          <w:tcPr>
            <w:tcW w:w="1866" w:type="dxa"/>
            <w:tcBorders>
              <w:top w:val="nil"/>
              <w:bottom w:val="nil"/>
            </w:tcBorders>
            <w:vAlign w:val="center"/>
          </w:tcPr>
          <w:p>
            <w:pPr>
              <w:pStyle w:val="33"/>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准以上的采购项目</w:t>
            </w:r>
          </w:p>
        </w:tc>
        <w:tc>
          <w:tcPr>
            <w:tcW w:w="2010" w:type="dxa"/>
            <w:tcBorders>
              <w:top w:val="nil"/>
              <w:bottom w:val="nil"/>
            </w:tcBorders>
            <w:vAlign w:val="center"/>
          </w:tcPr>
          <w:p>
            <w:pPr>
              <w:pStyle w:val="33"/>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合同分包”，除</w:t>
            </w:r>
          </w:p>
        </w:tc>
        <w:tc>
          <w:tcPr>
            <w:tcW w:w="2296" w:type="dxa"/>
            <w:tcBorders>
              <w:top w:val="nil"/>
              <w:bottom w:val="nil"/>
            </w:tcBorders>
            <w:vAlign w:val="center"/>
          </w:tcPr>
          <w:p>
            <w:pPr>
              <w:pStyle w:val="33"/>
              <w:jc w:val="center"/>
              <w:rPr>
                <w:color w:val="000000" w:themeColor="text1"/>
                <w:sz w:val="24"/>
                <w:szCs w:val="24"/>
                <w14:textFill>
                  <w14:solidFill>
                    <w14:schemeClr w14:val="tx1"/>
                  </w14:solidFill>
                </w14:textFill>
              </w:rPr>
            </w:pPr>
          </w:p>
        </w:tc>
        <w:tc>
          <w:tcPr>
            <w:tcW w:w="1784" w:type="dxa"/>
            <w:vMerge w:val="continue"/>
            <w:tcBorders>
              <w:top w:val="nil"/>
            </w:tcBorders>
            <w:vAlign w:val="center"/>
          </w:tcPr>
          <w:p>
            <w:pPr>
              <w:jc w:val="center"/>
              <w:rPr>
                <w:rFonts w:ascii="宋体" w:hAnsi="宋体" w:cs="宋体"/>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ascii="宋体" w:hAnsi="宋体" w:cs="宋体"/>
                <w:color w:val="000000" w:themeColor="text1"/>
                <w:sz w:val="24"/>
                <w14:textFill>
                  <w14:solidFill>
                    <w14:schemeClr w14:val="tx1"/>
                  </w14:solidFill>
                </w14:textFill>
              </w:rPr>
            </w:pPr>
          </w:p>
        </w:tc>
        <w:tc>
          <w:tcPr>
            <w:tcW w:w="1866" w:type="dxa"/>
            <w:tcBorders>
              <w:top w:val="nil"/>
              <w:bottom w:val="nil"/>
            </w:tcBorders>
            <w:vAlign w:val="center"/>
          </w:tcPr>
          <w:p>
            <w:pPr>
              <w:pStyle w:val="33"/>
              <w:jc w:val="center"/>
              <w:rPr>
                <w:color w:val="000000" w:themeColor="text1"/>
                <w:sz w:val="24"/>
                <w:szCs w:val="24"/>
                <w14:textFill>
                  <w14:solidFill>
                    <w14:schemeClr w14:val="tx1"/>
                  </w14:solidFill>
                </w14:textFill>
              </w:rPr>
            </w:pPr>
          </w:p>
        </w:tc>
        <w:tc>
          <w:tcPr>
            <w:tcW w:w="2010" w:type="dxa"/>
            <w:tcBorders>
              <w:top w:val="nil"/>
              <w:bottom w:val="nil"/>
            </w:tcBorders>
            <w:vAlign w:val="center"/>
          </w:tcPr>
          <w:p>
            <w:pPr>
              <w:pStyle w:val="33"/>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“采购项目全部</w:t>
            </w:r>
          </w:p>
        </w:tc>
        <w:tc>
          <w:tcPr>
            <w:tcW w:w="2296" w:type="dxa"/>
            <w:tcBorders>
              <w:top w:val="nil"/>
              <w:bottom w:val="nil"/>
            </w:tcBorders>
            <w:vAlign w:val="center"/>
          </w:tcPr>
          <w:p>
            <w:pPr>
              <w:pStyle w:val="33"/>
              <w:jc w:val="center"/>
              <w:rPr>
                <w:color w:val="000000" w:themeColor="text1"/>
                <w:sz w:val="24"/>
                <w:szCs w:val="24"/>
                <w14:textFill>
                  <w14:solidFill>
                    <w14:schemeClr w14:val="tx1"/>
                  </w14:solidFill>
                </w14:textFill>
              </w:rPr>
            </w:pPr>
          </w:p>
        </w:tc>
        <w:tc>
          <w:tcPr>
            <w:tcW w:w="1784" w:type="dxa"/>
            <w:vMerge w:val="continue"/>
            <w:tcBorders>
              <w:top w:val="nil"/>
            </w:tcBorders>
            <w:vAlign w:val="center"/>
          </w:tcPr>
          <w:p>
            <w:pPr>
              <w:jc w:val="center"/>
              <w:rPr>
                <w:rFonts w:ascii="宋体" w:hAnsi="宋体" w:cs="宋体"/>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ascii="宋体" w:hAnsi="宋体" w:cs="宋体"/>
                <w:color w:val="000000" w:themeColor="text1"/>
                <w:sz w:val="24"/>
                <w14:textFill>
                  <w14:solidFill>
                    <w14:schemeClr w14:val="tx1"/>
                  </w14:solidFill>
                </w14:textFill>
              </w:rPr>
            </w:pPr>
          </w:p>
        </w:tc>
        <w:tc>
          <w:tcPr>
            <w:tcW w:w="1866" w:type="dxa"/>
            <w:tcBorders>
              <w:top w:val="nil"/>
              <w:bottom w:val="nil"/>
            </w:tcBorders>
            <w:vAlign w:val="center"/>
          </w:tcPr>
          <w:p>
            <w:pPr>
              <w:pStyle w:val="33"/>
              <w:jc w:val="center"/>
              <w:rPr>
                <w:color w:val="000000" w:themeColor="text1"/>
                <w:sz w:val="24"/>
                <w:szCs w:val="24"/>
                <w14:textFill>
                  <w14:solidFill>
                    <w14:schemeClr w14:val="tx1"/>
                  </w14:solidFill>
                </w14:textFill>
              </w:rPr>
            </w:pPr>
          </w:p>
        </w:tc>
        <w:tc>
          <w:tcPr>
            <w:tcW w:w="2010" w:type="dxa"/>
            <w:tcBorders>
              <w:top w:val="nil"/>
              <w:bottom w:val="nil"/>
            </w:tcBorders>
            <w:vAlign w:val="center"/>
          </w:tcPr>
          <w:p>
            <w:pPr>
              <w:pStyle w:val="33"/>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预留”外，还应</w:t>
            </w:r>
          </w:p>
        </w:tc>
        <w:tc>
          <w:tcPr>
            <w:tcW w:w="2296" w:type="dxa"/>
            <w:tcBorders>
              <w:top w:val="nil"/>
              <w:bottom w:val="nil"/>
            </w:tcBorders>
            <w:vAlign w:val="center"/>
          </w:tcPr>
          <w:p>
            <w:pPr>
              <w:pStyle w:val="33"/>
              <w:jc w:val="center"/>
              <w:rPr>
                <w:color w:val="000000" w:themeColor="text1"/>
                <w:sz w:val="24"/>
                <w:szCs w:val="24"/>
                <w14:textFill>
                  <w14:solidFill>
                    <w14:schemeClr w14:val="tx1"/>
                  </w14:solidFill>
                </w14:textFill>
              </w:rPr>
            </w:pPr>
          </w:p>
        </w:tc>
        <w:tc>
          <w:tcPr>
            <w:tcW w:w="1784" w:type="dxa"/>
            <w:vMerge w:val="continue"/>
            <w:tcBorders>
              <w:top w:val="nil"/>
            </w:tcBorders>
            <w:vAlign w:val="center"/>
          </w:tcPr>
          <w:p>
            <w:pPr>
              <w:jc w:val="center"/>
              <w:rPr>
                <w:rFonts w:ascii="宋体" w:hAnsi="宋体" w:cs="宋体"/>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ascii="宋体" w:hAnsi="宋体" w:cs="宋体"/>
                <w:color w:val="000000" w:themeColor="text1"/>
                <w:sz w:val="24"/>
                <w14:textFill>
                  <w14:solidFill>
                    <w14:schemeClr w14:val="tx1"/>
                  </w14:solidFill>
                </w14:textFill>
              </w:rPr>
            </w:pPr>
          </w:p>
        </w:tc>
        <w:tc>
          <w:tcPr>
            <w:tcW w:w="1866" w:type="dxa"/>
            <w:tcBorders>
              <w:top w:val="nil"/>
              <w:bottom w:val="nil"/>
            </w:tcBorders>
            <w:vAlign w:val="center"/>
          </w:tcPr>
          <w:p>
            <w:pPr>
              <w:pStyle w:val="33"/>
              <w:jc w:val="center"/>
              <w:rPr>
                <w:color w:val="000000" w:themeColor="text1"/>
                <w:sz w:val="24"/>
                <w:szCs w:val="24"/>
                <w14:textFill>
                  <w14:solidFill>
                    <w14:schemeClr w14:val="tx1"/>
                  </w14:solidFill>
                </w14:textFill>
              </w:rPr>
            </w:pPr>
          </w:p>
        </w:tc>
        <w:tc>
          <w:tcPr>
            <w:tcW w:w="2010" w:type="dxa"/>
            <w:tcBorders>
              <w:top w:val="nil"/>
              <w:bottom w:val="nil"/>
            </w:tcBorders>
            <w:vAlign w:val="center"/>
          </w:tcPr>
          <w:p>
            <w:pPr>
              <w:pStyle w:val="33"/>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当填写预留给中</w:t>
            </w:r>
          </w:p>
        </w:tc>
        <w:tc>
          <w:tcPr>
            <w:tcW w:w="2296" w:type="dxa"/>
            <w:tcBorders>
              <w:top w:val="nil"/>
              <w:bottom w:val="nil"/>
            </w:tcBorders>
            <w:vAlign w:val="center"/>
          </w:tcPr>
          <w:p>
            <w:pPr>
              <w:pStyle w:val="33"/>
              <w:jc w:val="center"/>
              <w:rPr>
                <w:color w:val="000000" w:themeColor="text1"/>
                <w:sz w:val="24"/>
                <w:szCs w:val="24"/>
                <w14:textFill>
                  <w14:solidFill>
                    <w14:schemeClr w14:val="tx1"/>
                  </w14:solidFill>
                </w14:textFill>
              </w:rPr>
            </w:pPr>
          </w:p>
        </w:tc>
        <w:tc>
          <w:tcPr>
            <w:tcW w:w="1784" w:type="dxa"/>
            <w:vMerge w:val="continue"/>
            <w:tcBorders>
              <w:top w:val="nil"/>
            </w:tcBorders>
            <w:vAlign w:val="center"/>
          </w:tcPr>
          <w:p>
            <w:pPr>
              <w:jc w:val="center"/>
              <w:rPr>
                <w:rFonts w:ascii="宋体" w:hAnsi="宋体" w:cs="宋体"/>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ascii="宋体" w:hAnsi="宋体" w:cs="宋体"/>
                <w:color w:val="000000" w:themeColor="text1"/>
                <w:sz w:val="24"/>
                <w14:textFill>
                  <w14:solidFill>
                    <w14:schemeClr w14:val="tx1"/>
                  </w14:solidFill>
                </w14:textFill>
              </w:rPr>
            </w:pPr>
          </w:p>
        </w:tc>
        <w:tc>
          <w:tcPr>
            <w:tcW w:w="1866" w:type="dxa"/>
            <w:tcBorders>
              <w:top w:val="nil"/>
            </w:tcBorders>
            <w:vAlign w:val="center"/>
          </w:tcPr>
          <w:p>
            <w:pPr>
              <w:pStyle w:val="33"/>
              <w:jc w:val="center"/>
              <w:rPr>
                <w:color w:val="000000" w:themeColor="text1"/>
                <w:sz w:val="24"/>
                <w:szCs w:val="24"/>
                <w14:textFill>
                  <w14:solidFill>
                    <w14:schemeClr w14:val="tx1"/>
                  </w14:solidFill>
                </w14:textFill>
              </w:rPr>
            </w:pPr>
          </w:p>
        </w:tc>
        <w:tc>
          <w:tcPr>
            <w:tcW w:w="2010" w:type="dxa"/>
            <w:tcBorders>
              <w:top w:val="nil"/>
            </w:tcBorders>
            <w:vAlign w:val="center"/>
          </w:tcPr>
          <w:p>
            <w:pPr>
              <w:pStyle w:val="33"/>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小企业的比例）</w:t>
            </w:r>
          </w:p>
        </w:tc>
        <w:tc>
          <w:tcPr>
            <w:tcW w:w="2296" w:type="dxa"/>
            <w:tcBorders>
              <w:top w:val="nil"/>
            </w:tcBorders>
            <w:vAlign w:val="center"/>
          </w:tcPr>
          <w:p>
            <w:pPr>
              <w:pStyle w:val="33"/>
              <w:jc w:val="center"/>
              <w:rPr>
                <w:color w:val="000000" w:themeColor="text1"/>
                <w:sz w:val="24"/>
                <w:szCs w:val="24"/>
                <w14:textFill>
                  <w14:solidFill>
                    <w14:schemeClr w14:val="tx1"/>
                  </w14:solidFill>
                </w14:textFill>
              </w:rPr>
            </w:pPr>
          </w:p>
        </w:tc>
        <w:tc>
          <w:tcPr>
            <w:tcW w:w="1784" w:type="dxa"/>
            <w:vMerge w:val="continue"/>
            <w:tcBorders>
              <w:top w:val="nil"/>
            </w:tcBorders>
            <w:vAlign w:val="center"/>
          </w:tcPr>
          <w:p>
            <w:pPr>
              <w:jc w:val="center"/>
              <w:rPr>
                <w:rFonts w:ascii="宋体" w:hAnsi="宋体" w:cs="宋体"/>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Align w:val="center"/>
          </w:tcPr>
          <w:p>
            <w:pPr>
              <w:pStyle w:val="33"/>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w:t>
            </w:r>
          </w:p>
        </w:tc>
        <w:tc>
          <w:tcPr>
            <w:tcW w:w="1866" w:type="dxa"/>
            <w:vAlign w:val="center"/>
          </w:tcPr>
          <w:p>
            <w:pPr>
              <w:pStyle w:val="33"/>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w:t>
            </w:r>
          </w:p>
        </w:tc>
        <w:tc>
          <w:tcPr>
            <w:tcW w:w="2010" w:type="dxa"/>
            <w:vAlign w:val="center"/>
          </w:tcPr>
          <w:p>
            <w:pPr>
              <w:pStyle w:val="33"/>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w:t>
            </w:r>
          </w:p>
        </w:tc>
        <w:tc>
          <w:tcPr>
            <w:tcW w:w="2296" w:type="dxa"/>
            <w:vAlign w:val="center"/>
          </w:tcPr>
          <w:p>
            <w:pPr>
              <w:pStyle w:val="33"/>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w:t>
            </w:r>
          </w:p>
        </w:tc>
        <w:tc>
          <w:tcPr>
            <w:tcW w:w="1784" w:type="dxa"/>
            <w:vAlign w:val="center"/>
          </w:tcPr>
          <w:p>
            <w:pPr>
              <w:pStyle w:val="33"/>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w:t>
            </w:r>
          </w:p>
        </w:tc>
      </w:tr>
    </w:tbl>
    <w:p>
      <w:pPr>
        <w:pStyle w:val="8"/>
        <w:tabs>
          <w:tab w:val="left" w:pos="562"/>
          <w:tab w:val="left" w:pos="3372"/>
          <w:tab w:val="left" w:pos="3653"/>
        </w:tabs>
        <w:spacing w:before="128"/>
        <w:ind w:left="4220" w:right="1843"/>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部门（单位）名称： 日期：</w:t>
      </w:r>
    </w:p>
    <w:p>
      <w:pPr>
        <w:pStyle w:val="8"/>
        <w:tabs>
          <w:tab w:val="left" w:pos="562"/>
          <w:tab w:val="left" w:pos="3372"/>
          <w:tab w:val="left" w:pos="3653"/>
        </w:tabs>
        <w:rPr>
          <w:rFonts w:ascii="宋体" w:hAnsi="宋体" w:cs="宋体"/>
          <w:color w:val="000000" w:themeColor="text1"/>
          <w14:textFill>
            <w14:solidFill>
              <w14:schemeClr w14:val="tx1"/>
            </w14:solidFill>
          </w14:textFill>
        </w:rPr>
      </w:pPr>
    </w:p>
    <w:p>
      <w:pPr>
        <w:pStyle w:val="17"/>
        <w:jc w:val="both"/>
        <w:outlineLvl w:val="9"/>
        <w:rPr>
          <w:rFonts w:ascii="宋体" w:hAnsi="宋体" w:eastAsia="宋体" w:cs="宋体"/>
          <w:color w:val="000000" w:themeColor="text1"/>
          <w:sz w:val="24"/>
          <w:szCs w:val="24"/>
          <w14:textFill>
            <w14:solidFill>
              <w14:schemeClr w14:val="tx1"/>
            </w14:solidFill>
          </w14:textFill>
        </w:rPr>
      </w:pPr>
    </w:p>
    <w:p>
      <w:pPr>
        <w:tabs>
          <w:tab w:val="left" w:pos="360"/>
        </w:tabs>
        <w:outlineLvl w:val="1"/>
        <w:rPr>
          <w:rFonts w:ascii="宋体" w:hAnsi="宋体" w:cs="宋体"/>
          <w:b/>
          <w:bCs/>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br w:type="page"/>
      </w:r>
      <w:r>
        <w:rPr>
          <w:rFonts w:hint="eastAsia" w:ascii="宋体" w:hAnsi="宋体" w:cs="宋体"/>
          <w:b/>
          <w:bCs/>
          <w:color w:val="000000" w:themeColor="text1"/>
          <w:sz w:val="24"/>
          <w14:textFill>
            <w14:solidFill>
              <w14:schemeClr w14:val="tx1"/>
            </w14:solidFill>
          </w14:textFill>
        </w:rPr>
        <w:t>2、工业和信息化部、国家统计局、国家发展和改革委员会、财政部《关于印发〈中小企业划型标准规定〉的通知》（工信部联企〔2011〕300 号）</w:t>
      </w:r>
    </w:p>
    <w:p>
      <w:pPr>
        <w:pStyle w:val="8"/>
        <w:tabs>
          <w:tab w:val="left" w:pos="562"/>
          <w:tab w:val="left" w:pos="3372"/>
          <w:tab w:val="left" w:pos="3653"/>
        </w:tabs>
        <w:rPr>
          <w:rFonts w:ascii="宋体" w:hAnsi="宋体" w:cs="宋体"/>
          <w:color w:val="000000" w:themeColor="text1"/>
          <w14:textFill>
            <w14:solidFill>
              <w14:schemeClr w14:val="tx1"/>
            </w14:solidFill>
          </w14:textFill>
        </w:rPr>
      </w:pPr>
    </w:p>
    <w:p>
      <w:pPr>
        <w:jc w:val="center"/>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关于印发中小企业划型标准规定的通知</w:t>
      </w:r>
    </w:p>
    <w:p>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工信部联企业〔2011〕300号</w:t>
      </w:r>
    </w:p>
    <w:p>
      <w:pPr>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各省、自治区、直辖市人民政府，国务院各部委、各直属机构及有关单位： </w:t>
      </w:r>
    </w:p>
    <w:p>
      <w:pPr>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pPr>
        <w:ind w:firstLine="480" w:firstLineChars="200"/>
        <w:jc w:val="righ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工业和信息化部 国家统计局</w:t>
      </w:r>
    </w:p>
    <w:p>
      <w:pPr>
        <w:ind w:firstLine="480" w:firstLineChars="200"/>
        <w:jc w:val="righ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国家发展和改革委员会 财政部</w:t>
      </w:r>
    </w:p>
    <w:p>
      <w:pPr>
        <w:ind w:firstLine="480" w:firstLineChars="200"/>
        <w:jc w:val="righ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二○一一年六月十八日</w:t>
      </w:r>
    </w:p>
    <w:p>
      <w:pPr>
        <w:ind w:firstLine="480" w:firstLineChars="200"/>
        <w:rPr>
          <w:rFonts w:ascii="宋体" w:hAnsi="宋体" w:cs="宋体"/>
          <w:color w:val="000000" w:themeColor="text1"/>
          <w:sz w:val="24"/>
          <w14:textFill>
            <w14:solidFill>
              <w14:schemeClr w14:val="tx1"/>
            </w14:solidFill>
          </w14:textFill>
        </w:rPr>
      </w:pPr>
    </w:p>
    <w:p>
      <w:pPr>
        <w:ind w:firstLine="480" w:firstLineChars="200"/>
        <w:rPr>
          <w:rFonts w:ascii="宋体" w:hAnsi="宋体" w:cs="宋体"/>
          <w:color w:val="000000" w:themeColor="text1"/>
          <w:sz w:val="24"/>
          <w14:textFill>
            <w14:solidFill>
              <w14:schemeClr w14:val="tx1"/>
            </w14:solidFill>
          </w14:textFill>
        </w:rPr>
      </w:pPr>
    </w:p>
    <w:p>
      <w:pPr>
        <w:ind w:firstLine="480" w:firstLineChars="200"/>
        <w:rPr>
          <w:rFonts w:ascii="宋体" w:hAnsi="宋体" w:cs="宋体"/>
          <w:color w:val="000000" w:themeColor="text1"/>
          <w:sz w:val="24"/>
          <w14:textFill>
            <w14:solidFill>
              <w14:schemeClr w14:val="tx1"/>
            </w14:solidFill>
          </w14:textFill>
        </w:rPr>
      </w:pPr>
    </w:p>
    <w:p>
      <w:pPr>
        <w:jc w:val="center"/>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 xml:space="preserve">中小企业划型标准规定 </w:t>
      </w:r>
    </w:p>
    <w:p>
      <w:pPr>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一、根据《中华人民共和国中小企业促进法》和《国务院关于进一步促进中小企业发展的若干意见》(国发〔2009〕36号)，制定本规定。</w:t>
      </w:r>
    </w:p>
    <w:p>
      <w:pPr>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二、中小企业划分为中型、小型、微型三种类型，具体标准根据企业从业人员、营业收入、资产总额等指标，结合行业特点制定。</w:t>
      </w:r>
    </w:p>
    <w:p>
      <w:pPr>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三、本规定适用的行业包括：农、林、牧、渔业，工业（包括采矿业，制造 业，电力、热力、燃气及水生产和供应业），建筑业，批发业，零售业，交通运输 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 </w:t>
      </w:r>
    </w:p>
    <w:p>
      <w:pPr>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四、各行业划型标准为： </w:t>
      </w:r>
    </w:p>
    <w:p>
      <w:pPr>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（一）农、林、牧、渔业。营业收入20000万元以下的为中小微型企业。其中，营业收入500万元及以上的为中型企业，营业收入50万元及以上的为小型企业，营业收入50万元以下的为微型企业。</w:t>
      </w:r>
    </w:p>
    <w:p>
      <w:pPr>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 </w:t>
      </w:r>
    </w:p>
    <w:p>
      <w:pPr>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 </w:t>
      </w:r>
    </w:p>
    <w:p>
      <w:pPr>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 </w:t>
      </w:r>
    </w:p>
    <w:p>
      <w:pPr>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 </w:t>
      </w:r>
    </w:p>
    <w:p>
      <w:pPr>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 </w:t>
      </w:r>
    </w:p>
    <w:p>
      <w:pPr>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pPr>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 </w:t>
      </w:r>
    </w:p>
    <w:p>
      <w:pPr>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 </w:t>
      </w:r>
    </w:p>
    <w:p>
      <w:pPr>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 </w:t>
      </w:r>
    </w:p>
    <w:p>
      <w:pPr>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 </w:t>
      </w:r>
    </w:p>
    <w:p>
      <w:pPr>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 </w:t>
      </w:r>
    </w:p>
    <w:p>
      <w:pPr>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 </w:t>
      </w:r>
    </w:p>
    <w:p>
      <w:pPr>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pPr>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pPr>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（十六）其他未列明行业。从业人员300人以下的为中小微型企业。其中，从业人员100人及以上的为中型企业；从业人员10人及以上的为小型企业；从业人员10人以下的为微型企业。</w:t>
      </w:r>
    </w:p>
    <w:p>
      <w:pPr>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五、企业类型的划分以统计部门的统计数据为依据。 </w:t>
      </w:r>
    </w:p>
    <w:p>
      <w:pPr>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六、本规定适用于在中华人民共和国境内依法设立的各类所有制和各种组织形式的企业。个体工商户和本规定以外的行业，参照本规定进行划型。 </w:t>
      </w:r>
    </w:p>
    <w:p>
      <w:pPr>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七、本规定的中型企业标准上限即为大型企业标准的下限，国家统计部门据此制定大中小微型企业的统计分类。国务院有关部门据此进行相关数据分析，不得制定与本规定不一致的企业划型标准。</w:t>
      </w:r>
    </w:p>
    <w:p>
      <w:pPr>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八、本规定由工业和信息化部、国家统计局会同有关部门根据《国民经济行业分类》修订情况和企业发展变化情况适时修订。 </w:t>
      </w:r>
    </w:p>
    <w:p>
      <w:pPr>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九、本规定由工业和信息化部、国家统计局会同有关部门负责解释。 </w:t>
      </w:r>
    </w:p>
    <w:p>
      <w:pPr>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十、本规定自发布之日起执行，原国家经贸委、原国家计委、财政部和国家统计局2003年颁布的《中小企业标准暂行规定》同时废止。</w:t>
      </w:r>
    </w:p>
    <w:p>
      <w:pPr>
        <w:ind w:firstLine="480" w:firstLineChars="200"/>
        <w:rPr>
          <w:rFonts w:ascii="宋体" w:hAnsi="宋体" w:cs="宋体"/>
          <w:color w:val="000000" w:themeColor="text1"/>
          <w:sz w:val="24"/>
          <w14:textFill>
            <w14:solidFill>
              <w14:schemeClr w14:val="tx1"/>
            </w14:solidFill>
          </w14:textFill>
        </w:rPr>
      </w:pPr>
    </w:p>
    <w:p>
      <w:pPr>
        <w:pStyle w:val="17"/>
        <w:jc w:val="both"/>
        <w:outlineLvl w:val="9"/>
        <w:rPr>
          <w:rFonts w:ascii="宋体" w:hAnsi="宋体" w:eastAsia="宋体" w:cs="宋体"/>
          <w:color w:val="000000" w:themeColor="text1"/>
          <w:sz w:val="24"/>
          <w:szCs w:val="24"/>
          <w14:textFill>
            <w14:solidFill>
              <w14:schemeClr w14:val="tx1"/>
            </w14:solidFill>
          </w14:textFill>
        </w:rPr>
      </w:pPr>
    </w:p>
    <w:p>
      <w:pPr>
        <w:pStyle w:val="17"/>
        <w:jc w:val="both"/>
        <w:outlineLvl w:val="9"/>
        <w:rPr>
          <w:rFonts w:ascii="宋体" w:hAnsi="宋体" w:eastAsia="宋体" w:cs="宋体"/>
          <w:color w:val="000000" w:themeColor="text1"/>
          <w:sz w:val="24"/>
          <w:szCs w:val="24"/>
          <w14:textFill>
            <w14:solidFill>
              <w14:schemeClr w14:val="tx1"/>
            </w14:solidFill>
          </w14:textFill>
        </w:rPr>
      </w:pPr>
    </w:p>
    <w:p>
      <w:pPr>
        <w:tabs>
          <w:tab w:val="left" w:pos="360"/>
        </w:tabs>
        <w:outlineLvl w:val="1"/>
        <w:rPr>
          <w:rFonts w:ascii="宋体" w:hAnsi="宋体" w:cs="宋体"/>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br w:type="page"/>
      </w:r>
      <w:r>
        <w:rPr>
          <w:rFonts w:hint="eastAsia" w:ascii="宋体" w:hAnsi="宋体" w:cs="宋体"/>
          <w:b/>
          <w:bCs/>
          <w:color w:val="000000" w:themeColor="text1"/>
          <w:sz w:val="24"/>
          <w14:textFill>
            <w14:solidFill>
              <w14:schemeClr w14:val="tx1"/>
            </w14:solidFill>
          </w14:textFill>
        </w:rPr>
        <w:t>3、国家统计局《关于印发〈统计上大中小微型企业划分办法（2017）〉的通知》</w:t>
      </w:r>
    </w:p>
    <w:p>
      <w:pPr>
        <w:widowControl/>
        <w:shd w:val="clear" w:color="auto" w:fill="FFFFFF"/>
        <w:jc w:val="center"/>
        <w:rPr>
          <w:rFonts w:ascii="宋体" w:hAnsi="宋体" w:cs="宋体"/>
          <w:b/>
          <w:bCs/>
          <w:color w:val="000000" w:themeColor="text1"/>
          <w:kern w:val="0"/>
          <w:sz w:val="24"/>
          <w14:textFill>
            <w14:solidFill>
              <w14:schemeClr w14:val="tx1"/>
            </w14:solidFill>
          </w14:textFill>
        </w:rPr>
      </w:pPr>
    </w:p>
    <w:p>
      <w:pPr>
        <w:widowControl/>
        <w:shd w:val="clear" w:color="auto" w:fill="FFFFFF"/>
        <w:jc w:val="center"/>
        <w:rPr>
          <w:rFonts w:ascii="宋体" w:hAnsi="宋体" w:cs="宋体"/>
          <w:b/>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国家统计局关于印发《统计上大中小微型企业划分办法（2017）》的通知</w:t>
      </w:r>
    </w:p>
    <w:p>
      <w:pPr>
        <w:widowControl/>
        <w:shd w:val="clear" w:color="auto" w:fill="FFFFFF"/>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p>
      <w:pPr>
        <w:widowControl/>
        <w:shd w:val="clear" w:color="auto" w:fill="FFFFFF"/>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各省、自治区、直辖市统计局，新疆生产建设兵团统计局，国务院各有关部门，国家统计局各调查总队：</w:t>
      </w:r>
    </w:p>
    <w:p>
      <w:pPr>
        <w:widowControl/>
        <w:shd w:val="clear" w:color="auto" w:fill="FFFFFF"/>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p>
      <w:pPr>
        <w:widowControl/>
        <w:shd w:val="clear" w:color="auto" w:fill="FFFFFF"/>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《国民经济行业分类》（GB/T 4754—2017）已正式实施，现对2011年制定的《统计上大中小微型企业划分办法》进行修订。本次修订保持原有的分类原则、方法、结构框架和适用范围，仅将所涉及的行业按照《国民经济行业分类》（GB/T 4754—2011）和《国民经济行业分类》（GB/T 4754—2017）的对应关系，进行相应调整，形成《统计上大中小微型企业划分办法（2017）》。现将《统计上大中小微型企业划分办法（2017）》印发给你们，请在统计工作中认真贯彻执行。</w:t>
      </w:r>
    </w:p>
    <w:p>
      <w:pPr>
        <w:widowControl/>
        <w:shd w:val="clear" w:color="auto" w:fill="FFFFFF"/>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p>
      <w:pPr>
        <w:widowControl/>
        <w:shd w:val="clear" w:color="auto" w:fill="FFFFFF"/>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附件：《统计上大中小微型企业划分办法（2017）》修订说明</w:t>
      </w:r>
    </w:p>
    <w:p>
      <w:pPr>
        <w:widowControl/>
        <w:shd w:val="clear" w:color="auto" w:fill="FFFFFF"/>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p>
      <w:pPr>
        <w:widowControl/>
        <w:shd w:val="clear" w:color="auto" w:fill="FFFFFF"/>
        <w:ind w:firstLine="480" w:firstLineChars="200"/>
        <w:jc w:val="righ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国家统计局</w:t>
      </w:r>
    </w:p>
    <w:p>
      <w:pPr>
        <w:widowControl/>
        <w:shd w:val="clear" w:color="auto" w:fill="FFFFFF"/>
        <w:ind w:firstLine="480" w:firstLineChars="200"/>
        <w:jc w:val="righ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2017年12月28日</w:t>
      </w:r>
    </w:p>
    <w:p>
      <w:pPr>
        <w:widowControl/>
        <w:shd w:val="clear" w:color="auto" w:fill="FFFFFF"/>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p>
      <w:pPr>
        <w:widowControl/>
        <w:shd w:val="clear" w:color="auto" w:fill="FFFFFF"/>
        <w:jc w:val="center"/>
        <w:rPr>
          <w:rFonts w:ascii="宋体" w:hAns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统计上大中小微型企业划分办法（2017）</w:t>
      </w:r>
    </w:p>
    <w:p>
      <w:pPr>
        <w:widowControl/>
        <w:shd w:val="clear" w:color="auto" w:fill="FFFFFF"/>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一、根据工业和信息化部、国家统计局、国家发展改革委、财政部《关于印发中小企业划型标准规定的通知》（工信部联企业〔2011〕300号），以《国民经济行业分类》（GB/T4754-2017）为基础，结合统计工作的实际情况，制定本办法。</w:t>
      </w:r>
    </w:p>
    <w:p>
      <w:pPr>
        <w:widowControl/>
        <w:shd w:val="clear" w:color="auto" w:fill="FFFFFF"/>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二、本办法适用对象为在中华人民共和国境内依法设立的各种组织形式的法人企业或单位。个体工商户参照本办法进行划分。</w:t>
      </w:r>
    </w:p>
    <w:p>
      <w:pPr>
        <w:widowControl/>
        <w:shd w:val="clear" w:color="auto" w:fill="FFFFFF"/>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三、本办法适用范围包括：农、林、牧、渔业，采矿业，制造业，电力、热力、燃气及水生产和供应业，建筑业，批发和零售业，交通运输、仓储和邮政业，住宿和餐饮业，信息传输、软件和信息技术服务业，房地产业，租赁和商务服务业，科学研究和技术服务业，水利、环境和公共设施管理业，居民服务、修理和其他服务业，文化、体育和娱乐业等15个行业门类以及社会工作行业大类。</w:t>
      </w:r>
    </w:p>
    <w:p>
      <w:pPr>
        <w:widowControl/>
        <w:shd w:val="clear" w:color="auto" w:fill="FFFFFF"/>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四、本办法按照行业门类、大类、中类和组合类别，依据从业人员、营业收入、资产总额等指标或替代指标，将我国的企业划分为大型、中型、小型、微型等四种类型。具体划分标准见附表。</w:t>
      </w:r>
    </w:p>
    <w:p>
      <w:pPr>
        <w:widowControl/>
        <w:shd w:val="clear" w:color="auto" w:fill="FFFFFF"/>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五、企业划分由政府综合统计部门根据统计年报每年确定一次，定报统计原则上不进行调整。</w:t>
      </w:r>
    </w:p>
    <w:p>
      <w:pPr>
        <w:widowControl/>
        <w:shd w:val="clear" w:color="auto" w:fill="FFFFFF"/>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六、本办法自印发之日起执行，国家统计局2011年印发的《统计上大中小微型企业划分办法》（国统字〔2011〕75号）同时废止。</w:t>
      </w:r>
    </w:p>
    <w:p>
      <w:pPr>
        <w:widowControl/>
        <w:shd w:val="clear" w:color="auto" w:fill="FFFFFF"/>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p>
      <w:pPr>
        <w:widowControl/>
        <w:shd w:val="clear" w:color="auto" w:fill="FFFFFF"/>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附表：统计上大中小微型企业划分标准</w:t>
      </w:r>
    </w:p>
    <w:p>
      <w:pPr>
        <w:widowControl/>
        <w:jc w:val="left"/>
        <w:rPr>
          <w:rFonts w:ascii="宋体" w:hAnsi="宋体" w:cs="宋体"/>
          <w:color w:val="000000" w:themeColor="text1"/>
          <w:kern w:val="0"/>
          <w:sz w:val="24"/>
          <w14:textFill>
            <w14:solidFill>
              <w14:schemeClr w14:val="tx1"/>
            </w14:solidFill>
          </w14:textFill>
        </w:rPr>
      </w:pPr>
    </w:p>
    <w:p>
      <w:pPr>
        <w:widowControl/>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附表：</w:t>
      </w:r>
    </w:p>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统计上大中小微型企业划分标准</w:t>
      </w:r>
    </w:p>
    <w:tbl>
      <w:tblPr>
        <w:tblStyle w:val="20"/>
        <w:tblW w:w="88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742"/>
        <w:gridCol w:w="1462"/>
        <w:gridCol w:w="727"/>
        <w:gridCol w:w="1011"/>
        <w:gridCol w:w="1664"/>
        <w:gridCol w:w="1446"/>
        <w:gridCol w:w="7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行业名称</w:t>
            </w:r>
          </w:p>
        </w:tc>
        <w:tc>
          <w:tcPr>
            <w:tcW w:w="1462" w:type="dxa"/>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指标名称</w:t>
            </w:r>
          </w:p>
        </w:tc>
        <w:tc>
          <w:tcPr>
            <w:tcW w:w="727" w:type="dxa"/>
            <w:vAlign w:val="center"/>
          </w:tcPr>
          <w:p>
            <w:pPr>
              <w:widowControl/>
              <w:jc w:val="center"/>
              <w:rPr>
                <w:rFonts w:ascii="宋体" w:hAns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计量</w:t>
            </w:r>
          </w:p>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单位</w:t>
            </w:r>
          </w:p>
        </w:tc>
        <w:tc>
          <w:tcPr>
            <w:tcW w:w="1011" w:type="dxa"/>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大型</w:t>
            </w:r>
          </w:p>
        </w:tc>
        <w:tc>
          <w:tcPr>
            <w:tcW w:w="1664" w:type="dxa"/>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中型</w:t>
            </w:r>
          </w:p>
        </w:tc>
        <w:tc>
          <w:tcPr>
            <w:tcW w:w="1446" w:type="dxa"/>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小型</w:t>
            </w:r>
          </w:p>
        </w:tc>
        <w:tc>
          <w:tcPr>
            <w:tcW w:w="793" w:type="dxa"/>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微型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农、林、牧、渔业</w:t>
            </w:r>
          </w:p>
        </w:tc>
        <w:tc>
          <w:tcPr>
            <w:tcW w:w="1462" w:type="dxa"/>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营业收入(Y)</w:t>
            </w:r>
          </w:p>
        </w:tc>
        <w:tc>
          <w:tcPr>
            <w:tcW w:w="727" w:type="dxa"/>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万元</w:t>
            </w:r>
          </w:p>
        </w:tc>
        <w:tc>
          <w:tcPr>
            <w:tcW w:w="1011" w:type="dxa"/>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Y≥20000</w:t>
            </w:r>
          </w:p>
        </w:tc>
        <w:tc>
          <w:tcPr>
            <w:tcW w:w="1664" w:type="dxa"/>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500≤Y＜20000</w:t>
            </w:r>
          </w:p>
        </w:tc>
        <w:tc>
          <w:tcPr>
            <w:tcW w:w="1446" w:type="dxa"/>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50≤Y＜500</w:t>
            </w:r>
          </w:p>
        </w:tc>
        <w:tc>
          <w:tcPr>
            <w:tcW w:w="793" w:type="dxa"/>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工业 *</w:t>
            </w:r>
          </w:p>
        </w:tc>
        <w:tc>
          <w:tcPr>
            <w:tcW w:w="1462" w:type="dxa"/>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从业人员(X)</w:t>
            </w:r>
          </w:p>
        </w:tc>
        <w:tc>
          <w:tcPr>
            <w:tcW w:w="727" w:type="dxa"/>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人</w:t>
            </w:r>
          </w:p>
        </w:tc>
        <w:tc>
          <w:tcPr>
            <w:tcW w:w="1011" w:type="dxa"/>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X≥1000</w:t>
            </w:r>
          </w:p>
        </w:tc>
        <w:tc>
          <w:tcPr>
            <w:tcW w:w="1664" w:type="dxa"/>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300≤X＜1000</w:t>
            </w:r>
          </w:p>
        </w:tc>
        <w:tc>
          <w:tcPr>
            <w:tcW w:w="1446" w:type="dxa"/>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20≤X＜300</w:t>
            </w:r>
          </w:p>
        </w:tc>
        <w:tc>
          <w:tcPr>
            <w:tcW w:w="793" w:type="dxa"/>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ascii="宋体" w:hAnsi="宋体" w:cs="宋体"/>
                <w:color w:val="000000" w:themeColor="text1"/>
                <w:kern w:val="0"/>
                <w:sz w:val="24"/>
                <w14:textFill>
                  <w14:solidFill>
                    <w14:schemeClr w14:val="tx1"/>
                  </w14:solidFill>
                </w14:textFill>
              </w:rPr>
            </w:pPr>
          </w:p>
        </w:tc>
        <w:tc>
          <w:tcPr>
            <w:tcW w:w="1462" w:type="dxa"/>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营业收入(Y)</w:t>
            </w:r>
          </w:p>
        </w:tc>
        <w:tc>
          <w:tcPr>
            <w:tcW w:w="727" w:type="dxa"/>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万元</w:t>
            </w:r>
          </w:p>
        </w:tc>
        <w:tc>
          <w:tcPr>
            <w:tcW w:w="1011" w:type="dxa"/>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Y≥40000</w:t>
            </w:r>
          </w:p>
        </w:tc>
        <w:tc>
          <w:tcPr>
            <w:tcW w:w="1664" w:type="dxa"/>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2000≤Y＜40000</w:t>
            </w:r>
          </w:p>
        </w:tc>
        <w:tc>
          <w:tcPr>
            <w:tcW w:w="1446" w:type="dxa"/>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300≤Y＜2000</w:t>
            </w:r>
          </w:p>
        </w:tc>
        <w:tc>
          <w:tcPr>
            <w:tcW w:w="793" w:type="dxa"/>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建筑业</w:t>
            </w:r>
          </w:p>
        </w:tc>
        <w:tc>
          <w:tcPr>
            <w:tcW w:w="1462" w:type="dxa"/>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营业收入(Y)</w:t>
            </w:r>
          </w:p>
        </w:tc>
        <w:tc>
          <w:tcPr>
            <w:tcW w:w="727" w:type="dxa"/>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万元</w:t>
            </w:r>
          </w:p>
        </w:tc>
        <w:tc>
          <w:tcPr>
            <w:tcW w:w="1011" w:type="dxa"/>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Y≥80000</w:t>
            </w:r>
          </w:p>
        </w:tc>
        <w:tc>
          <w:tcPr>
            <w:tcW w:w="1664" w:type="dxa"/>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6000≤Y＜80000</w:t>
            </w:r>
          </w:p>
        </w:tc>
        <w:tc>
          <w:tcPr>
            <w:tcW w:w="1446" w:type="dxa"/>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300≤Y＜6000</w:t>
            </w:r>
          </w:p>
        </w:tc>
        <w:tc>
          <w:tcPr>
            <w:tcW w:w="793" w:type="dxa"/>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ascii="宋体" w:hAnsi="宋体" w:cs="宋体"/>
                <w:color w:val="000000" w:themeColor="text1"/>
                <w:kern w:val="0"/>
                <w:sz w:val="24"/>
                <w14:textFill>
                  <w14:solidFill>
                    <w14:schemeClr w14:val="tx1"/>
                  </w14:solidFill>
                </w14:textFill>
              </w:rPr>
            </w:pPr>
          </w:p>
        </w:tc>
        <w:tc>
          <w:tcPr>
            <w:tcW w:w="1462" w:type="dxa"/>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资产总额(Z)</w:t>
            </w:r>
          </w:p>
        </w:tc>
        <w:tc>
          <w:tcPr>
            <w:tcW w:w="727" w:type="dxa"/>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万元</w:t>
            </w:r>
          </w:p>
        </w:tc>
        <w:tc>
          <w:tcPr>
            <w:tcW w:w="1011" w:type="dxa"/>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Z≥80000</w:t>
            </w:r>
          </w:p>
        </w:tc>
        <w:tc>
          <w:tcPr>
            <w:tcW w:w="1664" w:type="dxa"/>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5000≤Z＜80000</w:t>
            </w:r>
          </w:p>
        </w:tc>
        <w:tc>
          <w:tcPr>
            <w:tcW w:w="1446" w:type="dxa"/>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300≤Z＜5000</w:t>
            </w:r>
          </w:p>
        </w:tc>
        <w:tc>
          <w:tcPr>
            <w:tcW w:w="793" w:type="dxa"/>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Z＜300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批发业</w:t>
            </w:r>
          </w:p>
        </w:tc>
        <w:tc>
          <w:tcPr>
            <w:tcW w:w="1462" w:type="dxa"/>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从业人员(X)</w:t>
            </w:r>
          </w:p>
        </w:tc>
        <w:tc>
          <w:tcPr>
            <w:tcW w:w="727" w:type="dxa"/>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人</w:t>
            </w:r>
          </w:p>
        </w:tc>
        <w:tc>
          <w:tcPr>
            <w:tcW w:w="1011" w:type="dxa"/>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X≥200</w:t>
            </w:r>
          </w:p>
        </w:tc>
        <w:tc>
          <w:tcPr>
            <w:tcW w:w="1664" w:type="dxa"/>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20≤X＜200</w:t>
            </w:r>
          </w:p>
        </w:tc>
        <w:tc>
          <w:tcPr>
            <w:tcW w:w="1446" w:type="dxa"/>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5≤X＜20</w:t>
            </w:r>
          </w:p>
        </w:tc>
        <w:tc>
          <w:tcPr>
            <w:tcW w:w="793" w:type="dxa"/>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ascii="宋体" w:hAnsi="宋体" w:cs="宋体"/>
                <w:color w:val="000000" w:themeColor="text1"/>
                <w:kern w:val="0"/>
                <w:sz w:val="24"/>
                <w14:textFill>
                  <w14:solidFill>
                    <w14:schemeClr w14:val="tx1"/>
                  </w14:solidFill>
                </w14:textFill>
              </w:rPr>
            </w:pPr>
          </w:p>
        </w:tc>
        <w:tc>
          <w:tcPr>
            <w:tcW w:w="1462" w:type="dxa"/>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营业收入(Y)</w:t>
            </w:r>
          </w:p>
        </w:tc>
        <w:tc>
          <w:tcPr>
            <w:tcW w:w="727" w:type="dxa"/>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万元</w:t>
            </w:r>
          </w:p>
        </w:tc>
        <w:tc>
          <w:tcPr>
            <w:tcW w:w="1011" w:type="dxa"/>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Y≥40000</w:t>
            </w:r>
          </w:p>
        </w:tc>
        <w:tc>
          <w:tcPr>
            <w:tcW w:w="1664" w:type="dxa"/>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5000≤Y＜40000</w:t>
            </w:r>
          </w:p>
        </w:tc>
        <w:tc>
          <w:tcPr>
            <w:tcW w:w="1446" w:type="dxa"/>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1000≤Y＜5000</w:t>
            </w:r>
          </w:p>
        </w:tc>
        <w:tc>
          <w:tcPr>
            <w:tcW w:w="793" w:type="dxa"/>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零售业</w:t>
            </w:r>
          </w:p>
        </w:tc>
        <w:tc>
          <w:tcPr>
            <w:tcW w:w="1462" w:type="dxa"/>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从业人员(X)</w:t>
            </w:r>
          </w:p>
        </w:tc>
        <w:tc>
          <w:tcPr>
            <w:tcW w:w="727" w:type="dxa"/>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人</w:t>
            </w:r>
          </w:p>
        </w:tc>
        <w:tc>
          <w:tcPr>
            <w:tcW w:w="1011" w:type="dxa"/>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X≥300</w:t>
            </w:r>
          </w:p>
        </w:tc>
        <w:tc>
          <w:tcPr>
            <w:tcW w:w="1664" w:type="dxa"/>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50≤X＜300</w:t>
            </w:r>
          </w:p>
        </w:tc>
        <w:tc>
          <w:tcPr>
            <w:tcW w:w="1446" w:type="dxa"/>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10≤X＜50</w:t>
            </w:r>
          </w:p>
        </w:tc>
        <w:tc>
          <w:tcPr>
            <w:tcW w:w="793" w:type="dxa"/>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ascii="宋体" w:hAnsi="宋体" w:cs="宋体"/>
                <w:color w:val="000000" w:themeColor="text1"/>
                <w:kern w:val="0"/>
                <w:sz w:val="24"/>
                <w14:textFill>
                  <w14:solidFill>
                    <w14:schemeClr w14:val="tx1"/>
                  </w14:solidFill>
                </w14:textFill>
              </w:rPr>
            </w:pPr>
          </w:p>
        </w:tc>
        <w:tc>
          <w:tcPr>
            <w:tcW w:w="1462" w:type="dxa"/>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营业收入(Y)</w:t>
            </w:r>
          </w:p>
        </w:tc>
        <w:tc>
          <w:tcPr>
            <w:tcW w:w="727" w:type="dxa"/>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万元</w:t>
            </w:r>
          </w:p>
        </w:tc>
        <w:tc>
          <w:tcPr>
            <w:tcW w:w="1011" w:type="dxa"/>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Y≥20000</w:t>
            </w:r>
          </w:p>
        </w:tc>
        <w:tc>
          <w:tcPr>
            <w:tcW w:w="1664" w:type="dxa"/>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500≤Y＜20000</w:t>
            </w:r>
          </w:p>
        </w:tc>
        <w:tc>
          <w:tcPr>
            <w:tcW w:w="1446" w:type="dxa"/>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100≤Y＜500</w:t>
            </w:r>
          </w:p>
        </w:tc>
        <w:tc>
          <w:tcPr>
            <w:tcW w:w="793" w:type="dxa"/>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交通运输业 *</w:t>
            </w:r>
          </w:p>
        </w:tc>
        <w:tc>
          <w:tcPr>
            <w:tcW w:w="1462" w:type="dxa"/>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从业人员(X)</w:t>
            </w:r>
          </w:p>
        </w:tc>
        <w:tc>
          <w:tcPr>
            <w:tcW w:w="727" w:type="dxa"/>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人</w:t>
            </w:r>
          </w:p>
        </w:tc>
        <w:tc>
          <w:tcPr>
            <w:tcW w:w="1011" w:type="dxa"/>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X≥1000</w:t>
            </w:r>
          </w:p>
        </w:tc>
        <w:tc>
          <w:tcPr>
            <w:tcW w:w="1664" w:type="dxa"/>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300≤X＜1000</w:t>
            </w:r>
          </w:p>
        </w:tc>
        <w:tc>
          <w:tcPr>
            <w:tcW w:w="1446" w:type="dxa"/>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20≤X＜300</w:t>
            </w:r>
          </w:p>
        </w:tc>
        <w:tc>
          <w:tcPr>
            <w:tcW w:w="793" w:type="dxa"/>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ascii="宋体" w:hAnsi="宋体" w:cs="宋体"/>
                <w:color w:val="000000" w:themeColor="text1"/>
                <w:kern w:val="0"/>
                <w:sz w:val="24"/>
                <w14:textFill>
                  <w14:solidFill>
                    <w14:schemeClr w14:val="tx1"/>
                  </w14:solidFill>
                </w14:textFill>
              </w:rPr>
            </w:pPr>
          </w:p>
        </w:tc>
        <w:tc>
          <w:tcPr>
            <w:tcW w:w="1462" w:type="dxa"/>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营业收入(Y)</w:t>
            </w:r>
          </w:p>
        </w:tc>
        <w:tc>
          <w:tcPr>
            <w:tcW w:w="727" w:type="dxa"/>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万元</w:t>
            </w:r>
          </w:p>
        </w:tc>
        <w:tc>
          <w:tcPr>
            <w:tcW w:w="1011" w:type="dxa"/>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Y≥30000</w:t>
            </w:r>
          </w:p>
        </w:tc>
        <w:tc>
          <w:tcPr>
            <w:tcW w:w="1664" w:type="dxa"/>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3000≤Y＜30000</w:t>
            </w:r>
          </w:p>
        </w:tc>
        <w:tc>
          <w:tcPr>
            <w:tcW w:w="1446" w:type="dxa"/>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200≤Y＜3000</w:t>
            </w:r>
          </w:p>
        </w:tc>
        <w:tc>
          <w:tcPr>
            <w:tcW w:w="793" w:type="dxa"/>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仓储业*</w:t>
            </w:r>
          </w:p>
        </w:tc>
        <w:tc>
          <w:tcPr>
            <w:tcW w:w="1462" w:type="dxa"/>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从业人员(X)</w:t>
            </w:r>
          </w:p>
        </w:tc>
        <w:tc>
          <w:tcPr>
            <w:tcW w:w="727" w:type="dxa"/>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人</w:t>
            </w:r>
          </w:p>
        </w:tc>
        <w:tc>
          <w:tcPr>
            <w:tcW w:w="1011" w:type="dxa"/>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X≥200</w:t>
            </w:r>
          </w:p>
        </w:tc>
        <w:tc>
          <w:tcPr>
            <w:tcW w:w="1664" w:type="dxa"/>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100≤X＜200</w:t>
            </w:r>
          </w:p>
        </w:tc>
        <w:tc>
          <w:tcPr>
            <w:tcW w:w="1446" w:type="dxa"/>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20≤X＜100</w:t>
            </w:r>
          </w:p>
        </w:tc>
        <w:tc>
          <w:tcPr>
            <w:tcW w:w="793" w:type="dxa"/>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ascii="宋体" w:hAnsi="宋体" w:cs="宋体"/>
                <w:color w:val="000000" w:themeColor="text1"/>
                <w:kern w:val="0"/>
                <w:sz w:val="24"/>
                <w14:textFill>
                  <w14:solidFill>
                    <w14:schemeClr w14:val="tx1"/>
                  </w14:solidFill>
                </w14:textFill>
              </w:rPr>
            </w:pPr>
          </w:p>
        </w:tc>
        <w:tc>
          <w:tcPr>
            <w:tcW w:w="1462" w:type="dxa"/>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营业收入(Y)</w:t>
            </w:r>
          </w:p>
        </w:tc>
        <w:tc>
          <w:tcPr>
            <w:tcW w:w="727" w:type="dxa"/>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万元</w:t>
            </w:r>
          </w:p>
        </w:tc>
        <w:tc>
          <w:tcPr>
            <w:tcW w:w="1011" w:type="dxa"/>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Y≥30000</w:t>
            </w:r>
          </w:p>
        </w:tc>
        <w:tc>
          <w:tcPr>
            <w:tcW w:w="1664" w:type="dxa"/>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1000≤Y＜30000</w:t>
            </w:r>
          </w:p>
        </w:tc>
        <w:tc>
          <w:tcPr>
            <w:tcW w:w="1446" w:type="dxa"/>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100≤Y＜1000</w:t>
            </w:r>
          </w:p>
        </w:tc>
        <w:tc>
          <w:tcPr>
            <w:tcW w:w="793" w:type="dxa"/>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邮政业</w:t>
            </w:r>
          </w:p>
        </w:tc>
        <w:tc>
          <w:tcPr>
            <w:tcW w:w="1462" w:type="dxa"/>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从业人员(X)</w:t>
            </w:r>
          </w:p>
        </w:tc>
        <w:tc>
          <w:tcPr>
            <w:tcW w:w="727" w:type="dxa"/>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人</w:t>
            </w:r>
          </w:p>
        </w:tc>
        <w:tc>
          <w:tcPr>
            <w:tcW w:w="1011" w:type="dxa"/>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X≥1000</w:t>
            </w:r>
          </w:p>
        </w:tc>
        <w:tc>
          <w:tcPr>
            <w:tcW w:w="1664" w:type="dxa"/>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300≤X＜1000</w:t>
            </w:r>
          </w:p>
        </w:tc>
        <w:tc>
          <w:tcPr>
            <w:tcW w:w="1446" w:type="dxa"/>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20≤X＜300</w:t>
            </w:r>
          </w:p>
        </w:tc>
        <w:tc>
          <w:tcPr>
            <w:tcW w:w="793" w:type="dxa"/>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ascii="宋体" w:hAnsi="宋体" w:cs="宋体"/>
                <w:color w:val="000000" w:themeColor="text1"/>
                <w:kern w:val="0"/>
                <w:sz w:val="24"/>
                <w14:textFill>
                  <w14:solidFill>
                    <w14:schemeClr w14:val="tx1"/>
                  </w14:solidFill>
                </w14:textFill>
              </w:rPr>
            </w:pPr>
          </w:p>
        </w:tc>
        <w:tc>
          <w:tcPr>
            <w:tcW w:w="1462" w:type="dxa"/>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营业收入(Y)</w:t>
            </w:r>
          </w:p>
        </w:tc>
        <w:tc>
          <w:tcPr>
            <w:tcW w:w="727" w:type="dxa"/>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万元</w:t>
            </w:r>
          </w:p>
        </w:tc>
        <w:tc>
          <w:tcPr>
            <w:tcW w:w="1011" w:type="dxa"/>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Y≥30000</w:t>
            </w:r>
          </w:p>
        </w:tc>
        <w:tc>
          <w:tcPr>
            <w:tcW w:w="1664" w:type="dxa"/>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2000≤Y＜30000</w:t>
            </w:r>
          </w:p>
        </w:tc>
        <w:tc>
          <w:tcPr>
            <w:tcW w:w="1446" w:type="dxa"/>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100≤Y＜2000</w:t>
            </w:r>
          </w:p>
        </w:tc>
        <w:tc>
          <w:tcPr>
            <w:tcW w:w="793" w:type="dxa"/>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住宿业</w:t>
            </w:r>
          </w:p>
        </w:tc>
        <w:tc>
          <w:tcPr>
            <w:tcW w:w="1462" w:type="dxa"/>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从业人员(X)</w:t>
            </w:r>
          </w:p>
        </w:tc>
        <w:tc>
          <w:tcPr>
            <w:tcW w:w="727" w:type="dxa"/>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人</w:t>
            </w:r>
          </w:p>
        </w:tc>
        <w:tc>
          <w:tcPr>
            <w:tcW w:w="1011" w:type="dxa"/>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X≥300</w:t>
            </w:r>
          </w:p>
        </w:tc>
        <w:tc>
          <w:tcPr>
            <w:tcW w:w="1664" w:type="dxa"/>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100≤X＜300</w:t>
            </w:r>
          </w:p>
        </w:tc>
        <w:tc>
          <w:tcPr>
            <w:tcW w:w="1446" w:type="dxa"/>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10≤X＜100</w:t>
            </w:r>
          </w:p>
        </w:tc>
        <w:tc>
          <w:tcPr>
            <w:tcW w:w="793" w:type="dxa"/>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ascii="宋体" w:hAnsi="宋体" w:cs="宋体"/>
                <w:color w:val="000000" w:themeColor="text1"/>
                <w:kern w:val="0"/>
                <w:sz w:val="24"/>
                <w14:textFill>
                  <w14:solidFill>
                    <w14:schemeClr w14:val="tx1"/>
                  </w14:solidFill>
                </w14:textFill>
              </w:rPr>
            </w:pPr>
          </w:p>
        </w:tc>
        <w:tc>
          <w:tcPr>
            <w:tcW w:w="1462" w:type="dxa"/>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营业收入(Y)</w:t>
            </w:r>
          </w:p>
        </w:tc>
        <w:tc>
          <w:tcPr>
            <w:tcW w:w="727" w:type="dxa"/>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万元</w:t>
            </w:r>
          </w:p>
        </w:tc>
        <w:tc>
          <w:tcPr>
            <w:tcW w:w="1011" w:type="dxa"/>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Y≥10000</w:t>
            </w:r>
          </w:p>
        </w:tc>
        <w:tc>
          <w:tcPr>
            <w:tcW w:w="1664" w:type="dxa"/>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2000≤Y＜10000</w:t>
            </w:r>
          </w:p>
        </w:tc>
        <w:tc>
          <w:tcPr>
            <w:tcW w:w="1446" w:type="dxa"/>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100≤Y＜2000</w:t>
            </w:r>
          </w:p>
        </w:tc>
        <w:tc>
          <w:tcPr>
            <w:tcW w:w="793" w:type="dxa"/>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餐饮业</w:t>
            </w:r>
          </w:p>
        </w:tc>
        <w:tc>
          <w:tcPr>
            <w:tcW w:w="1462" w:type="dxa"/>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从业人员(X)</w:t>
            </w:r>
          </w:p>
        </w:tc>
        <w:tc>
          <w:tcPr>
            <w:tcW w:w="727" w:type="dxa"/>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人</w:t>
            </w:r>
          </w:p>
        </w:tc>
        <w:tc>
          <w:tcPr>
            <w:tcW w:w="1011" w:type="dxa"/>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X≥300</w:t>
            </w:r>
          </w:p>
        </w:tc>
        <w:tc>
          <w:tcPr>
            <w:tcW w:w="1664" w:type="dxa"/>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100≤X＜300</w:t>
            </w:r>
          </w:p>
        </w:tc>
        <w:tc>
          <w:tcPr>
            <w:tcW w:w="1446" w:type="dxa"/>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10≤X＜100</w:t>
            </w:r>
          </w:p>
        </w:tc>
        <w:tc>
          <w:tcPr>
            <w:tcW w:w="793" w:type="dxa"/>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ascii="宋体" w:hAnsi="宋体" w:cs="宋体"/>
                <w:color w:val="000000" w:themeColor="text1"/>
                <w:kern w:val="0"/>
                <w:sz w:val="24"/>
                <w14:textFill>
                  <w14:solidFill>
                    <w14:schemeClr w14:val="tx1"/>
                  </w14:solidFill>
                </w14:textFill>
              </w:rPr>
            </w:pPr>
          </w:p>
        </w:tc>
        <w:tc>
          <w:tcPr>
            <w:tcW w:w="1462" w:type="dxa"/>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营业收入(Y)</w:t>
            </w:r>
          </w:p>
        </w:tc>
        <w:tc>
          <w:tcPr>
            <w:tcW w:w="727" w:type="dxa"/>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万元</w:t>
            </w:r>
          </w:p>
        </w:tc>
        <w:tc>
          <w:tcPr>
            <w:tcW w:w="1011" w:type="dxa"/>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Y≥10000</w:t>
            </w:r>
          </w:p>
        </w:tc>
        <w:tc>
          <w:tcPr>
            <w:tcW w:w="1664" w:type="dxa"/>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2000≤Y＜10000</w:t>
            </w:r>
          </w:p>
        </w:tc>
        <w:tc>
          <w:tcPr>
            <w:tcW w:w="1446" w:type="dxa"/>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100≤Y＜2000</w:t>
            </w:r>
          </w:p>
        </w:tc>
        <w:tc>
          <w:tcPr>
            <w:tcW w:w="793" w:type="dxa"/>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信息传输业 *</w:t>
            </w:r>
          </w:p>
        </w:tc>
        <w:tc>
          <w:tcPr>
            <w:tcW w:w="1462" w:type="dxa"/>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从业人员(X)</w:t>
            </w:r>
          </w:p>
        </w:tc>
        <w:tc>
          <w:tcPr>
            <w:tcW w:w="727" w:type="dxa"/>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人</w:t>
            </w:r>
          </w:p>
        </w:tc>
        <w:tc>
          <w:tcPr>
            <w:tcW w:w="1011" w:type="dxa"/>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X≥2000</w:t>
            </w:r>
          </w:p>
        </w:tc>
        <w:tc>
          <w:tcPr>
            <w:tcW w:w="1664" w:type="dxa"/>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100≤X＜2000</w:t>
            </w:r>
          </w:p>
        </w:tc>
        <w:tc>
          <w:tcPr>
            <w:tcW w:w="1446" w:type="dxa"/>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10≤X＜100</w:t>
            </w:r>
          </w:p>
        </w:tc>
        <w:tc>
          <w:tcPr>
            <w:tcW w:w="793" w:type="dxa"/>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ascii="宋体" w:hAnsi="宋体" w:cs="宋体"/>
                <w:color w:val="000000" w:themeColor="text1"/>
                <w:kern w:val="0"/>
                <w:sz w:val="24"/>
                <w14:textFill>
                  <w14:solidFill>
                    <w14:schemeClr w14:val="tx1"/>
                  </w14:solidFill>
                </w14:textFill>
              </w:rPr>
            </w:pPr>
          </w:p>
        </w:tc>
        <w:tc>
          <w:tcPr>
            <w:tcW w:w="1462" w:type="dxa"/>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营业收入(Y)</w:t>
            </w:r>
          </w:p>
        </w:tc>
        <w:tc>
          <w:tcPr>
            <w:tcW w:w="727" w:type="dxa"/>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万元</w:t>
            </w:r>
          </w:p>
        </w:tc>
        <w:tc>
          <w:tcPr>
            <w:tcW w:w="1011" w:type="dxa"/>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Y≥100000</w:t>
            </w:r>
          </w:p>
        </w:tc>
        <w:tc>
          <w:tcPr>
            <w:tcW w:w="1664" w:type="dxa"/>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1000≤Y＜100000</w:t>
            </w:r>
          </w:p>
        </w:tc>
        <w:tc>
          <w:tcPr>
            <w:tcW w:w="1446" w:type="dxa"/>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100≤Y＜1000</w:t>
            </w:r>
          </w:p>
        </w:tc>
        <w:tc>
          <w:tcPr>
            <w:tcW w:w="793" w:type="dxa"/>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软件和信息技术服务业</w:t>
            </w:r>
          </w:p>
        </w:tc>
        <w:tc>
          <w:tcPr>
            <w:tcW w:w="1462" w:type="dxa"/>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从业人员(X)</w:t>
            </w:r>
          </w:p>
        </w:tc>
        <w:tc>
          <w:tcPr>
            <w:tcW w:w="727" w:type="dxa"/>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人</w:t>
            </w:r>
          </w:p>
        </w:tc>
        <w:tc>
          <w:tcPr>
            <w:tcW w:w="1011" w:type="dxa"/>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X≥300</w:t>
            </w:r>
          </w:p>
        </w:tc>
        <w:tc>
          <w:tcPr>
            <w:tcW w:w="1664" w:type="dxa"/>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100≤X＜300</w:t>
            </w:r>
          </w:p>
        </w:tc>
        <w:tc>
          <w:tcPr>
            <w:tcW w:w="1446" w:type="dxa"/>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10≤X＜100</w:t>
            </w:r>
          </w:p>
        </w:tc>
        <w:tc>
          <w:tcPr>
            <w:tcW w:w="793" w:type="dxa"/>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ascii="宋体" w:hAnsi="宋体" w:cs="宋体"/>
                <w:color w:val="000000" w:themeColor="text1"/>
                <w:kern w:val="0"/>
                <w:sz w:val="24"/>
                <w14:textFill>
                  <w14:solidFill>
                    <w14:schemeClr w14:val="tx1"/>
                  </w14:solidFill>
                </w14:textFill>
              </w:rPr>
            </w:pPr>
          </w:p>
        </w:tc>
        <w:tc>
          <w:tcPr>
            <w:tcW w:w="1462" w:type="dxa"/>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营业收入(Y)</w:t>
            </w:r>
          </w:p>
        </w:tc>
        <w:tc>
          <w:tcPr>
            <w:tcW w:w="727" w:type="dxa"/>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万元</w:t>
            </w:r>
          </w:p>
        </w:tc>
        <w:tc>
          <w:tcPr>
            <w:tcW w:w="1011" w:type="dxa"/>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Y≥10000</w:t>
            </w:r>
          </w:p>
        </w:tc>
        <w:tc>
          <w:tcPr>
            <w:tcW w:w="1664" w:type="dxa"/>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1000≤Y＜10000</w:t>
            </w:r>
          </w:p>
        </w:tc>
        <w:tc>
          <w:tcPr>
            <w:tcW w:w="1446" w:type="dxa"/>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50≤Y＜1000</w:t>
            </w:r>
          </w:p>
        </w:tc>
        <w:tc>
          <w:tcPr>
            <w:tcW w:w="793" w:type="dxa"/>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房地产开发经营</w:t>
            </w:r>
          </w:p>
        </w:tc>
        <w:tc>
          <w:tcPr>
            <w:tcW w:w="1462" w:type="dxa"/>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营业收入(Y)</w:t>
            </w:r>
          </w:p>
        </w:tc>
        <w:tc>
          <w:tcPr>
            <w:tcW w:w="727" w:type="dxa"/>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万元</w:t>
            </w:r>
          </w:p>
        </w:tc>
        <w:tc>
          <w:tcPr>
            <w:tcW w:w="1011" w:type="dxa"/>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Y≥200000</w:t>
            </w:r>
          </w:p>
        </w:tc>
        <w:tc>
          <w:tcPr>
            <w:tcW w:w="1664" w:type="dxa"/>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1000≤Y＜200000</w:t>
            </w:r>
          </w:p>
        </w:tc>
        <w:tc>
          <w:tcPr>
            <w:tcW w:w="1446" w:type="dxa"/>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100≤Y＜1000</w:t>
            </w:r>
          </w:p>
        </w:tc>
        <w:tc>
          <w:tcPr>
            <w:tcW w:w="793" w:type="dxa"/>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ascii="宋体" w:hAnsi="宋体" w:cs="宋体"/>
                <w:color w:val="000000" w:themeColor="text1"/>
                <w:kern w:val="0"/>
                <w:sz w:val="24"/>
                <w14:textFill>
                  <w14:solidFill>
                    <w14:schemeClr w14:val="tx1"/>
                  </w14:solidFill>
                </w14:textFill>
              </w:rPr>
            </w:pPr>
          </w:p>
        </w:tc>
        <w:tc>
          <w:tcPr>
            <w:tcW w:w="1462" w:type="dxa"/>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资产总额(Z)</w:t>
            </w:r>
          </w:p>
        </w:tc>
        <w:tc>
          <w:tcPr>
            <w:tcW w:w="727" w:type="dxa"/>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万元</w:t>
            </w:r>
          </w:p>
        </w:tc>
        <w:tc>
          <w:tcPr>
            <w:tcW w:w="1011" w:type="dxa"/>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Z≥10000</w:t>
            </w:r>
          </w:p>
        </w:tc>
        <w:tc>
          <w:tcPr>
            <w:tcW w:w="1664" w:type="dxa"/>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5000≤Z＜10000</w:t>
            </w:r>
          </w:p>
        </w:tc>
        <w:tc>
          <w:tcPr>
            <w:tcW w:w="1446" w:type="dxa"/>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2000≤Z＜5000</w:t>
            </w:r>
          </w:p>
        </w:tc>
        <w:tc>
          <w:tcPr>
            <w:tcW w:w="793" w:type="dxa"/>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Z＜2000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物业管理</w:t>
            </w:r>
          </w:p>
        </w:tc>
        <w:tc>
          <w:tcPr>
            <w:tcW w:w="1462" w:type="dxa"/>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从业人员(X)</w:t>
            </w:r>
          </w:p>
        </w:tc>
        <w:tc>
          <w:tcPr>
            <w:tcW w:w="727" w:type="dxa"/>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人</w:t>
            </w:r>
          </w:p>
        </w:tc>
        <w:tc>
          <w:tcPr>
            <w:tcW w:w="1011" w:type="dxa"/>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X≥1000</w:t>
            </w:r>
          </w:p>
        </w:tc>
        <w:tc>
          <w:tcPr>
            <w:tcW w:w="1664" w:type="dxa"/>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300≤X＜1000</w:t>
            </w:r>
          </w:p>
        </w:tc>
        <w:tc>
          <w:tcPr>
            <w:tcW w:w="1446" w:type="dxa"/>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100≤X＜300</w:t>
            </w:r>
          </w:p>
        </w:tc>
        <w:tc>
          <w:tcPr>
            <w:tcW w:w="793" w:type="dxa"/>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ascii="宋体" w:hAnsi="宋体" w:cs="宋体"/>
                <w:color w:val="000000" w:themeColor="text1"/>
                <w:kern w:val="0"/>
                <w:sz w:val="24"/>
                <w14:textFill>
                  <w14:solidFill>
                    <w14:schemeClr w14:val="tx1"/>
                  </w14:solidFill>
                </w14:textFill>
              </w:rPr>
            </w:pPr>
          </w:p>
        </w:tc>
        <w:tc>
          <w:tcPr>
            <w:tcW w:w="1462" w:type="dxa"/>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营业收入(Y)</w:t>
            </w:r>
          </w:p>
        </w:tc>
        <w:tc>
          <w:tcPr>
            <w:tcW w:w="727" w:type="dxa"/>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万元</w:t>
            </w:r>
          </w:p>
        </w:tc>
        <w:tc>
          <w:tcPr>
            <w:tcW w:w="1011" w:type="dxa"/>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Y≥5000</w:t>
            </w:r>
          </w:p>
        </w:tc>
        <w:tc>
          <w:tcPr>
            <w:tcW w:w="1664" w:type="dxa"/>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1000≤Y＜5000</w:t>
            </w:r>
          </w:p>
        </w:tc>
        <w:tc>
          <w:tcPr>
            <w:tcW w:w="1446" w:type="dxa"/>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500≤Y＜1000</w:t>
            </w:r>
          </w:p>
        </w:tc>
        <w:tc>
          <w:tcPr>
            <w:tcW w:w="793" w:type="dxa"/>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租赁和商务服务业</w:t>
            </w:r>
          </w:p>
        </w:tc>
        <w:tc>
          <w:tcPr>
            <w:tcW w:w="1462" w:type="dxa"/>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从业人员(X)</w:t>
            </w:r>
          </w:p>
        </w:tc>
        <w:tc>
          <w:tcPr>
            <w:tcW w:w="727" w:type="dxa"/>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人</w:t>
            </w:r>
          </w:p>
        </w:tc>
        <w:tc>
          <w:tcPr>
            <w:tcW w:w="1011" w:type="dxa"/>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X≥300</w:t>
            </w:r>
          </w:p>
        </w:tc>
        <w:tc>
          <w:tcPr>
            <w:tcW w:w="1664" w:type="dxa"/>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100≤X＜300</w:t>
            </w:r>
          </w:p>
        </w:tc>
        <w:tc>
          <w:tcPr>
            <w:tcW w:w="1446" w:type="dxa"/>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10≤X＜100</w:t>
            </w:r>
          </w:p>
        </w:tc>
        <w:tc>
          <w:tcPr>
            <w:tcW w:w="793" w:type="dxa"/>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ascii="宋体" w:hAnsi="宋体" w:cs="宋体"/>
                <w:color w:val="000000" w:themeColor="text1"/>
                <w:kern w:val="0"/>
                <w:sz w:val="24"/>
                <w14:textFill>
                  <w14:solidFill>
                    <w14:schemeClr w14:val="tx1"/>
                  </w14:solidFill>
                </w14:textFill>
              </w:rPr>
            </w:pPr>
          </w:p>
        </w:tc>
        <w:tc>
          <w:tcPr>
            <w:tcW w:w="1462" w:type="dxa"/>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资产总额(Z)</w:t>
            </w:r>
          </w:p>
        </w:tc>
        <w:tc>
          <w:tcPr>
            <w:tcW w:w="727" w:type="dxa"/>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万元</w:t>
            </w:r>
          </w:p>
        </w:tc>
        <w:tc>
          <w:tcPr>
            <w:tcW w:w="1011" w:type="dxa"/>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Z≥120000</w:t>
            </w:r>
          </w:p>
        </w:tc>
        <w:tc>
          <w:tcPr>
            <w:tcW w:w="1664" w:type="dxa"/>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8000≤Z＜120000</w:t>
            </w:r>
          </w:p>
        </w:tc>
        <w:tc>
          <w:tcPr>
            <w:tcW w:w="1446" w:type="dxa"/>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100≤Z＜8000</w:t>
            </w:r>
          </w:p>
        </w:tc>
        <w:tc>
          <w:tcPr>
            <w:tcW w:w="793" w:type="dxa"/>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Z＜100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其他未列明行业 *</w:t>
            </w:r>
          </w:p>
        </w:tc>
        <w:tc>
          <w:tcPr>
            <w:tcW w:w="1462" w:type="dxa"/>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从业人员(X)</w:t>
            </w:r>
          </w:p>
        </w:tc>
        <w:tc>
          <w:tcPr>
            <w:tcW w:w="727" w:type="dxa"/>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人</w:t>
            </w:r>
          </w:p>
        </w:tc>
        <w:tc>
          <w:tcPr>
            <w:tcW w:w="1011" w:type="dxa"/>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X≥300</w:t>
            </w:r>
          </w:p>
        </w:tc>
        <w:tc>
          <w:tcPr>
            <w:tcW w:w="1664" w:type="dxa"/>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100≤X＜300</w:t>
            </w:r>
          </w:p>
        </w:tc>
        <w:tc>
          <w:tcPr>
            <w:tcW w:w="1446" w:type="dxa"/>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10≤X＜100</w:t>
            </w:r>
          </w:p>
        </w:tc>
        <w:tc>
          <w:tcPr>
            <w:tcW w:w="793" w:type="dxa"/>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X＜10</w:t>
            </w:r>
          </w:p>
        </w:tc>
      </w:tr>
    </w:tbl>
    <w:p>
      <w:pPr>
        <w:widowControl/>
        <w:shd w:val="clear" w:color="auto" w:fill="FFFFFF"/>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说明：</w:t>
      </w:r>
    </w:p>
    <w:p>
      <w:pPr>
        <w:widowControl/>
        <w:shd w:val="clear" w:color="auto" w:fill="FFFFFF"/>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1.大型、中型和小型企业须同时满足所列指标的下限，否则下划一档；微型企业只须满足所列指标中的一项即可。</w:t>
      </w:r>
    </w:p>
    <w:p>
      <w:pPr>
        <w:widowControl/>
        <w:shd w:val="clear" w:color="auto" w:fill="FFFFFF"/>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pPr>
        <w:widowControl/>
        <w:shd w:val="clear" w:color="auto" w:fill="FFFFFF"/>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pPr>
        <w:pStyle w:val="8"/>
        <w:tabs>
          <w:tab w:val="left" w:pos="562"/>
          <w:tab w:val="left" w:pos="3372"/>
          <w:tab w:val="left" w:pos="3653"/>
        </w:tabs>
        <w:rPr>
          <w:rFonts w:ascii="宋体" w:hAnsi="宋体" w:cs="宋体"/>
          <w:color w:val="000000" w:themeColor="text1"/>
          <w14:textFill>
            <w14:solidFill>
              <w14:schemeClr w14:val="tx1"/>
            </w14:solidFill>
          </w14:textFill>
        </w:rPr>
      </w:pPr>
    </w:p>
    <w:p>
      <w:pPr>
        <w:pStyle w:val="17"/>
        <w:outlineLvl w:val="9"/>
        <w:rPr>
          <w:rFonts w:ascii="宋体" w:hAnsi="宋体" w:eastAsia="宋体" w:cs="宋体"/>
          <w:color w:val="000000" w:themeColor="text1"/>
          <w:sz w:val="24"/>
          <w:szCs w:val="24"/>
          <w14:textFill>
            <w14:solidFill>
              <w14:schemeClr w14:val="tx1"/>
            </w14:solidFill>
          </w14:textFill>
        </w:rPr>
      </w:pPr>
    </w:p>
    <w:p>
      <w:pPr>
        <w:tabs>
          <w:tab w:val="left" w:pos="360"/>
        </w:tabs>
        <w:outlineLvl w:val="1"/>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br w:type="page"/>
      </w:r>
      <w:r>
        <w:rPr>
          <w:rFonts w:hint="eastAsia" w:ascii="宋体" w:hAnsi="宋体" w:cs="宋体"/>
          <w:b/>
          <w:bCs/>
          <w:color w:val="000000" w:themeColor="text1"/>
          <w:sz w:val="24"/>
          <w14:textFill>
            <w14:solidFill>
              <w14:schemeClr w14:val="tx1"/>
            </w14:solidFill>
          </w14:textFill>
        </w:rPr>
        <w:t>4、财政部、民政部、中国残联《关于促进残疾人就业政府采购政策的通知》（财库〔2017〕141 号）</w:t>
      </w:r>
    </w:p>
    <w:p>
      <w:pPr>
        <w:shd w:val="clear" w:color="auto" w:fill="FFFFFF"/>
        <w:rPr>
          <w:rFonts w:ascii="宋体" w:hAnsi="宋体" w:cs="宋体"/>
          <w:bCs/>
          <w:color w:val="000000" w:themeColor="text1"/>
          <w:sz w:val="24"/>
          <w14:textFill>
            <w14:solidFill>
              <w14:schemeClr w14:val="tx1"/>
            </w14:solidFill>
          </w14:textFill>
        </w:rPr>
      </w:pPr>
    </w:p>
    <w:p>
      <w:pPr>
        <w:shd w:val="clear" w:color="auto" w:fill="FFFFFF"/>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关于促进残疾人就业政府采购政策的通知</w:t>
      </w:r>
    </w:p>
    <w:p>
      <w:pPr>
        <w:pStyle w:val="16"/>
        <w:shd w:val="clear" w:color="auto" w:fill="FFFFFF"/>
        <w:spacing w:before="0" w:beforeAutospacing="0" w:after="0" w:afterAutospacing="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　　</w:t>
      </w:r>
      <w:bookmarkStart w:id="49" w:name="sendNo"/>
      <w:r>
        <w:rPr>
          <w:rFonts w:hint="eastAsia"/>
          <w:color w:val="000000" w:themeColor="text1"/>
          <w14:textFill>
            <w14:solidFill>
              <w14:schemeClr w14:val="tx1"/>
            </w14:solidFill>
          </w14:textFill>
        </w:rPr>
        <w:t>财库〔</w:t>
      </w:r>
      <w:bookmarkEnd w:id="49"/>
      <w:r>
        <w:rPr>
          <w:rFonts w:hint="eastAsia"/>
          <w:color w:val="000000" w:themeColor="text1"/>
          <w14:textFill>
            <w14:solidFill>
              <w14:schemeClr w14:val="tx1"/>
            </w14:solidFill>
          </w14:textFill>
        </w:rPr>
        <w:t>2017〕141号</w:t>
      </w:r>
    </w:p>
    <w:p>
      <w:pPr>
        <w:pStyle w:val="16"/>
        <w:shd w:val="clear" w:color="auto" w:fill="FFFFFF"/>
        <w:spacing w:before="0" w:beforeAutospacing="0" w:after="0" w:afterAutospacing="0"/>
        <w:ind w:firstLine="480" w:firstLineChars="200"/>
        <w:rPr>
          <w:color w:val="000000" w:themeColor="text1"/>
          <w14:textFill>
            <w14:solidFill>
              <w14:schemeClr w14:val="tx1"/>
            </w14:solidFill>
          </w14:textFill>
        </w:rPr>
      </w:pPr>
      <w:bookmarkStart w:id="50" w:name="toDeptId"/>
      <w:r>
        <w:rPr>
          <w:rFonts w:hint="eastAsia"/>
          <w:color w:val="000000" w:themeColor="text1"/>
          <w14:textFill>
            <w14:solidFill>
              <w14:schemeClr w14:val="tx1"/>
            </w14:solidFill>
          </w14:textFill>
        </w:rPr>
        <w:t>党中央有关部门，国务院各部委、各直属机构，全国人大常委会办公厅，全国政协办公厅，高法院，高检院，各民主党派中央，有关人民团体，各省、自治区、直辖市、计划单列市财政厅（局）、民政厅（局）、残疾人联合会，新疆生产建设兵团财务局、民政局、残疾人联合会</w:t>
      </w:r>
      <w:bookmarkEnd w:id="50"/>
      <w:r>
        <w:rPr>
          <w:rFonts w:hint="eastAsia"/>
          <w:color w:val="000000" w:themeColor="text1"/>
          <w14:textFill>
            <w14:solidFill>
              <w14:schemeClr w14:val="tx1"/>
            </w14:solidFill>
          </w14:textFill>
        </w:rPr>
        <w:t>：</w:t>
      </w:r>
    </w:p>
    <w:p>
      <w:pPr>
        <w:pStyle w:val="16"/>
        <w:shd w:val="clear" w:color="auto" w:fill="FFFFFF"/>
        <w:spacing w:before="0" w:beforeAutospacing="0" w:after="0" w:afterAutospacing="0"/>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为了发挥政府采购促进残疾人就业的作用，进一步保障残疾人权益，依照《政府采购法》、《残疾人保障法》等法律法规及相关规定，现就促进残疾人就业政府采购政策通知如下：</w:t>
      </w:r>
    </w:p>
    <w:p>
      <w:pPr>
        <w:pStyle w:val="16"/>
        <w:shd w:val="clear" w:color="auto" w:fill="FFFFFF"/>
        <w:spacing w:before="0" w:beforeAutospacing="0" w:after="0" w:afterAutospacing="0"/>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一、享受政府采购支持政策的残疾人福利性单位应当同时满足以下条件：</w:t>
      </w:r>
    </w:p>
    <w:p>
      <w:pPr>
        <w:pStyle w:val="16"/>
        <w:shd w:val="clear" w:color="auto" w:fill="FFFFFF"/>
        <w:spacing w:before="0" w:beforeAutospacing="0" w:after="0" w:afterAutospacing="0"/>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（一）安置的残疾人占本单位在职职工人数的比例不低于25%（含25%），并且安置的残疾人人数不少于10人（含10人）；</w:t>
      </w:r>
    </w:p>
    <w:p>
      <w:pPr>
        <w:pStyle w:val="16"/>
        <w:shd w:val="clear" w:color="auto" w:fill="FFFFFF"/>
        <w:spacing w:before="0" w:beforeAutospacing="0" w:after="0" w:afterAutospacing="0"/>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（二）依法与安置的每位残疾人签订了一年以上（含一年）的劳动合同或服务协议；</w:t>
      </w:r>
    </w:p>
    <w:p>
      <w:pPr>
        <w:pStyle w:val="16"/>
        <w:shd w:val="clear" w:color="auto" w:fill="FFFFFF"/>
        <w:spacing w:before="0" w:beforeAutospacing="0" w:after="0" w:afterAutospacing="0"/>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（三）为安置的每位残疾人按月足额缴纳了基本养老保险、基本医疗保险、失业保险、工伤保险和生育保险等社会保险费；</w:t>
      </w:r>
    </w:p>
    <w:p>
      <w:pPr>
        <w:pStyle w:val="16"/>
        <w:shd w:val="clear" w:color="auto" w:fill="FFFFFF"/>
        <w:spacing w:before="0" w:beforeAutospacing="0" w:after="0" w:afterAutospacing="0"/>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（四）通过银行等金融机构向安置的每位残疾人，按月支付了不低于单位所在区县适用的经省级人民政府批准的月最低工资标准的工资；</w:t>
      </w:r>
    </w:p>
    <w:p>
      <w:pPr>
        <w:pStyle w:val="16"/>
        <w:shd w:val="clear" w:color="auto" w:fill="FFFFFF"/>
        <w:spacing w:before="0" w:beforeAutospacing="0" w:after="0" w:afterAutospacing="0"/>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（五）提供本单位制造的货物、承担的工程或者服务（以下简称产品），或者提供其他残疾人福利性单位制造的货物（不包括使用非残疾人福利性单位注册商标的货物）。</w:t>
      </w:r>
    </w:p>
    <w:p>
      <w:pPr>
        <w:pStyle w:val="16"/>
        <w:shd w:val="clear" w:color="auto" w:fill="FFFFFF"/>
        <w:spacing w:before="0" w:beforeAutospacing="0" w:after="0" w:afterAutospacing="0"/>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pStyle w:val="16"/>
        <w:shd w:val="clear" w:color="auto" w:fill="FFFFFF"/>
        <w:spacing w:before="0" w:beforeAutospacing="0" w:after="0" w:afterAutospacing="0"/>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二、符合条件的残疾人福利性单位在参加政府采购活动时，应当提供本通知规定的《残疾人福利性单位声明函》（见附件），并对声明的真实性负责。任何单位或者个人在政府采购活动中均不得要求残疾人福利性单位提供其他证明声明函内容的材料。</w:t>
      </w:r>
    </w:p>
    <w:p>
      <w:pPr>
        <w:pStyle w:val="16"/>
        <w:shd w:val="clear" w:color="auto" w:fill="FFFFFF"/>
        <w:spacing w:before="0" w:beforeAutospacing="0" w:after="0" w:afterAutospacing="0"/>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中标、成交供应商为残疾人福利性单位的，采购人或者其委托的采购代理机构应当随中标、成交结果同时公告其《残疾人福利性单位声明函》，接受社会监督。</w:t>
      </w:r>
    </w:p>
    <w:p>
      <w:pPr>
        <w:pStyle w:val="16"/>
        <w:shd w:val="clear" w:color="auto" w:fill="FFFFFF"/>
        <w:spacing w:before="0" w:beforeAutospacing="0" w:after="0" w:afterAutospacing="0"/>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供应商提供的《残疾人福利性单位声明函》与事实不符的，依照《政府采购法》第七十七条第一款的规定追究法律责任。</w:t>
      </w:r>
    </w:p>
    <w:p>
      <w:pPr>
        <w:pStyle w:val="16"/>
        <w:shd w:val="clear" w:color="auto" w:fill="FFFFFF"/>
        <w:spacing w:before="0" w:beforeAutospacing="0" w:after="0" w:afterAutospacing="0"/>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三、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pPr>
        <w:pStyle w:val="16"/>
        <w:shd w:val="clear" w:color="auto" w:fill="FFFFFF"/>
        <w:spacing w:before="0" w:beforeAutospacing="0" w:after="0" w:afterAutospacing="0"/>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四、采购人采购公开招标数额标准以上的货物或者服务，因落实促进残疾人就业政策的需要，依法履行有关报批程序后，可采用公开招标以外的采购方式。</w:t>
      </w:r>
    </w:p>
    <w:p>
      <w:pPr>
        <w:pStyle w:val="16"/>
        <w:shd w:val="clear" w:color="auto" w:fill="FFFFFF"/>
        <w:spacing w:before="0" w:beforeAutospacing="0" w:after="0" w:afterAutospacing="0" w:line="560" w:lineRule="exact"/>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五、对于满足要求的残疾人福利性单位产品，集中采购机构可直接纳入协议供货或者定点采购范围。各地区建设的政府采购电子卖场、电子商城、网上超市等应当设立残疾人福利性单位产品专栏。鼓励采购人优先选择残疾人福利性单位的产品。</w:t>
      </w:r>
    </w:p>
    <w:p>
      <w:pPr>
        <w:pStyle w:val="16"/>
        <w:shd w:val="clear" w:color="auto" w:fill="FFFFFF"/>
        <w:spacing w:before="0" w:beforeAutospacing="0" w:after="0" w:afterAutospacing="0" w:line="560" w:lineRule="exact"/>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六、省级财政部门可以结合本地区残疾人生产、经营的实际情况，细化政府采购支持措施。对符合国家有关部门规定条件的残疾人辅助性就业机构，可通过上述措施予以支持。各地制定的有关文件应当报财政部备案。</w:t>
      </w:r>
    </w:p>
    <w:p>
      <w:pPr>
        <w:pStyle w:val="16"/>
        <w:shd w:val="clear" w:color="auto" w:fill="FFFFFF"/>
        <w:spacing w:before="0" w:beforeAutospacing="0" w:after="0" w:afterAutospacing="0" w:line="560" w:lineRule="exact"/>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七、本通知自2017年10月1日起执行。</w:t>
      </w:r>
    </w:p>
    <w:p>
      <w:pPr>
        <w:pStyle w:val="16"/>
        <w:shd w:val="clear" w:color="auto" w:fill="FFFFFF"/>
        <w:spacing w:before="0" w:beforeAutospacing="0" w:after="0" w:afterAutospacing="0" w:line="560" w:lineRule="exact"/>
        <w:ind w:firstLine="480" w:firstLineChars="200"/>
        <w:jc w:val="right"/>
        <w:rPr>
          <w:color w:val="000000" w:themeColor="text1"/>
          <w14:textFill>
            <w14:solidFill>
              <w14:schemeClr w14:val="tx1"/>
            </w14:solidFill>
          </w14:textFill>
        </w:rPr>
      </w:pPr>
      <w:r>
        <w:rPr>
          <w:rFonts w:hint="eastAsia"/>
          <w:color w:val="000000" w:themeColor="text1"/>
          <w14:textFill>
            <w14:solidFill>
              <w14:schemeClr w14:val="tx1"/>
            </w14:solidFill>
          </w14:textFill>
        </w:rPr>
        <w:t>财政部 民政部 中国残疾人联合会</w:t>
      </w:r>
    </w:p>
    <w:p>
      <w:pPr>
        <w:pStyle w:val="16"/>
        <w:shd w:val="clear" w:color="auto" w:fill="FFFFFF"/>
        <w:spacing w:before="0" w:beforeAutospacing="0" w:after="0" w:afterAutospacing="0" w:line="560" w:lineRule="exact"/>
        <w:ind w:firstLine="480" w:firstLineChars="200"/>
        <w:jc w:val="right"/>
        <w:rPr>
          <w:color w:val="000000" w:themeColor="text1"/>
          <w14:textFill>
            <w14:solidFill>
              <w14:schemeClr w14:val="tx1"/>
            </w14:solidFill>
          </w14:textFill>
        </w:rPr>
      </w:pPr>
      <w:r>
        <w:rPr>
          <w:rFonts w:hint="eastAsia"/>
          <w:color w:val="000000" w:themeColor="text1"/>
          <w14:textFill>
            <w14:solidFill>
              <w14:schemeClr w14:val="tx1"/>
            </w14:solidFill>
          </w14:textFill>
        </w:rPr>
        <w:t>2017年8月22日</w:t>
      </w:r>
    </w:p>
    <w:p>
      <w:pPr>
        <w:pStyle w:val="34"/>
        <w:shd w:val="clear" w:color="auto" w:fill="FFFFFF"/>
        <w:spacing w:before="0" w:beforeAutospacing="0" w:after="0" w:afterAutospacing="0" w:line="560" w:lineRule="exact"/>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附件：</w:t>
      </w:r>
    </w:p>
    <w:p>
      <w:pPr>
        <w:pStyle w:val="34"/>
        <w:shd w:val="clear" w:color="auto" w:fill="FFFFFF"/>
        <w:spacing w:before="0" w:beforeAutospacing="0" w:after="0" w:afterAutospacing="0" w:line="560" w:lineRule="exact"/>
        <w:ind w:firstLine="482" w:firstLineChars="200"/>
        <w:jc w:val="center"/>
        <w:rPr>
          <w:color w:val="000000" w:themeColor="text1"/>
          <w14:textFill>
            <w14:solidFill>
              <w14:schemeClr w14:val="tx1"/>
            </w14:solidFill>
          </w14:textFill>
        </w:rPr>
      </w:pPr>
      <w:r>
        <w:rPr>
          <w:rStyle w:val="35"/>
          <w:rFonts w:hint="eastAsia"/>
          <w:b/>
          <w:bCs/>
          <w:color w:val="000000" w:themeColor="text1"/>
          <w14:textFill>
            <w14:solidFill>
              <w14:schemeClr w14:val="tx1"/>
            </w14:solidFill>
          </w14:textFill>
        </w:rPr>
        <w:t>残疾人福利性单位声明函</w:t>
      </w:r>
    </w:p>
    <w:p>
      <w:pPr>
        <w:pStyle w:val="34"/>
        <w:shd w:val="clear" w:color="auto" w:fill="FFFFFF"/>
        <w:spacing w:before="0" w:beforeAutospacing="0" w:after="0" w:afterAutospacing="0" w:line="560" w:lineRule="exact"/>
        <w:ind w:firstLine="480" w:firstLineChars="200"/>
        <w:jc w:val="both"/>
        <w:rPr>
          <w:color w:val="000000" w:themeColor="text1"/>
          <w14:textFill>
            <w14:solidFill>
              <w14:schemeClr w14:val="tx1"/>
            </w14:solidFill>
          </w14:textFill>
        </w:rPr>
      </w:pPr>
      <w:r>
        <w:rPr>
          <w:rStyle w:val="35"/>
          <w:rFonts w:hint="eastAsia"/>
          <w:color w:val="000000" w:themeColor="text1"/>
          <w14:textFill>
            <w14:solidFill>
              <w14:schemeClr w14:val="tx1"/>
            </w14:solidFill>
          </w14:textFill>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pStyle w:val="34"/>
        <w:shd w:val="clear" w:color="auto" w:fill="FFFFFF"/>
        <w:spacing w:before="0" w:beforeAutospacing="0" w:after="0" w:afterAutospacing="0" w:line="560" w:lineRule="exact"/>
        <w:ind w:firstLine="480" w:firstLineChars="200"/>
        <w:jc w:val="both"/>
        <w:rPr>
          <w:color w:val="000000" w:themeColor="text1"/>
          <w14:textFill>
            <w14:solidFill>
              <w14:schemeClr w14:val="tx1"/>
            </w14:solidFill>
          </w14:textFill>
        </w:rPr>
      </w:pPr>
      <w:r>
        <w:rPr>
          <w:rStyle w:val="35"/>
          <w:rFonts w:hint="eastAsia"/>
          <w:color w:val="000000" w:themeColor="text1"/>
          <w14:textFill>
            <w14:solidFill>
              <w14:schemeClr w14:val="tx1"/>
            </w14:solidFill>
          </w14:textFill>
        </w:rPr>
        <w:t>本单位对上述声明的真实性负责。如有虚假，将依法承担相应责任。</w:t>
      </w:r>
    </w:p>
    <w:p>
      <w:pPr>
        <w:pStyle w:val="34"/>
        <w:shd w:val="clear" w:color="auto" w:fill="FFFFFF"/>
        <w:spacing w:before="0" w:beforeAutospacing="0" w:after="0" w:afterAutospacing="0" w:line="560" w:lineRule="exact"/>
        <w:ind w:firstLine="480" w:firstLineChars="20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投标人已知悉《关于促进残疾人就业政府采购政策的通知》（财库〔2017〕141 号）的规定，承诺提供的声明函内容是真实的，如提供声明函内容不实，则依法追究相关法律责任。</w:t>
      </w:r>
    </w:p>
    <w:p>
      <w:pPr>
        <w:pStyle w:val="34"/>
        <w:shd w:val="clear" w:color="auto" w:fill="FFFFFF"/>
        <w:spacing w:before="0" w:beforeAutospacing="0" w:after="0" w:afterAutospacing="0" w:line="560" w:lineRule="exact"/>
        <w:ind w:right="2100" w:rightChars="1000"/>
        <w:jc w:val="right"/>
        <w:rPr>
          <w:color w:val="000000" w:themeColor="text1"/>
          <w14:textFill>
            <w14:solidFill>
              <w14:schemeClr w14:val="tx1"/>
            </w14:solidFill>
          </w14:textFill>
        </w:rPr>
      </w:pPr>
      <w:r>
        <w:rPr>
          <w:rStyle w:val="35"/>
          <w:rFonts w:hint="eastAsia"/>
          <w:color w:val="000000" w:themeColor="text1"/>
          <w14:textFill>
            <w14:solidFill>
              <w14:schemeClr w14:val="tx1"/>
            </w14:solidFill>
          </w14:textFill>
        </w:rPr>
        <w:t>单位名称（盖章）：</w:t>
      </w:r>
    </w:p>
    <w:p>
      <w:pPr>
        <w:pStyle w:val="34"/>
        <w:shd w:val="clear" w:color="auto" w:fill="FFFFFF"/>
        <w:spacing w:before="0" w:beforeAutospacing="0" w:after="0" w:afterAutospacing="0" w:line="560" w:lineRule="exact"/>
        <w:ind w:right="2100" w:rightChars="1000"/>
        <w:jc w:val="right"/>
        <w:rPr>
          <w:color w:val="000000" w:themeColor="text1"/>
          <w:lang w:val="fr-CH"/>
          <w14:textFill>
            <w14:solidFill>
              <w14:schemeClr w14:val="tx1"/>
            </w14:solidFill>
          </w14:textFill>
        </w:rPr>
      </w:pPr>
      <w:r>
        <w:rPr>
          <w:rStyle w:val="35"/>
          <w:rFonts w:hint="eastAsia"/>
          <w:color w:val="000000" w:themeColor="text1"/>
          <w14:textFill>
            <w14:solidFill>
              <w14:schemeClr w14:val="tx1"/>
            </w14:solidFill>
          </w14:textFill>
        </w:rPr>
        <w:t>日 期：</w:t>
      </w:r>
    </w:p>
    <w:p>
      <w:pPr>
        <w:tabs>
          <w:tab w:val="left" w:pos="640"/>
          <w:tab w:val="left" w:pos="1260"/>
          <w:tab w:val="left" w:pos="1418"/>
        </w:tabs>
        <w:spacing w:line="360" w:lineRule="auto"/>
        <w:ind w:right="-420" w:rightChars="-200"/>
        <w:rPr>
          <w:rFonts w:ascii="宋体" w:hAnsi="宋体" w:cs="宋体"/>
          <w:color w:val="000000" w:themeColor="text1"/>
          <w:sz w:val="24"/>
          <w:lang w:val="fr-CH"/>
          <w14:textFill>
            <w14:solidFill>
              <w14:schemeClr w14:val="tx1"/>
            </w14:solidFill>
          </w14:textFill>
        </w:rPr>
      </w:pPr>
    </w:p>
    <w:p>
      <w:pPr>
        <w:rPr>
          <w:color w:val="000000" w:themeColor="text1"/>
          <w14:textFill>
            <w14:solidFill>
              <w14:schemeClr w14:val="tx1"/>
            </w14:solidFill>
          </w14:textFill>
        </w:rPr>
      </w:pPr>
    </w:p>
    <w:sectPr>
      <w:headerReference r:id="rId7" w:type="first"/>
      <w:headerReference r:id="rId5" w:type="default"/>
      <w:headerReference r:id="rId6" w:type="even"/>
      <w:pgSz w:w="11906" w:h="16838"/>
      <w:pgMar w:top="850" w:right="1803" w:bottom="709" w:left="1803" w:header="851" w:footer="992" w:gutter="0"/>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长城仿宋">
    <w:altName w:val="仿宋"/>
    <w:panose1 w:val="00000000000000000000"/>
    <w:charset w:val="00"/>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Arial Narrow">
    <w:altName w:val="Arial"/>
    <w:panose1 w:val="020B0606020202030204"/>
    <w:charset w:val="00"/>
    <w:family w:val="swiss"/>
    <w:pitch w:val="default"/>
    <w:sig w:usb0="00000000" w:usb1="00000000" w:usb2="00000000" w:usb3="00000000" w:csb0="2000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rPr>
        <w:rFonts w:ascii="宋体" w:hAnsi="宋体"/>
        <w:sz w:val="28"/>
        <w:szCs w:val="28"/>
      </w:rPr>
    </w:pPr>
    <w:r>
      <w:rPr>
        <w:rFonts w:ascii="宋体" w:hAnsi="宋体"/>
        <w:sz w:val="28"/>
        <w:szCs w:val="28"/>
      </w:rPr>
      <w:t xml:space="preserve">- </w:t>
    </w:r>
    <w:r>
      <w:rPr>
        <w:rFonts w:ascii="宋体" w:hAnsi="宋体"/>
        <w:sz w:val="28"/>
        <w:szCs w:val="28"/>
      </w:rPr>
      <w:fldChar w:fldCharType="begin"/>
    </w:r>
    <w:r>
      <w:rPr>
        <w:rStyle w:val="24"/>
        <w:rFonts w:ascii="宋体" w:hAnsi="宋体"/>
        <w:sz w:val="28"/>
        <w:szCs w:val="28"/>
      </w:rPr>
      <w:instrText xml:space="preserve">PAGE  </w:instrText>
    </w:r>
    <w:r>
      <w:rPr>
        <w:rFonts w:ascii="宋体" w:hAnsi="宋体"/>
        <w:sz w:val="28"/>
        <w:szCs w:val="28"/>
      </w:rPr>
      <w:fldChar w:fldCharType="separate"/>
    </w:r>
    <w:r>
      <w:rPr>
        <w:rStyle w:val="24"/>
        <w:rFonts w:ascii="宋体" w:hAnsi="宋体"/>
        <w:sz w:val="28"/>
        <w:szCs w:val="28"/>
      </w:rPr>
      <w:t>1</w:t>
    </w:r>
    <w:r>
      <w:rPr>
        <w:rFonts w:ascii="宋体" w:hAnsi="宋体"/>
        <w:sz w:val="28"/>
        <w:szCs w:val="28"/>
      </w:rPr>
      <w:fldChar w:fldCharType="end"/>
    </w:r>
    <w:r>
      <w:rPr>
        <w:rFonts w:ascii="宋体" w:hAnsi="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rPr>
        <w:rFonts w:ascii="宋体" w:hAnsi="宋体"/>
        <w:sz w:val="28"/>
        <w:szCs w:val="28"/>
      </w:rPr>
    </w:pPr>
    <w:r>
      <w:rPr>
        <w:rFonts w:ascii="宋体" w:hAnsi="宋体"/>
        <w:sz w:val="28"/>
        <w:szCs w:val="28"/>
      </w:rPr>
      <w:t xml:space="preserve">- </w:t>
    </w:r>
    <w:r>
      <w:rPr>
        <w:rFonts w:ascii="宋体" w:hAnsi="宋体"/>
        <w:sz w:val="28"/>
        <w:szCs w:val="28"/>
      </w:rPr>
      <w:fldChar w:fldCharType="begin"/>
    </w:r>
    <w:r>
      <w:rPr>
        <w:rStyle w:val="24"/>
        <w:rFonts w:ascii="宋体" w:hAnsi="宋体"/>
        <w:sz w:val="28"/>
        <w:szCs w:val="28"/>
      </w:rPr>
      <w:instrText xml:space="preserve">PAGE  </w:instrText>
    </w:r>
    <w:r>
      <w:rPr>
        <w:rFonts w:ascii="宋体" w:hAnsi="宋体"/>
        <w:sz w:val="28"/>
        <w:szCs w:val="28"/>
      </w:rPr>
      <w:fldChar w:fldCharType="separate"/>
    </w:r>
    <w:r>
      <w:rPr>
        <w:rStyle w:val="24"/>
        <w:rFonts w:ascii="宋体" w:hAnsi="宋体"/>
        <w:sz w:val="28"/>
        <w:szCs w:val="28"/>
      </w:rPr>
      <w:t>12</w:t>
    </w:r>
    <w:r>
      <w:rPr>
        <w:rFonts w:ascii="宋体" w:hAnsi="宋体"/>
        <w:sz w:val="28"/>
        <w:szCs w:val="28"/>
      </w:rPr>
      <w:fldChar w:fldCharType="end"/>
    </w:r>
    <w:r>
      <w:rPr>
        <w:rFonts w:ascii="宋体" w:hAnsi="宋体"/>
        <w:sz w:val="28"/>
        <w:szCs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PowerPlusWaterMarkObject3" o:spid="_x0000_s4098" o:spt="136" type="#_x0000_t136" style="position:absolute;left:0pt;height:207.5pt;width:415pt;mso-position-horizontal:center;mso-position-horizontal-relative:margin;mso-position-vertical:center;mso-position-vertical-relative:margin;z-index:-251656192;mso-width-relative:page;mso-height-relative:page;" fillcolor="#000000" filled="t" stroked="f" coordsize="21600,21600">
          <v:path/>
          <v:fill on="t" focussize="0,0"/>
          <v:stroke on="f"/>
          <v:imagedata o:title=""/>
          <o:lock v:ext="edit"/>
          <v:textpath on="t" fitshape="t" fitpath="t" trim="f" xscale="f" string="胡锦鑫20240304" style="font-family:&amp;quot;font-size:8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PowerPlusWaterMarkObject2" o:spid="_x0000_s4097" o:spt="136" type="#_x0000_t136" style="position:absolute;left:0pt;height:207.5pt;width:415pt;mso-position-horizontal:center;mso-position-horizontal-relative:margin;mso-position-vertical:center;mso-position-vertical-relative:margin;z-index:-251657216;mso-width-relative:page;mso-height-relative:page;" fillcolor="#000000" filled="t" stroked="f" coordsize="21600,21600">
          <v:path/>
          <v:fill on="t" focussize="0,0"/>
          <v:stroke on="f"/>
          <v:imagedata o:title=""/>
          <o:lock v:ext="edit"/>
          <v:textpath on="t" fitshape="t" fitpath="t" trim="f" xscale="f" string="胡锦鑫20240304" style="font-family:&amp;quot;font-size:8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CC046B"/>
    <w:multiLevelType w:val="singleLevel"/>
    <w:tmpl w:val="83CC046B"/>
    <w:lvl w:ilvl="0" w:tentative="0">
      <w:start w:val="1"/>
      <w:numFmt w:val="decimal"/>
      <w:lvlText w:val="（%1）"/>
      <w:lvlJc w:val="left"/>
      <w:pPr>
        <w:tabs>
          <w:tab w:val="left" w:pos="425"/>
        </w:tabs>
        <w:ind w:left="425" w:hanging="425"/>
      </w:pPr>
      <w:rPr>
        <w:rFonts w:hint="default"/>
      </w:rPr>
    </w:lvl>
  </w:abstractNum>
  <w:abstractNum w:abstractNumId="1">
    <w:nsid w:val="9F737C4C"/>
    <w:multiLevelType w:val="singleLevel"/>
    <w:tmpl w:val="9F737C4C"/>
    <w:lvl w:ilvl="0" w:tentative="0">
      <w:start w:val="1"/>
      <w:numFmt w:val="decimal"/>
      <w:lvlText w:val="（%1）"/>
      <w:lvlJc w:val="left"/>
      <w:pPr>
        <w:tabs>
          <w:tab w:val="left" w:pos="425"/>
        </w:tabs>
        <w:ind w:left="425" w:hanging="425"/>
      </w:pPr>
      <w:rPr>
        <w:rFonts w:hint="default"/>
      </w:rPr>
    </w:lvl>
  </w:abstractNum>
  <w:abstractNum w:abstractNumId="2">
    <w:nsid w:val="A77657F5"/>
    <w:multiLevelType w:val="singleLevel"/>
    <w:tmpl w:val="A77657F5"/>
    <w:lvl w:ilvl="0" w:tentative="0">
      <w:start w:val="1"/>
      <w:numFmt w:val="decimal"/>
      <w:suff w:val="nothing"/>
      <w:lvlText w:val="（%1）"/>
      <w:lvlJc w:val="left"/>
    </w:lvl>
  </w:abstractNum>
  <w:abstractNum w:abstractNumId="3">
    <w:nsid w:val="AFE7CFB2"/>
    <w:multiLevelType w:val="singleLevel"/>
    <w:tmpl w:val="AFE7CFB2"/>
    <w:lvl w:ilvl="0" w:tentative="0">
      <w:start w:val="1"/>
      <w:numFmt w:val="decimal"/>
      <w:lvlText w:val="（%1）"/>
      <w:lvlJc w:val="left"/>
      <w:pPr>
        <w:tabs>
          <w:tab w:val="left" w:pos="425"/>
        </w:tabs>
        <w:ind w:left="425" w:hanging="425"/>
      </w:pPr>
      <w:rPr>
        <w:rFonts w:hint="default"/>
      </w:rPr>
    </w:lvl>
  </w:abstractNum>
  <w:abstractNum w:abstractNumId="4">
    <w:nsid w:val="B60EDFBE"/>
    <w:multiLevelType w:val="singleLevel"/>
    <w:tmpl w:val="B60EDFBE"/>
    <w:lvl w:ilvl="0" w:tentative="0">
      <w:start w:val="1"/>
      <w:numFmt w:val="decimal"/>
      <w:suff w:val="nothing"/>
      <w:lvlText w:val="（%1）"/>
      <w:lvlJc w:val="left"/>
    </w:lvl>
  </w:abstractNum>
  <w:abstractNum w:abstractNumId="5">
    <w:nsid w:val="F44D9858"/>
    <w:multiLevelType w:val="singleLevel"/>
    <w:tmpl w:val="F44D9858"/>
    <w:lvl w:ilvl="0" w:tentative="0">
      <w:start w:val="1"/>
      <w:numFmt w:val="decimal"/>
      <w:lvlText w:val="（%1）"/>
      <w:lvlJc w:val="left"/>
      <w:pPr>
        <w:tabs>
          <w:tab w:val="left" w:pos="425"/>
        </w:tabs>
        <w:ind w:left="425" w:hanging="425"/>
      </w:pPr>
      <w:rPr>
        <w:rFonts w:hint="default"/>
      </w:rPr>
    </w:lvl>
  </w:abstractNum>
  <w:abstractNum w:abstractNumId="6">
    <w:nsid w:val="F8A1E266"/>
    <w:multiLevelType w:val="singleLevel"/>
    <w:tmpl w:val="F8A1E266"/>
    <w:lvl w:ilvl="0" w:tentative="0">
      <w:start w:val="1"/>
      <w:numFmt w:val="decimal"/>
      <w:lvlText w:val="（%1）"/>
      <w:lvlJc w:val="left"/>
      <w:pPr>
        <w:tabs>
          <w:tab w:val="left" w:pos="425"/>
        </w:tabs>
        <w:ind w:left="425" w:hanging="425"/>
      </w:pPr>
      <w:rPr>
        <w:rFonts w:hint="default"/>
      </w:rPr>
    </w:lvl>
  </w:abstractNum>
  <w:abstractNum w:abstractNumId="7">
    <w:nsid w:val="200A2FAF"/>
    <w:multiLevelType w:val="singleLevel"/>
    <w:tmpl w:val="200A2FAF"/>
    <w:lvl w:ilvl="0" w:tentative="0">
      <w:start w:val="5"/>
      <w:numFmt w:val="decimal"/>
      <w:suff w:val="nothing"/>
      <w:lvlText w:val="（%1）"/>
      <w:lvlJc w:val="left"/>
    </w:lvl>
  </w:abstractNum>
  <w:abstractNum w:abstractNumId="8">
    <w:nsid w:val="418A3D68"/>
    <w:multiLevelType w:val="singleLevel"/>
    <w:tmpl w:val="418A3D68"/>
    <w:lvl w:ilvl="0" w:tentative="0">
      <w:start w:val="1"/>
      <w:numFmt w:val="decimal"/>
      <w:lvlText w:val="(%1)"/>
      <w:lvlJc w:val="left"/>
      <w:pPr>
        <w:tabs>
          <w:tab w:val="left" w:pos="-420"/>
        </w:tabs>
        <w:ind w:left="5" w:hanging="425"/>
      </w:pPr>
      <w:rPr>
        <w:rFonts w:hint="default"/>
      </w:rPr>
    </w:lvl>
  </w:abstractNum>
  <w:abstractNum w:abstractNumId="9">
    <w:nsid w:val="435840A3"/>
    <w:multiLevelType w:val="multilevel"/>
    <w:tmpl w:val="435840A3"/>
    <w:lvl w:ilvl="0" w:tentative="0">
      <w:start w:val="1"/>
      <w:numFmt w:val="decimal"/>
      <w:lvlText w:val="%1."/>
      <w:lvlJc w:val="left"/>
      <w:pPr>
        <w:ind w:left="422" w:hanging="420"/>
      </w:pPr>
    </w:lvl>
    <w:lvl w:ilvl="1" w:tentative="0">
      <w:start w:val="1"/>
      <w:numFmt w:val="lowerLetter"/>
      <w:lvlText w:val="%2)"/>
      <w:lvlJc w:val="left"/>
      <w:pPr>
        <w:ind w:left="842" w:hanging="420"/>
      </w:pPr>
    </w:lvl>
    <w:lvl w:ilvl="2" w:tentative="0">
      <w:start w:val="1"/>
      <w:numFmt w:val="lowerRoman"/>
      <w:lvlText w:val="%3."/>
      <w:lvlJc w:val="right"/>
      <w:pPr>
        <w:ind w:left="1262" w:hanging="420"/>
      </w:pPr>
    </w:lvl>
    <w:lvl w:ilvl="3" w:tentative="0">
      <w:start w:val="1"/>
      <w:numFmt w:val="decimal"/>
      <w:lvlText w:val="%4."/>
      <w:lvlJc w:val="left"/>
      <w:pPr>
        <w:ind w:left="1682" w:hanging="420"/>
      </w:pPr>
    </w:lvl>
    <w:lvl w:ilvl="4" w:tentative="0">
      <w:start w:val="1"/>
      <w:numFmt w:val="lowerLetter"/>
      <w:lvlText w:val="%5)"/>
      <w:lvlJc w:val="left"/>
      <w:pPr>
        <w:ind w:left="2102" w:hanging="420"/>
      </w:pPr>
    </w:lvl>
    <w:lvl w:ilvl="5" w:tentative="0">
      <w:start w:val="1"/>
      <w:numFmt w:val="lowerRoman"/>
      <w:lvlText w:val="%6."/>
      <w:lvlJc w:val="right"/>
      <w:pPr>
        <w:ind w:left="2522" w:hanging="420"/>
      </w:pPr>
    </w:lvl>
    <w:lvl w:ilvl="6" w:tentative="0">
      <w:start w:val="1"/>
      <w:numFmt w:val="decimal"/>
      <w:lvlText w:val="%7."/>
      <w:lvlJc w:val="left"/>
      <w:pPr>
        <w:ind w:left="2942" w:hanging="420"/>
      </w:pPr>
    </w:lvl>
    <w:lvl w:ilvl="7" w:tentative="0">
      <w:start w:val="1"/>
      <w:numFmt w:val="lowerLetter"/>
      <w:lvlText w:val="%8)"/>
      <w:lvlJc w:val="left"/>
      <w:pPr>
        <w:ind w:left="3362" w:hanging="420"/>
      </w:pPr>
    </w:lvl>
    <w:lvl w:ilvl="8" w:tentative="0">
      <w:start w:val="1"/>
      <w:numFmt w:val="lowerRoman"/>
      <w:lvlText w:val="%9."/>
      <w:lvlJc w:val="right"/>
      <w:pPr>
        <w:ind w:left="3782" w:hanging="420"/>
      </w:pPr>
    </w:lvl>
  </w:abstractNum>
  <w:abstractNum w:abstractNumId="10">
    <w:nsid w:val="5B1CD88C"/>
    <w:multiLevelType w:val="singleLevel"/>
    <w:tmpl w:val="5B1CD88C"/>
    <w:lvl w:ilvl="0" w:tentative="0">
      <w:start w:val="1"/>
      <w:numFmt w:val="decimal"/>
      <w:suff w:val="nothing"/>
      <w:lvlText w:val="%1．"/>
      <w:lvlJc w:val="left"/>
      <w:pPr>
        <w:ind w:left="0" w:firstLine="400"/>
      </w:pPr>
      <w:rPr>
        <w:rFonts w:hint="default"/>
      </w:rPr>
    </w:lvl>
  </w:abstractNum>
  <w:abstractNum w:abstractNumId="11">
    <w:nsid w:val="5D7828B9"/>
    <w:multiLevelType w:val="singleLevel"/>
    <w:tmpl w:val="5D7828B9"/>
    <w:lvl w:ilvl="0" w:tentative="0">
      <w:start w:val="1"/>
      <w:numFmt w:val="decimal"/>
      <w:lvlText w:val="（%1）"/>
      <w:lvlJc w:val="left"/>
      <w:pPr>
        <w:tabs>
          <w:tab w:val="left" w:pos="425"/>
        </w:tabs>
        <w:ind w:left="425" w:hanging="425"/>
      </w:pPr>
      <w:rPr>
        <w:rFonts w:hint="default"/>
      </w:rPr>
    </w:lvl>
  </w:abstractNum>
  <w:abstractNum w:abstractNumId="12">
    <w:nsid w:val="7D9E2CB6"/>
    <w:multiLevelType w:val="singleLevel"/>
    <w:tmpl w:val="7D9E2CB6"/>
    <w:lvl w:ilvl="0" w:tentative="0">
      <w:start w:val="1"/>
      <w:numFmt w:val="chineseCounting"/>
      <w:suff w:val="space"/>
      <w:lvlText w:val="第%1章"/>
      <w:lvlJc w:val="left"/>
      <w:rPr>
        <w:rFonts w:hint="eastAsia"/>
        <w:color w:val="auto"/>
      </w:rPr>
    </w:lvl>
  </w:abstractNum>
  <w:num w:numId="1">
    <w:abstractNumId w:val="12"/>
  </w:num>
  <w:num w:numId="2">
    <w:abstractNumId w:val="4"/>
  </w:num>
  <w:num w:numId="3">
    <w:abstractNumId w:val="2"/>
  </w:num>
  <w:num w:numId="4">
    <w:abstractNumId w:val="8"/>
  </w:num>
  <w:num w:numId="5">
    <w:abstractNumId w:val="9"/>
  </w:num>
  <w:num w:numId="6">
    <w:abstractNumId w:val="3"/>
  </w:num>
  <w:num w:numId="7">
    <w:abstractNumId w:val="5"/>
  </w:num>
  <w:num w:numId="8">
    <w:abstractNumId w:val="1"/>
  </w:num>
  <w:num w:numId="9">
    <w:abstractNumId w:val="0"/>
  </w:num>
  <w:num w:numId="10">
    <w:abstractNumId w:val="6"/>
  </w:num>
  <w:num w:numId="11">
    <w:abstractNumId w:val="10"/>
  </w:num>
  <w:num w:numId="12">
    <w:abstractNumId w:val="7"/>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isplayBackgroundShape w:val="1"/>
  <w:documentProtection w:enforcement="0"/>
  <w:defaultTabStop w:val="420"/>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DFE6E37"/>
    <w:rsid w:val="00002D9F"/>
    <w:rsid w:val="0004244A"/>
    <w:rsid w:val="00042AD2"/>
    <w:rsid w:val="00054471"/>
    <w:rsid w:val="000C6A85"/>
    <w:rsid w:val="001C60B0"/>
    <w:rsid w:val="002424D7"/>
    <w:rsid w:val="003A4DB8"/>
    <w:rsid w:val="003F6C2F"/>
    <w:rsid w:val="00404E2C"/>
    <w:rsid w:val="0055603E"/>
    <w:rsid w:val="005C0AA9"/>
    <w:rsid w:val="00771B68"/>
    <w:rsid w:val="008555EA"/>
    <w:rsid w:val="00860F50"/>
    <w:rsid w:val="0089189B"/>
    <w:rsid w:val="00977447"/>
    <w:rsid w:val="00994512"/>
    <w:rsid w:val="009F54E2"/>
    <w:rsid w:val="00AF6B58"/>
    <w:rsid w:val="00C93875"/>
    <w:rsid w:val="00D62CC9"/>
    <w:rsid w:val="00E01A8E"/>
    <w:rsid w:val="00E747E3"/>
    <w:rsid w:val="00F46D15"/>
    <w:rsid w:val="00F72CA9"/>
    <w:rsid w:val="00FB63DF"/>
    <w:rsid w:val="00FF40AC"/>
    <w:rsid w:val="01145951"/>
    <w:rsid w:val="012515C4"/>
    <w:rsid w:val="01257797"/>
    <w:rsid w:val="01EF572E"/>
    <w:rsid w:val="020442FF"/>
    <w:rsid w:val="02477318"/>
    <w:rsid w:val="02AF383B"/>
    <w:rsid w:val="02B81FC4"/>
    <w:rsid w:val="02DC2156"/>
    <w:rsid w:val="03140A3C"/>
    <w:rsid w:val="036839EA"/>
    <w:rsid w:val="036D7252"/>
    <w:rsid w:val="037405E1"/>
    <w:rsid w:val="037800D1"/>
    <w:rsid w:val="037C7496"/>
    <w:rsid w:val="03812AD8"/>
    <w:rsid w:val="038D16A3"/>
    <w:rsid w:val="03A2514E"/>
    <w:rsid w:val="03B24C65"/>
    <w:rsid w:val="03BB1D6C"/>
    <w:rsid w:val="03BC4BD4"/>
    <w:rsid w:val="03E5503B"/>
    <w:rsid w:val="03FF0592"/>
    <w:rsid w:val="040C3CF2"/>
    <w:rsid w:val="041651F4"/>
    <w:rsid w:val="047E3CBC"/>
    <w:rsid w:val="04972A57"/>
    <w:rsid w:val="049A4077"/>
    <w:rsid w:val="04A44EF6"/>
    <w:rsid w:val="04AC3B33"/>
    <w:rsid w:val="04B10661"/>
    <w:rsid w:val="04D255BF"/>
    <w:rsid w:val="04EC463F"/>
    <w:rsid w:val="050D4546"/>
    <w:rsid w:val="05525F81"/>
    <w:rsid w:val="05AA02EA"/>
    <w:rsid w:val="05D438B9"/>
    <w:rsid w:val="05E27A84"/>
    <w:rsid w:val="05F652DD"/>
    <w:rsid w:val="05F94DCD"/>
    <w:rsid w:val="060A7F0C"/>
    <w:rsid w:val="06416BB8"/>
    <w:rsid w:val="06456265"/>
    <w:rsid w:val="066F355D"/>
    <w:rsid w:val="06910EAC"/>
    <w:rsid w:val="0697042D"/>
    <w:rsid w:val="069A3EBB"/>
    <w:rsid w:val="06C947A0"/>
    <w:rsid w:val="06CE1F71"/>
    <w:rsid w:val="06E20F03"/>
    <w:rsid w:val="06E415DA"/>
    <w:rsid w:val="070357EA"/>
    <w:rsid w:val="07200C9D"/>
    <w:rsid w:val="07307616"/>
    <w:rsid w:val="0754675F"/>
    <w:rsid w:val="076B39F3"/>
    <w:rsid w:val="07D9475A"/>
    <w:rsid w:val="080A5070"/>
    <w:rsid w:val="08123F24"/>
    <w:rsid w:val="08326375"/>
    <w:rsid w:val="084F5179"/>
    <w:rsid w:val="086E1AA3"/>
    <w:rsid w:val="08987BE8"/>
    <w:rsid w:val="08AB5D98"/>
    <w:rsid w:val="08AE6343"/>
    <w:rsid w:val="08AF2F0D"/>
    <w:rsid w:val="08D32682"/>
    <w:rsid w:val="08D35DAA"/>
    <w:rsid w:val="08D37B58"/>
    <w:rsid w:val="08EF6AC2"/>
    <w:rsid w:val="09185F2E"/>
    <w:rsid w:val="097815DF"/>
    <w:rsid w:val="09840E52"/>
    <w:rsid w:val="098E31D7"/>
    <w:rsid w:val="09A84B8F"/>
    <w:rsid w:val="09D57431"/>
    <w:rsid w:val="09D9508C"/>
    <w:rsid w:val="09F47D86"/>
    <w:rsid w:val="0A3D797F"/>
    <w:rsid w:val="0A3E078F"/>
    <w:rsid w:val="0A3E54A5"/>
    <w:rsid w:val="0A7F6940"/>
    <w:rsid w:val="0B1D330C"/>
    <w:rsid w:val="0B316DB7"/>
    <w:rsid w:val="0B4E1717"/>
    <w:rsid w:val="0B514CED"/>
    <w:rsid w:val="0BA12829"/>
    <w:rsid w:val="0BCB720C"/>
    <w:rsid w:val="0BE85AA6"/>
    <w:rsid w:val="0C0A1AE2"/>
    <w:rsid w:val="0C23344D"/>
    <w:rsid w:val="0C2506CA"/>
    <w:rsid w:val="0C393981"/>
    <w:rsid w:val="0C3B7EEE"/>
    <w:rsid w:val="0C5B233E"/>
    <w:rsid w:val="0C8B0141"/>
    <w:rsid w:val="0CA03970"/>
    <w:rsid w:val="0CAA0BCF"/>
    <w:rsid w:val="0CC2416B"/>
    <w:rsid w:val="0D0B2017"/>
    <w:rsid w:val="0D2729F3"/>
    <w:rsid w:val="0D5D3E94"/>
    <w:rsid w:val="0D907DC5"/>
    <w:rsid w:val="0D9A5BFA"/>
    <w:rsid w:val="0D9F44AC"/>
    <w:rsid w:val="0DAC6849"/>
    <w:rsid w:val="0DAD0977"/>
    <w:rsid w:val="0DE620DB"/>
    <w:rsid w:val="0DEF71E2"/>
    <w:rsid w:val="0DFE5677"/>
    <w:rsid w:val="0E19425F"/>
    <w:rsid w:val="0E1C2E40"/>
    <w:rsid w:val="0E2624D8"/>
    <w:rsid w:val="0E3F3599"/>
    <w:rsid w:val="0E4219DB"/>
    <w:rsid w:val="0E455054"/>
    <w:rsid w:val="0E83792A"/>
    <w:rsid w:val="0E903DF5"/>
    <w:rsid w:val="0EA87391"/>
    <w:rsid w:val="0F072309"/>
    <w:rsid w:val="0F6B6D3C"/>
    <w:rsid w:val="0F851480"/>
    <w:rsid w:val="0FA1450C"/>
    <w:rsid w:val="0FB04146"/>
    <w:rsid w:val="0FD45C52"/>
    <w:rsid w:val="0FDC3796"/>
    <w:rsid w:val="0FF74205"/>
    <w:rsid w:val="1008458B"/>
    <w:rsid w:val="108F25B6"/>
    <w:rsid w:val="10947BCD"/>
    <w:rsid w:val="10DD5A17"/>
    <w:rsid w:val="1105322F"/>
    <w:rsid w:val="11286567"/>
    <w:rsid w:val="1131366D"/>
    <w:rsid w:val="11502F48"/>
    <w:rsid w:val="1193356B"/>
    <w:rsid w:val="11AC7198"/>
    <w:rsid w:val="11DA02A7"/>
    <w:rsid w:val="11E20D72"/>
    <w:rsid w:val="11F72B09"/>
    <w:rsid w:val="122B27B2"/>
    <w:rsid w:val="124318AA"/>
    <w:rsid w:val="12631F4C"/>
    <w:rsid w:val="129C720C"/>
    <w:rsid w:val="13001549"/>
    <w:rsid w:val="130D1EB8"/>
    <w:rsid w:val="130F5C30"/>
    <w:rsid w:val="134929F4"/>
    <w:rsid w:val="136071FB"/>
    <w:rsid w:val="137B7981"/>
    <w:rsid w:val="138559A4"/>
    <w:rsid w:val="138959E3"/>
    <w:rsid w:val="138F7287"/>
    <w:rsid w:val="139B74C4"/>
    <w:rsid w:val="13A445CA"/>
    <w:rsid w:val="13E23345"/>
    <w:rsid w:val="13E87CB7"/>
    <w:rsid w:val="13FE380B"/>
    <w:rsid w:val="140432BB"/>
    <w:rsid w:val="14740441"/>
    <w:rsid w:val="148443FC"/>
    <w:rsid w:val="14926B19"/>
    <w:rsid w:val="149F2FE4"/>
    <w:rsid w:val="14A423A8"/>
    <w:rsid w:val="153100AC"/>
    <w:rsid w:val="154F67B8"/>
    <w:rsid w:val="15652DAA"/>
    <w:rsid w:val="159E5049"/>
    <w:rsid w:val="15A517B3"/>
    <w:rsid w:val="15E92BC7"/>
    <w:rsid w:val="15FD3709"/>
    <w:rsid w:val="16157A01"/>
    <w:rsid w:val="167A7865"/>
    <w:rsid w:val="168B1A72"/>
    <w:rsid w:val="16C32C88"/>
    <w:rsid w:val="16C358AF"/>
    <w:rsid w:val="16C73E99"/>
    <w:rsid w:val="16CB6312"/>
    <w:rsid w:val="16D637FC"/>
    <w:rsid w:val="16DE4297"/>
    <w:rsid w:val="16F76FA7"/>
    <w:rsid w:val="17141A67"/>
    <w:rsid w:val="171D7411"/>
    <w:rsid w:val="172A3039"/>
    <w:rsid w:val="17365E81"/>
    <w:rsid w:val="17465999"/>
    <w:rsid w:val="1773288D"/>
    <w:rsid w:val="178D1D96"/>
    <w:rsid w:val="178E2610"/>
    <w:rsid w:val="17966920"/>
    <w:rsid w:val="17A74C5B"/>
    <w:rsid w:val="180B1483"/>
    <w:rsid w:val="183459BE"/>
    <w:rsid w:val="183D4C8C"/>
    <w:rsid w:val="183D7B1A"/>
    <w:rsid w:val="184F3D45"/>
    <w:rsid w:val="18BE7B6B"/>
    <w:rsid w:val="18C272A1"/>
    <w:rsid w:val="18E37943"/>
    <w:rsid w:val="191C4C03"/>
    <w:rsid w:val="192561AE"/>
    <w:rsid w:val="192A5572"/>
    <w:rsid w:val="194D3428"/>
    <w:rsid w:val="195B397D"/>
    <w:rsid w:val="19946E8F"/>
    <w:rsid w:val="199E39C2"/>
    <w:rsid w:val="19A8293B"/>
    <w:rsid w:val="19B4308D"/>
    <w:rsid w:val="19E53A5C"/>
    <w:rsid w:val="19FD4712"/>
    <w:rsid w:val="1A332204"/>
    <w:rsid w:val="1A7F3E24"/>
    <w:rsid w:val="1ABA2925"/>
    <w:rsid w:val="1AC217DA"/>
    <w:rsid w:val="1ADA4D76"/>
    <w:rsid w:val="1AE856E5"/>
    <w:rsid w:val="1AFE2C2B"/>
    <w:rsid w:val="1B1F09DB"/>
    <w:rsid w:val="1B785BC3"/>
    <w:rsid w:val="1B982FF3"/>
    <w:rsid w:val="1BCC2910"/>
    <w:rsid w:val="1BCC5812"/>
    <w:rsid w:val="1BD971F4"/>
    <w:rsid w:val="1C0F2CE1"/>
    <w:rsid w:val="1C224C26"/>
    <w:rsid w:val="1C4032FE"/>
    <w:rsid w:val="1C67088B"/>
    <w:rsid w:val="1C9821F8"/>
    <w:rsid w:val="1CE74054"/>
    <w:rsid w:val="1CF90CC4"/>
    <w:rsid w:val="1D864D41"/>
    <w:rsid w:val="1DD84EE2"/>
    <w:rsid w:val="1DEF28E6"/>
    <w:rsid w:val="1E0D5462"/>
    <w:rsid w:val="1E2702D2"/>
    <w:rsid w:val="1E276524"/>
    <w:rsid w:val="1E4862C5"/>
    <w:rsid w:val="1E594203"/>
    <w:rsid w:val="1E674B72"/>
    <w:rsid w:val="1E7B23CC"/>
    <w:rsid w:val="1EC575F3"/>
    <w:rsid w:val="1F0B126A"/>
    <w:rsid w:val="1F10520A"/>
    <w:rsid w:val="1F3E1D77"/>
    <w:rsid w:val="1F42113B"/>
    <w:rsid w:val="1F7C63FB"/>
    <w:rsid w:val="1F9803AC"/>
    <w:rsid w:val="1FC54AD0"/>
    <w:rsid w:val="1FD46237"/>
    <w:rsid w:val="1FD47FE6"/>
    <w:rsid w:val="203D01A7"/>
    <w:rsid w:val="204F58BE"/>
    <w:rsid w:val="209F2A54"/>
    <w:rsid w:val="20D3029D"/>
    <w:rsid w:val="20D73ACA"/>
    <w:rsid w:val="20FD1BD4"/>
    <w:rsid w:val="210F5BEB"/>
    <w:rsid w:val="211F34E2"/>
    <w:rsid w:val="215E465C"/>
    <w:rsid w:val="21671CF6"/>
    <w:rsid w:val="217955C5"/>
    <w:rsid w:val="21870540"/>
    <w:rsid w:val="218E0668"/>
    <w:rsid w:val="21B06830"/>
    <w:rsid w:val="21C36564"/>
    <w:rsid w:val="21CB5418"/>
    <w:rsid w:val="21D2742D"/>
    <w:rsid w:val="21DB27DD"/>
    <w:rsid w:val="21ED1832"/>
    <w:rsid w:val="21EF66FA"/>
    <w:rsid w:val="22806A26"/>
    <w:rsid w:val="228D764F"/>
    <w:rsid w:val="228F6446"/>
    <w:rsid w:val="229C6DE9"/>
    <w:rsid w:val="22A939AB"/>
    <w:rsid w:val="22B97967"/>
    <w:rsid w:val="22D64075"/>
    <w:rsid w:val="22D84291"/>
    <w:rsid w:val="22E76282"/>
    <w:rsid w:val="22E91FFA"/>
    <w:rsid w:val="22F42369"/>
    <w:rsid w:val="231150AD"/>
    <w:rsid w:val="233D68BC"/>
    <w:rsid w:val="23515DF1"/>
    <w:rsid w:val="23AC3027"/>
    <w:rsid w:val="23BD5235"/>
    <w:rsid w:val="23C465C3"/>
    <w:rsid w:val="23CD1D77"/>
    <w:rsid w:val="23F46EA8"/>
    <w:rsid w:val="24150BCD"/>
    <w:rsid w:val="24281889"/>
    <w:rsid w:val="24561911"/>
    <w:rsid w:val="24697FC3"/>
    <w:rsid w:val="24961D0D"/>
    <w:rsid w:val="24B403E6"/>
    <w:rsid w:val="24C90A33"/>
    <w:rsid w:val="24DB3BC4"/>
    <w:rsid w:val="25115838"/>
    <w:rsid w:val="251A3303"/>
    <w:rsid w:val="253611E3"/>
    <w:rsid w:val="2547125A"/>
    <w:rsid w:val="254C4AC2"/>
    <w:rsid w:val="25545725"/>
    <w:rsid w:val="255F65A3"/>
    <w:rsid w:val="25710085"/>
    <w:rsid w:val="25CA1509"/>
    <w:rsid w:val="25EC437E"/>
    <w:rsid w:val="25EE5B79"/>
    <w:rsid w:val="2603369C"/>
    <w:rsid w:val="260450DB"/>
    <w:rsid w:val="263C4015"/>
    <w:rsid w:val="26BE19EF"/>
    <w:rsid w:val="26E054C2"/>
    <w:rsid w:val="270645C5"/>
    <w:rsid w:val="2707406D"/>
    <w:rsid w:val="275B16C7"/>
    <w:rsid w:val="276E6F72"/>
    <w:rsid w:val="2781787A"/>
    <w:rsid w:val="27CE5C62"/>
    <w:rsid w:val="281D44F4"/>
    <w:rsid w:val="28355CE1"/>
    <w:rsid w:val="28440A5B"/>
    <w:rsid w:val="284B72B3"/>
    <w:rsid w:val="284C045D"/>
    <w:rsid w:val="28846049"/>
    <w:rsid w:val="28CC3C7C"/>
    <w:rsid w:val="28E31299"/>
    <w:rsid w:val="28F17E5A"/>
    <w:rsid w:val="2901747F"/>
    <w:rsid w:val="29157C90"/>
    <w:rsid w:val="29540304"/>
    <w:rsid w:val="29673C78"/>
    <w:rsid w:val="29A5570A"/>
    <w:rsid w:val="29A63C37"/>
    <w:rsid w:val="29D62BAC"/>
    <w:rsid w:val="2A1B6CAB"/>
    <w:rsid w:val="2A390483"/>
    <w:rsid w:val="2A4E4E38"/>
    <w:rsid w:val="2A7228D5"/>
    <w:rsid w:val="2A726D79"/>
    <w:rsid w:val="2A900FAD"/>
    <w:rsid w:val="2AB62A28"/>
    <w:rsid w:val="2B141BDE"/>
    <w:rsid w:val="2B794137"/>
    <w:rsid w:val="2B7F70A5"/>
    <w:rsid w:val="2BBF0C1C"/>
    <w:rsid w:val="2BFA5278"/>
    <w:rsid w:val="2C17011F"/>
    <w:rsid w:val="2C2B3086"/>
    <w:rsid w:val="2C387B4E"/>
    <w:rsid w:val="2C525562"/>
    <w:rsid w:val="2C557D13"/>
    <w:rsid w:val="2C610E53"/>
    <w:rsid w:val="2C755D0D"/>
    <w:rsid w:val="2C8E59C0"/>
    <w:rsid w:val="2CA13945"/>
    <w:rsid w:val="2CAC2A7B"/>
    <w:rsid w:val="2CC24314"/>
    <w:rsid w:val="2CCE2260"/>
    <w:rsid w:val="2CDD07AF"/>
    <w:rsid w:val="2CE65C9B"/>
    <w:rsid w:val="2CF90D9F"/>
    <w:rsid w:val="2D2D342B"/>
    <w:rsid w:val="2D687FBF"/>
    <w:rsid w:val="2D9B2143"/>
    <w:rsid w:val="2D9E319D"/>
    <w:rsid w:val="2DB86843"/>
    <w:rsid w:val="2DC86BB5"/>
    <w:rsid w:val="2DE57862"/>
    <w:rsid w:val="2DFE6E37"/>
    <w:rsid w:val="2E36630F"/>
    <w:rsid w:val="2E813A2E"/>
    <w:rsid w:val="2EBA6F40"/>
    <w:rsid w:val="2ED31DB0"/>
    <w:rsid w:val="2F3445FD"/>
    <w:rsid w:val="2F3B04EC"/>
    <w:rsid w:val="2F57653D"/>
    <w:rsid w:val="2F6B1FE9"/>
    <w:rsid w:val="2F762E67"/>
    <w:rsid w:val="2F875074"/>
    <w:rsid w:val="2FAF0127"/>
    <w:rsid w:val="2FD656B4"/>
    <w:rsid w:val="30566D41"/>
    <w:rsid w:val="3075313F"/>
    <w:rsid w:val="311B7998"/>
    <w:rsid w:val="312D57A8"/>
    <w:rsid w:val="312E5FEB"/>
    <w:rsid w:val="314D7FA5"/>
    <w:rsid w:val="31927ECA"/>
    <w:rsid w:val="31C76D4C"/>
    <w:rsid w:val="31D356B0"/>
    <w:rsid w:val="31DC0F7C"/>
    <w:rsid w:val="324A23F5"/>
    <w:rsid w:val="326276D3"/>
    <w:rsid w:val="3284085C"/>
    <w:rsid w:val="32851613"/>
    <w:rsid w:val="32954E27"/>
    <w:rsid w:val="329D695D"/>
    <w:rsid w:val="32C97752"/>
    <w:rsid w:val="33233306"/>
    <w:rsid w:val="33323549"/>
    <w:rsid w:val="334A3B6B"/>
    <w:rsid w:val="33751688"/>
    <w:rsid w:val="339C4E66"/>
    <w:rsid w:val="339E473B"/>
    <w:rsid w:val="33CF0D98"/>
    <w:rsid w:val="34207846"/>
    <w:rsid w:val="3437693D"/>
    <w:rsid w:val="346F257B"/>
    <w:rsid w:val="34916467"/>
    <w:rsid w:val="349A75F8"/>
    <w:rsid w:val="34C46423"/>
    <w:rsid w:val="34EB7E53"/>
    <w:rsid w:val="35156C7E"/>
    <w:rsid w:val="35213875"/>
    <w:rsid w:val="35366BF5"/>
    <w:rsid w:val="353A66E5"/>
    <w:rsid w:val="353F5AA9"/>
    <w:rsid w:val="35586B6B"/>
    <w:rsid w:val="3579545F"/>
    <w:rsid w:val="35A3428A"/>
    <w:rsid w:val="35B81867"/>
    <w:rsid w:val="35BE328B"/>
    <w:rsid w:val="35C661CB"/>
    <w:rsid w:val="35E11256"/>
    <w:rsid w:val="35F74A58"/>
    <w:rsid w:val="35FC7755"/>
    <w:rsid w:val="35FE5964"/>
    <w:rsid w:val="36034D29"/>
    <w:rsid w:val="36056CF3"/>
    <w:rsid w:val="361231BE"/>
    <w:rsid w:val="3655404E"/>
    <w:rsid w:val="365E5169"/>
    <w:rsid w:val="367B6FB5"/>
    <w:rsid w:val="36AC7588"/>
    <w:rsid w:val="36AE738B"/>
    <w:rsid w:val="36C42DDA"/>
    <w:rsid w:val="371C0798"/>
    <w:rsid w:val="37313B18"/>
    <w:rsid w:val="374C55D7"/>
    <w:rsid w:val="375E2A17"/>
    <w:rsid w:val="377744E3"/>
    <w:rsid w:val="378C0679"/>
    <w:rsid w:val="37D03331"/>
    <w:rsid w:val="38082ACA"/>
    <w:rsid w:val="38277363"/>
    <w:rsid w:val="38314519"/>
    <w:rsid w:val="38336D98"/>
    <w:rsid w:val="38523D46"/>
    <w:rsid w:val="386C3059"/>
    <w:rsid w:val="388760E5"/>
    <w:rsid w:val="388D4D7E"/>
    <w:rsid w:val="3891486E"/>
    <w:rsid w:val="38AD71CE"/>
    <w:rsid w:val="38F512A1"/>
    <w:rsid w:val="39406294"/>
    <w:rsid w:val="394A3E0E"/>
    <w:rsid w:val="394B1EE3"/>
    <w:rsid w:val="396E1053"/>
    <w:rsid w:val="39974106"/>
    <w:rsid w:val="39DF785B"/>
    <w:rsid w:val="39F64F22"/>
    <w:rsid w:val="3A257964"/>
    <w:rsid w:val="3A3A5061"/>
    <w:rsid w:val="3A3C6A5B"/>
    <w:rsid w:val="3A4678DA"/>
    <w:rsid w:val="3A543DA5"/>
    <w:rsid w:val="3A571AE7"/>
    <w:rsid w:val="3A8D375B"/>
    <w:rsid w:val="3AA72A81"/>
    <w:rsid w:val="3AAA60BB"/>
    <w:rsid w:val="3AD1189A"/>
    <w:rsid w:val="3AD84A09"/>
    <w:rsid w:val="3ADD0477"/>
    <w:rsid w:val="3B607CCB"/>
    <w:rsid w:val="3B8A3141"/>
    <w:rsid w:val="3B8C6111"/>
    <w:rsid w:val="3BA05290"/>
    <w:rsid w:val="3BB371F1"/>
    <w:rsid w:val="3BC431AC"/>
    <w:rsid w:val="3C381797"/>
    <w:rsid w:val="3C4B567C"/>
    <w:rsid w:val="3C636521"/>
    <w:rsid w:val="3C6C6886"/>
    <w:rsid w:val="3C7C3A87"/>
    <w:rsid w:val="3C942B7F"/>
    <w:rsid w:val="3C9613C2"/>
    <w:rsid w:val="3C9E39FD"/>
    <w:rsid w:val="3CAB3899"/>
    <w:rsid w:val="3CE75344"/>
    <w:rsid w:val="3D463DBE"/>
    <w:rsid w:val="3D4B05F7"/>
    <w:rsid w:val="3D536F54"/>
    <w:rsid w:val="3D6F2940"/>
    <w:rsid w:val="3D7D285B"/>
    <w:rsid w:val="3D8F1598"/>
    <w:rsid w:val="3D995F73"/>
    <w:rsid w:val="3DE2791A"/>
    <w:rsid w:val="3E263CAA"/>
    <w:rsid w:val="3E396CAE"/>
    <w:rsid w:val="3E3C527C"/>
    <w:rsid w:val="3E506F79"/>
    <w:rsid w:val="3E78202C"/>
    <w:rsid w:val="3E8135D7"/>
    <w:rsid w:val="3EA62247"/>
    <w:rsid w:val="3EAD43CC"/>
    <w:rsid w:val="3EE33949"/>
    <w:rsid w:val="3F0D4E6A"/>
    <w:rsid w:val="3F0F473E"/>
    <w:rsid w:val="3F485EA2"/>
    <w:rsid w:val="3F6074C6"/>
    <w:rsid w:val="3F6251B6"/>
    <w:rsid w:val="3FB65AD9"/>
    <w:rsid w:val="3FE05723"/>
    <w:rsid w:val="40185875"/>
    <w:rsid w:val="40452C81"/>
    <w:rsid w:val="40F40462"/>
    <w:rsid w:val="41083B3B"/>
    <w:rsid w:val="41151DB4"/>
    <w:rsid w:val="41FF4F3E"/>
    <w:rsid w:val="420756AF"/>
    <w:rsid w:val="42312C1E"/>
    <w:rsid w:val="42351E4A"/>
    <w:rsid w:val="42905B96"/>
    <w:rsid w:val="42925DB2"/>
    <w:rsid w:val="42AE426E"/>
    <w:rsid w:val="42EB4309"/>
    <w:rsid w:val="435C016E"/>
    <w:rsid w:val="436F7EA2"/>
    <w:rsid w:val="437159C8"/>
    <w:rsid w:val="439B0C97"/>
    <w:rsid w:val="43AE09CA"/>
    <w:rsid w:val="43E7787B"/>
    <w:rsid w:val="44507CD3"/>
    <w:rsid w:val="445826D6"/>
    <w:rsid w:val="446E021C"/>
    <w:rsid w:val="44890AEF"/>
    <w:rsid w:val="448917EC"/>
    <w:rsid w:val="44AB315B"/>
    <w:rsid w:val="44C1472D"/>
    <w:rsid w:val="44C72567"/>
    <w:rsid w:val="44CD30D2"/>
    <w:rsid w:val="44D3620E"/>
    <w:rsid w:val="44D53D34"/>
    <w:rsid w:val="450D39DC"/>
    <w:rsid w:val="452F78E8"/>
    <w:rsid w:val="456D1210"/>
    <w:rsid w:val="45755466"/>
    <w:rsid w:val="458E3B2C"/>
    <w:rsid w:val="45C460E2"/>
    <w:rsid w:val="45CB62B0"/>
    <w:rsid w:val="46032B23"/>
    <w:rsid w:val="46191F15"/>
    <w:rsid w:val="46342CDD"/>
    <w:rsid w:val="465A0995"/>
    <w:rsid w:val="468C5B4C"/>
    <w:rsid w:val="469D030B"/>
    <w:rsid w:val="46B81CA9"/>
    <w:rsid w:val="46B8390E"/>
    <w:rsid w:val="470C6541"/>
    <w:rsid w:val="47525B10"/>
    <w:rsid w:val="47A766F5"/>
    <w:rsid w:val="47C84024"/>
    <w:rsid w:val="47D67146"/>
    <w:rsid w:val="48054931"/>
    <w:rsid w:val="48360F8E"/>
    <w:rsid w:val="483B0352"/>
    <w:rsid w:val="48662AE6"/>
    <w:rsid w:val="487C41DD"/>
    <w:rsid w:val="48931F3C"/>
    <w:rsid w:val="489D100D"/>
    <w:rsid w:val="48DC364A"/>
    <w:rsid w:val="49125EA8"/>
    <w:rsid w:val="4955220D"/>
    <w:rsid w:val="495B760C"/>
    <w:rsid w:val="497F07EA"/>
    <w:rsid w:val="498B1B6E"/>
    <w:rsid w:val="498B5C77"/>
    <w:rsid w:val="49CB11E1"/>
    <w:rsid w:val="49DF0B35"/>
    <w:rsid w:val="49EA64D4"/>
    <w:rsid w:val="4A0D488A"/>
    <w:rsid w:val="4A135CEC"/>
    <w:rsid w:val="4A2A75AB"/>
    <w:rsid w:val="4A3D212B"/>
    <w:rsid w:val="4A8204BA"/>
    <w:rsid w:val="4AC705C3"/>
    <w:rsid w:val="4ACF1226"/>
    <w:rsid w:val="4B007631"/>
    <w:rsid w:val="4B232DA2"/>
    <w:rsid w:val="4B2B0B52"/>
    <w:rsid w:val="4B320132"/>
    <w:rsid w:val="4BA32DDE"/>
    <w:rsid w:val="4BAE65E0"/>
    <w:rsid w:val="4BC863A1"/>
    <w:rsid w:val="4BCD6803"/>
    <w:rsid w:val="4BF947AC"/>
    <w:rsid w:val="4C03387D"/>
    <w:rsid w:val="4C1E1B11"/>
    <w:rsid w:val="4C575977"/>
    <w:rsid w:val="4C602A7D"/>
    <w:rsid w:val="4C63431C"/>
    <w:rsid w:val="4C637F6F"/>
    <w:rsid w:val="4C857281"/>
    <w:rsid w:val="4C891FD4"/>
    <w:rsid w:val="4CC052CA"/>
    <w:rsid w:val="4CFC67F4"/>
    <w:rsid w:val="4D1675E0"/>
    <w:rsid w:val="4D1D67F6"/>
    <w:rsid w:val="4D562C80"/>
    <w:rsid w:val="4D7560B4"/>
    <w:rsid w:val="4D77225E"/>
    <w:rsid w:val="4D930C30"/>
    <w:rsid w:val="4D9E721C"/>
    <w:rsid w:val="4DA8316C"/>
    <w:rsid w:val="4DAB1AD6"/>
    <w:rsid w:val="4DFE254E"/>
    <w:rsid w:val="4F561F16"/>
    <w:rsid w:val="4F585C8E"/>
    <w:rsid w:val="4F6208BA"/>
    <w:rsid w:val="4F7A5C04"/>
    <w:rsid w:val="4F8C3B89"/>
    <w:rsid w:val="4F900B6C"/>
    <w:rsid w:val="4F936CC6"/>
    <w:rsid w:val="4F9812E6"/>
    <w:rsid w:val="501D6F9B"/>
    <w:rsid w:val="50402E5B"/>
    <w:rsid w:val="50427092"/>
    <w:rsid w:val="50446212"/>
    <w:rsid w:val="5057684C"/>
    <w:rsid w:val="50870229"/>
    <w:rsid w:val="50A56CB1"/>
    <w:rsid w:val="50B45146"/>
    <w:rsid w:val="50C7131D"/>
    <w:rsid w:val="51037E7B"/>
    <w:rsid w:val="511676E7"/>
    <w:rsid w:val="511B3417"/>
    <w:rsid w:val="51625CF9"/>
    <w:rsid w:val="516A7EFA"/>
    <w:rsid w:val="51890380"/>
    <w:rsid w:val="51932FAD"/>
    <w:rsid w:val="51A11B6E"/>
    <w:rsid w:val="522602C5"/>
    <w:rsid w:val="523227C6"/>
    <w:rsid w:val="52376968"/>
    <w:rsid w:val="5268268C"/>
    <w:rsid w:val="527C7390"/>
    <w:rsid w:val="52B2524E"/>
    <w:rsid w:val="52DE1FCB"/>
    <w:rsid w:val="52F061DD"/>
    <w:rsid w:val="531E6426"/>
    <w:rsid w:val="532A1B08"/>
    <w:rsid w:val="536852EA"/>
    <w:rsid w:val="538961A4"/>
    <w:rsid w:val="53913EDA"/>
    <w:rsid w:val="53A45945"/>
    <w:rsid w:val="53A6324B"/>
    <w:rsid w:val="53AC3F77"/>
    <w:rsid w:val="53CF4C42"/>
    <w:rsid w:val="53EC109A"/>
    <w:rsid w:val="540A1361"/>
    <w:rsid w:val="54297BF9"/>
    <w:rsid w:val="549B4897"/>
    <w:rsid w:val="549F7EBB"/>
    <w:rsid w:val="54A31759"/>
    <w:rsid w:val="54BB7C66"/>
    <w:rsid w:val="54CE77E9"/>
    <w:rsid w:val="55447A06"/>
    <w:rsid w:val="558318CB"/>
    <w:rsid w:val="558E2409"/>
    <w:rsid w:val="55B160F8"/>
    <w:rsid w:val="55CC2F32"/>
    <w:rsid w:val="55E0078B"/>
    <w:rsid w:val="560721BC"/>
    <w:rsid w:val="561D378D"/>
    <w:rsid w:val="56384123"/>
    <w:rsid w:val="5653600F"/>
    <w:rsid w:val="568E01E7"/>
    <w:rsid w:val="56E322E1"/>
    <w:rsid w:val="56F02C50"/>
    <w:rsid w:val="57154464"/>
    <w:rsid w:val="57407733"/>
    <w:rsid w:val="576176AA"/>
    <w:rsid w:val="57822B16"/>
    <w:rsid w:val="5785783C"/>
    <w:rsid w:val="579B7990"/>
    <w:rsid w:val="57A53A3A"/>
    <w:rsid w:val="57CF2E23"/>
    <w:rsid w:val="57E52089"/>
    <w:rsid w:val="581651B7"/>
    <w:rsid w:val="581E3FA7"/>
    <w:rsid w:val="58247A66"/>
    <w:rsid w:val="583D33C0"/>
    <w:rsid w:val="583F5C3D"/>
    <w:rsid w:val="585D4315"/>
    <w:rsid w:val="585F1E3B"/>
    <w:rsid w:val="58D17250"/>
    <w:rsid w:val="58E467E4"/>
    <w:rsid w:val="58F5454D"/>
    <w:rsid w:val="590B5B1F"/>
    <w:rsid w:val="590D1897"/>
    <w:rsid w:val="59691FED"/>
    <w:rsid w:val="597638E0"/>
    <w:rsid w:val="59CA59DA"/>
    <w:rsid w:val="59D46859"/>
    <w:rsid w:val="59FB2037"/>
    <w:rsid w:val="5A094F9B"/>
    <w:rsid w:val="5A1E7C63"/>
    <w:rsid w:val="5A276988"/>
    <w:rsid w:val="5A4F0EF0"/>
    <w:rsid w:val="5A931906"/>
    <w:rsid w:val="5A981634"/>
    <w:rsid w:val="5A9B58C8"/>
    <w:rsid w:val="5AC643F3"/>
    <w:rsid w:val="5B1038C0"/>
    <w:rsid w:val="5B136F0D"/>
    <w:rsid w:val="5B7E7C0D"/>
    <w:rsid w:val="5B977B3E"/>
    <w:rsid w:val="5B9E0ECC"/>
    <w:rsid w:val="5C2C4F2D"/>
    <w:rsid w:val="5C441F61"/>
    <w:rsid w:val="5C574268"/>
    <w:rsid w:val="5C7120A1"/>
    <w:rsid w:val="5C806824"/>
    <w:rsid w:val="5CB52971"/>
    <w:rsid w:val="5CD66444"/>
    <w:rsid w:val="5CED210B"/>
    <w:rsid w:val="5CF37F1D"/>
    <w:rsid w:val="5D184CAE"/>
    <w:rsid w:val="5D5977A1"/>
    <w:rsid w:val="5D63417B"/>
    <w:rsid w:val="5D6D5967"/>
    <w:rsid w:val="5D8B36D2"/>
    <w:rsid w:val="5D8F4F70"/>
    <w:rsid w:val="5D900CE9"/>
    <w:rsid w:val="5DAF116F"/>
    <w:rsid w:val="5DD26CE9"/>
    <w:rsid w:val="5DD30284"/>
    <w:rsid w:val="5E38461F"/>
    <w:rsid w:val="5E56783C"/>
    <w:rsid w:val="5E5B30A5"/>
    <w:rsid w:val="5E627F18"/>
    <w:rsid w:val="5E8545C5"/>
    <w:rsid w:val="5EB332EB"/>
    <w:rsid w:val="5EC7698C"/>
    <w:rsid w:val="5EE70977"/>
    <w:rsid w:val="5FA347AB"/>
    <w:rsid w:val="5FB962D5"/>
    <w:rsid w:val="5FD924D3"/>
    <w:rsid w:val="602045A6"/>
    <w:rsid w:val="6021764B"/>
    <w:rsid w:val="60367925"/>
    <w:rsid w:val="60457B68"/>
    <w:rsid w:val="60834419"/>
    <w:rsid w:val="608B78E2"/>
    <w:rsid w:val="60910B83"/>
    <w:rsid w:val="609A4F3F"/>
    <w:rsid w:val="60A8015D"/>
    <w:rsid w:val="60B85F03"/>
    <w:rsid w:val="60C413D5"/>
    <w:rsid w:val="60DC361E"/>
    <w:rsid w:val="60E0295D"/>
    <w:rsid w:val="613B24C6"/>
    <w:rsid w:val="61442516"/>
    <w:rsid w:val="616933C9"/>
    <w:rsid w:val="61717698"/>
    <w:rsid w:val="61A15272"/>
    <w:rsid w:val="61C4171F"/>
    <w:rsid w:val="61C72A34"/>
    <w:rsid w:val="61F93300"/>
    <w:rsid w:val="621D48D8"/>
    <w:rsid w:val="62424293"/>
    <w:rsid w:val="624A1CB6"/>
    <w:rsid w:val="624A77E6"/>
    <w:rsid w:val="625B18C5"/>
    <w:rsid w:val="62854B94"/>
    <w:rsid w:val="62A96AD4"/>
    <w:rsid w:val="62B0228F"/>
    <w:rsid w:val="62E775FD"/>
    <w:rsid w:val="630C2BBF"/>
    <w:rsid w:val="63141A74"/>
    <w:rsid w:val="631E435E"/>
    <w:rsid w:val="63213CF4"/>
    <w:rsid w:val="63780255"/>
    <w:rsid w:val="63AC7EFE"/>
    <w:rsid w:val="63B514A9"/>
    <w:rsid w:val="63B55005"/>
    <w:rsid w:val="63D86F45"/>
    <w:rsid w:val="63E2436F"/>
    <w:rsid w:val="642714D7"/>
    <w:rsid w:val="6450412D"/>
    <w:rsid w:val="646B203D"/>
    <w:rsid w:val="64832C8B"/>
    <w:rsid w:val="64A0142F"/>
    <w:rsid w:val="64A86918"/>
    <w:rsid w:val="64AF5EF8"/>
    <w:rsid w:val="64CA053B"/>
    <w:rsid w:val="64CA31F0"/>
    <w:rsid w:val="64DA367B"/>
    <w:rsid w:val="64DD4813"/>
    <w:rsid w:val="64E14962"/>
    <w:rsid w:val="64F61D79"/>
    <w:rsid w:val="650163F6"/>
    <w:rsid w:val="650476EC"/>
    <w:rsid w:val="65282833"/>
    <w:rsid w:val="652E26F9"/>
    <w:rsid w:val="65314B5F"/>
    <w:rsid w:val="65366619"/>
    <w:rsid w:val="655A5C70"/>
    <w:rsid w:val="65640A91"/>
    <w:rsid w:val="65727C4B"/>
    <w:rsid w:val="657367EC"/>
    <w:rsid w:val="65785BCE"/>
    <w:rsid w:val="658554FB"/>
    <w:rsid w:val="658B6DC7"/>
    <w:rsid w:val="659F7D1B"/>
    <w:rsid w:val="65A25A5D"/>
    <w:rsid w:val="65AA3925"/>
    <w:rsid w:val="65F242EE"/>
    <w:rsid w:val="65FB7383"/>
    <w:rsid w:val="660B3602"/>
    <w:rsid w:val="66707909"/>
    <w:rsid w:val="66712BBB"/>
    <w:rsid w:val="667C62AE"/>
    <w:rsid w:val="668F2A3A"/>
    <w:rsid w:val="66A23F66"/>
    <w:rsid w:val="66AD4998"/>
    <w:rsid w:val="66B2326C"/>
    <w:rsid w:val="66BA7997"/>
    <w:rsid w:val="66DF815B"/>
    <w:rsid w:val="66E14363"/>
    <w:rsid w:val="676A395C"/>
    <w:rsid w:val="678278F4"/>
    <w:rsid w:val="67A55390"/>
    <w:rsid w:val="67CD5013"/>
    <w:rsid w:val="67DD2D7C"/>
    <w:rsid w:val="6803183C"/>
    <w:rsid w:val="685E3F02"/>
    <w:rsid w:val="68662D72"/>
    <w:rsid w:val="68A33BCF"/>
    <w:rsid w:val="68A4383E"/>
    <w:rsid w:val="69061224"/>
    <w:rsid w:val="693C4933"/>
    <w:rsid w:val="69562DE6"/>
    <w:rsid w:val="698931BC"/>
    <w:rsid w:val="69FF3DA6"/>
    <w:rsid w:val="6A0A597F"/>
    <w:rsid w:val="6A250690"/>
    <w:rsid w:val="6A5938E3"/>
    <w:rsid w:val="6A6D1142"/>
    <w:rsid w:val="6A9516EC"/>
    <w:rsid w:val="6AA560DB"/>
    <w:rsid w:val="6ABB4B13"/>
    <w:rsid w:val="6AE90161"/>
    <w:rsid w:val="6B030D4C"/>
    <w:rsid w:val="6B2111D2"/>
    <w:rsid w:val="6B2947D1"/>
    <w:rsid w:val="6B6F70A7"/>
    <w:rsid w:val="6B96571C"/>
    <w:rsid w:val="6BB87D88"/>
    <w:rsid w:val="6BCD2110"/>
    <w:rsid w:val="6BE26BB3"/>
    <w:rsid w:val="6BE44432"/>
    <w:rsid w:val="6BE91CF0"/>
    <w:rsid w:val="6BFF0DBE"/>
    <w:rsid w:val="6C270A6A"/>
    <w:rsid w:val="6C7C2B64"/>
    <w:rsid w:val="6CBE13CE"/>
    <w:rsid w:val="6CCB42C0"/>
    <w:rsid w:val="6CF62EDC"/>
    <w:rsid w:val="6D15786D"/>
    <w:rsid w:val="6D5C2995"/>
    <w:rsid w:val="6D746AAD"/>
    <w:rsid w:val="6D960737"/>
    <w:rsid w:val="6DA5433C"/>
    <w:rsid w:val="6E0A1704"/>
    <w:rsid w:val="6E315BD0"/>
    <w:rsid w:val="6E495542"/>
    <w:rsid w:val="6E6811D8"/>
    <w:rsid w:val="6E70494A"/>
    <w:rsid w:val="6E7855AD"/>
    <w:rsid w:val="6E7D42EE"/>
    <w:rsid w:val="6E9F8B19"/>
    <w:rsid w:val="6ECD3B4B"/>
    <w:rsid w:val="6ED70525"/>
    <w:rsid w:val="6EF70BC7"/>
    <w:rsid w:val="6EF86BF2"/>
    <w:rsid w:val="6F062BB9"/>
    <w:rsid w:val="6F0A08FB"/>
    <w:rsid w:val="6F321C00"/>
    <w:rsid w:val="6F7B1AEF"/>
    <w:rsid w:val="6F8C57B4"/>
    <w:rsid w:val="6F997ED1"/>
    <w:rsid w:val="6FA50623"/>
    <w:rsid w:val="6FB54687"/>
    <w:rsid w:val="703379DD"/>
    <w:rsid w:val="705636CC"/>
    <w:rsid w:val="70666005"/>
    <w:rsid w:val="708B7819"/>
    <w:rsid w:val="709A7A5C"/>
    <w:rsid w:val="70BC3E77"/>
    <w:rsid w:val="70EA5A55"/>
    <w:rsid w:val="711C7DEE"/>
    <w:rsid w:val="71327C95"/>
    <w:rsid w:val="715A543E"/>
    <w:rsid w:val="71931C63"/>
    <w:rsid w:val="71A87053"/>
    <w:rsid w:val="71B132B0"/>
    <w:rsid w:val="71B27028"/>
    <w:rsid w:val="71CA611F"/>
    <w:rsid w:val="71CB5851"/>
    <w:rsid w:val="71F65166"/>
    <w:rsid w:val="720B144F"/>
    <w:rsid w:val="720F50E6"/>
    <w:rsid w:val="72101EA0"/>
    <w:rsid w:val="722F0678"/>
    <w:rsid w:val="724F1FEB"/>
    <w:rsid w:val="72757DB1"/>
    <w:rsid w:val="72AE77EF"/>
    <w:rsid w:val="72BB1F0C"/>
    <w:rsid w:val="72F316A6"/>
    <w:rsid w:val="73020FF3"/>
    <w:rsid w:val="73027B3B"/>
    <w:rsid w:val="733662C6"/>
    <w:rsid w:val="739048A5"/>
    <w:rsid w:val="73C86FF9"/>
    <w:rsid w:val="73F6144E"/>
    <w:rsid w:val="74422EB3"/>
    <w:rsid w:val="74523551"/>
    <w:rsid w:val="747F7695"/>
    <w:rsid w:val="7483115A"/>
    <w:rsid w:val="74CE5F27"/>
    <w:rsid w:val="74D177C5"/>
    <w:rsid w:val="74FF5651"/>
    <w:rsid w:val="7501454E"/>
    <w:rsid w:val="750E6C6B"/>
    <w:rsid w:val="75211121"/>
    <w:rsid w:val="75330480"/>
    <w:rsid w:val="75351ABD"/>
    <w:rsid w:val="753520BF"/>
    <w:rsid w:val="756E14B8"/>
    <w:rsid w:val="75CF06D9"/>
    <w:rsid w:val="75D1787A"/>
    <w:rsid w:val="76045978"/>
    <w:rsid w:val="760F4A49"/>
    <w:rsid w:val="76133B2A"/>
    <w:rsid w:val="7614205F"/>
    <w:rsid w:val="76522B87"/>
    <w:rsid w:val="76530DD9"/>
    <w:rsid w:val="7677439C"/>
    <w:rsid w:val="767A350B"/>
    <w:rsid w:val="76984A3E"/>
    <w:rsid w:val="76A77C3C"/>
    <w:rsid w:val="77423369"/>
    <w:rsid w:val="77701517"/>
    <w:rsid w:val="77933457"/>
    <w:rsid w:val="779C40BA"/>
    <w:rsid w:val="77A47413"/>
    <w:rsid w:val="77F205C7"/>
    <w:rsid w:val="78126A72"/>
    <w:rsid w:val="781400F4"/>
    <w:rsid w:val="78174088"/>
    <w:rsid w:val="783E6762"/>
    <w:rsid w:val="785610A2"/>
    <w:rsid w:val="78615304"/>
    <w:rsid w:val="787212BF"/>
    <w:rsid w:val="78C35DF4"/>
    <w:rsid w:val="78CD1A77"/>
    <w:rsid w:val="78D76F87"/>
    <w:rsid w:val="78ED4BF6"/>
    <w:rsid w:val="790074D7"/>
    <w:rsid w:val="79226841"/>
    <w:rsid w:val="79276766"/>
    <w:rsid w:val="7947274B"/>
    <w:rsid w:val="794B223C"/>
    <w:rsid w:val="79725A1A"/>
    <w:rsid w:val="79752E15"/>
    <w:rsid w:val="7999158E"/>
    <w:rsid w:val="79E30FE6"/>
    <w:rsid w:val="79E93803"/>
    <w:rsid w:val="79ED50A1"/>
    <w:rsid w:val="7A08012D"/>
    <w:rsid w:val="7A41719B"/>
    <w:rsid w:val="7A6B1FA0"/>
    <w:rsid w:val="7A7521C0"/>
    <w:rsid w:val="7A856043"/>
    <w:rsid w:val="7AA716F4"/>
    <w:rsid w:val="7AB03FD0"/>
    <w:rsid w:val="7AB931D5"/>
    <w:rsid w:val="7AD718AD"/>
    <w:rsid w:val="7B475882"/>
    <w:rsid w:val="7B51165F"/>
    <w:rsid w:val="7B643141"/>
    <w:rsid w:val="7B8B5094"/>
    <w:rsid w:val="7BAC560C"/>
    <w:rsid w:val="7BB4552D"/>
    <w:rsid w:val="7BF91591"/>
    <w:rsid w:val="7C1508DF"/>
    <w:rsid w:val="7C40555D"/>
    <w:rsid w:val="7C4E4C8C"/>
    <w:rsid w:val="7C5238E1"/>
    <w:rsid w:val="7C547659"/>
    <w:rsid w:val="7C7C7D36"/>
    <w:rsid w:val="7CE21BD1"/>
    <w:rsid w:val="7CE7399F"/>
    <w:rsid w:val="7CEC1640"/>
    <w:rsid w:val="7CFB76FF"/>
    <w:rsid w:val="7D8628FA"/>
    <w:rsid w:val="7D943A85"/>
    <w:rsid w:val="7DAF266D"/>
    <w:rsid w:val="7E042739"/>
    <w:rsid w:val="7E292420"/>
    <w:rsid w:val="7E7A2C7B"/>
    <w:rsid w:val="7E8B143F"/>
    <w:rsid w:val="7EA877E8"/>
    <w:rsid w:val="7EAA7A04"/>
    <w:rsid w:val="7EC42148"/>
    <w:rsid w:val="7EE33B7E"/>
    <w:rsid w:val="7EEF3F71"/>
    <w:rsid w:val="7F01339C"/>
    <w:rsid w:val="7F160BF6"/>
    <w:rsid w:val="7F2552DD"/>
    <w:rsid w:val="7F6A2F8B"/>
    <w:rsid w:val="7F7F2AAF"/>
    <w:rsid w:val="7F933D56"/>
    <w:rsid w:val="7FA2248A"/>
    <w:rsid w:val="7FD93C46"/>
    <w:rsid w:val="7FDD39BD"/>
    <w:rsid w:val="7FF16F6D"/>
    <w:rsid w:val="7FF627D5"/>
    <w:rsid w:val="7FF64583"/>
    <w:rsid w:val="CEFBE7D1"/>
    <w:rsid w:val="D1E7E4C1"/>
    <w:rsid w:val="FDFF6E4E"/>
    <w:rsid w:val="FFFD61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spacing w:before="260" w:after="260" w:line="360" w:lineRule="auto"/>
      <w:jc w:val="center"/>
      <w:outlineLvl w:val="1"/>
    </w:pPr>
    <w:rPr>
      <w:rFonts w:ascii="黑体" w:hAnsi="宋体" w:eastAsia="黑体" w:cs="Arial"/>
      <w:sz w:val="28"/>
      <w:szCs w:val="21"/>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6"/>
    <w:basedOn w:val="1"/>
    <w:next w:val="1"/>
    <w:qFormat/>
    <w:uiPriority w:val="0"/>
    <w:pPr>
      <w:spacing w:before="60" w:after="60" w:line="360" w:lineRule="auto"/>
      <w:outlineLvl w:val="5"/>
    </w:pPr>
    <w:rPr>
      <w:b/>
      <w:bCs/>
      <w:kern w:val="0"/>
      <w:sz w:val="24"/>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firstLineChars="200"/>
    </w:pPr>
    <w:rPr>
      <w:szCs w:val="20"/>
    </w:rPr>
  </w:style>
  <w:style w:type="paragraph" w:styleId="7">
    <w:name w:val="annotation text"/>
    <w:basedOn w:val="1"/>
    <w:link w:val="26"/>
    <w:unhideWhenUsed/>
    <w:qFormat/>
    <w:uiPriority w:val="0"/>
    <w:pPr>
      <w:jc w:val="left"/>
    </w:pPr>
    <w:rPr>
      <w:kern w:val="0"/>
      <w:sz w:val="20"/>
    </w:rPr>
  </w:style>
  <w:style w:type="paragraph" w:styleId="8">
    <w:name w:val="Body Text"/>
    <w:basedOn w:val="1"/>
    <w:next w:val="1"/>
    <w:unhideWhenUsed/>
    <w:qFormat/>
    <w:uiPriority w:val="0"/>
    <w:pPr>
      <w:spacing w:after="120"/>
    </w:pPr>
    <w:rPr>
      <w:sz w:val="24"/>
    </w:rPr>
  </w:style>
  <w:style w:type="paragraph" w:styleId="9">
    <w:name w:val="Body Text Indent"/>
    <w:basedOn w:val="1"/>
    <w:unhideWhenUsed/>
    <w:qFormat/>
    <w:uiPriority w:val="99"/>
    <w:pPr>
      <w:spacing w:after="120"/>
      <w:ind w:left="420" w:leftChars="200"/>
    </w:pPr>
    <w:rPr>
      <w:kern w:val="0"/>
      <w:sz w:val="20"/>
      <w:szCs w:val="20"/>
    </w:rPr>
  </w:style>
  <w:style w:type="paragraph" w:styleId="10">
    <w:name w:val="Plain Text"/>
    <w:basedOn w:val="1"/>
    <w:qFormat/>
    <w:uiPriority w:val="0"/>
    <w:rPr>
      <w:rFonts w:ascii="宋体" w:hAnsi="Courier New"/>
    </w:rPr>
  </w:style>
  <w:style w:type="paragraph" w:styleId="11">
    <w:name w:val="Balloon Text"/>
    <w:basedOn w:val="1"/>
    <w:unhideWhenUsed/>
    <w:qFormat/>
    <w:uiPriority w:val="99"/>
    <w:rPr>
      <w:sz w:val="18"/>
      <w:szCs w:val="18"/>
    </w:rPr>
  </w:style>
  <w:style w:type="paragraph" w:styleId="12">
    <w:name w:val="footer"/>
    <w:basedOn w:val="1"/>
    <w:unhideWhenUsed/>
    <w:qFormat/>
    <w:uiPriority w:val="99"/>
    <w:pPr>
      <w:tabs>
        <w:tab w:val="center" w:pos="4153"/>
        <w:tab w:val="right" w:pos="8306"/>
      </w:tabs>
      <w:snapToGrid w:val="0"/>
      <w:jc w:val="left"/>
    </w:pPr>
    <w:rPr>
      <w:kern w:val="0"/>
      <w:sz w:val="18"/>
      <w:szCs w:val="18"/>
    </w:rPr>
  </w:style>
  <w:style w:type="paragraph" w:styleId="13">
    <w:name w:val="header"/>
    <w:basedOn w:val="1"/>
    <w:link w:val="27"/>
    <w:qFormat/>
    <w:uiPriority w:val="0"/>
    <w:pPr>
      <w:tabs>
        <w:tab w:val="center" w:pos="4153"/>
        <w:tab w:val="right" w:pos="8306"/>
      </w:tabs>
      <w:snapToGrid w:val="0"/>
      <w:jc w:val="center"/>
    </w:pPr>
    <w:rPr>
      <w:sz w:val="18"/>
      <w:szCs w:val="18"/>
    </w:rPr>
  </w:style>
  <w:style w:type="paragraph" w:styleId="14">
    <w:name w:val="toc 1"/>
    <w:basedOn w:val="1"/>
    <w:next w:val="1"/>
    <w:unhideWhenUsed/>
    <w:qFormat/>
    <w:uiPriority w:val="39"/>
  </w:style>
  <w:style w:type="paragraph" w:styleId="15">
    <w:name w:val="Body Text 2"/>
    <w:basedOn w:val="1"/>
    <w:qFormat/>
    <w:uiPriority w:val="99"/>
    <w:pPr>
      <w:spacing w:before="240"/>
    </w:pPr>
    <w:rPr>
      <w:rFonts w:ascii="Calibri" w:hAnsi="Calibri"/>
      <w:color w:val="FF0000"/>
    </w:rPr>
  </w:style>
  <w:style w:type="paragraph" w:styleId="16">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7">
    <w:name w:val="Title"/>
    <w:basedOn w:val="1"/>
    <w:next w:val="1"/>
    <w:qFormat/>
    <w:uiPriority w:val="0"/>
    <w:pPr>
      <w:spacing w:before="240" w:after="60"/>
      <w:jc w:val="center"/>
      <w:outlineLvl w:val="0"/>
    </w:pPr>
    <w:rPr>
      <w:rFonts w:ascii="Arial" w:hAnsi="Arial" w:eastAsia="隶书"/>
      <w:b/>
      <w:bCs/>
      <w:sz w:val="32"/>
      <w:szCs w:val="32"/>
    </w:rPr>
  </w:style>
  <w:style w:type="paragraph" w:styleId="18">
    <w:name w:val="annotation subject"/>
    <w:basedOn w:val="7"/>
    <w:next w:val="7"/>
    <w:link w:val="28"/>
    <w:qFormat/>
    <w:uiPriority w:val="0"/>
    <w:rPr>
      <w:b/>
      <w:bCs/>
      <w:kern w:val="2"/>
      <w:sz w:val="21"/>
    </w:rPr>
  </w:style>
  <w:style w:type="paragraph" w:styleId="19">
    <w:name w:val="Body Text First Indent"/>
    <w:basedOn w:val="8"/>
    <w:qFormat/>
    <w:uiPriority w:val="0"/>
    <w:pPr>
      <w:snapToGrid w:val="0"/>
      <w:spacing w:line="560" w:lineRule="exact"/>
      <w:ind w:firstLine="200" w:firstLineChars="200"/>
    </w:pPr>
    <w:rPr>
      <w:rFonts w:ascii="仿宋" w:hAnsi="仿宋" w:cs="仿宋"/>
    </w:rPr>
  </w:style>
  <w:style w:type="table" w:styleId="21">
    <w:name w:val="Table Grid"/>
    <w:basedOn w:val="20"/>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qFormat/>
    <w:uiPriority w:val="0"/>
    <w:rPr>
      <w:b/>
    </w:rPr>
  </w:style>
  <w:style w:type="character" w:styleId="24">
    <w:name w:val="page number"/>
    <w:qFormat/>
    <w:uiPriority w:val="0"/>
  </w:style>
  <w:style w:type="character" w:styleId="25">
    <w:name w:val="annotation reference"/>
    <w:basedOn w:val="22"/>
    <w:qFormat/>
    <w:uiPriority w:val="0"/>
    <w:rPr>
      <w:sz w:val="21"/>
      <w:szCs w:val="21"/>
    </w:rPr>
  </w:style>
  <w:style w:type="character" w:customStyle="1" w:styleId="26">
    <w:name w:val="批注文字 字符"/>
    <w:basedOn w:val="22"/>
    <w:link w:val="7"/>
    <w:qFormat/>
    <w:uiPriority w:val="0"/>
    <w:rPr>
      <w:szCs w:val="24"/>
    </w:rPr>
  </w:style>
  <w:style w:type="character" w:customStyle="1" w:styleId="27">
    <w:name w:val="页眉 字符"/>
    <w:basedOn w:val="22"/>
    <w:link w:val="13"/>
    <w:qFormat/>
    <w:uiPriority w:val="0"/>
    <w:rPr>
      <w:kern w:val="2"/>
      <w:sz w:val="18"/>
      <w:szCs w:val="18"/>
    </w:rPr>
  </w:style>
  <w:style w:type="character" w:customStyle="1" w:styleId="28">
    <w:name w:val="批注主题 字符"/>
    <w:basedOn w:val="26"/>
    <w:link w:val="18"/>
    <w:qFormat/>
    <w:uiPriority w:val="0"/>
    <w:rPr>
      <w:b/>
      <w:bCs/>
      <w:kern w:val="2"/>
      <w:sz w:val="21"/>
      <w:szCs w:val="24"/>
    </w:rPr>
  </w:style>
  <w:style w:type="paragraph" w:styleId="29">
    <w:name w:val="Quote"/>
    <w:next w:val="1"/>
    <w:qFormat/>
    <w:uiPriority w:val="0"/>
    <w:pPr>
      <w:wordWrap w:val="0"/>
      <w:spacing w:before="200" w:after="160" w:line="276" w:lineRule="auto"/>
      <w:ind w:left="864" w:right="864"/>
      <w:jc w:val="center"/>
    </w:pPr>
    <w:rPr>
      <w:rFonts w:ascii="Calibri" w:hAnsi="Calibri" w:eastAsia="宋体" w:cs="Times New Roman"/>
      <w:i/>
      <w:sz w:val="21"/>
      <w:lang w:val="en-US" w:eastAsia="zh-CN" w:bidi="ar-SA"/>
    </w:rPr>
  </w:style>
  <w:style w:type="paragraph" w:customStyle="1" w:styleId="30">
    <w:name w:val="文档正文"/>
    <w:basedOn w:val="1"/>
    <w:qFormat/>
    <w:uiPriority w:val="99"/>
    <w:pPr>
      <w:adjustRightInd w:val="0"/>
      <w:spacing w:line="480" w:lineRule="atLeast"/>
      <w:ind w:firstLine="567" w:firstLineChars="200"/>
      <w:textAlignment w:val="baseline"/>
    </w:pPr>
    <w:rPr>
      <w:rFonts w:ascii="长城仿宋" w:hAnsi="Calibri"/>
      <w:kern w:val="0"/>
      <w:szCs w:val="20"/>
    </w:rPr>
  </w:style>
  <w:style w:type="paragraph" w:styleId="31">
    <w:name w:val="List Paragraph"/>
    <w:basedOn w:val="1"/>
    <w:qFormat/>
    <w:uiPriority w:val="34"/>
    <w:pPr>
      <w:ind w:firstLine="420" w:firstLineChars="200"/>
    </w:pPr>
  </w:style>
  <w:style w:type="character" w:customStyle="1" w:styleId="32">
    <w:name w:val="NormalCharacter"/>
    <w:qFormat/>
    <w:uiPriority w:val="0"/>
    <w:rPr>
      <w:kern w:val="2"/>
      <w:sz w:val="21"/>
      <w:szCs w:val="24"/>
      <w:lang w:val="en-US" w:eastAsia="zh-CN" w:bidi="ar-SA"/>
    </w:rPr>
  </w:style>
  <w:style w:type="paragraph" w:customStyle="1" w:styleId="33">
    <w:name w:val="Table Paragraph"/>
    <w:basedOn w:val="1"/>
    <w:qFormat/>
    <w:uiPriority w:val="0"/>
    <w:pPr>
      <w:autoSpaceDE w:val="0"/>
      <w:autoSpaceDN w:val="0"/>
      <w:jc w:val="left"/>
    </w:pPr>
    <w:rPr>
      <w:rFonts w:ascii="宋体" w:hAnsi="宋体" w:cs="宋体"/>
      <w:kern w:val="0"/>
      <w:sz w:val="22"/>
      <w:szCs w:val="22"/>
    </w:rPr>
  </w:style>
  <w:style w:type="paragraph" w:customStyle="1" w:styleId="34">
    <w:name w:val="x-scope"/>
    <w:basedOn w:val="1"/>
    <w:qFormat/>
    <w:uiPriority w:val="0"/>
    <w:pPr>
      <w:widowControl/>
      <w:spacing w:before="100" w:beforeAutospacing="1" w:after="100" w:afterAutospacing="1"/>
      <w:jc w:val="left"/>
    </w:pPr>
    <w:rPr>
      <w:rFonts w:ascii="宋体" w:hAnsi="宋体" w:cs="宋体"/>
      <w:kern w:val="0"/>
      <w:sz w:val="24"/>
    </w:rPr>
  </w:style>
  <w:style w:type="character" w:customStyle="1" w:styleId="35">
    <w:name w:val="qowt-font5-gb2312"/>
    <w:qFormat/>
    <w:uiPriority w:val="0"/>
  </w:style>
  <w:style w:type="paragraph" w:customStyle="1" w:styleId="36">
    <w:name w:val="正文格式"/>
    <w:basedOn w:val="9"/>
    <w:qFormat/>
    <w:uiPriority w:val="99"/>
    <w:pPr>
      <w:spacing w:after="0" w:line="360" w:lineRule="auto"/>
      <w:ind w:left="0" w:leftChars="0" w:firstLine="600"/>
    </w:pPr>
    <w:rPr>
      <w:rFonts w:eastAsia="仿宋_GB2312"/>
      <w:sz w:val="30"/>
      <w:szCs w:val="30"/>
    </w:rPr>
  </w:style>
  <w:style w:type="paragraph" w:customStyle="1" w:styleId="37">
    <w:name w:val="msolistparagraph"/>
    <w:basedOn w:val="1"/>
    <w:qFormat/>
    <w:uiPriority w:val="0"/>
    <w:pPr>
      <w:ind w:firstLine="420" w:firstLineChars="200"/>
    </w:pPr>
  </w:style>
  <w:style w:type="paragraph" w:customStyle="1" w:styleId="38">
    <w:name w:val="修订1"/>
    <w:unhideWhenUsed/>
    <w:qFormat/>
    <w:uiPriority w:val="99"/>
    <w:rPr>
      <w:rFonts w:ascii="Times New Roman" w:hAnsi="Times New Roman" w:eastAsia="宋体" w:cs="Times New Roman"/>
      <w:kern w:val="2"/>
      <w:sz w:val="21"/>
      <w:szCs w:val="24"/>
      <w:lang w:val="en-US" w:eastAsia="zh-CN" w:bidi="ar-SA"/>
    </w:rPr>
  </w:style>
  <w:style w:type="paragraph" w:customStyle="1" w:styleId="39">
    <w:name w:val="9前海 正文"/>
    <w:basedOn w:val="40"/>
    <w:qFormat/>
    <w:uiPriority w:val="0"/>
    <w:pPr>
      <w:ind w:firstLine="640"/>
    </w:pPr>
    <w:rPr>
      <w:rFonts w:ascii="仿宋_GB2312" w:eastAsia="仿宋_GB2312"/>
    </w:rPr>
  </w:style>
  <w:style w:type="paragraph" w:customStyle="1" w:styleId="40">
    <w:name w:val="金控正文"/>
    <w:basedOn w:val="1"/>
    <w:qFormat/>
    <w:uiPriority w:val="0"/>
    <w:pPr>
      <w:spacing w:line="560" w:lineRule="exact"/>
      <w:ind w:firstLine="200" w:firstLineChars="200"/>
    </w:pPr>
    <w:rPr>
      <w:rFonts w:ascii="仿宋" w:hAnsi="仿宋" w:eastAsia="仿宋" w:cs="Arial"/>
      <w:sz w:val="32"/>
      <w:szCs w:val="32"/>
    </w:rPr>
  </w:style>
  <w:style w:type="paragraph" w:customStyle="1" w:styleId="41">
    <w:name w:val="列出段落2"/>
    <w:basedOn w:val="1"/>
    <w:qFormat/>
    <w:uiPriority w:val="34"/>
    <w:pPr>
      <w:ind w:firstLine="420" w:firstLineChars="200"/>
    </w:pPr>
  </w:style>
  <w:style w:type="paragraph" w:customStyle="1" w:styleId="42">
    <w:name w:val="修订2"/>
    <w:hidden/>
    <w:semiHidden/>
    <w:qFormat/>
    <w:uiPriority w:val="99"/>
    <w:rPr>
      <w:rFonts w:ascii="Times New Roman" w:hAnsi="Times New Roman" w:eastAsia="宋体" w:cs="Times New Roman"/>
      <w:kern w:val="2"/>
      <w:sz w:val="21"/>
      <w:szCs w:val="24"/>
      <w:lang w:val="en-US" w:eastAsia="zh-CN" w:bidi="ar-SA"/>
    </w:rPr>
  </w:style>
  <w:style w:type="paragraph" w:customStyle="1" w:styleId="43">
    <w:name w:val="Revision"/>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8"/>
    <customShpInfo spid="_x0000_s4097"/>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B2AFE0D-3689-4114-835F-7CD82F0A1F9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90</Pages>
  <Words>22320</Words>
  <Characters>23115</Characters>
  <Lines>414</Lines>
  <Paragraphs>116</Paragraphs>
  <TotalTime>9</TotalTime>
  <ScaleCrop>false</ScaleCrop>
  <LinksUpToDate>false</LinksUpToDate>
  <CharactersWithSpaces>23516</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2025-11-14T07:33:00Z</dcterms:created>
  <dc:creator>黎俊</dc:creator>
  <cp:lastModifiedBy>黎俊</cp:lastModifiedBy>
  <dcterms:modified xsi:type="dcterms:W3CDTF">2025-11-25T07:41:33Z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y fmtid="{D5CDD505-2E9C-101B-9397-08002B2CF9AE}" pid="3" name="KSOTemplateDocerSaveRecord">
    <vt:lpwstr>eyJoZGlkIjoiMmVhYjIwYTFkMDUyN2RmOGI2OTNiMWRjYmY5MjBlYTUiLCJ1c2VySWQiOiIzOTQyODIxNTkifQ==</vt:lpwstr>
  </property>
  <property fmtid="{D5CDD505-2E9C-101B-9397-08002B2CF9AE}" pid="4" name="ICV">
    <vt:lpwstr>CB99A98C6D98495D87852E21774359C1_13</vt:lpwstr>
  </property>
</Properties>
</file>