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附件1</w:t>
      </w: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异 议 书</w:t>
      </w:r>
      <w:bookmarkEnd w:id="0"/>
    </w:p>
    <w:p>
      <w:pPr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项目名称：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u w:val="single"/>
        </w:rPr>
        <w:t xml:space="preserve">                                              </w:t>
      </w:r>
    </w:p>
    <w:p>
      <w:pPr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工程编号：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异议人：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u w:val="single"/>
        </w:rPr>
        <w:t xml:space="preserve">                       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住所地：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邮编：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法定代表人：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联系电话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异议人授权代表：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性别：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年龄：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住址：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提起异议事项的基本事实：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u w:val="single"/>
        </w:rPr>
        <w:t xml:space="preserve">                                       </w:t>
      </w:r>
    </w:p>
    <w:p>
      <w:pPr>
        <w:widowControl/>
        <w:jc w:val="left"/>
        <w:rPr>
          <w:rFonts w:ascii="仿宋_GB2312" w:hAnsi="宋体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              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              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相关请求及主张：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              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有效线索和相关证明材料：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u w:val="single"/>
        </w:rPr>
        <w:t xml:space="preserve">                                      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                                      </w:t>
      </w:r>
    </w:p>
    <w:p>
      <w:pPr>
        <w:widowControl/>
        <w:jc w:val="left"/>
        <w:rPr>
          <w:rFonts w:ascii="仿宋_GB2312" w:hAnsi="宋体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异议人与提起项目有利害关系的证明材料：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</w:t>
      </w:r>
    </w:p>
    <w:p>
      <w:pPr>
        <w:widowControl/>
        <w:jc w:val="left"/>
        <w:rPr>
          <w:rFonts w:ascii="仿宋_GB2312" w:hAnsi="宋体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是否需要额外通过纸质件寄送异议处理决定：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sym w:font="Wingdings 2" w:char="00A3"/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 xml:space="preserve">是  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sym w:font="Wingdings 2" w:char="00A3"/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 xml:space="preserve">否    </w:t>
      </w:r>
    </w:p>
    <w:p>
      <w:pPr>
        <w:widowControl/>
        <w:jc w:val="left"/>
        <w:rPr>
          <w:rFonts w:ascii="仿宋_GB2312" w:hAnsi="宋体" w:eastAsia="仿宋_GB2312" w:cs="仿宋_GB2312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此致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（招标人）       </w:t>
      </w:r>
    </w:p>
    <w:p>
      <w:pPr>
        <w:widowControl/>
        <w:ind w:left="99" w:leftChars="47" w:firstLine="3200" w:firstLineChars="10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异议人（公章）：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      </w:t>
      </w:r>
    </w:p>
    <w:p>
      <w:pPr>
        <w:widowControl/>
        <w:ind w:left="99" w:leftChars="47" w:firstLine="2240" w:firstLineChars="700"/>
        <w:jc w:val="left"/>
        <w:rPr>
          <w:rFonts w:ascii="仿宋_GB2312" w:hAnsi="宋体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法定代表人或授权代表（签字）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              </w:t>
      </w:r>
    </w:p>
    <w:p>
      <w:pPr>
        <w:widowControl/>
        <w:ind w:left="99" w:leftChars="47" w:firstLine="2240" w:firstLineChars="700"/>
        <w:jc w:val="left"/>
        <w:rPr>
          <w:rFonts w:ascii="仿宋_GB2312" w:hAnsi="宋体" w:eastAsia="仿宋_GB2312" w:cs="仿宋_GB2312"/>
          <w:kern w:val="0"/>
          <w:sz w:val="32"/>
          <w:szCs w:val="32"/>
          <w:u w:val="single"/>
        </w:rPr>
      </w:pPr>
    </w:p>
    <w:p>
      <w:pPr>
        <w:widowControl/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                            年    月   日</w:t>
      </w:r>
    </w:p>
    <w:p>
      <w:pPr>
        <w:widowControl/>
        <w:jc w:val="left"/>
        <w:rPr>
          <w:rFonts w:ascii="黑体" w:hAnsi="宋体" w:eastAsia="黑体" w:cs="仿宋_GB2312"/>
          <w:bCs/>
          <w:kern w:val="0"/>
          <w:sz w:val="24"/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</w:rPr>
        <w:t>说明：</w:t>
      </w:r>
    </w:p>
    <w:p>
      <w:pPr>
        <w:widowControl/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1.异议提起人是法人的，异议书必须由其法定代表人或者授权代表签字并盖章；其他组织或者自然人提出异议的，异议书必须由其主要负责人或者异议提起人本人签字，并附有效身份证明复印件。</w:t>
      </w:r>
    </w:p>
    <w:p>
      <w:pPr>
        <w:widowControl/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2.异议书有关材料是外文的，异议提起人应当同时提供其中文译本。</w:t>
      </w:r>
    </w:p>
    <w:p>
      <w:pPr>
        <w:widowControl/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3.异议提起人可以自己直接提交异议书，也可以委托代理人办理异议事务。代理人办理异议事务时，应当将授权委托书连同异议书一并提交给招标人。授权委托书应当明确有关委托代理权限和事项。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74B7E"/>
    <w:rsid w:val="2D274B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2020-11-17T08:22:00Z</dcterms:created>
  <dc:creator>蒋岩</dc:creator>
  <cp:lastModifiedBy>蒋岩</cp:lastModifiedBy>
  <dcterms:modified xsi:type="dcterms:W3CDTF">2020-11-17T08:23:45Z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