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区商务局分项资金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</w:rPr>
        <w:t>鼓励商贸企业更新改造资助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贯彻落实市委主要领导在南山区调研时指示精神，落实区委区政府对做好全年经济工作的部署安排，推动经济实现质的有效提升和量的合理增长，奋力实现全年经济目标，根据《南山区促进产业高质量发展专项资金管理办法》等文件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对实施硬件改造的商贸企业，按实际投入15%给予补贴，单企业年度上限100万元。</w:t>
      </w:r>
      <w:r>
        <w:rPr>
          <w:rFonts w:hint="eastAsia" w:hAnsi="黑体" w:eastAsia="黑体"/>
          <w:sz w:val="32"/>
          <w:szCs w:val="32"/>
        </w:rPr>
        <w:t xml:space="preserve">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default" w:eastAsia="仿宋_GB2312"/>
          <w:sz w:val="32"/>
          <w:szCs w:val="32"/>
          <w:lang w:eastAsia="zh-CN"/>
        </w:rPr>
        <w:t>商务局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widowControl/>
        <w:spacing w:line="560" w:lineRule="exact"/>
        <w:ind w:firstLine="537" w:firstLineChars="168"/>
        <w:outlineLvl w:val="9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对商贸企业开展硬件设施改造、先进技术应用、标准化建设、重要商品追溯体系建设、网络销售平台建设等项目，按照不超过其项目实际投入15%的比例给予资助。每家企业每年可申报一次，资助金额最高不超过100万元。申请项目限上一年度竣工，合同数不超过10个，投入时间不超过上两年度，投入额不低于50万元。申请企业需具备以下条件之一：</w:t>
      </w:r>
    </w:p>
    <w:p>
      <w:pPr>
        <w:widowControl/>
        <w:spacing w:line="560" w:lineRule="exact"/>
        <w:ind w:firstLine="537" w:firstLineChars="168"/>
        <w:outlineLvl w:val="9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1、上年度销售额达到50亿元的批发企业；</w:t>
      </w:r>
    </w:p>
    <w:p>
      <w:pPr>
        <w:widowControl/>
        <w:spacing w:line="560" w:lineRule="exact"/>
        <w:ind w:firstLine="537" w:firstLineChars="168"/>
        <w:outlineLvl w:val="9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2、上年度销售额达到2亿元的零售企业（石油、汽车销售类企业销售额需达到5亿元）；</w:t>
      </w:r>
    </w:p>
    <w:p>
      <w:pPr>
        <w:widowControl/>
        <w:spacing w:line="560" w:lineRule="exact"/>
        <w:ind w:firstLine="537" w:firstLineChars="168"/>
        <w:outlineLvl w:val="9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3、上年度营收达到1亿元的大型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商业综合体</w:t>
      </w:r>
      <w:r>
        <w:rPr>
          <w:rFonts w:hint="eastAsia" w:eastAsia="仿宋_GB2312"/>
          <w:sz w:val="32"/>
          <w:szCs w:val="32"/>
          <w:highlight w:val="none"/>
        </w:rPr>
        <w:t>；</w:t>
      </w:r>
    </w:p>
    <w:p>
      <w:pPr>
        <w:widowControl/>
        <w:spacing w:line="560" w:lineRule="exact"/>
        <w:ind w:firstLine="537" w:firstLineChars="168"/>
        <w:outlineLvl w:val="9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4、上年度营业额达到</w:t>
      </w:r>
      <w:r>
        <w:rPr>
          <w:rFonts w:hint="default" w:eastAsia="仿宋_GB2312"/>
          <w:sz w:val="32"/>
          <w:szCs w:val="32"/>
          <w:highlight w:val="none"/>
        </w:rPr>
        <w:t>5</w:t>
      </w:r>
      <w:r>
        <w:rPr>
          <w:rFonts w:hint="eastAsia" w:eastAsia="仿宋_GB2312"/>
          <w:sz w:val="32"/>
          <w:szCs w:val="32"/>
          <w:highlight w:val="none"/>
        </w:rPr>
        <w:t>000万元的</w:t>
      </w:r>
      <w:r>
        <w:rPr>
          <w:rFonts w:hint="default" w:eastAsia="仿宋_GB2312"/>
          <w:sz w:val="32"/>
          <w:szCs w:val="32"/>
          <w:highlight w:val="none"/>
        </w:rPr>
        <w:t>餐饮</w:t>
      </w:r>
      <w:r>
        <w:rPr>
          <w:rFonts w:hint="eastAsia" w:eastAsia="仿宋_GB2312"/>
          <w:sz w:val="32"/>
          <w:szCs w:val="32"/>
          <w:highlight w:val="none"/>
        </w:rPr>
        <w:t>企业</w:t>
      </w:r>
      <w:r>
        <w:rPr>
          <w:rFonts w:hint="default" w:eastAsia="仿宋_GB2312"/>
          <w:sz w:val="32"/>
          <w:szCs w:val="32"/>
          <w:highlight w:val="none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Ansi="仿宋" w:eastAsia="仿宋"/>
          <w:bCs/>
          <w:color w:val="000000"/>
          <w:sz w:val="32"/>
          <w:szCs w:val="32"/>
        </w:rPr>
      </w:pPr>
      <w:r>
        <w:rPr>
          <w:rFonts w:hint="eastAsia" w:hAnsi="仿宋" w:eastAsia="仿宋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hAnsi="仿宋" w:eastAsia="仿宋"/>
          <w:bCs/>
          <w:color w:val="000000"/>
          <w:sz w:val="32"/>
          <w:szCs w:val="32"/>
        </w:rPr>
        <w:t>申请本项资金资助的机构应符合以下基本条件：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3.应积极配合区委、区政府相关工作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促进商贸流通业发展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-企业规模增长激励项目申请书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经审议后，由区商务局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widowControl/>
        <w:spacing w:before="0"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区财政部门及时安排资金，区商务局对受理项目办理资金拨付手续。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（四）申报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/>
          <w:szCs w:val="32"/>
          <w:highlight w:val="none"/>
        </w:rPr>
        <w:t>与项目实施有关的合同、协议（原件</w:t>
      </w:r>
      <w:r>
        <w:rPr>
          <w:rFonts w:hint="default" w:ascii="仿宋_GB2312"/>
          <w:szCs w:val="32"/>
          <w:highlight w:val="none"/>
        </w:rPr>
        <w:t>彩色扫描成PDF文件上传</w:t>
      </w:r>
      <w:r>
        <w:rPr>
          <w:rFonts w:hint="eastAsia" w:ascii="仿宋_GB2312"/>
          <w:szCs w:val="32"/>
          <w:highlight w:val="none"/>
        </w:rPr>
        <w:t>）；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（六）有资质的会计师事务所提供的项目投入专项审计报告（原件</w:t>
      </w:r>
      <w:r>
        <w:rPr>
          <w:rFonts w:hint="default" w:ascii="仿宋_GB2312"/>
          <w:szCs w:val="32"/>
          <w:highlight w:val="none"/>
        </w:rPr>
        <w:t>彩色扫描成PDF文件上传</w:t>
      </w:r>
      <w:r>
        <w:rPr>
          <w:rFonts w:hint="eastAsia" w:ascii="仿宋_GB2312"/>
          <w:szCs w:val="32"/>
          <w:highlight w:val="none"/>
        </w:rPr>
        <w:t>）；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（七）项目可行性研究报告（打印件（加盖公章）</w:t>
      </w:r>
      <w:r>
        <w:rPr>
          <w:rFonts w:hint="default" w:ascii="仿宋_GB2312"/>
          <w:szCs w:val="32"/>
          <w:highlight w:val="none"/>
        </w:rPr>
        <w:t>彩色扫描成PDF文件上传</w:t>
      </w:r>
      <w:r>
        <w:rPr>
          <w:rFonts w:hint="eastAsia" w:ascii="仿宋_GB2312"/>
          <w:szCs w:val="32"/>
          <w:highlight w:val="none"/>
        </w:rPr>
        <w:t>）；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（八）项目竣工验收报告（打印件（加盖公章）</w:t>
      </w:r>
      <w:r>
        <w:rPr>
          <w:rFonts w:hint="default" w:ascii="仿宋_GB2312"/>
          <w:szCs w:val="32"/>
          <w:highlight w:val="none"/>
        </w:rPr>
        <w:t>彩色扫描成PDF文件上传</w:t>
      </w:r>
      <w:r>
        <w:rPr>
          <w:rFonts w:hint="eastAsia" w:ascii="仿宋_GB2312"/>
          <w:szCs w:val="32"/>
          <w:highlight w:val="none"/>
        </w:rPr>
        <w:t>）；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（九）项目投入明细表，其中须包括合同时间、合同名称、合同金额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、发票号、发票代码、发票类型、发票金额（不含税）、发票税额</w:t>
      </w:r>
      <w:r>
        <w:rPr>
          <w:rFonts w:hint="eastAsia" w:ascii="仿宋_GB2312"/>
          <w:szCs w:val="32"/>
          <w:highlight w:val="none"/>
        </w:rPr>
        <w:t>等（打印件（加盖公章）</w:t>
      </w:r>
      <w:r>
        <w:rPr>
          <w:rFonts w:hint="default" w:ascii="仿宋_GB2312"/>
          <w:szCs w:val="32"/>
          <w:highlight w:val="none"/>
        </w:rPr>
        <w:t>彩色扫描成PDF文件上传</w:t>
      </w:r>
      <w:r>
        <w:rPr>
          <w:rFonts w:hint="eastAsia" w:ascii="仿宋_GB2312"/>
          <w:szCs w:val="32"/>
          <w:highlight w:val="none"/>
        </w:rPr>
        <w:t>）；</w:t>
      </w:r>
    </w:p>
    <w:p>
      <w:pPr>
        <w:pStyle w:val="7"/>
        <w:numPr>
          <w:ilvl w:val="-1"/>
          <w:numId w:val="0"/>
        </w:numPr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（十）上一年度12月份的批发和零售业商品销售和库存表或餐饮业经营情况表</w:t>
      </w:r>
      <w:r>
        <w:rPr>
          <w:rFonts w:hint="eastAsia" w:ascii="仿宋_GB231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财务状况表</w:t>
      </w:r>
      <w:r>
        <w:rPr>
          <w:rFonts w:hint="eastAsia" w:ascii="仿宋_GB2312"/>
          <w:szCs w:val="32"/>
          <w:highlight w:val="none"/>
        </w:rPr>
        <w:t>（无月报可提供年报）及上一年度的调查单位基本情况表（统计联网直报平台下载电子版打印（加盖公章）</w:t>
      </w:r>
      <w:r>
        <w:rPr>
          <w:rFonts w:hint="default" w:ascii="仿宋_GB2312"/>
          <w:szCs w:val="32"/>
          <w:highlight w:val="none"/>
        </w:rPr>
        <w:t>彩色扫描成PDF文件上传</w:t>
      </w:r>
      <w:r>
        <w:rPr>
          <w:rFonts w:hint="eastAsia" w:ascii="仿宋_GB2312"/>
          <w:szCs w:val="32"/>
          <w:highlight w:val="none"/>
        </w:rPr>
        <w:t>）。</w:t>
      </w:r>
    </w:p>
    <w:p>
      <w:pPr>
        <w:pStyle w:val="7"/>
        <w:numPr>
          <w:ilvl w:val="-1"/>
          <w:numId w:val="0"/>
        </w:num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（十一）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按照上级的相关规定执行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1EA57936"/>
    <w:rsid w:val="1F29BBFC"/>
    <w:rsid w:val="1F724B61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A5B2B4D"/>
    <w:rsid w:val="3CCB7597"/>
    <w:rsid w:val="3DC2196D"/>
    <w:rsid w:val="3F2F6B8F"/>
    <w:rsid w:val="3F7D900A"/>
    <w:rsid w:val="3FDD71CD"/>
    <w:rsid w:val="4BC56432"/>
    <w:rsid w:val="4E883264"/>
    <w:rsid w:val="4EF5CAC0"/>
    <w:rsid w:val="4FEFBE70"/>
    <w:rsid w:val="518D1C42"/>
    <w:rsid w:val="531124F9"/>
    <w:rsid w:val="55AD05A3"/>
    <w:rsid w:val="58650932"/>
    <w:rsid w:val="5ECFB6D4"/>
    <w:rsid w:val="5FA80816"/>
    <w:rsid w:val="5FDF4E63"/>
    <w:rsid w:val="60432042"/>
    <w:rsid w:val="60BC204A"/>
    <w:rsid w:val="60FE4A61"/>
    <w:rsid w:val="6177AC6D"/>
    <w:rsid w:val="63FFC798"/>
    <w:rsid w:val="64736BA9"/>
    <w:rsid w:val="681C42D2"/>
    <w:rsid w:val="68522367"/>
    <w:rsid w:val="69641188"/>
    <w:rsid w:val="6DF8AA10"/>
    <w:rsid w:val="6FDBB827"/>
    <w:rsid w:val="712874FC"/>
    <w:rsid w:val="755D644F"/>
    <w:rsid w:val="781814EC"/>
    <w:rsid w:val="7EBD8718"/>
    <w:rsid w:val="7F74B241"/>
    <w:rsid w:val="7F902DE2"/>
    <w:rsid w:val="7FBF30AA"/>
    <w:rsid w:val="7FDF731D"/>
    <w:rsid w:val="9EFFDD4A"/>
    <w:rsid w:val="B97FE5A7"/>
    <w:rsid w:val="BDF386EE"/>
    <w:rsid w:val="BEECFF24"/>
    <w:rsid w:val="BFE77B3A"/>
    <w:rsid w:val="BFFF415F"/>
    <w:rsid w:val="C97DB41A"/>
    <w:rsid w:val="DB7D113B"/>
    <w:rsid w:val="DBBF003F"/>
    <w:rsid w:val="DCDF5BF9"/>
    <w:rsid w:val="DFDB78A2"/>
    <w:rsid w:val="DFF8E999"/>
    <w:rsid w:val="ED5B1596"/>
    <w:rsid w:val="EDEBD845"/>
    <w:rsid w:val="EED51AE1"/>
    <w:rsid w:val="F3F57EAD"/>
    <w:rsid w:val="F4DFB8F5"/>
    <w:rsid w:val="F56A31FD"/>
    <w:rsid w:val="FABFBE12"/>
    <w:rsid w:val="FADFE2C9"/>
    <w:rsid w:val="FAE59409"/>
    <w:rsid w:val="FB9E8FEA"/>
    <w:rsid w:val="FBD5B044"/>
    <w:rsid w:val="FBDD8DE7"/>
    <w:rsid w:val="FDCF918E"/>
    <w:rsid w:val="FEDFC055"/>
    <w:rsid w:val="FEFFC333"/>
    <w:rsid w:val="FFA980A1"/>
    <w:rsid w:val="FFEF4B8F"/>
    <w:rsid w:val="FFEF752C"/>
    <w:rsid w:val="FFFFC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2892</Characters>
  <Lines>0</Lines>
  <Paragraphs>0</Paragraphs>
  <TotalTime>1</TotalTime>
  <ScaleCrop>false</ScaleCrop>
  <LinksUpToDate>false</LinksUpToDate>
  <CharactersWithSpaces>2897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2024-06-04T23:22:00Z</dcterms:created>
  <dc:creator>张思敏</dc:creator>
  <cp:lastModifiedBy>苏其超</cp:lastModifiedBy>
  <cp:lastPrinted>2025-07-13T23:07:00Z</cp:lastPrinted>
  <dcterms:modified xsi:type="dcterms:W3CDTF">2025-10-29T13:53:34Z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eyJoZGlkIjoiODAxNmZkOGNjNzYwZTU3ODkyNGEyMTcwYzI4NmY3ZTUifQ==</vt:lpwstr>
  </property>
</Properties>
</file>