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深圳市福利彩票公益金市区分成方案</w:t>
      </w:r>
    </w:p>
    <w:p>
      <w:pPr>
        <w:spacing w:line="579" w:lineRule="exact"/>
        <w:ind w:firstLine="640" w:firstLineChars="200"/>
        <w:rPr>
          <w:rFonts w:ascii="仿宋_GB2312" w:eastAsia="仿宋_GB2312" w:cs="仿宋_GB2312"/>
          <w:sz w:val="32"/>
          <w:szCs w:val="32"/>
        </w:rPr>
      </w:pP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为加强深圳市福利彩票公益金(以下简称福彩公益金)统筹、分配和使用管理，完善市区分成体制，提高资金使用绩效，根据预算法及其实施条例、</w:t>
      </w:r>
      <w:r>
        <w:rPr>
          <w:rFonts w:ascii="仿宋_GB2312" w:eastAsia="仿宋_GB2312" w:cs="仿宋_GB2312"/>
          <w:sz w:val="32"/>
          <w:szCs w:val="32"/>
        </w:rPr>
        <w:t>《民政部彩票公益金使用管理办法》</w:t>
      </w:r>
      <w:r>
        <w:rPr>
          <w:rFonts w:hint="eastAsia" w:ascii="仿宋_GB2312" w:eastAsia="仿宋_GB2312" w:cs="仿宋_GB2312"/>
          <w:sz w:val="32"/>
          <w:szCs w:val="32"/>
        </w:rPr>
        <w:t>(</w:t>
      </w:r>
      <w:r>
        <w:rPr>
          <w:rFonts w:ascii="仿宋_GB2312" w:eastAsia="仿宋_GB2312" w:cs="仿宋_GB2312"/>
          <w:sz w:val="32"/>
          <w:szCs w:val="32"/>
        </w:rPr>
        <w:t>民办发</w:t>
      </w:r>
      <w:r>
        <w:rPr>
          <w:rFonts w:hint="eastAsia" w:ascii="仿宋_GB2312" w:eastAsia="仿宋_GB2312" w:cs="仿宋_GB2312"/>
          <w:sz w:val="32"/>
          <w:szCs w:val="32"/>
        </w:rPr>
        <w:t>〔20</w:t>
      </w:r>
      <w:r>
        <w:rPr>
          <w:rFonts w:ascii="仿宋_GB2312" w:eastAsia="仿宋_GB2312" w:cs="仿宋_GB2312"/>
          <w:sz w:val="32"/>
          <w:szCs w:val="32"/>
        </w:rPr>
        <w:t>24</w:t>
      </w:r>
      <w:r>
        <w:rPr>
          <w:rFonts w:hint="eastAsia" w:ascii="仿宋_GB2312" w:eastAsia="仿宋_GB2312" w:cs="仿宋_GB2312"/>
          <w:sz w:val="32"/>
          <w:szCs w:val="32"/>
        </w:rPr>
        <w:t>〕</w:t>
      </w:r>
      <w:r>
        <w:rPr>
          <w:rFonts w:ascii="仿宋_GB2312" w:eastAsia="仿宋_GB2312" w:cs="仿宋_GB2312"/>
          <w:sz w:val="32"/>
          <w:szCs w:val="32"/>
        </w:rPr>
        <w:t>9</w:t>
      </w:r>
      <w:r>
        <w:rPr>
          <w:rFonts w:hint="eastAsia" w:ascii="仿宋_GB2312" w:eastAsia="仿宋_GB2312" w:cs="仿宋_GB2312"/>
          <w:sz w:val="32"/>
          <w:szCs w:val="32"/>
        </w:rPr>
        <w:t>号)</w:t>
      </w:r>
      <w:r>
        <w:rPr>
          <w:rFonts w:ascii="仿宋_GB2312" w:eastAsia="仿宋_GB2312" w:cs="仿宋_GB2312"/>
          <w:sz w:val="32"/>
          <w:szCs w:val="32"/>
        </w:rPr>
        <w:t>、《中央集中彩票公益金支持社会福利事业资金管理办法》</w:t>
      </w:r>
      <w:r>
        <w:rPr>
          <w:rFonts w:hint="eastAsia" w:ascii="仿宋_GB2312" w:eastAsia="仿宋_GB2312" w:cs="仿宋_GB2312"/>
          <w:sz w:val="32"/>
          <w:szCs w:val="32"/>
        </w:rPr>
        <w:t>(</w:t>
      </w:r>
      <w:r>
        <w:rPr>
          <w:rFonts w:ascii="仿宋_GB2312" w:eastAsia="仿宋_GB2312" w:cs="仿宋_GB2312"/>
          <w:sz w:val="32"/>
          <w:szCs w:val="32"/>
        </w:rPr>
        <w:t>财社</w:t>
      </w:r>
      <w:r>
        <w:rPr>
          <w:rFonts w:hint="eastAsia" w:ascii="仿宋_GB2312" w:eastAsia="仿宋_GB2312" w:cs="仿宋_GB2312"/>
          <w:sz w:val="32"/>
          <w:szCs w:val="32"/>
        </w:rPr>
        <w:t>〔20</w:t>
      </w:r>
      <w:r>
        <w:rPr>
          <w:rFonts w:ascii="仿宋_GB2312" w:eastAsia="仿宋_GB2312" w:cs="仿宋_GB2312"/>
          <w:sz w:val="32"/>
          <w:szCs w:val="32"/>
        </w:rPr>
        <w:t>24</w:t>
      </w:r>
      <w:r>
        <w:rPr>
          <w:rFonts w:hint="eastAsia" w:ascii="仿宋_GB2312" w:eastAsia="仿宋_GB2312" w:cs="仿宋_GB2312"/>
          <w:sz w:val="32"/>
          <w:szCs w:val="32"/>
        </w:rPr>
        <w:t>〕</w:t>
      </w:r>
      <w:r>
        <w:rPr>
          <w:rFonts w:ascii="仿宋_GB2312" w:eastAsia="仿宋_GB2312" w:cs="仿宋_GB2312"/>
          <w:sz w:val="32"/>
          <w:szCs w:val="32"/>
        </w:rPr>
        <w:t>55</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《深圳市福利彩票公益金管理办法》(深财规〔2022〕1号)等有关</w:t>
      </w:r>
      <w:r>
        <w:rPr>
          <w:rFonts w:ascii="仿宋_GB2312" w:eastAsia="仿宋_GB2312" w:cs="仿宋_GB2312"/>
          <w:sz w:val="32"/>
          <w:szCs w:val="32"/>
        </w:rPr>
        <w:t>规定</w:t>
      </w:r>
      <w:r>
        <w:rPr>
          <w:rFonts w:hint="eastAsia" w:ascii="仿宋_GB2312" w:eastAsia="仿宋_GB2312" w:cs="仿宋_GB2312"/>
          <w:sz w:val="32"/>
          <w:szCs w:val="32"/>
        </w:rPr>
        <w:t>，结合实际，制定本方案。</w:t>
      </w:r>
    </w:p>
    <w:p>
      <w:pPr>
        <w:spacing w:line="579" w:lineRule="exact"/>
        <w:ind w:firstLine="612" w:firstLineChars="200"/>
        <w:rPr>
          <w:rFonts w:ascii="黑体" w:hAnsi="黑体" w:eastAsia="黑体" w:cs="黑体"/>
          <w:spacing w:val="-7"/>
          <w:sz w:val="32"/>
          <w:szCs w:val="32"/>
        </w:rPr>
      </w:pPr>
      <w:r>
        <w:rPr>
          <w:rFonts w:hint="eastAsia" w:ascii="黑体" w:hAnsi="黑体" w:eastAsia="黑体" w:cs="黑体"/>
          <w:spacing w:val="-7"/>
          <w:sz w:val="32"/>
          <w:szCs w:val="32"/>
        </w:rPr>
        <w:t>一、基本原则</w:t>
      </w:r>
    </w:p>
    <w:p>
      <w:pPr>
        <w:spacing w:line="579" w:lineRule="exact"/>
        <w:ind w:firstLine="684" w:firstLineChars="200"/>
        <w:rPr>
          <w:rFonts w:ascii="CESI仿宋-GB2312" w:hAnsi="CESI仿宋-GB2312" w:eastAsia="CESI仿宋-GB2312" w:cs="CESI仿宋-GB2312"/>
          <w:spacing w:val="2"/>
          <w:sz w:val="32"/>
          <w:szCs w:val="32"/>
        </w:rPr>
      </w:pPr>
      <w:r>
        <w:rPr>
          <w:rFonts w:hint="eastAsia" w:ascii="楷体_GB2312" w:hAnsi="楷体_GB2312" w:eastAsia="楷体_GB2312" w:cs="楷体_GB2312"/>
          <w:spacing w:val="11"/>
          <w:sz w:val="32"/>
          <w:szCs w:val="32"/>
        </w:rPr>
        <w:t>(一)统筹兼顾原则。</w:t>
      </w:r>
      <w:r>
        <w:rPr>
          <w:rFonts w:hint="eastAsia" w:ascii="仿宋_GB2312" w:eastAsia="仿宋_GB2312" w:cs="仿宋_GB2312"/>
          <w:sz w:val="32"/>
          <w:szCs w:val="32"/>
        </w:rPr>
        <w:t>按照年度福彩公益金可分配总额，结合市区事权划分和市区激励机制等因素，合理核定市级</w:t>
      </w:r>
      <w:r>
        <w:rPr>
          <w:rFonts w:ascii="仿宋_GB2312" w:eastAsia="仿宋_GB2312" w:cs="仿宋_GB2312"/>
          <w:sz w:val="32"/>
          <w:szCs w:val="32"/>
        </w:rPr>
        <w:t>统筹资金</w:t>
      </w:r>
      <w:r>
        <w:rPr>
          <w:rFonts w:hint="eastAsia" w:ascii="仿宋_GB2312" w:eastAsia="仿宋_GB2312" w:cs="仿宋_GB2312"/>
          <w:sz w:val="32"/>
          <w:szCs w:val="32"/>
        </w:rPr>
        <w:t>和区级分成资金规模，并根据经济社会发展以及各区(</w:t>
      </w:r>
      <w:r>
        <w:rPr>
          <w:rFonts w:ascii="仿宋_GB2312" w:eastAsia="仿宋_GB2312" w:cs="仿宋_GB2312"/>
          <w:sz w:val="32"/>
          <w:szCs w:val="32"/>
        </w:rPr>
        <w:t>含</w:t>
      </w:r>
      <w:r>
        <w:rPr>
          <w:rFonts w:hint="eastAsia" w:ascii="仿宋_GB2312" w:eastAsia="仿宋_GB2312" w:cs="仿宋_GB2312"/>
          <w:sz w:val="32"/>
          <w:szCs w:val="32"/>
        </w:rPr>
        <w:t>新区</w:t>
      </w:r>
      <w:r>
        <w:rPr>
          <w:rFonts w:ascii="仿宋_GB2312" w:eastAsia="仿宋_GB2312" w:cs="仿宋_GB2312"/>
          <w:sz w:val="32"/>
          <w:szCs w:val="32"/>
        </w:rPr>
        <w:t>，下同</w:t>
      </w:r>
      <w:r>
        <w:rPr>
          <w:rFonts w:hint="eastAsia" w:ascii="仿宋_GB2312" w:eastAsia="仿宋_GB2312" w:cs="仿宋_GB2312"/>
          <w:sz w:val="32"/>
          <w:szCs w:val="32"/>
        </w:rPr>
        <w:t>)实际需求等情况进行适时调整。</w:t>
      </w:r>
    </w:p>
    <w:p>
      <w:pPr>
        <w:pStyle w:val="8"/>
        <w:keepNext/>
        <w:topLinePunct/>
        <w:spacing w:before="0" w:beforeAutospacing="0" w:after="0" w:afterAutospacing="0" w:line="579" w:lineRule="exact"/>
        <w:ind w:firstLine="684" w:firstLineChars="200"/>
        <w:rPr>
          <w:rFonts w:ascii="仿宋_GB2312" w:eastAsia="仿宋_GB2312" w:cs="仿宋_GB2312"/>
          <w:kern w:val="2"/>
          <w:sz w:val="32"/>
          <w:szCs w:val="32"/>
        </w:rPr>
      </w:pPr>
      <w:r>
        <w:rPr>
          <w:rFonts w:hint="eastAsia" w:ascii="楷体_GB2312" w:hAnsi="楷体_GB2312" w:eastAsia="楷体_GB2312" w:cs="楷体_GB2312"/>
          <w:spacing w:val="11"/>
          <w:sz w:val="32"/>
          <w:szCs w:val="32"/>
        </w:rPr>
        <w:t>(二)综合分配原则。</w:t>
      </w:r>
      <w:r>
        <w:rPr>
          <w:rFonts w:hint="eastAsia" w:ascii="仿宋_GB2312" w:eastAsia="仿宋_GB2312" w:cs="仿宋_GB2312"/>
          <w:kern w:val="2"/>
          <w:sz w:val="32"/>
          <w:szCs w:val="32"/>
        </w:rPr>
        <w:t>福彩公益金采取因素法与项目法相结合</w:t>
      </w:r>
      <w:r>
        <w:rPr>
          <w:rFonts w:ascii="仿宋_GB2312" w:eastAsia="仿宋_GB2312" w:cs="仿宋_GB2312"/>
          <w:kern w:val="2"/>
          <w:sz w:val="32"/>
          <w:szCs w:val="32"/>
        </w:rPr>
        <w:t>的</w:t>
      </w:r>
      <w:r>
        <w:rPr>
          <w:rFonts w:hint="eastAsia" w:ascii="仿宋_GB2312" w:eastAsia="仿宋_GB2312" w:cs="仿宋_GB2312"/>
          <w:kern w:val="2"/>
          <w:sz w:val="32"/>
          <w:szCs w:val="32"/>
        </w:rPr>
        <w:t>方法进行分配。</w:t>
      </w:r>
      <w:r>
        <w:rPr>
          <w:rFonts w:ascii="仿宋_GB2312" w:eastAsia="仿宋_GB2312" w:cs="仿宋_GB2312"/>
          <w:kern w:val="2"/>
          <w:sz w:val="32"/>
          <w:szCs w:val="32"/>
        </w:rPr>
        <w:t>因素法分配作为福彩公益金市区分成的主要分配方法，根据各区服务对象、服务机构及财力状况等因素设置分成指标体系</w:t>
      </w:r>
      <w:r>
        <w:rPr>
          <w:rFonts w:hint="eastAsia" w:ascii="仿宋_GB2312" w:eastAsia="仿宋_GB2312" w:cs="仿宋_GB2312"/>
          <w:kern w:val="2"/>
          <w:sz w:val="32"/>
          <w:szCs w:val="32"/>
        </w:rPr>
        <w:t>。</w:t>
      </w:r>
      <w:r>
        <w:rPr>
          <w:rFonts w:ascii="仿宋_GB2312" w:eastAsia="仿宋_GB2312" w:cs="仿宋_GB2312"/>
          <w:kern w:val="2"/>
          <w:sz w:val="32"/>
          <w:szCs w:val="32"/>
        </w:rPr>
        <w:t>项目法分配，由</w:t>
      </w:r>
      <w:r>
        <w:rPr>
          <w:rFonts w:ascii="仿宋_GB2312" w:eastAsia="仿宋_GB2312" w:cs="仿宋_GB2312"/>
          <w:color w:val="000000"/>
          <w:kern w:val="2"/>
          <w:sz w:val="32"/>
          <w:szCs w:val="32"/>
        </w:rPr>
        <w:t>市级预算单位根据重大政策和重点工作计划提出申请，福彩公益金管理部门</w:t>
      </w:r>
      <w:r>
        <w:rPr>
          <w:rFonts w:hint="eastAsia" w:ascii="仿宋_GB2312" w:eastAsia="仿宋_GB2312" w:cs="仿宋_GB2312"/>
          <w:color w:val="000000"/>
          <w:kern w:val="2"/>
          <w:sz w:val="32"/>
          <w:szCs w:val="32"/>
        </w:rPr>
        <w:t>经相应评审与审批程序择优选择项目，在资金</w:t>
      </w:r>
      <w:r>
        <w:rPr>
          <w:rFonts w:ascii="仿宋_GB2312" w:eastAsia="仿宋_GB2312" w:cs="仿宋_GB2312"/>
          <w:color w:val="000000"/>
          <w:kern w:val="2"/>
          <w:sz w:val="32"/>
          <w:szCs w:val="32"/>
        </w:rPr>
        <w:t>分配</w:t>
      </w:r>
      <w:r>
        <w:rPr>
          <w:rFonts w:hint="eastAsia" w:ascii="仿宋_GB2312" w:eastAsia="仿宋_GB2312" w:cs="仿宋_GB2312"/>
          <w:color w:val="000000"/>
          <w:kern w:val="2"/>
          <w:sz w:val="32"/>
          <w:szCs w:val="32"/>
        </w:rPr>
        <w:t>下达时明确</w:t>
      </w:r>
      <w:r>
        <w:rPr>
          <w:rFonts w:ascii="仿宋_GB2312" w:eastAsia="仿宋_GB2312" w:cs="仿宋_GB2312"/>
          <w:color w:val="000000"/>
          <w:kern w:val="2"/>
          <w:sz w:val="32"/>
          <w:szCs w:val="32"/>
        </w:rPr>
        <w:t>绩效目标、资金规模和资金用途等内容。</w:t>
      </w:r>
    </w:p>
    <w:p>
      <w:pPr>
        <w:keepNext/>
        <w:topLinePunct/>
        <w:spacing w:line="579" w:lineRule="exact"/>
        <w:ind w:firstLine="684" w:firstLineChars="200"/>
        <w:rPr>
          <w:rFonts w:ascii="仿宋_GB2312" w:eastAsia="仿宋_GB2312" w:cs="仿宋_GB2312"/>
          <w:sz w:val="32"/>
          <w:szCs w:val="32"/>
        </w:rPr>
      </w:pPr>
      <w:r>
        <w:rPr>
          <w:rFonts w:hint="eastAsia" w:ascii="楷体_GB2312" w:hAnsi="楷体_GB2312" w:eastAsia="楷体_GB2312" w:cs="楷体_GB2312"/>
          <w:spacing w:val="11"/>
          <w:sz w:val="32"/>
          <w:szCs w:val="32"/>
        </w:rPr>
        <w:t>(三)绩效导向原则。</w:t>
      </w:r>
      <w:r>
        <w:rPr>
          <w:rFonts w:hint="eastAsia" w:ascii="仿宋_GB2312" w:eastAsia="仿宋_GB2312" w:cs="仿宋_GB2312"/>
          <w:sz w:val="32"/>
          <w:szCs w:val="32"/>
        </w:rPr>
        <w:t>市福彩公益金当年可分配</w:t>
      </w:r>
      <w:r>
        <w:rPr>
          <w:rFonts w:ascii="仿宋_GB2312" w:eastAsia="仿宋_GB2312" w:cs="仿宋_GB2312"/>
          <w:sz w:val="32"/>
          <w:szCs w:val="32"/>
        </w:rPr>
        <w:t>总额</w:t>
      </w:r>
      <w:r>
        <w:rPr>
          <w:rFonts w:hint="eastAsia" w:ascii="仿宋_GB2312" w:eastAsia="仿宋_GB2312" w:cs="仿宋_GB2312"/>
          <w:sz w:val="32"/>
          <w:szCs w:val="32"/>
        </w:rPr>
        <w:t>的</w:t>
      </w:r>
      <w:r>
        <w:rPr>
          <w:rFonts w:ascii="仿宋_GB2312" w:eastAsia="仿宋_GB2312" w:cs="仿宋_GB2312"/>
          <w:sz w:val="32"/>
          <w:szCs w:val="32"/>
        </w:rPr>
        <w:t>5</w:t>
      </w:r>
      <w:r>
        <w:rPr>
          <w:rFonts w:hint="eastAsia" w:ascii="仿宋_GB2312" w:eastAsia="仿宋_GB2312" w:cs="仿宋_GB2312"/>
          <w:sz w:val="32"/>
          <w:szCs w:val="32"/>
        </w:rPr>
        <w:t>%</w:t>
      </w:r>
      <w:r>
        <w:rPr>
          <w:rFonts w:ascii="仿宋_GB2312" w:eastAsia="仿宋_GB2312" w:cs="仿宋_GB2312"/>
          <w:sz w:val="32"/>
          <w:szCs w:val="32"/>
        </w:rPr>
        <w:t>作为区级奖补，对资金安排和使用绩效等表现突出的区进行奖励或补助，对资金安排及日常监督管理不到位的区扣减区级奖补</w:t>
      </w:r>
      <w:r>
        <w:rPr>
          <w:rFonts w:hint="eastAsia" w:ascii="仿宋_GB2312" w:eastAsia="仿宋_GB2312" w:cs="仿宋_GB2312"/>
          <w:sz w:val="32"/>
          <w:szCs w:val="32"/>
        </w:rPr>
        <w:t>。</w:t>
      </w:r>
    </w:p>
    <w:p>
      <w:pPr>
        <w:spacing w:line="579" w:lineRule="exact"/>
        <w:ind w:firstLine="612" w:firstLineChars="200"/>
        <w:rPr>
          <w:rFonts w:ascii="黑体" w:hAnsi="黑体" w:eastAsia="黑体" w:cs="黑体"/>
          <w:spacing w:val="-7"/>
          <w:sz w:val="32"/>
          <w:szCs w:val="32"/>
        </w:rPr>
      </w:pPr>
      <w:r>
        <w:rPr>
          <w:rFonts w:hint="eastAsia" w:ascii="黑体" w:hAnsi="黑体" w:eastAsia="黑体" w:cs="黑体"/>
          <w:spacing w:val="-7"/>
          <w:sz w:val="32"/>
          <w:szCs w:val="32"/>
        </w:rPr>
        <w:t>二、市区分成总体框架</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市福彩公益金当年可分配</w:t>
      </w:r>
      <w:r>
        <w:rPr>
          <w:rFonts w:ascii="仿宋_GB2312" w:eastAsia="仿宋_GB2312" w:cs="仿宋_GB2312"/>
          <w:sz w:val="32"/>
          <w:szCs w:val="32"/>
        </w:rPr>
        <w:t>总额</w:t>
      </w:r>
      <w:r>
        <w:rPr>
          <w:rFonts w:hint="eastAsia" w:ascii="仿宋_GB2312" w:eastAsia="仿宋_GB2312" w:cs="仿宋_GB2312"/>
          <w:sz w:val="32"/>
          <w:szCs w:val="32"/>
        </w:rPr>
        <w:t>包括我市当年提留部分和上年结转结余资金。</w:t>
      </w:r>
      <w:r>
        <w:rPr>
          <w:rFonts w:ascii="仿宋_GB2312" w:eastAsia="仿宋_GB2312" w:cs="仿宋_GB2312"/>
          <w:sz w:val="32"/>
          <w:szCs w:val="32"/>
        </w:rPr>
        <w:t>可分配总额</w:t>
      </w:r>
      <w:r>
        <w:rPr>
          <w:rFonts w:hint="eastAsia" w:ascii="仿宋_GB2312" w:eastAsia="仿宋_GB2312" w:cs="仿宋_GB2312"/>
          <w:sz w:val="32"/>
          <w:szCs w:val="32"/>
        </w:rPr>
        <w:t>=市级</w:t>
      </w:r>
      <w:r>
        <w:rPr>
          <w:rFonts w:ascii="仿宋_GB2312" w:eastAsia="仿宋_GB2312" w:cs="仿宋_GB2312"/>
          <w:sz w:val="32"/>
          <w:szCs w:val="32"/>
        </w:rPr>
        <w:t>统筹资金（含项目法分配资金）</w:t>
      </w:r>
      <w:r>
        <w:rPr>
          <w:rFonts w:hint="eastAsia" w:ascii="仿宋_GB2312" w:eastAsia="仿宋_GB2312" w:cs="仿宋_GB2312"/>
          <w:sz w:val="32"/>
          <w:szCs w:val="32"/>
        </w:rPr>
        <w:t>+区级分成</w:t>
      </w:r>
      <w:r>
        <w:rPr>
          <w:rFonts w:ascii="仿宋_GB2312" w:eastAsia="仿宋_GB2312" w:cs="仿宋_GB2312"/>
          <w:sz w:val="32"/>
          <w:szCs w:val="32"/>
        </w:rPr>
        <w:t>资金（含区级奖补）</w:t>
      </w:r>
      <w:r>
        <w:rPr>
          <w:rFonts w:hint="eastAsia" w:ascii="仿宋_GB2312" w:eastAsia="仿宋_GB2312" w:cs="仿宋_GB2312"/>
          <w:sz w:val="32"/>
          <w:szCs w:val="32"/>
        </w:rPr>
        <w:t>。原则上按照市级</w:t>
      </w:r>
      <w:r>
        <w:rPr>
          <w:rFonts w:ascii="仿宋_GB2312" w:eastAsia="仿宋_GB2312" w:cs="仿宋_GB2312"/>
          <w:sz w:val="32"/>
          <w:szCs w:val="32"/>
        </w:rPr>
        <w:t>统筹资金50%、</w:t>
      </w:r>
      <w:r>
        <w:rPr>
          <w:rFonts w:hint="eastAsia" w:ascii="仿宋_GB2312" w:eastAsia="仿宋_GB2312" w:cs="仿宋_GB2312"/>
          <w:sz w:val="32"/>
          <w:szCs w:val="32"/>
        </w:rPr>
        <w:t>区级</w:t>
      </w:r>
      <w:r>
        <w:rPr>
          <w:rFonts w:ascii="仿宋_GB2312" w:eastAsia="仿宋_GB2312" w:cs="仿宋_GB2312"/>
          <w:sz w:val="32"/>
          <w:szCs w:val="32"/>
        </w:rPr>
        <w:t>分成5</w:t>
      </w:r>
      <w:r>
        <w:rPr>
          <w:rFonts w:hint="eastAsia" w:ascii="仿宋_GB2312" w:eastAsia="仿宋_GB2312" w:cs="仿宋_GB2312"/>
          <w:sz w:val="32"/>
          <w:szCs w:val="32"/>
        </w:rPr>
        <w:t>0%的比例分配</w:t>
      </w:r>
      <w:r>
        <w:rPr>
          <w:rFonts w:ascii="仿宋_GB2312" w:eastAsia="仿宋_GB2312" w:cs="仿宋_GB2312"/>
          <w:sz w:val="32"/>
          <w:szCs w:val="32"/>
        </w:rPr>
        <w:t>。</w:t>
      </w:r>
    </w:p>
    <w:p>
      <w:pPr>
        <w:spacing w:line="579"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项目法分配资金是在福彩公益金市区分成时，按不超过年度可分配规模的20%进行预留，预留资金当年未使用部分，结转下年继续用于项目法分配。市级预算单位根据重大政策和重点工作计划提出申请，福彩公益金管理部门经相应评审与审批程序择优选择具体项目，原则上，每半年评审一次，市财政部门根据评审结果下达资金，在资金分配下达时明确项目内容和资金用途。具体操作规程另行制定。</w:t>
      </w:r>
    </w:p>
    <w:p>
      <w:pPr>
        <w:spacing w:line="579" w:lineRule="exact"/>
        <w:ind w:firstLine="612" w:firstLineChars="200"/>
        <w:rPr>
          <w:rFonts w:ascii="黑体" w:hAnsi="黑体" w:eastAsia="黑体" w:cs="黑体"/>
          <w:spacing w:val="-7"/>
          <w:sz w:val="32"/>
          <w:szCs w:val="32"/>
        </w:rPr>
      </w:pPr>
      <w:r>
        <w:rPr>
          <w:rFonts w:hint="eastAsia" w:ascii="黑体" w:hAnsi="黑体" w:eastAsia="黑体" w:cs="黑体"/>
          <w:spacing w:val="-7"/>
          <w:sz w:val="32"/>
          <w:szCs w:val="32"/>
        </w:rPr>
        <w:t>三、区级分成体系</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根据福彩公益金“扶老、助残、救孤、济困”的宗旨，设置综合指标体系(附件1),按因素得分权重系数计算各区分配资金，</w:t>
      </w:r>
      <w:r>
        <w:rPr>
          <w:rFonts w:ascii="仿宋_GB2312" w:eastAsia="仿宋_GB2312" w:cs="仿宋_GB2312"/>
          <w:sz w:val="32"/>
          <w:szCs w:val="32"/>
        </w:rPr>
        <w:t>区级分成资金</w:t>
      </w:r>
      <w:r>
        <w:rPr>
          <w:rFonts w:hint="eastAsia" w:ascii="仿宋_GB2312" w:eastAsia="仿宋_GB2312" w:cs="仿宋_GB2312"/>
          <w:sz w:val="32"/>
          <w:szCs w:val="32"/>
        </w:rPr>
        <w:t>为市福彩公益金当年可分配</w:t>
      </w:r>
      <w:r>
        <w:rPr>
          <w:rFonts w:ascii="仿宋_GB2312" w:eastAsia="仿宋_GB2312" w:cs="仿宋_GB2312"/>
          <w:sz w:val="32"/>
          <w:szCs w:val="32"/>
        </w:rPr>
        <w:t>总额</w:t>
      </w:r>
      <w:r>
        <w:rPr>
          <w:rFonts w:hint="eastAsia" w:ascii="仿宋_GB2312" w:eastAsia="仿宋_GB2312" w:cs="仿宋_GB2312"/>
          <w:sz w:val="32"/>
          <w:szCs w:val="32"/>
        </w:rPr>
        <w:t>的</w:t>
      </w:r>
      <w:r>
        <w:rPr>
          <w:rFonts w:ascii="仿宋_GB2312" w:eastAsia="仿宋_GB2312" w:cs="仿宋_GB2312"/>
          <w:sz w:val="32"/>
          <w:szCs w:val="32"/>
        </w:rPr>
        <w:t>5</w:t>
      </w:r>
      <w:r>
        <w:rPr>
          <w:rFonts w:hint="eastAsia" w:ascii="仿宋_GB2312" w:eastAsia="仿宋_GB2312" w:cs="仿宋_GB2312"/>
          <w:sz w:val="32"/>
          <w:szCs w:val="32"/>
        </w:rPr>
        <w:t>0%</w:t>
      </w:r>
      <w:r>
        <w:rPr>
          <w:rFonts w:ascii="仿宋_GB2312" w:eastAsia="仿宋_GB2312" w:cs="仿宋_GB2312"/>
          <w:sz w:val="32"/>
          <w:szCs w:val="32"/>
        </w:rPr>
        <w:t>，其中按因素法分配资金45%，区级奖补5%</w:t>
      </w:r>
      <w:r>
        <w:rPr>
          <w:rFonts w:hint="eastAsia" w:ascii="仿宋_GB2312" w:eastAsia="仿宋_GB2312" w:cs="仿宋_GB2312"/>
          <w:sz w:val="32"/>
          <w:szCs w:val="32"/>
        </w:rPr>
        <w:t>。指标数据</w:t>
      </w:r>
      <w:r>
        <w:rPr>
          <w:rFonts w:ascii="仿宋_GB2312" w:eastAsia="仿宋_GB2312" w:cs="仿宋_GB2312"/>
          <w:sz w:val="32"/>
          <w:szCs w:val="32"/>
        </w:rPr>
        <w:t>从最新公开发布的深圳统计年鉴以及相关业务统计系统中选取</w:t>
      </w:r>
      <w:r>
        <w:rPr>
          <w:rFonts w:hint="eastAsia" w:ascii="仿宋_GB2312" w:eastAsia="仿宋_GB2312" w:cs="仿宋_GB2312"/>
          <w:sz w:val="32"/>
          <w:szCs w:val="32"/>
        </w:rPr>
        <w:t>。</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某区分成比例=区常住人口数占比×</w:t>
      </w:r>
      <w:r>
        <w:rPr>
          <w:rFonts w:ascii="仿宋_GB2312" w:eastAsia="仿宋_GB2312" w:cs="仿宋_GB2312"/>
          <w:sz w:val="32"/>
          <w:szCs w:val="32"/>
        </w:rPr>
        <w:t>25</w:t>
      </w:r>
      <w:r>
        <w:rPr>
          <w:rFonts w:hint="eastAsia" w:ascii="仿宋_GB2312" w:eastAsia="仿宋_GB2312" w:cs="仿宋_GB2312"/>
          <w:sz w:val="32"/>
          <w:szCs w:val="32"/>
        </w:rPr>
        <w:t>%+区户籍</w:t>
      </w:r>
      <w:r>
        <w:rPr>
          <w:rFonts w:ascii="仿宋_GB2312" w:eastAsia="仿宋_GB2312" w:cs="仿宋_GB2312"/>
          <w:sz w:val="32"/>
          <w:szCs w:val="32"/>
        </w:rPr>
        <w:t>60</w:t>
      </w:r>
      <w:r>
        <w:rPr>
          <w:rFonts w:hint="eastAsia" w:ascii="仿宋_GB2312" w:eastAsia="仿宋_GB2312" w:cs="仿宋_GB2312"/>
          <w:sz w:val="32"/>
          <w:szCs w:val="32"/>
        </w:rPr>
        <w:t>岁以上老人数占比×</w:t>
      </w:r>
      <w:r>
        <w:rPr>
          <w:rFonts w:ascii="仿宋_GB2312" w:eastAsia="仿宋_GB2312" w:cs="仿宋_GB2312"/>
          <w:sz w:val="32"/>
          <w:szCs w:val="32"/>
        </w:rPr>
        <w:t>25</w:t>
      </w:r>
      <w:r>
        <w:rPr>
          <w:rFonts w:hint="eastAsia" w:ascii="仿宋_GB2312" w:eastAsia="仿宋_GB2312" w:cs="仿宋_GB2312"/>
          <w:sz w:val="32"/>
          <w:szCs w:val="32"/>
        </w:rPr>
        <w:t>%+区登记户籍残疾人数占比×10%+</w:t>
      </w:r>
      <w:r>
        <w:rPr>
          <w:rFonts w:ascii="仿宋_GB2312" w:eastAsia="仿宋_GB2312" w:cs="仿宋_GB2312"/>
          <w:color w:val="000000"/>
          <w:sz w:val="32"/>
          <w:szCs w:val="32"/>
        </w:rPr>
        <w:t>区户籍困难家庭儿童及孤儿人数</w:t>
      </w:r>
      <w:r>
        <w:rPr>
          <w:rFonts w:hint="eastAsia" w:ascii="仿宋_GB2312" w:eastAsia="仿宋_GB2312" w:cs="仿宋_GB2312"/>
          <w:sz w:val="32"/>
          <w:szCs w:val="32"/>
        </w:rPr>
        <w:t>占比×1</w:t>
      </w:r>
      <w:r>
        <w:rPr>
          <w:rFonts w:ascii="仿宋_GB2312" w:eastAsia="仿宋_GB2312" w:cs="仿宋_GB2312"/>
          <w:sz w:val="32"/>
          <w:szCs w:val="32"/>
        </w:rPr>
        <w:t>0</w:t>
      </w:r>
      <w:r>
        <w:rPr>
          <w:rFonts w:hint="eastAsia" w:ascii="仿宋_GB2312" w:eastAsia="仿宋_GB2312" w:cs="仿宋_GB2312"/>
          <w:sz w:val="32"/>
          <w:szCs w:val="32"/>
        </w:rPr>
        <w:t>%+</w:t>
      </w:r>
      <w:r>
        <w:rPr>
          <w:rFonts w:ascii="仿宋_GB2312" w:eastAsia="仿宋_GB2312" w:cs="仿宋_GB2312"/>
          <w:color w:val="000000"/>
          <w:sz w:val="32"/>
          <w:szCs w:val="32"/>
        </w:rPr>
        <w:t>区养老机构和社区养老服务机构数、</w:t>
      </w:r>
      <w:r>
        <w:rPr>
          <w:rFonts w:ascii="仿宋_GB2312" w:eastAsia="仿宋_GB2312" w:cs="仿宋_GB2312"/>
          <w:sz w:val="32"/>
          <w:szCs w:val="32"/>
        </w:rPr>
        <w:t>区儿童福利机构及未成年人救助保护机构数</w:t>
      </w:r>
      <w:r>
        <w:rPr>
          <w:rFonts w:hint="eastAsia" w:ascii="仿宋_GB2312" w:eastAsia="仿宋_GB2312" w:cs="仿宋_GB2312"/>
          <w:sz w:val="32"/>
          <w:szCs w:val="32"/>
        </w:rPr>
        <w:t>×1</w:t>
      </w:r>
      <w:r>
        <w:rPr>
          <w:rFonts w:ascii="仿宋_GB2312" w:eastAsia="仿宋_GB2312" w:cs="仿宋_GB2312"/>
          <w:sz w:val="32"/>
          <w:szCs w:val="32"/>
        </w:rPr>
        <w:t>0</w:t>
      </w:r>
      <w:r>
        <w:rPr>
          <w:rFonts w:hint="eastAsia" w:ascii="仿宋_GB2312" w:eastAsia="仿宋_GB2312" w:cs="仿宋_GB2312"/>
          <w:sz w:val="32"/>
          <w:szCs w:val="32"/>
        </w:rPr>
        <w:t>%</w:t>
      </w:r>
      <w:r>
        <w:rPr>
          <w:rFonts w:ascii="仿宋_GB2312" w:eastAsia="仿宋_GB2312" w:cs="仿宋_GB2312"/>
          <w:sz w:val="32"/>
          <w:szCs w:val="32"/>
        </w:rPr>
        <w:t>+区民政服务站个数</w:t>
      </w:r>
      <w:r>
        <w:rPr>
          <w:rFonts w:hint="eastAsia" w:ascii="仿宋_GB2312" w:eastAsia="仿宋_GB2312" w:cs="仿宋_GB2312"/>
          <w:sz w:val="32"/>
          <w:szCs w:val="32"/>
        </w:rPr>
        <w:t>×</w:t>
      </w:r>
      <w:r>
        <w:rPr>
          <w:rFonts w:ascii="仿宋_GB2312" w:eastAsia="仿宋_GB2312" w:cs="仿宋_GB2312"/>
          <w:sz w:val="32"/>
          <w:szCs w:val="32"/>
        </w:rPr>
        <w:t>10%+区财力困难程度</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w:t>
      </w:r>
    </w:p>
    <w:p>
      <w:pPr>
        <w:spacing w:line="579" w:lineRule="exact"/>
        <w:ind w:firstLine="640" w:firstLineChars="200"/>
        <w:rPr>
          <w:rFonts w:ascii="仿宋_GB2312" w:eastAsia="仿宋_GB2312" w:cs="仿宋_GB2312"/>
          <w:sz w:val="32"/>
          <w:szCs w:val="32"/>
        </w:rPr>
      </w:pPr>
      <w:r>
        <w:rPr>
          <w:rFonts w:ascii="仿宋_GB2312" w:eastAsia="仿宋_GB2312" w:cs="仿宋_GB2312"/>
          <w:sz w:val="32"/>
          <w:szCs w:val="32"/>
        </w:rPr>
        <w:t>区级奖补占</w:t>
      </w:r>
      <w:r>
        <w:rPr>
          <w:rFonts w:hint="eastAsia" w:ascii="仿宋_GB2312" w:eastAsia="仿宋_GB2312" w:cs="仿宋_GB2312"/>
          <w:sz w:val="32"/>
          <w:szCs w:val="32"/>
        </w:rPr>
        <w:t>市福彩公益金当年可分配</w:t>
      </w:r>
      <w:r>
        <w:rPr>
          <w:rFonts w:ascii="仿宋_GB2312" w:eastAsia="仿宋_GB2312" w:cs="仿宋_GB2312"/>
          <w:sz w:val="32"/>
          <w:szCs w:val="32"/>
        </w:rPr>
        <w:t>总额</w:t>
      </w:r>
      <w:r>
        <w:rPr>
          <w:rFonts w:hint="eastAsia" w:ascii="仿宋_GB2312" w:eastAsia="仿宋_GB2312" w:cs="仿宋_GB2312"/>
          <w:sz w:val="32"/>
          <w:szCs w:val="32"/>
        </w:rPr>
        <w:t>的</w:t>
      </w:r>
      <w:r>
        <w:rPr>
          <w:rFonts w:ascii="仿宋_GB2312" w:eastAsia="仿宋_GB2312" w:cs="仿宋_GB2312"/>
          <w:sz w:val="32"/>
          <w:szCs w:val="32"/>
        </w:rPr>
        <w:t>5</w:t>
      </w:r>
      <w:r>
        <w:rPr>
          <w:rFonts w:hint="eastAsia" w:ascii="仿宋_GB2312" w:eastAsia="仿宋_GB2312" w:cs="仿宋_GB2312"/>
          <w:sz w:val="32"/>
          <w:szCs w:val="32"/>
        </w:rPr>
        <w:t>%，区级奖补指标由市民政部门根据工作实际进行测算。</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某区奖补资金=</w:t>
      </w:r>
      <w:r>
        <w:rPr>
          <w:rFonts w:ascii="仿宋_GB2312" w:eastAsia="仿宋_GB2312" w:cs="仿宋_GB2312"/>
          <w:sz w:val="32"/>
          <w:szCs w:val="32"/>
        </w:rPr>
        <w:t>资金分配合理性</w:t>
      </w: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0%+</w:t>
      </w:r>
      <w:r>
        <w:rPr>
          <w:rFonts w:ascii="仿宋_GB2312" w:eastAsia="仿宋_GB2312" w:cs="仿宋_GB2312"/>
          <w:sz w:val="32"/>
          <w:szCs w:val="32"/>
        </w:rPr>
        <w:t>项目日常管理</w:t>
      </w:r>
      <w:r>
        <w:rPr>
          <w:rFonts w:hint="eastAsia" w:ascii="仿宋_GB2312" w:eastAsia="仿宋_GB2312" w:cs="仿宋_GB2312"/>
          <w:sz w:val="32"/>
          <w:szCs w:val="32"/>
        </w:rPr>
        <w:t>×20%+</w:t>
      </w:r>
      <w:r>
        <w:rPr>
          <w:rFonts w:hint="eastAsia" w:ascii="仿宋_GB2312" w:eastAsia="仿宋_GB2312" w:cs="仿宋_GB2312"/>
          <w:color w:val="000000"/>
          <w:sz w:val="32"/>
          <w:szCs w:val="32"/>
        </w:rPr>
        <w:t>项目监督管理</w:t>
      </w: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0%+</w:t>
      </w:r>
      <w:r>
        <w:rPr>
          <w:rFonts w:ascii="仿宋_GB2312" w:eastAsia="仿宋_GB2312" w:cs="仿宋_GB2312"/>
          <w:sz w:val="32"/>
          <w:szCs w:val="32"/>
        </w:rPr>
        <w:t>工作配合度</w:t>
      </w:r>
      <w:r>
        <w:rPr>
          <w:rFonts w:hint="eastAsia" w:ascii="仿宋_GB2312" w:eastAsia="仿宋_GB2312" w:cs="仿宋_GB2312"/>
          <w:sz w:val="32"/>
          <w:szCs w:val="32"/>
        </w:rPr>
        <w:t>×20%+</w:t>
      </w:r>
      <w:r>
        <w:rPr>
          <w:rFonts w:ascii="仿宋_GB2312" w:eastAsia="仿宋_GB2312" w:cs="仿宋_GB2312"/>
          <w:sz w:val="32"/>
          <w:szCs w:val="32"/>
        </w:rPr>
        <w:t>社会满意</w:t>
      </w:r>
      <w:r>
        <w:rPr>
          <w:rFonts w:hint="eastAsia" w:ascii="仿宋_GB2312" w:eastAsia="仿宋_GB2312" w:cs="仿宋_GB2312"/>
          <w:sz w:val="32"/>
          <w:szCs w:val="32"/>
        </w:rPr>
        <w:t>度×</w:t>
      </w:r>
      <w:r>
        <w:rPr>
          <w:rFonts w:ascii="仿宋_GB2312" w:eastAsia="仿宋_GB2312" w:cs="仿宋_GB2312"/>
          <w:sz w:val="32"/>
          <w:szCs w:val="32"/>
        </w:rPr>
        <w:t>1</w:t>
      </w:r>
      <w:r>
        <w:rPr>
          <w:rFonts w:hint="eastAsia" w:ascii="仿宋_GB2312" w:eastAsia="仿宋_GB2312" w:cs="仿宋_GB2312"/>
          <w:sz w:val="32"/>
          <w:szCs w:val="32"/>
        </w:rPr>
        <w:t>0%。</w:t>
      </w:r>
    </w:p>
    <w:p>
      <w:pPr>
        <w:spacing w:line="579" w:lineRule="exact"/>
        <w:ind w:firstLine="612" w:firstLineChars="200"/>
        <w:rPr>
          <w:rFonts w:ascii="CESI黑体-GB2312" w:hAnsi="CESI黑体-GB2312" w:eastAsia="CESI黑体-GB2312" w:cs="CESI黑体-GB2312"/>
          <w:spacing w:val="-7"/>
          <w:sz w:val="32"/>
          <w:szCs w:val="32"/>
        </w:rPr>
      </w:pPr>
      <w:r>
        <w:rPr>
          <w:rFonts w:ascii="CESI黑体-GB2312" w:hAnsi="CESI黑体-GB2312" w:eastAsia="CESI黑体-GB2312" w:cs="CESI黑体-GB2312"/>
          <w:spacing w:val="-7"/>
          <w:sz w:val="32"/>
          <w:szCs w:val="32"/>
        </w:rPr>
        <w:t>四</w:t>
      </w:r>
      <w:r>
        <w:rPr>
          <w:rFonts w:hint="eastAsia" w:ascii="CESI黑体-GB2312" w:hAnsi="CESI黑体-GB2312" w:eastAsia="CESI黑体-GB2312" w:cs="CESI黑体-GB2312"/>
          <w:spacing w:val="-7"/>
          <w:sz w:val="32"/>
          <w:szCs w:val="32"/>
        </w:rPr>
        <w:t>、具体工作</w:t>
      </w:r>
    </w:p>
    <w:p>
      <w:pPr>
        <w:spacing w:line="579" w:lineRule="exact"/>
        <w:ind w:firstLine="684" w:firstLineChars="200"/>
        <w:rPr>
          <w:rFonts w:ascii="楷体_GB2312" w:hAnsi="楷体_GB2312" w:eastAsia="楷体_GB2312" w:cs="楷体_GB2312"/>
          <w:spacing w:val="11"/>
          <w:sz w:val="32"/>
          <w:szCs w:val="32"/>
        </w:rPr>
      </w:pPr>
      <w:r>
        <w:rPr>
          <w:rFonts w:hint="eastAsia" w:ascii="楷体_GB2312" w:hAnsi="楷体_GB2312" w:eastAsia="楷体_GB2312" w:cs="楷体_GB2312"/>
          <w:spacing w:val="11"/>
          <w:sz w:val="32"/>
          <w:szCs w:val="32"/>
        </w:rPr>
        <w:t>(一)实施步骤</w:t>
      </w:r>
    </w:p>
    <w:p>
      <w:pPr>
        <w:spacing w:line="579" w:lineRule="exact"/>
        <w:ind w:firstLine="642" w:firstLineChars="200"/>
        <w:rPr>
          <w:rFonts w:ascii="仿宋_GB2312" w:eastAsia="仿宋_GB2312" w:cs="仿宋_GB2312"/>
          <w:b/>
          <w:bCs/>
          <w:sz w:val="32"/>
          <w:szCs w:val="32"/>
        </w:rPr>
      </w:pPr>
      <w:r>
        <w:rPr>
          <w:rFonts w:hint="eastAsia" w:ascii="仿宋_GB2312" w:eastAsia="仿宋_GB2312" w:cs="仿宋_GB2312"/>
          <w:b/>
          <w:bCs/>
          <w:sz w:val="32"/>
          <w:szCs w:val="32"/>
        </w:rPr>
        <w:t>第一步：收集数据。</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按照部门预算管理等有关要求，</w:t>
      </w:r>
      <w:r>
        <w:rPr>
          <w:rFonts w:ascii="仿宋_GB2312" w:eastAsia="仿宋_GB2312" w:cs="仿宋_GB2312"/>
          <w:sz w:val="32"/>
          <w:szCs w:val="32"/>
        </w:rPr>
        <w:t>福彩公益金管理部门从公开发布的深圳统计年鉴以及市民政局业务统计系统中提取分成因素指标基础数据。</w:t>
      </w:r>
    </w:p>
    <w:p>
      <w:pPr>
        <w:spacing w:line="579" w:lineRule="exact"/>
        <w:ind w:firstLine="640" w:firstLineChars="200"/>
        <w:rPr>
          <w:rFonts w:ascii="仿宋_GB2312" w:hAnsi="Arial" w:eastAsia="仿宋_GB2312" w:cs="仿宋_GB2312"/>
          <w:sz w:val="32"/>
          <w:szCs w:val="32"/>
        </w:rPr>
      </w:pPr>
      <w:r>
        <w:rPr>
          <w:rFonts w:ascii="仿宋_GB2312" w:hAnsi="Arial" w:eastAsia="仿宋_GB2312" w:cs="仿宋_GB2312"/>
          <w:sz w:val="32"/>
          <w:szCs w:val="32"/>
        </w:rPr>
        <w:t>市级预算单位根据</w:t>
      </w:r>
      <w:r>
        <w:rPr>
          <w:rFonts w:ascii="仿宋_GB2312" w:eastAsia="仿宋_GB2312" w:cs="仿宋_GB2312"/>
          <w:sz w:val="32"/>
          <w:szCs w:val="32"/>
        </w:rPr>
        <w:t>项目法操作规程进行</w:t>
      </w:r>
      <w:r>
        <w:rPr>
          <w:rFonts w:ascii="仿宋_GB2312" w:hAnsi="Arial" w:eastAsia="仿宋_GB2312" w:cs="仿宋_GB2312"/>
          <w:sz w:val="32"/>
          <w:szCs w:val="32"/>
        </w:rPr>
        <w:t>具体项目申请。</w:t>
      </w:r>
    </w:p>
    <w:p>
      <w:pPr>
        <w:spacing w:line="579" w:lineRule="exact"/>
        <w:ind w:firstLine="642" w:firstLineChars="200"/>
        <w:rPr>
          <w:rFonts w:ascii="仿宋_GB2312" w:eastAsia="仿宋_GB2312" w:cs="仿宋_GB2312"/>
          <w:b/>
          <w:bCs/>
          <w:sz w:val="32"/>
          <w:szCs w:val="32"/>
        </w:rPr>
      </w:pPr>
      <w:r>
        <w:rPr>
          <w:rFonts w:hint="eastAsia" w:ascii="仿宋_GB2312" w:eastAsia="仿宋_GB2312" w:cs="仿宋_GB2312"/>
          <w:b/>
          <w:bCs/>
          <w:sz w:val="32"/>
          <w:szCs w:val="32"/>
        </w:rPr>
        <w:t>第二步：形成方案。</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市民政局汇总</w:t>
      </w:r>
      <w:r>
        <w:rPr>
          <w:rFonts w:ascii="仿宋_GB2312" w:eastAsia="仿宋_GB2312" w:cs="仿宋_GB2312"/>
          <w:sz w:val="32"/>
          <w:szCs w:val="32"/>
        </w:rPr>
        <w:t>市本级预算安排及</w:t>
      </w:r>
      <w:r>
        <w:rPr>
          <w:rFonts w:hint="eastAsia" w:ascii="仿宋_GB2312" w:eastAsia="仿宋_GB2312" w:cs="仿宋_GB2312"/>
          <w:sz w:val="32"/>
          <w:szCs w:val="32"/>
        </w:rPr>
        <w:t>各区基础数据，计算各区福彩公益金具体分配规模，结合</w:t>
      </w:r>
      <w:r>
        <w:rPr>
          <w:rFonts w:ascii="仿宋_GB2312" w:eastAsia="仿宋_GB2312" w:cs="仿宋_GB2312"/>
          <w:sz w:val="32"/>
          <w:szCs w:val="32"/>
        </w:rPr>
        <w:t>项目法资金</w:t>
      </w:r>
      <w:r>
        <w:rPr>
          <w:rFonts w:hint="eastAsia" w:ascii="仿宋_GB2312" w:eastAsia="仿宋_GB2312" w:cs="仿宋_GB2312"/>
          <w:sz w:val="32"/>
          <w:szCs w:val="32"/>
        </w:rPr>
        <w:t>安排情况，向市财政局报送下年度福彩公益金市区分成方案。</w:t>
      </w:r>
    </w:p>
    <w:p>
      <w:pPr>
        <w:spacing w:line="579" w:lineRule="exact"/>
        <w:ind w:firstLine="642" w:firstLineChars="200"/>
        <w:rPr>
          <w:rFonts w:ascii="仿宋_GB2312" w:eastAsia="仿宋_GB2312" w:cs="仿宋_GB2312"/>
          <w:b/>
          <w:bCs/>
          <w:sz w:val="32"/>
          <w:szCs w:val="32"/>
        </w:rPr>
      </w:pPr>
      <w:r>
        <w:rPr>
          <w:rFonts w:hint="eastAsia" w:ascii="仿宋_GB2312" w:eastAsia="仿宋_GB2312" w:cs="仿宋_GB2312"/>
          <w:b/>
          <w:bCs/>
          <w:sz w:val="32"/>
          <w:szCs w:val="32"/>
        </w:rPr>
        <w:t>第三步：资金分配。</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市财政局按规定及时审核市民政局报送的福彩公益金分成方案，按程序报批后纳入下年度市区财政体制结算。市财政局提前通知各区财政部门下年度福彩公益金市区分成预计规模，由各区纳入年初预算安排</w:t>
      </w:r>
      <w:r>
        <w:rPr>
          <w:rFonts w:ascii="仿宋_GB2312" w:eastAsia="仿宋_GB2312" w:cs="仿宋_GB2312"/>
          <w:sz w:val="32"/>
          <w:szCs w:val="32"/>
        </w:rPr>
        <w:t>。</w:t>
      </w:r>
    </w:p>
    <w:p>
      <w:pPr>
        <w:spacing w:line="579" w:lineRule="exact"/>
        <w:ind w:firstLine="684" w:firstLineChars="200"/>
        <w:rPr>
          <w:rFonts w:ascii="楷体_GB2312" w:hAnsi="楷体_GB2312" w:eastAsia="楷体_GB2312" w:cs="楷体_GB2312"/>
          <w:spacing w:val="11"/>
          <w:sz w:val="32"/>
          <w:szCs w:val="32"/>
        </w:rPr>
      </w:pPr>
      <w:r>
        <w:rPr>
          <w:rFonts w:hint="eastAsia" w:ascii="楷体_GB2312" w:hAnsi="楷体_GB2312" w:eastAsia="楷体_GB2312" w:cs="楷体_GB2312"/>
          <w:spacing w:val="11"/>
          <w:sz w:val="32"/>
          <w:szCs w:val="32"/>
        </w:rPr>
        <w:t>(二)管理和监督</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按照《深圳市福利彩票公益金管理办法》等有关要求，各区要加强福彩公益金管理，严格规范支出，提高使用绩效。各区财政部门会同民政部门开展项目绩效评价，</w:t>
      </w:r>
      <w:r>
        <w:rPr>
          <w:rFonts w:ascii="仿宋_GB2312" w:eastAsia="仿宋_GB2312" w:cs="仿宋_GB2312"/>
          <w:sz w:val="32"/>
          <w:szCs w:val="32"/>
        </w:rPr>
        <w:t>可</w:t>
      </w:r>
      <w:r>
        <w:rPr>
          <w:rFonts w:hint="eastAsia" w:ascii="仿宋_GB2312" w:eastAsia="仿宋_GB2312" w:cs="仿宋_GB2312"/>
          <w:sz w:val="32"/>
          <w:szCs w:val="32"/>
        </w:rPr>
        <w:t>引入第三方综合评审机制，将绩效评价结果作为以后年度预算编制和资金分配的重要依据。</w:t>
      </w:r>
    </w:p>
    <w:p>
      <w:pPr>
        <w:spacing w:line="579" w:lineRule="exact"/>
        <w:ind w:firstLine="612" w:firstLineChars="200"/>
        <w:rPr>
          <w:rFonts w:ascii="黑体" w:hAnsi="黑体" w:eastAsia="黑体" w:cs="黑体"/>
          <w:spacing w:val="-7"/>
          <w:sz w:val="32"/>
          <w:szCs w:val="32"/>
        </w:rPr>
      </w:pPr>
      <w:r>
        <w:rPr>
          <w:rFonts w:hint="eastAsia" w:ascii="黑体" w:hAnsi="黑体" w:eastAsia="黑体" w:cs="黑体"/>
          <w:spacing w:val="-7"/>
          <w:sz w:val="32"/>
          <w:szCs w:val="32"/>
        </w:rPr>
        <w:t>五、本方案由市财政局会同市民政局解释，各区可按有关要求制定配套管理办法</w:t>
      </w: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本方案自202</w:t>
      </w:r>
      <w:r>
        <w:rPr>
          <w:rFonts w:ascii="仿宋_GB2312" w:eastAsia="仿宋_GB2312" w:cs="仿宋_GB2312"/>
          <w:sz w:val="32"/>
          <w:szCs w:val="32"/>
        </w:rPr>
        <w:t>5</w:t>
      </w:r>
      <w:r>
        <w:rPr>
          <w:rFonts w:hint="eastAsia" w:ascii="仿宋_GB2312" w:eastAsia="仿宋_GB2312" w:cs="仿宋_GB2312"/>
          <w:sz w:val="32"/>
          <w:szCs w:val="32"/>
        </w:rPr>
        <w:t>年</w:t>
      </w:r>
      <w:r>
        <w:rPr>
          <w:rFonts w:ascii="仿宋_GB2312" w:eastAsia="仿宋_GB2312" w:cs="仿宋_GB2312"/>
          <w:sz w:val="32"/>
          <w:szCs w:val="32"/>
        </w:rPr>
        <w:t>8</w:t>
      </w:r>
      <w:r>
        <w:rPr>
          <w:rFonts w:hint="eastAsia" w:ascii="仿宋_GB2312" w:eastAsia="仿宋_GB2312" w:cs="仿宋_GB2312"/>
          <w:sz w:val="32"/>
          <w:szCs w:val="32"/>
        </w:rPr>
        <w:t>月</w:t>
      </w:r>
      <w:r>
        <w:rPr>
          <w:rFonts w:ascii="仿宋_GB2312" w:eastAsia="仿宋_GB2312" w:cs="仿宋_GB2312"/>
          <w:sz w:val="32"/>
          <w:szCs w:val="32"/>
        </w:rPr>
        <w:t>6</w:t>
      </w:r>
      <w:r>
        <w:rPr>
          <w:rFonts w:hint="eastAsia" w:ascii="仿宋_GB2312" w:eastAsia="仿宋_GB2312" w:cs="仿宋_GB2312"/>
          <w:sz w:val="32"/>
          <w:szCs w:val="32"/>
        </w:rPr>
        <w:t>日起实施，有效期5年。</w:t>
      </w:r>
    </w:p>
    <w:p>
      <w:pPr>
        <w:spacing w:line="579" w:lineRule="exact"/>
        <w:ind w:firstLine="640" w:firstLineChars="200"/>
        <w:rPr>
          <w:rFonts w:ascii="仿宋_GB2312" w:eastAsia="仿宋_GB2312" w:cs="仿宋_GB2312"/>
          <w:sz w:val="32"/>
          <w:szCs w:val="32"/>
        </w:rPr>
      </w:pPr>
    </w:p>
    <w:p>
      <w:pPr>
        <w:spacing w:line="579"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附件：1.深圳市福利彩票公益金市区分成指标表</w:t>
      </w:r>
    </w:p>
    <w:p>
      <w:pPr>
        <w:spacing w:line="579" w:lineRule="exact"/>
        <w:ind w:firstLine="1600" w:firstLineChars="500"/>
        <w:rPr>
          <w:rFonts w:ascii="仿宋_GB2312" w:eastAsia="仿宋_GB2312" w:cs="仿宋_GB2312"/>
          <w:sz w:val="32"/>
          <w:szCs w:val="32"/>
        </w:rPr>
      </w:pPr>
      <w:r>
        <w:rPr>
          <w:rFonts w:hint="eastAsia" w:ascii="仿宋_GB2312" w:eastAsia="仿宋_GB2312" w:cs="仿宋_GB2312"/>
          <w:sz w:val="32"/>
          <w:szCs w:val="32"/>
        </w:rPr>
        <w:t>2.深圳市福利彩票公益金区级奖补指标表</w:t>
      </w:r>
    </w:p>
    <w:p>
      <w:pPr>
        <w:spacing w:line="579" w:lineRule="exact"/>
        <w:ind w:firstLine="1710" w:firstLineChars="500"/>
        <w:rPr>
          <w:rFonts w:ascii="CESI仿宋-GB2312" w:hAnsi="CESI仿宋-GB2312" w:eastAsia="CESI仿宋-GB2312" w:cs="CESI仿宋-GB2312"/>
          <w:spacing w:val="11"/>
          <w:sz w:val="32"/>
          <w:szCs w:val="32"/>
        </w:rPr>
        <w:sectPr>
          <w:footerReference r:id="rId3" w:type="default"/>
          <w:pgSz w:w="12140" w:h="16790"/>
          <w:pgMar w:top="2098" w:right="1474" w:bottom="1984" w:left="1587" w:header="850" w:footer="1587" w:gutter="0"/>
          <w:pgNumType w:fmt="numberInDash"/>
          <w:cols w:space="720" w:num="1"/>
        </w:sectPr>
      </w:pPr>
    </w:p>
    <w:p>
      <w:pPr>
        <w:spacing w:line="579" w:lineRule="exact"/>
        <w:ind w:firstLine="0"/>
        <w:rPr>
          <w:rFonts w:ascii="黑体" w:hAnsi="黑体" w:eastAsia="黑体" w:cs="黑体"/>
          <w:sz w:val="32"/>
          <w:szCs w:val="32"/>
        </w:rPr>
      </w:pPr>
      <w:r>
        <w:rPr>
          <w:rFonts w:hint="eastAsia" w:ascii="黑体" w:hAnsi="黑体" w:eastAsia="黑体" w:cs="黑体"/>
          <w:sz w:val="32"/>
          <w:szCs w:val="32"/>
        </w:rPr>
        <w:t>附件1</w:t>
      </w:r>
    </w:p>
    <w:p>
      <w:pPr>
        <w:spacing w:line="579"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
          <w:sz w:val="44"/>
          <w:szCs w:val="44"/>
        </w:rPr>
        <w:t>深圳市福利彩票公益金市区分成指标表</w:t>
      </w:r>
    </w:p>
    <w:tbl>
      <w:tblPr>
        <w:tblStyle w:val="10"/>
        <w:tblW w:w="13680" w:type="dxa"/>
        <w:jc w:val="center"/>
        <w:tblLayout w:type="autofit"/>
        <w:tblCellMar>
          <w:top w:w="0" w:type="dxa"/>
          <w:left w:w="108" w:type="dxa"/>
          <w:bottom w:w="0" w:type="dxa"/>
          <w:right w:w="108" w:type="dxa"/>
        </w:tblCellMar>
      </w:tblPr>
      <w:tblGrid>
        <w:gridCol w:w="2130"/>
        <w:gridCol w:w="3360"/>
        <w:gridCol w:w="5685"/>
        <w:gridCol w:w="2505"/>
      </w:tblGrid>
      <w:tr>
        <w:tblPrEx>
          <w:tblCellMar>
            <w:top w:w="0" w:type="dxa"/>
            <w:left w:w="108" w:type="dxa"/>
            <w:bottom w:w="0" w:type="dxa"/>
            <w:right w:w="108" w:type="dxa"/>
          </w:tblCellMar>
        </w:tblPrEx>
        <w:trPr>
          <w:trHeight w:val="803"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指标类型</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指标名称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指标说明</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snapToGrid w:val="0"/>
                <w:color w:val="000000"/>
                <w:kern w:val="0"/>
                <w:sz w:val="28"/>
                <w:szCs w:val="28"/>
                <w:lang w:bidi="ar"/>
              </w:rPr>
            </w:pPr>
            <w:r>
              <w:rPr>
                <w:rFonts w:hint="eastAsia" w:ascii="黑体" w:hAnsi="黑体" w:eastAsia="黑体" w:cs="黑体"/>
                <w:snapToGrid w:val="0"/>
                <w:color w:val="000000"/>
                <w:kern w:val="0"/>
                <w:sz w:val="28"/>
                <w:szCs w:val="28"/>
                <w:lang w:bidi="ar"/>
              </w:rPr>
              <w:t>指标权重</w:t>
            </w:r>
          </w:p>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(100%)</w:t>
            </w:r>
          </w:p>
        </w:tc>
      </w:tr>
      <w:tr>
        <w:tblPrEx>
          <w:tblCellMar>
            <w:top w:w="0" w:type="dxa"/>
            <w:left w:w="108" w:type="dxa"/>
            <w:bottom w:w="0" w:type="dxa"/>
            <w:right w:w="108" w:type="dxa"/>
          </w:tblCellMar>
        </w:tblPrEx>
        <w:trPr>
          <w:trHeight w:val="830" w:hRule="atLeast"/>
          <w:jc w:val="center"/>
        </w:trPr>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snapToGrid w:val="0"/>
                <w:color w:val="000000"/>
                <w:kern w:val="0"/>
                <w:sz w:val="24"/>
                <w:szCs w:val="24"/>
                <w:lang w:bidi="ar"/>
              </w:rPr>
              <w:t>服务对象指标</w:t>
            </w:r>
            <w:r>
              <w:rPr>
                <w:rFonts w:hint="eastAsia" w:ascii="仿宋_GB2312" w:hAnsi="仿宋_GB2312" w:eastAsia="仿宋_GB2312" w:cs="仿宋_GB2312"/>
                <w:b/>
                <w:bCs/>
                <w:snapToGrid w:val="0"/>
                <w:color w:val="000000"/>
                <w:kern w:val="0"/>
                <w:sz w:val="24"/>
                <w:szCs w:val="24"/>
                <w:lang w:bidi="ar"/>
              </w:rPr>
              <w:br w:type="textWrapping"/>
            </w:r>
            <w:r>
              <w:rPr>
                <w:rFonts w:hint="eastAsia" w:ascii="仿宋_GB2312" w:hAnsi="仿宋_GB2312" w:eastAsia="仿宋_GB2312" w:cs="仿宋_GB2312"/>
                <w:b/>
                <w:bCs/>
                <w:snapToGrid w:val="0"/>
                <w:color w:val="000000"/>
                <w:kern w:val="0"/>
                <w:sz w:val="24"/>
                <w:szCs w:val="24"/>
                <w:lang w:bidi="ar"/>
              </w:rPr>
              <w:t>（占比70%）</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1.各区常住人口数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各区常住人口登记数，反映各辖区内福彩公益金项目服务主要对象的数量。</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25%</w:t>
            </w:r>
          </w:p>
        </w:tc>
      </w:tr>
      <w:tr>
        <w:tblPrEx>
          <w:tblCellMar>
            <w:top w:w="0" w:type="dxa"/>
            <w:left w:w="108" w:type="dxa"/>
            <w:bottom w:w="0" w:type="dxa"/>
            <w:right w:w="108" w:type="dxa"/>
          </w:tblCellMar>
        </w:tblPrEx>
        <w:trPr>
          <w:trHeight w:val="800"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color w:val="000000"/>
                <w:sz w:val="24"/>
                <w:szCs w:val="24"/>
              </w:rPr>
            </w:pP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2.各区户籍60岁以上老人数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各区满足条件的老人数，反映福彩公益金养老服务投入。</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25%</w:t>
            </w:r>
          </w:p>
        </w:tc>
      </w:tr>
      <w:tr>
        <w:tblPrEx>
          <w:tblCellMar>
            <w:top w:w="0" w:type="dxa"/>
            <w:left w:w="108" w:type="dxa"/>
            <w:bottom w:w="0" w:type="dxa"/>
            <w:right w:w="108" w:type="dxa"/>
          </w:tblCellMar>
        </w:tblPrEx>
        <w:trPr>
          <w:trHeight w:val="635"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color w:val="000000"/>
                <w:sz w:val="24"/>
                <w:szCs w:val="24"/>
              </w:rPr>
            </w:pP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3.各区户籍残疾人数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各区登记的残疾人口数，反映福彩公益金助残投入。</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10%</w:t>
            </w:r>
          </w:p>
        </w:tc>
      </w:tr>
      <w:tr>
        <w:tblPrEx>
          <w:tblCellMar>
            <w:top w:w="0" w:type="dxa"/>
            <w:left w:w="108" w:type="dxa"/>
            <w:bottom w:w="0" w:type="dxa"/>
            <w:right w:w="108" w:type="dxa"/>
          </w:tblCellMar>
        </w:tblPrEx>
        <w:trPr>
          <w:trHeight w:val="835" w:hRule="atLeast"/>
          <w:jc w:val="center"/>
        </w:trPr>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color w:val="000000"/>
                <w:sz w:val="24"/>
                <w:szCs w:val="24"/>
              </w:rPr>
            </w:pP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4.各区户籍困难家庭儿童及孤儿人数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各区登记的困难家庭儿童人数、事实无人抚养儿童人数，反映福彩公益金救孤投入。</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10%</w:t>
            </w:r>
          </w:p>
        </w:tc>
      </w:tr>
      <w:tr>
        <w:tblPrEx>
          <w:tblCellMar>
            <w:top w:w="0" w:type="dxa"/>
            <w:left w:w="108" w:type="dxa"/>
            <w:bottom w:w="0" w:type="dxa"/>
            <w:right w:w="108" w:type="dxa"/>
          </w:tblCellMar>
        </w:tblPrEx>
        <w:trPr>
          <w:trHeight w:val="969" w:hRule="atLeast"/>
          <w:jc w:val="center"/>
        </w:trPr>
        <w:tc>
          <w:tcPr>
            <w:tcW w:w="2130" w:type="dxa"/>
            <w:vMerge w:val="restart"/>
            <w:tcBorders>
              <w:top w:val="single" w:color="000000" w:sz="4" w:space="0"/>
              <w:left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服务机构指标</w:t>
            </w:r>
          </w:p>
          <w:p>
            <w:pPr>
              <w:widowControl/>
              <w:spacing w:line="400" w:lineRule="exact"/>
              <w:ind w:firstLine="0"/>
              <w:jc w:val="center"/>
              <w:rPr>
                <w:rFonts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color w:val="000000"/>
                <w:sz w:val="24"/>
                <w:szCs w:val="24"/>
              </w:rPr>
              <w:t>（占比20%）</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5.各区养老机构和社区养老服务机构数、各区儿童福利机构及未成年人救助保护机构数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各区养老机构和社区养老服务机构数、各区儿童福利机构及未成年人救助保护机构数，反映福彩公益金对“一老一小”的投入。</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10%</w:t>
            </w:r>
          </w:p>
        </w:tc>
      </w:tr>
      <w:tr>
        <w:tblPrEx>
          <w:tblCellMar>
            <w:top w:w="0" w:type="dxa"/>
            <w:left w:w="108" w:type="dxa"/>
            <w:bottom w:w="0" w:type="dxa"/>
            <w:right w:w="108" w:type="dxa"/>
          </w:tblCellMar>
        </w:tblPrEx>
        <w:trPr>
          <w:trHeight w:val="804" w:hRule="atLeast"/>
          <w:jc w:val="center"/>
        </w:trPr>
        <w:tc>
          <w:tcPr>
            <w:tcW w:w="2130" w:type="dxa"/>
            <w:vMerge w:val="continue"/>
            <w:tcBorders>
              <w:left w:val="single" w:color="000000" w:sz="4" w:space="0"/>
              <w:bottom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snapToGrid w:val="0"/>
                <w:color w:val="000000"/>
                <w:kern w:val="0"/>
                <w:sz w:val="24"/>
                <w:szCs w:val="24"/>
              </w:rPr>
            </w:pP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6.各区民政服务站个数</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反映福彩公益金对民政服务机构的投入。</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10%</w:t>
            </w:r>
          </w:p>
        </w:tc>
      </w:tr>
      <w:tr>
        <w:tblPrEx>
          <w:tblCellMar>
            <w:top w:w="0" w:type="dxa"/>
            <w:left w:w="108" w:type="dxa"/>
            <w:bottom w:w="0" w:type="dxa"/>
            <w:right w:w="108" w:type="dxa"/>
          </w:tblCellMar>
        </w:tblPrEx>
        <w:trPr>
          <w:trHeight w:val="969" w:hRule="atLeas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rPr>
                <w:rFonts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color w:val="000000"/>
                <w:sz w:val="24"/>
                <w:szCs w:val="24"/>
              </w:rPr>
              <w:t>服务地区财力指标（占比10%）</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7.各区财力困难程度</w:t>
            </w:r>
          </w:p>
        </w:tc>
        <w:tc>
          <w:tcPr>
            <w:tcW w:w="56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各区一般公共预算收支情况，反映福彩公益金对财政困难地区有所倾斜。</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snapToGrid w:val="0"/>
                <w:color w:val="000000"/>
                <w:kern w:val="0"/>
                <w:sz w:val="24"/>
                <w:szCs w:val="24"/>
                <w:lang w:bidi="ar"/>
              </w:rPr>
            </w:pPr>
            <w:r>
              <w:rPr>
                <w:rFonts w:hint="eastAsia" w:ascii="仿宋_GB2312" w:hAnsi="仿宋_GB2312" w:eastAsia="仿宋_GB2312" w:cs="仿宋_GB2312"/>
                <w:snapToGrid w:val="0"/>
                <w:color w:val="000000"/>
                <w:kern w:val="0"/>
                <w:sz w:val="24"/>
                <w:szCs w:val="24"/>
                <w:lang w:bidi="ar"/>
              </w:rPr>
              <w:t>10%</w:t>
            </w:r>
          </w:p>
        </w:tc>
      </w:tr>
    </w:tbl>
    <w:p>
      <w:pPr>
        <w:spacing w:line="579" w:lineRule="exact"/>
        <w:ind w:firstLine="0"/>
        <w:rPr>
          <w:rFonts w:ascii="黑体" w:hAnsi="黑体" w:eastAsia="黑体" w:cs="黑体"/>
          <w:spacing w:val="17"/>
          <w:sz w:val="32"/>
          <w:szCs w:val="32"/>
        </w:rPr>
      </w:pPr>
      <w:r>
        <w:rPr>
          <w:rFonts w:ascii="FangSong" w:hAnsi="FangSong" w:eastAsia="FangSong" w:cs="FangSong"/>
          <w:spacing w:val="17"/>
          <w:sz w:val="32"/>
          <w:szCs w:val="32"/>
        </w:rPr>
        <w:br w:type="page"/>
      </w:r>
      <w:r>
        <w:rPr>
          <w:rFonts w:hint="eastAsia" w:ascii="黑体" w:hAnsi="黑体" w:eastAsia="黑体" w:cs="黑体"/>
          <w:sz w:val="32"/>
          <w:szCs w:val="32"/>
        </w:rPr>
        <w:t>附件2</w:t>
      </w:r>
    </w:p>
    <w:tbl>
      <w:tblPr>
        <w:tblStyle w:val="10"/>
        <w:tblW w:w="14025" w:type="dxa"/>
        <w:jc w:val="center"/>
        <w:tblLayout w:type="autofit"/>
        <w:tblCellMar>
          <w:top w:w="0" w:type="dxa"/>
          <w:left w:w="108" w:type="dxa"/>
          <w:bottom w:w="0" w:type="dxa"/>
          <w:right w:w="108" w:type="dxa"/>
        </w:tblCellMar>
      </w:tblPr>
      <w:tblGrid>
        <w:gridCol w:w="4080"/>
        <w:gridCol w:w="6960"/>
        <w:gridCol w:w="2985"/>
      </w:tblGrid>
      <w:tr>
        <w:tblPrEx>
          <w:tblCellMar>
            <w:top w:w="0" w:type="dxa"/>
            <w:left w:w="108" w:type="dxa"/>
            <w:bottom w:w="0" w:type="dxa"/>
            <w:right w:w="108" w:type="dxa"/>
          </w:tblCellMar>
        </w:tblPrEx>
        <w:trPr>
          <w:trHeight w:val="960" w:hRule="atLeast"/>
          <w:jc w:val="center"/>
        </w:trPr>
        <w:tc>
          <w:tcPr>
            <w:tcW w:w="14025" w:type="dxa"/>
            <w:gridSpan w:val="3"/>
            <w:tcBorders>
              <w:top w:val="nil"/>
              <w:left w:val="nil"/>
              <w:bottom w:val="nil"/>
              <w:right w:val="nil"/>
            </w:tcBorders>
            <w:noWrap/>
            <w:vAlign w:val="center"/>
          </w:tcPr>
          <w:p>
            <w:pPr>
              <w:widowControl/>
              <w:spacing w:line="579" w:lineRule="exact"/>
              <w:jc w:val="center"/>
              <w:textAlignment w:val="center"/>
              <w:rPr>
                <w:rFonts w:ascii="宋体" w:hAnsi="宋体" w:cs="宋体"/>
                <w:b/>
                <w:bCs/>
                <w:color w:val="000000"/>
                <w:sz w:val="40"/>
                <w:szCs w:val="40"/>
              </w:rPr>
            </w:pPr>
            <w:r>
              <w:rPr>
                <w:rFonts w:hint="eastAsia" w:ascii="方正小标宋简体" w:hAnsi="方正小标宋简体" w:eastAsia="方正小标宋简体" w:cs="方正小标宋简体"/>
                <w:snapToGrid w:val="0"/>
                <w:color w:val="000000"/>
                <w:kern w:val="0"/>
                <w:sz w:val="44"/>
                <w:szCs w:val="44"/>
                <w:lang w:bidi="ar"/>
              </w:rPr>
              <w:t>深圳市福利彩票公益金各区奖补指标表</w:t>
            </w:r>
          </w:p>
        </w:tc>
      </w:tr>
      <w:tr>
        <w:tblPrEx>
          <w:tblCellMar>
            <w:top w:w="0" w:type="dxa"/>
            <w:left w:w="108" w:type="dxa"/>
            <w:bottom w:w="0" w:type="dxa"/>
            <w:right w:w="108" w:type="dxa"/>
          </w:tblCellMar>
        </w:tblPrEx>
        <w:trPr>
          <w:trHeight w:val="845" w:hRule="atLeast"/>
          <w:jc w:val="center"/>
        </w:trPr>
        <w:tc>
          <w:tcPr>
            <w:tcW w:w="40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指标名称</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指标说明</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黑体" w:hAnsi="黑体" w:eastAsia="黑体" w:cs="黑体"/>
                <w:color w:val="000000"/>
                <w:sz w:val="28"/>
                <w:szCs w:val="28"/>
              </w:rPr>
            </w:pPr>
            <w:r>
              <w:rPr>
                <w:rFonts w:hint="eastAsia" w:ascii="黑体" w:hAnsi="黑体" w:eastAsia="黑体" w:cs="黑体"/>
                <w:snapToGrid w:val="0"/>
                <w:color w:val="000000"/>
                <w:kern w:val="0"/>
                <w:sz w:val="28"/>
                <w:szCs w:val="28"/>
                <w:lang w:bidi="ar"/>
              </w:rPr>
              <w:t>指标权重(100%)</w:t>
            </w:r>
          </w:p>
        </w:tc>
      </w:tr>
      <w:tr>
        <w:tblPrEx>
          <w:tblCellMar>
            <w:top w:w="0" w:type="dxa"/>
            <w:left w:w="108" w:type="dxa"/>
            <w:bottom w:w="0" w:type="dxa"/>
            <w:right w:w="108" w:type="dxa"/>
          </w:tblCellMar>
        </w:tblPrEx>
        <w:trPr>
          <w:trHeight w:val="1000" w:hRule="atLeast"/>
          <w:jc w:val="center"/>
        </w:trPr>
        <w:tc>
          <w:tcPr>
            <w:tcW w:w="40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1.资金分配合理性</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项目分配的均衡性，单个项目资金不得超过本区分成资金的30%。</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30%</w:t>
            </w:r>
          </w:p>
        </w:tc>
      </w:tr>
      <w:tr>
        <w:tblPrEx>
          <w:tblCellMar>
            <w:top w:w="0" w:type="dxa"/>
            <w:left w:w="108" w:type="dxa"/>
            <w:bottom w:w="0" w:type="dxa"/>
            <w:right w:w="108" w:type="dxa"/>
          </w:tblCellMar>
        </w:tblPrEx>
        <w:trPr>
          <w:trHeight w:val="1000" w:hRule="atLeast"/>
          <w:jc w:val="center"/>
        </w:trPr>
        <w:tc>
          <w:tcPr>
            <w:tcW w:w="40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2.项目日常管理</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预算资金执行、信息公开以及项目标识等日常管理情况。</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20%</w:t>
            </w:r>
          </w:p>
        </w:tc>
      </w:tr>
      <w:tr>
        <w:tblPrEx>
          <w:tblCellMar>
            <w:top w:w="0" w:type="dxa"/>
            <w:left w:w="108" w:type="dxa"/>
            <w:bottom w:w="0" w:type="dxa"/>
            <w:right w:w="108" w:type="dxa"/>
          </w:tblCellMar>
        </w:tblPrEx>
        <w:trPr>
          <w:trHeight w:val="1000" w:hRule="atLeast"/>
          <w:jc w:val="center"/>
        </w:trPr>
        <w:tc>
          <w:tcPr>
            <w:tcW w:w="40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3.项目监督管理</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各区福彩公益金使用合规性、审计及绩效评价监督情况。</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20%</w:t>
            </w:r>
          </w:p>
        </w:tc>
      </w:tr>
      <w:tr>
        <w:tblPrEx>
          <w:tblCellMar>
            <w:top w:w="0" w:type="dxa"/>
            <w:left w:w="108" w:type="dxa"/>
            <w:bottom w:w="0" w:type="dxa"/>
            <w:right w:w="108" w:type="dxa"/>
          </w:tblCellMar>
        </w:tblPrEx>
        <w:trPr>
          <w:trHeight w:val="1000" w:hRule="atLeast"/>
          <w:jc w:val="center"/>
        </w:trPr>
        <w:tc>
          <w:tcPr>
            <w:tcW w:w="408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4.工作配合度</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各区资料报送、业务调研、监督检查等方面的配合程度。</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20%</w:t>
            </w:r>
          </w:p>
        </w:tc>
      </w:tr>
      <w:tr>
        <w:tblPrEx>
          <w:tblCellMar>
            <w:top w:w="0" w:type="dxa"/>
            <w:left w:w="108" w:type="dxa"/>
            <w:bottom w:w="0" w:type="dxa"/>
            <w:right w:w="108" w:type="dxa"/>
          </w:tblCellMar>
        </w:tblPrEx>
        <w:trPr>
          <w:trHeight w:val="10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5.社会满意度</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主要反映服务对象对福彩公益金项目实施效果的满意度。</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0"/>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kern w:val="0"/>
                <w:sz w:val="24"/>
                <w:szCs w:val="24"/>
                <w:lang w:bidi="ar"/>
              </w:rPr>
              <w:t>10%</w:t>
            </w:r>
          </w:p>
        </w:tc>
      </w:tr>
    </w:tbl>
    <w:p>
      <w:pPr>
        <w:pStyle w:val="13"/>
      </w:pPr>
    </w:p>
    <w:p/>
    <w:sectPr>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FangSong">
    <w:altName w:val="方正仿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cs="宋体"/>
        <w:sz w:val="19"/>
        <w:szCs w:val="19"/>
      </w:rPr>
    </w:pPr>
    <w:r>
      <w:rPr>
        <w:sz w:val="19"/>
      </w:rPr>
      <w:pict>
        <v:shape id="_x0000_s3076" o:spid="_x0000_s307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ind w:firstLine="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trackRevisions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DADB201"/>
    <w:rsid w:val="002603E6"/>
    <w:rsid w:val="003935BF"/>
    <w:rsid w:val="00BB3008"/>
    <w:rsid w:val="1FF9BED3"/>
    <w:rsid w:val="2AF545F4"/>
    <w:rsid w:val="2FEB5C51"/>
    <w:rsid w:val="3FFF2F35"/>
    <w:rsid w:val="41FED8F6"/>
    <w:rsid w:val="491F1600"/>
    <w:rsid w:val="55DFE3D4"/>
    <w:rsid w:val="59DFD374"/>
    <w:rsid w:val="5AEE1EEF"/>
    <w:rsid w:val="5BEE95EF"/>
    <w:rsid w:val="5EFFC0F5"/>
    <w:rsid w:val="6817FB56"/>
    <w:rsid w:val="6DCFAC33"/>
    <w:rsid w:val="6FE12CDC"/>
    <w:rsid w:val="6FFF8F97"/>
    <w:rsid w:val="70BB7FA2"/>
    <w:rsid w:val="73FDC3E8"/>
    <w:rsid w:val="77AAD419"/>
    <w:rsid w:val="77B5C896"/>
    <w:rsid w:val="77CD1B73"/>
    <w:rsid w:val="77ED1BCE"/>
    <w:rsid w:val="77FF7B66"/>
    <w:rsid w:val="79FA9002"/>
    <w:rsid w:val="7AD5ED03"/>
    <w:rsid w:val="7B7E51AE"/>
    <w:rsid w:val="7B7F1B5D"/>
    <w:rsid w:val="7BEDB680"/>
    <w:rsid w:val="7DED4CB1"/>
    <w:rsid w:val="7DF1A47A"/>
    <w:rsid w:val="7DFEB17A"/>
    <w:rsid w:val="7E0F7872"/>
    <w:rsid w:val="7EFFB764"/>
    <w:rsid w:val="7F3BC8E3"/>
    <w:rsid w:val="7F7C424D"/>
    <w:rsid w:val="7F7F3E46"/>
    <w:rsid w:val="7FBBCA66"/>
    <w:rsid w:val="7FBC1A2C"/>
    <w:rsid w:val="83FFB7EB"/>
    <w:rsid w:val="8FDECE50"/>
    <w:rsid w:val="A2FF8B75"/>
    <w:rsid w:val="A3FF245C"/>
    <w:rsid w:val="AEAD3488"/>
    <w:rsid w:val="B57F8A8A"/>
    <w:rsid w:val="B62BB283"/>
    <w:rsid w:val="BF7AC373"/>
    <w:rsid w:val="C4FF516C"/>
    <w:rsid w:val="C575849F"/>
    <w:rsid w:val="C5C7BC5D"/>
    <w:rsid w:val="C7BFC575"/>
    <w:rsid w:val="D7FED8D7"/>
    <w:rsid w:val="DA8AC175"/>
    <w:rsid w:val="DAF531F9"/>
    <w:rsid w:val="DDFFF5AA"/>
    <w:rsid w:val="DE3AFCF9"/>
    <w:rsid w:val="DE6BEE14"/>
    <w:rsid w:val="DF7BE5D2"/>
    <w:rsid w:val="DFEFDEB5"/>
    <w:rsid w:val="DFF43414"/>
    <w:rsid w:val="DFFB308D"/>
    <w:rsid w:val="E39633EA"/>
    <w:rsid w:val="E7DCD881"/>
    <w:rsid w:val="EBEDCDFE"/>
    <w:rsid w:val="ED77B615"/>
    <w:rsid w:val="EDBF9964"/>
    <w:rsid w:val="EF752E14"/>
    <w:rsid w:val="F263CBB0"/>
    <w:rsid w:val="F3BD2641"/>
    <w:rsid w:val="F6EF14FA"/>
    <w:rsid w:val="F6FF1949"/>
    <w:rsid w:val="F72FF88A"/>
    <w:rsid w:val="F75FE7C5"/>
    <w:rsid w:val="F7AF261B"/>
    <w:rsid w:val="F9DBDF4D"/>
    <w:rsid w:val="F9F7118E"/>
    <w:rsid w:val="FABC0D8E"/>
    <w:rsid w:val="FBBF0705"/>
    <w:rsid w:val="FBDFE812"/>
    <w:rsid w:val="FDADB201"/>
    <w:rsid w:val="FEB783EE"/>
    <w:rsid w:val="FED7CD09"/>
    <w:rsid w:val="FF2B7D1A"/>
    <w:rsid w:val="FF552A5A"/>
    <w:rsid w:val="FFB89F45"/>
    <w:rsid w:val="FFBE2845"/>
    <w:rsid w:val="FFF5D0A8"/>
    <w:rsid w:val="FFF6EF24"/>
    <w:rsid w:val="FFFFB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276" w:lineRule="auto"/>
      <w:ind w:firstLine="200" w:firstLineChars="200"/>
    </w:pPr>
    <w:rPr>
      <w:rFonts w:ascii="Times New Roman" w:hAnsi="Times New Roman"/>
      <w:szCs w:val="20"/>
    </w:rPr>
  </w:style>
  <w:style w:type="paragraph" w:styleId="3">
    <w:name w:val="Body Text"/>
    <w:basedOn w:val="1"/>
    <w:next w:val="4"/>
    <w:qFormat/>
    <w:uiPriority w:val="0"/>
    <w:pPr>
      <w:autoSpaceDE w:val="0"/>
      <w:autoSpaceDN w:val="0"/>
      <w:jc w:val="left"/>
    </w:pPr>
    <w:rPr>
      <w:rFonts w:hint="eastAsia" w:ascii="仿宋" w:hAnsi="仿宋" w:eastAsia="仿宋" w:cs="仿宋"/>
      <w:kern w:val="0"/>
      <w:sz w:val="32"/>
      <w:szCs w:val="32"/>
    </w:rPr>
  </w:style>
  <w:style w:type="paragraph" w:styleId="4">
    <w:name w:val="Title"/>
    <w:basedOn w:val="1"/>
    <w:next w:val="1"/>
    <w:qFormat/>
    <w:uiPriority w:val="0"/>
    <w:pPr>
      <w:spacing w:line="620" w:lineRule="exact"/>
      <w:ind w:firstLine="200" w:firstLineChars="200"/>
      <w:outlineLvl w:val="1"/>
    </w:pPr>
    <w:rPr>
      <w:rFonts w:ascii="楷体_GB2312" w:hAnsi="Cambria" w:eastAsia="楷体_GB2312"/>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3"/>
    <w:qFormat/>
    <w:uiPriority w:val="0"/>
    <w:pPr>
      <w:spacing w:line="590" w:lineRule="exact"/>
      <w:ind w:firstLineChars="100"/>
    </w:pPr>
    <w:rPr>
      <w:spacing w:val="-3"/>
      <w:kern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757</Words>
  <Characters>4319</Characters>
  <Lines>35</Lines>
  <Paragraphs>10</Paragraphs>
  <TotalTime>3</TotalTime>
  <ScaleCrop>false</ScaleCrop>
  <LinksUpToDate>false</LinksUpToDate>
  <CharactersWithSpaces>5066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2025-07-05T01:53:00Z</dcterms:created>
  <dc:creator>zengcheng</dc:creator>
  <cp:lastModifiedBy>马恒珠</cp:lastModifiedBy>
  <dcterms:modified xsi:type="dcterms:W3CDTF">2025-11-04T10:03:36Z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17B291C8D4083A4417AC6768FB850959</vt:lpwstr>
  </property>
</Properties>
</file>