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32"/>
          <w:szCs w:val="32"/>
        </w:rPr>
      </w:pPr>
      <w:r>
        <w:rPr>
          <w:rFonts w:hint="eastAsia" w:ascii="宋体" w:hAnsi="宋体"/>
          <w:b/>
          <w:sz w:val="32"/>
          <w:szCs w:val="32"/>
        </w:rPr>
        <w:t>·政府采购·</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outlineLvl w:val="0"/>
        <w:rPr>
          <w:rFonts w:ascii="微软雅黑" w:hAnsi="微软雅黑" w:eastAsia="微软雅黑" w:cs="微软雅黑"/>
          <w:b/>
          <w:bCs/>
          <w:sz w:val="72"/>
          <w:szCs w:val="72"/>
        </w:rPr>
      </w:pPr>
      <w:r>
        <w:rPr>
          <w:rFonts w:hint="eastAsia" w:ascii="微软雅黑" w:hAnsi="微软雅黑" w:eastAsia="微软雅黑" w:cs="微软雅黑"/>
          <w:b/>
          <w:bCs/>
          <w:sz w:val="72"/>
          <w:szCs w:val="72"/>
        </w:rPr>
        <w:t>国内服务采购文件</w:t>
      </w:r>
    </w:p>
    <w:p>
      <w:pPr>
        <w:ind w:left="1963" w:leftChars="540" w:hanging="829" w:hangingChars="258"/>
        <w:rPr>
          <w:rFonts w:ascii="宋体" w:hAnsi="宋体"/>
          <w:b/>
          <w:sz w:val="32"/>
          <w:szCs w:val="32"/>
        </w:rPr>
      </w:pPr>
    </w:p>
    <w:p>
      <w:pPr>
        <w:ind w:left="1963" w:leftChars="540" w:hanging="829" w:hangingChars="258"/>
        <w:rPr>
          <w:rFonts w:ascii="宋体" w:hAnsi="宋体"/>
          <w:b/>
          <w:sz w:val="32"/>
          <w:szCs w:val="32"/>
        </w:rPr>
      </w:pPr>
    </w:p>
    <w:p>
      <w:pPr>
        <w:ind w:left="2066" w:leftChars="540" w:hanging="932" w:hangingChars="258"/>
        <w:rPr>
          <w:rFonts w:ascii="宋体" w:hAnsi="宋体"/>
          <w:b/>
          <w:sz w:val="36"/>
          <w:szCs w:val="36"/>
        </w:rPr>
      </w:pPr>
    </w:p>
    <w:tbl>
      <w:tblPr>
        <w:tblStyle w:val="31"/>
        <w:tblW w:w="6810" w:type="dxa"/>
        <w:jc w:val="center"/>
        <w:tblLayout w:type="fixed"/>
        <w:tblCellMar>
          <w:top w:w="0" w:type="dxa"/>
          <w:left w:w="108" w:type="dxa"/>
          <w:bottom w:w="0" w:type="dxa"/>
          <w:right w:w="108" w:type="dxa"/>
        </w:tblCellMar>
      </w:tblPr>
      <w:tblGrid>
        <w:gridCol w:w="1707"/>
        <w:gridCol w:w="5103"/>
      </w:tblGrid>
      <w:tr>
        <w:tblPrEx>
          <w:tblCellMar>
            <w:top w:w="0" w:type="dxa"/>
            <w:left w:w="108" w:type="dxa"/>
            <w:bottom w:w="0" w:type="dxa"/>
            <w:right w:w="108" w:type="dxa"/>
          </w:tblCellMar>
        </w:tblPrEx>
        <w:trPr>
          <w:trHeight w:val="737" w:hRule="atLeast"/>
          <w:jc w:val="center"/>
        </w:trPr>
        <w:tc>
          <w:tcPr>
            <w:tcW w:w="1707" w:type="dxa"/>
          </w:tcPr>
          <w:p>
            <w:pPr>
              <w:spacing w:line="0" w:lineRule="atLeast"/>
              <w:rPr>
                <w:rFonts w:ascii="宋体" w:hAnsi="宋体"/>
                <w:b/>
                <w:sz w:val="32"/>
                <w:szCs w:val="32"/>
              </w:rPr>
            </w:pPr>
            <w:r>
              <w:rPr>
                <w:rFonts w:hint="eastAsia" w:ascii="宋体" w:hAnsi="宋体"/>
                <w:b/>
                <w:sz w:val="32"/>
                <w:szCs w:val="32"/>
              </w:rPr>
              <w:t>项目名称：</w:t>
            </w:r>
          </w:p>
        </w:tc>
        <w:tc>
          <w:tcPr>
            <w:tcW w:w="5103" w:type="dxa"/>
          </w:tcPr>
          <w:p>
            <w:pPr>
              <w:spacing w:line="0" w:lineRule="atLeast"/>
              <w:rPr>
                <w:rFonts w:ascii="宋体" w:hAnsi="宋体"/>
                <w:bCs/>
                <w:color w:val="0000FF"/>
                <w:sz w:val="32"/>
                <w:szCs w:val="32"/>
              </w:rPr>
            </w:pPr>
            <w:r>
              <w:rPr>
                <w:rFonts w:hint="eastAsia" w:ascii="宋体" w:hAnsi="宋体"/>
                <w:bCs/>
                <w:sz w:val="32"/>
                <w:szCs w:val="32"/>
              </w:rPr>
              <w:t>深圳前海文旅亮点打造及宣传推介项目</w:t>
            </w:r>
          </w:p>
        </w:tc>
      </w:tr>
      <w:tr>
        <w:tblPrEx>
          <w:tblCellMar>
            <w:top w:w="0" w:type="dxa"/>
            <w:left w:w="108" w:type="dxa"/>
            <w:bottom w:w="0" w:type="dxa"/>
            <w:right w:w="108" w:type="dxa"/>
          </w:tblCellMar>
        </w:tblPrEx>
        <w:trPr>
          <w:trHeight w:val="737" w:hRule="atLeast"/>
          <w:jc w:val="center"/>
        </w:trPr>
        <w:tc>
          <w:tcPr>
            <w:tcW w:w="1707" w:type="dxa"/>
          </w:tcPr>
          <w:p>
            <w:pPr>
              <w:spacing w:line="0" w:lineRule="atLeast"/>
              <w:rPr>
                <w:rFonts w:ascii="宋体" w:hAnsi="宋体"/>
                <w:b/>
                <w:color w:val="auto"/>
                <w:sz w:val="32"/>
                <w:szCs w:val="32"/>
              </w:rPr>
            </w:pPr>
            <w:r>
              <w:rPr>
                <w:rFonts w:hint="eastAsia" w:ascii="宋体" w:hAnsi="宋体"/>
                <w:b/>
                <w:color w:val="auto"/>
                <w:sz w:val="32"/>
                <w:szCs w:val="32"/>
              </w:rPr>
              <w:t>项目</w:t>
            </w:r>
            <w:r>
              <w:rPr>
                <w:rFonts w:hint="eastAsia" w:ascii="宋体" w:hAnsi="宋体"/>
                <w:b/>
                <w:bCs/>
                <w:color w:val="auto"/>
                <w:sz w:val="32"/>
                <w:szCs w:val="32"/>
              </w:rPr>
              <w:t>编号：</w:t>
            </w:r>
          </w:p>
        </w:tc>
        <w:tc>
          <w:tcPr>
            <w:tcW w:w="5103" w:type="dxa"/>
          </w:tcPr>
          <w:p>
            <w:pPr>
              <w:spacing w:line="0" w:lineRule="atLeast"/>
              <w:rPr>
                <w:rFonts w:ascii="宋体" w:hAnsi="宋体"/>
                <w:color w:val="auto"/>
                <w:sz w:val="32"/>
                <w:szCs w:val="32"/>
              </w:rPr>
            </w:pPr>
            <w:r>
              <w:rPr>
                <w:rFonts w:hint="eastAsia" w:ascii="宋体" w:hAnsi="宋体"/>
                <w:color w:val="auto"/>
                <w:sz w:val="32"/>
                <w:szCs w:val="32"/>
              </w:rPr>
              <w:t>QH2025135</w:t>
            </w:r>
          </w:p>
        </w:tc>
      </w:tr>
      <w:tr>
        <w:tblPrEx>
          <w:tblCellMar>
            <w:top w:w="0" w:type="dxa"/>
            <w:left w:w="108" w:type="dxa"/>
            <w:bottom w:w="0" w:type="dxa"/>
            <w:right w:w="108" w:type="dxa"/>
          </w:tblCellMar>
        </w:tblPrEx>
        <w:trPr>
          <w:trHeight w:val="737" w:hRule="atLeast"/>
          <w:jc w:val="center"/>
        </w:trPr>
        <w:tc>
          <w:tcPr>
            <w:tcW w:w="1707" w:type="dxa"/>
          </w:tcPr>
          <w:p>
            <w:pPr>
              <w:spacing w:line="0" w:lineRule="atLeast"/>
              <w:rPr>
                <w:rFonts w:ascii="宋体" w:hAnsi="宋体"/>
                <w:b/>
                <w:sz w:val="32"/>
                <w:szCs w:val="32"/>
              </w:rPr>
            </w:pPr>
            <w:r>
              <w:rPr>
                <w:rFonts w:hint="eastAsia" w:ascii="宋体" w:hAnsi="宋体"/>
                <w:b/>
                <w:sz w:val="32"/>
                <w:szCs w:val="32"/>
              </w:rPr>
              <w:t>采购方式：</w:t>
            </w:r>
          </w:p>
        </w:tc>
        <w:tc>
          <w:tcPr>
            <w:tcW w:w="5103" w:type="dxa"/>
          </w:tcPr>
          <w:p>
            <w:pPr>
              <w:spacing w:line="0" w:lineRule="atLeast"/>
              <w:rPr>
                <w:rFonts w:ascii="宋体" w:hAnsi="宋体"/>
                <w:bCs/>
                <w:sz w:val="32"/>
                <w:szCs w:val="32"/>
              </w:rPr>
            </w:pPr>
            <w:r>
              <w:rPr>
                <w:rFonts w:hint="eastAsia" w:ascii="宋体" w:hAnsi="宋体"/>
                <w:bCs/>
                <w:sz w:val="32"/>
                <w:szCs w:val="32"/>
              </w:rPr>
              <w:t>单一来源采购</w:t>
            </w:r>
          </w:p>
        </w:tc>
      </w:tr>
      <w:tr>
        <w:tblPrEx>
          <w:tblCellMar>
            <w:top w:w="0" w:type="dxa"/>
            <w:left w:w="108" w:type="dxa"/>
            <w:bottom w:w="0" w:type="dxa"/>
            <w:right w:w="108" w:type="dxa"/>
          </w:tblCellMar>
        </w:tblPrEx>
        <w:trPr>
          <w:trHeight w:val="737" w:hRule="atLeast"/>
          <w:jc w:val="center"/>
        </w:trPr>
        <w:tc>
          <w:tcPr>
            <w:tcW w:w="1707" w:type="dxa"/>
          </w:tcPr>
          <w:p>
            <w:pPr>
              <w:spacing w:line="0" w:lineRule="atLeast"/>
              <w:rPr>
                <w:rFonts w:ascii="宋体" w:hAnsi="宋体"/>
                <w:b/>
                <w:sz w:val="32"/>
                <w:szCs w:val="32"/>
              </w:rPr>
            </w:pPr>
            <w:r>
              <w:rPr>
                <w:rFonts w:hint="eastAsia" w:ascii="宋体" w:hAnsi="宋体"/>
                <w:b/>
                <w:sz w:val="32"/>
                <w:szCs w:val="32"/>
              </w:rPr>
              <w:t>采购单位：</w:t>
            </w:r>
          </w:p>
        </w:tc>
        <w:tc>
          <w:tcPr>
            <w:tcW w:w="5103" w:type="dxa"/>
          </w:tcPr>
          <w:p>
            <w:pPr>
              <w:spacing w:line="0" w:lineRule="atLeast"/>
              <w:rPr>
                <w:rFonts w:ascii="宋体" w:hAnsi="宋体"/>
                <w:sz w:val="32"/>
                <w:szCs w:val="32"/>
              </w:rPr>
            </w:pPr>
            <w:r>
              <w:rPr>
                <w:rFonts w:ascii="宋体" w:hAnsi="宋体"/>
                <w:sz w:val="32"/>
                <w:szCs w:val="32"/>
              </w:rPr>
              <w:t>深圳市前海深港现代服务业合作区管理局</w:t>
            </w:r>
          </w:p>
        </w:tc>
      </w:tr>
      <w:tr>
        <w:tblPrEx>
          <w:tblCellMar>
            <w:top w:w="0" w:type="dxa"/>
            <w:left w:w="108" w:type="dxa"/>
            <w:bottom w:w="0" w:type="dxa"/>
            <w:right w:w="108" w:type="dxa"/>
          </w:tblCellMar>
        </w:tblPrEx>
        <w:trPr>
          <w:trHeight w:val="737" w:hRule="atLeast"/>
          <w:jc w:val="center"/>
        </w:trPr>
        <w:tc>
          <w:tcPr>
            <w:tcW w:w="1707" w:type="dxa"/>
          </w:tcPr>
          <w:p>
            <w:pPr>
              <w:spacing w:line="0" w:lineRule="atLeast"/>
              <w:rPr>
                <w:rFonts w:ascii="宋体" w:hAnsi="宋体"/>
                <w:b/>
                <w:sz w:val="32"/>
                <w:szCs w:val="32"/>
              </w:rPr>
            </w:pPr>
            <w:r>
              <w:rPr>
                <w:rFonts w:hint="eastAsia" w:ascii="宋体" w:hAnsi="宋体"/>
                <w:b/>
                <w:sz w:val="32"/>
                <w:szCs w:val="32"/>
              </w:rPr>
              <w:t>代理机构：</w:t>
            </w:r>
          </w:p>
        </w:tc>
        <w:tc>
          <w:tcPr>
            <w:tcW w:w="5103" w:type="dxa"/>
          </w:tcPr>
          <w:p>
            <w:pPr>
              <w:spacing w:line="0" w:lineRule="atLeast"/>
              <w:rPr>
                <w:rFonts w:ascii="宋体" w:hAnsi="宋体"/>
                <w:sz w:val="32"/>
                <w:szCs w:val="32"/>
              </w:rPr>
            </w:pPr>
            <w:r>
              <w:rPr>
                <w:rFonts w:hint="eastAsia" w:ascii="宋体" w:hAnsi="宋体"/>
                <w:sz w:val="32"/>
                <w:szCs w:val="32"/>
              </w:rPr>
              <w:t>深圳交易咨询集团有限公司</w:t>
            </w:r>
          </w:p>
        </w:tc>
      </w:tr>
    </w:tbl>
    <w:p>
      <w:pPr>
        <w:spacing w:line="1000" w:lineRule="exact"/>
        <w:jc w:val="center"/>
        <w:rPr>
          <w:rFonts w:asciiTheme="majorEastAsia" w:hAnsiTheme="majorEastAsia" w:eastAsiaTheme="majorEastAsia" w:cstheme="majorEastAsia"/>
          <w:b/>
          <w:sz w:val="52"/>
          <w:szCs w:val="52"/>
        </w:rPr>
      </w:pPr>
    </w:p>
    <w:p>
      <w:pPr>
        <w:spacing w:line="1000" w:lineRule="exact"/>
        <w:jc w:val="center"/>
        <w:rPr>
          <w:rFonts w:asciiTheme="majorEastAsia" w:hAnsiTheme="majorEastAsia" w:eastAsiaTheme="majorEastAsia" w:cstheme="majorEastAsia"/>
          <w:b/>
          <w:sz w:val="52"/>
          <w:szCs w:val="52"/>
        </w:rPr>
      </w:pPr>
    </w:p>
    <w:p>
      <w:pPr>
        <w:jc w:val="center"/>
        <w:rPr>
          <w:rFonts w:asciiTheme="majorEastAsia" w:hAnsiTheme="majorEastAsia" w:eastAsiaTheme="majorEastAsia" w:cstheme="majorEastAsia"/>
          <w:b/>
          <w:sz w:val="52"/>
          <w:szCs w:val="52"/>
        </w:rPr>
      </w:pPr>
      <w:r>
        <w:rPr>
          <w:rFonts w:hint="eastAsia" w:asciiTheme="majorEastAsia" w:hAnsiTheme="majorEastAsia" w:eastAsiaTheme="majorEastAsia" w:cstheme="majorEastAsia"/>
          <w:b/>
          <w:sz w:val="52"/>
          <w:szCs w:val="52"/>
        </w:rPr>
        <w:drawing>
          <wp:inline distT="0" distB="0" distL="114300" distR="114300">
            <wp:extent cx="2143760" cy="1023620"/>
            <wp:effectExtent l="0" t="0" r="8890" b="508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7"/>
                    <a:stretch>
                      <a:fillRect/>
                    </a:stretch>
                  </pic:blipFill>
                  <pic:spPr>
                    <a:xfrm>
                      <a:off x="0" y="0"/>
                      <a:ext cx="2143760" cy="1023620"/>
                    </a:xfrm>
                    <a:prstGeom prst="rect">
                      <a:avLst/>
                    </a:prstGeom>
                  </pic:spPr>
                </pic:pic>
              </a:graphicData>
            </a:graphic>
          </wp:inline>
        </w:drawing>
      </w:r>
    </w:p>
    <w:p>
      <w:pPr>
        <w:pStyle w:val="15"/>
        <w:spacing w:line="440" w:lineRule="exact"/>
        <w:jc w:val="center"/>
        <w:outlineLvl w:val="0"/>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二〇二五年十月</w:t>
      </w:r>
    </w:p>
    <w:p>
      <w:pPr>
        <w:spacing w:after="250" w:afterLines="50" w:line="440" w:lineRule="exact"/>
        <w:jc w:val="center"/>
        <w:rPr>
          <w:rFonts w:ascii="微软雅黑" w:hAnsi="微软雅黑" w:eastAsia="微软雅黑" w:cs="微软雅黑"/>
          <w:b/>
          <w:color w:val="000000"/>
          <w:spacing w:val="20"/>
          <w:sz w:val="32"/>
          <w:szCs w:val="32"/>
        </w:rPr>
      </w:pPr>
      <w:r>
        <w:rPr>
          <w:rFonts w:ascii="黑体" w:hAnsi="宋体" w:eastAsia="黑体"/>
          <w:b/>
          <w:bCs/>
          <w:color w:val="000000"/>
          <w:spacing w:val="20"/>
          <w:sz w:val="36"/>
          <w:szCs w:val="36"/>
        </w:rPr>
        <w:br w:type="page"/>
      </w:r>
      <w:r>
        <w:rPr>
          <w:rFonts w:hint="eastAsia" w:ascii="微软雅黑" w:hAnsi="微软雅黑" w:eastAsia="微软雅黑" w:cs="微软雅黑"/>
          <w:b/>
          <w:color w:val="000000"/>
          <w:spacing w:val="20"/>
          <w:sz w:val="32"/>
          <w:szCs w:val="32"/>
        </w:rPr>
        <w:t>目 录</w:t>
      </w:r>
    </w:p>
    <w:p>
      <w:pPr>
        <w:pStyle w:val="20"/>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w:instrText>
      </w:r>
      <w:r>
        <w:rPr>
          <w:rFonts w:hint="eastAsia"/>
        </w:rPr>
        <w:instrText xml:space="preserve">TOC \o "1-4" \h \z \u</w:instrText>
      </w:r>
      <w:r>
        <w:instrText xml:space="preserve"> </w:instrText>
      </w:r>
      <w:r>
        <w:fldChar w:fldCharType="separate"/>
      </w:r>
      <w:r>
        <w:fldChar w:fldCharType="begin"/>
      </w:r>
      <w:r>
        <w:instrText xml:space="preserve"> HYPERLINK \l "_Toc23141" </w:instrText>
      </w:r>
      <w:r>
        <w:fldChar w:fldCharType="separate"/>
      </w:r>
      <w:r>
        <w:rPr>
          <w:rFonts w:hint="eastAsia" w:asciiTheme="minorEastAsia" w:hAnsiTheme="minorEastAsia" w:eastAsiaTheme="minorEastAsia" w:cstheme="minorEastAsia"/>
          <w:bCs w:val="0"/>
        </w:rPr>
        <w:t>特别警示条款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_Toc23141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0"/>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"_Toc8081" </w:instrText>
      </w:r>
      <w:r>
        <w:fldChar w:fldCharType="separate"/>
      </w:r>
      <w:r>
        <w:rPr>
          <w:rFonts w:hint="eastAsia" w:asciiTheme="minorEastAsia" w:hAnsiTheme="minorEastAsia" w:eastAsiaTheme="minorEastAsia" w:cstheme="minorEastAsia"/>
          <w:bCs w:val="0"/>
        </w:rPr>
        <w:t>第一章  采购邀请书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_Toc8081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0"/>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"_Toc27940" </w:instrText>
      </w:r>
      <w:r>
        <w:fldChar w:fldCharType="separate"/>
      </w:r>
      <w:r>
        <w:rPr>
          <w:rFonts w:hint="eastAsia" w:asciiTheme="minorEastAsia" w:hAnsiTheme="minorEastAsia" w:eastAsiaTheme="minorEastAsia" w:cstheme="minorEastAsia"/>
          <w:bCs w:val="0"/>
        </w:rPr>
        <w:t>第二章  供应商须知及前附表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_Toc27940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"_Toc29457" </w:instrText>
      </w:r>
      <w:r>
        <w:fldChar w:fldCharType="separate"/>
      </w:r>
      <w:r>
        <w:rPr>
          <w:rFonts w:hint="eastAsia" w:asciiTheme="minorEastAsia" w:hAnsiTheme="minorEastAsia" w:eastAsiaTheme="minorEastAsia" w:cstheme="minorEastAsia"/>
          <w:sz w:val="21"/>
          <w:szCs w:val="21"/>
        </w:rPr>
        <w:t>第一部分  供应商须知前附表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_Toc29457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"_Toc905" </w:instrText>
      </w:r>
      <w:r>
        <w:fldChar w:fldCharType="separate"/>
      </w:r>
      <w:r>
        <w:rPr>
          <w:rFonts w:hint="eastAsia" w:asciiTheme="minorEastAsia" w:hAnsiTheme="minorEastAsia" w:eastAsiaTheme="minorEastAsia" w:cstheme="minorEastAsia"/>
          <w:sz w:val="21"/>
          <w:szCs w:val="21"/>
        </w:rPr>
        <w:t>第二部分  供应商须知</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_Toc905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"_Toc24790" </w:instrText>
      </w:r>
      <w:r>
        <w:fldChar w:fldCharType="separate"/>
      </w:r>
      <w:r>
        <w:rPr>
          <w:rFonts w:hint="eastAsia" w:asciiTheme="minorEastAsia" w:hAnsiTheme="minorEastAsia" w:eastAsiaTheme="minorEastAsia" w:cstheme="minorEastAsia"/>
        </w:rPr>
        <w:t>一、总则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_Toc24790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"_Toc31876" </w:instrText>
      </w:r>
      <w:r>
        <w:fldChar w:fldCharType="separate"/>
      </w:r>
      <w:r>
        <w:rPr>
          <w:rFonts w:hint="eastAsia" w:asciiTheme="minorEastAsia" w:hAnsiTheme="minorEastAsia" w:eastAsiaTheme="minorEastAsia" w:cstheme="minorEastAsia"/>
          <w:bCs/>
          <w:sz w:val="21"/>
          <w:szCs w:val="21"/>
        </w:rPr>
        <w:t>1．适用范围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_Toc31876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"_Toc12207" </w:instrText>
      </w:r>
      <w:r>
        <w:fldChar w:fldCharType="separate"/>
      </w:r>
      <w:r>
        <w:rPr>
          <w:rFonts w:hint="eastAsia" w:asciiTheme="minorEastAsia" w:hAnsiTheme="minorEastAsia" w:eastAsiaTheme="minorEastAsia" w:cstheme="minorEastAsia"/>
          <w:bCs/>
          <w:sz w:val="21"/>
          <w:szCs w:val="21"/>
        </w:rPr>
        <w:t>2．定义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_Toc12207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"_Toc24765" </w:instrText>
      </w:r>
      <w: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Cs/>
          <w:sz w:val="21"/>
          <w:szCs w:val="21"/>
        </w:rPr>
        <w:t>．合格的供应商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_Toc24765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"_Toc5718" </w:instrText>
      </w:r>
      <w:r>
        <w:fldChar w:fldCharType="separate"/>
      </w:r>
      <w:r>
        <w:rPr>
          <w:rFonts w:hint="eastAsia" w:asciiTheme="minorEastAsia" w:hAnsiTheme="minorEastAsia" w:eastAsiaTheme="minorEastAsia" w:cstheme="minorEastAsia"/>
          <w:bCs/>
          <w:sz w:val="21"/>
          <w:szCs w:val="21"/>
        </w:rPr>
        <w:t>4．应答费用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_Toc5718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"_Toc25076" </w:instrText>
      </w:r>
      <w:r>
        <w:fldChar w:fldCharType="separate"/>
      </w:r>
      <w:r>
        <w:rPr>
          <w:rFonts w:hint="eastAsia" w:asciiTheme="minorEastAsia" w:hAnsiTheme="minorEastAsia" w:eastAsiaTheme="minorEastAsia" w:cstheme="minorEastAsia"/>
        </w:rPr>
        <w:t>二、采购文件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_Toc25076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"_Toc9674" </w:instrText>
      </w:r>
      <w:r>
        <w:fldChar w:fldCharType="separate"/>
      </w:r>
      <w:r>
        <w:rPr>
          <w:rFonts w:hint="eastAsia" w:asciiTheme="minorEastAsia" w:hAnsiTheme="minorEastAsia" w:eastAsiaTheme="minorEastAsia" w:cstheme="minorEastAsia"/>
          <w:bCs/>
          <w:sz w:val="21"/>
          <w:szCs w:val="21"/>
        </w:rPr>
        <w:t>5．采购文件构成</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_Toc9674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"_Toc25189" </w:instrText>
      </w:r>
      <w:r>
        <w:fldChar w:fldCharType="separate"/>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bCs/>
          <w:sz w:val="21"/>
          <w:szCs w:val="21"/>
        </w:rPr>
        <w:t>．采购文件的澄清</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_Toc25189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"_Toc24496" </w:instrText>
      </w:r>
      <w:r>
        <w:fldChar w:fldCharType="separate"/>
      </w:r>
      <w:r>
        <w:rPr>
          <w:rFonts w:hint="eastAsia" w:asciiTheme="minorEastAsia" w:hAnsiTheme="minorEastAsia" w:eastAsiaTheme="minorEastAsia" w:cstheme="minorEastAsia"/>
          <w:bCs/>
          <w:sz w:val="21"/>
          <w:szCs w:val="21"/>
        </w:rPr>
        <w:t>7．采购文件的修改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_Toc24496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"_Toc11308" </w:instrText>
      </w:r>
      <w:r>
        <w:fldChar w:fldCharType="separate"/>
      </w:r>
      <w:r>
        <w:rPr>
          <w:rFonts w:hint="eastAsia" w:asciiTheme="minorEastAsia" w:hAnsiTheme="minorEastAsia" w:eastAsiaTheme="minorEastAsia" w:cstheme="minorEastAsia"/>
        </w:rPr>
        <w:t>三、应答文件的编制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_Toc11308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"_Toc8338" </w:instrText>
      </w:r>
      <w:r>
        <w:fldChar w:fldCharType="separate"/>
      </w:r>
      <w:r>
        <w:rPr>
          <w:rFonts w:hint="eastAsia" w:asciiTheme="minorEastAsia" w:hAnsiTheme="minorEastAsia" w:eastAsiaTheme="minorEastAsia" w:cstheme="minorEastAsia"/>
          <w:bCs/>
          <w:sz w:val="21"/>
          <w:szCs w:val="21"/>
        </w:rPr>
        <w:t>8．应答的语言及计量单位</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_Toc8338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"_Toc260" </w:instrText>
      </w:r>
      <w:r>
        <w:fldChar w:fldCharType="separate"/>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bCs/>
          <w:sz w:val="21"/>
          <w:szCs w:val="21"/>
        </w:rPr>
        <w:t>. 应答文件的构成与编排</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_Toc260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"_Toc1326" </w:instrText>
      </w:r>
      <w:r>
        <w:fldChar w:fldCharType="separate"/>
      </w: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bCs/>
          <w:sz w:val="21"/>
          <w:szCs w:val="21"/>
        </w:rPr>
        <w:t>．应答函</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_Toc1326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"_Toc11486" </w:instrText>
      </w:r>
      <w:r>
        <w:fldChar w:fldCharType="separate"/>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bCs/>
          <w:sz w:val="21"/>
          <w:szCs w:val="21"/>
        </w:rPr>
        <w:t>应答报价</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_Toc11486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"_Toc27450" </w:instrText>
      </w:r>
      <w:r>
        <w:fldChar w:fldCharType="separate"/>
      </w:r>
      <w:r>
        <w:rPr>
          <w:rFonts w:hint="eastAsia" w:asciiTheme="minorEastAsia" w:hAnsiTheme="minorEastAsia" w:eastAsiaTheme="minorEastAsia" w:cstheme="minorEastAsia"/>
          <w:bCs/>
          <w:sz w:val="21"/>
          <w:szCs w:val="21"/>
        </w:rPr>
        <w:t>12．应答货币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_Toc27450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"_Toc23054" </w:instrText>
      </w:r>
      <w:r>
        <w:fldChar w:fldCharType="separate"/>
      </w:r>
      <w:r>
        <w:rPr>
          <w:rFonts w:hint="eastAsia" w:asciiTheme="minorEastAsia" w:hAnsiTheme="minorEastAsia" w:eastAsiaTheme="minorEastAsia" w:cstheme="minorEastAsia"/>
          <w:bCs/>
          <w:sz w:val="21"/>
          <w:szCs w:val="21"/>
        </w:rPr>
        <w:t>13．证明供应商合格和资格的文件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_Toc23054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"_Toc28999" </w:instrText>
      </w:r>
      <w: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bCs/>
          <w:sz w:val="21"/>
          <w:szCs w:val="21"/>
        </w:rPr>
        <w:t>．证明拟应答项目符合采购文件规定的文件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_Toc28999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"_Toc7216" </w:instrText>
      </w:r>
      <w:r>
        <w:fldChar w:fldCharType="separate"/>
      </w:r>
      <w:r>
        <w:rPr>
          <w:rFonts w:hint="eastAsia" w:asciiTheme="minorEastAsia" w:hAnsiTheme="minorEastAsia" w:eastAsiaTheme="minorEastAsia" w:cstheme="minorEastAsia"/>
          <w:bCs/>
          <w:sz w:val="21"/>
          <w:szCs w:val="21"/>
        </w:rPr>
        <w:t>15．响应保证金</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_Toc7216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"_Toc13986" </w:instrText>
      </w:r>
      <w:r>
        <w:fldChar w:fldCharType="separate"/>
      </w:r>
      <w:r>
        <w:rPr>
          <w:rFonts w:hint="eastAsia" w:asciiTheme="minorEastAsia" w:hAnsiTheme="minorEastAsia" w:eastAsiaTheme="minorEastAsia" w:cstheme="minorEastAsia"/>
          <w:bCs/>
          <w:sz w:val="21"/>
          <w:szCs w:val="21"/>
        </w:rPr>
        <w:t>16．应答有效期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_Toc13986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"_Toc3831" </w:instrText>
      </w:r>
      <w:r>
        <w:fldChar w:fldCharType="separate"/>
      </w:r>
      <w:r>
        <w:rPr>
          <w:rFonts w:hint="eastAsia" w:asciiTheme="minorEastAsia" w:hAnsiTheme="minorEastAsia" w:eastAsiaTheme="minorEastAsia" w:cstheme="minorEastAsia"/>
          <w:sz w:val="21"/>
          <w:szCs w:val="21"/>
        </w:rPr>
        <w:t>17．应答文件的式样和签署</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_Toc3831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"_Toc25449" </w:instrText>
      </w:r>
      <w:r>
        <w:fldChar w:fldCharType="separate"/>
      </w:r>
      <w:r>
        <w:rPr>
          <w:rFonts w:hint="eastAsia" w:asciiTheme="minorEastAsia" w:hAnsiTheme="minorEastAsia" w:eastAsiaTheme="minorEastAsia" w:cstheme="minorEastAsia"/>
          <w:bCs/>
          <w:sz w:val="21"/>
          <w:szCs w:val="21"/>
        </w:rPr>
        <w:t>18．供应商的替代方案</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_Toc25449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"_Toc4208" </w:instrText>
      </w:r>
      <w:r>
        <w:fldChar w:fldCharType="separate"/>
      </w:r>
      <w:r>
        <w:rPr>
          <w:rFonts w:hint="eastAsia" w:asciiTheme="minorEastAsia" w:hAnsiTheme="minorEastAsia" w:eastAsiaTheme="minorEastAsia" w:cstheme="minorEastAsia"/>
          <w:bCs/>
          <w:sz w:val="21"/>
          <w:szCs w:val="21"/>
        </w:rPr>
        <w:t>19．联合体应答</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_Toc4208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"_Toc564" </w:instrText>
      </w:r>
      <w:r>
        <w:fldChar w:fldCharType="separate"/>
      </w:r>
      <w:r>
        <w:rPr>
          <w:rFonts w:hint="eastAsia" w:asciiTheme="minorEastAsia" w:hAnsiTheme="minorEastAsia" w:eastAsiaTheme="minorEastAsia" w:cstheme="minorEastAsia"/>
        </w:rPr>
        <w:t>四、应答文件的递交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_Toc564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"_Toc6800" </w:instrText>
      </w:r>
      <w:r>
        <w:fldChar w:fldCharType="separate"/>
      </w: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bCs/>
          <w:sz w:val="21"/>
          <w:szCs w:val="21"/>
        </w:rPr>
        <w:t>．应答文件的密封和标记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_Toc6800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"_Toc16374" </w:instrText>
      </w:r>
      <w:r>
        <w:fldChar w:fldCharType="separate"/>
      </w:r>
      <w:r>
        <w:rPr>
          <w:rFonts w:hint="eastAsia" w:asciiTheme="minorEastAsia" w:hAnsiTheme="minorEastAsia" w:eastAsiaTheme="minorEastAsia" w:cstheme="minorEastAsia"/>
          <w:bCs/>
          <w:sz w:val="21"/>
          <w:szCs w:val="21"/>
        </w:rPr>
        <w:t>21．应答文件提交截止时间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_Toc16374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"_Toc7683" </w:instrText>
      </w:r>
      <w:r>
        <w:fldChar w:fldCharType="separate"/>
      </w:r>
      <w:r>
        <w:rPr>
          <w:rFonts w:hint="eastAsia" w:asciiTheme="minorEastAsia" w:hAnsiTheme="minorEastAsia" w:eastAsiaTheme="minorEastAsia" w:cstheme="minorEastAsia"/>
          <w:bCs/>
          <w:sz w:val="21"/>
          <w:szCs w:val="21"/>
        </w:rPr>
        <w:t>22．迟交的应答文件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_Toc7683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"_Toc3084" </w:instrText>
      </w:r>
      <w:r>
        <w:fldChar w:fldCharType="separate"/>
      </w:r>
      <w:r>
        <w:rPr>
          <w:rFonts w:hint="eastAsia" w:asciiTheme="minorEastAsia" w:hAnsiTheme="minorEastAsia" w:eastAsiaTheme="minorEastAsia" w:cstheme="minorEastAsia"/>
          <w:bCs/>
          <w:sz w:val="21"/>
          <w:szCs w:val="21"/>
        </w:rPr>
        <w:t>23．应答文件的修改和撤回</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_Toc3084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"_Toc4243" </w:instrText>
      </w:r>
      <w:r>
        <w:fldChar w:fldCharType="separate"/>
      </w:r>
      <w:r>
        <w:rPr>
          <w:rFonts w:hint="eastAsia" w:asciiTheme="minorEastAsia" w:hAnsiTheme="minorEastAsia" w:eastAsiaTheme="minorEastAsia" w:cstheme="minorEastAsia"/>
        </w:rPr>
        <w:t>五、谈判与评审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_Toc4243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17</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"_Toc8589" </w:instrText>
      </w:r>
      <w:r>
        <w:fldChar w:fldCharType="separate"/>
      </w:r>
      <w:r>
        <w:rPr>
          <w:rFonts w:hint="eastAsia" w:asciiTheme="minorEastAsia" w:hAnsiTheme="minorEastAsia" w:eastAsiaTheme="minorEastAsia" w:cstheme="minorEastAsia"/>
        </w:rPr>
        <w:t>六、授予合同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_Toc8589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"_Toc13215" </w:instrText>
      </w:r>
      <w:r>
        <w:fldChar w:fldCharType="separate"/>
      </w:r>
      <w:r>
        <w:rPr>
          <w:rFonts w:hint="eastAsia" w:asciiTheme="minorEastAsia" w:hAnsiTheme="minorEastAsia" w:eastAsiaTheme="minorEastAsia" w:cstheme="minorEastAsia"/>
          <w:bCs/>
          <w:sz w:val="21"/>
          <w:szCs w:val="21"/>
        </w:rPr>
        <w:t>27．资格后审及其他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_Toc13215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"_Toc3163" </w:instrText>
      </w:r>
      <w:r>
        <w:fldChar w:fldCharType="separate"/>
      </w:r>
      <w:r>
        <w:rPr>
          <w:rFonts w:hint="eastAsia" w:asciiTheme="minorEastAsia" w:hAnsiTheme="minorEastAsia" w:eastAsiaTheme="minorEastAsia" w:cstheme="minorEastAsia"/>
          <w:bCs/>
          <w:sz w:val="21"/>
          <w:szCs w:val="21"/>
        </w:rPr>
        <w:t>28．采购人更改拟采购项目数量的权利</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_Toc3163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"_Toc31612" </w:instrText>
      </w:r>
      <w:r>
        <w:fldChar w:fldCharType="separate"/>
      </w:r>
      <w:r>
        <w:rPr>
          <w:rFonts w:hint="eastAsia" w:asciiTheme="minorEastAsia" w:hAnsiTheme="minorEastAsia" w:eastAsiaTheme="minorEastAsia" w:cstheme="minorEastAsia"/>
          <w:bCs/>
          <w:sz w:val="21"/>
          <w:szCs w:val="21"/>
        </w:rPr>
        <w:t>29．代理机构接受和拒绝任何或所有应答的权利</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_Toc31612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"_Toc3978" </w:instrText>
      </w:r>
      <w:r>
        <w:fldChar w:fldCharType="separate"/>
      </w:r>
      <w:r>
        <w:rPr>
          <w:rFonts w:hint="eastAsia" w:asciiTheme="minorEastAsia" w:hAnsiTheme="minorEastAsia" w:eastAsiaTheme="minorEastAsia" w:cstheme="minorEastAsia"/>
          <w:bCs/>
          <w:sz w:val="21"/>
          <w:szCs w:val="21"/>
        </w:rPr>
        <w:t>30．成交通知书</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_Toc3978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"_Toc1723" </w:instrText>
      </w:r>
      <w:r>
        <w:fldChar w:fldCharType="separate"/>
      </w:r>
      <w:r>
        <w:rPr>
          <w:rFonts w:hint="eastAsia" w:asciiTheme="minorEastAsia" w:hAnsiTheme="minorEastAsia" w:eastAsiaTheme="minorEastAsia" w:cstheme="minorEastAsia"/>
          <w:bCs/>
          <w:sz w:val="21"/>
          <w:szCs w:val="21"/>
        </w:rPr>
        <w:t>31．签订合同</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_Toc1723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"_Toc16397" </w:instrText>
      </w:r>
      <w:r>
        <w:fldChar w:fldCharType="separate"/>
      </w:r>
      <w:r>
        <w:rPr>
          <w:rFonts w:hint="eastAsia" w:asciiTheme="minorEastAsia" w:hAnsiTheme="minorEastAsia" w:eastAsiaTheme="minorEastAsia" w:cstheme="minorEastAsia"/>
          <w:bCs/>
          <w:sz w:val="21"/>
          <w:szCs w:val="21"/>
        </w:rPr>
        <w:t>32．履约保证金</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_Toc16397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1"/>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"_Toc19611" </w:instrText>
      </w:r>
      <w:r>
        <w:fldChar w:fldCharType="separate"/>
      </w:r>
      <w:r>
        <w:rPr>
          <w:rFonts w:hint="eastAsia" w:asciiTheme="minorEastAsia" w:hAnsiTheme="minorEastAsia" w:eastAsiaTheme="minorEastAsia" w:cstheme="minorEastAsia"/>
          <w:bCs/>
          <w:sz w:val="21"/>
          <w:szCs w:val="21"/>
        </w:rPr>
        <w:t>33．采购代理服务费</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_Toc19611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12"/>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"_Toc32208" </w:instrText>
      </w:r>
      <w:r>
        <w:fldChar w:fldCharType="separate"/>
      </w:r>
      <w:r>
        <w:rPr>
          <w:rFonts w:hint="eastAsia" w:asciiTheme="minorEastAsia" w:hAnsiTheme="minorEastAsia" w:eastAsiaTheme="minorEastAsia" w:cstheme="minorEastAsia"/>
        </w:rPr>
        <w:t>七、未尽事项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_Toc32208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0"/>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"_Toc9283" </w:instrText>
      </w:r>
      <w:r>
        <w:fldChar w:fldCharType="separate"/>
      </w:r>
      <w:r>
        <w:rPr>
          <w:rFonts w:hint="eastAsia" w:asciiTheme="minorEastAsia" w:hAnsiTheme="minorEastAsia" w:eastAsiaTheme="minorEastAsia" w:cstheme="minorEastAsia"/>
          <w:bCs w:val="0"/>
          <w:kern w:val="0"/>
        </w:rPr>
        <w:t>第三章  合同条款格式</w:t>
      </w:r>
      <w:r>
        <w:rPr>
          <w:rFonts w:hint="eastAsia" w:asciiTheme="minorEastAsia" w:hAnsiTheme="minorEastAsia" w:eastAsiaTheme="minorEastAsia" w:cstheme="minorEastAsia"/>
        </w:rPr>
        <w:t>（仅供参考）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_Toc9283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0"/>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"_Toc1705" </w:instrText>
      </w:r>
      <w:r>
        <w:fldChar w:fldCharType="separate"/>
      </w:r>
      <w:r>
        <w:rPr>
          <w:rFonts w:hint="eastAsia" w:asciiTheme="minorEastAsia" w:hAnsiTheme="minorEastAsia" w:eastAsiaTheme="minorEastAsia" w:cstheme="minorEastAsia"/>
          <w:bCs w:val="0"/>
          <w:kern w:val="0"/>
        </w:rPr>
        <w:t>第四章  需求及技术规格</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_Toc1705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"_Toc4712" </w:instrText>
      </w:r>
      <w:r>
        <w:fldChar w:fldCharType="separate"/>
      </w:r>
      <w:r>
        <w:rPr>
          <w:rFonts w:hint="eastAsia" w:asciiTheme="minorEastAsia" w:hAnsiTheme="minorEastAsia" w:eastAsiaTheme="minorEastAsia" w:cstheme="minorEastAsia"/>
          <w:sz w:val="21"/>
          <w:szCs w:val="21"/>
        </w:rPr>
        <w:t>第一节  说明</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_Toc4712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"_Toc31174" </w:instrText>
      </w:r>
      <w:r>
        <w:fldChar w:fldCharType="separate"/>
      </w:r>
      <w:r>
        <w:rPr>
          <w:rFonts w:hint="eastAsia" w:asciiTheme="minorEastAsia" w:hAnsiTheme="minorEastAsia" w:eastAsiaTheme="minorEastAsia" w:cstheme="minorEastAsia"/>
          <w:sz w:val="21"/>
          <w:szCs w:val="21"/>
        </w:rPr>
        <w:t>第二节  需求一览表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_Toc31174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"_Toc31119" </w:instrText>
      </w:r>
      <w:r>
        <w:fldChar w:fldCharType="separate"/>
      </w:r>
      <w:r>
        <w:rPr>
          <w:rFonts w:hint="eastAsia" w:asciiTheme="minorEastAsia" w:hAnsiTheme="minorEastAsia" w:eastAsiaTheme="minorEastAsia" w:cstheme="minorEastAsia"/>
          <w:sz w:val="21"/>
          <w:szCs w:val="21"/>
        </w:rPr>
        <w:t>第三节  技术需求明细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_Toc31119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"_Toc6009" </w:instrText>
      </w:r>
      <w:r>
        <w:fldChar w:fldCharType="separate"/>
      </w:r>
      <w:r>
        <w:rPr>
          <w:rFonts w:hint="eastAsia" w:asciiTheme="minorEastAsia" w:hAnsiTheme="minorEastAsia" w:eastAsiaTheme="minorEastAsia" w:cstheme="minorEastAsia"/>
          <w:sz w:val="21"/>
          <w:szCs w:val="21"/>
        </w:rPr>
        <w:t>第四节  商务需求明细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_Toc6009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"_Toc26902" </w:instrText>
      </w:r>
      <w:r>
        <w:fldChar w:fldCharType="separate"/>
      </w:r>
      <w:r>
        <w:rPr>
          <w:rFonts w:hint="eastAsia" w:asciiTheme="minorEastAsia" w:hAnsiTheme="minorEastAsia" w:eastAsiaTheme="minorEastAsia" w:cstheme="minorEastAsia"/>
          <w:sz w:val="21"/>
          <w:szCs w:val="21"/>
        </w:rPr>
        <w:t>第五节  应答文件否决性条款摘要</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_Toc26902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"_Toc10399" </w:instrText>
      </w:r>
      <w:r>
        <w:fldChar w:fldCharType="separate"/>
      </w:r>
      <w:r>
        <w:rPr>
          <w:rFonts w:hint="eastAsia" w:asciiTheme="minorEastAsia" w:hAnsiTheme="minorEastAsia" w:eastAsiaTheme="minorEastAsia" w:cstheme="minorEastAsia"/>
          <w:sz w:val="21"/>
          <w:szCs w:val="21"/>
        </w:rPr>
        <w:t>第六节  评审方法及程序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_Toc10399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0"/>
        <w:tabs>
          <w:tab w:val="right" w:leader="dot" w:pos="8999"/>
          <w:tab w:val="clear" w:pos="8989"/>
        </w:tabs>
        <w:spacing w:line="420" w:lineRule="exact"/>
        <w:rPr>
          <w:rFonts w:asciiTheme="minorEastAsia" w:hAnsiTheme="minorEastAsia" w:eastAsiaTheme="minorEastAsia" w:cstheme="minorEastAsia"/>
        </w:rPr>
      </w:pPr>
      <w:r>
        <w:fldChar w:fldCharType="begin"/>
      </w:r>
      <w:r>
        <w:instrText xml:space="preserve"> HYPERLINK \l "_Toc27030" </w:instrText>
      </w:r>
      <w:r>
        <w:fldChar w:fldCharType="separate"/>
      </w:r>
      <w:r>
        <w:rPr>
          <w:rFonts w:hint="eastAsia" w:asciiTheme="minorEastAsia" w:hAnsiTheme="minorEastAsia" w:eastAsiaTheme="minorEastAsia" w:cstheme="minorEastAsia"/>
          <w:bCs w:val="0"/>
          <w:kern w:val="0"/>
        </w:rPr>
        <w:t>第五章  应答文件格式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_Toc27030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"_Toc4588" </w:instrText>
      </w:r>
      <w:r>
        <w:fldChar w:fldCharType="separate"/>
      </w:r>
      <w:r>
        <w:rPr>
          <w:rFonts w:hint="eastAsia" w:asciiTheme="minorEastAsia" w:hAnsiTheme="minorEastAsia" w:eastAsiaTheme="minorEastAsia" w:cstheme="minorEastAsia"/>
          <w:sz w:val="21"/>
          <w:szCs w:val="21"/>
        </w:rPr>
        <w:t>格式一：应答函格式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_Toc4588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30</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"_Toc22891" </w:instrText>
      </w:r>
      <w:r>
        <w:fldChar w:fldCharType="separate"/>
      </w:r>
      <w:r>
        <w:rPr>
          <w:rFonts w:hint="eastAsia" w:asciiTheme="minorEastAsia" w:hAnsiTheme="minorEastAsia" w:eastAsiaTheme="minorEastAsia" w:cstheme="minorEastAsia"/>
          <w:sz w:val="21"/>
          <w:szCs w:val="21"/>
        </w:rPr>
        <w:t>格式二：政府采购应答及履约承诺函格式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_Toc22891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"_Toc31455" </w:instrText>
      </w:r>
      <w:r>
        <w:fldChar w:fldCharType="separate"/>
      </w:r>
      <w:r>
        <w:rPr>
          <w:rFonts w:hint="eastAsia" w:asciiTheme="minorEastAsia" w:hAnsiTheme="minorEastAsia" w:eastAsiaTheme="minorEastAsia" w:cstheme="minorEastAsia"/>
          <w:sz w:val="21"/>
          <w:szCs w:val="21"/>
        </w:rPr>
        <w:t>格式三：报价一览表格式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_Toc31455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"_Toc16991" </w:instrText>
      </w:r>
      <w:r>
        <w:fldChar w:fldCharType="separate"/>
      </w:r>
      <w:r>
        <w:rPr>
          <w:rFonts w:hint="eastAsia" w:asciiTheme="minorEastAsia" w:hAnsiTheme="minorEastAsia" w:eastAsiaTheme="minorEastAsia" w:cstheme="minorEastAsia"/>
          <w:sz w:val="21"/>
          <w:szCs w:val="21"/>
        </w:rPr>
        <w:t>格式四：报价明细表格式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_Toc16991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"_Toc27960" </w:instrText>
      </w:r>
      <w:r>
        <w:fldChar w:fldCharType="separate"/>
      </w:r>
      <w:r>
        <w:rPr>
          <w:rFonts w:hint="eastAsia" w:asciiTheme="minorEastAsia" w:hAnsiTheme="minorEastAsia" w:eastAsiaTheme="minorEastAsia" w:cstheme="minorEastAsia"/>
          <w:sz w:val="21"/>
          <w:szCs w:val="21"/>
        </w:rPr>
        <w:t>格式五：法定代表人证明书及授权委托书格式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_Toc27960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"_Toc6606" </w:instrText>
      </w:r>
      <w:r>
        <w:fldChar w:fldCharType="separate"/>
      </w:r>
      <w:r>
        <w:rPr>
          <w:rFonts w:hint="eastAsia" w:asciiTheme="minorEastAsia" w:hAnsiTheme="minorEastAsia" w:eastAsiaTheme="minorEastAsia" w:cstheme="minorEastAsia"/>
          <w:sz w:val="21"/>
          <w:szCs w:val="21"/>
        </w:rPr>
        <w:t>格式六：资格证明文件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_Toc6606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"_Toc14618" </w:instrText>
      </w:r>
      <w:r>
        <w:fldChar w:fldCharType="separate"/>
      </w:r>
      <w:r>
        <w:rPr>
          <w:rFonts w:hint="eastAsia" w:asciiTheme="minorEastAsia" w:hAnsiTheme="minorEastAsia" w:eastAsiaTheme="minorEastAsia" w:cstheme="minorEastAsia"/>
          <w:sz w:val="21"/>
          <w:szCs w:val="21"/>
        </w:rPr>
        <w:t>格式八：商务偏离表格式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_Toc14618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"_Toc9913" </w:instrText>
      </w:r>
      <w:r>
        <w:fldChar w:fldCharType="separate"/>
      </w:r>
      <w:r>
        <w:rPr>
          <w:rFonts w:hint="eastAsia" w:asciiTheme="minorEastAsia" w:hAnsiTheme="minorEastAsia" w:eastAsiaTheme="minorEastAsia" w:cstheme="minorEastAsia"/>
          <w:sz w:val="21"/>
          <w:szCs w:val="21"/>
        </w:rPr>
        <w:t>格式九：技术人员情况简介表格式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_Toc9913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40</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"_Toc2883" </w:instrText>
      </w:r>
      <w:r>
        <w:fldChar w:fldCharType="separate"/>
      </w:r>
      <w:r>
        <w:rPr>
          <w:rFonts w:hint="eastAsia" w:asciiTheme="minorEastAsia" w:hAnsiTheme="minorEastAsia" w:eastAsiaTheme="minorEastAsia" w:cstheme="minorEastAsia"/>
          <w:sz w:val="21"/>
          <w:szCs w:val="21"/>
        </w:rPr>
        <w:t>格式十：售后服务计划格式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_Toc2883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40</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rPr>
          <w:rFonts w:asciiTheme="minorEastAsia" w:hAnsiTheme="minorEastAsia" w:eastAsiaTheme="minorEastAsia" w:cstheme="minorEastAsia"/>
          <w:sz w:val="21"/>
          <w:szCs w:val="21"/>
        </w:rPr>
      </w:pPr>
      <w:r>
        <w:fldChar w:fldCharType="begin"/>
      </w:r>
      <w:r>
        <w:instrText xml:space="preserve"> HYPERLINK \l "_Toc26018" </w:instrText>
      </w:r>
      <w:r>
        <w:fldChar w:fldCharType="separate"/>
      </w:r>
      <w:r>
        <w:rPr>
          <w:rFonts w:hint="eastAsia" w:asciiTheme="minorEastAsia" w:hAnsiTheme="minorEastAsia" w:eastAsiaTheme="minorEastAsia" w:cstheme="minorEastAsia"/>
          <w:sz w:val="21"/>
          <w:szCs w:val="21"/>
        </w:rPr>
        <w:t>格式十一：其他格式（自行设置）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_Toc26018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pStyle w:val="24"/>
        <w:tabs>
          <w:tab w:val="right" w:leader="dot" w:pos="8999"/>
        </w:tabs>
        <w:spacing w:line="420" w:lineRule="exact"/>
      </w:pPr>
      <w:r>
        <w:fldChar w:fldCharType="begin"/>
      </w:r>
      <w:r>
        <w:instrText xml:space="preserve"> HYPERLINK \l "_Toc19967" </w:instrText>
      </w:r>
      <w:r>
        <w:fldChar w:fldCharType="separate"/>
      </w:r>
      <w:r>
        <w:rPr>
          <w:rFonts w:hint="eastAsia" w:asciiTheme="minorEastAsia" w:hAnsiTheme="minorEastAsia" w:eastAsiaTheme="minorEastAsia" w:cstheme="minorEastAsia"/>
          <w:sz w:val="21"/>
          <w:szCs w:val="21"/>
        </w:rPr>
        <w:t>格式十二：中小企业声明函、残疾人福利性单位声明函及监狱企业声明函格式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_Toc19967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fldChar w:fldCharType="end"/>
      </w:r>
    </w:p>
    <w:p>
      <w:pPr>
        <w:spacing w:line="400" w:lineRule="exact"/>
        <w:ind w:firstLine="420" w:firstLineChars="200"/>
        <w:rPr>
          <w:rFonts w:ascii="宋体" w:hAnsi="宋体"/>
          <w:color w:val="000000"/>
          <w:szCs w:val="21"/>
        </w:rPr>
      </w:pPr>
      <w:r>
        <w:rPr>
          <w:rFonts w:ascii="宋体" w:hAnsi="宋体"/>
          <w:color w:val="000000"/>
          <w:szCs w:val="21"/>
        </w:rPr>
        <w:fldChar w:fldCharType="end"/>
      </w:r>
      <w:bookmarkStart w:id="0" w:name="_Toc23141"/>
      <w:r>
        <w:rPr>
          <w:rFonts w:ascii="宋体" w:hAnsi="宋体"/>
          <w:color w:val="000000"/>
          <w:szCs w:val="21"/>
        </w:rPr>
        <w:br w:type="page"/>
      </w:r>
    </w:p>
    <w:p>
      <w:pPr>
        <w:pStyle w:val="15"/>
        <w:spacing w:line="440" w:lineRule="exact"/>
        <w:jc w:val="center"/>
        <w:outlineLvl w:val="0"/>
        <w:rPr>
          <w:rFonts w:ascii="微软雅黑" w:hAnsi="微软雅黑" w:eastAsia="微软雅黑" w:cs="微软雅黑"/>
          <w:b/>
          <w:color w:val="FF0000"/>
          <w:szCs w:val="32"/>
        </w:rPr>
      </w:pPr>
      <w:r>
        <w:rPr>
          <w:rFonts w:hint="eastAsia" w:ascii="微软雅黑" w:hAnsi="微软雅黑" w:eastAsia="微软雅黑" w:cs="微软雅黑"/>
          <w:b/>
          <w:color w:val="FF0000"/>
          <w:szCs w:val="32"/>
        </w:rPr>
        <w:t>特别警示条款</w:t>
      </w:r>
      <w:bookmarkEnd w:id="0"/>
    </w:p>
    <w:p>
      <w:pPr>
        <w:spacing w:line="400" w:lineRule="exact"/>
        <w:ind w:firstLine="420" w:firstLineChars="200"/>
        <w:rPr>
          <w:rFonts w:asciiTheme="minorEastAsia" w:hAnsiTheme="minorEastAsia" w:eastAsiaTheme="minorEastAsia"/>
          <w:color w:val="000000" w:themeColor="text1"/>
          <w:szCs w:val="21"/>
          <w14:textFill>
            <w14:solidFill>
              <w14:schemeClr w14:val="tx1"/>
            </w14:solidFill>
          </w14:textFill>
        </w:rPr>
      </w:pPr>
    </w:p>
    <w:p>
      <w:pPr>
        <w:ind w:firstLine="400" w:firstLineChars="200"/>
        <w:rPr>
          <w:rFonts w:ascii="宋体" w:hAnsi="宋体"/>
          <w:color w:val="FF0000"/>
          <w:sz w:val="20"/>
        </w:rPr>
      </w:pPr>
      <w:r>
        <w:rPr>
          <w:rFonts w:hint="eastAsia" w:ascii="宋体" w:hAnsi="宋体"/>
          <w:color w:val="FF0000"/>
          <w:sz w:val="20"/>
        </w:rPr>
        <w:t>一、</w:t>
      </w:r>
      <w:r>
        <w:rPr>
          <w:rFonts w:hint="eastAsia" w:ascii="宋体" w:hAnsi="宋体"/>
          <w:b/>
          <w:bCs/>
          <w:color w:val="FF0000"/>
          <w:sz w:val="20"/>
        </w:rPr>
        <w:t>《深圳经济特区政府采购条例》第五十七条</w:t>
      </w:r>
      <w:r>
        <w:rPr>
          <w:rFonts w:hint="eastAsia" w:ascii="宋体" w:hAnsi="宋体"/>
          <w:color w:val="FF0000"/>
          <w:sz w:val="20"/>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00" w:firstLineChars="200"/>
        <w:rPr>
          <w:rFonts w:ascii="宋体" w:hAnsi="宋体"/>
          <w:color w:val="FF0000"/>
          <w:sz w:val="20"/>
        </w:rPr>
      </w:pPr>
      <w:r>
        <w:rPr>
          <w:rFonts w:hint="eastAsia" w:ascii="宋体" w:hAnsi="宋体"/>
          <w:color w:val="FF0000"/>
          <w:sz w:val="20"/>
        </w:rPr>
        <w:t>（一）在采购活动中应当回避而未回避的；</w:t>
      </w:r>
    </w:p>
    <w:p>
      <w:pPr>
        <w:ind w:firstLine="400" w:firstLineChars="200"/>
        <w:rPr>
          <w:rFonts w:ascii="宋体" w:hAnsi="宋体"/>
          <w:color w:val="FF0000"/>
          <w:sz w:val="20"/>
        </w:rPr>
      </w:pPr>
      <w:r>
        <w:rPr>
          <w:rFonts w:hint="eastAsia" w:ascii="宋体" w:hAnsi="宋体"/>
          <w:color w:val="FF0000"/>
          <w:sz w:val="20"/>
        </w:rPr>
        <w:t>（二）未按本条例规定签订、履行采购合同，造成严重后果的；</w:t>
      </w:r>
    </w:p>
    <w:p>
      <w:pPr>
        <w:ind w:firstLine="400" w:firstLineChars="200"/>
        <w:rPr>
          <w:rFonts w:ascii="宋体" w:hAnsi="宋体"/>
          <w:color w:val="FF0000"/>
          <w:sz w:val="20"/>
        </w:rPr>
      </w:pPr>
      <w:r>
        <w:rPr>
          <w:rFonts w:hint="eastAsia" w:ascii="宋体" w:hAnsi="宋体"/>
          <w:color w:val="FF0000"/>
          <w:sz w:val="20"/>
        </w:rPr>
        <w:t>（三）隐瞒真实情况，提供虚假资料的；</w:t>
      </w:r>
    </w:p>
    <w:p>
      <w:pPr>
        <w:ind w:firstLine="400" w:firstLineChars="200"/>
        <w:rPr>
          <w:rFonts w:ascii="宋体" w:hAnsi="宋体"/>
          <w:color w:val="FF0000"/>
          <w:sz w:val="20"/>
        </w:rPr>
      </w:pPr>
      <w:r>
        <w:rPr>
          <w:rFonts w:hint="eastAsia" w:ascii="宋体" w:hAnsi="宋体"/>
          <w:color w:val="FF0000"/>
          <w:sz w:val="20"/>
        </w:rPr>
        <w:t>（四）以非法手段排斥其他供应商参与竞争的；</w:t>
      </w:r>
    </w:p>
    <w:p>
      <w:pPr>
        <w:ind w:firstLine="400" w:firstLineChars="200"/>
        <w:rPr>
          <w:rFonts w:ascii="宋体" w:hAnsi="宋体"/>
          <w:color w:val="FF0000"/>
          <w:sz w:val="20"/>
        </w:rPr>
      </w:pPr>
      <w:r>
        <w:rPr>
          <w:rFonts w:hint="eastAsia" w:ascii="宋体" w:hAnsi="宋体"/>
          <w:color w:val="FF0000"/>
          <w:sz w:val="20"/>
        </w:rPr>
        <w:t>（五）与其他采购参加人串通投标的；</w:t>
      </w:r>
    </w:p>
    <w:p>
      <w:pPr>
        <w:ind w:firstLine="400" w:firstLineChars="200"/>
        <w:rPr>
          <w:rFonts w:ascii="宋体" w:hAnsi="宋体"/>
          <w:color w:val="FF0000"/>
          <w:sz w:val="20"/>
        </w:rPr>
      </w:pPr>
      <w:r>
        <w:rPr>
          <w:rFonts w:hint="eastAsia" w:ascii="宋体" w:hAnsi="宋体"/>
          <w:color w:val="FF0000"/>
          <w:sz w:val="20"/>
        </w:rPr>
        <w:t>（六）恶意投诉的；</w:t>
      </w:r>
    </w:p>
    <w:p>
      <w:pPr>
        <w:ind w:firstLine="400" w:firstLineChars="200"/>
        <w:rPr>
          <w:rFonts w:ascii="宋体" w:hAnsi="宋体"/>
          <w:color w:val="FF0000"/>
          <w:sz w:val="20"/>
        </w:rPr>
      </w:pPr>
      <w:r>
        <w:rPr>
          <w:rFonts w:hint="eastAsia" w:ascii="宋体" w:hAnsi="宋体"/>
          <w:color w:val="FF0000"/>
          <w:sz w:val="20"/>
        </w:rPr>
        <w:t>（七）向采购项目相关人行贿或者提供其他不当利益的；</w:t>
      </w:r>
    </w:p>
    <w:p>
      <w:pPr>
        <w:ind w:firstLine="400" w:firstLineChars="200"/>
        <w:rPr>
          <w:rFonts w:ascii="宋体" w:hAnsi="宋体"/>
          <w:color w:val="FF0000"/>
          <w:sz w:val="20"/>
        </w:rPr>
      </w:pPr>
      <w:r>
        <w:rPr>
          <w:rFonts w:hint="eastAsia" w:ascii="宋体" w:hAnsi="宋体"/>
          <w:color w:val="FF0000"/>
          <w:sz w:val="20"/>
        </w:rPr>
        <w:t>（八）阻碍、抗拒主管部门监督检查的；</w:t>
      </w:r>
    </w:p>
    <w:p>
      <w:pPr>
        <w:ind w:firstLine="400" w:firstLineChars="200"/>
        <w:rPr>
          <w:rFonts w:ascii="宋体" w:hAnsi="宋体"/>
          <w:color w:val="FF0000"/>
          <w:sz w:val="20"/>
        </w:rPr>
      </w:pPr>
      <w:r>
        <w:rPr>
          <w:rFonts w:hint="eastAsia" w:ascii="宋体" w:hAnsi="宋体"/>
          <w:color w:val="FF0000"/>
          <w:sz w:val="20"/>
        </w:rPr>
        <w:t>（九）其他违反本条例规定的行为。</w:t>
      </w:r>
    </w:p>
    <w:p>
      <w:pPr>
        <w:ind w:firstLine="402" w:firstLineChars="200"/>
        <w:rPr>
          <w:rFonts w:ascii="宋体" w:hAnsi="宋体"/>
          <w:color w:val="FF0000"/>
          <w:sz w:val="20"/>
        </w:rPr>
      </w:pPr>
      <w:r>
        <w:rPr>
          <w:rFonts w:hint="eastAsia" w:ascii="宋体" w:hAnsi="宋体"/>
          <w:b/>
          <w:bCs/>
          <w:color w:val="FF0000"/>
          <w:sz w:val="20"/>
        </w:rPr>
        <w:t>二、《深圳经济特区政府采购条例实施细则》第七十五条 </w:t>
      </w:r>
      <w:r>
        <w:rPr>
          <w:rFonts w:hint="eastAsia" w:ascii="宋体" w:hAnsi="宋体"/>
          <w:color w:val="FF0000"/>
          <w:sz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ascii="宋体" w:hAnsi="宋体"/>
          <w:color w:val="FF0000"/>
          <w:sz w:val="20"/>
        </w:rPr>
      </w:pPr>
      <w:r>
        <w:rPr>
          <w:rFonts w:hint="eastAsia" w:ascii="宋体" w:hAnsi="宋体"/>
          <w:b/>
          <w:bCs/>
          <w:color w:val="FF0000"/>
          <w:sz w:val="20"/>
        </w:rPr>
        <w:t>三、《深圳经济特区政府采购条例实施细则》第七十七条 </w:t>
      </w:r>
      <w:r>
        <w:rPr>
          <w:rFonts w:hint="eastAsia" w:ascii="宋体" w:hAnsi="宋体"/>
          <w:color w:val="FF0000"/>
          <w:sz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ascii="宋体" w:hAnsi="宋体"/>
          <w:color w:val="FF0000"/>
          <w:sz w:val="20"/>
        </w:rPr>
      </w:pPr>
      <w:r>
        <w:rPr>
          <w:rFonts w:hint="eastAsia" w:ascii="宋体" w:hAnsi="宋体"/>
          <w:color w:val="FF0000"/>
          <w:sz w:val="20"/>
        </w:rPr>
        <w:t>投标供应商不能提供项目负责人或者主要技术人员的劳动合同、社会保险等劳动关系证明材料的，视为存在前款第（三）项规定的情形。</w:t>
      </w:r>
    </w:p>
    <w:p>
      <w:pPr>
        <w:spacing w:line="400" w:lineRule="exact"/>
        <w:ind w:firstLine="960" w:firstLineChars="200"/>
        <w:rPr>
          <w:rFonts w:ascii="宋体" w:hAnsi="宋体"/>
          <w:color w:val="000000"/>
          <w:spacing w:val="20"/>
          <w:sz w:val="44"/>
        </w:rPr>
      </w:pPr>
    </w:p>
    <w:p>
      <w:pPr>
        <w:rPr>
          <w:rFonts w:ascii="黑体" w:hAnsi="宋体" w:eastAsia="黑体"/>
          <w:bCs/>
          <w:color w:val="000000"/>
          <w:szCs w:val="32"/>
        </w:rPr>
      </w:pPr>
      <w:r>
        <w:rPr>
          <w:rFonts w:hint="eastAsia" w:ascii="黑体" w:hAnsi="宋体" w:eastAsia="黑体"/>
          <w:bCs/>
          <w:color w:val="000000"/>
          <w:szCs w:val="32"/>
        </w:rPr>
        <w:br w:type="page"/>
      </w:r>
    </w:p>
    <w:p>
      <w:pPr>
        <w:pStyle w:val="15"/>
        <w:spacing w:line="440" w:lineRule="exact"/>
        <w:jc w:val="center"/>
        <w:outlineLvl w:val="0"/>
        <w:rPr>
          <w:rFonts w:ascii="微软雅黑" w:hAnsi="微软雅黑" w:eastAsia="微软雅黑" w:cs="微软雅黑"/>
          <w:b/>
          <w:color w:val="000000"/>
          <w:szCs w:val="32"/>
        </w:rPr>
      </w:pPr>
      <w:bookmarkStart w:id="1" w:name="_Toc8081"/>
      <w:r>
        <w:rPr>
          <w:rFonts w:hint="eastAsia" w:ascii="微软雅黑" w:hAnsi="微软雅黑" w:eastAsia="微软雅黑" w:cs="微软雅黑"/>
          <w:b/>
          <w:color w:val="000000"/>
          <w:szCs w:val="32"/>
        </w:rPr>
        <w:t>第一章  采购邀请书</w:t>
      </w:r>
      <w:bookmarkEnd w:id="1"/>
    </w:p>
    <w:p>
      <w:pPr>
        <w:spacing w:line="420" w:lineRule="exact"/>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参照国家和深圳市有关招标采购的相关法律法规及政策，</w:t>
      </w:r>
      <w:r>
        <w:rPr>
          <w:rFonts w:hint="eastAsia" w:cs="Times New Roman" w:asciiTheme="minorEastAsia" w:hAnsiTheme="minorEastAsia" w:eastAsiaTheme="minorEastAsia"/>
          <w:szCs w:val="21"/>
          <w:lang w:val="en-US" w:eastAsia="zh-CN"/>
        </w:rPr>
        <w:t>深圳交易咨询集团有限公司</w:t>
      </w:r>
      <w:r>
        <w:rPr>
          <w:rFonts w:hint="eastAsia" w:cs="Times New Roman" w:asciiTheme="minorEastAsia" w:hAnsiTheme="minorEastAsia" w:eastAsiaTheme="minorEastAsia"/>
          <w:szCs w:val="21"/>
        </w:rPr>
        <w:t>(以下简称“采购代理机构”)受采购人的委托发布采购邀请。本项目采用单一来源的方式实施采购，邀请供应商“北京全域观景景区管理有限公司”参与本项目的谈判活动。</w:t>
      </w:r>
    </w:p>
    <w:tbl>
      <w:tblPr>
        <w:tblStyle w:val="32"/>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5" w:type="dxa"/>
          </w:tcPr>
          <w:p>
            <w:pPr>
              <w:spacing w:line="44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项目概况：</w:t>
            </w:r>
            <w:r>
              <w:rPr>
                <w:rFonts w:hint="eastAsia" w:asciiTheme="minorEastAsia" w:hAnsiTheme="minorEastAsia" w:eastAsiaTheme="minorEastAsia"/>
                <w:bCs/>
                <w:color w:val="000000" w:themeColor="text1"/>
                <w:szCs w:val="21"/>
                <w14:textFill>
                  <w14:solidFill>
                    <w14:schemeClr w14:val="tx1"/>
                  </w14:solidFill>
                </w14:textFill>
              </w:rPr>
              <w:t>深圳前海文旅亮点打造及宣传推介项目招</w:t>
            </w:r>
            <w:r>
              <w:rPr>
                <w:rFonts w:hint="eastAsia" w:asciiTheme="minorEastAsia" w:hAnsiTheme="minorEastAsia" w:eastAsiaTheme="minorEastAsia"/>
                <w:color w:val="000000" w:themeColor="text1"/>
                <w:szCs w:val="21"/>
                <w14:textFill>
                  <w14:solidFill>
                    <w14:schemeClr w14:val="tx1"/>
                  </w14:solidFill>
                </w14:textFill>
              </w:rPr>
              <w:t>标项目的潜在供应商应在深圳交易咨询集团有限公司网站（https://www.sztc.com/）获取采购文件，并</w:t>
            </w:r>
            <w:r>
              <w:rPr>
                <w:rFonts w:hint="eastAsia" w:asciiTheme="minorEastAsia" w:hAnsiTheme="minorEastAsia" w:eastAsiaTheme="minorEastAsia"/>
                <w:color w:val="auto"/>
                <w:szCs w:val="21"/>
              </w:rPr>
              <w:t>于</w:t>
            </w:r>
            <w:r>
              <w:rPr>
                <w:rFonts w:hint="eastAsia" w:asciiTheme="minorEastAsia" w:hAnsiTheme="minorEastAsia" w:eastAsiaTheme="minorEastAsia"/>
                <w:color w:val="auto"/>
                <w:szCs w:val="21"/>
                <w:highlight w:val="none"/>
              </w:rPr>
              <w:t>2025年</w:t>
            </w:r>
            <w:r>
              <w:rPr>
                <w:rFonts w:hint="eastAsia" w:asciiTheme="minorEastAsia" w:hAnsiTheme="minorEastAsia" w:eastAsiaTheme="minorEastAsia"/>
                <w:color w:val="auto"/>
                <w:szCs w:val="21"/>
                <w:highlight w:val="none"/>
                <w:lang w:val="en-US" w:eastAsia="zh-CN"/>
              </w:rPr>
              <w:t>11</w:t>
            </w:r>
            <w:r>
              <w:rPr>
                <w:rFonts w:hint="eastAsia" w:asciiTheme="minorEastAsia" w:hAnsiTheme="minorEastAsia" w:eastAsiaTheme="minorEastAsia"/>
                <w:color w:val="auto"/>
                <w:szCs w:val="21"/>
                <w:highlight w:val="none"/>
              </w:rPr>
              <w:t>月</w:t>
            </w:r>
            <w:r>
              <w:rPr>
                <w:rFonts w:hint="eastAsia" w:asciiTheme="minorEastAsia" w:hAnsiTheme="minorEastAsia" w:eastAsiaTheme="minorEastAsia"/>
                <w:color w:val="auto"/>
                <w:szCs w:val="21"/>
                <w:highlight w:val="none"/>
                <w:lang w:val="en-US" w:eastAsia="zh-CN"/>
              </w:rPr>
              <w:t>07</w:t>
            </w:r>
            <w:r>
              <w:rPr>
                <w:rFonts w:hint="eastAsia" w:asciiTheme="minorEastAsia" w:hAnsiTheme="minorEastAsia" w:eastAsiaTheme="minorEastAsia"/>
                <w:color w:val="auto"/>
                <w:szCs w:val="21"/>
                <w:highlight w:val="none"/>
              </w:rPr>
              <w:t>日</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00</w:t>
            </w:r>
            <w:r>
              <w:rPr>
                <w:rFonts w:hint="eastAsia" w:asciiTheme="minorEastAsia" w:hAnsiTheme="minorEastAsia" w:eastAsiaTheme="minorEastAsia"/>
                <w:color w:val="auto"/>
                <w:szCs w:val="21"/>
              </w:rPr>
              <w:t>时</w:t>
            </w:r>
            <w:r>
              <w:rPr>
                <w:rFonts w:hint="eastAsia" w:asciiTheme="minorEastAsia" w:hAnsiTheme="minorEastAsia" w:eastAsiaTheme="minorEastAsia"/>
                <w:color w:val="000000" w:themeColor="text1"/>
                <w:szCs w:val="21"/>
                <w14:textFill>
                  <w14:solidFill>
                    <w14:schemeClr w14:val="tx1"/>
                  </w14:solidFill>
                </w14:textFill>
              </w:rPr>
              <w:t>（北京时间）前递交</w:t>
            </w:r>
            <w:r>
              <w:rPr>
                <w:rFonts w:hint="eastAsia" w:asciiTheme="minorEastAsia" w:hAnsiTheme="minorEastAsia" w:eastAsiaTheme="minorEastAsia"/>
                <w:bCs/>
                <w:szCs w:val="21"/>
              </w:rPr>
              <w:t>应答</w:t>
            </w:r>
            <w:r>
              <w:rPr>
                <w:rFonts w:asciiTheme="minorEastAsia" w:hAnsiTheme="minorEastAsia" w:eastAsiaTheme="minorEastAsia"/>
                <w:bCs/>
                <w:szCs w:val="21"/>
              </w:rPr>
              <w:t>文件</w:t>
            </w:r>
            <w:r>
              <w:rPr>
                <w:rFonts w:hint="eastAsia" w:asciiTheme="minorEastAsia" w:hAnsiTheme="minorEastAsia" w:eastAsiaTheme="minorEastAsia"/>
                <w:bCs/>
                <w:szCs w:val="21"/>
              </w:rPr>
              <w:t>（报价）</w:t>
            </w:r>
            <w:r>
              <w:rPr>
                <w:rFonts w:hint="eastAsia" w:asciiTheme="minorEastAsia" w:hAnsiTheme="minorEastAsia" w:eastAsiaTheme="minorEastAsia"/>
                <w:color w:val="000000" w:themeColor="text1"/>
                <w:szCs w:val="21"/>
                <w14:textFill>
                  <w14:solidFill>
                    <w14:schemeClr w14:val="tx1"/>
                  </w14:solidFill>
                </w14:textFill>
              </w:rPr>
              <w:t>。</w:t>
            </w:r>
          </w:p>
        </w:tc>
      </w:tr>
    </w:tbl>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一、项目基本情况</w:t>
      </w:r>
    </w:p>
    <w:p>
      <w:pPr>
        <w:spacing w:line="420" w:lineRule="exact"/>
        <w:ind w:firstLine="420" w:firstLineChars="200"/>
        <w:rPr>
          <w:rFonts w:asciiTheme="minorEastAsia" w:hAnsiTheme="minorEastAsia" w:eastAsiaTheme="minorEastAsia"/>
          <w:color w:val="FF0000"/>
          <w:szCs w:val="21"/>
        </w:rPr>
      </w:pPr>
      <w:r>
        <w:rPr>
          <w:rFonts w:hint="eastAsia" w:asciiTheme="minorEastAsia" w:hAnsiTheme="minorEastAsia" w:eastAsiaTheme="minorEastAsia"/>
          <w:szCs w:val="21"/>
        </w:rPr>
        <w:t>1、项目编号：QH2025135</w:t>
      </w:r>
    </w:p>
    <w:p>
      <w:pPr>
        <w:spacing w:line="420" w:lineRule="exact"/>
        <w:ind w:firstLine="420" w:firstLineChars="200"/>
        <w:rPr>
          <w:rFonts w:asciiTheme="minorEastAsia" w:hAnsiTheme="minorEastAsia" w:eastAsiaTheme="minorEastAsia"/>
          <w:color w:val="FF0000"/>
          <w:szCs w:val="21"/>
          <w:highlight w:val="yellow"/>
        </w:rPr>
      </w:pPr>
      <w:r>
        <w:rPr>
          <w:rFonts w:asciiTheme="minorEastAsia" w:hAnsiTheme="minorEastAsia" w:eastAsiaTheme="minorEastAsia"/>
          <w:szCs w:val="21"/>
        </w:rPr>
        <w:t>2</w:t>
      </w:r>
      <w:r>
        <w:rPr>
          <w:rFonts w:hint="eastAsia" w:asciiTheme="minorEastAsia" w:hAnsiTheme="minorEastAsia" w:eastAsiaTheme="minorEastAsia"/>
          <w:szCs w:val="21"/>
        </w:rPr>
        <w:t>、项目名称：深圳前海文旅亮点打造及宣传推介项目</w:t>
      </w:r>
    </w:p>
    <w:p>
      <w:pPr>
        <w:spacing w:line="4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3、采购方式（组织形式）：单一来源采购</w:t>
      </w:r>
    </w:p>
    <w:p>
      <w:pPr>
        <w:spacing w:line="4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4、预算金额：人民币 </w:t>
      </w:r>
      <w:r>
        <w:rPr>
          <w:rFonts w:hint="eastAsia" w:asciiTheme="minorEastAsia" w:hAnsiTheme="minorEastAsia" w:eastAsiaTheme="minorEastAsia"/>
          <w:szCs w:val="21"/>
          <w:lang w:val="en-US" w:eastAsia="zh-CN"/>
        </w:rPr>
        <w:t>980000</w:t>
      </w:r>
      <w:r>
        <w:rPr>
          <w:rFonts w:hint="eastAsia" w:asciiTheme="minorEastAsia" w:hAnsiTheme="minorEastAsia" w:eastAsiaTheme="minorEastAsia"/>
          <w:szCs w:val="21"/>
        </w:rPr>
        <w:t>元</w:t>
      </w:r>
    </w:p>
    <w:p>
      <w:pPr>
        <w:spacing w:line="4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5、最高限价（如有）：</w:t>
      </w:r>
      <w:r>
        <w:rPr>
          <w:rFonts w:asciiTheme="minorEastAsia" w:hAnsiTheme="minorEastAsia" w:eastAsiaTheme="minorEastAsia"/>
          <w:szCs w:val="21"/>
        </w:rPr>
        <w:t>/</w:t>
      </w:r>
    </w:p>
    <w:p>
      <w:pPr>
        <w:spacing w:line="4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6、采购需求：详见采购文件相关</w:t>
      </w:r>
      <w:r>
        <w:rPr>
          <w:rFonts w:asciiTheme="minorEastAsia" w:hAnsiTheme="minorEastAsia" w:eastAsiaTheme="minorEastAsia"/>
          <w:szCs w:val="21"/>
        </w:rPr>
        <w:t>内容</w:t>
      </w:r>
    </w:p>
    <w:p>
      <w:pPr>
        <w:spacing w:line="4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7、合同履行期限：详见采购文件相关</w:t>
      </w:r>
      <w:r>
        <w:rPr>
          <w:rFonts w:asciiTheme="minorEastAsia" w:hAnsiTheme="minorEastAsia" w:eastAsiaTheme="minorEastAsia"/>
          <w:szCs w:val="21"/>
        </w:rPr>
        <w:t>内容</w:t>
      </w:r>
    </w:p>
    <w:p>
      <w:pPr>
        <w:spacing w:line="420" w:lineRule="exact"/>
        <w:ind w:firstLine="420" w:firstLineChars="200"/>
        <w:rPr>
          <w:rFonts w:asciiTheme="minorEastAsia" w:hAnsiTheme="minorEastAsia" w:eastAsiaTheme="minorEastAsia"/>
          <w:color w:val="FF0000"/>
          <w:szCs w:val="21"/>
          <w:highlight w:val="yellow"/>
        </w:rPr>
      </w:pPr>
      <w:r>
        <w:rPr>
          <w:rFonts w:hint="eastAsia" w:asciiTheme="minorEastAsia" w:hAnsiTheme="minorEastAsia" w:eastAsiaTheme="minorEastAsia"/>
          <w:szCs w:val="21"/>
        </w:rPr>
        <w:t>8、本项目是否接受联合体应答：否</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二、供应商的资格要求</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bookmarkStart w:id="2" w:name="_Hlk72162904"/>
      <w:r>
        <w:rPr>
          <w:rFonts w:hint="eastAsia" w:ascii="宋体" w:hAnsi="宋体"/>
          <w:color w:val="000000" w:themeColor="text1"/>
          <w:szCs w:val="21"/>
          <w14:textFill>
            <w14:solidFill>
              <w14:schemeClr w14:val="tx1"/>
            </w14:solidFill>
          </w14:textFill>
        </w:rPr>
        <w:t>具有独立承担民事责任的能力（提供营业执照或事业单位法人证书等证明资料扫描件，原件备查，分支机构参与投标的，须同时提供总公司授权文件且授权书载明其民事责任由总公司承担）</w:t>
      </w:r>
      <w:bookmarkEnd w:id="2"/>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2.本项目不接受联合体投标，不接受供应商选用进口产品参与投标，详见招标文件“第三章 用户需求书”；</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3.参与本项目政府采购活动时不存在被有关部门禁止参与政府采购活动且在有效期内的情况（由供应商在《政府采购投标及履约承诺函》中作出声明）；</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4.具备《中华人民共和国政府采购法》第二十二条第一款的条件（由供应商在《政府采购投标及履约承诺函》中作出声明</w:t>
      </w:r>
      <w:r>
        <w:rPr>
          <w:rFonts w:hint="eastAsia" w:ascii="宋体" w:hAnsi="宋体"/>
          <w:color w:val="000000" w:themeColor="text1"/>
          <w:szCs w:val="21"/>
          <w:lang w:val="en-US" w:eastAsia="zh-CN"/>
          <w14:textFill>
            <w14:solidFill>
              <w14:schemeClr w14:val="tx1"/>
            </w14:solidFill>
          </w14:textFill>
        </w:rPr>
        <w:t>并加盖供应商公章</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5.未被列入失信被执行人、重大税收违法案件当事人名单（重大税收违法失信主体）、政府采购严重违法失信行为记录名单（由供应商在《政府采购投标及履约承诺函》中作出声明</w:t>
      </w:r>
      <w:r>
        <w:rPr>
          <w:rFonts w:hint="eastAsia" w:ascii="宋体" w:hAnsi="宋体"/>
          <w:color w:val="000000" w:themeColor="text1"/>
          <w:szCs w:val="21"/>
          <w:lang w:val="en-US" w:eastAsia="zh-CN"/>
          <w14:textFill>
            <w14:solidFill>
              <w14:schemeClr w14:val="tx1"/>
            </w14:solidFill>
          </w14:textFill>
        </w:rPr>
        <w:t>并加盖供应商公章</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6.不存在《深圳市财政局政府采购供应商信用信息管理办法》（深财规〔2023〕3号）列明的严重违法失信行为（由供应商在《政府采购投标及履约承诺函》中作出声明</w:t>
      </w:r>
      <w:r>
        <w:rPr>
          <w:rFonts w:hint="eastAsia" w:ascii="宋体" w:hAnsi="宋体"/>
          <w:color w:val="000000" w:themeColor="text1"/>
          <w:szCs w:val="21"/>
          <w:lang w:val="en-US" w:eastAsia="zh-CN"/>
          <w14:textFill>
            <w14:solidFill>
              <w14:schemeClr w14:val="tx1"/>
            </w14:solidFill>
          </w14:textFill>
        </w:rPr>
        <w:t>并加盖供应商公章</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color w:val="000000" w:themeColor="text1"/>
          <w:szCs w:val="21"/>
          <w:lang w:val="en-US" w:eastAsia="zh-CN"/>
          <w14:textFill>
            <w14:solidFill>
              <w14:schemeClr w14:val="tx1"/>
            </w14:solidFill>
          </w14:textFill>
        </w:rPr>
        <w:t>并加盖供应商公章</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8.本项目全部专门面向中小企业采购：本项目专门面向中小企业，所属行业为</w:t>
      </w:r>
      <w:r>
        <w:rPr>
          <w:rFonts w:hint="eastAsia" w:ascii="宋体" w:hAnsi="宋体"/>
          <w:color w:val="000000" w:themeColor="text1"/>
          <w:szCs w:val="21"/>
          <w:highlight w:val="none"/>
          <w:lang w:val="en-US" w:eastAsia="zh-CN"/>
          <w14:textFill>
            <w14:solidFill>
              <w14:schemeClr w14:val="tx1"/>
            </w14:solidFill>
          </w14:textFill>
        </w:rPr>
        <w:t>商务和租赁服务业</w:t>
      </w:r>
      <w:r>
        <w:rPr>
          <w:rFonts w:hint="eastAsia" w:ascii="宋体" w:hAnsi="宋体"/>
          <w:color w:val="000000" w:themeColor="text1"/>
          <w:szCs w:val="21"/>
          <w:highlight w:val="none"/>
          <w14:textFill>
            <w14:solidFill>
              <w14:schemeClr w14:val="tx1"/>
            </w14:solidFill>
          </w14:textFill>
        </w:rPr>
        <w:t>，投标人需为中小微企业、残疾人福利性单位或监狱企业（根据《政府采购促进中小企业发展管理办法》（财库﹝2020﹞46号）的规定填写《中小企业声明函《残疾人福利性单位声明函》《监狱企业声明函》，详见招标文件附件）。</w:t>
      </w:r>
    </w:p>
    <w:p>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9.本项目的特定资格要求：</w:t>
      </w:r>
      <w:r>
        <w:rPr>
          <w:rFonts w:hint="eastAsia" w:ascii="宋体" w:hAnsi="宋体"/>
          <w:color w:val="000000" w:themeColor="text1"/>
          <w:szCs w:val="21"/>
          <w14:textFill>
            <w14:solidFill>
              <w14:schemeClr w14:val="tx1"/>
            </w14:solidFill>
          </w14:textFill>
        </w:rPr>
        <w:t>本项目仅限于受采购人邀请的供应商参与投标。</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 </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三、获取采购文件</w:t>
      </w:r>
    </w:p>
    <w:p>
      <w:pPr>
        <w:spacing w:line="440" w:lineRule="exact"/>
        <w:ind w:firstLine="420" w:firstLineChars="200"/>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1、时间：</w:t>
      </w:r>
      <w:r>
        <w:rPr>
          <w:rFonts w:hint="eastAsia" w:asciiTheme="minorEastAsia" w:hAnsiTheme="minorEastAsia" w:eastAsiaTheme="minorEastAsia"/>
          <w:color w:val="000000" w:themeColor="text1"/>
          <w:szCs w:val="21"/>
          <w:highlight w:val="none"/>
          <w14:textFill>
            <w14:solidFill>
              <w14:schemeClr w14:val="tx1"/>
            </w14:solidFill>
          </w14:textFill>
        </w:rPr>
        <w:t>2025年</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30</w:t>
      </w:r>
      <w:r>
        <w:rPr>
          <w:rFonts w:hint="eastAsia" w:asciiTheme="minorEastAsia" w:hAnsiTheme="minorEastAsia" w:eastAsiaTheme="minorEastAsia"/>
          <w:color w:val="000000" w:themeColor="text1"/>
          <w:szCs w:val="21"/>
          <w:highlight w:val="none"/>
          <w14:textFill>
            <w14:solidFill>
              <w14:schemeClr w14:val="tx1"/>
            </w14:solidFill>
          </w14:textFill>
        </w:rPr>
        <w:t>日</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18</w:t>
      </w:r>
      <w:r>
        <w:rPr>
          <w:rFonts w:hint="eastAsia" w:asciiTheme="minorEastAsia" w:hAnsiTheme="minorEastAsia" w:eastAsiaTheme="minorEastAsia"/>
          <w:color w:val="000000" w:themeColor="text1"/>
          <w:szCs w:val="21"/>
          <w:highlight w:val="none"/>
          <w14:textFill>
            <w14:solidFill>
              <w14:schemeClr w14:val="tx1"/>
            </w14:solidFill>
          </w14:textFill>
        </w:rPr>
        <w:t>时</w:t>
      </w:r>
      <w:r>
        <w:rPr>
          <w:rFonts w:hint="eastAsia" w:cs="宋体" w:asciiTheme="minorEastAsia" w:hAnsiTheme="minorEastAsia" w:eastAsiaTheme="minorEastAsia"/>
          <w:color w:val="000000" w:themeColor="text1"/>
          <w:szCs w:val="21"/>
          <w:highlight w:val="none"/>
          <w14:textFill>
            <w14:solidFill>
              <w14:schemeClr w14:val="tx1"/>
            </w14:solidFill>
          </w14:textFill>
        </w:rPr>
        <w:t>至</w:t>
      </w:r>
      <w:r>
        <w:rPr>
          <w:rFonts w:hint="eastAsia" w:asciiTheme="minorEastAsia" w:hAnsiTheme="minorEastAsia" w:eastAsiaTheme="minorEastAsia"/>
          <w:color w:val="000000" w:themeColor="text1"/>
          <w:szCs w:val="21"/>
          <w:highlight w:val="none"/>
          <w14:textFill>
            <w14:solidFill>
              <w14:schemeClr w14:val="tx1"/>
            </w14:solidFill>
          </w14:textFill>
        </w:rPr>
        <w:t>2025年</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11</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07</w:t>
      </w:r>
      <w:r>
        <w:rPr>
          <w:rFonts w:hint="eastAsia" w:asciiTheme="minorEastAsia" w:hAnsiTheme="minorEastAsia" w:eastAsiaTheme="minorEastAsia"/>
          <w:color w:val="000000" w:themeColor="text1"/>
          <w:szCs w:val="21"/>
          <w:highlight w:val="none"/>
          <w14:textFill>
            <w14:solidFill>
              <w14:schemeClr w14:val="tx1"/>
            </w14:solidFill>
          </w14:textFill>
        </w:rPr>
        <w:t>日</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Cs w:val="21"/>
          <w:highlight w:val="none"/>
          <w14:textFill>
            <w14:solidFill>
              <w14:schemeClr w14:val="tx1"/>
            </w14:solidFill>
          </w14:textFill>
        </w:rPr>
        <w:t>时</w:t>
      </w:r>
      <w:r>
        <w:rPr>
          <w:rFonts w:hint="eastAsia" w:cs="宋体" w:asciiTheme="minorEastAsia" w:hAnsiTheme="minorEastAsia" w:eastAsiaTheme="minorEastAsia"/>
          <w:color w:val="000000" w:themeColor="text1"/>
          <w:szCs w:val="21"/>
          <w:highlight w:val="none"/>
          <w14:textFill>
            <w14:solidFill>
              <w14:schemeClr w14:val="tx1"/>
            </w14:solidFill>
          </w14:textFill>
        </w:rPr>
        <w:t>（北京时</w:t>
      </w:r>
      <w:r>
        <w:rPr>
          <w:rFonts w:hint="eastAsia" w:cs="宋体" w:asciiTheme="minorEastAsia" w:hAnsiTheme="minorEastAsia" w:eastAsiaTheme="minorEastAsia"/>
          <w:color w:val="000000" w:themeColor="text1"/>
          <w:szCs w:val="21"/>
          <w14:textFill>
            <w14:solidFill>
              <w14:schemeClr w14:val="tx1"/>
            </w14:solidFill>
          </w14:textFill>
        </w:rPr>
        <w:t>间，</w:t>
      </w:r>
      <w:r>
        <w:rPr>
          <w:rFonts w:cs="宋体" w:asciiTheme="minorEastAsia" w:hAnsiTheme="minorEastAsia" w:eastAsiaTheme="minorEastAsia"/>
          <w:color w:val="000000" w:themeColor="text1"/>
          <w:szCs w:val="21"/>
          <w14:textFill>
            <w14:solidFill>
              <w14:schemeClr w14:val="tx1"/>
            </w14:solidFill>
          </w14:textFill>
        </w:rPr>
        <w:t>法定节假日</w:t>
      </w:r>
      <w:r>
        <w:rPr>
          <w:rFonts w:hint="eastAsia" w:cs="宋体" w:asciiTheme="minorEastAsia" w:hAnsiTheme="minorEastAsia" w:eastAsiaTheme="minorEastAsia"/>
          <w:color w:val="000000" w:themeColor="text1"/>
          <w:szCs w:val="21"/>
          <w14:textFill>
            <w14:solidFill>
              <w14:schemeClr w14:val="tx1"/>
            </w14:solidFill>
          </w14:textFill>
        </w:rPr>
        <w:t>除外）；</w:t>
      </w:r>
    </w:p>
    <w:p>
      <w:pPr>
        <w:spacing w:line="440" w:lineRule="exact"/>
        <w:ind w:firstLine="420" w:firstLineChars="200"/>
        <w:rPr>
          <w:rFonts w:asciiTheme="minorEastAsia" w:hAnsiTheme="minorEastAsia" w:eastAsiaTheme="minorEastAsia"/>
          <w:i/>
          <w:iCs/>
          <w:color w:val="000000" w:themeColor="text1"/>
          <w:szCs w:val="21"/>
          <w:highlight w:val="yellow"/>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2</w:t>
      </w:r>
      <w:r>
        <w:rPr>
          <w:rFonts w:hint="eastAsia" w:cs="宋体" w:asciiTheme="minorEastAsia" w:hAnsiTheme="minorEastAsia" w:eastAsiaTheme="minorEastAsia"/>
          <w:color w:val="000000" w:themeColor="text1"/>
          <w:szCs w:val="21"/>
          <w14:textFill>
            <w14:solidFill>
              <w14:schemeClr w14:val="tx1"/>
            </w14:solidFill>
          </w14:textFill>
        </w:rPr>
        <w:t>、地点：</w:t>
      </w:r>
      <w:r>
        <w:rPr>
          <w:rFonts w:hint="eastAsia" w:asciiTheme="minorEastAsia" w:hAnsiTheme="minorEastAsia" w:eastAsiaTheme="minorEastAsia"/>
          <w:color w:val="000000" w:themeColor="text1"/>
          <w:szCs w:val="21"/>
          <w14:textFill>
            <w14:solidFill>
              <w14:schemeClr w14:val="tx1"/>
            </w14:solidFill>
          </w14:textFill>
        </w:rPr>
        <w:t>登录前海管理局官网（信息公开-招标公告栏目）(http://qh.sz.gov.cn/)免费下载；</w:t>
      </w:r>
    </w:p>
    <w:p>
      <w:pPr>
        <w:spacing w:line="440" w:lineRule="exact"/>
        <w:ind w:firstLine="420" w:firstLineChars="200"/>
        <w:rPr>
          <w:rFonts w:hint="eastAsia" w:asciiTheme="minorEastAsia" w:hAnsiTheme="minorEastAsia" w:eastAsiaTheme="minorEastAsia"/>
          <w:i/>
          <w:iCs/>
          <w:color w:val="000000" w:themeColor="text1"/>
          <w:szCs w:val="21"/>
          <w:highlight w:val="yellow"/>
          <w:lang w:eastAsia="zh-CN"/>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、方式：</w:t>
      </w:r>
      <w:r>
        <w:rPr>
          <w:rFonts w:hint="eastAsia" w:asciiTheme="minorEastAsia" w:hAnsiTheme="minorEastAsia" w:eastAsiaTheme="minorEastAsia"/>
          <w:color w:val="000000" w:themeColor="text1"/>
          <w:szCs w:val="21"/>
          <w14:textFill>
            <w14:solidFill>
              <w14:schemeClr w14:val="tx1"/>
            </w14:solidFill>
          </w14:textFill>
        </w:rPr>
        <w:t>在线下载</w:t>
      </w:r>
      <w:r>
        <w:rPr>
          <w:rFonts w:hint="eastAsia" w:asciiTheme="minorEastAsia" w:hAnsiTheme="minorEastAsia" w:eastAsiaTheme="minorEastAsia"/>
          <w:color w:val="000000" w:themeColor="text1"/>
          <w:szCs w:val="21"/>
          <w:lang w:eastAsia="zh-CN"/>
          <w14:textFill>
            <w14:solidFill>
              <w14:schemeClr w14:val="tx1"/>
            </w14:solidFill>
          </w14:textFill>
        </w:rPr>
        <w:t>。</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四、</w:t>
      </w:r>
      <w:r>
        <w:rPr>
          <w:rFonts w:hint="eastAsia" w:cs="宋体" w:asciiTheme="minorEastAsia" w:hAnsiTheme="minorEastAsia" w:eastAsiaTheme="minorEastAsia"/>
          <w:b/>
          <w:bCs/>
          <w:szCs w:val="21"/>
        </w:rPr>
        <w:t>应答文件提交（或报价）及谈判</w:t>
      </w:r>
    </w:p>
    <w:p>
      <w:pPr>
        <w:spacing w:line="44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1</w:t>
      </w:r>
      <w:r>
        <w:rPr>
          <w:rFonts w:hint="eastAsia" w:asciiTheme="minorEastAsia" w:hAnsiTheme="minorEastAsia" w:eastAsiaTheme="minorEastAsia"/>
          <w:bCs/>
          <w:color w:val="000000" w:themeColor="text1"/>
          <w:szCs w:val="21"/>
          <w14:textFill>
            <w14:solidFill>
              <w14:schemeClr w14:val="tx1"/>
            </w14:solidFill>
          </w14:textFill>
        </w:rPr>
        <w:t>、截止时</w:t>
      </w:r>
      <w:r>
        <w:rPr>
          <w:rFonts w:hint="eastAsia" w:asciiTheme="minorEastAsia" w:hAnsiTheme="minorEastAsia" w:eastAsiaTheme="minorEastAsia"/>
          <w:bCs/>
          <w:color w:val="000000" w:themeColor="text1"/>
          <w:szCs w:val="21"/>
          <w:highlight w:val="none"/>
          <w14:textFill>
            <w14:solidFill>
              <w14:schemeClr w14:val="tx1"/>
            </w14:solidFill>
          </w14:textFill>
        </w:rPr>
        <w:t>间</w:t>
      </w:r>
      <w:r>
        <w:rPr>
          <w:rFonts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2025年</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11</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07</w:t>
      </w:r>
      <w:r>
        <w:rPr>
          <w:rFonts w:hint="eastAsia" w:asciiTheme="minorEastAsia" w:hAnsiTheme="minorEastAsia" w:eastAsiaTheme="minorEastAsia"/>
          <w:color w:val="000000" w:themeColor="text1"/>
          <w:szCs w:val="21"/>
          <w:highlight w:val="none"/>
          <w14:textFill>
            <w14:solidFill>
              <w14:schemeClr w14:val="tx1"/>
            </w14:solidFill>
          </w14:textFill>
        </w:rPr>
        <w:t>日</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Cs w:val="21"/>
          <w:highlight w:val="none"/>
          <w14:textFill>
            <w14:solidFill>
              <w14:schemeClr w14:val="tx1"/>
            </w14:solidFill>
          </w14:textFill>
        </w:rPr>
        <w:t>点</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00</w:t>
      </w:r>
      <w:r>
        <w:rPr>
          <w:rFonts w:hint="eastAsia" w:asciiTheme="minorEastAsia" w:hAnsiTheme="minorEastAsia" w:eastAsiaTheme="minorEastAsia"/>
          <w:color w:val="000000" w:themeColor="text1"/>
          <w:szCs w:val="21"/>
          <w:highlight w:val="none"/>
          <w14:textFill>
            <w14:solidFill>
              <w14:schemeClr w14:val="tx1"/>
            </w14:solidFill>
          </w14:textFill>
        </w:rPr>
        <w:t>分</w:t>
      </w:r>
      <w:r>
        <w:rPr>
          <w:rFonts w:hint="eastAsia"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北京时间）</w:t>
      </w:r>
    </w:p>
    <w:p>
      <w:pPr>
        <w:spacing w:line="440" w:lineRule="exact"/>
        <w:ind w:firstLine="420" w:firstLineChars="200"/>
        <w:rPr>
          <w:rFonts w:hint="eastAsia" w:cs="Times New Roman"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lang w:val="en-US" w:eastAsia="zh-CN"/>
          <w14:textFill>
            <w14:solidFill>
              <w14:schemeClr w14:val="tx1"/>
            </w14:solidFill>
          </w14:textFill>
        </w:rPr>
        <w:t>文件递交方式</w:t>
      </w:r>
      <w:r>
        <w:rPr>
          <w:rFonts w:hint="eastAsia"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14:textFill>
            <w14:solidFill>
              <w14:schemeClr w14:val="tx1"/>
            </w14:solidFill>
          </w14:textFill>
        </w:rPr>
        <w:t>将投标文件（一式五份，正本1份，副本4份，附电子版，电子版是以光盘、U盘或硬盘等移动存储介质提交的加盖公章的PDF电子投标文件）密封并在</w:t>
      </w:r>
      <w:r>
        <w:rPr>
          <w:rFonts w:hint="eastAsia" w:asciiTheme="minorEastAsia" w:hAnsiTheme="minorEastAsia" w:eastAsiaTheme="minorEastAsia"/>
          <w:color w:val="000000" w:themeColor="text1"/>
          <w:szCs w:val="21"/>
          <w:highlight w:val="none"/>
          <w14:textFill>
            <w14:solidFill>
              <w14:schemeClr w14:val="tx1"/>
            </w14:solidFill>
          </w14:textFill>
        </w:rPr>
        <w:t>2025年</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11</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05</w:t>
      </w:r>
      <w:r>
        <w:rPr>
          <w:rFonts w:hint="eastAsia" w:asciiTheme="minorEastAsia" w:hAnsiTheme="minorEastAsia" w:eastAsiaTheme="minorEastAsia"/>
          <w:color w:val="000000" w:themeColor="text1"/>
          <w:szCs w:val="21"/>
          <w:highlight w:val="none"/>
          <w14:textFill>
            <w14:solidFill>
              <w14:schemeClr w14:val="tx1"/>
            </w14:solidFill>
          </w14:textFill>
        </w:rPr>
        <w:t>日</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10</w:t>
      </w:r>
      <w:r>
        <w:rPr>
          <w:rFonts w:hint="eastAsia" w:asciiTheme="minorEastAsia" w:hAnsiTheme="minorEastAsia" w:eastAsiaTheme="minorEastAsia"/>
          <w:color w:val="000000" w:themeColor="text1"/>
          <w:szCs w:val="21"/>
          <w:highlight w:val="none"/>
          <w14:textFill>
            <w14:solidFill>
              <w14:schemeClr w14:val="tx1"/>
            </w14:solidFill>
          </w14:textFill>
        </w:rPr>
        <w:t>点</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00</w:t>
      </w:r>
      <w:r>
        <w:rPr>
          <w:rFonts w:hint="eastAsia" w:asciiTheme="minorEastAsia" w:hAnsiTheme="minorEastAsia" w:eastAsiaTheme="minorEastAsia"/>
          <w:color w:val="000000" w:themeColor="text1"/>
          <w:szCs w:val="21"/>
          <w:highlight w:val="none"/>
          <w14:textFill>
            <w14:solidFill>
              <w14:schemeClr w14:val="tx1"/>
            </w14:solidFill>
          </w14:textFill>
        </w:rPr>
        <w:t>分</w:t>
      </w:r>
      <w:r>
        <w:rPr>
          <w:rFonts w:hint="eastAsia"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北京时间</w:t>
      </w:r>
      <w:r>
        <w:rPr>
          <w:rFonts w:hint="eastAsia" w:cs="Times New Roman" w:asciiTheme="minorEastAsia" w:hAnsiTheme="minorEastAsia" w:eastAsiaTheme="minorEastAsia"/>
          <w:color w:val="000000" w:themeColor="text1"/>
          <w:szCs w:val="21"/>
          <w14:textFill>
            <w14:solidFill>
              <w14:schemeClr w14:val="tx1"/>
            </w14:solidFill>
          </w14:textFill>
        </w:rPr>
        <w:t>）前送达（现场递交或邮寄）至深圳市前海深港现代服务业合作区桂湾五路123号前海大厦T1栋2505室。</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五、公告期限</w:t>
      </w:r>
    </w:p>
    <w:p>
      <w:pPr>
        <w:spacing w:line="440" w:lineRule="exact"/>
        <w:ind w:firstLine="420" w:firstLineChars="200"/>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自本公告发布之日起5个工作日。</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六、其他补充事宜</w:t>
      </w:r>
    </w:p>
    <w:p>
      <w:pPr>
        <w:spacing w:line="440" w:lineRule="exact"/>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1、答疑事项：供应商应于谈判之</w:t>
      </w:r>
      <w:r>
        <w:rPr>
          <w:rFonts w:hint="eastAsia" w:cs="宋体" w:asciiTheme="minorEastAsia" w:hAnsiTheme="minorEastAsia" w:eastAsiaTheme="minorEastAsia"/>
          <w:color w:val="000000" w:themeColor="text1"/>
          <w:szCs w:val="21"/>
          <w:highlight w:val="none"/>
          <w14:textFill>
            <w14:solidFill>
              <w14:schemeClr w14:val="tx1"/>
            </w14:solidFill>
          </w14:textFill>
        </w:rPr>
        <w:t>日三日前</w:t>
      </w:r>
      <w:r>
        <w:rPr>
          <w:rFonts w:hint="eastAsia" w:cs="宋体" w:asciiTheme="minorEastAsia" w:hAnsiTheme="minorEastAsia" w:eastAsiaTheme="minorEastAsia"/>
          <w:color w:val="000000" w:themeColor="text1"/>
          <w:szCs w:val="21"/>
          <w14:textFill>
            <w14:solidFill>
              <w14:schemeClr w14:val="tx1"/>
            </w14:solidFill>
          </w14:textFill>
        </w:rPr>
        <w:t>，将对采购文件的疑问以书面形式（包括认为采购文件的技术指标或参数存在排他性或歧视性条款）加盖单位公章送达我司，逾期不予受理。我司会将集中答疑结果在“供应商须知前附表”所列信息发布网站以公开发布方式发送给所有供应商。对采购文件的任何修改，以我司发出的通知为准。</w:t>
      </w:r>
    </w:p>
    <w:p>
      <w:pPr>
        <w:spacing w:line="440" w:lineRule="exact"/>
        <w:ind w:firstLine="420" w:firstLineChars="20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2、现场踏勘：无</w:t>
      </w:r>
    </w:p>
    <w:p>
      <w:pPr>
        <w:spacing w:line="440" w:lineRule="exact"/>
        <w:ind w:firstLine="422" w:firstLineChars="2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七、对本次招标提出询问，请按以下方式联系。</w:t>
      </w:r>
    </w:p>
    <w:p>
      <w:pPr>
        <w:spacing w:line="440" w:lineRule="exact"/>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　　1、采购人信息</w:t>
      </w:r>
    </w:p>
    <w:p>
      <w:pPr>
        <w:spacing w:line="44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名　  称：深圳市前海深港现代服务业合作区管理局</w:t>
      </w:r>
    </w:p>
    <w:p>
      <w:pPr>
        <w:spacing w:line="44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地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址：深圳市前海深港现代服务业合作区桂湾五路123号前海大厦T1栋</w:t>
      </w:r>
    </w:p>
    <w:p>
      <w:pPr>
        <w:spacing w:line="44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联系方式：</w:t>
      </w:r>
      <w:r>
        <w:rPr>
          <w:rFonts w:hint="eastAsia" w:asciiTheme="minorEastAsia" w:hAnsiTheme="minorEastAsia" w:eastAsiaTheme="minorEastAsia"/>
          <w:color w:val="000000" w:themeColor="text1"/>
          <w:szCs w:val="21"/>
          <w:lang w:eastAsia="zh-Hans"/>
          <w14:textFill>
            <w14:solidFill>
              <w14:schemeClr w14:val="tx1"/>
            </w14:solidFill>
          </w14:textFill>
        </w:rPr>
        <w:t>黎工</w:t>
      </w:r>
      <w:r>
        <w:rPr>
          <w:rFonts w:hint="eastAsia" w:asciiTheme="minorEastAsia" w:hAnsiTheme="minorEastAsia" w:eastAsiaTheme="minorEastAsia"/>
          <w:color w:val="000000" w:themeColor="text1"/>
          <w:szCs w:val="21"/>
          <w14:textFill>
            <w14:solidFill>
              <w14:schemeClr w14:val="tx1"/>
            </w14:solidFill>
          </w14:textFill>
        </w:rPr>
        <w:t xml:space="preserve"> 0755-88105105 </w:t>
      </w:r>
    </w:p>
    <w:p>
      <w:pPr>
        <w:spacing w:line="440" w:lineRule="exact"/>
        <w:ind w:firstLine="420" w:firstLineChars="200"/>
        <w:jc w:val="left"/>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2、采购代理机构信息</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名　  称：深圳交易咨询集团有限公司  </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　  址：深圳市南山区南山智谷产业园A座21/25楼</w:t>
      </w:r>
    </w:p>
    <w:p>
      <w:pPr>
        <w:spacing w:line="440" w:lineRule="exact"/>
        <w:ind w:firstLine="420" w:firstLineChars="200"/>
        <w:rPr>
          <w:rFonts w:asciiTheme="minorEastAsia" w:hAnsiTheme="minorEastAsia" w:eastAsiaTheme="minorEastAsia"/>
          <w:color w:val="000000" w:themeColor="text1"/>
          <w:szCs w:val="21"/>
          <w:highlight w:val="yellow"/>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联系方式：18599127733</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监督举报电话：0755-22965602、0755-86660475</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3、项目</w:t>
      </w:r>
      <w:r>
        <w:rPr>
          <w:rFonts w:cs="宋体" w:asciiTheme="minorEastAsia" w:hAnsiTheme="minorEastAsia" w:eastAsiaTheme="minorEastAsia"/>
          <w:color w:val="000000" w:themeColor="text1"/>
          <w:szCs w:val="21"/>
          <w14:textFill>
            <w14:solidFill>
              <w14:schemeClr w14:val="tx1"/>
            </w14:solidFill>
          </w14:textFill>
        </w:rPr>
        <w:t>联系方式</w:t>
      </w:r>
    </w:p>
    <w:p>
      <w:pPr>
        <w:pStyle w:val="13"/>
        <w:spacing w:line="440" w:lineRule="exact"/>
        <w:ind w:firstLine="420" w:firstLineChars="200"/>
        <w:rPr>
          <w:rFonts w:asciiTheme="minorEastAsia" w:hAnsiTheme="minorEastAsia" w:eastAsiaTheme="minorEastAsia"/>
          <w:i/>
          <w:iCs/>
          <w:color w:val="000000" w:themeColor="text1"/>
          <w:szCs w:val="21"/>
          <w:highlight w:val="yellow"/>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项目联系人：曹茜、黎子帅</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　话：18599127733、13018597667</w:t>
      </w:r>
    </w:p>
    <w:p>
      <w:pPr>
        <w:spacing w:line="44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邮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箱</w:t>
      </w:r>
      <w:r>
        <w:rPr>
          <w:rFonts w:hint="eastAsia" w:asciiTheme="minorEastAsia" w:hAnsiTheme="minorEastAsia" w:eastAsia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caoqian@sztc.com</w:t>
      </w:r>
    </w:p>
    <w:p>
      <w:pPr>
        <w:spacing w:line="440" w:lineRule="exact"/>
        <w:ind w:firstLine="420" w:firstLineChars="200"/>
        <w:rPr>
          <w:rFonts w:ascii="宋体" w:hAnsi="宋体"/>
          <w:color w:val="000000" w:themeColor="text1"/>
          <w:szCs w:val="21"/>
          <w14:textFill>
            <w14:solidFill>
              <w14:schemeClr w14:val="tx1"/>
            </w14:solidFill>
          </w14:textFill>
        </w:rPr>
      </w:pPr>
    </w:p>
    <w:p>
      <w:pPr>
        <w:spacing w:line="440" w:lineRule="exact"/>
        <w:rPr>
          <w:rFonts w:ascii="宋体" w:hAnsi="宋体"/>
          <w:color w:val="000000" w:themeColor="text1"/>
          <w:szCs w:val="21"/>
          <w14:textFill>
            <w14:solidFill>
              <w14:schemeClr w14:val="tx1"/>
            </w14:solidFill>
          </w14:textFill>
        </w:rPr>
      </w:pPr>
    </w:p>
    <w:p>
      <w:pPr>
        <w:spacing w:line="440" w:lineRule="exact"/>
        <w:ind w:firstLine="3007" w:firstLineChars="1432"/>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深圳交易咨询集团有限公司</w:t>
      </w:r>
    </w:p>
    <w:p>
      <w:pPr>
        <w:spacing w:line="440" w:lineRule="exact"/>
        <w:ind w:firstLine="198"/>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2025年</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日</w:t>
      </w:r>
    </w:p>
    <w:p>
      <w:pPr>
        <w:pStyle w:val="15"/>
        <w:spacing w:line="400" w:lineRule="exact"/>
        <w:jc w:val="center"/>
        <w:outlineLvl w:val="0"/>
        <w:rPr>
          <w:rFonts w:ascii="微软雅黑" w:hAnsi="微软雅黑" w:eastAsia="微软雅黑" w:cs="微软雅黑"/>
          <w:b/>
          <w:color w:val="000000"/>
          <w:szCs w:val="32"/>
        </w:rPr>
      </w:pPr>
      <w:r>
        <w:rPr>
          <w:rFonts w:ascii="宋体" w:hAnsi="宋体"/>
          <w:b/>
          <w:bCs/>
          <w:color w:val="000000"/>
          <w:spacing w:val="20"/>
          <w:sz w:val="36"/>
        </w:rPr>
        <w:br w:type="page"/>
      </w:r>
      <w:bookmarkStart w:id="3" w:name="_Toc27940"/>
      <w:r>
        <w:rPr>
          <w:rFonts w:hint="eastAsia" w:ascii="微软雅黑" w:hAnsi="微软雅黑" w:eastAsia="微软雅黑" w:cs="微软雅黑"/>
          <w:b/>
          <w:color w:val="000000"/>
          <w:szCs w:val="32"/>
        </w:rPr>
        <w:t>第二章  供应商须知及前附表</w:t>
      </w:r>
      <w:bookmarkEnd w:id="3"/>
    </w:p>
    <w:p>
      <w:pPr>
        <w:jc w:val="center"/>
        <w:rPr>
          <w:rFonts w:ascii="黑体" w:hAnsi="宋体" w:eastAsia="黑体"/>
          <w:bCs/>
          <w:color w:val="000000"/>
          <w:sz w:val="28"/>
          <w:szCs w:val="28"/>
        </w:rPr>
      </w:pPr>
      <w:bookmarkStart w:id="4" w:name="_Toc333392136"/>
    </w:p>
    <w:bookmarkEnd w:id="4"/>
    <w:p>
      <w:pPr>
        <w:spacing w:after="250" w:afterLines="50"/>
        <w:outlineLvl w:val="1"/>
        <w:rPr>
          <w:rFonts w:ascii="微软雅黑" w:hAnsi="微软雅黑" w:eastAsia="微软雅黑" w:cs="微软雅黑"/>
          <w:b/>
          <w:color w:val="0000FF"/>
          <w:szCs w:val="21"/>
        </w:rPr>
      </w:pPr>
      <w:bookmarkStart w:id="5" w:name="_Toc353262526"/>
      <w:bookmarkStart w:id="6" w:name="_Toc29457"/>
      <w:r>
        <w:rPr>
          <w:rFonts w:hint="eastAsia" w:ascii="微软雅黑" w:hAnsi="微软雅黑" w:eastAsia="微软雅黑" w:cs="微软雅黑"/>
          <w:b/>
          <w:color w:val="000000"/>
          <w:sz w:val="28"/>
          <w:szCs w:val="28"/>
        </w:rPr>
        <w:t>第一部分  供应商须知前附表</w:t>
      </w:r>
      <w:bookmarkEnd w:id="5"/>
      <w:bookmarkEnd w:id="6"/>
    </w:p>
    <w:tbl>
      <w:tblPr>
        <w:tblStyle w:val="31"/>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39"/>
        <w:gridCol w:w="6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82" w:type="dxa"/>
            <w:vAlign w:val="center"/>
          </w:tcPr>
          <w:p>
            <w:pPr>
              <w:spacing w:line="440" w:lineRule="exact"/>
              <w:jc w:val="center"/>
              <w:rPr>
                <w:rFonts w:asciiTheme="minorEastAsia" w:hAnsiTheme="minorEastAsia"/>
                <w:b/>
                <w:color w:val="0000FF"/>
                <w:szCs w:val="21"/>
              </w:rPr>
            </w:pPr>
            <w:r>
              <w:rPr>
                <w:rFonts w:hint="eastAsia" w:asciiTheme="minorEastAsia" w:hAnsiTheme="minorEastAsia"/>
                <w:b/>
                <w:color w:val="0000FF"/>
                <w:szCs w:val="21"/>
              </w:rPr>
              <w:t>序号</w:t>
            </w:r>
          </w:p>
        </w:tc>
        <w:tc>
          <w:tcPr>
            <w:tcW w:w="1839" w:type="dxa"/>
            <w:vAlign w:val="center"/>
          </w:tcPr>
          <w:p>
            <w:pPr>
              <w:spacing w:line="440" w:lineRule="exact"/>
              <w:jc w:val="center"/>
              <w:rPr>
                <w:rFonts w:asciiTheme="minorEastAsia" w:hAnsiTheme="minorEastAsia"/>
                <w:b/>
                <w:color w:val="0000FF"/>
                <w:szCs w:val="21"/>
              </w:rPr>
            </w:pPr>
            <w:r>
              <w:rPr>
                <w:rFonts w:hint="eastAsia" w:asciiTheme="minorEastAsia" w:hAnsiTheme="minorEastAsia"/>
                <w:b/>
                <w:color w:val="0000FF"/>
                <w:szCs w:val="21"/>
              </w:rPr>
              <w:t>项目</w:t>
            </w:r>
          </w:p>
        </w:tc>
        <w:tc>
          <w:tcPr>
            <w:tcW w:w="6319" w:type="dxa"/>
            <w:vAlign w:val="center"/>
          </w:tcPr>
          <w:p>
            <w:pPr>
              <w:spacing w:line="440" w:lineRule="exact"/>
              <w:jc w:val="center"/>
              <w:rPr>
                <w:rFonts w:asciiTheme="minorEastAsia" w:hAnsiTheme="minorEastAsia"/>
                <w:b/>
                <w:color w:val="0000FF"/>
                <w:szCs w:val="21"/>
              </w:rPr>
            </w:pPr>
            <w:r>
              <w:rPr>
                <w:rFonts w:hint="eastAsia" w:asciiTheme="minorEastAsia" w:hAnsiTheme="minorEastAsia"/>
                <w:b/>
                <w:color w:val="0000FF"/>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1</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项目编号</w:t>
            </w:r>
          </w:p>
        </w:tc>
        <w:tc>
          <w:tcPr>
            <w:tcW w:w="6319" w:type="dxa"/>
            <w:vAlign w:val="center"/>
          </w:tcPr>
          <w:p>
            <w:pPr>
              <w:spacing w:line="440" w:lineRule="exact"/>
              <w:rPr>
                <w:rFonts w:asciiTheme="minorEastAsia" w:hAnsiTheme="minorEastAsia"/>
                <w:color w:val="0000FF"/>
                <w:szCs w:val="21"/>
                <w:highlight w:val="yellow"/>
              </w:rPr>
            </w:pPr>
            <w:r>
              <w:rPr>
                <w:rFonts w:hint="eastAsia" w:asciiTheme="minorEastAsia" w:hAnsiTheme="minorEastAsia"/>
                <w:color w:val="0000FF"/>
                <w:szCs w:val="21"/>
                <w:highlight w:val="none"/>
              </w:rPr>
              <w:t>QH2025135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2</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项目名称</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color w:val="0000FF"/>
                <w:szCs w:val="21"/>
              </w:rPr>
              <w:t>深圳前海文旅亮点打造及宣传推介项目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3</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采购方式</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eastAsiaTheme="minorEastAsia"/>
                <w:color w:val="0000FF"/>
                <w:szCs w:val="21"/>
              </w:rPr>
              <w:t>单一来源采购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4</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货币类型</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color w:val="0000FF"/>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5</w:t>
            </w:r>
          </w:p>
        </w:tc>
        <w:tc>
          <w:tcPr>
            <w:tcW w:w="1839" w:type="dxa"/>
            <w:vAlign w:val="center"/>
          </w:tcPr>
          <w:p>
            <w:pPr>
              <w:spacing w:line="440" w:lineRule="exact"/>
              <w:jc w:val="left"/>
              <w:rPr>
                <w:rFonts w:asciiTheme="minorEastAsia" w:hAnsiTheme="minorEastAsia"/>
                <w:color w:val="0000FF"/>
                <w:szCs w:val="21"/>
                <w:highlight w:val="none"/>
              </w:rPr>
            </w:pPr>
            <w:r>
              <w:rPr>
                <w:rFonts w:hint="eastAsia" w:asciiTheme="minorEastAsia" w:hAnsiTheme="minorEastAsia"/>
                <w:color w:val="0000FF"/>
                <w:szCs w:val="21"/>
                <w:highlight w:val="none"/>
              </w:rPr>
              <w:t>预算金额</w:t>
            </w:r>
          </w:p>
        </w:tc>
        <w:tc>
          <w:tcPr>
            <w:tcW w:w="6319" w:type="dxa"/>
            <w:vAlign w:val="center"/>
          </w:tcPr>
          <w:p>
            <w:pPr>
              <w:spacing w:line="440" w:lineRule="exact"/>
              <w:rPr>
                <w:rFonts w:asciiTheme="minorEastAsia" w:hAnsiTheme="minorEastAsia"/>
                <w:color w:val="0000FF"/>
                <w:szCs w:val="21"/>
                <w:highlight w:val="none"/>
              </w:rPr>
            </w:pPr>
            <w:r>
              <w:rPr>
                <w:rFonts w:hint="eastAsia" w:asciiTheme="minorEastAsia" w:hAnsiTheme="minorEastAsia"/>
                <w:color w:val="0000FF"/>
                <w:szCs w:val="21"/>
                <w:highlight w:val="none"/>
                <w:lang w:val="en-US" w:eastAsia="zh-CN"/>
              </w:rPr>
              <w:t>98</w:t>
            </w:r>
            <w:r>
              <w:rPr>
                <w:rFonts w:hint="eastAsia" w:asciiTheme="minorEastAsia" w:hAnsiTheme="minorEastAsia"/>
                <w:color w:val="0000FF"/>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6</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信息发布网站</w:t>
            </w:r>
          </w:p>
        </w:tc>
        <w:tc>
          <w:tcPr>
            <w:tcW w:w="6319" w:type="dxa"/>
            <w:vAlign w:val="center"/>
          </w:tcPr>
          <w:p>
            <w:pPr>
              <w:spacing w:line="440" w:lineRule="exact"/>
              <w:rPr>
                <w:rFonts w:ascii="宋体" w:hAnsi="宋体"/>
                <w:color w:val="0000FF"/>
                <w:szCs w:val="21"/>
              </w:rPr>
            </w:pPr>
            <w:r>
              <w:rPr>
                <w:rFonts w:hint="eastAsia" w:ascii="宋体" w:hAnsi="宋体"/>
                <w:color w:val="0000FF"/>
                <w:szCs w:val="21"/>
              </w:rPr>
              <w:t>代理机构网站：https://www.sztc.com/</w:t>
            </w:r>
          </w:p>
          <w:p>
            <w:pPr>
              <w:spacing w:line="440" w:lineRule="exact"/>
              <w:rPr>
                <w:rFonts w:hint="eastAsia" w:ascii="宋体" w:hAnsi="宋体"/>
                <w:color w:val="0000FF"/>
                <w:szCs w:val="21"/>
              </w:rPr>
            </w:pPr>
            <w:r>
              <w:rPr>
                <w:rFonts w:hint="eastAsia" w:ascii="宋体" w:hAnsi="宋体"/>
                <w:color w:val="0000FF"/>
                <w:szCs w:val="21"/>
              </w:rPr>
              <w:t>深圳公共资源交易网：</w:t>
            </w:r>
            <w:r>
              <w:rPr>
                <w:rFonts w:hint="eastAsia" w:ascii="宋体" w:hAnsi="宋体"/>
                <w:color w:val="0000FF"/>
                <w:szCs w:val="21"/>
              </w:rPr>
              <w:fldChar w:fldCharType="begin"/>
            </w:r>
            <w:r>
              <w:rPr>
                <w:rFonts w:hint="eastAsia" w:ascii="宋体" w:hAnsi="宋体"/>
                <w:color w:val="0000FF"/>
                <w:szCs w:val="21"/>
              </w:rPr>
              <w:instrText xml:space="preserve"> HYPERLINK "http://www.szggzy.com" </w:instrText>
            </w:r>
            <w:r>
              <w:rPr>
                <w:rFonts w:hint="eastAsia" w:ascii="宋体" w:hAnsi="宋体"/>
                <w:color w:val="0000FF"/>
                <w:szCs w:val="21"/>
              </w:rPr>
              <w:fldChar w:fldCharType="separate"/>
            </w:r>
            <w:r>
              <w:rPr>
                <w:rStyle w:val="36"/>
                <w:rFonts w:hint="eastAsia" w:ascii="宋体" w:hAnsi="宋体"/>
                <w:szCs w:val="21"/>
              </w:rPr>
              <w:t>http://www.szggzy.com</w:t>
            </w:r>
            <w:r>
              <w:rPr>
                <w:rFonts w:hint="eastAsia" w:ascii="宋体" w:hAnsi="宋体"/>
                <w:color w:val="0000FF"/>
                <w:szCs w:val="21"/>
              </w:rPr>
              <w:fldChar w:fldCharType="end"/>
            </w:r>
          </w:p>
          <w:p>
            <w:pPr>
              <w:spacing w:line="440" w:lineRule="exact"/>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前海管理局官网：http://qh.sz.gov.cn/</w:t>
            </w:r>
          </w:p>
          <w:p>
            <w:pPr>
              <w:spacing w:line="440" w:lineRule="exact"/>
              <w:rPr>
                <w:rFonts w:asciiTheme="minorEastAsia" w:hAnsiTheme="minorEastAsia"/>
                <w:color w:val="0000FF"/>
                <w:szCs w:val="21"/>
              </w:rPr>
            </w:pPr>
            <w:r>
              <w:rPr>
                <w:rFonts w:hint="eastAsia" w:ascii="宋体" w:hAnsi="宋体"/>
                <w:b/>
                <w:color w:val="0000FF"/>
                <w:szCs w:val="21"/>
              </w:rPr>
              <w:t>重要提示：</w:t>
            </w:r>
            <w:r>
              <w:rPr>
                <w:rFonts w:hint="eastAsia" w:ascii="宋体" w:hAnsi="宋体"/>
                <w:color w:val="0000FF"/>
                <w:szCs w:val="21"/>
              </w:rPr>
              <w:t>供应商有义务在招标活动期间浏览上述网站，代理机构在网上公布的与本次招标项目有关的信息视为已送达各供应商。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7</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澄清答疑</w:t>
            </w:r>
          </w:p>
        </w:tc>
        <w:tc>
          <w:tcPr>
            <w:tcW w:w="6319" w:type="dxa"/>
            <w:vAlign w:val="center"/>
          </w:tcPr>
          <w:p>
            <w:pPr>
              <w:spacing w:line="440" w:lineRule="exact"/>
              <w:rPr>
                <w:rFonts w:ascii="宋体" w:hAnsi="宋体"/>
                <w:color w:val="0000FF"/>
                <w:szCs w:val="21"/>
              </w:rPr>
            </w:pPr>
            <w:r>
              <w:rPr>
                <w:rFonts w:hint="eastAsia" w:ascii="宋体" w:hAnsi="宋体"/>
                <w:color w:val="0000FF"/>
                <w:szCs w:val="21"/>
              </w:rPr>
              <w:t>任何要求对采购文件进行澄清的供应商，均应于本项目“采购邀请书”中所述答疑截止时间前书面通知代理机构。对于没有提出澄清又参与了该项目响应的供应商将被视为完全认同该采购文件，截止期后不再受理针对采购文件的相关投诉。对采购文件中描述有歧义或前后不一致的地方，谈判小组有权进行评判，但对同一条款的评判应适用于每个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8</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响应保证金</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color w:val="0000FF"/>
                <w:szCs w:val="21"/>
              </w:rPr>
              <w:t>■</w:t>
            </w:r>
            <w:r>
              <w:rPr>
                <w:rFonts w:hint="eastAsia" w:ascii="宋体" w:hAnsi="宋体"/>
                <w:color w:val="0000FF"/>
                <w:szCs w:val="21"/>
              </w:rPr>
              <w:t xml:space="preserve"> 按照</w:t>
            </w:r>
            <w:r>
              <w:rPr>
                <w:rFonts w:hint="eastAsia" w:ascii="宋体" w:hAnsi="宋体" w:eastAsiaTheme="minorEastAsia"/>
                <w:color w:val="0000FF"/>
                <w:szCs w:val="21"/>
              </w:rPr>
              <w:t>《深圳市财政局关于明确政府采购保证金管理工作的通知</w:t>
            </w:r>
            <w:r>
              <w:rPr>
                <w:rFonts w:hint="eastAsia" w:ascii="微软雅黑" w:hAnsi="微软雅黑" w:eastAsia="微软雅黑"/>
                <w:color w:val="333333"/>
                <w:sz w:val="16"/>
                <w:szCs w:val="16"/>
                <w:shd w:val="clear" w:color="auto" w:fill="F8F9FA"/>
              </w:rPr>
              <w:t>》（</w:t>
            </w:r>
            <w:r>
              <w:rPr>
                <w:rFonts w:hint="eastAsia" w:ascii="宋体" w:hAnsi="宋体" w:eastAsiaTheme="minorEastAsia"/>
                <w:color w:val="0000FF"/>
                <w:szCs w:val="21"/>
              </w:rPr>
              <w:t>深财购</w:t>
            </w:r>
            <w:r>
              <w:rPr>
                <w:rFonts w:hint="eastAsia" w:ascii="宋体" w:hAnsi="宋体"/>
                <w:color w:val="0000FF"/>
                <w:szCs w:val="21"/>
              </w:rPr>
              <w:t>[</w:t>
            </w:r>
            <w:r>
              <w:rPr>
                <w:rFonts w:hint="eastAsia" w:ascii="宋体" w:hAnsi="宋体" w:eastAsiaTheme="minorEastAsia"/>
                <w:color w:val="0000FF"/>
                <w:szCs w:val="21"/>
              </w:rPr>
              <w:t>2019</w:t>
            </w:r>
            <w:r>
              <w:rPr>
                <w:rFonts w:hint="eastAsia" w:ascii="宋体" w:hAnsi="宋体"/>
                <w:color w:val="0000FF"/>
                <w:szCs w:val="21"/>
              </w:rPr>
              <w:t>]</w:t>
            </w:r>
            <w:r>
              <w:rPr>
                <w:rFonts w:hint="eastAsia" w:ascii="宋体" w:hAnsi="宋体" w:eastAsiaTheme="minorEastAsia"/>
                <w:color w:val="0000FF"/>
                <w:szCs w:val="21"/>
              </w:rPr>
              <w:t>42号</w:t>
            </w:r>
            <w:r>
              <w:rPr>
                <w:rFonts w:hint="eastAsia" w:ascii="微软雅黑" w:hAnsi="微软雅黑" w:eastAsia="微软雅黑"/>
                <w:color w:val="333333"/>
                <w:sz w:val="16"/>
                <w:szCs w:val="16"/>
                <w:shd w:val="clear" w:color="auto" w:fill="F8F9FA"/>
              </w:rPr>
              <w:t>）</w:t>
            </w:r>
            <w:r>
              <w:rPr>
                <w:rFonts w:hint="eastAsia" w:ascii="宋体" w:hAnsi="宋体"/>
                <w:color w:val="0000FF"/>
                <w:szCs w:val="21"/>
              </w:rPr>
              <w:t>的规定，本项目不收取</w:t>
            </w:r>
            <w:r>
              <w:rPr>
                <w:rFonts w:hint="eastAsia" w:asciiTheme="minorEastAsia" w:hAnsiTheme="minorEastAsia"/>
                <w:color w:val="0000FF"/>
                <w:szCs w:val="21"/>
              </w:rPr>
              <w:t>响应保证金</w:t>
            </w:r>
            <w:r>
              <w:rPr>
                <w:rFonts w:hint="eastAsia" w:ascii="宋体" w:hAnsi="宋体"/>
                <w:color w:val="0000FF"/>
                <w:szCs w:val="21"/>
              </w:rPr>
              <w:t>。</w:t>
            </w:r>
          </w:p>
          <w:p>
            <w:pPr>
              <w:spacing w:line="440" w:lineRule="exact"/>
              <w:rPr>
                <w:rFonts w:ascii="宋体" w:hAnsi="宋体"/>
                <w:color w:val="0000FF"/>
                <w:szCs w:val="21"/>
              </w:rPr>
            </w:pPr>
            <w:r>
              <w:rPr>
                <w:rFonts w:hint="eastAsia" w:asciiTheme="minorEastAsia" w:hAnsiTheme="minorEastAsia"/>
                <w:color w:val="0000FF"/>
                <w:szCs w:val="21"/>
              </w:rPr>
              <w:t>□ 本项目为采购人自行采购项目，根据采购人要求需提交响应保证金，</w:t>
            </w:r>
            <w:r>
              <w:rPr>
                <w:rFonts w:hint="eastAsia" w:ascii="宋体" w:hAnsi="宋体"/>
                <w:color w:val="0000FF"/>
                <w:szCs w:val="21"/>
              </w:rPr>
              <w:t>金额为人民币</w:t>
            </w:r>
            <w:r>
              <w:rPr>
                <w:rFonts w:hint="eastAsia" w:asciiTheme="minorEastAsia" w:hAnsiTheme="minorEastAsia"/>
                <w:color w:val="0000FF"/>
                <w:szCs w:val="21"/>
                <w:u w:val="single"/>
              </w:rPr>
              <w:t xml:space="preserve">      </w:t>
            </w:r>
            <w:r>
              <w:rPr>
                <w:rFonts w:hint="eastAsia" w:ascii="宋体" w:hAnsi="宋体"/>
                <w:color w:val="0000FF"/>
                <w:szCs w:val="21"/>
              </w:rPr>
              <w:t>元，于应答文件提交截至时间前交于代理机构，账户信息见“采购邀请书”</w:t>
            </w:r>
            <w:r>
              <w:rPr>
                <w:rFonts w:hint="eastAsia" w:ascii="宋体" w:hAnsi="宋体"/>
                <w:bCs/>
                <w:color w:val="0000FF"/>
                <w:szCs w:val="21"/>
              </w:rPr>
              <w:t>。</w:t>
            </w:r>
            <w:r>
              <w:rPr>
                <w:rFonts w:hint="eastAsia" w:asciiTheme="minorEastAsia" w:hAnsiTheme="minorEastAsia"/>
                <w:color w:val="0000FF"/>
                <w:szCs w:val="21"/>
              </w:rPr>
              <w:t>响应保证金</w:t>
            </w:r>
            <w:r>
              <w:rPr>
                <w:rFonts w:hint="eastAsia" w:ascii="宋体" w:hAnsi="宋体"/>
                <w:color w:val="0000FF"/>
                <w:szCs w:val="21"/>
              </w:rPr>
              <w:t>的退还按“供应商须知”第15条的有关规定执行。</w:t>
            </w:r>
          </w:p>
          <w:p>
            <w:pPr>
              <w:spacing w:line="440" w:lineRule="exact"/>
              <w:rPr>
                <w:rFonts w:asciiTheme="minorEastAsia" w:hAnsiTheme="minorEastAsia"/>
                <w:color w:val="0000FF"/>
                <w:szCs w:val="21"/>
              </w:rPr>
            </w:pPr>
            <w:r>
              <w:rPr>
                <w:rFonts w:hint="eastAsia" w:ascii="宋体" w:hAnsi="宋体"/>
                <w:b/>
                <w:color w:val="0000FF"/>
                <w:szCs w:val="21"/>
              </w:rPr>
              <w:t>备注：</w:t>
            </w:r>
            <w:r>
              <w:rPr>
                <w:rFonts w:hint="eastAsia" w:ascii="宋体" w:hAnsi="宋体"/>
                <w:color w:val="0000FF"/>
                <w:szCs w:val="21"/>
              </w:rPr>
              <w:t>本采购文件中涉及响应保证金的描述，仅适用于要求提交响应保证金时。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9</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应答有效期</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color w:val="0000FF"/>
                <w:szCs w:val="21"/>
              </w:rPr>
              <w:t>谈判后九十（90）天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10</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履约保证金</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color w:val="0000FF"/>
                <w:szCs w:val="21"/>
              </w:rPr>
              <w:t xml:space="preserve">■ 不提交          </w:t>
            </w:r>
          </w:p>
          <w:p>
            <w:pPr>
              <w:spacing w:line="440" w:lineRule="exact"/>
              <w:rPr>
                <w:rFonts w:asciiTheme="minorEastAsia" w:hAnsiTheme="minorEastAsia"/>
                <w:color w:val="0000FF"/>
                <w:szCs w:val="21"/>
              </w:rPr>
            </w:pPr>
            <w:r>
              <w:rPr>
                <w:rFonts w:hint="eastAsia" w:asciiTheme="minorEastAsia" w:hAnsiTheme="minorEastAsia"/>
                <w:color w:val="0000FF"/>
                <w:szCs w:val="21"/>
              </w:rPr>
              <w:t>□ 提交：</w:t>
            </w:r>
          </w:p>
          <w:p>
            <w:pPr>
              <w:spacing w:line="440" w:lineRule="exact"/>
              <w:rPr>
                <w:rFonts w:asciiTheme="minorEastAsia" w:hAnsiTheme="minorEastAsia"/>
                <w:color w:val="0000FF"/>
                <w:szCs w:val="21"/>
              </w:rPr>
            </w:pPr>
            <w:r>
              <w:rPr>
                <w:rFonts w:hint="eastAsia" w:asciiTheme="minorEastAsia" w:hAnsiTheme="minorEastAsia"/>
                <w:color w:val="0000FF"/>
                <w:szCs w:val="21"/>
              </w:rPr>
              <w:t>金额：成交金额的</w:t>
            </w:r>
            <w:r>
              <w:rPr>
                <w:rFonts w:hint="eastAsia" w:asciiTheme="minorEastAsia" w:hAnsiTheme="minorEastAsia"/>
                <w:color w:val="0000FF"/>
                <w:szCs w:val="21"/>
                <w:u w:val="single"/>
              </w:rPr>
              <w:t xml:space="preserve">    </w:t>
            </w:r>
            <w:r>
              <w:rPr>
                <w:rFonts w:hint="eastAsia" w:asciiTheme="minorEastAsia" w:hAnsiTheme="minorEastAsia"/>
                <w:color w:val="0000FF"/>
                <w:szCs w:val="21"/>
              </w:rPr>
              <w:t>%或</w:t>
            </w:r>
            <w:r>
              <w:rPr>
                <w:rFonts w:hint="eastAsia" w:asciiTheme="minorEastAsia" w:hAnsiTheme="minorEastAsia"/>
                <w:color w:val="0000FF"/>
                <w:szCs w:val="21"/>
                <w:u w:val="single"/>
              </w:rPr>
              <w:t xml:space="preserve">   </w:t>
            </w:r>
            <w:r>
              <w:rPr>
                <w:rFonts w:hint="eastAsia" w:asciiTheme="minorEastAsia" w:hAnsiTheme="minorEastAsia"/>
                <w:color w:val="0000FF"/>
                <w:szCs w:val="21"/>
              </w:rPr>
              <w:t>万元</w:t>
            </w:r>
          </w:p>
          <w:p>
            <w:pPr>
              <w:spacing w:line="440" w:lineRule="exact"/>
              <w:rPr>
                <w:rFonts w:asciiTheme="minorEastAsia" w:hAnsiTheme="minorEastAsia"/>
                <w:color w:val="0000FF"/>
                <w:szCs w:val="21"/>
              </w:rPr>
            </w:pPr>
            <w:r>
              <w:rPr>
                <w:rFonts w:hint="eastAsia" w:asciiTheme="minorEastAsia" w:hAnsiTheme="minorEastAsia"/>
                <w:color w:val="0000FF"/>
                <w:szCs w:val="21"/>
              </w:rPr>
              <w:t>提交时间：签订合同时。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11</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应答文件份数</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color w:val="0000FF"/>
                <w:szCs w:val="21"/>
              </w:rPr>
              <w:t>纸质应答文件正本1份、副本4份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12</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应答文件电子档</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color w:val="0000FF"/>
                <w:szCs w:val="21"/>
              </w:rPr>
              <w:t>光盘或U盘（应答文件正本盖章彩色扫描件，PDF格式）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13</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信用记录查询</w:t>
            </w:r>
          </w:p>
        </w:tc>
        <w:tc>
          <w:tcPr>
            <w:tcW w:w="6319" w:type="dxa"/>
            <w:vAlign w:val="center"/>
          </w:tcPr>
          <w:p>
            <w:pPr>
              <w:spacing w:line="440" w:lineRule="exact"/>
              <w:ind w:right="-57"/>
              <w:rPr>
                <w:rFonts w:ascii="宋体" w:hAnsi="宋体"/>
                <w:bCs/>
                <w:color w:val="0000FF"/>
                <w:szCs w:val="21"/>
              </w:rPr>
            </w:pPr>
            <w:r>
              <w:rPr>
                <w:rFonts w:hint="eastAsia" w:ascii="宋体" w:hAnsi="宋体"/>
                <w:color w:val="0000FF"/>
              </w:rPr>
              <w:t>1、根据《深圳市人民政府关于印发深圳市贯彻落实守信联合激励和失信联合惩戒制度实施方案的通知》（深府〔2017〕57号）的要求，对列入失信“黑名单”的供应商限制参与政府采购。</w:t>
            </w:r>
          </w:p>
          <w:p>
            <w:pPr>
              <w:spacing w:line="440" w:lineRule="exact"/>
              <w:ind w:right="-57"/>
              <w:rPr>
                <w:rFonts w:ascii="宋体" w:hAnsi="宋体"/>
                <w:bCs/>
                <w:color w:val="0000FF"/>
                <w:szCs w:val="21"/>
              </w:rPr>
            </w:pPr>
            <w:r>
              <w:rPr>
                <w:rFonts w:hint="eastAsia" w:ascii="宋体" w:hAnsi="宋体"/>
                <w:bCs/>
                <w:color w:val="0000FF"/>
                <w:szCs w:val="21"/>
              </w:rPr>
              <w:t>2、</w:t>
            </w:r>
            <w:r>
              <w:rPr>
                <w:rFonts w:hint="eastAsia" w:ascii="宋体" w:hAnsi="宋体"/>
                <w:color w:val="0000FF"/>
              </w:rPr>
              <w:t>“信用中国”中</w:t>
            </w:r>
            <w:r>
              <w:rPr>
                <w:rFonts w:ascii="宋体" w:hAnsi="宋体"/>
                <w:color w:val="0000FF"/>
              </w:rPr>
              <w:t>“</w:t>
            </w:r>
            <w:r>
              <w:rPr>
                <w:rFonts w:hint="eastAsia" w:ascii="宋体" w:hAnsi="宋体"/>
                <w:color w:val="0000FF"/>
              </w:rPr>
              <w:t>信用</w:t>
            </w:r>
            <w:r>
              <w:rPr>
                <w:rFonts w:ascii="宋体" w:hAnsi="宋体"/>
                <w:color w:val="0000FF"/>
              </w:rPr>
              <w:t>服务”</w:t>
            </w:r>
            <w:r>
              <w:rPr>
                <w:rFonts w:hint="eastAsia" w:ascii="宋体" w:hAnsi="宋体"/>
                <w:color w:val="0000FF"/>
              </w:rPr>
              <w:t>栏</w:t>
            </w:r>
            <w:r>
              <w:rPr>
                <w:rFonts w:ascii="宋体" w:hAnsi="宋体"/>
                <w:color w:val="0000FF"/>
              </w:rPr>
              <w:t>的“</w:t>
            </w:r>
            <w:r>
              <w:rPr>
                <w:rFonts w:hint="eastAsia" w:ascii="宋体" w:hAnsi="宋体"/>
                <w:color w:val="0000FF"/>
              </w:rPr>
              <w:t>重大税收违法失信主体</w:t>
            </w:r>
            <w:r>
              <w:rPr>
                <w:rFonts w:ascii="宋体" w:hAnsi="宋体"/>
                <w:color w:val="0000FF"/>
              </w:rPr>
              <w:t>”“</w:t>
            </w:r>
            <w:r>
              <w:rPr>
                <w:rFonts w:hint="eastAsia" w:ascii="宋体" w:hAnsi="宋体"/>
                <w:color w:val="0000FF"/>
              </w:rPr>
              <w:t>失信被执行人</w:t>
            </w:r>
            <w:r>
              <w:rPr>
                <w:rFonts w:ascii="宋体" w:hAnsi="宋体"/>
                <w:color w:val="0000FF"/>
              </w:rPr>
              <w:t>”</w:t>
            </w:r>
            <w:r>
              <w:rPr>
                <w:rFonts w:hint="eastAsia" w:ascii="宋体" w:hAnsi="宋体"/>
                <w:color w:val="0000FF"/>
              </w:rPr>
              <w:t>、“中国政府采购网”中</w:t>
            </w:r>
            <w:r>
              <w:rPr>
                <w:rFonts w:ascii="宋体" w:hAnsi="宋体"/>
                <w:color w:val="0000FF"/>
              </w:rPr>
              <w:t>的“</w:t>
            </w:r>
            <w:r>
              <w:rPr>
                <w:rFonts w:hint="eastAsia" w:ascii="宋体" w:hAnsi="宋体"/>
                <w:color w:val="0000FF"/>
              </w:rPr>
              <w:t>政府采购严重违法失信行为记录名单</w:t>
            </w:r>
            <w:r>
              <w:rPr>
                <w:rFonts w:ascii="宋体" w:hAnsi="宋体"/>
                <w:color w:val="0000FF"/>
              </w:rPr>
              <w:t>”</w:t>
            </w:r>
            <w:r>
              <w:rPr>
                <w:rFonts w:hint="eastAsia" w:ascii="宋体" w:hAnsi="宋体"/>
                <w:color w:val="0000FF"/>
              </w:rPr>
              <w:t>、“深圳</w:t>
            </w:r>
            <w:r>
              <w:rPr>
                <w:rFonts w:ascii="宋体" w:hAnsi="宋体"/>
                <w:color w:val="0000FF"/>
              </w:rPr>
              <w:t>信用网</w:t>
            </w:r>
            <w:r>
              <w:rPr>
                <w:rFonts w:hint="eastAsia" w:ascii="宋体" w:hAnsi="宋体"/>
                <w:color w:val="0000FF"/>
              </w:rPr>
              <w:t>”以及“深圳市政府采购监管网”为供应商信用信息的查询渠道，相关信息以开标当日的查询结果为准。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14</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color w:val="0000FF"/>
                <w:szCs w:val="21"/>
              </w:rPr>
              <w:t>采购代理服务费</w:t>
            </w:r>
          </w:p>
        </w:tc>
        <w:tc>
          <w:tcPr>
            <w:tcW w:w="6319" w:type="dxa"/>
            <w:vAlign w:val="center"/>
          </w:tcPr>
          <w:p>
            <w:pPr>
              <w:spacing w:line="440" w:lineRule="exact"/>
              <w:ind w:right="-57"/>
              <w:rPr>
                <w:rFonts w:ascii="MS Mincho" w:hAnsi="MS Mincho" w:cs="MS Mincho"/>
                <w:snapToGrid w:val="0"/>
                <w:color w:val="0000FF"/>
                <w:kern w:val="0"/>
                <w:szCs w:val="21"/>
              </w:rPr>
            </w:pPr>
            <w:r>
              <w:rPr>
                <w:rFonts w:hint="eastAsia" w:ascii="MS Mincho" w:hAnsi="MS Mincho" w:cs="MS Mincho"/>
                <w:snapToGrid w:val="0"/>
                <w:color w:val="0000FF"/>
                <w:kern w:val="0"/>
                <w:szCs w:val="21"/>
              </w:rPr>
              <w:t>■ 定率收取：</w:t>
            </w:r>
          </w:p>
          <w:p>
            <w:pPr>
              <w:spacing w:line="440" w:lineRule="exact"/>
              <w:ind w:right="-57"/>
              <w:rPr>
                <w:rFonts w:ascii="宋体" w:hAnsi="宋体"/>
                <w:color w:val="0000FF"/>
                <w:szCs w:val="21"/>
              </w:rPr>
            </w:pPr>
            <w:r>
              <w:rPr>
                <w:rFonts w:hint="eastAsia" w:ascii="宋体" w:hAnsi="宋体"/>
                <w:color w:val="0000FF"/>
                <w:szCs w:val="21"/>
              </w:rPr>
              <w:t>采购代理向成交方收取采购代理服务费，收费按差额定率累进法计算</w:t>
            </w:r>
            <w:r>
              <w:rPr>
                <w:rFonts w:hint="eastAsia" w:ascii="宋体" w:hAnsi="宋体"/>
                <w:color w:val="0000FF"/>
                <w:szCs w:val="21"/>
                <w:lang w:val="en-US" w:eastAsia="zh-CN"/>
              </w:rPr>
              <w:t>下浮30%</w:t>
            </w:r>
            <w:r>
              <w:rPr>
                <w:rFonts w:hint="eastAsia" w:ascii="宋体" w:hAnsi="宋体"/>
                <w:color w:val="0000FF"/>
                <w:szCs w:val="21"/>
              </w:rPr>
              <w:t>收取（经计算低于人民币3000元的，按3000元计取），收费标准如下表所列：</w:t>
            </w:r>
          </w:p>
          <w:tbl>
            <w:tblPr>
              <w:tblStyle w:val="31"/>
              <w:tblW w:w="608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30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tcBorders>
                    <w:top w:val="single" w:color="auto" w:sz="8" w:space="0"/>
                    <w:left w:val="single" w:color="auto" w:sz="8" w:space="0"/>
                    <w:bottom w:val="single" w:color="auto" w:sz="4" w:space="0"/>
                    <w:right w:val="single" w:color="auto" w:sz="4" w:space="0"/>
                  </w:tcBorders>
                  <w:vAlign w:val="center"/>
                </w:tcPr>
                <w:p>
                  <w:pPr>
                    <w:spacing w:line="440" w:lineRule="exact"/>
                    <w:jc w:val="center"/>
                    <w:rPr>
                      <w:rFonts w:ascii="宋体" w:hAnsi="宋体"/>
                      <w:b/>
                      <w:color w:val="0000FF"/>
                      <w:szCs w:val="21"/>
                    </w:rPr>
                  </w:pPr>
                  <w:r>
                    <w:rPr>
                      <w:rFonts w:hint="eastAsia" w:ascii="宋体" w:hAnsi="宋体"/>
                      <w:b/>
                      <w:color w:val="0000FF"/>
                      <w:szCs w:val="21"/>
                    </w:rPr>
                    <w:t>成交金额（万元）</w:t>
                  </w:r>
                </w:p>
              </w:tc>
              <w:tc>
                <w:tcPr>
                  <w:tcW w:w="3083" w:type="dxa"/>
                  <w:tcBorders>
                    <w:top w:val="single" w:color="auto" w:sz="8" w:space="0"/>
                    <w:left w:val="single" w:color="auto" w:sz="4" w:space="0"/>
                    <w:bottom w:val="single" w:color="auto" w:sz="4" w:space="0"/>
                    <w:right w:val="single" w:color="auto" w:sz="8" w:space="0"/>
                  </w:tcBorders>
                  <w:vAlign w:val="center"/>
                </w:tcPr>
                <w:p>
                  <w:pPr>
                    <w:spacing w:line="440" w:lineRule="exact"/>
                    <w:jc w:val="center"/>
                    <w:rPr>
                      <w:rFonts w:ascii="宋体" w:hAnsi="宋体"/>
                      <w:b/>
                      <w:color w:val="0000FF"/>
                      <w:szCs w:val="21"/>
                    </w:rPr>
                  </w:pPr>
                  <w:r>
                    <w:rPr>
                      <w:rFonts w:hint="eastAsia" w:ascii="宋体" w:hAnsi="宋体"/>
                      <w:b/>
                      <w:color w:val="0000FF"/>
                      <w:szCs w:val="21"/>
                    </w:rPr>
                    <w:t>招标收费费率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tcBorders>
                    <w:top w:val="single" w:color="auto" w:sz="4" w:space="0"/>
                    <w:left w:val="single" w:color="auto" w:sz="8" w:space="0"/>
                    <w:bottom w:val="single" w:color="auto" w:sz="4" w:space="0"/>
                    <w:right w:val="single" w:color="auto" w:sz="4" w:space="0"/>
                  </w:tcBorders>
                  <w:vAlign w:val="center"/>
                </w:tcPr>
                <w:p>
                  <w:pPr>
                    <w:spacing w:line="440" w:lineRule="exact"/>
                    <w:jc w:val="center"/>
                    <w:rPr>
                      <w:rFonts w:ascii="宋体" w:hAnsi="宋体"/>
                      <w:color w:val="0000FF"/>
                      <w:szCs w:val="21"/>
                    </w:rPr>
                  </w:pPr>
                  <w:r>
                    <w:rPr>
                      <w:rFonts w:hint="eastAsia" w:ascii="宋体" w:hAnsi="宋体"/>
                      <w:color w:val="0000FF"/>
                      <w:szCs w:val="21"/>
                    </w:rPr>
                    <w:t>100以下部分</w:t>
                  </w:r>
                </w:p>
              </w:tc>
              <w:tc>
                <w:tcPr>
                  <w:tcW w:w="3083" w:type="dxa"/>
                  <w:tcBorders>
                    <w:top w:val="single" w:color="auto" w:sz="4" w:space="0"/>
                    <w:left w:val="single" w:color="auto" w:sz="4" w:space="0"/>
                    <w:bottom w:val="single" w:color="auto" w:sz="4" w:space="0"/>
                    <w:right w:val="single" w:color="auto" w:sz="8" w:space="0"/>
                  </w:tcBorders>
                  <w:vAlign w:val="center"/>
                </w:tcPr>
                <w:p>
                  <w:pPr>
                    <w:spacing w:line="440" w:lineRule="exact"/>
                    <w:jc w:val="center"/>
                    <w:rPr>
                      <w:rFonts w:ascii="宋体" w:hAnsi="宋体"/>
                      <w:color w:val="0000FF"/>
                      <w:szCs w:val="21"/>
                    </w:rPr>
                  </w:pPr>
                  <w:r>
                    <w:rPr>
                      <w:rFonts w:hint="eastAsia" w:ascii="宋体" w:hAnsi="宋体"/>
                      <w:color w:val="0000FF"/>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tcBorders>
                    <w:top w:val="single" w:color="auto" w:sz="4" w:space="0"/>
                    <w:left w:val="single" w:color="auto" w:sz="8" w:space="0"/>
                    <w:bottom w:val="single" w:color="auto" w:sz="4" w:space="0"/>
                    <w:right w:val="single" w:color="auto" w:sz="4" w:space="0"/>
                  </w:tcBorders>
                  <w:vAlign w:val="center"/>
                </w:tcPr>
                <w:p>
                  <w:pPr>
                    <w:spacing w:line="440" w:lineRule="exact"/>
                    <w:jc w:val="center"/>
                    <w:rPr>
                      <w:rFonts w:ascii="宋体" w:hAnsi="宋体"/>
                      <w:color w:val="0000FF"/>
                      <w:szCs w:val="21"/>
                    </w:rPr>
                  </w:pPr>
                  <w:r>
                    <w:rPr>
                      <w:rFonts w:hint="eastAsia" w:ascii="宋体" w:hAnsi="宋体"/>
                      <w:color w:val="0000FF"/>
                      <w:szCs w:val="21"/>
                    </w:rPr>
                    <w:t>100-500部分</w:t>
                  </w:r>
                </w:p>
              </w:tc>
              <w:tc>
                <w:tcPr>
                  <w:tcW w:w="3083" w:type="dxa"/>
                  <w:tcBorders>
                    <w:top w:val="single" w:color="auto" w:sz="4" w:space="0"/>
                    <w:left w:val="single" w:color="auto" w:sz="4" w:space="0"/>
                    <w:bottom w:val="single" w:color="auto" w:sz="4" w:space="0"/>
                    <w:right w:val="single" w:color="auto" w:sz="8" w:space="0"/>
                  </w:tcBorders>
                  <w:vAlign w:val="center"/>
                </w:tcPr>
                <w:p>
                  <w:pPr>
                    <w:spacing w:line="440" w:lineRule="exact"/>
                    <w:jc w:val="center"/>
                    <w:rPr>
                      <w:rFonts w:ascii="宋体" w:hAnsi="宋体"/>
                      <w:color w:val="0000FF"/>
                      <w:szCs w:val="21"/>
                    </w:rPr>
                  </w:pPr>
                  <w:r>
                    <w:rPr>
                      <w:rFonts w:ascii="宋体" w:hAnsi="宋体"/>
                      <w:color w:val="0000FF"/>
                      <w:szCs w:val="21"/>
                    </w:rPr>
                    <w:t>0.8</w:t>
                  </w:r>
                  <w:r>
                    <w:rPr>
                      <w:rFonts w:hint="eastAsia" w:ascii="宋体" w:hAnsi="宋体"/>
                      <w:color w:val="0000FF"/>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tcBorders>
                    <w:top w:val="single" w:color="auto" w:sz="4" w:space="0"/>
                    <w:left w:val="single" w:color="auto" w:sz="8" w:space="0"/>
                    <w:bottom w:val="single" w:color="auto" w:sz="4" w:space="0"/>
                    <w:right w:val="single" w:color="auto" w:sz="4" w:space="0"/>
                  </w:tcBorders>
                  <w:vAlign w:val="center"/>
                </w:tcPr>
                <w:p>
                  <w:pPr>
                    <w:spacing w:line="440" w:lineRule="exact"/>
                    <w:jc w:val="center"/>
                    <w:rPr>
                      <w:rFonts w:ascii="宋体" w:hAnsi="宋体"/>
                      <w:color w:val="0000FF"/>
                      <w:szCs w:val="21"/>
                    </w:rPr>
                  </w:pPr>
                  <w:r>
                    <w:rPr>
                      <w:rFonts w:hint="eastAsia" w:ascii="宋体" w:hAnsi="宋体"/>
                      <w:color w:val="0000FF"/>
                      <w:szCs w:val="21"/>
                    </w:rPr>
                    <w:t>500-1000部分</w:t>
                  </w:r>
                </w:p>
              </w:tc>
              <w:tc>
                <w:tcPr>
                  <w:tcW w:w="3083" w:type="dxa"/>
                  <w:tcBorders>
                    <w:top w:val="single" w:color="auto" w:sz="4" w:space="0"/>
                    <w:left w:val="single" w:color="auto" w:sz="4" w:space="0"/>
                    <w:bottom w:val="single" w:color="auto" w:sz="4" w:space="0"/>
                    <w:right w:val="single" w:color="auto" w:sz="8" w:space="0"/>
                  </w:tcBorders>
                  <w:vAlign w:val="center"/>
                </w:tcPr>
                <w:p>
                  <w:pPr>
                    <w:spacing w:line="440" w:lineRule="exact"/>
                    <w:jc w:val="center"/>
                    <w:rPr>
                      <w:rFonts w:ascii="宋体" w:hAnsi="宋体"/>
                      <w:color w:val="0000FF"/>
                      <w:szCs w:val="21"/>
                    </w:rPr>
                  </w:pPr>
                  <w:r>
                    <w:rPr>
                      <w:rFonts w:hint="eastAsia" w:ascii="宋体" w:hAnsi="宋体"/>
                      <w:color w:val="0000FF"/>
                      <w:szCs w:val="21"/>
                    </w:rPr>
                    <w:t>0.</w:t>
                  </w:r>
                  <w:r>
                    <w:rPr>
                      <w:rFonts w:ascii="宋体" w:hAnsi="宋体"/>
                      <w:color w:val="0000FF"/>
                      <w:szCs w:val="21"/>
                    </w:rPr>
                    <w:t>45</w:t>
                  </w:r>
                  <w:r>
                    <w:rPr>
                      <w:rFonts w:hint="eastAsia" w:ascii="宋体" w:hAnsi="宋体"/>
                      <w:color w:val="0000FF"/>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tcBorders>
                    <w:top w:val="single" w:color="auto" w:sz="4" w:space="0"/>
                    <w:left w:val="single" w:color="auto" w:sz="8" w:space="0"/>
                    <w:bottom w:val="single" w:color="auto" w:sz="4" w:space="0"/>
                    <w:right w:val="single" w:color="auto" w:sz="4" w:space="0"/>
                  </w:tcBorders>
                  <w:vAlign w:val="center"/>
                </w:tcPr>
                <w:p>
                  <w:pPr>
                    <w:spacing w:line="440" w:lineRule="exact"/>
                    <w:jc w:val="center"/>
                    <w:rPr>
                      <w:rFonts w:ascii="宋体" w:hAnsi="宋体"/>
                      <w:color w:val="0000FF"/>
                      <w:szCs w:val="21"/>
                    </w:rPr>
                  </w:pPr>
                  <w:r>
                    <w:rPr>
                      <w:rFonts w:hint="eastAsia" w:ascii="宋体" w:hAnsi="宋体"/>
                      <w:color w:val="0000FF"/>
                      <w:szCs w:val="21"/>
                    </w:rPr>
                    <w:t>1000-5000部分</w:t>
                  </w:r>
                </w:p>
              </w:tc>
              <w:tc>
                <w:tcPr>
                  <w:tcW w:w="3083" w:type="dxa"/>
                  <w:tcBorders>
                    <w:top w:val="single" w:color="auto" w:sz="4" w:space="0"/>
                    <w:left w:val="single" w:color="auto" w:sz="4" w:space="0"/>
                    <w:bottom w:val="single" w:color="auto" w:sz="4" w:space="0"/>
                    <w:right w:val="single" w:color="auto" w:sz="8" w:space="0"/>
                  </w:tcBorders>
                  <w:vAlign w:val="center"/>
                </w:tcPr>
                <w:p>
                  <w:pPr>
                    <w:spacing w:line="440" w:lineRule="exact"/>
                    <w:jc w:val="center"/>
                    <w:rPr>
                      <w:rFonts w:ascii="宋体" w:hAnsi="宋体"/>
                      <w:color w:val="0000FF"/>
                      <w:szCs w:val="21"/>
                    </w:rPr>
                  </w:pPr>
                  <w:r>
                    <w:rPr>
                      <w:rFonts w:hint="eastAsia" w:ascii="宋体" w:hAnsi="宋体"/>
                      <w:color w:val="0000FF"/>
                      <w:szCs w:val="21"/>
                    </w:rPr>
                    <w:t>0.</w:t>
                  </w:r>
                  <w:r>
                    <w:rPr>
                      <w:rFonts w:ascii="宋体" w:hAnsi="宋体"/>
                      <w:color w:val="0000FF"/>
                      <w:szCs w:val="21"/>
                    </w:rPr>
                    <w:t>2</w:t>
                  </w:r>
                  <w:r>
                    <w:rPr>
                      <w:rFonts w:hint="eastAsia" w:ascii="宋体" w:hAnsi="宋体"/>
                      <w:color w:val="0000FF"/>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tcBorders>
                    <w:top w:val="single" w:color="auto" w:sz="4" w:space="0"/>
                    <w:left w:val="single" w:color="auto" w:sz="8" w:space="0"/>
                    <w:bottom w:val="single" w:color="auto" w:sz="4" w:space="0"/>
                    <w:right w:val="single" w:color="auto" w:sz="4" w:space="0"/>
                  </w:tcBorders>
                  <w:vAlign w:val="center"/>
                </w:tcPr>
                <w:p>
                  <w:pPr>
                    <w:spacing w:line="440" w:lineRule="exact"/>
                    <w:jc w:val="center"/>
                    <w:rPr>
                      <w:rFonts w:ascii="宋体" w:hAnsi="宋体"/>
                      <w:color w:val="0000FF"/>
                      <w:szCs w:val="21"/>
                    </w:rPr>
                  </w:pPr>
                  <w:r>
                    <w:rPr>
                      <w:rFonts w:hint="eastAsia" w:ascii="宋体" w:hAnsi="宋体"/>
                      <w:color w:val="0000FF"/>
                      <w:szCs w:val="21"/>
                    </w:rPr>
                    <w:t>5000-10000部分</w:t>
                  </w:r>
                </w:p>
              </w:tc>
              <w:tc>
                <w:tcPr>
                  <w:tcW w:w="3083" w:type="dxa"/>
                  <w:tcBorders>
                    <w:top w:val="single" w:color="auto" w:sz="4" w:space="0"/>
                    <w:left w:val="single" w:color="auto" w:sz="4" w:space="0"/>
                    <w:bottom w:val="single" w:color="auto" w:sz="4" w:space="0"/>
                    <w:right w:val="single" w:color="auto" w:sz="8" w:space="0"/>
                  </w:tcBorders>
                  <w:vAlign w:val="center"/>
                </w:tcPr>
                <w:p>
                  <w:pPr>
                    <w:spacing w:line="440" w:lineRule="exact"/>
                    <w:jc w:val="center"/>
                    <w:rPr>
                      <w:rFonts w:ascii="宋体" w:hAnsi="宋体"/>
                      <w:color w:val="0000FF"/>
                      <w:szCs w:val="21"/>
                    </w:rPr>
                  </w:pPr>
                  <w:r>
                    <w:rPr>
                      <w:rFonts w:hint="eastAsia" w:ascii="宋体" w:hAnsi="宋体"/>
                      <w:color w:val="0000FF"/>
                      <w:szCs w:val="21"/>
                    </w:rPr>
                    <w:t>0.</w:t>
                  </w:r>
                  <w:r>
                    <w:rPr>
                      <w:rFonts w:ascii="宋体" w:hAnsi="宋体"/>
                      <w:color w:val="0000FF"/>
                      <w:szCs w:val="21"/>
                    </w:rPr>
                    <w:t>1</w:t>
                  </w:r>
                  <w:r>
                    <w:rPr>
                      <w:rFonts w:hint="eastAsia" w:ascii="宋体" w:hAnsi="宋体"/>
                      <w:color w:val="0000FF"/>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tcBorders>
                    <w:top w:val="single" w:color="auto" w:sz="4" w:space="0"/>
                    <w:left w:val="single" w:color="auto" w:sz="8" w:space="0"/>
                    <w:bottom w:val="single" w:color="auto" w:sz="4" w:space="0"/>
                    <w:right w:val="single" w:color="auto" w:sz="4" w:space="0"/>
                  </w:tcBorders>
                  <w:vAlign w:val="center"/>
                </w:tcPr>
                <w:p>
                  <w:pPr>
                    <w:spacing w:line="440" w:lineRule="exact"/>
                    <w:jc w:val="center"/>
                    <w:rPr>
                      <w:rFonts w:ascii="宋体" w:hAnsi="宋体"/>
                      <w:color w:val="0000FF"/>
                      <w:szCs w:val="21"/>
                    </w:rPr>
                  </w:pPr>
                  <w:r>
                    <w:rPr>
                      <w:rFonts w:hint="eastAsia" w:ascii="宋体" w:hAnsi="宋体"/>
                      <w:color w:val="0000FF"/>
                      <w:szCs w:val="21"/>
                    </w:rPr>
                    <w:t>10000-100000部分</w:t>
                  </w:r>
                </w:p>
              </w:tc>
              <w:tc>
                <w:tcPr>
                  <w:tcW w:w="3083" w:type="dxa"/>
                  <w:tcBorders>
                    <w:top w:val="single" w:color="auto" w:sz="4" w:space="0"/>
                    <w:left w:val="single" w:color="auto" w:sz="4" w:space="0"/>
                    <w:bottom w:val="single" w:color="auto" w:sz="4" w:space="0"/>
                    <w:right w:val="single" w:color="auto" w:sz="8" w:space="0"/>
                  </w:tcBorders>
                  <w:vAlign w:val="center"/>
                </w:tcPr>
                <w:p>
                  <w:pPr>
                    <w:spacing w:line="440" w:lineRule="exact"/>
                    <w:jc w:val="center"/>
                    <w:rPr>
                      <w:rFonts w:ascii="宋体" w:hAnsi="宋体"/>
                      <w:color w:val="0000FF"/>
                      <w:szCs w:val="21"/>
                    </w:rPr>
                  </w:pPr>
                  <w:r>
                    <w:rPr>
                      <w:rFonts w:hint="eastAsia" w:ascii="宋体" w:hAnsi="宋体"/>
                      <w:color w:val="0000FF"/>
                      <w:szCs w:val="21"/>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0" w:type="dxa"/>
                  <w:tcBorders>
                    <w:top w:val="single" w:color="auto" w:sz="4" w:space="0"/>
                    <w:left w:val="single" w:color="auto" w:sz="8" w:space="0"/>
                    <w:bottom w:val="single" w:color="auto" w:sz="8" w:space="0"/>
                    <w:right w:val="single" w:color="auto" w:sz="4" w:space="0"/>
                  </w:tcBorders>
                  <w:vAlign w:val="center"/>
                </w:tcPr>
                <w:p>
                  <w:pPr>
                    <w:spacing w:line="440" w:lineRule="exact"/>
                    <w:jc w:val="center"/>
                    <w:rPr>
                      <w:rFonts w:ascii="宋体" w:hAnsi="宋体"/>
                      <w:color w:val="0000FF"/>
                      <w:szCs w:val="21"/>
                    </w:rPr>
                  </w:pPr>
                  <w:r>
                    <w:rPr>
                      <w:rFonts w:hint="eastAsia" w:ascii="宋体" w:hAnsi="宋体"/>
                      <w:color w:val="0000FF"/>
                      <w:szCs w:val="21"/>
                    </w:rPr>
                    <w:t>100000以上部分</w:t>
                  </w:r>
                </w:p>
              </w:tc>
              <w:tc>
                <w:tcPr>
                  <w:tcW w:w="3083" w:type="dxa"/>
                  <w:tcBorders>
                    <w:top w:val="single" w:color="auto" w:sz="4" w:space="0"/>
                    <w:left w:val="single" w:color="auto" w:sz="4" w:space="0"/>
                    <w:bottom w:val="single" w:color="auto" w:sz="8" w:space="0"/>
                    <w:right w:val="single" w:color="auto" w:sz="8" w:space="0"/>
                  </w:tcBorders>
                  <w:vAlign w:val="center"/>
                </w:tcPr>
                <w:p>
                  <w:pPr>
                    <w:spacing w:line="440" w:lineRule="exact"/>
                    <w:jc w:val="center"/>
                    <w:rPr>
                      <w:rFonts w:ascii="宋体" w:hAnsi="宋体"/>
                      <w:color w:val="0000FF"/>
                      <w:szCs w:val="21"/>
                    </w:rPr>
                  </w:pPr>
                  <w:r>
                    <w:rPr>
                      <w:rFonts w:hint="eastAsia" w:ascii="宋体" w:hAnsi="宋体"/>
                      <w:color w:val="0000FF"/>
                      <w:szCs w:val="21"/>
                    </w:rPr>
                    <w:t>0.01%</w:t>
                  </w:r>
                </w:p>
              </w:tc>
            </w:tr>
          </w:tbl>
          <w:p>
            <w:pPr>
              <w:spacing w:line="440" w:lineRule="exact"/>
              <w:rPr>
                <w:rFonts w:ascii="宋体" w:hAnsi="宋体"/>
                <w:snapToGrid w:val="0"/>
                <w:color w:val="0000FF"/>
                <w:kern w:val="0"/>
                <w:szCs w:val="21"/>
              </w:rPr>
            </w:pPr>
            <w:r>
              <w:rPr>
                <w:rFonts w:hint="eastAsia" w:ascii="宋体" w:hAnsi="宋体"/>
                <w:snapToGrid w:val="0"/>
                <w:color w:val="0000FF"/>
                <w:kern w:val="0"/>
                <w:szCs w:val="21"/>
              </w:rPr>
              <w:t>例如：成交金额为200万元，则采购代理服务费金额为：100×1.5%+（200-100）×</w:t>
            </w:r>
            <w:r>
              <w:rPr>
                <w:rFonts w:ascii="宋体" w:hAnsi="宋体"/>
                <w:snapToGrid w:val="0"/>
                <w:color w:val="0000FF"/>
                <w:kern w:val="0"/>
                <w:szCs w:val="21"/>
              </w:rPr>
              <w:t>0.8</w:t>
            </w:r>
            <w:r>
              <w:rPr>
                <w:rFonts w:hint="eastAsia" w:ascii="宋体" w:hAnsi="宋体"/>
                <w:snapToGrid w:val="0"/>
                <w:color w:val="0000FF"/>
                <w:kern w:val="0"/>
                <w:szCs w:val="21"/>
              </w:rPr>
              <w:t>%=2.</w:t>
            </w:r>
            <w:r>
              <w:rPr>
                <w:rFonts w:ascii="宋体" w:hAnsi="宋体"/>
                <w:snapToGrid w:val="0"/>
                <w:color w:val="0000FF"/>
                <w:kern w:val="0"/>
                <w:szCs w:val="21"/>
              </w:rPr>
              <w:t>3</w:t>
            </w:r>
            <w:r>
              <w:rPr>
                <w:rFonts w:hint="eastAsia" w:ascii="宋体" w:hAnsi="宋体"/>
                <w:snapToGrid w:val="0"/>
                <w:color w:val="0000FF"/>
                <w:kern w:val="0"/>
                <w:szCs w:val="21"/>
              </w:rPr>
              <w:t>（万元）。</w:t>
            </w:r>
          </w:p>
          <w:p>
            <w:pPr>
              <w:spacing w:line="440" w:lineRule="exact"/>
              <w:rPr>
                <w:rFonts w:ascii="宋体" w:hAnsi="宋体"/>
                <w:snapToGrid w:val="0"/>
                <w:color w:val="0000FF"/>
                <w:kern w:val="0"/>
                <w:szCs w:val="21"/>
              </w:rPr>
            </w:pPr>
            <w:r>
              <w:rPr>
                <w:rFonts w:hint="eastAsia" w:ascii="宋体" w:hAnsi="宋体"/>
                <w:snapToGrid w:val="0"/>
                <w:color w:val="0000FF"/>
                <w:kern w:val="0"/>
                <w:szCs w:val="21"/>
              </w:rPr>
              <w:t>□ 定额收取：</w:t>
            </w:r>
          </w:p>
          <w:p>
            <w:pPr>
              <w:spacing w:line="440" w:lineRule="exact"/>
              <w:rPr>
                <w:rFonts w:ascii="宋体" w:hAnsi="宋体"/>
                <w:color w:val="0000FF"/>
                <w:szCs w:val="21"/>
              </w:rPr>
            </w:pPr>
            <w:r>
              <w:rPr>
                <w:rFonts w:hint="eastAsia" w:ascii="宋体" w:hAnsi="宋体"/>
                <w:snapToGrid w:val="0"/>
                <w:color w:val="0000FF"/>
                <w:kern w:val="0"/>
                <w:szCs w:val="21"/>
              </w:rPr>
              <w:t>本项目按定额收取采购代理服务费，收费金额为人民币</w:t>
            </w:r>
            <w:r>
              <w:rPr>
                <w:rFonts w:hint="eastAsia" w:ascii="宋体" w:hAnsi="宋体"/>
                <w:snapToGrid w:val="0"/>
                <w:color w:val="0000FF"/>
                <w:kern w:val="0"/>
                <w:szCs w:val="21"/>
                <w:u w:val="single"/>
              </w:rPr>
              <w:t xml:space="preserve">     </w:t>
            </w:r>
            <w:r>
              <w:rPr>
                <w:rFonts w:hint="eastAsia" w:ascii="宋体" w:hAnsi="宋体"/>
                <w:snapToGrid w:val="0"/>
                <w:color w:val="0000FF"/>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Align w:val="center"/>
          </w:tcPr>
          <w:p>
            <w:pPr>
              <w:spacing w:line="440" w:lineRule="exact"/>
              <w:jc w:val="center"/>
              <w:rPr>
                <w:rFonts w:asciiTheme="minorEastAsia" w:hAnsiTheme="minorEastAsia"/>
                <w:color w:val="0000FF"/>
                <w:szCs w:val="21"/>
              </w:rPr>
            </w:pPr>
            <w:r>
              <w:rPr>
                <w:rFonts w:hint="eastAsia" w:asciiTheme="minorEastAsia" w:hAnsiTheme="minorEastAsia"/>
                <w:color w:val="0000FF"/>
                <w:szCs w:val="21"/>
              </w:rPr>
              <w:t>15</w:t>
            </w:r>
          </w:p>
        </w:tc>
        <w:tc>
          <w:tcPr>
            <w:tcW w:w="1839" w:type="dxa"/>
            <w:vAlign w:val="center"/>
          </w:tcPr>
          <w:p>
            <w:pPr>
              <w:spacing w:line="440" w:lineRule="exact"/>
              <w:jc w:val="left"/>
              <w:rPr>
                <w:rFonts w:asciiTheme="minorEastAsia" w:hAnsiTheme="minorEastAsia"/>
                <w:color w:val="0000FF"/>
                <w:szCs w:val="21"/>
              </w:rPr>
            </w:pPr>
            <w:r>
              <w:rPr>
                <w:rFonts w:hint="eastAsia" w:asciiTheme="minorEastAsia" w:hAnsiTheme="minorEastAsia"/>
                <w:bCs/>
                <w:color w:val="0000FF"/>
                <w:szCs w:val="21"/>
              </w:rPr>
              <w:t>现场踏勘的注意事项（如有）</w:t>
            </w:r>
          </w:p>
        </w:tc>
        <w:tc>
          <w:tcPr>
            <w:tcW w:w="6319" w:type="dxa"/>
            <w:vAlign w:val="center"/>
          </w:tcPr>
          <w:p>
            <w:pPr>
              <w:spacing w:line="440" w:lineRule="exact"/>
              <w:rPr>
                <w:rFonts w:asciiTheme="minorEastAsia" w:hAnsiTheme="minorEastAsia"/>
                <w:color w:val="0000FF"/>
                <w:szCs w:val="21"/>
              </w:rPr>
            </w:pPr>
            <w:r>
              <w:rPr>
                <w:rFonts w:hint="eastAsia" w:asciiTheme="minorEastAsia" w:hAnsiTheme="minorEastAsia"/>
                <w:color w:val="0000FF"/>
                <w:szCs w:val="21"/>
              </w:rPr>
              <w:t>1、采购单位组织供应商对项目现场及周围环境进行考察，以便供应商获取有关编制应答文件和签署合同所需的所有资料。现场考察所发生的费用由供应商自己承担。供应商应按本采购文件所约定的时间、地点统一踏勘现场，供应商未参与统一组织踏勘现场的，采购单位有权拒绝其进入项目现场；</w:t>
            </w:r>
          </w:p>
          <w:p>
            <w:pPr>
              <w:spacing w:line="440" w:lineRule="exact"/>
              <w:rPr>
                <w:rFonts w:asciiTheme="minorEastAsia" w:hAnsiTheme="minorEastAsia"/>
                <w:color w:val="0000FF"/>
                <w:szCs w:val="21"/>
              </w:rPr>
            </w:pPr>
            <w:r>
              <w:rPr>
                <w:rFonts w:hint="eastAsia" w:asciiTheme="minorEastAsia" w:hAnsiTheme="minorEastAsia"/>
                <w:color w:val="0000FF"/>
                <w:szCs w:val="21"/>
              </w:rPr>
              <w:t>2、任何人或任何组织在考察现场时向供应商提交的任何书面或口头上的资料，未经我司在网上发布或书面通知，均作无效处理。我司对供应商由此而做出的推论、理解和结论概不负责；</w:t>
            </w:r>
          </w:p>
          <w:p>
            <w:pPr>
              <w:spacing w:line="440" w:lineRule="exact"/>
              <w:rPr>
                <w:rFonts w:asciiTheme="minorEastAsia" w:hAnsiTheme="minorEastAsia"/>
                <w:color w:val="0000FF"/>
                <w:szCs w:val="21"/>
              </w:rPr>
            </w:pPr>
            <w:r>
              <w:rPr>
                <w:rFonts w:hint="eastAsia" w:asciiTheme="minorEastAsia" w:hAnsiTheme="minorEastAsia"/>
                <w:color w:val="0000FF"/>
                <w:szCs w:val="21"/>
              </w:rPr>
              <w:t>3、供应商及其人员经过采购单位的允许，可为供应商提供以考察目的进入采购单位的项目现场，但供应商及其人员不得因此使代理机构、采购单位及其人员承担有关的责任和蒙受损失。供应商并应对由此次考察现场而造成的死亡、人身伤害、财产损失、损害以及任何其它损失、损害和引起的费用和开支自行承担责任；</w:t>
            </w:r>
          </w:p>
          <w:p>
            <w:pPr>
              <w:spacing w:line="440" w:lineRule="exact"/>
              <w:rPr>
                <w:rFonts w:asciiTheme="minorEastAsia" w:hAnsiTheme="minorEastAsia"/>
                <w:color w:val="0000FF"/>
                <w:szCs w:val="21"/>
              </w:rPr>
            </w:pPr>
            <w:r>
              <w:rPr>
                <w:rFonts w:hint="eastAsia" w:asciiTheme="minorEastAsia" w:hAnsiTheme="minorEastAsia"/>
                <w:color w:val="0000FF"/>
                <w:szCs w:val="21"/>
              </w:rPr>
              <w:t>4、未参与现场踏勘不</w:t>
            </w:r>
            <w:r>
              <w:rPr>
                <w:rFonts w:hint="eastAsia" w:asciiTheme="minorEastAsia" w:hAnsiTheme="minorEastAsia"/>
                <w:color w:val="0000FF"/>
                <w:szCs w:val="21"/>
                <w:lang w:val="en-US" w:eastAsia="zh-CN"/>
              </w:rPr>
              <w:t>作为</w:t>
            </w:r>
            <w:r>
              <w:rPr>
                <w:rFonts w:hint="eastAsia" w:asciiTheme="minorEastAsia" w:hAnsiTheme="minorEastAsia"/>
                <w:color w:val="0000FF"/>
                <w:szCs w:val="21"/>
              </w:rPr>
              <w:t>否定供应商资格的理由。</w:t>
            </w:r>
          </w:p>
        </w:tc>
      </w:tr>
    </w:tbl>
    <w:p>
      <w:pPr>
        <w:spacing w:line="340" w:lineRule="exact"/>
        <w:rPr>
          <w:rFonts w:ascii="宋体" w:hAnsi="宋体"/>
          <w:b/>
          <w:bCs/>
          <w:color w:val="0000FF"/>
          <w:szCs w:val="21"/>
        </w:rPr>
      </w:pPr>
      <w:r>
        <w:rPr>
          <w:rFonts w:hint="eastAsia" w:ascii="宋体" w:hAnsi="宋体"/>
          <w:b/>
          <w:bCs/>
          <w:color w:val="0000FF"/>
          <w:szCs w:val="21"/>
        </w:rPr>
        <w:t>备注：</w:t>
      </w:r>
      <w:r>
        <w:rPr>
          <w:rFonts w:hint="eastAsia" w:ascii="宋体" w:hAnsi="宋体"/>
          <w:snapToGrid w:val="0"/>
          <w:color w:val="0000FF"/>
          <w:kern w:val="0"/>
          <w:szCs w:val="21"/>
        </w:rPr>
        <w:t>用“</w:t>
      </w:r>
      <w:r>
        <w:rPr>
          <w:rFonts w:hint="eastAsia" w:ascii="MS Mincho" w:hAnsi="MS Mincho" w:cs="MS Mincho"/>
          <w:snapToGrid w:val="0"/>
          <w:color w:val="0000FF"/>
          <w:kern w:val="0"/>
          <w:szCs w:val="21"/>
        </w:rPr>
        <w:t>■</w:t>
      </w:r>
      <w:r>
        <w:rPr>
          <w:rFonts w:hint="eastAsia" w:ascii="宋体" w:hAnsi="宋体"/>
          <w:snapToGrid w:val="0"/>
          <w:color w:val="0000FF"/>
          <w:kern w:val="0"/>
          <w:szCs w:val="21"/>
        </w:rPr>
        <w:t>”标识时表明该</w:t>
      </w:r>
      <w:r>
        <w:rPr>
          <w:rFonts w:hint="eastAsia"/>
          <w:color w:val="0000FF"/>
          <w:szCs w:val="21"/>
        </w:rPr>
        <w:t>选项</w:t>
      </w:r>
      <w:r>
        <w:rPr>
          <w:rFonts w:hint="eastAsia" w:ascii="宋体" w:hAnsi="宋体"/>
          <w:snapToGrid w:val="0"/>
          <w:color w:val="0000FF"/>
          <w:kern w:val="0"/>
          <w:szCs w:val="21"/>
        </w:rPr>
        <w:t>被采购人选用，用“□”标识时表明该选项未被采购人选用。</w:t>
      </w:r>
    </w:p>
    <w:p>
      <w:pPr>
        <w:spacing w:after="250" w:afterLines="50"/>
        <w:outlineLvl w:val="1"/>
        <w:rPr>
          <w:rFonts w:ascii="微软雅黑" w:hAnsi="微软雅黑" w:eastAsia="微软雅黑" w:cs="微软雅黑"/>
          <w:b/>
          <w:color w:val="000000"/>
          <w:sz w:val="30"/>
          <w:szCs w:val="30"/>
        </w:rPr>
      </w:pPr>
      <w:r>
        <w:rPr>
          <w:rFonts w:ascii="宋体" w:hAnsi="宋体"/>
          <w:color w:val="000000"/>
          <w:sz w:val="24"/>
        </w:rPr>
        <w:br w:type="page"/>
      </w:r>
      <w:bookmarkStart w:id="7" w:name="_Toc905"/>
      <w:bookmarkStart w:id="8" w:name="_Toc333392137"/>
      <w:r>
        <w:rPr>
          <w:rFonts w:hint="eastAsia" w:ascii="微软雅黑" w:hAnsi="微软雅黑" w:eastAsia="微软雅黑" w:cs="微软雅黑"/>
          <w:b/>
          <w:color w:val="000000"/>
          <w:sz w:val="28"/>
          <w:szCs w:val="28"/>
        </w:rPr>
        <w:t>第二部分  供应商须知</w:t>
      </w:r>
      <w:bookmarkEnd w:id="7"/>
      <w:bookmarkEnd w:id="8"/>
    </w:p>
    <w:p>
      <w:pPr>
        <w:spacing w:line="440" w:lineRule="exact"/>
        <w:jc w:val="center"/>
        <w:outlineLvl w:val="2"/>
        <w:rPr>
          <w:rFonts w:ascii="宋体" w:hAnsi="宋体"/>
          <w:b/>
          <w:bCs/>
          <w:color w:val="000000"/>
          <w:szCs w:val="21"/>
        </w:rPr>
      </w:pPr>
      <w:bookmarkStart w:id="9" w:name="_Toc24790"/>
      <w:r>
        <w:rPr>
          <w:rFonts w:hint="eastAsia" w:ascii="宋体" w:hAnsi="宋体"/>
          <w:b/>
          <w:bCs/>
          <w:color w:val="000000"/>
          <w:szCs w:val="21"/>
        </w:rPr>
        <w:t>一、总则</w:t>
      </w:r>
      <w:bookmarkEnd w:id="9"/>
    </w:p>
    <w:p>
      <w:pPr>
        <w:spacing w:line="440" w:lineRule="exact"/>
        <w:ind w:firstLine="422" w:firstLineChars="200"/>
        <w:outlineLvl w:val="3"/>
        <w:rPr>
          <w:rFonts w:ascii="宋体" w:hAnsi="宋体"/>
          <w:b/>
          <w:bCs/>
          <w:color w:val="000000"/>
          <w:szCs w:val="21"/>
        </w:rPr>
      </w:pPr>
      <w:bookmarkStart w:id="10" w:name="_Toc31876"/>
      <w:r>
        <w:rPr>
          <w:rFonts w:hint="eastAsia" w:ascii="宋体" w:hAnsi="宋体"/>
          <w:b/>
          <w:bCs/>
          <w:color w:val="000000"/>
          <w:szCs w:val="21"/>
        </w:rPr>
        <w:t>1．适用范围</w:t>
      </w:r>
      <w:bookmarkEnd w:id="10"/>
    </w:p>
    <w:p>
      <w:pPr>
        <w:spacing w:line="440" w:lineRule="exact"/>
        <w:ind w:firstLine="420" w:firstLineChars="200"/>
        <w:rPr>
          <w:rFonts w:ascii="宋体" w:hAnsi="宋体"/>
          <w:color w:val="000000"/>
          <w:szCs w:val="21"/>
        </w:rPr>
      </w:pPr>
      <w:r>
        <w:rPr>
          <w:rFonts w:hint="eastAsia" w:ascii="宋体" w:hAnsi="宋体"/>
          <w:color w:val="000000"/>
          <w:szCs w:val="21"/>
        </w:rPr>
        <w:t>1.1  本采购文件仅适用于本次采购邀请书中所叙述项目的采购。</w:t>
      </w:r>
    </w:p>
    <w:p>
      <w:pPr>
        <w:spacing w:line="440" w:lineRule="exact"/>
        <w:ind w:firstLine="422" w:firstLineChars="200"/>
        <w:outlineLvl w:val="3"/>
        <w:rPr>
          <w:rFonts w:ascii="宋体" w:hAnsi="宋体"/>
          <w:b/>
          <w:bCs/>
          <w:color w:val="000000"/>
          <w:szCs w:val="21"/>
        </w:rPr>
      </w:pPr>
      <w:bookmarkStart w:id="11" w:name="_Toc12207"/>
      <w:r>
        <w:rPr>
          <w:rFonts w:hint="eastAsia" w:ascii="宋体" w:hAnsi="宋体"/>
          <w:b/>
          <w:bCs/>
          <w:color w:val="000000"/>
          <w:szCs w:val="21"/>
        </w:rPr>
        <w:t>2．定义</w:t>
      </w:r>
      <w:bookmarkEnd w:id="11"/>
    </w:p>
    <w:p>
      <w:pPr>
        <w:spacing w:line="440" w:lineRule="exact"/>
        <w:ind w:firstLine="420" w:firstLineChars="200"/>
        <w:rPr>
          <w:rFonts w:ascii="宋体" w:hAnsi="宋体"/>
          <w:color w:val="000000"/>
          <w:szCs w:val="21"/>
        </w:rPr>
      </w:pPr>
      <w:r>
        <w:rPr>
          <w:rFonts w:hint="eastAsia" w:ascii="宋体" w:hAnsi="宋体"/>
          <w:color w:val="000000"/>
          <w:szCs w:val="21"/>
        </w:rPr>
        <w:t>2.1  “代理机构”系指组织本次采购的深圳交易咨询集团有限公司。</w:t>
      </w:r>
    </w:p>
    <w:p>
      <w:pPr>
        <w:spacing w:line="440" w:lineRule="exact"/>
        <w:ind w:firstLine="420" w:firstLineChars="200"/>
        <w:rPr>
          <w:rFonts w:ascii="宋体" w:hAnsi="宋体"/>
          <w:color w:val="000000"/>
          <w:szCs w:val="21"/>
        </w:rPr>
      </w:pPr>
      <w:r>
        <w:rPr>
          <w:rFonts w:hint="eastAsia" w:ascii="宋体" w:hAnsi="宋体"/>
          <w:color w:val="000000"/>
          <w:szCs w:val="21"/>
        </w:rPr>
        <w:t>2.2  “采购人”“采购方”“采购单位”是指利用财政性资金依法进行政府采购的国家机关、事业单位、团体组织等。</w:t>
      </w:r>
    </w:p>
    <w:p>
      <w:pPr>
        <w:spacing w:line="440" w:lineRule="exact"/>
        <w:ind w:firstLine="420" w:firstLineChars="200"/>
        <w:rPr>
          <w:rFonts w:ascii="宋体" w:hAnsi="宋体"/>
          <w:color w:val="000000"/>
          <w:szCs w:val="21"/>
        </w:rPr>
      </w:pPr>
      <w:r>
        <w:rPr>
          <w:rFonts w:hint="eastAsia" w:ascii="宋体" w:hAnsi="宋体"/>
          <w:color w:val="000000"/>
          <w:szCs w:val="21"/>
        </w:rPr>
        <w:t>2.3  “供应商”是指参加应答竞争的依法成立的单位，并愿意按照采购文件要求向采购人提供货物、工程或者服务的法人、其他组织或者自然人。</w:t>
      </w:r>
    </w:p>
    <w:p>
      <w:pPr>
        <w:spacing w:line="440" w:lineRule="exact"/>
        <w:ind w:firstLine="422" w:firstLineChars="200"/>
        <w:outlineLvl w:val="3"/>
        <w:rPr>
          <w:rFonts w:ascii="宋体" w:hAnsi="宋体"/>
          <w:b/>
          <w:bCs/>
          <w:color w:val="000000"/>
          <w:szCs w:val="21"/>
        </w:rPr>
      </w:pPr>
      <w:bookmarkStart w:id="12" w:name="_Toc24765"/>
      <w:r>
        <w:rPr>
          <w:rFonts w:hint="eastAsia" w:ascii="宋体" w:hAnsi="宋体"/>
          <w:b/>
          <w:color w:val="000000"/>
          <w:szCs w:val="21"/>
        </w:rPr>
        <w:t>3</w:t>
      </w:r>
      <w:r>
        <w:rPr>
          <w:rFonts w:hint="eastAsia" w:ascii="宋体" w:hAnsi="宋体"/>
          <w:b/>
          <w:bCs/>
          <w:color w:val="000000"/>
          <w:szCs w:val="21"/>
        </w:rPr>
        <w:t>．合格的供应商</w:t>
      </w:r>
      <w:bookmarkEnd w:id="12"/>
    </w:p>
    <w:p>
      <w:pPr>
        <w:spacing w:line="440" w:lineRule="exact"/>
        <w:ind w:firstLine="420" w:firstLineChars="200"/>
        <w:rPr>
          <w:rFonts w:ascii="宋体" w:hAnsi="宋体"/>
          <w:color w:val="000000"/>
          <w:szCs w:val="21"/>
        </w:rPr>
      </w:pPr>
      <w:r>
        <w:rPr>
          <w:rFonts w:hint="eastAsia" w:ascii="宋体" w:hAnsi="宋体"/>
          <w:color w:val="000000"/>
          <w:szCs w:val="21"/>
        </w:rPr>
        <w:t xml:space="preserve">3.1  </w:t>
      </w:r>
      <w:r>
        <w:rPr>
          <w:rFonts w:hint="eastAsia"/>
          <w:color w:val="000000"/>
          <w:szCs w:val="21"/>
        </w:rPr>
        <w:t>在中华人民共和国境内进行登记注册，并有能力按本次采购文件的要求保证按时、按质、按量提供采购货物或服务的供应商。</w:t>
      </w:r>
    </w:p>
    <w:p>
      <w:pPr>
        <w:spacing w:line="440" w:lineRule="exact"/>
        <w:ind w:firstLine="420" w:firstLineChars="200"/>
        <w:rPr>
          <w:rFonts w:ascii="宋体" w:hAnsi="宋体"/>
          <w:color w:val="000000"/>
          <w:szCs w:val="21"/>
        </w:rPr>
      </w:pPr>
      <w:r>
        <w:rPr>
          <w:rFonts w:hint="eastAsia" w:ascii="宋体" w:hAnsi="宋体"/>
          <w:color w:val="000000"/>
          <w:szCs w:val="21"/>
        </w:rPr>
        <w:t>3.2  合格的供应商应具有本采购项目的相应资质和条件，即“采购邀请书”中所要求的资质和条件。</w:t>
      </w:r>
    </w:p>
    <w:p>
      <w:pPr>
        <w:spacing w:line="440" w:lineRule="exact"/>
        <w:ind w:firstLine="422" w:firstLineChars="200"/>
        <w:outlineLvl w:val="3"/>
        <w:rPr>
          <w:rFonts w:ascii="宋体" w:hAnsi="宋体"/>
          <w:b/>
          <w:bCs/>
          <w:color w:val="000000"/>
          <w:szCs w:val="21"/>
        </w:rPr>
      </w:pPr>
      <w:bookmarkStart w:id="13" w:name="_Toc5718"/>
      <w:r>
        <w:rPr>
          <w:rFonts w:hint="eastAsia" w:ascii="宋体" w:hAnsi="宋体"/>
          <w:b/>
          <w:bCs/>
          <w:color w:val="000000"/>
          <w:szCs w:val="21"/>
        </w:rPr>
        <w:t>4．应答费用</w:t>
      </w:r>
      <w:bookmarkEnd w:id="13"/>
    </w:p>
    <w:p>
      <w:pPr>
        <w:spacing w:line="440" w:lineRule="exact"/>
        <w:ind w:firstLine="420" w:firstLineChars="200"/>
        <w:rPr>
          <w:rFonts w:ascii="宋体" w:hAnsi="宋体"/>
          <w:color w:val="000000"/>
          <w:szCs w:val="21"/>
        </w:rPr>
      </w:pPr>
      <w:r>
        <w:rPr>
          <w:rFonts w:hint="eastAsia" w:ascii="宋体" w:hAnsi="宋体"/>
          <w:color w:val="000000"/>
          <w:szCs w:val="21"/>
        </w:rPr>
        <w:t>4.1  供应商应承担所有与编写和提交应答文件有关的费用，不论应答的结果如何，代理机构和采购方在任何情况下均无义务和责任承担这些费用。</w:t>
      </w:r>
    </w:p>
    <w:p>
      <w:pPr>
        <w:spacing w:line="440" w:lineRule="exact"/>
        <w:ind w:firstLine="645"/>
        <w:jc w:val="center"/>
        <w:outlineLvl w:val="2"/>
        <w:rPr>
          <w:rFonts w:ascii="宋体" w:hAnsi="宋体"/>
          <w:b/>
          <w:bCs/>
          <w:color w:val="000000"/>
          <w:szCs w:val="21"/>
        </w:rPr>
      </w:pPr>
      <w:bookmarkStart w:id="14" w:name="_Toc25076"/>
      <w:r>
        <w:rPr>
          <w:rFonts w:hint="eastAsia" w:ascii="宋体" w:hAnsi="宋体"/>
          <w:b/>
          <w:bCs/>
          <w:color w:val="000000"/>
          <w:szCs w:val="21"/>
        </w:rPr>
        <w:t>二、采购文件</w:t>
      </w:r>
      <w:bookmarkEnd w:id="14"/>
    </w:p>
    <w:p>
      <w:pPr>
        <w:spacing w:line="440" w:lineRule="exact"/>
        <w:ind w:firstLine="422" w:firstLineChars="200"/>
        <w:outlineLvl w:val="3"/>
        <w:rPr>
          <w:rFonts w:ascii="宋体" w:hAnsi="宋体"/>
          <w:b/>
          <w:bCs/>
          <w:color w:val="000000"/>
          <w:szCs w:val="21"/>
        </w:rPr>
      </w:pPr>
      <w:bookmarkStart w:id="15" w:name="_Toc9674"/>
      <w:r>
        <w:rPr>
          <w:rFonts w:hint="eastAsia" w:ascii="宋体" w:hAnsi="宋体"/>
          <w:b/>
          <w:bCs/>
          <w:color w:val="000000"/>
          <w:szCs w:val="21"/>
        </w:rPr>
        <w:t>5．采购文件构成</w:t>
      </w:r>
      <w:bookmarkEnd w:id="15"/>
    </w:p>
    <w:p>
      <w:pPr>
        <w:spacing w:line="440" w:lineRule="exact"/>
        <w:rPr>
          <w:rFonts w:ascii="宋体" w:hAnsi="宋体"/>
          <w:color w:val="000000"/>
          <w:szCs w:val="21"/>
        </w:rPr>
      </w:pPr>
      <w:r>
        <w:rPr>
          <w:rFonts w:hint="eastAsia" w:ascii="宋体" w:hAnsi="宋体"/>
          <w:color w:val="000000"/>
          <w:szCs w:val="21"/>
        </w:rPr>
        <w:t xml:space="preserve">    5</w:t>
      </w:r>
      <w:r>
        <w:rPr>
          <w:rFonts w:ascii="宋体" w:hAnsi="宋体"/>
          <w:color w:val="000000"/>
          <w:szCs w:val="21"/>
        </w:rPr>
        <w:t>.</w:t>
      </w:r>
      <w:r>
        <w:rPr>
          <w:rFonts w:hint="eastAsia" w:ascii="宋体" w:hAnsi="宋体"/>
          <w:color w:val="000000"/>
          <w:szCs w:val="21"/>
        </w:rPr>
        <w:t>1  要求供应商对采购项目的要求、采购过程和合同条款等在采购文件中均有说明。采购文件包括：</w:t>
      </w:r>
    </w:p>
    <w:p>
      <w:pPr>
        <w:spacing w:line="440" w:lineRule="exact"/>
        <w:ind w:firstLine="420"/>
        <w:rPr>
          <w:rFonts w:ascii="宋体" w:hAnsi="宋体"/>
          <w:color w:val="000000"/>
          <w:szCs w:val="21"/>
        </w:rPr>
      </w:pPr>
      <w:r>
        <w:rPr>
          <w:rFonts w:hint="eastAsia" w:ascii="宋体" w:hAnsi="宋体"/>
          <w:color w:val="000000"/>
          <w:szCs w:val="21"/>
        </w:rPr>
        <w:t xml:space="preserve">（1）采购邀请书；                            </w:t>
      </w:r>
    </w:p>
    <w:p>
      <w:pPr>
        <w:spacing w:line="440" w:lineRule="exact"/>
        <w:ind w:firstLine="420"/>
        <w:rPr>
          <w:rFonts w:ascii="宋体" w:hAnsi="宋体"/>
          <w:color w:val="000000"/>
          <w:szCs w:val="21"/>
        </w:rPr>
      </w:pPr>
      <w:r>
        <w:rPr>
          <w:rFonts w:hint="eastAsia" w:ascii="宋体" w:hAnsi="宋体"/>
          <w:color w:val="000000"/>
          <w:szCs w:val="21"/>
        </w:rPr>
        <w:t>（2）供应商须知及前附表；</w:t>
      </w:r>
    </w:p>
    <w:p>
      <w:pPr>
        <w:spacing w:line="440" w:lineRule="exact"/>
        <w:ind w:firstLine="405"/>
        <w:rPr>
          <w:rFonts w:ascii="宋体" w:hAnsi="宋体"/>
          <w:color w:val="000000"/>
          <w:szCs w:val="21"/>
        </w:rPr>
      </w:pPr>
      <w:r>
        <w:rPr>
          <w:rFonts w:hint="eastAsia" w:ascii="宋体" w:hAnsi="宋体"/>
          <w:color w:val="000000"/>
          <w:szCs w:val="21"/>
        </w:rPr>
        <w:t xml:space="preserve">（3）合同条款格式；                          </w:t>
      </w:r>
    </w:p>
    <w:p>
      <w:pPr>
        <w:spacing w:line="440" w:lineRule="exact"/>
        <w:ind w:firstLine="405"/>
        <w:rPr>
          <w:rFonts w:ascii="宋体" w:hAnsi="宋体"/>
          <w:color w:val="000000"/>
          <w:szCs w:val="21"/>
        </w:rPr>
      </w:pPr>
      <w:r>
        <w:rPr>
          <w:rFonts w:hint="eastAsia" w:ascii="宋体" w:hAnsi="宋体"/>
          <w:color w:val="000000"/>
          <w:szCs w:val="21"/>
        </w:rPr>
        <w:t>（4）需求及技术规格；</w:t>
      </w:r>
    </w:p>
    <w:p>
      <w:pPr>
        <w:spacing w:line="440" w:lineRule="exact"/>
        <w:ind w:firstLine="405"/>
        <w:rPr>
          <w:rFonts w:ascii="宋体" w:hAnsi="宋体"/>
          <w:color w:val="000000"/>
          <w:szCs w:val="21"/>
        </w:rPr>
      </w:pPr>
      <w:r>
        <w:rPr>
          <w:rFonts w:hint="eastAsia" w:ascii="宋体" w:hAnsi="宋体"/>
          <w:color w:val="000000"/>
          <w:szCs w:val="21"/>
        </w:rPr>
        <w:t xml:space="preserve">（5）应答文件格式；                          </w:t>
      </w:r>
    </w:p>
    <w:p>
      <w:pPr>
        <w:spacing w:line="440" w:lineRule="exact"/>
        <w:ind w:firstLine="405"/>
        <w:rPr>
          <w:rFonts w:ascii="宋体" w:hAnsi="宋体"/>
          <w:color w:val="000000"/>
          <w:szCs w:val="21"/>
        </w:rPr>
      </w:pPr>
      <w:r>
        <w:rPr>
          <w:rFonts w:hint="eastAsia" w:ascii="宋体" w:hAnsi="宋体"/>
          <w:color w:val="000000"/>
          <w:szCs w:val="21"/>
        </w:rPr>
        <w:t>（6）其他。</w:t>
      </w:r>
    </w:p>
    <w:p>
      <w:pPr>
        <w:spacing w:line="440" w:lineRule="exact"/>
        <w:rPr>
          <w:rFonts w:ascii="宋体" w:hAnsi="宋体"/>
          <w:color w:val="000000"/>
          <w:szCs w:val="21"/>
        </w:rPr>
      </w:pPr>
      <w:r>
        <w:rPr>
          <w:rFonts w:hint="eastAsia" w:ascii="宋体" w:hAnsi="宋体"/>
          <w:color w:val="000000"/>
          <w:szCs w:val="21"/>
        </w:rPr>
        <w:t xml:space="preserve">    5.2  供应商应认真阅读采购文件中所有的事项、格式、条款和规范要求。如果供应商没有按照采购文件要求提交全部资料或者应答文件没有对采购文件在各方面都作出实质性响应，是供应商的风险。没有实质上响应采购文件要求的应答将被拒绝。</w:t>
      </w:r>
    </w:p>
    <w:p>
      <w:pPr>
        <w:spacing w:line="440" w:lineRule="exact"/>
        <w:ind w:firstLine="422" w:firstLineChars="200"/>
        <w:outlineLvl w:val="3"/>
        <w:rPr>
          <w:rFonts w:ascii="宋体" w:hAnsi="宋体"/>
          <w:b/>
          <w:bCs/>
          <w:color w:val="000000"/>
          <w:szCs w:val="21"/>
        </w:rPr>
      </w:pPr>
      <w:bookmarkStart w:id="16" w:name="_Toc25189"/>
      <w:r>
        <w:rPr>
          <w:rFonts w:hint="eastAsia" w:ascii="宋体" w:hAnsi="宋体"/>
          <w:b/>
          <w:color w:val="000000"/>
          <w:szCs w:val="21"/>
        </w:rPr>
        <w:t>6</w:t>
      </w:r>
      <w:r>
        <w:rPr>
          <w:rFonts w:hint="eastAsia" w:ascii="宋体" w:hAnsi="宋体"/>
          <w:b/>
          <w:bCs/>
          <w:color w:val="000000"/>
          <w:szCs w:val="21"/>
        </w:rPr>
        <w:t>．采购文件的澄清</w:t>
      </w:r>
      <w:bookmarkEnd w:id="16"/>
    </w:p>
    <w:p>
      <w:pPr>
        <w:spacing w:line="440" w:lineRule="exact"/>
        <w:ind w:firstLine="420" w:firstLineChars="200"/>
        <w:rPr>
          <w:rFonts w:ascii="宋体" w:hAnsi="宋体"/>
          <w:color w:val="000000"/>
          <w:szCs w:val="21"/>
        </w:rPr>
      </w:pPr>
      <w:r>
        <w:rPr>
          <w:rFonts w:hint="eastAsia" w:ascii="宋体" w:hAnsi="宋体"/>
          <w:color w:val="000000"/>
          <w:szCs w:val="21"/>
        </w:rPr>
        <w:t xml:space="preserve">6.1  任何要求对采购文件进行澄清的供应商，均应按本采购文件第一章“答疑事项”规定的时间内，以书面形式通知代理机构。不论是代理机构根据需要主动对采购文件进行必要的澄清或是根据供应商的要求对采购文件做出澄清，代理机构将在“供应商须知前附表”所列信息发布网站以公开发布方式将答复内容发送给所有供应商。澄清纪要作为采购文件的组成部分，对供应商起约束作用。项目应答文件提交截至时间前，供应商有义务上网查看，公告一经上网发布，即视为送达。 </w:t>
      </w:r>
    </w:p>
    <w:p>
      <w:pPr>
        <w:spacing w:line="440" w:lineRule="exact"/>
        <w:ind w:firstLine="420" w:firstLineChars="200"/>
        <w:rPr>
          <w:rFonts w:ascii="宋体" w:hAnsi="宋体"/>
          <w:color w:val="000000"/>
          <w:szCs w:val="21"/>
        </w:rPr>
      </w:pPr>
      <w:r>
        <w:rPr>
          <w:rFonts w:hint="eastAsia" w:ascii="宋体" w:hAnsi="宋体"/>
          <w:color w:val="000000"/>
          <w:szCs w:val="21"/>
        </w:rPr>
        <w:t>6.2  对于在采购答疑没有提出澄清又参与了该项目应答的供应商将被视为完全认同该采购文件，采购文件规定的答疑期后不再受理针对采购文件的相关答疑。</w:t>
      </w:r>
    </w:p>
    <w:p>
      <w:pPr>
        <w:spacing w:line="440" w:lineRule="exact"/>
        <w:ind w:firstLine="420" w:firstLineChars="200"/>
        <w:rPr>
          <w:rFonts w:ascii="宋体" w:hAnsi="宋体"/>
          <w:color w:val="000000"/>
          <w:szCs w:val="21"/>
        </w:rPr>
      </w:pPr>
      <w:r>
        <w:rPr>
          <w:rFonts w:hint="eastAsia" w:ascii="宋体" w:hAnsi="宋体"/>
          <w:color w:val="000000"/>
          <w:szCs w:val="21"/>
        </w:rPr>
        <w:t>6.3  对采购文件中描述有</w:t>
      </w:r>
      <w:r>
        <w:rPr>
          <w:rFonts w:hint="eastAsia" w:ascii="宋体" w:hAnsi="宋体"/>
          <w:color w:val="000000"/>
          <w:szCs w:val="21"/>
          <w:lang w:val="en-US" w:eastAsia="zh-CN"/>
        </w:rPr>
        <w:t>歧义</w:t>
      </w:r>
      <w:r>
        <w:rPr>
          <w:rFonts w:hint="eastAsia" w:ascii="宋体" w:hAnsi="宋体"/>
          <w:color w:val="000000"/>
          <w:szCs w:val="21"/>
        </w:rPr>
        <w:t>或前后不一致的</w:t>
      </w:r>
      <w:r>
        <w:rPr>
          <w:rFonts w:hint="eastAsia"/>
          <w:color w:val="000000"/>
          <w:szCs w:val="21"/>
        </w:rPr>
        <w:t>地方，谈判小组有权进行评判，但对同一条款的评判应适用于每个供应商。</w:t>
      </w:r>
    </w:p>
    <w:p>
      <w:pPr>
        <w:spacing w:line="440" w:lineRule="exact"/>
        <w:ind w:firstLine="422" w:firstLineChars="200"/>
        <w:outlineLvl w:val="3"/>
        <w:rPr>
          <w:rFonts w:ascii="宋体" w:hAnsi="宋体"/>
          <w:b/>
          <w:bCs/>
          <w:color w:val="000000"/>
          <w:szCs w:val="21"/>
        </w:rPr>
      </w:pPr>
      <w:bookmarkStart w:id="17" w:name="_Toc24496"/>
      <w:r>
        <w:rPr>
          <w:rFonts w:hint="eastAsia" w:ascii="宋体" w:hAnsi="宋体"/>
          <w:b/>
          <w:bCs/>
          <w:color w:val="000000"/>
          <w:szCs w:val="21"/>
        </w:rPr>
        <w:t>7．采购文件的修改</w:t>
      </w:r>
      <w:bookmarkEnd w:id="17"/>
    </w:p>
    <w:p>
      <w:pPr>
        <w:spacing w:line="440" w:lineRule="exact"/>
        <w:ind w:firstLine="420" w:firstLineChars="200"/>
        <w:rPr>
          <w:rFonts w:ascii="宋体" w:hAnsi="宋体"/>
          <w:color w:val="000000"/>
          <w:szCs w:val="21"/>
        </w:rPr>
      </w:pPr>
      <w:r>
        <w:rPr>
          <w:rFonts w:hint="eastAsia" w:ascii="宋体" w:hAnsi="宋体"/>
          <w:color w:val="000000"/>
          <w:szCs w:val="21"/>
        </w:rPr>
        <w:t>7.1  在应答文件提交截至时间前，确需要变更采购文件内容的，代理机构可主动地或在解答供应商提出的澄清（答疑）问题时对采购文件进行修改；</w:t>
      </w:r>
    </w:p>
    <w:p>
      <w:pPr>
        <w:spacing w:line="440" w:lineRule="exact"/>
        <w:ind w:firstLine="420" w:firstLineChars="200"/>
        <w:rPr>
          <w:rFonts w:ascii="宋体" w:hAnsi="宋体"/>
          <w:color w:val="000000"/>
          <w:szCs w:val="21"/>
        </w:rPr>
      </w:pPr>
      <w:r>
        <w:rPr>
          <w:rFonts w:hint="eastAsia" w:ascii="宋体" w:hAnsi="宋体"/>
          <w:color w:val="000000"/>
          <w:szCs w:val="21"/>
        </w:rPr>
        <w:t>7.2  采购文件的修改将在“供应商须知前附表”所列信息发布网站以公开发布方式发送给所有供应商，采购文件的修改内容作为采购文件的组成部分，并具有约束力。项目应答文件提交截至时间前，供应商有义务上网查看，公告一经上网发布，即视为送达各供应商。</w:t>
      </w:r>
    </w:p>
    <w:p>
      <w:pPr>
        <w:spacing w:line="440" w:lineRule="exact"/>
        <w:ind w:firstLine="420" w:firstLineChars="200"/>
        <w:rPr>
          <w:rFonts w:ascii="宋体" w:hAnsi="宋体"/>
          <w:color w:val="000000"/>
          <w:szCs w:val="21"/>
        </w:rPr>
      </w:pPr>
      <w:r>
        <w:rPr>
          <w:rFonts w:hint="eastAsia" w:ascii="宋体" w:hAnsi="宋体"/>
          <w:color w:val="000000"/>
          <w:szCs w:val="21"/>
        </w:rPr>
        <w:t>7.3  采购文件澄清（答疑）内容、采购文件修改补充通知内容均以网站公开发布方式明确的内容为准。当采购文件、修改补充通知、澄清（答疑）内容相互矛盾时，以最后发出的通知或修改文件为准；</w:t>
      </w:r>
    </w:p>
    <w:p>
      <w:pPr>
        <w:spacing w:line="440" w:lineRule="exact"/>
        <w:ind w:firstLine="420" w:firstLineChars="200"/>
        <w:rPr>
          <w:rFonts w:ascii="宋体" w:hAnsi="宋体"/>
          <w:color w:val="000000"/>
          <w:szCs w:val="21"/>
        </w:rPr>
      </w:pPr>
      <w:r>
        <w:rPr>
          <w:rFonts w:hint="eastAsia" w:ascii="宋体" w:hAnsi="宋体"/>
          <w:color w:val="000000"/>
          <w:szCs w:val="21"/>
        </w:rPr>
        <w:t>7.4  代理机构保证采购文件澄清（答疑）内容和采购文件修改补充通知在应答文件提交截至时间前以网站公开发布形式发送给所有供应商。为使供应商在编写应答文件时有充分时间对采购文件的修改部分进行研究，代理机构可以根据具体情况考虑酌情延长递交应答文件的截止日期，如确需延长的，具体时间将在修改补充通知中明确。</w:t>
      </w:r>
    </w:p>
    <w:p>
      <w:pPr>
        <w:spacing w:line="440" w:lineRule="exact"/>
        <w:jc w:val="center"/>
        <w:outlineLvl w:val="2"/>
        <w:rPr>
          <w:rFonts w:ascii="宋体" w:hAnsi="宋体"/>
          <w:b/>
          <w:bCs/>
          <w:color w:val="000000"/>
          <w:szCs w:val="21"/>
        </w:rPr>
      </w:pPr>
      <w:bookmarkStart w:id="18" w:name="_Toc11308"/>
      <w:r>
        <w:rPr>
          <w:rFonts w:hint="eastAsia" w:ascii="宋体" w:hAnsi="宋体"/>
          <w:b/>
          <w:bCs/>
          <w:color w:val="000000"/>
          <w:szCs w:val="21"/>
        </w:rPr>
        <w:t>三、应答文件的编制</w:t>
      </w:r>
      <w:bookmarkEnd w:id="18"/>
    </w:p>
    <w:p>
      <w:pPr>
        <w:spacing w:line="440" w:lineRule="exact"/>
        <w:ind w:firstLine="422" w:firstLineChars="200"/>
        <w:outlineLvl w:val="3"/>
        <w:rPr>
          <w:rFonts w:ascii="宋体" w:hAnsi="宋体"/>
          <w:b/>
          <w:bCs/>
          <w:color w:val="000000"/>
          <w:szCs w:val="21"/>
        </w:rPr>
      </w:pPr>
      <w:bookmarkStart w:id="19" w:name="_Toc8338"/>
      <w:r>
        <w:rPr>
          <w:rFonts w:hint="eastAsia" w:ascii="宋体" w:hAnsi="宋体"/>
          <w:b/>
          <w:bCs/>
          <w:color w:val="000000"/>
          <w:szCs w:val="21"/>
        </w:rPr>
        <w:t>8．应答的语言及计量单位</w:t>
      </w:r>
      <w:bookmarkEnd w:id="19"/>
    </w:p>
    <w:p>
      <w:pPr>
        <w:spacing w:line="440" w:lineRule="exact"/>
        <w:ind w:firstLine="420" w:firstLineChars="200"/>
        <w:rPr>
          <w:rFonts w:ascii="宋体" w:hAnsi="宋体"/>
          <w:color w:val="000000"/>
          <w:szCs w:val="21"/>
        </w:rPr>
      </w:pPr>
      <w:r>
        <w:rPr>
          <w:rFonts w:hint="eastAsia" w:ascii="宋体" w:hAnsi="宋体"/>
          <w:color w:val="000000"/>
          <w:szCs w:val="21"/>
        </w:rPr>
        <w:t>8.1  供应商提交的应答文件以及供应商与代理机构就有关应答的所有来往书面文件均应使用中文。供应商随应答文件提供的证明文件和资料可以为其它语言，但必须附中文译文并加盖供应商公章。在此，为了解释应答文件，应以中文为准；</w:t>
      </w:r>
    </w:p>
    <w:p>
      <w:pPr>
        <w:spacing w:line="440" w:lineRule="exact"/>
        <w:ind w:firstLine="420" w:firstLineChars="200"/>
        <w:rPr>
          <w:rFonts w:ascii="宋体" w:hAnsi="宋体"/>
          <w:color w:val="000000"/>
          <w:szCs w:val="21"/>
        </w:rPr>
      </w:pPr>
      <w:r>
        <w:rPr>
          <w:rFonts w:hint="eastAsia" w:ascii="宋体" w:hAnsi="宋体"/>
          <w:color w:val="000000"/>
          <w:szCs w:val="21"/>
        </w:rPr>
        <w:t>8.2  除在采购文件的技术规格中另有规定外，计量单位应使用中华人民共和国法定计量单位。</w:t>
      </w:r>
    </w:p>
    <w:p>
      <w:pPr>
        <w:spacing w:line="440" w:lineRule="exact"/>
        <w:ind w:firstLine="422" w:firstLineChars="200"/>
        <w:outlineLvl w:val="3"/>
        <w:rPr>
          <w:rFonts w:ascii="宋体" w:hAnsi="宋体"/>
          <w:b/>
          <w:bCs/>
          <w:color w:val="000000"/>
          <w:szCs w:val="21"/>
        </w:rPr>
      </w:pPr>
      <w:bookmarkStart w:id="20" w:name="_Toc260"/>
      <w:r>
        <w:rPr>
          <w:rFonts w:hint="eastAsia" w:ascii="宋体" w:hAnsi="宋体"/>
          <w:b/>
          <w:color w:val="000000"/>
          <w:szCs w:val="21"/>
        </w:rPr>
        <w:t>9</w:t>
      </w:r>
      <w:r>
        <w:rPr>
          <w:rFonts w:hint="eastAsia" w:ascii="宋体" w:hAnsi="宋体"/>
          <w:b/>
          <w:bCs/>
          <w:color w:val="000000"/>
          <w:szCs w:val="21"/>
        </w:rPr>
        <w:t>. 应答文件的构成与编排</w:t>
      </w:r>
      <w:bookmarkEnd w:id="20"/>
    </w:p>
    <w:p>
      <w:pPr>
        <w:spacing w:line="440" w:lineRule="exact"/>
        <w:ind w:firstLine="420" w:firstLineChars="200"/>
        <w:rPr>
          <w:rFonts w:ascii="宋体" w:hAnsi="宋体"/>
          <w:color w:val="000000"/>
          <w:szCs w:val="21"/>
        </w:rPr>
      </w:pPr>
      <w:r>
        <w:rPr>
          <w:rFonts w:hint="eastAsia" w:ascii="宋体" w:hAnsi="宋体"/>
          <w:color w:val="000000"/>
          <w:szCs w:val="21"/>
        </w:rPr>
        <w:t>9.1  供应商编写的应答文件主要包括以下内容和按下列顺序编排：</w:t>
      </w:r>
    </w:p>
    <w:p>
      <w:pPr>
        <w:spacing w:line="440" w:lineRule="exact"/>
        <w:ind w:firstLine="420" w:firstLineChars="200"/>
        <w:rPr>
          <w:rFonts w:ascii="宋体" w:hAnsi="宋体"/>
        </w:rPr>
      </w:pPr>
      <w:r>
        <w:rPr>
          <w:rFonts w:hint="eastAsia" w:ascii="宋体" w:hAnsi="宋体"/>
        </w:rPr>
        <w:t>（1）“第五章  应答文件格式”所列格式文件；</w:t>
      </w:r>
    </w:p>
    <w:p>
      <w:pPr>
        <w:spacing w:line="440" w:lineRule="exact"/>
        <w:ind w:firstLine="420" w:firstLineChars="200"/>
        <w:rPr>
          <w:rFonts w:ascii="宋体" w:hAnsi="宋体"/>
        </w:rPr>
      </w:pPr>
      <w:r>
        <w:rPr>
          <w:rFonts w:hint="eastAsia" w:ascii="宋体" w:hAnsi="宋体"/>
        </w:rPr>
        <w:t xml:space="preserve">（2）采购文件中评审标准所要求的内容（自行编排）； </w:t>
      </w:r>
    </w:p>
    <w:p>
      <w:pPr>
        <w:spacing w:line="440" w:lineRule="exact"/>
        <w:ind w:firstLine="420" w:firstLineChars="200"/>
        <w:rPr>
          <w:rFonts w:ascii="宋体" w:hAnsi="宋体"/>
        </w:rPr>
      </w:pPr>
      <w:r>
        <w:rPr>
          <w:rFonts w:hint="eastAsia" w:ascii="宋体" w:hAnsi="宋体"/>
        </w:rPr>
        <w:t>（3）供应商认为需要补充的其他内容（自行编排）。</w:t>
      </w:r>
    </w:p>
    <w:p>
      <w:pPr>
        <w:spacing w:line="440" w:lineRule="exact"/>
        <w:ind w:firstLine="420" w:firstLineChars="200"/>
        <w:rPr>
          <w:rFonts w:ascii="宋体" w:hAnsi="宋体"/>
        </w:rPr>
      </w:pPr>
      <w:r>
        <w:rPr>
          <w:rFonts w:hint="eastAsia" w:ascii="宋体" w:hAnsi="宋体"/>
        </w:rPr>
        <w:t>供应商应将上述文件装订成册，并填写“应答文件清单（或目录）”。</w:t>
      </w:r>
    </w:p>
    <w:p>
      <w:pPr>
        <w:spacing w:line="440" w:lineRule="exact"/>
        <w:ind w:firstLine="422" w:firstLineChars="200"/>
        <w:outlineLvl w:val="3"/>
        <w:rPr>
          <w:rFonts w:ascii="宋体" w:hAnsi="宋体"/>
          <w:b/>
          <w:bCs/>
          <w:color w:val="000000"/>
          <w:szCs w:val="21"/>
        </w:rPr>
      </w:pPr>
      <w:bookmarkStart w:id="21" w:name="_Toc1326"/>
      <w:r>
        <w:rPr>
          <w:rFonts w:hint="eastAsia" w:ascii="宋体" w:hAnsi="宋体"/>
          <w:b/>
          <w:color w:val="000000"/>
          <w:szCs w:val="21"/>
        </w:rPr>
        <w:t>10</w:t>
      </w:r>
      <w:r>
        <w:rPr>
          <w:rFonts w:hint="eastAsia" w:ascii="宋体" w:hAnsi="宋体"/>
          <w:b/>
          <w:bCs/>
          <w:color w:val="000000"/>
          <w:szCs w:val="21"/>
        </w:rPr>
        <w:t>．应答函</w:t>
      </w:r>
      <w:bookmarkEnd w:id="21"/>
    </w:p>
    <w:p>
      <w:pPr>
        <w:spacing w:line="440" w:lineRule="exact"/>
        <w:rPr>
          <w:rFonts w:ascii="宋体" w:hAnsi="宋体"/>
          <w:color w:val="000000"/>
          <w:szCs w:val="21"/>
        </w:rPr>
      </w:pPr>
      <w:r>
        <w:rPr>
          <w:rFonts w:hint="eastAsia" w:ascii="宋体" w:hAnsi="宋体"/>
          <w:color w:val="000000"/>
          <w:szCs w:val="21"/>
        </w:rPr>
        <w:t xml:space="preserve">    10.1  供应商应完整地填写采购文件中提供的应答函。</w:t>
      </w:r>
    </w:p>
    <w:p>
      <w:pPr>
        <w:spacing w:line="440" w:lineRule="exact"/>
        <w:ind w:firstLine="422" w:firstLineChars="200"/>
        <w:outlineLvl w:val="3"/>
        <w:rPr>
          <w:rFonts w:ascii="宋体" w:hAnsi="宋体"/>
          <w:b/>
          <w:bCs/>
          <w:color w:val="000000"/>
          <w:szCs w:val="21"/>
        </w:rPr>
      </w:pPr>
      <w:bookmarkStart w:id="22" w:name="_Toc11486"/>
      <w:r>
        <w:rPr>
          <w:rFonts w:hint="eastAsia" w:ascii="宋体" w:hAnsi="宋体"/>
          <w:b/>
          <w:color w:val="000000"/>
          <w:szCs w:val="21"/>
        </w:rPr>
        <w:t>11．</w:t>
      </w:r>
      <w:r>
        <w:rPr>
          <w:rFonts w:hint="eastAsia" w:ascii="宋体" w:hAnsi="宋体"/>
          <w:b/>
          <w:bCs/>
          <w:color w:val="000000"/>
          <w:szCs w:val="21"/>
        </w:rPr>
        <w:t>应答报价</w:t>
      </w:r>
      <w:bookmarkEnd w:id="22"/>
    </w:p>
    <w:p>
      <w:pPr>
        <w:spacing w:line="440" w:lineRule="exact"/>
        <w:ind w:firstLine="420" w:firstLineChars="200"/>
        <w:rPr>
          <w:rFonts w:ascii="宋体" w:hAnsi="宋体"/>
          <w:color w:val="000000"/>
          <w:szCs w:val="21"/>
        </w:rPr>
      </w:pPr>
      <w:r>
        <w:rPr>
          <w:rFonts w:hint="eastAsia" w:ascii="宋体" w:hAnsi="宋体"/>
          <w:color w:val="000000"/>
          <w:szCs w:val="21"/>
        </w:rPr>
        <w:t>11.1  供应商应在应答文件中的报价表标明其拟应答项目的价格，任何有选择的报价将不予接受，每种采购项目都只允许有一个报价。</w:t>
      </w:r>
    </w:p>
    <w:p>
      <w:pPr>
        <w:spacing w:line="440" w:lineRule="exact"/>
        <w:ind w:firstLine="420" w:firstLineChars="200"/>
        <w:rPr>
          <w:rFonts w:ascii="宋体" w:hAnsi="宋体"/>
          <w:color w:val="000000"/>
          <w:szCs w:val="21"/>
        </w:rPr>
      </w:pPr>
      <w:r>
        <w:rPr>
          <w:rFonts w:hint="eastAsia" w:ascii="宋体" w:hAnsi="宋体"/>
          <w:color w:val="000000"/>
          <w:szCs w:val="21"/>
        </w:rPr>
        <w:t>11.2  供应商最终报价在合同执行过程中是固定不变的，不得以任何理由予以变更。否则供应商以可调整的价格提交的应答文件将按供应商须知第27条规定作为非响应性应答而予以拒绝。</w:t>
      </w:r>
    </w:p>
    <w:p>
      <w:pPr>
        <w:spacing w:line="440" w:lineRule="exact"/>
        <w:ind w:firstLine="422" w:firstLineChars="200"/>
        <w:outlineLvl w:val="3"/>
        <w:rPr>
          <w:rFonts w:ascii="宋体" w:hAnsi="宋体"/>
          <w:b/>
          <w:bCs/>
          <w:color w:val="000000"/>
          <w:szCs w:val="21"/>
        </w:rPr>
      </w:pPr>
      <w:bookmarkStart w:id="23" w:name="_Toc27450"/>
      <w:r>
        <w:rPr>
          <w:rFonts w:hint="eastAsia" w:ascii="宋体" w:hAnsi="宋体"/>
          <w:b/>
          <w:bCs/>
          <w:color w:val="000000"/>
          <w:szCs w:val="21"/>
        </w:rPr>
        <w:t>12．应答货币</w:t>
      </w:r>
      <w:bookmarkEnd w:id="23"/>
    </w:p>
    <w:p>
      <w:pPr>
        <w:spacing w:line="440" w:lineRule="exact"/>
        <w:ind w:firstLine="420" w:firstLineChars="200"/>
        <w:rPr>
          <w:rFonts w:ascii="宋体" w:hAnsi="宋体"/>
          <w:color w:val="000000"/>
          <w:szCs w:val="21"/>
        </w:rPr>
      </w:pPr>
      <w:r>
        <w:rPr>
          <w:rFonts w:hint="eastAsia" w:ascii="宋体" w:hAnsi="宋体"/>
          <w:color w:val="000000"/>
          <w:szCs w:val="21"/>
        </w:rPr>
        <w:t>12.1  本采购项目的应答应以人民币计。</w:t>
      </w:r>
    </w:p>
    <w:p>
      <w:pPr>
        <w:spacing w:line="440" w:lineRule="exact"/>
        <w:ind w:firstLine="422" w:firstLineChars="200"/>
        <w:outlineLvl w:val="3"/>
        <w:rPr>
          <w:rFonts w:ascii="宋体" w:hAnsi="宋体"/>
          <w:b/>
          <w:bCs/>
          <w:color w:val="000000"/>
          <w:szCs w:val="21"/>
        </w:rPr>
      </w:pPr>
      <w:bookmarkStart w:id="24" w:name="_Toc23054"/>
      <w:r>
        <w:rPr>
          <w:rFonts w:hint="eastAsia" w:ascii="宋体" w:hAnsi="宋体"/>
          <w:b/>
          <w:bCs/>
          <w:color w:val="000000"/>
          <w:szCs w:val="21"/>
        </w:rPr>
        <w:t>13．证明供应商合格和资格的文件</w:t>
      </w:r>
      <w:bookmarkEnd w:id="24"/>
    </w:p>
    <w:p>
      <w:pPr>
        <w:spacing w:line="440" w:lineRule="exact"/>
        <w:rPr>
          <w:rFonts w:ascii="宋体" w:hAnsi="宋体"/>
          <w:color w:val="000000"/>
          <w:szCs w:val="21"/>
        </w:rPr>
      </w:pPr>
      <w:r>
        <w:rPr>
          <w:rFonts w:hint="eastAsia" w:ascii="宋体" w:hAnsi="宋体"/>
          <w:color w:val="000000"/>
          <w:szCs w:val="21"/>
        </w:rPr>
        <w:t xml:space="preserve">    13.1  供应商应提交证明其有资格参加应答和成交后有能力履行合同的文件，并作为其应答文件的一部分。</w:t>
      </w:r>
    </w:p>
    <w:p>
      <w:pPr>
        <w:spacing w:line="440" w:lineRule="exact"/>
        <w:ind w:firstLine="420" w:firstLineChars="200"/>
        <w:rPr>
          <w:rFonts w:ascii="宋体" w:hAnsi="宋体"/>
          <w:color w:val="000000"/>
          <w:szCs w:val="21"/>
        </w:rPr>
      </w:pPr>
      <w:r>
        <w:rPr>
          <w:rFonts w:hint="eastAsia" w:ascii="宋体" w:hAnsi="宋体"/>
          <w:color w:val="000000"/>
          <w:szCs w:val="21"/>
        </w:rPr>
        <w:t>13.2  供应商应填写并提交采购文件上所附的“资格证明文件”。</w:t>
      </w:r>
    </w:p>
    <w:p>
      <w:pPr>
        <w:spacing w:line="440" w:lineRule="exact"/>
        <w:ind w:firstLine="422" w:firstLineChars="200"/>
        <w:outlineLvl w:val="3"/>
        <w:rPr>
          <w:rFonts w:ascii="宋体" w:hAnsi="宋体"/>
          <w:b/>
          <w:bCs/>
          <w:color w:val="000000"/>
          <w:szCs w:val="21"/>
        </w:rPr>
      </w:pPr>
      <w:bookmarkStart w:id="25" w:name="_Toc28999"/>
      <w:r>
        <w:rPr>
          <w:rFonts w:hint="eastAsia" w:ascii="宋体" w:hAnsi="宋体"/>
          <w:b/>
          <w:color w:val="000000"/>
          <w:szCs w:val="21"/>
        </w:rPr>
        <w:t>14</w:t>
      </w:r>
      <w:r>
        <w:rPr>
          <w:rFonts w:hint="eastAsia" w:ascii="宋体" w:hAnsi="宋体"/>
          <w:b/>
          <w:bCs/>
          <w:color w:val="000000"/>
          <w:szCs w:val="21"/>
        </w:rPr>
        <w:t>．证明拟应答项目符合采购文件规定的文件</w:t>
      </w:r>
      <w:bookmarkEnd w:id="25"/>
    </w:p>
    <w:p>
      <w:pPr>
        <w:spacing w:line="440" w:lineRule="exact"/>
        <w:rPr>
          <w:rFonts w:ascii="宋体" w:hAnsi="宋体"/>
          <w:color w:val="000000"/>
          <w:szCs w:val="21"/>
        </w:rPr>
      </w:pPr>
      <w:r>
        <w:rPr>
          <w:rFonts w:hint="eastAsia" w:ascii="宋体" w:hAnsi="宋体"/>
          <w:color w:val="000000"/>
          <w:szCs w:val="21"/>
        </w:rPr>
        <w:t xml:space="preserve">    14.1  供应商应提交证明其拟应答项目符合采购文件规定的文件，证明文件应作为其应答文件的一部分。</w:t>
      </w:r>
    </w:p>
    <w:p>
      <w:pPr>
        <w:spacing w:line="440" w:lineRule="exact"/>
        <w:ind w:firstLine="422" w:firstLineChars="200"/>
        <w:outlineLvl w:val="3"/>
        <w:rPr>
          <w:rFonts w:ascii="宋体" w:hAnsi="宋体"/>
          <w:b/>
          <w:bCs/>
          <w:color w:val="000000"/>
          <w:szCs w:val="21"/>
        </w:rPr>
      </w:pPr>
      <w:bookmarkStart w:id="26" w:name="_Toc353262544"/>
      <w:bookmarkStart w:id="27" w:name="_Toc7216"/>
      <w:r>
        <w:rPr>
          <w:rFonts w:hint="eastAsia" w:ascii="宋体" w:hAnsi="宋体"/>
          <w:b/>
          <w:bCs/>
          <w:color w:val="000000"/>
          <w:szCs w:val="21"/>
        </w:rPr>
        <w:t>15．</w:t>
      </w:r>
      <w:bookmarkEnd w:id="26"/>
      <w:r>
        <w:rPr>
          <w:rFonts w:hint="eastAsia" w:ascii="宋体" w:hAnsi="宋体"/>
          <w:b/>
          <w:bCs/>
          <w:color w:val="000000"/>
          <w:szCs w:val="21"/>
        </w:rPr>
        <w:t>响应保证金</w:t>
      </w:r>
      <w:bookmarkEnd w:id="27"/>
    </w:p>
    <w:p>
      <w:pPr>
        <w:spacing w:line="440" w:lineRule="exact"/>
        <w:rPr>
          <w:rFonts w:ascii="宋体" w:hAnsi="宋体"/>
          <w:color w:val="000000"/>
          <w:szCs w:val="21"/>
        </w:rPr>
      </w:pPr>
      <w:r>
        <w:rPr>
          <w:rFonts w:hint="eastAsia" w:ascii="宋体" w:hAnsi="宋体"/>
          <w:color w:val="000000"/>
          <w:szCs w:val="21"/>
        </w:rPr>
        <w:t xml:space="preserve">    15.1  供应商应按“供应商须知前附表”的规定缴纳响应保证金</w:t>
      </w:r>
      <w:r>
        <w:rPr>
          <w:rFonts w:hint="eastAsia" w:ascii="宋体" w:hAnsi="宋体"/>
          <w:szCs w:val="21"/>
        </w:rPr>
        <w:t>，并作为其应答的一部分</w:t>
      </w:r>
      <w:r>
        <w:rPr>
          <w:rFonts w:hint="eastAsia" w:ascii="宋体" w:hAnsi="宋体"/>
          <w:color w:val="000000"/>
          <w:szCs w:val="21"/>
        </w:rPr>
        <w:t>。</w:t>
      </w:r>
    </w:p>
    <w:p>
      <w:pPr>
        <w:spacing w:line="440" w:lineRule="exact"/>
        <w:rPr>
          <w:rFonts w:ascii="宋体" w:hAnsi="宋体"/>
          <w:b/>
          <w:szCs w:val="21"/>
        </w:rPr>
      </w:pPr>
      <w:r>
        <w:rPr>
          <w:rFonts w:hint="eastAsia" w:ascii="宋体" w:hAnsi="宋体"/>
          <w:szCs w:val="21"/>
        </w:rPr>
        <w:t xml:space="preserve">    15.2  响应保证金</w:t>
      </w:r>
      <w:r>
        <w:rPr>
          <w:rFonts w:ascii="宋体" w:hAnsi="宋体"/>
          <w:szCs w:val="21"/>
        </w:rPr>
        <w:t>应用</w:t>
      </w:r>
      <w:r>
        <w:rPr>
          <w:rFonts w:hint="eastAsia" w:ascii="宋体" w:hAnsi="宋体"/>
          <w:szCs w:val="21"/>
        </w:rPr>
        <w:t>应答</w:t>
      </w:r>
      <w:r>
        <w:rPr>
          <w:rFonts w:ascii="宋体" w:hAnsi="宋体"/>
          <w:szCs w:val="21"/>
        </w:rPr>
        <w:t>货币即人民币，采用</w:t>
      </w:r>
      <w:r>
        <w:rPr>
          <w:rFonts w:hint="eastAsia" w:ascii="宋体" w:hAnsi="宋体"/>
          <w:szCs w:val="21"/>
        </w:rPr>
        <w:t>转账方式，</w:t>
      </w:r>
      <w:r>
        <w:rPr>
          <w:rFonts w:ascii="Calibri" w:hAnsi="Calibri"/>
          <w:szCs w:val="21"/>
        </w:rPr>
        <w:t>款项须在</w:t>
      </w:r>
      <w:r>
        <w:rPr>
          <w:rFonts w:hint="eastAsia" w:ascii="Calibri" w:hAnsi="Calibri"/>
          <w:szCs w:val="21"/>
        </w:rPr>
        <w:t>应答文件提交截至时间</w:t>
      </w:r>
      <w:r>
        <w:rPr>
          <w:rFonts w:ascii="Calibri" w:hAnsi="Calibri"/>
          <w:szCs w:val="21"/>
        </w:rPr>
        <w:t>前到达</w:t>
      </w:r>
      <w:r>
        <w:rPr>
          <w:rFonts w:hint="eastAsia" w:ascii="Calibri" w:hAnsi="Calibri"/>
          <w:szCs w:val="21"/>
        </w:rPr>
        <w:t>“采购</w:t>
      </w:r>
      <w:r>
        <w:rPr>
          <w:rFonts w:ascii="Calibri" w:hAnsi="Calibri"/>
          <w:szCs w:val="21"/>
        </w:rPr>
        <w:t>邀请</w:t>
      </w:r>
      <w:r>
        <w:rPr>
          <w:rFonts w:hint="eastAsia" w:ascii="Calibri" w:hAnsi="Calibri"/>
          <w:szCs w:val="21"/>
        </w:rPr>
        <w:t>书”</w:t>
      </w:r>
      <w:r>
        <w:rPr>
          <w:rFonts w:ascii="Calibri" w:hAnsi="Calibri"/>
          <w:szCs w:val="21"/>
        </w:rPr>
        <w:t>指定的开户银行、</w:t>
      </w:r>
      <w:r>
        <w:rPr>
          <w:rFonts w:hint="eastAsia" w:ascii="Calibri" w:hAnsi="Calibri"/>
          <w:szCs w:val="21"/>
          <w:lang w:eastAsia="zh-CN"/>
        </w:rPr>
        <w:t>账</w:t>
      </w:r>
      <w:r>
        <w:rPr>
          <w:rFonts w:ascii="Calibri" w:hAnsi="Calibri"/>
          <w:szCs w:val="21"/>
        </w:rPr>
        <w:t>号</w:t>
      </w:r>
      <w:r>
        <w:rPr>
          <w:rFonts w:hint="eastAsia" w:ascii="Calibri" w:hAnsi="Calibri"/>
          <w:szCs w:val="21"/>
        </w:rPr>
        <w:t>。</w:t>
      </w:r>
    </w:p>
    <w:p>
      <w:pPr>
        <w:spacing w:line="440" w:lineRule="exact"/>
        <w:ind w:firstLine="405"/>
        <w:rPr>
          <w:rFonts w:ascii="宋体" w:hAnsi="宋体"/>
          <w:szCs w:val="21"/>
        </w:rPr>
      </w:pPr>
      <w:r>
        <w:rPr>
          <w:rFonts w:hint="eastAsia" w:ascii="宋体" w:hAnsi="宋体"/>
          <w:szCs w:val="21"/>
        </w:rPr>
        <w:t>15.3  在</w:t>
      </w:r>
      <w:r>
        <w:rPr>
          <w:rFonts w:hint="eastAsia" w:ascii="Calibri" w:hAnsi="Calibri"/>
          <w:szCs w:val="21"/>
        </w:rPr>
        <w:t>应答文件提交截至时间</w:t>
      </w:r>
      <w:r>
        <w:rPr>
          <w:rFonts w:hint="eastAsia" w:ascii="宋体" w:hAnsi="宋体"/>
          <w:szCs w:val="21"/>
        </w:rPr>
        <w:t xml:space="preserve">时，凡没有交纳响应保证金的应答，应视为非响应性应答予以拒绝。    </w:t>
      </w:r>
    </w:p>
    <w:p>
      <w:pPr>
        <w:spacing w:line="440" w:lineRule="exact"/>
        <w:ind w:firstLine="405"/>
        <w:rPr>
          <w:rFonts w:ascii="宋体" w:hAnsi="宋体"/>
          <w:szCs w:val="21"/>
        </w:rPr>
      </w:pPr>
      <w:r>
        <w:rPr>
          <w:rFonts w:hint="eastAsia" w:ascii="宋体" w:hAnsi="宋体"/>
          <w:szCs w:val="21"/>
        </w:rPr>
        <w:t>15.4  成交</w:t>
      </w:r>
      <w:r>
        <w:rPr>
          <w:rFonts w:ascii="宋体" w:hAnsi="宋体"/>
          <w:szCs w:val="21"/>
        </w:rPr>
        <w:t>公告</w:t>
      </w:r>
      <w:r>
        <w:rPr>
          <w:rFonts w:hint="eastAsia" w:ascii="宋体" w:hAnsi="宋体"/>
          <w:szCs w:val="21"/>
        </w:rPr>
        <w:t>发布后五个工作日内，未成交人的响应保证金，须在交回我司开出的响应保证金收据后，我司不计利息</w:t>
      </w:r>
      <w:r>
        <w:rPr>
          <w:rFonts w:ascii="宋体" w:hAnsi="宋体"/>
          <w:szCs w:val="21"/>
        </w:rPr>
        <w:t>退回。</w:t>
      </w:r>
      <w:r>
        <w:rPr>
          <w:rFonts w:hint="eastAsia" w:ascii="宋体" w:hAnsi="宋体"/>
          <w:szCs w:val="21"/>
        </w:rPr>
        <w:t>未到我司交回响应保证金收据而造成响应保证金逾期退还的，责任由供应商自负，在退还时不计利息。受到质疑、投诉或正在被调查的供应商，在调查结束后，如没有发现违法违规行为的再退回响应保证金。</w:t>
      </w:r>
    </w:p>
    <w:p>
      <w:pPr>
        <w:spacing w:line="440" w:lineRule="exact"/>
        <w:ind w:firstLine="367" w:firstLineChars="175"/>
        <w:rPr>
          <w:rFonts w:ascii="宋体" w:hAnsi="宋体"/>
          <w:szCs w:val="21"/>
        </w:rPr>
      </w:pPr>
      <w:r>
        <w:rPr>
          <w:rFonts w:hint="eastAsia" w:ascii="宋体" w:hAnsi="宋体"/>
          <w:szCs w:val="21"/>
        </w:rPr>
        <w:t>15.5  成交人在和采购方签订合同后（提供合同原件核实）的五个工作日内，并退回我司开出的响应保证金收据后，我司不计利息</w:t>
      </w:r>
      <w:r>
        <w:rPr>
          <w:rFonts w:ascii="宋体" w:hAnsi="宋体"/>
          <w:szCs w:val="21"/>
        </w:rPr>
        <w:t>退回。</w:t>
      </w:r>
      <w:r>
        <w:rPr>
          <w:rFonts w:hint="eastAsia" w:ascii="宋体" w:hAnsi="宋体"/>
          <w:szCs w:val="21"/>
        </w:rPr>
        <w:t>未到我司办理退还手续而造成响应保证金逾期退还的，责任由供应商自负。受到质疑、投诉或正在被调查的供应商，在调查结束后，如没有发现违法违规行为的再退回响应保证金。</w:t>
      </w:r>
    </w:p>
    <w:p>
      <w:pPr>
        <w:spacing w:line="440" w:lineRule="exact"/>
        <w:rPr>
          <w:rFonts w:ascii="宋体" w:hAnsi="宋体"/>
          <w:szCs w:val="21"/>
        </w:rPr>
      </w:pPr>
      <w:r>
        <w:rPr>
          <w:rFonts w:hint="eastAsia" w:ascii="宋体" w:hAnsi="宋体"/>
          <w:szCs w:val="21"/>
        </w:rPr>
        <w:t xml:space="preserve">    15.6  下列任何情况发生时，响应保证金将不予退还：</w:t>
      </w:r>
    </w:p>
    <w:p>
      <w:pPr>
        <w:spacing w:line="440" w:lineRule="exact"/>
        <w:ind w:firstLine="420" w:firstLineChars="200"/>
        <w:rPr>
          <w:rFonts w:ascii="宋体" w:hAnsi="宋体"/>
          <w:szCs w:val="21"/>
        </w:rPr>
      </w:pPr>
      <w:r>
        <w:rPr>
          <w:rFonts w:hint="eastAsia" w:ascii="宋体" w:hAnsi="宋体"/>
          <w:szCs w:val="21"/>
        </w:rPr>
        <w:t>（1）供应商在应答函格式中规定的应答有效期内撤回其应答。</w:t>
      </w:r>
    </w:p>
    <w:p>
      <w:pPr>
        <w:spacing w:line="440" w:lineRule="exact"/>
        <w:ind w:firstLine="420" w:firstLineChars="200"/>
        <w:jc w:val="left"/>
        <w:rPr>
          <w:rFonts w:ascii="宋体" w:hAnsi="宋体"/>
          <w:szCs w:val="21"/>
        </w:rPr>
      </w:pPr>
      <w:r>
        <w:rPr>
          <w:rFonts w:hint="eastAsia" w:ascii="宋体" w:hAnsi="宋体"/>
          <w:szCs w:val="21"/>
        </w:rPr>
        <w:t>（2）成交人在规定期限内未能：根据供应商须知第34条规定签订合同；</w:t>
      </w:r>
    </w:p>
    <w:p>
      <w:pPr>
        <w:spacing w:line="440" w:lineRule="exact"/>
        <w:rPr>
          <w:rFonts w:ascii="宋体" w:hAnsi="宋体"/>
          <w:szCs w:val="21"/>
        </w:rPr>
      </w:pPr>
      <w:r>
        <w:rPr>
          <w:rFonts w:hint="eastAsia" w:ascii="宋体" w:hAnsi="宋体"/>
          <w:szCs w:val="21"/>
        </w:rPr>
        <w:t xml:space="preserve">    （3）隐瞒应答的真实情况、应答文件中提供虚假材料或者虚假补充文件或者故意进行无效应答或者质疑投诉提供虚假情况；</w:t>
      </w:r>
    </w:p>
    <w:p>
      <w:pPr>
        <w:spacing w:line="440" w:lineRule="exact"/>
        <w:ind w:firstLine="420" w:firstLineChars="200"/>
        <w:rPr>
          <w:rFonts w:ascii="宋体" w:hAnsi="宋体"/>
          <w:szCs w:val="21"/>
        </w:rPr>
      </w:pPr>
      <w:r>
        <w:rPr>
          <w:rFonts w:hint="eastAsia" w:ascii="宋体" w:hAnsi="宋体"/>
          <w:szCs w:val="21"/>
        </w:rPr>
        <w:t>（4）在供应商之间相互串通，事先商定应答价格或者合谋使特定供应商成交的；</w:t>
      </w:r>
    </w:p>
    <w:p>
      <w:pPr>
        <w:spacing w:line="440" w:lineRule="exact"/>
        <w:ind w:firstLine="420" w:firstLineChars="200"/>
        <w:rPr>
          <w:rFonts w:ascii="宋体" w:hAnsi="宋体"/>
          <w:szCs w:val="21"/>
        </w:rPr>
      </w:pPr>
      <w:r>
        <w:rPr>
          <w:rFonts w:hint="eastAsia" w:ascii="宋体" w:hAnsi="宋体"/>
          <w:szCs w:val="21"/>
        </w:rPr>
        <w:t>（5）采用不正当手段</w:t>
      </w:r>
      <w:r>
        <w:rPr>
          <w:rFonts w:hint="eastAsia" w:ascii="宋体" w:hAnsi="宋体"/>
          <w:szCs w:val="21"/>
          <w:lang w:val="en-US" w:eastAsia="zh-CN"/>
        </w:rPr>
        <w:t>妨碍</w:t>
      </w:r>
      <w:r>
        <w:rPr>
          <w:rFonts w:hint="eastAsia" w:ascii="宋体" w:hAnsi="宋体"/>
          <w:szCs w:val="21"/>
        </w:rPr>
        <w:t>、排挤其它供应商的；</w:t>
      </w:r>
    </w:p>
    <w:p>
      <w:pPr>
        <w:spacing w:line="440" w:lineRule="exact"/>
        <w:ind w:firstLine="420" w:firstLineChars="200"/>
        <w:rPr>
          <w:rFonts w:ascii="宋体" w:hAnsi="宋体"/>
          <w:szCs w:val="21"/>
        </w:rPr>
      </w:pPr>
      <w:r>
        <w:rPr>
          <w:rFonts w:hint="eastAsia" w:ascii="宋体" w:hAnsi="宋体"/>
          <w:szCs w:val="21"/>
        </w:rPr>
        <w:t>（6）向采购人、代理机构行贿或者提供其它不正当利益的；</w:t>
      </w:r>
    </w:p>
    <w:p>
      <w:pPr>
        <w:spacing w:line="440" w:lineRule="exact"/>
        <w:ind w:firstLine="420" w:firstLineChars="200"/>
        <w:rPr>
          <w:rFonts w:ascii="宋体" w:hAnsi="宋体"/>
          <w:szCs w:val="21"/>
        </w:rPr>
      </w:pPr>
      <w:r>
        <w:rPr>
          <w:rFonts w:hint="eastAsia" w:ascii="宋体" w:hAnsi="宋体"/>
          <w:szCs w:val="21"/>
        </w:rPr>
        <w:t>（7）与采购人和代理机构串通应答的；</w:t>
      </w:r>
    </w:p>
    <w:p>
      <w:pPr>
        <w:spacing w:line="440" w:lineRule="exact"/>
        <w:ind w:left="-2" w:leftChars="-1" w:firstLine="420" w:firstLineChars="200"/>
        <w:rPr>
          <w:rFonts w:ascii="宋体" w:hAnsi="宋体"/>
          <w:szCs w:val="21"/>
        </w:rPr>
      </w:pPr>
      <w:r>
        <w:rPr>
          <w:rFonts w:hint="eastAsia" w:ascii="宋体" w:hAnsi="宋体"/>
          <w:szCs w:val="21"/>
        </w:rPr>
        <w:t>（8）其它严重违反《中华人民共和国政府采购法》和《深圳经济特区政府采购条例》和相关法律法规的。</w:t>
      </w:r>
    </w:p>
    <w:p>
      <w:pPr>
        <w:spacing w:line="440" w:lineRule="exact"/>
        <w:ind w:firstLine="422" w:firstLineChars="200"/>
        <w:outlineLvl w:val="3"/>
        <w:rPr>
          <w:rFonts w:ascii="宋体" w:hAnsi="宋体"/>
          <w:b/>
          <w:bCs/>
          <w:color w:val="000000"/>
          <w:szCs w:val="21"/>
        </w:rPr>
      </w:pPr>
      <w:bookmarkStart w:id="28" w:name="_Toc13986"/>
      <w:r>
        <w:rPr>
          <w:rFonts w:hint="eastAsia" w:ascii="宋体" w:hAnsi="宋体"/>
          <w:b/>
          <w:bCs/>
          <w:color w:val="000000"/>
          <w:szCs w:val="21"/>
        </w:rPr>
        <w:t>16．应答有效期</w:t>
      </w:r>
      <w:bookmarkEnd w:id="28"/>
    </w:p>
    <w:p>
      <w:pPr>
        <w:spacing w:line="440" w:lineRule="exact"/>
        <w:rPr>
          <w:rFonts w:ascii="宋体" w:hAnsi="宋体"/>
          <w:color w:val="000000"/>
          <w:szCs w:val="21"/>
        </w:rPr>
      </w:pPr>
      <w:r>
        <w:rPr>
          <w:rFonts w:hint="eastAsia" w:ascii="宋体" w:hAnsi="宋体"/>
          <w:color w:val="000000"/>
          <w:szCs w:val="21"/>
        </w:rPr>
        <w:t xml:space="preserve">    16.1  应答文件应从供应商须知第24条规定的</w:t>
      </w:r>
      <w:r>
        <w:rPr>
          <w:rFonts w:hint="eastAsia" w:ascii="Calibri" w:hAnsi="Calibri"/>
          <w:szCs w:val="21"/>
        </w:rPr>
        <w:t>谈判</w:t>
      </w:r>
      <w:r>
        <w:rPr>
          <w:rFonts w:hint="eastAsia" w:ascii="宋体" w:hAnsi="宋体"/>
          <w:color w:val="000000"/>
          <w:szCs w:val="21"/>
        </w:rPr>
        <w:t>之日起，在“供应商须知前附表”所规定的以日历天计算的应答有效期内有效。应答有效期比规定短的可以视为非响应应答而予以拒绝。</w:t>
      </w:r>
    </w:p>
    <w:p>
      <w:pPr>
        <w:spacing w:line="440" w:lineRule="exact"/>
        <w:ind w:firstLine="420" w:firstLineChars="200"/>
        <w:rPr>
          <w:rFonts w:ascii="宋体" w:hAnsi="宋体"/>
          <w:color w:val="000000"/>
          <w:szCs w:val="21"/>
        </w:rPr>
      </w:pPr>
      <w:r>
        <w:rPr>
          <w:rFonts w:hint="eastAsia" w:ascii="宋体" w:hAnsi="宋体"/>
          <w:color w:val="000000"/>
          <w:szCs w:val="21"/>
        </w:rPr>
        <w:t>16.2  在特殊情况下，在原应答有效期期满之前，代理机构可在“供应商须知前附表”所列信息发布网站上发布延长应答有效期的通知，供应商不以书面形式予以答复或不来我司退回响应保证金的视同同意延长应答有效期。未受质疑、投诉或正在被调查的供应商可以拒绝代理机构的这种要求，但其响应保证金不被没收。受到质疑、投诉或正在被调查的供应商，在调查结束后，如没有发现违法违规行为的再退回响应保证金。供应商同意延长的供应商既不能被要求也不允许修改其应答文件，但要根据供应商须知第15条规定，按照相应延长应答有效期的时间延长其响应保证金的有效期。</w:t>
      </w:r>
    </w:p>
    <w:p>
      <w:pPr>
        <w:spacing w:line="440" w:lineRule="exact"/>
        <w:ind w:firstLine="420" w:firstLineChars="200"/>
        <w:rPr>
          <w:rFonts w:ascii="宋体" w:hAnsi="宋体"/>
          <w:color w:val="000000"/>
          <w:szCs w:val="21"/>
        </w:rPr>
      </w:pPr>
      <w:r>
        <w:rPr>
          <w:rFonts w:hint="eastAsia" w:ascii="宋体" w:hAnsi="宋体"/>
          <w:color w:val="000000"/>
          <w:szCs w:val="21"/>
        </w:rPr>
        <w:t>16.3  成交单位的应答文件有效期，截止于完成本采购文件规定的全部项目内容，并通过验收及保修结束。</w:t>
      </w:r>
    </w:p>
    <w:p>
      <w:pPr>
        <w:spacing w:line="440" w:lineRule="exact"/>
        <w:ind w:firstLine="422" w:firstLineChars="200"/>
        <w:outlineLvl w:val="3"/>
        <w:rPr>
          <w:rFonts w:ascii="宋体" w:hAnsi="宋体"/>
          <w:b/>
          <w:color w:val="000000"/>
          <w:szCs w:val="21"/>
        </w:rPr>
      </w:pPr>
      <w:bookmarkStart w:id="29" w:name="_Toc3831"/>
      <w:r>
        <w:rPr>
          <w:rFonts w:hint="eastAsia" w:ascii="宋体" w:hAnsi="宋体"/>
          <w:b/>
          <w:color w:val="000000"/>
          <w:szCs w:val="21"/>
        </w:rPr>
        <w:t>17．应答文件的式样和签署</w:t>
      </w:r>
      <w:bookmarkEnd w:id="29"/>
    </w:p>
    <w:p>
      <w:pPr>
        <w:spacing w:line="440" w:lineRule="exact"/>
        <w:rPr>
          <w:rFonts w:ascii="宋体" w:hAnsi="宋体"/>
          <w:color w:val="000000"/>
          <w:szCs w:val="21"/>
        </w:rPr>
      </w:pPr>
      <w:r>
        <w:rPr>
          <w:rFonts w:hint="eastAsia" w:ascii="宋体" w:hAnsi="宋体"/>
          <w:color w:val="000000"/>
          <w:szCs w:val="21"/>
        </w:rPr>
        <w:t xml:space="preserve">    17.1  供应商应答文件应准备一份正本和四份副本，每份应答文件封面须清楚地标明“应答文件正本”或“应答文件副本”。一旦正本和副本不符，以正本为准。另须提供应答文件电子文档（光盘或U盘）1份，与纸制应答文件一并密封。当应答文件电子文档与纸制应答文件不一致时，以纸制应答文件为准。</w:t>
      </w:r>
    </w:p>
    <w:p>
      <w:pPr>
        <w:spacing w:line="440" w:lineRule="exact"/>
        <w:ind w:firstLine="420" w:firstLineChars="200"/>
        <w:rPr>
          <w:rFonts w:ascii="宋体" w:hAnsi="宋体"/>
          <w:color w:val="000000"/>
          <w:szCs w:val="21"/>
        </w:rPr>
      </w:pPr>
      <w:r>
        <w:rPr>
          <w:rFonts w:hint="eastAsia" w:ascii="宋体" w:hAnsi="宋体"/>
          <w:color w:val="000000"/>
          <w:szCs w:val="21"/>
        </w:rPr>
        <w:t>17.2  应答文件的正本需打印，并由经正式授权的供应商代表签字并</w:t>
      </w:r>
      <w:r>
        <w:rPr>
          <w:rFonts w:hint="eastAsia" w:ascii="宋体" w:hAnsi="宋体"/>
          <w:b/>
          <w:bCs/>
          <w:color w:val="000000"/>
          <w:szCs w:val="21"/>
        </w:rPr>
        <w:t>加盖公章</w:t>
      </w:r>
      <w:r>
        <w:rPr>
          <w:rFonts w:hint="eastAsia" w:ascii="宋体" w:hAnsi="宋体"/>
          <w:color w:val="000000"/>
          <w:szCs w:val="21"/>
        </w:rPr>
        <w:t>。授权代表须将以书面形式出具的“法定代表人授权证书”附在应答文件中。应答文件的副本可采用正本的复印件。</w:t>
      </w:r>
    </w:p>
    <w:p>
      <w:pPr>
        <w:spacing w:line="440" w:lineRule="exact"/>
        <w:ind w:firstLine="420" w:firstLineChars="200"/>
        <w:rPr>
          <w:rFonts w:ascii="宋体" w:hAnsi="宋体"/>
          <w:color w:val="000000"/>
          <w:szCs w:val="21"/>
        </w:rPr>
      </w:pPr>
      <w:r>
        <w:rPr>
          <w:rFonts w:hint="eastAsia" w:ascii="宋体" w:hAnsi="宋体"/>
          <w:color w:val="000000"/>
          <w:szCs w:val="21"/>
        </w:rPr>
        <w:t>17.3  任何行间插字、涂改和增删，必须由应答文件签字人签字和盖章。</w:t>
      </w:r>
    </w:p>
    <w:p>
      <w:pPr>
        <w:spacing w:line="440" w:lineRule="exact"/>
        <w:ind w:firstLine="422" w:firstLineChars="200"/>
        <w:outlineLvl w:val="3"/>
        <w:rPr>
          <w:rFonts w:ascii="宋体" w:hAnsi="宋体"/>
          <w:b/>
          <w:bCs/>
          <w:color w:val="000000"/>
          <w:szCs w:val="21"/>
        </w:rPr>
      </w:pPr>
      <w:bookmarkStart w:id="30" w:name="_Toc25449"/>
      <w:r>
        <w:rPr>
          <w:rFonts w:hint="eastAsia" w:ascii="宋体" w:hAnsi="宋体"/>
          <w:b/>
          <w:bCs/>
          <w:color w:val="000000"/>
          <w:szCs w:val="21"/>
        </w:rPr>
        <w:t>18．供应商的替代方案</w:t>
      </w:r>
      <w:bookmarkEnd w:id="30"/>
    </w:p>
    <w:p>
      <w:pPr>
        <w:spacing w:line="440" w:lineRule="exact"/>
        <w:ind w:firstLine="420" w:firstLineChars="200"/>
        <w:rPr>
          <w:rFonts w:ascii="宋体" w:hAnsi="宋体"/>
          <w:szCs w:val="21"/>
        </w:rPr>
      </w:pPr>
      <w:r>
        <w:rPr>
          <w:rFonts w:hint="eastAsia" w:ascii="宋体" w:hAnsi="宋体"/>
          <w:szCs w:val="21"/>
        </w:rPr>
        <w:t>18.1  本次采购不考虑</w:t>
      </w:r>
      <w:r>
        <w:rPr>
          <w:rFonts w:hint="eastAsia" w:ascii="宋体" w:hAnsi="宋体"/>
          <w:bCs/>
          <w:szCs w:val="21"/>
        </w:rPr>
        <w:t>供应商的</w:t>
      </w:r>
      <w:r>
        <w:rPr>
          <w:rFonts w:hint="eastAsia" w:ascii="宋体" w:hAnsi="宋体"/>
          <w:szCs w:val="21"/>
        </w:rPr>
        <w:t>替代方案。</w:t>
      </w:r>
    </w:p>
    <w:p>
      <w:pPr>
        <w:spacing w:line="440" w:lineRule="exact"/>
        <w:ind w:firstLine="422" w:firstLineChars="200"/>
        <w:outlineLvl w:val="3"/>
        <w:rPr>
          <w:rFonts w:ascii="宋体" w:hAnsi="宋体"/>
          <w:b/>
          <w:bCs/>
          <w:color w:val="000000"/>
          <w:szCs w:val="21"/>
        </w:rPr>
      </w:pPr>
      <w:bookmarkStart w:id="31" w:name="_Toc4208"/>
      <w:r>
        <w:rPr>
          <w:rFonts w:hint="eastAsia" w:ascii="宋体" w:hAnsi="宋体"/>
          <w:b/>
          <w:bCs/>
          <w:color w:val="000000"/>
          <w:szCs w:val="21"/>
        </w:rPr>
        <w:t>19．联合体应答</w:t>
      </w:r>
      <w:bookmarkEnd w:id="31"/>
    </w:p>
    <w:p>
      <w:pPr>
        <w:spacing w:line="440" w:lineRule="exact"/>
        <w:ind w:firstLine="420" w:firstLineChars="200"/>
        <w:rPr>
          <w:rFonts w:ascii="宋体" w:hAnsi="宋体"/>
          <w:color w:val="000000"/>
          <w:szCs w:val="21"/>
        </w:rPr>
      </w:pPr>
      <w:r>
        <w:rPr>
          <w:rFonts w:hint="eastAsia" w:ascii="宋体" w:hAnsi="宋体"/>
          <w:color w:val="000000"/>
          <w:szCs w:val="21"/>
        </w:rPr>
        <w:t>由两个或两个以上法人组成一个联合体以一个供应商的身份共同应答时，应符合以下原则：</w:t>
      </w:r>
    </w:p>
    <w:p>
      <w:pPr>
        <w:spacing w:line="440" w:lineRule="exact"/>
        <w:ind w:firstLine="420" w:firstLineChars="200"/>
        <w:rPr>
          <w:rFonts w:ascii="宋体" w:hAnsi="宋体"/>
          <w:color w:val="000000"/>
          <w:szCs w:val="21"/>
        </w:rPr>
      </w:pPr>
      <w:r>
        <w:rPr>
          <w:rFonts w:hint="eastAsia" w:ascii="宋体" w:hAnsi="宋体"/>
          <w:color w:val="000000"/>
          <w:szCs w:val="21"/>
        </w:rPr>
        <w:t>（1）应答联合体各方参加政府采购活动应当具备下列条件：</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①具有独立承担民事责任的能力；</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②有良好的商业信誉和健全的财务会计制度；</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③具有履行合同所必需的设备和专业技术能力；</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④有依法缴纳税收和社会保障资金的良好记录；</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⑤参加政府采购活动前三年内，在经营活动中没有重大违法记录；</w:t>
      </w:r>
      <w:r>
        <w:rPr>
          <w:rFonts w:ascii="宋体" w:hAnsi="宋体"/>
          <w:color w:val="000000"/>
          <w:szCs w:val="21"/>
        </w:rPr>
        <w:t xml:space="preserve"> </w:t>
      </w:r>
    </w:p>
    <w:p>
      <w:pPr>
        <w:spacing w:line="440" w:lineRule="exact"/>
        <w:ind w:firstLine="917" w:firstLineChars="437"/>
        <w:rPr>
          <w:rFonts w:ascii="宋体" w:hAnsi="宋体"/>
          <w:color w:val="000000"/>
          <w:szCs w:val="21"/>
        </w:rPr>
      </w:pPr>
      <w:r>
        <w:rPr>
          <w:rFonts w:hint="eastAsia" w:ascii="宋体" w:hAnsi="宋体"/>
          <w:color w:val="000000"/>
          <w:szCs w:val="21"/>
        </w:rPr>
        <w:t>⑥法律、行政法规规定的其他条件。</w:t>
      </w:r>
      <w:r>
        <w:rPr>
          <w:rFonts w:ascii="宋体" w:hAnsi="宋体"/>
          <w:color w:val="000000"/>
          <w:szCs w:val="21"/>
        </w:rPr>
        <w:t xml:space="preserve"> </w:t>
      </w:r>
    </w:p>
    <w:p>
      <w:pPr>
        <w:spacing w:line="440" w:lineRule="exact"/>
        <w:ind w:firstLine="457" w:firstLineChars="218"/>
        <w:rPr>
          <w:rFonts w:ascii="宋体" w:hAnsi="宋体"/>
          <w:color w:val="000000"/>
          <w:szCs w:val="21"/>
        </w:rPr>
      </w:pPr>
      <w:r>
        <w:rPr>
          <w:rFonts w:hint="eastAsia" w:ascii="宋体" w:hAnsi="宋体"/>
          <w:color w:val="000000"/>
          <w:szCs w:val="21"/>
        </w:rPr>
        <w:t>（2）采购人根据采购项目的特殊要求规定供应商特定条件的，联合体各方中至少应当有一方符合采购人规定的特定条件；供应商的应答文件及成交后签署的合同协议对联合体各方均具法律约束力；联合体各方应当签订共同应答协议，明确约定各方拟承担的工作和责任，并将该共同应答协议随应答文件一并递交给代理机构；</w:t>
      </w:r>
    </w:p>
    <w:p>
      <w:pPr>
        <w:spacing w:line="440" w:lineRule="exact"/>
        <w:ind w:firstLine="457" w:firstLineChars="218"/>
        <w:rPr>
          <w:rFonts w:ascii="宋体" w:hAnsi="宋体"/>
          <w:color w:val="000000"/>
          <w:szCs w:val="21"/>
        </w:rPr>
      </w:pPr>
      <w:r>
        <w:rPr>
          <w:rFonts w:hint="eastAsia" w:ascii="宋体" w:hAnsi="宋体"/>
          <w:color w:val="000000"/>
          <w:szCs w:val="21"/>
        </w:rPr>
        <w:t>（4）联合体成交后，联合体各方应当共同与采购单位签订合同，就成交项目向采购单位承担连带责任；联合体的各方应当共同推荐一联合体应答授权代表人，由联合体各方提交一份授权书，证明其有资格代表联合体各方签署应答文件，该授权书作为应答文件的组成部分一并提交给代理机构；</w:t>
      </w:r>
    </w:p>
    <w:p>
      <w:pPr>
        <w:spacing w:line="440" w:lineRule="exact"/>
        <w:ind w:firstLine="457" w:firstLineChars="218"/>
        <w:rPr>
          <w:rFonts w:ascii="宋体" w:hAnsi="宋体"/>
          <w:color w:val="000000"/>
          <w:szCs w:val="21"/>
        </w:rPr>
      </w:pPr>
      <w:r>
        <w:rPr>
          <w:rFonts w:hint="eastAsia" w:ascii="宋体" w:hAnsi="宋体"/>
          <w:color w:val="000000"/>
          <w:szCs w:val="21"/>
        </w:rPr>
        <w:t>（5）参加联合体的各方不得再以自己的名义单独应答，不得同时参加两个或两个以上的联合体应答、不得以分包商或其它形式参与应答，出现上述情况者，其应答和与此有关联合体、总包单位的应答将被拒绝；</w:t>
      </w:r>
    </w:p>
    <w:p>
      <w:pPr>
        <w:spacing w:line="440" w:lineRule="exact"/>
        <w:ind w:firstLine="457" w:firstLineChars="218"/>
        <w:rPr>
          <w:rFonts w:ascii="宋体" w:hAnsi="宋体"/>
          <w:color w:val="000000"/>
          <w:szCs w:val="21"/>
        </w:rPr>
      </w:pPr>
      <w:r>
        <w:rPr>
          <w:rFonts w:hint="eastAsia" w:ascii="宋体" w:hAnsi="宋体"/>
          <w:color w:val="000000"/>
          <w:szCs w:val="21"/>
        </w:rPr>
        <w:t>（8）除非另有规定或说明，本须知中“供应商”一词亦指联合体各方。</w:t>
      </w:r>
    </w:p>
    <w:p>
      <w:pPr>
        <w:spacing w:line="440" w:lineRule="exact"/>
        <w:jc w:val="center"/>
        <w:outlineLvl w:val="2"/>
        <w:rPr>
          <w:rFonts w:ascii="宋体" w:hAnsi="宋体"/>
          <w:b/>
          <w:bCs/>
          <w:color w:val="000000"/>
          <w:szCs w:val="21"/>
        </w:rPr>
      </w:pPr>
      <w:bookmarkStart w:id="32" w:name="_Toc564"/>
      <w:r>
        <w:rPr>
          <w:rFonts w:hint="eastAsia" w:ascii="宋体" w:hAnsi="宋体"/>
          <w:b/>
          <w:bCs/>
          <w:color w:val="000000"/>
          <w:szCs w:val="21"/>
        </w:rPr>
        <w:t>四、应答文件的递交</w:t>
      </w:r>
      <w:bookmarkEnd w:id="32"/>
    </w:p>
    <w:p>
      <w:pPr>
        <w:spacing w:line="440" w:lineRule="exact"/>
        <w:ind w:firstLine="422" w:firstLineChars="200"/>
        <w:outlineLvl w:val="3"/>
        <w:rPr>
          <w:rFonts w:ascii="宋体" w:hAnsi="宋体"/>
          <w:b/>
          <w:bCs/>
          <w:color w:val="000000"/>
          <w:szCs w:val="21"/>
        </w:rPr>
      </w:pPr>
      <w:bookmarkStart w:id="33" w:name="_Toc6800"/>
      <w:r>
        <w:rPr>
          <w:rFonts w:hint="eastAsia" w:ascii="宋体" w:hAnsi="宋体"/>
          <w:b/>
          <w:color w:val="000000"/>
          <w:szCs w:val="21"/>
        </w:rPr>
        <w:t>20</w:t>
      </w:r>
      <w:r>
        <w:rPr>
          <w:rFonts w:hint="eastAsia" w:ascii="宋体" w:hAnsi="宋体"/>
          <w:b/>
          <w:bCs/>
          <w:color w:val="000000"/>
          <w:szCs w:val="21"/>
        </w:rPr>
        <w:t>．应答文件的密封和标记</w:t>
      </w:r>
      <w:bookmarkEnd w:id="33"/>
    </w:p>
    <w:p>
      <w:pPr>
        <w:spacing w:line="440" w:lineRule="exact"/>
        <w:rPr>
          <w:rFonts w:ascii="宋体" w:hAnsi="宋体"/>
          <w:color w:val="000000"/>
          <w:szCs w:val="21"/>
        </w:rPr>
      </w:pPr>
      <w:r>
        <w:rPr>
          <w:rFonts w:hint="eastAsia" w:ascii="宋体" w:hAnsi="宋体"/>
          <w:color w:val="000000"/>
          <w:szCs w:val="21"/>
        </w:rPr>
        <w:t xml:space="preserve">    20.1  供应商应将应答文件正本和副本密封，并标明项目编号、项目名称及“正本”或“副本”，密封包上注明按“采购邀请书”所规定的</w:t>
      </w:r>
      <w:r>
        <w:rPr>
          <w:rFonts w:hint="eastAsia" w:ascii="Calibri" w:hAnsi="Calibri"/>
          <w:szCs w:val="21"/>
        </w:rPr>
        <w:t>应答文件提交截至时间</w:t>
      </w:r>
      <w:r>
        <w:rPr>
          <w:rFonts w:hint="eastAsia" w:ascii="宋体" w:hAnsi="宋体"/>
          <w:color w:val="000000"/>
          <w:szCs w:val="21"/>
        </w:rPr>
        <w:t>前不准启封的字样。</w:t>
      </w:r>
    </w:p>
    <w:p>
      <w:pPr>
        <w:spacing w:line="440" w:lineRule="exact"/>
        <w:ind w:firstLine="420" w:firstLineChars="200"/>
        <w:rPr>
          <w:rFonts w:ascii="宋体" w:hAnsi="宋体"/>
          <w:color w:val="000000"/>
          <w:szCs w:val="21"/>
        </w:rPr>
      </w:pPr>
      <w:r>
        <w:rPr>
          <w:rFonts w:hint="eastAsia" w:ascii="宋体" w:hAnsi="宋体"/>
          <w:color w:val="000000"/>
          <w:szCs w:val="21"/>
        </w:rPr>
        <w:t>20.2  如应答文件由专人送交，供应商应将应答文件按规定进行密封和标记后，按采购邀请书注明的地址送至代理机构；如应答文件通过邮寄递交，供应商应将应答文件用内、外两层信封密封，内层信封的封装与标记同20.1-20.2规定，外层信封注明项目名称、代理机构名称及地址，同时应写明供应商的名称、地址及邮编，以便如果其应答被宣布为“迟到”应答时，能原封退回。未按要求密封和标记，代理机构对误投或过早启封概不负责，对由此造成提前开封的应答文件，代理机构将予以拒绝，并退回供应商。</w:t>
      </w:r>
    </w:p>
    <w:p>
      <w:pPr>
        <w:spacing w:line="440" w:lineRule="exact"/>
        <w:ind w:firstLine="420" w:firstLineChars="200"/>
        <w:rPr>
          <w:rFonts w:ascii="宋体" w:hAnsi="宋体"/>
          <w:color w:val="000000"/>
          <w:szCs w:val="21"/>
        </w:rPr>
      </w:pPr>
      <w:r>
        <w:rPr>
          <w:rFonts w:hint="eastAsia" w:ascii="宋体" w:hAnsi="宋体"/>
          <w:color w:val="000000"/>
          <w:szCs w:val="21"/>
        </w:rPr>
        <w:t>20.3  电报、电话、传真形式的应答概不接受。</w:t>
      </w:r>
    </w:p>
    <w:p>
      <w:pPr>
        <w:spacing w:line="440" w:lineRule="exact"/>
        <w:ind w:firstLine="422" w:firstLineChars="200"/>
        <w:outlineLvl w:val="3"/>
        <w:rPr>
          <w:rFonts w:ascii="宋体" w:hAnsi="宋体"/>
          <w:b/>
          <w:bCs/>
          <w:color w:val="000000"/>
          <w:szCs w:val="21"/>
        </w:rPr>
      </w:pPr>
      <w:bookmarkStart w:id="34" w:name="_Toc16374"/>
      <w:r>
        <w:rPr>
          <w:rFonts w:hint="eastAsia" w:ascii="宋体" w:hAnsi="宋体"/>
          <w:b/>
          <w:bCs/>
          <w:color w:val="000000"/>
          <w:szCs w:val="21"/>
        </w:rPr>
        <w:t>21．应答文件提交截止时间</w:t>
      </w:r>
      <w:bookmarkEnd w:id="34"/>
    </w:p>
    <w:p>
      <w:pPr>
        <w:spacing w:line="440" w:lineRule="exact"/>
        <w:rPr>
          <w:rFonts w:ascii="宋体" w:hAnsi="宋体"/>
          <w:color w:val="000000"/>
          <w:szCs w:val="21"/>
        </w:rPr>
      </w:pPr>
      <w:r>
        <w:rPr>
          <w:rFonts w:hint="eastAsia" w:ascii="宋体" w:hAnsi="宋体"/>
          <w:color w:val="000000"/>
          <w:szCs w:val="21"/>
        </w:rPr>
        <w:t xml:space="preserve">    21.1  代理机构在“采购邀请书”规定的地址收到应答文件的时间不得迟于“采购邀请书”所规定的时间。</w:t>
      </w:r>
    </w:p>
    <w:p>
      <w:pPr>
        <w:spacing w:line="440" w:lineRule="exact"/>
        <w:ind w:firstLine="422" w:firstLineChars="200"/>
        <w:outlineLvl w:val="3"/>
        <w:rPr>
          <w:rFonts w:ascii="宋体" w:hAnsi="宋体"/>
          <w:b/>
          <w:bCs/>
          <w:color w:val="000000"/>
          <w:szCs w:val="21"/>
        </w:rPr>
      </w:pPr>
      <w:bookmarkStart w:id="35" w:name="_Toc7683"/>
      <w:r>
        <w:rPr>
          <w:rFonts w:hint="eastAsia" w:ascii="宋体" w:hAnsi="宋体"/>
          <w:b/>
          <w:bCs/>
          <w:color w:val="000000"/>
          <w:szCs w:val="21"/>
        </w:rPr>
        <w:t>22．迟交的应答文件</w:t>
      </w:r>
      <w:bookmarkEnd w:id="35"/>
    </w:p>
    <w:p>
      <w:pPr>
        <w:spacing w:line="440" w:lineRule="exact"/>
        <w:rPr>
          <w:rFonts w:ascii="宋体" w:hAnsi="宋体"/>
          <w:color w:val="000000"/>
          <w:szCs w:val="21"/>
        </w:rPr>
      </w:pPr>
      <w:r>
        <w:rPr>
          <w:rFonts w:hint="eastAsia" w:ascii="宋体" w:hAnsi="宋体"/>
          <w:color w:val="000000"/>
          <w:szCs w:val="21"/>
        </w:rPr>
        <w:t xml:space="preserve">    22.1  按照供应商须知第21条规定，代理机构将拒绝并原封退回在其规定的应答文件提交截止时间后收到的任何应答文件。</w:t>
      </w:r>
    </w:p>
    <w:p>
      <w:pPr>
        <w:spacing w:line="440" w:lineRule="exact"/>
        <w:ind w:firstLine="422" w:firstLineChars="200"/>
        <w:outlineLvl w:val="3"/>
        <w:rPr>
          <w:rFonts w:ascii="宋体" w:hAnsi="宋体"/>
          <w:b/>
          <w:bCs/>
          <w:color w:val="000000"/>
          <w:szCs w:val="21"/>
        </w:rPr>
      </w:pPr>
      <w:bookmarkStart w:id="36" w:name="_Toc3084"/>
      <w:r>
        <w:rPr>
          <w:rFonts w:hint="eastAsia" w:ascii="宋体" w:hAnsi="宋体"/>
          <w:b/>
          <w:bCs/>
          <w:color w:val="000000"/>
          <w:szCs w:val="21"/>
        </w:rPr>
        <w:t>23．应答文件的修改和撤回</w:t>
      </w:r>
      <w:bookmarkEnd w:id="36"/>
    </w:p>
    <w:p>
      <w:pPr>
        <w:spacing w:line="440" w:lineRule="exact"/>
        <w:ind w:firstLine="420" w:firstLineChars="200"/>
        <w:rPr>
          <w:rFonts w:ascii="宋体" w:hAnsi="宋体"/>
          <w:color w:val="000000"/>
          <w:szCs w:val="21"/>
        </w:rPr>
      </w:pPr>
      <w:r>
        <w:rPr>
          <w:rFonts w:hint="eastAsia" w:ascii="宋体" w:hAnsi="宋体"/>
          <w:color w:val="000000"/>
          <w:szCs w:val="21"/>
        </w:rPr>
        <w:t>23.1  供应商在递交应答文件后，可以修改或撤回其应答文件，但代理机构必须在规定的</w:t>
      </w:r>
      <w:r>
        <w:rPr>
          <w:rFonts w:hint="eastAsia" w:ascii="Calibri" w:hAnsi="Calibri"/>
          <w:szCs w:val="21"/>
        </w:rPr>
        <w:t>应答文件提交截至时间</w:t>
      </w:r>
      <w:r>
        <w:rPr>
          <w:rFonts w:hint="eastAsia" w:ascii="宋体" w:hAnsi="宋体"/>
          <w:color w:val="000000"/>
          <w:szCs w:val="21"/>
        </w:rPr>
        <w:t>之前，收到修改或撤回的书面通知，在应答截止期之后，供应商不得对其应答文件做任何修改。</w:t>
      </w:r>
    </w:p>
    <w:p>
      <w:pPr>
        <w:spacing w:line="440" w:lineRule="exact"/>
        <w:rPr>
          <w:rFonts w:ascii="宋体" w:hAnsi="宋体"/>
          <w:color w:val="000000"/>
          <w:szCs w:val="21"/>
        </w:rPr>
      </w:pPr>
      <w:r>
        <w:rPr>
          <w:rFonts w:hint="eastAsia" w:ascii="宋体" w:hAnsi="宋体"/>
          <w:color w:val="000000"/>
          <w:szCs w:val="21"/>
        </w:rPr>
        <w:t xml:space="preserve">    23.2  供应商的修改或撤回通知书应按供应商须知第20、21条规定编制、密封、标记和发送，并应在封套上加注“修改”或“撤回”字样。</w:t>
      </w:r>
    </w:p>
    <w:p>
      <w:pPr>
        <w:spacing w:line="440" w:lineRule="exact"/>
        <w:ind w:firstLine="420" w:firstLineChars="200"/>
        <w:rPr>
          <w:rFonts w:ascii="宋体" w:hAnsi="宋体"/>
          <w:color w:val="000000"/>
          <w:szCs w:val="21"/>
        </w:rPr>
      </w:pPr>
      <w:r>
        <w:rPr>
          <w:rFonts w:hint="eastAsia" w:ascii="宋体" w:hAnsi="宋体"/>
          <w:color w:val="000000"/>
          <w:szCs w:val="21"/>
        </w:rPr>
        <w:t>23.3  在供应商须知第21条规定的应答文件提交截止时间至供应商须知第16条规定的应答有效期期满之间的这段时间内，供应商不得撤回其应答，否则根据供应商须知第15.8条规定，其响应保证金将不予退还。</w:t>
      </w:r>
    </w:p>
    <w:p>
      <w:pPr>
        <w:spacing w:line="440" w:lineRule="exact"/>
        <w:jc w:val="center"/>
        <w:outlineLvl w:val="2"/>
        <w:rPr>
          <w:rFonts w:ascii="宋体" w:hAnsi="宋体"/>
          <w:b/>
          <w:bCs/>
          <w:color w:val="000000"/>
          <w:szCs w:val="21"/>
        </w:rPr>
      </w:pPr>
      <w:bookmarkStart w:id="37" w:name="_Toc4243"/>
      <w:r>
        <w:rPr>
          <w:rFonts w:hint="eastAsia" w:ascii="宋体" w:hAnsi="宋体"/>
          <w:b/>
          <w:bCs/>
          <w:color w:val="000000"/>
          <w:szCs w:val="21"/>
        </w:rPr>
        <w:t>五、谈判与评审</w:t>
      </w:r>
      <w:bookmarkEnd w:id="37"/>
    </w:p>
    <w:p>
      <w:pPr>
        <w:spacing w:line="440" w:lineRule="exact"/>
        <w:ind w:firstLine="422" w:firstLineChars="200"/>
        <w:rPr>
          <w:rFonts w:ascii="宋体" w:hAnsi="宋体"/>
          <w:b/>
          <w:bCs/>
          <w:color w:val="000000"/>
          <w:szCs w:val="21"/>
        </w:rPr>
      </w:pPr>
      <w:r>
        <w:rPr>
          <w:rFonts w:hint="eastAsia" w:ascii="宋体" w:hAnsi="宋体"/>
          <w:b/>
          <w:bCs/>
          <w:color w:val="000000"/>
          <w:szCs w:val="21"/>
        </w:rPr>
        <w:t>24．</w:t>
      </w:r>
      <w:r>
        <w:rPr>
          <w:rFonts w:hint="eastAsia" w:ascii="宋体" w:hAnsi="宋体"/>
          <w:b/>
          <w:color w:val="000000"/>
          <w:szCs w:val="21"/>
        </w:rPr>
        <w:t>谈判小组组建</w:t>
      </w:r>
    </w:p>
    <w:p>
      <w:pPr>
        <w:spacing w:line="440" w:lineRule="exact"/>
        <w:rPr>
          <w:rFonts w:ascii="宋体" w:hAnsi="宋体"/>
          <w:color w:val="000000"/>
          <w:szCs w:val="21"/>
        </w:rPr>
      </w:pPr>
      <w:r>
        <w:rPr>
          <w:rFonts w:hint="eastAsia" w:ascii="宋体" w:hAnsi="宋体"/>
          <w:color w:val="000000"/>
          <w:szCs w:val="21"/>
        </w:rPr>
        <w:t xml:space="preserve">    24.1  谈判小组一般由采购单位代表和有关技术、经济等方面的专家组成，成员人数为三人以上单数，其中技术、经济等方面的专家不少于成员总数的三分之二。</w:t>
      </w:r>
    </w:p>
    <w:p>
      <w:pPr>
        <w:spacing w:line="440" w:lineRule="exact"/>
        <w:ind w:firstLine="422" w:firstLineChars="200"/>
        <w:rPr>
          <w:rFonts w:ascii="宋体" w:hAnsi="宋体"/>
          <w:b/>
          <w:bCs/>
          <w:color w:val="000000"/>
          <w:szCs w:val="21"/>
        </w:rPr>
      </w:pPr>
      <w:r>
        <w:rPr>
          <w:rFonts w:hint="eastAsia" w:ascii="宋体" w:hAnsi="宋体"/>
          <w:b/>
          <w:bCs/>
          <w:color w:val="000000"/>
          <w:szCs w:val="21"/>
        </w:rPr>
        <w:t>25．</w:t>
      </w:r>
      <w:r>
        <w:rPr>
          <w:rFonts w:hint="eastAsia" w:ascii="宋体" w:hAnsi="宋体"/>
          <w:b/>
          <w:color w:val="000000"/>
          <w:szCs w:val="21"/>
        </w:rPr>
        <w:t>谈判</w:t>
      </w:r>
    </w:p>
    <w:p>
      <w:pPr>
        <w:spacing w:line="440" w:lineRule="exact"/>
        <w:ind w:firstLine="420"/>
        <w:rPr>
          <w:rFonts w:ascii="宋体" w:hAnsi="宋体"/>
          <w:color w:val="000000"/>
          <w:szCs w:val="21"/>
        </w:rPr>
      </w:pPr>
      <w:r>
        <w:rPr>
          <w:rFonts w:hint="eastAsia" w:ascii="宋体" w:hAnsi="宋体"/>
          <w:color w:val="000000"/>
          <w:szCs w:val="21"/>
        </w:rPr>
        <w:t>25.1  谈判小组所有成员集中与单一供应商分别进</w:t>
      </w:r>
      <w:r>
        <w:rPr>
          <w:rFonts w:hint="eastAsia" w:ascii="宋体" w:hAnsi="宋体"/>
          <w:szCs w:val="21"/>
        </w:rPr>
        <w:t>行谈判。在谈判中，</w:t>
      </w:r>
      <w:r>
        <w:rPr>
          <w:rFonts w:hint="eastAsia" w:ascii="宋体" w:hAnsi="宋体"/>
          <w:bCs/>
          <w:szCs w:val="21"/>
        </w:rPr>
        <w:t>谈判小组于每一轮谈判前向所有供应商公布各供应商最新的承诺及报价排名，但不得透露每一家供应商的具体报价及技术资料</w:t>
      </w:r>
      <w:r>
        <w:rPr>
          <w:rFonts w:hint="eastAsia" w:ascii="宋体" w:hAnsi="宋体"/>
          <w:szCs w:val="21"/>
        </w:rPr>
        <w:t>；供应商应在规定的时间内提出书面承诺。</w:t>
      </w:r>
    </w:p>
    <w:p>
      <w:pPr>
        <w:spacing w:line="440" w:lineRule="exact"/>
        <w:ind w:firstLine="457" w:firstLineChars="217"/>
        <w:rPr>
          <w:rFonts w:ascii="宋体" w:hAnsi="宋体"/>
          <w:b/>
          <w:bCs/>
          <w:color w:val="000000"/>
          <w:szCs w:val="21"/>
        </w:rPr>
      </w:pPr>
      <w:r>
        <w:rPr>
          <w:rFonts w:hint="eastAsia" w:ascii="宋体" w:hAnsi="宋体"/>
          <w:b/>
          <w:bCs/>
          <w:color w:val="000000"/>
          <w:szCs w:val="21"/>
        </w:rPr>
        <w:t>26</w:t>
      </w:r>
      <w:r>
        <w:rPr>
          <w:rFonts w:hint="eastAsia" w:ascii="宋体" w:hAnsi="宋体"/>
          <w:color w:val="000000"/>
          <w:szCs w:val="21"/>
        </w:rPr>
        <w:t>．</w:t>
      </w:r>
      <w:r>
        <w:rPr>
          <w:rFonts w:hint="eastAsia" w:ascii="宋体" w:hAnsi="宋体"/>
          <w:b/>
          <w:bCs/>
          <w:color w:val="000000"/>
          <w:szCs w:val="21"/>
        </w:rPr>
        <w:t>评审原则及方法</w:t>
      </w:r>
    </w:p>
    <w:p>
      <w:pPr>
        <w:spacing w:line="440" w:lineRule="exact"/>
        <w:ind w:firstLine="420" w:firstLineChars="200"/>
        <w:rPr>
          <w:rFonts w:ascii="宋体" w:hAnsi="宋体"/>
          <w:color w:val="000000"/>
          <w:szCs w:val="21"/>
        </w:rPr>
      </w:pPr>
      <w:r>
        <w:rPr>
          <w:rFonts w:hint="eastAsia" w:ascii="宋体" w:hAnsi="宋体"/>
          <w:color w:val="000000"/>
          <w:szCs w:val="21"/>
        </w:rPr>
        <w:t>26.1  评审活动依法进行，任何单位和个人不得非法干预评审过程和结果，谈判小组只对确定为实质上响应采购文件要求的应答进行评价和比较。</w:t>
      </w:r>
    </w:p>
    <w:p>
      <w:pPr>
        <w:spacing w:line="440" w:lineRule="exact"/>
        <w:ind w:firstLine="472" w:firstLineChars="225"/>
        <w:rPr>
          <w:rFonts w:ascii="宋体" w:hAnsi="宋体"/>
          <w:color w:val="000000"/>
          <w:szCs w:val="21"/>
        </w:rPr>
      </w:pPr>
      <w:r>
        <w:rPr>
          <w:rFonts w:hint="eastAsia" w:ascii="宋体" w:hAnsi="宋体"/>
          <w:color w:val="000000"/>
          <w:szCs w:val="21"/>
        </w:rPr>
        <w:t>26.2  谈判小组根据全体成员签字的原始记录和结果编写评审报告，并由谈判小组全体成员签字；对评审结论持有异议的谈判小组成员可以书面方式阐述其不同意见和理由，拒绝在评审报告上签字且不陈述其不同意见和理由的，视为同意评审结论，谈判小组应当对此书面说明并记录在案。</w:t>
      </w:r>
    </w:p>
    <w:p>
      <w:pPr>
        <w:spacing w:line="440" w:lineRule="exact"/>
        <w:jc w:val="center"/>
        <w:outlineLvl w:val="2"/>
        <w:rPr>
          <w:rFonts w:ascii="宋体" w:hAnsi="宋体"/>
          <w:b/>
          <w:bCs/>
          <w:color w:val="000000"/>
          <w:szCs w:val="21"/>
        </w:rPr>
      </w:pPr>
      <w:bookmarkStart w:id="38" w:name="_Toc8589"/>
      <w:r>
        <w:rPr>
          <w:rFonts w:hint="eastAsia" w:ascii="宋体" w:hAnsi="宋体"/>
          <w:b/>
          <w:bCs/>
          <w:color w:val="000000"/>
          <w:szCs w:val="21"/>
        </w:rPr>
        <w:t>六、授予合同</w:t>
      </w:r>
      <w:bookmarkEnd w:id="38"/>
    </w:p>
    <w:p>
      <w:pPr>
        <w:spacing w:line="440" w:lineRule="exact"/>
        <w:ind w:firstLine="422" w:firstLineChars="200"/>
        <w:outlineLvl w:val="3"/>
        <w:rPr>
          <w:rFonts w:ascii="宋体" w:hAnsi="宋体"/>
          <w:b/>
          <w:bCs/>
          <w:color w:val="000000"/>
          <w:szCs w:val="21"/>
        </w:rPr>
      </w:pPr>
      <w:bookmarkStart w:id="39" w:name="_Toc13215"/>
      <w:r>
        <w:rPr>
          <w:rFonts w:hint="eastAsia" w:ascii="宋体" w:hAnsi="宋体"/>
          <w:b/>
          <w:bCs/>
          <w:color w:val="000000"/>
          <w:szCs w:val="21"/>
        </w:rPr>
        <w:t>27．资格后审及其他</w:t>
      </w:r>
      <w:bookmarkEnd w:id="39"/>
    </w:p>
    <w:p>
      <w:pPr>
        <w:spacing w:line="440" w:lineRule="exact"/>
        <w:rPr>
          <w:rFonts w:ascii="宋体" w:hAnsi="宋体"/>
          <w:color w:val="000000"/>
          <w:szCs w:val="21"/>
        </w:rPr>
      </w:pPr>
      <w:r>
        <w:rPr>
          <w:rFonts w:hint="eastAsia" w:ascii="宋体" w:hAnsi="宋体"/>
          <w:color w:val="000000"/>
          <w:szCs w:val="21"/>
        </w:rPr>
        <w:t xml:space="preserve">    27.1  对成交供应商应答真实性以及是否有能力令人满意地履行合同的核实等，按相关法律法规处理。</w:t>
      </w:r>
    </w:p>
    <w:p>
      <w:pPr>
        <w:spacing w:line="440" w:lineRule="exact"/>
        <w:ind w:firstLine="422" w:firstLineChars="200"/>
        <w:outlineLvl w:val="3"/>
        <w:rPr>
          <w:rFonts w:ascii="宋体" w:hAnsi="宋体"/>
          <w:b/>
          <w:bCs/>
          <w:color w:val="000000"/>
          <w:szCs w:val="21"/>
        </w:rPr>
      </w:pPr>
      <w:bookmarkStart w:id="40" w:name="_Toc3163"/>
      <w:r>
        <w:rPr>
          <w:rFonts w:hint="eastAsia" w:ascii="宋体" w:hAnsi="宋体"/>
          <w:b/>
          <w:bCs/>
          <w:color w:val="000000"/>
          <w:szCs w:val="21"/>
        </w:rPr>
        <w:t>28．采购人更改拟采购项目数量的权利</w:t>
      </w:r>
      <w:bookmarkEnd w:id="40"/>
    </w:p>
    <w:p>
      <w:pPr>
        <w:spacing w:line="440" w:lineRule="exact"/>
        <w:rPr>
          <w:rFonts w:ascii="宋体" w:hAnsi="宋体"/>
          <w:color w:val="000000"/>
          <w:szCs w:val="21"/>
        </w:rPr>
      </w:pPr>
      <w:r>
        <w:rPr>
          <w:rFonts w:hint="eastAsia" w:ascii="宋体" w:hAnsi="宋体"/>
          <w:color w:val="000000"/>
          <w:szCs w:val="21"/>
        </w:rPr>
        <w:t xml:space="preserve">    28.1  按财政部门相关的规定执行。</w:t>
      </w:r>
    </w:p>
    <w:p>
      <w:pPr>
        <w:spacing w:line="440" w:lineRule="exact"/>
        <w:ind w:firstLine="422" w:firstLineChars="200"/>
        <w:outlineLvl w:val="3"/>
        <w:rPr>
          <w:rFonts w:ascii="宋体" w:hAnsi="宋体"/>
          <w:b/>
          <w:bCs/>
          <w:color w:val="000000"/>
          <w:szCs w:val="21"/>
        </w:rPr>
      </w:pPr>
      <w:bookmarkStart w:id="41" w:name="_Toc31612"/>
      <w:r>
        <w:rPr>
          <w:rFonts w:hint="eastAsia" w:ascii="宋体" w:hAnsi="宋体"/>
          <w:b/>
          <w:bCs/>
          <w:color w:val="000000"/>
          <w:szCs w:val="21"/>
        </w:rPr>
        <w:t>29．代理机构接受和拒绝任何或所有应答的权利</w:t>
      </w:r>
      <w:bookmarkEnd w:id="41"/>
    </w:p>
    <w:p>
      <w:pPr>
        <w:spacing w:line="440" w:lineRule="exact"/>
        <w:rPr>
          <w:rFonts w:ascii="宋体" w:hAnsi="宋体"/>
          <w:color w:val="000000"/>
          <w:szCs w:val="21"/>
        </w:rPr>
      </w:pPr>
      <w:r>
        <w:rPr>
          <w:rFonts w:hint="eastAsia" w:ascii="宋体" w:hAnsi="宋体"/>
          <w:color w:val="000000"/>
          <w:szCs w:val="21"/>
        </w:rPr>
        <w:t xml:space="preserve">    29.1  当出现损害国家利益情况时，代理机构会有选择或拒绝任何供应商的权利，对于受影响的供应商不承担任何责任，也无义务向受影响的供应商解释采取这一行动的理由。</w:t>
      </w:r>
    </w:p>
    <w:p>
      <w:pPr>
        <w:spacing w:line="440" w:lineRule="exact"/>
        <w:ind w:firstLine="422" w:firstLineChars="200"/>
        <w:outlineLvl w:val="3"/>
        <w:rPr>
          <w:rFonts w:ascii="宋体" w:hAnsi="宋体"/>
          <w:b/>
          <w:bCs/>
          <w:color w:val="000000"/>
          <w:szCs w:val="21"/>
        </w:rPr>
      </w:pPr>
      <w:bookmarkStart w:id="42" w:name="_Toc3978"/>
      <w:r>
        <w:rPr>
          <w:rFonts w:hint="eastAsia" w:ascii="宋体" w:hAnsi="宋体"/>
          <w:b/>
          <w:bCs/>
          <w:color w:val="000000"/>
          <w:szCs w:val="21"/>
        </w:rPr>
        <w:t>30．成交通知书</w:t>
      </w:r>
      <w:bookmarkEnd w:id="42"/>
    </w:p>
    <w:p>
      <w:pPr>
        <w:spacing w:line="440" w:lineRule="exact"/>
        <w:ind w:firstLine="411" w:firstLineChars="196"/>
        <w:rPr>
          <w:rFonts w:ascii="宋体" w:hAnsi="宋体"/>
          <w:color w:val="000000"/>
          <w:szCs w:val="21"/>
        </w:rPr>
      </w:pPr>
      <w:r>
        <w:rPr>
          <w:rFonts w:hint="eastAsia" w:ascii="宋体" w:hAnsi="宋体"/>
          <w:szCs w:val="21"/>
        </w:rPr>
        <w:t>30.1  成交公示期内无人提出异议或异议不成立的，将发出成交通知书；采购人和供应商有义务上网查看，成交公告一经上网发布，即视为送达采购人和各供应商，采购人和成交人应尽快到我司领取成交通知书，未及时领取造成采购工作延误的责任自负。</w:t>
      </w:r>
      <w:r>
        <w:rPr>
          <w:rFonts w:hint="eastAsia" w:ascii="宋体" w:hAnsi="宋体"/>
          <w:color w:val="000000"/>
          <w:szCs w:val="21"/>
        </w:rPr>
        <w:t xml:space="preserve"> </w:t>
      </w:r>
    </w:p>
    <w:p>
      <w:pPr>
        <w:spacing w:line="440" w:lineRule="exact"/>
        <w:ind w:firstLine="422" w:firstLineChars="200"/>
        <w:outlineLvl w:val="3"/>
        <w:rPr>
          <w:rFonts w:ascii="宋体" w:hAnsi="宋体"/>
          <w:b/>
          <w:bCs/>
          <w:color w:val="000000"/>
          <w:szCs w:val="21"/>
        </w:rPr>
      </w:pPr>
      <w:bookmarkStart w:id="43" w:name="_Toc1723"/>
      <w:r>
        <w:rPr>
          <w:rFonts w:hint="eastAsia" w:ascii="宋体" w:hAnsi="宋体"/>
          <w:b/>
          <w:bCs/>
          <w:color w:val="000000"/>
          <w:szCs w:val="21"/>
        </w:rPr>
        <w:t>31．签订合同</w:t>
      </w:r>
      <w:bookmarkEnd w:id="43"/>
    </w:p>
    <w:p>
      <w:pPr>
        <w:spacing w:line="440" w:lineRule="exact"/>
        <w:ind w:firstLine="420" w:firstLineChars="200"/>
        <w:rPr>
          <w:rFonts w:ascii="宋体" w:hAnsi="宋体"/>
          <w:color w:val="000000"/>
          <w:szCs w:val="21"/>
        </w:rPr>
      </w:pPr>
      <w:r>
        <w:rPr>
          <w:rFonts w:hint="eastAsia" w:ascii="宋体" w:hAnsi="宋体"/>
          <w:color w:val="000000"/>
          <w:szCs w:val="21"/>
        </w:rPr>
        <w:t>31.1  成交人在收到成交通知书和合同格式后十个工作日内，应派授权代表到采购人所在地与采购人签订合同。</w:t>
      </w:r>
    </w:p>
    <w:p>
      <w:pPr>
        <w:spacing w:line="440" w:lineRule="exact"/>
        <w:ind w:firstLine="420" w:firstLineChars="200"/>
        <w:rPr>
          <w:rFonts w:ascii="宋体" w:hAnsi="宋体"/>
          <w:color w:val="000000"/>
          <w:szCs w:val="21"/>
        </w:rPr>
      </w:pPr>
      <w:r>
        <w:rPr>
          <w:rFonts w:hint="eastAsia" w:ascii="宋体" w:hAnsi="宋体"/>
          <w:color w:val="000000"/>
          <w:szCs w:val="21"/>
        </w:rPr>
        <w:t>31.2  采购文件、成交方的应答文件及其澄清、修改文件等，均为签订经济合同的依据；采购文件提供的合同格式在签订合同时，双方可根据成交结果等修正。</w:t>
      </w:r>
    </w:p>
    <w:p>
      <w:pPr>
        <w:spacing w:line="440" w:lineRule="exact"/>
        <w:ind w:firstLine="422" w:firstLineChars="200"/>
        <w:outlineLvl w:val="3"/>
        <w:rPr>
          <w:rFonts w:ascii="宋体" w:hAnsi="宋体"/>
          <w:b/>
          <w:bCs/>
          <w:color w:val="000000"/>
          <w:szCs w:val="21"/>
        </w:rPr>
      </w:pPr>
      <w:bookmarkStart w:id="44" w:name="_Toc16397"/>
      <w:r>
        <w:rPr>
          <w:rFonts w:hint="eastAsia" w:ascii="宋体" w:hAnsi="宋体"/>
          <w:b/>
          <w:bCs/>
          <w:color w:val="000000"/>
          <w:szCs w:val="21"/>
        </w:rPr>
        <w:t>32．履约保证金</w:t>
      </w:r>
      <w:bookmarkEnd w:id="44"/>
    </w:p>
    <w:p>
      <w:pPr>
        <w:spacing w:line="440" w:lineRule="exact"/>
        <w:rPr>
          <w:rFonts w:ascii="宋体" w:hAnsi="宋体"/>
          <w:color w:val="000000"/>
          <w:szCs w:val="21"/>
        </w:rPr>
      </w:pPr>
      <w:r>
        <w:rPr>
          <w:rFonts w:hint="eastAsia" w:ascii="宋体" w:hAnsi="宋体"/>
          <w:color w:val="000000"/>
          <w:szCs w:val="21"/>
        </w:rPr>
        <w:t xml:space="preserve">    32.1  成交人在</w:t>
      </w:r>
      <w:r>
        <w:rPr>
          <w:rFonts w:hint="eastAsia" w:ascii="宋体" w:hAnsi="宋体"/>
          <w:szCs w:val="21"/>
        </w:rPr>
        <w:t>采购合同签订时，如采购</w:t>
      </w:r>
      <w:r>
        <w:rPr>
          <w:rFonts w:hint="eastAsia" w:ascii="宋体" w:hAnsi="宋体"/>
          <w:color w:val="000000"/>
          <w:szCs w:val="21"/>
        </w:rPr>
        <w:t>人要求，应按照采购文件规定向采购人提交履约保证金，履约保证金为不超过合同总价的10％。</w:t>
      </w:r>
    </w:p>
    <w:p>
      <w:pPr>
        <w:spacing w:line="440" w:lineRule="exact"/>
        <w:ind w:firstLine="422" w:firstLineChars="200"/>
        <w:outlineLvl w:val="3"/>
        <w:rPr>
          <w:rFonts w:ascii="宋体" w:hAnsi="宋体"/>
          <w:b/>
          <w:bCs/>
          <w:color w:val="000000"/>
          <w:szCs w:val="21"/>
        </w:rPr>
      </w:pPr>
      <w:bookmarkStart w:id="45" w:name="_Toc19611"/>
      <w:r>
        <w:rPr>
          <w:rFonts w:hint="eastAsia" w:ascii="宋体" w:hAnsi="宋体"/>
          <w:b/>
          <w:bCs/>
          <w:color w:val="000000"/>
          <w:szCs w:val="21"/>
        </w:rPr>
        <w:t>33．采购代理服务费</w:t>
      </w:r>
      <w:bookmarkEnd w:id="45"/>
    </w:p>
    <w:p>
      <w:pPr>
        <w:spacing w:line="440" w:lineRule="exact"/>
        <w:ind w:firstLine="420" w:firstLineChars="200"/>
        <w:rPr>
          <w:rFonts w:ascii="宋体" w:hAnsi="宋体"/>
          <w:b/>
          <w:bCs/>
          <w:color w:val="000000"/>
          <w:szCs w:val="21"/>
        </w:rPr>
      </w:pPr>
      <w:r>
        <w:rPr>
          <w:rFonts w:hint="eastAsia" w:ascii="宋体" w:hAnsi="宋体"/>
          <w:color w:val="000000"/>
          <w:szCs w:val="21"/>
        </w:rPr>
        <w:t>33.1  成交供应商在领取成交通知书时向代理机构缴纳采购代理服务费，采购代理服务费以现金、支票或银行汇票形式交付。</w:t>
      </w:r>
    </w:p>
    <w:p>
      <w:pPr>
        <w:spacing w:line="440" w:lineRule="exact"/>
        <w:jc w:val="center"/>
        <w:outlineLvl w:val="2"/>
        <w:rPr>
          <w:rFonts w:ascii="宋体" w:hAnsi="宋体"/>
          <w:b/>
          <w:bCs/>
          <w:color w:val="000000"/>
          <w:szCs w:val="21"/>
        </w:rPr>
      </w:pPr>
      <w:bookmarkStart w:id="46" w:name="_Toc32208"/>
      <w:r>
        <w:rPr>
          <w:rFonts w:hint="eastAsia" w:ascii="宋体" w:hAnsi="宋体"/>
          <w:b/>
          <w:bCs/>
          <w:color w:val="000000"/>
          <w:szCs w:val="21"/>
        </w:rPr>
        <w:t>七、未尽事项</w:t>
      </w:r>
      <w:bookmarkEnd w:id="46"/>
    </w:p>
    <w:p>
      <w:pPr>
        <w:spacing w:line="440" w:lineRule="exact"/>
        <w:ind w:firstLine="420" w:firstLineChars="200"/>
        <w:rPr>
          <w:rFonts w:cs="Segoe UI" w:asciiTheme="minorEastAsia" w:hAnsiTheme="minorEastAsia" w:eastAsiaTheme="minorEastAsia"/>
          <w:color w:val="000000"/>
          <w:kern w:val="0"/>
          <w:szCs w:val="21"/>
        </w:rPr>
      </w:pPr>
      <w:r>
        <w:rPr>
          <w:rFonts w:hint="eastAsia" w:ascii="宋体" w:hAnsi="宋体"/>
          <w:color w:val="000000"/>
          <w:szCs w:val="21"/>
        </w:rPr>
        <w:t>34．</w:t>
      </w:r>
      <w:r>
        <w:rPr>
          <w:rFonts w:hint="eastAsia" w:asciiTheme="minorEastAsia" w:hAnsiTheme="minorEastAsia" w:eastAsiaTheme="minorEastAsia"/>
          <w:szCs w:val="21"/>
        </w:rPr>
        <w:t>供应商认为自己的权益在采购活动中受到损害的，应当自知道或者应当知道其权益受到损害之日起七个工作日内以书面形式提出质疑，但</w:t>
      </w:r>
      <w:r>
        <w:rPr>
          <w:rFonts w:hint="eastAsia" w:cs="Segoe UI" w:asciiTheme="minorEastAsia" w:hAnsiTheme="minorEastAsia" w:eastAsiaTheme="minorEastAsia"/>
          <w:color w:val="000000"/>
          <w:kern w:val="0"/>
          <w:szCs w:val="21"/>
        </w:rPr>
        <w:t>应当在法定质疑期内一次性提出针对同一采购程序环节的质疑。</w:t>
      </w:r>
    </w:p>
    <w:p>
      <w:pPr>
        <w:spacing w:line="440" w:lineRule="exact"/>
        <w:ind w:firstLine="420" w:firstLineChars="200"/>
        <w:rPr>
          <w:rFonts w:ascii="宋体" w:hAnsi="宋体"/>
          <w:color w:val="000000"/>
          <w:szCs w:val="21"/>
        </w:rPr>
      </w:pPr>
      <w:r>
        <w:rPr>
          <w:rFonts w:hint="eastAsia" w:ascii="宋体" w:hAnsi="宋体"/>
          <w:color w:val="000000"/>
          <w:szCs w:val="21"/>
        </w:rPr>
        <w:t>35．其它未尽事项按《深圳经济特区政府采购条例》《深圳经济特区政府采购条例实施</w:t>
      </w:r>
      <w:r>
        <w:rPr>
          <w:rFonts w:ascii="宋体" w:hAnsi="宋体"/>
          <w:color w:val="000000"/>
          <w:szCs w:val="21"/>
        </w:rPr>
        <w:t>细则</w:t>
      </w:r>
      <w:r>
        <w:rPr>
          <w:rFonts w:hint="eastAsia" w:ascii="宋体" w:hAnsi="宋体"/>
          <w:color w:val="000000"/>
          <w:szCs w:val="21"/>
        </w:rPr>
        <w:t>》《中华人民共和国政府采购法》《中华人民共和国政府采购法实施</w:t>
      </w:r>
      <w:r>
        <w:rPr>
          <w:rFonts w:ascii="宋体" w:hAnsi="宋体"/>
          <w:color w:val="000000"/>
          <w:szCs w:val="21"/>
        </w:rPr>
        <w:t>条例</w:t>
      </w:r>
      <w:r>
        <w:rPr>
          <w:rFonts w:hint="eastAsia" w:ascii="宋体" w:hAnsi="宋体"/>
          <w:color w:val="000000"/>
          <w:szCs w:val="21"/>
        </w:rPr>
        <w:t>》及相关法律法规执行。</w:t>
      </w:r>
    </w:p>
    <w:p>
      <w:pPr>
        <w:spacing w:line="440" w:lineRule="exact"/>
        <w:ind w:firstLine="420" w:firstLineChars="200"/>
        <w:rPr>
          <w:rFonts w:ascii="宋体" w:hAnsi="宋体"/>
          <w:b/>
          <w:bCs/>
          <w:color w:val="000000"/>
          <w:szCs w:val="21"/>
        </w:rPr>
      </w:pPr>
      <w:r>
        <w:rPr>
          <w:rFonts w:hint="eastAsia" w:ascii="宋体" w:hAnsi="宋体"/>
          <w:color w:val="000000"/>
          <w:szCs w:val="21"/>
        </w:rPr>
        <w:t>36．本采购文件解释权属深圳交易咨询集团有限公司。</w:t>
      </w:r>
    </w:p>
    <w:p>
      <w:pPr>
        <w:spacing w:line="0" w:lineRule="atLeast"/>
        <w:jc w:val="center"/>
        <w:rPr>
          <w:rFonts w:ascii="宋体" w:hAnsi="宋体"/>
          <w:b/>
          <w:bCs/>
          <w:color w:val="000000"/>
          <w:sz w:val="24"/>
        </w:rPr>
      </w:pPr>
    </w:p>
    <w:p>
      <w:pPr>
        <w:spacing w:line="0" w:lineRule="atLeast"/>
        <w:jc w:val="center"/>
        <w:rPr>
          <w:rFonts w:ascii="宋体" w:hAnsi="宋体"/>
          <w:b/>
          <w:bCs/>
          <w:color w:val="000000"/>
          <w:sz w:val="36"/>
          <w:szCs w:val="36"/>
        </w:rPr>
      </w:pPr>
    </w:p>
    <w:p>
      <w:pPr>
        <w:spacing w:line="0" w:lineRule="atLeast"/>
        <w:jc w:val="center"/>
        <w:outlineLvl w:val="0"/>
        <w:rPr>
          <w:rFonts w:ascii="黑体" w:hAnsi="宋体" w:eastAsia="黑体"/>
          <w:bCs/>
          <w:color w:val="000000"/>
          <w:sz w:val="32"/>
          <w:szCs w:val="32"/>
        </w:rPr>
      </w:pPr>
      <w:r>
        <w:rPr>
          <w:rFonts w:ascii="宋体" w:hAnsi="宋体"/>
          <w:b/>
          <w:bCs/>
          <w:color w:val="000000"/>
          <w:sz w:val="36"/>
          <w:szCs w:val="36"/>
        </w:rPr>
        <w:br w:type="page"/>
      </w:r>
      <w:bookmarkStart w:id="47" w:name="_Toc9283"/>
      <w:r>
        <w:rPr>
          <w:rFonts w:hint="eastAsia" w:ascii="微软雅黑" w:hAnsi="微软雅黑" w:eastAsia="微软雅黑" w:cs="微软雅黑"/>
          <w:b/>
          <w:color w:val="000000"/>
          <w:kern w:val="0"/>
          <w:sz w:val="32"/>
          <w:szCs w:val="32"/>
        </w:rPr>
        <w:t>第三章  合同条款格式</w:t>
      </w:r>
      <w:r>
        <w:rPr>
          <w:rFonts w:hint="eastAsia" w:ascii="楷体_GB2312" w:hAnsi="宋体" w:eastAsia="楷体_GB2312"/>
          <w:bCs/>
          <w:color w:val="000000"/>
          <w:sz w:val="32"/>
          <w:szCs w:val="32"/>
        </w:rPr>
        <w:t>（仅供参考）</w:t>
      </w:r>
      <w:bookmarkEnd w:id="47"/>
    </w:p>
    <w:p>
      <w:pPr>
        <w:spacing w:line="440" w:lineRule="exact"/>
        <w:ind w:firstLine="420" w:firstLineChars="200"/>
        <w:jc w:val="left"/>
        <w:rPr>
          <w:rFonts w:hint="eastAsia" w:eastAsia="宋体"/>
          <w:szCs w:val="21"/>
        </w:rPr>
      </w:pPr>
    </w:p>
    <w:p>
      <w:pPr>
        <w:spacing w:line="440" w:lineRule="exact"/>
        <w:ind w:firstLine="420" w:firstLineChars="200"/>
        <w:jc w:val="left"/>
        <w:rPr>
          <w:rFonts w:hint="eastAsia" w:eastAsia="宋体"/>
          <w:szCs w:val="21"/>
          <w:lang w:val="en-US" w:eastAsia="zh-CN"/>
        </w:rPr>
      </w:pPr>
      <w:r>
        <w:rPr>
          <w:rFonts w:hint="eastAsia" w:eastAsia="宋体"/>
          <w:szCs w:val="21"/>
          <w:lang w:val="en-US" w:eastAsia="zh-CN"/>
        </w:rPr>
        <w:t>甲方：深圳市前海深港现代服务业合作区管理局</w:t>
      </w:r>
    </w:p>
    <w:p>
      <w:pPr>
        <w:spacing w:line="440" w:lineRule="exact"/>
        <w:ind w:firstLine="420" w:firstLineChars="200"/>
        <w:jc w:val="left"/>
        <w:rPr>
          <w:rFonts w:hint="eastAsia" w:eastAsia="宋体"/>
          <w:szCs w:val="21"/>
          <w:lang w:val="en-US" w:eastAsia="zh-CN"/>
        </w:rPr>
      </w:pPr>
      <w:r>
        <w:rPr>
          <w:rFonts w:hint="eastAsia" w:eastAsia="宋体"/>
          <w:szCs w:val="21"/>
          <w:lang w:val="en-US" w:eastAsia="zh-CN"/>
        </w:rPr>
        <w:t>地址：</w:t>
      </w:r>
    </w:p>
    <w:p>
      <w:pPr>
        <w:spacing w:line="440" w:lineRule="exact"/>
        <w:ind w:firstLine="420" w:firstLineChars="200"/>
        <w:jc w:val="left"/>
        <w:rPr>
          <w:rFonts w:hint="eastAsia" w:eastAsia="宋体"/>
          <w:szCs w:val="21"/>
          <w:lang w:val="en-US" w:eastAsia="zh-CN"/>
        </w:rPr>
      </w:pPr>
      <w:r>
        <w:rPr>
          <w:rFonts w:hint="eastAsia" w:eastAsia="宋体"/>
          <w:szCs w:val="21"/>
          <w:lang w:val="en-US" w:eastAsia="zh-CN"/>
        </w:rPr>
        <w:t>法定代表人：</w:t>
      </w:r>
    </w:p>
    <w:p>
      <w:pPr>
        <w:pStyle w:val="30"/>
        <w:ind w:left="0" w:leftChars="0" w:firstLine="0" w:firstLineChars="0"/>
        <w:rPr>
          <w:rFonts w:hint="eastAsia" w:ascii="Times New Roman" w:hAnsi="Times New Roman" w:eastAsia="宋体" w:cs="Times New Roman"/>
          <w:kern w:val="2"/>
          <w:sz w:val="21"/>
          <w:szCs w:val="21"/>
          <w:lang w:val="en-US" w:eastAsia="zh-CN" w:bidi="ar-SA"/>
        </w:rPr>
      </w:pPr>
    </w:p>
    <w:p>
      <w:pPr>
        <w:spacing w:line="440" w:lineRule="exact"/>
        <w:ind w:firstLine="420" w:firstLineChars="200"/>
        <w:jc w:val="left"/>
        <w:rPr>
          <w:rFonts w:hint="eastAsia" w:eastAsia="宋体"/>
          <w:szCs w:val="21"/>
          <w:lang w:val="en-US" w:eastAsia="zh-CN"/>
        </w:rPr>
      </w:pPr>
      <w:r>
        <w:rPr>
          <w:rFonts w:hint="eastAsia" w:eastAsia="宋体"/>
          <w:szCs w:val="21"/>
          <w:lang w:val="en-US" w:eastAsia="zh-CN"/>
        </w:rPr>
        <w:t>乙方：</w:t>
      </w:r>
    </w:p>
    <w:p>
      <w:pPr>
        <w:spacing w:line="440" w:lineRule="exact"/>
        <w:ind w:firstLine="420" w:firstLineChars="200"/>
        <w:jc w:val="left"/>
        <w:rPr>
          <w:rFonts w:hint="eastAsia" w:eastAsia="宋体"/>
          <w:szCs w:val="21"/>
          <w:lang w:val="en-US" w:eastAsia="zh-CN"/>
        </w:rPr>
      </w:pPr>
      <w:r>
        <w:rPr>
          <w:rFonts w:hint="eastAsia" w:eastAsia="宋体"/>
          <w:szCs w:val="21"/>
          <w:lang w:val="en-US" w:eastAsia="zh-CN"/>
        </w:rPr>
        <w:t>地址：</w:t>
      </w:r>
    </w:p>
    <w:p>
      <w:pPr>
        <w:spacing w:line="440" w:lineRule="exact"/>
        <w:ind w:firstLine="420" w:firstLineChars="200"/>
        <w:jc w:val="left"/>
        <w:rPr>
          <w:rFonts w:hint="eastAsia" w:eastAsia="宋体"/>
          <w:szCs w:val="21"/>
          <w:lang w:val="en-US" w:eastAsia="zh-CN"/>
        </w:rPr>
      </w:pPr>
      <w:r>
        <w:rPr>
          <w:rFonts w:hint="eastAsia" w:eastAsia="宋体"/>
          <w:szCs w:val="21"/>
          <w:lang w:val="en-US" w:eastAsia="zh-CN"/>
        </w:rPr>
        <w:t>法定代表人：</w:t>
      </w:r>
    </w:p>
    <w:p>
      <w:pPr>
        <w:spacing w:line="440" w:lineRule="exact"/>
        <w:jc w:val="left"/>
        <w:rPr>
          <w:rFonts w:hint="eastAsia"/>
          <w:szCs w:val="21"/>
        </w:rPr>
      </w:pPr>
    </w:p>
    <w:p>
      <w:pPr>
        <w:spacing w:line="440" w:lineRule="exact"/>
        <w:ind w:firstLine="420" w:firstLineChars="200"/>
        <w:jc w:val="left"/>
        <w:rPr>
          <w:rFonts w:asciiTheme="majorEastAsia" w:hAnsiTheme="majorEastAsia" w:eastAsiaTheme="majorEastAsia"/>
          <w:color w:val="000000"/>
          <w:szCs w:val="21"/>
        </w:rPr>
      </w:pPr>
      <w:r>
        <w:rPr>
          <w:rFonts w:hint="eastAsia"/>
          <w:szCs w:val="21"/>
        </w:rPr>
        <w:t>根据深圳交易咨询集团有限公司</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号招标项目的投标结果，由</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单位为中标方。按照《中华人民共和国</w:t>
      </w:r>
      <w:r>
        <w:rPr>
          <w:rFonts w:hint="eastAsia" w:asciiTheme="majorEastAsia" w:hAnsiTheme="majorEastAsia" w:eastAsiaTheme="majorEastAsia"/>
          <w:szCs w:val="21"/>
        </w:rPr>
        <w:t>民法典》和</w:t>
      </w:r>
      <w:r>
        <w:rPr>
          <w:rFonts w:hint="eastAsia" w:asciiTheme="majorEastAsia" w:hAnsiTheme="majorEastAsia" w:eastAsiaTheme="majorEastAsia"/>
          <w:color w:val="000000"/>
          <w:szCs w:val="21"/>
        </w:rPr>
        <w:t>《深圳经济特区政府采购条例》，经深圳市</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（以下简称甲方）和</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单位（以下简称乙方）协商，就甲方委托乙方承担</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服务项目，达成以下合同条款：</w:t>
      </w:r>
    </w:p>
    <w:p>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第一条　项目概况</w:t>
      </w:r>
    </w:p>
    <w:p>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项目名称：</w:t>
      </w:r>
      <w:r>
        <w:rPr>
          <w:rFonts w:hint="eastAsia" w:asciiTheme="majorEastAsia" w:hAnsiTheme="majorEastAsia" w:eastAsiaTheme="majorEastAsia"/>
          <w:color w:val="000000"/>
          <w:szCs w:val="21"/>
          <w:u w:val="single"/>
        </w:rPr>
        <w:t xml:space="preserve">   深圳前海文旅亮点打造及宣传推介项目     </w:t>
      </w:r>
      <w:r>
        <w:rPr>
          <w:rFonts w:hint="eastAsia" w:asciiTheme="majorEastAsia" w:hAnsiTheme="majorEastAsia" w:eastAsiaTheme="majorEastAsia"/>
          <w:color w:val="000000"/>
          <w:szCs w:val="21"/>
        </w:rPr>
        <w:t xml:space="preserve"> </w:t>
      </w:r>
    </w:p>
    <w:p>
      <w:pPr>
        <w:spacing w:line="340" w:lineRule="exact"/>
        <w:ind w:firstLine="472" w:firstLineChars="225"/>
        <w:rPr>
          <w:rFonts w:hint="eastAsia" w:asciiTheme="majorEastAsia" w:hAnsiTheme="majorEastAsia" w:eastAsiaTheme="majorEastAsia"/>
          <w:color w:val="000000"/>
          <w:szCs w:val="21"/>
          <w:u w:val="single"/>
        </w:rPr>
      </w:pPr>
      <w:r>
        <w:rPr>
          <w:rFonts w:hint="eastAsia" w:asciiTheme="majorEastAsia" w:hAnsiTheme="majorEastAsia" w:eastAsiaTheme="majorEastAsia"/>
          <w:color w:val="000000"/>
          <w:szCs w:val="21"/>
        </w:rPr>
        <w:t>项目内容：</w:t>
      </w:r>
      <w:r>
        <w:rPr>
          <w:rFonts w:hint="eastAsia" w:asciiTheme="majorEastAsia" w:hAnsiTheme="majorEastAsia" w:eastAsiaTheme="majorEastAsia"/>
          <w:color w:val="000000"/>
          <w:szCs w:val="21"/>
          <w:u w:val="single"/>
        </w:rPr>
        <w:t xml:space="preserve"> </w:t>
      </w:r>
    </w:p>
    <w:p>
      <w:pPr>
        <w:spacing w:line="340" w:lineRule="exact"/>
        <w:ind w:firstLine="472" w:firstLineChars="225"/>
        <w:rPr>
          <w:rFonts w:ascii="宋体" w:hAnsi="宋体"/>
          <w:color w:val="000000"/>
          <w:szCs w:val="21"/>
        </w:rPr>
      </w:pPr>
      <w:r>
        <w:rPr>
          <w:rFonts w:hint="eastAsia" w:ascii="宋体" w:hAnsi="宋体"/>
          <w:color w:val="000000"/>
          <w:szCs w:val="21"/>
        </w:rPr>
        <w:t>本项目依托目的地基础条件，策划、设计、制作、安装落地中国国家地理自然驿站装置及科普体验亮点内容，有效辅助游客全面了解该地区自然生态、人文历史独特性。</w:t>
      </w:r>
    </w:p>
    <w:p>
      <w:pPr>
        <w:spacing w:line="340" w:lineRule="exact"/>
        <w:ind w:firstLine="472" w:firstLineChars="225"/>
        <w:rPr>
          <w:rFonts w:ascii="宋体" w:hAnsi="宋体"/>
          <w:color w:val="000000"/>
          <w:szCs w:val="21"/>
        </w:rPr>
      </w:pPr>
      <w:r>
        <w:rPr>
          <w:rFonts w:hint="eastAsia" w:ascii="宋体" w:hAnsi="宋体"/>
          <w:color w:val="000000"/>
          <w:szCs w:val="21"/>
        </w:rPr>
        <w:t>中国国家地理自然驿站装置，整体造型以中国国家地理标识性“红框”为主要意向，适应项目地自然环境，形成具有拍照打卡、科普导览、科技应用、休憩停留等多功能复合装置空间。</w:t>
      </w:r>
    </w:p>
    <w:p>
      <w:pPr>
        <w:spacing w:line="340" w:lineRule="exact"/>
        <w:ind w:firstLine="472" w:firstLineChars="225"/>
        <w:rPr>
          <w:rFonts w:ascii="宋体" w:hAnsi="宋体"/>
          <w:color w:val="000000"/>
          <w:szCs w:val="21"/>
          <w:highlight w:val="none"/>
        </w:rPr>
      </w:pPr>
      <w:r>
        <w:rPr>
          <w:rFonts w:hint="eastAsia" w:ascii="宋体" w:hAnsi="宋体"/>
          <w:color w:val="000000"/>
          <w:szCs w:val="21"/>
        </w:rPr>
        <w:t>自然驿站具有整</w:t>
      </w:r>
      <w:r>
        <w:rPr>
          <w:rFonts w:hint="eastAsia" w:ascii="宋体" w:hAnsi="宋体"/>
          <w:color w:val="000000"/>
          <w:szCs w:val="21"/>
          <w:highlight w:val="none"/>
        </w:rPr>
        <w:t>体制作、标准生产、组合安装的优势，以对自然的“最小干预”为设计原则，作为亮点景观装置的同时，发挥科普教育及综合服务的功能。</w:t>
      </w:r>
    </w:p>
    <w:p>
      <w:pPr>
        <w:spacing w:line="340" w:lineRule="exact"/>
        <w:ind w:firstLine="472" w:firstLineChars="225"/>
        <w:rPr>
          <w:rFonts w:asciiTheme="majorEastAsia" w:hAnsiTheme="majorEastAsia" w:eastAsiaTheme="majorEastAsia"/>
          <w:color w:val="000000"/>
          <w:szCs w:val="21"/>
          <w:highlight w:val="none"/>
          <w:u w:val="single"/>
        </w:rPr>
      </w:pPr>
      <w:r>
        <w:rPr>
          <w:rFonts w:hint="eastAsia" w:ascii="宋体" w:hAnsi="宋体"/>
          <w:color w:val="000000"/>
          <w:szCs w:val="21"/>
          <w:highlight w:val="none"/>
        </w:rPr>
        <w:t>依托“日落”IP，拟定</w:t>
      </w:r>
      <w:r>
        <w:rPr>
          <w:rFonts w:hint="eastAsia" w:asciiTheme="majorEastAsia" w:hAnsiTheme="majorEastAsia" w:eastAsiaTheme="majorEastAsia"/>
          <w:color w:val="000000"/>
          <w:szCs w:val="21"/>
          <w:highlight w:val="none"/>
          <w:u w:val="single"/>
        </w:rPr>
        <w:t>天文及科学摄影等主题的</w:t>
      </w:r>
      <w:r>
        <w:rPr>
          <w:rFonts w:hint="eastAsia" w:ascii="宋体" w:hAnsi="宋体"/>
          <w:color w:val="000000"/>
          <w:szCs w:val="21"/>
          <w:highlight w:val="none"/>
        </w:rPr>
        <w:t>自然驿站，邀约相关专业专家、科普大V等参与内容挖掘和梳理工作，</w:t>
      </w:r>
      <w:r>
        <w:rPr>
          <w:rFonts w:hint="eastAsia" w:asciiTheme="majorEastAsia" w:hAnsiTheme="majorEastAsia" w:eastAsiaTheme="majorEastAsia"/>
          <w:color w:val="000000"/>
          <w:szCs w:val="21"/>
          <w:highlight w:val="none"/>
          <w:u w:val="single"/>
        </w:rPr>
        <w:t>对前海湾的“日落”及日落相关的气象景观，科学摄影手法等，从地理、天文、气象、摄影等方面，进行全面科学解读，梳理趣味科普知识内容。</w:t>
      </w:r>
    </w:p>
    <w:p>
      <w:pPr>
        <w:spacing w:line="340" w:lineRule="exact"/>
        <w:ind w:firstLine="474" w:firstLineChars="225"/>
        <w:rPr>
          <w:rFonts w:ascii="宋体" w:hAnsi="宋体"/>
          <w:b/>
          <w:bCs/>
          <w:color w:val="000000"/>
          <w:szCs w:val="21"/>
          <w:highlight w:val="none"/>
        </w:rPr>
      </w:pPr>
      <w:r>
        <w:rPr>
          <w:rFonts w:hint="eastAsia" w:ascii="宋体" w:hAnsi="宋体"/>
          <w:b/>
          <w:bCs/>
          <w:color w:val="000000"/>
          <w:szCs w:val="21"/>
          <w:highlight w:val="none"/>
        </w:rPr>
        <w:t>其中，红框装置：</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规格尺寸不小于3000mm*2150mm*500mm，主要材料为铝板，要求红框装置融合中国国家地理品牌标识，突出前海文旅宣传亮点打造；</w:t>
      </w:r>
    </w:p>
    <w:p>
      <w:pPr>
        <w:spacing w:line="340" w:lineRule="exact"/>
        <w:ind w:firstLine="474" w:firstLineChars="225"/>
        <w:rPr>
          <w:rFonts w:ascii="宋体" w:hAnsi="宋体"/>
          <w:b/>
          <w:bCs/>
          <w:color w:val="000000"/>
          <w:szCs w:val="21"/>
          <w:highlight w:val="none"/>
        </w:rPr>
      </w:pPr>
      <w:r>
        <w:rPr>
          <w:rFonts w:hint="eastAsia" w:ascii="宋体" w:hAnsi="宋体"/>
          <w:b/>
          <w:bCs/>
          <w:color w:val="000000"/>
          <w:szCs w:val="21"/>
          <w:highlight w:val="none"/>
        </w:rPr>
        <w:t>自然驿站装置：</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规格尺寸不小于</w:t>
      </w:r>
      <w:r>
        <w:rPr>
          <w:rFonts w:ascii="宋体" w:hAnsi="宋体"/>
          <w:color w:val="000000"/>
          <w:szCs w:val="21"/>
          <w:highlight w:val="none"/>
        </w:rPr>
        <w:t>5000mm*2270mm*3200mm</w:t>
      </w:r>
      <w:r>
        <w:rPr>
          <w:rFonts w:hint="eastAsia" w:ascii="宋体" w:hAnsi="宋体"/>
          <w:color w:val="000000"/>
          <w:szCs w:val="21"/>
          <w:highlight w:val="none"/>
        </w:rPr>
        <w:t>，主要材料为铝板，要求自然驿站融合中国国家地理品牌标识，同时通过对前海基础环境梳理与分析，进行主题研究，形成整体设计方案。自然驿站需包含不少于25张摄影及手绘作品，包含不少于2条视频或数字内容，不少于8个科普内容体验模块，包含1台电子屏，用于播放视频或数字内容；</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包含不少于1次宣传推广，在中国国家地理营地平台发布。</w:t>
      </w:r>
    </w:p>
    <w:p>
      <w:pPr>
        <w:spacing w:line="440" w:lineRule="exact"/>
        <w:ind w:firstLine="420" w:firstLineChars="200"/>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服务时间：</w:t>
      </w:r>
      <w:r>
        <w:rPr>
          <w:rFonts w:hint="eastAsia" w:asciiTheme="majorEastAsia" w:hAnsiTheme="majorEastAsia" w:eastAsiaTheme="majorEastAsia"/>
          <w:color w:val="000000"/>
          <w:szCs w:val="21"/>
          <w:highlight w:val="none"/>
          <w:u w:val="single"/>
        </w:rPr>
        <w:t xml:space="preserve">   自合同签订之日起至2026年5月31日</w:t>
      </w:r>
      <w:r>
        <w:rPr>
          <w:rFonts w:hint="eastAsia" w:asciiTheme="majorEastAsia" w:hAnsiTheme="majorEastAsia" w:eastAsiaTheme="majorEastAsia"/>
          <w:color w:val="000000"/>
          <w:szCs w:val="21"/>
          <w:highlight w:val="none"/>
        </w:rPr>
        <w:t xml:space="preserve"> </w:t>
      </w:r>
    </w:p>
    <w:p>
      <w:pPr>
        <w:spacing w:line="440" w:lineRule="exact"/>
        <w:ind w:firstLine="420" w:firstLineChars="200"/>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合同价款：合同总价为</w:t>
      </w:r>
      <w:r>
        <w:rPr>
          <w:rFonts w:hint="eastAsia" w:asciiTheme="majorEastAsia" w:hAnsiTheme="majorEastAsia" w:eastAsiaTheme="majorEastAsia"/>
          <w:color w:val="000000"/>
          <w:szCs w:val="21"/>
          <w:highlight w:val="none"/>
          <w:u w:val="single"/>
        </w:rPr>
        <w:t xml:space="preserve">        </w:t>
      </w:r>
      <w:r>
        <w:rPr>
          <w:rFonts w:hint="eastAsia" w:asciiTheme="majorEastAsia" w:hAnsiTheme="majorEastAsia" w:eastAsiaTheme="majorEastAsia"/>
          <w:color w:val="000000"/>
          <w:szCs w:val="21"/>
          <w:highlight w:val="none"/>
        </w:rPr>
        <w:t>元，含一切税、费。</w:t>
      </w:r>
      <w:r>
        <w:rPr>
          <w:rFonts w:asciiTheme="majorEastAsia" w:hAnsiTheme="majorEastAsia" w:eastAsiaTheme="majorEastAsia"/>
          <w:color w:val="000000"/>
          <w:szCs w:val="21"/>
          <w:highlight w:val="none"/>
        </w:rPr>
        <w:t>本合同总价包括</w:t>
      </w:r>
      <w:r>
        <w:rPr>
          <w:rFonts w:hint="eastAsia" w:asciiTheme="majorEastAsia" w:hAnsiTheme="majorEastAsia" w:eastAsiaTheme="majorEastAsia"/>
          <w:color w:val="000000"/>
          <w:szCs w:val="21"/>
          <w:highlight w:val="none"/>
        </w:rPr>
        <w:t>乙方为实施本项目所需的设备仪器费、车辆租赁费、</w:t>
      </w:r>
      <w:r>
        <w:rPr>
          <w:rFonts w:asciiTheme="majorEastAsia" w:hAnsiTheme="majorEastAsia" w:eastAsiaTheme="majorEastAsia"/>
          <w:color w:val="000000"/>
          <w:szCs w:val="21"/>
          <w:highlight w:val="none"/>
        </w:rPr>
        <w:t>服务</w:t>
      </w:r>
      <w:r>
        <w:rPr>
          <w:rFonts w:hint="eastAsia" w:asciiTheme="majorEastAsia" w:hAnsiTheme="majorEastAsia" w:eastAsiaTheme="majorEastAsia"/>
          <w:color w:val="000000"/>
          <w:szCs w:val="21"/>
          <w:highlight w:val="none"/>
        </w:rPr>
        <w:t>和</w:t>
      </w:r>
      <w:r>
        <w:rPr>
          <w:rFonts w:asciiTheme="majorEastAsia" w:hAnsiTheme="majorEastAsia" w:eastAsiaTheme="majorEastAsia"/>
          <w:color w:val="000000"/>
          <w:szCs w:val="21"/>
          <w:highlight w:val="none"/>
        </w:rPr>
        <w:t>技术费用</w:t>
      </w:r>
      <w:r>
        <w:rPr>
          <w:rFonts w:hint="eastAsia" w:asciiTheme="majorEastAsia" w:hAnsiTheme="majorEastAsia" w:eastAsiaTheme="majorEastAsia"/>
          <w:color w:val="000000"/>
          <w:szCs w:val="21"/>
          <w:highlight w:val="none"/>
        </w:rPr>
        <w:t>等，为</w:t>
      </w:r>
      <w:r>
        <w:rPr>
          <w:rFonts w:asciiTheme="majorEastAsia" w:hAnsiTheme="majorEastAsia" w:eastAsiaTheme="majorEastAsia"/>
          <w:color w:val="000000"/>
          <w:szCs w:val="21"/>
          <w:highlight w:val="none"/>
        </w:rPr>
        <w:t>固定不变价格，且不随通货膨胀的影响而波动。合同总价包括</w:t>
      </w:r>
      <w:r>
        <w:rPr>
          <w:rFonts w:hint="eastAsia" w:asciiTheme="majorEastAsia" w:hAnsiTheme="majorEastAsia" w:eastAsiaTheme="majorEastAsia"/>
          <w:color w:val="000000"/>
          <w:szCs w:val="21"/>
          <w:highlight w:val="none"/>
        </w:rPr>
        <w:t>乙方</w:t>
      </w:r>
      <w:r>
        <w:rPr>
          <w:rFonts w:asciiTheme="majorEastAsia" w:hAnsiTheme="majorEastAsia" w:eastAsiaTheme="majorEastAsia"/>
          <w:color w:val="000000"/>
          <w:szCs w:val="21"/>
          <w:highlight w:val="none"/>
        </w:rPr>
        <w:t>履行本合同义务所发生的一切费用和支出和以各种方式寄送技术资料到</w:t>
      </w:r>
      <w:r>
        <w:rPr>
          <w:rFonts w:hint="eastAsia" w:asciiTheme="majorEastAsia" w:hAnsiTheme="majorEastAsia" w:eastAsiaTheme="majorEastAsia"/>
          <w:color w:val="000000"/>
          <w:szCs w:val="21"/>
          <w:highlight w:val="none"/>
        </w:rPr>
        <w:t>甲</w:t>
      </w:r>
      <w:r>
        <w:rPr>
          <w:rFonts w:asciiTheme="majorEastAsia" w:hAnsiTheme="majorEastAsia" w:eastAsiaTheme="majorEastAsia"/>
          <w:color w:val="000000"/>
          <w:szCs w:val="21"/>
          <w:highlight w:val="none"/>
        </w:rPr>
        <w:t>方办公室所发生的费用</w:t>
      </w:r>
      <w:r>
        <w:rPr>
          <w:rFonts w:hint="eastAsia" w:asciiTheme="majorEastAsia" w:hAnsiTheme="majorEastAsia" w:eastAsiaTheme="majorEastAsia"/>
          <w:color w:val="000000"/>
          <w:szCs w:val="21"/>
          <w:highlight w:val="none"/>
        </w:rPr>
        <w:t>。合同总价</w:t>
      </w:r>
    </w:p>
    <w:p>
      <w:pPr>
        <w:spacing w:line="440" w:lineRule="exact"/>
        <w:ind w:firstLine="420" w:firstLineChars="200"/>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支付方式：</w:t>
      </w:r>
    </w:p>
    <w:p>
      <w:pPr>
        <w:spacing w:line="440" w:lineRule="exact"/>
        <w:ind w:firstLine="420" w:firstLineChars="200"/>
        <w:rPr>
          <w:rFonts w:hint="eastAsia" w:ascii="宋体" w:hAnsi="宋体" w:eastAsia="宋体"/>
          <w:color w:val="000000"/>
          <w:szCs w:val="21"/>
          <w:highlight w:val="none"/>
          <w:lang w:val="en-US" w:eastAsia="zh-CN"/>
        </w:rPr>
      </w:pPr>
      <w:r>
        <w:rPr>
          <w:rFonts w:hint="eastAsia" w:ascii="宋体" w:hAnsi="宋体"/>
          <w:color w:val="000000"/>
          <w:szCs w:val="21"/>
          <w:highlight w:val="none"/>
        </w:rPr>
        <w:t>1.本项目合同签订后，向</w:t>
      </w:r>
      <w:r>
        <w:rPr>
          <w:rFonts w:hint="eastAsia" w:ascii="宋体" w:hAnsi="宋体"/>
          <w:color w:val="000000"/>
          <w:szCs w:val="21"/>
          <w:highlight w:val="none"/>
          <w:lang w:val="en-US" w:eastAsia="zh-CN"/>
        </w:rPr>
        <w:t>乙方</w:t>
      </w:r>
      <w:r>
        <w:rPr>
          <w:rFonts w:hint="eastAsia" w:ascii="宋体" w:hAnsi="宋体"/>
          <w:color w:val="000000"/>
          <w:szCs w:val="21"/>
          <w:highlight w:val="none"/>
        </w:rPr>
        <w:t>支付</w:t>
      </w:r>
      <w:r>
        <w:rPr>
          <w:rFonts w:hint="eastAsia" w:ascii="宋体" w:hAnsi="宋体"/>
          <w:color w:val="000000"/>
          <w:szCs w:val="21"/>
          <w:highlight w:val="none"/>
          <w:lang w:val="en-US" w:eastAsia="zh-CN"/>
        </w:rPr>
        <w:t>3</w:t>
      </w:r>
      <w:r>
        <w:rPr>
          <w:rFonts w:hint="eastAsia" w:ascii="宋体" w:hAnsi="宋体"/>
          <w:color w:val="000000"/>
          <w:szCs w:val="21"/>
          <w:highlight w:val="none"/>
        </w:rPr>
        <w:t>0%款项；项目完成</w:t>
      </w:r>
      <w:r>
        <w:rPr>
          <w:rFonts w:hint="eastAsia" w:ascii="宋体" w:hAnsi="宋体"/>
          <w:color w:val="000000"/>
          <w:szCs w:val="21"/>
          <w:highlight w:val="none"/>
          <w:lang w:val="en-US" w:eastAsia="zh-CN"/>
        </w:rPr>
        <w:t>红框装置设立后</w:t>
      </w:r>
      <w:r>
        <w:rPr>
          <w:rFonts w:hint="eastAsia" w:ascii="宋体" w:hAnsi="宋体"/>
          <w:color w:val="000000"/>
          <w:szCs w:val="21"/>
          <w:highlight w:val="none"/>
        </w:rPr>
        <w:t>，经</w:t>
      </w:r>
      <w:r>
        <w:rPr>
          <w:rFonts w:hint="eastAsia" w:ascii="宋体" w:hAnsi="宋体"/>
          <w:color w:val="000000"/>
          <w:szCs w:val="21"/>
          <w:highlight w:val="none"/>
          <w:lang w:val="en-US" w:eastAsia="zh-CN"/>
        </w:rPr>
        <w:t>甲方</w:t>
      </w:r>
      <w:r>
        <w:rPr>
          <w:rFonts w:hint="eastAsia" w:ascii="宋体" w:hAnsi="宋体"/>
          <w:color w:val="000000"/>
          <w:szCs w:val="21"/>
          <w:highlight w:val="none"/>
        </w:rPr>
        <w:t>验收合格后，向</w:t>
      </w:r>
      <w:r>
        <w:rPr>
          <w:rFonts w:hint="eastAsia" w:ascii="宋体" w:hAnsi="宋体"/>
          <w:color w:val="000000"/>
          <w:szCs w:val="21"/>
          <w:highlight w:val="none"/>
          <w:lang w:val="en-US" w:eastAsia="zh-CN"/>
        </w:rPr>
        <w:t>乙方</w:t>
      </w:r>
      <w:r>
        <w:rPr>
          <w:rFonts w:hint="eastAsia" w:ascii="宋体" w:hAnsi="宋体"/>
          <w:color w:val="000000"/>
          <w:szCs w:val="21"/>
          <w:highlight w:val="none"/>
        </w:rPr>
        <w:t>支付</w:t>
      </w:r>
      <w:r>
        <w:rPr>
          <w:rFonts w:hint="eastAsia" w:ascii="宋体" w:hAnsi="宋体"/>
          <w:color w:val="000000"/>
          <w:szCs w:val="21"/>
          <w:highlight w:val="none"/>
          <w:lang w:val="en-US" w:eastAsia="zh-CN"/>
        </w:rPr>
        <w:t>6</w:t>
      </w:r>
      <w:r>
        <w:rPr>
          <w:rFonts w:hint="eastAsia" w:ascii="宋体" w:hAnsi="宋体"/>
          <w:color w:val="000000"/>
          <w:szCs w:val="21"/>
          <w:highlight w:val="none"/>
        </w:rPr>
        <w:t>0%款项。</w:t>
      </w:r>
      <w:r>
        <w:rPr>
          <w:rFonts w:hint="eastAsia" w:ascii="宋体" w:hAnsi="宋体"/>
          <w:color w:val="000000"/>
          <w:szCs w:val="21"/>
          <w:highlight w:val="none"/>
          <w:lang w:val="en-US" w:eastAsia="zh-CN"/>
        </w:rPr>
        <w:t>项目完成后，</w:t>
      </w:r>
      <w:r>
        <w:rPr>
          <w:rFonts w:hint="eastAsia" w:ascii="宋体" w:hAnsi="宋体"/>
          <w:color w:val="000000"/>
          <w:szCs w:val="21"/>
          <w:highlight w:val="none"/>
        </w:rPr>
        <w:t>经</w:t>
      </w:r>
      <w:r>
        <w:rPr>
          <w:rFonts w:hint="eastAsia" w:ascii="宋体" w:hAnsi="宋体"/>
          <w:color w:val="000000"/>
          <w:szCs w:val="21"/>
          <w:highlight w:val="none"/>
          <w:lang w:val="en-US" w:eastAsia="zh-CN"/>
        </w:rPr>
        <w:t>甲方</w:t>
      </w:r>
      <w:r>
        <w:rPr>
          <w:rFonts w:hint="eastAsia" w:ascii="宋体" w:hAnsi="宋体"/>
          <w:color w:val="000000"/>
          <w:szCs w:val="21"/>
          <w:highlight w:val="none"/>
        </w:rPr>
        <w:t>验收合格后，向</w:t>
      </w:r>
      <w:r>
        <w:rPr>
          <w:rFonts w:hint="eastAsia" w:ascii="宋体" w:hAnsi="宋体"/>
          <w:color w:val="000000"/>
          <w:szCs w:val="21"/>
          <w:highlight w:val="none"/>
          <w:lang w:val="en-US" w:eastAsia="zh-CN"/>
        </w:rPr>
        <w:t>乙方</w:t>
      </w:r>
      <w:r>
        <w:rPr>
          <w:rFonts w:hint="eastAsia" w:ascii="宋体" w:hAnsi="宋体"/>
          <w:color w:val="000000"/>
          <w:szCs w:val="21"/>
          <w:highlight w:val="none"/>
        </w:rPr>
        <w:t>支付</w:t>
      </w:r>
      <w:r>
        <w:rPr>
          <w:rFonts w:hint="eastAsia" w:ascii="宋体" w:hAnsi="宋体"/>
          <w:color w:val="000000"/>
          <w:szCs w:val="21"/>
          <w:highlight w:val="none"/>
          <w:lang w:val="en-US" w:eastAsia="zh-CN"/>
        </w:rPr>
        <w:t>剩余1</w:t>
      </w:r>
      <w:r>
        <w:rPr>
          <w:rFonts w:hint="eastAsia" w:ascii="宋体" w:hAnsi="宋体"/>
          <w:color w:val="000000"/>
          <w:szCs w:val="21"/>
          <w:highlight w:val="none"/>
        </w:rPr>
        <w:t>0%款项</w:t>
      </w:r>
      <w:r>
        <w:rPr>
          <w:rFonts w:hint="eastAsia" w:ascii="宋体" w:hAnsi="宋体"/>
          <w:color w:val="000000"/>
          <w:szCs w:val="21"/>
          <w:highlight w:val="none"/>
          <w:lang w:val="en-US" w:eastAsia="zh-CN"/>
        </w:rPr>
        <w:t>，</w:t>
      </w:r>
    </w:p>
    <w:p>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2.上述款项在满足付款条件，且采购人收到中标人开具的载明相应金额的合格发票后10个工作日内付至中标人指定银行账户。如未及时收到发票，则采购人相应付款时间顺延。因采购人付款审批影响支付进度，请中标人予以谅解，并不得就此向采购人索赔。</w:t>
      </w:r>
    </w:p>
    <w:p>
      <w:pPr>
        <w:ind w:firstLine="420"/>
        <w:rPr>
          <w:highlight w:val="none"/>
        </w:rPr>
      </w:pPr>
      <w:r>
        <w:rPr>
          <w:rFonts w:hint="eastAsia"/>
          <w:highlight w:val="none"/>
        </w:rPr>
        <w:t>乙方指定账户信息</w:t>
      </w:r>
      <w:r>
        <w:rPr>
          <w:rFonts w:hint="eastAsia"/>
          <w:highlight w:val="none"/>
          <w:lang w:eastAsia="zh-CN"/>
        </w:rPr>
        <w:t>：</w:t>
      </w:r>
    </w:p>
    <w:p>
      <w:pPr>
        <w:ind w:firstLine="420"/>
        <w:rPr>
          <w:highlight w:val="none"/>
        </w:rPr>
      </w:pPr>
      <w:r>
        <w:rPr>
          <w:rFonts w:hint="eastAsia"/>
          <w:highlight w:val="none"/>
        </w:rPr>
        <w:t>账户名称：</w:t>
      </w:r>
    </w:p>
    <w:p>
      <w:pPr>
        <w:ind w:firstLine="420"/>
        <w:rPr>
          <w:highlight w:val="none"/>
        </w:rPr>
      </w:pPr>
      <w:r>
        <w:rPr>
          <w:rFonts w:hint="eastAsia"/>
          <w:highlight w:val="none"/>
        </w:rPr>
        <w:t>开户银行：</w:t>
      </w:r>
    </w:p>
    <w:p>
      <w:pPr>
        <w:ind w:firstLine="420"/>
        <w:rPr>
          <w:highlight w:val="none"/>
        </w:rPr>
      </w:pPr>
      <w:r>
        <w:rPr>
          <w:rFonts w:hint="eastAsia"/>
          <w:highlight w:val="none"/>
        </w:rPr>
        <w:t>开户账号：</w:t>
      </w:r>
    </w:p>
    <w:p>
      <w:pPr>
        <w:ind w:firstLine="420"/>
        <w:rPr>
          <w:highlight w:val="none"/>
        </w:rPr>
      </w:pPr>
      <w:r>
        <w:rPr>
          <w:rFonts w:hint="eastAsia"/>
          <w:highlight w:val="none"/>
        </w:rPr>
        <w:t>纳税人识别号：</w:t>
      </w:r>
    </w:p>
    <w:p>
      <w:pPr>
        <w:ind w:firstLine="420"/>
        <w:rPr>
          <w:highlight w:val="none"/>
        </w:rPr>
      </w:pPr>
      <w:r>
        <w:rPr>
          <w:rFonts w:hint="eastAsia"/>
          <w:highlight w:val="none"/>
        </w:rPr>
        <w:t>地址：</w:t>
      </w:r>
    </w:p>
    <w:p>
      <w:pPr>
        <w:ind w:firstLine="420"/>
        <w:rPr>
          <w:highlight w:val="none"/>
        </w:rPr>
      </w:pPr>
      <w:r>
        <w:rPr>
          <w:rFonts w:hint="eastAsia"/>
          <w:highlight w:val="none"/>
        </w:rPr>
        <w:t>电话：</w:t>
      </w:r>
    </w:p>
    <w:p>
      <w:pPr>
        <w:ind w:firstLine="420"/>
        <w:rPr>
          <w:highlight w:val="none"/>
        </w:rPr>
      </w:pPr>
      <w:r>
        <w:rPr>
          <w:rFonts w:hint="eastAsia"/>
          <w:highlight w:val="none"/>
        </w:rPr>
        <w:t>乙方如需变更收款账户，应提前七个工作日书面通知甲方，需说明变更原因并出示相关公</w:t>
      </w:r>
      <w:r>
        <w:rPr>
          <w:rFonts w:hint="eastAsia"/>
          <w:highlight w:val="none"/>
          <w:lang w:val="en-US" w:eastAsia="zh-CN"/>
        </w:rPr>
        <w:t>证</w:t>
      </w:r>
      <w:bookmarkStart w:id="131" w:name="_GoBack"/>
      <w:bookmarkEnd w:id="131"/>
      <w:r>
        <w:rPr>
          <w:rFonts w:hint="eastAsia"/>
          <w:highlight w:val="none"/>
        </w:rPr>
        <w:t>证明资料，否则因此产生的一切后果由乙方自行承担。</w:t>
      </w:r>
    </w:p>
    <w:p>
      <w:pPr>
        <w:ind w:firstLine="420"/>
        <w:rPr>
          <w:highlight w:val="none"/>
        </w:rPr>
      </w:pPr>
      <w:r>
        <w:rPr>
          <w:rFonts w:hint="eastAsia"/>
          <w:highlight w:val="none"/>
        </w:rPr>
        <w:t>甲方开票信息</w:t>
      </w:r>
    </w:p>
    <w:p>
      <w:pPr>
        <w:ind w:firstLine="420"/>
        <w:rPr>
          <w:highlight w:val="none"/>
        </w:rPr>
      </w:pPr>
      <w:r>
        <w:rPr>
          <w:rFonts w:hint="eastAsia"/>
          <w:highlight w:val="none"/>
        </w:rPr>
        <w:t>账户名称：</w:t>
      </w:r>
    </w:p>
    <w:p>
      <w:pPr>
        <w:ind w:firstLine="420"/>
        <w:rPr>
          <w:highlight w:val="none"/>
        </w:rPr>
      </w:pPr>
      <w:r>
        <w:rPr>
          <w:rFonts w:hint="eastAsia"/>
          <w:highlight w:val="none"/>
        </w:rPr>
        <w:t>纳税人识别号：</w:t>
      </w:r>
      <w:r>
        <w:rPr>
          <w:rFonts w:hint="eastAsia" w:ascii="宋体" w:hAnsi="宋体"/>
          <w:color w:val="000000"/>
          <w:szCs w:val="21"/>
          <w:highlight w:val="none"/>
        </w:rPr>
        <w:t xml:space="preserve"> </w:t>
      </w:r>
    </w:p>
    <w:p>
      <w:pPr>
        <w:spacing w:line="440" w:lineRule="exact"/>
        <w:ind w:firstLine="422" w:firstLineChars="200"/>
        <w:rPr>
          <w:rFonts w:asciiTheme="majorEastAsia" w:hAnsiTheme="majorEastAsia" w:eastAsiaTheme="majorEastAsia"/>
          <w:b/>
          <w:color w:val="000000"/>
          <w:szCs w:val="21"/>
          <w:highlight w:val="none"/>
        </w:rPr>
      </w:pPr>
      <w:r>
        <w:rPr>
          <w:rFonts w:hint="eastAsia" w:asciiTheme="majorEastAsia" w:hAnsiTheme="majorEastAsia" w:eastAsiaTheme="majorEastAsia"/>
          <w:b/>
          <w:color w:val="000000"/>
          <w:szCs w:val="21"/>
          <w:highlight w:val="none"/>
        </w:rPr>
        <w:t>第二条  服务范围</w:t>
      </w:r>
    </w:p>
    <w:p>
      <w:pPr>
        <w:spacing w:line="440" w:lineRule="exact"/>
        <w:ind w:firstLine="420" w:firstLineChars="200"/>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1、</w:t>
      </w:r>
      <w:r>
        <w:rPr>
          <w:rFonts w:hint="eastAsia" w:asciiTheme="majorEastAsia" w:hAnsiTheme="majorEastAsia" w:eastAsiaTheme="majorEastAsia"/>
          <w:color w:val="000000"/>
          <w:szCs w:val="21"/>
          <w:highlight w:val="none"/>
          <w:u w:val="single"/>
        </w:rPr>
        <w:t xml:space="preserve">    红框装置：策划、设计、生产制作及运输安装                            </w:t>
      </w:r>
      <w:r>
        <w:rPr>
          <w:rFonts w:hint="eastAsia" w:asciiTheme="majorEastAsia" w:hAnsiTheme="majorEastAsia" w:eastAsiaTheme="majorEastAsia"/>
          <w:color w:val="000000"/>
          <w:szCs w:val="21"/>
          <w:highlight w:val="none"/>
        </w:rPr>
        <w:t xml:space="preserve">  </w:t>
      </w:r>
    </w:p>
    <w:p>
      <w:pPr>
        <w:spacing w:line="440" w:lineRule="exact"/>
        <w:ind w:firstLine="420" w:firstLineChars="200"/>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2、</w:t>
      </w:r>
      <w:r>
        <w:rPr>
          <w:rFonts w:hint="eastAsia" w:asciiTheme="majorEastAsia" w:hAnsiTheme="majorEastAsia" w:eastAsiaTheme="majorEastAsia"/>
          <w:color w:val="000000"/>
          <w:szCs w:val="21"/>
          <w:highlight w:val="none"/>
          <w:u w:val="single"/>
        </w:rPr>
        <w:t xml:space="preserve">    自然驿站：策划、设计、生产制作及运输安装                            </w:t>
      </w:r>
      <w:r>
        <w:rPr>
          <w:rFonts w:hint="eastAsia" w:asciiTheme="majorEastAsia" w:hAnsiTheme="majorEastAsia" w:eastAsiaTheme="majorEastAsia"/>
          <w:color w:val="000000"/>
          <w:szCs w:val="21"/>
          <w:highlight w:val="none"/>
        </w:rPr>
        <w:t xml:space="preserve">  </w:t>
      </w:r>
    </w:p>
    <w:p>
      <w:pPr>
        <w:spacing w:line="440" w:lineRule="exact"/>
        <w:ind w:firstLine="420" w:firstLineChars="200"/>
        <w:rPr>
          <w:rFonts w:asciiTheme="majorEastAsia" w:hAnsiTheme="majorEastAsia" w:eastAsiaTheme="majorEastAsia"/>
          <w:color w:val="000000"/>
          <w:szCs w:val="21"/>
          <w:highlight w:val="none"/>
        </w:rPr>
      </w:pPr>
      <w:r>
        <w:rPr>
          <w:rFonts w:hint="eastAsia" w:asciiTheme="majorEastAsia" w:hAnsiTheme="majorEastAsia" w:eastAsiaTheme="majorEastAsia"/>
          <w:color w:val="000000"/>
          <w:szCs w:val="21"/>
          <w:highlight w:val="none"/>
        </w:rPr>
        <w:t>3、</w:t>
      </w:r>
      <w:r>
        <w:rPr>
          <w:rFonts w:hint="eastAsia" w:asciiTheme="majorEastAsia" w:hAnsiTheme="majorEastAsia" w:eastAsiaTheme="majorEastAsia"/>
          <w:color w:val="000000"/>
          <w:szCs w:val="21"/>
          <w:highlight w:val="none"/>
          <w:u w:val="single"/>
        </w:rPr>
        <w:t xml:space="preserve">    项目落成后，项目产出图、文宣传素材，中国国家地理营地及平台进行推广与传播。                            </w:t>
      </w:r>
      <w:r>
        <w:rPr>
          <w:rFonts w:hint="eastAsia" w:asciiTheme="majorEastAsia" w:hAnsiTheme="majorEastAsia" w:eastAsiaTheme="majorEastAsia"/>
          <w:color w:val="000000"/>
          <w:szCs w:val="21"/>
          <w:highlight w:val="none"/>
        </w:rPr>
        <w:t xml:space="preserve">  </w:t>
      </w:r>
    </w:p>
    <w:p>
      <w:pPr>
        <w:ind w:firstLine="420"/>
        <w:rPr>
          <w:rFonts w:cs="仿宋"/>
          <w:highlight w:val="none"/>
        </w:rPr>
      </w:pPr>
      <w:r>
        <w:rPr>
          <w:rFonts w:hint="eastAsia"/>
          <w:highlight w:val="none"/>
        </w:rPr>
        <w:t>4、质量保证：本项目质保期为1年，</w:t>
      </w:r>
      <w:r>
        <w:rPr>
          <w:rFonts w:hint="eastAsia" w:cs="仿宋"/>
          <w:highlight w:val="none"/>
        </w:rPr>
        <w:t>质量保证服务自项目验收合格之日起算。</w:t>
      </w:r>
    </w:p>
    <w:p>
      <w:pPr>
        <w:spacing w:line="440" w:lineRule="exact"/>
        <w:ind w:firstLine="420" w:firstLineChars="200"/>
        <w:rPr>
          <w:rFonts w:hint="eastAsia" w:ascii="宋体" w:hAnsi="宋体"/>
          <w:b/>
          <w:color w:val="000000"/>
          <w:szCs w:val="21"/>
        </w:rPr>
      </w:pPr>
      <w:r>
        <w:rPr>
          <w:rFonts w:hint="eastAsia"/>
          <w:highlight w:val="none"/>
          <w:lang w:val="en-US" w:eastAsia="zh-CN"/>
        </w:rPr>
        <w:t>验收要求</w:t>
      </w:r>
      <w:r>
        <w:rPr>
          <w:rFonts w:hint="eastAsia"/>
          <w:highlight w:val="none"/>
        </w:rPr>
        <w:t>：</w:t>
      </w:r>
      <w:r>
        <w:rPr>
          <w:rFonts w:hint="eastAsia" w:ascii="宋体" w:hAnsi="宋体"/>
          <w:color w:val="000000"/>
          <w:szCs w:val="21"/>
          <w:highlight w:val="none"/>
          <w:lang w:val="en-US" w:eastAsia="zh-CN"/>
        </w:rPr>
        <w:t>乙方</w:t>
      </w:r>
      <w:r>
        <w:rPr>
          <w:rFonts w:hint="eastAsia" w:ascii="宋体" w:hAnsi="宋体"/>
          <w:color w:val="000000"/>
          <w:szCs w:val="21"/>
          <w:highlight w:val="none"/>
        </w:rPr>
        <w:t>在合同期限</w:t>
      </w:r>
      <w:r>
        <w:rPr>
          <w:rFonts w:hint="eastAsia" w:ascii="宋体" w:hAnsi="宋体"/>
          <w:color w:val="000000"/>
          <w:szCs w:val="21"/>
        </w:rPr>
        <w:t>内，完成红框装置策划、设计、生产制作及运输安装；完成自然驿站策划、设计、生产制作及运输安装；项目落成后，项目产出图、文宣传素材，中国国家地理营地及平台进行推广与传播。</w:t>
      </w:r>
    </w:p>
    <w:p>
      <w:pPr>
        <w:ind w:firstLine="420"/>
      </w:pPr>
      <w:r>
        <w:rPr>
          <w:rFonts w:hint="eastAsia"/>
        </w:rPr>
        <w:t>项目质保：质保期内，乙方应提供必要的远程或现场技术支持服务</w:t>
      </w:r>
      <w:r>
        <w:rPr>
          <w:rFonts w:hint="eastAsia"/>
          <w:color w:val="000000" w:themeColor="text1"/>
          <w14:textFill>
            <w14:solidFill>
              <w14:schemeClr w14:val="tx1"/>
            </w14:solidFill>
          </w14:textFill>
        </w:rPr>
        <w:t>（包括承担现场设备</w:t>
      </w:r>
      <w:r>
        <w:rPr>
          <w:rFonts w:hint="eastAsia"/>
        </w:rPr>
        <w:t>质保期内因质量问题造成的损失）；如甲方提出非质保范围内的售后服务需求（例如设备搬迁、功能升级、外观调整等），乙方应予以积极配合，相关人工、差旅及材料费用由甲方另行承担。</w:t>
      </w:r>
    </w:p>
    <w:p>
      <w:pPr>
        <w:ind w:firstLine="420"/>
      </w:pPr>
      <w:r>
        <w:rPr>
          <w:rFonts w:hint="eastAsia"/>
        </w:rPr>
        <w:t>若产品发生生产质量问题，乙方须负责协调解决，在接到甲方通知后5日内响应并采取补救措施，相关所有费用由乙方承担；</w:t>
      </w:r>
    </w:p>
    <w:p>
      <w:pPr>
        <w:ind w:firstLine="420"/>
      </w:pPr>
      <w:r>
        <w:rPr>
          <w:rFonts w:hint="eastAsia"/>
        </w:rPr>
        <w:t>对于因甲方或第三方使用不当或擅自改动引起的问题，乙方不承担责任。</w:t>
      </w:r>
    </w:p>
    <w:p>
      <w:pPr>
        <w:ind w:firstLine="420"/>
      </w:pPr>
      <w:r>
        <w:rPr>
          <w:rFonts w:hint="eastAsia"/>
        </w:rPr>
        <w:t>以上质量保证不包括不可抗力因素及人为损坏的产品，如因人为损坏所需要的对损坏的维修，乙方会以成本价格供应配件，指导甲方现场人员维修。</w:t>
      </w:r>
    </w:p>
    <w:p>
      <w:pPr>
        <w:ind w:firstLine="428"/>
        <w:rPr>
          <w:b/>
          <w:bCs/>
        </w:rPr>
      </w:pPr>
      <w:bookmarkStart w:id="48" w:name="_Toc487900374"/>
      <w:r>
        <w:rPr>
          <w:rFonts w:hint="eastAsia"/>
          <w:b/>
          <w:bCs/>
        </w:rPr>
        <w:t>第三条 甲乙双方的权利和义务</w:t>
      </w:r>
    </w:p>
    <w:p>
      <w:pPr>
        <w:ind w:firstLine="420"/>
      </w:pPr>
      <w:r>
        <w:rPr>
          <w:rFonts w:hint="eastAsia"/>
        </w:rPr>
        <w:t>1、为保证项目执行的整体效果，在本合同签署后，甲方有义务向乙方提供相关背景资料供乙方参考</w:t>
      </w:r>
      <w:r>
        <w:rPr>
          <w:rFonts w:hint="eastAsia"/>
          <w:lang w:eastAsia="zh-CN"/>
        </w:rPr>
        <w:t>；</w:t>
      </w:r>
      <w:r>
        <w:rPr>
          <w:rFonts w:hint="eastAsia"/>
        </w:rPr>
        <w:t>甲方与乙方随时沟通，委派专人负责与乙方联络、协调，并保证资料的完整性、准确性和合法性，以及不会侵犯任何第三方的权利。</w:t>
      </w:r>
    </w:p>
    <w:p>
      <w:pPr>
        <w:ind w:firstLine="420"/>
      </w:pPr>
      <w:r>
        <w:rPr>
          <w:rFonts w:hint="eastAsia"/>
        </w:rPr>
        <w:t>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本项目项下策划设计方案、内容和硬件产品中所有涉及“中国国家地理”品牌标识的，知识产权均由品牌权利方所有。</w:t>
      </w:r>
      <w:r>
        <w:rPr>
          <w:rFonts w:hint="eastAsia"/>
        </w:rPr>
        <w:t>除“中国国家地理”品牌标识之外的策划设计方案、内容和硬件产品知识产权权属归甲乙双方共同所有，双方均可使用本项目合作成果进行项目宣传，但甲方在使用时应完整使用合作成果，涉及“中国国家地理”品牌标识的宣传文案需经乙方确认同意，且甲方在使用时须注明成果来自：中国国家地理营地，并注明摄影师或作者。</w:t>
      </w:r>
    </w:p>
    <w:p>
      <w:pPr>
        <w:ind w:firstLine="420"/>
      </w:pPr>
      <w:r>
        <w:rPr>
          <w:rFonts w:hint="eastAsia"/>
        </w:rPr>
        <w:t>3、 乙方基于履行本合同项下义务向甲方交付所有成果和产品不视为就“中国国家地理”品牌对甲方任何形式的授权或许可，双方不可将此合作成果进行商业用途或超出本合同项下合作项目使用。</w:t>
      </w:r>
    </w:p>
    <w:p>
      <w:pPr>
        <w:ind w:firstLine="420"/>
      </w:pPr>
      <w:r>
        <w:rPr>
          <w:rFonts w:hint="eastAsia"/>
        </w:rPr>
        <w:t>4、甲方有权对乙方工作成果提出合理建议，并对乙方的工作进行督促、检查。</w:t>
      </w:r>
    </w:p>
    <w:p>
      <w:pPr>
        <w:ind w:firstLine="420"/>
      </w:pPr>
      <w:r>
        <w:rPr>
          <w:rFonts w:hint="eastAsia"/>
        </w:rPr>
        <w:t>5、甲方应当按照约定的日期和金额支付乙方价款。</w:t>
      </w:r>
    </w:p>
    <w:p>
      <w:pPr>
        <w:ind w:firstLine="420"/>
      </w:pPr>
      <w:r>
        <w:rPr>
          <w:rFonts w:hint="eastAsia"/>
        </w:rPr>
        <w:t>6、 乙方负责组织项目的调研考察。乙方负责该项目的执行工作，且提供项目执行期间的品质管理与服务。乙方应在协议规定时间内完成本合同约定的所有内容。</w:t>
      </w:r>
    </w:p>
    <w:p>
      <w:pPr>
        <w:ind w:firstLine="420"/>
      </w:pPr>
      <w:r>
        <w:rPr>
          <w:rFonts w:hint="eastAsia"/>
        </w:rPr>
        <w:t>7、对于甲方提出的修改意见，在不违反中国国家地理品牌管理要求的前提下，乙方根据甲方意见进行修改调整。</w:t>
      </w:r>
    </w:p>
    <w:p>
      <w:pPr>
        <w:ind w:firstLine="420"/>
      </w:pPr>
      <w:r>
        <w:rPr>
          <w:rFonts w:hint="eastAsia"/>
        </w:rPr>
        <w:t>8、乙方应按双方约定，按阶段进行本项目工作。乙方应在得到甲方对各阶段工作成果的确认后，方可开始下一阶段的工作。</w:t>
      </w:r>
    </w:p>
    <w:bookmarkEnd w:id="48"/>
    <w:p>
      <w:pPr>
        <w:ind w:firstLine="420"/>
        <w:rPr>
          <w:rFonts w:hint="eastAsia"/>
          <w:b/>
          <w:bCs/>
          <w:lang w:eastAsia="zh-CN"/>
        </w:rPr>
      </w:pPr>
      <w:r>
        <w:rPr>
          <w:rFonts w:hint="eastAsia"/>
          <w:b/>
          <w:bCs/>
        </w:rPr>
        <w:t xml:space="preserve">第四条 </w:t>
      </w:r>
      <w:r>
        <w:rPr>
          <w:rFonts w:hint="eastAsia"/>
          <w:b/>
          <w:bCs/>
          <w:lang w:eastAsia="zh-CN"/>
        </w:rPr>
        <w:t>知识产权权属与知识产权</w:t>
      </w:r>
    </w:p>
    <w:p>
      <w:pPr>
        <w:ind w:firstLine="420"/>
        <w:rPr>
          <w:rFonts w:hint="eastAsia"/>
        </w:rPr>
      </w:pPr>
      <w:r>
        <w:rPr>
          <w:rFonts w:hint="eastAsia"/>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ind w:firstLine="420"/>
        <w:rPr>
          <w:rFonts w:hint="eastAsia"/>
        </w:rPr>
      </w:pPr>
      <w:r>
        <w:rPr>
          <w:rFonts w:hint="eastAsia"/>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ind w:firstLine="420"/>
        <w:rPr>
          <w:rFonts w:hint="eastAsia"/>
        </w:rPr>
      </w:pPr>
      <w:r>
        <w:rPr>
          <w:rFonts w:hint="eastAsia"/>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ind w:firstLine="420"/>
        <w:rPr>
          <w:rFonts w:hint="eastAsia"/>
        </w:rPr>
      </w:pPr>
      <w:r>
        <w:rPr>
          <w:rFonts w:hint="eastAsia"/>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ind w:firstLine="420"/>
        <w:rPr>
          <w:rFonts w:hint="eastAsia"/>
        </w:rPr>
      </w:pPr>
      <w:r>
        <w:rPr>
          <w:rFonts w:hint="eastAsia"/>
        </w:rPr>
        <w:t>5.乙方完成本合同项目的研究开发人员享有在有关技术成果材料上写明技术成果完成者的权利和与甲方共同获得有关荣誉证书、奖励的权利。</w:t>
      </w:r>
    </w:p>
    <w:p>
      <w:pPr>
        <w:ind w:firstLine="420"/>
        <w:rPr>
          <w:rFonts w:hint="eastAsia"/>
          <w:b/>
          <w:bCs/>
          <w:lang w:eastAsia="zh-CN"/>
        </w:rPr>
      </w:pPr>
      <w:r>
        <w:rPr>
          <w:rFonts w:hint="eastAsia"/>
          <w:b/>
          <w:bCs/>
        </w:rPr>
        <w:t>第</w:t>
      </w:r>
      <w:r>
        <w:rPr>
          <w:rFonts w:hint="eastAsia"/>
          <w:b/>
          <w:bCs/>
          <w:lang w:eastAsia="zh-CN"/>
        </w:rPr>
        <w:t>五</w:t>
      </w:r>
      <w:r>
        <w:rPr>
          <w:rFonts w:hint="eastAsia"/>
          <w:b/>
          <w:bCs/>
        </w:rPr>
        <w:t xml:space="preserve">条 </w:t>
      </w:r>
      <w:r>
        <w:rPr>
          <w:rFonts w:hint="eastAsia"/>
          <w:b/>
          <w:bCs/>
          <w:lang w:eastAsia="zh-CN"/>
        </w:rPr>
        <w:t>保密条款</w:t>
      </w:r>
    </w:p>
    <w:p>
      <w:pPr>
        <w:ind w:firstLine="420"/>
        <w:rPr>
          <w:rFonts w:hint="eastAsia"/>
        </w:rPr>
      </w:pPr>
      <w:r>
        <w:rPr>
          <w:rFonts w:hint="eastAsia"/>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p>
    <w:p>
      <w:pPr>
        <w:ind w:firstLine="420"/>
        <w:rPr>
          <w:rFonts w:hint="eastAsia"/>
        </w:rPr>
      </w:pPr>
      <w:r>
        <w:rPr>
          <w:rFonts w:hint="eastAsia"/>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ind w:firstLine="420"/>
        <w:rPr>
          <w:rFonts w:hint="eastAsia"/>
        </w:rPr>
      </w:pPr>
      <w:r>
        <w:rPr>
          <w:rFonts w:hint="eastAsia"/>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lang w:eastAsia="zh-CN"/>
        </w:rPr>
        <w:t>，</w:t>
      </w:r>
      <w:r>
        <w:rPr>
          <w:rFonts w:hint="eastAsia"/>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ind w:firstLine="420"/>
        <w:rPr>
          <w:rFonts w:hint="eastAsia"/>
        </w:rPr>
      </w:pPr>
      <w:r>
        <w:rPr>
          <w:rFonts w:hint="eastAsia"/>
        </w:rPr>
        <w:t>4.乙方实施项目的程序应符合国家安全、保密的有关规定和标准。</w:t>
      </w:r>
    </w:p>
    <w:p>
      <w:pPr>
        <w:ind w:firstLine="420"/>
        <w:rPr>
          <w:rFonts w:hint="eastAsia"/>
        </w:rPr>
      </w:pPr>
      <w:r>
        <w:rPr>
          <w:rFonts w:hint="eastAsia"/>
        </w:rPr>
        <w:t>5.上述保密义务不适用以下情况：</w:t>
      </w:r>
    </w:p>
    <w:p>
      <w:pPr>
        <w:ind w:firstLine="420"/>
        <w:rPr>
          <w:rFonts w:hint="eastAsia"/>
        </w:rPr>
      </w:pPr>
      <w:r>
        <w:rPr>
          <w:rFonts w:hint="eastAsia"/>
        </w:rPr>
        <w:t>（1）获取的信息已被合法公开；</w:t>
      </w:r>
    </w:p>
    <w:p>
      <w:pPr>
        <w:ind w:firstLine="420"/>
        <w:rPr>
          <w:rFonts w:hint="eastAsia"/>
        </w:rPr>
      </w:pPr>
      <w:r>
        <w:rPr>
          <w:rFonts w:hint="eastAsia"/>
        </w:rPr>
        <w:t>（2）获得信息拥有方书面许可并在该许可范围内披露；</w:t>
      </w:r>
    </w:p>
    <w:p>
      <w:pPr>
        <w:ind w:firstLine="420"/>
        <w:rPr>
          <w:rFonts w:hint="eastAsia"/>
        </w:rPr>
      </w:pPr>
      <w:r>
        <w:rPr>
          <w:rFonts w:hint="eastAsia"/>
        </w:rPr>
        <w:t>（3）国家法律、法规规定的情形。</w:t>
      </w:r>
    </w:p>
    <w:p>
      <w:pPr>
        <w:ind w:firstLine="420"/>
        <w:rPr>
          <w:rFonts w:hint="eastAsia"/>
        </w:rPr>
      </w:pPr>
      <w:r>
        <w:rPr>
          <w:rFonts w:hint="eastAsia"/>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ind w:firstLine="420"/>
      </w:pPr>
      <w:r>
        <w:rPr>
          <w:rFonts w:hint="eastAsia"/>
        </w:rPr>
        <w:t>7.无论本合同或本合同其他条款是否有效，本保密条款始终约束双方。国家秘密的保密期限由国家有关部门确定，工作秘密的保密期限由甲方确定。</w:t>
      </w:r>
    </w:p>
    <w:p>
      <w:pPr>
        <w:ind w:firstLine="428"/>
        <w:rPr>
          <w:b/>
          <w:bCs/>
        </w:rPr>
      </w:pPr>
      <w:bookmarkStart w:id="49" w:name="_Toc26542"/>
      <w:bookmarkStart w:id="50" w:name="_Toc24016"/>
      <w:bookmarkStart w:id="51" w:name="_Toc32626"/>
      <w:bookmarkStart w:id="52" w:name="_Toc9497"/>
      <w:bookmarkStart w:id="53" w:name="_Toc17528"/>
      <w:bookmarkStart w:id="54" w:name="_Toc6990"/>
      <w:bookmarkStart w:id="55" w:name="_Toc32454"/>
      <w:bookmarkStart w:id="56" w:name="_Toc14738"/>
      <w:bookmarkStart w:id="57" w:name="_Toc30329"/>
      <w:bookmarkStart w:id="58" w:name="_Toc26807"/>
      <w:bookmarkStart w:id="59" w:name="_Toc11259"/>
      <w:bookmarkStart w:id="60" w:name="_Toc18683"/>
      <w:bookmarkStart w:id="61" w:name="_Toc32717"/>
      <w:r>
        <w:rPr>
          <w:rFonts w:hint="eastAsia"/>
          <w:b/>
          <w:bCs/>
        </w:rPr>
        <w:t xml:space="preserve">第六条 </w:t>
      </w:r>
      <w:bookmarkEnd w:id="49"/>
      <w:bookmarkEnd w:id="50"/>
      <w:bookmarkEnd w:id="51"/>
      <w:bookmarkEnd w:id="52"/>
      <w:bookmarkEnd w:id="53"/>
      <w:bookmarkEnd w:id="54"/>
      <w:bookmarkEnd w:id="55"/>
      <w:bookmarkEnd w:id="56"/>
      <w:bookmarkEnd w:id="57"/>
      <w:bookmarkEnd w:id="58"/>
      <w:bookmarkEnd w:id="59"/>
      <w:bookmarkEnd w:id="60"/>
      <w:bookmarkEnd w:id="61"/>
      <w:r>
        <w:rPr>
          <w:rFonts w:hint="eastAsia"/>
          <w:b/>
          <w:bCs/>
        </w:rPr>
        <w:t>不可抗力</w:t>
      </w:r>
    </w:p>
    <w:p>
      <w:pPr>
        <w:ind w:firstLine="420"/>
      </w:pPr>
      <w:r>
        <w:rPr>
          <w:rFonts w:hint="eastAsia"/>
        </w:rPr>
        <w:t>1、本合同所称之“不可抗力”，系指不能预见、不能避免且不能克服的客观情况，包括但不限于：自然灾害（如洪水、火灾、地震、台风等）、战争、暴乱、重大疫情、政府行为（如政策调整、法律法规变化、行政命令）、罢工、交通或通信中断等超出合同双方合理控制范围的事件。</w:t>
      </w:r>
    </w:p>
    <w:p>
      <w:pPr>
        <w:ind w:firstLine="420"/>
      </w:pPr>
      <w:r>
        <w:rPr>
          <w:rFonts w:hint="eastAsia"/>
        </w:rPr>
        <w:t>2、一方因不可抗力导致无法履行或延迟履行本合同义务的，应在不可抗力事件发生后五个工作日内通过书面形式（含电子邮件）通知对方，并应在合理期限内提供相关证明材料，方可部分或全部免除其不能履行的责任。</w:t>
      </w:r>
    </w:p>
    <w:p>
      <w:pPr>
        <w:ind w:firstLine="420"/>
      </w:pPr>
      <w:r>
        <w:rPr>
          <w:rFonts w:hint="eastAsia"/>
        </w:rPr>
        <w:t>（1）若因不可抗力事件导致工期延误的，乙方不承担违约责任；双方应根据具体情况友好协商补救方案，合理顺延履约期限，并及时签署补充协议。</w:t>
      </w:r>
    </w:p>
    <w:p>
      <w:pPr>
        <w:ind w:firstLine="420"/>
      </w:pPr>
      <w:r>
        <w:rPr>
          <w:rFonts w:hint="eastAsia"/>
        </w:rPr>
        <w:t>（2）不可抗力事件持续超过30日，且实质影响合同继续履行的，任何一方/甲方/乙方有权单方解除本合同，若乙方已完成生产工作，应与甲方另行协商交付产品，甲方已支付的款项不退还（该条可根据实际需要修改）。</w:t>
      </w:r>
    </w:p>
    <w:p>
      <w:pPr>
        <w:ind w:firstLine="420"/>
      </w:pPr>
      <w:r>
        <w:rPr>
          <w:rFonts w:hint="eastAsia"/>
        </w:rPr>
        <w:t>3、任何一方在延迟履行期间发生不可抗力事件的，不免除其违约责任。</w:t>
      </w:r>
    </w:p>
    <w:p>
      <w:pPr>
        <w:ind w:firstLine="428"/>
        <w:rPr>
          <w:b/>
          <w:bCs/>
        </w:rPr>
      </w:pPr>
      <w:bookmarkStart w:id="62" w:name="_Toc19624"/>
      <w:bookmarkStart w:id="63" w:name="_Toc23784"/>
      <w:bookmarkStart w:id="64" w:name="_Toc3075"/>
      <w:bookmarkStart w:id="65" w:name="_Toc17660"/>
      <w:bookmarkStart w:id="66" w:name="_Toc12273"/>
      <w:bookmarkStart w:id="67" w:name="_Toc15827"/>
      <w:bookmarkStart w:id="68" w:name="_Toc14807"/>
      <w:bookmarkStart w:id="69" w:name="_Toc26227"/>
      <w:bookmarkStart w:id="70" w:name="_Toc27562"/>
      <w:bookmarkStart w:id="71" w:name="_Toc19425"/>
      <w:bookmarkStart w:id="72" w:name="_Toc16417"/>
      <w:bookmarkStart w:id="73" w:name="_Toc19983"/>
      <w:bookmarkStart w:id="74" w:name="_Toc22722"/>
      <w:r>
        <w:rPr>
          <w:rFonts w:hint="eastAsia"/>
          <w:b/>
          <w:bCs/>
        </w:rPr>
        <w:t xml:space="preserve">第七条 </w:t>
      </w:r>
      <w:bookmarkEnd w:id="62"/>
      <w:bookmarkEnd w:id="63"/>
      <w:bookmarkEnd w:id="64"/>
      <w:bookmarkEnd w:id="65"/>
      <w:bookmarkEnd w:id="66"/>
      <w:bookmarkEnd w:id="67"/>
      <w:bookmarkEnd w:id="68"/>
      <w:bookmarkEnd w:id="69"/>
      <w:bookmarkEnd w:id="70"/>
      <w:bookmarkEnd w:id="71"/>
      <w:bookmarkEnd w:id="72"/>
      <w:bookmarkEnd w:id="73"/>
      <w:bookmarkEnd w:id="74"/>
      <w:r>
        <w:rPr>
          <w:rFonts w:hint="eastAsia"/>
          <w:b/>
          <w:bCs/>
        </w:rPr>
        <w:t>违约责任</w:t>
      </w:r>
    </w:p>
    <w:p>
      <w:pPr>
        <w:ind w:firstLine="420"/>
      </w:pPr>
      <w:r>
        <w:rPr>
          <w:rFonts w:hint="eastAsia"/>
        </w:rPr>
        <w:t>1、 除不可抗力外，如果乙方没有按照本合同约定的期限、地点和方式履行，那么甲方可要求乙方支付违约金，违约金按每迟延履行一日按合同总价的万分之【1】计算违约金，延期超过30日的，甲方有权单方书面通知解除合同并有权要求乙方按合同总价的10%为标准支付违约金；</w:t>
      </w:r>
    </w:p>
    <w:p>
      <w:pPr>
        <w:ind w:firstLine="420"/>
      </w:pPr>
      <w:r>
        <w:rPr>
          <w:rFonts w:hint="eastAsia"/>
        </w:rPr>
        <w:t>2、除不可抗力外，乙方提供的服务质量不符合合同约定要求的，需无条件在限期内整改，经整改3次后，仍不合格的，甲方有权单方解除合同并按照合同总价的20%为标准主张违约责任，该违约金不足以弥补甲方损失的，甲方有权继续追偿。</w:t>
      </w:r>
    </w:p>
    <w:p>
      <w:pPr>
        <w:ind w:firstLine="420"/>
      </w:pPr>
      <w:r>
        <w:rPr>
          <w:rFonts w:hint="eastAsia"/>
        </w:rPr>
        <w:t>3、除不可抗力外，如果甲方没有按照本合同约定的付款方式付款，那么乙方可要求甲方支付违约金，违约金按每迟延付款一日的应付而未付款的</w:t>
      </w:r>
      <w:r>
        <w:rPr>
          <w:rFonts w:hint="eastAsia"/>
          <w:u w:val="single"/>
        </w:rPr>
        <w:t xml:space="preserve"> 0.0</w:t>
      </w:r>
      <w:r>
        <w:rPr>
          <w:u w:val="single"/>
        </w:rPr>
        <w:t>1</w:t>
      </w:r>
      <w:r>
        <w:rPr>
          <w:rFonts w:hint="eastAsia"/>
          <w:u w:val="single"/>
        </w:rPr>
        <w:t xml:space="preserve"> </w:t>
      </w:r>
      <w:r>
        <w:rPr>
          <w:rFonts w:hint="eastAsia"/>
        </w:rPr>
        <w:t>%计算，最高限额为本合同总价的</w:t>
      </w:r>
      <w:r>
        <w:rPr>
          <w:rFonts w:hint="eastAsia"/>
          <w:u w:val="single"/>
        </w:rPr>
        <w:t xml:space="preserve">   5  </w:t>
      </w:r>
      <w:r>
        <w:rPr>
          <w:rFonts w:hint="eastAsia"/>
        </w:rPr>
        <w:t>%；迟延付款的违约金计算数额达到前述最高限额之日起，乙方有权在要求甲方支付违约金的同时，书面通知甲方解除本合同；</w:t>
      </w:r>
    </w:p>
    <w:p>
      <w:pPr>
        <w:ind w:firstLine="420"/>
      </w:pPr>
      <w:r>
        <w:rPr>
          <w:rFonts w:hint="eastAsia"/>
        </w:rPr>
        <w:t>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ind w:firstLine="420"/>
      </w:pPr>
      <w:r>
        <w:rPr>
          <w:rFonts w:hint="eastAsia"/>
        </w:rPr>
        <w:t>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420"/>
        <w:rPr>
          <w:rFonts w:hint="eastAsia"/>
        </w:rPr>
      </w:pPr>
      <w:r>
        <w:rPr>
          <w:rFonts w:hint="eastAsia"/>
        </w:rPr>
        <w:t>6、</w:t>
      </w:r>
      <w:r>
        <w:t xml:space="preserve"> </w:t>
      </w:r>
      <w:r>
        <w:rPr>
          <w:rFonts w:hint="eastAsia"/>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428"/>
        <w:rPr>
          <w:b/>
          <w:bCs/>
        </w:rPr>
      </w:pPr>
      <w:r>
        <w:rPr>
          <w:rFonts w:hint="eastAsia"/>
          <w:b/>
          <w:bCs/>
        </w:rPr>
        <w:t>第</w:t>
      </w:r>
      <w:r>
        <w:rPr>
          <w:rFonts w:hint="eastAsia"/>
          <w:b/>
          <w:bCs/>
          <w:lang w:eastAsia="zh-CN"/>
        </w:rPr>
        <w:t>八</w:t>
      </w:r>
      <w:r>
        <w:rPr>
          <w:rFonts w:hint="eastAsia"/>
          <w:b/>
          <w:bCs/>
        </w:rPr>
        <w:t>条 合同争议的解决</w:t>
      </w:r>
    </w:p>
    <w:p>
      <w:pPr>
        <w:ind w:firstLine="420"/>
      </w:pPr>
      <w:r>
        <w:rPr>
          <w:rFonts w:hint="eastAsia"/>
        </w:rPr>
        <w:t>1、本合同履行过程中发生的任何争议，双方当事人均可通过和解或者调解解决；不愿和解、调解或者和解、调解不成的，可以选择下列</w:t>
      </w:r>
      <w:r>
        <w:rPr>
          <w:rFonts w:hint="eastAsia"/>
          <w:color w:val="000000" w:themeColor="text1"/>
          <w14:textFill>
            <w14:solidFill>
              <w14:schemeClr w14:val="tx1"/>
            </w14:solidFill>
          </w14:textFill>
        </w:rPr>
        <w:t>第</w:t>
      </w:r>
      <w:r>
        <w:rPr>
          <w:rFonts w:hint="eastAsia"/>
          <w:color w:val="000000" w:themeColor="text1"/>
          <w:u w:val="single"/>
          <w14:textFill>
            <w14:solidFill>
              <w14:schemeClr w14:val="tx1"/>
            </w14:solidFill>
          </w14:textFill>
        </w:rPr>
        <w:t xml:space="preserve">  （2）  </w:t>
      </w:r>
      <w:r>
        <w:rPr>
          <w:rFonts w:hint="eastAsia"/>
          <w:color w:val="000000" w:themeColor="text1"/>
          <w14:textFill>
            <w14:solidFill>
              <w14:schemeClr w14:val="tx1"/>
            </w14:solidFill>
          </w14:textFill>
        </w:rPr>
        <w:t>种方</w:t>
      </w:r>
      <w:r>
        <w:rPr>
          <w:rFonts w:hint="eastAsia"/>
        </w:rPr>
        <w:t>式解决：</w:t>
      </w:r>
    </w:p>
    <w:p>
      <w:pPr>
        <w:ind w:firstLine="420"/>
      </w:pPr>
      <w:r>
        <w:rPr>
          <w:rFonts w:hint="eastAsia"/>
        </w:rPr>
        <w:t>（1） 将争议提交</w:t>
      </w:r>
      <w:r>
        <w:rPr>
          <w:rFonts w:hint="eastAsia"/>
          <w:u w:val="single"/>
        </w:rPr>
        <w:t xml:space="preserve">      </w:t>
      </w:r>
      <w:r>
        <w:rPr>
          <w:u w:val="single"/>
        </w:rPr>
        <w:t>/</w:t>
      </w:r>
      <w:r>
        <w:rPr>
          <w:rFonts w:hint="eastAsia"/>
          <w:u w:val="single"/>
        </w:rPr>
        <w:t xml:space="preserve">        </w:t>
      </w:r>
      <w:r>
        <w:rPr>
          <w:rFonts w:hint="eastAsia"/>
        </w:rPr>
        <w:t>仲裁委员会依申请仲裁时其现行有效的仲裁规则裁决；</w:t>
      </w:r>
    </w:p>
    <w:p>
      <w:pPr>
        <w:ind w:firstLine="420"/>
      </w:pPr>
      <w:r>
        <w:rPr>
          <w:rFonts w:hint="eastAsia"/>
        </w:rPr>
        <w:t>（2） 向</w:t>
      </w:r>
      <w:r>
        <w:rPr>
          <w:rFonts w:hint="eastAsia"/>
          <w:u w:val="single"/>
          <w:lang w:eastAsia="zh-CN"/>
        </w:rPr>
        <w:t>深圳前海合作区人民</w:t>
      </w:r>
      <w:r>
        <w:rPr>
          <w:rFonts w:hint="eastAsia"/>
        </w:rPr>
        <w:t>法院起诉。</w:t>
      </w:r>
    </w:p>
    <w:p>
      <w:pPr>
        <w:ind w:firstLine="420"/>
      </w:pPr>
      <w:r>
        <w:rPr>
          <w:rFonts w:hint="eastAsia"/>
        </w:rPr>
        <w:t>本合同履行过程中，若一方违约，守约方为了维护自身合法权益而产生的诉讼费、律师代理费、交通费、鉴定费、公证费、误工费、差旅费等一切费用均应由违约方承担。</w:t>
      </w:r>
    </w:p>
    <w:p>
      <w:pPr>
        <w:ind w:firstLine="428"/>
        <w:rPr>
          <w:b/>
          <w:bCs/>
        </w:rPr>
      </w:pPr>
      <w:r>
        <w:rPr>
          <w:rFonts w:hint="eastAsia"/>
          <w:b/>
          <w:bCs/>
        </w:rPr>
        <w:t>第</w:t>
      </w:r>
      <w:r>
        <w:rPr>
          <w:rFonts w:hint="eastAsia"/>
          <w:b/>
          <w:bCs/>
          <w:lang w:eastAsia="zh-CN"/>
        </w:rPr>
        <w:t>九</w:t>
      </w:r>
      <w:r>
        <w:rPr>
          <w:rFonts w:hint="eastAsia"/>
          <w:b/>
          <w:bCs/>
        </w:rPr>
        <w:t>条 其他</w:t>
      </w:r>
    </w:p>
    <w:p>
      <w:pPr>
        <w:ind w:firstLine="420"/>
      </w:pPr>
      <w:r>
        <w:rPr>
          <w:rFonts w:hint="eastAsia"/>
        </w:rPr>
        <w:t>1、 本合同未尽事宜，双方本着相互信任及友好合作的原则协商解决并达成书面补充合同确定。补充合同与本合同具有同等法律效力。</w:t>
      </w:r>
    </w:p>
    <w:p>
      <w:pPr>
        <w:ind w:firstLine="420"/>
      </w:pPr>
      <w:r>
        <w:rPr>
          <w:rFonts w:hint="eastAsia"/>
        </w:rPr>
        <w:t>2、 本合同一式四份，双方各执两份，具有同等法律效力。</w:t>
      </w:r>
    </w:p>
    <w:p>
      <w:pPr>
        <w:ind w:firstLine="420"/>
      </w:pPr>
      <w:r>
        <w:rPr>
          <w:rFonts w:hint="eastAsia"/>
        </w:rPr>
        <w:t>3、本合同自双方法定代表人/授权代表人签字盖章之日起生效。</w:t>
      </w:r>
    </w:p>
    <w:p>
      <w:pPr>
        <w:pStyle w:val="30"/>
      </w:pPr>
    </w:p>
    <w:p>
      <w:pPr>
        <w:pStyle w:val="30"/>
        <w:ind w:firstLine="210"/>
      </w:pPr>
    </w:p>
    <w:p>
      <w:pPr>
        <w:spacing w:line="0" w:lineRule="atLeast"/>
        <w:jc w:val="center"/>
        <w:outlineLvl w:val="0"/>
        <w:rPr>
          <w:rFonts w:ascii="微软雅黑" w:hAnsi="微软雅黑" w:eastAsia="微软雅黑" w:cs="微软雅黑"/>
          <w:b/>
          <w:color w:val="000000"/>
          <w:kern w:val="0"/>
          <w:sz w:val="32"/>
          <w:szCs w:val="32"/>
          <w:highlight w:val="none"/>
        </w:rPr>
      </w:pPr>
      <w:r>
        <w:rPr>
          <w:rFonts w:ascii="黑体" w:hAnsi="宋体" w:eastAsia="黑体"/>
          <w:bCs/>
          <w:color w:val="000000"/>
          <w:sz w:val="32"/>
          <w:szCs w:val="32"/>
        </w:rPr>
        <w:br w:type="page"/>
      </w:r>
      <w:bookmarkStart w:id="75" w:name="_Toc1705"/>
      <w:r>
        <w:rPr>
          <w:rFonts w:hint="eastAsia" w:ascii="微软雅黑" w:hAnsi="微软雅黑" w:eastAsia="微软雅黑" w:cs="微软雅黑"/>
          <w:b/>
          <w:color w:val="000000"/>
          <w:kern w:val="0"/>
          <w:sz w:val="32"/>
          <w:szCs w:val="32"/>
        </w:rPr>
        <w:t>第四章  需求及技术规格</w:t>
      </w:r>
      <w:bookmarkEnd w:id="75"/>
    </w:p>
    <w:p>
      <w:pPr>
        <w:spacing w:line="340" w:lineRule="exact"/>
        <w:ind w:left="-71" w:firstLine="447" w:firstLineChars="212"/>
        <w:rPr>
          <w:rFonts w:ascii="宋体" w:hAnsi="宋体"/>
          <w:b/>
          <w:bCs/>
          <w:color w:val="000000"/>
          <w:szCs w:val="21"/>
          <w:highlight w:val="none"/>
        </w:rPr>
      </w:pPr>
    </w:p>
    <w:p>
      <w:pPr>
        <w:jc w:val="center"/>
        <w:outlineLvl w:val="1"/>
        <w:rPr>
          <w:rFonts w:ascii="微软雅黑" w:hAnsi="微软雅黑" w:eastAsia="微软雅黑" w:cs="微软雅黑"/>
          <w:b/>
          <w:color w:val="000000"/>
          <w:sz w:val="24"/>
          <w:szCs w:val="24"/>
          <w:highlight w:val="none"/>
        </w:rPr>
      </w:pPr>
      <w:bookmarkStart w:id="76" w:name="_Toc4712"/>
      <w:r>
        <w:rPr>
          <w:rFonts w:hint="eastAsia" w:ascii="微软雅黑" w:hAnsi="微软雅黑" w:eastAsia="微软雅黑" w:cs="微软雅黑"/>
          <w:b/>
          <w:color w:val="000000"/>
          <w:sz w:val="24"/>
          <w:szCs w:val="24"/>
          <w:highlight w:val="none"/>
        </w:rPr>
        <w:t>第一节  说明</w:t>
      </w:r>
      <w:bookmarkEnd w:id="76"/>
    </w:p>
    <w:p>
      <w:pPr>
        <w:spacing w:line="440" w:lineRule="exact"/>
        <w:ind w:firstLine="420" w:firstLineChars="200"/>
        <w:rPr>
          <w:rFonts w:ascii="宋体" w:hAnsi="宋体"/>
          <w:bCs/>
          <w:color w:val="000000"/>
          <w:szCs w:val="21"/>
          <w:highlight w:val="none"/>
        </w:rPr>
      </w:pPr>
      <w:r>
        <w:rPr>
          <w:rFonts w:hint="eastAsia" w:ascii="宋体" w:hAnsi="宋体"/>
          <w:color w:val="000000"/>
          <w:szCs w:val="21"/>
          <w:highlight w:val="none"/>
        </w:rPr>
        <w:t>1、</w:t>
      </w:r>
      <w:r>
        <w:rPr>
          <w:rFonts w:hint="eastAsia" w:ascii="宋体" w:hAnsi="宋体"/>
          <w:szCs w:val="21"/>
          <w:highlight w:val="none"/>
        </w:rPr>
        <w:t>供应商必须对本采购文件所列的所有采购内容进行应答，不得将项目中的内容拆开应答，如果项目有分包的，供应商也可以只对其中一个或几个分包进行应答，但不得将一个包中的内容拆开应答，否则将导致其应答被拒绝。供应商须认真填写第五章的偏离表，偏离表将作为重要的评审依据。</w:t>
      </w:r>
    </w:p>
    <w:p>
      <w:pPr>
        <w:spacing w:line="440" w:lineRule="exact"/>
        <w:ind w:firstLine="413" w:firstLineChars="196"/>
        <w:rPr>
          <w:rFonts w:ascii="宋体" w:hAnsi="宋体"/>
          <w:b/>
          <w:color w:val="0000FF"/>
          <w:highlight w:val="none"/>
        </w:rPr>
      </w:pPr>
      <w:r>
        <w:rPr>
          <w:rFonts w:hint="eastAsia" w:ascii="宋体" w:hAnsi="宋体"/>
          <w:b/>
          <w:color w:val="0000FF"/>
          <w:highlight w:val="none"/>
        </w:rPr>
        <w:t>重点说明：偏离表中“偏离度”由供应商自行判断后填写，内容仅供评委参考，谈判小组</w:t>
      </w:r>
      <w:r>
        <w:rPr>
          <w:rFonts w:ascii="宋体" w:hAnsi="宋体"/>
          <w:b/>
          <w:color w:val="0000FF"/>
          <w:highlight w:val="none"/>
        </w:rPr>
        <w:t>将根据</w:t>
      </w:r>
      <w:r>
        <w:rPr>
          <w:rFonts w:hint="eastAsia" w:ascii="宋体" w:hAnsi="宋体"/>
          <w:b/>
          <w:color w:val="0000FF"/>
          <w:highlight w:val="none"/>
        </w:rPr>
        <w:t>具体响应内容</w:t>
      </w:r>
      <w:r>
        <w:rPr>
          <w:rFonts w:ascii="宋体" w:hAnsi="宋体"/>
          <w:b/>
          <w:color w:val="0000FF"/>
          <w:highlight w:val="none"/>
        </w:rPr>
        <w:t>给予是否偏离的认定，并以此</w:t>
      </w:r>
      <w:r>
        <w:rPr>
          <w:rFonts w:hint="eastAsia" w:ascii="宋体" w:hAnsi="宋体"/>
          <w:b/>
          <w:color w:val="0000FF"/>
          <w:highlight w:val="none"/>
        </w:rPr>
        <w:t>作为</w:t>
      </w:r>
      <w:r>
        <w:rPr>
          <w:rFonts w:ascii="宋体" w:hAnsi="宋体"/>
          <w:b/>
          <w:color w:val="0000FF"/>
          <w:highlight w:val="none"/>
        </w:rPr>
        <w:t>最终评判</w:t>
      </w:r>
      <w:r>
        <w:rPr>
          <w:rFonts w:hint="eastAsia" w:ascii="宋体" w:hAnsi="宋体"/>
          <w:b/>
          <w:color w:val="0000FF"/>
          <w:szCs w:val="22"/>
          <w:highlight w:val="none"/>
        </w:rPr>
        <w:t>。</w:t>
      </w:r>
      <w:r>
        <w:rPr>
          <w:rFonts w:hint="eastAsia" w:ascii="宋体" w:hAnsi="宋体"/>
          <w:b/>
          <w:color w:val="0000FF"/>
          <w:highlight w:val="none"/>
        </w:rPr>
        <w:t>需求中要求提供证书、检测报告、承诺函或其他证明文件的，如供应商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pPr>
        <w:spacing w:line="440" w:lineRule="exact"/>
        <w:ind w:firstLine="422" w:firstLineChars="200"/>
        <w:rPr>
          <w:rFonts w:ascii="宋体" w:hAnsi="宋体"/>
          <w:b/>
          <w:bCs/>
          <w:color w:val="0000FF"/>
          <w:szCs w:val="21"/>
          <w:highlight w:val="none"/>
        </w:rPr>
      </w:pPr>
      <w:r>
        <w:rPr>
          <w:rFonts w:hint="eastAsia" w:ascii="宋体" w:hAnsi="宋体"/>
          <w:b/>
          <w:bCs/>
          <w:color w:val="000000"/>
          <w:szCs w:val="21"/>
          <w:highlight w:val="none"/>
        </w:rPr>
        <w:t>2、</w:t>
      </w:r>
      <w:r>
        <w:rPr>
          <w:rFonts w:ascii="宋体" w:hAnsi="宋体"/>
          <w:b/>
          <w:bCs/>
          <w:color w:val="0000FF"/>
          <w:szCs w:val="21"/>
          <w:highlight w:val="none"/>
        </w:rPr>
        <w:t>本</w:t>
      </w:r>
      <w:r>
        <w:rPr>
          <w:rFonts w:hint="eastAsia" w:ascii="宋体" w:hAnsi="宋体"/>
          <w:b/>
          <w:bCs/>
          <w:color w:val="0000FF"/>
          <w:szCs w:val="21"/>
          <w:highlight w:val="none"/>
        </w:rPr>
        <w:t>采购文件</w:t>
      </w:r>
      <w:r>
        <w:rPr>
          <w:rFonts w:ascii="宋体" w:hAnsi="宋体"/>
          <w:b/>
          <w:bCs/>
          <w:color w:val="0000FF"/>
          <w:szCs w:val="21"/>
          <w:highlight w:val="none"/>
        </w:rPr>
        <w:t>要求中，凡标有</w:t>
      </w:r>
      <w:r>
        <w:rPr>
          <w:rFonts w:hint="eastAsia" w:ascii="宋体" w:hAnsi="宋体"/>
          <w:b/>
          <w:bCs/>
          <w:color w:val="0000FF"/>
          <w:szCs w:val="21"/>
          <w:highlight w:val="none"/>
        </w:rPr>
        <w:t>“★”</w:t>
      </w:r>
      <w:r>
        <w:rPr>
          <w:rFonts w:ascii="宋体" w:hAnsi="宋体"/>
          <w:b/>
          <w:bCs/>
          <w:color w:val="0000FF"/>
          <w:szCs w:val="21"/>
          <w:highlight w:val="none"/>
        </w:rPr>
        <w:t>的地方均被视为</w:t>
      </w:r>
      <w:r>
        <w:rPr>
          <w:rFonts w:hint="eastAsia" w:ascii="宋体" w:hAnsi="宋体"/>
          <w:b/>
          <w:bCs/>
          <w:color w:val="0000FF"/>
          <w:szCs w:val="21"/>
          <w:highlight w:val="none"/>
        </w:rPr>
        <w:t>不可偏离条款，供应商</w:t>
      </w:r>
      <w:r>
        <w:rPr>
          <w:rFonts w:ascii="宋体" w:hAnsi="宋体"/>
          <w:b/>
          <w:bCs/>
          <w:color w:val="0000FF"/>
          <w:szCs w:val="21"/>
          <w:highlight w:val="none"/>
        </w:rPr>
        <w:t>要特别加以注意</w:t>
      </w:r>
      <w:r>
        <w:rPr>
          <w:rFonts w:hint="eastAsia" w:ascii="宋体" w:hAnsi="宋体"/>
          <w:b/>
          <w:bCs/>
          <w:color w:val="0000FF"/>
          <w:szCs w:val="21"/>
          <w:highlight w:val="none"/>
        </w:rPr>
        <w:t>并予以响应，</w:t>
      </w:r>
      <w:r>
        <w:rPr>
          <w:rFonts w:ascii="宋体" w:hAnsi="宋体"/>
          <w:b/>
          <w:bCs/>
          <w:color w:val="0000FF"/>
          <w:szCs w:val="21"/>
          <w:highlight w:val="none"/>
        </w:rPr>
        <w:t>否则，若有一项带</w:t>
      </w:r>
      <w:r>
        <w:rPr>
          <w:rFonts w:hint="eastAsia" w:ascii="宋体" w:hAnsi="宋体"/>
          <w:b/>
          <w:bCs/>
          <w:color w:val="0000FF"/>
          <w:szCs w:val="21"/>
          <w:highlight w:val="none"/>
        </w:rPr>
        <w:t>“★”</w:t>
      </w:r>
      <w:r>
        <w:rPr>
          <w:rFonts w:ascii="宋体" w:hAnsi="宋体"/>
          <w:b/>
          <w:bCs/>
          <w:color w:val="0000FF"/>
          <w:szCs w:val="21"/>
          <w:highlight w:val="none"/>
        </w:rPr>
        <w:t>的</w:t>
      </w:r>
      <w:r>
        <w:rPr>
          <w:rFonts w:hint="eastAsia" w:ascii="宋体" w:hAnsi="宋体"/>
          <w:b/>
          <w:bCs/>
          <w:color w:val="0000FF"/>
          <w:szCs w:val="21"/>
          <w:highlight w:val="none"/>
        </w:rPr>
        <w:t>要求</w:t>
      </w:r>
      <w:r>
        <w:rPr>
          <w:rFonts w:ascii="宋体" w:hAnsi="宋体"/>
          <w:b/>
          <w:bCs/>
          <w:color w:val="0000FF"/>
          <w:szCs w:val="21"/>
          <w:highlight w:val="none"/>
        </w:rPr>
        <w:t>未响应或不满足，将按</w:t>
      </w:r>
      <w:r>
        <w:rPr>
          <w:rFonts w:hint="eastAsia" w:ascii="宋体" w:hAnsi="宋体"/>
          <w:b/>
          <w:bCs/>
          <w:color w:val="0000FF"/>
          <w:szCs w:val="21"/>
          <w:highlight w:val="none"/>
        </w:rPr>
        <w:t>应答</w:t>
      </w:r>
      <w:r>
        <w:rPr>
          <w:rFonts w:ascii="宋体" w:hAnsi="宋体"/>
          <w:b/>
          <w:bCs/>
          <w:color w:val="0000FF"/>
          <w:szCs w:val="21"/>
          <w:highlight w:val="none"/>
        </w:rPr>
        <w:t>无效处理</w:t>
      </w:r>
      <w:r>
        <w:rPr>
          <w:rFonts w:hint="eastAsia" w:ascii="宋体" w:hAnsi="宋体"/>
          <w:b/>
          <w:bCs/>
          <w:color w:val="0000FF"/>
          <w:szCs w:val="21"/>
          <w:highlight w:val="none"/>
        </w:rPr>
        <w:t>；</w:t>
      </w:r>
      <w:r>
        <w:rPr>
          <w:rFonts w:ascii="宋体" w:hAnsi="宋体"/>
          <w:b/>
          <w:bCs/>
          <w:color w:val="0000FF"/>
          <w:szCs w:val="21"/>
          <w:highlight w:val="none"/>
        </w:rPr>
        <w:t>凡标有</w:t>
      </w:r>
      <w:r>
        <w:rPr>
          <w:rFonts w:hint="eastAsia" w:ascii="宋体" w:hAnsi="宋体"/>
          <w:b/>
          <w:bCs/>
          <w:color w:val="0000FF"/>
          <w:szCs w:val="21"/>
          <w:highlight w:val="none"/>
        </w:rPr>
        <w:t xml:space="preserve"> “▲”</w:t>
      </w:r>
      <w:r>
        <w:rPr>
          <w:rFonts w:ascii="宋体" w:hAnsi="宋体"/>
          <w:b/>
          <w:bCs/>
          <w:color w:val="0000FF"/>
          <w:szCs w:val="21"/>
          <w:highlight w:val="none"/>
        </w:rPr>
        <w:t>的地方均被视为重要要求</w:t>
      </w:r>
      <w:r>
        <w:rPr>
          <w:rFonts w:hint="eastAsia" w:ascii="宋体" w:hAnsi="宋体"/>
          <w:b/>
          <w:bCs/>
          <w:color w:val="0000FF"/>
          <w:szCs w:val="21"/>
          <w:highlight w:val="none"/>
        </w:rPr>
        <w:t>，若有带“▲”的要求未响应或不满足的，将按加重扣分处理</w:t>
      </w:r>
      <w:r>
        <w:rPr>
          <w:rFonts w:ascii="宋体" w:hAnsi="宋体"/>
          <w:b/>
          <w:bCs/>
          <w:color w:val="0000FF"/>
          <w:szCs w:val="21"/>
          <w:highlight w:val="none"/>
        </w:rPr>
        <w:t>。</w:t>
      </w:r>
    </w:p>
    <w:p>
      <w:pPr>
        <w:spacing w:line="360" w:lineRule="exact"/>
        <w:ind w:firstLine="420" w:firstLineChars="200"/>
        <w:rPr>
          <w:rFonts w:ascii="宋体" w:hAnsi="宋体"/>
          <w:color w:val="000000"/>
          <w:szCs w:val="21"/>
          <w:highlight w:val="none"/>
        </w:rPr>
      </w:pPr>
    </w:p>
    <w:p>
      <w:pPr>
        <w:jc w:val="center"/>
        <w:outlineLvl w:val="1"/>
        <w:rPr>
          <w:rFonts w:ascii="微软雅黑" w:hAnsi="微软雅黑" w:eastAsia="微软雅黑" w:cs="微软雅黑"/>
          <w:b/>
          <w:color w:val="000000"/>
          <w:sz w:val="24"/>
          <w:szCs w:val="24"/>
          <w:highlight w:val="none"/>
        </w:rPr>
      </w:pPr>
      <w:bookmarkStart w:id="77" w:name="_Toc31174"/>
      <w:r>
        <w:rPr>
          <w:rFonts w:hint="eastAsia" w:ascii="微软雅黑" w:hAnsi="微软雅黑" w:eastAsia="微软雅黑" w:cs="微软雅黑"/>
          <w:b/>
          <w:color w:val="000000"/>
          <w:sz w:val="24"/>
          <w:szCs w:val="24"/>
          <w:highlight w:val="none"/>
        </w:rPr>
        <w:t>第二节  需求一览表</w:t>
      </w:r>
      <w:bookmarkEnd w:id="77"/>
    </w:p>
    <w:tbl>
      <w:tblPr>
        <w:tblStyle w:val="3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4138"/>
        <w:gridCol w:w="922"/>
        <w:gridCol w:w="107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dxa"/>
            <w:vAlign w:val="center"/>
          </w:tcPr>
          <w:p>
            <w:pPr>
              <w:jc w:val="center"/>
              <w:rPr>
                <w:b/>
                <w:highlight w:val="none"/>
              </w:rPr>
            </w:pPr>
            <w:r>
              <w:rPr>
                <w:b/>
                <w:highlight w:val="none"/>
              </w:rPr>
              <w:t>序号</w:t>
            </w:r>
          </w:p>
        </w:tc>
        <w:tc>
          <w:tcPr>
            <w:tcW w:w="4138" w:type="dxa"/>
            <w:vAlign w:val="center"/>
          </w:tcPr>
          <w:p>
            <w:pPr>
              <w:jc w:val="center"/>
              <w:rPr>
                <w:b/>
                <w:highlight w:val="none"/>
              </w:rPr>
            </w:pPr>
            <w:r>
              <w:rPr>
                <w:b/>
                <w:highlight w:val="none"/>
              </w:rPr>
              <w:t>服务名称</w:t>
            </w:r>
          </w:p>
        </w:tc>
        <w:tc>
          <w:tcPr>
            <w:tcW w:w="922" w:type="dxa"/>
            <w:vAlign w:val="center"/>
          </w:tcPr>
          <w:p>
            <w:pPr>
              <w:jc w:val="center"/>
              <w:rPr>
                <w:b/>
                <w:highlight w:val="none"/>
              </w:rPr>
            </w:pPr>
            <w:r>
              <w:rPr>
                <w:b/>
                <w:highlight w:val="none"/>
              </w:rPr>
              <w:t>数量</w:t>
            </w:r>
          </w:p>
        </w:tc>
        <w:tc>
          <w:tcPr>
            <w:tcW w:w="1073" w:type="dxa"/>
            <w:vAlign w:val="center"/>
          </w:tcPr>
          <w:p>
            <w:pPr>
              <w:jc w:val="center"/>
              <w:rPr>
                <w:b/>
                <w:highlight w:val="none"/>
              </w:rPr>
            </w:pPr>
            <w:r>
              <w:rPr>
                <w:b/>
                <w:highlight w:val="none"/>
              </w:rPr>
              <w:t>单位</w:t>
            </w:r>
          </w:p>
        </w:tc>
        <w:tc>
          <w:tcPr>
            <w:tcW w:w="1900" w:type="dxa"/>
            <w:vAlign w:val="center"/>
          </w:tcPr>
          <w:p>
            <w:pPr>
              <w:jc w:val="center"/>
              <w:rPr>
                <w:rFonts w:ascii="宋体" w:hAnsi="宋体"/>
                <w:b/>
                <w:color w:val="0000FF"/>
                <w:highlight w:val="none"/>
              </w:rPr>
            </w:pPr>
            <w:r>
              <w:rPr>
                <w:rFonts w:hint="eastAsia"/>
                <w:b/>
                <w:szCs w:val="21"/>
                <w:highlight w:val="none"/>
              </w:rPr>
              <w:t>预算控制金额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2" w:type="dxa"/>
            <w:vAlign w:val="center"/>
          </w:tcPr>
          <w:p>
            <w:pPr>
              <w:jc w:val="center"/>
              <w:rPr>
                <w:rFonts w:ascii="宋体" w:hAnsi="宋体"/>
                <w:color w:val="0000FF"/>
                <w:highlight w:val="none"/>
              </w:rPr>
            </w:pPr>
            <w:r>
              <w:rPr>
                <w:rFonts w:ascii="宋体" w:hAnsi="宋体"/>
                <w:color w:val="0000FF"/>
                <w:highlight w:val="none"/>
              </w:rPr>
              <w:t>1</w:t>
            </w:r>
          </w:p>
        </w:tc>
        <w:tc>
          <w:tcPr>
            <w:tcW w:w="4138" w:type="dxa"/>
            <w:vAlign w:val="center"/>
          </w:tcPr>
          <w:p>
            <w:pPr>
              <w:rPr>
                <w:rFonts w:ascii="宋体" w:hAnsi="宋体"/>
                <w:color w:val="0000FF"/>
                <w:highlight w:val="none"/>
              </w:rPr>
            </w:pPr>
            <w:r>
              <w:rPr>
                <w:rFonts w:hint="eastAsia" w:ascii="宋体" w:hAnsi="宋体"/>
                <w:color w:val="0000FF"/>
                <w:highlight w:val="none"/>
              </w:rPr>
              <w:t>深圳前海文旅亮点打造及宣传推介项目</w:t>
            </w:r>
          </w:p>
        </w:tc>
        <w:tc>
          <w:tcPr>
            <w:tcW w:w="922" w:type="dxa"/>
            <w:vAlign w:val="center"/>
          </w:tcPr>
          <w:p>
            <w:pPr>
              <w:jc w:val="center"/>
              <w:rPr>
                <w:rFonts w:ascii="宋体" w:hAnsi="宋体"/>
                <w:color w:val="0000FF"/>
                <w:highlight w:val="none"/>
              </w:rPr>
            </w:pPr>
            <w:r>
              <w:rPr>
                <w:rFonts w:ascii="宋体" w:hAnsi="宋体"/>
                <w:color w:val="0000FF"/>
                <w:highlight w:val="none"/>
              </w:rPr>
              <w:t>1</w:t>
            </w:r>
          </w:p>
        </w:tc>
        <w:tc>
          <w:tcPr>
            <w:tcW w:w="1073" w:type="dxa"/>
            <w:vAlign w:val="center"/>
          </w:tcPr>
          <w:p>
            <w:pPr>
              <w:jc w:val="center"/>
              <w:rPr>
                <w:rFonts w:ascii="宋体" w:hAnsi="宋体"/>
                <w:color w:val="0000FF"/>
                <w:highlight w:val="none"/>
              </w:rPr>
            </w:pPr>
            <w:r>
              <w:rPr>
                <w:rFonts w:ascii="宋体" w:hAnsi="宋体"/>
                <w:color w:val="0000FF"/>
                <w:highlight w:val="none"/>
              </w:rPr>
              <w:t>项</w:t>
            </w:r>
          </w:p>
        </w:tc>
        <w:tc>
          <w:tcPr>
            <w:tcW w:w="1900" w:type="dxa"/>
            <w:vAlign w:val="center"/>
          </w:tcPr>
          <w:p>
            <w:pPr>
              <w:jc w:val="center"/>
              <w:rPr>
                <w:rFonts w:ascii="宋体" w:hAnsi="宋体"/>
                <w:color w:val="0000FF"/>
                <w:highlight w:val="none"/>
              </w:rPr>
            </w:pPr>
            <w:r>
              <w:rPr>
                <w:rFonts w:hint="eastAsia"/>
                <w:color w:val="0000FF"/>
                <w:szCs w:val="21"/>
                <w:highlight w:val="none"/>
                <w:lang w:val="en-US" w:eastAsia="zh-CN"/>
              </w:rPr>
              <w:t>98</w:t>
            </w:r>
            <w:r>
              <w:rPr>
                <w:rFonts w:hint="eastAsia"/>
                <w:color w:val="0000FF"/>
                <w:szCs w:val="21"/>
                <w:highlight w:val="none"/>
              </w:rPr>
              <w:t>万元</w:t>
            </w:r>
          </w:p>
        </w:tc>
      </w:tr>
    </w:tbl>
    <w:p>
      <w:pPr>
        <w:spacing w:line="440" w:lineRule="exact"/>
        <w:ind w:firstLine="422" w:firstLineChars="200"/>
        <w:rPr>
          <w:rFonts w:ascii="宋体" w:hAnsi="宋体"/>
          <w:b/>
          <w:bCs/>
          <w:color w:val="000000"/>
          <w:szCs w:val="21"/>
          <w:highlight w:val="none"/>
        </w:rPr>
      </w:pPr>
    </w:p>
    <w:p>
      <w:pPr>
        <w:jc w:val="center"/>
        <w:outlineLvl w:val="1"/>
        <w:rPr>
          <w:rFonts w:ascii="微软雅黑" w:hAnsi="微软雅黑" w:eastAsia="微软雅黑" w:cs="微软雅黑"/>
          <w:b/>
          <w:color w:val="000000"/>
          <w:sz w:val="24"/>
          <w:szCs w:val="24"/>
          <w:highlight w:val="none"/>
        </w:rPr>
      </w:pPr>
      <w:bookmarkStart w:id="78" w:name="_Toc5820"/>
      <w:r>
        <w:rPr>
          <w:rFonts w:hint="eastAsia" w:ascii="微软雅黑" w:hAnsi="微软雅黑" w:eastAsia="微软雅黑" w:cs="微软雅黑"/>
          <w:b/>
          <w:color w:val="000000"/>
          <w:sz w:val="24"/>
          <w:szCs w:val="24"/>
          <w:highlight w:val="none"/>
        </w:rPr>
        <w:t>第三节  技术需求明细</w:t>
      </w:r>
      <w:bookmarkEnd w:id="78"/>
    </w:p>
    <w:p>
      <w:pPr>
        <w:spacing w:line="340" w:lineRule="exact"/>
        <w:ind w:firstLine="474" w:firstLineChars="225"/>
        <w:rPr>
          <w:rFonts w:ascii="宋体" w:hAnsi="宋体"/>
          <w:b/>
          <w:bCs/>
          <w:color w:val="000000"/>
          <w:szCs w:val="21"/>
          <w:highlight w:val="none"/>
        </w:rPr>
      </w:pPr>
      <w:r>
        <w:rPr>
          <w:rFonts w:hint="eastAsia" w:ascii="宋体" w:hAnsi="宋体"/>
          <w:b/>
          <w:bCs/>
          <w:color w:val="0000FF"/>
          <w:szCs w:val="21"/>
          <w:highlight w:val="none"/>
        </w:rPr>
        <w:t>★</w:t>
      </w:r>
      <w:r>
        <w:rPr>
          <w:rFonts w:hint="eastAsia" w:ascii="宋体" w:hAnsi="宋体"/>
          <w:b/>
          <w:bCs/>
          <w:color w:val="000000"/>
          <w:szCs w:val="21"/>
          <w:highlight w:val="none"/>
        </w:rPr>
        <w:t>（一）服务内容</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本项目依托目的地基础条件，策划、设计、制作、安装落地中国国家地理自然驿站装置及科普体验亮点内容，有效辅助游客全面了解该地区自然生态、人文历史独特性。</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中国国家地理自然驿站装置，整体造型以中国国家地理标识性“红框”为主要意向，适应项目地自然环境，形成具有拍照打卡、科普导览、科技应用、休憩停留等多功能复合装置空间。</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自然驿站具有整体制作、标准生产、组合安装的优势，以对自然的“最小干预”为设计原则，作为亮点景观装置的同时，发挥科普教育及综合服务的功能。</w:t>
      </w:r>
    </w:p>
    <w:p>
      <w:pPr>
        <w:spacing w:line="340" w:lineRule="exact"/>
        <w:ind w:firstLine="472" w:firstLineChars="225"/>
        <w:rPr>
          <w:rFonts w:asciiTheme="majorEastAsia" w:hAnsiTheme="majorEastAsia" w:eastAsiaTheme="majorEastAsia"/>
          <w:color w:val="000000"/>
          <w:szCs w:val="21"/>
          <w:highlight w:val="none"/>
          <w:u w:val="single"/>
        </w:rPr>
      </w:pPr>
      <w:r>
        <w:rPr>
          <w:rFonts w:hint="eastAsia" w:ascii="宋体" w:hAnsi="宋体"/>
          <w:color w:val="000000"/>
          <w:szCs w:val="21"/>
          <w:highlight w:val="none"/>
        </w:rPr>
        <w:t>依托“日落”IP，拟定</w:t>
      </w:r>
      <w:r>
        <w:rPr>
          <w:rFonts w:hint="eastAsia" w:asciiTheme="majorEastAsia" w:hAnsiTheme="majorEastAsia" w:eastAsiaTheme="majorEastAsia"/>
          <w:color w:val="000000"/>
          <w:szCs w:val="21"/>
          <w:highlight w:val="none"/>
          <w:u w:val="single"/>
        </w:rPr>
        <w:t>天文及科学摄影等主题的</w:t>
      </w:r>
      <w:r>
        <w:rPr>
          <w:rFonts w:hint="eastAsia" w:ascii="宋体" w:hAnsi="宋体"/>
          <w:color w:val="000000"/>
          <w:szCs w:val="21"/>
          <w:highlight w:val="none"/>
        </w:rPr>
        <w:t>自然驿站，邀约相关专业专家、科普大V等参与内容挖掘和梳理工作，</w:t>
      </w:r>
      <w:r>
        <w:rPr>
          <w:rFonts w:hint="eastAsia" w:asciiTheme="majorEastAsia" w:hAnsiTheme="majorEastAsia" w:eastAsiaTheme="majorEastAsia"/>
          <w:color w:val="000000"/>
          <w:szCs w:val="21"/>
          <w:highlight w:val="none"/>
          <w:u w:val="single"/>
        </w:rPr>
        <w:t>对前海湾的“日落”及日落相关的气象景观，科学摄影手法等，从地理、天文、气象、摄影等方面，进行全面科学解读，梳理趣味科普知识内容。</w:t>
      </w:r>
    </w:p>
    <w:p>
      <w:pPr>
        <w:spacing w:line="340" w:lineRule="exact"/>
        <w:ind w:firstLine="474" w:firstLineChars="225"/>
        <w:rPr>
          <w:rFonts w:ascii="宋体" w:hAnsi="宋体"/>
          <w:b/>
          <w:bCs/>
          <w:color w:val="000000"/>
          <w:szCs w:val="21"/>
          <w:highlight w:val="none"/>
        </w:rPr>
      </w:pPr>
      <w:r>
        <w:rPr>
          <w:rFonts w:hint="eastAsia" w:ascii="宋体" w:hAnsi="宋体"/>
          <w:b/>
          <w:bCs/>
          <w:color w:val="000000"/>
          <w:szCs w:val="21"/>
          <w:highlight w:val="none"/>
        </w:rPr>
        <w:t>其中，红框装置：</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规格尺寸不小于3000mm*2150mm*500mm，主要材料为铝板，要求红框装置融合中国国家地理品牌标识，突出前海文旅宣传亮点打造；</w:t>
      </w:r>
    </w:p>
    <w:p>
      <w:pPr>
        <w:spacing w:line="340" w:lineRule="exact"/>
        <w:ind w:firstLine="474" w:firstLineChars="225"/>
        <w:rPr>
          <w:rFonts w:ascii="宋体" w:hAnsi="宋体"/>
          <w:b/>
          <w:bCs/>
          <w:color w:val="000000"/>
          <w:szCs w:val="21"/>
          <w:highlight w:val="none"/>
        </w:rPr>
      </w:pPr>
      <w:r>
        <w:rPr>
          <w:rFonts w:hint="eastAsia" w:ascii="宋体" w:hAnsi="宋体"/>
          <w:b/>
          <w:bCs/>
          <w:color w:val="000000"/>
          <w:szCs w:val="21"/>
          <w:highlight w:val="none"/>
        </w:rPr>
        <w:t>自然驿站装置：</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规格尺寸不小于</w:t>
      </w:r>
      <w:r>
        <w:rPr>
          <w:rFonts w:ascii="宋体" w:hAnsi="宋体"/>
          <w:color w:val="000000"/>
          <w:szCs w:val="21"/>
          <w:highlight w:val="none"/>
        </w:rPr>
        <w:t>5000mm*2270mm*3200mm</w:t>
      </w:r>
      <w:r>
        <w:rPr>
          <w:rFonts w:hint="eastAsia" w:ascii="宋体" w:hAnsi="宋体"/>
          <w:color w:val="000000"/>
          <w:szCs w:val="21"/>
          <w:highlight w:val="none"/>
        </w:rPr>
        <w:t>，主要材料为铝板，要求自然驿站融合中国国家地理品牌标识，同时通过对前海基础环境梳理与分析，进行主题研究，形成整体设计方案。自然驿站需包含不少于25张摄影及手绘作品，包含不少于2条视频或数字内容，不少于8个科普内容体验模块，包含1台电子屏，用于播放视频或数字内容；</w:t>
      </w:r>
    </w:p>
    <w:p>
      <w:pPr>
        <w:spacing w:line="340" w:lineRule="exact"/>
        <w:ind w:firstLine="472" w:firstLineChars="225"/>
        <w:rPr>
          <w:highlight w:val="none"/>
        </w:rPr>
      </w:pPr>
      <w:r>
        <w:rPr>
          <w:rFonts w:hint="eastAsia" w:ascii="宋体" w:hAnsi="宋体"/>
          <w:color w:val="000000"/>
          <w:szCs w:val="21"/>
          <w:highlight w:val="none"/>
        </w:rPr>
        <w:t>包含不少于1次宣传推广，在中国国家地理营地平台发布。</w:t>
      </w:r>
    </w:p>
    <w:p>
      <w:pPr>
        <w:spacing w:line="340" w:lineRule="exact"/>
        <w:ind w:firstLine="474" w:firstLineChars="225"/>
        <w:rPr>
          <w:rFonts w:ascii="宋体" w:hAnsi="宋体"/>
          <w:b/>
          <w:bCs/>
          <w:color w:val="000000"/>
          <w:szCs w:val="21"/>
          <w:highlight w:val="none"/>
        </w:rPr>
      </w:pPr>
      <w:r>
        <w:rPr>
          <w:rFonts w:hint="eastAsia" w:ascii="宋体" w:hAnsi="宋体"/>
          <w:b/>
          <w:bCs/>
          <w:color w:val="0000FF"/>
          <w:szCs w:val="21"/>
          <w:highlight w:val="none"/>
        </w:rPr>
        <w:t>★</w:t>
      </w:r>
      <w:r>
        <w:rPr>
          <w:rFonts w:hint="eastAsia" w:ascii="宋体" w:hAnsi="宋体"/>
          <w:b/>
          <w:bCs/>
          <w:color w:val="000000"/>
          <w:szCs w:val="21"/>
          <w:highlight w:val="none"/>
        </w:rPr>
        <w:t>（二）进度安排</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红框装置：策划、设计、生产制作及运输安装，跨度1.5个月；</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预计2025年12月底前完成落地；</w:t>
      </w:r>
    </w:p>
    <w:p>
      <w:pPr>
        <w:spacing w:line="340" w:lineRule="exact"/>
        <w:ind w:firstLine="472" w:firstLineChars="225"/>
        <w:rPr>
          <w:rFonts w:ascii="宋体" w:hAnsi="宋体"/>
          <w:color w:val="000000"/>
          <w:szCs w:val="21"/>
          <w:highlight w:val="none"/>
        </w:rPr>
      </w:pPr>
      <w:r>
        <w:rPr>
          <w:rFonts w:hint="eastAsia" w:ascii="宋体" w:hAnsi="宋体"/>
          <w:color w:val="000000"/>
          <w:szCs w:val="21"/>
          <w:highlight w:val="none"/>
        </w:rPr>
        <w:t>自然驿站：策划、设计、生产制作及运输安装，跨度4个月；</w:t>
      </w:r>
    </w:p>
    <w:p>
      <w:pPr>
        <w:spacing w:line="340" w:lineRule="exact"/>
        <w:ind w:firstLine="472" w:firstLineChars="225"/>
        <w:rPr>
          <w:rFonts w:hint="eastAsia" w:ascii="宋体" w:hAnsi="宋体"/>
          <w:color w:val="000000"/>
          <w:szCs w:val="21"/>
          <w:highlight w:val="none"/>
        </w:rPr>
      </w:pPr>
      <w:r>
        <w:rPr>
          <w:rFonts w:hint="eastAsia" w:ascii="宋体" w:hAnsi="宋体"/>
          <w:color w:val="000000"/>
          <w:szCs w:val="21"/>
          <w:highlight w:val="none"/>
        </w:rPr>
        <w:t>预计2026年5月底前完成落地；</w:t>
      </w:r>
    </w:p>
    <w:p>
      <w:pPr>
        <w:spacing w:line="340" w:lineRule="exact"/>
        <w:ind w:firstLine="472" w:firstLineChars="225"/>
        <w:rPr>
          <w:rFonts w:hint="eastAsia" w:ascii="宋体" w:hAnsi="宋体"/>
          <w:color w:val="000000"/>
          <w:szCs w:val="21"/>
          <w:highlight w:val="none"/>
        </w:rPr>
      </w:pPr>
      <w:r>
        <w:rPr>
          <w:rFonts w:hint="eastAsia" w:ascii="宋体" w:hAnsi="宋体"/>
          <w:color w:val="000000"/>
          <w:szCs w:val="21"/>
          <w:highlight w:val="none"/>
        </w:rPr>
        <w:t>项目落成后，项目产出图、文宣传素材，中国国家地理营地及平台进行推广与传播。</w:t>
      </w:r>
      <w:bookmarkStart w:id="79" w:name="_Toc9861"/>
    </w:p>
    <w:p>
      <w:pPr>
        <w:spacing w:line="340" w:lineRule="exact"/>
        <w:ind w:firstLine="474" w:firstLineChars="225"/>
        <w:rPr>
          <w:rFonts w:hint="eastAsia" w:ascii="宋体" w:hAnsi="宋体"/>
          <w:b/>
          <w:bCs/>
          <w:color w:val="000000"/>
          <w:szCs w:val="21"/>
          <w:highlight w:val="none"/>
          <w:lang w:val="en-US" w:eastAsia="zh-CN"/>
        </w:rPr>
      </w:pPr>
      <w:r>
        <w:rPr>
          <w:rFonts w:hint="eastAsia" w:ascii="宋体" w:hAnsi="宋体"/>
          <w:b/>
          <w:bCs/>
          <w:color w:val="0000FF"/>
          <w:szCs w:val="21"/>
          <w:highlight w:val="none"/>
        </w:rPr>
        <w:t>★</w:t>
      </w:r>
      <w:r>
        <w:rPr>
          <w:rFonts w:hint="eastAsia" w:ascii="宋体" w:hAnsi="宋体"/>
          <w:b/>
          <w:bCs/>
          <w:color w:val="000000"/>
          <w:szCs w:val="21"/>
          <w:highlight w:val="none"/>
          <w:lang w:val="en-US" w:eastAsia="zh-CN"/>
        </w:rPr>
        <w:t>（三）质量保证</w:t>
      </w:r>
    </w:p>
    <w:p>
      <w:pPr>
        <w:spacing w:line="340" w:lineRule="exact"/>
        <w:ind w:firstLine="472" w:firstLineChars="225"/>
        <w:rPr>
          <w:rFonts w:hint="default" w:ascii="宋体" w:hAnsi="宋体"/>
          <w:color w:val="000000"/>
          <w:szCs w:val="21"/>
          <w:highlight w:val="none"/>
          <w:lang w:val="en-US" w:eastAsia="zh-CN"/>
        </w:rPr>
      </w:pPr>
      <w:r>
        <w:rPr>
          <w:rFonts w:hint="eastAsia" w:ascii="宋体" w:hAnsi="宋体"/>
          <w:color w:val="000000"/>
          <w:szCs w:val="21"/>
          <w:highlight w:val="none"/>
        </w:rPr>
        <w:t>本项目质保期为1年，质量保证服务自项目验收合格之日起算。</w:t>
      </w:r>
    </w:p>
    <w:p>
      <w:pPr>
        <w:jc w:val="center"/>
        <w:outlineLvl w:val="1"/>
        <w:rPr>
          <w:rFonts w:ascii="微软雅黑" w:hAnsi="微软雅黑" w:eastAsia="微软雅黑" w:cs="微软雅黑"/>
          <w:b/>
          <w:color w:val="000000"/>
          <w:sz w:val="24"/>
          <w:szCs w:val="24"/>
          <w:highlight w:val="none"/>
        </w:rPr>
      </w:pPr>
      <w:r>
        <w:rPr>
          <w:rFonts w:hint="eastAsia" w:ascii="微软雅黑" w:hAnsi="微软雅黑" w:eastAsia="微软雅黑" w:cs="微软雅黑"/>
          <w:b/>
          <w:color w:val="000000"/>
          <w:sz w:val="24"/>
          <w:szCs w:val="24"/>
          <w:highlight w:val="none"/>
        </w:rPr>
        <w:t>第四节  商务需求明细</w:t>
      </w:r>
      <w:bookmarkEnd w:id="79"/>
    </w:p>
    <w:p>
      <w:pPr>
        <w:spacing w:line="440" w:lineRule="exact"/>
        <w:ind w:firstLine="420" w:firstLineChars="199"/>
        <w:rPr>
          <w:rFonts w:ascii="宋体" w:hAnsi="宋体"/>
          <w:b/>
          <w:szCs w:val="21"/>
          <w:highlight w:val="none"/>
        </w:rPr>
      </w:pPr>
      <w:r>
        <w:rPr>
          <w:rFonts w:hint="eastAsia" w:ascii="宋体" w:hAnsi="宋体"/>
          <w:b/>
          <w:bCs/>
          <w:color w:val="0000FF"/>
          <w:szCs w:val="21"/>
          <w:highlight w:val="none"/>
        </w:rPr>
        <w:t>★</w:t>
      </w:r>
      <w:r>
        <w:rPr>
          <w:rFonts w:hint="eastAsia" w:ascii="宋体" w:hAnsi="宋体"/>
          <w:b/>
          <w:szCs w:val="21"/>
          <w:highlight w:val="none"/>
        </w:rPr>
        <w:t>一、服务期限</w:t>
      </w:r>
    </w:p>
    <w:p>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本项目服务期限为：自合同签订之日起至2026年5月31日</w:t>
      </w:r>
    </w:p>
    <w:p>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其中红框装置于2025年12月31日前完成，自然驿站装置于2026年5月31日前完成。</w:t>
      </w:r>
    </w:p>
    <w:p>
      <w:pPr>
        <w:spacing w:line="440" w:lineRule="exact"/>
        <w:ind w:firstLine="420" w:firstLineChars="199"/>
        <w:rPr>
          <w:rFonts w:ascii="宋体" w:hAnsi="宋体"/>
          <w:b/>
          <w:color w:val="000000"/>
          <w:szCs w:val="21"/>
          <w:highlight w:val="none"/>
        </w:rPr>
      </w:pPr>
      <w:r>
        <w:rPr>
          <w:rFonts w:hint="eastAsia" w:ascii="宋体" w:hAnsi="宋体"/>
          <w:b/>
          <w:bCs/>
          <w:color w:val="0000FF"/>
          <w:szCs w:val="21"/>
          <w:highlight w:val="none"/>
        </w:rPr>
        <w:t>★</w:t>
      </w:r>
      <w:r>
        <w:rPr>
          <w:rFonts w:hint="eastAsia" w:ascii="宋体" w:hAnsi="宋体"/>
          <w:b/>
          <w:color w:val="000000"/>
          <w:szCs w:val="21"/>
          <w:highlight w:val="none"/>
        </w:rPr>
        <w:t>二、报价方式</w:t>
      </w:r>
    </w:p>
    <w:p>
      <w:pPr>
        <w:spacing w:line="440" w:lineRule="exact"/>
        <w:ind w:firstLine="420" w:firstLineChars="200"/>
        <w:rPr>
          <w:rFonts w:ascii="宋体" w:hAnsi="宋体"/>
          <w:color w:val="000000"/>
          <w:szCs w:val="21"/>
        </w:rPr>
      </w:pPr>
      <w:r>
        <w:rPr>
          <w:rFonts w:hint="eastAsia" w:ascii="宋体" w:hAnsi="宋体"/>
          <w:color w:val="000000"/>
          <w:szCs w:val="21"/>
          <w:highlight w:val="none"/>
        </w:rPr>
        <w:t>1、本项目服务费采用包干制，报价须包含合同期内投标人企业服务成本、法定税费和企业的利润。投标人应根据本企业的成本自行决定报价，投标人的投标报价不得超过财政预算限额；投标人不得期望通过索赔等方式获取补偿，否则，除可能遭到拒绝外，还可能将</w:t>
      </w:r>
      <w:r>
        <w:rPr>
          <w:rFonts w:hint="eastAsia" w:ascii="宋体" w:hAnsi="宋体"/>
          <w:color w:val="000000"/>
          <w:szCs w:val="21"/>
        </w:rPr>
        <w:t>被作为不良行为记录在案，并可能影响其以后参加政府采购的项目投标。投标人在投标报价时，应充分考虑投标报价的风险。</w:t>
      </w:r>
    </w:p>
    <w:p>
      <w:pPr>
        <w:spacing w:line="440" w:lineRule="exact"/>
        <w:ind w:firstLine="420" w:firstLineChars="200"/>
        <w:rPr>
          <w:rFonts w:ascii="宋体" w:hAnsi="宋体"/>
          <w:b/>
          <w:color w:val="000000"/>
          <w:szCs w:val="21"/>
        </w:rPr>
      </w:pPr>
      <w:r>
        <w:rPr>
          <w:rFonts w:hint="eastAsia" w:ascii="宋体" w:hAnsi="宋体"/>
          <w:color w:val="000000"/>
          <w:szCs w:val="21"/>
        </w:rPr>
        <w:t>2、由投标人根据谈判文件所提供的资料自行测算投标报价；一经成交，投标报价总价作为成交单位与采购单位</w:t>
      </w:r>
      <w:r>
        <w:rPr>
          <w:rFonts w:hint="eastAsia" w:ascii="宋体" w:hAnsi="宋体"/>
          <w:color w:val="000000"/>
          <w:szCs w:val="21"/>
          <w:lang w:eastAsia="zh-CN"/>
        </w:rPr>
        <w:t>签订</w:t>
      </w:r>
      <w:r>
        <w:rPr>
          <w:rFonts w:hint="eastAsia" w:ascii="宋体" w:hAnsi="宋体"/>
          <w:color w:val="000000"/>
          <w:szCs w:val="21"/>
        </w:rPr>
        <w:t>的合同金额，合同期限内不做调整； 投标人的投标报价不得超过财政预算限额。</w:t>
      </w:r>
    </w:p>
    <w:p>
      <w:pPr>
        <w:spacing w:line="440" w:lineRule="exact"/>
        <w:ind w:firstLine="420" w:firstLineChars="199"/>
        <w:rPr>
          <w:rFonts w:ascii="宋体" w:hAnsi="宋体"/>
          <w:b/>
          <w:color w:val="000000"/>
          <w:szCs w:val="21"/>
          <w:highlight w:val="none"/>
        </w:rPr>
      </w:pPr>
      <w:r>
        <w:rPr>
          <w:rFonts w:hint="eastAsia" w:ascii="宋体" w:hAnsi="宋体"/>
          <w:b/>
          <w:bCs/>
          <w:color w:val="0000FF"/>
          <w:szCs w:val="21"/>
          <w:highlight w:val="none"/>
        </w:rPr>
        <w:t>★</w:t>
      </w:r>
      <w:r>
        <w:rPr>
          <w:rFonts w:hint="eastAsia" w:ascii="宋体" w:hAnsi="宋体"/>
          <w:b/>
          <w:color w:val="000000"/>
          <w:szCs w:val="21"/>
          <w:highlight w:val="none"/>
        </w:rPr>
        <w:t>三、付款方式</w:t>
      </w:r>
    </w:p>
    <w:p>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1.1.本项目合同签订后，向</w:t>
      </w:r>
      <w:r>
        <w:rPr>
          <w:rFonts w:hint="eastAsia" w:ascii="宋体" w:hAnsi="宋体"/>
          <w:color w:val="000000"/>
          <w:szCs w:val="21"/>
          <w:highlight w:val="none"/>
          <w:lang w:val="en-US" w:eastAsia="zh-CN"/>
        </w:rPr>
        <w:t>中标人</w:t>
      </w:r>
      <w:r>
        <w:rPr>
          <w:rFonts w:hint="eastAsia" w:ascii="宋体" w:hAnsi="宋体"/>
          <w:color w:val="000000"/>
          <w:szCs w:val="21"/>
          <w:highlight w:val="none"/>
        </w:rPr>
        <w:t>支付</w:t>
      </w:r>
      <w:r>
        <w:rPr>
          <w:rFonts w:hint="eastAsia" w:ascii="宋体" w:hAnsi="宋体"/>
          <w:color w:val="000000"/>
          <w:szCs w:val="21"/>
          <w:highlight w:val="none"/>
          <w:lang w:val="en-US" w:eastAsia="zh-CN"/>
        </w:rPr>
        <w:t>3</w:t>
      </w:r>
      <w:r>
        <w:rPr>
          <w:rFonts w:hint="eastAsia" w:ascii="宋体" w:hAnsi="宋体"/>
          <w:color w:val="000000"/>
          <w:szCs w:val="21"/>
          <w:highlight w:val="none"/>
        </w:rPr>
        <w:t>0%款项；项目完成</w:t>
      </w:r>
      <w:r>
        <w:rPr>
          <w:rFonts w:hint="eastAsia" w:ascii="宋体" w:hAnsi="宋体"/>
          <w:color w:val="000000"/>
          <w:szCs w:val="21"/>
          <w:highlight w:val="none"/>
          <w:lang w:val="en-US" w:eastAsia="zh-CN"/>
        </w:rPr>
        <w:t>红框装置设立后</w:t>
      </w:r>
      <w:r>
        <w:rPr>
          <w:rFonts w:hint="eastAsia" w:ascii="宋体" w:hAnsi="宋体"/>
          <w:color w:val="000000"/>
          <w:szCs w:val="21"/>
          <w:highlight w:val="none"/>
        </w:rPr>
        <w:t>，经</w:t>
      </w:r>
      <w:r>
        <w:rPr>
          <w:rFonts w:hint="eastAsia" w:ascii="宋体" w:hAnsi="宋体"/>
          <w:color w:val="000000"/>
          <w:szCs w:val="21"/>
          <w:highlight w:val="none"/>
          <w:lang w:val="en-US" w:eastAsia="zh-CN"/>
        </w:rPr>
        <w:t>采购人</w:t>
      </w:r>
      <w:r>
        <w:rPr>
          <w:rFonts w:hint="eastAsia" w:ascii="宋体" w:hAnsi="宋体"/>
          <w:color w:val="000000"/>
          <w:szCs w:val="21"/>
          <w:highlight w:val="none"/>
        </w:rPr>
        <w:t>验收合格后，向</w:t>
      </w:r>
      <w:r>
        <w:rPr>
          <w:rFonts w:hint="eastAsia" w:ascii="宋体" w:hAnsi="宋体"/>
          <w:color w:val="000000"/>
          <w:szCs w:val="21"/>
          <w:highlight w:val="none"/>
          <w:lang w:val="en-US" w:eastAsia="zh-CN"/>
        </w:rPr>
        <w:t>中标人</w:t>
      </w:r>
      <w:r>
        <w:rPr>
          <w:rFonts w:hint="eastAsia" w:ascii="宋体" w:hAnsi="宋体"/>
          <w:color w:val="000000"/>
          <w:szCs w:val="21"/>
          <w:highlight w:val="none"/>
        </w:rPr>
        <w:t>支付</w:t>
      </w:r>
      <w:r>
        <w:rPr>
          <w:rFonts w:hint="eastAsia" w:ascii="宋体" w:hAnsi="宋体"/>
          <w:color w:val="000000"/>
          <w:szCs w:val="21"/>
          <w:highlight w:val="none"/>
          <w:lang w:val="en-US" w:eastAsia="zh-CN"/>
        </w:rPr>
        <w:t>6</w:t>
      </w:r>
      <w:r>
        <w:rPr>
          <w:rFonts w:hint="eastAsia" w:ascii="宋体" w:hAnsi="宋体"/>
          <w:color w:val="000000"/>
          <w:szCs w:val="21"/>
          <w:highlight w:val="none"/>
        </w:rPr>
        <w:t>0%款项。</w:t>
      </w:r>
      <w:r>
        <w:rPr>
          <w:rFonts w:hint="eastAsia" w:ascii="宋体" w:hAnsi="宋体"/>
          <w:color w:val="000000"/>
          <w:szCs w:val="21"/>
          <w:highlight w:val="none"/>
          <w:lang w:val="en-US" w:eastAsia="zh-CN"/>
        </w:rPr>
        <w:t>项目完成后，</w:t>
      </w:r>
      <w:r>
        <w:rPr>
          <w:rFonts w:hint="eastAsia" w:ascii="宋体" w:hAnsi="宋体"/>
          <w:color w:val="000000"/>
          <w:szCs w:val="21"/>
          <w:highlight w:val="none"/>
        </w:rPr>
        <w:t>经</w:t>
      </w:r>
      <w:r>
        <w:rPr>
          <w:rFonts w:hint="eastAsia" w:ascii="宋体" w:hAnsi="宋体"/>
          <w:color w:val="000000"/>
          <w:szCs w:val="21"/>
          <w:highlight w:val="none"/>
          <w:lang w:val="en-US" w:eastAsia="zh-CN"/>
        </w:rPr>
        <w:t>采购人</w:t>
      </w:r>
      <w:r>
        <w:rPr>
          <w:rFonts w:hint="eastAsia" w:ascii="宋体" w:hAnsi="宋体"/>
          <w:color w:val="000000"/>
          <w:szCs w:val="21"/>
          <w:highlight w:val="none"/>
        </w:rPr>
        <w:t>验收合格后，向</w:t>
      </w:r>
      <w:r>
        <w:rPr>
          <w:rFonts w:hint="eastAsia" w:ascii="宋体" w:hAnsi="宋体"/>
          <w:color w:val="000000"/>
          <w:szCs w:val="21"/>
          <w:highlight w:val="none"/>
          <w:lang w:val="en-US" w:eastAsia="zh-CN"/>
        </w:rPr>
        <w:t>中标人</w:t>
      </w:r>
      <w:r>
        <w:rPr>
          <w:rFonts w:hint="eastAsia" w:ascii="宋体" w:hAnsi="宋体"/>
          <w:color w:val="000000"/>
          <w:szCs w:val="21"/>
          <w:highlight w:val="none"/>
        </w:rPr>
        <w:t>支付</w:t>
      </w:r>
      <w:r>
        <w:rPr>
          <w:rFonts w:hint="eastAsia" w:ascii="宋体" w:hAnsi="宋体"/>
          <w:color w:val="000000"/>
          <w:szCs w:val="21"/>
          <w:highlight w:val="none"/>
          <w:lang w:val="en-US" w:eastAsia="zh-CN"/>
        </w:rPr>
        <w:t>剩余1</w:t>
      </w:r>
      <w:r>
        <w:rPr>
          <w:rFonts w:hint="eastAsia" w:ascii="宋体" w:hAnsi="宋体"/>
          <w:color w:val="000000"/>
          <w:szCs w:val="21"/>
          <w:highlight w:val="none"/>
        </w:rPr>
        <w:t>0%款项</w:t>
      </w:r>
      <w:r>
        <w:rPr>
          <w:rFonts w:hint="eastAsia" w:ascii="宋体" w:hAnsi="宋体"/>
          <w:color w:val="000000"/>
          <w:szCs w:val="21"/>
          <w:highlight w:val="none"/>
          <w:lang w:val="en-US" w:eastAsia="zh-CN"/>
        </w:rPr>
        <w:t>，</w:t>
      </w:r>
    </w:p>
    <w:p>
      <w:pPr>
        <w:spacing w:line="440" w:lineRule="exact"/>
        <w:ind w:firstLine="420" w:firstLineChars="200"/>
        <w:rPr>
          <w:rFonts w:ascii="宋体" w:hAnsi="宋体"/>
          <w:b/>
          <w:color w:val="000000"/>
          <w:szCs w:val="21"/>
          <w:highlight w:val="none"/>
        </w:rPr>
      </w:pPr>
      <w:r>
        <w:rPr>
          <w:rFonts w:hint="eastAsia" w:ascii="宋体" w:hAnsi="宋体"/>
          <w:color w:val="000000"/>
          <w:szCs w:val="21"/>
          <w:highlight w:val="none"/>
        </w:rPr>
        <w:t>2.上述款项在满足付款条件，且采购人收到中标人开具的载明相应金额的合格发票后10个工作日内付至中标人指定银行账户。如未及时收到发票，则采购人相应付款时间顺延。因采购人付款审批影响支付进度，请中标人予以谅解，并不得就此向采购人索赔。</w:t>
      </w:r>
    </w:p>
    <w:p>
      <w:pPr>
        <w:spacing w:line="440" w:lineRule="exact"/>
        <w:ind w:firstLine="420" w:firstLineChars="199"/>
        <w:rPr>
          <w:rFonts w:ascii="宋体" w:hAnsi="宋体"/>
          <w:b/>
          <w:color w:val="000000"/>
          <w:szCs w:val="21"/>
          <w:highlight w:val="none"/>
        </w:rPr>
      </w:pPr>
      <w:r>
        <w:rPr>
          <w:rFonts w:hint="eastAsia" w:ascii="宋体" w:hAnsi="宋体"/>
          <w:b/>
          <w:bCs/>
          <w:color w:val="0000FF"/>
          <w:szCs w:val="21"/>
          <w:highlight w:val="none"/>
        </w:rPr>
        <w:t>★</w:t>
      </w:r>
      <w:r>
        <w:rPr>
          <w:rFonts w:hint="eastAsia" w:ascii="宋体" w:hAnsi="宋体"/>
          <w:b/>
          <w:color w:val="000000"/>
          <w:szCs w:val="21"/>
          <w:highlight w:val="none"/>
        </w:rPr>
        <w:t>四、验收要求</w:t>
      </w:r>
    </w:p>
    <w:p>
      <w:pPr>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中标人在合同期限内，完成红框装置策划、设计、生产制作及运输安装；完成自然驿站策划、设计、生产制作及运输安装；项目落成后，项目产出图、文宣传素材，中国国家地理营地及平台进行推广与传播。</w:t>
      </w:r>
    </w:p>
    <w:p>
      <w:pPr>
        <w:ind w:firstLine="420"/>
        <w:rPr>
          <w:rFonts w:hint="eastAsia"/>
          <w:b/>
          <w:bCs/>
          <w:highlight w:val="none"/>
          <w:lang w:eastAsia="zh-CN"/>
        </w:rPr>
      </w:pPr>
      <w:r>
        <w:rPr>
          <w:rFonts w:hint="eastAsia" w:ascii="宋体" w:hAnsi="宋体"/>
          <w:b/>
          <w:bCs/>
          <w:color w:val="0000FF"/>
          <w:szCs w:val="21"/>
          <w:highlight w:val="none"/>
        </w:rPr>
        <w:t>★</w:t>
      </w:r>
      <w:r>
        <w:rPr>
          <w:rFonts w:hint="eastAsia"/>
          <w:b/>
          <w:bCs/>
          <w:highlight w:val="none"/>
          <w:lang w:val="en-US" w:eastAsia="zh-CN"/>
        </w:rPr>
        <w:t>五、</w:t>
      </w:r>
      <w:r>
        <w:rPr>
          <w:rFonts w:hint="eastAsia"/>
          <w:b/>
          <w:bCs/>
          <w:highlight w:val="none"/>
          <w:lang w:eastAsia="zh-CN"/>
        </w:rPr>
        <w:t>知识产权权属与知识产权</w:t>
      </w:r>
    </w:p>
    <w:p>
      <w:pPr>
        <w:ind w:firstLine="420"/>
        <w:rPr>
          <w:rFonts w:hint="eastAsia"/>
          <w:highlight w:val="none"/>
        </w:rPr>
      </w:pPr>
      <w:r>
        <w:rPr>
          <w:rFonts w:hint="eastAsia"/>
          <w:highlight w:val="none"/>
        </w:rPr>
        <w:t>1.双方对本合同有关的知识产权以及与之相关的所有权利归属约定如下： 本项目全部阶段性成果和最终成果（包括为后续服务范围所编制的材料）的知识产权以及与之相关的所有权利归</w:t>
      </w:r>
      <w:r>
        <w:rPr>
          <w:rFonts w:hint="eastAsia"/>
          <w:highlight w:val="none"/>
          <w:lang w:eastAsia="zh-CN"/>
        </w:rPr>
        <w:t>采购人</w:t>
      </w:r>
      <w:r>
        <w:rPr>
          <w:rFonts w:hint="eastAsia"/>
          <w:highlight w:val="none"/>
        </w:rPr>
        <w:t>所有；本合同签署前双方已经拥有的知识产权权利，仍归各自所有。</w:t>
      </w:r>
    </w:p>
    <w:p>
      <w:pPr>
        <w:ind w:firstLine="420"/>
        <w:rPr>
          <w:rFonts w:hint="eastAsia"/>
          <w:highlight w:val="none"/>
        </w:rPr>
      </w:pPr>
      <w:r>
        <w:rPr>
          <w:rFonts w:hint="eastAsia"/>
          <w:highlight w:val="none"/>
        </w:rPr>
        <w:t>2.双方确定，</w:t>
      </w:r>
      <w:r>
        <w:rPr>
          <w:rFonts w:hint="eastAsia"/>
          <w:highlight w:val="none"/>
          <w:lang w:eastAsia="zh-CN"/>
        </w:rPr>
        <w:t>采购人</w:t>
      </w:r>
      <w:r>
        <w:rPr>
          <w:rFonts w:hint="eastAsia"/>
          <w:highlight w:val="none"/>
        </w:rPr>
        <w:t>有权利用</w:t>
      </w:r>
      <w:r>
        <w:rPr>
          <w:rFonts w:hint="eastAsia"/>
          <w:highlight w:val="none"/>
          <w:lang w:eastAsia="zh-CN"/>
        </w:rPr>
        <w:t>中标人</w:t>
      </w:r>
      <w:r>
        <w:rPr>
          <w:rFonts w:hint="eastAsia"/>
          <w:highlight w:val="none"/>
        </w:rPr>
        <w:t>按照本合同约定提供的研究开发成果，进行后续改进。由此产生的具有实质性或创造性技术进步特征的新的技术成果及其权利归属，全部由</w:t>
      </w:r>
      <w:r>
        <w:rPr>
          <w:rFonts w:hint="eastAsia"/>
          <w:highlight w:val="none"/>
          <w:lang w:eastAsia="zh-CN"/>
        </w:rPr>
        <w:t>采购人</w:t>
      </w:r>
      <w:r>
        <w:rPr>
          <w:rFonts w:hint="eastAsia"/>
          <w:highlight w:val="none"/>
        </w:rPr>
        <w:t>享有。具体相关利益的分配办法如下：</w:t>
      </w:r>
      <w:r>
        <w:rPr>
          <w:rFonts w:hint="eastAsia"/>
          <w:highlight w:val="none"/>
          <w:lang w:eastAsia="zh-CN"/>
        </w:rPr>
        <w:t>采购人</w:t>
      </w:r>
      <w:r>
        <w:rPr>
          <w:rFonts w:hint="eastAsia"/>
          <w:highlight w:val="none"/>
        </w:rPr>
        <w:t>100%。</w:t>
      </w:r>
    </w:p>
    <w:p>
      <w:pPr>
        <w:ind w:firstLine="420"/>
        <w:rPr>
          <w:rFonts w:hint="eastAsia"/>
          <w:highlight w:val="none"/>
        </w:rPr>
      </w:pPr>
      <w:r>
        <w:rPr>
          <w:rFonts w:hint="eastAsia"/>
          <w:highlight w:val="none"/>
        </w:rPr>
        <w:t>3.</w:t>
      </w:r>
      <w:r>
        <w:rPr>
          <w:rFonts w:hint="eastAsia"/>
          <w:highlight w:val="none"/>
          <w:lang w:eastAsia="zh-CN"/>
        </w:rPr>
        <w:t>中标人</w:t>
      </w:r>
      <w:r>
        <w:rPr>
          <w:rFonts w:hint="eastAsia"/>
          <w:highlight w:val="none"/>
        </w:rPr>
        <w:t>所提交的全部中间成果和最终成果材料及任何数据、资料、软件等不得侵犯任何第三方的知识产权或其他权利，由于该等文件、材料、数据、资料、软件侵权所导致的任何索赔或责任均由</w:t>
      </w:r>
      <w:r>
        <w:rPr>
          <w:rFonts w:hint="eastAsia"/>
          <w:highlight w:val="none"/>
          <w:lang w:eastAsia="zh-CN"/>
        </w:rPr>
        <w:t>中标人</w:t>
      </w:r>
      <w:r>
        <w:rPr>
          <w:rFonts w:hint="eastAsia"/>
          <w:highlight w:val="none"/>
        </w:rPr>
        <w:t>承担，同时，</w:t>
      </w:r>
      <w:r>
        <w:rPr>
          <w:rFonts w:hint="eastAsia"/>
          <w:highlight w:val="none"/>
          <w:lang w:eastAsia="zh-CN"/>
        </w:rPr>
        <w:t>采购人</w:t>
      </w:r>
      <w:r>
        <w:rPr>
          <w:rFonts w:hint="eastAsia"/>
          <w:highlight w:val="none"/>
        </w:rPr>
        <w:t>保留要求</w:t>
      </w:r>
      <w:r>
        <w:rPr>
          <w:rFonts w:hint="eastAsia"/>
          <w:highlight w:val="none"/>
          <w:lang w:eastAsia="zh-CN"/>
        </w:rPr>
        <w:t>中标人</w:t>
      </w:r>
      <w:r>
        <w:rPr>
          <w:rFonts w:hint="eastAsia"/>
          <w:highlight w:val="none"/>
        </w:rPr>
        <w:t>赔偿相应损失的权利，包括但不限于上述索赔或责任所产生的诉讼费用、合理的律师费用、鉴定评估费用、调查费用、和解金额或生效法律文书中规定的赔偿金额。</w:t>
      </w:r>
    </w:p>
    <w:p>
      <w:pPr>
        <w:ind w:firstLine="420"/>
        <w:rPr>
          <w:rFonts w:hint="eastAsia"/>
          <w:highlight w:val="none"/>
        </w:rPr>
      </w:pPr>
      <w:r>
        <w:rPr>
          <w:rFonts w:hint="eastAsia"/>
          <w:highlight w:val="none"/>
        </w:rPr>
        <w:t>4.未经</w:t>
      </w:r>
      <w:r>
        <w:rPr>
          <w:rFonts w:hint="eastAsia"/>
          <w:highlight w:val="none"/>
          <w:lang w:eastAsia="zh-CN"/>
        </w:rPr>
        <w:t>采购人</w:t>
      </w:r>
      <w:r>
        <w:rPr>
          <w:rFonts w:hint="eastAsia"/>
          <w:highlight w:val="none"/>
        </w:rPr>
        <w:t>书面在先同意，</w:t>
      </w:r>
      <w:r>
        <w:rPr>
          <w:rFonts w:hint="eastAsia"/>
          <w:highlight w:val="none"/>
          <w:lang w:eastAsia="zh-CN"/>
        </w:rPr>
        <w:t>中标人</w:t>
      </w:r>
      <w:r>
        <w:rPr>
          <w:rFonts w:hint="eastAsia"/>
          <w:highlight w:val="none"/>
        </w:rPr>
        <w:t>不得将本项目的中间成果和最终成果材料及任何数据、资料、软件向任何第三方转让、授权任何第三方使用或用于本合同项目外的其他项目。如发生以上情况，</w:t>
      </w:r>
      <w:r>
        <w:rPr>
          <w:rFonts w:hint="eastAsia"/>
          <w:highlight w:val="none"/>
          <w:lang w:eastAsia="zh-CN"/>
        </w:rPr>
        <w:t>中标人</w:t>
      </w:r>
      <w:r>
        <w:rPr>
          <w:rFonts w:hint="eastAsia"/>
          <w:highlight w:val="none"/>
        </w:rPr>
        <w:t>应向</w:t>
      </w:r>
      <w:r>
        <w:rPr>
          <w:rFonts w:hint="eastAsia"/>
          <w:highlight w:val="none"/>
          <w:lang w:eastAsia="zh-CN"/>
        </w:rPr>
        <w:t>采购人</w:t>
      </w:r>
      <w:r>
        <w:rPr>
          <w:rFonts w:hint="eastAsia"/>
          <w:highlight w:val="none"/>
        </w:rPr>
        <w:t>支付本合同总价款20%的违约金，如果违约金无法弥补</w:t>
      </w:r>
      <w:r>
        <w:rPr>
          <w:rFonts w:hint="eastAsia"/>
          <w:highlight w:val="none"/>
          <w:lang w:eastAsia="zh-CN"/>
        </w:rPr>
        <w:t>采购人</w:t>
      </w:r>
      <w:r>
        <w:rPr>
          <w:rFonts w:hint="eastAsia"/>
          <w:highlight w:val="none"/>
        </w:rPr>
        <w:t>的损失，</w:t>
      </w:r>
      <w:r>
        <w:rPr>
          <w:rFonts w:hint="eastAsia"/>
          <w:highlight w:val="none"/>
          <w:lang w:eastAsia="zh-CN"/>
        </w:rPr>
        <w:t>采购人</w:t>
      </w:r>
      <w:r>
        <w:rPr>
          <w:rFonts w:hint="eastAsia"/>
          <w:highlight w:val="none"/>
        </w:rPr>
        <w:t>有权要求</w:t>
      </w:r>
      <w:r>
        <w:rPr>
          <w:rFonts w:hint="eastAsia"/>
          <w:highlight w:val="none"/>
          <w:lang w:eastAsia="zh-CN"/>
        </w:rPr>
        <w:t>中标人</w:t>
      </w:r>
      <w:r>
        <w:rPr>
          <w:rFonts w:hint="eastAsia"/>
          <w:highlight w:val="none"/>
        </w:rPr>
        <w:t>赔偿全部损失，包括但不限于上述索赔或责任所产生的诉讼费用、合理的律师费用、鉴定评估费用、调查费用、和解金额或生效法律文书中规定的赔偿金额。</w:t>
      </w:r>
    </w:p>
    <w:p>
      <w:pPr>
        <w:ind w:firstLine="420"/>
        <w:rPr>
          <w:rFonts w:hint="eastAsia"/>
          <w:highlight w:val="none"/>
        </w:rPr>
      </w:pPr>
      <w:r>
        <w:rPr>
          <w:rFonts w:hint="eastAsia"/>
          <w:highlight w:val="none"/>
        </w:rPr>
        <w:t>5.</w:t>
      </w:r>
      <w:r>
        <w:rPr>
          <w:rFonts w:hint="eastAsia"/>
          <w:highlight w:val="none"/>
          <w:lang w:eastAsia="zh-CN"/>
        </w:rPr>
        <w:t>中标人</w:t>
      </w:r>
      <w:r>
        <w:rPr>
          <w:rFonts w:hint="eastAsia"/>
          <w:highlight w:val="none"/>
        </w:rPr>
        <w:t>完成本合同项目的研究开发人员享有在有关技术成果材料上写明技术成果完成者的权利和与</w:t>
      </w:r>
      <w:r>
        <w:rPr>
          <w:rFonts w:hint="eastAsia"/>
          <w:highlight w:val="none"/>
          <w:lang w:eastAsia="zh-CN"/>
        </w:rPr>
        <w:t>采购人</w:t>
      </w:r>
      <w:r>
        <w:rPr>
          <w:rFonts w:hint="eastAsia"/>
          <w:highlight w:val="none"/>
        </w:rPr>
        <w:t>共同获得有关荣誉证书、奖励的权利。</w:t>
      </w:r>
    </w:p>
    <w:p>
      <w:pPr>
        <w:ind w:firstLine="420"/>
        <w:rPr>
          <w:rFonts w:hint="eastAsia"/>
          <w:b/>
          <w:bCs/>
          <w:highlight w:val="none"/>
          <w:lang w:eastAsia="zh-CN"/>
        </w:rPr>
      </w:pPr>
      <w:r>
        <w:rPr>
          <w:rFonts w:hint="eastAsia" w:ascii="宋体" w:hAnsi="宋体"/>
          <w:b/>
          <w:bCs/>
          <w:color w:val="0000FF"/>
          <w:szCs w:val="21"/>
          <w:highlight w:val="none"/>
        </w:rPr>
        <w:t>★</w:t>
      </w:r>
      <w:r>
        <w:rPr>
          <w:rFonts w:hint="eastAsia"/>
          <w:b/>
          <w:bCs/>
          <w:highlight w:val="none"/>
          <w:lang w:val="en-US" w:eastAsia="zh-CN"/>
        </w:rPr>
        <w:t>六、</w:t>
      </w:r>
      <w:r>
        <w:rPr>
          <w:rFonts w:hint="eastAsia"/>
          <w:b/>
          <w:bCs/>
          <w:highlight w:val="none"/>
          <w:lang w:eastAsia="zh-CN"/>
        </w:rPr>
        <w:t>保密条款</w:t>
      </w:r>
    </w:p>
    <w:p>
      <w:pPr>
        <w:ind w:firstLine="420"/>
        <w:rPr>
          <w:rFonts w:hint="eastAsia"/>
          <w:highlight w:val="none"/>
        </w:rPr>
      </w:pPr>
      <w:r>
        <w:rPr>
          <w:rFonts w:hint="eastAsia"/>
          <w:highlight w:val="none"/>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highlight w:val="none"/>
          <w:lang w:eastAsia="zh-CN"/>
        </w:rPr>
        <w:t>中标人</w:t>
      </w:r>
      <w:r>
        <w:rPr>
          <w:rFonts w:hint="eastAsia"/>
          <w:highlight w:val="none"/>
        </w:rPr>
        <w:t>在履行本合同过程中所获得或接触到的任何</w:t>
      </w:r>
      <w:r>
        <w:rPr>
          <w:rFonts w:hint="eastAsia"/>
          <w:highlight w:val="none"/>
          <w:lang w:eastAsia="zh-CN"/>
        </w:rPr>
        <w:t>采购人</w:t>
      </w:r>
      <w:r>
        <w:rPr>
          <w:rFonts w:hint="eastAsia"/>
          <w:highlight w:val="none"/>
        </w:rPr>
        <w:t>内部数据资料。</w:t>
      </w:r>
    </w:p>
    <w:p>
      <w:pPr>
        <w:ind w:firstLine="420"/>
        <w:rPr>
          <w:rFonts w:hint="eastAsia"/>
          <w:highlight w:val="none"/>
        </w:rPr>
      </w:pPr>
      <w:r>
        <w:rPr>
          <w:rFonts w:hint="eastAsia"/>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ind w:firstLine="420"/>
        <w:rPr>
          <w:rFonts w:hint="eastAsia"/>
          <w:highlight w:val="none"/>
        </w:rPr>
      </w:pPr>
      <w:r>
        <w:rPr>
          <w:rFonts w:hint="eastAsia"/>
          <w:highlight w:val="none"/>
        </w:rPr>
        <w:t>3.</w:t>
      </w:r>
      <w:r>
        <w:rPr>
          <w:rFonts w:hint="eastAsia"/>
          <w:highlight w:val="none"/>
          <w:lang w:eastAsia="zh-CN"/>
        </w:rPr>
        <w:t>中标人</w:t>
      </w:r>
      <w:r>
        <w:rPr>
          <w:rFonts w:hint="eastAsia"/>
          <w:highlight w:val="none"/>
        </w:rPr>
        <w:t>须以保密方式处理在编制本项目成果材料过程中自</w:t>
      </w:r>
      <w:r>
        <w:rPr>
          <w:rFonts w:hint="eastAsia"/>
          <w:highlight w:val="none"/>
          <w:lang w:eastAsia="zh-CN"/>
        </w:rPr>
        <w:t>采购人</w:t>
      </w:r>
      <w:r>
        <w:rPr>
          <w:rFonts w:hint="eastAsia"/>
          <w:highlight w:val="none"/>
        </w:rPr>
        <w:t>、</w:t>
      </w:r>
      <w:r>
        <w:rPr>
          <w:rFonts w:hint="eastAsia"/>
          <w:highlight w:val="none"/>
          <w:lang w:eastAsia="zh-CN"/>
        </w:rPr>
        <w:t>采购人</w:t>
      </w:r>
      <w:r>
        <w:rPr>
          <w:rFonts w:hint="eastAsia"/>
          <w:highlight w:val="none"/>
        </w:rPr>
        <w:t>工作人员或</w:t>
      </w:r>
      <w:r>
        <w:rPr>
          <w:rFonts w:hint="eastAsia"/>
          <w:highlight w:val="none"/>
          <w:lang w:eastAsia="zh-CN"/>
        </w:rPr>
        <w:t>采购人</w:t>
      </w:r>
      <w:r>
        <w:rPr>
          <w:rFonts w:hint="eastAsia"/>
          <w:highlight w:val="none"/>
        </w:rPr>
        <w:t>关联机构获得的相关信息、资料、图纸、数据等，或由</w:t>
      </w:r>
      <w:r>
        <w:rPr>
          <w:rFonts w:hint="eastAsia"/>
          <w:highlight w:val="none"/>
          <w:lang w:eastAsia="zh-CN"/>
        </w:rPr>
        <w:t>采购人</w:t>
      </w:r>
      <w:r>
        <w:rPr>
          <w:rFonts w:hint="eastAsia"/>
          <w:highlight w:val="none"/>
        </w:rPr>
        <w:t>在履行本合同过程中明确指明为秘密的任何信息</w:t>
      </w:r>
      <w:r>
        <w:rPr>
          <w:rFonts w:hint="eastAsia"/>
          <w:highlight w:val="none"/>
          <w:lang w:eastAsia="zh-CN"/>
        </w:rPr>
        <w:t>，</w:t>
      </w:r>
      <w:r>
        <w:rPr>
          <w:rFonts w:hint="eastAsia"/>
          <w:highlight w:val="none"/>
        </w:rPr>
        <w:t>以及</w:t>
      </w:r>
      <w:r>
        <w:rPr>
          <w:rFonts w:hint="eastAsia"/>
          <w:highlight w:val="none"/>
          <w:lang w:eastAsia="zh-CN"/>
        </w:rPr>
        <w:t>中标人</w:t>
      </w:r>
      <w:r>
        <w:rPr>
          <w:rFonts w:hint="eastAsia"/>
          <w:highlight w:val="none"/>
        </w:rPr>
        <w:t>因本项目工作所直接或间接取得、处理或接触的任何其他资料。未经</w:t>
      </w:r>
      <w:r>
        <w:rPr>
          <w:rFonts w:hint="eastAsia"/>
          <w:highlight w:val="none"/>
          <w:lang w:eastAsia="zh-CN"/>
        </w:rPr>
        <w:t>采购人</w:t>
      </w:r>
      <w:r>
        <w:rPr>
          <w:rFonts w:hint="eastAsia"/>
          <w:highlight w:val="none"/>
        </w:rPr>
        <w:t>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ind w:firstLine="420"/>
        <w:rPr>
          <w:rFonts w:hint="eastAsia"/>
          <w:highlight w:val="none"/>
        </w:rPr>
      </w:pPr>
      <w:r>
        <w:rPr>
          <w:rFonts w:hint="eastAsia"/>
          <w:highlight w:val="none"/>
        </w:rPr>
        <w:t>4.</w:t>
      </w:r>
      <w:r>
        <w:rPr>
          <w:rFonts w:hint="eastAsia"/>
          <w:highlight w:val="none"/>
          <w:lang w:eastAsia="zh-CN"/>
        </w:rPr>
        <w:t>中标人</w:t>
      </w:r>
      <w:r>
        <w:rPr>
          <w:rFonts w:hint="eastAsia"/>
          <w:highlight w:val="none"/>
        </w:rPr>
        <w:t>实施项目的程序应符合国家安全、保密的有关规定和标准。</w:t>
      </w:r>
    </w:p>
    <w:p>
      <w:pPr>
        <w:ind w:firstLine="420"/>
        <w:rPr>
          <w:rFonts w:hint="eastAsia"/>
          <w:highlight w:val="none"/>
        </w:rPr>
      </w:pPr>
      <w:r>
        <w:rPr>
          <w:rFonts w:hint="eastAsia"/>
          <w:highlight w:val="none"/>
        </w:rPr>
        <w:t>5.上述保密义务不适用以下情况：</w:t>
      </w:r>
    </w:p>
    <w:p>
      <w:pPr>
        <w:ind w:firstLine="420"/>
        <w:rPr>
          <w:rFonts w:hint="eastAsia"/>
          <w:highlight w:val="none"/>
        </w:rPr>
      </w:pPr>
      <w:r>
        <w:rPr>
          <w:rFonts w:hint="eastAsia"/>
          <w:highlight w:val="none"/>
        </w:rPr>
        <w:t>（1）获取的信息已被合法公开；</w:t>
      </w:r>
    </w:p>
    <w:p>
      <w:pPr>
        <w:ind w:firstLine="420"/>
        <w:rPr>
          <w:rFonts w:hint="eastAsia"/>
        </w:rPr>
      </w:pPr>
      <w:r>
        <w:rPr>
          <w:rFonts w:hint="eastAsia"/>
        </w:rPr>
        <w:t>（2）获得信息拥有方书面许可并在该许可范围内披露；</w:t>
      </w:r>
    </w:p>
    <w:p>
      <w:pPr>
        <w:ind w:firstLine="420"/>
        <w:rPr>
          <w:rFonts w:hint="eastAsia"/>
        </w:rPr>
      </w:pPr>
      <w:r>
        <w:rPr>
          <w:rFonts w:hint="eastAsia"/>
        </w:rPr>
        <w:t>（3）国家法律、法规规定的情形。</w:t>
      </w:r>
    </w:p>
    <w:p>
      <w:pPr>
        <w:ind w:firstLine="420"/>
        <w:rPr>
          <w:rFonts w:hint="eastAsia"/>
        </w:rPr>
      </w:pPr>
      <w:r>
        <w:rPr>
          <w:rFonts w:hint="eastAsia"/>
        </w:rPr>
        <w:t>6.如</w:t>
      </w:r>
      <w:r>
        <w:rPr>
          <w:rFonts w:hint="eastAsia"/>
          <w:lang w:eastAsia="zh-CN"/>
        </w:rPr>
        <w:t>中标人</w:t>
      </w:r>
      <w:r>
        <w:rPr>
          <w:rFonts w:hint="eastAsia"/>
        </w:rPr>
        <w:t>违反上述保密条款，</w:t>
      </w:r>
      <w:r>
        <w:rPr>
          <w:rFonts w:hint="eastAsia"/>
          <w:lang w:eastAsia="zh-CN"/>
        </w:rPr>
        <w:t>采购人</w:t>
      </w:r>
      <w:r>
        <w:rPr>
          <w:rFonts w:hint="eastAsia"/>
        </w:rPr>
        <w:t>有权解除本合同，</w:t>
      </w:r>
      <w:r>
        <w:rPr>
          <w:rFonts w:hint="eastAsia"/>
          <w:lang w:eastAsia="zh-CN"/>
        </w:rPr>
        <w:t>中标人</w:t>
      </w:r>
      <w:r>
        <w:rPr>
          <w:rFonts w:hint="eastAsia"/>
        </w:rPr>
        <w:t>应在合同解除通知发出之日起10日内向</w:t>
      </w:r>
      <w:r>
        <w:rPr>
          <w:rFonts w:hint="eastAsia"/>
          <w:lang w:eastAsia="zh-CN"/>
        </w:rPr>
        <w:t>采购人</w:t>
      </w:r>
      <w:r>
        <w:rPr>
          <w:rFonts w:hint="eastAsia"/>
        </w:rPr>
        <w:t>支付本合同服务费总金额20%的违约金，如果违约金无法弥补</w:t>
      </w:r>
      <w:r>
        <w:rPr>
          <w:rFonts w:hint="eastAsia"/>
          <w:lang w:eastAsia="zh-CN"/>
        </w:rPr>
        <w:t>采购人</w:t>
      </w:r>
      <w:r>
        <w:rPr>
          <w:rFonts w:hint="eastAsia"/>
        </w:rPr>
        <w:t>损失，</w:t>
      </w:r>
      <w:r>
        <w:rPr>
          <w:rFonts w:hint="eastAsia"/>
          <w:lang w:eastAsia="zh-CN"/>
        </w:rPr>
        <w:t>采购人</w:t>
      </w:r>
      <w:r>
        <w:rPr>
          <w:rFonts w:hint="eastAsia"/>
        </w:rPr>
        <w:t>保留要求</w:t>
      </w:r>
      <w:r>
        <w:rPr>
          <w:rFonts w:hint="eastAsia"/>
          <w:lang w:eastAsia="zh-CN"/>
        </w:rPr>
        <w:t>中标人</w:t>
      </w:r>
      <w:r>
        <w:rPr>
          <w:rFonts w:hint="eastAsia"/>
        </w:rPr>
        <w:t>赔偿全部损失的权利，包括但不限于前述责任所产生的诉讼费用、律师费用、鉴定评估费用、调查费用、和解金额或生效法律文书中规定的赔偿金额。</w:t>
      </w:r>
    </w:p>
    <w:p>
      <w:pPr>
        <w:ind w:firstLine="420"/>
        <w:rPr>
          <w:rFonts w:hint="eastAsia"/>
        </w:rPr>
      </w:pPr>
      <w:r>
        <w:rPr>
          <w:rFonts w:hint="eastAsia"/>
        </w:rPr>
        <w:t>7.无论本合同或本合同其他条款是否有效，本保密条款始终约束双方。国家秘密的保密期限由国家有关部门确定，工作秘密的保密期限由</w:t>
      </w:r>
      <w:r>
        <w:rPr>
          <w:rFonts w:hint="eastAsia"/>
          <w:lang w:eastAsia="zh-CN"/>
        </w:rPr>
        <w:t>采购人</w:t>
      </w:r>
      <w:r>
        <w:rPr>
          <w:rFonts w:hint="eastAsia"/>
        </w:rPr>
        <w:t>确定。</w:t>
      </w:r>
    </w:p>
    <w:p>
      <w:pPr>
        <w:jc w:val="left"/>
        <w:outlineLvl w:val="9"/>
        <w:rPr>
          <w:rFonts w:hint="eastAsia" w:ascii="微软雅黑" w:hAnsi="微软雅黑" w:eastAsia="微软雅黑" w:cs="微软雅黑"/>
          <w:b/>
          <w:color w:val="000000"/>
          <w:sz w:val="24"/>
          <w:szCs w:val="24"/>
        </w:rPr>
      </w:pPr>
      <w:bookmarkStart w:id="80" w:name="_Toc26902"/>
      <w:bookmarkStart w:id="81" w:name="_Toc333420706"/>
      <w:r>
        <w:rPr>
          <w:rFonts w:hint="eastAsia" w:ascii="微软雅黑" w:hAnsi="微软雅黑" w:eastAsia="微软雅黑" w:cs="微软雅黑"/>
          <w:b/>
          <w:color w:val="000000"/>
          <w:sz w:val="24"/>
          <w:szCs w:val="24"/>
        </w:rPr>
        <w:br w:type="page"/>
      </w:r>
    </w:p>
    <w:p>
      <w:pPr>
        <w:jc w:val="center"/>
        <w:outlineLvl w:val="1"/>
        <w:rPr>
          <w:rFonts w:ascii="微软雅黑" w:hAnsi="微软雅黑" w:eastAsia="微软雅黑" w:cs="微软雅黑"/>
          <w:b/>
          <w:color w:val="000000"/>
          <w:sz w:val="24"/>
          <w:szCs w:val="24"/>
        </w:rPr>
      </w:pPr>
      <w:r>
        <w:rPr>
          <w:rFonts w:hint="eastAsia" w:ascii="微软雅黑" w:hAnsi="微软雅黑" w:eastAsia="微软雅黑" w:cs="微软雅黑"/>
          <w:b/>
          <w:color w:val="000000"/>
          <w:sz w:val="24"/>
          <w:szCs w:val="24"/>
        </w:rPr>
        <w:t>第五节  应答文件否决性条款摘要</w:t>
      </w:r>
      <w:bookmarkEnd w:id="80"/>
      <w:bookmarkEnd w:id="81"/>
    </w:p>
    <w:p>
      <w:pPr>
        <w:spacing w:line="440" w:lineRule="exact"/>
        <w:ind w:firstLine="422" w:firstLineChars="200"/>
        <w:rPr>
          <w:rFonts w:ascii="宋体" w:hAnsi="宋体"/>
          <w:b/>
          <w:szCs w:val="21"/>
        </w:rPr>
      </w:pPr>
      <w:r>
        <w:rPr>
          <w:rFonts w:ascii="宋体" w:hAnsi="宋体"/>
          <w:b/>
        </w:rPr>
        <w:t>1、</w:t>
      </w:r>
      <w:r>
        <w:rPr>
          <w:rFonts w:hint="eastAsia" w:ascii="宋体" w:hAnsi="宋体"/>
          <w:b/>
          <w:szCs w:val="21"/>
        </w:rPr>
        <w:t>应答文件</w:t>
      </w:r>
      <w:r>
        <w:rPr>
          <w:rFonts w:ascii="宋体" w:hAnsi="宋体"/>
          <w:b/>
          <w:szCs w:val="21"/>
        </w:rPr>
        <w:t>有下列情形之一的，不予受理：</w:t>
      </w:r>
    </w:p>
    <w:p>
      <w:pPr>
        <w:spacing w:line="440" w:lineRule="exact"/>
        <w:ind w:firstLine="420" w:firstLineChars="200"/>
        <w:rPr>
          <w:rFonts w:ascii="宋体" w:hAnsi="宋体"/>
          <w:szCs w:val="21"/>
        </w:rPr>
      </w:pPr>
      <w:r>
        <w:rPr>
          <w:rFonts w:ascii="宋体" w:hAnsi="宋体"/>
        </w:rPr>
        <w:t xml:space="preserve">1.1  </w:t>
      </w:r>
      <w:r>
        <w:rPr>
          <w:rFonts w:ascii="宋体" w:hAnsi="宋体"/>
          <w:szCs w:val="21"/>
        </w:rPr>
        <w:t>在</w:t>
      </w:r>
      <w:r>
        <w:rPr>
          <w:rFonts w:hint="eastAsia" w:ascii="宋体" w:hAnsi="宋体"/>
          <w:szCs w:val="21"/>
        </w:rPr>
        <w:t>应答文件提交截至时间</w:t>
      </w:r>
      <w:r>
        <w:rPr>
          <w:rFonts w:ascii="宋体" w:hAnsi="宋体"/>
          <w:szCs w:val="21"/>
        </w:rPr>
        <w:t>以后送达的，或者未送达指定地点的；</w:t>
      </w:r>
    </w:p>
    <w:p>
      <w:pPr>
        <w:spacing w:line="440" w:lineRule="exact"/>
        <w:ind w:firstLine="420" w:firstLineChars="200"/>
        <w:rPr>
          <w:rFonts w:ascii="宋体" w:hAnsi="宋体"/>
          <w:b/>
          <w:szCs w:val="21"/>
        </w:rPr>
      </w:pPr>
      <w:r>
        <w:rPr>
          <w:rFonts w:ascii="宋体" w:hAnsi="宋体"/>
        </w:rPr>
        <w:t xml:space="preserve">1.2  </w:t>
      </w:r>
      <w:r>
        <w:rPr>
          <w:rFonts w:hint="eastAsia" w:ascii="宋体" w:hAnsi="宋体"/>
          <w:szCs w:val="21"/>
        </w:rPr>
        <w:t>供应商</w:t>
      </w:r>
      <w:r>
        <w:rPr>
          <w:rFonts w:ascii="宋体" w:hAnsi="宋体"/>
          <w:szCs w:val="21"/>
        </w:rPr>
        <w:t>的名称与</w:t>
      </w:r>
      <w:bookmarkStart w:id="82" w:name="_Toc76871384"/>
      <w:r>
        <w:rPr>
          <w:rFonts w:ascii="宋体" w:hAnsi="宋体"/>
          <w:szCs w:val="21"/>
        </w:rPr>
        <w:t>购买</w:t>
      </w:r>
      <w:r>
        <w:rPr>
          <w:rFonts w:hint="eastAsia" w:ascii="宋体" w:hAnsi="宋体"/>
          <w:szCs w:val="21"/>
        </w:rPr>
        <w:t>采购文件</w:t>
      </w:r>
      <w:r>
        <w:rPr>
          <w:rFonts w:ascii="宋体" w:hAnsi="宋体"/>
          <w:szCs w:val="21"/>
        </w:rPr>
        <w:t>时登记</w:t>
      </w:r>
      <w:bookmarkEnd w:id="82"/>
      <w:r>
        <w:rPr>
          <w:rFonts w:ascii="宋体" w:hAnsi="宋体"/>
          <w:szCs w:val="21"/>
        </w:rPr>
        <w:t>的不一致的。</w:t>
      </w:r>
    </w:p>
    <w:p>
      <w:pPr>
        <w:spacing w:line="440" w:lineRule="exact"/>
        <w:ind w:firstLine="422" w:firstLineChars="200"/>
        <w:rPr>
          <w:rFonts w:ascii="宋体" w:hAnsi="宋体"/>
          <w:b/>
          <w:szCs w:val="21"/>
        </w:rPr>
      </w:pPr>
      <w:r>
        <w:rPr>
          <w:rFonts w:ascii="宋体" w:hAnsi="宋体"/>
          <w:b/>
        </w:rPr>
        <w:t>2</w:t>
      </w:r>
      <w:r>
        <w:rPr>
          <w:rFonts w:hint="eastAsia" w:ascii="宋体" w:hAnsi="宋体"/>
          <w:b/>
        </w:rPr>
        <w:t>、</w:t>
      </w:r>
      <w:r>
        <w:rPr>
          <w:rFonts w:hint="eastAsia" w:ascii="宋体" w:hAnsi="宋体"/>
          <w:b/>
          <w:szCs w:val="21"/>
        </w:rPr>
        <w:t>应答文件</w:t>
      </w:r>
      <w:r>
        <w:rPr>
          <w:rFonts w:ascii="宋体" w:hAnsi="宋体"/>
          <w:b/>
          <w:szCs w:val="21"/>
        </w:rPr>
        <w:t>有下列</w:t>
      </w:r>
      <w:r>
        <w:rPr>
          <w:rFonts w:hint="eastAsia" w:ascii="宋体" w:hAnsi="宋体"/>
          <w:b/>
          <w:szCs w:val="21"/>
        </w:rPr>
        <w:t>情形之一的，按无效应答处理：</w:t>
      </w:r>
    </w:p>
    <w:p>
      <w:pPr>
        <w:spacing w:line="440" w:lineRule="exact"/>
        <w:ind w:firstLine="420" w:firstLineChars="200"/>
        <w:rPr>
          <w:rFonts w:ascii="宋体" w:hAnsi="宋体"/>
          <w:szCs w:val="21"/>
        </w:rPr>
      </w:pPr>
      <w:r>
        <w:rPr>
          <w:rFonts w:hint="eastAsia" w:ascii="宋体" w:hAnsi="宋体"/>
        </w:rPr>
        <w:t xml:space="preserve">2.1  </w:t>
      </w:r>
      <w:r>
        <w:rPr>
          <w:rFonts w:hint="eastAsia" w:ascii="宋体" w:hAnsi="宋体"/>
          <w:szCs w:val="21"/>
        </w:rPr>
        <w:t>供应商未按照采购文件的要求提供响应保证金的；</w:t>
      </w:r>
      <w:r>
        <w:rPr>
          <w:rFonts w:ascii="宋体" w:hAnsi="宋体"/>
          <w:szCs w:val="21"/>
        </w:rPr>
        <w:t xml:space="preserve"> </w:t>
      </w:r>
    </w:p>
    <w:p>
      <w:pPr>
        <w:spacing w:line="440" w:lineRule="exact"/>
        <w:ind w:firstLine="420" w:firstLineChars="200"/>
        <w:rPr>
          <w:rFonts w:ascii="宋体" w:hAnsi="宋体"/>
          <w:szCs w:val="21"/>
        </w:rPr>
      </w:pPr>
      <w:r>
        <w:rPr>
          <w:rFonts w:hint="eastAsia" w:ascii="宋体" w:hAnsi="宋体"/>
          <w:szCs w:val="21"/>
        </w:rPr>
        <w:t>2.2  应答文件无法定代表人签字或盖章，或签字人无法定代表人有效授权委托书原件的；</w:t>
      </w:r>
    </w:p>
    <w:p>
      <w:pPr>
        <w:spacing w:line="440" w:lineRule="exact"/>
        <w:ind w:firstLine="420" w:firstLineChars="200"/>
        <w:rPr>
          <w:rFonts w:ascii="宋体" w:hAnsi="宋体"/>
          <w:szCs w:val="21"/>
        </w:rPr>
      </w:pPr>
      <w:r>
        <w:rPr>
          <w:rFonts w:hint="eastAsia" w:ascii="宋体" w:hAnsi="宋体"/>
          <w:szCs w:val="21"/>
        </w:rPr>
        <w:t>2.3  供应商资格条件不符合国家有关规定和采购文件要求；</w:t>
      </w:r>
    </w:p>
    <w:p>
      <w:pPr>
        <w:spacing w:line="440" w:lineRule="exact"/>
        <w:ind w:firstLine="420" w:firstLineChars="200"/>
        <w:rPr>
          <w:rFonts w:ascii="宋体" w:hAnsi="宋体"/>
          <w:szCs w:val="21"/>
        </w:rPr>
      </w:pPr>
      <w:r>
        <w:rPr>
          <w:rFonts w:hint="eastAsia" w:ascii="宋体" w:hAnsi="宋体"/>
          <w:szCs w:val="21"/>
        </w:rPr>
        <w:t>2.4  应答总价或分项报价超过预算控制金额的；</w:t>
      </w:r>
      <w:r>
        <w:rPr>
          <w:rFonts w:ascii="宋体" w:hAnsi="宋体"/>
          <w:szCs w:val="21"/>
        </w:rPr>
        <w:t xml:space="preserve"> </w:t>
      </w:r>
    </w:p>
    <w:p>
      <w:pPr>
        <w:spacing w:line="440" w:lineRule="exact"/>
        <w:ind w:firstLine="420" w:firstLineChars="200"/>
        <w:rPr>
          <w:rFonts w:ascii="宋体" w:hAnsi="宋体"/>
          <w:szCs w:val="21"/>
        </w:rPr>
      </w:pPr>
      <w:r>
        <w:rPr>
          <w:rFonts w:hint="eastAsia" w:ascii="宋体" w:hAnsi="宋体"/>
          <w:szCs w:val="21"/>
        </w:rPr>
        <w:t xml:space="preserve">2.5  </w:t>
      </w:r>
      <w:r>
        <w:rPr>
          <w:rFonts w:hint="eastAsia" w:ascii="宋体" w:hAnsi="宋体"/>
          <w:spacing w:val="-2"/>
          <w:szCs w:val="21"/>
        </w:rPr>
        <w:t>供应商以他人的名义应答、串通应答、以行贿手段谋取成交或者以其他弄虚作假方式应答；</w:t>
      </w:r>
    </w:p>
    <w:p>
      <w:pPr>
        <w:spacing w:line="440" w:lineRule="exact"/>
        <w:ind w:firstLine="420" w:firstLineChars="200"/>
        <w:rPr>
          <w:rFonts w:ascii="宋体" w:hAnsi="宋体"/>
          <w:szCs w:val="21"/>
        </w:rPr>
      </w:pPr>
      <w:r>
        <w:rPr>
          <w:rFonts w:hint="eastAsia" w:ascii="宋体" w:hAnsi="宋体"/>
          <w:szCs w:val="21"/>
        </w:rPr>
        <w:t xml:space="preserve">2.6  </w:t>
      </w:r>
      <w:r>
        <w:rPr>
          <w:rFonts w:hint="eastAsia" w:ascii="宋体" w:hAnsi="宋体"/>
          <w:spacing w:val="-2"/>
          <w:szCs w:val="21"/>
        </w:rPr>
        <w:t>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应答处理</w:t>
      </w:r>
      <w:r>
        <w:rPr>
          <w:rFonts w:hint="eastAsia" w:ascii="宋体" w:hAnsi="宋体"/>
          <w:szCs w:val="21"/>
        </w:rPr>
        <w:t>；【适用于竞争性谈判】</w:t>
      </w:r>
    </w:p>
    <w:p>
      <w:pPr>
        <w:spacing w:line="440" w:lineRule="exact"/>
        <w:ind w:firstLine="420" w:firstLineChars="200"/>
        <w:rPr>
          <w:rFonts w:ascii="宋体" w:hAnsi="宋体"/>
          <w:szCs w:val="21"/>
        </w:rPr>
      </w:pPr>
      <w:r>
        <w:rPr>
          <w:rFonts w:hint="eastAsia" w:ascii="宋体" w:hAnsi="宋体"/>
          <w:szCs w:val="21"/>
        </w:rPr>
        <w:t>2.7  供应商拒不按照要求对应答文件进行澄清、说明或者补正的；</w:t>
      </w:r>
    </w:p>
    <w:p>
      <w:pPr>
        <w:spacing w:line="440" w:lineRule="exact"/>
        <w:ind w:firstLine="420" w:firstLineChars="200"/>
        <w:rPr>
          <w:rFonts w:ascii="宋体" w:hAnsi="宋体"/>
          <w:szCs w:val="21"/>
        </w:rPr>
      </w:pPr>
      <w:r>
        <w:rPr>
          <w:rFonts w:hint="eastAsia" w:ascii="宋体" w:hAnsi="宋体"/>
          <w:szCs w:val="21"/>
        </w:rPr>
        <w:t>2.8  文件的关键内容字迹模糊、无法辨认的；</w:t>
      </w:r>
    </w:p>
    <w:p>
      <w:pPr>
        <w:spacing w:line="440" w:lineRule="exact"/>
        <w:ind w:firstLine="420" w:firstLineChars="200"/>
        <w:rPr>
          <w:rFonts w:ascii="宋体" w:hAnsi="宋体"/>
          <w:szCs w:val="21"/>
        </w:rPr>
      </w:pPr>
      <w:r>
        <w:rPr>
          <w:rFonts w:hint="eastAsia" w:ascii="宋体" w:hAnsi="宋体"/>
          <w:szCs w:val="21"/>
        </w:rPr>
        <w:t>2.9  应答函未按规定填写的；</w:t>
      </w:r>
    </w:p>
    <w:p>
      <w:pPr>
        <w:spacing w:line="440" w:lineRule="exact"/>
        <w:ind w:firstLine="420" w:firstLineChars="200"/>
        <w:rPr>
          <w:rFonts w:ascii="宋体" w:hAnsi="宋体"/>
          <w:szCs w:val="21"/>
        </w:rPr>
      </w:pPr>
      <w:r>
        <w:rPr>
          <w:rFonts w:hint="eastAsia" w:ascii="宋体" w:hAnsi="宋体"/>
          <w:szCs w:val="21"/>
        </w:rPr>
        <w:t>2.10  应答有效期不足的；</w:t>
      </w:r>
    </w:p>
    <w:p>
      <w:pPr>
        <w:spacing w:line="440" w:lineRule="exact"/>
        <w:ind w:firstLine="420" w:firstLineChars="200"/>
        <w:rPr>
          <w:rFonts w:ascii="宋体" w:hAnsi="宋体"/>
          <w:szCs w:val="21"/>
        </w:rPr>
      </w:pPr>
      <w:r>
        <w:rPr>
          <w:rFonts w:hint="eastAsia" w:ascii="宋体" w:hAnsi="宋体"/>
          <w:szCs w:val="21"/>
        </w:rPr>
        <w:t xml:space="preserve">2.11  </w:t>
      </w:r>
      <w:r>
        <w:rPr>
          <w:rFonts w:hint="eastAsia" w:ascii="宋体" w:hAnsi="宋体"/>
          <w:spacing w:val="-6"/>
          <w:szCs w:val="21"/>
        </w:rPr>
        <w:t>供应商的应答未能在实质上响应采购文件提出的所有实质性要求和条件（不可偏离条款）的；</w:t>
      </w:r>
    </w:p>
    <w:p>
      <w:pPr>
        <w:spacing w:line="440" w:lineRule="exact"/>
        <w:ind w:firstLine="420" w:firstLineChars="200"/>
        <w:rPr>
          <w:rFonts w:ascii="宋体" w:hAnsi="宋体"/>
          <w:szCs w:val="21"/>
        </w:rPr>
      </w:pPr>
      <w:r>
        <w:rPr>
          <w:rFonts w:hint="eastAsia" w:ascii="宋体" w:hAnsi="宋体"/>
          <w:szCs w:val="21"/>
        </w:rPr>
        <w:t>2.12  应答</w:t>
      </w:r>
      <w:r>
        <w:rPr>
          <w:rFonts w:ascii="宋体" w:hAnsi="宋体"/>
          <w:szCs w:val="21"/>
        </w:rPr>
        <w:t>报价有严重缺漏项目的</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2.13  联合体应答未附联合体各方共同应答协议的；联合体成员</w:t>
      </w:r>
      <w:r>
        <w:rPr>
          <w:rFonts w:ascii="宋体" w:hAnsi="宋体"/>
          <w:szCs w:val="21"/>
        </w:rPr>
        <w:t>再以自己名义单独</w:t>
      </w:r>
      <w:r>
        <w:rPr>
          <w:rFonts w:hint="eastAsia" w:ascii="宋体" w:hAnsi="宋体"/>
          <w:szCs w:val="21"/>
        </w:rPr>
        <w:t>应答</w:t>
      </w:r>
      <w:r>
        <w:rPr>
          <w:rFonts w:ascii="宋体" w:hAnsi="宋体"/>
          <w:szCs w:val="21"/>
        </w:rPr>
        <w:t>，</w:t>
      </w:r>
      <w:r>
        <w:rPr>
          <w:rFonts w:hint="eastAsia" w:ascii="宋体" w:hAnsi="宋体"/>
          <w:szCs w:val="21"/>
        </w:rPr>
        <w:t>及</w:t>
      </w:r>
      <w:r>
        <w:rPr>
          <w:rFonts w:ascii="宋体" w:hAnsi="宋体"/>
          <w:szCs w:val="21"/>
        </w:rPr>
        <w:t>组成或参加其他联合体在同一项目中</w:t>
      </w:r>
      <w:r>
        <w:rPr>
          <w:rFonts w:hint="eastAsia" w:ascii="宋体" w:hAnsi="宋体"/>
          <w:szCs w:val="21"/>
        </w:rPr>
        <w:t>应答的；</w:t>
      </w:r>
    </w:p>
    <w:p>
      <w:pPr>
        <w:spacing w:line="440" w:lineRule="exact"/>
        <w:ind w:firstLine="420" w:firstLineChars="200"/>
        <w:rPr>
          <w:rFonts w:ascii="宋体" w:hAnsi="宋体"/>
          <w:szCs w:val="21"/>
        </w:rPr>
      </w:pPr>
      <w:r>
        <w:rPr>
          <w:rFonts w:hint="eastAsia" w:ascii="宋体" w:hAnsi="宋体"/>
          <w:szCs w:val="21"/>
        </w:rPr>
        <w:t>2.14  供应商</w:t>
      </w:r>
      <w:r>
        <w:rPr>
          <w:rFonts w:ascii="宋体" w:hAnsi="宋体"/>
          <w:szCs w:val="21"/>
        </w:rPr>
        <w:t>递交两份或多份内容不同</w:t>
      </w:r>
      <w:r>
        <w:rPr>
          <w:rFonts w:hint="eastAsia" w:ascii="宋体" w:hAnsi="宋体"/>
          <w:szCs w:val="21"/>
        </w:rPr>
        <w:t>应答方案（采购文件</w:t>
      </w:r>
      <w:r>
        <w:rPr>
          <w:rFonts w:ascii="宋体" w:hAnsi="宋体"/>
          <w:szCs w:val="21"/>
        </w:rPr>
        <w:t>规定提交备选</w:t>
      </w:r>
      <w:r>
        <w:rPr>
          <w:rFonts w:hint="eastAsia" w:ascii="宋体" w:hAnsi="宋体"/>
          <w:szCs w:val="21"/>
        </w:rPr>
        <w:t>应答</w:t>
      </w:r>
      <w:r>
        <w:rPr>
          <w:rFonts w:ascii="宋体" w:hAnsi="宋体"/>
          <w:szCs w:val="21"/>
        </w:rPr>
        <w:t>方案的除外</w:t>
      </w:r>
      <w:r>
        <w:rPr>
          <w:rFonts w:hint="eastAsia" w:ascii="宋体" w:hAnsi="宋体"/>
          <w:szCs w:val="21"/>
        </w:rPr>
        <w:t>）</w:t>
      </w:r>
      <w:r>
        <w:rPr>
          <w:rFonts w:ascii="宋体" w:hAnsi="宋体"/>
          <w:szCs w:val="21"/>
        </w:rPr>
        <w:t>；</w:t>
      </w:r>
    </w:p>
    <w:p>
      <w:pPr>
        <w:spacing w:line="440" w:lineRule="exact"/>
        <w:ind w:firstLine="420" w:firstLineChars="200"/>
        <w:rPr>
          <w:rFonts w:ascii="宋体" w:hAnsi="宋体"/>
          <w:szCs w:val="21"/>
        </w:rPr>
      </w:pPr>
      <w:r>
        <w:rPr>
          <w:rFonts w:hint="eastAsia" w:ascii="宋体" w:hAnsi="宋体"/>
          <w:szCs w:val="21"/>
        </w:rPr>
        <w:t>2.15  应答文件只对</w:t>
      </w:r>
      <w:r>
        <w:rPr>
          <w:rFonts w:ascii="宋体" w:hAnsi="宋体"/>
          <w:szCs w:val="21"/>
        </w:rPr>
        <w:t>同一</w:t>
      </w:r>
      <w:r>
        <w:rPr>
          <w:rFonts w:hint="eastAsia" w:ascii="宋体" w:hAnsi="宋体"/>
          <w:szCs w:val="21"/>
        </w:rPr>
        <w:t>项目</w:t>
      </w:r>
      <w:r>
        <w:rPr>
          <w:rFonts w:ascii="宋体" w:hAnsi="宋体"/>
          <w:szCs w:val="21"/>
        </w:rPr>
        <w:t>包中的</w:t>
      </w:r>
      <w:r>
        <w:rPr>
          <w:rFonts w:hint="eastAsia" w:ascii="宋体" w:hAnsi="宋体"/>
          <w:szCs w:val="21"/>
        </w:rPr>
        <w:t>部分</w:t>
      </w:r>
      <w:r>
        <w:rPr>
          <w:rFonts w:ascii="宋体" w:hAnsi="宋体"/>
          <w:szCs w:val="21"/>
        </w:rPr>
        <w:t>内容</w:t>
      </w:r>
      <w:r>
        <w:rPr>
          <w:rFonts w:hint="eastAsia" w:ascii="宋体" w:hAnsi="宋体"/>
          <w:szCs w:val="21"/>
        </w:rPr>
        <w:t>应答，或把</w:t>
      </w:r>
      <w:r>
        <w:rPr>
          <w:rFonts w:ascii="宋体" w:hAnsi="宋体"/>
          <w:szCs w:val="21"/>
        </w:rPr>
        <w:t>同一</w:t>
      </w:r>
      <w:r>
        <w:rPr>
          <w:rFonts w:hint="eastAsia" w:ascii="宋体" w:hAnsi="宋体"/>
          <w:szCs w:val="21"/>
        </w:rPr>
        <w:t>项目</w:t>
      </w:r>
      <w:r>
        <w:rPr>
          <w:rFonts w:ascii="宋体" w:hAnsi="宋体"/>
          <w:szCs w:val="21"/>
        </w:rPr>
        <w:t>包中</w:t>
      </w:r>
      <w:r>
        <w:rPr>
          <w:rFonts w:hint="eastAsia" w:ascii="宋体" w:hAnsi="宋体"/>
          <w:szCs w:val="21"/>
        </w:rPr>
        <w:t>的内容拆开的应答；</w:t>
      </w:r>
    </w:p>
    <w:p>
      <w:pPr>
        <w:spacing w:line="440" w:lineRule="exact"/>
        <w:ind w:firstLine="420" w:firstLineChars="200"/>
        <w:rPr>
          <w:rFonts w:ascii="宋体" w:hAnsi="宋体"/>
          <w:szCs w:val="21"/>
        </w:rPr>
      </w:pPr>
      <w:r>
        <w:rPr>
          <w:rFonts w:hint="eastAsia" w:ascii="宋体" w:hAnsi="宋体"/>
          <w:szCs w:val="21"/>
        </w:rPr>
        <w:t>2.16  应答文件符合法律、法规及</w:t>
      </w:r>
      <w:r>
        <w:rPr>
          <w:rFonts w:hint="eastAsia" w:ascii="宋体" w:hAnsi="宋体"/>
        </w:rPr>
        <w:t>采购文件中规定的其他否决因素的。</w:t>
      </w:r>
    </w:p>
    <w:p>
      <w:pPr>
        <w:spacing w:line="440" w:lineRule="exact"/>
        <w:ind w:firstLine="422" w:firstLineChars="200"/>
        <w:rPr>
          <w:rFonts w:ascii="宋体" w:hAnsi="宋体"/>
          <w:b/>
          <w:bCs/>
          <w:color w:val="000000"/>
          <w:szCs w:val="21"/>
        </w:rPr>
      </w:pPr>
    </w:p>
    <w:p>
      <w:pPr>
        <w:jc w:val="center"/>
        <w:outlineLvl w:val="1"/>
        <w:rPr>
          <w:rFonts w:ascii="微软雅黑" w:hAnsi="微软雅黑" w:eastAsia="微软雅黑" w:cs="微软雅黑"/>
          <w:b/>
          <w:color w:val="000000"/>
          <w:sz w:val="24"/>
          <w:szCs w:val="24"/>
        </w:rPr>
      </w:pPr>
      <w:bookmarkStart w:id="83" w:name="_Toc10399"/>
      <w:r>
        <w:rPr>
          <w:rFonts w:hint="eastAsia" w:ascii="微软雅黑" w:hAnsi="微软雅黑" w:eastAsia="微软雅黑" w:cs="微软雅黑"/>
          <w:b/>
          <w:color w:val="000000"/>
          <w:sz w:val="24"/>
          <w:szCs w:val="24"/>
        </w:rPr>
        <w:t>第六节  评审方法及程序</w:t>
      </w:r>
      <w:bookmarkEnd w:id="83"/>
    </w:p>
    <w:p>
      <w:pPr>
        <w:spacing w:line="440" w:lineRule="exact"/>
        <w:ind w:firstLine="422" w:firstLineChars="200"/>
        <w:rPr>
          <w:rFonts w:ascii="宋体" w:hAnsi="宋体"/>
          <w:b/>
          <w:bCs/>
          <w:szCs w:val="21"/>
        </w:rPr>
      </w:pPr>
      <w:r>
        <w:rPr>
          <w:rFonts w:hint="eastAsia" w:ascii="宋体" w:hAnsi="宋体"/>
          <w:b/>
          <w:bCs/>
          <w:szCs w:val="21"/>
        </w:rPr>
        <w:t>一、本项目评审信息</w:t>
      </w:r>
    </w:p>
    <w:p>
      <w:pPr>
        <w:spacing w:line="440" w:lineRule="exact"/>
        <w:ind w:firstLine="422" w:firstLineChars="200"/>
        <w:rPr>
          <w:rFonts w:ascii="宋体" w:hAnsi="宋体"/>
          <w:b/>
          <w:bCs/>
          <w:szCs w:val="21"/>
        </w:rPr>
      </w:pPr>
      <w:r>
        <w:rPr>
          <w:rFonts w:hint="eastAsia" w:ascii="宋体" w:hAnsi="宋体"/>
          <w:b/>
          <w:bCs/>
          <w:color w:val="000000"/>
          <w:szCs w:val="21"/>
        </w:rPr>
        <w:t>1、资格</w:t>
      </w:r>
      <w:r>
        <w:rPr>
          <w:rFonts w:ascii="宋体" w:hAnsi="宋体"/>
          <w:b/>
          <w:bCs/>
          <w:color w:val="000000"/>
          <w:szCs w:val="21"/>
        </w:rPr>
        <w:t>性检查表</w:t>
      </w:r>
    </w:p>
    <w:tbl>
      <w:tblPr>
        <w:tblStyle w:val="31"/>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24" w:type="dxa"/>
            <w:vAlign w:val="center"/>
          </w:tcPr>
          <w:p>
            <w:pPr>
              <w:spacing w:line="360" w:lineRule="exact"/>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序号</w:t>
            </w:r>
          </w:p>
        </w:tc>
        <w:tc>
          <w:tcPr>
            <w:tcW w:w="7955" w:type="dxa"/>
            <w:vAlign w:val="center"/>
          </w:tcPr>
          <w:p>
            <w:pPr>
              <w:spacing w:line="360" w:lineRule="exact"/>
              <w:jc w:val="center"/>
              <w:rPr>
                <w:rFonts w:asciiTheme="majorEastAsia" w:hAnsiTheme="majorEastAsia" w:eastAsiaTheme="majorEastAsia" w:cstheme="majorEastAsia"/>
                <w:b/>
                <w:bCs/>
              </w:rPr>
            </w:pPr>
            <w:r>
              <w:rPr>
                <w:rFonts w:hint="eastAsia" w:asciiTheme="majorEastAsia" w:hAnsiTheme="majorEastAsia" w:eastAsiaTheme="majorEastAsia" w:cstheme="majorEastAsia"/>
                <w:b/>
                <w:bCs/>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024" w:type="dxa"/>
            <w:vAlign w:val="center"/>
          </w:tcPr>
          <w:p>
            <w:pPr>
              <w:spacing w:line="360" w:lineRule="exact"/>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7955" w:type="dxa"/>
            <w:vAlign w:val="center"/>
          </w:tcPr>
          <w:p>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不具备采购文件所列的资格要求，或未提交相应的资格证明资料</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 xml:space="preserve">且无法按照谈判小组要求及时补充的（详见采购邀请函供应商资格要求，其中未列示的资格要求不得导致应答无效）； </w:t>
            </w:r>
          </w:p>
        </w:tc>
      </w:tr>
    </w:tbl>
    <w:p>
      <w:pPr>
        <w:spacing w:line="440" w:lineRule="exact"/>
        <w:ind w:firstLine="422" w:firstLineChars="200"/>
        <w:rPr>
          <w:rFonts w:ascii="宋体" w:hAnsi="宋体"/>
          <w:b/>
          <w:bCs/>
          <w:color w:val="000000"/>
          <w:szCs w:val="21"/>
        </w:rPr>
      </w:pPr>
      <w:r>
        <w:rPr>
          <w:rFonts w:hint="eastAsia" w:ascii="宋体" w:hAnsi="宋体"/>
          <w:b/>
          <w:bCs/>
          <w:color w:val="000000"/>
          <w:szCs w:val="21"/>
        </w:rPr>
        <w:t>2、</w:t>
      </w:r>
      <w:r>
        <w:rPr>
          <w:rFonts w:ascii="宋体" w:hAnsi="宋体"/>
          <w:b/>
          <w:bCs/>
          <w:color w:val="000000"/>
          <w:szCs w:val="21"/>
        </w:rPr>
        <w:t>符合性检查表</w:t>
      </w:r>
    </w:p>
    <w:tbl>
      <w:tblPr>
        <w:tblStyle w:val="31"/>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6661"/>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jc w:val="center"/>
              <w:rPr>
                <w:rFonts w:ascii="宋体" w:hAnsi="宋体"/>
                <w:b/>
              </w:rPr>
            </w:pPr>
            <w:r>
              <w:rPr>
                <w:rFonts w:ascii="宋体" w:hAnsi="宋体"/>
                <w:b/>
              </w:rPr>
              <w:t>序号</w:t>
            </w:r>
          </w:p>
        </w:tc>
        <w:tc>
          <w:tcPr>
            <w:tcW w:w="6661" w:type="dxa"/>
            <w:vAlign w:val="center"/>
          </w:tcPr>
          <w:p>
            <w:pPr>
              <w:spacing w:line="440" w:lineRule="exact"/>
              <w:ind w:left="-828" w:firstLine="828"/>
              <w:jc w:val="center"/>
              <w:rPr>
                <w:rFonts w:ascii="宋体" w:hAnsi="宋体"/>
                <w:b/>
                <w:sz w:val="24"/>
              </w:rPr>
            </w:pPr>
            <w:r>
              <w:rPr>
                <w:rFonts w:ascii="宋体" w:hAnsi="宋体"/>
                <w:b/>
              </w:rPr>
              <w:t>评议内容</w:t>
            </w:r>
          </w:p>
        </w:tc>
        <w:tc>
          <w:tcPr>
            <w:tcW w:w="1514" w:type="dxa"/>
            <w:vAlign w:val="center"/>
          </w:tcPr>
          <w:p>
            <w:pPr>
              <w:spacing w:line="440" w:lineRule="exact"/>
              <w:ind w:left="44" w:hanging="44"/>
              <w:jc w:val="center"/>
              <w:rPr>
                <w:rFonts w:ascii="宋体" w:hAnsi="宋体"/>
                <w:b/>
                <w:sz w:val="24"/>
              </w:rPr>
            </w:pPr>
            <w:r>
              <w:rPr>
                <w:rFonts w:ascii="宋体" w:hAnsi="宋体"/>
                <w:b/>
              </w:rPr>
              <w:t>评议结果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ind w:left="57"/>
              <w:jc w:val="center"/>
              <w:rPr>
                <w:rFonts w:ascii="宋体" w:hAnsi="宋体"/>
              </w:rPr>
            </w:pPr>
            <w:r>
              <w:rPr>
                <w:rFonts w:hint="eastAsia" w:ascii="宋体" w:hAnsi="宋体"/>
              </w:rPr>
              <w:t>1</w:t>
            </w:r>
          </w:p>
        </w:tc>
        <w:tc>
          <w:tcPr>
            <w:tcW w:w="6661" w:type="dxa"/>
            <w:vAlign w:val="center"/>
          </w:tcPr>
          <w:p>
            <w:pPr>
              <w:spacing w:line="440" w:lineRule="exact"/>
              <w:rPr>
                <w:rFonts w:ascii="宋体" w:hAnsi="宋体"/>
                <w:sz w:val="24"/>
              </w:rPr>
            </w:pPr>
            <w:r>
              <w:rPr>
                <w:rFonts w:hint="eastAsia" w:hAnsi="宋体"/>
                <w:szCs w:val="21"/>
              </w:rPr>
              <w:t>按照采购文件的格式详细填写“应答函”</w:t>
            </w:r>
          </w:p>
        </w:tc>
        <w:tc>
          <w:tcPr>
            <w:tcW w:w="1514"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ind w:left="57"/>
              <w:jc w:val="center"/>
              <w:rPr>
                <w:rFonts w:ascii="宋体" w:hAnsi="宋体"/>
              </w:rPr>
            </w:pPr>
            <w:r>
              <w:rPr>
                <w:rFonts w:hint="eastAsia" w:ascii="宋体" w:hAnsi="宋体"/>
              </w:rPr>
              <w:t>2</w:t>
            </w:r>
          </w:p>
        </w:tc>
        <w:tc>
          <w:tcPr>
            <w:tcW w:w="6661" w:type="dxa"/>
            <w:vAlign w:val="center"/>
          </w:tcPr>
          <w:p>
            <w:pPr>
              <w:spacing w:line="440" w:lineRule="exact"/>
              <w:rPr>
                <w:rFonts w:ascii="宋体" w:hAnsi="宋体"/>
              </w:rPr>
            </w:pPr>
            <w:r>
              <w:rPr>
                <w:rFonts w:hint="eastAsia" w:hAnsi="宋体"/>
                <w:szCs w:val="21"/>
              </w:rPr>
              <w:t>按照采购文件的格式详细填写“</w:t>
            </w:r>
            <w:r>
              <w:rPr>
                <w:rFonts w:hint="eastAsia" w:ascii="宋体" w:hAnsi="宋体"/>
              </w:rPr>
              <w:t>政府采购应答及履约承诺函</w:t>
            </w:r>
            <w:r>
              <w:rPr>
                <w:rFonts w:hint="eastAsia" w:hAnsi="宋体"/>
                <w:szCs w:val="21"/>
              </w:rPr>
              <w:t>”</w:t>
            </w:r>
          </w:p>
        </w:tc>
        <w:tc>
          <w:tcPr>
            <w:tcW w:w="1514"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ind w:left="57"/>
              <w:jc w:val="center"/>
              <w:rPr>
                <w:rFonts w:ascii="宋体" w:hAnsi="宋体"/>
              </w:rPr>
            </w:pPr>
            <w:r>
              <w:rPr>
                <w:rFonts w:hint="eastAsia" w:ascii="宋体" w:hAnsi="宋体"/>
              </w:rPr>
              <w:t>3</w:t>
            </w:r>
          </w:p>
        </w:tc>
        <w:tc>
          <w:tcPr>
            <w:tcW w:w="6661" w:type="dxa"/>
            <w:vAlign w:val="center"/>
          </w:tcPr>
          <w:p>
            <w:pPr>
              <w:spacing w:line="440" w:lineRule="exact"/>
              <w:rPr>
                <w:rFonts w:ascii="宋体" w:hAnsi="宋体"/>
              </w:rPr>
            </w:pPr>
            <w:r>
              <w:rPr>
                <w:rFonts w:hint="eastAsia" w:ascii="宋体" w:hAnsi="宋体"/>
              </w:rPr>
              <w:t>应答总价</w:t>
            </w:r>
            <w:r>
              <w:rPr>
                <w:rFonts w:hint="eastAsia" w:ascii="宋体" w:hAnsi="宋体"/>
                <w:szCs w:val="21"/>
              </w:rPr>
              <w:t>或分项报价</w:t>
            </w:r>
            <w:r>
              <w:rPr>
                <w:rFonts w:hint="eastAsia" w:ascii="宋体" w:hAnsi="宋体"/>
              </w:rPr>
              <w:t>未超过预算控制金额</w:t>
            </w:r>
          </w:p>
        </w:tc>
        <w:tc>
          <w:tcPr>
            <w:tcW w:w="1514" w:type="dxa"/>
            <w:vAlign w:val="center"/>
          </w:tcPr>
          <w:p>
            <w:pPr>
              <w:spacing w:line="440" w:lineRule="exact"/>
              <w:jc w:val="center"/>
              <w:rPr>
                <w:rFonts w:ascii="宋体" w:hAnsi="宋体"/>
                <w:szCs w:val="21"/>
              </w:rPr>
            </w:pPr>
            <w:r>
              <w:rPr>
                <w:rFonts w:ascii="宋体" w:hAnsi="宋体"/>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ind w:left="57"/>
              <w:jc w:val="center"/>
              <w:rPr>
                <w:rFonts w:ascii="宋体" w:hAnsi="宋体"/>
                <w:color w:val="0000FF"/>
              </w:rPr>
            </w:pPr>
            <w:r>
              <w:rPr>
                <w:rFonts w:hint="eastAsia" w:ascii="宋体" w:hAnsi="宋体"/>
                <w:color w:val="0000FF"/>
              </w:rPr>
              <w:t>4</w:t>
            </w:r>
          </w:p>
        </w:tc>
        <w:tc>
          <w:tcPr>
            <w:tcW w:w="6661" w:type="dxa"/>
            <w:vAlign w:val="center"/>
          </w:tcPr>
          <w:p>
            <w:pPr>
              <w:spacing w:line="440" w:lineRule="exact"/>
              <w:rPr>
                <w:rFonts w:ascii="宋体" w:hAnsi="宋体"/>
                <w:color w:val="0000FF"/>
              </w:rPr>
            </w:pPr>
            <w:r>
              <w:rPr>
                <w:color w:val="0000FF"/>
                <w:szCs w:val="21"/>
              </w:rPr>
              <w:t>实质性满足</w:t>
            </w:r>
            <w:r>
              <w:rPr>
                <w:rFonts w:hint="eastAsia"/>
                <w:color w:val="0000FF"/>
                <w:szCs w:val="21"/>
              </w:rPr>
              <w:t>采购文件</w:t>
            </w:r>
            <w:r>
              <w:rPr>
                <w:color w:val="0000FF"/>
                <w:szCs w:val="21"/>
              </w:rPr>
              <w:t>要求</w:t>
            </w:r>
            <w:r>
              <w:rPr>
                <w:rFonts w:hint="eastAsia"/>
                <w:color w:val="0000FF"/>
                <w:szCs w:val="21"/>
              </w:rPr>
              <w:t>和条件</w:t>
            </w:r>
            <w:r>
              <w:rPr>
                <w:color w:val="0000FF"/>
                <w:szCs w:val="21"/>
              </w:rPr>
              <w:t>（</w:t>
            </w:r>
            <w:r>
              <w:rPr>
                <w:rFonts w:hint="eastAsia" w:ascii="宋体" w:hAnsi="宋体"/>
                <w:color w:val="0000FF"/>
              </w:rPr>
              <w:t>不可偏离项检查</w:t>
            </w:r>
            <w:r>
              <w:rPr>
                <w:color w:val="0000FF"/>
                <w:szCs w:val="21"/>
              </w:rPr>
              <w:t>）</w:t>
            </w:r>
          </w:p>
        </w:tc>
        <w:tc>
          <w:tcPr>
            <w:tcW w:w="1514" w:type="dxa"/>
            <w:vAlign w:val="center"/>
          </w:tcPr>
          <w:p>
            <w:pPr>
              <w:spacing w:line="440" w:lineRule="exact"/>
              <w:jc w:val="center"/>
              <w:rPr>
                <w:rFonts w:ascii="宋体" w:hAnsi="宋体"/>
                <w:color w:val="0000FF"/>
                <w:szCs w:val="21"/>
              </w:rPr>
            </w:pPr>
            <w:r>
              <w:rPr>
                <w:rFonts w:ascii="宋体" w:hAnsi="宋体"/>
                <w:color w:val="0000FF"/>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ind w:left="57"/>
              <w:jc w:val="center"/>
              <w:rPr>
                <w:rFonts w:ascii="宋体" w:hAnsi="宋体"/>
                <w:color w:val="0000FF"/>
                <w:highlight w:val="yellow"/>
                <w:shd w:val="pct10" w:color="auto" w:fill="FFFFFF"/>
              </w:rPr>
            </w:pPr>
            <w:r>
              <w:rPr>
                <w:rFonts w:hint="eastAsia" w:ascii="宋体" w:hAnsi="宋体"/>
                <w:color w:val="0000FF"/>
              </w:rPr>
              <w:t>5</w:t>
            </w:r>
          </w:p>
        </w:tc>
        <w:tc>
          <w:tcPr>
            <w:tcW w:w="6661" w:type="dxa"/>
            <w:vAlign w:val="center"/>
          </w:tcPr>
          <w:p>
            <w:pPr>
              <w:spacing w:line="440" w:lineRule="exact"/>
              <w:rPr>
                <w:rFonts w:ascii="宋体" w:hAnsi="宋体"/>
                <w:color w:val="0000FF"/>
                <w:highlight w:val="none"/>
              </w:rPr>
            </w:pPr>
            <w:r>
              <w:rPr>
                <w:rFonts w:hint="eastAsia"/>
                <w:color w:val="0000FF"/>
                <w:szCs w:val="21"/>
                <w:highlight w:val="none"/>
              </w:rPr>
              <w:t>应答文件</w:t>
            </w:r>
            <w:r>
              <w:rPr>
                <w:color w:val="0000FF"/>
                <w:szCs w:val="21"/>
                <w:highlight w:val="none"/>
              </w:rPr>
              <w:t>载明的项目服务期</w:t>
            </w:r>
            <w:r>
              <w:rPr>
                <w:rFonts w:hint="eastAsia"/>
                <w:color w:val="0000FF"/>
                <w:szCs w:val="21"/>
                <w:highlight w:val="none"/>
              </w:rPr>
              <w:t>符合采购文件</w:t>
            </w:r>
            <w:r>
              <w:rPr>
                <w:color w:val="0000FF"/>
                <w:szCs w:val="21"/>
                <w:highlight w:val="none"/>
              </w:rPr>
              <w:t>规定的期限</w:t>
            </w:r>
          </w:p>
        </w:tc>
        <w:tc>
          <w:tcPr>
            <w:tcW w:w="1514" w:type="dxa"/>
            <w:vAlign w:val="center"/>
          </w:tcPr>
          <w:p>
            <w:pPr>
              <w:spacing w:line="440" w:lineRule="exact"/>
              <w:jc w:val="center"/>
              <w:rPr>
                <w:rFonts w:ascii="宋体" w:hAnsi="宋体"/>
                <w:color w:val="0000FF"/>
                <w:szCs w:val="21"/>
              </w:rPr>
            </w:pPr>
            <w:r>
              <w:rPr>
                <w:rFonts w:ascii="宋体" w:hAnsi="宋体"/>
                <w:color w:val="0000FF"/>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ind w:left="57"/>
              <w:jc w:val="center"/>
              <w:rPr>
                <w:rFonts w:ascii="宋体" w:hAnsi="宋体"/>
                <w:color w:val="0000FF"/>
              </w:rPr>
            </w:pPr>
            <w:r>
              <w:rPr>
                <w:rFonts w:hint="eastAsia" w:ascii="宋体" w:hAnsi="宋体"/>
              </w:rPr>
              <w:t>6</w:t>
            </w:r>
          </w:p>
        </w:tc>
        <w:tc>
          <w:tcPr>
            <w:tcW w:w="6661" w:type="dxa"/>
            <w:vAlign w:val="center"/>
          </w:tcPr>
          <w:p>
            <w:pPr>
              <w:spacing w:line="440" w:lineRule="exact"/>
              <w:jc w:val="left"/>
              <w:rPr>
                <w:rFonts w:ascii="宋体" w:hAnsi="宋体"/>
                <w:color w:val="0000FF"/>
              </w:rPr>
            </w:pPr>
            <w:r>
              <w:rPr>
                <w:rFonts w:hint="eastAsia" w:hAnsi="宋体"/>
                <w:color w:val="0000FF"/>
                <w:szCs w:val="21"/>
              </w:rPr>
              <w:t>《技术偏离表》和《商务偏离表》已提交</w:t>
            </w:r>
          </w:p>
        </w:tc>
        <w:tc>
          <w:tcPr>
            <w:tcW w:w="1514" w:type="dxa"/>
            <w:vAlign w:val="center"/>
          </w:tcPr>
          <w:p>
            <w:pPr>
              <w:spacing w:line="440" w:lineRule="exact"/>
              <w:ind w:left="57"/>
              <w:jc w:val="center"/>
              <w:rPr>
                <w:rFonts w:ascii="宋体" w:hAnsi="宋体"/>
                <w:color w:val="0000FF"/>
                <w:szCs w:val="21"/>
              </w:rPr>
            </w:pPr>
            <w:r>
              <w:rPr>
                <w:rFonts w:ascii="宋体" w:hAnsi="宋体"/>
                <w:color w:val="0000FF"/>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ind w:left="57"/>
              <w:jc w:val="center"/>
              <w:rPr>
                <w:rFonts w:ascii="宋体" w:hAnsi="宋体"/>
              </w:rPr>
            </w:pPr>
            <w:r>
              <w:rPr>
                <w:rFonts w:hint="eastAsia" w:ascii="宋体" w:hAnsi="宋体"/>
                <w:color w:val="0000FF"/>
              </w:rPr>
              <w:t>7</w:t>
            </w:r>
          </w:p>
        </w:tc>
        <w:tc>
          <w:tcPr>
            <w:tcW w:w="6661" w:type="dxa"/>
            <w:vAlign w:val="center"/>
          </w:tcPr>
          <w:p>
            <w:pPr>
              <w:spacing w:line="440" w:lineRule="exact"/>
              <w:rPr>
                <w:rFonts w:ascii="宋体" w:hAnsi="宋体"/>
                <w:color w:val="0000FF"/>
                <w:highlight w:val="none"/>
              </w:rPr>
            </w:pPr>
            <w:r>
              <w:rPr>
                <w:rFonts w:hint="eastAsia" w:ascii="宋体" w:hAnsi="宋体"/>
                <w:color w:val="0000FF"/>
                <w:highlight w:val="none"/>
              </w:rPr>
              <w:t>不存在“否决性条款”列明的其他情况</w:t>
            </w:r>
          </w:p>
        </w:tc>
        <w:tc>
          <w:tcPr>
            <w:tcW w:w="1514" w:type="dxa"/>
            <w:vAlign w:val="center"/>
          </w:tcPr>
          <w:p>
            <w:pPr>
              <w:spacing w:line="440" w:lineRule="exact"/>
              <w:jc w:val="center"/>
              <w:rPr>
                <w:rFonts w:ascii="宋体" w:hAnsi="宋体"/>
                <w:color w:val="0000FF"/>
                <w:szCs w:val="21"/>
              </w:rPr>
            </w:pPr>
            <w:r>
              <w:rPr>
                <w:rFonts w:ascii="宋体" w:hAnsi="宋体"/>
                <w:color w:val="0000FF"/>
                <w:szCs w:val="21"/>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Align w:val="center"/>
          </w:tcPr>
          <w:p>
            <w:pPr>
              <w:spacing w:line="440" w:lineRule="exact"/>
              <w:ind w:left="57"/>
              <w:jc w:val="center"/>
              <w:rPr>
                <w:rFonts w:ascii="宋体" w:hAnsi="宋体"/>
              </w:rPr>
            </w:pPr>
            <w:r>
              <w:rPr>
                <w:rFonts w:hint="eastAsia" w:ascii="宋体" w:hAnsi="宋体"/>
              </w:rPr>
              <w:t>8</w:t>
            </w:r>
          </w:p>
        </w:tc>
        <w:tc>
          <w:tcPr>
            <w:tcW w:w="6661" w:type="dxa"/>
            <w:vAlign w:val="center"/>
          </w:tcPr>
          <w:p>
            <w:pPr>
              <w:spacing w:line="440" w:lineRule="exact"/>
              <w:rPr>
                <w:rFonts w:ascii="宋体" w:hAnsi="宋体"/>
                <w:szCs w:val="21"/>
              </w:rPr>
            </w:pPr>
            <w:r>
              <w:rPr>
                <w:rFonts w:ascii="宋体" w:hAnsi="宋体"/>
                <w:szCs w:val="21"/>
              </w:rPr>
              <w:t>结论</w:t>
            </w:r>
          </w:p>
        </w:tc>
        <w:tc>
          <w:tcPr>
            <w:tcW w:w="1514" w:type="dxa"/>
            <w:vAlign w:val="center"/>
          </w:tcPr>
          <w:p>
            <w:pPr>
              <w:spacing w:line="440" w:lineRule="exact"/>
              <w:jc w:val="center"/>
              <w:rPr>
                <w:rFonts w:ascii="宋体" w:hAnsi="宋体"/>
                <w:szCs w:val="21"/>
              </w:rPr>
            </w:pPr>
            <w:r>
              <w:rPr>
                <w:rFonts w:ascii="宋体" w:hAnsi="宋体"/>
                <w:szCs w:val="21"/>
              </w:rPr>
              <w:t>通过/不通过</w:t>
            </w:r>
          </w:p>
        </w:tc>
      </w:tr>
    </w:tbl>
    <w:p>
      <w:pPr>
        <w:spacing w:line="440" w:lineRule="exact"/>
        <w:ind w:firstLine="422" w:firstLineChars="200"/>
        <w:rPr>
          <w:rFonts w:ascii="宋体" w:hAnsi="宋体"/>
          <w:b/>
          <w:szCs w:val="21"/>
        </w:rPr>
      </w:pPr>
      <w:r>
        <w:rPr>
          <w:rFonts w:hint="eastAsia" w:ascii="宋体" w:hAnsi="宋体"/>
          <w:b/>
          <w:szCs w:val="21"/>
        </w:rPr>
        <w:t>二、评审程序</w:t>
      </w:r>
    </w:p>
    <w:p>
      <w:pPr>
        <w:spacing w:line="440" w:lineRule="exact"/>
        <w:ind w:firstLine="422" w:firstLineChars="200"/>
        <w:rPr>
          <w:rFonts w:ascii="宋体" w:hAnsi="宋体"/>
          <w:b/>
          <w:i/>
          <w:iCs/>
          <w:szCs w:val="21"/>
        </w:rPr>
      </w:pPr>
      <w:r>
        <w:rPr>
          <w:rFonts w:hint="eastAsia" w:ascii="宋体" w:hAnsi="宋体"/>
          <w:b/>
          <w:i/>
          <w:iCs/>
          <w:szCs w:val="21"/>
        </w:rPr>
        <w:t>【单一来源采购】</w:t>
      </w:r>
    </w:p>
    <w:p>
      <w:pPr>
        <w:spacing w:line="440" w:lineRule="exact"/>
        <w:ind w:firstLine="422" w:firstLineChars="200"/>
        <w:rPr>
          <w:rFonts w:ascii="宋体" w:hAnsi="宋体"/>
          <w:b/>
          <w:szCs w:val="21"/>
        </w:rPr>
      </w:pPr>
      <w:r>
        <w:rPr>
          <w:rFonts w:hint="eastAsia" w:ascii="宋体" w:hAnsi="宋体"/>
          <w:b/>
          <w:szCs w:val="21"/>
        </w:rPr>
        <w:t>1、</w:t>
      </w:r>
      <w:r>
        <w:rPr>
          <w:rFonts w:ascii="宋体" w:hAnsi="宋体"/>
          <w:b/>
          <w:szCs w:val="21"/>
        </w:rPr>
        <w:t>符合性检查</w:t>
      </w:r>
    </w:p>
    <w:p>
      <w:pPr>
        <w:spacing w:line="440" w:lineRule="exact"/>
        <w:ind w:firstLine="420" w:firstLineChars="200"/>
        <w:rPr>
          <w:rFonts w:ascii="宋体" w:hAnsi="宋体"/>
          <w:bCs/>
          <w:szCs w:val="21"/>
        </w:rPr>
      </w:pPr>
      <w:r>
        <w:rPr>
          <w:rFonts w:hint="eastAsia" w:ascii="宋体" w:hAnsi="宋体"/>
          <w:bCs/>
          <w:szCs w:val="21"/>
        </w:rPr>
        <w:t>（1）谈判小组</w:t>
      </w:r>
      <w:r>
        <w:rPr>
          <w:rFonts w:ascii="宋体" w:hAnsi="宋体"/>
          <w:bCs/>
          <w:szCs w:val="21"/>
        </w:rPr>
        <w:t>根据</w:t>
      </w:r>
      <w:r>
        <w:rPr>
          <w:rFonts w:hint="eastAsia" w:ascii="宋体" w:hAnsi="宋体"/>
          <w:bCs/>
          <w:szCs w:val="21"/>
        </w:rPr>
        <w:t>《</w:t>
      </w:r>
      <w:r>
        <w:rPr>
          <w:rFonts w:ascii="宋体" w:hAnsi="宋体"/>
          <w:bCs/>
          <w:szCs w:val="21"/>
        </w:rPr>
        <w:t>符合性检查表》的内容和标准，对所有</w:t>
      </w:r>
      <w:r>
        <w:rPr>
          <w:rFonts w:hint="eastAsia" w:ascii="宋体" w:hAnsi="宋体"/>
          <w:bCs/>
          <w:szCs w:val="21"/>
        </w:rPr>
        <w:t>通过资格性核查的应答文件</w:t>
      </w:r>
      <w:r>
        <w:rPr>
          <w:rFonts w:ascii="宋体" w:hAnsi="宋体"/>
          <w:bCs/>
          <w:szCs w:val="21"/>
        </w:rPr>
        <w:t>进行</w:t>
      </w:r>
      <w:r>
        <w:rPr>
          <w:rFonts w:hint="eastAsia" w:ascii="宋体" w:hAnsi="宋体"/>
          <w:bCs/>
          <w:szCs w:val="21"/>
        </w:rPr>
        <w:t>审</w:t>
      </w:r>
      <w:r>
        <w:rPr>
          <w:rFonts w:ascii="宋体" w:hAnsi="宋体"/>
          <w:bCs/>
          <w:szCs w:val="21"/>
        </w:rPr>
        <w:t>查</w:t>
      </w:r>
      <w:r>
        <w:rPr>
          <w:rFonts w:hint="eastAsia" w:ascii="宋体" w:hAnsi="宋体"/>
          <w:bCs/>
          <w:szCs w:val="21"/>
        </w:rPr>
        <w:t>，</w:t>
      </w:r>
      <w:r>
        <w:rPr>
          <w:rFonts w:ascii="宋体" w:hAnsi="宋体"/>
          <w:bCs/>
          <w:szCs w:val="21"/>
        </w:rPr>
        <w:t>符合性检查的对象是</w:t>
      </w:r>
      <w:r>
        <w:rPr>
          <w:rFonts w:hint="eastAsia" w:ascii="宋体" w:hAnsi="宋体"/>
          <w:bCs/>
          <w:szCs w:val="21"/>
        </w:rPr>
        <w:t>供应商</w:t>
      </w:r>
      <w:r>
        <w:rPr>
          <w:rFonts w:ascii="宋体" w:hAnsi="宋体"/>
          <w:bCs/>
          <w:szCs w:val="21"/>
        </w:rPr>
        <w:t>提交的</w:t>
      </w:r>
      <w:r>
        <w:rPr>
          <w:rFonts w:hint="eastAsia" w:ascii="宋体" w:hAnsi="宋体"/>
          <w:bCs/>
          <w:szCs w:val="21"/>
        </w:rPr>
        <w:t>应答文件</w:t>
      </w:r>
      <w:r>
        <w:rPr>
          <w:rFonts w:ascii="宋体" w:hAnsi="宋体"/>
          <w:bCs/>
          <w:szCs w:val="21"/>
        </w:rPr>
        <w:t>，</w:t>
      </w:r>
      <w:r>
        <w:rPr>
          <w:rFonts w:hint="eastAsia" w:ascii="宋体" w:hAnsi="宋体"/>
          <w:bCs/>
          <w:szCs w:val="21"/>
        </w:rPr>
        <w:t>谈判小组</w:t>
      </w:r>
      <w:r>
        <w:rPr>
          <w:rFonts w:ascii="宋体" w:hAnsi="宋体"/>
          <w:bCs/>
          <w:szCs w:val="21"/>
        </w:rPr>
        <w:t>只就</w:t>
      </w:r>
      <w:r>
        <w:rPr>
          <w:rFonts w:hint="eastAsia" w:ascii="宋体" w:hAnsi="宋体"/>
          <w:bCs/>
          <w:szCs w:val="21"/>
        </w:rPr>
        <w:t>应答文件</w:t>
      </w:r>
      <w:r>
        <w:rPr>
          <w:rFonts w:ascii="宋体" w:hAnsi="宋体"/>
          <w:bCs/>
          <w:szCs w:val="21"/>
        </w:rPr>
        <w:t>中所载明的情况进行</w:t>
      </w:r>
      <w:r>
        <w:rPr>
          <w:rFonts w:hint="eastAsia" w:ascii="宋体" w:hAnsi="宋体"/>
          <w:bCs/>
          <w:szCs w:val="21"/>
        </w:rPr>
        <w:t>审</w:t>
      </w:r>
      <w:r>
        <w:rPr>
          <w:rFonts w:ascii="宋体" w:hAnsi="宋体"/>
          <w:bCs/>
          <w:szCs w:val="21"/>
        </w:rPr>
        <w:t>查。</w:t>
      </w:r>
    </w:p>
    <w:p>
      <w:pPr>
        <w:spacing w:line="440" w:lineRule="exact"/>
        <w:ind w:firstLine="420" w:firstLineChars="200"/>
        <w:rPr>
          <w:rFonts w:ascii="宋体" w:hAnsi="宋体" w:eastAsia="宋体" w:cs="Times New Roman"/>
          <w:bCs/>
          <w:szCs w:val="21"/>
        </w:rPr>
      </w:pPr>
      <w:r>
        <w:rPr>
          <w:rFonts w:hint="eastAsia" w:ascii="宋体" w:hAnsi="宋体" w:eastAsia="宋体" w:cs="Times New Roman"/>
          <w:bCs/>
          <w:szCs w:val="21"/>
        </w:rPr>
        <w:t>（2）</w:t>
      </w:r>
      <w:r>
        <w:rPr>
          <w:rFonts w:ascii="宋体" w:hAnsi="宋体" w:eastAsia="宋体" w:cs="Times New Roman"/>
          <w:bCs/>
          <w:szCs w:val="21"/>
        </w:rPr>
        <w:t>符合性检查的结果是“通过”或“不通过”，只有逐条通过《符合性检查表》各项检查的</w:t>
      </w:r>
      <w:r>
        <w:rPr>
          <w:rFonts w:hint="eastAsia" w:ascii="宋体" w:hAnsi="宋体" w:eastAsia="宋体" w:cs="Times New Roman"/>
          <w:bCs/>
          <w:szCs w:val="21"/>
        </w:rPr>
        <w:t>供应商</w:t>
      </w:r>
      <w:r>
        <w:rPr>
          <w:rFonts w:ascii="宋体" w:hAnsi="宋体" w:eastAsia="宋体" w:cs="Times New Roman"/>
          <w:bCs/>
          <w:szCs w:val="21"/>
        </w:rPr>
        <w:t>能进入下一阶段的</w:t>
      </w:r>
      <w:r>
        <w:rPr>
          <w:rFonts w:hint="eastAsia" w:ascii="宋体" w:hAnsi="宋体" w:eastAsia="宋体" w:cs="Times New Roman"/>
          <w:bCs/>
          <w:szCs w:val="21"/>
        </w:rPr>
        <w:t>评审</w:t>
      </w:r>
      <w:r>
        <w:rPr>
          <w:rFonts w:ascii="宋体" w:hAnsi="宋体" w:eastAsia="宋体" w:cs="Times New Roman"/>
          <w:bCs/>
          <w:szCs w:val="21"/>
        </w:rPr>
        <w:t>，否则将导致其</w:t>
      </w:r>
      <w:r>
        <w:rPr>
          <w:rFonts w:hint="eastAsia" w:ascii="宋体" w:hAnsi="宋体" w:eastAsia="宋体" w:cs="Times New Roman"/>
          <w:bCs/>
          <w:szCs w:val="21"/>
        </w:rPr>
        <w:t>应答</w:t>
      </w:r>
      <w:r>
        <w:rPr>
          <w:rFonts w:ascii="宋体" w:hAnsi="宋体" w:eastAsia="宋体" w:cs="Times New Roman"/>
          <w:bCs/>
          <w:szCs w:val="21"/>
        </w:rPr>
        <w:t>被废标。</w:t>
      </w:r>
    </w:p>
    <w:p>
      <w:pPr>
        <w:spacing w:line="440" w:lineRule="exact"/>
        <w:ind w:firstLine="422" w:firstLineChars="200"/>
        <w:rPr>
          <w:rFonts w:hint="eastAsia" w:ascii="Calibri" w:hAnsi="宋体" w:eastAsia="宋体" w:cs="Times New Roman"/>
          <w:b/>
          <w:szCs w:val="21"/>
          <w:lang w:val="en-US" w:eastAsia="zh-CN"/>
        </w:rPr>
      </w:pPr>
      <w:r>
        <w:rPr>
          <w:rFonts w:hint="eastAsia" w:ascii="Calibri" w:hAnsi="宋体" w:eastAsia="宋体" w:cs="Times New Roman"/>
          <w:b/>
          <w:szCs w:val="21"/>
          <w:lang w:val="en-US" w:eastAsia="zh-CN"/>
        </w:rPr>
        <w:t>2、谈判</w:t>
      </w:r>
    </w:p>
    <w:p>
      <w:pPr>
        <w:spacing w:line="440" w:lineRule="exact"/>
        <w:ind w:firstLine="420" w:firstLineChars="200"/>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通过资格性审查及符合性审查后，谈判小组组织与供应商进行谈判，可采取线下或线上方式进行谈判。</w:t>
      </w:r>
    </w:p>
    <w:p>
      <w:pPr>
        <w:spacing w:line="440" w:lineRule="exact"/>
        <w:ind w:firstLine="422" w:firstLineChars="200"/>
        <w:rPr>
          <w:rFonts w:ascii="Calibri" w:hAnsi="Calibri"/>
          <w:b/>
          <w:szCs w:val="21"/>
        </w:rPr>
      </w:pPr>
      <w:r>
        <w:rPr>
          <w:rFonts w:hint="eastAsia" w:ascii="宋体" w:hAnsi="宋体"/>
          <w:b/>
          <w:szCs w:val="21"/>
          <w:lang w:val="en-US" w:eastAsia="zh-CN"/>
        </w:rPr>
        <w:t>3</w:t>
      </w:r>
      <w:r>
        <w:rPr>
          <w:rFonts w:hint="eastAsia" w:ascii="宋体" w:hAnsi="宋体"/>
          <w:b/>
          <w:szCs w:val="21"/>
        </w:rPr>
        <w:t>、</w:t>
      </w:r>
      <w:r>
        <w:rPr>
          <w:rFonts w:hint="eastAsia" w:ascii="Calibri" w:hAnsi="宋体"/>
          <w:b/>
          <w:szCs w:val="21"/>
        </w:rPr>
        <w:t>成交单位</w:t>
      </w:r>
      <w:r>
        <w:rPr>
          <w:rFonts w:ascii="Calibri" w:hAnsi="宋体"/>
          <w:b/>
          <w:szCs w:val="21"/>
        </w:rPr>
        <w:t>的确定</w:t>
      </w:r>
    </w:p>
    <w:p>
      <w:pPr>
        <w:spacing w:line="440" w:lineRule="exact"/>
        <w:ind w:firstLine="420" w:firstLineChars="20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（1）供应商通过上述程序后，谈判小组对是否接受供应商最终承诺及报价出具意见。</w:t>
      </w:r>
    </w:p>
    <w:p>
      <w:pPr>
        <w:spacing w:line="440" w:lineRule="exact"/>
        <w:ind w:firstLine="420" w:firstLineChars="200"/>
        <w:rPr>
          <w:rFonts w:ascii="微软雅黑" w:hAnsi="微软雅黑" w:eastAsia="微软雅黑" w:cs="微软雅黑"/>
          <w:b/>
          <w:color w:val="000000"/>
          <w:kern w:val="0"/>
          <w:sz w:val="32"/>
          <w:szCs w:val="32"/>
        </w:rPr>
      </w:pPr>
      <w:r>
        <w:rPr>
          <w:rFonts w:hint="eastAsia" w:ascii="宋体" w:hAnsi="宋体" w:eastAsia="宋体" w:cs="Times New Roman"/>
          <w:bCs/>
          <w:szCs w:val="21"/>
          <w:lang w:val="en-US" w:eastAsia="zh-CN"/>
        </w:rPr>
        <w:t>（2）谈判小组向采购代理机构提交书面评审报告，并受采购人委托直接确定成交单位。</w:t>
      </w:r>
      <w:r>
        <w:rPr>
          <w:rFonts w:hint="eastAsia" w:ascii="宋体" w:hAnsi="宋体" w:eastAsia="宋体" w:cs="Times New Roman"/>
          <w:bCs/>
          <w:szCs w:val="21"/>
          <w:lang w:val="en-US" w:eastAsia="zh-CN"/>
        </w:rPr>
        <w:br w:type="page"/>
      </w:r>
      <w:bookmarkStart w:id="84" w:name="_Toc27030"/>
      <w:r>
        <w:rPr>
          <w:rFonts w:hint="eastAsia" w:ascii="微软雅黑" w:hAnsi="微软雅黑" w:eastAsia="微软雅黑" w:cs="微软雅黑"/>
          <w:b/>
          <w:color w:val="000000"/>
          <w:kern w:val="0"/>
          <w:sz w:val="32"/>
          <w:szCs w:val="32"/>
        </w:rPr>
        <w:t>第五章  应答文件格式</w:t>
      </w:r>
      <w:bookmarkEnd w:id="84"/>
    </w:p>
    <w:p>
      <w:pPr>
        <w:spacing w:line="440" w:lineRule="exact"/>
        <w:ind w:firstLine="420" w:firstLineChars="200"/>
        <w:rPr>
          <w:rFonts w:ascii="宋体" w:hAnsi="宋体"/>
          <w:color w:val="000000"/>
          <w:szCs w:val="21"/>
        </w:rPr>
      </w:pPr>
    </w:p>
    <w:p>
      <w:pPr>
        <w:pStyle w:val="2"/>
        <w:spacing w:before="0" w:after="0" w:line="440" w:lineRule="exact"/>
        <w:rPr>
          <w:rFonts w:ascii="宋体" w:hAnsi="宋体"/>
          <w:color w:val="000000"/>
          <w:sz w:val="21"/>
          <w:szCs w:val="21"/>
        </w:rPr>
      </w:pPr>
      <w:bookmarkStart w:id="85" w:name="_Toc30241"/>
      <w:bookmarkStart w:id="86" w:name="_Toc4588"/>
      <w:r>
        <w:rPr>
          <w:rFonts w:hint="eastAsia" w:ascii="宋体" w:hAnsi="宋体"/>
          <w:color w:val="000000"/>
          <w:sz w:val="21"/>
          <w:szCs w:val="21"/>
        </w:rPr>
        <w:t>格式一：应答函格式</w:t>
      </w:r>
      <w:bookmarkEnd w:id="85"/>
      <w:bookmarkEnd w:id="86"/>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应答函</w:t>
      </w:r>
    </w:p>
    <w:p>
      <w:pPr>
        <w:spacing w:line="440" w:lineRule="exact"/>
        <w:rPr>
          <w:rFonts w:ascii="宋体" w:hAnsi="宋体"/>
          <w:color w:val="000000"/>
          <w:szCs w:val="21"/>
        </w:rPr>
      </w:pPr>
      <w:r>
        <w:rPr>
          <w:rFonts w:hint="eastAsia" w:ascii="宋体" w:hAnsi="宋体"/>
          <w:color w:val="000000"/>
          <w:szCs w:val="21"/>
        </w:rPr>
        <w:t>致：深圳交易咨询集团有限公司</w:t>
      </w:r>
    </w:p>
    <w:p>
      <w:pPr>
        <w:spacing w:line="440" w:lineRule="exact"/>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、根据已收到贵方的项目编号为</w:t>
      </w:r>
      <w:r>
        <w:rPr>
          <w:rFonts w:ascii="宋体" w:hAnsi="宋体"/>
          <w:color w:val="000000"/>
          <w:szCs w:val="21"/>
          <w:u w:val="single"/>
        </w:rPr>
        <w:t xml:space="preserve">  </w:t>
      </w:r>
      <w:r>
        <w:rPr>
          <w:rFonts w:ascii="宋体" w:hAnsi="宋体"/>
          <w:i/>
          <w:iCs/>
          <w:color w:val="000000"/>
          <w:szCs w:val="21"/>
          <w:u w:val="single"/>
        </w:rPr>
        <w:t xml:space="preserve"> </w:t>
      </w:r>
      <w:r>
        <w:rPr>
          <w:rFonts w:hint="eastAsia" w:ascii="宋体" w:hAnsi="宋体"/>
          <w:i/>
          <w:iCs/>
          <w:color w:val="000000"/>
          <w:szCs w:val="21"/>
          <w:u w:val="single"/>
        </w:rPr>
        <w:t xml:space="preserve">（项目编号） </w:t>
      </w:r>
      <w:r>
        <w:rPr>
          <w:rFonts w:ascii="宋体" w:hAnsi="宋体"/>
          <w:color w:val="000000"/>
          <w:szCs w:val="21"/>
          <w:u w:val="single"/>
        </w:rPr>
        <w:t xml:space="preserve">  </w:t>
      </w:r>
      <w:r>
        <w:rPr>
          <w:rFonts w:hint="eastAsia" w:ascii="宋体" w:hAnsi="宋体"/>
          <w:color w:val="000000"/>
          <w:szCs w:val="21"/>
        </w:rPr>
        <w:t>的</w:t>
      </w:r>
      <w:r>
        <w:rPr>
          <w:rFonts w:ascii="宋体" w:hAnsi="宋体"/>
          <w:color w:val="000000"/>
          <w:szCs w:val="21"/>
          <w:u w:val="single"/>
        </w:rPr>
        <w:t xml:space="preserve">   </w:t>
      </w:r>
      <w:r>
        <w:rPr>
          <w:rFonts w:hint="eastAsia" w:ascii="宋体" w:hAnsi="宋体"/>
          <w:i/>
          <w:iCs/>
          <w:color w:val="000000"/>
          <w:szCs w:val="21"/>
          <w:u w:val="single"/>
        </w:rPr>
        <w:t xml:space="preserve">（项目名称） </w:t>
      </w:r>
      <w:r>
        <w:rPr>
          <w:rFonts w:ascii="宋体" w:hAnsi="宋体"/>
          <w:color w:val="000000"/>
          <w:szCs w:val="21"/>
          <w:u w:val="single"/>
        </w:rPr>
        <w:t xml:space="preserve">   </w:t>
      </w:r>
      <w:r>
        <w:rPr>
          <w:rFonts w:hint="eastAsia" w:ascii="宋体" w:hAnsi="宋体"/>
          <w:color w:val="000000"/>
          <w:szCs w:val="21"/>
        </w:rPr>
        <w:t>项目的采购文件，遵照《中华人民共和国政府采购法》《深圳经济特区政府采购条例》等法律法规的规定，我方经研究上述采购文件的应答须知、合同条款、技术规范及其他有关文件后，我方愿按“采购文件”的规定履行责任和义务；</w:t>
      </w:r>
    </w:p>
    <w:p>
      <w:pPr>
        <w:spacing w:line="440" w:lineRule="exact"/>
        <w:ind w:firstLine="420" w:firstLineChars="200"/>
        <w:rPr>
          <w:rFonts w:ascii="宋体" w:hAnsi="宋体"/>
          <w:color w:val="000000"/>
          <w:szCs w:val="21"/>
        </w:rPr>
      </w:pPr>
      <w:r>
        <w:rPr>
          <w:rFonts w:hint="eastAsia" w:ascii="宋体" w:hAnsi="宋体"/>
          <w:color w:val="000000"/>
          <w:szCs w:val="21"/>
        </w:rPr>
        <w:t>2、我方已详细审查全部采购文件，包括采购文件、澄清（答疑）、补充公告（说明）等。我方对此完全理解并同意放弃因对采购文件不明及误解而提出质疑抗辩的权利；</w:t>
      </w:r>
    </w:p>
    <w:p>
      <w:pPr>
        <w:spacing w:line="440" w:lineRule="exact"/>
        <w:ind w:firstLine="420" w:firstLineChars="200"/>
        <w:rPr>
          <w:rFonts w:ascii="宋体" w:hAnsi="宋体"/>
          <w:color w:val="000000"/>
          <w:szCs w:val="21"/>
        </w:rPr>
      </w:pPr>
      <w:r>
        <w:rPr>
          <w:rFonts w:ascii="宋体" w:hAnsi="宋体"/>
          <w:color w:val="000000"/>
          <w:szCs w:val="21"/>
        </w:rPr>
        <w:t>3</w:t>
      </w:r>
      <w:r>
        <w:rPr>
          <w:rFonts w:hint="eastAsia" w:ascii="宋体" w:hAnsi="宋体"/>
          <w:color w:val="000000"/>
          <w:szCs w:val="21"/>
        </w:rPr>
        <w:t>、我方同意提供贵方可能要求的与应答有关的一切数据或资料，完全理解并接受贵方不承担我方的任何应答费用；</w:t>
      </w:r>
    </w:p>
    <w:p>
      <w:pPr>
        <w:spacing w:line="440" w:lineRule="exact"/>
        <w:ind w:firstLine="420" w:firstLineChars="200"/>
        <w:rPr>
          <w:rFonts w:ascii="宋体" w:hAnsi="宋体"/>
          <w:color w:val="000000"/>
          <w:szCs w:val="21"/>
        </w:rPr>
      </w:pPr>
      <w:r>
        <w:rPr>
          <w:rFonts w:ascii="宋体" w:hAnsi="宋体"/>
          <w:color w:val="000000"/>
          <w:szCs w:val="21"/>
        </w:rPr>
        <w:t>4</w:t>
      </w:r>
      <w:r>
        <w:rPr>
          <w:rFonts w:hint="eastAsia" w:ascii="宋体" w:hAnsi="宋体"/>
          <w:color w:val="000000"/>
          <w:szCs w:val="21"/>
        </w:rPr>
        <w:t>、我方清楚知道且完全同意应答及履约保证金的作用、退还期限及退还条件；</w:t>
      </w:r>
    </w:p>
    <w:p>
      <w:pPr>
        <w:spacing w:line="440" w:lineRule="exact"/>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szCs w:val="21"/>
        </w:rPr>
        <w:t>、本应答有效期为开标日起九十个日历日；</w:t>
      </w:r>
    </w:p>
    <w:p>
      <w:pPr>
        <w:spacing w:line="440" w:lineRule="exact"/>
        <w:ind w:firstLine="420" w:firstLineChars="200"/>
        <w:rPr>
          <w:rFonts w:ascii="宋体" w:hAnsi="宋体"/>
          <w:color w:val="000000"/>
          <w:szCs w:val="21"/>
        </w:rPr>
      </w:pPr>
      <w:r>
        <w:rPr>
          <w:rFonts w:ascii="宋体" w:hAnsi="宋体"/>
          <w:color w:val="000000"/>
          <w:szCs w:val="21"/>
        </w:rPr>
        <w:t>6</w:t>
      </w:r>
      <w:r>
        <w:rPr>
          <w:rFonts w:hint="eastAsia" w:ascii="宋体" w:hAnsi="宋体"/>
          <w:color w:val="000000"/>
          <w:szCs w:val="21"/>
        </w:rPr>
        <w:t>、如果我方在应答有效期内撤回或放弃应答的，贵方将有权不予退还响应保证金；</w:t>
      </w:r>
    </w:p>
    <w:p>
      <w:pPr>
        <w:spacing w:line="440" w:lineRule="exact"/>
        <w:ind w:firstLine="420" w:firstLineChars="200"/>
        <w:rPr>
          <w:rFonts w:ascii="宋体" w:hAnsi="宋体"/>
          <w:color w:val="000000"/>
          <w:szCs w:val="21"/>
        </w:rPr>
      </w:pPr>
      <w:r>
        <w:rPr>
          <w:rFonts w:ascii="宋体" w:hAnsi="宋体"/>
          <w:color w:val="000000"/>
          <w:szCs w:val="21"/>
        </w:rPr>
        <w:t>7</w:t>
      </w:r>
      <w:r>
        <w:rPr>
          <w:rFonts w:hint="eastAsia" w:ascii="宋体" w:hAnsi="宋体"/>
          <w:color w:val="000000"/>
          <w:szCs w:val="21"/>
        </w:rPr>
        <w:t>、我方申明在本次应答中提供的所有资料，无论原件、复印件还是扫描件均是真实的；</w:t>
      </w:r>
    </w:p>
    <w:p>
      <w:pPr>
        <w:spacing w:line="440" w:lineRule="exact"/>
        <w:ind w:firstLine="420" w:firstLineChars="200"/>
        <w:rPr>
          <w:rFonts w:ascii="宋体" w:hAnsi="宋体"/>
          <w:color w:val="000000"/>
          <w:szCs w:val="21"/>
        </w:rPr>
      </w:pPr>
      <w:r>
        <w:rPr>
          <w:rFonts w:ascii="宋体" w:hAnsi="宋体"/>
          <w:color w:val="000000"/>
          <w:szCs w:val="21"/>
        </w:rPr>
        <w:t>8</w:t>
      </w:r>
      <w:r>
        <w:rPr>
          <w:rFonts w:hint="eastAsia" w:ascii="宋体" w:hAnsi="宋体"/>
          <w:color w:val="000000"/>
          <w:szCs w:val="21"/>
        </w:rPr>
        <w:t>、我方同意提供按照贵方可能要求的与应答有关的一切数据或资料；</w:t>
      </w:r>
    </w:p>
    <w:p>
      <w:pPr>
        <w:spacing w:line="440" w:lineRule="exact"/>
        <w:ind w:firstLine="420" w:firstLineChars="200"/>
        <w:rPr>
          <w:rFonts w:ascii="宋体" w:hAnsi="宋体"/>
          <w:color w:val="000000"/>
          <w:szCs w:val="21"/>
        </w:rPr>
      </w:pPr>
      <w:r>
        <w:rPr>
          <w:rFonts w:ascii="宋体" w:hAnsi="宋体"/>
          <w:color w:val="000000"/>
          <w:szCs w:val="21"/>
        </w:rPr>
        <w:t>9</w:t>
      </w:r>
      <w:r>
        <w:rPr>
          <w:rFonts w:hint="eastAsia" w:ascii="宋体" w:hAnsi="宋体"/>
          <w:color w:val="000000"/>
          <w:szCs w:val="21"/>
        </w:rPr>
        <w:t>、我方同意采购程序、评审办法以及谈判小组成员产生办法和组成，承认谈判小组据此评审办法产生的成交供应商。</w:t>
      </w:r>
    </w:p>
    <w:p>
      <w:pPr>
        <w:spacing w:line="440" w:lineRule="exact"/>
        <w:ind w:firstLine="420" w:firstLineChars="200"/>
        <w:rPr>
          <w:rFonts w:ascii="宋体" w:hAnsi="宋体"/>
          <w:color w:val="000000"/>
          <w:szCs w:val="21"/>
        </w:rPr>
      </w:pPr>
      <w:r>
        <w:rPr>
          <w:rFonts w:hint="eastAsia" w:ascii="宋体" w:hAnsi="宋体"/>
          <w:szCs w:val="21"/>
        </w:rPr>
        <w:t>10、</w:t>
      </w:r>
      <w:r>
        <w:rPr>
          <w:rFonts w:hint="eastAsia" w:ascii="宋体" w:hAnsi="宋体"/>
          <w:color w:val="000000"/>
          <w:szCs w:val="21"/>
        </w:rPr>
        <w:t>我方同意成交后按采购文件规定的标准支付贵方采购代理服务费；</w:t>
      </w:r>
    </w:p>
    <w:p>
      <w:pPr>
        <w:spacing w:line="440" w:lineRule="exact"/>
        <w:ind w:firstLine="420" w:firstLineChars="200"/>
      </w:pPr>
      <w:r>
        <w:rPr>
          <w:rFonts w:hint="eastAsia" w:ascii="宋体" w:hAnsi="宋体"/>
          <w:color w:val="000000"/>
          <w:szCs w:val="21"/>
        </w:rPr>
        <w:t>11、</w:t>
      </w:r>
      <w:r>
        <w:rPr>
          <w:rFonts w:hint="eastAsia" w:ascii="宋体" w:hAnsi="宋体"/>
        </w:rPr>
        <w:t>我方</w:t>
      </w:r>
      <w:r>
        <w:rPr>
          <w:rFonts w:hint="eastAsia"/>
        </w:rPr>
        <w:t>已认真核实了应答文件的全部资料，所有资料均为真实资料。我方对应答文件中全部应答资料的真实性负责，如被证实我方的应答文件存在虚假资料的，则视为我方隐瞒真实情况、提供虚假资料，我方愿意接受主管部门作出的行政处罚。</w:t>
      </w:r>
    </w:p>
    <w:p>
      <w:pPr>
        <w:spacing w:line="440" w:lineRule="exact"/>
        <w:ind w:firstLine="420" w:firstLineChars="200"/>
        <w:rPr>
          <w:rFonts w:ascii="宋体" w:hAnsi="宋体"/>
          <w:color w:val="000000"/>
          <w:szCs w:val="21"/>
        </w:rPr>
      </w:pPr>
      <w:r>
        <w:rPr>
          <w:rFonts w:hint="eastAsia" w:ascii="宋体" w:hAnsi="宋体"/>
          <w:color w:val="000000"/>
          <w:szCs w:val="21"/>
        </w:rPr>
        <w:t>12、与本应答活动有关的一切正式往来文书（包括但不限质疑答复、投诉处理决定书等）如果我方未在贵公司要求的时间内前往贵公司领取，请将上述相关文书寄至如下地址或发送至如下电子邮箱或通过传真至如下传真号，上述任何一种送达方式我方均认可，如果我方提供的地址或传真号或电子邮箱号有误，一切不利法律后果我方自己承担：</w:t>
      </w:r>
    </w:p>
    <w:p>
      <w:pPr>
        <w:spacing w:line="440" w:lineRule="exact"/>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szCs w:val="21"/>
          <w:u w:val="single"/>
        </w:rPr>
        <w:t xml:space="preserve">                                                </w:t>
      </w:r>
    </w:p>
    <w:p>
      <w:pPr>
        <w:spacing w:line="440" w:lineRule="exact"/>
        <w:ind w:firstLine="420" w:firstLineChars="200"/>
        <w:rPr>
          <w:rFonts w:ascii="宋体" w:hAnsi="宋体"/>
          <w:color w:val="000000"/>
          <w:szCs w:val="21"/>
        </w:rPr>
      </w:pPr>
      <w:r>
        <w:rPr>
          <w:rFonts w:hint="eastAsia" w:ascii="宋体" w:hAnsi="宋体"/>
          <w:color w:val="000000"/>
          <w:szCs w:val="21"/>
        </w:rPr>
        <w:t>收件人：</w:t>
      </w:r>
      <w:r>
        <w:rPr>
          <w:rFonts w:hint="eastAsia" w:ascii="宋体" w:hAnsi="宋体"/>
          <w:szCs w:val="21"/>
          <w:u w:val="single"/>
        </w:rPr>
        <w:t xml:space="preserve">                             </w:t>
      </w:r>
    </w:p>
    <w:p>
      <w:pPr>
        <w:spacing w:line="440" w:lineRule="exact"/>
        <w:ind w:firstLine="420" w:firstLineChars="200"/>
        <w:rPr>
          <w:rFonts w:ascii="宋体" w:hAnsi="宋体"/>
          <w:color w:val="000000"/>
          <w:szCs w:val="21"/>
        </w:rPr>
      </w:pPr>
      <w:r>
        <w:rPr>
          <w:rFonts w:hint="eastAsia" w:ascii="宋体" w:hAnsi="宋体"/>
          <w:color w:val="000000"/>
          <w:szCs w:val="21"/>
        </w:rPr>
        <w:t>收件人联系电话：</w:t>
      </w:r>
      <w:r>
        <w:rPr>
          <w:rFonts w:hint="eastAsia" w:ascii="宋体" w:hAnsi="宋体"/>
          <w:szCs w:val="21"/>
          <w:u w:val="single"/>
        </w:rPr>
        <w:t xml:space="preserve">                     </w:t>
      </w:r>
    </w:p>
    <w:p>
      <w:pPr>
        <w:spacing w:line="440" w:lineRule="exact"/>
        <w:ind w:firstLine="420" w:firstLineChars="200"/>
        <w:rPr>
          <w:rFonts w:ascii="宋体" w:hAnsi="宋体"/>
          <w:color w:val="000000"/>
          <w:szCs w:val="21"/>
        </w:rPr>
      </w:pPr>
      <w:r>
        <w:rPr>
          <w:rFonts w:hint="eastAsia" w:ascii="宋体" w:hAnsi="宋体"/>
          <w:color w:val="000000"/>
          <w:szCs w:val="21"/>
        </w:rPr>
        <w:t>电子邮箱：</w:t>
      </w:r>
      <w:r>
        <w:rPr>
          <w:rFonts w:hint="eastAsia" w:ascii="宋体" w:hAnsi="宋体"/>
          <w:szCs w:val="21"/>
          <w:u w:val="single"/>
        </w:rPr>
        <w:t xml:space="preserve">                           </w:t>
      </w:r>
    </w:p>
    <w:p>
      <w:pPr>
        <w:spacing w:line="440" w:lineRule="exact"/>
        <w:ind w:firstLine="420" w:firstLineChars="200"/>
        <w:rPr>
          <w:rFonts w:ascii="宋体" w:hAnsi="宋体"/>
          <w:color w:val="000000"/>
          <w:szCs w:val="21"/>
        </w:rPr>
      </w:pPr>
      <w:r>
        <w:rPr>
          <w:rFonts w:hint="eastAsia" w:ascii="宋体" w:hAnsi="宋体"/>
          <w:color w:val="000000"/>
          <w:szCs w:val="21"/>
        </w:rPr>
        <w:t>供应商名称（盖章）：</w:t>
      </w:r>
      <w:r>
        <w:rPr>
          <w:rFonts w:hint="eastAsia" w:ascii="宋体" w:hAnsi="宋体"/>
          <w:szCs w:val="21"/>
          <w:u w:val="single"/>
        </w:rPr>
        <w:t xml:space="preserve">                                    </w:t>
      </w:r>
    </w:p>
    <w:p>
      <w:pPr>
        <w:spacing w:line="440" w:lineRule="exact"/>
        <w:ind w:firstLine="420" w:firstLineChars="200"/>
        <w:rPr>
          <w:rFonts w:ascii="宋体" w:hAnsi="宋体"/>
          <w:b/>
          <w:bCs/>
          <w:color w:val="000000"/>
          <w:sz w:val="32"/>
          <w:szCs w:val="32"/>
        </w:rPr>
      </w:pPr>
      <w:r>
        <w:rPr>
          <w:rFonts w:hint="eastAsia" w:ascii="宋体" w:hAnsi="宋体"/>
          <w:color w:val="000000"/>
          <w:szCs w:val="21"/>
        </w:rPr>
        <w:t>日期：</w:t>
      </w:r>
      <w:r>
        <w:rPr>
          <w:rFonts w:hint="eastAsia" w:ascii="宋体" w:hAnsi="宋体"/>
          <w:szCs w:val="21"/>
          <w:u w:val="single"/>
        </w:rPr>
        <w:t xml:space="preserve">                               </w:t>
      </w:r>
    </w:p>
    <w:p>
      <w:pPr>
        <w:spacing w:line="440" w:lineRule="exact"/>
        <w:rPr>
          <w:rFonts w:asciiTheme="minorEastAsia" w:hAnsiTheme="minorEastAsia" w:eastAsiaTheme="minorEastAsia"/>
          <w:b/>
          <w:bCs/>
          <w:szCs w:val="21"/>
        </w:rPr>
      </w:pPr>
    </w:p>
    <w:p>
      <w:pPr>
        <w:spacing w:line="440" w:lineRule="exact"/>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spacing w:line="440" w:lineRule="exact"/>
        <w:ind w:firstLine="420" w:firstLineChars="200"/>
        <w:rPr>
          <w:rFonts w:ascii="宋体" w:hAnsi="宋体"/>
          <w:color w:val="000000"/>
          <w:szCs w:val="21"/>
        </w:rPr>
      </w:pPr>
      <w:r>
        <w:rPr>
          <w:rFonts w:hint="eastAsia" w:asciiTheme="minorEastAsia" w:hAnsiTheme="minorEastAsia" w:eastAsiaTheme="minorEastAsia"/>
          <w:szCs w:val="21"/>
        </w:rPr>
        <w:t>1、如联合体应答，供应商一栏仅需填写牵</w:t>
      </w:r>
      <w:r>
        <w:rPr>
          <w:rFonts w:hint="eastAsia" w:ascii="宋体" w:hAnsi="宋体"/>
          <w:color w:val="000000"/>
          <w:szCs w:val="21"/>
        </w:rPr>
        <w:t>头人的名称。</w:t>
      </w:r>
    </w:p>
    <w:p>
      <w:pPr>
        <w:spacing w:line="440" w:lineRule="exact"/>
        <w:ind w:firstLine="420" w:firstLineChars="200"/>
        <w:rPr>
          <w:rFonts w:ascii="宋体" w:hAnsi="宋体"/>
          <w:color w:val="000000"/>
          <w:szCs w:val="21"/>
        </w:rPr>
      </w:pPr>
      <w:r>
        <w:rPr>
          <w:rFonts w:hint="eastAsia" w:ascii="宋体" w:hAnsi="宋体"/>
          <w:color w:val="000000"/>
          <w:szCs w:val="21"/>
        </w:rPr>
        <w:t>2、为缓解中小企业融资难题，我市推出政府采购订单融资改革举措。订单融资具体流程及试点金融机构订单融资服务承诺可参阅深圳市政府采购监管网（http://zfcg.sz.gov.cn）信息公开栏目或深圳政府采购网（</w:t>
      </w:r>
      <w:r>
        <w:fldChar w:fldCharType="begin"/>
      </w:r>
      <w:r>
        <w:instrText xml:space="preserve"> HYPERLINK "https://zfcg.szexgrp.com/" \t "https://szzfcg.cn/_blank" </w:instrText>
      </w:r>
      <w:r>
        <w:fldChar w:fldCharType="separate"/>
      </w:r>
      <w:r>
        <w:rPr>
          <w:rStyle w:val="36"/>
          <w:rFonts w:ascii="Arial" w:hAnsi="Arial" w:cs="Arial"/>
          <w:color w:val="FF0000"/>
          <w:sz w:val="22"/>
          <w:szCs w:val="22"/>
          <w:shd w:val="clear" w:color="auto" w:fill="F5DEB3"/>
        </w:rPr>
        <w:t>https://zfcg.szexgrp.com</w:t>
      </w:r>
      <w:r>
        <w:rPr>
          <w:rStyle w:val="36"/>
          <w:rFonts w:ascii="Arial" w:hAnsi="Arial" w:cs="Arial"/>
          <w:color w:val="FF0000"/>
          <w:sz w:val="22"/>
          <w:szCs w:val="22"/>
          <w:shd w:val="clear" w:color="auto" w:fill="F5DEB3"/>
        </w:rPr>
        <w:fldChar w:fldCharType="end"/>
      </w:r>
      <w:r>
        <w:rPr>
          <w:rFonts w:hint="eastAsia" w:ascii="宋体" w:hAnsi="宋体"/>
          <w:color w:val="000000"/>
          <w:szCs w:val="21"/>
        </w:rPr>
        <w:t>）</w:t>
      </w:r>
      <w:r>
        <w:rPr>
          <w:rFonts w:hint="eastAsia" w:asciiTheme="minorEastAsia" w:hAnsiTheme="minorEastAsia" w:eastAsiaTheme="minorEastAsia"/>
          <w:szCs w:val="21"/>
        </w:rPr>
        <w:t>政府采购订单</w:t>
      </w:r>
      <w:r>
        <w:rPr>
          <w:rFonts w:hint="eastAsia" w:ascii="宋体" w:hAnsi="宋体"/>
          <w:color w:val="000000"/>
          <w:szCs w:val="21"/>
        </w:rPr>
        <w:t>融资栏目。</w:t>
      </w:r>
    </w:p>
    <w:p>
      <w:pPr>
        <w:spacing w:line="440" w:lineRule="exact"/>
        <w:ind w:firstLine="420" w:firstLineChars="200"/>
        <w:rPr>
          <w:rFonts w:ascii="宋体" w:hAnsi="宋体"/>
          <w:color w:val="000000"/>
          <w:szCs w:val="21"/>
        </w:rPr>
      </w:pPr>
      <w:r>
        <w:rPr>
          <w:rFonts w:hint="eastAsia" w:ascii="宋体" w:hAnsi="宋体"/>
          <w:color w:val="000000"/>
          <w:szCs w:val="21"/>
        </w:rPr>
        <w:t>3、供应商财务负责人/企业负责人（姓名及电话）：</w:t>
      </w:r>
      <w:r>
        <w:rPr>
          <w:rFonts w:hint="eastAsia" w:ascii="宋体" w:hAnsi="宋体"/>
          <w:color w:val="000000"/>
          <w:szCs w:val="21"/>
          <w:u w:val="single"/>
        </w:rPr>
        <w:t xml:space="preserve">              </w:t>
      </w:r>
      <w:r>
        <w:rPr>
          <w:rFonts w:hint="eastAsia" w:ascii="宋体" w:hAnsi="宋体"/>
          <w:color w:val="000000"/>
          <w:szCs w:val="21"/>
        </w:rPr>
        <w:t>。（可选填）</w:t>
      </w:r>
    </w:p>
    <w:p>
      <w:pPr>
        <w:pStyle w:val="2"/>
        <w:spacing w:before="0" w:after="0" w:line="440" w:lineRule="exact"/>
        <w:rPr>
          <w:rFonts w:ascii="宋体" w:hAnsi="宋体"/>
          <w:color w:val="000000"/>
          <w:sz w:val="21"/>
          <w:szCs w:val="21"/>
        </w:rPr>
      </w:pPr>
      <w:r>
        <w:rPr>
          <w:rFonts w:ascii="宋体" w:hAnsi="宋体"/>
          <w:color w:val="000000"/>
        </w:rPr>
        <w:br w:type="page"/>
      </w:r>
      <w:bookmarkStart w:id="87" w:name="_Toc22891"/>
      <w:bookmarkStart w:id="88" w:name="_Toc11703"/>
      <w:r>
        <w:rPr>
          <w:rFonts w:hint="eastAsia" w:ascii="宋体" w:hAnsi="宋体"/>
          <w:color w:val="000000"/>
          <w:sz w:val="21"/>
          <w:szCs w:val="21"/>
        </w:rPr>
        <w:t>格式二：政府采购应答及履约承诺函格式</w:t>
      </w:r>
      <w:bookmarkEnd w:id="87"/>
      <w:bookmarkEnd w:id="88"/>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政府采购应答及履约承诺函</w:t>
      </w:r>
    </w:p>
    <w:p>
      <w:pPr>
        <w:spacing w:line="440" w:lineRule="exact"/>
        <w:rPr>
          <w:rFonts w:ascii="宋体" w:hAnsi="宋体"/>
          <w:szCs w:val="21"/>
        </w:rPr>
      </w:pPr>
      <w:r>
        <w:rPr>
          <w:rFonts w:hint="eastAsia" w:ascii="宋体" w:hAnsi="宋体"/>
          <w:szCs w:val="21"/>
        </w:rPr>
        <w:t>致：深圳交易咨询集团有限公司</w:t>
      </w:r>
    </w:p>
    <w:p>
      <w:pPr>
        <w:spacing w:line="440" w:lineRule="exact"/>
        <w:ind w:right="-815" w:firstLine="420" w:firstLineChars="200"/>
        <w:rPr>
          <w:rFonts w:ascii="宋体" w:hAnsi="宋体"/>
          <w:szCs w:val="21"/>
        </w:rPr>
      </w:pPr>
      <w:r>
        <w:rPr>
          <w:rFonts w:hint="eastAsia" w:ascii="宋体" w:hAnsi="宋体"/>
          <w:szCs w:val="21"/>
        </w:rPr>
        <w:t>我单位承诺：</w:t>
      </w:r>
    </w:p>
    <w:p>
      <w:pPr>
        <w:spacing w:line="440" w:lineRule="exact"/>
        <w:ind w:firstLine="420" w:firstLineChars="200"/>
        <w:rPr>
          <w:rFonts w:ascii="宋体" w:hAnsi="宋体"/>
          <w:szCs w:val="21"/>
        </w:rPr>
      </w:pPr>
      <w:r>
        <w:rPr>
          <w:rFonts w:hint="eastAsia" w:ascii="宋体" w:hAnsi="宋体"/>
          <w:szCs w:val="21"/>
        </w:rPr>
        <w:t>1.我单位为本采购项目所提供的货物或服务未侵犯知识产权，如我单位在应答文件中提供了专利证书的，我单位保证所投对应产品具有该项专利；保证采购人拥有所投产品完整的所有权，不以保护知识产权或技术保密的名义对所有权和使用权进行任何限制。</w:t>
      </w:r>
    </w:p>
    <w:p>
      <w:pPr>
        <w:spacing w:line="440" w:lineRule="exact"/>
        <w:ind w:firstLine="420" w:firstLineChars="200"/>
        <w:rPr>
          <w:rFonts w:ascii="宋体" w:hAnsi="宋体"/>
          <w:szCs w:val="21"/>
        </w:rPr>
      </w:pPr>
      <w:r>
        <w:rPr>
          <w:rFonts w:hint="eastAsia" w:ascii="宋体" w:hAnsi="宋体"/>
          <w:szCs w:val="21"/>
        </w:rPr>
        <w:t>2.我单位参与本项目应答前三年内，在经营活动中没有重大违法记录，即我单位没有受到刑事处罚或者责令停产停业、吊销许可证或者执照、较大数额罚款等行政处罚。</w:t>
      </w:r>
    </w:p>
    <w:p>
      <w:pPr>
        <w:spacing w:line="440" w:lineRule="exact"/>
        <w:ind w:firstLine="420" w:firstLineChars="200"/>
        <w:rPr>
          <w:rFonts w:ascii="宋体" w:hAnsi="宋体"/>
          <w:szCs w:val="21"/>
        </w:rPr>
      </w:pPr>
      <w:r>
        <w:rPr>
          <w:rFonts w:hint="eastAsia" w:ascii="宋体" w:hAnsi="宋体"/>
          <w:szCs w:val="21"/>
        </w:rPr>
        <w:t>3.我单位参与本项目政府采购活动时不存在被有关部门禁止参与政府采购活动且在有效期内的情况。</w:t>
      </w:r>
    </w:p>
    <w:p>
      <w:pPr>
        <w:spacing w:line="440" w:lineRule="exact"/>
        <w:ind w:firstLine="420" w:firstLineChars="200"/>
        <w:rPr>
          <w:rFonts w:ascii="宋体" w:hAnsi="宋体"/>
          <w:szCs w:val="21"/>
        </w:rPr>
      </w:pPr>
      <w:r>
        <w:rPr>
          <w:rFonts w:hint="eastAsia" w:ascii="宋体" w:hAnsi="宋体"/>
          <w:szCs w:val="21"/>
        </w:rPr>
        <w:t>4.我单位近三年内无行贿犯罪记录；</w:t>
      </w:r>
    </w:p>
    <w:p>
      <w:pPr>
        <w:spacing w:line="440" w:lineRule="exact"/>
        <w:ind w:firstLine="420" w:firstLineChars="200"/>
        <w:rPr>
          <w:rFonts w:ascii="宋体" w:hAnsi="宋体"/>
          <w:szCs w:val="21"/>
        </w:rPr>
      </w:pPr>
      <w:r>
        <w:rPr>
          <w:rFonts w:hint="eastAsia" w:ascii="宋体" w:hAnsi="宋体"/>
          <w:szCs w:val="21"/>
        </w:rPr>
        <w:t>5.我单位具备《中华人民共和国政府采购法》第二十二条规定的资质。</w:t>
      </w:r>
    </w:p>
    <w:p>
      <w:pPr>
        <w:spacing w:line="440" w:lineRule="exact"/>
        <w:ind w:firstLine="420" w:firstLineChars="200"/>
        <w:rPr>
          <w:rFonts w:ascii="宋体" w:hAnsi="宋体"/>
          <w:szCs w:val="21"/>
        </w:rPr>
      </w:pPr>
      <w:r>
        <w:rPr>
          <w:rFonts w:hint="eastAsia" w:ascii="宋体" w:hAnsi="宋体"/>
          <w:szCs w:val="21"/>
        </w:rPr>
        <w:t>6.我单位未被列入失信被执行人、</w:t>
      </w:r>
      <w:r>
        <w:rPr>
          <w:rFonts w:hint="eastAsia" w:ascii="宋体" w:hAnsi="宋体"/>
          <w:color w:val="000000" w:themeColor="text1"/>
          <w:szCs w:val="21"/>
          <w14:textFill>
            <w14:solidFill>
              <w14:schemeClr w14:val="tx1"/>
            </w14:solidFill>
          </w14:textFill>
        </w:rPr>
        <w:t>重大税收违法案件当事人名单（重大税收违法失信主体）</w:t>
      </w:r>
      <w:r>
        <w:rPr>
          <w:rFonts w:hint="eastAsia" w:ascii="宋体" w:hAnsi="宋体"/>
          <w:szCs w:val="21"/>
        </w:rPr>
        <w:t>、政府采购严重违法失信行为记录名单。</w:t>
      </w:r>
    </w:p>
    <w:p>
      <w:pPr>
        <w:spacing w:line="440" w:lineRule="exact"/>
        <w:ind w:firstLine="420" w:firstLineChars="200"/>
        <w:rPr>
          <w:rFonts w:ascii="宋体" w:hAnsi="宋体"/>
          <w:szCs w:val="21"/>
        </w:rPr>
      </w:pPr>
      <w:r>
        <w:rPr>
          <w:rFonts w:hint="eastAsia" w:ascii="宋体" w:hAnsi="宋体"/>
          <w:szCs w:val="21"/>
        </w:rPr>
        <w:t>7.我单位参与该项目应答，严格遵守政府采购相关法律，应答做到诚实，不造假，不围标、串标、陪标。我单位已清楚，如违反上述要求，其应答将作废，被没收响应保证金，被列入不良记录名单并在网上曝光，同时将被提请政府采购监督管理部门给予一定年限内禁止参与政府采购活动或其他处罚。</w:t>
      </w:r>
    </w:p>
    <w:p>
      <w:pPr>
        <w:spacing w:line="440" w:lineRule="exact"/>
        <w:ind w:firstLine="420" w:firstLineChars="200"/>
        <w:rPr>
          <w:rFonts w:ascii="宋体" w:hAnsi="宋体"/>
          <w:szCs w:val="21"/>
        </w:rPr>
      </w:pPr>
      <w:r>
        <w:rPr>
          <w:rFonts w:hint="eastAsia" w:ascii="宋体" w:hAnsi="宋体"/>
          <w:szCs w:val="21"/>
        </w:rPr>
        <w:t>8.我单位如果成交，做到守信，不偷工减料，依照本项目采购文件需求内容、签署的采购合同及本公司在应答中所作的一切承诺履约。项目验收达到全部指标合格，力争优良。</w:t>
      </w:r>
    </w:p>
    <w:p>
      <w:pPr>
        <w:spacing w:line="440" w:lineRule="exact"/>
        <w:ind w:firstLine="420" w:firstLineChars="200"/>
        <w:rPr>
          <w:rFonts w:ascii="宋体" w:hAnsi="宋体"/>
          <w:szCs w:val="21"/>
        </w:rPr>
      </w:pPr>
      <w:r>
        <w:rPr>
          <w:rFonts w:hint="eastAsia" w:ascii="宋体" w:hAnsi="宋体"/>
          <w:szCs w:val="21"/>
        </w:rPr>
        <w:t>9.我单位承诺不恶意低价谋取成交；我单位对本项目的报价负责，成交后将严格按照本项目采购文件需求、签署的采购合同及我单位在应答中所作的全部承诺履行。我单位清楚，若我单位以“报价太低而无法履约”为理由放弃本项目成交资格时，响应保证金将不被退还，且愿意接受主管部门的处理处罚。</w:t>
      </w:r>
    </w:p>
    <w:p>
      <w:pPr>
        <w:spacing w:line="440" w:lineRule="exact"/>
        <w:ind w:firstLine="420" w:firstLineChars="200"/>
        <w:rPr>
          <w:rFonts w:ascii="宋体" w:hAnsi="宋体"/>
          <w:szCs w:val="21"/>
        </w:rPr>
      </w:pPr>
      <w:r>
        <w:rPr>
          <w:rFonts w:hint="eastAsia" w:ascii="宋体" w:hAnsi="宋体"/>
          <w:szCs w:val="21"/>
        </w:rPr>
        <w:t>10.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pPr>
        <w:spacing w:line="440" w:lineRule="exact"/>
        <w:ind w:firstLine="420" w:firstLineChars="200"/>
        <w:rPr>
          <w:rFonts w:ascii="宋体" w:hAnsi="宋体"/>
          <w:szCs w:val="21"/>
        </w:rPr>
      </w:pPr>
      <w:r>
        <w:rPr>
          <w:rFonts w:hint="eastAsia" w:ascii="宋体" w:hAnsi="宋体"/>
          <w:szCs w:val="21"/>
        </w:rPr>
        <w:t>11.我单位承诺不非法转包、分包。</w:t>
      </w:r>
    </w:p>
    <w:p>
      <w:pPr>
        <w:spacing w:line="440" w:lineRule="exact"/>
        <w:ind w:firstLine="420" w:firstLineChars="200"/>
        <w:rPr>
          <w:rFonts w:ascii="宋体" w:hAnsi="宋体"/>
          <w:szCs w:val="21"/>
        </w:rPr>
      </w:pPr>
      <w:r>
        <w:rPr>
          <w:rFonts w:hint="eastAsia" w:ascii="宋体" w:hAnsi="宋体"/>
          <w:szCs w:val="21"/>
        </w:rPr>
        <w:t>12.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绿色数据中心政府采购需求标准（试行）》（财办库〔2023〕7号）要求。</w:t>
      </w:r>
    </w:p>
    <w:p>
      <w:pPr>
        <w:spacing w:line="440" w:lineRule="exact"/>
        <w:ind w:firstLine="420" w:firstLineChars="200"/>
        <w:rPr>
          <w:rFonts w:ascii="宋体" w:hAnsi="宋体"/>
          <w:bCs/>
          <w:szCs w:val="21"/>
        </w:rPr>
      </w:pPr>
      <w:r>
        <w:rPr>
          <w:rFonts w:hint="eastAsia" w:ascii="宋体" w:hAnsi="宋体"/>
          <w:szCs w:val="21"/>
        </w:rPr>
        <w:t>13.</w:t>
      </w:r>
      <w:r>
        <w:rPr>
          <w:rFonts w:hint="eastAsia" w:ascii="宋体" w:hAnsi="宋体"/>
          <w:bCs/>
          <w:szCs w:val="21"/>
        </w:rPr>
        <w:t>我单位清楚，如存在违反投标承诺行为情节严重的，将根据《深圳市财政局关于印发&lt;深圳市财政局政府采购供应商信用信息管理办法&gt;的通知》，依法被列入失信信息。</w:t>
      </w:r>
    </w:p>
    <w:p>
      <w:pPr>
        <w:spacing w:line="440" w:lineRule="exact"/>
        <w:ind w:firstLine="420" w:firstLineChars="200"/>
        <w:rPr>
          <w:rFonts w:ascii="宋体" w:hAnsi="宋体" w:cs="宋体"/>
          <w:szCs w:val="21"/>
        </w:rPr>
      </w:pPr>
      <w:r>
        <w:rPr>
          <w:rFonts w:hint="eastAsia" w:ascii="宋体" w:hAnsi="宋体"/>
          <w:szCs w:val="21"/>
        </w:rPr>
        <w:t>14.</w:t>
      </w:r>
      <w:r>
        <w:rPr>
          <w:rFonts w:hint="eastAsia" w:ascii="宋体" w:hAnsi="宋体" w:cs="宋体"/>
          <w:szCs w:val="21"/>
        </w:rPr>
        <w:t>我单位不存在《深圳市财政局政府采购供应商信用信息管理办法》（深财规〔2023〕3号）列明的严重违法失信行为。</w:t>
      </w:r>
    </w:p>
    <w:p>
      <w:pPr>
        <w:spacing w:line="440" w:lineRule="exact"/>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spacing w:line="440" w:lineRule="exact"/>
        <w:ind w:firstLine="645"/>
        <w:rPr>
          <w:rFonts w:ascii="宋体" w:hAnsi="宋体"/>
          <w:szCs w:val="21"/>
        </w:rPr>
      </w:pPr>
      <w:r>
        <w:rPr>
          <w:rFonts w:hint="eastAsia" w:ascii="宋体" w:hAnsi="宋体"/>
          <w:szCs w:val="21"/>
        </w:rPr>
        <w:t xml:space="preserve">                 </w:t>
      </w:r>
    </w:p>
    <w:p>
      <w:pPr>
        <w:spacing w:line="440" w:lineRule="exact"/>
        <w:ind w:firstLine="645"/>
        <w:rPr>
          <w:rFonts w:ascii="宋体" w:hAnsi="宋体"/>
          <w:szCs w:val="21"/>
        </w:rPr>
      </w:pPr>
      <w:r>
        <w:rPr>
          <w:rFonts w:hint="eastAsia" w:ascii="宋体" w:hAnsi="宋体"/>
          <w:szCs w:val="21"/>
        </w:rPr>
        <w:t xml:space="preserve"> </w:t>
      </w:r>
    </w:p>
    <w:p>
      <w:pPr>
        <w:spacing w:line="440" w:lineRule="exact"/>
        <w:ind w:firstLine="4949" w:firstLineChars="2357"/>
        <w:rPr>
          <w:rFonts w:ascii="宋体" w:hAnsi="宋体"/>
          <w:szCs w:val="21"/>
        </w:rPr>
      </w:pPr>
      <w:r>
        <w:rPr>
          <w:rFonts w:hint="eastAsia" w:ascii="宋体" w:hAnsi="宋体"/>
          <w:szCs w:val="21"/>
        </w:rPr>
        <w:t xml:space="preserve">供应商名称（公章）： </w:t>
      </w:r>
    </w:p>
    <w:p>
      <w:pPr>
        <w:pStyle w:val="9"/>
        <w:spacing w:line="440" w:lineRule="exact"/>
        <w:ind w:firstLine="422" w:firstLineChars="200"/>
        <w:rPr>
          <w:rFonts w:ascii="宋体" w:hAnsi="宋体" w:eastAsia="宋体"/>
          <w:sz w:val="21"/>
          <w:szCs w:val="21"/>
        </w:rPr>
      </w:pPr>
      <w:r>
        <w:rPr>
          <w:rFonts w:hint="eastAsia" w:ascii="宋体"/>
          <w:b/>
          <w:sz w:val="21"/>
          <w:szCs w:val="21"/>
        </w:rPr>
        <w:t xml:space="preserve">                                                          </w:t>
      </w:r>
      <w:r>
        <w:rPr>
          <w:rFonts w:hint="eastAsia" w:ascii="宋体" w:hAnsi="宋体" w:eastAsia="宋体"/>
          <w:sz w:val="21"/>
          <w:szCs w:val="21"/>
        </w:rPr>
        <w:t xml:space="preserve">   年   月    日</w:t>
      </w:r>
    </w:p>
    <w:p>
      <w:pPr>
        <w:pStyle w:val="2"/>
        <w:spacing w:before="0" w:after="0" w:line="440" w:lineRule="exact"/>
        <w:rPr>
          <w:rFonts w:ascii="宋体" w:hAnsi="宋体"/>
          <w:color w:val="000000"/>
          <w:sz w:val="21"/>
          <w:szCs w:val="21"/>
        </w:rPr>
      </w:pPr>
      <w:r>
        <w:rPr>
          <w:rFonts w:ascii="宋体" w:hAnsi="宋体"/>
          <w:color w:val="000000"/>
          <w:szCs w:val="21"/>
        </w:rPr>
        <w:br w:type="page"/>
      </w:r>
      <w:bookmarkStart w:id="89" w:name="_Toc9731"/>
      <w:bookmarkStart w:id="90" w:name="_Toc31455"/>
      <w:r>
        <w:rPr>
          <w:rFonts w:hint="eastAsia" w:ascii="宋体" w:hAnsi="宋体"/>
          <w:color w:val="000000"/>
          <w:sz w:val="21"/>
          <w:szCs w:val="21"/>
        </w:rPr>
        <w:t>格式三：报价一览表格式</w:t>
      </w:r>
      <w:bookmarkEnd w:id="89"/>
      <w:bookmarkEnd w:id="90"/>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报价一览表</w:t>
      </w:r>
    </w:p>
    <w:p>
      <w:pPr>
        <w:spacing w:line="440" w:lineRule="exact"/>
        <w:rPr>
          <w:rFonts w:ascii="宋体" w:hAnsi="宋体"/>
          <w:color w:val="000000"/>
          <w:szCs w:val="21"/>
        </w:rPr>
      </w:pPr>
      <w:r>
        <w:rPr>
          <w:rFonts w:hint="eastAsia" w:ascii="宋体" w:hAnsi="宋体"/>
          <w:color w:val="000000"/>
          <w:szCs w:val="21"/>
        </w:rPr>
        <w:t>供应商名称：</w:t>
      </w:r>
    </w:p>
    <w:p>
      <w:pPr>
        <w:spacing w:line="440" w:lineRule="exact"/>
        <w:rPr>
          <w:rFonts w:ascii="宋体" w:hAnsi="宋体"/>
          <w:color w:val="000000"/>
          <w:szCs w:val="21"/>
        </w:rPr>
      </w:pPr>
      <w:r>
        <w:rPr>
          <w:rFonts w:hint="eastAsia" w:ascii="宋体" w:hAnsi="宋体"/>
          <w:color w:val="000000"/>
          <w:szCs w:val="21"/>
        </w:rPr>
        <w:t>项目编号：</w:t>
      </w:r>
    </w:p>
    <w:p>
      <w:pPr>
        <w:spacing w:line="440" w:lineRule="exact"/>
        <w:rPr>
          <w:rFonts w:ascii="宋体" w:hAnsi="宋体"/>
          <w:color w:val="000000"/>
          <w:szCs w:val="21"/>
        </w:rPr>
      </w:pPr>
      <w:r>
        <w:rPr>
          <w:rFonts w:hint="eastAsia" w:ascii="宋体" w:hAnsi="宋体"/>
          <w:color w:val="000000"/>
          <w:szCs w:val="21"/>
        </w:rPr>
        <w:t xml:space="preserve">项目名称：                                  </w:t>
      </w:r>
    </w:p>
    <w:p>
      <w:pPr>
        <w:spacing w:line="440" w:lineRule="exact"/>
        <w:rPr>
          <w:rFonts w:ascii="宋体" w:hAnsi="宋体"/>
          <w:color w:val="000000"/>
          <w:szCs w:val="21"/>
        </w:rPr>
      </w:pPr>
      <w:r>
        <w:rPr>
          <w:rFonts w:hint="eastAsia" w:ascii="宋体" w:hAnsi="宋体"/>
          <w:color w:val="000000"/>
          <w:szCs w:val="21"/>
        </w:rPr>
        <w:t>应答总价（人民币大写）：</w:t>
      </w: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 xml:space="preserve"> </w:t>
      </w:r>
    </w:p>
    <w:p>
      <w:pPr>
        <w:spacing w:line="440" w:lineRule="exact"/>
        <w:rPr>
          <w:rFonts w:ascii="宋体" w:hAnsi="宋体"/>
          <w:color w:val="000000"/>
          <w:szCs w:val="21"/>
        </w:rPr>
      </w:pPr>
      <w:r>
        <w:rPr>
          <w:rFonts w:hint="eastAsia" w:ascii="宋体" w:hAnsi="宋体"/>
          <w:color w:val="000000"/>
          <w:szCs w:val="21"/>
        </w:rPr>
        <w:t>供应商公章：</w:t>
      </w: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注：如供应商同时对多个项目包进行应答，开标一览表必须分包单独制作。</w:t>
      </w:r>
    </w:p>
    <w:p>
      <w:pPr>
        <w:spacing w:line="440" w:lineRule="exact"/>
        <w:ind w:left="1080" w:hanging="1080" w:hangingChars="450"/>
        <w:rPr>
          <w:rFonts w:ascii="宋体" w:hAnsi="宋体"/>
          <w:bCs/>
          <w:color w:val="000000"/>
          <w:sz w:val="24"/>
          <w:szCs w:val="24"/>
        </w:rPr>
      </w:pPr>
      <w:r>
        <w:rPr>
          <w:rFonts w:hint="eastAsia" w:ascii="宋体" w:hAnsi="宋体"/>
          <w:color w:val="000000"/>
          <w:sz w:val="24"/>
          <w:szCs w:val="24"/>
        </w:rPr>
        <w:t xml:space="preserve">     </w:t>
      </w:r>
    </w:p>
    <w:p>
      <w:pPr>
        <w:pStyle w:val="2"/>
        <w:spacing w:before="0" w:after="0" w:line="440" w:lineRule="exact"/>
        <w:rPr>
          <w:rFonts w:ascii="宋体" w:hAnsi="宋体"/>
          <w:color w:val="000000"/>
          <w:sz w:val="21"/>
          <w:szCs w:val="21"/>
        </w:rPr>
      </w:pPr>
      <w:bookmarkStart w:id="91" w:name="_Toc2145"/>
      <w:bookmarkStart w:id="92" w:name="_Toc16991"/>
      <w:r>
        <w:rPr>
          <w:rFonts w:hint="eastAsia" w:ascii="宋体" w:hAnsi="宋体"/>
          <w:color w:val="000000"/>
          <w:sz w:val="21"/>
          <w:szCs w:val="21"/>
        </w:rPr>
        <w:t>格式四：报价明细表格式</w:t>
      </w:r>
      <w:bookmarkEnd w:id="91"/>
      <w:bookmarkEnd w:id="92"/>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报价明细表</w:t>
      </w:r>
    </w:p>
    <w:p>
      <w:pPr>
        <w:spacing w:line="440" w:lineRule="exact"/>
        <w:rPr>
          <w:rFonts w:ascii="宋体" w:hAnsi="宋体"/>
          <w:color w:val="FF0000"/>
          <w:sz w:val="18"/>
          <w:szCs w:val="18"/>
        </w:rPr>
      </w:pPr>
      <w:r>
        <w:rPr>
          <w:rFonts w:hint="eastAsia" w:ascii="宋体" w:hAnsi="宋体"/>
          <w:bCs/>
          <w:color w:val="000000"/>
          <w:szCs w:val="21"/>
        </w:rPr>
        <w:t>项目名称：                                                  项目编号：</w:t>
      </w:r>
    </w:p>
    <w:tbl>
      <w:tblPr>
        <w:tblStyle w:val="31"/>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9215" w:type="dxa"/>
            <w:vAlign w:val="center"/>
          </w:tcPr>
          <w:p>
            <w:pPr>
              <w:spacing w:line="440" w:lineRule="exact"/>
              <w:jc w:val="center"/>
              <w:rPr>
                <w:rFonts w:ascii="宋体" w:hAnsi="宋体"/>
                <w:color w:val="000000"/>
                <w:szCs w:val="21"/>
              </w:rPr>
            </w:pPr>
            <w:r>
              <w:rPr>
                <w:rFonts w:hint="eastAsia" w:ascii="宋体" w:hAnsi="宋体"/>
                <w:b/>
                <w:color w:val="000000"/>
                <w:szCs w:val="21"/>
              </w:rPr>
              <w:t>供应商按第四章的要求自行制作报价明细表</w:t>
            </w:r>
          </w:p>
        </w:tc>
      </w:tr>
    </w:tbl>
    <w:p>
      <w:pPr>
        <w:spacing w:line="440" w:lineRule="exact"/>
        <w:rPr>
          <w:rFonts w:ascii="宋体" w:hAnsi="宋体"/>
          <w:color w:val="000000"/>
          <w:szCs w:val="21"/>
        </w:rPr>
      </w:pPr>
    </w:p>
    <w:p>
      <w:pPr>
        <w:spacing w:line="440" w:lineRule="exact"/>
        <w:rPr>
          <w:rFonts w:ascii="宋体" w:hAnsi="宋体"/>
          <w:bCs/>
          <w:color w:val="000000"/>
          <w:szCs w:val="21"/>
        </w:rPr>
      </w:pPr>
      <w:r>
        <w:rPr>
          <w:rFonts w:hint="eastAsia" w:ascii="宋体" w:hAnsi="宋体"/>
          <w:color w:val="000000"/>
          <w:szCs w:val="21"/>
        </w:rPr>
        <w:t xml:space="preserve"> </w:t>
      </w:r>
    </w:p>
    <w:p>
      <w:pPr>
        <w:spacing w:line="440" w:lineRule="exact"/>
        <w:rPr>
          <w:rFonts w:ascii="宋体" w:hAnsi="宋体"/>
          <w:bCs/>
          <w:color w:val="000000"/>
          <w:szCs w:val="21"/>
        </w:rPr>
      </w:pPr>
      <w:r>
        <w:rPr>
          <w:rFonts w:hint="eastAsia" w:ascii="宋体" w:hAnsi="宋体"/>
          <w:bCs/>
          <w:color w:val="000000"/>
          <w:szCs w:val="21"/>
        </w:rPr>
        <w:t xml:space="preserve">供应商公章： </w:t>
      </w:r>
    </w:p>
    <w:p>
      <w:pPr>
        <w:pStyle w:val="2"/>
        <w:spacing w:before="0" w:after="0" w:line="440" w:lineRule="exact"/>
        <w:rPr>
          <w:rFonts w:ascii="宋体" w:hAnsi="宋体"/>
          <w:color w:val="000000"/>
          <w:sz w:val="21"/>
          <w:szCs w:val="21"/>
        </w:rPr>
      </w:pPr>
      <w:r>
        <w:rPr>
          <w:rFonts w:ascii="宋体" w:hAnsi="宋体"/>
          <w:color w:val="000000"/>
        </w:rPr>
        <w:br w:type="page"/>
      </w:r>
      <w:bookmarkStart w:id="93" w:name="_Toc27960"/>
      <w:bookmarkStart w:id="94" w:name="_Toc17971"/>
      <w:r>
        <w:rPr>
          <w:rFonts w:hint="eastAsia" w:ascii="宋体" w:hAnsi="宋体"/>
          <w:color w:val="000000"/>
          <w:sz w:val="21"/>
          <w:szCs w:val="21"/>
        </w:rPr>
        <w:t>格式五：法定代表人证明书及授权委托书格式</w:t>
      </w:r>
      <w:bookmarkEnd w:id="93"/>
      <w:bookmarkEnd w:id="94"/>
    </w:p>
    <w:p>
      <w:pPr>
        <w:spacing w:line="440" w:lineRule="exact"/>
        <w:ind w:firstLine="420"/>
        <w:rPr>
          <w:rFonts w:ascii="宋体" w:hAnsi="宋体"/>
        </w:rPr>
      </w:pPr>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法定代表人证明书</w:t>
      </w:r>
    </w:p>
    <w:p>
      <w:pPr>
        <w:spacing w:line="440" w:lineRule="exact"/>
        <w:ind w:firstLine="420" w:firstLineChars="200"/>
        <w:rPr>
          <w:rFonts w:ascii="宋体" w:hAnsi="宋体"/>
          <w:u w:val="single"/>
          <w:bdr w:val="single" w:color="auto" w:sz="4" w:space="0"/>
        </w:rPr>
      </w:pPr>
      <w:r>
        <w:rPr>
          <w:rFonts w:ascii="宋体" w:hAnsi="宋体"/>
          <w:u w:val="single"/>
        </w:rPr>
        <w:t xml:space="preserve">    </w:t>
      </w:r>
      <w:r>
        <w:rPr>
          <w:rFonts w:hint="eastAsia" w:ascii="宋体" w:hAnsi="宋体"/>
          <w:i/>
          <w:iCs/>
          <w:color w:val="000000"/>
          <w:szCs w:val="21"/>
          <w:u w:val="single"/>
        </w:rPr>
        <w:t xml:space="preserve">（姓名） </w:t>
      </w:r>
      <w:r>
        <w:rPr>
          <w:rFonts w:ascii="宋体" w:hAnsi="宋体"/>
          <w:u w:val="single"/>
        </w:rPr>
        <w:t xml:space="preserve">    </w:t>
      </w:r>
      <w:r>
        <w:rPr>
          <w:rFonts w:ascii="宋体" w:hAnsi="宋体"/>
        </w:rPr>
        <w:t>同志，现任我单位</w:t>
      </w:r>
      <w:r>
        <w:rPr>
          <w:rFonts w:ascii="宋体" w:hAnsi="宋体"/>
          <w:u w:val="single"/>
        </w:rPr>
        <w:t xml:space="preserve">   </w:t>
      </w:r>
      <w:r>
        <w:rPr>
          <w:rFonts w:hint="eastAsia" w:ascii="宋体" w:hAnsi="宋体"/>
          <w:i/>
          <w:iCs/>
          <w:color w:val="000000"/>
          <w:szCs w:val="21"/>
          <w:u w:val="single"/>
        </w:rPr>
        <w:t xml:space="preserve">（职务名称） </w:t>
      </w:r>
      <w:r>
        <w:rPr>
          <w:rFonts w:ascii="宋体" w:hAnsi="宋体"/>
          <w:u w:val="single"/>
        </w:rPr>
        <w:t xml:space="preserve">   </w:t>
      </w:r>
      <w:r>
        <w:rPr>
          <w:rFonts w:ascii="宋体" w:hAnsi="宋体"/>
        </w:rPr>
        <w:t>职务，为法定代表人，特此证明。</w:t>
      </w:r>
    </w:p>
    <w:p>
      <w:pPr>
        <w:spacing w:line="440" w:lineRule="exact"/>
        <w:rPr>
          <w:rFonts w:ascii="宋体" w:hAnsi="宋体"/>
        </w:rPr>
      </w:pPr>
    </w:p>
    <w:p>
      <w:pPr>
        <w:spacing w:line="440" w:lineRule="exact"/>
        <w:ind w:firstLine="420" w:firstLineChars="200"/>
        <w:rPr>
          <w:rFonts w:ascii="宋体" w:hAnsi="宋体"/>
        </w:rPr>
      </w:pPr>
      <w:r>
        <w:rPr>
          <w:rFonts w:ascii="宋体" w:hAnsi="宋体"/>
        </w:rPr>
        <w:t>单位</w:t>
      </w:r>
      <w:r>
        <w:rPr>
          <w:rFonts w:hint="eastAsia" w:ascii="宋体" w:hAnsi="宋体"/>
        </w:rPr>
        <w:t>（盖章）</w:t>
      </w:r>
      <w:r>
        <w:rPr>
          <w:rFonts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spacing w:line="440" w:lineRule="exact"/>
        <w:ind w:firstLine="420" w:firstLineChars="200"/>
        <w:rPr>
          <w:rFonts w:ascii="宋体" w:hAnsi="宋体"/>
          <w:szCs w:val="21"/>
        </w:rPr>
      </w:pPr>
      <w:r>
        <w:rPr>
          <w:rFonts w:ascii="宋体" w:hAnsi="宋体"/>
        </w:rPr>
        <w:t>签发日期：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440" w:lineRule="exact"/>
        <w:rPr>
          <w:rFonts w:ascii="宋体" w:hAnsi="宋体"/>
        </w:rPr>
      </w:pPr>
    </w:p>
    <w:p>
      <w:pPr>
        <w:spacing w:line="440" w:lineRule="exact"/>
        <w:rPr>
          <w:b/>
          <w:szCs w:val="21"/>
        </w:rPr>
      </w:pPr>
      <w:r>
        <w:rPr>
          <w:rFonts w:hint="eastAsia"/>
          <w:b/>
          <w:szCs w:val="21"/>
        </w:rPr>
        <w:t>附：提供法定代表人身份证扫描件或复印件（正反两面，身份证必须在有效期内）</w:t>
      </w:r>
    </w:p>
    <w:p>
      <w:pPr>
        <w:spacing w:line="440" w:lineRule="exact"/>
        <w:rPr>
          <w:rFonts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1329690</wp:posOffset>
                </wp:positionH>
                <wp:positionV relativeFrom="paragraph">
                  <wp:posOffset>122555</wp:posOffset>
                </wp:positionV>
                <wp:extent cx="2815590" cy="1837690"/>
                <wp:effectExtent l="4445" t="4445" r="18415" b="5715"/>
                <wp:wrapNone/>
                <wp:docPr id="1" name="文本框 3"/>
                <wp:cNvGraphicFramePr/>
                <a:graphic xmlns:a="http://schemas.openxmlformats.org/drawingml/2006/main">
                  <a:graphicData uri="http://schemas.microsoft.com/office/word/2010/wordprocessingShape">
                    <wps:wsp>
                      <wps:cNvSpPr txBox="1"/>
                      <wps:spPr>
                        <a:xfrm>
                          <a:off x="0" y="0"/>
                          <a:ext cx="2815590" cy="1837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正面</w:t>
                            </w:r>
                          </w:p>
                        </w:txbxContent>
                      </wps:txbx>
                      <wps:bodyPr anchor="ctr" anchorCtr="0" upright="1"/>
                    </wps:wsp>
                  </a:graphicData>
                </a:graphic>
              </wp:anchor>
            </w:drawing>
          </mc:Choice>
          <mc:Fallback>
            <w:pict>
              <v:shape id="文本框 3" o:spid="_x0000_s1026" o:spt="202" type="#_x0000_t202" style="position:absolute;left:0pt;margin-left:104.7pt;margin-top:9.65pt;height:144.7pt;width:221.7pt;z-index:251659264;v-text-anchor:middle;mso-width-relative:page;mso-height-relative:page;" fillcolor="#FFFFFF" filled="t" stroked="t" coordsize="21600,21600" o:gfxdata="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mctUrWAAAACgEAAA8A&#10;AAAAAAAAAQAgAAAAIgAAAGRycy9kb3ducmV2LnhtbFBLAQIUABQAAAAIAIdO4kC+V9QDGQIAAFIE&#10;AAAOAAAAAAAAAAEAIAAAACUBAABkcnMvZTJvRG9jLnhtbFBLBQYAAAAABgAGAFkBAACwBQAAAAA=&#10;">
                <v:fill on="t" focussize="0,0"/>
                <v:stroke color="#000000" joinstyle="miter"/>
                <v:imagedata o:title=""/>
                <o:lock v:ext="edit" aspectratio="f"/>
                <v:textbox>
                  <w:txbxContent>
                    <w:p>
                      <w:pPr>
                        <w:jc w:val="center"/>
                      </w:pPr>
                      <w:r>
                        <w:rPr>
                          <w:rFonts w:hint="eastAsia"/>
                        </w:rPr>
                        <w:t>正面</w:t>
                      </w:r>
                    </w:p>
                  </w:txbxContent>
                </v:textbox>
              </v:shape>
            </w:pict>
          </mc:Fallback>
        </mc:AlternateConten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1316355</wp:posOffset>
                </wp:positionH>
                <wp:positionV relativeFrom="paragraph">
                  <wp:posOffset>100330</wp:posOffset>
                </wp:positionV>
                <wp:extent cx="2815590" cy="1837690"/>
                <wp:effectExtent l="4445" t="4445" r="18415" b="5715"/>
                <wp:wrapNone/>
                <wp:docPr id="3" name="文本框 4"/>
                <wp:cNvGraphicFramePr/>
                <a:graphic xmlns:a="http://schemas.openxmlformats.org/drawingml/2006/main">
                  <a:graphicData uri="http://schemas.microsoft.com/office/word/2010/wordprocessingShape">
                    <wps:wsp>
                      <wps:cNvSpPr txBox="1"/>
                      <wps:spPr>
                        <a:xfrm>
                          <a:off x="0" y="0"/>
                          <a:ext cx="2815590" cy="1837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反面</w:t>
                            </w:r>
                          </w:p>
                        </w:txbxContent>
                      </wps:txbx>
                      <wps:bodyPr anchor="ctr" anchorCtr="0" upright="1"/>
                    </wps:wsp>
                  </a:graphicData>
                </a:graphic>
              </wp:anchor>
            </w:drawing>
          </mc:Choice>
          <mc:Fallback>
            <w:pict>
              <v:shape id="文本框 4" o:spid="_x0000_s1026" o:spt="202" type="#_x0000_t202" style="position:absolute;left:0pt;margin-left:103.65pt;margin-top:7.9pt;height:144.7pt;width:221.7pt;z-index:251660288;v-text-anchor:middle;mso-width-relative:page;mso-height-relative:page;" fillcolor="#FFFFFF" filled="t" stroked="t" coordsize="21600,21600" o:gfxdata="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XG7KNYAAAAKAQAA&#10;DwAAAAAAAAABACAAAAAiAAAAZHJzL2Rvd25yZXYueG1sUEsBAhQAFAAAAAgAh07iQACdGIkbAgAA&#10;UgQAAA4AAAAAAAAAAQAgAAAAJQEAAGRycy9lMm9Eb2MueG1sUEsFBgAAAAAGAAYAWQEAALIFAAAA&#10;AA==&#10;">
                <v:fill on="t" focussize="0,0"/>
                <v:stroke color="#000000" joinstyle="miter"/>
                <v:imagedata o:title=""/>
                <o:lock v:ext="edit" aspectratio="f"/>
                <v:textbox>
                  <w:txbxContent>
                    <w:p>
                      <w:pPr>
                        <w:jc w:val="center"/>
                      </w:pPr>
                      <w:r>
                        <w:rPr>
                          <w:rFonts w:hint="eastAsia"/>
                        </w:rPr>
                        <w:t>反面</w:t>
                      </w:r>
                    </w:p>
                  </w:txbxContent>
                </v:textbox>
              </v:shape>
            </w:pict>
          </mc:Fallback>
        </mc:AlternateConten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r>
        <w:rPr>
          <w:rFonts w:ascii="宋体" w:hAnsi="宋体"/>
        </w:rPr>
        <w:t>说明：1.法定代表人为企业事业单位、国家机关、社会团体的主要行政负责人。</w:t>
      </w:r>
    </w:p>
    <w:p>
      <w:pPr>
        <w:spacing w:line="440" w:lineRule="exact"/>
        <w:rPr>
          <w:rFonts w:ascii="宋体" w:hAnsi="宋体"/>
        </w:rPr>
      </w:pPr>
      <w:r>
        <w:rPr>
          <w:rFonts w:ascii="宋体" w:hAnsi="宋体"/>
        </w:rPr>
        <w:t xml:space="preserve">      2.内容必须填写真实、清楚，涂改无效，不得转让、买卖。</w:t>
      </w:r>
    </w:p>
    <w:p>
      <w:pPr>
        <w:spacing w:line="440" w:lineRule="exact"/>
      </w:pPr>
    </w:p>
    <w:p>
      <w:pPr>
        <w:spacing w:line="440" w:lineRule="exact"/>
      </w:pPr>
    </w:p>
    <w:p>
      <w:pPr>
        <w:widowControl/>
        <w:spacing w:line="440" w:lineRule="exact"/>
        <w:jc w:val="center"/>
        <w:rPr>
          <w:rFonts w:ascii="微软雅黑" w:hAnsi="微软雅黑" w:eastAsia="微软雅黑" w:cs="微软雅黑"/>
          <w:b/>
          <w:color w:val="000000"/>
          <w:sz w:val="30"/>
          <w:szCs w:val="30"/>
        </w:rPr>
      </w:pPr>
      <w:r>
        <w:rPr>
          <w:rFonts w:eastAsia="黑体"/>
          <w:sz w:val="30"/>
          <w:szCs w:val="30"/>
        </w:rPr>
        <w:br w:type="page"/>
      </w:r>
      <w:r>
        <w:rPr>
          <w:rFonts w:hint="eastAsia" w:ascii="微软雅黑" w:hAnsi="微软雅黑" w:eastAsia="微软雅黑" w:cs="微软雅黑"/>
          <w:b/>
          <w:color w:val="000000"/>
          <w:sz w:val="30"/>
          <w:szCs w:val="30"/>
        </w:rPr>
        <w:t>法定代表人授权委托书</w:t>
      </w:r>
    </w:p>
    <w:p>
      <w:pPr>
        <w:spacing w:line="440" w:lineRule="exact"/>
        <w:ind w:firstLine="420"/>
        <w:rPr>
          <w:szCs w:val="21"/>
        </w:rPr>
      </w:pPr>
    </w:p>
    <w:p>
      <w:pPr>
        <w:spacing w:line="440" w:lineRule="exact"/>
        <w:ind w:firstLine="420"/>
        <w:rPr>
          <w:szCs w:val="21"/>
        </w:rPr>
      </w:pPr>
      <w:r>
        <w:rPr>
          <w:rFonts w:hint="eastAsia"/>
          <w:szCs w:val="21"/>
        </w:rPr>
        <w:t>本授权委托书声明：我</w:t>
      </w:r>
      <w:r>
        <w:rPr>
          <w:rFonts w:hint="eastAsia"/>
          <w:szCs w:val="21"/>
          <w:u w:val="single"/>
        </w:rPr>
        <w:t xml:space="preserve">      </w:t>
      </w:r>
      <w:r>
        <w:rPr>
          <w:rFonts w:hint="eastAsia"/>
          <w:i/>
          <w:iCs/>
          <w:szCs w:val="21"/>
          <w:u w:val="single"/>
        </w:rPr>
        <w:t>（姓名）</w:t>
      </w:r>
      <w:r>
        <w:rPr>
          <w:rFonts w:hint="eastAsia"/>
          <w:szCs w:val="21"/>
          <w:u w:val="single"/>
        </w:rPr>
        <w:t xml:space="preserve">     </w:t>
      </w:r>
      <w:r>
        <w:rPr>
          <w:rFonts w:hint="eastAsia"/>
          <w:szCs w:val="21"/>
        </w:rPr>
        <w:t>系</w:t>
      </w:r>
      <w:r>
        <w:rPr>
          <w:rFonts w:hint="eastAsia"/>
          <w:szCs w:val="21"/>
          <w:u w:val="single"/>
        </w:rPr>
        <w:t xml:space="preserve">         </w:t>
      </w:r>
      <w:r>
        <w:rPr>
          <w:rFonts w:hint="eastAsia"/>
          <w:i/>
          <w:iCs/>
          <w:szCs w:val="21"/>
          <w:u w:val="single"/>
        </w:rPr>
        <w:t xml:space="preserve"> （供应商名称） </w:t>
      </w:r>
      <w:r>
        <w:rPr>
          <w:rFonts w:hint="eastAsia"/>
          <w:szCs w:val="21"/>
          <w:u w:val="single"/>
        </w:rPr>
        <w:t xml:space="preserve">        </w:t>
      </w:r>
      <w:r>
        <w:rPr>
          <w:rFonts w:hint="eastAsia"/>
          <w:szCs w:val="21"/>
        </w:rPr>
        <w:t>的法定代表人，现授权委托</w:t>
      </w:r>
      <w:r>
        <w:rPr>
          <w:rFonts w:hint="eastAsia"/>
          <w:szCs w:val="21"/>
          <w:u w:val="single"/>
        </w:rPr>
        <w:t xml:space="preserve">       </w:t>
      </w:r>
      <w:r>
        <w:rPr>
          <w:rFonts w:hint="eastAsia"/>
          <w:i/>
          <w:iCs/>
          <w:szCs w:val="21"/>
          <w:u w:val="single"/>
        </w:rPr>
        <w:t>（姓名）</w:t>
      </w:r>
      <w:r>
        <w:rPr>
          <w:rFonts w:hint="eastAsia"/>
          <w:szCs w:val="21"/>
          <w:u w:val="single"/>
        </w:rPr>
        <w:t xml:space="preserve">     </w:t>
      </w:r>
      <w:r>
        <w:rPr>
          <w:rFonts w:hint="eastAsia"/>
          <w:szCs w:val="21"/>
        </w:rPr>
        <w:t>为我单位签署</w:t>
      </w:r>
      <w:r>
        <w:rPr>
          <w:rFonts w:hint="eastAsia"/>
          <w:szCs w:val="21"/>
          <w:u w:val="single"/>
        </w:rPr>
        <w:t xml:space="preserve">           </w:t>
      </w:r>
      <w:r>
        <w:rPr>
          <w:rFonts w:hint="eastAsia"/>
          <w:i/>
          <w:iCs/>
          <w:szCs w:val="21"/>
          <w:u w:val="single"/>
        </w:rPr>
        <w:t>（项目名称）</w:t>
      </w:r>
      <w:r>
        <w:rPr>
          <w:rFonts w:hint="eastAsia"/>
          <w:szCs w:val="21"/>
          <w:u w:val="single"/>
        </w:rPr>
        <w:t xml:space="preserve">     </w:t>
      </w:r>
      <w:r>
        <w:rPr>
          <w:rFonts w:hint="eastAsia"/>
          <w:i/>
          <w:iCs/>
          <w:szCs w:val="21"/>
          <w:u w:val="single"/>
        </w:rPr>
        <w:t xml:space="preserve">   </w:t>
      </w:r>
      <w:r>
        <w:rPr>
          <w:rFonts w:hint="eastAsia"/>
          <w:szCs w:val="21"/>
        </w:rPr>
        <w:t>已递交的应答文件的法定代表人的授权委托代理人，代理人全权代表我所签署的本项目已递交的应答文件内容我均承认。</w:t>
      </w:r>
    </w:p>
    <w:p>
      <w:pPr>
        <w:spacing w:line="440" w:lineRule="exact"/>
        <w:ind w:firstLine="420"/>
        <w:rPr>
          <w:b/>
          <w:szCs w:val="21"/>
        </w:rPr>
      </w:pPr>
      <w:r>
        <w:rPr>
          <w:rFonts w:hint="eastAsia" w:ascii="宋体" w:hAnsi="宋体"/>
          <w:color w:val="000000"/>
          <w:szCs w:val="21"/>
        </w:rPr>
        <w:t>本授权委托书于签发之日生效，</w:t>
      </w:r>
      <w:r>
        <w:rPr>
          <w:rFonts w:hint="eastAsia"/>
          <w:szCs w:val="21"/>
        </w:rPr>
        <w:t>代理人无转委托权，特此委托。</w:t>
      </w:r>
    </w:p>
    <w:p>
      <w:pPr>
        <w:spacing w:line="440" w:lineRule="exact"/>
        <w:rPr>
          <w:rFonts w:ascii="宋体" w:hAnsi="宋体"/>
        </w:rPr>
      </w:pPr>
    </w:p>
    <w:p>
      <w:pPr>
        <w:spacing w:line="440" w:lineRule="exact"/>
        <w:ind w:firstLine="420" w:firstLineChars="200"/>
        <w:rPr>
          <w:rFonts w:ascii="宋体" w:hAnsi="宋体"/>
          <w:u w:val="single"/>
        </w:rPr>
      </w:pPr>
      <w:r>
        <w:rPr>
          <w:rFonts w:ascii="宋体" w:hAnsi="宋体"/>
        </w:rPr>
        <w:t>授权单位（盖章）：</w:t>
      </w:r>
      <w:r>
        <w:rPr>
          <w:rFonts w:ascii="宋体" w:hAnsi="宋体"/>
          <w:u w:val="single"/>
        </w:rPr>
        <w:t xml:space="preserve">                        </w:t>
      </w:r>
    </w:p>
    <w:p>
      <w:pPr>
        <w:spacing w:line="440" w:lineRule="exact"/>
        <w:ind w:firstLine="420" w:firstLineChars="200"/>
        <w:rPr>
          <w:rFonts w:ascii="宋体" w:hAnsi="宋体"/>
          <w:u w:val="single"/>
        </w:rPr>
      </w:pPr>
      <w:r>
        <w:rPr>
          <w:rFonts w:ascii="宋体" w:hAnsi="宋体"/>
        </w:rPr>
        <w:t>法定代表人（签名或盖章）：</w:t>
      </w:r>
      <w:r>
        <w:rPr>
          <w:rFonts w:ascii="宋体" w:hAnsi="宋体"/>
          <w:u w:val="single"/>
        </w:rPr>
        <w:t xml:space="preserve">                </w:t>
      </w:r>
    </w:p>
    <w:p>
      <w:pPr>
        <w:spacing w:line="440" w:lineRule="exact"/>
        <w:ind w:firstLine="420" w:firstLineChars="200"/>
        <w:rPr>
          <w:rFonts w:ascii="宋体" w:hAnsi="宋体"/>
          <w:szCs w:val="21"/>
        </w:rPr>
      </w:pPr>
      <w:r>
        <w:rPr>
          <w:rFonts w:ascii="宋体" w:hAnsi="宋体"/>
        </w:rPr>
        <w:t>签发日期：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440" w:lineRule="exact"/>
        <w:rPr>
          <w:b/>
          <w:szCs w:val="21"/>
        </w:rPr>
      </w:pPr>
    </w:p>
    <w:p>
      <w:pPr>
        <w:spacing w:line="440" w:lineRule="exact"/>
        <w:rPr>
          <w:b/>
          <w:szCs w:val="21"/>
        </w:rPr>
      </w:pPr>
      <w:r>
        <w:rPr>
          <w:rFonts w:hint="eastAsia"/>
          <w:b/>
          <w:szCs w:val="21"/>
        </w:rPr>
        <w:t>附：提供授权委托代理人身份证扫描件或复印件（正反两面，身份证必须在有效期内）</w:t>
      </w:r>
    </w:p>
    <w:p>
      <w:pPr>
        <w:spacing w:line="440" w:lineRule="exact"/>
        <w:rPr>
          <w:rFonts w:ascii="宋体" w:hAnsi="宋体"/>
        </w:rPr>
      </w:pP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1365250</wp:posOffset>
                </wp:positionH>
                <wp:positionV relativeFrom="paragraph">
                  <wp:posOffset>125730</wp:posOffset>
                </wp:positionV>
                <wp:extent cx="2815590" cy="1837690"/>
                <wp:effectExtent l="4445" t="4445" r="18415" b="5715"/>
                <wp:wrapNone/>
                <wp:docPr id="4" name="文本框 5"/>
                <wp:cNvGraphicFramePr/>
                <a:graphic xmlns:a="http://schemas.openxmlformats.org/drawingml/2006/main">
                  <a:graphicData uri="http://schemas.microsoft.com/office/word/2010/wordprocessingShape">
                    <wps:wsp>
                      <wps:cNvSpPr txBox="1"/>
                      <wps:spPr>
                        <a:xfrm>
                          <a:off x="0" y="0"/>
                          <a:ext cx="2815590" cy="1837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正面</w:t>
                            </w:r>
                          </w:p>
                        </w:txbxContent>
                      </wps:txbx>
                      <wps:bodyPr anchor="ctr" anchorCtr="0" upright="1"/>
                    </wps:wsp>
                  </a:graphicData>
                </a:graphic>
              </wp:anchor>
            </w:drawing>
          </mc:Choice>
          <mc:Fallback>
            <w:pict>
              <v:shape id="文本框 5" o:spid="_x0000_s1026" o:spt="202" type="#_x0000_t202" style="position:absolute;left:0pt;margin-left:107.5pt;margin-top:9.9pt;height:144.7pt;width:221.7pt;z-index:251661312;v-text-anchor:middle;mso-width-relative:page;mso-height-relative:page;" fillcolor="#FFFFFF" filled="t" stroked="t" coordsize="21600,21600" o:gfxdata="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Mt/EtYAAAAKAQAA&#10;DwAAAAAAAAABACAAAAAiAAAAZHJzL2Rvd25yZXYueG1sUEsBAhQAFAAAAAgAh07iQOfffrgbAgAA&#10;UgQAAA4AAAAAAAAAAQAgAAAAJQEAAGRycy9lMm9Eb2MueG1sUEsFBgAAAAAGAAYAWQEAALIFAAAA&#10;AA==&#10;">
                <v:fill on="t" focussize="0,0"/>
                <v:stroke color="#000000" joinstyle="miter"/>
                <v:imagedata o:title=""/>
                <o:lock v:ext="edit" aspectratio="f"/>
                <v:textbox>
                  <w:txbxContent>
                    <w:p>
                      <w:pPr>
                        <w:jc w:val="center"/>
                      </w:pPr>
                      <w:r>
                        <w:rPr>
                          <w:rFonts w:hint="eastAsia"/>
                        </w:rPr>
                        <w:t>正面</w:t>
                      </w:r>
                    </w:p>
                  </w:txbxContent>
                </v:textbox>
              </v:shape>
            </w:pict>
          </mc:Fallback>
        </mc:AlternateConten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r>
        <w:rPr>
          <w:rFonts w:ascii="宋体" w:hAnsi="宋体"/>
        </w:rPr>
        <mc:AlternateContent>
          <mc:Choice Requires="wps">
            <w:drawing>
              <wp:anchor distT="0" distB="0" distL="114300" distR="114300" simplePos="0" relativeHeight="251662336" behindDoc="0" locked="0" layoutInCell="1" allowOverlap="1">
                <wp:simplePos x="0" y="0"/>
                <wp:positionH relativeFrom="column">
                  <wp:posOffset>1365250</wp:posOffset>
                </wp:positionH>
                <wp:positionV relativeFrom="paragraph">
                  <wp:posOffset>250190</wp:posOffset>
                </wp:positionV>
                <wp:extent cx="2815590" cy="1837690"/>
                <wp:effectExtent l="4445" t="4445" r="18415" b="5715"/>
                <wp:wrapNone/>
                <wp:docPr id="5" name="文本框 6"/>
                <wp:cNvGraphicFramePr/>
                <a:graphic xmlns:a="http://schemas.openxmlformats.org/drawingml/2006/main">
                  <a:graphicData uri="http://schemas.microsoft.com/office/word/2010/wordprocessingShape">
                    <wps:wsp>
                      <wps:cNvSpPr txBox="1"/>
                      <wps:spPr>
                        <a:xfrm>
                          <a:off x="0" y="0"/>
                          <a:ext cx="2815590" cy="1837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反面</w:t>
                            </w:r>
                          </w:p>
                        </w:txbxContent>
                      </wps:txbx>
                      <wps:bodyPr anchor="ctr" anchorCtr="0" upright="1"/>
                    </wps:wsp>
                  </a:graphicData>
                </a:graphic>
              </wp:anchor>
            </w:drawing>
          </mc:Choice>
          <mc:Fallback>
            <w:pict>
              <v:shape id="文本框 6" o:spid="_x0000_s1026" o:spt="202" type="#_x0000_t202" style="position:absolute;left:0pt;margin-left:107.5pt;margin-top:19.7pt;height:144.7pt;width:221.7pt;z-index:251662336;v-text-anchor:middle;mso-width-relative:page;mso-height-relative:page;" fillcolor="#FFFFFF" filled="t" stroked="t" coordsize="21600,21600" o:gfxdata="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AYuwdcAAAAKAQAA&#10;DwAAAAAAAAABACAAAAAiAAAAZHJzL2Rvd25yZXYueG1sUEsBAhQAFAAAAAgAh07iQDt5AMwaAgAA&#10;UgQAAA4AAAAAAAAAAQAgAAAAJgEAAGRycy9lMm9Eb2MueG1sUEsFBgAAAAAGAAYAWQEAALIFAAAA&#10;AA==&#10;">
                <v:fill on="t" focussize="0,0"/>
                <v:stroke color="#000000" joinstyle="miter"/>
                <v:imagedata o:title=""/>
                <o:lock v:ext="edit" aspectratio="f"/>
                <v:textbox>
                  <w:txbxContent>
                    <w:p>
                      <w:pPr>
                        <w:jc w:val="center"/>
                      </w:pPr>
                      <w:r>
                        <w:rPr>
                          <w:rFonts w:hint="eastAsia"/>
                        </w:rPr>
                        <w:t>反面</w:t>
                      </w:r>
                    </w:p>
                  </w:txbxContent>
                </v:textbox>
              </v:shape>
            </w:pict>
          </mc:Fallback>
        </mc:AlternateContent>
      </w: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p>
    <w:p>
      <w:pPr>
        <w:spacing w:line="440" w:lineRule="exact"/>
        <w:rPr>
          <w:rFonts w:ascii="宋体" w:hAnsi="宋体"/>
        </w:rPr>
      </w:pPr>
      <w:r>
        <w:rPr>
          <w:rFonts w:ascii="宋体" w:hAnsi="宋体"/>
        </w:rPr>
        <w:t>说明：1. 委托书内容必须填写真实、清楚，涂改无效。</w:t>
      </w:r>
    </w:p>
    <w:p>
      <w:pPr>
        <w:spacing w:line="440" w:lineRule="exact"/>
        <w:rPr>
          <w:rFonts w:ascii="宋体" w:hAnsi="宋体"/>
          <w:b/>
          <w:color w:val="000000"/>
          <w:szCs w:val="21"/>
        </w:rPr>
      </w:pPr>
      <w:r>
        <w:rPr>
          <w:rFonts w:ascii="宋体" w:hAnsi="宋体"/>
        </w:rPr>
        <w:t xml:space="preserve">      2. 委托书不得转让、买卖。</w:t>
      </w:r>
    </w:p>
    <w:p>
      <w:pPr>
        <w:pStyle w:val="2"/>
        <w:spacing w:before="0" w:after="0" w:line="440" w:lineRule="exact"/>
        <w:rPr>
          <w:rFonts w:ascii="宋体" w:hAnsi="宋体"/>
          <w:color w:val="000000"/>
          <w:sz w:val="21"/>
          <w:szCs w:val="21"/>
        </w:rPr>
      </w:pPr>
      <w:r>
        <w:rPr>
          <w:rFonts w:ascii="宋体" w:hAnsi="宋体"/>
          <w:color w:val="000000"/>
          <w:szCs w:val="21"/>
        </w:rPr>
        <w:br w:type="page"/>
      </w:r>
      <w:bookmarkStart w:id="95" w:name="_Toc18926"/>
      <w:bookmarkStart w:id="96" w:name="_Toc6606"/>
      <w:r>
        <w:rPr>
          <w:rFonts w:hint="eastAsia" w:ascii="宋体" w:hAnsi="宋体"/>
          <w:color w:val="000000"/>
          <w:sz w:val="21"/>
          <w:szCs w:val="21"/>
        </w:rPr>
        <w:t>格式六：资格证明文件</w:t>
      </w:r>
      <w:bookmarkEnd w:id="95"/>
      <w:bookmarkEnd w:id="96"/>
    </w:p>
    <w:p>
      <w:pPr>
        <w:jc w:val="center"/>
        <w:rPr>
          <w:rFonts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资格证明文件</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4"/>
        </w:rPr>
        <w:t>1、</w:t>
      </w:r>
      <w:r>
        <w:rPr>
          <w:rFonts w:hint="eastAsia" w:asciiTheme="minorEastAsia" w:hAnsiTheme="minorEastAsia" w:eastAsiaTheme="minorEastAsia"/>
          <w:szCs w:val="21"/>
        </w:rPr>
        <w:t>营业证照（扫描件或复印件加盖公章）</w:t>
      </w:r>
    </w:p>
    <w:p>
      <w:pPr>
        <w:spacing w:line="440" w:lineRule="exact"/>
        <w:rPr>
          <w:rFonts w:asciiTheme="minorEastAsia" w:hAnsiTheme="minorEastAsia" w:eastAsiaTheme="minorEastAsia"/>
        </w:rPr>
      </w:pPr>
    </w:p>
    <w:p>
      <w:pPr>
        <w:spacing w:line="440" w:lineRule="exact"/>
        <w:rPr>
          <w:rFonts w:asciiTheme="minorEastAsia" w:hAnsiTheme="minorEastAsia" w:eastAsiaTheme="minorEastAsia"/>
          <w:szCs w:val="21"/>
        </w:rPr>
      </w:pPr>
      <w:r>
        <w:rPr>
          <w:rFonts w:hint="eastAsia" w:asciiTheme="minorEastAsia" w:hAnsiTheme="minorEastAsia" w:eastAsiaTheme="minorEastAsia"/>
        </w:rPr>
        <w:t>2、“投标邀请书”中“</w:t>
      </w:r>
      <w:r>
        <w:rPr>
          <w:rFonts w:hint="eastAsia" w:asciiTheme="minorEastAsia" w:hAnsiTheme="minorEastAsia" w:eastAsiaTheme="minorEastAsia"/>
          <w:b/>
          <w:bCs/>
          <w:color w:val="000000" w:themeColor="text1"/>
          <w:szCs w:val="21"/>
          <w14:textFill>
            <w14:solidFill>
              <w14:schemeClr w14:val="tx1"/>
            </w14:solidFill>
          </w14:textFill>
        </w:rPr>
        <w:t>供应商的资格要求</w:t>
      </w:r>
      <w:r>
        <w:rPr>
          <w:rFonts w:hint="eastAsia" w:asciiTheme="minorEastAsia" w:hAnsiTheme="minorEastAsia" w:eastAsiaTheme="minorEastAsia"/>
        </w:rPr>
        <w:t>”</w:t>
      </w:r>
      <w:r>
        <w:rPr>
          <w:rFonts w:hint="eastAsia" w:asciiTheme="minorEastAsia" w:hAnsiTheme="minorEastAsia" w:eastAsiaTheme="minorEastAsia"/>
          <w:szCs w:val="21"/>
        </w:rPr>
        <w:t>要求的其他资质证明文件</w:t>
      </w: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4"/>
        </w:rPr>
      </w:pPr>
      <w:r>
        <w:rPr>
          <w:rFonts w:hint="eastAsia" w:asciiTheme="minorEastAsia" w:hAnsiTheme="minorEastAsia" w:eastAsiaTheme="minorEastAsia"/>
          <w:szCs w:val="21"/>
        </w:rPr>
        <w:t>3、其它采购文件要求的资格证明文件</w:t>
      </w:r>
    </w:p>
    <w:p>
      <w:pPr>
        <w:spacing w:line="440" w:lineRule="exact"/>
        <w:rPr>
          <w:rFonts w:asciiTheme="minorEastAsia" w:hAnsiTheme="minorEastAsia" w:eastAsiaTheme="minorEastAsia"/>
          <w:szCs w:val="21"/>
        </w:rPr>
      </w:pPr>
    </w:p>
    <w:p>
      <w:pPr>
        <w:spacing w:line="440" w:lineRule="exact"/>
        <w:rPr>
          <w:b/>
        </w:rPr>
      </w:pPr>
      <w:r>
        <w:rPr>
          <w:rFonts w:hint="eastAsia" w:asciiTheme="minorEastAsia" w:hAnsiTheme="minorEastAsia" w:eastAsiaTheme="minorEastAsia"/>
          <w:szCs w:val="21"/>
        </w:rPr>
        <w:t>4、</w:t>
      </w:r>
      <w:r>
        <w:rPr>
          <w:rFonts w:hint="eastAsia"/>
          <w:b/>
        </w:rPr>
        <w:t>供应商基本情况表</w:t>
      </w:r>
    </w:p>
    <w:p>
      <w:pPr>
        <w:pStyle w:val="5"/>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供应商基本情况表</w:t>
      </w:r>
    </w:p>
    <w:p>
      <w:pPr>
        <w:pStyle w:val="5"/>
        <w:ind w:firstLine="571"/>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32"/>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ascii="宋体" w:hAnsi="宋体" w:cs="宋体"/>
                <w:szCs w:val="21"/>
              </w:rPr>
            </w:pPr>
            <w:r>
              <w:rPr>
                <w:rFonts w:hint="eastAsia" w:ascii="宋体" w:hAnsi="宋体" w:cs="宋体"/>
                <w:szCs w:val="21"/>
              </w:rPr>
              <w:t>采购人</w:t>
            </w:r>
          </w:p>
        </w:tc>
        <w:tc>
          <w:tcPr>
            <w:tcW w:w="2553" w:type="dxa"/>
            <w:gridSpan w:val="2"/>
            <w:vAlign w:val="center"/>
          </w:tcPr>
          <w:p>
            <w:pPr>
              <w:jc w:val="center"/>
              <w:rPr>
                <w:rFonts w:ascii="宋体" w:hAnsi="宋体" w:cs="宋体"/>
                <w:szCs w:val="21"/>
              </w:rPr>
            </w:pPr>
          </w:p>
        </w:tc>
        <w:tc>
          <w:tcPr>
            <w:tcW w:w="1991" w:type="dxa"/>
            <w:gridSpan w:val="2"/>
            <w:vAlign w:val="center"/>
          </w:tcPr>
          <w:p>
            <w:pPr>
              <w:jc w:val="center"/>
              <w:rPr>
                <w:rFonts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ascii="宋体" w:hAnsi="宋体" w:cs="宋体"/>
                <w:szCs w:val="21"/>
              </w:rPr>
            </w:pPr>
          </w:p>
        </w:tc>
        <w:tc>
          <w:tcPr>
            <w:tcW w:w="1991" w:type="dxa"/>
            <w:gridSpan w:val="2"/>
            <w:vAlign w:val="center"/>
          </w:tcPr>
          <w:p>
            <w:pPr>
              <w:snapToGrid w:val="0"/>
              <w:jc w:val="center"/>
              <w:rPr>
                <w:rFonts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t>劳动合同</w:t>
            </w:r>
          </w:p>
          <w:p>
            <w:pPr>
              <w:snapToGrid w:val="0"/>
              <w:jc w:val="center"/>
              <w:rPr>
                <w:rFonts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ascii="宋体" w:hAnsi="宋体" w:cs="宋体"/>
                <w:szCs w:val="21"/>
              </w:rPr>
            </w:pPr>
            <w:r>
              <w:rPr>
                <w:rFonts w:hint="eastAsia" w:ascii="宋体" w:hAnsi="宋体" w:cs="宋体"/>
                <w:szCs w:val="21"/>
              </w:rPr>
              <w:t>缴纳社会</w:t>
            </w:r>
          </w:p>
          <w:p>
            <w:pPr>
              <w:snapToGrid w:val="0"/>
              <w:jc w:val="center"/>
              <w:rPr>
                <w:rFonts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ascii="宋体" w:hAnsi="宋体" w:cs="宋体"/>
                <w:szCs w:val="21"/>
              </w:rPr>
            </w:pPr>
          </w:p>
        </w:tc>
        <w:tc>
          <w:tcPr>
            <w:tcW w:w="1991" w:type="dxa"/>
            <w:gridSpan w:val="2"/>
            <w:tcBorders>
              <w:top w:val="single" w:color="auto" w:sz="4" w:space="0"/>
            </w:tcBorders>
            <w:vAlign w:val="center"/>
          </w:tcPr>
          <w:p>
            <w:pPr>
              <w:jc w:val="center"/>
              <w:rPr>
                <w:rFonts w:ascii="宋体" w:hAnsi="宋体" w:cs="宋体"/>
                <w:szCs w:val="21"/>
              </w:rPr>
            </w:pPr>
          </w:p>
        </w:tc>
        <w:tc>
          <w:tcPr>
            <w:tcW w:w="1500" w:type="dxa"/>
            <w:tcBorders>
              <w:top w:val="single" w:color="auto" w:sz="4" w:space="0"/>
            </w:tcBorders>
            <w:vAlign w:val="center"/>
          </w:tcPr>
          <w:p>
            <w:pPr>
              <w:jc w:val="center"/>
              <w:rPr>
                <w:rFonts w:ascii="宋体" w:hAnsi="宋体" w:cs="宋体"/>
                <w:szCs w:val="21"/>
              </w:rPr>
            </w:pPr>
          </w:p>
        </w:tc>
        <w:tc>
          <w:tcPr>
            <w:tcW w:w="1485" w:type="dxa"/>
            <w:tcBorders>
              <w:top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ascii="宋体" w:hAnsi="宋体" w:cs="宋体"/>
                <w:szCs w:val="21"/>
              </w:rPr>
            </w:pPr>
            <w:r>
              <w:rPr>
                <w:rFonts w:hint="eastAsia" w:ascii="宋体" w:hAnsi="宋体" w:cs="宋体"/>
                <w:szCs w:val="21"/>
              </w:rPr>
              <w:t>主要技术人员</w:t>
            </w:r>
          </w:p>
        </w:tc>
        <w:tc>
          <w:tcPr>
            <w:tcW w:w="947" w:type="dxa"/>
            <w:vAlign w:val="center"/>
          </w:tcPr>
          <w:p>
            <w:pPr>
              <w:jc w:val="center"/>
              <w:rPr>
                <w:rFonts w:ascii="宋体" w:hAnsi="宋体" w:cs="宋体"/>
                <w:szCs w:val="21"/>
              </w:rPr>
            </w:pPr>
          </w:p>
        </w:tc>
        <w:tc>
          <w:tcPr>
            <w:tcW w:w="1991" w:type="dxa"/>
            <w:gridSpan w:val="2"/>
            <w:vAlign w:val="center"/>
          </w:tcPr>
          <w:p>
            <w:pPr>
              <w:jc w:val="center"/>
              <w:rPr>
                <w:rFonts w:ascii="宋体" w:hAnsi="宋体" w:cs="宋体"/>
                <w:szCs w:val="21"/>
              </w:rPr>
            </w:pPr>
          </w:p>
        </w:tc>
        <w:tc>
          <w:tcPr>
            <w:tcW w:w="1500" w:type="dxa"/>
            <w:vAlign w:val="center"/>
          </w:tcPr>
          <w:p>
            <w:pPr>
              <w:jc w:val="center"/>
              <w:rPr>
                <w:rFonts w:ascii="宋体" w:hAnsi="宋体" w:cs="宋体"/>
                <w:szCs w:val="21"/>
              </w:rPr>
            </w:pPr>
          </w:p>
        </w:tc>
        <w:tc>
          <w:tcPr>
            <w:tcW w:w="148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ascii="宋体" w:hAnsi="宋体" w:cs="宋体"/>
                <w:szCs w:val="21"/>
              </w:rPr>
            </w:pPr>
            <w:r>
              <w:rPr>
                <w:rFonts w:hint="eastAsia" w:ascii="宋体" w:hAnsi="宋体" w:cs="宋体"/>
                <w:szCs w:val="21"/>
                <w:lang w:bidi="ar"/>
              </w:rPr>
              <w:t>5</w:t>
            </w:r>
          </w:p>
        </w:tc>
        <w:tc>
          <w:tcPr>
            <w:tcW w:w="2282" w:type="dxa"/>
            <w:gridSpan w:val="2"/>
            <w:vAlign w:val="center"/>
          </w:tcPr>
          <w:p>
            <w:pPr>
              <w:pStyle w:val="5"/>
              <w:snapToGrid w:val="0"/>
              <w:ind w:firstLine="0" w:firstLineChars="0"/>
              <w:jc w:val="center"/>
              <w:rPr>
                <w:rFonts w:ascii="宋体" w:hAnsi="宋体" w:cs="宋体"/>
                <w:szCs w:val="21"/>
              </w:rPr>
            </w:pPr>
            <w:r>
              <w:rPr>
                <w:rFonts w:hint="eastAsia" w:ascii="宋体" w:hAnsi="宋体" w:cs="宋体"/>
                <w:szCs w:val="21"/>
              </w:rPr>
              <w:t>投标文件编制人员</w:t>
            </w:r>
          </w:p>
        </w:tc>
        <w:tc>
          <w:tcPr>
            <w:tcW w:w="947" w:type="dxa"/>
            <w:vAlign w:val="center"/>
          </w:tcPr>
          <w:p>
            <w:pPr>
              <w:jc w:val="center"/>
              <w:rPr>
                <w:rFonts w:ascii="宋体" w:hAnsi="宋体" w:cs="宋体"/>
                <w:szCs w:val="21"/>
              </w:rPr>
            </w:pPr>
          </w:p>
        </w:tc>
        <w:tc>
          <w:tcPr>
            <w:tcW w:w="1991" w:type="dxa"/>
            <w:gridSpan w:val="2"/>
            <w:vAlign w:val="center"/>
          </w:tcPr>
          <w:p>
            <w:pPr>
              <w:jc w:val="center"/>
              <w:rPr>
                <w:rFonts w:ascii="宋体" w:hAnsi="宋体" w:cs="宋体"/>
                <w:szCs w:val="21"/>
              </w:rPr>
            </w:pPr>
          </w:p>
        </w:tc>
        <w:tc>
          <w:tcPr>
            <w:tcW w:w="1500" w:type="dxa"/>
            <w:vAlign w:val="center"/>
          </w:tcPr>
          <w:p>
            <w:pPr>
              <w:jc w:val="center"/>
              <w:rPr>
                <w:rFonts w:ascii="宋体" w:hAnsi="宋体" w:cs="宋体"/>
                <w:szCs w:val="21"/>
              </w:rPr>
            </w:pPr>
          </w:p>
        </w:tc>
        <w:tc>
          <w:tcPr>
            <w:tcW w:w="148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ascii="宋体" w:hAnsi="宋体"/>
          <w:b/>
          <w:bCs/>
          <w:szCs w:val="21"/>
        </w:rPr>
      </w:pPr>
      <w:r>
        <w:rPr>
          <w:rFonts w:hint="eastAsia" w:ascii="宋体" w:hAnsi="宋体"/>
          <w:b/>
          <w:bCs/>
          <w:szCs w:val="21"/>
        </w:rPr>
        <w:t>注：</w:t>
      </w:r>
    </w:p>
    <w:p>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szCs w:val="21"/>
        </w:rPr>
      </w:pPr>
      <w:r>
        <w:rPr>
          <w:rFonts w:hint="eastAsia" w:ascii="宋体" w:hAnsi="宋体"/>
          <w:bCs/>
          <w:szCs w:val="21"/>
        </w:rPr>
        <w:t>2、供应商需如实填写上述信息，如查实上述信息与实际不符，视为提供虚假证明材料骗取中标，供应商应承担相应法律后果。</w:t>
      </w:r>
    </w:p>
    <w:p>
      <w:pPr>
        <w:spacing w:line="440" w:lineRule="exact"/>
        <w:rPr>
          <w:rFonts w:asciiTheme="minorEastAsia" w:hAnsiTheme="minorEastAsia" w:eastAsiaTheme="minorEastAsia"/>
        </w:rPr>
      </w:pPr>
    </w:p>
    <w:p>
      <w:pPr>
        <w:spacing w:line="440" w:lineRule="exact"/>
        <w:rPr>
          <w:rFonts w:asciiTheme="minorEastAsia" w:hAnsiTheme="minorEastAsia" w:eastAsiaTheme="minorEastAsia"/>
        </w:rPr>
      </w:pPr>
      <w:r>
        <w:rPr>
          <w:rFonts w:hint="eastAsia" w:asciiTheme="minorEastAsia" w:hAnsiTheme="minorEastAsia" w:eastAsiaTheme="minorEastAsia"/>
          <w:b/>
        </w:rPr>
        <w:t>备注：</w:t>
      </w:r>
      <w:r>
        <w:rPr>
          <w:rFonts w:hint="eastAsia" w:asciiTheme="minorEastAsia" w:hAnsiTheme="minorEastAsia" w:eastAsiaTheme="minorEastAsia"/>
        </w:rPr>
        <w:t>以上资质证明材料必须在应答文件中如实提供，一旦发现虚报、造假等违规行为，立即取消其投标资格并追究其相应法律责任。</w:t>
      </w:r>
    </w:p>
    <w:p>
      <w:pPr>
        <w:spacing w:line="400" w:lineRule="exact"/>
        <w:jc w:val="left"/>
        <w:rPr>
          <w:rFonts w:ascii="宋体" w:hAnsi="宋体" w:cs="宋体"/>
          <w:b/>
          <w:bCs/>
          <w:color w:val="000000"/>
          <w:szCs w:val="21"/>
        </w:rPr>
      </w:pPr>
      <w:r>
        <w:rPr>
          <w:color w:val="0000FF"/>
          <w:szCs w:val="21"/>
        </w:rPr>
        <w:br w:type="page"/>
      </w:r>
      <w:bookmarkStart w:id="97" w:name="_Toc21683"/>
      <w:r>
        <w:rPr>
          <w:rFonts w:hint="eastAsia" w:ascii="宋体" w:hAnsi="宋体" w:cs="宋体"/>
          <w:b/>
          <w:bCs/>
          <w:color w:val="000000"/>
          <w:szCs w:val="21"/>
        </w:rPr>
        <w:t>格式七：技术偏离表格式</w:t>
      </w:r>
      <w:bookmarkEnd w:id="97"/>
    </w:p>
    <w:p>
      <w:pPr>
        <w:jc w:val="center"/>
        <w:rPr>
          <w:rFonts w:ascii="微软雅黑" w:hAnsi="微软雅黑" w:eastAsia="微软雅黑" w:cs="微软雅黑"/>
          <w:b/>
          <w:bCs/>
          <w:color w:val="000000"/>
          <w:sz w:val="30"/>
          <w:szCs w:val="30"/>
        </w:rPr>
      </w:pPr>
      <w:bookmarkStart w:id="98" w:name="OLE_LINK50"/>
      <w:bookmarkStart w:id="99" w:name="OLE_LINK51"/>
      <w:r>
        <w:rPr>
          <w:rFonts w:hint="eastAsia" w:ascii="微软雅黑" w:hAnsi="微软雅黑" w:eastAsia="微软雅黑" w:cs="微软雅黑"/>
          <w:b/>
          <w:bCs/>
          <w:color w:val="000000"/>
          <w:sz w:val="30"/>
          <w:szCs w:val="30"/>
        </w:rPr>
        <w:t>技术偏离表</w:t>
      </w:r>
    </w:p>
    <w:p>
      <w:pPr>
        <w:spacing w:line="440" w:lineRule="exact"/>
        <w:rPr>
          <w:szCs w:val="21"/>
          <w:u w:val="single"/>
        </w:rPr>
      </w:pPr>
      <w:r>
        <w:rPr>
          <w:rFonts w:hint="eastAsia"/>
          <w:szCs w:val="21"/>
        </w:rPr>
        <w:t>供应商</w:t>
      </w:r>
      <w:r>
        <w:rPr>
          <w:szCs w:val="21"/>
        </w:rPr>
        <w:t>名称：</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 xml:space="preserve">         项目</w:t>
      </w:r>
      <w:r>
        <w:rPr>
          <w:szCs w:val="21"/>
        </w:rPr>
        <w:t>编号：</w:t>
      </w:r>
      <w:r>
        <w:rPr>
          <w:szCs w:val="21"/>
          <w:u w:val="single"/>
        </w:rPr>
        <w:t xml:space="preserve">         </w:t>
      </w:r>
      <w:r>
        <w:rPr>
          <w:rFonts w:hint="eastAsia"/>
          <w:szCs w:val="21"/>
          <w:u w:val="single"/>
        </w:rPr>
        <w:t xml:space="preserve">    </w:t>
      </w:r>
      <w:r>
        <w:rPr>
          <w:szCs w:val="21"/>
          <w:u w:val="single"/>
        </w:rPr>
        <w:t xml:space="preserve">    </w:t>
      </w:r>
    </w:p>
    <w:tbl>
      <w:tblPr>
        <w:tblStyle w:val="3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57"/>
        <w:gridCol w:w="2184"/>
        <w:gridCol w:w="2250"/>
        <w:gridCol w:w="117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b/>
                <w:color w:val="000000"/>
                <w:szCs w:val="21"/>
              </w:rPr>
            </w:pPr>
            <w:r>
              <w:rPr>
                <w:rFonts w:hint="eastAsia" w:ascii="宋体" w:hAnsi="宋体"/>
                <w:b/>
                <w:color w:val="000000"/>
                <w:szCs w:val="21"/>
              </w:rPr>
              <w:t>序号</w:t>
            </w:r>
          </w:p>
        </w:tc>
        <w:tc>
          <w:tcPr>
            <w:tcW w:w="1657" w:type="dxa"/>
            <w:vAlign w:val="center"/>
          </w:tcPr>
          <w:p>
            <w:pPr>
              <w:spacing w:line="0" w:lineRule="atLeast"/>
              <w:jc w:val="center"/>
              <w:rPr>
                <w:rFonts w:ascii="宋体" w:hAnsi="宋体"/>
                <w:b/>
                <w:color w:val="000000"/>
                <w:szCs w:val="21"/>
              </w:rPr>
            </w:pPr>
            <w:r>
              <w:rPr>
                <w:rFonts w:hint="eastAsia" w:ascii="宋体" w:hAnsi="宋体"/>
                <w:b/>
                <w:color w:val="000000"/>
                <w:szCs w:val="21"/>
              </w:rPr>
              <w:t>差别项名称</w:t>
            </w:r>
          </w:p>
        </w:tc>
        <w:tc>
          <w:tcPr>
            <w:tcW w:w="2184" w:type="dxa"/>
            <w:vAlign w:val="center"/>
          </w:tcPr>
          <w:p>
            <w:pPr>
              <w:spacing w:line="0" w:lineRule="atLeast"/>
              <w:jc w:val="center"/>
              <w:rPr>
                <w:rFonts w:ascii="宋体" w:hAnsi="宋体"/>
                <w:b/>
                <w:szCs w:val="21"/>
              </w:rPr>
            </w:pPr>
            <w:r>
              <w:rPr>
                <w:rFonts w:hint="eastAsia" w:ascii="宋体" w:hAnsi="宋体"/>
                <w:b/>
                <w:szCs w:val="21"/>
              </w:rPr>
              <w:t>采购文件技术要求</w:t>
            </w:r>
          </w:p>
        </w:tc>
        <w:tc>
          <w:tcPr>
            <w:tcW w:w="2250" w:type="dxa"/>
            <w:vAlign w:val="center"/>
          </w:tcPr>
          <w:p>
            <w:pPr>
              <w:spacing w:line="0" w:lineRule="atLeast"/>
              <w:jc w:val="center"/>
              <w:rPr>
                <w:rFonts w:ascii="宋体" w:hAnsi="宋体"/>
                <w:b/>
                <w:szCs w:val="21"/>
              </w:rPr>
            </w:pPr>
            <w:r>
              <w:rPr>
                <w:rFonts w:hint="eastAsia" w:ascii="宋体" w:hAnsi="宋体"/>
                <w:b/>
                <w:szCs w:val="21"/>
              </w:rPr>
              <w:t>应答文件技术响应</w:t>
            </w:r>
          </w:p>
        </w:tc>
        <w:tc>
          <w:tcPr>
            <w:tcW w:w="1176" w:type="dxa"/>
            <w:vAlign w:val="center"/>
          </w:tcPr>
          <w:p>
            <w:pPr>
              <w:spacing w:line="0" w:lineRule="atLeast"/>
              <w:jc w:val="center"/>
              <w:rPr>
                <w:rFonts w:ascii="宋体" w:hAnsi="宋体"/>
                <w:b/>
                <w:color w:val="000000"/>
                <w:szCs w:val="21"/>
              </w:rPr>
            </w:pPr>
            <w:r>
              <w:rPr>
                <w:rFonts w:hint="eastAsia" w:ascii="宋体" w:hAnsi="宋体"/>
                <w:b/>
                <w:color w:val="000000"/>
                <w:szCs w:val="21"/>
              </w:rPr>
              <w:t>偏离度</w:t>
            </w:r>
          </w:p>
        </w:tc>
        <w:tc>
          <w:tcPr>
            <w:tcW w:w="1178" w:type="dxa"/>
            <w:vAlign w:val="center"/>
          </w:tcPr>
          <w:p>
            <w:pPr>
              <w:spacing w:line="0" w:lineRule="atLeast"/>
              <w:jc w:val="center"/>
              <w:rPr>
                <w:rFonts w:ascii="宋体" w:hAnsi="宋体"/>
                <w:b/>
                <w:color w:val="000000"/>
                <w:szCs w:val="21"/>
              </w:rPr>
            </w:pPr>
            <w:r>
              <w:rPr>
                <w:rFonts w:hint="eastAsia" w:ascii="宋体" w:hAnsi="宋体"/>
                <w:b/>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Cs w:val="21"/>
              </w:rPr>
            </w:pPr>
          </w:p>
        </w:tc>
        <w:tc>
          <w:tcPr>
            <w:tcW w:w="1657" w:type="dxa"/>
            <w:vAlign w:val="center"/>
          </w:tcPr>
          <w:p>
            <w:pPr>
              <w:spacing w:line="0" w:lineRule="atLeast"/>
              <w:jc w:val="center"/>
              <w:rPr>
                <w:rFonts w:ascii="宋体" w:hAnsi="宋体"/>
                <w:color w:val="000000"/>
                <w:szCs w:val="21"/>
              </w:rPr>
            </w:pPr>
          </w:p>
        </w:tc>
        <w:tc>
          <w:tcPr>
            <w:tcW w:w="2184" w:type="dxa"/>
            <w:vAlign w:val="center"/>
          </w:tcPr>
          <w:p>
            <w:pPr>
              <w:spacing w:line="0" w:lineRule="atLeast"/>
              <w:jc w:val="center"/>
              <w:rPr>
                <w:rFonts w:ascii="宋体" w:hAnsi="宋体"/>
                <w:color w:val="000000"/>
                <w:szCs w:val="21"/>
              </w:rPr>
            </w:pPr>
          </w:p>
        </w:tc>
        <w:tc>
          <w:tcPr>
            <w:tcW w:w="2250" w:type="dxa"/>
            <w:vAlign w:val="center"/>
          </w:tcPr>
          <w:p>
            <w:pPr>
              <w:spacing w:line="0" w:lineRule="atLeast"/>
              <w:jc w:val="center"/>
              <w:rPr>
                <w:rFonts w:ascii="宋体" w:hAnsi="宋体"/>
                <w:color w:val="000000"/>
                <w:szCs w:val="21"/>
              </w:rPr>
            </w:pPr>
          </w:p>
        </w:tc>
        <w:tc>
          <w:tcPr>
            <w:tcW w:w="1176" w:type="dxa"/>
            <w:vAlign w:val="center"/>
          </w:tcPr>
          <w:p>
            <w:pPr>
              <w:spacing w:line="0" w:lineRule="atLeast"/>
              <w:jc w:val="center"/>
              <w:rPr>
                <w:rFonts w:ascii="宋体" w:hAnsi="宋体"/>
                <w:color w:val="000000"/>
                <w:szCs w:val="21"/>
              </w:rPr>
            </w:pPr>
          </w:p>
        </w:tc>
        <w:tc>
          <w:tcPr>
            <w:tcW w:w="1178"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r>
              <w:rPr>
                <w:rFonts w:hint="eastAsia" w:ascii="宋体" w:hAnsi="宋体"/>
                <w:color w:val="000000"/>
                <w:sz w:val="24"/>
              </w:rPr>
              <w:t>……</w:t>
            </w: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5" w:type="dxa"/>
            <w:gridSpan w:val="6"/>
            <w:vAlign w:val="center"/>
          </w:tcPr>
          <w:p>
            <w:pPr>
              <w:spacing w:line="0" w:lineRule="atLeast"/>
              <w:jc w:val="center"/>
              <w:rPr>
                <w:rFonts w:ascii="宋体" w:hAnsi="宋体"/>
                <w:b/>
                <w:color w:val="000000"/>
                <w:sz w:val="24"/>
                <w:szCs w:val="24"/>
              </w:rPr>
            </w:pPr>
            <w:r>
              <w:rPr>
                <w:rFonts w:hint="eastAsia" w:asciiTheme="majorEastAsia" w:hAnsiTheme="majorEastAsia" w:eastAsiaTheme="majorEastAsia"/>
                <w:b/>
                <w:color w:val="000000"/>
                <w:sz w:val="24"/>
                <w:szCs w:val="24"/>
              </w:rPr>
              <w:t>除上述条款以外，我单位承诺全部接受并按照采购文件的要求承担本项目。</w:t>
            </w:r>
          </w:p>
        </w:tc>
      </w:tr>
    </w:tbl>
    <w:p>
      <w:pPr>
        <w:spacing w:line="320" w:lineRule="exact"/>
        <w:rPr>
          <w:rFonts w:ascii="宋体" w:hAnsi="宋体"/>
          <w:color w:val="000000"/>
          <w:sz w:val="18"/>
        </w:rPr>
      </w:pPr>
      <w:r>
        <w:rPr>
          <w:rFonts w:hint="eastAsia" w:ascii="宋体" w:hAnsi="宋体"/>
          <w:color w:val="000000"/>
          <w:sz w:val="18"/>
        </w:rPr>
        <w:t>说明：</w:t>
      </w:r>
    </w:p>
    <w:p>
      <w:pPr>
        <w:spacing w:line="320" w:lineRule="exact"/>
        <w:jc w:val="left"/>
        <w:rPr>
          <w:rFonts w:ascii="宋体" w:hAnsi="宋体"/>
          <w:b/>
          <w:color w:val="000000"/>
          <w:sz w:val="18"/>
        </w:rPr>
      </w:pPr>
      <w:r>
        <w:rPr>
          <w:rFonts w:ascii="宋体" w:hAnsi="宋体"/>
          <w:b/>
          <w:color w:val="000000"/>
          <w:sz w:val="18"/>
        </w:rPr>
        <w:t>1</w:t>
      </w:r>
      <w:r>
        <w:rPr>
          <w:rFonts w:hint="eastAsia" w:ascii="宋体" w:hAnsi="宋体"/>
          <w:b/>
          <w:color w:val="000000"/>
          <w:sz w:val="18"/>
        </w:rPr>
        <w:t>、本表中“差别项”是指应答文件技术响应和采购文件技术要求不一致的项目，包括高于或低于采购文件要求的所有项目，</w:t>
      </w:r>
      <w:r>
        <w:rPr>
          <w:rFonts w:hint="eastAsia" w:ascii="宋体" w:hAnsi="宋体"/>
          <w:b/>
          <w:color w:val="000000"/>
          <w:sz w:val="18"/>
          <w:u w:val="single"/>
        </w:rPr>
        <w:t>没有不一致的，本表可空白</w:t>
      </w:r>
      <w:r>
        <w:rPr>
          <w:rFonts w:hint="eastAsia" w:ascii="宋体" w:hAnsi="宋体"/>
          <w:b/>
          <w:color w:val="000000"/>
          <w:sz w:val="18"/>
        </w:rPr>
        <w:t>；“采购文件技术要求”</w:t>
      </w:r>
      <w:r>
        <w:rPr>
          <w:rFonts w:ascii="宋体" w:hAnsi="宋体"/>
          <w:b/>
          <w:color w:val="000000"/>
          <w:sz w:val="18"/>
        </w:rPr>
        <w:t>来自于</w:t>
      </w:r>
      <w:r>
        <w:rPr>
          <w:rFonts w:ascii="宋体" w:hAnsi="宋体"/>
          <w:b/>
          <w:color w:val="000000"/>
          <w:sz w:val="18"/>
          <w:highlight w:val="yellow"/>
        </w:rPr>
        <w:t xml:space="preserve"> “</w:t>
      </w:r>
      <w:r>
        <w:rPr>
          <w:rFonts w:hint="eastAsia" w:ascii="宋体" w:hAnsi="宋体"/>
          <w:b/>
          <w:color w:val="000000"/>
          <w:sz w:val="18"/>
          <w:highlight w:val="yellow"/>
        </w:rPr>
        <w:t>技术</w:t>
      </w:r>
      <w:r>
        <w:rPr>
          <w:rFonts w:ascii="宋体" w:hAnsi="宋体"/>
          <w:b/>
          <w:color w:val="000000"/>
          <w:sz w:val="18"/>
          <w:highlight w:val="yellow"/>
        </w:rPr>
        <w:t>需求</w:t>
      </w:r>
      <w:r>
        <w:rPr>
          <w:rFonts w:hint="eastAsia" w:ascii="宋体" w:hAnsi="宋体"/>
          <w:b/>
          <w:color w:val="000000"/>
          <w:sz w:val="18"/>
          <w:highlight w:val="yellow"/>
        </w:rPr>
        <w:t>明细</w:t>
      </w:r>
      <w:r>
        <w:rPr>
          <w:rFonts w:ascii="宋体" w:hAnsi="宋体"/>
          <w:b/>
          <w:color w:val="000000"/>
          <w:sz w:val="18"/>
          <w:highlight w:val="yellow"/>
        </w:rPr>
        <w:t>”</w:t>
      </w:r>
      <w:r>
        <w:rPr>
          <w:rFonts w:ascii="宋体" w:hAnsi="宋体"/>
          <w:b/>
          <w:color w:val="000000"/>
          <w:sz w:val="18"/>
        </w:rPr>
        <w:t>。</w:t>
      </w:r>
    </w:p>
    <w:p>
      <w:pPr>
        <w:spacing w:line="320" w:lineRule="exact"/>
        <w:rPr>
          <w:rFonts w:ascii="宋体" w:hAnsi="宋体"/>
          <w:color w:val="000000"/>
          <w:sz w:val="18"/>
        </w:rPr>
      </w:pPr>
      <w:r>
        <w:rPr>
          <w:rFonts w:hint="eastAsia" w:ascii="宋体" w:hAnsi="宋体"/>
          <w:color w:val="000000"/>
          <w:sz w:val="18"/>
        </w:rPr>
        <w:t>2、对“偏离度”一栏，填写“正偏离”或“负偏离”。其中正偏离是指所响应条款优于采购文件所规定的要求；负偏离是指所响应条款低于采购文件所规定的要求。</w:t>
      </w:r>
    </w:p>
    <w:p>
      <w:pPr>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供应商</w:t>
      </w:r>
      <w:r>
        <w:rPr>
          <w:rFonts w:ascii="宋体" w:hAnsi="宋体" w:cs="宋体"/>
          <w:color w:val="000000"/>
          <w:kern w:val="0"/>
          <w:sz w:val="18"/>
          <w:szCs w:val="18"/>
        </w:rPr>
        <w:t>须及时留意我</w:t>
      </w:r>
      <w:r>
        <w:rPr>
          <w:rFonts w:hint="eastAsia" w:ascii="宋体" w:hAnsi="宋体" w:cs="宋体"/>
          <w:color w:val="000000"/>
          <w:kern w:val="0"/>
          <w:sz w:val="18"/>
          <w:szCs w:val="18"/>
        </w:rPr>
        <w:t>公司</w:t>
      </w:r>
      <w:r>
        <w:rPr>
          <w:rFonts w:ascii="宋体" w:hAnsi="宋体" w:cs="宋体"/>
          <w:color w:val="000000"/>
          <w:kern w:val="0"/>
          <w:sz w:val="18"/>
          <w:szCs w:val="18"/>
        </w:rPr>
        <w:t>可能发布的招标答疑、修改或澄清公告，其为</w:t>
      </w:r>
      <w:r>
        <w:rPr>
          <w:rFonts w:hint="eastAsia" w:ascii="宋体" w:hAnsi="宋体" w:cs="宋体"/>
          <w:color w:val="000000"/>
          <w:kern w:val="0"/>
          <w:sz w:val="18"/>
          <w:szCs w:val="18"/>
        </w:rPr>
        <w:t>采购文件</w:t>
      </w:r>
      <w:r>
        <w:rPr>
          <w:rFonts w:ascii="宋体" w:hAnsi="宋体" w:cs="宋体"/>
          <w:color w:val="000000"/>
          <w:kern w:val="0"/>
          <w:sz w:val="18"/>
          <w:szCs w:val="18"/>
        </w:rPr>
        <w:t>的有效组成部分，如</w:t>
      </w:r>
      <w:r>
        <w:rPr>
          <w:rFonts w:hint="eastAsia" w:ascii="宋体" w:hAnsi="宋体" w:cs="宋体"/>
          <w:color w:val="000000"/>
          <w:kern w:val="0"/>
          <w:sz w:val="18"/>
          <w:szCs w:val="18"/>
        </w:rPr>
        <w:t>应答文件中</w:t>
      </w:r>
      <w:r>
        <w:rPr>
          <w:rFonts w:ascii="宋体" w:hAnsi="宋体" w:cs="宋体"/>
          <w:color w:val="000000"/>
          <w:kern w:val="0"/>
          <w:sz w:val="18"/>
          <w:szCs w:val="18"/>
        </w:rPr>
        <w:t>出现</w:t>
      </w:r>
      <w:r>
        <w:rPr>
          <w:rFonts w:hint="eastAsia" w:ascii="宋体" w:hAnsi="宋体" w:cs="宋体"/>
          <w:color w:val="000000"/>
          <w:kern w:val="0"/>
          <w:sz w:val="18"/>
          <w:szCs w:val="18"/>
        </w:rPr>
        <w:t>采购文件服务需求</w:t>
      </w:r>
      <w:r>
        <w:rPr>
          <w:rFonts w:ascii="宋体" w:hAnsi="宋体" w:cs="宋体"/>
          <w:color w:val="000000"/>
          <w:kern w:val="0"/>
          <w:sz w:val="18"/>
          <w:szCs w:val="18"/>
        </w:rPr>
        <w:t>与我</w:t>
      </w:r>
      <w:r>
        <w:rPr>
          <w:rFonts w:hint="eastAsia" w:ascii="宋体" w:hAnsi="宋体" w:cs="宋体"/>
          <w:color w:val="000000"/>
          <w:kern w:val="0"/>
          <w:sz w:val="18"/>
          <w:szCs w:val="18"/>
        </w:rPr>
        <w:t>公司</w:t>
      </w:r>
      <w:r>
        <w:rPr>
          <w:rFonts w:ascii="宋体" w:hAnsi="宋体" w:cs="宋体"/>
          <w:color w:val="000000"/>
          <w:kern w:val="0"/>
          <w:sz w:val="18"/>
          <w:szCs w:val="18"/>
        </w:rPr>
        <w:t>最终公布的内容不一致（包括答疑、修改公告、</w:t>
      </w:r>
      <w:r>
        <w:rPr>
          <w:rFonts w:hint="eastAsia" w:ascii="宋体" w:hAnsi="宋体" w:cs="宋体"/>
          <w:color w:val="000000"/>
          <w:kern w:val="0"/>
          <w:sz w:val="18"/>
          <w:szCs w:val="18"/>
        </w:rPr>
        <w:t>澄清</w:t>
      </w:r>
      <w:r>
        <w:rPr>
          <w:rFonts w:ascii="宋体" w:hAnsi="宋体" w:cs="宋体"/>
          <w:color w:val="000000"/>
          <w:kern w:val="0"/>
          <w:sz w:val="18"/>
          <w:szCs w:val="18"/>
        </w:rPr>
        <w:t>公告等内容）的，该条</w:t>
      </w:r>
      <w:r>
        <w:rPr>
          <w:rFonts w:hint="eastAsia" w:ascii="宋体" w:hAnsi="宋体" w:cs="宋体"/>
          <w:color w:val="000000"/>
          <w:kern w:val="0"/>
          <w:sz w:val="18"/>
          <w:szCs w:val="18"/>
        </w:rPr>
        <w:t>服务需求</w:t>
      </w:r>
      <w:r>
        <w:rPr>
          <w:rFonts w:ascii="宋体" w:hAnsi="宋体" w:cs="宋体"/>
          <w:color w:val="000000"/>
          <w:kern w:val="0"/>
          <w:sz w:val="18"/>
          <w:szCs w:val="18"/>
        </w:rPr>
        <w:t>一律视为负偏离，如该条</w:t>
      </w:r>
      <w:r>
        <w:rPr>
          <w:rFonts w:hint="eastAsia" w:ascii="宋体" w:hAnsi="宋体" w:cs="宋体"/>
          <w:color w:val="000000"/>
          <w:kern w:val="0"/>
          <w:sz w:val="18"/>
          <w:szCs w:val="18"/>
        </w:rPr>
        <w:t>服务需求</w:t>
      </w:r>
      <w:r>
        <w:rPr>
          <w:rFonts w:ascii="宋体" w:hAnsi="宋体" w:cs="宋体"/>
          <w:color w:val="000000"/>
          <w:kern w:val="0"/>
          <w:sz w:val="18"/>
          <w:szCs w:val="18"/>
        </w:rPr>
        <w:t>为</w:t>
      </w:r>
      <w:r>
        <w:rPr>
          <w:rFonts w:hint="eastAsia" w:ascii="宋体" w:hAnsi="宋体" w:cs="宋体"/>
          <w:color w:val="000000"/>
          <w:kern w:val="0"/>
          <w:sz w:val="18"/>
          <w:szCs w:val="18"/>
        </w:rPr>
        <w:t>不可偏离项</w:t>
      </w:r>
      <w:r>
        <w:rPr>
          <w:rFonts w:ascii="宋体" w:hAnsi="宋体" w:cs="宋体"/>
          <w:color w:val="000000"/>
          <w:kern w:val="0"/>
          <w:sz w:val="18"/>
          <w:szCs w:val="18"/>
        </w:rPr>
        <w:t>，则</w:t>
      </w:r>
      <w:r>
        <w:rPr>
          <w:rFonts w:hint="eastAsia" w:ascii="宋体" w:hAnsi="宋体" w:cs="宋体"/>
          <w:color w:val="000000"/>
          <w:kern w:val="0"/>
          <w:sz w:val="18"/>
          <w:szCs w:val="18"/>
        </w:rPr>
        <w:t>可能</w:t>
      </w:r>
      <w:r>
        <w:rPr>
          <w:rFonts w:ascii="宋体" w:hAnsi="宋体" w:cs="宋体"/>
          <w:color w:val="000000"/>
          <w:kern w:val="0"/>
          <w:sz w:val="18"/>
          <w:szCs w:val="18"/>
        </w:rPr>
        <w:t xml:space="preserve">导致废标。 </w:t>
      </w:r>
    </w:p>
    <w:p>
      <w:pPr>
        <w:spacing w:line="320" w:lineRule="exact"/>
        <w:jc w:val="left"/>
        <w:rPr>
          <w:rFonts w:ascii="宋体" w:hAnsi="宋体" w:cs="宋体"/>
          <w:color w:val="000000"/>
          <w:kern w:val="0"/>
          <w:sz w:val="18"/>
          <w:szCs w:val="18"/>
        </w:rPr>
      </w:pPr>
      <w:r>
        <w:rPr>
          <w:rFonts w:hint="eastAsia" w:ascii="宋体" w:hAnsi="宋体" w:cs="宋体"/>
          <w:kern w:val="0"/>
          <w:sz w:val="18"/>
          <w:szCs w:val="18"/>
        </w:rPr>
        <w:t>4</w:t>
      </w:r>
      <w:r>
        <w:rPr>
          <w:rFonts w:ascii="宋体" w:hAnsi="宋体" w:cs="宋体"/>
          <w:kern w:val="0"/>
          <w:sz w:val="18"/>
          <w:szCs w:val="18"/>
        </w:rPr>
        <w:t>、</w:t>
      </w:r>
      <w:r>
        <w:rPr>
          <w:rFonts w:hint="eastAsia" w:ascii="宋体" w:hAnsi="宋体" w:cs="宋体"/>
          <w:kern w:val="0"/>
          <w:sz w:val="18"/>
          <w:szCs w:val="18"/>
        </w:rPr>
        <w:t>供应商</w:t>
      </w:r>
      <w:r>
        <w:rPr>
          <w:rFonts w:ascii="宋体" w:hAnsi="宋体" w:cs="宋体"/>
          <w:kern w:val="0"/>
          <w:sz w:val="18"/>
          <w:szCs w:val="18"/>
        </w:rPr>
        <w:t>应按其所</w:t>
      </w:r>
      <w:r>
        <w:rPr>
          <w:rFonts w:hint="eastAsia" w:ascii="宋体" w:hAnsi="宋体" w:cs="宋体"/>
          <w:kern w:val="0"/>
          <w:sz w:val="18"/>
          <w:szCs w:val="18"/>
        </w:rPr>
        <w:t>提供服务</w:t>
      </w:r>
      <w:r>
        <w:rPr>
          <w:rFonts w:ascii="宋体" w:hAnsi="宋体" w:cs="宋体"/>
          <w:kern w:val="0"/>
          <w:sz w:val="18"/>
          <w:szCs w:val="18"/>
        </w:rPr>
        <w:t>实际情况填写相应的投标</w:t>
      </w:r>
      <w:r>
        <w:rPr>
          <w:rFonts w:hint="eastAsia" w:ascii="宋体" w:hAnsi="宋体" w:cs="宋体"/>
          <w:kern w:val="0"/>
          <w:sz w:val="18"/>
          <w:szCs w:val="18"/>
        </w:rPr>
        <w:t>技术响应</w:t>
      </w:r>
      <w:r>
        <w:rPr>
          <w:rFonts w:ascii="宋体" w:hAnsi="宋体" w:cs="宋体"/>
          <w:kern w:val="0"/>
          <w:sz w:val="18"/>
          <w:szCs w:val="18"/>
        </w:rPr>
        <w:t>，如出现</w:t>
      </w:r>
      <w:r>
        <w:rPr>
          <w:rFonts w:hint="eastAsia" w:ascii="宋体" w:hAnsi="宋体" w:cs="宋体"/>
          <w:kern w:val="0"/>
          <w:sz w:val="18"/>
          <w:szCs w:val="18"/>
        </w:rPr>
        <w:t>与</w:t>
      </w:r>
      <w:r>
        <w:rPr>
          <w:rFonts w:ascii="宋体" w:hAnsi="宋体" w:cs="宋体"/>
          <w:kern w:val="0"/>
          <w:sz w:val="18"/>
          <w:szCs w:val="18"/>
        </w:rPr>
        <w:t>招标要求不一致的情况，评标委员会将根据具体情况给予是否偏离的认定，并以此认定为最终评判标准。</w:t>
      </w:r>
      <w:r>
        <w:rPr>
          <w:rFonts w:ascii="宋体" w:hAnsi="宋体" w:cs="宋体"/>
          <w:kern w:val="0"/>
          <w:sz w:val="18"/>
          <w:szCs w:val="18"/>
        </w:rPr>
        <w:br w:type="textWrapping"/>
      </w:r>
      <w:r>
        <w:rPr>
          <w:rFonts w:hint="eastAsia" w:ascii="宋体" w:hAnsi="宋体" w:cs="宋体"/>
          <w:color w:val="000000"/>
          <w:kern w:val="0"/>
          <w:sz w:val="18"/>
          <w:szCs w:val="18"/>
        </w:rPr>
        <w:t>5、评标委员会有权对以谋取中标为目的的虚假响应予以认定，并视情况报政府采购监督管理部门予以处罚。</w:t>
      </w:r>
    </w:p>
    <w:p>
      <w:pPr>
        <w:spacing w:line="340" w:lineRule="exact"/>
        <w:rPr>
          <w:rFonts w:ascii="宋体" w:hAnsi="宋体" w:cs="宋体"/>
          <w:color w:val="000000"/>
          <w:kern w:val="0"/>
          <w:sz w:val="18"/>
          <w:szCs w:val="18"/>
        </w:rPr>
      </w:pPr>
      <w:r>
        <w:rPr>
          <w:rFonts w:hint="eastAsia" w:ascii="宋体" w:hAnsi="宋体" w:cs="宋体"/>
          <w:color w:val="000000"/>
          <w:kern w:val="0"/>
          <w:sz w:val="18"/>
          <w:szCs w:val="18"/>
        </w:rPr>
        <w:t>6、应答文件中所有与采购文件要求不一致的内容必须在本表中做出说明，未在本表中做出说明的差异，即使在应答文件的其他部分做出了说明，采购人也有权在谈判时或履行合同时拒绝接受，并可要求中标供应商按照采购文件的要求履行合同，供应商拒绝履行的将视为违约。</w:t>
      </w:r>
    </w:p>
    <w:p>
      <w:pPr>
        <w:spacing w:line="440" w:lineRule="exact"/>
        <w:ind w:left="180"/>
        <w:rPr>
          <w:rFonts w:ascii="宋体" w:hAnsi="宋体"/>
          <w:szCs w:val="21"/>
        </w:rPr>
      </w:pPr>
    </w:p>
    <w:p>
      <w:pPr>
        <w:spacing w:line="440" w:lineRule="exact"/>
        <w:ind w:left="180"/>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供应商公章：</w:t>
      </w:r>
    </w:p>
    <w:p>
      <w:pPr>
        <w:spacing w:line="44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p>
    <w:p>
      <w:pPr>
        <w:tabs>
          <w:tab w:val="left" w:pos="414"/>
          <w:tab w:val="left" w:pos="1974"/>
          <w:tab w:val="left" w:pos="3414"/>
          <w:tab w:val="left" w:pos="4854"/>
          <w:tab w:val="left" w:pos="6174"/>
          <w:tab w:val="left" w:pos="7614"/>
          <w:tab w:val="left" w:pos="9414"/>
        </w:tabs>
        <w:spacing w:line="440" w:lineRule="exact"/>
        <w:rPr>
          <w:rFonts w:ascii="宋体" w:hAnsi="宋体"/>
          <w:color w:val="000000"/>
          <w:szCs w:val="21"/>
        </w:rPr>
      </w:pPr>
      <w:r>
        <w:rPr>
          <w:rFonts w:hint="eastAsia" w:ascii="宋体" w:hAnsi="宋体"/>
          <w:color w:val="000000"/>
          <w:szCs w:val="21"/>
        </w:rPr>
        <w:t>注：本表格需如实填写，将作为重要评审依据。</w:t>
      </w:r>
    </w:p>
    <w:p>
      <w:pPr>
        <w:tabs>
          <w:tab w:val="left" w:pos="414"/>
          <w:tab w:val="left" w:pos="1974"/>
          <w:tab w:val="left" w:pos="3414"/>
          <w:tab w:val="left" w:pos="4854"/>
          <w:tab w:val="left" w:pos="6174"/>
          <w:tab w:val="left" w:pos="7614"/>
          <w:tab w:val="left" w:pos="9414"/>
        </w:tabs>
        <w:spacing w:line="360" w:lineRule="exact"/>
        <w:rPr>
          <w:rFonts w:ascii="宋体" w:hAnsi="宋体"/>
          <w:b/>
          <w:color w:val="000000"/>
          <w:szCs w:val="21"/>
        </w:rPr>
      </w:pPr>
    </w:p>
    <w:bookmarkEnd w:id="98"/>
    <w:bookmarkEnd w:id="99"/>
    <w:p>
      <w:pPr>
        <w:pStyle w:val="2"/>
        <w:spacing w:before="0" w:after="0" w:line="440" w:lineRule="exact"/>
        <w:rPr>
          <w:bCs w:val="0"/>
          <w:color w:val="000000"/>
          <w:sz w:val="21"/>
          <w:szCs w:val="21"/>
        </w:rPr>
      </w:pPr>
      <w:r>
        <w:rPr>
          <w:rFonts w:ascii="宋体" w:hAnsi="宋体"/>
          <w:color w:val="000000"/>
          <w:szCs w:val="21"/>
        </w:rPr>
        <w:br w:type="page"/>
      </w:r>
      <w:bookmarkStart w:id="100" w:name="_Toc17796"/>
      <w:bookmarkStart w:id="101" w:name="_Toc14618"/>
      <w:r>
        <w:rPr>
          <w:rFonts w:hint="eastAsia"/>
          <w:bCs w:val="0"/>
          <w:color w:val="000000"/>
          <w:sz w:val="21"/>
          <w:szCs w:val="21"/>
        </w:rPr>
        <w:t>格式八：商务偏离表格式</w:t>
      </w:r>
      <w:bookmarkEnd w:id="100"/>
      <w:bookmarkEnd w:id="101"/>
    </w:p>
    <w:p>
      <w:pPr>
        <w:jc w:val="center"/>
        <w:rPr>
          <w:rFonts w:ascii="微软雅黑" w:hAnsi="微软雅黑" w:eastAsia="微软雅黑" w:cs="微软雅黑"/>
          <w:b/>
          <w:bCs/>
          <w:color w:val="000000"/>
          <w:sz w:val="30"/>
          <w:szCs w:val="30"/>
        </w:rPr>
      </w:pPr>
      <w:bookmarkStart w:id="102" w:name="OLE_LINK53"/>
      <w:bookmarkStart w:id="103" w:name="OLE_LINK52"/>
      <w:r>
        <w:rPr>
          <w:rFonts w:hint="eastAsia" w:ascii="微软雅黑" w:hAnsi="微软雅黑" w:eastAsia="微软雅黑" w:cs="微软雅黑"/>
          <w:b/>
          <w:bCs/>
          <w:color w:val="000000"/>
          <w:sz w:val="30"/>
          <w:szCs w:val="30"/>
        </w:rPr>
        <w:t>商务偏离表</w:t>
      </w:r>
    </w:p>
    <w:p>
      <w:pPr>
        <w:spacing w:line="440" w:lineRule="exact"/>
        <w:rPr>
          <w:szCs w:val="21"/>
          <w:u w:val="single"/>
        </w:rPr>
      </w:pPr>
      <w:r>
        <w:rPr>
          <w:rFonts w:hint="eastAsia"/>
          <w:szCs w:val="21"/>
        </w:rPr>
        <w:t>供应商</w:t>
      </w:r>
      <w:r>
        <w:rPr>
          <w:szCs w:val="21"/>
        </w:rPr>
        <w:t>名称：</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 xml:space="preserve">         项目</w:t>
      </w:r>
      <w:r>
        <w:rPr>
          <w:szCs w:val="21"/>
        </w:rPr>
        <w:t>编号：</w:t>
      </w:r>
      <w:r>
        <w:rPr>
          <w:szCs w:val="21"/>
          <w:u w:val="single"/>
        </w:rPr>
        <w:t xml:space="preserve">         </w:t>
      </w:r>
      <w:r>
        <w:rPr>
          <w:rFonts w:hint="eastAsia"/>
          <w:szCs w:val="21"/>
          <w:u w:val="single"/>
        </w:rPr>
        <w:t xml:space="preserve">    </w:t>
      </w:r>
      <w:r>
        <w:rPr>
          <w:szCs w:val="21"/>
          <w:u w:val="single"/>
        </w:rPr>
        <w:t xml:space="preserve">    </w:t>
      </w:r>
    </w:p>
    <w:tbl>
      <w:tblPr>
        <w:tblStyle w:val="3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57"/>
        <w:gridCol w:w="2184"/>
        <w:gridCol w:w="2250"/>
        <w:gridCol w:w="117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b/>
                <w:color w:val="000000"/>
                <w:szCs w:val="21"/>
              </w:rPr>
            </w:pPr>
            <w:r>
              <w:rPr>
                <w:rFonts w:hint="eastAsia" w:ascii="宋体" w:hAnsi="宋体"/>
                <w:b/>
                <w:color w:val="000000"/>
                <w:szCs w:val="21"/>
              </w:rPr>
              <w:t>序号</w:t>
            </w:r>
          </w:p>
        </w:tc>
        <w:tc>
          <w:tcPr>
            <w:tcW w:w="1657" w:type="dxa"/>
            <w:vAlign w:val="center"/>
          </w:tcPr>
          <w:p>
            <w:pPr>
              <w:spacing w:line="0" w:lineRule="atLeast"/>
              <w:jc w:val="center"/>
              <w:rPr>
                <w:rFonts w:ascii="宋体" w:hAnsi="宋体"/>
                <w:b/>
                <w:color w:val="000000"/>
                <w:szCs w:val="21"/>
              </w:rPr>
            </w:pPr>
            <w:r>
              <w:rPr>
                <w:rFonts w:hint="eastAsia" w:ascii="宋体" w:hAnsi="宋体"/>
                <w:b/>
                <w:color w:val="000000"/>
                <w:szCs w:val="21"/>
              </w:rPr>
              <w:t>差别项名称</w:t>
            </w:r>
          </w:p>
        </w:tc>
        <w:tc>
          <w:tcPr>
            <w:tcW w:w="2184" w:type="dxa"/>
            <w:vAlign w:val="center"/>
          </w:tcPr>
          <w:p>
            <w:pPr>
              <w:spacing w:line="0" w:lineRule="atLeast"/>
              <w:jc w:val="center"/>
              <w:rPr>
                <w:rFonts w:ascii="宋体" w:hAnsi="宋体"/>
                <w:b/>
                <w:szCs w:val="21"/>
              </w:rPr>
            </w:pPr>
            <w:r>
              <w:rPr>
                <w:rFonts w:hint="eastAsia" w:ascii="宋体" w:hAnsi="宋体"/>
                <w:b/>
                <w:szCs w:val="21"/>
              </w:rPr>
              <w:t>采购文件商务要求</w:t>
            </w:r>
          </w:p>
        </w:tc>
        <w:tc>
          <w:tcPr>
            <w:tcW w:w="2250" w:type="dxa"/>
            <w:vAlign w:val="center"/>
          </w:tcPr>
          <w:p>
            <w:pPr>
              <w:spacing w:line="0" w:lineRule="atLeast"/>
              <w:jc w:val="center"/>
              <w:rPr>
                <w:rFonts w:ascii="宋体" w:hAnsi="宋体"/>
                <w:b/>
                <w:szCs w:val="21"/>
              </w:rPr>
            </w:pPr>
            <w:r>
              <w:rPr>
                <w:rFonts w:hint="eastAsia" w:ascii="宋体" w:hAnsi="宋体"/>
                <w:b/>
                <w:szCs w:val="21"/>
              </w:rPr>
              <w:t>应答文件商务响应</w:t>
            </w:r>
          </w:p>
        </w:tc>
        <w:tc>
          <w:tcPr>
            <w:tcW w:w="1176" w:type="dxa"/>
            <w:vAlign w:val="center"/>
          </w:tcPr>
          <w:p>
            <w:pPr>
              <w:spacing w:line="0" w:lineRule="atLeast"/>
              <w:jc w:val="center"/>
              <w:rPr>
                <w:rFonts w:ascii="宋体" w:hAnsi="宋体"/>
                <w:b/>
                <w:color w:val="000000"/>
                <w:szCs w:val="21"/>
              </w:rPr>
            </w:pPr>
            <w:r>
              <w:rPr>
                <w:rFonts w:hint="eastAsia" w:ascii="宋体" w:hAnsi="宋体"/>
                <w:b/>
                <w:color w:val="000000"/>
                <w:szCs w:val="21"/>
              </w:rPr>
              <w:t>偏离度</w:t>
            </w:r>
          </w:p>
        </w:tc>
        <w:tc>
          <w:tcPr>
            <w:tcW w:w="1178" w:type="dxa"/>
            <w:vAlign w:val="center"/>
          </w:tcPr>
          <w:p>
            <w:pPr>
              <w:spacing w:line="0" w:lineRule="atLeast"/>
              <w:jc w:val="center"/>
              <w:rPr>
                <w:rFonts w:ascii="宋体" w:hAnsi="宋体"/>
                <w:b/>
                <w:color w:val="000000"/>
                <w:szCs w:val="21"/>
              </w:rPr>
            </w:pPr>
            <w:r>
              <w:rPr>
                <w:rFonts w:hint="eastAsia" w:ascii="宋体" w:hAnsi="宋体"/>
                <w:b/>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Cs w:val="21"/>
              </w:rPr>
            </w:pPr>
          </w:p>
        </w:tc>
        <w:tc>
          <w:tcPr>
            <w:tcW w:w="1657" w:type="dxa"/>
            <w:vAlign w:val="center"/>
          </w:tcPr>
          <w:p>
            <w:pPr>
              <w:spacing w:line="0" w:lineRule="atLeast"/>
              <w:jc w:val="center"/>
              <w:rPr>
                <w:rFonts w:ascii="宋体" w:hAnsi="宋体"/>
                <w:color w:val="000000"/>
                <w:szCs w:val="21"/>
              </w:rPr>
            </w:pPr>
          </w:p>
        </w:tc>
        <w:tc>
          <w:tcPr>
            <w:tcW w:w="2184" w:type="dxa"/>
            <w:vAlign w:val="center"/>
          </w:tcPr>
          <w:p>
            <w:pPr>
              <w:spacing w:line="0" w:lineRule="atLeast"/>
              <w:jc w:val="center"/>
              <w:rPr>
                <w:rFonts w:ascii="宋体" w:hAnsi="宋体"/>
                <w:color w:val="000000"/>
                <w:szCs w:val="21"/>
              </w:rPr>
            </w:pPr>
          </w:p>
        </w:tc>
        <w:tc>
          <w:tcPr>
            <w:tcW w:w="2250" w:type="dxa"/>
            <w:vAlign w:val="center"/>
          </w:tcPr>
          <w:p>
            <w:pPr>
              <w:spacing w:line="0" w:lineRule="atLeast"/>
              <w:jc w:val="center"/>
              <w:rPr>
                <w:rFonts w:ascii="宋体" w:hAnsi="宋体"/>
                <w:color w:val="000000"/>
                <w:szCs w:val="21"/>
              </w:rPr>
            </w:pPr>
          </w:p>
        </w:tc>
        <w:tc>
          <w:tcPr>
            <w:tcW w:w="1176" w:type="dxa"/>
            <w:vAlign w:val="center"/>
          </w:tcPr>
          <w:p>
            <w:pPr>
              <w:spacing w:line="0" w:lineRule="atLeast"/>
              <w:jc w:val="center"/>
              <w:rPr>
                <w:rFonts w:ascii="宋体" w:hAnsi="宋体"/>
                <w:color w:val="000000"/>
                <w:szCs w:val="21"/>
              </w:rPr>
            </w:pPr>
          </w:p>
        </w:tc>
        <w:tc>
          <w:tcPr>
            <w:tcW w:w="1178" w:type="dxa"/>
            <w:vAlign w:val="center"/>
          </w:tcPr>
          <w:p>
            <w:pPr>
              <w:spacing w:line="0" w:lineRule="atLeas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pPr>
              <w:spacing w:line="0" w:lineRule="atLeast"/>
              <w:jc w:val="center"/>
              <w:rPr>
                <w:rFonts w:ascii="宋体" w:hAnsi="宋体"/>
                <w:color w:val="000000"/>
                <w:sz w:val="24"/>
              </w:rPr>
            </w:pPr>
            <w:r>
              <w:rPr>
                <w:rFonts w:hint="eastAsia" w:ascii="宋体" w:hAnsi="宋体"/>
                <w:color w:val="000000"/>
                <w:sz w:val="24"/>
              </w:rPr>
              <w:t>……</w:t>
            </w:r>
          </w:p>
        </w:tc>
        <w:tc>
          <w:tcPr>
            <w:tcW w:w="1657" w:type="dxa"/>
            <w:vAlign w:val="center"/>
          </w:tcPr>
          <w:p>
            <w:pPr>
              <w:spacing w:line="0" w:lineRule="atLeast"/>
              <w:jc w:val="center"/>
              <w:rPr>
                <w:rFonts w:ascii="宋体" w:hAnsi="宋体"/>
                <w:color w:val="000000"/>
                <w:sz w:val="24"/>
              </w:rPr>
            </w:pPr>
          </w:p>
        </w:tc>
        <w:tc>
          <w:tcPr>
            <w:tcW w:w="2184" w:type="dxa"/>
            <w:vAlign w:val="center"/>
          </w:tcPr>
          <w:p>
            <w:pPr>
              <w:spacing w:line="0" w:lineRule="atLeast"/>
              <w:jc w:val="center"/>
              <w:rPr>
                <w:rFonts w:ascii="宋体" w:hAnsi="宋体"/>
                <w:color w:val="000000"/>
                <w:sz w:val="24"/>
              </w:rPr>
            </w:pPr>
          </w:p>
        </w:tc>
        <w:tc>
          <w:tcPr>
            <w:tcW w:w="2250" w:type="dxa"/>
            <w:vAlign w:val="center"/>
          </w:tcPr>
          <w:p>
            <w:pPr>
              <w:spacing w:line="0" w:lineRule="atLeast"/>
              <w:jc w:val="center"/>
              <w:rPr>
                <w:rFonts w:ascii="宋体" w:hAnsi="宋体"/>
                <w:color w:val="000000"/>
                <w:sz w:val="24"/>
              </w:rPr>
            </w:pPr>
          </w:p>
        </w:tc>
        <w:tc>
          <w:tcPr>
            <w:tcW w:w="1176" w:type="dxa"/>
            <w:vAlign w:val="center"/>
          </w:tcPr>
          <w:p>
            <w:pPr>
              <w:spacing w:line="0" w:lineRule="atLeast"/>
              <w:jc w:val="center"/>
              <w:rPr>
                <w:rFonts w:ascii="宋体" w:hAnsi="宋体"/>
                <w:color w:val="000000"/>
                <w:sz w:val="24"/>
              </w:rPr>
            </w:pPr>
          </w:p>
        </w:tc>
        <w:tc>
          <w:tcPr>
            <w:tcW w:w="1178" w:type="dxa"/>
            <w:vAlign w:val="center"/>
          </w:tcPr>
          <w:p>
            <w:pPr>
              <w:spacing w:line="0" w:lineRule="atLeas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5" w:type="dxa"/>
            <w:gridSpan w:val="6"/>
            <w:vAlign w:val="center"/>
          </w:tcPr>
          <w:p>
            <w:pPr>
              <w:spacing w:line="0" w:lineRule="atLeast"/>
              <w:jc w:val="center"/>
              <w:rPr>
                <w:rFonts w:ascii="宋体" w:hAnsi="宋体"/>
                <w:b/>
                <w:color w:val="000000"/>
                <w:sz w:val="24"/>
                <w:szCs w:val="24"/>
              </w:rPr>
            </w:pPr>
            <w:r>
              <w:rPr>
                <w:rFonts w:hint="eastAsia" w:asciiTheme="majorEastAsia" w:hAnsiTheme="majorEastAsia" w:eastAsiaTheme="majorEastAsia"/>
                <w:b/>
                <w:color w:val="000000"/>
                <w:sz w:val="24"/>
                <w:szCs w:val="24"/>
              </w:rPr>
              <w:t>除上述条款以外，我单位承诺全部接受并按照采购文件的要求承担本项目。</w:t>
            </w:r>
          </w:p>
        </w:tc>
      </w:tr>
    </w:tbl>
    <w:p>
      <w:pPr>
        <w:spacing w:line="320" w:lineRule="exact"/>
        <w:rPr>
          <w:rFonts w:ascii="宋体" w:hAnsi="宋体"/>
          <w:color w:val="000000"/>
          <w:sz w:val="18"/>
        </w:rPr>
      </w:pPr>
      <w:r>
        <w:rPr>
          <w:rFonts w:hint="eastAsia" w:ascii="宋体" w:hAnsi="宋体"/>
          <w:color w:val="000000"/>
          <w:sz w:val="18"/>
        </w:rPr>
        <w:t>说明：</w:t>
      </w:r>
    </w:p>
    <w:p>
      <w:pPr>
        <w:spacing w:line="320" w:lineRule="exact"/>
        <w:jc w:val="left"/>
        <w:rPr>
          <w:rFonts w:ascii="宋体" w:hAnsi="宋体"/>
          <w:b/>
          <w:color w:val="000000"/>
          <w:sz w:val="18"/>
        </w:rPr>
      </w:pPr>
      <w:r>
        <w:rPr>
          <w:rFonts w:ascii="宋体" w:hAnsi="宋体"/>
          <w:b/>
          <w:color w:val="000000"/>
          <w:sz w:val="18"/>
        </w:rPr>
        <w:t>1</w:t>
      </w:r>
      <w:r>
        <w:rPr>
          <w:rFonts w:hint="eastAsia" w:ascii="宋体" w:hAnsi="宋体"/>
          <w:b/>
          <w:color w:val="000000"/>
          <w:sz w:val="18"/>
        </w:rPr>
        <w:t>、本表中“差别项”是指应答文件商务响应和采购文件商务要求不一致的项目，包括高于或低于采购文件要求的所有项目，</w:t>
      </w:r>
      <w:r>
        <w:rPr>
          <w:rFonts w:hint="eastAsia" w:ascii="宋体" w:hAnsi="宋体"/>
          <w:b/>
          <w:color w:val="000000"/>
          <w:sz w:val="18"/>
          <w:u w:val="single"/>
        </w:rPr>
        <w:t>没有不一致的，本表可空白</w:t>
      </w:r>
      <w:r>
        <w:rPr>
          <w:rFonts w:hint="eastAsia" w:ascii="宋体" w:hAnsi="宋体"/>
          <w:b/>
          <w:color w:val="000000"/>
          <w:sz w:val="18"/>
        </w:rPr>
        <w:t>；“采购文件商务要求”</w:t>
      </w:r>
      <w:r>
        <w:rPr>
          <w:rFonts w:ascii="宋体" w:hAnsi="宋体"/>
          <w:b/>
          <w:color w:val="000000"/>
          <w:sz w:val="18"/>
        </w:rPr>
        <w:t>来自于</w:t>
      </w:r>
      <w:r>
        <w:rPr>
          <w:rFonts w:ascii="宋体" w:hAnsi="宋体"/>
          <w:b/>
          <w:color w:val="000000"/>
          <w:sz w:val="18"/>
          <w:highlight w:val="yellow"/>
        </w:rPr>
        <w:t xml:space="preserve"> “</w:t>
      </w:r>
      <w:r>
        <w:rPr>
          <w:rFonts w:hint="eastAsia" w:ascii="宋体" w:hAnsi="宋体"/>
          <w:b/>
          <w:color w:val="000000"/>
          <w:sz w:val="18"/>
          <w:highlight w:val="yellow"/>
        </w:rPr>
        <w:t>商务</w:t>
      </w:r>
      <w:r>
        <w:rPr>
          <w:rFonts w:ascii="宋体" w:hAnsi="宋体"/>
          <w:b/>
          <w:color w:val="000000"/>
          <w:sz w:val="18"/>
          <w:highlight w:val="yellow"/>
        </w:rPr>
        <w:t>需求</w:t>
      </w:r>
      <w:r>
        <w:rPr>
          <w:rFonts w:hint="eastAsia" w:ascii="宋体" w:hAnsi="宋体"/>
          <w:b/>
          <w:color w:val="000000"/>
          <w:sz w:val="18"/>
          <w:highlight w:val="yellow"/>
        </w:rPr>
        <w:t>明细</w:t>
      </w:r>
      <w:r>
        <w:rPr>
          <w:rFonts w:ascii="宋体" w:hAnsi="宋体"/>
          <w:b/>
          <w:color w:val="000000"/>
          <w:sz w:val="18"/>
          <w:highlight w:val="yellow"/>
        </w:rPr>
        <w:t>”</w:t>
      </w:r>
      <w:r>
        <w:rPr>
          <w:rFonts w:ascii="宋体" w:hAnsi="宋体"/>
          <w:b/>
          <w:color w:val="000000"/>
          <w:sz w:val="18"/>
        </w:rPr>
        <w:t>。</w:t>
      </w:r>
    </w:p>
    <w:p>
      <w:pPr>
        <w:spacing w:line="320" w:lineRule="exact"/>
        <w:rPr>
          <w:rFonts w:ascii="宋体" w:hAnsi="宋体"/>
          <w:color w:val="000000"/>
          <w:sz w:val="18"/>
        </w:rPr>
      </w:pPr>
      <w:r>
        <w:rPr>
          <w:rFonts w:hint="eastAsia" w:ascii="宋体" w:hAnsi="宋体"/>
          <w:color w:val="000000"/>
          <w:sz w:val="18"/>
        </w:rPr>
        <w:t>2、对“偏离度”一栏，填写“正偏离”或“负偏离”。其中正偏离是指所响应条款优于采购文件所规定的要求；负偏离是指所响应条款低于采购文件所规定的要求。</w:t>
      </w:r>
    </w:p>
    <w:p>
      <w:pPr>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w:t>
      </w:r>
      <w:r>
        <w:rPr>
          <w:rFonts w:hint="eastAsia" w:ascii="宋体" w:hAnsi="宋体" w:cs="宋体"/>
          <w:color w:val="000000"/>
          <w:kern w:val="0"/>
          <w:sz w:val="18"/>
          <w:szCs w:val="18"/>
        </w:rPr>
        <w:t>供应商</w:t>
      </w:r>
      <w:r>
        <w:rPr>
          <w:rFonts w:ascii="宋体" w:hAnsi="宋体" w:cs="宋体"/>
          <w:color w:val="000000"/>
          <w:kern w:val="0"/>
          <w:sz w:val="18"/>
          <w:szCs w:val="18"/>
        </w:rPr>
        <w:t>须及时留意我</w:t>
      </w:r>
      <w:r>
        <w:rPr>
          <w:rFonts w:hint="eastAsia" w:ascii="宋体" w:hAnsi="宋体" w:cs="宋体"/>
          <w:color w:val="000000"/>
          <w:kern w:val="0"/>
          <w:sz w:val="18"/>
          <w:szCs w:val="18"/>
        </w:rPr>
        <w:t>公司</w:t>
      </w:r>
      <w:r>
        <w:rPr>
          <w:rFonts w:ascii="宋体" w:hAnsi="宋体" w:cs="宋体"/>
          <w:color w:val="000000"/>
          <w:kern w:val="0"/>
          <w:sz w:val="18"/>
          <w:szCs w:val="18"/>
        </w:rPr>
        <w:t>可能发布的招标答疑、修改或澄清公告，其为</w:t>
      </w:r>
      <w:r>
        <w:rPr>
          <w:rFonts w:hint="eastAsia" w:ascii="宋体" w:hAnsi="宋体" w:cs="宋体"/>
          <w:color w:val="000000"/>
          <w:kern w:val="0"/>
          <w:sz w:val="18"/>
          <w:szCs w:val="18"/>
        </w:rPr>
        <w:t>采购文件</w:t>
      </w:r>
      <w:r>
        <w:rPr>
          <w:rFonts w:ascii="宋体" w:hAnsi="宋体" w:cs="宋体"/>
          <w:color w:val="000000"/>
          <w:kern w:val="0"/>
          <w:sz w:val="18"/>
          <w:szCs w:val="18"/>
        </w:rPr>
        <w:t>的有效组成部分，如</w:t>
      </w:r>
      <w:r>
        <w:rPr>
          <w:rFonts w:hint="eastAsia" w:ascii="宋体" w:hAnsi="宋体" w:cs="宋体"/>
          <w:color w:val="000000"/>
          <w:kern w:val="0"/>
          <w:sz w:val="18"/>
          <w:szCs w:val="18"/>
        </w:rPr>
        <w:t>应答文件中</w:t>
      </w:r>
      <w:r>
        <w:rPr>
          <w:rFonts w:ascii="宋体" w:hAnsi="宋体" w:cs="宋体"/>
          <w:color w:val="000000"/>
          <w:kern w:val="0"/>
          <w:sz w:val="18"/>
          <w:szCs w:val="18"/>
        </w:rPr>
        <w:t>出现</w:t>
      </w:r>
      <w:r>
        <w:rPr>
          <w:rFonts w:hint="eastAsia" w:ascii="宋体" w:hAnsi="宋体" w:cs="宋体"/>
          <w:color w:val="000000"/>
          <w:kern w:val="0"/>
          <w:sz w:val="18"/>
          <w:szCs w:val="18"/>
        </w:rPr>
        <w:t>采购文件服务需求</w:t>
      </w:r>
      <w:r>
        <w:rPr>
          <w:rFonts w:ascii="宋体" w:hAnsi="宋体" w:cs="宋体"/>
          <w:color w:val="000000"/>
          <w:kern w:val="0"/>
          <w:sz w:val="18"/>
          <w:szCs w:val="18"/>
        </w:rPr>
        <w:t>与我</w:t>
      </w:r>
      <w:r>
        <w:rPr>
          <w:rFonts w:hint="eastAsia" w:ascii="宋体" w:hAnsi="宋体" w:cs="宋体"/>
          <w:color w:val="000000"/>
          <w:kern w:val="0"/>
          <w:sz w:val="18"/>
          <w:szCs w:val="18"/>
        </w:rPr>
        <w:t>公司</w:t>
      </w:r>
      <w:r>
        <w:rPr>
          <w:rFonts w:ascii="宋体" w:hAnsi="宋体" w:cs="宋体"/>
          <w:color w:val="000000"/>
          <w:kern w:val="0"/>
          <w:sz w:val="18"/>
          <w:szCs w:val="18"/>
        </w:rPr>
        <w:t>最终公布的内容不一致（包括答疑、修改公告、</w:t>
      </w:r>
      <w:r>
        <w:rPr>
          <w:rFonts w:hint="eastAsia" w:ascii="宋体" w:hAnsi="宋体" w:cs="宋体"/>
          <w:color w:val="000000"/>
          <w:kern w:val="0"/>
          <w:sz w:val="18"/>
          <w:szCs w:val="18"/>
        </w:rPr>
        <w:t>澄清</w:t>
      </w:r>
      <w:r>
        <w:rPr>
          <w:rFonts w:ascii="宋体" w:hAnsi="宋体" w:cs="宋体"/>
          <w:color w:val="000000"/>
          <w:kern w:val="0"/>
          <w:sz w:val="18"/>
          <w:szCs w:val="18"/>
        </w:rPr>
        <w:t>公告等内容）的，该条</w:t>
      </w:r>
      <w:r>
        <w:rPr>
          <w:rFonts w:hint="eastAsia" w:ascii="宋体" w:hAnsi="宋体" w:cs="宋体"/>
          <w:color w:val="000000"/>
          <w:kern w:val="0"/>
          <w:sz w:val="18"/>
          <w:szCs w:val="18"/>
        </w:rPr>
        <w:t>服务需求</w:t>
      </w:r>
      <w:r>
        <w:rPr>
          <w:rFonts w:ascii="宋体" w:hAnsi="宋体" w:cs="宋体"/>
          <w:color w:val="000000"/>
          <w:kern w:val="0"/>
          <w:sz w:val="18"/>
          <w:szCs w:val="18"/>
        </w:rPr>
        <w:t>一律视为负偏离，如该条</w:t>
      </w:r>
      <w:r>
        <w:rPr>
          <w:rFonts w:hint="eastAsia" w:ascii="宋体" w:hAnsi="宋体" w:cs="宋体"/>
          <w:color w:val="000000"/>
          <w:kern w:val="0"/>
          <w:sz w:val="18"/>
          <w:szCs w:val="18"/>
        </w:rPr>
        <w:t>服务需求</w:t>
      </w:r>
      <w:r>
        <w:rPr>
          <w:rFonts w:ascii="宋体" w:hAnsi="宋体" w:cs="宋体"/>
          <w:color w:val="000000"/>
          <w:kern w:val="0"/>
          <w:sz w:val="18"/>
          <w:szCs w:val="18"/>
        </w:rPr>
        <w:t>为</w:t>
      </w:r>
      <w:r>
        <w:rPr>
          <w:rFonts w:hint="eastAsia" w:ascii="宋体" w:hAnsi="宋体" w:cs="宋体"/>
          <w:color w:val="000000"/>
          <w:kern w:val="0"/>
          <w:sz w:val="18"/>
          <w:szCs w:val="18"/>
        </w:rPr>
        <w:t>不可偏离项</w:t>
      </w:r>
      <w:r>
        <w:rPr>
          <w:rFonts w:ascii="宋体" w:hAnsi="宋体" w:cs="宋体"/>
          <w:color w:val="000000"/>
          <w:kern w:val="0"/>
          <w:sz w:val="18"/>
          <w:szCs w:val="18"/>
        </w:rPr>
        <w:t>，则</w:t>
      </w:r>
      <w:r>
        <w:rPr>
          <w:rFonts w:hint="eastAsia" w:ascii="宋体" w:hAnsi="宋体" w:cs="宋体"/>
          <w:color w:val="000000"/>
          <w:kern w:val="0"/>
          <w:sz w:val="18"/>
          <w:szCs w:val="18"/>
        </w:rPr>
        <w:t>可能</w:t>
      </w:r>
      <w:r>
        <w:rPr>
          <w:rFonts w:ascii="宋体" w:hAnsi="宋体" w:cs="宋体"/>
          <w:color w:val="000000"/>
          <w:kern w:val="0"/>
          <w:sz w:val="18"/>
          <w:szCs w:val="18"/>
        </w:rPr>
        <w:t xml:space="preserve">导致废标。 </w:t>
      </w:r>
    </w:p>
    <w:p>
      <w:pPr>
        <w:spacing w:line="320" w:lineRule="exact"/>
        <w:jc w:val="left"/>
        <w:rPr>
          <w:rFonts w:ascii="宋体" w:hAnsi="宋体" w:cs="宋体"/>
          <w:color w:val="000000"/>
          <w:kern w:val="0"/>
          <w:sz w:val="18"/>
          <w:szCs w:val="18"/>
        </w:rPr>
      </w:pPr>
      <w:r>
        <w:rPr>
          <w:rFonts w:hint="eastAsia" w:ascii="宋体" w:hAnsi="宋体" w:cs="宋体"/>
          <w:kern w:val="0"/>
          <w:sz w:val="18"/>
          <w:szCs w:val="18"/>
        </w:rPr>
        <w:t>4</w:t>
      </w:r>
      <w:r>
        <w:rPr>
          <w:rFonts w:ascii="宋体" w:hAnsi="宋体" w:cs="宋体"/>
          <w:kern w:val="0"/>
          <w:sz w:val="18"/>
          <w:szCs w:val="18"/>
        </w:rPr>
        <w:t>、</w:t>
      </w:r>
      <w:r>
        <w:rPr>
          <w:rFonts w:hint="eastAsia" w:ascii="宋体" w:hAnsi="宋体" w:cs="宋体"/>
          <w:kern w:val="0"/>
          <w:sz w:val="18"/>
          <w:szCs w:val="18"/>
        </w:rPr>
        <w:t>供应商</w:t>
      </w:r>
      <w:r>
        <w:rPr>
          <w:rFonts w:ascii="宋体" w:hAnsi="宋体" w:cs="宋体"/>
          <w:kern w:val="0"/>
          <w:sz w:val="18"/>
          <w:szCs w:val="18"/>
        </w:rPr>
        <w:t>应按其所</w:t>
      </w:r>
      <w:r>
        <w:rPr>
          <w:rFonts w:hint="eastAsia" w:ascii="宋体" w:hAnsi="宋体" w:cs="宋体"/>
          <w:kern w:val="0"/>
          <w:sz w:val="18"/>
          <w:szCs w:val="18"/>
        </w:rPr>
        <w:t>提供服务</w:t>
      </w:r>
      <w:r>
        <w:rPr>
          <w:rFonts w:ascii="宋体" w:hAnsi="宋体" w:cs="宋体"/>
          <w:kern w:val="0"/>
          <w:sz w:val="18"/>
          <w:szCs w:val="18"/>
        </w:rPr>
        <w:t>实际情况填写相应的投标</w:t>
      </w:r>
      <w:r>
        <w:rPr>
          <w:rFonts w:hint="eastAsia" w:ascii="宋体" w:hAnsi="宋体" w:cs="宋体"/>
          <w:kern w:val="0"/>
          <w:sz w:val="18"/>
          <w:szCs w:val="18"/>
        </w:rPr>
        <w:t>商务响应</w:t>
      </w:r>
      <w:r>
        <w:rPr>
          <w:rFonts w:ascii="宋体" w:hAnsi="宋体" w:cs="宋体"/>
          <w:kern w:val="0"/>
          <w:sz w:val="18"/>
          <w:szCs w:val="18"/>
        </w:rPr>
        <w:t>，如出现</w:t>
      </w:r>
      <w:r>
        <w:rPr>
          <w:rFonts w:hint="eastAsia" w:ascii="宋体" w:hAnsi="宋体" w:cs="宋体"/>
          <w:kern w:val="0"/>
          <w:sz w:val="18"/>
          <w:szCs w:val="18"/>
        </w:rPr>
        <w:t>与</w:t>
      </w:r>
      <w:r>
        <w:rPr>
          <w:rFonts w:ascii="宋体" w:hAnsi="宋体" w:cs="宋体"/>
          <w:kern w:val="0"/>
          <w:sz w:val="18"/>
          <w:szCs w:val="18"/>
        </w:rPr>
        <w:t>招标要求不一致的情况，评标委员会将根据具体情况给予是否偏离的认定，并以此认定为最终评判标准。</w:t>
      </w:r>
      <w:r>
        <w:rPr>
          <w:rFonts w:ascii="宋体" w:hAnsi="宋体" w:cs="宋体"/>
          <w:kern w:val="0"/>
          <w:sz w:val="18"/>
          <w:szCs w:val="18"/>
        </w:rPr>
        <w:br w:type="textWrapping"/>
      </w:r>
      <w:r>
        <w:rPr>
          <w:rFonts w:hint="eastAsia" w:ascii="宋体" w:hAnsi="宋体" w:cs="宋体"/>
          <w:color w:val="000000"/>
          <w:kern w:val="0"/>
          <w:sz w:val="18"/>
          <w:szCs w:val="18"/>
        </w:rPr>
        <w:t>5、评标委员会有权对以谋取中标为目的的虚假响应予以认定，并视情况报政府采购监督管理部门予以处罚。</w:t>
      </w:r>
    </w:p>
    <w:p>
      <w:pPr>
        <w:spacing w:line="340" w:lineRule="exact"/>
        <w:rPr>
          <w:rFonts w:ascii="宋体" w:hAnsi="宋体" w:cs="宋体"/>
          <w:color w:val="000000"/>
          <w:kern w:val="0"/>
          <w:sz w:val="18"/>
          <w:szCs w:val="18"/>
        </w:rPr>
      </w:pPr>
      <w:r>
        <w:rPr>
          <w:rFonts w:hint="eastAsia" w:ascii="宋体" w:hAnsi="宋体" w:cs="宋体"/>
          <w:color w:val="000000"/>
          <w:kern w:val="0"/>
          <w:sz w:val="18"/>
          <w:szCs w:val="18"/>
        </w:rPr>
        <w:t>6、应答文件中所有与采购文件要求不一致的内容必须在本表中做出说明，未在本表中做出说明的差异，即使在应答文件的其他部分做出了说明，采购人也有权在谈判时或履行合同时拒绝接受，并可要求中标供应商按照采购文件的要求履行合同，供应商拒绝履行的将视为违约。</w:t>
      </w:r>
    </w:p>
    <w:p>
      <w:pPr>
        <w:spacing w:line="360" w:lineRule="exact"/>
        <w:rPr>
          <w:rFonts w:ascii="宋体" w:hAnsi="宋体"/>
          <w:szCs w:val="21"/>
        </w:rPr>
      </w:pPr>
    </w:p>
    <w:p>
      <w:pPr>
        <w:spacing w:line="440" w:lineRule="exact"/>
        <w:rPr>
          <w:rFonts w:ascii="宋体" w:hAnsi="宋体"/>
          <w:color w:val="000000"/>
          <w:szCs w:val="21"/>
        </w:rPr>
      </w:pPr>
    </w:p>
    <w:p>
      <w:pPr>
        <w:spacing w:line="440" w:lineRule="exact"/>
        <w:rPr>
          <w:rFonts w:ascii="宋体" w:hAnsi="宋体"/>
          <w:color w:val="000000"/>
          <w:szCs w:val="21"/>
        </w:rPr>
      </w:pPr>
      <w:r>
        <w:rPr>
          <w:rFonts w:hint="eastAsia" w:ascii="宋体" w:hAnsi="宋体"/>
          <w:color w:val="000000"/>
          <w:szCs w:val="21"/>
        </w:rPr>
        <w:t>供应商公章：</w:t>
      </w:r>
    </w:p>
    <w:p>
      <w:pPr>
        <w:spacing w:line="44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p>
    <w:p>
      <w:pPr>
        <w:tabs>
          <w:tab w:val="left" w:pos="414"/>
          <w:tab w:val="left" w:pos="1974"/>
          <w:tab w:val="left" w:pos="3414"/>
          <w:tab w:val="left" w:pos="4854"/>
          <w:tab w:val="left" w:pos="6174"/>
          <w:tab w:val="left" w:pos="7614"/>
          <w:tab w:val="left" w:pos="9414"/>
        </w:tabs>
        <w:spacing w:line="440" w:lineRule="exact"/>
        <w:rPr>
          <w:rFonts w:ascii="宋体" w:hAnsi="宋体"/>
          <w:color w:val="000000"/>
          <w:szCs w:val="21"/>
        </w:rPr>
      </w:pPr>
      <w:r>
        <w:rPr>
          <w:rFonts w:hint="eastAsia" w:ascii="宋体" w:hAnsi="宋体"/>
          <w:color w:val="000000"/>
          <w:szCs w:val="21"/>
        </w:rPr>
        <w:t>注：本表格需如实填写，将作为重要评审依据。</w:t>
      </w:r>
    </w:p>
    <w:bookmarkEnd w:id="102"/>
    <w:bookmarkEnd w:id="103"/>
    <w:p>
      <w:pPr>
        <w:spacing w:line="440" w:lineRule="exact"/>
        <w:jc w:val="center"/>
        <w:rPr>
          <w:rFonts w:ascii="宋体" w:hAnsi="宋体"/>
          <w:b/>
          <w:color w:val="000000"/>
          <w:sz w:val="24"/>
        </w:rPr>
      </w:pPr>
    </w:p>
    <w:p>
      <w:pPr>
        <w:pStyle w:val="2"/>
        <w:keepNext w:val="0"/>
        <w:keepLines w:val="0"/>
        <w:spacing w:before="0" w:after="0" w:line="440" w:lineRule="exact"/>
        <w:rPr>
          <w:rFonts w:ascii="宋体" w:hAnsi="宋体"/>
          <w:b w:val="0"/>
          <w:color w:val="000000"/>
          <w:szCs w:val="21"/>
        </w:rPr>
      </w:pPr>
      <w:r>
        <w:rPr>
          <w:rFonts w:ascii="宋体" w:hAnsi="宋体"/>
          <w:color w:val="000000"/>
          <w:szCs w:val="21"/>
        </w:rPr>
        <w:br w:type="page"/>
      </w:r>
      <w:bookmarkStart w:id="104" w:name="_Toc27497"/>
      <w:bookmarkStart w:id="105" w:name="_Toc9913"/>
      <w:r>
        <w:rPr>
          <w:rFonts w:hint="eastAsia"/>
          <w:bCs w:val="0"/>
          <w:color w:val="000000"/>
          <w:sz w:val="21"/>
          <w:szCs w:val="21"/>
        </w:rPr>
        <w:t>格式九：</w:t>
      </w:r>
      <w:bookmarkEnd w:id="104"/>
      <w:bookmarkEnd w:id="105"/>
      <w:r>
        <w:rPr>
          <w:rFonts w:hint="eastAsia" w:ascii="宋体" w:hAnsi="宋体"/>
          <w:color w:val="000000"/>
          <w:sz w:val="21"/>
          <w:szCs w:val="21"/>
        </w:rPr>
        <w:t>项目班子情况格式</w:t>
      </w:r>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项目班子情况</w:t>
      </w:r>
    </w:p>
    <w:p>
      <w:pPr>
        <w:spacing w:line="440" w:lineRule="exact"/>
        <w:ind w:firstLine="422" w:firstLineChars="200"/>
        <w:rPr>
          <w:rFonts w:ascii="宋体" w:hAnsi="宋体"/>
          <w:b/>
          <w:szCs w:val="21"/>
        </w:rPr>
      </w:pPr>
      <w:bookmarkStart w:id="106" w:name="_Toc100052473"/>
      <w:bookmarkStart w:id="107" w:name="_Toc101074903"/>
      <w:r>
        <w:rPr>
          <w:rFonts w:hint="eastAsia" w:ascii="宋体" w:hAnsi="宋体"/>
          <w:b/>
          <w:szCs w:val="21"/>
        </w:rPr>
        <w:t>（一）项目班子配备情况表</w:t>
      </w:r>
      <w:bookmarkEnd w:id="106"/>
      <w:bookmarkEnd w:id="107"/>
    </w:p>
    <w:tbl>
      <w:tblPr>
        <w:tblStyle w:val="3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060"/>
        <w:gridCol w:w="1054"/>
        <w:gridCol w:w="1622"/>
        <w:gridCol w:w="848"/>
        <w:gridCol w:w="850"/>
        <w:gridCol w:w="1283"/>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dxa"/>
            <w:vMerge w:val="restart"/>
            <w:vAlign w:val="center"/>
          </w:tcPr>
          <w:p>
            <w:pPr>
              <w:jc w:val="center"/>
              <w:rPr>
                <w:rFonts w:ascii="宋体" w:hAnsi="宋体"/>
                <w:szCs w:val="21"/>
              </w:rPr>
            </w:pPr>
            <w:r>
              <w:rPr>
                <w:rFonts w:hint="eastAsia" w:ascii="宋体" w:hAnsi="宋体"/>
                <w:szCs w:val="21"/>
              </w:rPr>
              <w:t>职务</w:t>
            </w:r>
          </w:p>
        </w:tc>
        <w:tc>
          <w:tcPr>
            <w:tcW w:w="1060" w:type="dxa"/>
            <w:vMerge w:val="restart"/>
            <w:vAlign w:val="center"/>
          </w:tcPr>
          <w:p>
            <w:pPr>
              <w:jc w:val="center"/>
              <w:rPr>
                <w:rFonts w:ascii="宋体" w:hAnsi="宋体"/>
                <w:szCs w:val="21"/>
              </w:rPr>
            </w:pPr>
            <w:r>
              <w:rPr>
                <w:rFonts w:hint="eastAsia" w:ascii="宋体" w:hAnsi="宋体"/>
                <w:szCs w:val="21"/>
              </w:rPr>
              <w:t>姓名</w:t>
            </w:r>
          </w:p>
        </w:tc>
        <w:tc>
          <w:tcPr>
            <w:tcW w:w="1054" w:type="dxa"/>
            <w:vMerge w:val="restart"/>
            <w:vAlign w:val="center"/>
          </w:tcPr>
          <w:p>
            <w:pPr>
              <w:jc w:val="center"/>
              <w:rPr>
                <w:rFonts w:ascii="宋体" w:hAnsi="宋体"/>
                <w:szCs w:val="21"/>
              </w:rPr>
            </w:pPr>
            <w:r>
              <w:rPr>
                <w:rFonts w:hint="eastAsia" w:ascii="宋体" w:hAnsi="宋体"/>
                <w:szCs w:val="21"/>
              </w:rPr>
              <w:t>职称</w:t>
            </w:r>
          </w:p>
        </w:tc>
        <w:tc>
          <w:tcPr>
            <w:tcW w:w="3320" w:type="dxa"/>
            <w:gridSpan w:val="3"/>
            <w:vAlign w:val="center"/>
          </w:tcPr>
          <w:p>
            <w:pPr>
              <w:jc w:val="center"/>
              <w:rPr>
                <w:rFonts w:ascii="宋体" w:hAnsi="宋体"/>
                <w:szCs w:val="21"/>
              </w:rPr>
            </w:pPr>
            <w:r>
              <w:rPr>
                <w:rFonts w:hint="eastAsia" w:ascii="宋体" w:hAnsi="宋体"/>
                <w:szCs w:val="21"/>
              </w:rPr>
              <w:t>持何种资格证件</w:t>
            </w:r>
          </w:p>
        </w:tc>
        <w:tc>
          <w:tcPr>
            <w:tcW w:w="2934" w:type="dxa"/>
            <w:gridSpan w:val="2"/>
            <w:vAlign w:val="center"/>
          </w:tcPr>
          <w:p>
            <w:pPr>
              <w:jc w:val="center"/>
              <w:rPr>
                <w:rFonts w:ascii="宋体" w:hAnsi="宋体"/>
                <w:szCs w:val="21"/>
              </w:rPr>
            </w:pPr>
            <w:r>
              <w:rPr>
                <w:rFonts w:hint="eastAsia" w:ascii="宋体" w:hAnsi="宋体"/>
                <w:szCs w:val="21"/>
              </w:rPr>
              <w:t>已承担项目情况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dxa"/>
            <w:vMerge w:val="continue"/>
            <w:vAlign w:val="center"/>
          </w:tcPr>
          <w:p>
            <w:pPr>
              <w:jc w:val="center"/>
              <w:rPr>
                <w:rFonts w:ascii="宋体" w:hAnsi="宋体"/>
                <w:szCs w:val="21"/>
              </w:rPr>
            </w:pPr>
          </w:p>
        </w:tc>
        <w:tc>
          <w:tcPr>
            <w:tcW w:w="1060" w:type="dxa"/>
            <w:vMerge w:val="continue"/>
            <w:vAlign w:val="center"/>
          </w:tcPr>
          <w:p>
            <w:pPr>
              <w:jc w:val="center"/>
              <w:rPr>
                <w:rFonts w:ascii="宋体" w:hAnsi="宋体"/>
                <w:szCs w:val="21"/>
              </w:rPr>
            </w:pPr>
          </w:p>
        </w:tc>
        <w:tc>
          <w:tcPr>
            <w:tcW w:w="1054" w:type="dxa"/>
            <w:vMerge w:val="continue"/>
            <w:vAlign w:val="center"/>
          </w:tcPr>
          <w:p>
            <w:pPr>
              <w:jc w:val="center"/>
              <w:rPr>
                <w:rFonts w:ascii="宋体" w:hAnsi="宋体"/>
                <w:szCs w:val="21"/>
              </w:rPr>
            </w:pPr>
          </w:p>
        </w:tc>
        <w:tc>
          <w:tcPr>
            <w:tcW w:w="1622" w:type="dxa"/>
            <w:vAlign w:val="center"/>
          </w:tcPr>
          <w:p>
            <w:pPr>
              <w:jc w:val="center"/>
              <w:rPr>
                <w:rFonts w:ascii="宋体" w:hAnsi="宋体"/>
                <w:szCs w:val="21"/>
              </w:rPr>
            </w:pPr>
            <w:r>
              <w:rPr>
                <w:rFonts w:hint="eastAsia" w:ascii="宋体" w:hAnsi="宋体"/>
                <w:szCs w:val="21"/>
              </w:rPr>
              <w:t>证书名称</w:t>
            </w:r>
          </w:p>
        </w:tc>
        <w:tc>
          <w:tcPr>
            <w:tcW w:w="848" w:type="dxa"/>
            <w:vAlign w:val="center"/>
          </w:tcPr>
          <w:p>
            <w:pPr>
              <w:jc w:val="center"/>
              <w:rPr>
                <w:rFonts w:ascii="宋体" w:hAnsi="宋体"/>
                <w:szCs w:val="21"/>
              </w:rPr>
            </w:pPr>
            <w:r>
              <w:rPr>
                <w:rFonts w:hint="eastAsia" w:ascii="宋体" w:hAnsi="宋体"/>
                <w:szCs w:val="21"/>
              </w:rPr>
              <w:t>级别</w:t>
            </w:r>
          </w:p>
        </w:tc>
        <w:tc>
          <w:tcPr>
            <w:tcW w:w="850" w:type="dxa"/>
            <w:vAlign w:val="center"/>
          </w:tcPr>
          <w:p>
            <w:pPr>
              <w:jc w:val="center"/>
              <w:rPr>
                <w:rFonts w:ascii="宋体" w:hAnsi="宋体"/>
                <w:szCs w:val="21"/>
              </w:rPr>
            </w:pPr>
            <w:r>
              <w:rPr>
                <w:rFonts w:hint="eastAsia" w:ascii="宋体" w:hAnsi="宋体"/>
                <w:szCs w:val="21"/>
              </w:rPr>
              <w:t>专业</w:t>
            </w:r>
          </w:p>
        </w:tc>
        <w:tc>
          <w:tcPr>
            <w:tcW w:w="1283" w:type="dxa"/>
            <w:vAlign w:val="center"/>
          </w:tcPr>
          <w:p>
            <w:pPr>
              <w:jc w:val="center"/>
              <w:rPr>
                <w:rFonts w:ascii="宋体" w:hAnsi="宋体"/>
                <w:szCs w:val="21"/>
              </w:rPr>
            </w:pPr>
            <w:r>
              <w:rPr>
                <w:rFonts w:hint="eastAsia" w:ascii="宋体" w:hAnsi="宋体"/>
                <w:szCs w:val="21"/>
              </w:rPr>
              <w:t>项目名称</w:t>
            </w:r>
          </w:p>
        </w:tc>
        <w:tc>
          <w:tcPr>
            <w:tcW w:w="1651" w:type="dxa"/>
            <w:vAlign w:val="center"/>
          </w:tcPr>
          <w:p>
            <w:pPr>
              <w:jc w:val="center"/>
              <w:rPr>
                <w:rFonts w:ascii="宋体" w:hAnsi="宋体"/>
                <w:szCs w:val="21"/>
              </w:rPr>
            </w:pPr>
            <w:r>
              <w:rPr>
                <w:rFonts w:hint="eastAsia" w:ascii="宋体" w:hAnsi="宋体"/>
                <w:szCs w:val="21"/>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dxa"/>
          </w:tcPr>
          <w:p>
            <w:pPr>
              <w:rPr>
                <w:rFonts w:ascii="宋体" w:hAnsi="宋体"/>
                <w:szCs w:val="21"/>
              </w:rPr>
            </w:pPr>
          </w:p>
        </w:tc>
        <w:tc>
          <w:tcPr>
            <w:tcW w:w="1060" w:type="dxa"/>
          </w:tcPr>
          <w:p>
            <w:pPr>
              <w:rPr>
                <w:rFonts w:ascii="宋体" w:hAnsi="宋体"/>
                <w:szCs w:val="21"/>
              </w:rPr>
            </w:pPr>
          </w:p>
        </w:tc>
        <w:tc>
          <w:tcPr>
            <w:tcW w:w="1054" w:type="dxa"/>
          </w:tcPr>
          <w:p>
            <w:pPr>
              <w:rPr>
                <w:rFonts w:ascii="宋体" w:hAnsi="宋体"/>
                <w:szCs w:val="21"/>
              </w:rPr>
            </w:pPr>
          </w:p>
        </w:tc>
        <w:tc>
          <w:tcPr>
            <w:tcW w:w="1622" w:type="dxa"/>
          </w:tcPr>
          <w:p>
            <w:pPr>
              <w:rPr>
                <w:rFonts w:ascii="宋体" w:hAnsi="宋体"/>
                <w:szCs w:val="21"/>
              </w:rPr>
            </w:pPr>
          </w:p>
        </w:tc>
        <w:tc>
          <w:tcPr>
            <w:tcW w:w="848" w:type="dxa"/>
          </w:tcPr>
          <w:p>
            <w:pPr>
              <w:rPr>
                <w:rFonts w:ascii="宋体" w:hAnsi="宋体"/>
                <w:szCs w:val="21"/>
              </w:rPr>
            </w:pPr>
          </w:p>
        </w:tc>
        <w:tc>
          <w:tcPr>
            <w:tcW w:w="850" w:type="dxa"/>
          </w:tcPr>
          <w:p>
            <w:pPr>
              <w:rPr>
                <w:rFonts w:ascii="宋体" w:hAnsi="宋体"/>
                <w:szCs w:val="21"/>
              </w:rPr>
            </w:pPr>
          </w:p>
        </w:tc>
        <w:tc>
          <w:tcPr>
            <w:tcW w:w="1283" w:type="dxa"/>
          </w:tcPr>
          <w:p>
            <w:pPr>
              <w:rPr>
                <w:rFonts w:ascii="宋体" w:hAnsi="宋体"/>
                <w:szCs w:val="21"/>
              </w:rPr>
            </w:pPr>
          </w:p>
        </w:tc>
        <w:tc>
          <w:tcPr>
            <w:tcW w:w="1651"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7" w:type="dxa"/>
          </w:tcPr>
          <w:p>
            <w:pPr>
              <w:rPr>
                <w:rFonts w:ascii="宋体" w:hAnsi="宋体"/>
                <w:szCs w:val="21"/>
              </w:rPr>
            </w:pPr>
          </w:p>
        </w:tc>
        <w:tc>
          <w:tcPr>
            <w:tcW w:w="1060" w:type="dxa"/>
          </w:tcPr>
          <w:p>
            <w:pPr>
              <w:rPr>
                <w:rFonts w:ascii="宋体" w:hAnsi="宋体"/>
                <w:szCs w:val="21"/>
              </w:rPr>
            </w:pPr>
          </w:p>
        </w:tc>
        <w:tc>
          <w:tcPr>
            <w:tcW w:w="1054" w:type="dxa"/>
          </w:tcPr>
          <w:p>
            <w:pPr>
              <w:rPr>
                <w:rFonts w:ascii="宋体" w:hAnsi="宋体"/>
                <w:szCs w:val="21"/>
              </w:rPr>
            </w:pPr>
          </w:p>
        </w:tc>
        <w:tc>
          <w:tcPr>
            <w:tcW w:w="1622" w:type="dxa"/>
          </w:tcPr>
          <w:p>
            <w:pPr>
              <w:rPr>
                <w:rFonts w:ascii="宋体" w:hAnsi="宋体"/>
                <w:szCs w:val="21"/>
              </w:rPr>
            </w:pPr>
          </w:p>
        </w:tc>
        <w:tc>
          <w:tcPr>
            <w:tcW w:w="848" w:type="dxa"/>
          </w:tcPr>
          <w:p>
            <w:pPr>
              <w:rPr>
                <w:rFonts w:ascii="宋体" w:hAnsi="宋体"/>
                <w:szCs w:val="21"/>
              </w:rPr>
            </w:pPr>
          </w:p>
        </w:tc>
        <w:tc>
          <w:tcPr>
            <w:tcW w:w="850" w:type="dxa"/>
          </w:tcPr>
          <w:p>
            <w:pPr>
              <w:rPr>
                <w:rFonts w:ascii="宋体" w:hAnsi="宋体"/>
                <w:szCs w:val="21"/>
              </w:rPr>
            </w:pPr>
          </w:p>
        </w:tc>
        <w:tc>
          <w:tcPr>
            <w:tcW w:w="1283" w:type="dxa"/>
          </w:tcPr>
          <w:p>
            <w:pPr>
              <w:rPr>
                <w:rFonts w:ascii="宋体" w:hAnsi="宋体"/>
                <w:szCs w:val="21"/>
              </w:rPr>
            </w:pPr>
          </w:p>
        </w:tc>
        <w:tc>
          <w:tcPr>
            <w:tcW w:w="1651" w:type="dxa"/>
          </w:tcPr>
          <w:p>
            <w:pPr>
              <w:rPr>
                <w:rFonts w:ascii="宋体" w:hAnsi="宋体"/>
                <w:szCs w:val="21"/>
              </w:rPr>
            </w:pPr>
          </w:p>
        </w:tc>
      </w:tr>
    </w:tbl>
    <w:p>
      <w:pPr>
        <w:spacing w:line="320" w:lineRule="exact"/>
        <w:rPr>
          <w:rFonts w:ascii="宋体" w:hAnsi="宋体"/>
          <w:sz w:val="18"/>
        </w:rPr>
      </w:pPr>
      <w:r>
        <w:rPr>
          <w:rFonts w:hint="eastAsia" w:ascii="宋体" w:hAnsi="宋体"/>
          <w:sz w:val="18"/>
        </w:rPr>
        <w:t>注：1、配备的项目管理、专业技术人员必须是本项目所用的管理、专业技术人员；</w:t>
      </w:r>
    </w:p>
    <w:p>
      <w:pPr>
        <w:spacing w:line="320" w:lineRule="exact"/>
        <w:ind w:firstLine="360" w:firstLineChars="200"/>
        <w:rPr>
          <w:rFonts w:ascii="宋体" w:hAnsi="宋体"/>
          <w:sz w:val="18"/>
        </w:rPr>
      </w:pPr>
      <w:r>
        <w:rPr>
          <w:rFonts w:hint="eastAsia" w:ascii="宋体" w:hAnsi="宋体"/>
          <w:sz w:val="18"/>
        </w:rPr>
        <w:t>2、项目管理、专业技术人员必须是投标单位的正式员工；</w:t>
      </w:r>
    </w:p>
    <w:p>
      <w:pPr>
        <w:spacing w:line="320" w:lineRule="exact"/>
        <w:ind w:firstLine="360" w:firstLineChars="200"/>
        <w:rPr>
          <w:rFonts w:ascii="宋体" w:hAnsi="宋体"/>
          <w:sz w:val="18"/>
        </w:rPr>
      </w:pPr>
      <w:r>
        <w:rPr>
          <w:rFonts w:hint="eastAsia" w:ascii="宋体" w:hAnsi="宋体"/>
          <w:sz w:val="18"/>
        </w:rPr>
        <w:t>3、提供项目负责人、主要专业技术人员资格证书复印件或扫描件（加盖公章）；</w:t>
      </w:r>
    </w:p>
    <w:p>
      <w:pPr>
        <w:spacing w:line="320" w:lineRule="exact"/>
        <w:ind w:firstLine="360" w:firstLineChars="200"/>
        <w:rPr>
          <w:rFonts w:ascii="宋体" w:hAnsi="宋体"/>
          <w:sz w:val="18"/>
        </w:rPr>
      </w:pPr>
      <w:r>
        <w:rPr>
          <w:rFonts w:hint="eastAsia" w:ascii="宋体" w:hAnsi="宋体"/>
          <w:sz w:val="18"/>
        </w:rPr>
        <w:t>4、投标单位聘请的顾问或咨询专家不得作为投标单位的技术人员；</w:t>
      </w:r>
    </w:p>
    <w:p>
      <w:pPr>
        <w:spacing w:line="320" w:lineRule="exact"/>
        <w:ind w:firstLine="360" w:firstLineChars="200"/>
        <w:rPr>
          <w:rFonts w:ascii="宋体" w:hAnsi="宋体"/>
          <w:sz w:val="18"/>
        </w:rPr>
      </w:pPr>
      <w:r>
        <w:rPr>
          <w:rFonts w:hint="eastAsia" w:ascii="宋体" w:hAnsi="宋体"/>
          <w:sz w:val="18"/>
        </w:rPr>
        <w:t>5、提供的资料必须齐全。</w:t>
      </w:r>
    </w:p>
    <w:p>
      <w:pPr>
        <w:tabs>
          <w:tab w:val="left" w:pos="414"/>
          <w:tab w:val="left" w:pos="1974"/>
          <w:tab w:val="left" w:pos="3414"/>
          <w:tab w:val="left" w:pos="4854"/>
          <w:tab w:val="left" w:pos="6174"/>
          <w:tab w:val="left" w:pos="7614"/>
          <w:tab w:val="left" w:pos="9414"/>
        </w:tabs>
        <w:spacing w:line="360" w:lineRule="exact"/>
        <w:rPr>
          <w:rFonts w:ascii="宋体" w:hAnsi="宋体"/>
          <w:szCs w:val="21"/>
        </w:rPr>
      </w:pPr>
    </w:p>
    <w:p>
      <w:pPr>
        <w:spacing w:line="440" w:lineRule="exact"/>
        <w:rPr>
          <w:color w:val="000000"/>
          <w:szCs w:val="21"/>
        </w:rPr>
      </w:pPr>
      <w:r>
        <w:rPr>
          <w:rFonts w:hint="eastAsia"/>
          <w:color w:val="000000"/>
          <w:szCs w:val="21"/>
        </w:rPr>
        <w:t>投标单位公章：</w:t>
      </w:r>
    </w:p>
    <w:p>
      <w:pPr>
        <w:spacing w:line="440" w:lineRule="exact"/>
        <w:rPr>
          <w:color w:val="000000"/>
          <w:szCs w:val="21"/>
        </w:rPr>
      </w:pPr>
      <w:r>
        <w:rPr>
          <w:rFonts w:hint="eastAsia"/>
          <w:color w:val="000000"/>
          <w:szCs w:val="21"/>
        </w:rPr>
        <w:t xml:space="preserve"> </w:t>
      </w:r>
    </w:p>
    <w:p>
      <w:pPr>
        <w:tabs>
          <w:tab w:val="left" w:pos="414"/>
          <w:tab w:val="left" w:pos="1974"/>
          <w:tab w:val="left" w:pos="3414"/>
          <w:tab w:val="left" w:pos="4854"/>
          <w:tab w:val="left" w:pos="6174"/>
          <w:tab w:val="left" w:pos="7614"/>
          <w:tab w:val="left" w:pos="9414"/>
        </w:tabs>
        <w:spacing w:line="360" w:lineRule="exact"/>
        <w:rPr>
          <w:rFonts w:ascii="宋体" w:hAnsi="宋体"/>
          <w:b/>
          <w:szCs w:val="21"/>
        </w:rPr>
      </w:pPr>
      <w:bookmarkStart w:id="108" w:name="_Toc73521619"/>
      <w:bookmarkStart w:id="109" w:name="_Toc101074904"/>
      <w:bookmarkStart w:id="110" w:name="_Toc100052474"/>
      <w:bookmarkStart w:id="111" w:name="_Toc73521707"/>
    </w:p>
    <w:p>
      <w:pPr>
        <w:spacing w:line="440" w:lineRule="exact"/>
        <w:ind w:firstLine="422" w:firstLineChars="200"/>
        <w:rPr>
          <w:rFonts w:ascii="宋体" w:hAnsi="宋体"/>
          <w:b/>
          <w:szCs w:val="21"/>
        </w:rPr>
      </w:pPr>
      <w:r>
        <w:rPr>
          <w:rFonts w:hint="eastAsia" w:ascii="宋体" w:hAnsi="宋体"/>
          <w:b/>
          <w:szCs w:val="21"/>
        </w:rPr>
        <w:t>（二）项目负责人简历表</w:t>
      </w:r>
      <w:bookmarkEnd w:id="108"/>
      <w:bookmarkEnd w:id="109"/>
      <w:bookmarkEnd w:id="110"/>
      <w:bookmarkEnd w:id="111"/>
    </w:p>
    <w:tbl>
      <w:tblPr>
        <w:tblStyle w:val="3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352"/>
        <w:gridCol w:w="455"/>
        <w:gridCol w:w="1297"/>
        <w:gridCol w:w="173"/>
        <w:gridCol w:w="1051"/>
        <w:gridCol w:w="210"/>
        <w:gridCol w:w="1506"/>
        <w:gridCol w:w="214"/>
        <w:gridCol w:w="874"/>
        <w:gridCol w:w="70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5" w:type="dxa"/>
            <w:vAlign w:val="center"/>
          </w:tcPr>
          <w:p>
            <w:pPr>
              <w:jc w:val="center"/>
              <w:rPr>
                <w:rFonts w:ascii="宋体" w:hAnsi="宋体"/>
                <w:szCs w:val="21"/>
              </w:rPr>
            </w:pPr>
            <w:r>
              <w:rPr>
                <w:rFonts w:hint="eastAsia" w:ascii="宋体" w:hAnsi="宋体"/>
                <w:szCs w:val="21"/>
              </w:rPr>
              <w:t>姓名</w:t>
            </w:r>
          </w:p>
        </w:tc>
        <w:tc>
          <w:tcPr>
            <w:tcW w:w="2277" w:type="dxa"/>
            <w:gridSpan w:val="4"/>
            <w:vAlign w:val="center"/>
          </w:tcPr>
          <w:p>
            <w:pPr>
              <w:jc w:val="center"/>
              <w:rPr>
                <w:rFonts w:ascii="宋体" w:hAnsi="宋体"/>
                <w:szCs w:val="21"/>
              </w:rPr>
            </w:pPr>
          </w:p>
        </w:tc>
        <w:tc>
          <w:tcPr>
            <w:tcW w:w="1051" w:type="dxa"/>
            <w:vAlign w:val="center"/>
          </w:tcPr>
          <w:p>
            <w:pPr>
              <w:jc w:val="center"/>
              <w:rPr>
                <w:rFonts w:ascii="宋体" w:hAnsi="宋体"/>
                <w:szCs w:val="21"/>
              </w:rPr>
            </w:pPr>
            <w:r>
              <w:rPr>
                <w:rFonts w:hint="eastAsia" w:ascii="宋体" w:hAnsi="宋体"/>
                <w:szCs w:val="21"/>
              </w:rPr>
              <w:t>性别</w:t>
            </w:r>
          </w:p>
        </w:tc>
        <w:tc>
          <w:tcPr>
            <w:tcW w:w="1716" w:type="dxa"/>
            <w:gridSpan w:val="2"/>
            <w:vAlign w:val="center"/>
          </w:tcPr>
          <w:p>
            <w:pPr>
              <w:jc w:val="center"/>
              <w:rPr>
                <w:rFonts w:ascii="宋体" w:hAnsi="宋体"/>
                <w:szCs w:val="21"/>
              </w:rPr>
            </w:pPr>
          </w:p>
        </w:tc>
        <w:tc>
          <w:tcPr>
            <w:tcW w:w="1088" w:type="dxa"/>
            <w:gridSpan w:val="2"/>
            <w:vAlign w:val="center"/>
          </w:tcPr>
          <w:p>
            <w:pPr>
              <w:jc w:val="center"/>
              <w:rPr>
                <w:rFonts w:ascii="宋体" w:hAnsi="宋体"/>
                <w:szCs w:val="21"/>
              </w:rPr>
            </w:pPr>
            <w:r>
              <w:rPr>
                <w:rFonts w:hint="eastAsia" w:ascii="宋体" w:hAnsi="宋体"/>
                <w:szCs w:val="21"/>
              </w:rPr>
              <w:t>年龄</w:t>
            </w:r>
          </w:p>
        </w:tc>
        <w:tc>
          <w:tcPr>
            <w:tcW w:w="1858"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25" w:type="dxa"/>
            <w:vAlign w:val="center"/>
          </w:tcPr>
          <w:p>
            <w:pPr>
              <w:jc w:val="center"/>
              <w:rPr>
                <w:rFonts w:ascii="宋体" w:hAnsi="宋体"/>
                <w:szCs w:val="21"/>
              </w:rPr>
            </w:pPr>
            <w:r>
              <w:rPr>
                <w:rFonts w:hint="eastAsia" w:ascii="宋体" w:hAnsi="宋体"/>
                <w:szCs w:val="21"/>
              </w:rPr>
              <w:t>职务</w:t>
            </w:r>
          </w:p>
        </w:tc>
        <w:tc>
          <w:tcPr>
            <w:tcW w:w="2277" w:type="dxa"/>
            <w:gridSpan w:val="4"/>
            <w:vAlign w:val="center"/>
          </w:tcPr>
          <w:p>
            <w:pPr>
              <w:jc w:val="center"/>
              <w:rPr>
                <w:rFonts w:ascii="宋体" w:hAnsi="宋体"/>
                <w:szCs w:val="21"/>
              </w:rPr>
            </w:pPr>
          </w:p>
        </w:tc>
        <w:tc>
          <w:tcPr>
            <w:tcW w:w="1051" w:type="dxa"/>
            <w:vAlign w:val="center"/>
          </w:tcPr>
          <w:p>
            <w:pPr>
              <w:jc w:val="center"/>
              <w:rPr>
                <w:rFonts w:ascii="宋体" w:hAnsi="宋体"/>
                <w:szCs w:val="21"/>
              </w:rPr>
            </w:pPr>
            <w:r>
              <w:rPr>
                <w:rFonts w:hint="eastAsia" w:ascii="宋体" w:hAnsi="宋体"/>
                <w:szCs w:val="21"/>
              </w:rPr>
              <w:t>职称</w:t>
            </w:r>
          </w:p>
        </w:tc>
        <w:tc>
          <w:tcPr>
            <w:tcW w:w="1716" w:type="dxa"/>
            <w:gridSpan w:val="2"/>
            <w:vAlign w:val="center"/>
          </w:tcPr>
          <w:p>
            <w:pPr>
              <w:jc w:val="center"/>
              <w:rPr>
                <w:rFonts w:ascii="宋体" w:hAnsi="宋体"/>
                <w:szCs w:val="21"/>
              </w:rPr>
            </w:pPr>
          </w:p>
        </w:tc>
        <w:tc>
          <w:tcPr>
            <w:tcW w:w="1088" w:type="dxa"/>
            <w:gridSpan w:val="2"/>
            <w:vAlign w:val="center"/>
          </w:tcPr>
          <w:p>
            <w:pPr>
              <w:jc w:val="center"/>
              <w:rPr>
                <w:rFonts w:ascii="宋体" w:hAnsi="宋体"/>
                <w:szCs w:val="21"/>
              </w:rPr>
            </w:pPr>
            <w:r>
              <w:rPr>
                <w:rFonts w:hint="eastAsia" w:ascii="宋体" w:hAnsi="宋体"/>
                <w:szCs w:val="21"/>
              </w:rPr>
              <w:t>学历</w:t>
            </w:r>
          </w:p>
        </w:tc>
        <w:tc>
          <w:tcPr>
            <w:tcW w:w="1858"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32" w:type="dxa"/>
            <w:gridSpan w:val="3"/>
            <w:vAlign w:val="center"/>
          </w:tcPr>
          <w:p>
            <w:pPr>
              <w:jc w:val="center"/>
              <w:rPr>
                <w:rFonts w:ascii="宋体" w:hAnsi="宋体"/>
                <w:szCs w:val="21"/>
              </w:rPr>
            </w:pPr>
            <w:r>
              <w:rPr>
                <w:rFonts w:hint="eastAsia" w:ascii="宋体" w:hAnsi="宋体"/>
                <w:szCs w:val="21"/>
              </w:rPr>
              <w:t>参加工作时间</w:t>
            </w:r>
          </w:p>
        </w:tc>
        <w:tc>
          <w:tcPr>
            <w:tcW w:w="7183" w:type="dxa"/>
            <w:gridSpan w:val="9"/>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5" w:type="dxa"/>
            <w:gridSpan w:val="12"/>
            <w:vAlign w:val="center"/>
          </w:tcPr>
          <w:p>
            <w:pPr>
              <w:jc w:val="center"/>
              <w:rPr>
                <w:rFonts w:ascii="宋体" w:hAnsi="宋体"/>
                <w:szCs w:val="21"/>
              </w:rPr>
            </w:pPr>
            <w:r>
              <w:rPr>
                <w:rFonts w:hint="eastAsia" w:ascii="宋体" w:hAnsi="宋体"/>
                <w:szCs w:val="21"/>
              </w:rPr>
              <w:t>在执行和已完项目情况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gridSpan w:val="2"/>
            <w:vAlign w:val="center"/>
          </w:tcPr>
          <w:p>
            <w:pPr>
              <w:jc w:val="center"/>
              <w:rPr>
                <w:rFonts w:ascii="宋体" w:hAnsi="宋体"/>
                <w:szCs w:val="21"/>
              </w:rPr>
            </w:pPr>
            <w:r>
              <w:rPr>
                <w:rFonts w:hint="eastAsia" w:ascii="宋体" w:hAnsi="宋体"/>
                <w:szCs w:val="21"/>
              </w:rPr>
              <w:t>采购单位</w:t>
            </w:r>
          </w:p>
        </w:tc>
        <w:tc>
          <w:tcPr>
            <w:tcW w:w="1752" w:type="dxa"/>
            <w:gridSpan w:val="2"/>
            <w:vAlign w:val="center"/>
          </w:tcPr>
          <w:p>
            <w:pPr>
              <w:jc w:val="center"/>
              <w:rPr>
                <w:rFonts w:ascii="宋体" w:hAnsi="宋体"/>
                <w:szCs w:val="21"/>
              </w:rPr>
            </w:pPr>
            <w:r>
              <w:rPr>
                <w:rFonts w:hint="eastAsia" w:ascii="宋体" w:hAnsi="宋体"/>
                <w:szCs w:val="21"/>
              </w:rPr>
              <w:t>项目名称</w:t>
            </w:r>
          </w:p>
        </w:tc>
        <w:tc>
          <w:tcPr>
            <w:tcW w:w="1434" w:type="dxa"/>
            <w:gridSpan w:val="3"/>
            <w:vAlign w:val="center"/>
          </w:tcPr>
          <w:p>
            <w:pPr>
              <w:jc w:val="center"/>
              <w:rPr>
                <w:rFonts w:ascii="宋体" w:hAnsi="宋体"/>
                <w:szCs w:val="21"/>
              </w:rPr>
            </w:pPr>
            <w:r>
              <w:rPr>
                <w:rFonts w:hint="eastAsia" w:ascii="宋体" w:hAnsi="宋体"/>
                <w:szCs w:val="21"/>
              </w:rPr>
              <w:t>项目规模</w:t>
            </w:r>
          </w:p>
        </w:tc>
        <w:tc>
          <w:tcPr>
            <w:tcW w:w="1720" w:type="dxa"/>
            <w:gridSpan w:val="2"/>
            <w:vAlign w:val="center"/>
          </w:tcPr>
          <w:p>
            <w:pPr>
              <w:jc w:val="center"/>
              <w:rPr>
                <w:rFonts w:ascii="宋体" w:hAnsi="宋体"/>
                <w:szCs w:val="21"/>
              </w:rPr>
            </w:pPr>
            <w:r>
              <w:rPr>
                <w:rFonts w:hint="eastAsia" w:ascii="宋体" w:hAnsi="宋体"/>
                <w:szCs w:val="21"/>
              </w:rPr>
              <w:t>项目执行日期</w:t>
            </w:r>
          </w:p>
        </w:tc>
        <w:tc>
          <w:tcPr>
            <w:tcW w:w="1578" w:type="dxa"/>
            <w:gridSpan w:val="2"/>
            <w:vAlign w:val="center"/>
          </w:tcPr>
          <w:p>
            <w:pPr>
              <w:jc w:val="center"/>
              <w:rPr>
                <w:rFonts w:ascii="宋体" w:hAnsi="宋体"/>
                <w:szCs w:val="21"/>
              </w:rPr>
            </w:pPr>
            <w:r>
              <w:rPr>
                <w:rFonts w:hint="eastAsia" w:ascii="宋体" w:hAnsi="宋体"/>
                <w:szCs w:val="21"/>
              </w:rPr>
              <w:t>在执行或已完</w:t>
            </w:r>
          </w:p>
        </w:tc>
        <w:tc>
          <w:tcPr>
            <w:tcW w:w="1154" w:type="dxa"/>
            <w:vAlign w:val="center"/>
          </w:tcPr>
          <w:p>
            <w:pPr>
              <w:jc w:val="center"/>
              <w:rPr>
                <w:rFonts w:ascii="宋体" w:hAnsi="宋体"/>
                <w:szCs w:val="21"/>
              </w:rPr>
            </w:pPr>
            <w:r>
              <w:rPr>
                <w:rFonts w:hint="eastAsia" w:ascii="宋体" w:hAnsi="宋体"/>
                <w:szCs w:val="21"/>
              </w:rPr>
              <w:t>项目获奖情况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7" w:type="dxa"/>
            <w:gridSpan w:val="2"/>
            <w:vAlign w:val="center"/>
          </w:tcPr>
          <w:p>
            <w:pPr>
              <w:rPr>
                <w:rFonts w:ascii="宋体" w:hAnsi="宋体"/>
                <w:szCs w:val="21"/>
              </w:rPr>
            </w:pPr>
          </w:p>
        </w:tc>
        <w:tc>
          <w:tcPr>
            <w:tcW w:w="1752" w:type="dxa"/>
            <w:gridSpan w:val="2"/>
            <w:vAlign w:val="center"/>
          </w:tcPr>
          <w:p>
            <w:pPr>
              <w:rPr>
                <w:rFonts w:ascii="宋体" w:hAnsi="宋体"/>
                <w:szCs w:val="21"/>
              </w:rPr>
            </w:pPr>
          </w:p>
        </w:tc>
        <w:tc>
          <w:tcPr>
            <w:tcW w:w="1434" w:type="dxa"/>
            <w:gridSpan w:val="3"/>
            <w:vAlign w:val="center"/>
          </w:tcPr>
          <w:p>
            <w:pPr>
              <w:rPr>
                <w:rFonts w:ascii="宋体" w:hAnsi="宋体"/>
                <w:szCs w:val="21"/>
              </w:rPr>
            </w:pPr>
          </w:p>
        </w:tc>
        <w:tc>
          <w:tcPr>
            <w:tcW w:w="1720" w:type="dxa"/>
            <w:gridSpan w:val="2"/>
            <w:vAlign w:val="center"/>
          </w:tcPr>
          <w:p>
            <w:pPr>
              <w:rPr>
                <w:rFonts w:ascii="宋体" w:hAnsi="宋体"/>
                <w:szCs w:val="21"/>
              </w:rPr>
            </w:pPr>
          </w:p>
        </w:tc>
        <w:tc>
          <w:tcPr>
            <w:tcW w:w="1578" w:type="dxa"/>
            <w:gridSpan w:val="2"/>
            <w:vAlign w:val="center"/>
          </w:tcPr>
          <w:p>
            <w:pPr>
              <w:rPr>
                <w:rFonts w:ascii="宋体" w:hAnsi="宋体"/>
                <w:szCs w:val="21"/>
              </w:rPr>
            </w:pPr>
          </w:p>
        </w:tc>
        <w:tc>
          <w:tcPr>
            <w:tcW w:w="1154" w:type="dxa"/>
            <w:vAlign w:val="center"/>
          </w:tcPr>
          <w:p>
            <w:pPr>
              <w:rPr>
                <w:rFonts w:ascii="宋体" w:hAnsi="宋体"/>
                <w:szCs w:val="21"/>
              </w:rPr>
            </w:pPr>
          </w:p>
        </w:tc>
      </w:tr>
    </w:tbl>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12" w:name="_Toc73521620"/>
      <w:bookmarkStart w:id="113" w:name="_Toc101074905"/>
      <w:bookmarkStart w:id="114" w:name="_Toc100052475"/>
      <w:bookmarkStart w:id="115" w:name="_Toc73521708"/>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投标单位公章：</w:t>
      </w:r>
    </w:p>
    <w:p>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 xml:space="preserve"> </w:t>
      </w:r>
    </w:p>
    <w:p>
      <w:pPr>
        <w:spacing w:line="440" w:lineRule="exact"/>
        <w:ind w:firstLine="422" w:firstLineChars="200"/>
        <w:rPr>
          <w:rFonts w:ascii="宋体" w:hAnsi="宋体"/>
          <w:b/>
          <w:szCs w:val="21"/>
        </w:rPr>
      </w:pPr>
      <w:r>
        <w:rPr>
          <w:rFonts w:hint="eastAsia" w:ascii="宋体" w:hAnsi="宋体"/>
          <w:b/>
          <w:szCs w:val="21"/>
        </w:rPr>
        <w:t>（三）项目班子配备情况辅助说明资料</w:t>
      </w:r>
      <w:bookmarkEnd w:id="112"/>
      <w:bookmarkEnd w:id="113"/>
      <w:bookmarkEnd w:id="114"/>
      <w:bookmarkEnd w:id="115"/>
    </w:p>
    <w:p>
      <w:pPr>
        <w:spacing w:line="440" w:lineRule="exact"/>
        <w:ind w:firstLine="420" w:firstLineChars="200"/>
        <w:rPr>
          <w:rFonts w:ascii="宋体" w:hAnsi="宋体"/>
          <w:szCs w:val="21"/>
        </w:rPr>
      </w:pPr>
      <w:r>
        <w:rPr>
          <w:rFonts w:hint="eastAsia" w:ascii="宋体" w:hAnsi="宋体"/>
          <w:szCs w:val="21"/>
        </w:rPr>
        <w:t>注：辅助说明资料主要包括班子机构设置、职责分工、有关复印</w:t>
      </w:r>
      <w:r>
        <w:rPr>
          <w:rFonts w:hint="eastAsia"/>
          <w:color w:val="000000"/>
          <w:szCs w:val="21"/>
        </w:rPr>
        <w:t>证明资料以及供应商认为有必要提供的资料，辅助说明资料格式不做统一规定，由供应商自行设计。</w:t>
      </w:r>
    </w:p>
    <w:p>
      <w:pPr>
        <w:pStyle w:val="2"/>
        <w:keepNext w:val="0"/>
        <w:keepLines w:val="0"/>
        <w:spacing w:before="0" w:after="0" w:line="440" w:lineRule="exact"/>
        <w:rPr>
          <w:rFonts w:ascii="宋体" w:hAnsi="宋体"/>
          <w:b w:val="0"/>
          <w:color w:val="000000"/>
          <w:szCs w:val="21"/>
        </w:rPr>
      </w:pPr>
      <w:bookmarkStart w:id="116" w:name="_Toc2883"/>
      <w:bookmarkStart w:id="117" w:name="_Toc23518"/>
      <w:r>
        <w:rPr>
          <w:bCs w:val="0"/>
          <w:color w:val="000000"/>
          <w:sz w:val="21"/>
          <w:szCs w:val="21"/>
        </w:rPr>
        <w:t>格式</w:t>
      </w:r>
      <w:r>
        <w:rPr>
          <w:rFonts w:hint="eastAsia"/>
          <w:bCs w:val="0"/>
          <w:color w:val="000000"/>
          <w:sz w:val="21"/>
          <w:szCs w:val="21"/>
        </w:rPr>
        <w:t>十：</w:t>
      </w:r>
      <w:bookmarkEnd w:id="116"/>
      <w:bookmarkEnd w:id="117"/>
      <w:r>
        <w:rPr>
          <w:rFonts w:hint="eastAsia" w:ascii="宋体" w:hAnsi="宋体"/>
          <w:color w:val="000000"/>
          <w:sz w:val="21"/>
          <w:szCs w:val="21"/>
        </w:rPr>
        <w:t>服务方案格式</w:t>
      </w:r>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服务方案</w:t>
      </w:r>
    </w:p>
    <w:p>
      <w:pPr>
        <w:spacing w:line="440" w:lineRule="exact"/>
        <w:jc w:val="center"/>
        <w:rPr>
          <w:rFonts w:ascii="宋体" w:hAnsi="宋体"/>
          <w:color w:val="000000"/>
          <w:szCs w:val="21"/>
        </w:rPr>
      </w:pPr>
      <w:r>
        <w:rPr>
          <w:rFonts w:hint="eastAsia" w:ascii="宋体" w:hAnsi="宋体"/>
          <w:color w:val="000000"/>
          <w:szCs w:val="21"/>
        </w:rPr>
        <w:t>（格式自拟）</w:t>
      </w:r>
    </w:p>
    <w:p>
      <w:pPr>
        <w:spacing w:line="440" w:lineRule="exact"/>
        <w:jc w:val="center"/>
        <w:rPr>
          <w:rFonts w:ascii="宋体" w:hAnsi="宋体"/>
          <w:color w:val="000000"/>
          <w:szCs w:val="21"/>
        </w:rPr>
      </w:pPr>
    </w:p>
    <w:p>
      <w:pPr>
        <w:spacing w:line="440" w:lineRule="exact"/>
        <w:jc w:val="center"/>
        <w:rPr>
          <w:rFonts w:ascii="宋体" w:hAnsi="宋体"/>
          <w:color w:val="000000"/>
          <w:szCs w:val="21"/>
        </w:rPr>
      </w:pPr>
      <w:bookmarkStart w:id="118" w:name="_Toc17024"/>
      <w:bookmarkStart w:id="119" w:name="_Toc26018"/>
    </w:p>
    <w:p>
      <w:pPr>
        <w:spacing w:line="440" w:lineRule="exact"/>
        <w:jc w:val="center"/>
        <w:rPr>
          <w:rFonts w:ascii="宋体" w:hAnsi="宋体"/>
          <w:color w:val="000000"/>
          <w:szCs w:val="21"/>
        </w:rPr>
      </w:pPr>
    </w:p>
    <w:p>
      <w:pPr>
        <w:spacing w:line="440" w:lineRule="exact"/>
        <w:jc w:val="center"/>
        <w:rPr>
          <w:rFonts w:ascii="宋体" w:hAnsi="宋体"/>
          <w:color w:val="000000"/>
          <w:szCs w:val="21"/>
        </w:rPr>
      </w:pPr>
    </w:p>
    <w:p>
      <w:pPr>
        <w:spacing w:line="440" w:lineRule="exact"/>
        <w:jc w:val="center"/>
        <w:rPr>
          <w:rFonts w:ascii="宋体" w:hAnsi="宋体"/>
          <w:color w:val="000000"/>
          <w:szCs w:val="21"/>
        </w:rPr>
      </w:pPr>
    </w:p>
    <w:p>
      <w:pPr>
        <w:spacing w:line="440" w:lineRule="exact"/>
        <w:jc w:val="center"/>
        <w:rPr>
          <w:rFonts w:ascii="宋体" w:hAnsi="宋体"/>
          <w:color w:val="000000"/>
          <w:szCs w:val="21"/>
        </w:rPr>
      </w:pPr>
    </w:p>
    <w:p>
      <w:pPr>
        <w:spacing w:line="440" w:lineRule="exact"/>
        <w:jc w:val="center"/>
        <w:rPr>
          <w:rFonts w:ascii="宋体" w:hAnsi="宋体"/>
          <w:color w:val="000000"/>
          <w:szCs w:val="21"/>
        </w:rPr>
      </w:pPr>
    </w:p>
    <w:p>
      <w:pPr>
        <w:pStyle w:val="2"/>
        <w:spacing w:before="0" w:after="0" w:line="440" w:lineRule="exact"/>
        <w:rPr>
          <w:bCs w:val="0"/>
          <w:color w:val="000000"/>
          <w:sz w:val="21"/>
          <w:szCs w:val="21"/>
        </w:rPr>
      </w:pPr>
      <w:r>
        <w:rPr>
          <w:rFonts w:hint="eastAsia"/>
          <w:bCs w:val="0"/>
          <w:color w:val="000000"/>
          <w:sz w:val="21"/>
          <w:szCs w:val="21"/>
        </w:rPr>
        <w:t>格式十一：其他格式（自行设置）</w:t>
      </w:r>
      <w:bookmarkEnd w:id="118"/>
      <w:bookmarkEnd w:id="119"/>
    </w:p>
    <w:p>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其   他</w:t>
      </w:r>
    </w:p>
    <w:p>
      <w:pPr>
        <w:numPr>
          <w:ilvl w:val="0"/>
          <w:numId w:val="1"/>
        </w:numPr>
        <w:spacing w:line="440" w:lineRule="exact"/>
        <w:jc w:val="left"/>
        <w:rPr>
          <w:rFonts w:ascii="宋体" w:hAnsi="宋体"/>
          <w:color w:val="000000"/>
          <w:szCs w:val="21"/>
        </w:rPr>
      </w:pPr>
      <w:r>
        <w:rPr>
          <w:rFonts w:hint="eastAsia" w:ascii="宋体" w:hAnsi="宋体"/>
          <w:color w:val="000000"/>
          <w:szCs w:val="21"/>
        </w:rPr>
        <w:t>最近三年本公司牵涉的主要诉讼案件</w:t>
      </w:r>
    </w:p>
    <w:p>
      <w:pPr>
        <w:numPr>
          <w:ilvl w:val="255"/>
          <w:numId w:val="0"/>
        </w:numPr>
        <w:spacing w:line="440" w:lineRule="exact"/>
        <w:jc w:val="left"/>
        <w:rPr>
          <w:rFonts w:ascii="宋体" w:hAnsi="宋体"/>
          <w:color w:val="000000"/>
          <w:szCs w:val="21"/>
        </w:rPr>
      </w:pPr>
    </w:p>
    <w:p>
      <w:pPr>
        <w:spacing w:line="440" w:lineRule="exact"/>
        <w:jc w:val="left"/>
        <w:rPr>
          <w:rFonts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rPr>
          <w:rFonts w:ascii="宋体" w:hAnsi="宋体"/>
        </w:rPr>
      </w:pPr>
      <w:r>
        <w:rPr>
          <w:rFonts w:hint="eastAsia" w:ascii="宋体" w:hAnsi="宋体"/>
        </w:rPr>
        <w:t>注：</w:t>
      </w:r>
    </w:p>
    <w:p>
      <w:pPr>
        <w:spacing w:line="440" w:lineRule="exact"/>
        <w:jc w:val="left"/>
        <w:rPr>
          <w:rFonts w:ascii="宋体" w:hAnsi="宋体"/>
        </w:rPr>
      </w:pPr>
      <w:r>
        <w:rPr>
          <w:rFonts w:hint="eastAsia" w:ascii="宋体" w:hAnsi="宋体"/>
        </w:rPr>
        <w:t>1.供应商应如实提供上述人员的社会保险证明，如上述人员的社会保险未由供应商缴纳，亦须提供相应单位为其缴纳的社会保险证明。</w:t>
      </w:r>
    </w:p>
    <w:p>
      <w:pPr>
        <w:spacing w:line="440" w:lineRule="exact"/>
        <w:jc w:val="left"/>
        <w:rPr>
          <w:rFonts w:ascii="宋体" w:hAnsi="宋体"/>
        </w:rPr>
      </w:pPr>
      <w:r>
        <w:rPr>
          <w:rFonts w:hint="eastAsia" w:ascii="宋体" w:hAnsi="宋体"/>
        </w:rPr>
        <w:t>2.供应商为新成立企业且成立时间不足一个月可提供加盖供应商公章的情况说明或者证明材料亦视为符合。</w:t>
      </w:r>
    </w:p>
    <w:p>
      <w:pPr>
        <w:spacing w:line="440" w:lineRule="exact"/>
        <w:jc w:val="left"/>
        <w:rPr>
          <w:rFonts w:ascii="宋体" w:hAnsi="宋体"/>
        </w:rPr>
      </w:pPr>
      <w:r>
        <w:rPr>
          <w:rFonts w:hint="eastAsia" w:ascii="宋体" w:hAnsi="宋体"/>
        </w:rPr>
        <w:t>3.若为退休人员，提供退休证明。</w:t>
      </w:r>
    </w:p>
    <w:p>
      <w:pPr>
        <w:spacing w:line="440" w:lineRule="exact"/>
        <w:jc w:val="left"/>
        <w:rPr>
          <w:rFonts w:ascii="宋体" w:hAnsi="宋体"/>
        </w:rPr>
      </w:pPr>
      <w:r>
        <w:rPr>
          <w:rFonts w:hint="eastAsia" w:ascii="宋体" w:hAnsi="宋体"/>
        </w:rPr>
        <w:t>4.如依法不需要缴纳社会保险的，应提供相应文件证明。</w:t>
      </w:r>
    </w:p>
    <w:p>
      <w:pPr>
        <w:spacing w:line="440" w:lineRule="exact"/>
        <w:jc w:val="left"/>
        <w:rPr>
          <w:rFonts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ascii="宋体" w:hAnsi="宋体"/>
        </w:rPr>
      </w:pPr>
      <w:r>
        <w:rPr>
          <w:rFonts w:hint="eastAsia" w:ascii="宋体" w:hAnsi="宋体"/>
        </w:rPr>
        <w:t>7.如是联合体投标的，需提供各方的。</w:t>
      </w:r>
    </w:p>
    <w:p>
      <w:pPr>
        <w:spacing w:line="440" w:lineRule="exact"/>
        <w:jc w:val="left"/>
        <w:rPr>
          <w:rFonts w:ascii="宋体" w:hAnsi="宋体"/>
        </w:rPr>
      </w:pPr>
    </w:p>
    <w:p>
      <w:pPr>
        <w:spacing w:line="440" w:lineRule="exact"/>
        <w:jc w:val="left"/>
        <w:rPr>
          <w:rFonts w:ascii="宋体" w:hAnsi="宋体"/>
          <w:color w:val="000000"/>
          <w:szCs w:val="21"/>
        </w:rPr>
      </w:pPr>
      <w:r>
        <w:rPr>
          <w:rFonts w:hint="eastAsia" w:ascii="宋体" w:hAnsi="宋体"/>
          <w:color w:val="000000"/>
          <w:szCs w:val="21"/>
        </w:rPr>
        <w:t>3、其他招标文件要求和供应商认为有必要的内容</w:t>
      </w:r>
    </w:p>
    <w:p>
      <w:pPr>
        <w:widowControl/>
        <w:jc w:val="left"/>
        <w:rPr>
          <w:rFonts w:ascii="宋体" w:hAnsi="宋体"/>
          <w:color w:val="000000"/>
          <w:szCs w:val="21"/>
        </w:rPr>
      </w:pPr>
      <w:r>
        <w:rPr>
          <w:rFonts w:ascii="宋体" w:hAnsi="宋体"/>
          <w:color w:val="000000"/>
          <w:szCs w:val="21"/>
        </w:rPr>
        <w:br w:type="page"/>
      </w:r>
    </w:p>
    <w:p>
      <w:pPr>
        <w:jc w:val="left"/>
        <w:outlineLvl w:val="1"/>
        <w:rPr>
          <w:rFonts w:ascii="宋体" w:hAnsi="宋体" w:cs="宋体"/>
          <w:b/>
          <w:bCs/>
          <w:szCs w:val="21"/>
        </w:rPr>
      </w:pPr>
      <w:r>
        <w:rPr>
          <w:rFonts w:hint="eastAsia" w:ascii="宋体" w:hAnsi="宋体" w:cs="宋体"/>
          <w:b/>
          <w:bCs/>
          <w:szCs w:val="21"/>
        </w:rPr>
        <w:t>格式十二：政府采购违法行为风险知悉确认书格式</w:t>
      </w:r>
    </w:p>
    <w:p>
      <w:pPr>
        <w:jc w:val="center"/>
      </w:pPr>
      <w:r>
        <w:rPr>
          <w:rFonts w:hint="eastAsia" w:asciiTheme="majorEastAsia" w:hAnsiTheme="majorEastAsia" w:eastAsiaTheme="majorEastAsia" w:cstheme="majorEastAsia"/>
          <w:b/>
          <w:bCs/>
        </w:rPr>
        <w:t>政府采购违法行为风险知悉确认书</w:t>
      </w:r>
    </w:p>
    <w:p>
      <w:pPr>
        <w:spacing w:line="340" w:lineRule="exact"/>
      </w:pPr>
      <w:r>
        <w:rPr>
          <w:rFonts w:hint="eastAsia"/>
        </w:rPr>
        <w:t>本公司在投标前已充分知悉以下情形为参与政府采购活动时的重大风险事项，并承诺已对下述风险提示事项重点排查，做到严谨、诚信、依法依规参与政府采购活动。</w:t>
      </w:r>
    </w:p>
    <w:p>
      <w:pPr>
        <w:spacing w:line="340" w:lineRule="exact"/>
      </w:pPr>
      <w:r>
        <w:rPr>
          <w:rFonts w:hint="eastAsia"/>
        </w:rPr>
        <w:t>一、本公司已充分知悉“隐瞒真实情况，提供虚假资料”的法定情形，相关情形包括但不限于：</w:t>
      </w:r>
    </w:p>
    <w:p>
      <w:pPr>
        <w:spacing w:line="340" w:lineRule="exact"/>
      </w:pPr>
      <w:r>
        <w:rPr>
          <w:rFonts w:hint="eastAsia"/>
        </w:rPr>
        <w:t>（一）通过转让或者租借等方式从其他单位获取资格或者资质证书投标的。</w:t>
      </w:r>
    </w:p>
    <w:p>
      <w:pPr>
        <w:spacing w:line="340" w:lineRule="exact"/>
      </w:pPr>
      <w:r>
        <w:rPr>
          <w:rFonts w:hint="eastAsia"/>
        </w:rPr>
        <w:t>（二）由其他单位或者其他单位负责人在投标供应商编制的投标文件上加盖印章或者签字的。</w:t>
      </w:r>
    </w:p>
    <w:p>
      <w:pPr>
        <w:spacing w:line="340" w:lineRule="exact"/>
      </w:pPr>
      <w:r>
        <w:rPr>
          <w:rFonts w:hint="eastAsia"/>
        </w:rPr>
        <w:t>（三）项目负责人或者主要技术人员不是本单位人员的。</w:t>
      </w:r>
    </w:p>
    <w:p>
      <w:pPr>
        <w:spacing w:line="340" w:lineRule="exact"/>
      </w:pPr>
      <w:r>
        <w:rPr>
          <w:rFonts w:hint="eastAsia"/>
        </w:rPr>
        <w:t>（四）投标保证金不是从投标供应商基本账户转出的。</w:t>
      </w:r>
    </w:p>
    <w:p>
      <w:pPr>
        <w:spacing w:line="340" w:lineRule="exact"/>
      </w:pPr>
      <w:r>
        <w:rPr>
          <w:rFonts w:hint="eastAsia"/>
        </w:rPr>
        <w:t>（五）其他隐瞒真实情况、提供虚假资料的行为。</w:t>
      </w:r>
    </w:p>
    <w:p>
      <w:pPr>
        <w:spacing w:line="340" w:lineRule="exact"/>
      </w:pPr>
      <w:r>
        <w:rPr>
          <w:rFonts w:hint="eastAsia"/>
        </w:rPr>
        <w:t>二、本公司已充分知悉“与其他采购参加人串通投标”的法定情形，相关情形包括但不限于：</w:t>
      </w:r>
    </w:p>
    <w:p>
      <w:pPr>
        <w:spacing w:line="340" w:lineRule="exact"/>
      </w:pPr>
      <w:r>
        <w:rPr>
          <w:rFonts w:hint="eastAsia"/>
        </w:rPr>
        <w:t>（一）投标供应商之间相互约定给予未中标的供应商利益补偿。</w:t>
      </w:r>
    </w:p>
    <w:p>
      <w:pPr>
        <w:spacing w:line="340" w:lineRule="exact"/>
      </w:pPr>
      <w:r>
        <w:rPr>
          <w:rFonts w:hint="eastAsia"/>
        </w:rPr>
        <w:t>（二）不同投标供应商的法定代表人、主要经营负责人、项目投标授权代表人、项目负责人、主要技术人员为同一人、属同一单位或者在同一单位缴纳社会保险。</w:t>
      </w:r>
    </w:p>
    <w:p>
      <w:pPr>
        <w:spacing w:line="340" w:lineRule="exact"/>
      </w:pPr>
      <w:r>
        <w:rPr>
          <w:rFonts w:hint="eastAsia"/>
        </w:rPr>
        <w:t>（三）不同投标供应商的投标文件由同一单位或者同一人编制，或者由同一人分阶段参与编制的。</w:t>
      </w:r>
    </w:p>
    <w:p>
      <w:pPr>
        <w:spacing w:line="340" w:lineRule="exact"/>
      </w:pPr>
      <w:r>
        <w:rPr>
          <w:rFonts w:hint="eastAsia"/>
        </w:rPr>
        <w:t>（四）不同投标供应商的投标文件或部分投标文件相互混装。</w:t>
      </w:r>
    </w:p>
    <w:p>
      <w:pPr>
        <w:spacing w:line="340" w:lineRule="exact"/>
      </w:pPr>
      <w:r>
        <w:rPr>
          <w:rFonts w:hint="eastAsia"/>
        </w:rPr>
        <w:t>（五）不同投标供应商的投标文件内容存在非正常一致。</w:t>
      </w:r>
    </w:p>
    <w:p>
      <w:pPr>
        <w:spacing w:line="340" w:lineRule="exact"/>
      </w:pPr>
      <w:r>
        <w:rPr>
          <w:rFonts w:hint="eastAsia"/>
        </w:rPr>
        <w:t>（六）由同一单位工作人员为两家以上（含两家）供应商进行同一项投标活动的。</w:t>
      </w:r>
    </w:p>
    <w:p>
      <w:pPr>
        <w:spacing w:line="340" w:lineRule="exact"/>
      </w:pPr>
      <w:r>
        <w:rPr>
          <w:rFonts w:hint="eastAsia"/>
        </w:rPr>
        <w:t>（七）不同供应商的投标报价呈规律性差异。</w:t>
      </w:r>
    </w:p>
    <w:p>
      <w:pPr>
        <w:spacing w:line="340" w:lineRule="exact"/>
      </w:pPr>
      <w:r>
        <w:rPr>
          <w:rFonts w:hint="eastAsia"/>
        </w:rPr>
        <w:t>（八）不同供应商的投标保证金从同一单位或者个人的账户转出。</w:t>
      </w:r>
    </w:p>
    <w:p>
      <w:pPr>
        <w:spacing w:line="340" w:lineRule="exact"/>
      </w:pPr>
      <w:r>
        <w:rPr>
          <w:rFonts w:hint="eastAsia"/>
        </w:rPr>
        <w:t>（九）主管部门依照法律、法规认定的其他情形。</w:t>
      </w:r>
    </w:p>
    <w:p>
      <w:pPr>
        <w:spacing w:line="340" w:lineRule="exact"/>
      </w:pPr>
      <w:r>
        <w:rPr>
          <w:rFonts w:hint="eastAsia"/>
        </w:rPr>
        <w:t>三、本公司已充分知悉下列情形所对应的法律风险，并在投标前已对相关风险事项进行排查。</w:t>
      </w:r>
    </w:p>
    <w:p>
      <w:pPr>
        <w:spacing w:line="340" w:lineRule="exact"/>
      </w:pPr>
      <w:r>
        <w:rPr>
          <w:rFonts w:hint="eastAsia"/>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line="340" w:lineRule="exact"/>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40" w:lineRule="exact"/>
      </w:pPr>
      <w:r>
        <w:rPr>
          <w:rFonts w:hint="eastAsia"/>
        </w:rPr>
        <w:t>（三）对于涉及安全生产、特种作业、抢险救灾、防疫等政府采购项目，供应商实施提供虚假资料、串通投标等违法行为的，主管部门将依法从严处理。</w:t>
      </w:r>
    </w:p>
    <w:p>
      <w:pPr>
        <w:spacing w:line="340" w:lineRule="exact"/>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40" w:lineRule="exact"/>
      </w:pPr>
      <w:r>
        <w:rPr>
          <w:rFonts w:hint="eastAsia"/>
        </w:rPr>
        <w:t>（五）供应商对投标电子密钥负有妥善保管、及时变更和续期等主体责任。供应商使用电子</w:t>
      </w:r>
    </w:p>
    <w:p>
      <w:pPr>
        <w:spacing w:line="340" w:lineRule="exact"/>
      </w:pPr>
      <w:r>
        <w:rPr>
          <w:rFonts w:hint="eastAsia"/>
        </w:rPr>
        <w:t>密钥在深圳政府采购网站进行的活动，均具有法律效力，须承担相应的法律后果。供应商擅自将投标密钥出借他人使用所造成的法律后果，由供应商自行承担。</w:t>
      </w:r>
    </w:p>
    <w:p>
      <w:pPr>
        <w:spacing w:line="340" w:lineRule="exact"/>
      </w:pPr>
      <w:r>
        <w:rPr>
          <w:rFonts w:hint="eastAsia"/>
        </w:rPr>
        <w:t>（六）单位负责人为同一人或者存在直接控股、管理关系的不同供应商，不得参加同一合同项下的政府采购活动。相关情形如查实，依法作投标无效处理；涉嫌串通投标等违法行为的</w:t>
      </w:r>
    </w:p>
    <w:p>
      <w:pPr>
        <w:spacing w:line="340" w:lineRule="exact"/>
      </w:pPr>
      <w:r>
        <w:rPr>
          <w:rFonts w:hint="eastAsia"/>
        </w:rPr>
        <w:t>，主管部门将依法调查处理。</w:t>
      </w:r>
    </w:p>
    <w:p>
      <w:pPr>
        <w:spacing w:line="340" w:lineRule="exact"/>
      </w:pPr>
      <w:r>
        <w:rPr>
          <w:rFonts w:hint="eastAsia"/>
        </w:rPr>
        <w:t>四、本公司已充分知悉政府采购违法、违规行为的法律后果。</w:t>
      </w:r>
    </w:p>
    <w:p>
      <w:pPr>
        <w:spacing w:line="340" w:lineRule="exact"/>
      </w:pPr>
      <w:r>
        <w:rPr>
          <w:rFonts w:hint="eastAsia"/>
        </w:rPr>
        <w:t>经查实，若投标供应商存在政府采购违法、违规行为，主管部门将依据《深圳经济特区政府采购条例》第五十七条的规定，处以一至三年内禁止参与本市政府采购，并由主管部门记入</w:t>
      </w:r>
    </w:p>
    <w:p>
      <w:pPr>
        <w:spacing w:line="340" w:lineRule="exact"/>
      </w:pPr>
      <w:r>
        <w:rPr>
          <w:rFonts w:hint="eastAsia"/>
        </w:rPr>
        <w:t>供应商诚信档案，处采购金额千分之十以上千分之二十以下罚款；情节严重的，取消参与本市政府采购资格，处采购金额千分之二十以上千分之三十以下罚款，并由市场监管部门依法吊销营业执照。</w:t>
      </w:r>
    </w:p>
    <w:p>
      <w:pPr>
        <w:spacing w:line="340" w:lineRule="exact"/>
      </w:pPr>
      <w:r>
        <w:rPr>
          <w:rFonts w:hint="eastAsia"/>
        </w:rPr>
        <w:t>以下文字请投标供应商抄写并确认：“本公司已仔细阅读《政府采购违法行为风险知悉确认书》，充分知悉违法行为的法律后果，并承诺将严谨、诚信、依法依规参与政府采购活动。</w:t>
      </w:r>
    </w:p>
    <w:p>
      <w:pPr>
        <w:spacing w:line="340" w:lineRule="exact"/>
      </w:pPr>
      <w:r>
        <w:rPr>
          <w:rFonts w:hint="eastAsia"/>
          <w:u w:val="single"/>
        </w:rPr>
        <w:t xml:space="preserve">                                                                               </w:t>
      </w:r>
    </w:p>
    <w:p>
      <w:pPr>
        <w:spacing w:line="340" w:lineRule="exact"/>
      </w:pPr>
      <w:r>
        <w:rPr>
          <w:rFonts w:hint="eastAsia"/>
          <w:u w:val="single"/>
        </w:rPr>
        <w:t xml:space="preserve">                                                                             </w:t>
      </w:r>
    </w:p>
    <w:p>
      <w:pPr>
        <w:spacing w:line="340" w:lineRule="exact"/>
        <w:rPr>
          <w:b/>
          <w:u w:val="single"/>
        </w:rPr>
      </w:pPr>
      <w:r>
        <w:rPr>
          <w:rFonts w:hint="eastAsia"/>
          <w:b/>
        </w:rPr>
        <w:t>负责人/投标授权代表签名：</w:t>
      </w:r>
      <w:r>
        <w:rPr>
          <w:rFonts w:hint="eastAsia"/>
          <w:u w:val="single"/>
        </w:rPr>
        <w:t xml:space="preserve">                       </w:t>
      </w:r>
    </w:p>
    <w:p>
      <w:pPr>
        <w:spacing w:line="340" w:lineRule="exact"/>
      </w:pPr>
      <w:r>
        <w:rPr>
          <w:rFonts w:hint="eastAsia"/>
        </w:rPr>
        <w:t>知悉人（公章）：</w:t>
      </w:r>
      <w:r>
        <w:rPr>
          <w:rFonts w:hint="eastAsia"/>
          <w:u w:val="single"/>
        </w:rPr>
        <w:t xml:space="preserve">                       </w:t>
      </w:r>
    </w:p>
    <w:p>
      <w:pPr>
        <w:spacing w:line="440" w:lineRule="exact"/>
        <w:rPr>
          <w:u w:val="single"/>
        </w:rPr>
      </w:pPr>
      <w:r>
        <w:rPr>
          <w:rFonts w:hint="eastAsia"/>
        </w:rPr>
        <w:t>日期：</w:t>
      </w:r>
      <w:r>
        <w:rPr>
          <w:rFonts w:hint="eastAsia"/>
          <w:u w:val="single"/>
        </w:rPr>
        <w:t xml:space="preserve">                       </w:t>
      </w:r>
    </w:p>
    <w:p>
      <w:pPr>
        <w:widowControl/>
        <w:jc w:val="left"/>
        <w:rPr>
          <w:rFonts w:ascii="Cambria" w:hAnsi="Cambria" w:cs="宋体"/>
          <w:b/>
          <w:bCs/>
          <w:sz w:val="32"/>
          <w:szCs w:val="32"/>
        </w:rPr>
      </w:pPr>
      <w:r>
        <w:br w:type="page"/>
      </w:r>
    </w:p>
    <w:p>
      <w:pPr>
        <w:pStyle w:val="2"/>
        <w:spacing w:before="0" w:after="0" w:line="440" w:lineRule="exact"/>
        <w:rPr>
          <w:rFonts w:ascii="宋体" w:hAnsi="宋体"/>
          <w:color w:val="000000"/>
          <w:sz w:val="21"/>
          <w:szCs w:val="21"/>
        </w:rPr>
      </w:pPr>
      <w:bookmarkStart w:id="120" w:name="_Toc857"/>
      <w:bookmarkStart w:id="121" w:name="_Toc19967"/>
      <w:r>
        <w:rPr>
          <w:rFonts w:hint="eastAsia" w:ascii="宋体" w:hAnsi="宋体"/>
          <w:color w:val="000000"/>
          <w:sz w:val="21"/>
          <w:szCs w:val="21"/>
        </w:rPr>
        <w:t>格式十三：中小企业声明函、残疾人福利性单位声明函及监狱企业声明函格式</w:t>
      </w:r>
      <w:bookmarkEnd w:id="120"/>
      <w:bookmarkEnd w:id="121"/>
    </w:p>
    <w:p>
      <w:pPr>
        <w:spacing w:line="400" w:lineRule="exact"/>
      </w:pPr>
    </w:p>
    <w:p>
      <w:pPr>
        <w:spacing w:line="400" w:lineRule="exact"/>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填写指引：</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1、该部分内容供填写</w:t>
      </w:r>
      <w:r>
        <w:rPr>
          <w:rFonts w:asciiTheme="minorEastAsia" w:hAnsiTheme="minorEastAsia" w:eastAsiaTheme="minorEastAsia"/>
          <w:szCs w:val="21"/>
        </w:rPr>
        <w:t>参考，</w:t>
      </w:r>
      <w:r>
        <w:rPr>
          <w:rFonts w:hint="eastAsia" w:asciiTheme="minorEastAsia" w:hAnsiTheme="minorEastAsia" w:eastAsiaTheme="minorEastAsia"/>
          <w:szCs w:val="21"/>
        </w:rPr>
        <w:t>由供应商根据项目</w:t>
      </w:r>
      <w:r>
        <w:rPr>
          <w:rFonts w:asciiTheme="minorEastAsia" w:hAnsiTheme="minorEastAsia" w:eastAsiaTheme="minorEastAsia"/>
          <w:szCs w:val="21"/>
        </w:rPr>
        <w:t>特点和</w:t>
      </w:r>
      <w:r>
        <w:rPr>
          <w:rFonts w:hint="eastAsia" w:asciiTheme="minorEastAsia" w:hAnsiTheme="minorEastAsia" w:eastAsiaTheme="minorEastAsia"/>
          <w:szCs w:val="21"/>
        </w:rPr>
        <w:t>自身实际情况填写，不符合要求的供应商可以不填写或直接删除相应的声明函。供应商自行对声明内容的真实性负责；如提供虚假声明，将报送主管部门进行行政处罚。</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2、请依照提供的格式和内容填写声明函，满足多项优惠政策的企业，不重复享受多项价格扣除政策。</w:t>
      </w:r>
    </w:p>
    <w:p>
      <w:pPr>
        <w:spacing w:line="400" w:lineRule="exact"/>
        <w:ind w:firstLine="420" w:firstLineChars="200"/>
        <w:rPr>
          <w:rFonts w:asciiTheme="minorEastAsia" w:hAnsiTheme="minorEastAsia" w:eastAsiaTheme="minorEastAsia"/>
          <w:color w:val="FF0000"/>
          <w:szCs w:val="21"/>
        </w:rPr>
      </w:pPr>
      <w:r>
        <w:rPr>
          <w:rFonts w:hint="eastAsia" w:asciiTheme="minorEastAsia" w:hAnsiTheme="minorEastAsia" w:eastAsiaTheme="minorEastAsia"/>
          <w:color w:val="FF0000"/>
          <w:szCs w:val="21"/>
        </w:rPr>
        <w:t>3、本项目采购标的对应的中小企业划分标准所属行业为</w:t>
      </w:r>
      <w:r>
        <w:rPr>
          <w:rFonts w:hint="eastAsia" w:asciiTheme="minorEastAsia" w:hAnsiTheme="minorEastAsia" w:eastAsiaTheme="minorEastAsia"/>
          <w:color w:val="FF0000"/>
          <w:szCs w:val="21"/>
          <w:u w:val="single"/>
        </w:rPr>
        <w:t xml:space="preserve"> 商务和租赁服务业 </w:t>
      </w:r>
      <w:r>
        <w:rPr>
          <w:rFonts w:hint="eastAsia" w:asciiTheme="minorEastAsia" w:hAnsiTheme="minorEastAsia" w:eastAsiaTheme="minorEastAsia"/>
          <w:color w:val="FF0000"/>
          <w:szCs w:val="21"/>
        </w:rPr>
        <w:t>；</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4、声明是残疾人福利性单位、监狱企业须填写《残疾人福利性单位声明函》《监狱企业声明函》。</w:t>
      </w:r>
    </w:p>
    <w:p>
      <w:pPr>
        <w:spacing w:line="400" w:lineRule="exact"/>
        <w:ind w:firstLine="420" w:firstLineChars="200"/>
        <w:rPr>
          <w:rFonts w:ascii="黑体" w:hAnsi="宋体" w:eastAsia="黑体"/>
          <w:b/>
          <w:bCs/>
          <w:kern w:val="0"/>
          <w:szCs w:val="21"/>
        </w:rPr>
      </w:pPr>
      <w:r>
        <w:rPr>
          <w:rFonts w:hint="eastAsia" w:asciiTheme="minorEastAsia" w:hAnsiTheme="minorEastAsia" w:eastAsiaTheme="minorEastAsia"/>
          <w:szCs w:val="21"/>
        </w:rPr>
        <w:t>5、声明函的有效性最终由评审委员会判定；如评审委员会判定声明函无效，相关供应商不享受价格扣除（但不作应答无效处理）。</w:t>
      </w:r>
    </w:p>
    <w:p>
      <w:pPr>
        <w:jc w:val="center"/>
        <w:rPr>
          <w:rFonts w:ascii="微软雅黑" w:hAnsi="微软雅黑" w:eastAsia="微软雅黑" w:cs="微软雅黑"/>
          <w:b/>
          <w:bCs/>
          <w:color w:val="000000"/>
          <w:sz w:val="30"/>
          <w:szCs w:val="30"/>
        </w:rPr>
      </w:pPr>
      <w:bookmarkStart w:id="122" w:name="_Toc70231349"/>
      <w:bookmarkStart w:id="123" w:name="_Toc24077"/>
      <w:bookmarkStart w:id="124" w:name="_Toc70231453"/>
      <w:r>
        <w:rPr>
          <w:rFonts w:hint="eastAsia" w:ascii="微软雅黑" w:hAnsi="微软雅黑" w:eastAsia="微软雅黑" w:cs="微软雅黑"/>
          <w:b/>
          <w:bCs/>
          <w:color w:val="000000"/>
          <w:sz w:val="30"/>
          <w:szCs w:val="30"/>
        </w:rPr>
        <w:t>（一）中小企业声明函（样表）</w:t>
      </w:r>
      <w:bookmarkEnd w:id="122"/>
      <w:bookmarkEnd w:id="123"/>
      <w:bookmarkEnd w:id="124"/>
    </w:p>
    <w:p>
      <w:pPr>
        <w:spacing w:line="440" w:lineRule="exact"/>
        <w:ind w:firstLine="420" w:firstLineChars="200"/>
        <w:rPr>
          <w:rFonts w:ascii="宋体" w:hAnsi="宋体" w:cs="宋体"/>
          <w:szCs w:val="21"/>
        </w:rPr>
      </w:pPr>
      <w:r>
        <w:rPr>
          <w:rFonts w:hint="eastAsia" w:ascii="宋体" w:hAnsi="宋体" w:cs="宋体"/>
          <w:szCs w:val="21"/>
        </w:rPr>
        <w:t>本</w:t>
      </w:r>
      <w:r>
        <w:rPr>
          <w:rFonts w:hint="eastAsia" w:asciiTheme="minorEastAsia" w:hAnsiTheme="minorEastAsia" w:eastAsiaTheme="minorEastAsia"/>
          <w:szCs w:val="21"/>
        </w:rPr>
        <w:t>公司</w:t>
      </w:r>
      <w:r>
        <w:rPr>
          <w:rFonts w:hint="eastAsia" w:ascii="宋体" w:hAnsi="宋体" w:cs="宋体"/>
          <w:szCs w:val="21"/>
        </w:rPr>
        <w:t>（联合体）郑重声明，根据《政府采购促进中小企业发展管理办法》（财库〔2020〕46号）的规定，本公司（联合体）参加</w:t>
      </w:r>
      <w:r>
        <w:rPr>
          <w:rFonts w:hint="eastAsia" w:ascii="宋体" w:hAnsi="宋体" w:cs="宋体"/>
          <w:szCs w:val="21"/>
          <w:u w:val="single"/>
        </w:rPr>
        <w:t xml:space="preserve"> </w:t>
      </w:r>
      <w:r>
        <w:rPr>
          <w:rFonts w:hint="eastAsia" w:ascii="宋体" w:hAnsi="宋体" w:cs="宋体"/>
          <w:i/>
          <w:iCs/>
          <w:szCs w:val="21"/>
          <w:u w:val="single"/>
        </w:rPr>
        <w:t xml:space="preserve">（单位名称）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i/>
          <w:iCs/>
          <w:szCs w:val="21"/>
          <w:u w:val="single"/>
        </w:rPr>
        <w:t xml:space="preserve">（项目名称） </w:t>
      </w:r>
      <w:r>
        <w:rPr>
          <w:rFonts w:hint="eastAsia" w:ascii="宋体" w:hAnsi="宋体" w:cs="宋体"/>
          <w:szCs w:val="21"/>
        </w:rPr>
        <w:t>采购活动，服务全部由符合政策要求的中小企业承接。相关企业（含联合体中的中小企业、签订分包意向协议的中小企业）的具体情况如下：</w:t>
      </w:r>
    </w:p>
    <w:p>
      <w:pPr>
        <w:spacing w:line="44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i/>
          <w:iCs/>
          <w:szCs w:val="21"/>
          <w:u w:val="single"/>
        </w:rPr>
        <w:t>（标的名称）</w:t>
      </w:r>
      <w:r>
        <w:rPr>
          <w:rFonts w:hint="eastAsia" w:ascii="宋体" w:hAnsi="宋体" w:cs="宋体"/>
          <w:szCs w:val="21"/>
        </w:rPr>
        <w:t>，属于</w:t>
      </w:r>
      <w:r>
        <w:rPr>
          <w:rFonts w:hint="eastAsia" w:ascii="宋体" w:hAnsi="宋体" w:cs="宋体"/>
          <w:i/>
          <w:iCs/>
          <w:szCs w:val="21"/>
          <w:u w:val="single"/>
        </w:rPr>
        <w:t>（采购文件中明确的所属行业）</w:t>
      </w:r>
      <w:r>
        <w:rPr>
          <w:rFonts w:hint="eastAsia" w:ascii="宋体" w:hAnsi="宋体" w:cs="宋体"/>
          <w:szCs w:val="21"/>
        </w:rPr>
        <w:t>；承接企业为</w:t>
      </w:r>
      <w:r>
        <w:rPr>
          <w:rFonts w:hint="eastAsia" w:ascii="宋体" w:hAnsi="宋体" w:cs="宋体"/>
          <w:i/>
          <w:iCs/>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i/>
          <w:iCs/>
          <w:szCs w:val="21"/>
          <w:u w:val="single"/>
        </w:rPr>
        <w:t>（金额）</w:t>
      </w:r>
      <w:r>
        <w:rPr>
          <w:rFonts w:hint="eastAsia" w:ascii="宋体" w:hAnsi="宋体" w:cs="宋体"/>
          <w:szCs w:val="21"/>
        </w:rPr>
        <w:t>万元，资产总额为</w:t>
      </w:r>
      <w:r>
        <w:rPr>
          <w:rFonts w:hint="eastAsia" w:ascii="宋体" w:hAnsi="宋体" w:cs="宋体"/>
          <w:i/>
          <w:iCs/>
          <w:szCs w:val="21"/>
          <w:u w:val="single"/>
        </w:rPr>
        <w:t>（金额）</w:t>
      </w:r>
      <w:r>
        <w:rPr>
          <w:rFonts w:hint="eastAsia" w:ascii="宋体" w:hAnsi="宋体" w:cs="宋体"/>
          <w:szCs w:val="21"/>
        </w:rPr>
        <w:t>万元，属于</w:t>
      </w:r>
      <w:r>
        <w:rPr>
          <w:rFonts w:hint="eastAsia" w:ascii="宋体" w:hAnsi="宋体" w:cs="宋体"/>
          <w:i/>
          <w:iCs/>
          <w:szCs w:val="21"/>
          <w:u w:val="single"/>
        </w:rPr>
        <w:t>（中型企业、小型企业、微型企业）</w:t>
      </w: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i/>
          <w:iCs/>
          <w:szCs w:val="21"/>
          <w:u w:val="single"/>
        </w:rPr>
        <w:t>（标的名称）</w:t>
      </w:r>
      <w:r>
        <w:rPr>
          <w:rFonts w:hint="eastAsia" w:ascii="宋体" w:hAnsi="宋体" w:cs="宋体"/>
          <w:szCs w:val="21"/>
        </w:rPr>
        <w:t>，属于</w:t>
      </w:r>
      <w:r>
        <w:rPr>
          <w:rFonts w:hint="eastAsia" w:ascii="宋体" w:hAnsi="宋体" w:cs="宋体"/>
          <w:i/>
          <w:iCs/>
          <w:szCs w:val="21"/>
          <w:u w:val="single"/>
        </w:rPr>
        <w:t>（采购文件中明确的所属行业）</w:t>
      </w:r>
      <w:r>
        <w:rPr>
          <w:rFonts w:hint="eastAsia" w:ascii="宋体" w:hAnsi="宋体" w:cs="宋体"/>
          <w:szCs w:val="21"/>
        </w:rPr>
        <w:t>；承接企业为</w:t>
      </w:r>
      <w:r>
        <w:rPr>
          <w:rFonts w:hint="eastAsia" w:ascii="宋体" w:hAnsi="宋体" w:cs="宋体"/>
          <w:i/>
          <w:iCs/>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i/>
          <w:iCs/>
          <w:szCs w:val="21"/>
          <w:u w:val="single"/>
        </w:rPr>
        <w:t>（金额）</w:t>
      </w:r>
      <w:r>
        <w:rPr>
          <w:rFonts w:hint="eastAsia" w:ascii="宋体" w:hAnsi="宋体" w:cs="宋体"/>
          <w:szCs w:val="21"/>
        </w:rPr>
        <w:t>万元，资产总额为</w:t>
      </w:r>
      <w:r>
        <w:rPr>
          <w:rFonts w:hint="eastAsia" w:ascii="宋体" w:hAnsi="宋体" w:cs="宋体"/>
          <w:i/>
          <w:iCs/>
          <w:szCs w:val="21"/>
          <w:u w:val="single"/>
        </w:rPr>
        <w:t>（金额）</w:t>
      </w:r>
      <w:r>
        <w:rPr>
          <w:rFonts w:hint="eastAsia" w:ascii="宋体" w:hAnsi="宋体" w:cs="宋体"/>
          <w:szCs w:val="21"/>
        </w:rPr>
        <w:t>万元，属于</w:t>
      </w:r>
      <w:r>
        <w:rPr>
          <w:rFonts w:hint="eastAsia" w:ascii="宋体" w:hAnsi="宋体" w:cs="宋体"/>
          <w:i/>
          <w:iCs/>
          <w:szCs w:val="21"/>
          <w:u w:val="single"/>
        </w:rPr>
        <w:t>（中型企业、小型企业、微型企业）</w:t>
      </w: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spacing w:line="440" w:lineRule="exact"/>
        <w:ind w:firstLine="420" w:firstLineChars="200"/>
        <w:jc w:val="left"/>
        <w:rPr>
          <w:rFonts w:ascii="宋体" w:hAnsi="宋体" w:cs="宋体" w:eastAsiaTheme="majorEastAsia"/>
          <w:szCs w:val="21"/>
        </w:rPr>
      </w:pPr>
      <w:r>
        <w:rPr>
          <w:rFonts w:hint="eastAsia" w:ascii="宋体" w:hAnsi="宋体" w:cs="宋体"/>
          <w:szCs w:val="21"/>
        </w:rPr>
        <w:t>如接受大中型企业与小微企业组成联合体或者允许大中型企业向一家或者多家小微企业分包，采用联合体投标（见联合体协议）或协议分包（见分包意向协议）的，以上企业，与联合体内其他企业、分包企</w:t>
      </w:r>
      <w:r>
        <w:rPr>
          <w:rFonts w:hint="eastAsia" w:asciiTheme="majorEastAsia" w:hAnsiTheme="majorEastAsia" w:eastAsiaTheme="majorEastAsia" w:cstheme="majorEastAsia"/>
          <w:szCs w:val="21"/>
        </w:rPr>
        <w:t>业之间不存在直接控股、管理关系。</w:t>
      </w:r>
    </w:p>
    <w:p>
      <w:pPr>
        <w:spacing w:line="440" w:lineRule="exact"/>
        <w:ind w:firstLine="420" w:firstLineChars="200"/>
        <w:jc w:val="left"/>
        <w:rPr>
          <w:rFonts w:ascii="宋体" w:hAnsi="宋体" w:cs="宋体"/>
          <w:szCs w:val="21"/>
        </w:rPr>
      </w:pPr>
      <w:r>
        <w:rPr>
          <w:rFonts w:hint="eastAsia" w:ascii="宋体" w:hAnsi="宋体" w:cs="宋体"/>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spacing w:line="440" w:lineRule="exact"/>
        <w:ind w:firstLine="420" w:firstLineChars="200"/>
        <w:jc w:val="left"/>
        <w:rPr>
          <w:rFonts w:ascii="宋体" w:hAnsi="宋体" w:cs="宋体"/>
          <w:szCs w:val="21"/>
        </w:rPr>
      </w:pPr>
    </w:p>
    <w:p>
      <w:pPr>
        <w:spacing w:line="440" w:lineRule="exact"/>
        <w:ind w:firstLine="420" w:firstLineChars="200"/>
        <w:jc w:val="left"/>
        <w:rPr>
          <w:rFonts w:ascii="宋体" w:hAnsi="宋体" w:cs="宋体"/>
          <w:szCs w:val="21"/>
        </w:rPr>
      </w:pPr>
      <w:r>
        <w:rPr>
          <w:rFonts w:hint="eastAsia" w:ascii="宋体" w:hAnsi="宋体" w:cs="宋体"/>
          <w:szCs w:val="21"/>
        </w:rPr>
        <w:t>企业名称（盖章）：</w:t>
      </w:r>
    </w:p>
    <w:p>
      <w:pPr>
        <w:spacing w:line="440" w:lineRule="exact"/>
        <w:ind w:firstLine="420" w:firstLineChars="200"/>
        <w:jc w:val="left"/>
        <w:rPr>
          <w:rFonts w:ascii="宋体" w:hAnsi="宋体" w:cs="宋体"/>
          <w:szCs w:val="21"/>
        </w:rPr>
      </w:pPr>
      <w:r>
        <w:rPr>
          <w:rFonts w:hint="eastAsia" w:ascii="宋体" w:hAnsi="宋体" w:cs="宋体"/>
          <w:szCs w:val="21"/>
        </w:rPr>
        <w:t>日期：</w:t>
      </w:r>
    </w:p>
    <w:p>
      <w:pPr>
        <w:spacing w:line="440" w:lineRule="exact"/>
        <w:ind w:firstLine="422" w:firstLineChars="200"/>
        <w:jc w:val="left"/>
        <w:rPr>
          <w:rFonts w:ascii="宋体" w:hAnsi="宋体" w:cs="宋体"/>
          <w:szCs w:val="21"/>
        </w:rPr>
      </w:pPr>
      <w:r>
        <w:rPr>
          <w:rFonts w:hint="eastAsia" w:ascii="宋体" w:hAnsi="宋体"/>
          <w:b/>
          <w:szCs w:val="21"/>
        </w:rPr>
        <w:t>备注：</w:t>
      </w:r>
    </w:p>
    <w:p>
      <w:pPr>
        <w:spacing w:line="44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pacing w:val="-6"/>
          <w:szCs w:val="21"/>
        </w:rPr>
        <w:t>从业人员、营业收入、资产总额填报上一年度数据，无上一年度数据的新成立企业可不填报。</w:t>
      </w:r>
    </w:p>
    <w:p>
      <w:pPr>
        <w:spacing w:line="440" w:lineRule="exact"/>
        <w:ind w:firstLine="420" w:firstLineChars="200"/>
        <w:jc w:val="left"/>
        <w:rPr>
          <w:rFonts w:asciiTheme="majorEastAsia" w:hAnsiTheme="majorEastAsia" w:eastAsiaTheme="majorEastAsia" w:cstheme="majorEastAsia"/>
          <w:szCs w:val="21"/>
        </w:rPr>
      </w:pPr>
      <w:r>
        <w:rPr>
          <w:rFonts w:hint="eastAsia" w:ascii="宋体" w:hAnsi="宋体" w:cs="宋体"/>
          <w:szCs w:val="21"/>
        </w:rPr>
        <w:t>2、本声明函</w:t>
      </w:r>
      <w:r>
        <w:rPr>
          <w:rFonts w:hint="eastAsia" w:ascii="宋体" w:hAnsi="宋体"/>
          <w:szCs w:val="21"/>
        </w:rPr>
        <w:t>仅适用于供应商为企业或个体工商户，其他组织形式单位不适用。</w:t>
      </w:r>
    </w:p>
    <w:p>
      <w:pPr>
        <w:jc w:val="center"/>
        <w:rPr>
          <w:rFonts w:ascii="微软雅黑" w:hAnsi="微软雅黑" w:eastAsia="微软雅黑" w:cs="微软雅黑"/>
          <w:b/>
          <w:bCs/>
          <w:color w:val="000000"/>
          <w:sz w:val="30"/>
          <w:szCs w:val="30"/>
        </w:rPr>
      </w:pPr>
      <w:bookmarkStart w:id="125" w:name="_Toc70231454"/>
      <w:bookmarkStart w:id="126" w:name="_Toc3499"/>
      <w:bookmarkStart w:id="127" w:name="_Toc70231350"/>
      <w:r>
        <w:rPr>
          <w:rFonts w:hint="eastAsia" w:ascii="微软雅黑" w:hAnsi="微软雅黑" w:eastAsia="微软雅黑" w:cs="微软雅黑"/>
          <w:b/>
          <w:bCs/>
          <w:color w:val="000000"/>
          <w:sz w:val="30"/>
          <w:szCs w:val="30"/>
        </w:rPr>
        <w:t>（二）残疾人福利性单位声明函（样表）</w:t>
      </w:r>
      <w:bookmarkEnd w:id="125"/>
      <w:bookmarkEnd w:id="126"/>
      <w:bookmarkEnd w:id="127"/>
    </w:p>
    <w:p>
      <w:pPr>
        <w:spacing w:line="44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ajorEastAsia" w:hAnsiTheme="majorEastAsia" w:eastAsiaTheme="majorEastAsia" w:cstheme="majorEastAsia"/>
          <w:i/>
          <w:szCs w:val="21"/>
          <w:u w:val="single"/>
        </w:rPr>
        <w:t xml:space="preserve">  （采购单位名称）</w:t>
      </w:r>
      <w:r>
        <w:rPr>
          <w:rFonts w:hint="eastAsia" w:asciiTheme="majorEastAsia" w:hAnsiTheme="majorEastAsia" w:eastAsiaTheme="majorEastAsia" w:cstheme="majorEastAsia"/>
          <w:iCs/>
          <w:szCs w:val="21"/>
          <w:u w:val="single"/>
        </w:rPr>
        <w:t xml:space="preserve">  </w:t>
      </w:r>
      <w:r>
        <w:rPr>
          <w:rFonts w:hint="eastAsia" w:asciiTheme="majorEastAsia" w:hAnsiTheme="majorEastAsia" w:eastAsiaTheme="majorEastAsia" w:cstheme="majorEastAsia"/>
          <w:iCs/>
          <w:szCs w:val="21"/>
        </w:rPr>
        <w:t>单位的</w:t>
      </w:r>
      <w:r>
        <w:rPr>
          <w:rFonts w:hint="eastAsia" w:asciiTheme="majorEastAsia" w:hAnsiTheme="majorEastAsia" w:eastAsiaTheme="majorEastAsia" w:cstheme="majorEastAsia"/>
          <w:iCs/>
          <w:szCs w:val="21"/>
          <w:u w:val="single"/>
        </w:rPr>
        <w:t xml:space="preserve">  </w:t>
      </w:r>
      <w:r>
        <w:rPr>
          <w:rFonts w:hint="eastAsia" w:asciiTheme="majorEastAsia" w:hAnsiTheme="majorEastAsia" w:eastAsiaTheme="majorEastAsia" w:cstheme="majorEastAsia"/>
          <w:i/>
          <w:szCs w:val="21"/>
          <w:u w:val="single"/>
        </w:rPr>
        <w:t>（采购项目名称）</w:t>
      </w:r>
      <w:r>
        <w:rPr>
          <w:rFonts w:hint="eastAsia" w:asciiTheme="majorEastAsia" w:hAnsiTheme="majorEastAsia" w:eastAsiaTheme="majorEastAsia" w:cstheme="majorEastAsia"/>
          <w:iCs/>
          <w:szCs w:val="21"/>
          <w:u w:val="single"/>
        </w:rPr>
        <w:t xml:space="preserve">   </w:t>
      </w:r>
      <w:r>
        <w:rPr>
          <w:rFonts w:hint="eastAsia" w:asciiTheme="majorEastAsia" w:hAnsiTheme="majorEastAsia" w:eastAsiaTheme="majorEastAsia" w:cstheme="majorEastAsia"/>
          <w:iCs/>
          <w:szCs w:val="21"/>
        </w:rPr>
        <w:t>项目</w:t>
      </w:r>
      <w:r>
        <w:rPr>
          <w:rFonts w:hint="eastAsia" w:asciiTheme="majorEastAsia" w:hAnsiTheme="majorEastAsia" w:eastAsiaTheme="majorEastAsia" w:cstheme="majorEastAsia"/>
          <w:szCs w:val="21"/>
        </w:rPr>
        <w:t>采购活动，并由本单位承接服务。</w:t>
      </w:r>
    </w:p>
    <w:p>
      <w:pPr>
        <w:spacing w:line="440" w:lineRule="exact"/>
        <w:ind w:firstLine="420" w:firstLineChars="200"/>
        <w:jc w:val="left"/>
        <w:rPr>
          <w:rFonts w:ascii="宋体" w:hAnsi="宋体" w:cs="宋体"/>
          <w:szCs w:val="21"/>
        </w:rPr>
      </w:pPr>
      <w:r>
        <w:rPr>
          <w:rFonts w:hint="eastAsia" w:asciiTheme="majorEastAsia" w:hAnsiTheme="majorEastAsia" w:eastAsiaTheme="majorEastAsia" w:cstheme="majorEastAsia"/>
          <w:szCs w:val="21"/>
        </w:rPr>
        <w:t>本单位已</w:t>
      </w:r>
      <w:r>
        <w:rPr>
          <w:rFonts w:hint="eastAsia" w:ascii="宋体" w:hAnsi="宋体" w:cs="宋体"/>
          <w:szCs w:val="21"/>
        </w:rPr>
        <w:t>知悉《关于促进残疾人就业政府采购政策的通知》（财库〔2017〕141 号）的规定，承诺提供的声明函内容是真实的，如提供声明函内容不实，则依法追究相关法律责任。</w:t>
      </w:r>
    </w:p>
    <w:p>
      <w:pPr>
        <w:spacing w:line="440" w:lineRule="exact"/>
        <w:ind w:firstLine="420" w:firstLineChars="200"/>
        <w:jc w:val="left"/>
        <w:rPr>
          <w:rFonts w:ascii="宋体" w:hAnsi="宋体" w:cs="宋体"/>
          <w:szCs w:val="21"/>
        </w:rPr>
      </w:pPr>
    </w:p>
    <w:p>
      <w:pPr>
        <w:spacing w:line="440" w:lineRule="exact"/>
        <w:ind w:firstLine="420" w:firstLineChars="200"/>
        <w:jc w:val="left"/>
        <w:rPr>
          <w:rFonts w:ascii="宋体" w:hAnsi="宋体" w:cs="宋体"/>
          <w:szCs w:val="21"/>
        </w:rPr>
      </w:pPr>
      <w:r>
        <w:rPr>
          <w:rFonts w:hint="eastAsia" w:ascii="宋体" w:hAnsi="宋体" w:cs="宋体"/>
          <w:szCs w:val="21"/>
        </w:rPr>
        <w:t>企业名称（盖章）：</w:t>
      </w:r>
    </w:p>
    <w:p>
      <w:pPr>
        <w:spacing w:line="440" w:lineRule="exact"/>
        <w:ind w:firstLine="420" w:firstLineChars="200"/>
        <w:jc w:val="left"/>
        <w:rPr>
          <w:rFonts w:asciiTheme="majorEastAsia" w:hAnsiTheme="majorEastAsia" w:eastAsiaTheme="majorEastAsia" w:cstheme="majorEastAsia"/>
          <w:szCs w:val="21"/>
        </w:rPr>
      </w:pPr>
      <w:r>
        <w:rPr>
          <w:rFonts w:hint="eastAsia" w:ascii="宋体" w:hAnsi="宋体" w:cs="宋体"/>
          <w:szCs w:val="21"/>
        </w:rPr>
        <w:t>日期：</w:t>
      </w:r>
    </w:p>
    <w:p>
      <w:pPr>
        <w:jc w:val="center"/>
        <w:rPr>
          <w:rFonts w:ascii="微软雅黑" w:hAnsi="微软雅黑" w:eastAsia="微软雅黑" w:cs="微软雅黑"/>
          <w:b/>
          <w:bCs/>
          <w:color w:val="000000"/>
          <w:sz w:val="30"/>
          <w:szCs w:val="30"/>
        </w:rPr>
      </w:pPr>
      <w:bookmarkStart w:id="128" w:name="_Toc70231455"/>
      <w:bookmarkStart w:id="129" w:name="_Toc70231351"/>
      <w:bookmarkStart w:id="130" w:name="_Toc16612"/>
      <w:r>
        <w:rPr>
          <w:rFonts w:hint="eastAsia" w:ascii="微软雅黑" w:hAnsi="微软雅黑" w:eastAsia="微软雅黑" w:cs="微软雅黑"/>
          <w:b/>
          <w:bCs/>
          <w:color w:val="000000"/>
          <w:sz w:val="30"/>
          <w:szCs w:val="30"/>
        </w:rPr>
        <w:t>（三）监狱企业声明函（样表）</w:t>
      </w:r>
      <w:bookmarkEnd w:id="128"/>
      <w:bookmarkEnd w:id="129"/>
      <w:bookmarkEnd w:id="130"/>
    </w:p>
    <w:p>
      <w:pPr>
        <w:spacing w:line="44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本单位郑重声明，根据《财政部 司法部关于政府采购支持监狱企业发展有关问题的通知》（财库〔2014〕68号）的规定，本单位为符合条件的监狱企业，且本单位参加</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i/>
          <w:szCs w:val="21"/>
          <w:u w:val="single"/>
        </w:rPr>
        <w:t>（采购单位名称）</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单位的</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i/>
          <w:szCs w:val="21"/>
          <w:u w:val="single"/>
        </w:rPr>
        <w:t>（采购项目名称）</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项目采购活动，并由本单位承接服务。</w:t>
      </w:r>
    </w:p>
    <w:p>
      <w:pPr>
        <w:spacing w:line="440" w:lineRule="exact"/>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本单位对上述声明的真实性负责。如有虚假，将依法承担相应责任。</w:t>
      </w:r>
    </w:p>
    <w:p>
      <w:pPr>
        <w:spacing w:line="440" w:lineRule="exact"/>
        <w:ind w:firstLine="422" w:firstLineChars="200"/>
        <w:jc w:val="left"/>
        <w:rPr>
          <w:rFonts w:ascii="宋体" w:hAnsi="宋体" w:cs="宋体"/>
          <w:szCs w:val="21"/>
        </w:rPr>
      </w:pPr>
      <w:r>
        <w:rPr>
          <w:rFonts w:hint="eastAsia" w:asciiTheme="majorEastAsia" w:hAnsiTheme="majorEastAsia" w:eastAsiaTheme="majorEastAsia" w:cstheme="majorEastAsia"/>
          <w:b/>
          <w:szCs w:val="21"/>
        </w:rPr>
        <w:t>附：</w:t>
      </w:r>
      <w:r>
        <w:rPr>
          <w:rFonts w:hint="eastAsia" w:asciiTheme="majorEastAsia" w:hAnsiTheme="majorEastAsia" w:eastAsiaTheme="majorEastAsia" w:cstheme="majorEastAsia"/>
          <w:spacing w:val="-6"/>
          <w:szCs w:val="21"/>
        </w:rPr>
        <w:t>省级以上监狱管理局、戒毒管理局（含新疆生产建设兵团）出具的监狱企业证明文件。</w:t>
      </w:r>
    </w:p>
    <w:p>
      <w:pPr>
        <w:spacing w:line="440" w:lineRule="exact"/>
        <w:ind w:firstLine="420" w:firstLineChars="200"/>
        <w:jc w:val="left"/>
        <w:rPr>
          <w:rFonts w:ascii="宋体" w:hAnsi="宋体" w:cs="宋体"/>
          <w:szCs w:val="21"/>
        </w:rPr>
      </w:pPr>
    </w:p>
    <w:p>
      <w:pPr>
        <w:spacing w:line="440" w:lineRule="exact"/>
        <w:ind w:firstLine="420" w:firstLineChars="200"/>
        <w:jc w:val="left"/>
        <w:rPr>
          <w:rFonts w:ascii="宋体" w:hAnsi="宋体" w:cs="宋体"/>
          <w:szCs w:val="21"/>
        </w:rPr>
      </w:pPr>
      <w:r>
        <w:rPr>
          <w:rFonts w:hint="eastAsia" w:ascii="宋体" w:hAnsi="宋体" w:cs="宋体"/>
          <w:szCs w:val="21"/>
        </w:rPr>
        <w:t>企业名称（盖章）：</w:t>
      </w:r>
    </w:p>
    <w:p>
      <w:pPr>
        <w:spacing w:line="440" w:lineRule="exact"/>
        <w:ind w:firstLine="420" w:firstLineChars="200"/>
        <w:jc w:val="left"/>
        <w:rPr>
          <w:rFonts w:ascii="宋体" w:hAnsi="宋体" w:cs="宋体"/>
          <w:szCs w:val="21"/>
        </w:rPr>
      </w:pPr>
      <w:r>
        <w:rPr>
          <w:rFonts w:hint="eastAsia" w:ascii="宋体" w:hAnsi="宋体" w:cs="宋体"/>
          <w:szCs w:val="21"/>
        </w:rPr>
        <w:t>日期：</w:t>
      </w:r>
    </w:p>
    <w:p>
      <w:pPr>
        <w:rPr>
          <w:rFonts w:ascii="宋体" w:hAnsi="宋体" w:cs="宋体"/>
          <w:b/>
          <w:color w:val="000000"/>
          <w:szCs w:val="21"/>
        </w:rPr>
      </w:pPr>
      <w:r>
        <w:rPr>
          <w:rFonts w:hint="eastAsia" w:ascii="宋体" w:hAnsi="宋体" w:cs="宋体"/>
          <w:b/>
          <w:color w:val="000000"/>
          <w:szCs w:val="21"/>
        </w:rPr>
        <w:br w:type="column"/>
      </w:r>
      <w:r>
        <w:rPr>
          <w:rFonts w:hint="eastAsia" w:ascii="宋体" w:hAnsi="宋体" w:cs="宋体"/>
          <w:b/>
          <w:color w:val="000000"/>
          <w:szCs w:val="21"/>
        </w:rPr>
        <w:t>附：中小企业相关优惠政策文件（供参考）</w:t>
      </w:r>
    </w:p>
    <w:p>
      <w:pPr>
        <w:spacing w:line="440" w:lineRule="exact"/>
        <w:rPr>
          <w:rFonts w:ascii="宋体" w:hAnsi="宋体" w:cs="宋体"/>
          <w:bCs/>
          <w:color w:val="000000"/>
          <w:szCs w:val="21"/>
        </w:rPr>
      </w:pPr>
    </w:p>
    <w:p>
      <w:pPr>
        <w:pStyle w:val="27"/>
        <w:widowControl w:val="0"/>
        <w:spacing w:before="0" w:beforeAutospacing="0" w:after="0" w:afterAutospacing="0" w:line="440" w:lineRule="exact"/>
        <w:jc w:val="center"/>
        <w:rPr>
          <w:sz w:val="21"/>
          <w:szCs w:val="21"/>
          <w:shd w:val="clear" w:color="auto" w:fill="FFFFFF"/>
        </w:rPr>
      </w:pPr>
      <w:r>
        <w:rPr>
          <w:rFonts w:hint="eastAsia"/>
          <w:b/>
          <w:sz w:val="28"/>
          <w:szCs w:val="28"/>
          <w:shd w:val="clear" w:color="auto" w:fill="FFFFFF"/>
        </w:rPr>
        <w:t>关于印发《政府采购促进中小企业发展管理办法》的通知</w:t>
      </w:r>
      <w:r>
        <w:rPr>
          <w:rFonts w:hint="eastAsia"/>
          <w:sz w:val="28"/>
          <w:szCs w:val="28"/>
          <w:shd w:val="clear" w:color="auto" w:fill="FFFFFF"/>
        </w:rPr>
        <w:br w:type="textWrapping"/>
      </w:r>
      <w:r>
        <w:rPr>
          <w:rFonts w:hint="eastAsia"/>
          <w:sz w:val="21"/>
          <w:szCs w:val="21"/>
          <w:shd w:val="clear" w:color="auto" w:fill="FFFFFF"/>
        </w:rPr>
        <w:t>财库〔2020〕46号</w:t>
      </w:r>
    </w:p>
    <w:p>
      <w:pPr>
        <w:pStyle w:val="27"/>
        <w:widowControl w:val="0"/>
        <w:spacing w:before="0" w:beforeAutospacing="0" w:after="0" w:afterAutospacing="0" w:line="440" w:lineRule="exact"/>
        <w:ind w:firstLine="420" w:firstLineChars="200"/>
        <w:rPr>
          <w:sz w:val="21"/>
          <w:szCs w:val="21"/>
          <w:shd w:val="clear" w:color="auto" w:fill="FFFFFF"/>
        </w:rPr>
      </w:pPr>
    </w:p>
    <w:p>
      <w:pPr>
        <w:pStyle w:val="27"/>
        <w:widowControl w:val="0"/>
        <w:spacing w:before="0" w:beforeAutospacing="0" w:after="0" w:afterAutospacing="0" w:line="440" w:lineRule="exact"/>
        <w:rPr>
          <w:sz w:val="21"/>
          <w:szCs w:val="21"/>
          <w:shd w:val="clear" w:color="auto" w:fill="FFFFFF"/>
        </w:rPr>
      </w:pPr>
      <w:r>
        <w:rPr>
          <w:rFonts w:hint="eastAsia"/>
          <w:sz w:val="21"/>
          <w:szCs w:val="21"/>
          <w:shd w:val="clear" w:color="auto" w:fill="FFFFFF"/>
        </w:rPr>
        <w:t>各中央预算单位办公厅（室），各省、自治区、直辖市、计划单列市财政厅（局）、工业和信息化主管部门，新疆生产建设兵团财政局、工业和信息化主管部门：</w:t>
      </w:r>
    </w:p>
    <w:p>
      <w:pPr>
        <w:pStyle w:val="27"/>
        <w:widowControl w:val="0"/>
        <w:spacing w:before="0" w:beforeAutospacing="0" w:after="0" w:afterAutospacing="0" w:line="440" w:lineRule="exact"/>
        <w:ind w:firstLine="420" w:firstLineChars="200"/>
        <w:rPr>
          <w:sz w:val="21"/>
          <w:szCs w:val="21"/>
          <w:shd w:val="clear" w:color="auto" w:fill="FFFFFF"/>
        </w:rPr>
      </w:pPr>
      <w:r>
        <w:rPr>
          <w:rFonts w:hint="eastAsia"/>
          <w:sz w:val="21"/>
          <w:szCs w:val="21"/>
          <w:shd w:val="clear" w:color="auto" w:fill="FFFFFF"/>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pStyle w:val="27"/>
        <w:widowControl w:val="0"/>
        <w:spacing w:before="0" w:beforeAutospacing="0" w:after="0" w:afterAutospacing="0" w:line="440" w:lineRule="exact"/>
        <w:ind w:firstLine="420" w:firstLineChars="200"/>
        <w:rPr>
          <w:sz w:val="21"/>
          <w:szCs w:val="21"/>
          <w:shd w:val="clear" w:color="auto" w:fill="FFFFFF"/>
        </w:rPr>
      </w:pPr>
      <w:r>
        <w:rPr>
          <w:rFonts w:hint="eastAsia"/>
          <w:sz w:val="21"/>
          <w:szCs w:val="21"/>
          <w:shd w:val="clear" w:color="auto" w:fill="FFFFFF"/>
        </w:rPr>
        <w:t>附件：政府采购促进中小企业发展管理办法</w:t>
      </w:r>
    </w:p>
    <w:p>
      <w:pPr>
        <w:pStyle w:val="27"/>
        <w:widowControl w:val="0"/>
        <w:shd w:val="clear" w:color="auto" w:fill="FFFFFF"/>
        <w:spacing w:before="0" w:beforeAutospacing="0" w:after="0" w:afterAutospacing="0" w:line="440" w:lineRule="exact"/>
        <w:ind w:firstLine="420"/>
        <w:rPr>
          <w:sz w:val="21"/>
          <w:szCs w:val="21"/>
          <w:shd w:val="clear" w:color="auto" w:fill="FFFFFF"/>
        </w:rPr>
      </w:pPr>
    </w:p>
    <w:p>
      <w:pPr>
        <w:pStyle w:val="27"/>
        <w:widowControl w:val="0"/>
        <w:spacing w:before="0" w:beforeAutospacing="0" w:after="0" w:afterAutospacing="0" w:line="440" w:lineRule="exact"/>
        <w:ind w:firstLine="420" w:firstLineChars="200"/>
        <w:jc w:val="right"/>
        <w:rPr>
          <w:sz w:val="21"/>
          <w:szCs w:val="21"/>
          <w:shd w:val="clear" w:color="auto" w:fill="FFFFFF"/>
        </w:rPr>
      </w:pPr>
      <w:r>
        <w:rPr>
          <w:rFonts w:hint="eastAsia"/>
          <w:sz w:val="21"/>
          <w:szCs w:val="21"/>
          <w:shd w:val="clear" w:color="auto" w:fill="FFFFFF"/>
        </w:rPr>
        <w:t>财政部</w:t>
      </w:r>
      <w:r>
        <w:rPr>
          <w:rFonts w:hint="eastAsia"/>
          <w:sz w:val="21"/>
          <w:szCs w:val="21"/>
          <w:shd w:val="clear" w:color="auto" w:fill="FFFFFF"/>
        </w:rPr>
        <w:br w:type="textWrapping"/>
      </w:r>
      <w:r>
        <w:rPr>
          <w:rFonts w:hint="eastAsia"/>
          <w:sz w:val="21"/>
          <w:szCs w:val="21"/>
          <w:shd w:val="clear" w:color="auto" w:fill="FFFFFF"/>
        </w:rPr>
        <w:t>工业和信息化部</w:t>
      </w:r>
      <w:r>
        <w:rPr>
          <w:rFonts w:hint="eastAsia"/>
          <w:sz w:val="21"/>
          <w:szCs w:val="21"/>
          <w:shd w:val="clear" w:color="auto" w:fill="FFFFFF"/>
        </w:rPr>
        <w:br w:type="textWrapping"/>
      </w:r>
      <w:r>
        <w:rPr>
          <w:rFonts w:hint="eastAsia"/>
          <w:sz w:val="21"/>
          <w:szCs w:val="21"/>
          <w:shd w:val="clear" w:color="auto" w:fill="FFFFFF"/>
        </w:rPr>
        <w:t>2020年12月18日</w:t>
      </w:r>
    </w:p>
    <w:p>
      <w:pPr>
        <w:pStyle w:val="27"/>
        <w:widowControl w:val="0"/>
        <w:spacing w:before="0" w:beforeAutospacing="0" w:after="0" w:afterAutospacing="0" w:line="440" w:lineRule="exact"/>
        <w:rPr>
          <w:sz w:val="21"/>
          <w:szCs w:val="21"/>
          <w:shd w:val="clear" w:color="auto" w:fill="FFFFFF"/>
        </w:rPr>
      </w:pPr>
      <w:r>
        <w:rPr>
          <w:rFonts w:hint="eastAsia"/>
          <w:sz w:val="21"/>
          <w:szCs w:val="21"/>
          <w:shd w:val="clear" w:color="auto" w:fill="FFFFFF"/>
        </w:rPr>
        <w:t>附件：</w:t>
      </w:r>
    </w:p>
    <w:p>
      <w:pPr>
        <w:pStyle w:val="27"/>
        <w:widowControl w:val="0"/>
        <w:spacing w:before="0" w:beforeAutospacing="0" w:after="0" w:afterAutospacing="0" w:line="440" w:lineRule="exact"/>
        <w:jc w:val="center"/>
      </w:pPr>
      <w:r>
        <w:rPr>
          <w:rStyle w:val="34"/>
          <w:rFonts w:hint="eastAsia"/>
        </w:rPr>
        <w:t>政府采购促进中小企业发展管理办法</w:t>
      </w:r>
    </w:p>
    <w:p>
      <w:pPr>
        <w:pStyle w:val="27"/>
        <w:widowControl w:val="0"/>
        <w:spacing w:before="0" w:beforeAutospacing="0" w:after="0" w:afterAutospacing="0" w:line="440" w:lineRule="exact"/>
        <w:ind w:firstLine="476" w:firstLineChars="227"/>
        <w:rPr>
          <w:sz w:val="21"/>
          <w:szCs w:val="21"/>
        </w:rPr>
      </w:pPr>
    </w:p>
    <w:p>
      <w:pPr>
        <w:pStyle w:val="27"/>
        <w:widowControl w:val="0"/>
        <w:spacing w:before="0" w:beforeAutospacing="0" w:after="0" w:afterAutospacing="0" w:line="440" w:lineRule="exact"/>
        <w:ind w:firstLine="422" w:firstLineChars="200"/>
        <w:rPr>
          <w:sz w:val="21"/>
          <w:szCs w:val="21"/>
        </w:rPr>
      </w:pPr>
      <w:r>
        <w:rPr>
          <w:rStyle w:val="34"/>
          <w:rFonts w:hint="eastAsia"/>
          <w:sz w:val="21"/>
          <w:szCs w:val="21"/>
        </w:rPr>
        <w:t>第一条</w:t>
      </w:r>
      <w:r>
        <w:rPr>
          <w:rFonts w:hint="eastAsia"/>
          <w:sz w:val="21"/>
          <w:szCs w:val="21"/>
        </w:rPr>
        <w:t>　为了发挥政府采购的政策功能，促进中小企业健康发展，根据《中华人民共和国政府采购法》、《中华人民共和国中小企业促进法》等有关法律法规，制定本办法。</w:t>
      </w:r>
    </w:p>
    <w:p>
      <w:pPr>
        <w:pStyle w:val="27"/>
        <w:widowControl w:val="0"/>
        <w:spacing w:before="0" w:beforeAutospacing="0" w:after="0" w:afterAutospacing="0" w:line="440" w:lineRule="exact"/>
        <w:ind w:firstLine="422" w:firstLineChars="200"/>
        <w:rPr>
          <w:sz w:val="21"/>
          <w:szCs w:val="21"/>
        </w:rPr>
      </w:pPr>
      <w:r>
        <w:rPr>
          <w:rStyle w:val="34"/>
          <w:rFonts w:hint="eastAsia"/>
          <w:sz w:val="21"/>
          <w:szCs w:val="21"/>
        </w:rPr>
        <w:t>第二条</w:t>
      </w:r>
      <w:r>
        <w:rPr>
          <w:rFonts w:hint="eastAsia"/>
          <w:sz w:val="21"/>
          <w:szCs w:val="21"/>
        </w:rPr>
        <w:t>　本办法所称</w:t>
      </w:r>
      <w:r>
        <w:rPr>
          <w:rStyle w:val="34"/>
          <w:rFonts w:hint="eastAsia"/>
          <w:bCs/>
          <w:sz w:val="21"/>
          <w:szCs w:val="21"/>
        </w:rPr>
        <w:t>中小企业</w:t>
      </w:r>
      <w:r>
        <w:rPr>
          <w:rFonts w:hint="eastAsia"/>
          <w:sz w:val="21"/>
          <w:szCs w:val="21"/>
        </w:rPr>
        <w:t>，是指在中华人民共和国境内依法设立，依据国务院批准的中小企业划分标准确定的中型企业、小型企业和微型企业，但与大企业的负责人为同一人，或者与大企业存在直接控股、管理关系的除外。</w:t>
      </w:r>
    </w:p>
    <w:p>
      <w:pPr>
        <w:pStyle w:val="27"/>
        <w:widowControl w:val="0"/>
        <w:spacing w:before="0" w:beforeAutospacing="0" w:after="0" w:afterAutospacing="0" w:line="440" w:lineRule="exact"/>
        <w:ind w:firstLine="420" w:firstLineChars="200"/>
        <w:rPr>
          <w:sz w:val="21"/>
          <w:szCs w:val="21"/>
        </w:rPr>
      </w:pPr>
      <w:r>
        <w:rPr>
          <w:rFonts w:hint="eastAsia"/>
          <w:sz w:val="21"/>
          <w:szCs w:val="21"/>
        </w:rPr>
        <w:t>符合中小企业划分标准的个体工商户，在政府采购活动中视同中小企业。</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第三条　</w:t>
      </w:r>
      <w:r>
        <w:rPr>
          <w:rFonts w:hint="eastAsia"/>
          <w:sz w:val="21"/>
          <w:szCs w:val="21"/>
        </w:rPr>
        <w:t>采购人在政府采购活动中应当通过加强采购需求管理，落实预留采购份额、价格评审优惠、优先采购等措施，提高中小企业在政府采购中的份额，支持中小企业发展。</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第四条　</w:t>
      </w:r>
      <w:r>
        <w:rPr>
          <w:rFonts w:hint="eastAsia"/>
          <w:sz w:val="21"/>
          <w:szCs w:val="21"/>
        </w:rPr>
        <w:t>在政府采购活动中，供应商提供的货物、工程或者服务符合下列情形的，享受本办法规定的中小企业扶持政策：</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（一）在货物采购项目中，货物由中小企业制造，即货物由中小企业生产且使用该中小企业商号或者注册商标；</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（二）在工程采购项目中，工程由中小企业承建，即工程施工单位为中小企业；</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（三）在服务采购项目中，服务由中小企业承接，即提供服务的人员为中小企业依照《中华人民共和国劳动合同法》订立劳动合同的从业人员。</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在货物采购项目中，供应商提供的货物既有中小企业制造货物，也有大型企业制造货物的，不享受本办法规定的中小企业扶持政策。</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以联合体形式参加政府采购活动，联合体各方均为中小企业的，联合体视同中小企业。其中，联合体各方均为小微企业的，联合体视同小微企业。</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第五条　</w:t>
      </w:r>
      <w:r>
        <w:rPr>
          <w:rFonts w:hint="eastAsia"/>
          <w:sz w:val="21"/>
          <w:szCs w:val="21"/>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第六条　</w:t>
      </w:r>
      <w:r>
        <w:rPr>
          <w:rFonts w:hint="eastAsia"/>
          <w:sz w:val="21"/>
          <w:szCs w:val="21"/>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7"/>
        <w:widowControl w:val="0"/>
        <w:spacing w:before="0" w:beforeAutospacing="0" w:after="0" w:afterAutospacing="0" w:line="440" w:lineRule="exact"/>
        <w:ind w:firstLine="420" w:firstLineChars="200"/>
        <w:rPr>
          <w:sz w:val="21"/>
          <w:szCs w:val="21"/>
        </w:rPr>
      </w:pPr>
      <w:r>
        <w:rPr>
          <w:rFonts w:hint="eastAsia"/>
          <w:sz w:val="21"/>
          <w:szCs w:val="21"/>
        </w:rPr>
        <w:t>符合下列情形之一的，可不专门面向中小企业预留采购份额：</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（一）法律法规和国家有关政策明确规定优先或者应当面向事业单位、社会组织等非企业主体采购的；</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（二）因确需使用不可替代的专利、专有技术，基础设施限制，或者提供特定公共服务等原因，只能从中小企业之外的供应商处采购的；</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（三）按照本办法规定预留采购份额无法确保充分供应、充分竞争，或者存在可能影响政府采购目标实现的情形；</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（四）框架协议采购项目；</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（五）省级以上人民政府财政部门规定的其他情形。</w:t>
      </w:r>
    </w:p>
    <w:p>
      <w:pPr>
        <w:pStyle w:val="27"/>
        <w:widowControl w:val="0"/>
        <w:spacing w:before="0" w:beforeAutospacing="0" w:after="0" w:afterAutospacing="0" w:line="440" w:lineRule="exact"/>
        <w:ind w:firstLine="420" w:firstLineChars="200"/>
        <w:rPr>
          <w:sz w:val="21"/>
          <w:szCs w:val="21"/>
        </w:rPr>
      </w:pPr>
      <w:r>
        <w:rPr>
          <w:rFonts w:hint="eastAsia"/>
          <w:sz w:val="21"/>
          <w:szCs w:val="21"/>
        </w:rPr>
        <w:t>除上述情形外，其他均为适宜由中小企业提供的情形。</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第七条　</w:t>
      </w:r>
      <w:r>
        <w:rPr>
          <w:rFonts w:hint="eastAsia"/>
          <w:sz w:val="21"/>
          <w:szCs w:val="21"/>
        </w:rPr>
        <w:t>采购限额标准以上，200万元以下的货物和服务采购项目、400万元以下的工程采购项目，适宜由中小企业提供的，采购人应当专门面向中小企业采购。</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第八条　</w:t>
      </w:r>
      <w:r>
        <w:rPr>
          <w:rFonts w:hint="eastAsia"/>
          <w:sz w:val="21"/>
          <w:szCs w:val="21"/>
        </w:rPr>
        <w:t>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（一）将采购项目整体或者设置采购包专门面向中小企业采购；</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（二）要求供应商以联合体形式参加采购活动，且联合体中中小企业承担的部分达到一定比例；</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（三）要求获得采购合同的供应商将采购项目中的一定比例分包给一家或者多家中小企业。</w:t>
      </w:r>
    </w:p>
    <w:p>
      <w:pPr>
        <w:pStyle w:val="27"/>
        <w:widowControl w:val="0"/>
        <w:spacing w:before="0" w:beforeAutospacing="0" w:after="0" w:afterAutospacing="0" w:line="440" w:lineRule="exact"/>
        <w:ind w:firstLine="420" w:firstLineChars="200"/>
        <w:rPr>
          <w:sz w:val="21"/>
          <w:szCs w:val="21"/>
        </w:rPr>
      </w:pPr>
      <w:r>
        <w:rPr>
          <w:rFonts w:hint="eastAsia"/>
          <w:sz w:val="21"/>
          <w:szCs w:val="21"/>
        </w:rPr>
        <w:t>组成联合体或者接受分包合同的中小企业与联合体内其他企业、分包企业之间不得存在直接控股、管理关系。</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第九条　</w:t>
      </w:r>
      <w:r>
        <w:rPr>
          <w:rFonts w:hint="eastAsia"/>
          <w:sz w:val="21"/>
          <w:szCs w:val="21"/>
        </w:rPr>
        <w:t>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应答法的政府采购工程建设项目，采用综合评估法但未采用低价优先法计算价格分的，评标时应当在采用原报价进行评分的基础上增加其价格得分的3%—5%作为其价格分。</w:t>
      </w:r>
    </w:p>
    <w:p>
      <w:pPr>
        <w:pStyle w:val="27"/>
        <w:widowControl w:val="0"/>
        <w:spacing w:before="0" w:beforeAutospacing="0" w:after="0" w:afterAutospacing="0" w:line="440" w:lineRule="exact"/>
        <w:ind w:firstLine="420" w:firstLineChars="200"/>
        <w:rPr>
          <w:sz w:val="21"/>
          <w:szCs w:val="21"/>
        </w:rPr>
      </w:pPr>
      <w:r>
        <w:rPr>
          <w:rFonts w:hint="eastAsia"/>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应答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第十条　</w:t>
      </w:r>
      <w:r>
        <w:rPr>
          <w:rFonts w:hint="eastAsia"/>
          <w:sz w:val="21"/>
          <w:szCs w:val="21"/>
        </w:rPr>
        <w:t>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第十一条　</w:t>
      </w:r>
      <w:r>
        <w:rPr>
          <w:rFonts w:hint="eastAsia"/>
          <w:sz w:val="21"/>
          <w:szCs w:val="21"/>
        </w:rPr>
        <w:t>中小企业参加政府采购活动，应当出具本办法规定的《中小企业声明函》（附1），否则不得享受相关中小企业扶持政策。任何单位和个人不得要求供应商提供《中小企业声明函》之外的中小企业身份证明文件。</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第十二条　</w:t>
      </w:r>
      <w:r>
        <w:rPr>
          <w:rFonts w:hint="eastAsia"/>
          <w:sz w:val="21"/>
          <w:szCs w:val="21"/>
        </w:rPr>
        <w:t>采购项目涉及中小企业采购的，采购文件应当明确以下内容：</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（一）预留份额的采购项目或者采购包，明确该项目或相关采购包专门面向中小企业采购，以及相关标的及预算金额；</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（二）要求以联合体形式参加或者合同分包的，明确联合协议或者分包意向协议中中小企业合同金额应当达到的比例，并作为供应商资格条件；</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（三）非预留份额的采购项目或者采购包，明确有关价格扣除比例或者价格分加分比例；</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（四）规定依据本办法规定享受扶持政策获得政府采购合同的，小微企业不得将合同分包给大中型企业，中型企业不得将合同分包给大型企业；</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（五）采购人认为具备相关条件的，明确对中小企业在资金支付期限、预付款比例等方面的优惠措施；</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（六）明确采购标的对应的中小企业划分标准所属行业；</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（七）法律法规和省级以上人民政府财政部门规定的其他事项。</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第十三条　</w:t>
      </w:r>
      <w:r>
        <w:rPr>
          <w:rFonts w:hint="eastAsia"/>
          <w:sz w:val="21"/>
          <w:szCs w:val="21"/>
        </w:rPr>
        <w:t>成交、成交供应商享受本办法规定的中小企业扶持政策的，采购人、采购代理机构应当随成交、成交结果公开成交、成交供应商的《中小企业声明函》。</w:t>
      </w:r>
    </w:p>
    <w:p>
      <w:pPr>
        <w:pStyle w:val="27"/>
        <w:widowControl w:val="0"/>
        <w:spacing w:before="0" w:beforeAutospacing="0" w:after="0" w:afterAutospacing="0" w:line="440" w:lineRule="exact"/>
        <w:ind w:firstLine="420" w:firstLineChars="200"/>
        <w:rPr>
          <w:sz w:val="21"/>
          <w:szCs w:val="21"/>
        </w:rPr>
      </w:pPr>
      <w:r>
        <w:rPr>
          <w:rFonts w:hint="eastAsia"/>
          <w:sz w:val="21"/>
          <w:szCs w:val="21"/>
        </w:rPr>
        <w:t>适用招标应答法的政府采购工程建设项目，应当在公示成交候选人时公开成交候选人的《中小企业声明函》。</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 xml:space="preserve">第十四条 </w:t>
      </w:r>
      <w:r>
        <w:rPr>
          <w:rFonts w:hint="eastAsia"/>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第十五条　</w:t>
      </w:r>
      <w:r>
        <w:rPr>
          <w:rFonts w:hint="eastAsia"/>
          <w:sz w:val="21"/>
          <w:szCs w:val="21"/>
        </w:rPr>
        <w:t>鼓励各地区、各部门在采购活动中允许中小企业引入信用担保手段，为中小企业在应答（响应）保证、履约保证等方面提供专业化服务。鼓励中小企业依法合规通过政府采购合同融资。</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第十六条　</w:t>
      </w:r>
      <w:r>
        <w:rPr>
          <w:rFonts w:hint="eastAsia"/>
          <w:sz w:val="21"/>
          <w:szCs w:val="21"/>
        </w:rPr>
        <w:t>政府采购监督检查、投诉处理及政府采购行政处罚中对中小企业的认定，由货物制造商或者工程、服务供应商注册登记所在地的县级以上人民政府中小企业主管部门负责。</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中小企业主管部门应当在收到财政部门或者有关招标应答行政监督部门关于协助开展中小企业认定函后10个工作日内做出书面答复。</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第十七条　</w:t>
      </w:r>
      <w:r>
        <w:rPr>
          <w:rFonts w:hint="eastAsia"/>
          <w:sz w:val="21"/>
          <w:szCs w:val="21"/>
        </w:rPr>
        <w:t>各地区、各部门应当对涉及中小企业采购的预算项目实施全过程绩效管理，合理设置绩效目标和指标，落实扶持中小企业有关政策要求，定期开展绩效监控和评价，强化绩效评价结果应用。</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第十八条　</w:t>
      </w:r>
      <w:r>
        <w:rPr>
          <w:rFonts w:hint="eastAsia"/>
          <w:sz w:val="21"/>
          <w:szCs w:val="21"/>
        </w:rPr>
        <w:t>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第十九条　</w:t>
      </w:r>
      <w:r>
        <w:rPr>
          <w:rFonts w:hint="eastAsia"/>
          <w:sz w:val="21"/>
          <w:szCs w:val="21"/>
        </w:rPr>
        <w:t>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第二十条　</w:t>
      </w:r>
      <w:r>
        <w:rPr>
          <w:rFonts w:hint="eastAsia"/>
          <w:sz w:val="21"/>
          <w:szCs w:val="21"/>
        </w:rPr>
        <w:t>供应商按照本办法规定提供声明函内容不实的，属于提供虚假材料谋取成交、成交，依照《中华人民共和国政府采购法》等国家有关规定追究相应责任。</w:t>
      </w:r>
    </w:p>
    <w:p>
      <w:pPr>
        <w:pStyle w:val="27"/>
        <w:widowControl w:val="0"/>
        <w:spacing w:before="0" w:beforeAutospacing="0" w:after="0" w:afterAutospacing="0" w:line="440" w:lineRule="exact"/>
        <w:ind w:firstLine="420" w:firstLineChars="200"/>
        <w:rPr>
          <w:sz w:val="21"/>
          <w:szCs w:val="21"/>
        </w:rPr>
      </w:pPr>
      <w:r>
        <w:rPr>
          <w:rFonts w:hint="eastAsia"/>
          <w:sz w:val="21"/>
          <w:szCs w:val="21"/>
        </w:rPr>
        <w:t>适用招标应答法的政府采购工程建设项目，供应商按照本办法规定提供声明函内容不实的，属于弄虚作假骗取成交，依照《中华人民共和国招标应答法》等国家有关规定追究相应责任。</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第二十一条　</w:t>
      </w:r>
      <w:r>
        <w:rPr>
          <w:rFonts w:hint="eastAsia"/>
          <w:sz w:val="21"/>
          <w:szCs w:val="21"/>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第二十二条　</w:t>
      </w:r>
      <w:r>
        <w:rPr>
          <w:rFonts w:hint="eastAsia"/>
          <w:sz w:val="21"/>
          <w:szCs w:val="21"/>
        </w:rPr>
        <w:t>对外援助项目、国家相关资格或者资质管理制度另有规定的项目，不适用本办法。</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第二十三条　</w:t>
      </w:r>
      <w:r>
        <w:rPr>
          <w:rFonts w:hint="eastAsia"/>
          <w:sz w:val="21"/>
          <w:szCs w:val="21"/>
        </w:rPr>
        <w:t>关于视同中小企业的其他主体的政府采购扶持政策，由财政部会同有关部门另行规定。</w:t>
      </w:r>
    </w:p>
    <w:p>
      <w:pPr>
        <w:pStyle w:val="27"/>
        <w:widowControl w:val="0"/>
        <w:spacing w:before="0" w:beforeAutospacing="0" w:after="0" w:afterAutospacing="0" w:line="440" w:lineRule="exact"/>
        <w:ind w:firstLine="422" w:firstLineChars="200"/>
        <w:rPr>
          <w:sz w:val="21"/>
          <w:szCs w:val="21"/>
        </w:rPr>
      </w:pPr>
      <w:r>
        <w:rPr>
          <w:rFonts w:hint="eastAsia"/>
          <w:b/>
          <w:sz w:val="21"/>
          <w:szCs w:val="21"/>
        </w:rPr>
        <w:t>第二十四条　</w:t>
      </w:r>
      <w:r>
        <w:rPr>
          <w:rFonts w:hint="eastAsia"/>
          <w:sz w:val="21"/>
          <w:szCs w:val="21"/>
        </w:rPr>
        <w:t>省级财政部门可以会同中小企业主管部门根据本办法的规定制定具体实施办法。</w:t>
      </w:r>
    </w:p>
    <w:p>
      <w:pPr>
        <w:pStyle w:val="27"/>
        <w:widowControl w:val="0"/>
        <w:spacing w:before="0" w:beforeAutospacing="0" w:after="0" w:afterAutospacing="0" w:line="440" w:lineRule="exact"/>
        <w:ind w:firstLine="422" w:firstLineChars="200"/>
        <w:rPr>
          <w:kern w:val="2"/>
          <w:sz w:val="21"/>
          <w:szCs w:val="21"/>
          <w:lang w:bidi="ar"/>
        </w:rPr>
      </w:pPr>
      <w:r>
        <w:rPr>
          <w:rFonts w:hint="eastAsia"/>
          <w:b/>
          <w:kern w:val="2"/>
          <w:sz w:val="21"/>
          <w:szCs w:val="21"/>
          <w:lang w:bidi="ar"/>
        </w:rPr>
        <w:t>第二十五条　</w:t>
      </w:r>
      <w:r>
        <w:rPr>
          <w:rFonts w:hint="eastAsia"/>
          <w:kern w:val="2"/>
          <w:sz w:val="21"/>
          <w:szCs w:val="21"/>
          <w:lang w:bidi="ar"/>
        </w:rPr>
        <w:t>本办法自2021年1月1日起施行。《财政部工业和信息化部关于印发〈政府采购促进中小企业发展暂行办法〉的通知》（财库﹝2011﹞181号）同时废止。</w:t>
      </w:r>
    </w:p>
    <w:p>
      <w:pPr>
        <w:rPr>
          <w:rFonts w:ascii="宋体" w:hAnsi="宋体" w:cs="宋体"/>
          <w:szCs w:val="21"/>
          <w:lang w:bidi="ar"/>
        </w:rPr>
      </w:pPr>
      <w:r>
        <w:rPr>
          <w:rFonts w:hint="eastAsia" w:ascii="宋体" w:hAnsi="宋体" w:cs="宋体"/>
          <w:szCs w:val="21"/>
          <w:lang w:bidi="ar"/>
        </w:rPr>
        <w:br w:type="page"/>
      </w:r>
    </w:p>
    <w:p>
      <w:pPr>
        <w:pStyle w:val="27"/>
        <w:widowControl w:val="0"/>
        <w:spacing w:before="0" w:beforeAutospacing="0" w:after="0" w:afterAutospacing="0" w:line="440" w:lineRule="exact"/>
        <w:jc w:val="center"/>
        <w:rPr>
          <w:sz w:val="21"/>
          <w:szCs w:val="21"/>
        </w:rPr>
      </w:pPr>
      <w:r>
        <w:rPr>
          <w:rStyle w:val="34"/>
          <w:sz w:val="28"/>
          <w:szCs w:val="28"/>
        </w:rPr>
        <w:t>关于印发中小企业划型标准规定的通知</w:t>
      </w:r>
      <w:r>
        <w:rPr>
          <w:sz w:val="28"/>
          <w:szCs w:val="28"/>
        </w:rPr>
        <w:br w:type="textWrapping"/>
      </w:r>
      <w:r>
        <w:rPr>
          <w:rFonts w:hint="eastAsia"/>
          <w:sz w:val="21"/>
          <w:szCs w:val="21"/>
        </w:rPr>
        <w:t>工信部联企业〔2011〕300号</w:t>
      </w:r>
    </w:p>
    <w:p>
      <w:pPr>
        <w:pStyle w:val="27"/>
        <w:widowControl w:val="0"/>
        <w:spacing w:before="0" w:beforeAutospacing="0" w:after="0" w:afterAutospacing="0" w:line="440" w:lineRule="exact"/>
        <w:rPr>
          <w:sz w:val="21"/>
          <w:szCs w:val="21"/>
        </w:rPr>
      </w:pPr>
    </w:p>
    <w:p>
      <w:pPr>
        <w:pStyle w:val="27"/>
        <w:widowControl w:val="0"/>
        <w:spacing w:before="0" w:beforeAutospacing="0" w:after="0" w:afterAutospacing="0" w:line="440" w:lineRule="exact"/>
        <w:rPr>
          <w:sz w:val="21"/>
          <w:szCs w:val="21"/>
        </w:rPr>
      </w:pPr>
      <w:r>
        <w:rPr>
          <w:rFonts w:hint="eastAsia"/>
          <w:sz w:val="21"/>
          <w:szCs w:val="21"/>
        </w:rPr>
        <w:t>各省、自治区、直辖市人民政府，国务院各部委、各直属机构及有关单位：</w:t>
      </w:r>
      <w:r>
        <w:rPr>
          <w:rFonts w:hint="eastAsia"/>
          <w:sz w:val="21"/>
          <w:szCs w:val="21"/>
        </w:rPr>
        <w:br w:type="textWrapping"/>
      </w:r>
      <w:r>
        <w:rPr>
          <w:rFonts w:hint="eastAsia"/>
          <w:sz w:val="21"/>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27"/>
        <w:widowControl w:val="0"/>
        <w:spacing w:before="0" w:beforeAutospacing="0" w:after="0" w:afterAutospacing="0" w:line="440" w:lineRule="exact"/>
        <w:jc w:val="right"/>
        <w:rPr>
          <w:sz w:val="21"/>
          <w:szCs w:val="21"/>
        </w:rPr>
      </w:pPr>
      <w:r>
        <w:rPr>
          <w:rFonts w:hint="eastAsia"/>
          <w:sz w:val="21"/>
          <w:szCs w:val="21"/>
        </w:rPr>
        <w:br w:type="textWrapping"/>
      </w:r>
      <w:r>
        <w:rPr>
          <w:rFonts w:hint="eastAsia"/>
          <w:sz w:val="21"/>
          <w:szCs w:val="21"/>
        </w:rPr>
        <w:t>　　　　　　　　　　　　　　　　　　　　　　 工业和信息化部　国家统计局</w:t>
      </w:r>
      <w:r>
        <w:rPr>
          <w:rFonts w:hint="eastAsia"/>
          <w:sz w:val="21"/>
          <w:szCs w:val="21"/>
        </w:rPr>
        <w:br w:type="textWrapping"/>
      </w:r>
      <w:r>
        <w:rPr>
          <w:rFonts w:hint="eastAsia"/>
          <w:sz w:val="21"/>
          <w:szCs w:val="21"/>
        </w:rPr>
        <w:t>　　　　　　　　　　　　　　　　　　　　　　国家发展和改革委员会　财政部</w:t>
      </w:r>
      <w:r>
        <w:rPr>
          <w:rFonts w:hint="eastAsia"/>
          <w:sz w:val="21"/>
          <w:szCs w:val="21"/>
        </w:rPr>
        <w:br w:type="textWrapping"/>
      </w:r>
      <w:r>
        <w:rPr>
          <w:rFonts w:hint="eastAsia"/>
          <w:sz w:val="21"/>
          <w:szCs w:val="21"/>
        </w:rPr>
        <w:t>　　　　　　　　　　　　　　　　　　　　　　　　二○一一年六月十八日</w:t>
      </w:r>
    </w:p>
    <w:p>
      <w:pPr>
        <w:pStyle w:val="27"/>
        <w:widowControl w:val="0"/>
        <w:jc w:val="center"/>
      </w:pPr>
      <w:r>
        <w:rPr>
          <w:rStyle w:val="34"/>
        </w:rPr>
        <w:t>中小企业划型标准规定</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一、根据《中华人民共和国中小企业促进法》和《国务院关于进一步促进中小企业发展的若干意见》(国发〔2009〕36号)，制定本规定。</w:t>
      </w:r>
      <w:r>
        <w:rPr>
          <w:rFonts w:hint="eastAsia"/>
          <w:sz w:val="21"/>
          <w:szCs w:val="21"/>
        </w:rPr>
        <w:br w:type="textWrapping"/>
      </w:r>
      <w:r>
        <w:rPr>
          <w:rFonts w:hint="eastAsia"/>
          <w:sz w:val="21"/>
          <w:szCs w:val="21"/>
        </w:rPr>
        <w:t>　　二、中小企业划分为中型、小型、微型三种类型，具体标准根据企业从业人员、营业收入、资产总额等指标，结合行业特点制定。</w:t>
      </w:r>
      <w:r>
        <w:rPr>
          <w:rFonts w:hint="eastAsia"/>
          <w:sz w:val="21"/>
          <w:szCs w:val="21"/>
        </w:rPr>
        <w:br w:type="textWrapping"/>
      </w:r>
      <w:r>
        <w:rPr>
          <w:rFonts w:hint="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sz w:val="21"/>
          <w:szCs w:val="21"/>
        </w:rPr>
        <w:br w:type="textWrapping"/>
      </w:r>
      <w:r>
        <w:rPr>
          <w:rFonts w:hint="eastAsia"/>
          <w:sz w:val="21"/>
          <w:szCs w:val="21"/>
        </w:rPr>
        <w:t>　　四、各行业划型标准为：</w:t>
      </w:r>
      <w:r>
        <w:rPr>
          <w:rFonts w:hint="eastAsia"/>
          <w:sz w:val="21"/>
          <w:szCs w:val="21"/>
        </w:rPr>
        <w:br w:type="textWrapping"/>
      </w:r>
      <w:r>
        <w:rPr>
          <w:rFonts w:hint="eastAsia"/>
          <w:sz w:val="21"/>
          <w:szCs w:val="21"/>
        </w:rPr>
        <w:t>　　（一）农、林、牧、渔业。营业收入20000万元以下的为中小微型企业。其中，营业收入500万元及以上的为中型企业，营业收入50万元及以上的为小型企业，营业收入50万元以下的为微型企业。</w:t>
      </w:r>
      <w:r>
        <w:rPr>
          <w:rFonts w:hint="eastAsia"/>
          <w:sz w:val="21"/>
          <w:szCs w:val="21"/>
        </w:rPr>
        <w:br w:type="textWrapping"/>
      </w:r>
      <w:r>
        <w:rPr>
          <w:rFonts w:hint="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sz w:val="21"/>
          <w:szCs w:val="21"/>
        </w:rPr>
        <w:br w:type="textWrapping"/>
      </w:r>
      <w:r>
        <w:rPr>
          <w:rFonts w:hint="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sz w:val="21"/>
          <w:szCs w:val="21"/>
        </w:rPr>
        <w:br w:type="textWrapping"/>
      </w:r>
      <w:r>
        <w:rPr>
          <w:rFonts w:hint="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sz w:val="21"/>
          <w:szCs w:val="21"/>
        </w:rPr>
        <w:br w:type="textWrapping"/>
      </w:r>
      <w:r>
        <w:rPr>
          <w:rFonts w:hint="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sz w:val="21"/>
          <w:szCs w:val="21"/>
        </w:rPr>
        <w:br w:type="textWrapping"/>
      </w:r>
      <w:r>
        <w:rPr>
          <w:rFonts w:hint="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sz w:val="21"/>
          <w:szCs w:val="21"/>
        </w:rPr>
        <w:br w:type="textWrapping"/>
      </w:r>
      <w:r>
        <w:rPr>
          <w:rFonts w:hint="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sz w:val="21"/>
          <w:szCs w:val="21"/>
        </w:rPr>
        <w:br w:type="textWrapping"/>
      </w:r>
      <w:r>
        <w:rPr>
          <w:rFonts w:hint="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sz w:val="21"/>
          <w:szCs w:val="21"/>
        </w:rPr>
        <w:br w:type="textWrapping"/>
      </w:r>
      <w:r>
        <w:rPr>
          <w:rFonts w:hint="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sz w:val="21"/>
          <w:szCs w:val="21"/>
        </w:rPr>
        <w:br w:type="textWrapping"/>
      </w:r>
      <w:r>
        <w:rPr>
          <w:rFonts w:hint="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sz w:val="21"/>
          <w:szCs w:val="21"/>
        </w:rPr>
        <w:br w:type="textWrapping"/>
      </w:r>
      <w:r>
        <w:rPr>
          <w:rFonts w:hint="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sz w:val="21"/>
          <w:szCs w:val="21"/>
        </w:rPr>
        <w:br w:type="textWrapping"/>
      </w:r>
      <w:r>
        <w:rPr>
          <w:rFonts w:hint="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sz w:val="21"/>
          <w:szCs w:val="21"/>
        </w:rPr>
        <w:br w:type="textWrapping"/>
      </w:r>
      <w:r>
        <w:rPr>
          <w:rFonts w:hint="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sz w:val="21"/>
          <w:szCs w:val="21"/>
        </w:rPr>
        <w:br w:type="textWrapping"/>
      </w:r>
      <w:r>
        <w:rPr>
          <w:rFonts w:hint="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sz w:val="21"/>
          <w:szCs w:val="21"/>
        </w:rPr>
        <w:br w:type="textWrapping"/>
      </w:r>
      <w:r>
        <w:rPr>
          <w:rFonts w:hint="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sz w:val="21"/>
          <w:szCs w:val="21"/>
        </w:rPr>
        <w:br w:type="textWrapping"/>
      </w:r>
      <w:r>
        <w:rPr>
          <w:rFonts w:hint="eastAsia"/>
          <w:sz w:val="21"/>
          <w:szCs w:val="21"/>
        </w:rPr>
        <w:t>　　（十六）其他未列明行业。从业人员300人以下的为中小微型企业。其中，从业人员100人及以上的为中型企业；从业人员10人及以上的为小型企业；从业人员10人以下的为微型企业。</w:t>
      </w:r>
      <w:r>
        <w:rPr>
          <w:rFonts w:hint="eastAsia"/>
          <w:sz w:val="21"/>
          <w:szCs w:val="21"/>
        </w:rPr>
        <w:br w:type="textWrapping"/>
      </w:r>
      <w:r>
        <w:rPr>
          <w:rFonts w:hint="eastAsia"/>
          <w:sz w:val="21"/>
          <w:szCs w:val="21"/>
        </w:rPr>
        <w:t>　　五、企业类型的划分以统计部门的统计数据为依据。</w:t>
      </w:r>
      <w:r>
        <w:rPr>
          <w:rFonts w:hint="eastAsia"/>
          <w:sz w:val="21"/>
          <w:szCs w:val="21"/>
        </w:rPr>
        <w:br w:type="textWrapping"/>
      </w:r>
      <w:r>
        <w:rPr>
          <w:rFonts w:hint="eastAsia"/>
          <w:sz w:val="21"/>
          <w:szCs w:val="21"/>
        </w:rPr>
        <w:t>　　六、本规定适用于在中华人民共和国境内依法设立的各类所有制和各种组织形式的企业。个体工商户和本规定以外的行业，参照本规定进行划型。</w:t>
      </w:r>
      <w:r>
        <w:rPr>
          <w:rFonts w:hint="eastAsia"/>
          <w:sz w:val="21"/>
          <w:szCs w:val="21"/>
        </w:rPr>
        <w:br w:type="textWrapping"/>
      </w:r>
      <w:r>
        <w:rPr>
          <w:rFonts w:hint="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sz w:val="21"/>
          <w:szCs w:val="21"/>
        </w:rPr>
        <w:br w:type="textWrapping"/>
      </w:r>
      <w:r>
        <w:rPr>
          <w:rFonts w:hint="eastAsia"/>
          <w:sz w:val="21"/>
          <w:szCs w:val="21"/>
        </w:rPr>
        <w:t>　　八、本规定由工业和信息化部、国家统计局会同有关部门根据《国民经济行业分类》修订情况和企业发展变化情况适时修订。</w:t>
      </w:r>
      <w:r>
        <w:rPr>
          <w:rFonts w:hint="eastAsia"/>
          <w:sz w:val="21"/>
          <w:szCs w:val="21"/>
        </w:rPr>
        <w:br w:type="textWrapping"/>
      </w:r>
      <w:r>
        <w:rPr>
          <w:rFonts w:hint="eastAsia"/>
          <w:sz w:val="21"/>
          <w:szCs w:val="21"/>
        </w:rPr>
        <w:t>　　九、本规定由工业和信息化部、国家统计局会同有关部门负责解释。</w:t>
      </w:r>
      <w:r>
        <w:rPr>
          <w:rFonts w:hint="eastAsia"/>
          <w:sz w:val="21"/>
          <w:szCs w:val="21"/>
        </w:rPr>
        <w:br w:type="textWrapping"/>
      </w:r>
      <w:r>
        <w:rPr>
          <w:rFonts w:hint="eastAsia"/>
          <w:sz w:val="21"/>
          <w:szCs w:val="21"/>
        </w:rPr>
        <w:t>　　十、本规定自发布之日起执行，原国家经贸委、原国家计委、财政部和国家统计局2003年颁布的《中小企业标准暂行规定》同时废止。</w:t>
      </w:r>
    </w:p>
    <w:p>
      <w:pPr>
        <w:rPr>
          <w:rFonts w:ascii="宋体" w:hAnsi="宋体" w:cs="宋体"/>
          <w:szCs w:val="21"/>
        </w:rPr>
      </w:pPr>
      <w:r>
        <w:rPr>
          <w:rFonts w:hint="eastAsia" w:ascii="宋体" w:hAnsi="宋体" w:cs="宋体"/>
          <w:szCs w:val="21"/>
        </w:rPr>
        <w:br w:type="page"/>
      </w:r>
    </w:p>
    <w:p>
      <w:pPr>
        <w:spacing w:line="375" w:lineRule="atLeast"/>
        <w:jc w:val="center"/>
        <w:rPr>
          <w:sz w:val="28"/>
          <w:szCs w:val="28"/>
        </w:rPr>
      </w:pPr>
      <w:r>
        <w:rPr>
          <w:rFonts w:hint="eastAsia" w:ascii="宋体" w:hAnsi="宋体" w:cs="宋体"/>
          <w:b/>
          <w:color w:val="333333"/>
          <w:kern w:val="0"/>
          <w:sz w:val="28"/>
          <w:szCs w:val="28"/>
          <w:lang w:bidi="ar"/>
        </w:rPr>
        <w:t>国家统计局关于印发《统计上大中小微型企业划分办法（</w:t>
      </w:r>
      <w:r>
        <w:rPr>
          <w:b/>
          <w:color w:val="333333"/>
          <w:kern w:val="0"/>
          <w:sz w:val="28"/>
          <w:szCs w:val="28"/>
          <w:lang w:bidi="ar"/>
        </w:rPr>
        <w:t>2017</w:t>
      </w:r>
      <w:r>
        <w:rPr>
          <w:rFonts w:hint="eastAsia" w:ascii="宋体" w:hAnsi="宋体" w:cs="宋体"/>
          <w:b/>
          <w:color w:val="333333"/>
          <w:kern w:val="0"/>
          <w:sz w:val="28"/>
          <w:szCs w:val="28"/>
          <w:lang w:bidi="ar"/>
        </w:rPr>
        <w:t>）》的通知</w:t>
      </w:r>
    </w:p>
    <w:p>
      <w:pPr>
        <w:pStyle w:val="27"/>
        <w:widowControl w:val="0"/>
        <w:spacing w:before="0" w:beforeAutospacing="0" w:after="0" w:afterAutospacing="0" w:line="440" w:lineRule="exact"/>
        <w:jc w:val="center"/>
        <w:rPr>
          <w:sz w:val="21"/>
          <w:szCs w:val="21"/>
        </w:rPr>
      </w:pPr>
      <w:r>
        <w:rPr>
          <w:rFonts w:hint="eastAsia"/>
          <w:sz w:val="21"/>
          <w:szCs w:val="21"/>
        </w:rPr>
        <w:t>国统字〔2017〕213号</w:t>
      </w:r>
    </w:p>
    <w:p>
      <w:pPr>
        <w:pStyle w:val="27"/>
        <w:widowControl w:val="0"/>
        <w:spacing w:before="0" w:beforeAutospacing="0" w:after="0" w:afterAutospacing="0" w:line="440" w:lineRule="exact"/>
        <w:rPr>
          <w:sz w:val="21"/>
          <w:szCs w:val="21"/>
        </w:rPr>
      </w:pPr>
      <w:r>
        <w:rPr>
          <w:rFonts w:hint="eastAsia"/>
          <w:sz w:val="21"/>
          <w:szCs w:val="21"/>
        </w:rPr>
        <w:t>各省、自治区、直辖市统计局，新疆生产建设兵团统计局，国务院各有关部门，国家统计局各调查总队：</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《国民经济行业分类》（</w:t>
      </w:r>
      <w:r>
        <w:rPr>
          <w:sz w:val="21"/>
          <w:szCs w:val="21"/>
        </w:rPr>
        <w:t>GB/T 4754</w:t>
      </w:r>
      <w:r>
        <w:rPr>
          <w:rFonts w:hint="eastAsia"/>
          <w:sz w:val="21"/>
          <w:szCs w:val="21"/>
        </w:rPr>
        <w:t>—</w:t>
      </w:r>
      <w:r>
        <w:rPr>
          <w:sz w:val="21"/>
          <w:szCs w:val="21"/>
        </w:rPr>
        <w:t>2017</w:t>
      </w:r>
      <w:r>
        <w:rPr>
          <w:rFonts w:hint="eastAsia"/>
          <w:sz w:val="21"/>
          <w:szCs w:val="21"/>
        </w:rPr>
        <w:t>）已正式实施，现对</w:t>
      </w:r>
      <w:r>
        <w:rPr>
          <w:sz w:val="21"/>
          <w:szCs w:val="21"/>
        </w:rPr>
        <w:t>2011</w:t>
      </w:r>
      <w:r>
        <w:rPr>
          <w:rFonts w:hint="eastAsia"/>
          <w:sz w:val="21"/>
          <w:szCs w:val="21"/>
        </w:rPr>
        <w:t>年制定的《统计上大中小微型企业划分办法》进行修订。本次修订保持原有的分类原则、方法、结构框架和适用范围，仅将所涉及的行业按照《国民经济行业分类》（</w:t>
      </w:r>
      <w:r>
        <w:rPr>
          <w:sz w:val="21"/>
          <w:szCs w:val="21"/>
        </w:rPr>
        <w:t>GB/T 4754</w:t>
      </w:r>
      <w:r>
        <w:rPr>
          <w:rFonts w:hint="eastAsia"/>
          <w:sz w:val="21"/>
          <w:szCs w:val="21"/>
        </w:rPr>
        <w:t>—</w:t>
      </w:r>
      <w:r>
        <w:rPr>
          <w:sz w:val="21"/>
          <w:szCs w:val="21"/>
        </w:rPr>
        <w:t>2011</w:t>
      </w:r>
      <w:r>
        <w:rPr>
          <w:rFonts w:hint="eastAsia"/>
          <w:sz w:val="21"/>
          <w:szCs w:val="21"/>
        </w:rPr>
        <w:t>）和《国民经济行业分类》（</w:t>
      </w:r>
      <w:r>
        <w:rPr>
          <w:sz w:val="21"/>
          <w:szCs w:val="21"/>
        </w:rPr>
        <w:t>GB/T 4754</w:t>
      </w:r>
      <w:r>
        <w:rPr>
          <w:rFonts w:hint="eastAsia"/>
          <w:sz w:val="21"/>
          <w:szCs w:val="21"/>
        </w:rPr>
        <w:t>—</w:t>
      </w:r>
      <w:r>
        <w:rPr>
          <w:sz w:val="21"/>
          <w:szCs w:val="21"/>
        </w:rPr>
        <w:t>2017</w:t>
      </w:r>
      <w:r>
        <w:rPr>
          <w:rFonts w:hint="eastAsia"/>
          <w:sz w:val="21"/>
          <w:szCs w:val="21"/>
        </w:rPr>
        <w:t>）的对应关系，进行相应调整，形成《统计上大中小微型企业划分办法（</w:t>
      </w:r>
      <w:r>
        <w:rPr>
          <w:sz w:val="21"/>
          <w:szCs w:val="21"/>
        </w:rPr>
        <w:t>2017</w:t>
      </w:r>
      <w:r>
        <w:rPr>
          <w:rFonts w:hint="eastAsia"/>
          <w:sz w:val="21"/>
          <w:szCs w:val="21"/>
        </w:rPr>
        <w:t>）》。现将《统计上大中小微型企业划分办法（</w:t>
      </w:r>
      <w:r>
        <w:rPr>
          <w:sz w:val="21"/>
          <w:szCs w:val="21"/>
        </w:rPr>
        <w:t>2017</w:t>
      </w:r>
      <w:r>
        <w:rPr>
          <w:rFonts w:hint="eastAsia"/>
          <w:sz w:val="21"/>
          <w:szCs w:val="21"/>
        </w:rPr>
        <w:t>）》印发给你们，请在统计工作中认真贯彻执行。</w:t>
      </w:r>
    </w:p>
    <w:p>
      <w:pPr>
        <w:pStyle w:val="27"/>
        <w:widowControl w:val="0"/>
        <w:spacing w:before="0" w:beforeAutospacing="0" w:after="0" w:afterAutospacing="0" w:line="440" w:lineRule="exact"/>
        <w:ind w:firstLine="420" w:firstLineChars="200"/>
        <w:rPr>
          <w:sz w:val="21"/>
          <w:szCs w:val="21"/>
        </w:rPr>
      </w:pPr>
      <w:r>
        <w:rPr>
          <w:sz w:val="21"/>
          <w:szCs w:val="21"/>
        </w:rPr>
        <w:t> </w:t>
      </w:r>
      <w:r>
        <w:rPr>
          <w:rFonts w:hint="eastAsia"/>
          <w:sz w:val="21"/>
          <w:szCs w:val="21"/>
        </w:rPr>
        <w:t>附件：《统计上大中小微型企业划分办法（</w:t>
      </w:r>
      <w:r>
        <w:rPr>
          <w:sz w:val="21"/>
          <w:szCs w:val="21"/>
        </w:rPr>
        <w:t>2017</w:t>
      </w:r>
      <w:r>
        <w:rPr>
          <w:rFonts w:hint="eastAsia"/>
          <w:sz w:val="21"/>
          <w:szCs w:val="21"/>
        </w:rPr>
        <w:t>）》修订说明</w:t>
      </w:r>
    </w:p>
    <w:p>
      <w:pPr>
        <w:pStyle w:val="27"/>
        <w:widowControl w:val="0"/>
        <w:spacing w:before="0" w:beforeAutospacing="0" w:after="0" w:afterAutospacing="0" w:line="440" w:lineRule="exact"/>
        <w:ind w:firstLine="420" w:firstLineChars="200"/>
        <w:jc w:val="right"/>
        <w:rPr>
          <w:sz w:val="21"/>
          <w:szCs w:val="21"/>
        </w:rPr>
      </w:pPr>
      <w:r>
        <w:rPr>
          <w:sz w:val="21"/>
          <w:szCs w:val="21"/>
        </w:rPr>
        <w:t> </w:t>
      </w:r>
    </w:p>
    <w:p>
      <w:pPr>
        <w:pStyle w:val="27"/>
        <w:widowControl w:val="0"/>
        <w:spacing w:before="0" w:beforeAutospacing="0" w:after="0" w:afterAutospacing="0" w:line="440" w:lineRule="exact"/>
        <w:ind w:firstLine="420" w:firstLineChars="200"/>
        <w:jc w:val="right"/>
        <w:rPr>
          <w:sz w:val="21"/>
          <w:szCs w:val="21"/>
        </w:rPr>
      </w:pPr>
      <w:r>
        <w:rPr>
          <w:rFonts w:hint="eastAsia"/>
          <w:sz w:val="21"/>
          <w:szCs w:val="21"/>
        </w:rPr>
        <w:t xml:space="preserve">国家统计局   </w:t>
      </w:r>
    </w:p>
    <w:p>
      <w:pPr>
        <w:pStyle w:val="27"/>
        <w:widowControl w:val="0"/>
        <w:spacing w:before="0" w:beforeAutospacing="0" w:after="0" w:afterAutospacing="0" w:line="440" w:lineRule="exact"/>
        <w:ind w:firstLine="420" w:firstLineChars="200"/>
        <w:jc w:val="right"/>
        <w:rPr>
          <w:sz w:val="21"/>
          <w:szCs w:val="21"/>
        </w:rPr>
      </w:pPr>
      <w:r>
        <w:rPr>
          <w:sz w:val="21"/>
          <w:szCs w:val="21"/>
        </w:rPr>
        <w:t>2017</w:t>
      </w:r>
      <w:r>
        <w:rPr>
          <w:rFonts w:hint="eastAsia"/>
          <w:sz w:val="21"/>
          <w:szCs w:val="21"/>
        </w:rPr>
        <w:t>年</w:t>
      </w:r>
      <w:r>
        <w:rPr>
          <w:sz w:val="21"/>
          <w:szCs w:val="21"/>
        </w:rPr>
        <w:t>12</w:t>
      </w:r>
      <w:r>
        <w:rPr>
          <w:rFonts w:hint="eastAsia"/>
          <w:sz w:val="21"/>
          <w:szCs w:val="21"/>
        </w:rPr>
        <w:t>月</w:t>
      </w:r>
      <w:r>
        <w:rPr>
          <w:sz w:val="21"/>
          <w:szCs w:val="21"/>
        </w:rPr>
        <w:t>28</w:t>
      </w:r>
      <w:r>
        <w:rPr>
          <w:rFonts w:hint="eastAsia"/>
          <w:sz w:val="21"/>
          <w:szCs w:val="21"/>
        </w:rPr>
        <w:t>日</w:t>
      </w:r>
    </w:p>
    <w:p>
      <w:pPr>
        <w:pStyle w:val="27"/>
        <w:widowControl w:val="0"/>
        <w:spacing w:before="0" w:beforeAutospacing="0" w:after="0" w:afterAutospacing="0" w:line="440" w:lineRule="exact"/>
        <w:jc w:val="center"/>
      </w:pPr>
      <w:r>
        <w:rPr>
          <w:rFonts w:hint="eastAsia"/>
          <w:b/>
          <w:color w:val="333333"/>
          <w:lang w:bidi="ar"/>
        </w:rPr>
        <w:t>统计上大中小微型企业划分办法（2017）</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一、根据工业和信息化部、国家统计局、国家发展改革委、财政部《关于印发中小企业划型标准规定的通知》（工信部联企业〔</w:t>
      </w:r>
      <w:r>
        <w:rPr>
          <w:sz w:val="21"/>
          <w:szCs w:val="21"/>
        </w:rPr>
        <w:t>2011</w:t>
      </w:r>
      <w:r>
        <w:rPr>
          <w:rFonts w:hint="eastAsia"/>
          <w:sz w:val="21"/>
          <w:szCs w:val="21"/>
        </w:rPr>
        <w:t>〕</w:t>
      </w:r>
      <w:r>
        <w:rPr>
          <w:sz w:val="21"/>
          <w:szCs w:val="21"/>
        </w:rPr>
        <w:t>300</w:t>
      </w:r>
      <w:r>
        <w:rPr>
          <w:rFonts w:hint="eastAsia"/>
          <w:sz w:val="21"/>
          <w:szCs w:val="21"/>
        </w:rPr>
        <w:t>号），以《国民经济行业分类》（</w:t>
      </w:r>
      <w:r>
        <w:rPr>
          <w:sz w:val="21"/>
          <w:szCs w:val="21"/>
        </w:rPr>
        <w:t>GB/T4754-2017</w:t>
      </w:r>
      <w:r>
        <w:rPr>
          <w:rFonts w:hint="eastAsia"/>
          <w:sz w:val="21"/>
          <w:szCs w:val="21"/>
        </w:rPr>
        <w:t>）为基础，结合统计工作的实际情况，制定本办法。</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二、本办法适用对象为在中华人民共和国境内依法设立的各种组织形式的法人企业或单位。个体工商户参照本办法进行划分。</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sz w:val="21"/>
          <w:szCs w:val="21"/>
        </w:rPr>
        <w:t>15</w:t>
      </w:r>
      <w:r>
        <w:rPr>
          <w:rFonts w:hint="eastAsia"/>
          <w:sz w:val="21"/>
          <w:szCs w:val="21"/>
        </w:rPr>
        <w:t>个行业门类以及社会工作行业大类。</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四、本办法按照行业门类、大类、中类和组合类别，依据从业人员、营业收入、资产总额等指标或替代指标，将我国的企业划分为大型、中型、小型、微型等四种类型。具体划分标准见附表。</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五、企业划分由政府综合统计部门根据统计年报每年确定一次，定报统计原则上不进行调整。</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六、本办法自印发之日起执行，国家统计局</w:t>
      </w:r>
      <w:r>
        <w:rPr>
          <w:sz w:val="21"/>
          <w:szCs w:val="21"/>
        </w:rPr>
        <w:t>2011</w:t>
      </w:r>
      <w:r>
        <w:rPr>
          <w:rFonts w:hint="eastAsia"/>
          <w:sz w:val="21"/>
          <w:szCs w:val="21"/>
        </w:rPr>
        <w:t>年印发的《统计上大中小微型企业划分办法》（国统字〔</w:t>
      </w:r>
      <w:r>
        <w:rPr>
          <w:sz w:val="21"/>
          <w:szCs w:val="21"/>
        </w:rPr>
        <w:t>2011</w:t>
      </w:r>
      <w:r>
        <w:rPr>
          <w:rFonts w:hint="eastAsia"/>
          <w:sz w:val="21"/>
          <w:szCs w:val="21"/>
        </w:rPr>
        <w:t>〕</w:t>
      </w:r>
      <w:r>
        <w:rPr>
          <w:sz w:val="21"/>
          <w:szCs w:val="21"/>
        </w:rPr>
        <w:t>75</w:t>
      </w:r>
      <w:r>
        <w:rPr>
          <w:rFonts w:hint="eastAsia"/>
          <w:sz w:val="21"/>
          <w:szCs w:val="21"/>
        </w:rPr>
        <w:t>号）同时废止。</w:t>
      </w:r>
    </w:p>
    <w:p>
      <w:pPr>
        <w:pStyle w:val="27"/>
        <w:widowControl w:val="0"/>
        <w:spacing w:before="0" w:beforeAutospacing="0" w:after="0" w:afterAutospacing="0" w:line="440" w:lineRule="exact"/>
        <w:ind w:firstLine="420" w:firstLineChars="200"/>
        <w:rPr>
          <w:sz w:val="21"/>
          <w:szCs w:val="21"/>
        </w:rPr>
      </w:pPr>
      <w:r>
        <w:rPr>
          <w:rFonts w:hint="eastAsia"/>
          <w:sz w:val="21"/>
          <w:szCs w:val="21"/>
        </w:rPr>
        <w:t>附表：统计上大中小微型企业划分标准</w:t>
      </w:r>
    </w:p>
    <w:p>
      <w:pPr>
        <w:pStyle w:val="27"/>
        <w:widowControl w:val="0"/>
        <w:spacing w:before="0" w:beforeAutospacing="0" w:after="0" w:afterAutospacing="0" w:line="440" w:lineRule="exact"/>
        <w:rPr>
          <w:sz w:val="21"/>
          <w:szCs w:val="21"/>
        </w:rPr>
      </w:pPr>
      <w:r>
        <w:rPr>
          <w:rFonts w:hint="eastAsia"/>
          <w:sz w:val="21"/>
          <w:szCs w:val="21"/>
        </w:rPr>
        <w:t>附表</w:t>
      </w:r>
    </w:p>
    <w:p>
      <w:pPr>
        <w:pStyle w:val="27"/>
        <w:widowControl w:val="0"/>
        <w:spacing w:before="0" w:beforeAutospacing="0" w:after="0" w:afterAutospacing="0" w:line="440" w:lineRule="exact"/>
        <w:ind w:firstLine="482" w:firstLineChars="200"/>
        <w:jc w:val="center"/>
        <w:rPr>
          <w:b/>
          <w:bCs/>
        </w:rPr>
      </w:pPr>
      <w:r>
        <w:rPr>
          <w:rFonts w:hint="eastAsia"/>
          <w:b/>
          <w:bCs/>
        </w:rPr>
        <w:t>统计上大中小微型企业划分标准</w:t>
      </w:r>
    </w:p>
    <w:tbl>
      <w:tblPr>
        <w:tblStyle w:val="3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1337"/>
        <w:gridCol w:w="692"/>
        <w:gridCol w:w="1099"/>
        <w:gridCol w:w="1661"/>
        <w:gridCol w:w="1393"/>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064" w:type="dxa"/>
            <w:tcBorders>
              <w:tl2br w:val="nil"/>
              <w:tr2bl w:val="nil"/>
            </w:tcBorders>
            <w:vAlign w:val="center"/>
          </w:tcPr>
          <w:p>
            <w:pPr>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行业名称</w:t>
            </w:r>
          </w:p>
        </w:tc>
        <w:tc>
          <w:tcPr>
            <w:tcW w:w="1337" w:type="dxa"/>
            <w:tcBorders>
              <w:tl2br w:val="nil"/>
              <w:tr2bl w:val="nil"/>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692" w:type="dxa"/>
            <w:tcBorders>
              <w:tl2br w:val="nil"/>
              <w:tr2bl w:val="nil"/>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099" w:type="dxa"/>
            <w:tcBorders>
              <w:tl2br w:val="nil"/>
              <w:tr2bl w:val="nil"/>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661" w:type="dxa"/>
            <w:tcBorders>
              <w:tl2br w:val="nil"/>
              <w:tr2bl w:val="nil"/>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393" w:type="dxa"/>
            <w:tcBorders>
              <w:tl2br w:val="nil"/>
              <w:tr2bl w:val="nil"/>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69" w:type="dxa"/>
            <w:tcBorders>
              <w:tl2br w:val="nil"/>
              <w:tr2bl w:val="nil"/>
            </w:tcBorders>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393" w:type="dxa"/>
            <w:tcBorders>
              <w:tl2br w:val="nil"/>
              <w:tr2bl w:val="nil"/>
            </w:tcBorders>
            <w:vAlign w:val="center"/>
          </w:tcPr>
          <w:p>
            <w:pPr>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393" w:type="dxa"/>
            <w:tcBorders>
              <w:tl2br w:val="nil"/>
              <w:tr2bl w:val="nil"/>
            </w:tcBorders>
            <w:vAlign w:val="center"/>
          </w:tcPr>
          <w:p>
            <w:pPr>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393" w:type="dxa"/>
            <w:tcBorders>
              <w:tl2br w:val="nil"/>
              <w:tr2bl w:val="nil"/>
            </w:tcBorders>
            <w:vAlign w:val="center"/>
          </w:tcPr>
          <w:p>
            <w:pPr>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661" w:type="dxa"/>
            <w:tcBorders>
              <w:tl2br w:val="nil"/>
              <w:tr2bl w:val="nil"/>
            </w:tcBorders>
            <w:vAlign w:val="center"/>
          </w:tcPr>
          <w:p>
            <w:pPr>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661" w:type="dxa"/>
            <w:tcBorders>
              <w:tl2br w:val="nil"/>
              <w:tr2bl w:val="nil"/>
            </w:tcBorders>
            <w:vAlign w:val="center"/>
          </w:tcPr>
          <w:p>
            <w:pPr>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661" w:type="dxa"/>
            <w:tcBorders>
              <w:tl2br w:val="nil"/>
              <w:tr2bl w:val="nil"/>
            </w:tcBorders>
            <w:vAlign w:val="center"/>
          </w:tcPr>
          <w:p>
            <w:pPr>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661" w:type="dxa"/>
            <w:tcBorders>
              <w:tl2br w:val="nil"/>
              <w:tr2bl w:val="nil"/>
            </w:tcBorders>
            <w:vAlign w:val="center"/>
          </w:tcPr>
          <w:p>
            <w:pPr>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64" w:type="dxa"/>
            <w:vMerge w:val="continue"/>
            <w:tcBorders>
              <w:tl2br w:val="nil"/>
              <w:tr2bl w:val="nil"/>
            </w:tcBorders>
            <w:vAlign w:val="center"/>
          </w:tcPr>
          <w:p>
            <w:pPr>
              <w:jc w:val="left"/>
              <w:rPr>
                <w:rFonts w:ascii="宋体" w:hAnsi="宋体" w:cs="宋体"/>
                <w:color w:val="000000"/>
                <w:spacing w:val="-12"/>
                <w:kern w:val="0"/>
                <w:sz w:val="18"/>
                <w:szCs w:val="18"/>
              </w:rPr>
            </w:pP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661" w:type="dxa"/>
            <w:tcBorders>
              <w:tl2br w:val="nil"/>
              <w:tr2bl w:val="nil"/>
            </w:tcBorders>
            <w:vAlign w:val="center"/>
          </w:tcPr>
          <w:p>
            <w:pPr>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64" w:type="dxa"/>
            <w:vMerge w:val="restart"/>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661" w:type="dxa"/>
            <w:tcBorders>
              <w:tl2br w:val="nil"/>
              <w:tr2bl w:val="nil"/>
            </w:tcBorders>
            <w:vAlign w:val="center"/>
          </w:tcPr>
          <w:p>
            <w:pPr>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064" w:type="dxa"/>
            <w:vMerge w:val="continue"/>
            <w:tcBorders>
              <w:tl2br w:val="nil"/>
              <w:tr2bl w:val="nil"/>
            </w:tcBorders>
            <w:vAlign w:val="center"/>
          </w:tcPr>
          <w:p>
            <w:pPr>
              <w:jc w:val="left"/>
              <w:rPr>
                <w:rFonts w:ascii="宋体" w:hAnsi="宋体" w:cs="宋体"/>
                <w:color w:val="000000"/>
                <w:kern w:val="0"/>
                <w:sz w:val="18"/>
                <w:szCs w:val="18"/>
              </w:rPr>
            </w:pPr>
          </w:p>
        </w:tc>
        <w:tc>
          <w:tcPr>
            <w:tcW w:w="1337" w:type="dxa"/>
            <w:tcBorders>
              <w:tl2br w:val="nil"/>
              <w:tr2bl w:val="nil"/>
            </w:tcBorders>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661"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4" w:type="dxa"/>
            <w:tcBorders>
              <w:tl2br w:val="nil"/>
              <w:tr2bl w:val="nil"/>
            </w:tcBorders>
            <w:vAlign w:val="center"/>
          </w:tcPr>
          <w:p>
            <w:pPr>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37"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692"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09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661" w:type="dxa"/>
            <w:tcBorders>
              <w:tl2br w:val="nil"/>
              <w:tr2bl w:val="nil"/>
            </w:tcBorders>
            <w:vAlign w:val="center"/>
          </w:tcPr>
          <w:p>
            <w:pPr>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393"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69" w:type="dxa"/>
            <w:tcBorders>
              <w:tl2br w:val="nil"/>
              <w:tr2bl w:val="nil"/>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pPr>
        <w:pStyle w:val="27"/>
        <w:widowControl w:val="0"/>
        <w:spacing w:before="0" w:beforeAutospacing="0" w:after="0" w:afterAutospacing="0" w:line="440" w:lineRule="exact"/>
        <w:ind w:firstLine="420" w:firstLineChars="200"/>
        <w:rPr>
          <w:sz w:val="21"/>
          <w:szCs w:val="21"/>
        </w:rPr>
      </w:pPr>
      <w:r>
        <w:rPr>
          <w:rFonts w:hint="eastAsia"/>
          <w:sz w:val="21"/>
          <w:szCs w:val="21"/>
        </w:rPr>
        <w:t>说明：</w:t>
      </w:r>
    </w:p>
    <w:p>
      <w:pPr>
        <w:pStyle w:val="27"/>
        <w:widowControl w:val="0"/>
        <w:spacing w:before="0" w:beforeAutospacing="0" w:after="0" w:afterAutospacing="0" w:line="440" w:lineRule="exact"/>
        <w:ind w:firstLine="420" w:firstLineChars="200"/>
        <w:rPr>
          <w:sz w:val="21"/>
          <w:szCs w:val="21"/>
        </w:rPr>
      </w:pPr>
      <w:r>
        <w:rPr>
          <w:rFonts w:hint="eastAsia"/>
          <w:sz w:val="21"/>
          <w:szCs w:val="21"/>
        </w:rPr>
        <w:t>1.大型、中型和小型企业须同时满足所列指标的下限，否则下划一档；微型企业只须满足所列指标中的一项即可。</w:t>
      </w:r>
    </w:p>
    <w:p>
      <w:pPr>
        <w:pStyle w:val="27"/>
        <w:widowControl w:val="0"/>
        <w:spacing w:before="0" w:beforeAutospacing="0" w:after="0" w:afterAutospacing="0" w:line="440" w:lineRule="exact"/>
        <w:ind w:firstLine="420" w:firstLineChars="200"/>
        <w:rPr>
          <w:sz w:val="21"/>
          <w:szCs w:val="21"/>
        </w:rPr>
      </w:pPr>
      <w:r>
        <w:rPr>
          <w:rFonts w:hint="eastAsia"/>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 w:val="21"/>
          <w:szCs w:val="21"/>
          <w:lang w:eastAsia="zh-CN"/>
        </w:rPr>
        <w:t>；</w:t>
      </w:r>
      <w:r>
        <w:rPr>
          <w:rFonts w:hint="eastAsia"/>
          <w:sz w:val="21"/>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27"/>
        <w:widowControl w:val="0"/>
        <w:spacing w:before="0" w:beforeAutospacing="0" w:after="0" w:afterAutospacing="0" w:line="440" w:lineRule="exact"/>
        <w:ind w:firstLine="420" w:firstLineChars="200"/>
        <w:rPr>
          <w:sz w:val="21"/>
          <w:szCs w:val="21"/>
        </w:rPr>
      </w:pPr>
      <w:r>
        <w:rPr>
          <w:rFonts w:hint="eastAsia"/>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
      <w:pPr>
        <w:rPr>
          <w:rFonts w:ascii="宋体" w:hAnsi="宋体" w:cs="宋体"/>
          <w:szCs w:val="21"/>
        </w:rPr>
      </w:pPr>
      <w:r>
        <w:rPr>
          <w:rFonts w:hint="eastAsia" w:ascii="宋体" w:hAnsi="宋体" w:cs="宋体"/>
          <w:szCs w:val="21"/>
        </w:rPr>
        <w:br w:type="page"/>
      </w:r>
    </w:p>
    <w:p>
      <w:pPr>
        <w:pStyle w:val="27"/>
        <w:widowControl w:val="0"/>
        <w:spacing w:before="0" w:beforeAutospacing="0" w:after="0" w:afterAutospacing="0" w:line="440" w:lineRule="exact"/>
        <w:rPr>
          <w:sz w:val="21"/>
          <w:szCs w:val="21"/>
        </w:rPr>
      </w:pPr>
      <w:r>
        <w:rPr>
          <w:rFonts w:hint="eastAsia"/>
          <w:sz w:val="21"/>
          <w:szCs w:val="21"/>
        </w:rPr>
        <w:t>附件</w:t>
      </w:r>
    </w:p>
    <w:p>
      <w:pPr>
        <w:pStyle w:val="27"/>
        <w:widowControl w:val="0"/>
        <w:spacing w:before="0" w:beforeAutospacing="0" w:after="0" w:afterAutospacing="0" w:line="440" w:lineRule="exact"/>
        <w:ind w:firstLine="482" w:firstLineChars="200"/>
        <w:jc w:val="center"/>
        <w:rPr>
          <w:b/>
          <w:bCs/>
        </w:rPr>
      </w:pPr>
      <w:r>
        <w:rPr>
          <w:rFonts w:hint="eastAsia"/>
          <w:b/>
          <w:bCs/>
        </w:rPr>
        <w:t>《统计上大中小微型企业划分办法（2017）》修订说明</w:t>
      </w:r>
    </w:p>
    <w:p>
      <w:pPr>
        <w:pStyle w:val="27"/>
        <w:widowControl w:val="0"/>
        <w:spacing w:before="0" w:beforeAutospacing="0" w:after="0" w:afterAutospacing="0" w:line="440" w:lineRule="exact"/>
        <w:ind w:firstLine="420" w:firstLineChars="200"/>
        <w:rPr>
          <w:sz w:val="21"/>
          <w:szCs w:val="21"/>
        </w:rPr>
      </w:pPr>
    </w:p>
    <w:p>
      <w:pPr>
        <w:pStyle w:val="27"/>
        <w:widowControl w:val="0"/>
        <w:spacing w:before="0" w:beforeAutospacing="0" w:after="0" w:afterAutospacing="0" w:line="440" w:lineRule="exact"/>
        <w:ind w:firstLine="422" w:firstLineChars="200"/>
        <w:rPr>
          <w:b/>
          <w:bCs/>
          <w:sz w:val="21"/>
          <w:szCs w:val="21"/>
        </w:rPr>
      </w:pPr>
      <w:r>
        <w:rPr>
          <w:rFonts w:hint="eastAsia"/>
          <w:b/>
          <w:bCs/>
          <w:sz w:val="21"/>
          <w:szCs w:val="21"/>
        </w:rPr>
        <w:t>一、修订背景</w:t>
      </w:r>
    </w:p>
    <w:p>
      <w:pPr>
        <w:pStyle w:val="27"/>
        <w:widowControl w:val="0"/>
        <w:spacing w:before="0" w:beforeAutospacing="0" w:after="0" w:afterAutospacing="0" w:line="440" w:lineRule="exact"/>
        <w:ind w:firstLine="420" w:firstLineChars="200"/>
        <w:rPr>
          <w:sz w:val="21"/>
          <w:szCs w:val="21"/>
        </w:rPr>
      </w:pPr>
      <w:r>
        <w:rPr>
          <w:rFonts w:hint="eastAsia"/>
          <w:sz w:val="21"/>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pPr>
        <w:pStyle w:val="27"/>
        <w:widowControl w:val="0"/>
        <w:spacing w:before="0" w:beforeAutospacing="0" w:after="0" w:afterAutospacing="0" w:line="440" w:lineRule="exact"/>
        <w:ind w:firstLine="420" w:firstLineChars="200"/>
        <w:rPr>
          <w:sz w:val="21"/>
          <w:szCs w:val="21"/>
        </w:rPr>
      </w:pPr>
      <w:r>
        <w:rPr>
          <w:rFonts w:hint="eastAsia"/>
          <w:sz w:val="21"/>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pPr>
        <w:pStyle w:val="27"/>
        <w:widowControl w:val="0"/>
        <w:spacing w:before="0" w:beforeAutospacing="0" w:after="0" w:afterAutospacing="0" w:line="440" w:lineRule="exact"/>
        <w:ind w:firstLine="422" w:firstLineChars="200"/>
        <w:rPr>
          <w:b/>
          <w:bCs/>
          <w:sz w:val="21"/>
          <w:szCs w:val="21"/>
        </w:rPr>
      </w:pPr>
      <w:r>
        <w:rPr>
          <w:rFonts w:hint="eastAsia"/>
          <w:b/>
          <w:bCs/>
          <w:sz w:val="21"/>
          <w:szCs w:val="21"/>
        </w:rPr>
        <w:t>二、修订主要内容</w:t>
      </w:r>
    </w:p>
    <w:p>
      <w:pPr>
        <w:pStyle w:val="27"/>
        <w:widowControl w:val="0"/>
        <w:spacing w:before="0" w:beforeAutospacing="0" w:after="0" w:afterAutospacing="0" w:line="440" w:lineRule="exact"/>
        <w:ind w:firstLine="420" w:firstLineChars="200"/>
        <w:rPr>
          <w:sz w:val="21"/>
          <w:szCs w:val="21"/>
        </w:rPr>
      </w:pPr>
      <w:r>
        <w:rPr>
          <w:rFonts w:hint="eastAsia"/>
          <w:sz w:val="21"/>
          <w:szCs w:val="21"/>
        </w:rPr>
        <w:t>本次修订是在2011年《统计上大中小微型企业划分办法》基础上进行的，修订延续原有的分类原则、方法和结构框架，在保持适用范围不变的情况下</w:t>
      </w:r>
      <w:r>
        <w:rPr>
          <w:rFonts w:hint="eastAsia"/>
          <w:sz w:val="21"/>
          <w:szCs w:val="21"/>
          <w:lang w:eastAsia="zh-CN"/>
        </w:rPr>
        <w:t>，</w:t>
      </w:r>
      <w:r>
        <w:rPr>
          <w:rFonts w:hint="eastAsia"/>
          <w:sz w:val="21"/>
          <w:szCs w:val="21"/>
        </w:rPr>
        <w:t>依据标准由《国民经济行业分类》（GB/T 4754—2011）修改为《国民经济行业分类》（GB/T 4754—2017），并根据新旧国民经济行业的对应关系，进行了行业所包含类别的对应调整。</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将交通运输业中包括的“装卸搬运和运输代理业”修改为“多式联运和运输代理业、装卸搬运”。</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仓储业所包括的行业</w:t>
      </w:r>
      <w:r>
        <w:rPr>
          <w:rFonts w:hint="eastAsia"/>
          <w:sz w:val="21"/>
          <w:szCs w:val="21"/>
          <w:lang w:val="en-US" w:eastAsia="zh-CN"/>
        </w:rPr>
        <w:t>种类</w:t>
      </w:r>
      <w:r>
        <w:rPr>
          <w:rFonts w:hint="eastAsia"/>
          <w:sz w:val="21"/>
          <w:szCs w:val="21"/>
        </w:rPr>
        <w:t>，根据《国民经济行业分类》（GB/T 4754—2017）调整为“通用仓储，低温仓储，危险品仓储，谷物、棉花等农产品仓储，中药材仓储和其他仓储业”。</w:t>
      </w:r>
    </w:p>
    <w:p>
      <w:pPr>
        <w:rPr>
          <w:rFonts w:ascii="宋体" w:hAnsi="宋体" w:cs="宋体"/>
          <w:szCs w:val="21"/>
        </w:rPr>
      </w:pPr>
      <w:r>
        <w:rPr>
          <w:rFonts w:hint="eastAsia" w:ascii="宋体" w:hAnsi="宋体" w:cs="宋体"/>
          <w:szCs w:val="21"/>
        </w:rPr>
        <w:br w:type="page"/>
      </w:r>
    </w:p>
    <w:p>
      <w:pPr>
        <w:pStyle w:val="27"/>
        <w:widowControl w:val="0"/>
        <w:spacing w:before="0" w:beforeAutospacing="0" w:after="0" w:afterAutospacing="0" w:line="440" w:lineRule="exact"/>
        <w:jc w:val="center"/>
        <w:rPr>
          <w:sz w:val="21"/>
          <w:szCs w:val="21"/>
        </w:rPr>
      </w:pPr>
      <w:r>
        <w:rPr>
          <w:rFonts w:hint="eastAsia"/>
          <w:b/>
          <w:bCs/>
          <w:sz w:val="28"/>
          <w:szCs w:val="28"/>
        </w:rPr>
        <w:t>关于促进残疾人就业政府采购政策的通知</w:t>
      </w:r>
      <w:r>
        <w:rPr>
          <w:rFonts w:hint="eastAsia"/>
          <w:b/>
          <w:bCs/>
          <w:sz w:val="28"/>
          <w:szCs w:val="28"/>
        </w:rPr>
        <w:br w:type="textWrapping"/>
      </w:r>
      <w:r>
        <w:rPr>
          <w:rFonts w:hint="eastAsia"/>
          <w:sz w:val="21"/>
          <w:szCs w:val="21"/>
        </w:rPr>
        <w:t>财库〔2017〕141号</w:t>
      </w:r>
    </w:p>
    <w:p>
      <w:pPr>
        <w:pStyle w:val="27"/>
        <w:widowControl w:val="0"/>
        <w:spacing w:before="0" w:beforeAutospacing="0" w:after="0" w:afterAutospacing="0" w:line="440" w:lineRule="exact"/>
        <w:ind w:firstLine="420" w:firstLineChars="200"/>
        <w:rPr>
          <w:sz w:val="21"/>
          <w:szCs w:val="21"/>
        </w:rPr>
      </w:pPr>
    </w:p>
    <w:p>
      <w:pPr>
        <w:pStyle w:val="27"/>
        <w:widowControl w:val="0"/>
        <w:spacing w:before="0" w:beforeAutospacing="0" w:after="0" w:afterAutospacing="0" w:line="440" w:lineRule="exact"/>
        <w:rPr>
          <w:sz w:val="21"/>
          <w:szCs w:val="21"/>
        </w:rPr>
      </w:pPr>
      <w:r>
        <w:rPr>
          <w:rFonts w:hint="eastAsia"/>
          <w:sz w:val="21"/>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为了发挥政府采购促进残疾人就业的作用，进一步保障残疾人权益，依照《政府采购法》、《残疾人保障法》等法律法规及相关规定，现就促进残疾人就业政府采购政策通知如下：</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一、享受政府采购支持政策的残疾人福利性单位应当同时满足以下条件：</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（一）安置的残疾人占本单位在职职工人数的比例不低于25%（含25%），并且安置的残疾人人数不少于10人（含10人）；</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（二）依法与安置的每位残疾人签订了一年以上（含一年）的劳动合同或服务协议；</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（三）为安置的每位残疾人按月足额缴纳了基本养老保险、基本医疗保险、失业保险、工伤保险和生育保险等社会保险费；</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（四）通过银行等金融机构向安置的每位残疾人，按月支付了不低于单位所在区县适用的经省级人民政府批准的月最低工资标准的工资；</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（五）提供本单位制造的货物、承担的工程或者服务（以下简称产品），或者提供其他残疾人福利性单位制造的货物（不包括使用非残疾人福利性单位注册商标的货物）。</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27"/>
        <w:widowControl w:val="0"/>
        <w:spacing w:before="0" w:beforeAutospacing="0" w:after="0" w:afterAutospacing="0" w:line="440" w:lineRule="exact"/>
        <w:ind w:firstLine="420" w:firstLineChars="200"/>
        <w:rPr>
          <w:sz w:val="21"/>
          <w:szCs w:val="21"/>
        </w:rPr>
      </w:pPr>
      <w:r>
        <w:rPr>
          <w:rFonts w:hint="eastAsia"/>
          <w:sz w:val="21"/>
          <w:szCs w:val="21"/>
        </w:rPr>
        <w:t>成交、成交供应商为残疾人福利性单位的，采购人或者其委托的采购代理机构应当随成交、成交结果同时公告其《残疾人福利性单位声明函》，接受社会监督。</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供应商提供的《残疾人福利性单位声明函》与事实不符的，依照《政府采购法》第七十七条第一款的规定追究法律责任。</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四、采购人采购公开招标数额标准以上的货物或者服务，因落实促进残疾人就业政策的需要，依法履行有关报批程序后，可采用公开招标以外的采购方式。</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27"/>
        <w:widowControl w:val="0"/>
        <w:spacing w:before="0" w:beforeAutospacing="0" w:after="0" w:afterAutospacing="0" w:line="440" w:lineRule="exact"/>
        <w:ind w:firstLine="420" w:firstLineChars="200"/>
        <w:rPr>
          <w:sz w:val="21"/>
          <w:szCs w:val="21"/>
        </w:rPr>
      </w:pPr>
      <w:r>
        <w:rPr>
          <w:rFonts w:hint="eastAsia"/>
          <w:sz w:val="21"/>
          <w:szCs w:val="2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27"/>
        <w:widowControl w:val="0"/>
        <w:spacing w:before="0" w:beforeAutospacing="0" w:after="0" w:afterAutospacing="0" w:line="440" w:lineRule="exact"/>
        <w:ind w:firstLine="420" w:firstLineChars="200"/>
        <w:rPr>
          <w:sz w:val="21"/>
          <w:szCs w:val="21"/>
        </w:rPr>
      </w:pPr>
      <w:r>
        <w:rPr>
          <w:rFonts w:hint="eastAsia"/>
          <w:sz w:val="21"/>
          <w:szCs w:val="21"/>
        </w:rPr>
        <w:t>七、本通知自2017年10月1日起执行。</w:t>
      </w:r>
    </w:p>
    <w:p>
      <w:pPr>
        <w:pStyle w:val="27"/>
        <w:widowControl w:val="0"/>
        <w:spacing w:before="0" w:beforeAutospacing="0" w:after="0" w:afterAutospacing="0" w:line="440" w:lineRule="exact"/>
        <w:ind w:firstLine="420" w:firstLineChars="200"/>
        <w:rPr>
          <w:sz w:val="21"/>
          <w:szCs w:val="21"/>
        </w:rPr>
      </w:pPr>
      <w:r>
        <w:rPr>
          <w:rFonts w:hint="eastAsia"/>
          <w:sz w:val="21"/>
          <w:szCs w:val="21"/>
        </w:rPr>
        <w:t>附件：</w:t>
      </w:r>
      <w:r>
        <w:fldChar w:fldCharType="begin"/>
      </w:r>
      <w:r>
        <w:instrText xml:space="preserve"> HYPERLINK "http://www.gov.cn/xinwen/2017-09/02/5222181/files/f1ba446ff1d041aab7b557a51912d058.docx" \t "http://www.gov.cn/xinwen/2017-09/02/_blank" </w:instrText>
      </w:r>
      <w:r>
        <w:fldChar w:fldCharType="separate"/>
      </w:r>
      <w:r>
        <w:rPr>
          <w:rFonts w:hint="eastAsia"/>
          <w:sz w:val="21"/>
          <w:szCs w:val="21"/>
        </w:rPr>
        <w:t>残疾人福利性单位声明函</w:t>
      </w:r>
      <w:r>
        <w:rPr>
          <w:rFonts w:hint="eastAsia"/>
          <w:sz w:val="21"/>
          <w:szCs w:val="21"/>
        </w:rPr>
        <w:fldChar w:fldCharType="end"/>
      </w:r>
    </w:p>
    <w:p>
      <w:pPr>
        <w:pStyle w:val="27"/>
        <w:widowControl w:val="0"/>
        <w:spacing w:before="0" w:beforeAutospacing="0" w:after="0" w:afterAutospacing="0" w:line="440" w:lineRule="exact"/>
        <w:ind w:firstLine="420" w:firstLineChars="200"/>
        <w:rPr>
          <w:sz w:val="21"/>
          <w:szCs w:val="21"/>
        </w:rPr>
      </w:pPr>
    </w:p>
    <w:p>
      <w:pPr>
        <w:pStyle w:val="27"/>
        <w:widowControl w:val="0"/>
        <w:spacing w:before="0" w:beforeAutospacing="0" w:after="0" w:afterAutospacing="0" w:line="440" w:lineRule="exact"/>
        <w:ind w:firstLine="420" w:firstLineChars="200"/>
        <w:jc w:val="right"/>
        <w:rPr>
          <w:sz w:val="21"/>
          <w:szCs w:val="21"/>
        </w:rPr>
      </w:pPr>
      <w:r>
        <w:rPr>
          <w:rFonts w:hint="eastAsia"/>
          <w:sz w:val="21"/>
          <w:szCs w:val="21"/>
        </w:rPr>
        <w:t>财政部 民政部 中国残疾人联合会</w:t>
      </w:r>
      <w:r>
        <w:rPr>
          <w:rFonts w:hint="eastAsia"/>
          <w:sz w:val="21"/>
          <w:szCs w:val="21"/>
        </w:rPr>
        <w:br w:type="textWrapping"/>
      </w:r>
      <w:r>
        <w:rPr>
          <w:rFonts w:hint="eastAsia"/>
          <w:sz w:val="21"/>
          <w:szCs w:val="21"/>
        </w:rPr>
        <w:t>2017年8月22日</w:t>
      </w:r>
    </w:p>
    <w:p>
      <w:pPr>
        <w:pStyle w:val="27"/>
        <w:widowControl w:val="0"/>
        <w:spacing w:before="0" w:beforeAutospacing="0" w:after="0" w:afterAutospacing="0" w:line="440" w:lineRule="exact"/>
        <w:ind w:firstLine="420" w:firstLineChars="200"/>
        <w:rPr>
          <w:sz w:val="21"/>
          <w:szCs w:val="21"/>
        </w:rPr>
      </w:pPr>
    </w:p>
    <w:p>
      <w:pPr>
        <w:pStyle w:val="27"/>
        <w:widowControl w:val="0"/>
        <w:spacing w:before="0" w:beforeAutospacing="0" w:after="0" w:afterAutospacing="0" w:line="440" w:lineRule="exact"/>
        <w:ind w:firstLine="420" w:firstLineChars="200"/>
        <w:rPr>
          <w:sz w:val="21"/>
          <w:szCs w:val="21"/>
        </w:rPr>
      </w:pPr>
    </w:p>
    <w:p>
      <w:pPr>
        <w:spacing w:line="360" w:lineRule="exact"/>
        <w:rPr>
          <w:rFonts w:ascii="宋体" w:hAnsi="宋体"/>
          <w:bCs/>
          <w:color w:val="000000"/>
          <w:szCs w:val="21"/>
        </w:rPr>
      </w:pPr>
    </w:p>
    <w:p>
      <w:pPr>
        <w:spacing w:line="360" w:lineRule="exact"/>
        <w:rPr>
          <w:rFonts w:ascii="宋体" w:hAnsi="宋体"/>
          <w:bCs/>
          <w:color w:val="000000"/>
          <w:szCs w:val="21"/>
        </w:rPr>
      </w:pPr>
    </w:p>
    <w:sectPr>
      <w:headerReference r:id="rId3" w:type="default"/>
      <w:footerReference r:id="rId4" w:type="default"/>
      <w:footerReference r:id="rId5" w:type="even"/>
      <w:pgSz w:w="11907" w:h="16840"/>
      <w:pgMar w:top="1843" w:right="1349" w:bottom="1383" w:left="1559" w:header="851" w:footer="992" w:gutter="0"/>
      <w:pgNumType w:start="0"/>
      <w:cols w:space="425" w:num="1"/>
      <w:titlePg/>
      <w:docGrid w:type="lines" w:linePitch="5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46</w:t>
    </w:r>
    <w:r>
      <w:rPr>
        <w:rStyle w:val="35"/>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rPr>
        <w:rStyle w:val="35"/>
      </w:rPr>
      <w:fldChar w:fldCharType="begin"/>
    </w:r>
    <w:r>
      <w:rPr>
        <w:rStyle w:val="35"/>
      </w:rPr>
      <w:instrText xml:space="preserve">PAGE  </w:instrText>
    </w:r>
    <w:r>
      <w:rPr>
        <w:rStyle w:val="35"/>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rPr>
        <w:rFonts w:hint="eastAsia"/>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023FE"/>
    <w:multiLevelType w:val="singleLevel"/>
    <w:tmpl w:val="FDE023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HorizontalSpacing w:val="105"/>
  <w:drawingGridVerticalSpacing w:val="25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NWIxZTg3YzE0MjE3OTJmNGVkZjY2MjNjZjJlNzcifQ=="/>
  </w:docVars>
  <w:rsids>
    <w:rsidRoot w:val="00DF1684"/>
    <w:rsid w:val="000020BE"/>
    <w:rsid w:val="0000256C"/>
    <w:rsid w:val="000033E5"/>
    <w:rsid w:val="00004268"/>
    <w:rsid w:val="00010AC3"/>
    <w:rsid w:val="00011F8E"/>
    <w:rsid w:val="0001217C"/>
    <w:rsid w:val="00012C07"/>
    <w:rsid w:val="00016020"/>
    <w:rsid w:val="000177A7"/>
    <w:rsid w:val="00020E4D"/>
    <w:rsid w:val="00021874"/>
    <w:rsid w:val="00021893"/>
    <w:rsid w:val="0002366F"/>
    <w:rsid w:val="0003282A"/>
    <w:rsid w:val="00032AB8"/>
    <w:rsid w:val="00032BA7"/>
    <w:rsid w:val="000331CF"/>
    <w:rsid w:val="00033503"/>
    <w:rsid w:val="00033C86"/>
    <w:rsid w:val="00033D1D"/>
    <w:rsid w:val="000353F2"/>
    <w:rsid w:val="00037470"/>
    <w:rsid w:val="00040529"/>
    <w:rsid w:val="00040C30"/>
    <w:rsid w:val="0004199F"/>
    <w:rsid w:val="00043F5B"/>
    <w:rsid w:val="00043F60"/>
    <w:rsid w:val="00044732"/>
    <w:rsid w:val="00046C10"/>
    <w:rsid w:val="00047D30"/>
    <w:rsid w:val="000514F0"/>
    <w:rsid w:val="00054847"/>
    <w:rsid w:val="00054DC8"/>
    <w:rsid w:val="0005547A"/>
    <w:rsid w:val="000558E3"/>
    <w:rsid w:val="00056C53"/>
    <w:rsid w:val="0006126B"/>
    <w:rsid w:val="00063B39"/>
    <w:rsid w:val="00063CF5"/>
    <w:rsid w:val="000645BB"/>
    <w:rsid w:val="00064BB5"/>
    <w:rsid w:val="00065589"/>
    <w:rsid w:val="000674EF"/>
    <w:rsid w:val="00067A78"/>
    <w:rsid w:val="00067D9C"/>
    <w:rsid w:val="00071FBC"/>
    <w:rsid w:val="000721F3"/>
    <w:rsid w:val="000731B4"/>
    <w:rsid w:val="00074845"/>
    <w:rsid w:val="000750AB"/>
    <w:rsid w:val="00076A8A"/>
    <w:rsid w:val="00080C04"/>
    <w:rsid w:val="000815EE"/>
    <w:rsid w:val="000819D0"/>
    <w:rsid w:val="00082643"/>
    <w:rsid w:val="000829BC"/>
    <w:rsid w:val="00086D50"/>
    <w:rsid w:val="000917CB"/>
    <w:rsid w:val="000935DE"/>
    <w:rsid w:val="00093EBF"/>
    <w:rsid w:val="00094336"/>
    <w:rsid w:val="000943BC"/>
    <w:rsid w:val="00094C0D"/>
    <w:rsid w:val="00094CEB"/>
    <w:rsid w:val="0009508A"/>
    <w:rsid w:val="000965A3"/>
    <w:rsid w:val="000A336F"/>
    <w:rsid w:val="000A3C6B"/>
    <w:rsid w:val="000A47C2"/>
    <w:rsid w:val="000A60E9"/>
    <w:rsid w:val="000A66D6"/>
    <w:rsid w:val="000B0127"/>
    <w:rsid w:val="000B20F4"/>
    <w:rsid w:val="000B2CB4"/>
    <w:rsid w:val="000B3A28"/>
    <w:rsid w:val="000B4250"/>
    <w:rsid w:val="000B4336"/>
    <w:rsid w:val="000B5538"/>
    <w:rsid w:val="000B60B5"/>
    <w:rsid w:val="000B6B7D"/>
    <w:rsid w:val="000B6BDA"/>
    <w:rsid w:val="000C009A"/>
    <w:rsid w:val="000C00F7"/>
    <w:rsid w:val="000C0C06"/>
    <w:rsid w:val="000C12B1"/>
    <w:rsid w:val="000C2207"/>
    <w:rsid w:val="000C3101"/>
    <w:rsid w:val="000C3520"/>
    <w:rsid w:val="000C4E36"/>
    <w:rsid w:val="000D0391"/>
    <w:rsid w:val="000D1DC7"/>
    <w:rsid w:val="000D2627"/>
    <w:rsid w:val="000D2640"/>
    <w:rsid w:val="000D30E2"/>
    <w:rsid w:val="000D3714"/>
    <w:rsid w:val="000D4ACF"/>
    <w:rsid w:val="000D5759"/>
    <w:rsid w:val="000E064F"/>
    <w:rsid w:val="000E088E"/>
    <w:rsid w:val="000E3A46"/>
    <w:rsid w:val="000E3B54"/>
    <w:rsid w:val="000E4965"/>
    <w:rsid w:val="000E537F"/>
    <w:rsid w:val="000E7353"/>
    <w:rsid w:val="000E7E70"/>
    <w:rsid w:val="000E7E7D"/>
    <w:rsid w:val="000F13F6"/>
    <w:rsid w:val="000F21D0"/>
    <w:rsid w:val="000F2235"/>
    <w:rsid w:val="000F27D4"/>
    <w:rsid w:val="000F2FC4"/>
    <w:rsid w:val="000F5D13"/>
    <w:rsid w:val="001015BF"/>
    <w:rsid w:val="00101BF0"/>
    <w:rsid w:val="00104371"/>
    <w:rsid w:val="00105BC3"/>
    <w:rsid w:val="00107DB8"/>
    <w:rsid w:val="00112921"/>
    <w:rsid w:val="00113319"/>
    <w:rsid w:val="00114B79"/>
    <w:rsid w:val="00115249"/>
    <w:rsid w:val="00117651"/>
    <w:rsid w:val="00123976"/>
    <w:rsid w:val="00124031"/>
    <w:rsid w:val="001243E8"/>
    <w:rsid w:val="00124872"/>
    <w:rsid w:val="00125578"/>
    <w:rsid w:val="00125E66"/>
    <w:rsid w:val="00127643"/>
    <w:rsid w:val="00127AD1"/>
    <w:rsid w:val="001328B5"/>
    <w:rsid w:val="001338D0"/>
    <w:rsid w:val="00135916"/>
    <w:rsid w:val="00136B63"/>
    <w:rsid w:val="00136CC4"/>
    <w:rsid w:val="00140B72"/>
    <w:rsid w:val="00140B79"/>
    <w:rsid w:val="00143C38"/>
    <w:rsid w:val="00143FD1"/>
    <w:rsid w:val="00144CC1"/>
    <w:rsid w:val="00146E95"/>
    <w:rsid w:val="001504B5"/>
    <w:rsid w:val="00155F98"/>
    <w:rsid w:val="001566D9"/>
    <w:rsid w:val="00156E50"/>
    <w:rsid w:val="0016119B"/>
    <w:rsid w:val="0016270F"/>
    <w:rsid w:val="001634C6"/>
    <w:rsid w:val="0016392C"/>
    <w:rsid w:val="001647FD"/>
    <w:rsid w:val="0016488C"/>
    <w:rsid w:val="00164ED7"/>
    <w:rsid w:val="00165C39"/>
    <w:rsid w:val="00171D0D"/>
    <w:rsid w:val="00174EA9"/>
    <w:rsid w:val="0017536F"/>
    <w:rsid w:val="0017626D"/>
    <w:rsid w:val="00180BD0"/>
    <w:rsid w:val="001815FD"/>
    <w:rsid w:val="00181FA4"/>
    <w:rsid w:val="001866D6"/>
    <w:rsid w:val="0019052B"/>
    <w:rsid w:val="00191632"/>
    <w:rsid w:val="001921F6"/>
    <w:rsid w:val="001936E1"/>
    <w:rsid w:val="00194BC7"/>
    <w:rsid w:val="00195418"/>
    <w:rsid w:val="001957CB"/>
    <w:rsid w:val="001975B9"/>
    <w:rsid w:val="001A0291"/>
    <w:rsid w:val="001A2EFC"/>
    <w:rsid w:val="001A3F40"/>
    <w:rsid w:val="001A55B4"/>
    <w:rsid w:val="001A592B"/>
    <w:rsid w:val="001A6CE8"/>
    <w:rsid w:val="001B3A89"/>
    <w:rsid w:val="001B3B38"/>
    <w:rsid w:val="001B4706"/>
    <w:rsid w:val="001B50F5"/>
    <w:rsid w:val="001B588F"/>
    <w:rsid w:val="001C01A4"/>
    <w:rsid w:val="001C0CD0"/>
    <w:rsid w:val="001C58A7"/>
    <w:rsid w:val="001C601A"/>
    <w:rsid w:val="001C78C4"/>
    <w:rsid w:val="001C7BFE"/>
    <w:rsid w:val="001D2E31"/>
    <w:rsid w:val="001D302C"/>
    <w:rsid w:val="001D42E2"/>
    <w:rsid w:val="001D4D86"/>
    <w:rsid w:val="001D4FE2"/>
    <w:rsid w:val="001D6C37"/>
    <w:rsid w:val="001E0479"/>
    <w:rsid w:val="001E2096"/>
    <w:rsid w:val="001E34CD"/>
    <w:rsid w:val="001E4BF4"/>
    <w:rsid w:val="001E53DF"/>
    <w:rsid w:val="001E6C35"/>
    <w:rsid w:val="001F228C"/>
    <w:rsid w:val="001F2CF5"/>
    <w:rsid w:val="001F2D44"/>
    <w:rsid w:val="001F3904"/>
    <w:rsid w:val="001F3D90"/>
    <w:rsid w:val="001F5B20"/>
    <w:rsid w:val="001F5BAB"/>
    <w:rsid w:val="001F5BDA"/>
    <w:rsid w:val="001F61DB"/>
    <w:rsid w:val="001F6A17"/>
    <w:rsid w:val="001F6E73"/>
    <w:rsid w:val="00200FCC"/>
    <w:rsid w:val="002022D2"/>
    <w:rsid w:val="00203257"/>
    <w:rsid w:val="0020329C"/>
    <w:rsid w:val="002044CB"/>
    <w:rsid w:val="00204793"/>
    <w:rsid w:val="00206DE3"/>
    <w:rsid w:val="00212066"/>
    <w:rsid w:val="00212EEF"/>
    <w:rsid w:val="002145B9"/>
    <w:rsid w:val="0021603C"/>
    <w:rsid w:val="00221C9F"/>
    <w:rsid w:val="00222B6B"/>
    <w:rsid w:val="002231C8"/>
    <w:rsid w:val="002236D4"/>
    <w:rsid w:val="00226252"/>
    <w:rsid w:val="0022682B"/>
    <w:rsid w:val="0022698C"/>
    <w:rsid w:val="00226C60"/>
    <w:rsid w:val="00230B73"/>
    <w:rsid w:val="00231FBE"/>
    <w:rsid w:val="00232E6B"/>
    <w:rsid w:val="00232FA1"/>
    <w:rsid w:val="00233C3A"/>
    <w:rsid w:val="00235940"/>
    <w:rsid w:val="00235BF4"/>
    <w:rsid w:val="00235C29"/>
    <w:rsid w:val="00236CDF"/>
    <w:rsid w:val="00237892"/>
    <w:rsid w:val="002409DE"/>
    <w:rsid w:val="00241393"/>
    <w:rsid w:val="002414DC"/>
    <w:rsid w:val="00241626"/>
    <w:rsid w:val="00241F3E"/>
    <w:rsid w:val="00243A9D"/>
    <w:rsid w:val="00244FEB"/>
    <w:rsid w:val="0024500E"/>
    <w:rsid w:val="0024561C"/>
    <w:rsid w:val="002460FD"/>
    <w:rsid w:val="00250F41"/>
    <w:rsid w:val="00252CB8"/>
    <w:rsid w:val="002535B2"/>
    <w:rsid w:val="00253E0D"/>
    <w:rsid w:val="0025459E"/>
    <w:rsid w:val="00255C5F"/>
    <w:rsid w:val="002561C1"/>
    <w:rsid w:val="00256690"/>
    <w:rsid w:val="0026000B"/>
    <w:rsid w:val="002603D0"/>
    <w:rsid w:val="00261272"/>
    <w:rsid w:val="002614CE"/>
    <w:rsid w:val="00262B5D"/>
    <w:rsid w:val="002658AF"/>
    <w:rsid w:val="00272765"/>
    <w:rsid w:val="00273350"/>
    <w:rsid w:val="002769C1"/>
    <w:rsid w:val="00276CFD"/>
    <w:rsid w:val="00277782"/>
    <w:rsid w:val="002778F2"/>
    <w:rsid w:val="00280805"/>
    <w:rsid w:val="0028087D"/>
    <w:rsid w:val="002817F3"/>
    <w:rsid w:val="0028213E"/>
    <w:rsid w:val="002833A3"/>
    <w:rsid w:val="00283418"/>
    <w:rsid w:val="00286150"/>
    <w:rsid w:val="00290B9D"/>
    <w:rsid w:val="00293B69"/>
    <w:rsid w:val="00295C2E"/>
    <w:rsid w:val="002961E8"/>
    <w:rsid w:val="002967C5"/>
    <w:rsid w:val="0029704D"/>
    <w:rsid w:val="002A0769"/>
    <w:rsid w:val="002A155E"/>
    <w:rsid w:val="002A2AF9"/>
    <w:rsid w:val="002A2F49"/>
    <w:rsid w:val="002A47ED"/>
    <w:rsid w:val="002A4AC4"/>
    <w:rsid w:val="002B04A2"/>
    <w:rsid w:val="002B0B5A"/>
    <w:rsid w:val="002B2BEE"/>
    <w:rsid w:val="002B406B"/>
    <w:rsid w:val="002B4CF7"/>
    <w:rsid w:val="002B5A68"/>
    <w:rsid w:val="002B5ED4"/>
    <w:rsid w:val="002B675D"/>
    <w:rsid w:val="002C13C3"/>
    <w:rsid w:val="002C2AA8"/>
    <w:rsid w:val="002C5586"/>
    <w:rsid w:val="002C7960"/>
    <w:rsid w:val="002D0132"/>
    <w:rsid w:val="002D58D7"/>
    <w:rsid w:val="002D5A9A"/>
    <w:rsid w:val="002D6010"/>
    <w:rsid w:val="002E15B8"/>
    <w:rsid w:val="002E1B3D"/>
    <w:rsid w:val="002E1DE3"/>
    <w:rsid w:val="002E528B"/>
    <w:rsid w:val="002E60A3"/>
    <w:rsid w:val="002E758A"/>
    <w:rsid w:val="002F0556"/>
    <w:rsid w:val="002F13D4"/>
    <w:rsid w:val="002F2525"/>
    <w:rsid w:val="002F3628"/>
    <w:rsid w:val="002F3DBC"/>
    <w:rsid w:val="002F6131"/>
    <w:rsid w:val="002F6695"/>
    <w:rsid w:val="003026AA"/>
    <w:rsid w:val="00303221"/>
    <w:rsid w:val="00304D14"/>
    <w:rsid w:val="00305913"/>
    <w:rsid w:val="0030780D"/>
    <w:rsid w:val="00314414"/>
    <w:rsid w:val="00315712"/>
    <w:rsid w:val="00316696"/>
    <w:rsid w:val="00316B91"/>
    <w:rsid w:val="00317FD7"/>
    <w:rsid w:val="003200FB"/>
    <w:rsid w:val="0032070B"/>
    <w:rsid w:val="00321FA8"/>
    <w:rsid w:val="00322229"/>
    <w:rsid w:val="00322580"/>
    <w:rsid w:val="00323BAE"/>
    <w:rsid w:val="00324BCE"/>
    <w:rsid w:val="0032575E"/>
    <w:rsid w:val="003265DF"/>
    <w:rsid w:val="00327391"/>
    <w:rsid w:val="00327AF4"/>
    <w:rsid w:val="00331390"/>
    <w:rsid w:val="00331F69"/>
    <w:rsid w:val="00332AD7"/>
    <w:rsid w:val="00332D8D"/>
    <w:rsid w:val="0033327E"/>
    <w:rsid w:val="003332E0"/>
    <w:rsid w:val="00336126"/>
    <w:rsid w:val="00337748"/>
    <w:rsid w:val="00340118"/>
    <w:rsid w:val="00342ECE"/>
    <w:rsid w:val="00343098"/>
    <w:rsid w:val="0034531A"/>
    <w:rsid w:val="003456CA"/>
    <w:rsid w:val="00345999"/>
    <w:rsid w:val="00346525"/>
    <w:rsid w:val="00346E84"/>
    <w:rsid w:val="00350D29"/>
    <w:rsid w:val="00351230"/>
    <w:rsid w:val="00351241"/>
    <w:rsid w:val="0035382D"/>
    <w:rsid w:val="003540A2"/>
    <w:rsid w:val="0036041A"/>
    <w:rsid w:val="00361AC0"/>
    <w:rsid w:val="00363402"/>
    <w:rsid w:val="003638B6"/>
    <w:rsid w:val="00364122"/>
    <w:rsid w:val="003709FA"/>
    <w:rsid w:val="0037166A"/>
    <w:rsid w:val="003718DE"/>
    <w:rsid w:val="00372180"/>
    <w:rsid w:val="00374307"/>
    <w:rsid w:val="003753BC"/>
    <w:rsid w:val="00376155"/>
    <w:rsid w:val="0038233C"/>
    <w:rsid w:val="003826E8"/>
    <w:rsid w:val="00384766"/>
    <w:rsid w:val="00384FAD"/>
    <w:rsid w:val="00386C8A"/>
    <w:rsid w:val="00386CBE"/>
    <w:rsid w:val="00390A0C"/>
    <w:rsid w:val="00394423"/>
    <w:rsid w:val="00394FB8"/>
    <w:rsid w:val="0039650D"/>
    <w:rsid w:val="00397F05"/>
    <w:rsid w:val="003A12E9"/>
    <w:rsid w:val="003A1678"/>
    <w:rsid w:val="003A187C"/>
    <w:rsid w:val="003A2410"/>
    <w:rsid w:val="003A3EA1"/>
    <w:rsid w:val="003A5781"/>
    <w:rsid w:val="003A6626"/>
    <w:rsid w:val="003B02AA"/>
    <w:rsid w:val="003B1AE0"/>
    <w:rsid w:val="003B3255"/>
    <w:rsid w:val="003B4AEC"/>
    <w:rsid w:val="003B5AED"/>
    <w:rsid w:val="003B7A89"/>
    <w:rsid w:val="003C11A6"/>
    <w:rsid w:val="003C175A"/>
    <w:rsid w:val="003C1F1E"/>
    <w:rsid w:val="003C26E9"/>
    <w:rsid w:val="003C3F2A"/>
    <w:rsid w:val="003D07BE"/>
    <w:rsid w:val="003D0C34"/>
    <w:rsid w:val="003D10DA"/>
    <w:rsid w:val="003D1530"/>
    <w:rsid w:val="003D2E5B"/>
    <w:rsid w:val="003D3D2B"/>
    <w:rsid w:val="003D4724"/>
    <w:rsid w:val="003D4BCB"/>
    <w:rsid w:val="003D4FC8"/>
    <w:rsid w:val="003D72A6"/>
    <w:rsid w:val="003D7F78"/>
    <w:rsid w:val="003E047B"/>
    <w:rsid w:val="003E086B"/>
    <w:rsid w:val="003E0947"/>
    <w:rsid w:val="003E0AA7"/>
    <w:rsid w:val="003E0D88"/>
    <w:rsid w:val="003E1C63"/>
    <w:rsid w:val="003E3A4D"/>
    <w:rsid w:val="003E44F2"/>
    <w:rsid w:val="003E4BF5"/>
    <w:rsid w:val="003E4E76"/>
    <w:rsid w:val="003E52F0"/>
    <w:rsid w:val="003E575E"/>
    <w:rsid w:val="003E7102"/>
    <w:rsid w:val="003E7DA8"/>
    <w:rsid w:val="003F0F77"/>
    <w:rsid w:val="003F0FDB"/>
    <w:rsid w:val="003F1628"/>
    <w:rsid w:val="003F1929"/>
    <w:rsid w:val="003F4A9A"/>
    <w:rsid w:val="003F4DCA"/>
    <w:rsid w:val="003F5D80"/>
    <w:rsid w:val="003F677F"/>
    <w:rsid w:val="00400D10"/>
    <w:rsid w:val="0040175B"/>
    <w:rsid w:val="004023CC"/>
    <w:rsid w:val="00403CDE"/>
    <w:rsid w:val="00404218"/>
    <w:rsid w:val="004043A1"/>
    <w:rsid w:val="00404623"/>
    <w:rsid w:val="00405B76"/>
    <w:rsid w:val="00410D94"/>
    <w:rsid w:val="00410E87"/>
    <w:rsid w:val="00411F91"/>
    <w:rsid w:val="00413DF7"/>
    <w:rsid w:val="00417299"/>
    <w:rsid w:val="00417A28"/>
    <w:rsid w:val="004211EF"/>
    <w:rsid w:val="00422698"/>
    <w:rsid w:val="004252AC"/>
    <w:rsid w:val="00425468"/>
    <w:rsid w:val="004258CA"/>
    <w:rsid w:val="0042767B"/>
    <w:rsid w:val="00427ED0"/>
    <w:rsid w:val="00433CB8"/>
    <w:rsid w:val="00435D62"/>
    <w:rsid w:val="00436681"/>
    <w:rsid w:val="004379AC"/>
    <w:rsid w:val="00441D58"/>
    <w:rsid w:val="00444B86"/>
    <w:rsid w:val="00451518"/>
    <w:rsid w:val="00451C8D"/>
    <w:rsid w:val="00451FB8"/>
    <w:rsid w:val="00452392"/>
    <w:rsid w:val="00452A23"/>
    <w:rsid w:val="00452A26"/>
    <w:rsid w:val="00454EB5"/>
    <w:rsid w:val="0045703C"/>
    <w:rsid w:val="00457EF6"/>
    <w:rsid w:val="004614E1"/>
    <w:rsid w:val="004618F3"/>
    <w:rsid w:val="0046275F"/>
    <w:rsid w:val="00462989"/>
    <w:rsid w:val="00462BAC"/>
    <w:rsid w:val="00462DC6"/>
    <w:rsid w:val="0046441B"/>
    <w:rsid w:val="00464B28"/>
    <w:rsid w:val="00465810"/>
    <w:rsid w:val="004670BD"/>
    <w:rsid w:val="00467B8C"/>
    <w:rsid w:val="004715EB"/>
    <w:rsid w:val="00472622"/>
    <w:rsid w:val="0047428B"/>
    <w:rsid w:val="0047595A"/>
    <w:rsid w:val="00477032"/>
    <w:rsid w:val="00480FD1"/>
    <w:rsid w:val="0048369E"/>
    <w:rsid w:val="00483A54"/>
    <w:rsid w:val="0048412A"/>
    <w:rsid w:val="00484891"/>
    <w:rsid w:val="00486FC9"/>
    <w:rsid w:val="004875AB"/>
    <w:rsid w:val="004879F7"/>
    <w:rsid w:val="0049026F"/>
    <w:rsid w:val="004906BD"/>
    <w:rsid w:val="00496E49"/>
    <w:rsid w:val="00497004"/>
    <w:rsid w:val="0049752B"/>
    <w:rsid w:val="00497BD3"/>
    <w:rsid w:val="004A0136"/>
    <w:rsid w:val="004A3027"/>
    <w:rsid w:val="004A50BC"/>
    <w:rsid w:val="004A5B33"/>
    <w:rsid w:val="004A647D"/>
    <w:rsid w:val="004B0073"/>
    <w:rsid w:val="004B128E"/>
    <w:rsid w:val="004B59DD"/>
    <w:rsid w:val="004B5C35"/>
    <w:rsid w:val="004B7671"/>
    <w:rsid w:val="004B7E4C"/>
    <w:rsid w:val="004C0741"/>
    <w:rsid w:val="004C1905"/>
    <w:rsid w:val="004C2E2D"/>
    <w:rsid w:val="004C33A3"/>
    <w:rsid w:val="004C4E62"/>
    <w:rsid w:val="004C5ED7"/>
    <w:rsid w:val="004C75EC"/>
    <w:rsid w:val="004D0141"/>
    <w:rsid w:val="004D0EA9"/>
    <w:rsid w:val="004D11C4"/>
    <w:rsid w:val="004D1671"/>
    <w:rsid w:val="004D3E04"/>
    <w:rsid w:val="004D4D58"/>
    <w:rsid w:val="004D5689"/>
    <w:rsid w:val="004D5937"/>
    <w:rsid w:val="004D5B17"/>
    <w:rsid w:val="004D75A1"/>
    <w:rsid w:val="004E2AE2"/>
    <w:rsid w:val="004E56A0"/>
    <w:rsid w:val="004E7F4F"/>
    <w:rsid w:val="004F1077"/>
    <w:rsid w:val="004F1D91"/>
    <w:rsid w:val="004F674C"/>
    <w:rsid w:val="004F6DCA"/>
    <w:rsid w:val="004F7597"/>
    <w:rsid w:val="00500676"/>
    <w:rsid w:val="005008D3"/>
    <w:rsid w:val="005014BF"/>
    <w:rsid w:val="00502E95"/>
    <w:rsid w:val="0051013D"/>
    <w:rsid w:val="005107B5"/>
    <w:rsid w:val="00511C4E"/>
    <w:rsid w:val="0051245C"/>
    <w:rsid w:val="00512F8C"/>
    <w:rsid w:val="00513541"/>
    <w:rsid w:val="00515702"/>
    <w:rsid w:val="005204E8"/>
    <w:rsid w:val="00520B45"/>
    <w:rsid w:val="00522C77"/>
    <w:rsid w:val="00525E63"/>
    <w:rsid w:val="00525EF7"/>
    <w:rsid w:val="0053531B"/>
    <w:rsid w:val="00540BC0"/>
    <w:rsid w:val="005413A5"/>
    <w:rsid w:val="0054256F"/>
    <w:rsid w:val="00542B56"/>
    <w:rsid w:val="0054350B"/>
    <w:rsid w:val="00543D83"/>
    <w:rsid w:val="00545FA7"/>
    <w:rsid w:val="00546A76"/>
    <w:rsid w:val="00546FE7"/>
    <w:rsid w:val="005508AA"/>
    <w:rsid w:val="005510E4"/>
    <w:rsid w:val="005519AC"/>
    <w:rsid w:val="005532A9"/>
    <w:rsid w:val="00557A51"/>
    <w:rsid w:val="00560427"/>
    <w:rsid w:val="00561C3C"/>
    <w:rsid w:val="00562438"/>
    <w:rsid w:val="005647D9"/>
    <w:rsid w:val="00564E37"/>
    <w:rsid w:val="00564F8C"/>
    <w:rsid w:val="00565252"/>
    <w:rsid w:val="005655A8"/>
    <w:rsid w:val="00566923"/>
    <w:rsid w:val="0057069F"/>
    <w:rsid w:val="00573FED"/>
    <w:rsid w:val="0057681C"/>
    <w:rsid w:val="0058103C"/>
    <w:rsid w:val="005814A8"/>
    <w:rsid w:val="00582836"/>
    <w:rsid w:val="00582904"/>
    <w:rsid w:val="00582BE6"/>
    <w:rsid w:val="00582D09"/>
    <w:rsid w:val="00583172"/>
    <w:rsid w:val="005865BE"/>
    <w:rsid w:val="00586663"/>
    <w:rsid w:val="0058689D"/>
    <w:rsid w:val="00586E1C"/>
    <w:rsid w:val="00587136"/>
    <w:rsid w:val="0058758C"/>
    <w:rsid w:val="0058794F"/>
    <w:rsid w:val="00590B8A"/>
    <w:rsid w:val="00591262"/>
    <w:rsid w:val="00593436"/>
    <w:rsid w:val="00595433"/>
    <w:rsid w:val="00596A4D"/>
    <w:rsid w:val="00597712"/>
    <w:rsid w:val="005A05FC"/>
    <w:rsid w:val="005A0C9A"/>
    <w:rsid w:val="005A0D07"/>
    <w:rsid w:val="005A49CA"/>
    <w:rsid w:val="005A4B2F"/>
    <w:rsid w:val="005A65C8"/>
    <w:rsid w:val="005A66FF"/>
    <w:rsid w:val="005A726B"/>
    <w:rsid w:val="005A78ED"/>
    <w:rsid w:val="005A7B64"/>
    <w:rsid w:val="005B1230"/>
    <w:rsid w:val="005B1B8A"/>
    <w:rsid w:val="005B3C6E"/>
    <w:rsid w:val="005B49FD"/>
    <w:rsid w:val="005B4CEB"/>
    <w:rsid w:val="005C0363"/>
    <w:rsid w:val="005D234B"/>
    <w:rsid w:val="005D3650"/>
    <w:rsid w:val="005D4081"/>
    <w:rsid w:val="005D4AD5"/>
    <w:rsid w:val="005D4B27"/>
    <w:rsid w:val="005D53D0"/>
    <w:rsid w:val="005D5FDF"/>
    <w:rsid w:val="005D69D4"/>
    <w:rsid w:val="005E154C"/>
    <w:rsid w:val="005E1F41"/>
    <w:rsid w:val="005E541E"/>
    <w:rsid w:val="005E6249"/>
    <w:rsid w:val="005E654E"/>
    <w:rsid w:val="005F1DF5"/>
    <w:rsid w:val="005F31CF"/>
    <w:rsid w:val="005F392B"/>
    <w:rsid w:val="005F52FF"/>
    <w:rsid w:val="005F5618"/>
    <w:rsid w:val="005F59F7"/>
    <w:rsid w:val="005F5CB3"/>
    <w:rsid w:val="005F64C6"/>
    <w:rsid w:val="0060208A"/>
    <w:rsid w:val="00602BF1"/>
    <w:rsid w:val="00604D3A"/>
    <w:rsid w:val="0060593A"/>
    <w:rsid w:val="00606663"/>
    <w:rsid w:val="00607675"/>
    <w:rsid w:val="00607D62"/>
    <w:rsid w:val="00607DDB"/>
    <w:rsid w:val="00607FA6"/>
    <w:rsid w:val="006104CA"/>
    <w:rsid w:val="00610B6A"/>
    <w:rsid w:val="0061148E"/>
    <w:rsid w:val="0061276C"/>
    <w:rsid w:val="0061355A"/>
    <w:rsid w:val="00614DCB"/>
    <w:rsid w:val="00615F26"/>
    <w:rsid w:val="006175D3"/>
    <w:rsid w:val="006210EE"/>
    <w:rsid w:val="0062152C"/>
    <w:rsid w:val="00621D25"/>
    <w:rsid w:val="006227A1"/>
    <w:rsid w:val="00622DE0"/>
    <w:rsid w:val="00624E75"/>
    <w:rsid w:val="0062522F"/>
    <w:rsid w:val="0062589E"/>
    <w:rsid w:val="00625CDE"/>
    <w:rsid w:val="00632331"/>
    <w:rsid w:val="006372EE"/>
    <w:rsid w:val="00640536"/>
    <w:rsid w:val="006409B0"/>
    <w:rsid w:val="00642AC6"/>
    <w:rsid w:val="00643618"/>
    <w:rsid w:val="00643B20"/>
    <w:rsid w:val="00643DC0"/>
    <w:rsid w:val="00646CA1"/>
    <w:rsid w:val="006510BB"/>
    <w:rsid w:val="006525C2"/>
    <w:rsid w:val="00653EC1"/>
    <w:rsid w:val="00662984"/>
    <w:rsid w:val="00664682"/>
    <w:rsid w:val="00665B50"/>
    <w:rsid w:val="006660AF"/>
    <w:rsid w:val="006672FD"/>
    <w:rsid w:val="00675884"/>
    <w:rsid w:val="006778BB"/>
    <w:rsid w:val="00680FFD"/>
    <w:rsid w:val="00682F84"/>
    <w:rsid w:val="006837F9"/>
    <w:rsid w:val="00684F53"/>
    <w:rsid w:val="006870ED"/>
    <w:rsid w:val="00687481"/>
    <w:rsid w:val="00687A31"/>
    <w:rsid w:val="00691D42"/>
    <w:rsid w:val="006A1804"/>
    <w:rsid w:val="006A439A"/>
    <w:rsid w:val="006A457E"/>
    <w:rsid w:val="006A4CAE"/>
    <w:rsid w:val="006A7BBF"/>
    <w:rsid w:val="006B1113"/>
    <w:rsid w:val="006B5867"/>
    <w:rsid w:val="006B699C"/>
    <w:rsid w:val="006B768F"/>
    <w:rsid w:val="006C0E14"/>
    <w:rsid w:val="006C1258"/>
    <w:rsid w:val="006C2275"/>
    <w:rsid w:val="006C2B12"/>
    <w:rsid w:val="006C594F"/>
    <w:rsid w:val="006C640E"/>
    <w:rsid w:val="006C6B0B"/>
    <w:rsid w:val="006D09CA"/>
    <w:rsid w:val="006D4064"/>
    <w:rsid w:val="006D4072"/>
    <w:rsid w:val="006D47E8"/>
    <w:rsid w:val="006D50DD"/>
    <w:rsid w:val="006D53F5"/>
    <w:rsid w:val="006D611B"/>
    <w:rsid w:val="006D70C4"/>
    <w:rsid w:val="006D7D86"/>
    <w:rsid w:val="006E06BB"/>
    <w:rsid w:val="006E1808"/>
    <w:rsid w:val="006E1A01"/>
    <w:rsid w:val="006E3989"/>
    <w:rsid w:val="006E3DCF"/>
    <w:rsid w:val="006E78E1"/>
    <w:rsid w:val="006E7948"/>
    <w:rsid w:val="006F1751"/>
    <w:rsid w:val="006F29DD"/>
    <w:rsid w:val="006F3021"/>
    <w:rsid w:val="006F3657"/>
    <w:rsid w:val="006F4986"/>
    <w:rsid w:val="006F6811"/>
    <w:rsid w:val="006F6BA0"/>
    <w:rsid w:val="006F6F16"/>
    <w:rsid w:val="006F70BF"/>
    <w:rsid w:val="006F72DE"/>
    <w:rsid w:val="007004FD"/>
    <w:rsid w:val="007010A4"/>
    <w:rsid w:val="0070424B"/>
    <w:rsid w:val="00717FEA"/>
    <w:rsid w:val="00720C09"/>
    <w:rsid w:val="00720CC2"/>
    <w:rsid w:val="0072383F"/>
    <w:rsid w:val="00724ED1"/>
    <w:rsid w:val="0072523E"/>
    <w:rsid w:val="00725535"/>
    <w:rsid w:val="00726E1D"/>
    <w:rsid w:val="00730A81"/>
    <w:rsid w:val="00730CCD"/>
    <w:rsid w:val="00731370"/>
    <w:rsid w:val="007320A4"/>
    <w:rsid w:val="00734EEF"/>
    <w:rsid w:val="00736F5D"/>
    <w:rsid w:val="007372FD"/>
    <w:rsid w:val="00737586"/>
    <w:rsid w:val="007402CE"/>
    <w:rsid w:val="00740D3A"/>
    <w:rsid w:val="00741595"/>
    <w:rsid w:val="00742D35"/>
    <w:rsid w:val="00742F5C"/>
    <w:rsid w:val="007452F6"/>
    <w:rsid w:val="0074587B"/>
    <w:rsid w:val="0075208A"/>
    <w:rsid w:val="007520FA"/>
    <w:rsid w:val="00765E6C"/>
    <w:rsid w:val="00766941"/>
    <w:rsid w:val="0076737C"/>
    <w:rsid w:val="0076781E"/>
    <w:rsid w:val="00770ED1"/>
    <w:rsid w:val="007724E2"/>
    <w:rsid w:val="00772B18"/>
    <w:rsid w:val="0077344B"/>
    <w:rsid w:val="00774611"/>
    <w:rsid w:val="007752A4"/>
    <w:rsid w:val="007757B6"/>
    <w:rsid w:val="00777A43"/>
    <w:rsid w:val="007828B8"/>
    <w:rsid w:val="00784997"/>
    <w:rsid w:val="00785D17"/>
    <w:rsid w:val="00785E5F"/>
    <w:rsid w:val="00786697"/>
    <w:rsid w:val="00787CDE"/>
    <w:rsid w:val="00790CAE"/>
    <w:rsid w:val="00793D0B"/>
    <w:rsid w:val="007941A0"/>
    <w:rsid w:val="007941CE"/>
    <w:rsid w:val="0079462D"/>
    <w:rsid w:val="00794AC4"/>
    <w:rsid w:val="00794BCF"/>
    <w:rsid w:val="00795966"/>
    <w:rsid w:val="007967E5"/>
    <w:rsid w:val="00797478"/>
    <w:rsid w:val="007A0B28"/>
    <w:rsid w:val="007A1BBA"/>
    <w:rsid w:val="007A24A6"/>
    <w:rsid w:val="007A3919"/>
    <w:rsid w:val="007A3991"/>
    <w:rsid w:val="007A4263"/>
    <w:rsid w:val="007A6406"/>
    <w:rsid w:val="007B0958"/>
    <w:rsid w:val="007B168C"/>
    <w:rsid w:val="007B4470"/>
    <w:rsid w:val="007B6E03"/>
    <w:rsid w:val="007B781E"/>
    <w:rsid w:val="007B7ADA"/>
    <w:rsid w:val="007C0467"/>
    <w:rsid w:val="007C0977"/>
    <w:rsid w:val="007C0F7C"/>
    <w:rsid w:val="007C109D"/>
    <w:rsid w:val="007C18A2"/>
    <w:rsid w:val="007C3474"/>
    <w:rsid w:val="007C5FEF"/>
    <w:rsid w:val="007C7231"/>
    <w:rsid w:val="007D019E"/>
    <w:rsid w:val="007D5698"/>
    <w:rsid w:val="007D69E6"/>
    <w:rsid w:val="007D70A9"/>
    <w:rsid w:val="007E0EFB"/>
    <w:rsid w:val="007E36FA"/>
    <w:rsid w:val="007E402B"/>
    <w:rsid w:val="007E5559"/>
    <w:rsid w:val="007E5D9A"/>
    <w:rsid w:val="007E6781"/>
    <w:rsid w:val="007E67FD"/>
    <w:rsid w:val="007E6BF3"/>
    <w:rsid w:val="007E7972"/>
    <w:rsid w:val="007F02C5"/>
    <w:rsid w:val="007F2D8E"/>
    <w:rsid w:val="007F3AFD"/>
    <w:rsid w:val="007F422A"/>
    <w:rsid w:val="007F514C"/>
    <w:rsid w:val="007F5305"/>
    <w:rsid w:val="007F64A1"/>
    <w:rsid w:val="00802AED"/>
    <w:rsid w:val="008031DF"/>
    <w:rsid w:val="00804F11"/>
    <w:rsid w:val="008067BE"/>
    <w:rsid w:val="00807135"/>
    <w:rsid w:val="00813B10"/>
    <w:rsid w:val="00816278"/>
    <w:rsid w:val="00816EEF"/>
    <w:rsid w:val="00816F55"/>
    <w:rsid w:val="00820167"/>
    <w:rsid w:val="0082187C"/>
    <w:rsid w:val="00821B3D"/>
    <w:rsid w:val="00822EEA"/>
    <w:rsid w:val="00826E1D"/>
    <w:rsid w:val="008325DE"/>
    <w:rsid w:val="00833F32"/>
    <w:rsid w:val="00835A1E"/>
    <w:rsid w:val="008362BE"/>
    <w:rsid w:val="00836944"/>
    <w:rsid w:val="008379CF"/>
    <w:rsid w:val="0084204C"/>
    <w:rsid w:val="00844441"/>
    <w:rsid w:val="0084720B"/>
    <w:rsid w:val="0085175E"/>
    <w:rsid w:val="0085304C"/>
    <w:rsid w:val="00853B66"/>
    <w:rsid w:val="00856134"/>
    <w:rsid w:val="00857F68"/>
    <w:rsid w:val="008606A0"/>
    <w:rsid w:val="00861607"/>
    <w:rsid w:val="00861688"/>
    <w:rsid w:val="00861830"/>
    <w:rsid w:val="00861A9D"/>
    <w:rsid w:val="008628CF"/>
    <w:rsid w:val="00863FDB"/>
    <w:rsid w:val="0086737D"/>
    <w:rsid w:val="0087095E"/>
    <w:rsid w:val="00871148"/>
    <w:rsid w:val="008725C2"/>
    <w:rsid w:val="008736C2"/>
    <w:rsid w:val="00874051"/>
    <w:rsid w:val="0087660B"/>
    <w:rsid w:val="0088084A"/>
    <w:rsid w:val="0088155F"/>
    <w:rsid w:val="00881BEF"/>
    <w:rsid w:val="00882E3C"/>
    <w:rsid w:val="0088327B"/>
    <w:rsid w:val="00883CBE"/>
    <w:rsid w:val="008846E9"/>
    <w:rsid w:val="00887E27"/>
    <w:rsid w:val="00890050"/>
    <w:rsid w:val="00895471"/>
    <w:rsid w:val="008958CE"/>
    <w:rsid w:val="00895FC3"/>
    <w:rsid w:val="008966F7"/>
    <w:rsid w:val="00897200"/>
    <w:rsid w:val="008A288D"/>
    <w:rsid w:val="008A30C5"/>
    <w:rsid w:val="008A3B4E"/>
    <w:rsid w:val="008A3DA2"/>
    <w:rsid w:val="008A59C5"/>
    <w:rsid w:val="008A6355"/>
    <w:rsid w:val="008A6DFD"/>
    <w:rsid w:val="008A7886"/>
    <w:rsid w:val="008B0684"/>
    <w:rsid w:val="008B0ADB"/>
    <w:rsid w:val="008B0C0D"/>
    <w:rsid w:val="008B12E1"/>
    <w:rsid w:val="008B17F2"/>
    <w:rsid w:val="008B3C0A"/>
    <w:rsid w:val="008B3E78"/>
    <w:rsid w:val="008B4976"/>
    <w:rsid w:val="008B6689"/>
    <w:rsid w:val="008C001F"/>
    <w:rsid w:val="008C1131"/>
    <w:rsid w:val="008C3E55"/>
    <w:rsid w:val="008C7652"/>
    <w:rsid w:val="008C7AA2"/>
    <w:rsid w:val="008D05BC"/>
    <w:rsid w:val="008D11CF"/>
    <w:rsid w:val="008D25CC"/>
    <w:rsid w:val="008D41FB"/>
    <w:rsid w:val="008D4A73"/>
    <w:rsid w:val="008D55BD"/>
    <w:rsid w:val="008D59C5"/>
    <w:rsid w:val="008D640C"/>
    <w:rsid w:val="008D6500"/>
    <w:rsid w:val="008D742B"/>
    <w:rsid w:val="008E14B3"/>
    <w:rsid w:val="008E1985"/>
    <w:rsid w:val="008E42A9"/>
    <w:rsid w:val="008E4368"/>
    <w:rsid w:val="008E443D"/>
    <w:rsid w:val="008E5024"/>
    <w:rsid w:val="008E513D"/>
    <w:rsid w:val="008E7979"/>
    <w:rsid w:val="008F0585"/>
    <w:rsid w:val="008F3FC6"/>
    <w:rsid w:val="008F48B2"/>
    <w:rsid w:val="008F4CC8"/>
    <w:rsid w:val="008F4F2E"/>
    <w:rsid w:val="008F579E"/>
    <w:rsid w:val="008F6F6F"/>
    <w:rsid w:val="008F7126"/>
    <w:rsid w:val="00900330"/>
    <w:rsid w:val="009007C3"/>
    <w:rsid w:val="0090380B"/>
    <w:rsid w:val="0090415C"/>
    <w:rsid w:val="00904D8D"/>
    <w:rsid w:val="00907D61"/>
    <w:rsid w:val="0091037A"/>
    <w:rsid w:val="00912410"/>
    <w:rsid w:val="00912A58"/>
    <w:rsid w:val="00915C19"/>
    <w:rsid w:val="00916FF5"/>
    <w:rsid w:val="00920301"/>
    <w:rsid w:val="009205BE"/>
    <w:rsid w:val="00922325"/>
    <w:rsid w:val="009225E3"/>
    <w:rsid w:val="009230EC"/>
    <w:rsid w:val="00924CAC"/>
    <w:rsid w:val="00932BFE"/>
    <w:rsid w:val="00932C85"/>
    <w:rsid w:val="00932E45"/>
    <w:rsid w:val="00933E3B"/>
    <w:rsid w:val="009404E3"/>
    <w:rsid w:val="0094124B"/>
    <w:rsid w:val="00941885"/>
    <w:rsid w:val="00942FE4"/>
    <w:rsid w:val="0094347E"/>
    <w:rsid w:val="00944E43"/>
    <w:rsid w:val="009453AC"/>
    <w:rsid w:val="0094545C"/>
    <w:rsid w:val="0094588D"/>
    <w:rsid w:val="00951140"/>
    <w:rsid w:val="00951B81"/>
    <w:rsid w:val="009525C2"/>
    <w:rsid w:val="00954078"/>
    <w:rsid w:val="00956CEF"/>
    <w:rsid w:val="00970122"/>
    <w:rsid w:val="00970E80"/>
    <w:rsid w:val="00973E5A"/>
    <w:rsid w:val="00980BB5"/>
    <w:rsid w:val="00983ECD"/>
    <w:rsid w:val="00983EE4"/>
    <w:rsid w:val="009851AA"/>
    <w:rsid w:val="009858B6"/>
    <w:rsid w:val="009858EA"/>
    <w:rsid w:val="00985BEF"/>
    <w:rsid w:val="009900C5"/>
    <w:rsid w:val="009905AA"/>
    <w:rsid w:val="00991975"/>
    <w:rsid w:val="00991ADB"/>
    <w:rsid w:val="00992996"/>
    <w:rsid w:val="0099389D"/>
    <w:rsid w:val="00994D07"/>
    <w:rsid w:val="00994D10"/>
    <w:rsid w:val="0099512B"/>
    <w:rsid w:val="00995A9F"/>
    <w:rsid w:val="00997B94"/>
    <w:rsid w:val="009A06B7"/>
    <w:rsid w:val="009A0A37"/>
    <w:rsid w:val="009A2035"/>
    <w:rsid w:val="009B0611"/>
    <w:rsid w:val="009B10A9"/>
    <w:rsid w:val="009B3420"/>
    <w:rsid w:val="009B390D"/>
    <w:rsid w:val="009B3C48"/>
    <w:rsid w:val="009B7652"/>
    <w:rsid w:val="009C132D"/>
    <w:rsid w:val="009C24E0"/>
    <w:rsid w:val="009C26CF"/>
    <w:rsid w:val="009C365E"/>
    <w:rsid w:val="009C71BD"/>
    <w:rsid w:val="009D0F8E"/>
    <w:rsid w:val="009D14C0"/>
    <w:rsid w:val="009D1AD7"/>
    <w:rsid w:val="009D1BF5"/>
    <w:rsid w:val="009D728C"/>
    <w:rsid w:val="009E03AC"/>
    <w:rsid w:val="009E03E7"/>
    <w:rsid w:val="009E0A66"/>
    <w:rsid w:val="009E2433"/>
    <w:rsid w:val="009E2FC4"/>
    <w:rsid w:val="009E4130"/>
    <w:rsid w:val="009E4FD9"/>
    <w:rsid w:val="009E5D55"/>
    <w:rsid w:val="009E6D80"/>
    <w:rsid w:val="009F08B2"/>
    <w:rsid w:val="009F3409"/>
    <w:rsid w:val="009F3E78"/>
    <w:rsid w:val="009F4896"/>
    <w:rsid w:val="009F5AD2"/>
    <w:rsid w:val="009F7B09"/>
    <w:rsid w:val="00A005E3"/>
    <w:rsid w:val="00A02CA5"/>
    <w:rsid w:val="00A03C61"/>
    <w:rsid w:val="00A041A7"/>
    <w:rsid w:val="00A04C1B"/>
    <w:rsid w:val="00A05709"/>
    <w:rsid w:val="00A0664B"/>
    <w:rsid w:val="00A10670"/>
    <w:rsid w:val="00A112EC"/>
    <w:rsid w:val="00A11CFC"/>
    <w:rsid w:val="00A1303A"/>
    <w:rsid w:val="00A13783"/>
    <w:rsid w:val="00A1389F"/>
    <w:rsid w:val="00A164CB"/>
    <w:rsid w:val="00A232BB"/>
    <w:rsid w:val="00A24C5D"/>
    <w:rsid w:val="00A27AAD"/>
    <w:rsid w:val="00A30B66"/>
    <w:rsid w:val="00A316F7"/>
    <w:rsid w:val="00A34531"/>
    <w:rsid w:val="00A360E8"/>
    <w:rsid w:val="00A37EBB"/>
    <w:rsid w:val="00A37F7F"/>
    <w:rsid w:val="00A43AB4"/>
    <w:rsid w:val="00A444DE"/>
    <w:rsid w:val="00A44643"/>
    <w:rsid w:val="00A460D3"/>
    <w:rsid w:val="00A46350"/>
    <w:rsid w:val="00A46E11"/>
    <w:rsid w:val="00A50FBD"/>
    <w:rsid w:val="00A55120"/>
    <w:rsid w:val="00A57F81"/>
    <w:rsid w:val="00A62617"/>
    <w:rsid w:val="00A6330E"/>
    <w:rsid w:val="00A66176"/>
    <w:rsid w:val="00A66BE0"/>
    <w:rsid w:val="00A67A0B"/>
    <w:rsid w:val="00A67D14"/>
    <w:rsid w:val="00A67FCC"/>
    <w:rsid w:val="00A7156C"/>
    <w:rsid w:val="00A71761"/>
    <w:rsid w:val="00A73917"/>
    <w:rsid w:val="00A744C5"/>
    <w:rsid w:val="00A7675D"/>
    <w:rsid w:val="00A7735A"/>
    <w:rsid w:val="00A80273"/>
    <w:rsid w:val="00A823B3"/>
    <w:rsid w:val="00A83478"/>
    <w:rsid w:val="00A85996"/>
    <w:rsid w:val="00A86D1E"/>
    <w:rsid w:val="00A87AA2"/>
    <w:rsid w:val="00A87DC0"/>
    <w:rsid w:val="00A90BF1"/>
    <w:rsid w:val="00A940E6"/>
    <w:rsid w:val="00A950CA"/>
    <w:rsid w:val="00A97F19"/>
    <w:rsid w:val="00AA2523"/>
    <w:rsid w:val="00AA2DE5"/>
    <w:rsid w:val="00AA42E5"/>
    <w:rsid w:val="00AA4893"/>
    <w:rsid w:val="00AA5180"/>
    <w:rsid w:val="00AA5C97"/>
    <w:rsid w:val="00AA6B5D"/>
    <w:rsid w:val="00AA71AF"/>
    <w:rsid w:val="00AB4F2D"/>
    <w:rsid w:val="00AB5A71"/>
    <w:rsid w:val="00AB5F7F"/>
    <w:rsid w:val="00AB690B"/>
    <w:rsid w:val="00AB6DF2"/>
    <w:rsid w:val="00AB747C"/>
    <w:rsid w:val="00AC26D9"/>
    <w:rsid w:val="00AC71F2"/>
    <w:rsid w:val="00AD045A"/>
    <w:rsid w:val="00AD1585"/>
    <w:rsid w:val="00AD2A5E"/>
    <w:rsid w:val="00AD3AA9"/>
    <w:rsid w:val="00AD5195"/>
    <w:rsid w:val="00AD5796"/>
    <w:rsid w:val="00AD594E"/>
    <w:rsid w:val="00AE3758"/>
    <w:rsid w:val="00AE392D"/>
    <w:rsid w:val="00AE3D9F"/>
    <w:rsid w:val="00AE4D00"/>
    <w:rsid w:val="00AE4E51"/>
    <w:rsid w:val="00AE504A"/>
    <w:rsid w:val="00AE5599"/>
    <w:rsid w:val="00AE576D"/>
    <w:rsid w:val="00AE5B99"/>
    <w:rsid w:val="00AE66C2"/>
    <w:rsid w:val="00AF1285"/>
    <w:rsid w:val="00AF128F"/>
    <w:rsid w:val="00AF19EA"/>
    <w:rsid w:val="00AF4349"/>
    <w:rsid w:val="00AF475D"/>
    <w:rsid w:val="00B02F4D"/>
    <w:rsid w:val="00B036B6"/>
    <w:rsid w:val="00B03FFE"/>
    <w:rsid w:val="00B049B9"/>
    <w:rsid w:val="00B05BB9"/>
    <w:rsid w:val="00B1056A"/>
    <w:rsid w:val="00B12252"/>
    <w:rsid w:val="00B12413"/>
    <w:rsid w:val="00B1245B"/>
    <w:rsid w:val="00B1434D"/>
    <w:rsid w:val="00B144FD"/>
    <w:rsid w:val="00B1561E"/>
    <w:rsid w:val="00B21EE7"/>
    <w:rsid w:val="00B23B27"/>
    <w:rsid w:val="00B25868"/>
    <w:rsid w:val="00B263A7"/>
    <w:rsid w:val="00B2710D"/>
    <w:rsid w:val="00B27265"/>
    <w:rsid w:val="00B27DA7"/>
    <w:rsid w:val="00B300F9"/>
    <w:rsid w:val="00B30F0A"/>
    <w:rsid w:val="00B31A21"/>
    <w:rsid w:val="00B32B78"/>
    <w:rsid w:val="00B32C95"/>
    <w:rsid w:val="00B3404C"/>
    <w:rsid w:val="00B344DF"/>
    <w:rsid w:val="00B3658D"/>
    <w:rsid w:val="00B36B2C"/>
    <w:rsid w:val="00B36E50"/>
    <w:rsid w:val="00B37407"/>
    <w:rsid w:val="00B404F1"/>
    <w:rsid w:val="00B41FC9"/>
    <w:rsid w:val="00B43499"/>
    <w:rsid w:val="00B43ED0"/>
    <w:rsid w:val="00B44CBF"/>
    <w:rsid w:val="00B50DD9"/>
    <w:rsid w:val="00B5274E"/>
    <w:rsid w:val="00B52DC4"/>
    <w:rsid w:val="00B532F2"/>
    <w:rsid w:val="00B5580F"/>
    <w:rsid w:val="00B56885"/>
    <w:rsid w:val="00B60619"/>
    <w:rsid w:val="00B608E0"/>
    <w:rsid w:val="00B60D81"/>
    <w:rsid w:val="00B618C1"/>
    <w:rsid w:val="00B61E9E"/>
    <w:rsid w:val="00B621B8"/>
    <w:rsid w:val="00B62FAB"/>
    <w:rsid w:val="00B6618B"/>
    <w:rsid w:val="00B66CDD"/>
    <w:rsid w:val="00B7351D"/>
    <w:rsid w:val="00B752C0"/>
    <w:rsid w:val="00B83D4A"/>
    <w:rsid w:val="00B84913"/>
    <w:rsid w:val="00B86C80"/>
    <w:rsid w:val="00B86E5A"/>
    <w:rsid w:val="00B932FD"/>
    <w:rsid w:val="00B93A89"/>
    <w:rsid w:val="00B95858"/>
    <w:rsid w:val="00B96041"/>
    <w:rsid w:val="00B9660C"/>
    <w:rsid w:val="00BA07BA"/>
    <w:rsid w:val="00BA08C6"/>
    <w:rsid w:val="00BA17B3"/>
    <w:rsid w:val="00BA1EAD"/>
    <w:rsid w:val="00BA58D0"/>
    <w:rsid w:val="00BA5F7C"/>
    <w:rsid w:val="00BA6131"/>
    <w:rsid w:val="00BA62A2"/>
    <w:rsid w:val="00BA6FF1"/>
    <w:rsid w:val="00BA7D9D"/>
    <w:rsid w:val="00BB01B4"/>
    <w:rsid w:val="00BB3CEE"/>
    <w:rsid w:val="00BB4D5E"/>
    <w:rsid w:val="00BB54FC"/>
    <w:rsid w:val="00BB7397"/>
    <w:rsid w:val="00BC001D"/>
    <w:rsid w:val="00BC010F"/>
    <w:rsid w:val="00BC2B2D"/>
    <w:rsid w:val="00BC3003"/>
    <w:rsid w:val="00BC497B"/>
    <w:rsid w:val="00BC4A8B"/>
    <w:rsid w:val="00BC50F4"/>
    <w:rsid w:val="00BC5206"/>
    <w:rsid w:val="00BC5CD5"/>
    <w:rsid w:val="00BC5E75"/>
    <w:rsid w:val="00BC6895"/>
    <w:rsid w:val="00BC79A8"/>
    <w:rsid w:val="00BC7EE1"/>
    <w:rsid w:val="00BD0031"/>
    <w:rsid w:val="00BD1657"/>
    <w:rsid w:val="00BD5FD6"/>
    <w:rsid w:val="00BD6F3C"/>
    <w:rsid w:val="00BE0885"/>
    <w:rsid w:val="00BE12BB"/>
    <w:rsid w:val="00BE272F"/>
    <w:rsid w:val="00BE281C"/>
    <w:rsid w:val="00BF0927"/>
    <w:rsid w:val="00BF1F59"/>
    <w:rsid w:val="00BF2428"/>
    <w:rsid w:val="00BF6DF9"/>
    <w:rsid w:val="00C01DC2"/>
    <w:rsid w:val="00C0252C"/>
    <w:rsid w:val="00C03719"/>
    <w:rsid w:val="00C0504D"/>
    <w:rsid w:val="00C0618E"/>
    <w:rsid w:val="00C10177"/>
    <w:rsid w:val="00C10503"/>
    <w:rsid w:val="00C11EE1"/>
    <w:rsid w:val="00C13CE4"/>
    <w:rsid w:val="00C15D7B"/>
    <w:rsid w:val="00C16709"/>
    <w:rsid w:val="00C169BD"/>
    <w:rsid w:val="00C16DFF"/>
    <w:rsid w:val="00C171DF"/>
    <w:rsid w:val="00C1754A"/>
    <w:rsid w:val="00C17BCE"/>
    <w:rsid w:val="00C20840"/>
    <w:rsid w:val="00C2085F"/>
    <w:rsid w:val="00C217B2"/>
    <w:rsid w:val="00C21DC8"/>
    <w:rsid w:val="00C22B00"/>
    <w:rsid w:val="00C267ED"/>
    <w:rsid w:val="00C26BAE"/>
    <w:rsid w:val="00C27338"/>
    <w:rsid w:val="00C2793B"/>
    <w:rsid w:val="00C315B0"/>
    <w:rsid w:val="00C32C57"/>
    <w:rsid w:val="00C41C8B"/>
    <w:rsid w:val="00C43946"/>
    <w:rsid w:val="00C43E23"/>
    <w:rsid w:val="00C4401B"/>
    <w:rsid w:val="00C45896"/>
    <w:rsid w:val="00C46A66"/>
    <w:rsid w:val="00C475EB"/>
    <w:rsid w:val="00C51083"/>
    <w:rsid w:val="00C603D8"/>
    <w:rsid w:val="00C614C0"/>
    <w:rsid w:val="00C627B7"/>
    <w:rsid w:val="00C63DCA"/>
    <w:rsid w:val="00C64446"/>
    <w:rsid w:val="00C6474B"/>
    <w:rsid w:val="00C64E20"/>
    <w:rsid w:val="00C656C5"/>
    <w:rsid w:val="00C6577A"/>
    <w:rsid w:val="00C70DED"/>
    <w:rsid w:val="00C71993"/>
    <w:rsid w:val="00C7336E"/>
    <w:rsid w:val="00C73632"/>
    <w:rsid w:val="00C74162"/>
    <w:rsid w:val="00C80B25"/>
    <w:rsid w:val="00C8134E"/>
    <w:rsid w:val="00C81D9F"/>
    <w:rsid w:val="00C82500"/>
    <w:rsid w:val="00C8359C"/>
    <w:rsid w:val="00C846AE"/>
    <w:rsid w:val="00C859EA"/>
    <w:rsid w:val="00C8669A"/>
    <w:rsid w:val="00C87E24"/>
    <w:rsid w:val="00C91A17"/>
    <w:rsid w:val="00C92873"/>
    <w:rsid w:val="00C928AF"/>
    <w:rsid w:val="00C93084"/>
    <w:rsid w:val="00C93774"/>
    <w:rsid w:val="00C937B4"/>
    <w:rsid w:val="00C9388A"/>
    <w:rsid w:val="00C942AD"/>
    <w:rsid w:val="00C959B9"/>
    <w:rsid w:val="00C959D2"/>
    <w:rsid w:val="00C9693E"/>
    <w:rsid w:val="00C9756D"/>
    <w:rsid w:val="00CA3314"/>
    <w:rsid w:val="00CA5442"/>
    <w:rsid w:val="00CA5594"/>
    <w:rsid w:val="00CA5F47"/>
    <w:rsid w:val="00CA7366"/>
    <w:rsid w:val="00CA7B17"/>
    <w:rsid w:val="00CB162D"/>
    <w:rsid w:val="00CB1DAA"/>
    <w:rsid w:val="00CB43CE"/>
    <w:rsid w:val="00CB522C"/>
    <w:rsid w:val="00CB689E"/>
    <w:rsid w:val="00CB7563"/>
    <w:rsid w:val="00CC0658"/>
    <w:rsid w:val="00CC1B5C"/>
    <w:rsid w:val="00CC2B11"/>
    <w:rsid w:val="00CC33B4"/>
    <w:rsid w:val="00CC3B66"/>
    <w:rsid w:val="00CD1528"/>
    <w:rsid w:val="00CD1F48"/>
    <w:rsid w:val="00CD2AC4"/>
    <w:rsid w:val="00CD3A0E"/>
    <w:rsid w:val="00CD3DB6"/>
    <w:rsid w:val="00CD3FCF"/>
    <w:rsid w:val="00CD4CA1"/>
    <w:rsid w:val="00CD5AD6"/>
    <w:rsid w:val="00CD7C62"/>
    <w:rsid w:val="00CE13A5"/>
    <w:rsid w:val="00CE1A05"/>
    <w:rsid w:val="00CE1BD4"/>
    <w:rsid w:val="00CE2BB1"/>
    <w:rsid w:val="00CE3477"/>
    <w:rsid w:val="00CE4678"/>
    <w:rsid w:val="00CE6C66"/>
    <w:rsid w:val="00CF116A"/>
    <w:rsid w:val="00CF1A4F"/>
    <w:rsid w:val="00CF6476"/>
    <w:rsid w:val="00CF7542"/>
    <w:rsid w:val="00D0147C"/>
    <w:rsid w:val="00D01566"/>
    <w:rsid w:val="00D0269A"/>
    <w:rsid w:val="00D05303"/>
    <w:rsid w:val="00D053B0"/>
    <w:rsid w:val="00D05FDF"/>
    <w:rsid w:val="00D06E59"/>
    <w:rsid w:val="00D11B98"/>
    <w:rsid w:val="00D13858"/>
    <w:rsid w:val="00D14E8A"/>
    <w:rsid w:val="00D15FAB"/>
    <w:rsid w:val="00D22C17"/>
    <w:rsid w:val="00D22E6B"/>
    <w:rsid w:val="00D2395C"/>
    <w:rsid w:val="00D23AFB"/>
    <w:rsid w:val="00D24EBB"/>
    <w:rsid w:val="00D2592A"/>
    <w:rsid w:val="00D26D5E"/>
    <w:rsid w:val="00D30B52"/>
    <w:rsid w:val="00D31891"/>
    <w:rsid w:val="00D31FBE"/>
    <w:rsid w:val="00D327AC"/>
    <w:rsid w:val="00D32D8D"/>
    <w:rsid w:val="00D333E3"/>
    <w:rsid w:val="00D3354E"/>
    <w:rsid w:val="00D33611"/>
    <w:rsid w:val="00D3546A"/>
    <w:rsid w:val="00D37110"/>
    <w:rsid w:val="00D400BC"/>
    <w:rsid w:val="00D40D98"/>
    <w:rsid w:val="00D411F5"/>
    <w:rsid w:val="00D456DF"/>
    <w:rsid w:val="00D45CB7"/>
    <w:rsid w:val="00D4601F"/>
    <w:rsid w:val="00D4673E"/>
    <w:rsid w:val="00D46838"/>
    <w:rsid w:val="00D46E35"/>
    <w:rsid w:val="00D4775C"/>
    <w:rsid w:val="00D47993"/>
    <w:rsid w:val="00D47B13"/>
    <w:rsid w:val="00D50EBC"/>
    <w:rsid w:val="00D529A0"/>
    <w:rsid w:val="00D53269"/>
    <w:rsid w:val="00D550BE"/>
    <w:rsid w:val="00D552F9"/>
    <w:rsid w:val="00D56BC5"/>
    <w:rsid w:val="00D56DC3"/>
    <w:rsid w:val="00D617AD"/>
    <w:rsid w:val="00D620DD"/>
    <w:rsid w:val="00D626CE"/>
    <w:rsid w:val="00D629FA"/>
    <w:rsid w:val="00D6311D"/>
    <w:rsid w:val="00D634A0"/>
    <w:rsid w:val="00D64C9B"/>
    <w:rsid w:val="00D65D51"/>
    <w:rsid w:val="00D670F8"/>
    <w:rsid w:val="00D67794"/>
    <w:rsid w:val="00D7078E"/>
    <w:rsid w:val="00D70C52"/>
    <w:rsid w:val="00D713E5"/>
    <w:rsid w:val="00D71F2B"/>
    <w:rsid w:val="00D729D1"/>
    <w:rsid w:val="00D76629"/>
    <w:rsid w:val="00D775D1"/>
    <w:rsid w:val="00D77BF4"/>
    <w:rsid w:val="00D81877"/>
    <w:rsid w:val="00D842EA"/>
    <w:rsid w:val="00D848BC"/>
    <w:rsid w:val="00D87E01"/>
    <w:rsid w:val="00D90F1B"/>
    <w:rsid w:val="00D9101B"/>
    <w:rsid w:val="00D92DB7"/>
    <w:rsid w:val="00D94466"/>
    <w:rsid w:val="00D947B3"/>
    <w:rsid w:val="00D94AC4"/>
    <w:rsid w:val="00D955F9"/>
    <w:rsid w:val="00D95D1C"/>
    <w:rsid w:val="00D964DE"/>
    <w:rsid w:val="00D96554"/>
    <w:rsid w:val="00D97E29"/>
    <w:rsid w:val="00DA0DD8"/>
    <w:rsid w:val="00DA2FD6"/>
    <w:rsid w:val="00DA59E4"/>
    <w:rsid w:val="00DA5CB2"/>
    <w:rsid w:val="00DA6A16"/>
    <w:rsid w:val="00DA7430"/>
    <w:rsid w:val="00DB48F8"/>
    <w:rsid w:val="00DB4A8C"/>
    <w:rsid w:val="00DB4BC9"/>
    <w:rsid w:val="00DB5357"/>
    <w:rsid w:val="00DB5C75"/>
    <w:rsid w:val="00DB5F4D"/>
    <w:rsid w:val="00DB699B"/>
    <w:rsid w:val="00DB7E25"/>
    <w:rsid w:val="00DB7FA6"/>
    <w:rsid w:val="00DB7FC0"/>
    <w:rsid w:val="00DC0DB5"/>
    <w:rsid w:val="00DC14AD"/>
    <w:rsid w:val="00DC4C54"/>
    <w:rsid w:val="00DC585F"/>
    <w:rsid w:val="00DC788C"/>
    <w:rsid w:val="00DC7E44"/>
    <w:rsid w:val="00DD04C1"/>
    <w:rsid w:val="00DD0DE2"/>
    <w:rsid w:val="00DD11C8"/>
    <w:rsid w:val="00DD22CB"/>
    <w:rsid w:val="00DD456F"/>
    <w:rsid w:val="00DD51CF"/>
    <w:rsid w:val="00DD5214"/>
    <w:rsid w:val="00DD5EA6"/>
    <w:rsid w:val="00DD6E89"/>
    <w:rsid w:val="00DE0286"/>
    <w:rsid w:val="00DE07AB"/>
    <w:rsid w:val="00DE0DAC"/>
    <w:rsid w:val="00DE2C5B"/>
    <w:rsid w:val="00DE32C1"/>
    <w:rsid w:val="00DE3508"/>
    <w:rsid w:val="00DE368A"/>
    <w:rsid w:val="00DE42A8"/>
    <w:rsid w:val="00DE5481"/>
    <w:rsid w:val="00DE633D"/>
    <w:rsid w:val="00DF070C"/>
    <w:rsid w:val="00DF0FD3"/>
    <w:rsid w:val="00DF1684"/>
    <w:rsid w:val="00DF175C"/>
    <w:rsid w:val="00DF2045"/>
    <w:rsid w:val="00DF388B"/>
    <w:rsid w:val="00DF4192"/>
    <w:rsid w:val="00DF436D"/>
    <w:rsid w:val="00DF583C"/>
    <w:rsid w:val="00DF5A26"/>
    <w:rsid w:val="00E02FCB"/>
    <w:rsid w:val="00E033F9"/>
    <w:rsid w:val="00E0548B"/>
    <w:rsid w:val="00E068B5"/>
    <w:rsid w:val="00E070D7"/>
    <w:rsid w:val="00E07145"/>
    <w:rsid w:val="00E101AA"/>
    <w:rsid w:val="00E11847"/>
    <w:rsid w:val="00E11DFC"/>
    <w:rsid w:val="00E15B09"/>
    <w:rsid w:val="00E16DF8"/>
    <w:rsid w:val="00E23562"/>
    <w:rsid w:val="00E24ECC"/>
    <w:rsid w:val="00E25391"/>
    <w:rsid w:val="00E25DC1"/>
    <w:rsid w:val="00E306F5"/>
    <w:rsid w:val="00E315CC"/>
    <w:rsid w:val="00E32B0D"/>
    <w:rsid w:val="00E34F69"/>
    <w:rsid w:val="00E35C51"/>
    <w:rsid w:val="00E40095"/>
    <w:rsid w:val="00E427CC"/>
    <w:rsid w:val="00E442D2"/>
    <w:rsid w:val="00E47C77"/>
    <w:rsid w:val="00E47D80"/>
    <w:rsid w:val="00E5130D"/>
    <w:rsid w:val="00E51F2E"/>
    <w:rsid w:val="00E53479"/>
    <w:rsid w:val="00E572F9"/>
    <w:rsid w:val="00E57561"/>
    <w:rsid w:val="00E62138"/>
    <w:rsid w:val="00E62F33"/>
    <w:rsid w:val="00E62FEB"/>
    <w:rsid w:val="00E668FA"/>
    <w:rsid w:val="00E66D63"/>
    <w:rsid w:val="00E70AF9"/>
    <w:rsid w:val="00E710F2"/>
    <w:rsid w:val="00E7197E"/>
    <w:rsid w:val="00E7727A"/>
    <w:rsid w:val="00E7754C"/>
    <w:rsid w:val="00E80538"/>
    <w:rsid w:val="00E80FD5"/>
    <w:rsid w:val="00E87334"/>
    <w:rsid w:val="00E90940"/>
    <w:rsid w:val="00E91D4C"/>
    <w:rsid w:val="00E92C1B"/>
    <w:rsid w:val="00E93B23"/>
    <w:rsid w:val="00E951CB"/>
    <w:rsid w:val="00E956E3"/>
    <w:rsid w:val="00E957D6"/>
    <w:rsid w:val="00E9761A"/>
    <w:rsid w:val="00EA0236"/>
    <w:rsid w:val="00EA04AC"/>
    <w:rsid w:val="00EA30B2"/>
    <w:rsid w:val="00EA36E8"/>
    <w:rsid w:val="00EA37DC"/>
    <w:rsid w:val="00EA4642"/>
    <w:rsid w:val="00EA4B23"/>
    <w:rsid w:val="00EA556C"/>
    <w:rsid w:val="00EA56EC"/>
    <w:rsid w:val="00EA5F49"/>
    <w:rsid w:val="00EA62E4"/>
    <w:rsid w:val="00EA63DE"/>
    <w:rsid w:val="00EA64CF"/>
    <w:rsid w:val="00EB04DA"/>
    <w:rsid w:val="00EB3468"/>
    <w:rsid w:val="00EB40AE"/>
    <w:rsid w:val="00EB4844"/>
    <w:rsid w:val="00EB555B"/>
    <w:rsid w:val="00EB5983"/>
    <w:rsid w:val="00EB704E"/>
    <w:rsid w:val="00EC26A9"/>
    <w:rsid w:val="00EC3C56"/>
    <w:rsid w:val="00EC57D0"/>
    <w:rsid w:val="00ED128D"/>
    <w:rsid w:val="00ED1B73"/>
    <w:rsid w:val="00ED1D36"/>
    <w:rsid w:val="00ED2B27"/>
    <w:rsid w:val="00ED3201"/>
    <w:rsid w:val="00ED3B25"/>
    <w:rsid w:val="00ED3D35"/>
    <w:rsid w:val="00ED515A"/>
    <w:rsid w:val="00ED7CEF"/>
    <w:rsid w:val="00ED7E73"/>
    <w:rsid w:val="00EE0E30"/>
    <w:rsid w:val="00EE1BE4"/>
    <w:rsid w:val="00EE1E28"/>
    <w:rsid w:val="00EE24EC"/>
    <w:rsid w:val="00EE27D0"/>
    <w:rsid w:val="00EE5207"/>
    <w:rsid w:val="00EE74B2"/>
    <w:rsid w:val="00EE7FF2"/>
    <w:rsid w:val="00EF067C"/>
    <w:rsid w:val="00EF0853"/>
    <w:rsid w:val="00EF1F8C"/>
    <w:rsid w:val="00EF6105"/>
    <w:rsid w:val="00EF7482"/>
    <w:rsid w:val="00F010D4"/>
    <w:rsid w:val="00F01467"/>
    <w:rsid w:val="00F0211B"/>
    <w:rsid w:val="00F02F62"/>
    <w:rsid w:val="00F036E7"/>
    <w:rsid w:val="00F06F48"/>
    <w:rsid w:val="00F078CD"/>
    <w:rsid w:val="00F078DC"/>
    <w:rsid w:val="00F10928"/>
    <w:rsid w:val="00F10B19"/>
    <w:rsid w:val="00F1180C"/>
    <w:rsid w:val="00F121F5"/>
    <w:rsid w:val="00F13BEC"/>
    <w:rsid w:val="00F13C6F"/>
    <w:rsid w:val="00F14F04"/>
    <w:rsid w:val="00F15F88"/>
    <w:rsid w:val="00F167B9"/>
    <w:rsid w:val="00F17005"/>
    <w:rsid w:val="00F20D95"/>
    <w:rsid w:val="00F22CF7"/>
    <w:rsid w:val="00F232B7"/>
    <w:rsid w:val="00F26492"/>
    <w:rsid w:val="00F26EC0"/>
    <w:rsid w:val="00F30B28"/>
    <w:rsid w:val="00F315FC"/>
    <w:rsid w:val="00F32F5B"/>
    <w:rsid w:val="00F35A60"/>
    <w:rsid w:val="00F35A80"/>
    <w:rsid w:val="00F36897"/>
    <w:rsid w:val="00F37312"/>
    <w:rsid w:val="00F37BAA"/>
    <w:rsid w:val="00F40705"/>
    <w:rsid w:val="00F40EE9"/>
    <w:rsid w:val="00F43D0E"/>
    <w:rsid w:val="00F4483F"/>
    <w:rsid w:val="00F44C39"/>
    <w:rsid w:val="00F46137"/>
    <w:rsid w:val="00F470BB"/>
    <w:rsid w:val="00F50F9E"/>
    <w:rsid w:val="00F51556"/>
    <w:rsid w:val="00F518D7"/>
    <w:rsid w:val="00F519C2"/>
    <w:rsid w:val="00F524A2"/>
    <w:rsid w:val="00F532F5"/>
    <w:rsid w:val="00F53F35"/>
    <w:rsid w:val="00F550EC"/>
    <w:rsid w:val="00F557A9"/>
    <w:rsid w:val="00F56B21"/>
    <w:rsid w:val="00F57C7A"/>
    <w:rsid w:val="00F61378"/>
    <w:rsid w:val="00F62917"/>
    <w:rsid w:val="00F6594C"/>
    <w:rsid w:val="00F66A54"/>
    <w:rsid w:val="00F7061E"/>
    <w:rsid w:val="00F71BAE"/>
    <w:rsid w:val="00F72622"/>
    <w:rsid w:val="00F733F5"/>
    <w:rsid w:val="00F76805"/>
    <w:rsid w:val="00F808CA"/>
    <w:rsid w:val="00F826E5"/>
    <w:rsid w:val="00F82E5B"/>
    <w:rsid w:val="00F837E4"/>
    <w:rsid w:val="00F84AC9"/>
    <w:rsid w:val="00F84C53"/>
    <w:rsid w:val="00F86C4C"/>
    <w:rsid w:val="00F8771B"/>
    <w:rsid w:val="00F906ED"/>
    <w:rsid w:val="00F9319F"/>
    <w:rsid w:val="00F93C47"/>
    <w:rsid w:val="00F97D95"/>
    <w:rsid w:val="00FA0A7B"/>
    <w:rsid w:val="00FA0E5D"/>
    <w:rsid w:val="00FA0FB0"/>
    <w:rsid w:val="00FA2401"/>
    <w:rsid w:val="00FA294D"/>
    <w:rsid w:val="00FA373E"/>
    <w:rsid w:val="00FA3C7B"/>
    <w:rsid w:val="00FA4013"/>
    <w:rsid w:val="00FA5C37"/>
    <w:rsid w:val="00FA6334"/>
    <w:rsid w:val="00FB16C1"/>
    <w:rsid w:val="00FB2A3D"/>
    <w:rsid w:val="00FB42D7"/>
    <w:rsid w:val="00FB49DF"/>
    <w:rsid w:val="00FB6985"/>
    <w:rsid w:val="00FC1F4B"/>
    <w:rsid w:val="00FC2726"/>
    <w:rsid w:val="00FC38A9"/>
    <w:rsid w:val="00FC394D"/>
    <w:rsid w:val="00FC3AA7"/>
    <w:rsid w:val="00FC53B9"/>
    <w:rsid w:val="00FC7C79"/>
    <w:rsid w:val="00FD239F"/>
    <w:rsid w:val="00FD29AA"/>
    <w:rsid w:val="00FD3F85"/>
    <w:rsid w:val="00FD72B4"/>
    <w:rsid w:val="00FD7991"/>
    <w:rsid w:val="00FD7A6D"/>
    <w:rsid w:val="00FE3056"/>
    <w:rsid w:val="00FE3C85"/>
    <w:rsid w:val="00FE51BB"/>
    <w:rsid w:val="00FE62FD"/>
    <w:rsid w:val="00FE65F8"/>
    <w:rsid w:val="00FE7F13"/>
    <w:rsid w:val="00FF0A33"/>
    <w:rsid w:val="00FF3EEB"/>
    <w:rsid w:val="00FF6FEF"/>
    <w:rsid w:val="00FF783E"/>
    <w:rsid w:val="01C36227"/>
    <w:rsid w:val="027052E1"/>
    <w:rsid w:val="03022BC9"/>
    <w:rsid w:val="03BA48E0"/>
    <w:rsid w:val="040E6384"/>
    <w:rsid w:val="041F7AA0"/>
    <w:rsid w:val="045F01FD"/>
    <w:rsid w:val="04B81FE1"/>
    <w:rsid w:val="06C93623"/>
    <w:rsid w:val="073E3536"/>
    <w:rsid w:val="075448F9"/>
    <w:rsid w:val="0765231F"/>
    <w:rsid w:val="08103EAC"/>
    <w:rsid w:val="08366198"/>
    <w:rsid w:val="08D53F88"/>
    <w:rsid w:val="08DC1770"/>
    <w:rsid w:val="0A4E5371"/>
    <w:rsid w:val="0AC16E06"/>
    <w:rsid w:val="0AFD0089"/>
    <w:rsid w:val="0B095E40"/>
    <w:rsid w:val="0D2E1DEA"/>
    <w:rsid w:val="0DE069CF"/>
    <w:rsid w:val="0F5238DA"/>
    <w:rsid w:val="0F59331F"/>
    <w:rsid w:val="0FB82E9B"/>
    <w:rsid w:val="0FC402ED"/>
    <w:rsid w:val="108A625F"/>
    <w:rsid w:val="119B2E9F"/>
    <w:rsid w:val="121A00D2"/>
    <w:rsid w:val="129A47D2"/>
    <w:rsid w:val="13065C9A"/>
    <w:rsid w:val="1388382D"/>
    <w:rsid w:val="140F242B"/>
    <w:rsid w:val="146D3F4D"/>
    <w:rsid w:val="16132663"/>
    <w:rsid w:val="17F71447"/>
    <w:rsid w:val="18104C8B"/>
    <w:rsid w:val="18583AFC"/>
    <w:rsid w:val="19606625"/>
    <w:rsid w:val="19B461C2"/>
    <w:rsid w:val="1A746E08"/>
    <w:rsid w:val="1B745D56"/>
    <w:rsid w:val="1BB50541"/>
    <w:rsid w:val="1BD97A21"/>
    <w:rsid w:val="1C272FE7"/>
    <w:rsid w:val="1C53025A"/>
    <w:rsid w:val="1C9D7DA8"/>
    <w:rsid w:val="1C9E3E1F"/>
    <w:rsid w:val="1D8073EC"/>
    <w:rsid w:val="1E6D5907"/>
    <w:rsid w:val="20657133"/>
    <w:rsid w:val="20794E69"/>
    <w:rsid w:val="21041449"/>
    <w:rsid w:val="21471F6A"/>
    <w:rsid w:val="22007331"/>
    <w:rsid w:val="221E4194"/>
    <w:rsid w:val="23DC55BB"/>
    <w:rsid w:val="24762412"/>
    <w:rsid w:val="24C357B0"/>
    <w:rsid w:val="24C97DC4"/>
    <w:rsid w:val="27087C3B"/>
    <w:rsid w:val="27C36CE4"/>
    <w:rsid w:val="28E907D3"/>
    <w:rsid w:val="29777714"/>
    <w:rsid w:val="2A8604A3"/>
    <w:rsid w:val="2A9D18A5"/>
    <w:rsid w:val="2B205DC2"/>
    <w:rsid w:val="2B536F73"/>
    <w:rsid w:val="2BE525C9"/>
    <w:rsid w:val="2C743382"/>
    <w:rsid w:val="2CEB2788"/>
    <w:rsid w:val="2D1009C0"/>
    <w:rsid w:val="2DE833DF"/>
    <w:rsid w:val="2E20353A"/>
    <w:rsid w:val="2EC94170"/>
    <w:rsid w:val="2F367F1D"/>
    <w:rsid w:val="2F5E773E"/>
    <w:rsid w:val="30B91D65"/>
    <w:rsid w:val="30D0360F"/>
    <w:rsid w:val="31F43DD9"/>
    <w:rsid w:val="327240D7"/>
    <w:rsid w:val="34E75B0B"/>
    <w:rsid w:val="36542E40"/>
    <w:rsid w:val="36856C33"/>
    <w:rsid w:val="395B6B9D"/>
    <w:rsid w:val="3AA07A18"/>
    <w:rsid w:val="3AF901D7"/>
    <w:rsid w:val="3D4407AF"/>
    <w:rsid w:val="3D934205"/>
    <w:rsid w:val="3DC10CAA"/>
    <w:rsid w:val="3E635E20"/>
    <w:rsid w:val="3E654165"/>
    <w:rsid w:val="3F0F6A1B"/>
    <w:rsid w:val="3F172ECD"/>
    <w:rsid w:val="3F9625DF"/>
    <w:rsid w:val="40962A39"/>
    <w:rsid w:val="40A256BD"/>
    <w:rsid w:val="43A90BB9"/>
    <w:rsid w:val="442109B4"/>
    <w:rsid w:val="44A97ABF"/>
    <w:rsid w:val="45046E83"/>
    <w:rsid w:val="45C66EB9"/>
    <w:rsid w:val="46397AF1"/>
    <w:rsid w:val="472549FC"/>
    <w:rsid w:val="47623644"/>
    <w:rsid w:val="48A33864"/>
    <w:rsid w:val="4A1E6C81"/>
    <w:rsid w:val="4C706679"/>
    <w:rsid w:val="4D8E1C0F"/>
    <w:rsid w:val="4E075B2A"/>
    <w:rsid w:val="4E281229"/>
    <w:rsid w:val="4E4C45D0"/>
    <w:rsid w:val="4EC34774"/>
    <w:rsid w:val="4FCA01A8"/>
    <w:rsid w:val="511A3820"/>
    <w:rsid w:val="51CC43C2"/>
    <w:rsid w:val="527E7136"/>
    <w:rsid w:val="530A02A1"/>
    <w:rsid w:val="53241FAA"/>
    <w:rsid w:val="542D06A5"/>
    <w:rsid w:val="559F5000"/>
    <w:rsid w:val="55B826F8"/>
    <w:rsid w:val="55F849F8"/>
    <w:rsid w:val="56C11F8C"/>
    <w:rsid w:val="56F402C7"/>
    <w:rsid w:val="575791D0"/>
    <w:rsid w:val="575F1A69"/>
    <w:rsid w:val="57961075"/>
    <w:rsid w:val="58B24FA2"/>
    <w:rsid w:val="595A2449"/>
    <w:rsid w:val="59956682"/>
    <w:rsid w:val="59BB2278"/>
    <w:rsid w:val="59FF14F2"/>
    <w:rsid w:val="5B060BFE"/>
    <w:rsid w:val="5BB83634"/>
    <w:rsid w:val="5BEB174C"/>
    <w:rsid w:val="5BFF038D"/>
    <w:rsid w:val="5C60337D"/>
    <w:rsid w:val="5D432CB8"/>
    <w:rsid w:val="5F147686"/>
    <w:rsid w:val="5FF90876"/>
    <w:rsid w:val="60037B35"/>
    <w:rsid w:val="600B5312"/>
    <w:rsid w:val="601F2294"/>
    <w:rsid w:val="614A736C"/>
    <w:rsid w:val="63583BF9"/>
    <w:rsid w:val="642A2653"/>
    <w:rsid w:val="64493F9B"/>
    <w:rsid w:val="662443A4"/>
    <w:rsid w:val="662807E3"/>
    <w:rsid w:val="662948BB"/>
    <w:rsid w:val="66737368"/>
    <w:rsid w:val="66C813AB"/>
    <w:rsid w:val="66DE2DD5"/>
    <w:rsid w:val="67095D94"/>
    <w:rsid w:val="673355A1"/>
    <w:rsid w:val="67850F32"/>
    <w:rsid w:val="67BFEB81"/>
    <w:rsid w:val="68307CB6"/>
    <w:rsid w:val="6886693C"/>
    <w:rsid w:val="688A1468"/>
    <w:rsid w:val="698442BD"/>
    <w:rsid w:val="699A281C"/>
    <w:rsid w:val="6BA0475F"/>
    <w:rsid w:val="6D417D2E"/>
    <w:rsid w:val="6E4269D3"/>
    <w:rsid w:val="6FC406AC"/>
    <w:rsid w:val="6FC86A6F"/>
    <w:rsid w:val="70510B90"/>
    <w:rsid w:val="70A45651"/>
    <w:rsid w:val="717E09BA"/>
    <w:rsid w:val="729F70DD"/>
    <w:rsid w:val="72EB132A"/>
    <w:rsid w:val="741F5A53"/>
    <w:rsid w:val="74F0285C"/>
    <w:rsid w:val="751E4F13"/>
    <w:rsid w:val="76D03FE0"/>
    <w:rsid w:val="792E4BD4"/>
    <w:rsid w:val="799626C8"/>
    <w:rsid w:val="7B762CE1"/>
    <w:rsid w:val="7C1B3B4D"/>
    <w:rsid w:val="7D60359A"/>
    <w:rsid w:val="7E7E3752"/>
    <w:rsid w:val="7E840112"/>
    <w:rsid w:val="7E9A15A6"/>
    <w:rsid w:val="7EFF0D03"/>
    <w:rsid w:val="7F579BF3"/>
    <w:rsid w:val="7FE17A0C"/>
    <w:rsid w:val="B9EF3076"/>
    <w:rsid w:val="DFFF7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53"/>
    <w:qFormat/>
    <w:uiPriority w:val="0"/>
    <w:pPr>
      <w:keepNext/>
      <w:keepLines/>
      <w:spacing w:before="260" w:after="260" w:line="415" w:lineRule="auto"/>
      <w:outlineLvl w:val="1"/>
    </w:pPr>
    <w:rPr>
      <w:rFonts w:ascii="Cambria" w:hAnsi="Cambria" w:cs="宋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ind w:left="1260"/>
      <w:jc w:val="left"/>
    </w:pPr>
    <w:rPr>
      <w:sz w:val="18"/>
      <w:szCs w:val="18"/>
    </w:rPr>
  </w:style>
  <w:style w:type="paragraph" w:styleId="5">
    <w:name w:val="Normal Indent"/>
    <w:basedOn w:val="1"/>
    <w:link w:val="48"/>
    <w:qFormat/>
    <w:uiPriority w:val="0"/>
    <w:pPr>
      <w:ind w:firstLine="420" w:firstLineChars="200"/>
    </w:pPr>
    <w:rPr>
      <w:szCs w:val="24"/>
    </w:rPr>
  </w:style>
  <w:style w:type="paragraph" w:styleId="6">
    <w:name w:val="Document Map"/>
    <w:basedOn w:val="1"/>
    <w:link w:val="47"/>
    <w:qFormat/>
    <w:uiPriority w:val="0"/>
    <w:rPr>
      <w:rFonts w:ascii="宋体"/>
      <w:sz w:val="18"/>
      <w:szCs w:val="18"/>
    </w:rPr>
  </w:style>
  <w:style w:type="paragraph" w:styleId="7">
    <w:name w:val="annotation text"/>
    <w:basedOn w:val="1"/>
    <w:link w:val="49"/>
    <w:qFormat/>
    <w:uiPriority w:val="0"/>
    <w:pPr>
      <w:jc w:val="left"/>
    </w:pPr>
  </w:style>
  <w:style w:type="paragraph" w:styleId="8">
    <w:name w:val="Body Text 3"/>
    <w:basedOn w:val="1"/>
    <w:qFormat/>
    <w:uiPriority w:val="0"/>
    <w:pPr>
      <w:spacing w:line="440" w:lineRule="exact"/>
    </w:pPr>
    <w:rPr>
      <w:rFonts w:eastAsia="仿宋_GB2312"/>
      <w:sz w:val="28"/>
    </w:rPr>
  </w:style>
  <w:style w:type="paragraph" w:styleId="9">
    <w:name w:val="Body Text"/>
    <w:basedOn w:val="1"/>
    <w:qFormat/>
    <w:uiPriority w:val="0"/>
    <w:rPr>
      <w:rFonts w:ascii="仿宋_GB2312" w:eastAsia="仿宋_GB2312"/>
      <w:sz w:val="32"/>
    </w:rPr>
  </w:style>
  <w:style w:type="paragraph" w:styleId="10">
    <w:name w:val="Body Text Indent"/>
    <w:basedOn w:val="1"/>
    <w:qFormat/>
    <w:uiPriority w:val="0"/>
    <w:pPr>
      <w:spacing w:before="120" w:line="400" w:lineRule="exact"/>
      <w:ind w:firstLine="600"/>
    </w:pPr>
    <w:rPr>
      <w:sz w:val="28"/>
    </w:rPr>
  </w:style>
  <w:style w:type="paragraph" w:styleId="11">
    <w:name w:val="toc 5"/>
    <w:basedOn w:val="1"/>
    <w:next w:val="1"/>
    <w:semiHidden/>
    <w:qFormat/>
    <w:uiPriority w:val="0"/>
    <w:pPr>
      <w:ind w:left="840"/>
      <w:jc w:val="left"/>
    </w:pPr>
    <w:rPr>
      <w:sz w:val="18"/>
      <w:szCs w:val="18"/>
    </w:rPr>
  </w:style>
  <w:style w:type="paragraph" w:styleId="12">
    <w:name w:val="toc 3"/>
    <w:basedOn w:val="1"/>
    <w:next w:val="1"/>
    <w:semiHidden/>
    <w:qFormat/>
    <w:uiPriority w:val="0"/>
    <w:pPr>
      <w:tabs>
        <w:tab w:val="right" w:leader="dot" w:pos="8989"/>
      </w:tabs>
      <w:spacing w:line="440" w:lineRule="exact"/>
      <w:ind w:left="420"/>
      <w:jc w:val="left"/>
    </w:pPr>
    <w:rPr>
      <w:rFonts w:ascii="宋体" w:hAnsi="宋体"/>
      <w:b/>
      <w:bCs/>
      <w:iCs/>
      <w:szCs w:val="21"/>
    </w:rPr>
  </w:style>
  <w:style w:type="paragraph" w:styleId="13">
    <w:name w:val="Plain Text"/>
    <w:basedOn w:val="1"/>
    <w:link w:val="54"/>
    <w:qFormat/>
    <w:uiPriority w:val="99"/>
    <w:rPr>
      <w:rFonts w:ascii="宋体" w:hAnsi="Courier New"/>
    </w:rPr>
  </w:style>
  <w:style w:type="paragraph" w:styleId="14">
    <w:name w:val="toc 8"/>
    <w:basedOn w:val="1"/>
    <w:next w:val="1"/>
    <w:semiHidden/>
    <w:qFormat/>
    <w:uiPriority w:val="0"/>
    <w:pPr>
      <w:ind w:left="1470"/>
      <w:jc w:val="left"/>
    </w:pPr>
    <w:rPr>
      <w:sz w:val="18"/>
      <w:szCs w:val="18"/>
    </w:rPr>
  </w:style>
  <w:style w:type="paragraph" w:styleId="15">
    <w:name w:val="Date"/>
    <w:basedOn w:val="1"/>
    <w:next w:val="1"/>
    <w:qFormat/>
    <w:uiPriority w:val="0"/>
    <w:pPr>
      <w:adjustRightInd w:val="0"/>
      <w:spacing w:line="312" w:lineRule="atLeast"/>
      <w:jc w:val="right"/>
      <w:textAlignment w:val="baseline"/>
    </w:pPr>
    <w:rPr>
      <w:kern w:val="0"/>
      <w:sz w:val="32"/>
    </w:rPr>
  </w:style>
  <w:style w:type="paragraph" w:styleId="16">
    <w:name w:val="Body Text Indent 2"/>
    <w:basedOn w:val="1"/>
    <w:qFormat/>
    <w:uiPriority w:val="0"/>
    <w:pPr>
      <w:autoSpaceDE w:val="0"/>
      <w:autoSpaceDN w:val="0"/>
      <w:adjustRightInd w:val="0"/>
      <w:spacing w:line="360" w:lineRule="auto"/>
      <w:ind w:left="560" w:firstLine="565"/>
      <w:jc w:val="left"/>
      <w:textAlignment w:val="baseline"/>
    </w:pPr>
    <w:rPr>
      <w:rFonts w:ascii="宋体"/>
      <w:kern w:val="0"/>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autoSpaceDE w:val="0"/>
      <w:autoSpaceDN w:val="0"/>
      <w:adjustRightInd w:val="0"/>
      <w:jc w:val="left"/>
      <w:textAlignment w:val="baseline"/>
    </w:pPr>
    <w:rPr>
      <w:rFonts w:ascii="宋体"/>
      <w:kern w:val="0"/>
      <w:sz w:val="18"/>
    </w:rPr>
  </w:style>
  <w:style w:type="paragraph" w:styleId="19">
    <w:name w:val="header"/>
    <w:basedOn w:val="1"/>
    <w:link w:val="52"/>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rPr>
  </w:style>
  <w:style w:type="paragraph" w:styleId="20">
    <w:name w:val="toc 1"/>
    <w:basedOn w:val="1"/>
    <w:next w:val="1"/>
    <w:semiHidden/>
    <w:qFormat/>
    <w:uiPriority w:val="0"/>
    <w:pPr>
      <w:tabs>
        <w:tab w:val="right" w:leader="dot" w:pos="8989"/>
      </w:tabs>
      <w:spacing w:line="440" w:lineRule="exact"/>
    </w:pPr>
    <w:rPr>
      <w:rFonts w:ascii="宋体" w:hAnsi="宋体"/>
      <w:b/>
      <w:bCs/>
      <w:caps/>
      <w:szCs w:val="21"/>
    </w:rPr>
  </w:style>
  <w:style w:type="paragraph" w:styleId="21">
    <w:name w:val="toc 4"/>
    <w:basedOn w:val="1"/>
    <w:next w:val="1"/>
    <w:semiHidden/>
    <w:qFormat/>
    <w:uiPriority w:val="0"/>
    <w:pPr>
      <w:ind w:left="630"/>
      <w:jc w:val="left"/>
    </w:pPr>
    <w:rPr>
      <w:sz w:val="18"/>
      <w:szCs w:val="18"/>
    </w:rPr>
  </w:style>
  <w:style w:type="paragraph" w:styleId="22">
    <w:name w:val="toc 6"/>
    <w:basedOn w:val="1"/>
    <w:next w:val="1"/>
    <w:semiHidden/>
    <w:qFormat/>
    <w:uiPriority w:val="0"/>
    <w:pPr>
      <w:ind w:left="1050"/>
      <w:jc w:val="left"/>
    </w:pPr>
    <w:rPr>
      <w:sz w:val="18"/>
      <w:szCs w:val="18"/>
    </w:rPr>
  </w:style>
  <w:style w:type="paragraph" w:styleId="23">
    <w:name w:val="Body Text Indent 3"/>
    <w:basedOn w:val="1"/>
    <w:qFormat/>
    <w:uiPriority w:val="0"/>
    <w:pPr>
      <w:autoSpaceDE w:val="0"/>
      <w:autoSpaceDN w:val="0"/>
      <w:adjustRightInd w:val="0"/>
      <w:spacing w:line="360" w:lineRule="auto"/>
      <w:ind w:left="560"/>
      <w:jc w:val="left"/>
      <w:textAlignment w:val="baseline"/>
    </w:pPr>
    <w:rPr>
      <w:rFonts w:ascii="宋体"/>
      <w:kern w:val="0"/>
      <w:sz w:val="28"/>
    </w:rPr>
  </w:style>
  <w:style w:type="paragraph" w:styleId="24">
    <w:name w:val="toc 2"/>
    <w:basedOn w:val="1"/>
    <w:next w:val="1"/>
    <w:semiHidden/>
    <w:qFormat/>
    <w:uiPriority w:val="0"/>
    <w:pPr>
      <w:ind w:left="210"/>
      <w:jc w:val="left"/>
    </w:pPr>
    <w:rPr>
      <w:smallCaps/>
      <w:sz w:val="20"/>
    </w:rPr>
  </w:style>
  <w:style w:type="paragraph" w:styleId="25">
    <w:name w:val="toc 9"/>
    <w:basedOn w:val="1"/>
    <w:next w:val="1"/>
    <w:semiHidden/>
    <w:qFormat/>
    <w:uiPriority w:val="0"/>
    <w:pPr>
      <w:ind w:left="1680"/>
      <w:jc w:val="left"/>
    </w:pPr>
    <w:rPr>
      <w:sz w:val="18"/>
      <w:szCs w:val="18"/>
    </w:rPr>
  </w:style>
  <w:style w:type="paragraph" w:styleId="26">
    <w:name w:val="Body Text 2"/>
    <w:basedOn w:val="1"/>
    <w:qFormat/>
    <w:uiPriority w:val="0"/>
    <w:rPr>
      <w:rFonts w:ascii="仿宋_GB2312" w:eastAsia="仿宋_GB2312"/>
      <w:b/>
      <w:bCs/>
      <w:spacing w:val="20"/>
      <w:sz w:val="28"/>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9">
    <w:name w:val="annotation subject"/>
    <w:basedOn w:val="7"/>
    <w:next w:val="7"/>
    <w:link w:val="50"/>
    <w:qFormat/>
    <w:uiPriority w:val="0"/>
    <w:rPr>
      <w:b/>
      <w:bCs/>
    </w:rPr>
  </w:style>
  <w:style w:type="paragraph" w:styleId="30">
    <w:name w:val="Body Text First Indent"/>
    <w:basedOn w:val="9"/>
    <w:qFormat/>
    <w:uiPriority w:val="99"/>
    <w:pPr>
      <w:spacing w:after="120"/>
      <w:ind w:firstLine="420" w:firstLineChars="100"/>
    </w:pPr>
    <w:rPr>
      <w:sz w:val="21"/>
    </w:rPr>
  </w:style>
  <w:style w:type="table" w:styleId="32">
    <w:name w:val="Table Grid"/>
    <w:basedOn w:val="31"/>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basedOn w:val="33"/>
    <w:qFormat/>
    <w:uiPriority w:val="0"/>
    <w:rPr>
      <w:color w:val="0000FF"/>
      <w:u w:val="none"/>
    </w:rPr>
  </w:style>
  <w:style w:type="character" w:styleId="37">
    <w:name w:val="annotation reference"/>
    <w:basedOn w:val="33"/>
    <w:qFormat/>
    <w:uiPriority w:val="0"/>
    <w:rPr>
      <w:sz w:val="21"/>
      <w:szCs w:val="21"/>
    </w:rPr>
  </w:style>
  <w:style w:type="paragraph" w:customStyle="1" w:styleId="38">
    <w:name w:val="Char Char Char Char"/>
    <w:basedOn w:val="1"/>
    <w:qFormat/>
    <w:uiPriority w:val="0"/>
    <w:rPr>
      <w:rFonts w:ascii="Tahoma" w:hAnsi="Tahoma"/>
      <w:sz w:val="24"/>
    </w:rPr>
  </w:style>
  <w:style w:type="paragraph" w:customStyle="1" w:styleId="39">
    <w:name w:val="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0">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1">
    <w:name w:val="Char1"/>
    <w:basedOn w:val="1"/>
    <w:qFormat/>
    <w:uiPriority w:val="0"/>
    <w:pPr>
      <w:adjustRightInd w:val="0"/>
      <w:spacing w:line="360" w:lineRule="auto"/>
    </w:pPr>
    <w:rPr>
      <w:kern w:val="0"/>
      <w:sz w:val="24"/>
    </w:rPr>
  </w:style>
  <w:style w:type="paragraph" w:customStyle="1" w:styleId="42">
    <w:name w:val="Char Char1"/>
    <w:basedOn w:val="1"/>
    <w:qFormat/>
    <w:uiPriority w:val="0"/>
    <w:rPr>
      <w:rFonts w:ascii="Tahoma" w:hAnsi="Tahoma" w:cs="Tahoma"/>
      <w:sz w:val="24"/>
      <w:szCs w:val="24"/>
    </w:rPr>
  </w:style>
  <w:style w:type="character" w:customStyle="1" w:styleId="43">
    <w:name w:val="headline-content2"/>
    <w:basedOn w:val="33"/>
    <w:qFormat/>
    <w:uiPriority w:val="0"/>
  </w:style>
  <w:style w:type="paragraph" w:customStyle="1" w:styleId="44">
    <w:name w:val="Char Char11"/>
    <w:basedOn w:val="1"/>
    <w:qFormat/>
    <w:uiPriority w:val="0"/>
    <w:rPr>
      <w:rFonts w:ascii="Tahoma" w:hAnsi="Tahoma" w:cs="Tahoma"/>
      <w:sz w:val="24"/>
      <w:szCs w:val="24"/>
    </w:rPr>
  </w:style>
  <w:style w:type="paragraph" w:customStyle="1" w:styleId="45">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47">
    <w:name w:val="文档结构图 字符"/>
    <w:basedOn w:val="33"/>
    <w:link w:val="6"/>
    <w:qFormat/>
    <w:uiPriority w:val="0"/>
    <w:rPr>
      <w:rFonts w:ascii="宋体"/>
      <w:kern w:val="2"/>
      <w:sz w:val="18"/>
      <w:szCs w:val="18"/>
    </w:rPr>
  </w:style>
  <w:style w:type="character" w:customStyle="1" w:styleId="48">
    <w:name w:val="正文缩进 字符"/>
    <w:basedOn w:val="33"/>
    <w:link w:val="5"/>
    <w:qFormat/>
    <w:uiPriority w:val="0"/>
    <w:rPr>
      <w:kern w:val="2"/>
      <w:sz w:val="21"/>
      <w:szCs w:val="24"/>
    </w:rPr>
  </w:style>
  <w:style w:type="character" w:customStyle="1" w:styleId="49">
    <w:name w:val="批注文字 字符"/>
    <w:basedOn w:val="33"/>
    <w:link w:val="7"/>
    <w:qFormat/>
    <w:uiPriority w:val="0"/>
    <w:rPr>
      <w:kern w:val="2"/>
      <w:sz w:val="21"/>
    </w:rPr>
  </w:style>
  <w:style w:type="character" w:customStyle="1" w:styleId="50">
    <w:name w:val="批注主题 字符"/>
    <w:basedOn w:val="49"/>
    <w:link w:val="29"/>
    <w:qFormat/>
    <w:uiPriority w:val="0"/>
    <w:rPr>
      <w:b/>
      <w:bCs/>
      <w:kern w:val="2"/>
      <w:sz w:val="21"/>
    </w:rPr>
  </w:style>
  <w:style w:type="paragraph" w:styleId="51">
    <w:name w:val="List Paragraph"/>
    <w:basedOn w:val="1"/>
    <w:qFormat/>
    <w:uiPriority w:val="34"/>
    <w:pPr>
      <w:ind w:firstLine="420" w:firstLineChars="200"/>
    </w:pPr>
    <w:rPr>
      <w:rFonts w:ascii="Calibri" w:hAnsi="Calibri"/>
      <w:szCs w:val="22"/>
    </w:rPr>
  </w:style>
  <w:style w:type="character" w:customStyle="1" w:styleId="52">
    <w:name w:val="页眉 字符"/>
    <w:basedOn w:val="33"/>
    <w:link w:val="19"/>
    <w:qFormat/>
    <w:uiPriority w:val="0"/>
    <w:rPr>
      <w:rFonts w:ascii="宋体"/>
      <w:sz w:val="18"/>
    </w:rPr>
  </w:style>
  <w:style w:type="character" w:customStyle="1" w:styleId="53">
    <w:name w:val="标题 2 字符"/>
    <w:basedOn w:val="33"/>
    <w:link w:val="2"/>
    <w:qFormat/>
    <w:uiPriority w:val="0"/>
    <w:rPr>
      <w:rFonts w:ascii="Cambria" w:hAnsi="Cambria" w:cs="宋体"/>
      <w:b/>
      <w:bCs/>
      <w:kern w:val="2"/>
      <w:sz w:val="32"/>
      <w:szCs w:val="32"/>
    </w:rPr>
  </w:style>
  <w:style w:type="character" w:customStyle="1" w:styleId="54">
    <w:name w:val="纯文本 字符"/>
    <w:basedOn w:val="33"/>
    <w:link w:val="13"/>
    <w:qFormat/>
    <w:uiPriority w:val="99"/>
    <w:rPr>
      <w:rFonts w:ascii="宋体" w:hAnsi="Courier New"/>
      <w:kern w:val="2"/>
      <w:sz w:val="21"/>
    </w:rPr>
  </w:style>
  <w:style w:type="paragraph" w:customStyle="1" w:styleId="55">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czj</Company>
  <Pages>64</Pages>
  <Words>4518</Words>
  <Characters>4954</Characters>
  <Lines>328</Lines>
  <Paragraphs>92</Paragraphs>
  <TotalTime>14</TotalTime>
  <ScaleCrop>false</ScaleCrop>
  <LinksUpToDate>false</LinksUpToDate>
  <CharactersWithSpaces>5186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2025-10-16T01:31:00Z</dcterms:created>
  <dc:creator>gaofeng</dc:creator>
  <cp:lastModifiedBy>黎俊</cp:lastModifiedBy>
  <cp:lastPrinted>2010-03-27T00:24:00Z</cp:lastPrinted>
  <dcterms:modified xsi:type="dcterms:W3CDTF">2025-11-03T02:08:09Z</dcterms:modified>
  <dc:title>深圳市行政事业单位</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B31B0BC1C48B4D9398BF20D40342197C_13</vt:lpwstr>
  </property>
  <property fmtid="{D5CDD505-2E9C-101B-9397-08002B2CF9AE}" pid="4" name="KSOTemplateDocerSaveRecord">
    <vt:lpwstr>eyJoZGlkIjoiMWViNjU1YjYxMmE1ZjA1ZGI4YzZiMWU4ZDg3Zjk4MWMiLCJ1c2VySWQiOiIxNDg2ODI2MzgyIn0=</vt:lpwstr>
  </property>
</Properties>
</file>