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color w:val="auto"/>
          <w:sz w:val="72"/>
          <w:szCs w:val="72"/>
          <w:highlight w:val="none"/>
        </w:rPr>
      </w:pPr>
    </w:p>
    <w:p>
      <w:pPr>
        <w:jc w:val="center"/>
        <w:rPr>
          <w:rFonts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ascii="宋体" w:hAnsi="宋体" w:cs="宋体"/>
          <w:color w:val="auto"/>
          <w:highlight w:val="none"/>
        </w:rPr>
      </w:pPr>
    </w:p>
    <w:p>
      <w:pPr>
        <w:rPr>
          <w:rFonts w:ascii="宋体" w:hAnsi="宋体" w:cs="宋体"/>
          <w:color w:val="auto"/>
          <w:highlight w:val="none"/>
        </w:rPr>
      </w:pPr>
    </w:p>
    <w:p>
      <w:pPr>
        <w:pStyle w:val="28"/>
        <w:ind w:firstLine="420"/>
        <w:rPr>
          <w:rFonts w:ascii="宋体" w:hAnsi="宋体" w:cs="宋体"/>
          <w:color w:val="auto"/>
          <w:highlight w:val="none"/>
        </w:rPr>
      </w:pPr>
    </w:p>
    <w:p>
      <w:pPr>
        <w:pStyle w:val="28"/>
        <w:ind w:firstLine="420"/>
        <w:rPr>
          <w:rFonts w:ascii="宋体" w:hAnsi="宋体" w:cs="宋体"/>
          <w:color w:val="auto"/>
          <w:highlight w:val="none"/>
        </w:rPr>
      </w:pPr>
    </w:p>
    <w:p>
      <w:pPr>
        <w:rPr>
          <w:rFonts w:ascii="宋体" w:hAnsi="宋体" w:cs="宋体"/>
          <w:b/>
          <w:color w:val="auto"/>
          <w:sz w:val="44"/>
          <w:highlight w:val="none"/>
        </w:rPr>
      </w:pPr>
    </w:p>
    <w:p>
      <w:pPr>
        <w:ind w:right="-319" w:rightChars="-152"/>
        <w:rPr>
          <w:rFonts w:ascii="宋体" w:hAnsi="宋体" w:cs="宋体"/>
          <w:b/>
          <w:color w:val="auto"/>
          <w:sz w:val="36"/>
          <w:szCs w:val="36"/>
          <w:highlight w:val="none"/>
        </w:rPr>
      </w:pPr>
      <w:r>
        <w:rPr>
          <w:rFonts w:hint="eastAsia" w:ascii="宋体" w:hAnsi="宋体" w:cs="宋体"/>
          <w:b/>
          <w:color w:val="auto"/>
          <w:sz w:val="36"/>
          <w:szCs w:val="36"/>
          <w:highlight w:val="none"/>
        </w:rPr>
        <w:t>招标编号：QH2025100</w:t>
      </w:r>
    </w:p>
    <w:p>
      <w:pPr>
        <w:ind w:firstLine="1142" w:firstLineChars="316"/>
        <w:rPr>
          <w:rFonts w:ascii="宋体" w:hAnsi="宋体" w:cs="宋体"/>
          <w:b/>
          <w:color w:val="auto"/>
          <w:sz w:val="36"/>
          <w:szCs w:val="36"/>
          <w:highlight w:val="none"/>
        </w:rPr>
      </w:pPr>
    </w:p>
    <w:p>
      <w:pPr>
        <w:ind w:firstLine="723" w:firstLineChars="200"/>
        <w:rPr>
          <w:rFonts w:ascii="宋体" w:hAnsi="宋体" w:cs="宋体"/>
          <w:b/>
          <w:color w:val="auto"/>
          <w:sz w:val="36"/>
          <w:szCs w:val="36"/>
          <w:highlight w:val="none"/>
        </w:rPr>
      </w:pPr>
    </w:p>
    <w:p>
      <w:pPr>
        <w:pStyle w:val="28"/>
        <w:ind w:firstLine="420"/>
        <w:rPr>
          <w:rFonts w:ascii="宋体" w:hAnsi="宋体" w:cs="宋体"/>
          <w:color w:val="auto"/>
          <w:highlight w:val="none"/>
        </w:rPr>
      </w:pPr>
    </w:p>
    <w:p>
      <w:pPr>
        <w:pStyle w:val="28"/>
        <w:ind w:firstLine="420"/>
        <w:rPr>
          <w:rFonts w:ascii="宋体" w:hAnsi="宋体" w:cs="宋体"/>
          <w:color w:val="auto"/>
          <w:highlight w:val="none"/>
        </w:rPr>
      </w:pPr>
    </w:p>
    <w:p>
      <w:pPr>
        <w:ind w:right="-319" w:rightChars="-152"/>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招标项目：</w:t>
      </w:r>
      <w:r>
        <w:rPr>
          <w:rFonts w:hint="eastAsia" w:ascii="宋体" w:hAnsi="宋体" w:cs="宋体"/>
          <w:b/>
          <w:color w:val="auto"/>
          <w:sz w:val="36"/>
          <w:szCs w:val="36"/>
          <w:highlight w:val="none"/>
          <w:lang w:eastAsia="zh-CN"/>
        </w:rPr>
        <w:t>前海港澳文艺作品创作及宣推合作项目</w:t>
      </w:r>
    </w:p>
    <w:p>
      <w:pPr>
        <w:ind w:firstLine="3264" w:firstLineChars="739"/>
        <w:rPr>
          <w:rFonts w:ascii="宋体" w:hAnsi="宋体" w:cs="宋体"/>
          <w:b/>
          <w:color w:val="auto"/>
          <w:sz w:val="44"/>
          <w:highlight w:val="none"/>
        </w:rPr>
      </w:pPr>
    </w:p>
    <w:p>
      <w:pPr>
        <w:pStyle w:val="28"/>
        <w:ind w:firstLine="0" w:firstLineChars="0"/>
        <w:rPr>
          <w:rFonts w:ascii="宋体" w:hAnsi="宋体" w:cs="宋体"/>
          <w:color w:val="auto"/>
          <w:highlight w:val="none"/>
        </w:rPr>
      </w:pPr>
    </w:p>
    <w:p>
      <w:pPr>
        <w:rPr>
          <w:rFonts w:ascii="宋体" w:hAnsi="宋体" w:cs="宋体"/>
          <w:b/>
          <w:color w:val="auto"/>
          <w:sz w:val="44"/>
          <w:highlight w:val="none"/>
        </w:rPr>
      </w:pPr>
    </w:p>
    <w:p>
      <w:pPr>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202</w:t>
      </w:r>
      <w:r>
        <w:rPr>
          <w:rFonts w:hint="eastAsia" w:ascii="宋体" w:hAnsi="宋体" w:cs="宋体"/>
          <w:b/>
          <w:bCs/>
          <w:color w:val="auto"/>
          <w:sz w:val="36"/>
          <w:szCs w:val="36"/>
          <w:highlight w:val="none"/>
          <w:lang w:val="en-US" w:eastAsia="zh-CN"/>
        </w:rPr>
        <w:t>5</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10</w:t>
      </w:r>
      <w:r>
        <w:rPr>
          <w:rFonts w:hint="eastAsia" w:ascii="宋体" w:hAnsi="宋体" w:cs="宋体"/>
          <w:b/>
          <w:bCs/>
          <w:color w:val="auto"/>
          <w:sz w:val="36"/>
          <w:szCs w:val="36"/>
          <w:highlight w:val="none"/>
        </w:rPr>
        <w:t>月</w:t>
      </w:r>
    </w:p>
    <w:p>
      <w:pPr>
        <w:autoSpaceDE w:val="0"/>
        <w:autoSpaceDN w:val="0"/>
        <w:adjustRightInd w:val="0"/>
        <w:spacing w:line="24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罚款、取消参与政府采购资格、吊销营业执照等处罚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构成犯罪的，依法追究刑事责任。</w:t>
      </w:r>
    </w:p>
    <w:tbl>
      <w:tblPr>
        <w:tblStyle w:val="20"/>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highlight w:val="none"/>
        </w:rPr>
      </w:pPr>
      <w:r>
        <w:rPr>
          <w:rStyle w:val="22"/>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6"/>
        <w:shd w:val="clear" w:color="auto"/>
        <w:spacing w:before="0" w:beforeAutospacing="0" w:after="0" w:afterAutospacing="0" w:line="240" w:lineRule="auto"/>
        <w:ind w:firstLine="480" w:firstLineChars="200"/>
        <w:rPr>
          <w:color w:val="auto"/>
          <w:highlight w:val="none"/>
        </w:rPr>
      </w:pPr>
      <w:bookmarkStart w:id="1" w:name="_Toc2750"/>
      <w:r>
        <w:rPr>
          <w:rFonts w:hint="eastAsia"/>
          <w:color w:val="auto"/>
          <w:highlight w:val="none"/>
        </w:rPr>
        <w:t>（一）在采购活动中应当回避而未回避的；</w:t>
      </w:r>
      <w:bookmarkEnd w:id="1"/>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（二）未按照本条例规定签订、履行采购合同，造成严重后果的；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（三）隐瞒真实情况，提供虚假资料的；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（四）以非法手段排斥其他供应商参与竞争的；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（五）与其他采购参加人串通投标的；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（六）恶意投诉的；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（七）向采购项目相关人行贿或者提供其他不当利益的；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（八）阻碍、抗拒主管部门监督检查的；</w:t>
      </w:r>
    </w:p>
    <w:p>
      <w:pPr>
        <w:pStyle w:val="16"/>
        <w:shd w:val="clear" w:color="auto"/>
        <w:spacing w:before="0" w:beforeAutospacing="0" w:after="0" w:afterAutospacing="0" w:line="240" w:lineRule="auto"/>
        <w:ind w:firstLine="480" w:firstLineChars="200"/>
        <w:rPr>
          <w:color w:val="auto"/>
          <w:highlight w:val="none"/>
        </w:rPr>
      </w:pPr>
      <w:r>
        <w:rPr>
          <w:rFonts w:hint="eastAsia"/>
          <w:color w:val="auto"/>
          <w:highlight w:val="none"/>
        </w:rPr>
        <w:t>（九）其他违反本条例规定的行为。</w:t>
      </w:r>
    </w:p>
    <w:p>
      <w:pPr>
        <w:shd w:val="clear"/>
        <w:autoSpaceDE w:val="0"/>
        <w:autoSpaceDN w:val="0"/>
        <w:adjustRightInd w:val="0"/>
        <w:spacing w:line="240" w:lineRule="auto"/>
        <w:ind w:firstLine="360" w:firstLineChars="150"/>
        <w:jc w:val="left"/>
        <w:rPr>
          <w:rFonts w:ascii="宋体" w:hAnsi="宋体" w:cs="宋体"/>
          <w:color w:val="auto"/>
          <w:kern w:val="0"/>
          <w:sz w:val="24"/>
          <w:highlight w:val="none"/>
        </w:rPr>
      </w:pPr>
    </w:p>
    <w:p>
      <w:pPr>
        <w:shd w:val="clea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highlight w:val="none"/>
        </w:rPr>
      </w:pPr>
      <w:bookmarkStart w:id="2" w:name="_Toc6281"/>
      <w:r>
        <w:rPr>
          <w:rFonts w:hint="eastAsia" w:ascii="宋体" w:hAnsi="宋体" w:cs="宋体"/>
          <w:color w:val="auto"/>
          <w:sz w:val="24"/>
          <w:highlight w:val="none"/>
        </w:rPr>
        <w:t>（一）投标供应商之间相互约定给予未中标的供应商利益补偿；</w:t>
      </w:r>
      <w:bookmarkEnd w:id="2"/>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240" w:lineRule="auto"/>
        <w:ind w:firstLine="480" w:firstLineChars="200"/>
        <w:rPr>
          <w:rFonts w:ascii="宋体" w:hAnsi="宋体" w:cs="宋体"/>
          <w:color w:val="auto"/>
          <w:sz w:val="24"/>
          <w:highlight w:val="none"/>
        </w:rPr>
      </w:pPr>
      <w:bookmarkStart w:id="3" w:name="_Toc31089"/>
      <w:r>
        <w:rPr>
          <w:rFonts w:hint="eastAsia" w:ascii="宋体" w:hAnsi="宋体" w:cs="宋体"/>
          <w:color w:val="auto"/>
          <w:sz w:val="24"/>
          <w:highlight w:val="none"/>
        </w:rPr>
        <w:t>（七）主管部门依照法律、法规认定的其他情形。</w:t>
      </w:r>
      <w:bookmarkEnd w:id="3"/>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240" w:lineRule="auto"/>
        <w:ind w:firstLine="482" w:firstLineChars="200"/>
        <w:jc w:val="left"/>
        <w:rPr>
          <w:rFonts w:ascii="宋体" w:hAnsi="宋体" w:cs="宋体"/>
          <w:color w:val="auto"/>
          <w:sz w:val="24"/>
          <w:highlight w:val="none"/>
        </w:rPr>
      </w:pPr>
      <w:bookmarkStart w:id="4"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highlight w:val="none"/>
        </w:rPr>
      </w:pPr>
      <w:bookmarkStart w:id="5"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highlight w:val="none"/>
          <w:lang w:eastAsia="zh-CN"/>
        </w:rPr>
      </w:pPr>
    </w:p>
    <w:p>
      <w:pPr>
        <w:autoSpaceDE w:val="0"/>
        <w:autoSpaceDN w:val="0"/>
        <w:adjustRightInd w:val="0"/>
        <w:spacing w:line="240" w:lineRule="auto"/>
        <w:jc w:val="center"/>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关于在相关自由贸易试验区和自由贸易港开展推动解决政府采购异常低价问题试点工作的通知</w:t>
      </w:r>
      <w:r>
        <w:rPr>
          <w:rFonts w:hint="eastAsia" w:ascii="宋体" w:hAnsi="宋体" w:cs="宋体"/>
          <w:b/>
          <w:color w:val="auto"/>
          <w:kern w:val="0"/>
          <w:sz w:val="24"/>
          <w:highlight w:val="none"/>
          <w:lang w:eastAsia="zh-CN"/>
        </w:rPr>
        <w:t>》</w:t>
      </w:r>
    </w:p>
    <w:p>
      <w:pPr>
        <w:autoSpaceDE w:val="0"/>
        <w:autoSpaceDN w:val="0"/>
        <w:adjustRightInd w:val="0"/>
        <w:spacing w:line="240" w:lineRule="auto"/>
        <w:jc w:val="left"/>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rPr>
        <w:t>强化政府采购异常低价审查</w:t>
      </w:r>
      <w:r>
        <w:rPr>
          <w:rFonts w:hint="eastAsia" w:ascii="宋体" w:hAnsi="宋体" w:cs="宋体"/>
          <w:b/>
          <w:color w:val="auto"/>
          <w:kern w:val="0"/>
          <w:sz w:val="24"/>
          <w:highlight w:val="none"/>
          <w:lang w:eastAsia="zh-CN"/>
        </w:rPr>
        <w:t>：</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b/>
          <w:bCs/>
          <w:color w:val="auto"/>
          <w:sz w:val="32"/>
          <w:szCs w:val="40"/>
          <w:highlight w:val="none"/>
        </w:rPr>
      </w:pPr>
      <w:r>
        <w:rPr>
          <w:rFonts w:ascii="宋体" w:hAnsi="宋体"/>
          <w:b/>
          <w:bCs/>
          <w:color w:val="auto"/>
          <w:sz w:val="32"/>
          <w:szCs w:val="40"/>
          <w:highlight w:val="none"/>
          <w:u w:val="single"/>
        </w:rPr>
        <w:br w:type="page"/>
      </w:r>
      <w:bookmarkStart w:id="6" w:name="_Toc30761"/>
      <w:r>
        <w:rPr>
          <w:rFonts w:ascii="宋体" w:hAnsi="宋体"/>
          <w:b/>
          <w:bCs/>
          <w:color w:val="auto"/>
          <w:sz w:val="32"/>
          <w:szCs w:val="40"/>
          <w:highlight w:val="none"/>
        </w:rPr>
        <w:t>目录</w:t>
      </w:r>
      <w:bookmarkEnd w:id="0"/>
      <w:bookmarkEnd w:id="6"/>
    </w:p>
    <w:p>
      <w:pPr>
        <w:pStyle w:val="14"/>
        <w:tabs>
          <w:tab w:val="right" w:leader="dot" w:pos="8306"/>
        </w:tabs>
        <w:spacing w:line="480" w:lineRule="auto"/>
        <w:rPr>
          <w:b/>
          <w:bCs/>
          <w:color w:val="auto"/>
          <w:sz w:val="24"/>
          <w:szCs w:val="32"/>
          <w:highlight w:val="none"/>
        </w:rPr>
      </w:pPr>
    </w:p>
    <w:p>
      <w:pPr>
        <w:pStyle w:val="14"/>
        <w:tabs>
          <w:tab w:val="right" w:leader="dot" w:pos="8306"/>
        </w:tabs>
        <w:spacing w:line="360" w:lineRule="auto"/>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"_Toc28255" </w:instrText>
      </w:r>
      <w:r>
        <w:rPr>
          <w:color w:val="auto"/>
          <w:highlight w:val="none"/>
        </w:rPr>
        <w:fldChar w:fldCharType="separate"/>
      </w:r>
      <w:r>
        <w:rPr>
          <w:rFonts w:hint="eastAsia" w:ascii="宋体" w:hAnsi="宋体" w:cs="宋体"/>
          <w:b/>
          <w:bCs/>
          <w:color w:val="auto"/>
          <w:sz w:val="24"/>
          <w:highlight w:val="none"/>
        </w:rPr>
        <w:t>第一章 招标邀请书（招标公告）</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w:t>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"_Toc16734" </w:instrText>
      </w:r>
      <w:r>
        <w:rPr>
          <w:color w:val="auto"/>
          <w:highlight w:val="none"/>
        </w:rPr>
        <w:fldChar w:fldCharType="separate"/>
      </w:r>
      <w:r>
        <w:rPr>
          <w:rFonts w:hint="eastAsia" w:ascii="宋体" w:hAnsi="宋体" w:cs="宋体"/>
          <w:b/>
          <w:bCs/>
          <w:color w:val="auto"/>
          <w:sz w:val="24"/>
          <w:highlight w:val="none"/>
        </w:rPr>
        <w:t>第二章 投标须知</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_Toc16734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9</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"_Toc18857" </w:instrText>
      </w:r>
      <w:r>
        <w:rPr>
          <w:color w:val="auto"/>
          <w:highlight w:val="none"/>
        </w:rPr>
        <w:fldChar w:fldCharType="separate"/>
      </w:r>
      <w:r>
        <w:rPr>
          <w:rFonts w:hint="eastAsia" w:ascii="宋体" w:hAnsi="宋体" w:cs="宋体"/>
          <w:b/>
          <w:bCs/>
          <w:color w:val="auto"/>
          <w:sz w:val="24"/>
          <w:highlight w:val="none"/>
        </w:rPr>
        <w:t>第三章 评标程序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_Toc18857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"_Toc1635" </w:instrText>
      </w:r>
      <w:r>
        <w:rPr>
          <w:color w:val="auto"/>
          <w:highlight w:val="none"/>
        </w:rPr>
        <w:fldChar w:fldCharType="separate"/>
      </w:r>
      <w:r>
        <w:rPr>
          <w:rFonts w:hint="eastAsia" w:ascii="宋体" w:hAnsi="宋体" w:cs="宋体"/>
          <w:b/>
          <w:bCs/>
          <w:color w:val="auto"/>
          <w:sz w:val="24"/>
          <w:highlight w:val="none"/>
        </w:rPr>
        <w:t>第四章 合同格式及合同条款</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_Toc1635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14</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"_Toc793" </w:instrText>
      </w:r>
      <w:r>
        <w:rPr>
          <w:color w:val="auto"/>
          <w:highlight w:val="none"/>
        </w:rPr>
        <w:fldChar w:fldCharType="separate"/>
      </w:r>
      <w:r>
        <w:rPr>
          <w:rFonts w:hint="eastAsia" w:ascii="宋体" w:hAnsi="宋体" w:cs="宋体"/>
          <w:b/>
          <w:bCs/>
          <w:color w:val="auto"/>
          <w:sz w:val="24"/>
          <w:highlight w:val="none"/>
        </w:rPr>
        <w:t>第五章 用户需求书</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_Toc793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26</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"_Toc6457" </w:instrText>
      </w:r>
      <w:r>
        <w:rPr>
          <w:color w:val="auto"/>
          <w:highlight w:val="none"/>
        </w:rPr>
        <w:fldChar w:fldCharType="separate"/>
      </w:r>
      <w:r>
        <w:rPr>
          <w:rFonts w:hint="eastAsia" w:ascii="宋体" w:hAnsi="宋体" w:cs="宋体"/>
          <w:b/>
          <w:bCs/>
          <w:color w:val="auto"/>
          <w:sz w:val="24"/>
          <w:highlight w:val="none"/>
        </w:rPr>
        <w:t>第六章 投标文件初审及招标项目评分表</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_Toc6457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32</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ascii="宋体" w:hAnsi="宋体" w:cs="宋体"/>
          <w:b/>
          <w:bCs/>
          <w:color w:val="auto"/>
          <w:sz w:val="24"/>
          <w:highlight w:val="none"/>
        </w:rPr>
      </w:pPr>
      <w:r>
        <w:rPr>
          <w:color w:val="auto"/>
          <w:highlight w:val="none"/>
        </w:rPr>
        <w:fldChar w:fldCharType="begin"/>
      </w:r>
      <w:r>
        <w:rPr>
          <w:color w:val="auto"/>
          <w:highlight w:val="none"/>
        </w:rPr>
        <w:instrText xml:space="preserve"> HYPERLINK \l "_Toc834" </w:instrText>
      </w:r>
      <w:r>
        <w:rPr>
          <w:color w:val="auto"/>
          <w:highlight w:val="none"/>
        </w:rPr>
        <w:fldChar w:fldCharType="separate"/>
      </w:r>
      <w:r>
        <w:rPr>
          <w:rFonts w:hint="eastAsia" w:ascii="宋体" w:hAnsi="宋体" w:cs="宋体"/>
          <w:b/>
          <w:bCs/>
          <w:color w:val="auto"/>
          <w:sz w:val="24"/>
          <w:highlight w:val="none"/>
        </w:rPr>
        <w:t>第七章 附件（投标文件格式）</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PAGEREF _Toc834 \h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37</w:t>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rPr>
        <w:fldChar w:fldCharType="end"/>
      </w:r>
    </w:p>
    <w:p>
      <w:pPr>
        <w:pStyle w:val="14"/>
        <w:tabs>
          <w:tab w:val="right" w:leader="dot" w:pos="8306"/>
        </w:tabs>
        <w:spacing w:line="360" w:lineRule="auto"/>
        <w:rPr>
          <w:rFonts w:hint="default" w:ascii="宋体" w:hAnsi="宋体" w:eastAsia="宋体" w:cs="宋体"/>
          <w:b/>
          <w:bCs/>
          <w:color w:val="auto"/>
          <w:sz w:val="24"/>
          <w:highlight w:val="none"/>
          <w:lang w:val="en-US" w:eastAsia="zh-CN"/>
        </w:rPr>
      </w:pPr>
      <w:r>
        <w:rPr>
          <w:color w:val="auto"/>
          <w:highlight w:val="none"/>
        </w:rPr>
        <w:fldChar w:fldCharType="begin"/>
      </w:r>
      <w:r>
        <w:rPr>
          <w:color w:val="auto"/>
          <w:highlight w:val="none"/>
        </w:rPr>
        <w:instrText xml:space="preserve"> HYPERLINK \l "_Toc3166" </w:instrText>
      </w:r>
      <w:r>
        <w:rPr>
          <w:color w:val="auto"/>
          <w:highlight w:val="none"/>
        </w:rPr>
        <w:fldChar w:fldCharType="separate"/>
      </w:r>
      <w:r>
        <w:rPr>
          <w:rFonts w:hint="eastAsia" w:ascii="宋体" w:hAnsi="宋体" w:cs="宋体"/>
          <w:b/>
          <w:bCs/>
          <w:color w:val="auto"/>
          <w:sz w:val="24"/>
          <w:highlight w:val="none"/>
        </w:rPr>
        <w:t>附件：相关政策</w:t>
      </w:r>
      <w:r>
        <w:rPr>
          <w:rFonts w:hint="eastAsia" w:ascii="宋体" w:hAnsi="宋体" w:cs="宋体"/>
          <w:b/>
          <w:bCs/>
          <w:color w:val="auto"/>
          <w:sz w:val="24"/>
          <w:highlight w:val="none"/>
        </w:rPr>
        <w:tab/>
      </w:r>
      <w:r>
        <w:rPr>
          <w:rFonts w:hint="eastAsia" w:ascii="宋体" w:hAnsi="宋体" w:cs="宋体"/>
          <w:b/>
          <w:bCs/>
          <w:color w:val="auto"/>
          <w:sz w:val="24"/>
          <w:highlight w:val="none"/>
        </w:rPr>
        <w:fldChar w:fldCharType="end"/>
      </w:r>
      <w:r>
        <w:rPr>
          <w:rFonts w:hint="eastAsia" w:ascii="宋体" w:hAnsi="宋体" w:cs="宋体"/>
          <w:b/>
          <w:bCs/>
          <w:color w:val="auto"/>
          <w:sz w:val="24"/>
          <w:highlight w:val="none"/>
          <w:lang w:val="en-US" w:eastAsia="zh-CN"/>
        </w:rPr>
        <w:t>57</w:t>
      </w:r>
    </w:p>
    <w:p>
      <w:pPr>
        <w:spacing w:line="360" w:lineRule="auto"/>
        <w:rPr>
          <w:color w:val="auto"/>
          <w:highlight w:val="none"/>
        </w:rPr>
      </w:pPr>
      <w:r>
        <w:rPr>
          <w:rFonts w:hint="eastAsia" w:ascii="宋体" w:hAnsi="宋体" w:cs="宋体"/>
          <w:b/>
          <w:bCs/>
          <w:color w:val="auto"/>
          <w:sz w:val="24"/>
          <w:highlight w:val="none"/>
        </w:rPr>
        <w:fldChar w:fldCharType="end"/>
      </w:r>
    </w:p>
    <w:p>
      <w:pPr>
        <w:keepNext w:val="0"/>
        <w:keepLines w:val="0"/>
        <w:pageBreakBefore w:val="0"/>
        <w:numPr>
          <w:ilvl w:val="0"/>
          <w:numId w:val="2"/>
        </w:numPr>
        <w:kinsoku/>
        <w:wordWrap/>
        <w:overflowPunct/>
        <w:topLinePunct w:val="0"/>
        <w:autoSpaceDE/>
        <w:autoSpaceDN/>
        <w:bidi w:val="0"/>
        <w:adjustRightInd/>
        <w:snapToGrid/>
        <w:spacing w:line="360" w:lineRule="auto"/>
        <w:jc w:val="center"/>
        <w:textAlignment w:val="auto"/>
        <w:outlineLvl w:val="0"/>
        <w:rPr>
          <w:rFonts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7" w:name="_Toc28255"/>
      <w:r>
        <w:rPr>
          <w:rFonts w:hint="eastAsia" w:ascii="宋体" w:hAnsi="宋体" w:cs="宋体"/>
          <w:b/>
          <w:bCs/>
          <w:color w:val="auto"/>
          <w:sz w:val="24"/>
          <w:highlight w:val="none"/>
        </w:rPr>
        <w:t>招标公告</w:t>
      </w:r>
      <w:bookmarkEnd w:id="7"/>
    </w:p>
    <w:p>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深圳交易咨询集团有限公司（以下简称采购代理机构）受深圳市前海深港现代服务业合作区管理局委托就</w:t>
      </w:r>
      <w:r>
        <w:rPr>
          <w:rFonts w:hint="eastAsia" w:ascii="宋体" w:hAnsi="宋体" w:cs="宋体"/>
          <w:color w:val="auto"/>
          <w:sz w:val="24"/>
          <w:highlight w:val="none"/>
          <w:u w:val="single"/>
          <w:lang w:val="en-US" w:eastAsia="zh-CN"/>
        </w:rPr>
        <w:t xml:space="preserve"> 前海港澳文艺作品创作及宣推合作项目</w:t>
      </w:r>
      <w:r>
        <w:rPr>
          <w:rFonts w:hint="eastAsia" w:ascii="宋体" w:hAnsi="宋体" w:cs="宋体"/>
          <w:color w:val="auto"/>
          <w:sz w:val="24"/>
          <w:highlight w:val="none"/>
        </w:rPr>
        <w:t>（招标编号：</w:t>
      </w:r>
      <w:r>
        <w:rPr>
          <w:rFonts w:hint="eastAsia" w:ascii="宋体" w:hAnsi="宋体" w:cs="宋体"/>
          <w:color w:val="auto"/>
          <w:sz w:val="24"/>
          <w:highlight w:val="none"/>
          <w:lang w:val="en-US" w:eastAsia="zh-CN"/>
        </w:rPr>
        <w:t>QH2025100</w:t>
      </w:r>
      <w:r>
        <w:rPr>
          <w:rFonts w:hint="eastAsia" w:ascii="宋体" w:hAnsi="宋体" w:cs="宋体"/>
          <w:color w:val="auto"/>
          <w:sz w:val="24"/>
          <w:highlight w:val="none"/>
        </w:rPr>
        <w:t>）采用简易招标方式采购，欢迎符合投标</w:t>
      </w:r>
      <w:r>
        <w:rPr>
          <w:rFonts w:ascii="宋体" w:hAnsi="宋体" w:cs="宋体"/>
          <w:color w:val="auto"/>
          <w:kern w:val="0"/>
          <w:sz w:val="24"/>
          <w:szCs w:val="20"/>
          <w:highlight w:val="none"/>
        </w:rPr>
        <w:t>单位</w:t>
      </w:r>
      <w:r>
        <w:rPr>
          <w:rFonts w:hint="eastAsia" w:ascii="宋体" w:hAnsi="宋体" w:cs="宋体"/>
          <w:color w:val="auto"/>
          <w:sz w:val="24"/>
          <w:highlight w:val="none"/>
        </w:rPr>
        <w:t>资格要求的专业供应商积极参加投标。</w:t>
      </w:r>
    </w:p>
    <w:tbl>
      <w:tblPr>
        <w:tblStyle w:val="19"/>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color w:val="auto"/>
                <w:highlight w:val="none"/>
              </w:rPr>
            </w:pPr>
            <w:r>
              <w:rPr>
                <w:rFonts w:hint="eastAsia" w:ascii="宋体" w:hAnsi="宋体" w:cs="宋体"/>
                <w:color w:val="auto"/>
                <w:sz w:val="24"/>
                <w:highlight w:val="none"/>
              </w:rPr>
              <w:t>招标文件编号</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QH2025100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招标项目名称</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前海港澳文艺作品创作及宣推合作项目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标的内容</w:t>
            </w:r>
          </w:p>
        </w:tc>
        <w:tc>
          <w:tcPr>
            <w:tcW w:w="7015" w:type="dxa"/>
            <w:vAlign w:val="center"/>
          </w:tcPr>
          <w:p>
            <w:pPr>
              <w:keepNext w:val="0"/>
              <w:keepLines w:val="0"/>
              <w:suppressLineNumbers w:val="0"/>
              <w:spacing w:before="0" w:beforeAutospacing="0" w:after="0" w:afterAutospacing="0" w:line="360" w:lineRule="auto"/>
              <w:ind w:left="0" w:right="0"/>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为推动提升前海合作区的精神文明建设水平，打造文艺精品、鼓励艺术创新、提高艺术品质，讲好湾区故事、前海故事，进一步促进前海与港澳影视产业合作创新，彰显前海合作区及粤港澳大湾区蓬勃发展、欣欣向荣的生机与活力，拟开展前海港澳文艺作品创作及宣推合作项目。通过联合制作音乐剧和广播剧的形式，以生动的电视语言全方位、多角度地展现前海的创新成果，再现“生机勃勃”的前海，让更多港澳青年认识前海、了解湾区，积极投身粤港澳大湾区建设、更好融入国家发展大局。</w:t>
            </w:r>
            <w:r>
              <w:rPr>
                <w:rFonts w:hint="eastAsia" w:ascii="宋体" w:hAnsi="宋体" w:cs="宋体"/>
                <w:color w:val="auto"/>
                <w:kern w:val="2"/>
                <w:sz w:val="24"/>
                <w:szCs w:val="24"/>
                <w:highlight w:val="none"/>
                <w:lang w:val="en-US" w:eastAsia="zh-CN"/>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sz w:val="24"/>
                <w:highlight w:val="none"/>
              </w:rPr>
            </w:pPr>
            <w:r>
              <w:rPr>
                <w:rFonts w:hint="eastAsia" w:ascii="宋体" w:hAnsi="宋体" w:cs="宋体"/>
                <w:color w:val="auto"/>
                <w:sz w:val="24"/>
                <w:highlight w:val="none"/>
              </w:rPr>
              <w:t>项目预算</w:t>
            </w:r>
          </w:p>
        </w:tc>
        <w:tc>
          <w:tcPr>
            <w:tcW w:w="7015"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sz w:val="24"/>
                <w:highlight w:val="none"/>
              </w:rPr>
            </w:pPr>
            <w:r>
              <w:rPr>
                <w:rFonts w:hint="eastAsia" w:ascii="宋体" w:hAnsi="宋体" w:cs="宋体"/>
                <w:color w:val="auto"/>
                <w:sz w:val="24"/>
                <w:highlight w:val="none"/>
                <w:lang w:val="en-US" w:eastAsia="zh-CN"/>
              </w:rPr>
              <w:t>¥732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000</w:t>
            </w:r>
            <w:r>
              <w:rPr>
                <w:rFonts w:hint="eastAsia" w:ascii="宋体" w:hAnsi="宋体" w:cs="宋体"/>
                <w:color w:val="auto"/>
                <w:sz w:val="24"/>
                <w:highlight w:val="none"/>
              </w:rPr>
              <w:t>.00（人民币</w:t>
            </w:r>
            <w:r>
              <w:rPr>
                <w:rFonts w:hint="eastAsia" w:ascii="宋体" w:hAnsi="宋体" w:cs="宋体"/>
                <w:color w:val="auto"/>
                <w:sz w:val="24"/>
                <w:highlight w:val="none"/>
                <w:lang w:val="en-US" w:eastAsia="zh-CN"/>
              </w:rPr>
              <w:t>柒拾叁万贰仟元整</w:t>
            </w:r>
            <w:r>
              <w:rPr>
                <w:rFonts w:hint="eastAsia" w:ascii="宋体" w:hAnsi="宋体" w:cs="宋体"/>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cs="宋体"/>
                <w:color w:val="auto"/>
                <w:kern w:val="0"/>
                <w:sz w:val="24"/>
                <w:highlight w:val="none"/>
                <w:lang w:bidi="ar"/>
              </w:rPr>
            </w:pPr>
            <w:r>
              <w:rPr>
                <w:rFonts w:hint="eastAsia" w:ascii="宋体" w:hAnsi="宋体" w:cs="宋体"/>
                <w:color w:val="auto"/>
                <w:kern w:val="2"/>
                <w:sz w:val="24"/>
                <w:highlight w:val="none"/>
                <w:lang w:bidi="ar"/>
              </w:rPr>
              <w:t>报名方式</w:t>
            </w:r>
          </w:p>
        </w:tc>
        <w:tc>
          <w:tcPr>
            <w:tcW w:w="7015"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cs="宋体"/>
                <w:b w:val="0"/>
                <w:color w:val="auto"/>
                <w:kern w:val="0"/>
                <w:sz w:val="24"/>
                <w:highlight w:val="none"/>
                <w:lang w:bidi="ar"/>
              </w:rPr>
            </w:pPr>
            <w:r>
              <w:rPr>
                <w:rFonts w:hint="eastAsia" w:ascii="宋体" w:hAnsi="宋体" w:cs="宋体"/>
                <w:color w:val="auto"/>
                <w:kern w:val="0"/>
                <w:sz w:val="24"/>
                <w:highlight w:val="none"/>
                <w:lang w:bidi="ar"/>
              </w:rPr>
              <w:t>将投标文件（一式五份，正本1份，副本4份，附电子版，电子版是以光盘、U盘或硬盘等移动存储介质提交的加盖公章的PDF电子投标文件）密封并在</w:t>
            </w:r>
            <w:r>
              <w:rPr>
                <w:rFonts w:hint="eastAsia" w:ascii="宋体" w:hAnsi="宋体" w:cs="宋体"/>
                <w:b/>
                <w:bCs/>
                <w:color w:val="auto"/>
                <w:kern w:val="0"/>
                <w:sz w:val="24"/>
                <w:highlight w:val="none"/>
                <w:lang w:bidi="ar"/>
              </w:rPr>
              <w:t>202</w:t>
            </w:r>
            <w:r>
              <w:rPr>
                <w:rFonts w:hint="eastAsia" w:ascii="宋体" w:hAnsi="宋体" w:cs="宋体"/>
                <w:b/>
                <w:bCs/>
                <w:color w:val="auto"/>
                <w:kern w:val="0"/>
                <w:sz w:val="24"/>
                <w:highlight w:val="none"/>
                <w:lang w:val="en-US" w:eastAsia="zh-CN" w:bidi="ar"/>
              </w:rPr>
              <w:t>5</w:t>
            </w:r>
            <w:r>
              <w:rPr>
                <w:rFonts w:hint="eastAsia" w:ascii="宋体" w:hAnsi="宋体" w:cs="宋体"/>
                <w:b/>
                <w:bCs/>
                <w:color w:val="auto"/>
                <w:kern w:val="0"/>
                <w:sz w:val="24"/>
                <w:highlight w:val="none"/>
                <w:lang w:bidi="ar"/>
              </w:rPr>
              <w:t>年</w:t>
            </w:r>
            <w:r>
              <w:rPr>
                <w:rFonts w:hint="eastAsia" w:ascii="宋体" w:hAnsi="宋体" w:cs="宋体"/>
                <w:b/>
                <w:bCs/>
                <w:color w:val="auto"/>
                <w:kern w:val="0"/>
                <w:sz w:val="24"/>
                <w:highlight w:val="none"/>
                <w:lang w:val="en-US" w:eastAsia="zh-CN" w:bidi="ar"/>
              </w:rPr>
              <w:t>10</w:t>
            </w:r>
            <w:r>
              <w:rPr>
                <w:rFonts w:hint="eastAsia" w:ascii="宋体" w:hAnsi="宋体" w:cs="宋体"/>
                <w:b/>
                <w:bCs/>
                <w:color w:val="auto"/>
                <w:kern w:val="0"/>
                <w:sz w:val="24"/>
                <w:highlight w:val="none"/>
                <w:lang w:bidi="ar"/>
              </w:rPr>
              <w:t>月</w:t>
            </w:r>
            <w:r>
              <w:rPr>
                <w:rFonts w:hint="eastAsia" w:ascii="宋体" w:hAnsi="宋体" w:cs="宋体"/>
                <w:b/>
                <w:bCs/>
                <w:color w:val="auto"/>
                <w:kern w:val="0"/>
                <w:sz w:val="24"/>
                <w:highlight w:val="none"/>
                <w:lang w:val="en-US" w:eastAsia="zh-CN" w:bidi="ar"/>
              </w:rPr>
              <w:t>28</w:t>
            </w:r>
            <w:r>
              <w:rPr>
                <w:rFonts w:hint="eastAsia" w:ascii="宋体" w:hAnsi="宋体" w:cs="宋体"/>
                <w:b/>
                <w:bCs/>
                <w:color w:val="auto"/>
                <w:kern w:val="0"/>
                <w:sz w:val="24"/>
                <w:highlight w:val="none"/>
                <w:lang w:bidi="ar"/>
              </w:rPr>
              <w:t>日</w:t>
            </w:r>
            <w:r>
              <w:rPr>
                <w:rFonts w:hint="eastAsia" w:ascii="宋体" w:hAnsi="宋体" w:cs="宋体"/>
                <w:b/>
                <w:bCs/>
                <w:color w:val="auto"/>
                <w:kern w:val="0"/>
                <w:sz w:val="24"/>
                <w:highlight w:val="none"/>
                <w:lang w:val="en-US" w:eastAsia="zh-CN" w:bidi="ar"/>
              </w:rPr>
              <w:t>上</w:t>
            </w:r>
            <w:r>
              <w:rPr>
                <w:rFonts w:hint="eastAsia" w:ascii="宋体" w:hAnsi="宋体" w:cs="宋体"/>
                <w:b/>
                <w:bCs/>
                <w:color w:val="auto"/>
                <w:kern w:val="0"/>
                <w:sz w:val="24"/>
                <w:highlight w:val="none"/>
                <w:lang w:bidi="ar"/>
              </w:rPr>
              <w:t>午1</w:t>
            </w:r>
            <w:r>
              <w:rPr>
                <w:rFonts w:hint="eastAsia" w:ascii="宋体" w:hAnsi="宋体" w:cs="宋体"/>
                <w:b/>
                <w:bCs/>
                <w:color w:val="auto"/>
                <w:kern w:val="0"/>
                <w:sz w:val="24"/>
                <w:highlight w:val="none"/>
                <w:lang w:val="en-US" w:eastAsia="zh-CN" w:bidi="ar"/>
              </w:rPr>
              <w:t>0</w:t>
            </w:r>
            <w:r>
              <w:rPr>
                <w:rFonts w:hint="eastAsia" w:ascii="宋体" w:hAnsi="宋体" w:cs="宋体"/>
                <w:b/>
                <w:bCs/>
                <w:color w:val="auto"/>
                <w:kern w:val="0"/>
                <w:sz w:val="24"/>
                <w:highlight w:val="none"/>
                <w:lang w:bidi="ar"/>
              </w:rPr>
              <w:t>:00时</w:t>
            </w:r>
            <w:r>
              <w:rPr>
                <w:rFonts w:hint="eastAsia" w:ascii="宋体" w:hAnsi="宋体" w:cs="宋体"/>
                <w:b w:val="0"/>
                <w:color w:val="auto"/>
                <w:kern w:val="0"/>
                <w:sz w:val="24"/>
                <w:highlight w:val="none"/>
                <w:lang w:bidi="ar"/>
              </w:rPr>
              <w:t>（北京时间）前送达（现场递交</w:t>
            </w:r>
            <w:r>
              <w:rPr>
                <w:rFonts w:hint="eastAsia" w:ascii="宋体" w:hAnsi="宋体" w:cs="宋体"/>
                <w:b w:val="0"/>
                <w:color w:val="auto"/>
                <w:kern w:val="0"/>
                <w:sz w:val="24"/>
                <w:highlight w:val="none"/>
                <w:lang w:val="en-US" w:eastAsia="zh-CN" w:bidi="ar"/>
              </w:rPr>
              <w:t>或邮寄</w:t>
            </w:r>
            <w:r>
              <w:rPr>
                <w:rFonts w:hint="eastAsia" w:ascii="宋体" w:hAnsi="宋体" w:cs="宋体"/>
                <w:b w:val="0"/>
                <w:color w:val="auto"/>
                <w:kern w:val="0"/>
                <w:sz w:val="24"/>
                <w:highlight w:val="none"/>
                <w:lang w:bidi="ar"/>
              </w:rPr>
              <w:t>）</w:t>
            </w:r>
            <w:r>
              <w:rPr>
                <w:rFonts w:hint="eastAsia" w:ascii="宋体" w:hAnsi="宋体" w:cs="宋体"/>
                <w:color w:val="auto"/>
                <w:kern w:val="0"/>
                <w:sz w:val="24"/>
                <w:highlight w:val="none"/>
                <w:lang w:bidi="ar"/>
              </w:rPr>
              <w:t>至</w:t>
            </w:r>
            <w:r>
              <w:rPr>
                <w:rFonts w:hint="eastAsia" w:ascii="宋体" w:hAnsi="宋体" w:cs="宋体"/>
                <w:b w:val="0"/>
                <w:color w:val="auto"/>
                <w:kern w:val="0"/>
                <w:sz w:val="24"/>
                <w:highlight w:val="none"/>
                <w:lang w:bidi="ar"/>
              </w:rPr>
              <w:t>深圳市前海深港现代服务业合作区桂湾五路123号前海大厦T1栋</w:t>
            </w:r>
            <w:r>
              <w:rPr>
                <w:rFonts w:hint="default" w:ascii="宋体" w:hAnsi="宋体" w:cs="宋体"/>
                <w:color w:val="auto"/>
                <w:sz w:val="24"/>
                <w:highlight w:val="none"/>
                <w:lang w:val="en-US" w:eastAsia="zh-CN"/>
              </w:rPr>
              <w:t>2505</w:t>
            </w:r>
            <w:r>
              <w:rPr>
                <w:rFonts w:hint="eastAsia" w:ascii="宋体" w:hAnsi="宋体" w:cs="宋体"/>
                <w:b w:val="0"/>
                <w:color w:val="auto"/>
                <w:kern w:val="0"/>
                <w:sz w:val="24"/>
                <w:highlight w:val="none"/>
                <w:lang w:bidi="ar"/>
              </w:rPr>
              <w:t>室。</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cs="宋体"/>
                <w:color w:val="auto"/>
                <w:kern w:val="0"/>
                <w:sz w:val="24"/>
                <w:highlight w:val="none"/>
                <w:lang w:val="en-US" w:bidi="ar"/>
              </w:rPr>
            </w:pPr>
            <w:r>
              <w:rPr>
                <w:rFonts w:hint="eastAsia" w:ascii="宋体" w:hAnsi="宋体" w:cs="宋体"/>
                <w:b w:val="0"/>
                <w:color w:val="auto"/>
                <w:kern w:val="0"/>
                <w:sz w:val="24"/>
                <w:highlight w:val="none"/>
                <w:lang w:bidi="ar"/>
              </w:rPr>
              <w:t>联系人：</w:t>
            </w:r>
            <w:r>
              <w:rPr>
                <w:rFonts w:hint="eastAsia" w:ascii="宋体" w:hAnsi="宋体" w:cs="宋体"/>
                <w:b w:val="0"/>
                <w:color w:val="auto"/>
                <w:kern w:val="0"/>
                <w:sz w:val="24"/>
                <w:highlight w:val="none"/>
                <w:lang w:eastAsia="zh-CN" w:bidi="ar"/>
              </w:rPr>
              <w:t>王勋楚</w:t>
            </w:r>
            <w:r>
              <w:rPr>
                <w:rFonts w:hint="eastAsia" w:ascii="宋体" w:hAnsi="宋体" w:cs="宋体"/>
                <w:b w:val="0"/>
                <w:color w:val="auto"/>
                <w:kern w:val="0"/>
                <w:sz w:val="24"/>
                <w:highlight w:val="none"/>
                <w:lang w:val="en-US" w:eastAsia="zh-CN" w:bidi="ar"/>
              </w:rPr>
              <w:t xml:space="preserve">  </w:t>
            </w:r>
            <w:r>
              <w:rPr>
                <w:rFonts w:hint="eastAsia" w:ascii="宋体" w:hAnsi="宋体" w:cs="宋体"/>
                <w:b w:val="0"/>
                <w:color w:val="auto"/>
                <w:kern w:val="0"/>
                <w:sz w:val="24"/>
                <w:highlight w:val="none"/>
                <w:lang w:bidi="ar"/>
              </w:rPr>
              <w:t>联系电话：13651428608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vAlign w:val="center"/>
          </w:tcPr>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（1）投标人须为在中华人民共和国境内注册的</w:t>
            </w:r>
            <w:r>
              <w:rPr>
                <w:rFonts w:hint="eastAsia" w:ascii="宋体" w:hAnsi="宋体" w:cs="宋体"/>
                <w:b w:val="0"/>
                <w:bCs w:val="0"/>
                <w:color w:val="auto"/>
                <w:kern w:val="0"/>
                <w:sz w:val="24"/>
                <w:highlight w:val="none"/>
                <w:lang w:val="en-US" w:eastAsia="zh-CN"/>
              </w:rPr>
              <w:t>具有独立承担民事责任能力的法人或其他组织（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w:t>
            </w:r>
            <w:r>
              <w:rPr>
                <w:rFonts w:hint="eastAsia" w:ascii="宋体" w:hAnsi="宋体" w:cs="宋体"/>
                <w:b/>
                <w:bCs/>
                <w:color w:val="auto"/>
                <w:kern w:val="0"/>
                <w:sz w:val="24"/>
                <w:highlight w:val="none"/>
                <w:lang w:val="en-US" w:eastAsia="zh-CN"/>
              </w:rPr>
              <w:t>以上证明材料均需提供加盖投标人单位公章的复印件或扫描件，原件备查。</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不存在《深圳市财政局政府采购供应商信用信息管理办法》（深财规〔2023〕3号）列明的严重违法失信行为</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具备《中华人民共和国政府采购法》第二十二条第一款的条件</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与不同供应商的法定代表人、投标授权代表人、项目负责人（如有）不存在为同一人或在同一单位缴纳社会保险的情形。</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并提供《供应商基本信息表》加盖投标人公章</w:t>
            </w:r>
            <w:r>
              <w:rPr>
                <w:rFonts w:hint="default" w:ascii="宋体" w:hAnsi="宋体" w:cs="宋体"/>
                <w:b/>
                <w:bCs/>
                <w:color w:val="auto"/>
                <w:kern w:val="0"/>
                <w:sz w:val="24"/>
                <w:highlight w:val="none"/>
              </w:rPr>
              <w:t>）</w:t>
            </w:r>
            <w:r>
              <w:rPr>
                <w:rFonts w:hint="default" w:ascii="宋体" w:hAnsi="宋体" w:cs="宋体"/>
                <w:color w:val="auto"/>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未被列入失信被执行人、重大税收违法案件当事人名单</w:t>
            </w:r>
            <w:r>
              <w:rPr>
                <w:rFonts w:hint="default" w:ascii="宋体" w:hAnsi="宋体" w:cs="宋体"/>
                <w:color w:val="auto"/>
                <w:kern w:val="0"/>
                <w:sz w:val="24"/>
                <w:highlight w:val="none"/>
              </w:rPr>
              <w:t>（重大税收违法失信主体）</w:t>
            </w:r>
            <w:r>
              <w:rPr>
                <w:rFonts w:hint="eastAsia" w:ascii="宋体" w:hAnsi="宋体" w:cs="宋体"/>
                <w:color w:val="auto"/>
                <w:kern w:val="0"/>
                <w:sz w:val="24"/>
                <w:highlight w:val="none"/>
              </w:rPr>
              <w:t>、政府采购严重违法失信行为记录名单</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pPr>
              <w:keepNext w:val="0"/>
              <w:keepLines w:val="0"/>
              <w:numPr>
                <w:ilvl w:val="0"/>
                <w:numId w:val="0"/>
              </w:numPr>
              <w:suppressLineNumbers w:val="0"/>
              <w:spacing w:before="0" w:beforeAutospacing="0" w:after="0" w:afterAutospacing="0" w:line="360" w:lineRule="auto"/>
              <w:ind w:left="0" w:right="0" w:rightChars="0"/>
              <w:rPr>
                <w:rFonts w:hint="default" w:eastAsia="宋体"/>
                <w:color w:val="auto"/>
                <w:highlight w:val="none"/>
                <w:lang w:val="en-US"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w:t>
            </w:r>
            <w:r>
              <w:rPr>
                <w:rFonts w:hint="eastAsia" w:ascii="宋体" w:hAnsi="宋体" w:eastAsia="宋体" w:cs="宋体"/>
                <w:color w:val="auto"/>
                <w:kern w:val="0"/>
                <w:sz w:val="24"/>
                <w:highlight w:val="none"/>
                <w:lang w:val="en-US" w:eastAsia="zh-CN"/>
              </w:rPr>
              <w:t>本项目所属行业为：租赁和商务服务业</w:t>
            </w:r>
            <w:r>
              <w:rPr>
                <w:rFonts w:hint="eastAsia" w:ascii="宋体" w:hAnsi="宋体" w:cs="宋体"/>
                <w:color w:val="auto"/>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vAlign w:val="center"/>
          </w:tcPr>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本次投标为总价包干，投标报价总价作为中标人与采购人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的合同金额。项目预算控制</w:t>
            </w:r>
            <w:r>
              <w:rPr>
                <w:rFonts w:hint="eastAsia" w:ascii="宋体" w:hAnsi="宋体" w:cs="宋体"/>
                <w:color w:val="auto"/>
                <w:sz w:val="24"/>
                <w:highlight w:val="none"/>
                <w:lang w:val="en-US" w:eastAsia="zh-CN"/>
              </w:rPr>
              <w:t>73.2</w:t>
            </w:r>
            <w:r>
              <w:rPr>
                <w:rFonts w:hint="eastAsia" w:ascii="宋体" w:hAnsi="宋体" w:cs="宋体"/>
                <w:color w:val="auto"/>
                <w:sz w:val="24"/>
                <w:highlight w:val="none"/>
                <w:lang w:eastAsia="zh-CN"/>
              </w:rPr>
              <w:t>万元以内</w:t>
            </w:r>
            <w:r>
              <w:rPr>
                <w:rFonts w:hint="eastAsia" w:ascii="宋体" w:hAnsi="宋体" w:cs="宋体"/>
                <w:color w:val="auto"/>
                <w:sz w:val="24"/>
                <w:highlight w:val="none"/>
              </w:rPr>
              <w:t>，投标人的报价不可高于</w:t>
            </w:r>
            <w:r>
              <w:rPr>
                <w:rFonts w:hint="eastAsia" w:ascii="宋体" w:hAnsi="宋体" w:cs="宋体"/>
                <w:color w:val="auto"/>
                <w:kern w:val="0"/>
                <w:sz w:val="24"/>
                <w:highlight w:val="none"/>
              </w:rPr>
              <w:t>预算（限价），否则投标人的投标文件视同无效。本项目服务费包括但不限于包括服务成本、法定税费和企业的利润、后续服务等所有费用，并提供合同要求的有关成果材料，以及其它相关服务的全部费用。</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投标人的投标报价，应是本项目招标范围和招标文件及合同条款上所列的各项内容中所述的全部，不得以任何理由予以重复，并以投标人在投标文件中提出的综合单价或总价为依据。</w:t>
            </w:r>
          </w:p>
          <w:p>
            <w:pPr>
              <w:keepNext w:val="0"/>
              <w:keepLines w:val="0"/>
              <w:numPr>
                <w:ilvl w:val="0"/>
                <w:numId w:val="3"/>
              </w:numPr>
              <w:suppressLineNumbers w:val="0"/>
              <w:spacing w:before="0" w:beforeAutospacing="0" w:after="0" w:afterAutospacing="0" w:line="360" w:lineRule="auto"/>
              <w:ind w:left="0" w:right="0"/>
              <w:rPr>
                <w:rFonts w:hint="default"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p>
            <w:pPr>
              <w:keepNext w:val="0"/>
              <w:keepLines w:val="0"/>
              <w:numPr>
                <w:ilvl w:val="0"/>
                <w:numId w:val="3"/>
              </w:numPr>
              <w:suppressLineNumbers w:val="0"/>
              <w:spacing w:before="0" w:beforeAutospacing="0" w:after="0" w:afterAutospacing="0" w:line="360" w:lineRule="auto"/>
              <w:ind w:left="0" w:right="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采购人信息：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称：深圳市前海深港现代服务业合作区管理局</w:t>
            </w:r>
          </w:p>
          <w:p>
            <w:pPr>
              <w:keepNext w:val="0"/>
              <w:keepLines w:val="0"/>
              <w:suppressLineNumbers w:val="0"/>
              <w:shd w:val="clear"/>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联  系  人：王勋楚</w:t>
            </w:r>
            <w:r>
              <w:rPr>
                <w:rFonts w:hint="eastAsia" w:ascii="宋体" w:hAnsi="宋体" w:cs="宋体"/>
                <w:color w:val="auto"/>
                <w:kern w:val="0"/>
                <w:sz w:val="24"/>
                <w:highlight w:val="none"/>
                <w:lang w:val="en-US" w:eastAsia="zh-CN"/>
              </w:rPr>
              <w:t xml:space="preserve"> </w:t>
            </w:r>
          </w:p>
          <w:p>
            <w:pPr>
              <w:keepNext w:val="0"/>
              <w:keepLines w:val="0"/>
              <w:suppressLineNumbers w:val="0"/>
              <w:shd w:val="clear"/>
              <w:spacing w:before="0" w:beforeAutospacing="0" w:after="0" w:afterAutospacing="0" w:line="360" w:lineRule="auto"/>
              <w:ind w:left="0" w:right="0"/>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话：13651428608</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名      称：深圳交易咨询集团有限公司</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地      址：深圳市南山区沙河西路 3157 号南山智谷产业园 A 座21楼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曹茜</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郭金龙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cs="宋体"/>
                <w:color w:val="auto"/>
                <w:kern w:val="0"/>
                <w:sz w:val="24"/>
                <w:highlight w:val="none"/>
              </w:rPr>
            </w:pPr>
            <w:r>
              <w:rPr>
                <w:rFonts w:hint="eastAsia" w:ascii="宋体" w:hAnsi="宋体" w:cs="宋体"/>
                <w:color w:val="auto"/>
                <w:kern w:val="0"/>
                <w:sz w:val="24"/>
                <w:highlight w:val="none"/>
              </w:rPr>
              <w:t>电      话：18599127733、15</w:t>
            </w:r>
            <w:r>
              <w:rPr>
                <w:rFonts w:hint="eastAsia" w:ascii="宋体" w:hAnsi="宋体" w:cs="宋体"/>
                <w:color w:val="auto"/>
                <w:kern w:val="0"/>
                <w:sz w:val="24"/>
                <w:highlight w:val="none"/>
                <w:lang w:val="en-US" w:eastAsia="zh-CN"/>
              </w:rPr>
              <w:t>322282509</w:t>
            </w:r>
            <w:r>
              <w:rPr>
                <w:rFonts w:hint="eastAsia" w:ascii="宋体" w:hAnsi="宋体" w:cs="宋体"/>
                <w:color w:val="auto"/>
                <w:kern w:val="0"/>
                <w:sz w:val="24"/>
                <w:highlight w:val="none"/>
              </w:rPr>
              <w:t>　</w:t>
            </w:r>
          </w:p>
        </w:tc>
      </w:tr>
    </w:tbl>
    <w:p>
      <w:pPr>
        <w:adjustRightInd w:val="0"/>
        <w:snapToGrid w:val="0"/>
        <w:spacing w:line="360" w:lineRule="auto"/>
        <w:ind w:firstLine="480" w:firstLineChars="200"/>
        <w:jc w:val="right"/>
        <w:rPr>
          <w:rFonts w:hint="eastAsia" w:ascii="宋体" w:hAnsi="宋体" w:cs="宋体"/>
          <w:color w:val="auto"/>
          <w:sz w:val="24"/>
          <w:highlight w:val="none"/>
        </w:rPr>
      </w:pPr>
    </w:p>
    <w:p>
      <w:pPr>
        <w:adjustRightInd w:val="0"/>
        <w:snapToGrid w:val="0"/>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深圳交易咨询集团有限公司</w:t>
      </w: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21</w:t>
      </w:r>
      <w:r>
        <w:rPr>
          <w:rFonts w:hint="eastAsia" w:ascii="宋体" w:hAnsi="宋体" w:cs="宋体"/>
          <w:color w:val="auto"/>
          <w:sz w:val="24"/>
          <w:highlight w:val="none"/>
        </w:rPr>
        <w:t>日</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8" w:name="_Toc16734"/>
      <w:r>
        <w:rPr>
          <w:rFonts w:hint="eastAsia" w:ascii="宋体" w:hAnsi="宋体" w:cs="宋体"/>
          <w:b/>
          <w:bCs/>
          <w:color w:val="auto"/>
          <w:sz w:val="24"/>
          <w:highlight w:val="none"/>
        </w:rPr>
        <w:t>投标须知</w:t>
      </w:r>
      <w:bookmarkEnd w:id="8"/>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w:t>
      </w:r>
      <w:r>
        <w:rPr>
          <w:rFonts w:hint="eastAsia" w:ascii="宋体" w:hAnsi="宋体" w:cs="宋体"/>
          <w:color w:val="auto"/>
          <w:sz w:val="24"/>
          <w:highlight w:val="none"/>
          <w:u w:val="single"/>
          <w:lang w:eastAsia="zh-CN"/>
        </w:rPr>
        <w:t>前海港澳文艺作品创作及宣推合作项目</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2、本项目不属于《深圳市2025-2026年政府集中采购目录及限额标准》规定应集中采购项目，根据《中华人民共和国政府采购法》、《深圳经济特区政府采购条例》的有关规定，</w:t>
      </w:r>
      <w:r>
        <w:rPr>
          <w:rFonts w:hint="eastAsia" w:ascii="宋体" w:hAnsi="宋体" w:cs="宋体"/>
          <w:color w:val="auto"/>
          <w:sz w:val="24"/>
          <w:highlight w:val="none"/>
          <w:lang w:val="en-US" w:eastAsia="zh-CN"/>
        </w:rPr>
        <w:t>深圳交易咨询集团</w:t>
      </w:r>
      <w:r>
        <w:rPr>
          <w:rFonts w:hint="eastAsia" w:ascii="宋体" w:hAnsi="宋体" w:cs="宋体"/>
          <w:color w:val="auto"/>
          <w:sz w:val="24"/>
          <w:highlight w:val="none"/>
        </w:rPr>
        <w:t>有限公司受深圳市前海深港现代服务业合作区管理局委托</w:t>
      </w:r>
      <w:r>
        <w:rPr>
          <w:rFonts w:hint="eastAsia" w:ascii="宋体" w:hAnsi="宋体" w:cs="宋体"/>
          <w:color w:val="auto"/>
          <w:sz w:val="24"/>
          <w:highlight w:val="none"/>
          <w:lang w:eastAsia="zh-CN"/>
        </w:rPr>
        <w:t>以简易招标方式</w:t>
      </w:r>
      <w:r>
        <w:rPr>
          <w:rFonts w:hint="eastAsia" w:ascii="宋体" w:hAnsi="宋体" w:cs="宋体"/>
          <w:color w:val="auto"/>
          <w:sz w:val="24"/>
          <w:highlight w:val="none"/>
        </w:rPr>
        <w:t>组织采购。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2.2、对于重新组织简易招标(公开征集)，仍出现报名且符合招标文件初审的投标供应商不足3家的情形，按以下流程执行：</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a.有效投标人为2家的，可在2家有效投标人中取得分最高者为中标供应商；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b.如参与投标且符合招标文件要求的供应商仅有1家，评审委员会应与投标供应商进行谈判，原则上成交价不超过最初报价的95%。</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3、本项目根据项目的实际情况，公开征集符合投标</w:t>
      </w:r>
      <w:r>
        <w:rPr>
          <w:rFonts w:ascii="宋体" w:hAnsi="宋体" w:cs="宋体"/>
          <w:color w:val="auto"/>
          <w:sz w:val="24"/>
          <w:highlight w:val="none"/>
        </w:rPr>
        <w:t>单位</w:t>
      </w:r>
      <w:r>
        <w:rPr>
          <w:rFonts w:hint="eastAsia" w:ascii="宋体" w:hAnsi="宋体" w:cs="宋体"/>
          <w:color w:val="auto"/>
          <w:sz w:val="24"/>
          <w:highlight w:val="none"/>
        </w:rPr>
        <w:t>资格的供应商。请各供应商根据本文件的要求，准备</w:t>
      </w:r>
      <w:r>
        <w:rPr>
          <w:rFonts w:hint="eastAsia" w:ascii="宋体" w:hAnsi="宋体" w:cs="宋体"/>
          <w:b/>
          <w:bCs/>
          <w:color w:val="auto"/>
          <w:sz w:val="24"/>
          <w:highlight w:val="none"/>
        </w:rPr>
        <w:t>5套（1套正本，4套副本，附电子版，电子版是以光盘、U盘或硬盘等移动存储介质提交的加盖公章的PDF电子投标文件）</w:t>
      </w:r>
      <w:r>
        <w:rPr>
          <w:rFonts w:hint="eastAsia" w:ascii="宋体" w:hAnsi="宋体" w:cs="宋体"/>
          <w:color w:val="auto"/>
          <w:sz w:val="24"/>
          <w:highlight w:val="none"/>
        </w:rPr>
        <w:t>完备的资料进行投标，副本可以是正本的复印件。</w:t>
      </w:r>
    </w:p>
    <w:p>
      <w:pPr>
        <w:spacing w:line="360" w:lineRule="auto"/>
        <w:ind w:firstLine="482" w:firstLineChars="200"/>
        <w:rPr>
          <w:color w:val="auto"/>
          <w:highlight w:val="none"/>
        </w:rPr>
      </w:pPr>
      <w:r>
        <w:rPr>
          <w:rFonts w:hint="eastAsia" w:ascii="宋体" w:hAnsi="宋体" w:cs="宋体"/>
          <w:b/>
          <w:bCs/>
          <w:color w:val="auto"/>
          <w:sz w:val="24"/>
          <w:highlight w:val="none"/>
        </w:rPr>
        <w:t>注：投标文件需根据目录内容编写页码，正本不得活页装订。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snapToGrid w:val="0"/>
        <w:spacing w:after="78" w:afterLines="25"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6、项目的报价要求。</w:t>
      </w:r>
      <w:r>
        <w:rPr>
          <w:rFonts w:hint="eastAsia" w:ascii="宋体" w:hAnsi="宋体" w:cs="宋体"/>
          <w:color w:val="auto"/>
          <w:kern w:val="0"/>
          <w:sz w:val="24"/>
          <w:szCs w:val="20"/>
          <w:highlight w:val="none"/>
        </w:rPr>
        <w:t>本次投标为总价包干，投标报价包括了投标人完成本招标项目而发生的全部费用</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含税</w:t>
      </w:r>
      <w:r>
        <w:rPr>
          <w:rFonts w:hint="eastAsia" w:ascii="宋体" w:hAnsi="宋体" w:cs="宋体"/>
          <w:color w:val="auto"/>
          <w:kern w:val="0"/>
          <w:sz w:val="24"/>
          <w:szCs w:val="20"/>
          <w:highlight w:val="none"/>
          <w:lang w:eastAsia="zh-CN"/>
        </w:rPr>
        <w:t>）。</w:t>
      </w:r>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p>
    <w:p>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bCs/>
          <w:color w:val="auto"/>
          <w:sz w:val="24"/>
          <w:highlight w:val="none"/>
        </w:rPr>
        <w:t>采购</w:t>
      </w:r>
      <w:r>
        <w:rPr>
          <w:rFonts w:ascii="宋体" w:hAnsi="宋体" w:cs="宋体"/>
          <w:color w:val="auto"/>
          <w:sz w:val="24"/>
          <w:highlight w:val="none"/>
        </w:rPr>
        <w:t>单位</w:t>
      </w:r>
      <w:r>
        <w:rPr>
          <w:rFonts w:hint="eastAsia" w:ascii="宋体" w:hAnsi="宋体" w:cs="宋体"/>
          <w:bCs/>
          <w:color w:val="auto"/>
          <w:sz w:val="24"/>
          <w:highlight w:val="none"/>
        </w:rPr>
        <w:t>会对本次招标的项目确定一个最高限价，最终成交价格超出最高限价将会被当作无效投标处理。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8、如采购</w:t>
      </w:r>
      <w:r>
        <w:rPr>
          <w:rFonts w:ascii="宋体" w:hAnsi="宋体" w:cs="宋体"/>
          <w:color w:val="auto"/>
          <w:sz w:val="24"/>
          <w:highlight w:val="none"/>
        </w:rPr>
        <w:t>单位</w:t>
      </w:r>
      <w:r>
        <w:rPr>
          <w:rFonts w:hint="eastAsia" w:ascii="宋体" w:hAnsi="宋体" w:cs="宋体"/>
          <w:color w:val="auto"/>
          <w:sz w:val="24"/>
          <w:highlight w:val="none"/>
        </w:rPr>
        <w:t>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9、采购</w:t>
      </w:r>
      <w:r>
        <w:rPr>
          <w:rFonts w:ascii="宋体" w:hAnsi="宋体" w:cs="宋体"/>
          <w:color w:val="auto"/>
          <w:sz w:val="24"/>
          <w:highlight w:val="none"/>
        </w:rPr>
        <w:t>单位</w:t>
      </w:r>
      <w:r>
        <w:rPr>
          <w:rFonts w:hint="eastAsia" w:ascii="宋体" w:hAnsi="宋体" w:cs="宋体"/>
          <w:color w:val="auto"/>
          <w:sz w:val="24"/>
          <w:highlight w:val="none"/>
        </w:rPr>
        <w:t>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10、本次采购凡涉及知识产权问题，由项目供应商负责。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11、采购</w:t>
      </w:r>
      <w:r>
        <w:rPr>
          <w:rFonts w:ascii="宋体" w:hAnsi="宋体" w:cs="宋体"/>
          <w:color w:val="auto"/>
          <w:sz w:val="24"/>
          <w:highlight w:val="none"/>
        </w:rPr>
        <w:t>单位</w:t>
      </w:r>
      <w:r>
        <w:rPr>
          <w:rFonts w:hint="eastAsia" w:ascii="宋体" w:hAnsi="宋体" w:cs="宋体"/>
          <w:color w:val="auto"/>
          <w:sz w:val="24"/>
          <w:highlight w:val="none"/>
        </w:rPr>
        <w:t>将组成评审委员会，评审工作由评审委员会独立负责。</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12、供应商应在规定的时间内现场递交</w:t>
      </w:r>
      <w:r>
        <w:rPr>
          <w:rFonts w:hint="eastAsia" w:ascii="宋体" w:hAnsi="宋体" w:cs="宋体"/>
          <w:color w:val="auto"/>
          <w:sz w:val="24"/>
          <w:highlight w:val="none"/>
          <w:lang w:val="en-US" w:eastAsia="zh-CN"/>
        </w:rPr>
        <w:t>或邮寄</w:t>
      </w:r>
      <w:r>
        <w:rPr>
          <w:rFonts w:hint="eastAsia" w:ascii="宋体" w:hAnsi="宋体" w:cs="宋体"/>
          <w:color w:val="auto"/>
          <w:sz w:val="24"/>
          <w:highlight w:val="none"/>
        </w:rPr>
        <w:t>投标文件。</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13、采用综合评分法的情况：评审委员会将分别对供应商递交的投标文件进行评审。</w:t>
      </w:r>
    </w:p>
    <w:p>
      <w:pPr>
        <w:pStyle w:val="28"/>
        <w:numPr>
          <w:ilvl w:val="1"/>
          <w:numId w:val="5"/>
        </w:numPr>
        <w:snapToGrid w:val="0"/>
        <w:spacing w:line="360" w:lineRule="auto"/>
        <w:ind w:firstLineChars="0"/>
        <w:rPr>
          <w:rFonts w:ascii="宋体" w:hAnsi="宋体" w:cs="宋体"/>
          <w:color w:val="auto"/>
          <w:sz w:val="24"/>
          <w:highlight w:val="none"/>
        </w:rPr>
      </w:pPr>
      <w:r>
        <w:rPr>
          <w:rFonts w:hint="eastAsia" w:ascii="宋体" w:hAnsi="宋体" w:cs="宋体"/>
          <w:color w:val="auto"/>
          <w:kern w:val="2"/>
          <w:sz w:val="24"/>
          <w:szCs w:val="24"/>
          <w:highlight w:val="none"/>
        </w:rPr>
        <w:t>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highlight w:val="none"/>
        </w:rPr>
        <w:t>第一</w:t>
      </w:r>
      <w:r>
        <w:rPr>
          <w:rFonts w:hint="eastAsia" w:ascii="宋体" w:hAnsi="宋体" w:cs="宋体"/>
          <w:color w:val="auto"/>
          <w:kern w:val="2"/>
          <w:sz w:val="24"/>
          <w:szCs w:val="24"/>
          <w:highlight w:val="none"/>
        </w:rPr>
        <w:t>中标候选人；</w:t>
      </w:r>
    </w:p>
    <w:p>
      <w:pPr>
        <w:pStyle w:val="28"/>
        <w:numPr>
          <w:ilvl w:val="1"/>
          <w:numId w:val="5"/>
        </w:numPr>
        <w:snapToGrid w:val="0"/>
        <w:spacing w:line="360" w:lineRule="auto"/>
        <w:ind w:firstLineChars="0"/>
        <w:rPr>
          <w:rFonts w:ascii="宋体" w:hAnsi="宋体" w:cs="宋体"/>
          <w:color w:val="auto"/>
          <w:sz w:val="24"/>
          <w:highlight w:val="none"/>
        </w:rPr>
      </w:pPr>
      <w:r>
        <w:rPr>
          <w:rFonts w:hint="eastAsia" w:ascii="宋体" w:hAnsi="宋体" w:cs="宋体"/>
          <w:color w:val="auto"/>
          <w:sz w:val="24"/>
          <w:highlight w:val="none"/>
        </w:rPr>
        <w:t>如果二个及以上供应商的综合评分相同时，取投标价格低者为第一中标候选人；</w:t>
      </w:r>
    </w:p>
    <w:p>
      <w:pPr>
        <w:numPr>
          <w:ilvl w:val="1"/>
          <w:numId w:val="5"/>
        </w:num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如果二个及以上供应商的综合评分相同，且投标价格也相同时，取技术部分得分高者为第一中标候选人。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14、采用谈判的情况：如参与投标且符合招标文件要求的供应商仅有1家</w:t>
      </w:r>
      <w:r>
        <w:rPr>
          <w:rFonts w:hint="eastAsia" w:ascii="宋体" w:hAnsi="宋体" w:cs="宋体"/>
          <w:color w:val="auto"/>
          <w:sz w:val="24"/>
          <w:highlight w:val="none"/>
          <w:lang w:eastAsia="zh-CN"/>
        </w:rPr>
        <w:t>，</w:t>
      </w:r>
      <w:r>
        <w:rPr>
          <w:rFonts w:hint="eastAsia" w:ascii="宋体" w:hAnsi="宋体" w:cs="宋体"/>
          <w:color w:val="auto"/>
          <w:sz w:val="24"/>
          <w:highlight w:val="none"/>
        </w:rPr>
        <w:t>评审委员会将与投标供应商进行谈判。</w:t>
      </w:r>
    </w:p>
    <w:p>
      <w:pPr>
        <w:numPr>
          <w:ilvl w:val="0"/>
          <w:numId w:val="6"/>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供应商在谈判时由项目负责人与评审委员会进行谈判；</w:t>
      </w:r>
    </w:p>
    <w:p>
      <w:pPr>
        <w:numPr>
          <w:ilvl w:val="0"/>
          <w:numId w:val="6"/>
        </w:num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原则上成交价不超过最初报价的95%。</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15、供应商不得将本项目转包给其他人。</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16、所有的评审/谈判内容都必须保密。</w:t>
      </w:r>
    </w:p>
    <w:p>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17、招标代理服务收费：</w:t>
      </w:r>
    </w:p>
    <w:p>
      <w:pPr>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adjustRightInd w:val="0"/>
        <w:snapToGrid w:val="0"/>
        <w:spacing w:line="360" w:lineRule="auto"/>
        <w:ind w:right="26"/>
        <w:jc w:val="left"/>
        <w:rPr>
          <w:rFonts w:hint="eastAsia" w:ascii="宋体" w:hAnsi="宋体" w:cs="宋体"/>
          <w:color w:val="auto"/>
          <w:sz w:val="24"/>
          <w:highlight w:val="none"/>
        </w:rPr>
      </w:pPr>
    </w:p>
    <w:p>
      <w:pPr>
        <w:adjustRightInd w:val="0"/>
        <w:snapToGrid w:val="0"/>
        <w:spacing w:line="360" w:lineRule="auto"/>
        <w:ind w:right="26"/>
        <w:jc w:val="left"/>
        <w:rPr>
          <w:rFonts w:ascii="宋体" w:hAnsi="宋体" w:cs="宋体"/>
          <w:color w:val="auto"/>
          <w:sz w:val="24"/>
          <w:highlight w:val="none"/>
        </w:rPr>
      </w:pPr>
      <w:r>
        <w:rPr>
          <w:rFonts w:hint="eastAsia" w:ascii="宋体" w:hAnsi="宋体" w:cs="宋体"/>
          <w:color w:val="auto"/>
          <w:sz w:val="24"/>
          <w:highlight w:val="none"/>
        </w:rPr>
        <w:t>具体计取费率标准如下表所示：</w:t>
      </w:r>
    </w:p>
    <w:tbl>
      <w:tblPr>
        <w:tblStyle w:val="19"/>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124" w:type="dxa"/>
            <w:vMerge w:val="continue"/>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p>
        </w:tc>
        <w:tc>
          <w:tcPr>
            <w:tcW w:w="1843"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vAlign w:val="center"/>
          </w:tcPr>
          <w:p>
            <w:pPr>
              <w:keepNext w:val="0"/>
              <w:keepLines w:val="0"/>
              <w:suppressLineNumbers w:val="0"/>
              <w:adjustRightInd w:val="0"/>
              <w:snapToGrid w:val="0"/>
              <w:spacing w:before="0" w:beforeAutospacing="0" w:after="0" w:afterAutospacing="0" w:line="360" w:lineRule="auto"/>
              <w:ind w:left="0" w:right="26"/>
              <w:jc w:val="center"/>
              <w:rPr>
                <w:rFonts w:hint="default"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100万元以下</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1.1%</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0.45%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5000万元（含）-1亿元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0.25%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0.1%</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1亿元（含）-5亿元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5亿元（含）-10亿元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10亿元（含）-50亿元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50亿元（含）-100亿元</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100亿元（含）以上</w:t>
            </w:r>
          </w:p>
        </w:tc>
        <w:tc>
          <w:tcPr>
            <w:tcW w:w="1843" w:type="dxa"/>
            <w:vAlign w:val="center"/>
          </w:tcPr>
          <w:p>
            <w:pPr>
              <w:keepNext w:val="0"/>
              <w:keepLines w:val="0"/>
              <w:suppressLineNumbers w:val="0"/>
              <w:adjustRightInd w:val="0"/>
              <w:snapToGrid w:val="0"/>
              <w:spacing w:before="0" w:beforeAutospacing="0" w:after="0" w:afterAutospacing="0" w:line="360" w:lineRule="auto"/>
              <w:ind w:left="0" w:right="0"/>
              <w:jc w:val="center"/>
              <w:textAlignment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755"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c>
          <w:tcPr>
            <w:tcW w:w="1897" w:type="dxa"/>
            <w:vAlign w:val="center"/>
          </w:tcPr>
          <w:p>
            <w:pPr>
              <w:keepNext w:val="0"/>
              <w:keepLines w:val="0"/>
              <w:suppressLineNumbers w:val="0"/>
              <w:adjustRightInd w:val="0"/>
              <w:snapToGrid w:val="0"/>
              <w:spacing w:before="0" w:beforeAutospacing="0" w:after="0" w:afterAutospacing="0" w:line="360" w:lineRule="auto"/>
              <w:ind w:left="0" w:right="28"/>
              <w:jc w:val="center"/>
              <w:rPr>
                <w:rFonts w:hint="default"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ascii="宋体" w:hAnsi="宋体" w:cs="宋体"/>
          <w:b/>
          <w:bCs/>
          <w:color w:val="auto"/>
          <w:sz w:val="24"/>
          <w:highlight w:val="none"/>
        </w:rPr>
        <w:sectPr>
          <w:footerReference r:id="rId3" w:type="default"/>
          <w:footerReference r:id="rId4" w:type="even"/>
          <w:pgSz w:w="11906" w:h="16838"/>
          <w:pgMar w:top="2098" w:right="1474" w:bottom="1984" w:left="1587"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9" w:name="_Toc18857"/>
      <w:r>
        <w:rPr>
          <w:rFonts w:hint="eastAsia" w:ascii="宋体" w:hAnsi="宋体" w:cs="宋体"/>
          <w:b/>
          <w:bCs/>
          <w:color w:val="auto"/>
          <w:sz w:val="24"/>
          <w:highlight w:val="none"/>
        </w:rPr>
        <w:t>评标程序</w:t>
      </w:r>
      <w:bookmarkEnd w:id="9"/>
    </w:p>
    <w:p>
      <w:pPr>
        <w:numPr>
          <w:ilvl w:val="0"/>
          <w:numId w:val="7"/>
        </w:num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法成立评审委员会。在投标截止日前由前海管理局授权招标代理机构在深圳市政府采购评审专家库中抽取专家，组建不少于3人（单数）的评审委员会，其中专家人数为1人，其他专家由采购主办部门委派，评审委员会在开标开始前一天组成。</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二、参加会议人员：项目负责代表、评审委员会成员、监督部门代表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采购代理机构代表。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三、会议主持人：</w:t>
      </w:r>
      <w:r>
        <w:rPr>
          <w:rFonts w:hint="eastAsia" w:ascii="宋体" w:hAnsi="宋体" w:cs="宋体"/>
          <w:color w:val="auto"/>
          <w:kern w:val="2"/>
          <w:sz w:val="24"/>
          <w:highlight w:val="none"/>
        </w:rPr>
        <w:t>开标评标会议由招标代理机构主持</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w:t>
      </w:r>
      <w:r>
        <w:rPr>
          <w:rFonts w:hint="eastAsia" w:ascii="宋体" w:hAnsi="宋体" w:cs="宋体"/>
          <w:color w:val="auto"/>
          <w:sz w:val="24"/>
          <w:highlight w:val="none"/>
          <w:lang w:val="en-US" w:eastAsia="zh-CN"/>
        </w:rPr>
        <w:t>开标</w:t>
      </w:r>
      <w:r>
        <w:rPr>
          <w:rFonts w:hint="eastAsia" w:ascii="宋体" w:hAnsi="宋体" w:cs="宋体"/>
          <w:color w:val="auto"/>
          <w:sz w:val="24"/>
          <w:highlight w:val="none"/>
        </w:rPr>
        <w:t>时间：</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28</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上</w:t>
      </w:r>
      <w:r>
        <w:rPr>
          <w:rFonts w:hint="eastAsia" w:ascii="宋体" w:hAnsi="宋体" w:cs="宋体"/>
          <w:b/>
          <w:bCs/>
          <w:color w:val="auto"/>
          <w:sz w:val="24"/>
          <w:highlight w:val="none"/>
        </w:rPr>
        <w:t>午1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:00时</w:t>
      </w:r>
      <w:r>
        <w:rPr>
          <w:rFonts w:hint="eastAsia" w:ascii="宋体" w:hAnsi="宋体" w:cs="宋体"/>
          <w:color w:val="auto"/>
          <w:sz w:val="24"/>
          <w:highlight w:val="none"/>
        </w:rPr>
        <w:t>（北京时间）。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28</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上</w:t>
      </w:r>
      <w:r>
        <w:rPr>
          <w:rFonts w:hint="eastAsia" w:ascii="宋体" w:hAnsi="宋体" w:cs="宋体"/>
          <w:b/>
          <w:bCs/>
          <w:color w:val="auto"/>
          <w:sz w:val="24"/>
          <w:highlight w:val="none"/>
        </w:rPr>
        <w:t>午1</w:t>
      </w:r>
      <w:r>
        <w:rPr>
          <w:rFonts w:hint="eastAsia" w:ascii="宋体" w:hAnsi="宋体" w:cs="宋体"/>
          <w:b/>
          <w:bCs/>
          <w:color w:val="auto"/>
          <w:sz w:val="24"/>
          <w:highlight w:val="none"/>
          <w:lang w:val="en-US" w:eastAsia="zh-CN"/>
        </w:rPr>
        <w:t>0</w:t>
      </w:r>
      <w:r>
        <w:rPr>
          <w:rFonts w:hint="eastAsia" w:ascii="宋体" w:hAnsi="宋体" w:cs="宋体"/>
          <w:b/>
          <w:bCs/>
          <w:color w:val="auto"/>
          <w:sz w:val="24"/>
          <w:highlight w:val="none"/>
        </w:rPr>
        <w:t>:00时</w:t>
      </w:r>
      <w:r>
        <w:rPr>
          <w:rFonts w:hint="eastAsia" w:ascii="宋体" w:hAnsi="宋体" w:cs="宋体"/>
          <w:color w:val="auto"/>
          <w:sz w:val="24"/>
          <w:highlight w:val="none"/>
        </w:rPr>
        <w:t>（北京时间）前送达（现场递交</w:t>
      </w:r>
      <w:r>
        <w:rPr>
          <w:rFonts w:hint="eastAsia" w:ascii="宋体" w:hAnsi="宋体" w:cs="宋体"/>
          <w:color w:val="auto"/>
          <w:sz w:val="24"/>
          <w:highlight w:val="none"/>
          <w:lang w:val="en-US" w:eastAsia="zh-CN"/>
        </w:rPr>
        <w:t>或邮寄至</w:t>
      </w:r>
      <w:r>
        <w:rPr>
          <w:rFonts w:hint="eastAsia" w:ascii="宋体" w:hAnsi="宋体" w:cs="宋体"/>
          <w:color w:val="auto"/>
          <w:sz w:val="24"/>
          <w:highlight w:val="none"/>
        </w:rPr>
        <w:t>前海大厦T1栋</w:t>
      </w:r>
      <w:r>
        <w:rPr>
          <w:rFonts w:hint="eastAsia" w:ascii="宋体" w:hAnsi="宋体" w:cs="宋体"/>
          <w:color w:val="auto"/>
          <w:sz w:val="24"/>
          <w:highlight w:val="none"/>
          <w:lang w:val="en-US" w:eastAsia="zh-CN"/>
        </w:rPr>
        <w:t>2505</w:t>
      </w:r>
      <w:r>
        <w:rPr>
          <w:rFonts w:hint="eastAsia" w:ascii="宋体" w:hAnsi="宋体" w:cs="宋体"/>
          <w:color w:val="auto"/>
          <w:sz w:val="24"/>
          <w:highlight w:val="none"/>
        </w:rPr>
        <w:t>室）。截标后不再接收任何投标文件。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六、开标：招标代理机构组织开标会。投标</w:t>
      </w:r>
      <w:r>
        <w:rPr>
          <w:rFonts w:ascii="宋体" w:hAnsi="宋体" w:cs="宋体"/>
          <w:color w:val="auto"/>
          <w:sz w:val="24"/>
          <w:highlight w:val="none"/>
        </w:rPr>
        <w:t>单位</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委派代表参加，参加开标的代表应签名报到以证明出席。开标时，招标代理机构将当众宣读投标</w:t>
      </w:r>
      <w:r>
        <w:rPr>
          <w:rFonts w:ascii="宋体" w:hAnsi="宋体" w:cs="宋体"/>
          <w:color w:val="auto"/>
          <w:sz w:val="24"/>
          <w:highlight w:val="none"/>
        </w:rPr>
        <w:t>单位</w:t>
      </w:r>
      <w:r>
        <w:rPr>
          <w:rFonts w:hint="eastAsia" w:ascii="宋体" w:hAnsi="宋体" w:cs="宋体"/>
          <w:color w:val="auto"/>
          <w:sz w:val="24"/>
          <w:highlight w:val="none"/>
        </w:rPr>
        <w:t>名称、开标一览表（以招标文件规定的开标一览表内容为准）并做开标记录。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5.1供应商在谈判时由项目负责人与评审委员会进行谈判；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5.2原则上成交价不超过最初报价的95%。</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rPr>
          <w:rFonts w:hint="eastAsia" w:ascii="宋体" w:hAnsi="宋体" w:cs="宋体"/>
          <w:color w:val="auto"/>
          <w:sz w:val="24"/>
          <w:highlight w:val="none"/>
        </w:rPr>
      </w:pPr>
      <w:r>
        <w:rPr>
          <w:rFonts w:hint="eastAsia" w:ascii="宋体" w:hAnsi="宋体" w:cs="宋体"/>
          <w:color w:val="auto"/>
          <w:sz w:val="24"/>
          <w:highlight w:val="none"/>
        </w:rPr>
        <w:br w:type="page"/>
      </w:r>
    </w:p>
    <w:p>
      <w:pPr>
        <w:widowControl/>
        <w:spacing w:line="240" w:lineRule="auto"/>
        <w:jc w:val="left"/>
        <w:rPr>
          <w:rFonts w:ascii="宋体" w:hAnsi="宋体" w:cs="宋体"/>
          <w:color w:val="auto"/>
          <w:sz w:val="24"/>
          <w:highlight w:val="none"/>
        </w:rPr>
      </w:pP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b/>
          <w:bCs/>
          <w:color w:val="auto"/>
          <w:sz w:val="24"/>
          <w:highlight w:val="none"/>
        </w:rPr>
        <w:t xml:space="preserve"> </w:t>
      </w:r>
      <w:bookmarkStart w:id="10" w:name="_Toc1635"/>
      <w:r>
        <w:rPr>
          <w:rFonts w:hint="eastAsia" w:ascii="宋体" w:hAnsi="宋体" w:cs="宋体"/>
          <w:b/>
          <w:bCs/>
          <w:color w:val="auto"/>
          <w:sz w:val="24"/>
          <w:highlight w:val="none"/>
        </w:rPr>
        <w:t>合同格式及合同条款</w:t>
      </w:r>
      <w:bookmarkEnd w:id="10"/>
    </w:p>
    <w:p>
      <w:pPr>
        <w:spacing w:line="360" w:lineRule="auto"/>
        <w:ind w:firstLine="470" w:firstLineChars="196"/>
        <w:jc w:val="center"/>
        <w:rPr>
          <w:rFonts w:ascii="宋体" w:hAnsi="宋体" w:cs="宋体"/>
          <w:color w:val="auto"/>
          <w:sz w:val="24"/>
          <w:highlight w:val="none"/>
        </w:rPr>
      </w:pPr>
      <w:bookmarkStart w:id="11" w:name="_Toc73521592"/>
      <w:bookmarkStart w:id="12" w:name="_Toc101074886"/>
      <w:bookmarkStart w:id="13" w:name="_Toc73521680"/>
      <w:bookmarkStart w:id="14" w:name="_Toc100052414"/>
      <w:bookmarkStart w:id="15" w:name="_Toc73518163"/>
      <w:bookmarkStart w:id="16" w:name="_Toc73517685"/>
      <w:bookmarkStart w:id="17" w:name="_Toc84303603"/>
    </w:p>
    <w:bookmarkEnd w:id="11"/>
    <w:bookmarkEnd w:id="12"/>
    <w:bookmarkEnd w:id="13"/>
    <w:bookmarkEnd w:id="14"/>
    <w:bookmarkEnd w:id="15"/>
    <w:bookmarkEnd w:id="16"/>
    <w:bookmarkEnd w:id="17"/>
    <w:p>
      <w:pPr>
        <w:spacing w:line="360" w:lineRule="auto"/>
        <w:ind w:firstLine="470" w:firstLineChars="196"/>
        <w:rPr>
          <w:rFonts w:ascii="宋体" w:hAnsi="宋体" w:cs="宋体"/>
          <w:color w:val="auto"/>
          <w:sz w:val="24"/>
          <w:highlight w:val="none"/>
        </w:rPr>
      </w:pPr>
    </w:p>
    <w:p>
      <w:pPr>
        <w:pStyle w:val="28"/>
        <w:spacing w:line="360" w:lineRule="auto"/>
        <w:ind w:left="1475" w:right="1470" w:hanging="1475" w:hangingChars="612"/>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28"/>
        <w:spacing w:line="360" w:lineRule="auto"/>
        <w:ind w:left="1675" w:right="1470" w:hanging="1675" w:hangingChars="695"/>
        <w:rPr>
          <w:rFonts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28"/>
        <w:spacing w:line="360" w:lineRule="auto"/>
        <w:ind w:left="1470" w:right="1470" w:firstLine="482"/>
        <w:jc w:val="center"/>
        <w:rPr>
          <w:rFonts w:ascii="宋体" w:hAnsi="宋体" w:cs="宋体"/>
          <w:b/>
          <w:color w:val="auto"/>
          <w:sz w:val="24"/>
          <w:szCs w:val="24"/>
          <w:highlight w:val="none"/>
        </w:rPr>
      </w:pPr>
    </w:p>
    <w:p>
      <w:pPr>
        <w:pStyle w:val="28"/>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28"/>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28"/>
        <w:spacing w:line="360" w:lineRule="auto"/>
        <w:ind w:left="1470" w:right="1470" w:firstLine="482"/>
        <w:rPr>
          <w:rFonts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outlineLvl w:val="1"/>
        <w:rPr>
          <w:rFonts w:ascii="宋体" w:hAnsi="宋体" w:cs="宋体"/>
          <w:b/>
          <w:color w:val="auto"/>
          <w:sz w:val="28"/>
          <w:szCs w:val="28"/>
          <w:highlight w:val="none"/>
        </w:rPr>
      </w:pPr>
      <w:r>
        <w:rPr>
          <w:rFonts w:hint="eastAsia" w:ascii="宋体" w:hAnsi="宋体" w:cs="宋体"/>
          <w:b/>
          <w:color w:val="auto"/>
          <w:sz w:val="28"/>
          <w:szCs w:val="28"/>
          <w:highlight w:val="none"/>
          <w:lang w:val="en-US" w:eastAsia="zh-CN"/>
        </w:rPr>
        <w:t>前海港澳文艺作品创作及宣推合作项目</w:t>
      </w:r>
      <w:r>
        <w:rPr>
          <w:rFonts w:hint="eastAsia" w:ascii="宋体" w:hAnsi="宋体" w:cs="宋体"/>
          <w:b/>
          <w:color w:val="auto"/>
          <w:sz w:val="28"/>
          <w:szCs w:val="28"/>
          <w:highlight w:val="none"/>
        </w:rPr>
        <w:t>委托合同</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pPr>
        <w:pStyle w:val="28"/>
        <w:spacing w:line="360" w:lineRule="auto"/>
        <w:ind w:right="1470" w:firstLine="482"/>
        <w:rPr>
          <w:rFonts w:ascii="宋体" w:hAnsi="宋体" w:cs="宋体"/>
          <w:b/>
          <w:color w:val="auto"/>
          <w:sz w:val="24"/>
          <w:highlight w:val="none"/>
        </w:rPr>
      </w:pP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480" w:firstLineChars="200"/>
        <w:rPr>
          <w:rFonts w:hint="default" w:ascii="宋体" w:hAnsi="宋体" w:eastAsia="宋体" w:cs="宋体"/>
          <w:color w:val="auto"/>
          <w:sz w:val="24"/>
          <w:highlight w:val="none"/>
          <w:u w:val="singl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eastAsia="zh-CN"/>
        </w:rPr>
        <w:t>前海港澳文艺作品创作及宣推合作项目</w:t>
      </w:r>
      <w:r>
        <w:rPr>
          <w:rFonts w:hint="eastAsia" w:ascii="宋体" w:hAnsi="宋体" w:cs="宋体"/>
          <w:b w:val="0"/>
          <w:bCs/>
          <w:color w:val="auto"/>
          <w:sz w:val="24"/>
          <w:highlight w:val="none"/>
          <w:u w:val="single"/>
          <w:lang w:val="en-US" w:eastAsia="zh-CN"/>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p>
    <w:p>
      <w:pPr>
        <w:spacing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pPr>
        <w:spacing w:line="360" w:lineRule="auto"/>
        <w:jc w:val="center"/>
        <w:outlineLvl w:val="1"/>
        <w:rPr>
          <w:rFonts w:ascii="宋体" w:hAnsi="宋体" w:cs="宋体"/>
          <w:color w:val="auto"/>
          <w:sz w:val="24"/>
          <w:highlight w:val="none"/>
        </w:rPr>
      </w:pPr>
      <w:r>
        <w:rPr>
          <w:rFonts w:hint="eastAsia" w:ascii="宋体" w:hAnsi="宋体" w:cs="宋体"/>
          <w:color w:val="auto"/>
          <w:sz w:val="24"/>
          <w:highlight w:val="none"/>
        </w:rPr>
        <w:t>二〇二</w:t>
      </w: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地址： </w:t>
      </w:r>
      <w:r>
        <w:rPr>
          <w:rFonts w:hint="eastAsia" w:ascii="宋体" w:hAnsi="宋体" w:cs="宋体"/>
          <w:color w:val="auto"/>
          <w:sz w:val="24"/>
          <w:highlight w:val="none"/>
          <w:u w:val="single"/>
        </w:rPr>
        <w:t>深圳市前海深港现代服务业合作区桂湾五路123号前海大厦T1栋</w:t>
      </w:r>
    </w:p>
    <w:p>
      <w:pPr>
        <w:spacing w:line="360" w:lineRule="auto"/>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法定代表人：</w:t>
      </w:r>
      <w:r>
        <w:rPr>
          <w:rFonts w:hint="eastAsia" w:ascii="宋体" w:hAnsi="宋体" w:cs="宋体"/>
          <w:b/>
          <w:bCs/>
          <w:color w:val="auto"/>
          <w:sz w:val="24"/>
          <w:highlight w:val="none"/>
          <w:lang w:val="en-US" w:eastAsia="zh-CN"/>
        </w:rPr>
        <w:t>王守睿</w:t>
      </w:r>
    </w:p>
    <w:p>
      <w:pPr>
        <w:pStyle w:val="27"/>
        <w:rPr>
          <w:rFonts w:hint="eastAsia" w:eastAsia="宋体"/>
          <w:color w:val="auto"/>
          <w:highlight w:val="none"/>
          <w:lang w:eastAsia="zh-CN"/>
        </w:rPr>
      </w:pPr>
      <w:r>
        <w:rPr>
          <w:rFonts w:hint="eastAsia"/>
          <w:color w:val="auto"/>
          <w:highlight w:val="none"/>
        </w:rPr>
        <w:t>联系人：</w:t>
      </w:r>
      <w:r>
        <w:rPr>
          <w:rFonts w:hint="eastAsia"/>
          <w:color w:val="auto"/>
          <w:highlight w:val="none"/>
          <w:lang w:eastAsia="zh-CN"/>
        </w:rPr>
        <w:t>王勋楚</w:t>
      </w:r>
    </w:p>
    <w:p>
      <w:pPr>
        <w:pStyle w:val="27"/>
        <w:rPr>
          <w:rFonts w:hint="default" w:eastAsia="宋体"/>
          <w:color w:val="auto"/>
          <w:highlight w:val="none"/>
          <w:lang w:val="en-US" w:eastAsia="zh-CN"/>
        </w:rPr>
      </w:pPr>
      <w:r>
        <w:rPr>
          <w:rFonts w:hint="eastAsia"/>
          <w:color w:val="auto"/>
          <w:highlight w:val="none"/>
        </w:rPr>
        <w:t>联系方式：</w:t>
      </w:r>
      <w:r>
        <w:rPr>
          <w:rFonts w:hint="eastAsia"/>
          <w:color w:val="auto"/>
          <w:highlight w:val="none"/>
          <w:lang w:val="en-US" w:eastAsia="zh-CN"/>
        </w:rPr>
        <w:t>13651428608</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统一</w:t>
      </w:r>
      <w:r>
        <w:rPr>
          <w:rFonts w:hint="eastAsia" w:ascii="宋体" w:hAnsi="宋体" w:cs="宋体"/>
          <w:b/>
          <w:bCs/>
          <w:color w:val="auto"/>
          <w:sz w:val="24"/>
          <w:highlight w:val="none"/>
          <w:lang w:val="en-US" w:eastAsia="zh-CN"/>
        </w:rPr>
        <w:t>社会</w:t>
      </w:r>
      <w:bookmarkStart w:id="37" w:name="_GoBack"/>
      <w:bookmarkEnd w:id="37"/>
      <w:r>
        <w:rPr>
          <w:rFonts w:hint="eastAsia" w:ascii="宋体" w:hAnsi="宋体" w:cs="宋体"/>
          <w:b/>
          <w:bCs/>
          <w:color w:val="auto"/>
          <w:sz w:val="24"/>
          <w:highlight w:val="none"/>
        </w:rPr>
        <w:t>信用代码：</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w:t>
      </w:r>
    </w:p>
    <w:p>
      <w:pPr>
        <w:pStyle w:val="27"/>
        <w:rPr>
          <w:color w:val="auto"/>
          <w:highlight w:val="none"/>
        </w:rPr>
      </w:pPr>
      <w:r>
        <w:rPr>
          <w:rFonts w:hint="eastAsia"/>
          <w:color w:val="auto"/>
          <w:highlight w:val="none"/>
        </w:rPr>
        <w:t>联系人：</w:t>
      </w:r>
    </w:p>
    <w:p>
      <w:pPr>
        <w:pStyle w:val="27"/>
        <w:rPr>
          <w:color w:val="auto"/>
          <w:highlight w:val="none"/>
        </w:rPr>
      </w:pPr>
      <w:r>
        <w:rPr>
          <w:rFonts w:hint="eastAsia"/>
          <w:color w:val="auto"/>
          <w:highlight w:val="none"/>
        </w:rPr>
        <w:t>联系方式：</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】招标项目的中标结果，由【   】单位（以下简称乙方）为中标</w:t>
      </w:r>
      <w:r>
        <w:rPr>
          <w:rFonts w:ascii="宋体" w:hAnsi="宋体" w:cs="宋体"/>
          <w:color w:val="auto"/>
          <w:sz w:val="24"/>
          <w:highlight w:val="none"/>
        </w:rPr>
        <w:t>单位</w:t>
      </w:r>
      <w:r>
        <w:rPr>
          <w:rFonts w:hint="eastAsia" w:ascii="宋体" w:hAnsi="宋体" w:cs="宋体"/>
          <w:color w:val="auto"/>
          <w:sz w:val="24"/>
          <w:highlight w:val="none"/>
        </w:rPr>
        <w:t>。按照《中华人民共和国民法典》和《深圳经济特区政府采购条例》，经深圳市前海深港现代服务业合作区管理局（以下简称甲方）和【   】单位（以下简称乙方）协商，就甲方委托乙方共同承担</w:t>
      </w:r>
      <w:r>
        <w:rPr>
          <w:rFonts w:hint="eastAsia" w:ascii="宋体" w:hAnsi="宋体" w:cs="宋体"/>
          <w:color w:val="auto"/>
          <w:sz w:val="24"/>
          <w:highlight w:val="none"/>
          <w:u w:val="single"/>
          <w:lang w:val="en-US" w:eastAsia="zh-CN"/>
        </w:rPr>
        <w:t xml:space="preserve"> 前海港澳文艺作品创作及宣推合作项目</w:t>
      </w:r>
      <w:r>
        <w:rPr>
          <w:rFonts w:hint="eastAsia" w:ascii="宋体" w:hAnsi="宋体" w:cs="宋体"/>
          <w:b/>
          <w:bCs/>
          <w:color w:val="auto"/>
          <w:kern w:val="0"/>
          <w:sz w:val="24"/>
          <w:highlight w:val="none"/>
          <w:u w:val="single"/>
        </w:rPr>
        <w:t>（以下简称本项目）</w:t>
      </w:r>
      <w:r>
        <w:rPr>
          <w:rFonts w:hint="eastAsia" w:ascii="宋体" w:hAnsi="宋体" w:cs="宋体"/>
          <w:color w:val="auto"/>
          <w:sz w:val="24"/>
          <w:highlight w:val="none"/>
        </w:rPr>
        <w:t>，达成以下合同条款：</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第一条  项目内容</w:t>
      </w:r>
    </w:p>
    <w:p>
      <w:pPr>
        <w:spacing w:line="360" w:lineRule="auto"/>
        <w:ind w:firstLine="482" w:firstLineChars="2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rPr>
        <w:t>项目名称：</w:t>
      </w:r>
      <w:r>
        <w:rPr>
          <w:rFonts w:hint="eastAsia" w:ascii="宋体" w:hAnsi="宋体" w:cs="宋体"/>
          <w:color w:val="auto"/>
          <w:sz w:val="24"/>
          <w:highlight w:val="none"/>
          <w:lang w:val="en-US" w:eastAsia="zh-CN"/>
        </w:rPr>
        <w:t>前海港澳文艺作品创作及宣推合作项目</w:t>
      </w:r>
    </w:p>
    <w:p>
      <w:pPr>
        <w:spacing w:line="360" w:lineRule="auto"/>
        <w:ind w:firstLine="504" w:firstLineChars="200"/>
        <w:outlineLvl w:val="2"/>
        <w:rPr>
          <w:rFonts w:hint="eastAsia"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1.工作内容</w:t>
      </w:r>
    </w:p>
    <w:p>
      <w:pPr>
        <w:spacing w:line="360" w:lineRule="auto"/>
        <w:ind w:firstLine="504" w:firstLineChars="200"/>
        <w:rPr>
          <w:rFonts w:hint="eastAsia"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1）负责合作音乐剧和广播剧的脚本策划、特效制作、拍摄、场景制作、渲染、后期制作（含字幕、音乐、音效、解说词、配音、剪辑等）等；上述文艺作品内容需贴近前海“深港深度融合发展引领区”的城市形象，体现港澳特色。</w:t>
      </w:r>
    </w:p>
    <w:p>
      <w:pPr>
        <w:spacing w:line="360" w:lineRule="auto"/>
        <w:ind w:firstLine="504" w:firstLineChars="200"/>
        <w:rPr>
          <w:rFonts w:hint="eastAsia"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2）负责推动音乐剧和广播剧至少在央视或省级电台播出，并联合官方微博、微信、视频号、抖音等全媒体宣传矩阵进行宣传推广，形成全覆盖的媒体宣传阵势，同期负责完成深圳市前海管理局作为音乐剧和广播剧联合出品方或策划单位或制作方的整体宣传。</w:t>
      </w:r>
    </w:p>
    <w:p>
      <w:pPr>
        <w:spacing w:line="360" w:lineRule="auto"/>
        <w:ind w:firstLine="504" w:firstLineChars="200"/>
        <w:rPr>
          <w:rFonts w:hint="eastAsia"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（3）其他要求。音乐剧和广播剧：成片分辨率为1920*1080p</w:t>
      </w:r>
      <w:r>
        <w:rPr>
          <w:rFonts w:hint="eastAsia" w:cs="Times New Roman"/>
          <w:color w:val="auto"/>
          <w:spacing w:val="6"/>
          <w:sz w:val="24"/>
          <w:szCs w:val="24"/>
          <w:highlight w:val="none"/>
          <w:lang w:val="en-US" w:eastAsia="zh-CN"/>
        </w:rPr>
        <w:t>，</w:t>
      </w:r>
      <w:r>
        <w:rPr>
          <w:rFonts w:hint="eastAsia" w:ascii="Times New Roman" w:hAnsi="Times New Roman" w:cs="Times New Roman"/>
          <w:color w:val="auto"/>
          <w:spacing w:val="6"/>
          <w:sz w:val="24"/>
          <w:szCs w:val="24"/>
          <w:highlight w:val="none"/>
          <w:lang w:val="en-US" w:eastAsia="zh-CN"/>
        </w:rPr>
        <w:t>MOV格式及MP4格式交付，以移动硬盘作为拍摄素材和成果（拍摄的视频、音乐、动画等原文件及其他相关素材）存储载体。</w:t>
      </w:r>
    </w:p>
    <w:p>
      <w:pPr>
        <w:spacing w:line="360" w:lineRule="auto"/>
        <w:ind w:firstLine="504" w:firstLineChars="200"/>
        <w:outlineLvl w:val="2"/>
        <w:rPr>
          <w:rFonts w:hint="eastAsia"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2.技术要求</w:t>
      </w:r>
    </w:p>
    <w:p>
      <w:pPr>
        <w:spacing w:line="360" w:lineRule="auto"/>
        <w:ind w:firstLine="504" w:firstLineChars="200"/>
        <w:rPr>
          <w:rFonts w:hint="eastAsia"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（1）音乐剧和广播剧保证验收成片为高清版，最终交付完整版正片视频时长不少于30分钟。</w:t>
      </w:r>
    </w:p>
    <w:p>
      <w:pPr>
        <w:spacing w:line="360" w:lineRule="auto"/>
        <w:ind w:firstLine="504" w:firstLineChars="200"/>
        <w:rPr>
          <w:rFonts w:hint="eastAsia" w:ascii="Times New Roman" w:hAnsi="Times New Roman" w:cs="Times New Roman"/>
          <w:color w:val="auto"/>
          <w:spacing w:val="6"/>
          <w:sz w:val="24"/>
          <w:szCs w:val="24"/>
          <w:highlight w:val="none"/>
          <w:lang w:val="en-US" w:eastAsia="zh-CN"/>
        </w:rPr>
      </w:pPr>
      <w:r>
        <w:rPr>
          <w:rFonts w:hint="eastAsia" w:ascii="Times New Roman" w:hAnsi="Times New Roman" w:cs="Times New Roman"/>
          <w:color w:val="auto"/>
          <w:spacing w:val="6"/>
          <w:sz w:val="24"/>
          <w:szCs w:val="24"/>
          <w:highlight w:val="none"/>
          <w:lang w:val="en-US" w:eastAsia="zh-CN"/>
        </w:rPr>
        <w:t>（2）上述作品播出或发行资料中需体现</w:t>
      </w:r>
      <w:r>
        <w:rPr>
          <w:rFonts w:hint="eastAsia" w:cs="Times New Roman"/>
          <w:color w:val="auto"/>
          <w:spacing w:val="6"/>
          <w:sz w:val="24"/>
          <w:szCs w:val="24"/>
          <w:highlight w:val="none"/>
          <w:lang w:val="en-US" w:eastAsia="zh-CN"/>
        </w:rPr>
        <w:t>甲方</w:t>
      </w:r>
      <w:r>
        <w:rPr>
          <w:rFonts w:hint="eastAsia" w:ascii="Times New Roman" w:hAnsi="Times New Roman" w:cs="Times New Roman"/>
          <w:color w:val="auto"/>
          <w:spacing w:val="6"/>
          <w:sz w:val="24"/>
          <w:szCs w:val="24"/>
          <w:highlight w:val="none"/>
          <w:lang w:val="en-US" w:eastAsia="zh-CN"/>
        </w:rPr>
        <w:t>作为联合出品方或策划单位或制作方之一。</w:t>
      </w:r>
    </w:p>
    <w:p>
      <w:pPr>
        <w:spacing w:line="360" w:lineRule="auto"/>
        <w:ind w:firstLine="482" w:firstLineChars="200"/>
        <w:outlineLvl w:val="1"/>
        <w:rPr>
          <w:rFonts w:hint="eastAsia" w:ascii="宋体" w:hAnsi="宋体" w:cs="宋体"/>
          <w:b/>
          <w:color w:val="auto"/>
          <w:sz w:val="24"/>
          <w:highlight w:val="none"/>
          <w:lang w:val="en-US" w:eastAsia="zh-CN"/>
        </w:rPr>
      </w:pPr>
      <w:r>
        <w:rPr>
          <w:rFonts w:hint="eastAsia"/>
          <w:b/>
          <w:bCs/>
          <w:color w:val="auto"/>
          <w:sz w:val="24"/>
          <w:szCs w:val="24"/>
          <w:highlight w:val="none"/>
          <w:lang w:val="en-US" w:eastAsia="zh-CN"/>
        </w:rPr>
        <w:t xml:space="preserve">第二条  </w:t>
      </w:r>
      <w:r>
        <w:rPr>
          <w:rFonts w:hint="eastAsia" w:ascii="宋体" w:hAnsi="宋体" w:cs="宋体"/>
          <w:b/>
          <w:bCs/>
          <w:color w:val="auto"/>
          <w:sz w:val="24"/>
          <w:szCs w:val="24"/>
          <w:highlight w:val="none"/>
        </w:rPr>
        <w:t xml:space="preserve"> </w:t>
      </w:r>
      <w:r>
        <w:rPr>
          <w:rFonts w:hint="eastAsia" w:ascii="宋体" w:hAnsi="宋体" w:cs="宋体"/>
          <w:b/>
          <w:color w:val="auto"/>
          <w:sz w:val="24"/>
          <w:highlight w:val="none"/>
          <w:lang w:val="en-US" w:eastAsia="zh-CN"/>
        </w:rPr>
        <w:t>项目管理及进度要求</w:t>
      </w:r>
    </w:p>
    <w:p>
      <w:pPr>
        <w:spacing w:line="360" w:lineRule="auto"/>
        <w:ind w:firstLine="504" w:firstLineChars="200"/>
        <w:outlineLvl w:val="2"/>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1.组织实施要求</w:t>
      </w:r>
    </w:p>
    <w:p>
      <w:pPr>
        <w:spacing w:line="360" w:lineRule="auto"/>
        <w:ind w:firstLine="504" w:firstLineChars="200"/>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为确保本次项目投标工作管理规范、实施有力，乙方应成立项目组，按甲方要求完成研究成果。</w:t>
      </w:r>
    </w:p>
    <w:p>
      <w:pPr>
        <w:spacing w:line="360" w:lineRule="auto"/>
        <w:ind w:firstLine="504" w:firstLineChars="200"/>
        <w:outlineLvl w:val="2"/>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2.项目服务期限要求</w:t>
      </w:r>
    </w:p>
    <w:p>
      <w:pPr>
        <w:spacing w:line="360" w:lineRule="auto"/>
        <w:ind w:firstLine="504" w:firstLineChars="200"/>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本项目合同服务期限为：自合同签订之日起至本项目作品播出、发行、宣传结束。</w:t>
      </w:r>
    </w:p>
    <w:p>
      <w:pPr>
        <w:spacing w:line="360" w:lineRule="auto"/>
        <w:ind w:firstLine="504" w:firstLineChars="200"/>
        <w:outlineLvl w:val="2"/>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3.项目人员安排要求</w:t>
      </w:r>
    </w:p>
    <w:p>
      <w:pPr>
        <w:spacing w:line="360" w:lineRule="auto"/>
        <w:ind w:firstLine="504" w:firstLineChars="200"/>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（1）乙方需提供投入本项目的项目负责人及项目团队成员</w:t>
      </w:r>
      <w:r>
        <w:rPr>
          <w:rFonts w:hint="eastAsia" w:cs="Times New Roman"/>
          <w:color w:val="auto"/>
          <w:spacing w:val="6"/>
          <w:sz w:val="24"/>
          <w:szCs w:val="24"/>
          <w:highlight w:val="none"/>
          <w:lang w:val="en-US" w:eastAsia="zh-CN"/>
        </w:rPr>
        <w:t>。</w:t>
      </w:r>
    </w:p>
    <w:p>
      <w:pPr>
        <w:spacing w:line="360" w:lineRule="auto"/>
        <w:ind w:firstLine="504" w:firstLineChars="200"/>
        <w:rPr>
          <w:rFonts w:hint="eastAsia" w:ascii="Times New Roman" w:hAnsi="Times New Roman" w:eastAsia="宋体" w:cs="Times New Roman"/>
          <w:color w:val="auto"/>
          <w:spacing w:val="6"/>
          <w:sz w:val="24"/>
          <w:szCs w:val="24"/>
          <w:highlight w:val="none"/>
          <w:lang w:val="en-US" w:eastAsia="zh-CN"/>
        </w:rPr>
      </w:pPr>
      <w:r>
        <w:rPr>
          <w:rFonts w:hint="eastAsia" w:ascii="Times New Roman" w:hAnsi="Times New Roman" w:eastAsia="宋体" w:cs="Times New Roman"/>
          <w:color w:val="auto"/>
          <w:spacing w:val="6"/>
          <w:sz w:val="24"/>
          <w:szCs w:val="24"/>
          <w:highlight w:val="none"/>
          <w:lang w:val="en-US" w:eastAsia="zh-CN"/>
        </w:rPr>
        <w:t>（2）乙方不得随意更换项目负责人和项目组成员。</w:t>
      </w:r>
    </w:p>
    <w:p>
      <w:pPr>
        <w:spacing w:line="360" w:lineRule="auto"/>
        <w:ind w:firstLine="482" w:firstLineChars="200"/>
        <w:outlineLvl w:val="1"/>
        <w:rPr>
          <w:color w:val="auto"/>
          <w:highlight w:val="none"/>
        </w:rPr>
      </w:pPr>
      <w:r>
        <w:rPr>
          <w:rFonts w:hint="eastAsia" w:ascii="宋体" w:hAnsi="宋体" w:cs="宋体"/>
          <w:b/>
          <w:bCs/>
          <w:color w:val="auto"/>
          <w:sz w:val="24"/>
          <w:highlight w:val="none"/>
          <w:lang w:val="en-US" w:eastAsia="zh-CN"/>
        </w:rPr>
        <w:t>第三</w:t>
      </w:r>
      <w:r>
        <w:rPr>
          <w:rFonts w:hint="eastAsia" w:ascii="Times New Roman" w:hAnsi="Times New Roman" w:eastAsia="宋体" w:cs="Times New Roman"/>
          <w:b/>
          <w:bCs/>
          <w:color w:val="auto"/>
          <w:sz w:val="24"/>
          <w:szCs w:val="24"/>
          <w:highlight w:val="none"/>
          <w:lang w:val="en-US" w:eastAsia="zh-CN"/>
        </w:rPr>
        <w:t xml:space="preserve">条   </w:t>
      </w:r>
      <w:r>
        <w:rPr>
          <w:rFonts w:hint="eastAsia" w:ascii="宋体" w:hAnsi="宋体" w:cs="宋体"/>
          <w:b/>
          <w:bCs/>
          <w:color w:val="auto"/>
          <w:sz w:val="24"/>
          <w:szCs w:val="24"/>
          <w:highlight w:val="none"/>
        </w:rPr>
        <w:t>服务期限</w:t>
      </w:r>
      <w:r>
        <w:rPr>
          <w:rFonts w:hint="eastAsia" w:ascii="宋体" w:hAnsi="宋体" w:cs="宋体"/>
          <w:b/>
          <w:bCs/>
          <w:color w:val="auto"/>
          <w:kern w:val="0"/>
          <w:sz w:val="24"/>
          <w:szCs w:val="24"/>
          <w:highlight w:val="none"/>
        </w:rPr>
        <w:t>及后续服务</w:t>
      </w:r>
    </w:p>
    <w:p>
      <w:p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自合同签订之日起至本项目作品播出、发行、宣传结束。</w:t>
      </w:r>
    </w:p>
    <w:p>
      <w:pPr>
        <w:spacing w:line="360" w:lineRule="auto"/>
        <w:ind w:firstLine="482" w:firstLineChars="200"/>
        <w:outlineLvl w:val="1"/>
        <w:rPr>
          <w:rFonts w:hint="default" w:ascii="宋体" w:hAnsi="宋体" w:eastAsia="宋体" w:cs="宋体"/>
          <w:b/>
          <w:bCs/>
          <w:color w:val="auto"/>
          <w:sz w:val="24"/>
          <w:highlight w:val="none"/>
          <w:lang w:val="en-US" w:eastAsia="zh-CN"/>
        </w:rPr>
      </w:pPr>
      <w:r>
        <w:rPr>
          <w:rFonts w:hint="eastAsia" w:ascii="宋体" w:hAnsi="宋体" w:cs="宋体"/>
          <w:b/>
          <w:bCs/>
          <w:color w:val="auto"/>
          <w:sz w:val="24"/>
          <w:highlight w:val="none"/>
          <w:lang w:val="en-US" w:eastAsia="zh-CN"/>
        </w:rPr>
        <w:t xml:space="preserve">第四条   </w:t>
      </w:r>
      <w:r>
        <w:rPr>
          <w:rFonts w:hint="eastAsia" w:ascii="宋体" w:hAnsi="宋体" w:cs="宋体"/>
          <w:b/>
          <w:bCs/>
          <w:color w:val="auto"/>
          <w:sz w:val="24"/>
          <w:szCs w:val="24"/>
          <w:highlight w:val="none"/>
        </w:rPr>
        <w:t>项目资料归属</w:t>
      </w:r>
    </w:p>
    <w:p>
      <w:pPr>
        <w:pStyle w:val="10"/>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1.所有提交给甲方的项目材料及相关资料的阶段性成果及最后文本，包括为履行服务范围所编制的计划和证明资料等，都属于甲方所有，乙方在提交给甲方之前应将上述资料进行整理归类和编制索引。</w:t>
      </w:r>
    </w:p>
    <w:p>
      <w:pPr>
        <w:pStyle w:val="10"/>
        <w:snapToGrid w:val="0"/>
        <w:spacing w:line="360" w:lineRule="auto"/>
        <w:ind w:firstLine="480" w:firstLineChars="200"/>
        <w:rPr>
          <w:rFonts w:hAnsi="宋体" w:cs="宋体"/>
          <w:color w:val="auto"/>
          <w:sz w:val="24"/>
          <w:highlight w:val="none"/>
        </w:rPr>
      </w:pPr>
      <w:r>
        <w:rPr>
          <w:rFonts w:hint="eastAsia" w:hAnsi="宋体" w:cs="宋体"/>
          <w:color w:val="auto"/>
          <w:sz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各方的权利义务</w:t>
      </w:r>
    </w:p>
    <w:p>
      <w:pPr>
        <w:spacing w:line="360" w:lineRule="auto"/>
        <w:ind w:firstLine="480" w:firstLineChars="200"/>
        <w:outlineLvl w:val="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（一）甲方的权利义务</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1.甲方有权向乙方询问项目工作进展及相关情况，并要求乙方在指定时间内做出答复。</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2.甲方有权对乙方提供的服务</w:t>
      </w:r>
      <w:r>
        <w:rPr>
          <w:rFonts w:hint="eastAsia" w:ascii="Times New Roman" w:hAnsi="Times New Roman" w:eastAsia="宋体" w:cs="Times New Roman"/>
          <w:color w:val="auto"/>
          <w:sz w:val="24"/>
          <w:szCs w:val="24"/>
          <w:highlight w:val="none"/>
        </w:rPr>
        <w:t>进行</w:t>
      </w:r>
      <w:r>
        <w:rPr>
          <w:rFonts w:ascii="Times New Roman" w:hAnsi="Times New Roman" w:eastAsia="宋体" w:cs="Times New Roman"/>
          <w:color w:val="auto"/>
          <w:sz w:val="24"/>
          <w:szCs w:val="24"/>
          <w:highlight w:val="none"/>
        </w:rPr>
        <w:t>验收，有权对乙方提交的</w:t>
      </w:r>
      <w:r>
        <w:rPr>
          <w:rFonts w:hint="eastAsia" w:ascii="Times New Roman" w:hAnsi="Times New Roman" w:eastAsia="宋体" w:cs="Times New Roman"/>
          <w:color w:val="auto"/>
          <w:sz w:val="24"/>
          <w:szCs w:val="24"/>
          <w:highlight w:val="none"/>
        </w:rPr>
        <w:t>项目成果</w:t>
      </w:r>
      <w:r>
        <w:rPr>
          <w:rFonts w:ascii="Times New Roman" w:hAnsi="Times New Roman" w:eastAsia="宋体" w:cs="Times New Roman"/>
          <w:color w:val="auto"/>
          <w:sz w:val="24"/>
          <w:szCs w:val="24"/>
          <w:highlight w:val="none"/>
        </w:rPr>
        <w:t>文件进行审核并提出修改意见。</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3.如甲方确认乙方工作人员未按照本合同要求履行职责，甲方有权要求乙方限期更换人员，直至终止合同并要求乙方承担相应赔偿责任。</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4.甲方对乙方在委托权限范围内完成委托事项有指导、监督权利。</w:t>
      </w:r>
    </w:p>
    <w:p>
      <w:pPr>
        <w:tabs>
          <w:tab w:val="left" w:pos="4111"/>
        </w:tabs>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5.如乙方所提供的服务、最终成果报告</w:t>
      </w:r>
      <w:r>
        <w:rPr>
          <w:rFonts w:hint="eastAsia" w:ascii="Times New Roman" w:hAnsi="Times New Roman" w:eastAsia="宋体" w:cs="Times New Roman"/>
          <w:color w:val="auto"/>
          <w:sz w:val="24"/>
          <w:szCs w:val="24"/>
          <w:highlight w:val="none"/>
        </w:rPr>
        <w:t>等</w:t>
      </w:r>
      <w:r>
        <w:rPr>
          <w:rFonts w:ascii="Times New Roman" w:hAnsi="Times New Roman" w:eastAsia="宋体" w:cs="Times New Roman"/>
          <w:color w:val="auto"/>
          <w:sz w:val="24"/>
          <w:szCs w:val="24"/>
          <w:highlight w:val="none"/>
        </w:rPr>
        <w:t>不符合本合同的要求，甲方有权要求乙方重新执行相应的工作服务，由此产生的全部费用由乙方自行承担，同时，甲方的付款时间相应顺延。</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6.甲方有权要求乙方全面履行合同。甲方不接受部分履行，如本合同项下部分成果文件未能按时交付则视为整体延误。</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7.甲方要求乙方比本合同约定时间提前交付成果时，须征得乙方同意。因此而增加工作量，经协商确认，甲方应向乙方支付必要的费用。</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 甲方应将项目所需相关档案资料、信息数据等移交给乙方，并要求乙方签收甲方提供的材料清单。</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9.甲方应按照本合同的约定向乙方支付服务费用。</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10.甲方指定项目联系人： </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姓名：</w:t>
      </w:r>
      <w:r>
        <w:rPr>
          <w:rFonts w:hint="eastAsia" w:cs="Times New Roman"/>
          <w:color w:val="auto"/>
          <w:sz w:val="24"/>
          <w:szCs w:val="24"/>
          <w:highlight w:val="none"/>
          <w:lang w:val="en-US" w:eastAsia="zh-CN"/>
        </w:rPr>
        <w:t>王勋楚</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ascii="Times New Roman" w:hAnsi="Times New Roman" w:eastAsia="宋体" w:cs="Times New Roman"/>
          <w:color w:val="auto"/>
          <w:sz w:val="24"/>
          <w:szCs w:val="24"/>
          <w:highlight w:val="none"/>
        </w:rPr>
        <w:t>联系方式：</w:t>
      </w:r>
      <w:r>
        <w:rPr>
          <w:rFonts w:hint="eastAsia" w:cs="Times New Roman"/>
          <w:color w:val="auto"/>
          <w:sz w:val="24"/>
          <w:szCs w:val="24"/>
          <w:highlight w:val="none"/>
          <w:lang w:val="en-US" w:eastAsia="zh-CN"/>
        </w:rPr>
        <w:t>13651428608</w:t>
      </w:r>
    </w:p>
    <w:p>
      <w:pPr>
        <w:spacing w:line="360" w:lineRule="auto"/>
        <w:ind w:firstLine="480" w:firstLineChars="200"/>
        <w:outlineLvl w:val="2"/>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（二）乙方的权利义务</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1</w:t>
      </w:r>
      <w:r>
        <w:rPr>
          <w:rFonts w:ascii="Times New Roman" w:hAnsi="Times New Roman" w:eastAsia="宋体" w:cs="Times New Roman"/>
          <w:color w:val="auto"/>
          <w:sz w:val="24"/>
          <w:szCs w:val="24"/>
          <w:highlight w:val="none"/>
        </w:rPr>
        <w:t>.乙方所提供的建议、请示、报告和通知均应采用书面形式</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2</w:t>
      </w:r>
      <w:r>
        <w:rPr>
          <w:rFonts w:ascii="Times New Roman" w:hAnsi="Times New Roman" w:eastAsia="宋体" w:cs="Times New Roman"/>
          <w:color w:val="auto"/>
          <w:sz w:val="24"/>
          <w:szCs w:val="24"/>
          <w:highlight w:val="none"/>
        </w:rPr>
        <w:t>.乙方不得接受</w:t>
      </w:r>
      <w:r>
        <w:rPr>
          <w:rFonts w:hint="eastAsia" w:ascii="Times New Roman" w:hAnsi="Times New Roman" w:eastAsia="宋体" w:cs="Times New Roman"/>
          <w:color w:val="auto"/>
          <w:sz w:val="24"/>
          <w:szCs w:val="24"/>
          <w:highlight w:val="none"/>
        </w:rPr>
        <w:t>参加培育与评选活动的单位</w:t>
      </w:r>
      <w:r>
        <w:rPr>
          <w:rFonts w:ascii="Times New Roman" w:hAnsi="Times New Roman" w:eastAsia="宋体" w:cs="Times New Roman"/>
          <w:color w:val="auto"/>
          <w:sz w:val="24"/>
          <w:szCs w:val="24"/>
          <w:highlight w:val="none"/>
        </w:rPr>
        <w:t>的礼品馈赠、宴请及其它不当利益，若经甲方查证发生此类不当行为，甲方有权终止合同，并视情节移交廉政部门。</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3</w:t>
      </w:r>
      <w:r>
        <w:rPr>
          <w:rFonts w:ascii="Times New Roman" w:hAnsi="Times New Roman" w:eastAsia="宋体" w:cs="Times New Roman"/>
          <w:color w:val="auto"/>
          <w:sz w:val="24"/>
          <w:szCs w:val="24"/>
          <w:highlight w:val="none"/>
        </w:rPr>
        <w:t>.乙方应充分了解甲方意图和思路，认真研讨工作方案，开展各项工作。</w:t>
      </w:r>
    </w:p>
    <w:p>
      <w:pPr>
        <w:adjustRightInd w:val="0"/>
        <w:snapToGrid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4</w:t>
      </w:r>
      <w:r>
        <w:rPr>
          <w:rFonts w:ascii="Times New Roman" w:hAnsi="Times New Roman" w:eastAsia="宋体" w:cs="Times New Roman"/>
          <w:color w:val="auto"/>
          <w:sz w:val="24"/>
          <w:szCs w:val="24"/>
          <w:highlight w:val="none"/>
        </w:rPr>
        <w:t>.乙方应及时完成各项工作，并充分考虑甲方评审所需时间要求。</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w:t>
      </w:r>
      <w:r>
        <w:rPr>
          <w:rFonts w:ascii="Times New Roman" w:hAnsi="Times New Roman" w:eastAsia="宋体" w:cs="Times New Roman"/>
          <w:color w:val="auto"/>
          <w:sz w:val="24"/>
          <w:szCs w:val="24"/>
          <w:highlight w:val="none"/>
        </w:rPr>
        <w:t>.乙方应充分协调内部资源，保证工作质量。</w:t>
      </w:r>
    </w:p>
    <w:p>
      <w:pPr>
        <w:spacing w:line="360" w:lineRule="auto"/>
        <w:ind w:firstLine="480" w:firstLineChars="200"/>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 为保证项目成果的质量，乙方在合同履行期间，应按照本项目工作内容要求，成立项目团队。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7．乙方应接受甲方对工作进展的询问、监督和指导，严格按本合同约定的内容、标准和期限完成项目工作，并向甲方提交</w:t>
      </w:r>
      <w:r>
        <w:rPr>
          <w:rFonts w:hint="eastAsia" w:cs="Times New Roman"/>
          <w:color w:val="auto"/>
          <w:sz w:val="24"/>
          <w:szCs w:val="24"/>
          <w:highlight w:val="none"/>
          <w:lang w:val="en-US" w:eastAsia="zh-CN"/>
        </w:rPr>
        <w:t>响应的报告</w:t>
      </w:r>
      <w:r>
        <w:rPr>
          <w:rFonts w:ascii="Times New Roman" w:hAnsi="Times New Roman" w:eastAsia="宋体" w:cs="Times New Roman"/>
          <w:color w:val="auto"/>
          <w:sz w:val="24"/>
          <w:szCs w:val="24"/>
          <w:highlight w:val="none"/>
        </w:rPr>
        <w:t>。项目工作完成后，乙方应按照甲方要求将完成本项目的工作总结交给甲方。</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8.乙方应采取必要措施配合甲方验收人员的工作</w:t>
      </w:r>
      <w:r>
        <w:rPr>
          <w:rFonts w:hint="eastAsia" w:ascii="Times New Roman" w:hAnsi="Times New Roman" w:eastAsia="宋体" w:cs="Times New Roman"/>
          <w:color w:val="auto"/>
          <w:sz w:val="24"/>
          <w:szCs w:val="24"/>
          <w:highlight w:val="none"/>
        </w:rPr>
        <w:t>，</w:t>
      </w:r>
      <w:r>
        <w:rPr>
          <w:rFonts w:ascii="Times New Roman" w:hAnsi="Times New Roman" w:eastAsia="宋体" w:cs="Times New Roman"/>
          <w:color w:val="auto"/>
          <w:sz w:val="24"/>
          <w:szCs w:val="24"/>
          <w:highlight w:val="none"/>
        </w:rPr>
        <w:t>对于验收过程中发现的问题，乙方应在发现问题之日起3天内进行改正和调整，以符合甲方的需要。</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9.乙方有维护甲方声誉的义务，乙方不能以甲方名义从事与本项目无关的任何事务，否则甲方有权追究其相关责任。</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10.乙方应独立完成本项目。未经甲方书面在先同意，乙方不得向任何第三方全部或部分转让本项目。</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11.本合同期满或提前解除、终止后，乙方应将甲方的档案资料、信息数据等交还甲方，并应销毁或删除所有备份。</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12.乙方对其工作人员在合同履行期间的一切行为负责，期间发生的一切安全事故责任、其他人身损害意外及因此发生的人身损害赔偿和其他费用由乙方自行承担，概与甲方无关。若因乙方工作人员的行为导致甲方支付赔偿或其他费用，甲方有权要求乙方全部偿还。</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13.乙方在完成本项目过程中，不得损害其他任何第三方的知识产权等合法权益，否则由此造成的相关责任应当由乙方自行承担，与甲方无关。</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14.针对甲方就乙方提交的工作报告等相关文件提出的修改意见，乙方应当在甲方指定的修改时间内完成修改。</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15.乙方指定项目联系人：</w:t>
      </w:r>
    </w:p>
    <w:p>
      <w:pPr>
        <w:spacing w:line="360" w:lineRule="auto"/>
        <w:ind w:firstLine="480" w:firstLineChars="200"/>
        <w:rPr>
          <w:rFonts w:hint="eastAsia"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姓名：</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宋体" w:hAnsi="宋体" w:cs="宋体"/>
          <w:b/>
          <w:bCs/>
          <w:color w:val="auto"/>
          <w:sz w:val="24"/>
          <w:highlight w:val="none"/>
        </w:rPr>
      </w:pPr>
      <w:r>
        <w:rPr>
          <w:rFonts w:ascii="Times New Roman" w:hAnsi="Times New Roman" w:eastAsia="宋体" w:cs="Times New Roman"/>
          <w:color w:val="auto"/>
          <w:sz w:val="24"/>
          <w:szCs w:val="24"/>
          <w:highlight w:val="none"/>
        </w:rPr>
        <w:t>联系方式：</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hint="eastAsia"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人员要求</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以下为本项目核心领导团队。</w:t>
      </w:r>
    </w:p>
    <w:tbl>
      <w:tblPr>
        <w:tblStyle w:val="19"/>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序号</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年龄</w:t>
            </w: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学历</w:t>
            </w: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职称、职务</w:t>
            </w: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拟任</w:t>
            </w:r>
            <w:r>
              <w:rPr>
                <w:rFonts w:hint="default" w:ascii="宋体" w:hAnsi="宋体" w:cs="宋体"/>
                <w:color w:val="auto"/>
                <w:sz w:val="24"/>
                <w:szCs w:val="24"/>
                <w:highlight w:val="none"/>
              </w:rPr>
              <w:t>团队</w:t>
            </w:r>
            <w:r>
              <w:rPr>
                <w:rFonts w:hint="eastAsia" w:ascii="宋体" w:hAnsi="宋体" w:cs="宋体"/>
                <w:color w:val="auto"/>
                <w:sz w:val="24"/>
                <w:szCs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1</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2</w:t>
            </w:r>
          </w:p>
        </w:tc>
        <w:tc>
          <w:tcPr>
            <w:tcW w:w="116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677"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392"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909"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1.参加本项目编制的人员配置若需调整需经甲方</w:t>
      </w:r>
      <w:r>
        <w:rPr>
          <w:rFonts w:ascii="宋体" w:hAnsi="宋体" w:cs="宋体"/>
          <w:color w:val="auto"/>
          <w:sz w:val="24"/>
          <w:szCs w:val="24"/>
          <w:highlight w:val="none"/>
        </w:rPr>
        <w:t>书面</w:t>
      </w:r>
      <w:r>
        <w:rPr>
          <w:rFonts w:hint="eastAsia" w:ascii="宋体" w:hAnsi="宋体" w:cs="宋体"/>
          <w:color w:val="auto"/>
          <w:sz w:val="24"/>
          <w:szCs w:val="24"/>
          <w:highlight w:val="none"/>
        </w:rPr>
        <w:t>同意后，方可变更。</w:t>
      </w:r>
    </w:p>
    <w:p>
      <w:pPr>
        <w:spacing w:line="360" w:lineRule="auto"/>
        <w:ind w:firstLine="480" w:firstLineChars="200"/>
        <w:rPr>
          <w:rFonts w:ascii="宋体" w:hAnsi="宋体" w:eastAsia="宋体" w:cs="宋体"/>
          <w:color w:val="auto"/>
          <w:sz w:val="24"/>
          <w:szCs w:val="24"/>
          <w:highlight w:val="none"/>
        </w:rPr>
      </w:pPr>
      <w:r>
        <w:rPr>
          <w:rFonts w:hint="eastAsia" w:ascii="宋体" w:hAnsi="宋体" w:cs="宋体"/>
          <w:color w:val="auto"/>
          <w:sz w:val="24"/>
          <w:szCs w:val="24"/>
          <w:highlight w:val="none"/>
        </w:rPr>
        <w:t>2.必须以乙方直属人员</w:t>
      </w:r>
      <w:r>
        <w:rPr>
          <w:rFonts w:ascii="宋体" w:hAnsi="宋体" w:cs="宋体"/>
          <w:color w:val="auto"/>
          <w:sz w:val="24"/>
          <w:szCs w:val="24"/>
          <w:highlight w:val="none"/>
        </w:rPr>
        <w:t>（直属人员指</w:t>
      </w:r>
      <w:r>
        <w:rPr>
          <w:rFonts w:hint="eastAsia" w:ascii="宋体" w:hAnsi="宋体" w:cs="宋体"/>
          <w:color w:val="auto"/>
          <w:sz w:val="24"/>
          <w:szCs w:val="24"/>
          <w:highlight w:val="none"/>
        </w:rPr>
        <w:t>劳动合同、社会保险等劳动关系</w:t>
      </w:r>
      <w:r>
        <w:rPr>
          <w:rFonts w:ascii="宋体" w:hAnsi="宋体" w:cs="宋体"/>
          <w:color w:val="auto"/>
          <w:sz w:val="24"/>
          <w:szCs w:val="24"/>
          <w:highlight w:val="none"/>
        </w:rPr>
        <w:t>在乙方</w:t>
      </w:r>
      <w:r>
        <w:rPr>
          <w:rFonts w:ascii="宋体" w:hAnsi="宋体" w:eastAsia="宋体" w:cs="宋体"/>
          <w:color w:val="auto"/>
          <w:sz w:val="24"/>
          <w:szCs w:val="24"/>
          <w:highlight w:val="none"/>
        </w:rPr>
        <w:t>的人员）</w:t>
      </w:r>
      <w:r>
        <w:rPr>
          <w:rFonts w:hint="eastAsia" w:ascii="宋体" w:hAnsi="宋体" w:eastAsia="宋体" w:cs="宋体"/>
          <w:color w:val="auto"/>
          <w:sz w:val="24"/>
          <w:szCs w:val="24"/>
          <w:highlight w:val="none"/>
        </w:rPr>
        <w:t>参与本项目服务，不得使用挂靠队伍。</w:t>
      </w:r>
    </w:p>
    <w:p>
      <w:pPr>
        <w:spacing w:line="360" w:lineRule="auto"/>
        <w:ind w:firstLine="482" w:firstLineChars="200"/>
        <w:outlineLvl w:val="1"/>
        <w:rPr>
          <w:rFonts w:ascii="宋体" w:hAnsi="宋体" w:cs="宋体"/>
          <w:b/>
          <w:bCs/>
          <w:color w:val="auto"/>
          <w:sz w:val="24"/>
          <w:highlight w:val="none"/>
        </w:rPr>
      </w:pPr>
      <w:r>
        <w:rPr>
          <w:rFonts w:hint="default" w:ascii="宋体" w:hAnsi="宋体" w:cs="宋体"/>
          <w:b/>
          <w:bCs/>
          <w:color w:val="auto"/>
          <w:sz w:val="24"/>
          <w:highlight w:val="none"/>
        </w:rPr>
        <w:t>第</w:t>
      </w:r>
      <w:r>
        <w:rPr>
          <w:rFonts w:hint="eastAsia" w:ascii="宋体" w:hAnsi="宋体" w:cs="宋体"/>
          <w:b/>
          <w:bCs/>
          <w:color w:val="auto"/>
          <w:sz w:val="24"/>
          <w:highlight w:val="none"/>
          <w:lang w:val="en-US" w:eastAsia="zh-CN"/>
        </w:rPr>
        <w:t>七</w:t>
      </w:r>
      <w:r>
        <w:rPr>
          <w:rFonts w:hint="default" w:ascii="宋体" w:hAnsi="宋体" w:cs="宋体"/>
          <w:b/>
          <w:bCs/>
          <w:color w:val="auto"/>
          <w:sz w:val="24"/>
          <w:highlight w:val="none"/>
        </w:rPr>
        <w:t xml:space="preserve">条  </w:t>
      </w:r>
      <w:r>
        <w:rPr>
          <w:rFonts w:hint="eastAsia" w:ascii="宋体" w:hAnsi="宋体" w:cs="宋体"/>
          <w:b/>
          <w:bCs/>
          <w:color w:val="auto"/>
          <w:sz w:val="24"/>
          <w:szCs w:val="24"/>
          <w:highlight w:val="none"/>
        </w:rPr>
        <w:t>成果权属与知识产权</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1.双方对本合同有关的知识产权以及与之相关的所有权利归属约定如下： 本项目全部阶段性成果和最终成果（包括为后续服务范围所编制的材料）的知识产权以及与之相关的所有权利归甲方所有；本合同签署前双方已经拥有的知识产权权利，仍归各自所有。</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双方确定，甲方有权利用乙方按照本合同约定提供的研究开发成果，进行后续改进。由此产生的具有实质性或创造性技术进步特征的新的技术成果及其权利归属，全部由甲方享有。具体相关利益的分配办法如下：甲方100%。</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所提交的全部中间成果和最终成果材料及任何数据、资料、软件等不得侵犯任何第三方的知识产权或其他权利，由于该等文件、材料、数据、资料、软件侵权所导致的任何索赔或责任均由乙方承担，同时，甲方保留要求乙方赔偿相应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未经甲方书面在先同意，乙方不得将本项目的中间成果和最终成果材料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6"/>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rPr>
        <w:t>5.乙方完成本合同项目的研究开发人员享有在有关技术成果材料上写明技术成果完成者的权利和与甲方共同获得有关荣誉证书、奖励的权利</w:t>
      </w:r>
      <w:r>
        <w:rPr>
          <w:rFonts w:hint="eastAsia" w:ascii="宋体" w:hAnsi="宋体" w:cs="宋体"/>
          <w:color w:val="auto"/>
          <w:sz w:val="24"/>
          <w:highlight w:val="none"/>
        </w:rPr>
        <w:t>。</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保密条款</w:t>
      </w:r>
    </w:p>
    <w:p>
      <w:pPr>
        <w:widowControl/>
        <w:spacing w:line="360" w:lineRule="auto"/>
        <w:ind w:firstLine="480" w:firstLineChars="200"/>
        <w:rPr>
          <w:rFonts w:ascii="宋体" w:hAnsi="宋体" w:cs="宋体"/>
          <w:color w:val="auto"/>
          <w:sz w:val="24"/>
          <w:szCs w:val="24"/>
          <w:highlight w:val="none"/>
        </w:rPr>
      </w:pPr>
      <w:bookmarkStart w:id="18" w:name="_Toc216520223"/>
      <w:r>
        <w:rPr>
          <w:rFonts w:hint="eastAsia" w:ascii="宋体" w:hAnsi="宋体" w:cs="宋体"/>
          <w:color w:val="auto"/>
          <w:sz w:val="24"/>
          <w:szCs w:val="24"/>
          <w:highlight w:val="none"/>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18"/>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3.乙方须以保密方式处理在编制本项目成果材料过程中自甲方、甲方工作人员或甲方关联机构获得的相关信息、资料、图纸、数据等，或由甲方在履行本合同过程中明确指明为秘密的任何信息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及乙方因本项目工作所直接或间接取得、处理或接触的任何其他资料。未经甲方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4.乙方实施项目的程序应符合国家安全、保密的有关规定和标准。</w:t>
      </w:r>
    </w:p>
    <w:p>
      <w:pPr>
        <w:widowControl/>
        <w:spacing w:line="360" w:lineRule="auto"/>
        <w:ind w:firstLine="480" w:firstLineChars="200"/>
        <w:rPr>
          <w:rFonts w:ascii="宋体" w:hAnsi="宋体" w:cs="宋体"/>
          <w:color w:val="auto"/>
          <w:sz w:val="24"/>
          <w:szCs w:val="24"/>
          <w:highlight w:val="none"/>
        </w:rPr>
      </w:pPr>
      <w:bookmarkStart w:id="19" w:name="_Toc216520224"/>
      <w:r>
        <w:rPr>
          <w:rFonts w:hint="eastAsia" w:ascii="宋体" w:hAnsi="宋体" w:cs="宋体"/>
          <w:color w:val="auto"/>
          <w:sz w:val="24"/>
          <w:szCs w:val="24"/>
          <w:highlight w:val="none"/>
        </w:rPr>
        <w:t>5</w:t>
      </w:r>
      <w:bookmarkEnd w:id="19"/>
      <w:bookmarkStart w:id="20" w:name="_Toc216520226"/>
      <w:r>
        <w:rPr>
          <w:rFonts w:hint="eastAsia" w:ascii="宋体" w:hAnsi="宋体" w:cs="宋体"/>
          <w:color w:val="auto"/>
          <w:sz w:val="24"/>
          <w:szCs w:val="24"/>
          <w:highlight w:val="none"/>
        </w:rPr>
        <w:t>.上述保密义务不适用以下情况：</w:t>
      </w:r>
      <w:bookmarkEnd w:id="20"/>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（1）获取的信息已被合法公开；</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（2）获得信息拥有方书面许可并在该许可范围内披露；</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（3）国家法律、法规规定的情形。</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7.本合同的保密义务包括，未经</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许可，</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rPr>
        <w:t>不得就其可通过开发的软件系统能够获得的任何</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rPr>
        <w:t>客户信息、数据以及商业秘密，与任何第三方开展任何形式的合作开发或者项目研究，或者向任何第三方出售该等数据、信息。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无论本合同或本合同其他条款是否有效，本保密条款始终约束双方。国家秘密的保密期限由国家有关部门确定，工作秘密的保密期限由甲方确定</w:t>
      </w:r>
      <w:r>
        <w:rPr>
          <w:rFonts w:hint="eastAsia" w:ascii="宋体" w:hAnsi="宋体" w:eastAsia="宋体" w:cs="宋体"/>
          <w:color w:val="auto"/>
          <w:sz w:val="24"/>
          <w:szCs w:val="24"/>
          <w:highlight w:val="none"/>
          <w:lang w:eastAsia="zh-CN"/>
        </w:rPr>
        <w:t>。</w:t>
      </w:r>
    </w:p>
    <w:p>
      <w:pPr>
        <w:spacing w:line="360" w:lineRule="auto"/>
        <w:ind w:firstLine="482" w:firstLineChars="200"/>
        <w:outlineLvl w:val="1"/>
        <w:rPr>
          <w:rFonts w:hint="eastAsia" w:ascii="宋体" w:hAnsi="宋体" w:eastAsia="宋体" w:cs="宋体"/>
          <w:b/>
          <w:bCs/>
          <w:color w:val="auto"/>
          <w:sz w:val="24"/>
          <w:highlight w:val="none"/>
          <w:lang w:val="en-US" w:eastAsia="zh-CN"/>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 xml:space="preserve">条  </w:t>
      </w:r>
      <w:r>
        <w:rPr>
          <w:rFonts w:hint="eastAsia" w:ascii="宋体" w:hAnsi="宋体" w:cs="宋体"/>
          <w:b/>
          <w:bCs/>
          <w:color w:val="auto"/>
          <w:sz w:val="24"/>
          <w:highlight w:val="none"/>
          <w:lang w:val="en-US" w:eastAsia="zh-CN"/>
        </w:rPr>
        <w:t>项目</w:t>
      </w:r>
      <w:r>
        <w:rPr>
          <w:rFonts w:hint="eastAsia" w:ascii="宋体" w:hAnsi="宋体" w:cs="宋体"/>
          <w:b/>
          <w:bCs/>
          <w:color w:val="auto"/>
          <w:sz w:val="24"/>
          <w:szCs w:val="24"/>
          <w:highlight w:val="none"/>
        </w:rPr>
        <w:t>验收</w:t>
      </w:r>
      <w:r>
        <w:rPr>
          <w:rFonts w:hint="eastAsia" w:ascii="宋体" w:hAnsi="宋体" w:cs="宋体"/>
          <w:b/>
          <w:bCs/>
          <w:color w:val="auto"/>
          <w:sz w:val="24"/>
          <w:szCs w:val="24"/>
          <w:highlight w:val="none"/>
          <w:lang w:val="en-US" w:eastAsia="zh-CN"/>
        </w:rPr>
        <w:t>要求</w:t>
      </w:r>
    </w:p>
    <w:p>
      <w:pPr>
        <w:pStyle w:val="2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 需提供</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参与制作且可用于验收的高清版音乐剧和广播剧原片（不少30分钟，成片分辨率不低于1920X1080p，MOV格式及MP4格式交付），验收材料需体现</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作为联合出品方或策划单位或制作方。</w:t>
      </w:r>
    </w:p>
    <w:p>
      <w:pPr>
        <w:pStyle w:val="28"/>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 需提供音乐剧和广播剧成片在电视台（央视或省级卫视及国内主流音视频平台）播出的证明材料，以及播出、发行期间在各大平台运用多种媒介进行宣传的证明材料。</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3. 需提供</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作为所合作音乐剧和广播剧的联合出品方或策划单位或制作方的证明材料；如参评获得相关奖项的，需提供获奖证明材料。</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十</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项目服务费用及付款方式</w:t>
      </w:r>
    </w:p>
    <w:p>
      <w:pPr>
        <w:keepNext w:val="0"/>
        <w:keepLines w:val="0"/>
        <w:pageBreakBefore w:val="0"/>
        <w:widowControl/>
        <w:kinsoku/>
        <w:overflowPunct/>
        <w:topLinePunct w:val="0"/>
        <w:bidi w:val="0"/>
        <w:spacing w:line="560" w:lineRule="exact"/>
        <w:ind w:firstLine="480" w:firstLineChars="200"/>
        <w:rPr>
          <w:rFonts w:hint="eastAsia" w:ascii="宋体" w:hAnsi="宋体" w:cs="宋体"/>
          <w:sz w:val="24"/>
        </w:rPr>
      </w:pPr>
      <w:r>
        <w:rPr>
          <w:rFonts w:hint="eastAsia" w:ascii="宋体" w:hAnsi="宋体" w:cs="宋体"/>
          <w:sz w:val="24"/>
        </w:rPr>
        <w:t xml:space="preserve">1、合同价款：合同总价为 </w:t>
      </w:r>
      <w:r>
        <w:rPr>
          <w:rFonts w:hint="eastAsia" w:ascii="宋体" w:hAnsi="宋体" w:cs="宋体"/>
          <w:sz w:val="24"/>
          <w:u w:val="single"/>
          <w:lang w:val="en-US" w:eastAsia="zh-CN"/>
        </w:rPr>
        <w:t xml:space="preserve">     </w:t>
      </w:r>
      <w:r>
        <w:rPr>
          <w:rFonts w:hint="eastAsia" w:ascii="宋体" w:hAnsi="宋体" w:cs="宋体"/>
          <w:sz w:val="24"/>
        </w:rPr>
        <w:t xml:space="preserve"> </w:t>
      </w:r>
      <w:r>
        <w:rPr>
          <w:rFonts w:hint="eastAsia" w:ascii="宋体" w:hAnsi="宋体" w:cs="宋体"/>
          <w:sz w:val="24"/>
          <w:lang w:eastAsia="zh-CN"/>
        </w:rPr>
        <w:t>元</w:t>
      </w:r>
      <w:r>
        <w:rPr>
          <w:rFonts w:hint="eastAsia" w:ascii="宋体" w:hAnsi="宋体" w:cs="宋体"/>
          <w:sz w:val="24"/>
        </w:rPr>
        <w:t>（含税）。本项目服务费包括但不限于包括服务成本、法定税费和企业的利润、后续服务等所有费用，并提供合同要求的有关成果材料，以及其它相关服务的全部费用。在合同实施期间，除另签补充合同外，甲方不接受乙方以任何理由、任何名目提出增加费用的要求。</w:t>
      </w:r>
    </w:p>
    <w:p>
      <w:pPr>
        <w:keepNext w:val="0"/>
        <w:keepLines w:val="0"/>
        <w:pageBreakBefore w:val="0"/>
        <w:widowControl/>
        <w:kinsoku/>
        <w:overflowPunct/>
        <w:topLinePunct w:val="0"/>
        <w:bidi w:val="0"/>
        <w:spacing w:line="560" w:lineRule="exact"/>
        <w:ind w:firstLine="480" w:firstLineChars="200"/>
        <w:rPr>
          <w:rFonts w:hint="eastAsia" w:ascii="宋体" w:hAnsi="宋体" w:eastAsia="宋体" w:cs="宋体"/>
          <w:sz w:val="24"/>
        </w:rPr>
      </w:pPr>
      <w:r>
        <w:rPr>
          <w:rFonts w:hint="eastAsia" w:ascii="宋体" w:hAnsi="宋体" w:eastAsia="宋体" w:cs="宋体"/>
          <w:sz w:val="24"/>
        </w:rPr>
        <w:t>（二）付款方式：</w:t>
      </w:r>
    </w:p>
    <w:p>
      <w:pPr>
        <w:keepNext w:val="0"/>
        <w:keepLines w:val="0"/>
        <w:pageBreakBefore w:val="0"/>
        <w:widowControl/>
        <w:kinsoku/>
        <w:overflowPunct/>
        <w:topLinePunct w:val="0"/>
        <w:bidi w:val="0"/>
        <w:spacing w:line="560" w:lineRule="exact"/>
        <w:ind w:firstLine="480" w:firstLineChars="200"/>
        <w:rPr>
          <w:rFonts w:hint="eastAsia" w:ascii="宋体" w:hAnsi="宋体" w:eastAsia="宋体" w:cs="宋体"/>
          <w:sz w:val="24"/>
        </w:rPr>
      </w:pPr>
      <w:r>
        <w:rPr>
          <w:rFonts w:hint="eastAsia" w:ascii="宋体" w:hAnsi="宋体" w:eastAsia="宋体" w:cs="宋体"/>
          <w:sz w:val="24"/>
        </w:rPr>
        <w:t>1.合同金额由甲方分2期支付至乙方指定银行账户：</w:t>
      </w:r>
    </w:p>
    <w:p>
      <w:pPr>
        <w:keepNext w:val="0"/>
        <w:keepLines w:val="0"/>
        <w:pageBreakBefore w:val="0"/>
        <w:widowControl/>
        <w:kinsoku/>
        <w:overflowPunct/>
        <w:topLinePunct w:val="0"/>
        <w:bidi w:val="0"/>
        <w:spacing w:line="560" w:lineRule="exact"/>
        <w:ind w:firstLine="480" w:firstLineChars="200"/>
        <w:rPr>
          <w:rFonts w:hint="eastAsia" w:ascii="宋体" w:hAnsi="宋体" w:eastAsia="宋体" w:cs="宋体"/>
          <w:sz w:val="24"/>
        </w:rPr>
      </w:pPr>
      <w:r>
        <w:rPr>
          <w:rFonts w:hint="eastAsia" w:ascii="宋体" w:hAnsi="宋体" w:eastAsia="宋体" w:cs="宋体"/>
          <w:sz w:val="24"/>
        </w:rPr>
        <w:t>1.1.第一期：合同签订后15个工作日内，</w:t>
      </w:r>
      <w:r>
        <w:rPr>
          <w:rFonts w:hint="eastAsia" w:ascii="宋体" w:hAnsi="宋体" w:cs="宋体"/>
          <w:sz w:val="24"/>
          <w:lang w:val="en-US" w:eastAsia="zh-CN"/>
        </w:rPr>
        <w:t>甲方</w:t>
      </w:r>
      <w:r>
        <w:rPr>
          <w:rFonts w:hint="eastAsia" w:ascii="宋体" w:hAnsi="宋体" w:eastAsia="宋体" w:cs="宋体"/>
          <w:sz w:val="24"/>
        </w:rPr>
        <w:t>收到</w:t>
      </w:r>
      <w:r>
        <w:rPr>
          <w:rFonts w:hint="eastAsia" w:ascii="宋体" w:hAnsi="宋体" w:cs="宋体"/>
          <w:sz w:val="24"/>
          <w:lang w:val="en-US" w:eastAsia="zh-CN"/>
        </w:rPr>
        <w:t>乙方</w:t>
      </w:r>
      <w:r>
        <w:rPr>
          <w:rFonts w:hint="eastAsia" w:ascii="宋体" w:hAnsi="宋体" w:eastAsia="宋体" w:cs="宋体"/>
          <w:sz w:val="24"/>
        </w:rPr>
        <w:t>出具的正规发票后，支付合同总金额的50%</w:t>
      </w:r>
      <w:r>
        <w:rPr>
          <w:rFonts w:hint="eastAsia" w:ascii="宋体" w:hAnsi="宋体" w:cs="宋体"/>
          <w:sz w:val="24"/>
          <w:lang w:eastAsia="zh-CN"/>
        </w:rPr>
        <w:t>，</w:t>
      </w:r>
      <w:r>
        <w:rPr>
          <w:rFonts w:hint="eastAsia" w:ascii="宋体" w:hAnsi="宋体" w:eastAsia="宋体" w:cs="宋体"/>
          <w:sz w:val="24"/>
        </w:rPr>
        <w:t>即人民币</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元）</w:t>
      </w:r>
    </w:p>
    <w:p>
      <w:pPr>
        <w:keepNext w:val="0"/>
        <w:keepLines w:val="0"/>
        <w:pageBreakBefore w:val="0"/>
        <w:widowControl/>
        <w:kinsoku/>
        <w:overflowPunct/>
        <w:topLinePunct w:val="0"/>
        <w:bidi w:val="0"/>
        <w:spacing w:line="560" w:lineRule="exact"/>
        <w:ind w:firstLine="480" w:firstLineChars="200"/>
        <w:rPr>
          <w:rFonts w:hint="eastAsia" w:ascii="宋体" w:hAnsi="宋体" w:eastAsia="宋体" w:cs="宋体"/>
          <w:sz w:val="24"/>
        </w:rPr>
      </w:pPr>
      <w:r>
        <w:rPr>
          <w:rFonts w:hint="eastAsia" w:ascii="宋体" w:hAnsi="宋体" w:eastAsia="宋体" w:cs="宋体"/>
          <w:sz w:val="24"/>
        </w:rPr>
        <w:t>1.2.第二期：经</w:t>
      </w:r>
      <w:r>
        <w:rPr>
          <w:rFonts w:hint="eastAsia" w:ascii="宋体" w:hAnsi="宋体" w:cs="宋体"/>
          <w:sz w:val="24"/>
          <w:lang w:val="en-US" w:eastAsia="zh-CN"/>
        </w:rPr>
        <w:t>甲方</w:t>
      </w:r>
      <w:r>
        <w:rPr>
          <w:rFonts w:hint="eastAsia" w:ascii="宋体" w:hAnsi="宋体" w:eastAsia="宋体" w:cs="宋体"/>
          <w:sz w:val="24"/>
        </w:rPr>
        <w:t>确认</w:t>
      </w:r>
      <w:r>
        <w:rPr>
          <w:rFonts w:hint="eastAsia" w:ascii="宋体" w:hAnsi="宋体" w:cs="宋体"/>
          <w:sz w:val="24"/>
          <w:lang w:val="en-US" w:eastAsia="zh-CN"/>
        </w:rPr>
        <w:t>乙方</w:t>
      </w:r>
      <w:r>
        <w:rPr>
          <w:rFonts w:hint="eastAsia" w:ascii="宋体" w:hAnsi="宋体" w:eastAsia="宋体" w:cs="宋体"/>
          <w:sz w:val="24"/>
        </w:rPr>
        <w:t>全面、充分履行合同义务，验收合格后1</w:t>
      </w:r>
      <w:r>
        <w:rPr>
          <w:rFonts w:hint="eastAsia" w:ascii="宋体" w:hAnsi="宋体" w:cs="宋体"/>
          <w:sz w:val="24"/>
          <w:lang w:val="en-US" w:eastAsia="zh-CN"/>
        </w:rPr>
        <w:t>0</w:t>
      </w:r>
      <w:r>
        <w:rPr>
          <w:rFonts w:hint="eastAsia" w:ascii="宋体" w:hAnsi="宋体" w:eastAsia="宋体" w:cs="宋体"/>
          <w:sz w:val="24"/>
        </w:rPr>
        <w:t>个工作日内再次启动付款程序，支付50%合同款</w:t>
      </w:r>
      <w:r>
        <w:rPr>
          <w:rFonts w:hint="eastAsia" w:ascii="宋体" w:hAnsi="宋体" w:cs="宋体"/>
          <w:sz w:val="24"/>
          <w:lang w:eastAsia="zh-CN"/>
        </w:rPr>
        <w:t>，</w:t>
      </w:r>
      <w:r>
        <w:rPr>
          <w:rFonts w:hint="eastAsia" w:ascii="宋体" w:hAnsi="宋体" w:eastAsia="宋体" w:cs="宋体"/>
          <w:sz w:val="24"/>
        </w:rPr>
        <w:t>即人民币</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hint="eastAsia" w:ascii="宋体" w:hAnsi="宋体" w:eastAsia="宋体" w:cs="宋体"/>
          <w:sz w:val="24"/>
          <w:lang w:val="en-US" w:eastAsia="zh-CN"/>
        </w:rPr>
        <w:t xml:space="preserve">   </w:t>
      </w:r>
      <w:r>
        <w:rPr>
          <w:rFonts w:hint="eastAsia" w:ascii="宋体" w:hAnsi="宋体" w:eastAsia="宋体" w:cs="宋体"/>
          <w:sz w:val="24"/>
        </w:rPr>
        <w:t>元）</w:t>
      </w:r>
    </w:p>
    <w:p>
      <w:pPr>
        <w:keepNext w:val="0"/>
        <w:keepLines w:val="0"/>
        <w:pageBreakBefore w:val="0"/>
        <w:widowControl/>
        <w:kinsoku/>
        <w:overflowPunct/>
        <w:topLinePunct w:val="0"/>
        <w:bidi w:val="0"/>
        <w:spacing w:line="560" w:lineRule="exact"/>
        <w:ind w:firstLine="480" w:firstLineChars="200"/>
        <w:rPr>
          <w:rFonts w:hint="eastAsia"/>
          <w:kern w:val="2"/>
        </w:rPr>
      </w:pPr>
      <w:r>
        <w:rPr>
          <w:rFonts w:hint="eastAsia" w:ascii="宋体" w:hAnsi="宋体" w:eastAsia="宋体" w:cs="宋体"/>
          <w:sz w:val="24"/>
        </w:rPr>
        <w:t>1.3.上述每期款项均在满足付款条件，且甲方收到乙方开具的载明相应金额的合格发票后1</w:t>
      </w:r>
      <w:r>
        <w:rPr>
          <w:rFonts w:hint="eastAsia" w:ascii="宋体" w:hAnsi="宋体" w:cs="宋体"/>
          <w:sz w:val="24"/>
          <w:lang w:val="en-US" w:eastAsia="zh-CN"/>
        </w:rPr>
        <w:t>0</w:t>
      </w:r>
      <w:r>
        <w:rPr>
          <w:rFonts w:hint="eastAsia" w:ascii="宋体" w:hAnsi="宋体" w:eastAsia="宋体" w:cs="宋体"/>
          <w:sz w:val="24"/>
        </w:rPr>
        <w:t>个工作日内付至乙方指定银行账户。如未及时收到发票，则甲方相</w:t>
      </w:r>
      <w:r>
        <w:rPr>
          <w:rFonts w:hint="eastAsia"/>
          <w:kern w:val="2"/>
        </w:rPr>
        <w:t>应</w:t>
      </w:r>
      <w:r>
        <w:rPr>
          <w:rFonts w:hint="eastAsia" w:ascii="宋体" w:hAnsi="宋体" w:eastAsia="宋体" w:cs="宋体"/>
          <w:sz w:val="24"/>
        </w:rPr>
        <w:t>付款时间顺延。因甲方付款审批影响支付进度，请乙方予以谅解，并不得就此向甲方索赔。</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（三）乙方银行账户信息：</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开户银行：</w:t>
      </w:r>
      <w:r>
        <w:rPr>
          <w:rFonts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户名：</w:t>
      </w:r>
      <w:r>
        <w:rPr>
          <w:rFonts w:hint="default" w:ascii="Times New Roman" w:hAnsi="Times New Roman" w:eastAsia="宋体" w:cs="Times New Roman"/>
          <w:color w:val="auto"/>
          <w:sz w:val="24"/>
          <w:szCs w:val="24"/>
          <w:highlight w:val="none"/>
          <w:u w:val="single"/>
        </w:rPr>
        <w:t xml:space="preserve">                      </w:t>
      </w:r>
      <w:r>
        <w:rPr>
          <w:rFonts w:ascii="Times New Roman" w:hAnsi="Times New Roman" w:eastAsia="宋体" w:cs="Times New Roman"/>
          <w:color w:val="auto"/>
          <w:sz w:val="24"/>
          <w:szCs w:val="24"/>
          <w:highlight w:val="none"/>
          <w:u w:val="single"/>
        </w:rPr>
        <w:t xml:space="preserve">            </w:t>
      </w:r>
    </w:p>
    <w:p>
      <w:pPr>
        <w:spacing w:line="360" w:lineRule="auto"/>
        <w:ind w:firstLine="480" w:firstLineChars="200"/>
        <w:rPr>
          <w:rFonts w:ascii="宋体" w:hAnsi="宋体" w:cs="宋体"/>
          <w:color w:val="auto"/>
          <w:sz w:val="24"/>
          <w:highlight w:val="none"/>
        </w:rPr>
      </w:pPr>
      <w:r>
        <w:rPr>
          <w:rFonts w:ascii="Times New Roman" w:hAnsi="Times New Roman" w:eastAsia="宋体" w:cs="Times New Roman"/>
          <w:color w:val="auto"/>
          <w:sz w:val="24"/>
          <w:szCs w:val="24"/>
          <w:highlight w:val="none"/>
        </w:rPr>
        <w:t>账号：</w:t>
      </w:r>
      <w:r>
        <w:rPr>
          <w:rFonts w:hint="eastAsia"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rPr>
        <w:t xml:space="preserve">                                </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合同提前终止</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（一）双方协商同意提前终止本合同的，按双方协商约定的方式进行清算执行。</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w:t>
      </w:r>
      <w:r>
        <w:rPr>
          <w:rFonts w:hint="eastAsia" w:ascii="Times New Roman" w:hAnsi="Times New Roman" w:eastAsia="宋体" w:cs="Times New Roman"/>
          <w:color w:val="auto"/>
          <w:sz w:val="24"/>
          <w:szCs w:val="24"/>
          <w:highlight w:val="none"/>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（三）有下列情形之一的，本合同自甲方向乙方发出书面通知之日起终止：</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1.甲方的职能发生转变，不再具有委托职能。</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2.本合同签订时适用的法律法规或政策发生变化，且对本合同的继续履行造成重大影响。</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发生以上情形，甲方已向乙方支付的款项不退还，尚未支付的款项不再支付，同时乙方应向甲方提交在合同终止日前完成的所有项目文件和相关资料。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（四）如发生不可抗力或其他超出合同双方控制的事件，致使一方无法履行合同，本合同解除。</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 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发生不可抗力，甲乙双方承担各自的损失。由于其中一方迟延履行合同义务后发生不可抗力的，其违约责任不能免除。</w:t>
      </w:r>
    </w:p>
    <w:p>
      <w:pPr>
        <w:spacing w:line="360" w:lineRule="auto"/>
        <w:ind w:firstLine="480" w:firstLineChars="200"/>
        <w:rPr>
          <w:rFonts w:ascii="宋体" w:hAnsi="宋体" w:cs="宋体"/>
          <w:color w:val="auto"/>
          <w:sz w:val="24"/>
          <w:highlight w:val="none"/>
        </w:rPr>
      </w:pPr>
      <w:r>
        <w:rPr>
          <w:rFonts w:ascii="Times New Roman" w:hAnsi="Times New Roman" w:eastAsia="宋体" w:cs="Times New Roman"/>
          <w:color w:val="auto"/>
          <w:sz w:val="24"/>
          <w:szCs w:val="24"/>
          <w:highlight w:val="none"/>
        </w:rPr>
        <w:t>3. 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r>
        <w:rPr>
          <w:rFonts w:hint="eastAsia" w:ascii="宋体" w:hAnsi="宋体" w:cs="宋体"/>
          <w:color w:val="auto"/>
          <w:sz w:val="24"/>
          <w:highlight w:val="none"/>
        </w:rPr>
        <w:t>。</w:t>
      </w:r>
    </w:p>
    <w:p>
      <w:pPr>
        <w:spacing w:line="360" w:lineRule="auto"/>
        <w:ind w:firstLine="482" w:firstLineChars="200"/>
        <w:outlineLvl w:val="1"/>
        <w:rPr>
          <w:rFonts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二</w:t>
      </w:r>
      <w:r>
        <w:rPr>
          <w:rFonts w:hint="eastAsia" w:ascii="宋体" w:hAnsi="宋体" w:cs="宋体"/>
          <w:b/>
          <w:bCs/>
          <w:color w:val="auto"/>
          <w:sz w:val="24"/>
          <w:highlight w:val="none"/>
        </w:rPr>
        <w:t xml:space="preserve">条  </w:t>
      </w:r>
      <w:r>
        <w:rPr>
          <w:rFonts w:hint="eastAsia" w:ascii="宋体" w:hAnsi="宋体" w:cs="宋体"/>
          <w:b/>
          <w:bCs/>
          <w:color w:val="auto"/>
          <w:sz w:val="24"/>
          <w:szCs w:val="24"/>
          <w:highlight w:val="none"/>
        </w:rPr>
        <w:t>争议解决办法</w:t>
      </w:r>
    </w:p>
    <w:p>
      <w:pPr>
        <w:snapToGrid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szCs w:val="24"/>
          <w:highlight w:val="none"/>
        </w:rPr>
        <w:t>因本合同的履行发生的或与本合同有关的争议或纠纷，由甲乙双方协商解决。协商不成的，任意一方有权向深圳前海合作区人民法院提起诉讼</w:t>
      </w:r>
      <w:r>
        <w:rPr>
          <w:rFonts w:hint="eastAsia" w:ascii="宋体" w:hAnsi="宋体" w:eastAsia="宋体" w:cs="宋体"/>
          <w:color w:val="auto"/>
          <w:sz w:val="24"/>
          <w:highlight w:val="none"/>
        </w:rPr>
        <w:t>。</w:t>
      </w:r>
    </w:p>
    <w:p>
      <w:pPr>
        <w:numPr>
          <w:ilvl w:val="0"/>
          <w:numId w:val="0"/>
        </w:numPr>
        <w:spacing w:line="360" w:lineRule="auto"/>
        <w:ind w:firstLine="482" w:firstLineChars="200"/>
        <w:outlineLvl w:val="1"/>
        <w:rPr>
          <w:rFonts w:hint="eastAsia"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w:t>
      </w:r>
      <w:r>
        <w:rPr>
          <w:rFonts w:hint="eastAsia" w:ascii="宋体" w:hAnsi="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en-US" w:eastAsia="zh-CN" w:bidi="ar-SA"/>
        </w:rPr>
        <w:t>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highlight w:val="none"/>
        </w:rPr>
        <w:t xml:space="preserve"> </w:t>
      </w:r>
      <w:r>
        <w:rPr>
          <w:rFonts w:hint="eastAsia" w:ascii="宋体" w:hAnsi="宋体" w:cs="宋体"/>
          <w:b/>
          <w:bCs/>
          <w:color w:val="auto"/>
          <w:sz w:val="24"/>
          <w:szCs w:val="24"/>
          <w:highlight w:val="none"/>
        </w:rPr>
        <w:t>项目变更</w:t>
      </w:r>
    </w:p>
    <w:p>
      <w:pPr>
        <w:spacing w:line="6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（一）本合同履行过程中的需求变更和进度调整，以甲乙双方达成一致的书面文件为准。</w:t>
      </w:r>
    </w:p>
    <w:p>
      <w:pPr>
        <w:spacing w:line="6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（二）乙方遇到不能按期完成工作的情况，应及时以书面形式将不能按期完成工作的理由、延误时间通知甲方。甲方在收到乙方通知后，根据情况决定是否延长完成时间。如同意延长，则乙方责任期也相应延长。</w:t>
      </w:r>
    </w:p>
    <w:p>
      <w:pPr>
        <w:spacing w:line="600" w:lineRule="exact"/>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（三）因非乙方责任造成项目进度推迟或延误，无法按照本合同约定的日期完成相应工作，双方经过协商可以进一步约定完成的日期，乙方的责任期也随之顺延。</w:t>
      </w:r>
    </w:p>
    <w:p>
      <w:pPr>
        <w:spacing w:line="600" w:lineRule="exact"/>
        <w:ind w:firstLine="480" w:firstLineChars="200"/>
        <w:rPr>
          <w:rFonts w:hint="default"/>
          <w:color w:val="auto"/>
          <w:sz w:val="24"/>
          <w:highlight w:val="none"/>
        </w:rPr>
      </w:pPr>
      <w:r>
        <w:rPr>
          <w:rFonts w:ascii="Times New Roman" w:hAnsi="Times New Roman" w:eastAsia="宋体" w:cs="Times New Roman"/>
          <w:color w:val="auto"/>
          <w:sz w:val="24"/>
          <w:szCs w:val="24"/>
          <w:highlight w:val="none"/>
        </w:rPr>
        <w:t>（四）在本项目进展过程中，经双方同意的研究、编制内容等方面的增减，如所涉增加费用的金额不超过本合同项下服务费总金额的10%，由双方商定变更内容及具体价格后签订书面补充协议予以确认。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1"/>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w:t>
      </w:r>
      <w:r>
        <w:rPr>
          <w:rFonts w:hint="eastAsia" w:ascii="宋体" w:hAnsi="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en-US" w:eastAsia="zh-CN" w:bidi="ar-SA"/>
        </w:rPr>
        <w:t>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风险责任</w:t>
      </w:r>
    </w:p>
    <w:p>
      <w:pPr>
        <w:spacing w:line="360" w:lineRule="auto"/>
        <w:ind w:firstLine="480" w:firstLineChars="200"/>
        <w:rPr>
          <w:color w:val="auto"/>
          <w:highlight w:val="none"/>
        </w:rPr>
      </w:pPr>
      <w:r>
        <w:rPr>
          <w:rFonts w:hint="eastAsia" w:ascii="宋体" w:hAnsi="宋体" w:cs="宋体"/>
          <w:color w:val="auto"/>
          <w:sz w:val="24"/>
          <w:szCs w:val="24"/>
          <w:highlight w:val="none"/>
        </w:rPr>
        <w:t>乙方应完全地按照【</w:t>
      </w:r>
      <w:r>
        <w:rPr>
          <w:rFonts w:hint="default" w:ascii="宋体" w:hAnsi="宋体" w:cs="宋体"/>
          <w:color w:val="auto"/>
          <w:sz w:val="24"/>
          <w:szCs w:val="24"/>
          <w:highlight w:val="none"/>
          <w:lang w:eastAsia="zh-CN"/>
        </w:rPr>
        <w:t xml:space="preserve">  </w:t>
      </w:r>
      <w:r>
        <w:rPr>
          <w:rFonts w:hint="eastAsia" w:ascii="宋体" w:hAnsi="宋体" w:cs="宋体"/>
          <w:color w:val="auto"/>
          <w:sz w:val="24"/>
          <w:szCs w:val="24"/>
          <w:highlight w:val="none"/>
        </w:rPr>
        <w:t>】号招标文件的要求和乙方投标文件的承诺完成本项目，出于自身财务、技术、人力等原因导致项目失败的，应承担全部责任。</w:t>
      </w:r>
    </w:p>
    <w:p>
      <w:pPr>
        <w:numPr>
          <w:ilvl w:val="0"/>
          <w:numId w:val="0"/>
        </w:numPr>
        <w:spacing w:line="360" w:lineRule="auto"/>
        <w:ind w:firstLine="482" w:firstLineChars="200"/>
        <w:outlineLvl w:val="1"/>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w:t>
      </w:r>
      <w:r>
        <w:rPr>
          <w:rFonts w:hint="eastAsia" w:ascii="宋体" w:hAnsi="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en-US" w:eastAsia="zh-CN" w:bidi="ar-SA"/>
        </w:rPr>
        <w:t>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违约责任</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（一）如乙方未按照本合同约定的时间完成本项目各阶段工作，每迟延一日，甲方有权自尚未支付的合同款项中扣除本合同服务费总金额的1‰的逾期违约金。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（二）本合同履行期间，发生下述情形时，甲方有权解除本合同，乙方除应退还甲方已支付的全部款项外</w:t>
      </w:r>
      <w:r>
        <w:rPr>
          <w:rFonts w:hint="eastAsia" w:cs="Times New Roman"/>
          <w:color w:val="auto"/>
          <w:sz w:val="24"/>
          <w:szCs w:val="24"/>
          <w:highlight w:val="none"/>
          <w:lang w:eastAsia="zh-CN"/>
        </w:rPr>
        <w:t>，</w:t>
      </w:r>
      <w:r>
        <w:rPr>
          <w:rFonts w:ascii="Times New Roman" w:hAnsi="Times New Roman" w:eastAsia="宋体" w:cs="Times New Roman"/>
          <w:color w:val="auto"/>
          <w:sz w:val="24"/>
          <w:szCs w:val="24"/>
          <w:highlight w:val="none"/>
        </w:rPr>
        <w:t>还应在合同解除通知发出之日起10日内向甲方支付合同总价款10%的违约金。乙方应同时将已完成的项目成果移交给甲方，并将全部有关资料退还甲方：</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1.乙方未能按合同约定的日期(含协商延缓的日期)完成</w:t>
      </w:r>
      <w:r>
        <w:rPr>
          <w:rFonts w:hint="eastAsia" w:ascii="Times New Roman" w:hAnsi="Times New Roman" w:eastAsia="宋体" w:cs="Times New Roman"/>
          <w:color w:val="auto"/>
          <w:sz w:val="24"/>
          <w:szCs w:val="24"/>
          <w:highlight w:val="none"/>
        </w:rPr>
        <w:t>经甲方审核通过的</w:t>
      </w:r>
      <w:r>
        <w:rPr>
          <w:rFonts w:ascii="Times New Roman" w:hAnsi="Times New Roman" w:eastAsia="宋体" w:cs="Times New Roman"/>
          <w:color w:val="auto"/>
          <w:sz w:val="24"/>
          <w:szCs w:val="24"/>
          <w:highlight w:val="none"/>
        </w:rPr>
        <w:t>，延误时间超过10个工作日；</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2.因乙方工作的错误或遗漏造成成果质量不符合本合同要求，且乙方未按甲方要求采取及时有效的补救措施的；</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3.乙方虽如期提报</w:t>
      </w:r>
      <w:r>
        <w:rPr>
          <w:rFonts w:hint="eastAsia" w:ascii="Times New Roman" w:hAnsi="Times New Roman" w:eastAsia="宋体" w:cs="Times New Roman"/>
          <w:color w:val="auto"/>
          <w:sz w:val="24"/>
          <w:szCs w:val="24"/>
          <w:highlight w:val="none"/>
        </w:rPr>
        <w:t>活动方案、阶段成果、活动总结</w:t>
      </w:r>
      <w:r>
        <w:rPr>
          <w:rFonts w:ascii="Times New Roman" w:hAnsi="Times New Roman" w:eastAsia="宋体" w:cs="Times New Roman"/>
          <w:color w:val="auto"/>
          <w:sz w:val="24"/>
          <w:szCs w:val="24"/>
          <w:highlight w:val="none"/>
        </w:rPr>
        <w:t>等总结性成果资料，但最终成果连续二次未能通过甲方验收的；</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4.未经甲方书面在先同意，乙方擅自将本合同项目与任何第三方合作，或将本合同标的全部或部分擅自转包或分包给任何第三方，且未按甲方的要求终止与第三方的协议的；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5</w:t>
      </w:r>
      <w:r>
        <w:rPr>
          <w:rFonts w:ascii="Times New Roman" w:hAnsi="Times New Roman" w:eastAsia="宋体" w:cs="Times New Roman"/>
          <w:color w:val="auto"/>
          <w:sz w:val="24"/>
          <w:szCs w:val="24"/>
          <w:highlight w:val="none"/>
        </w:rPr>
        <w:t>.发现乙方或乙方工作人员出现全部或部分丧失履行委托服务能力的情况，甲方有权通知乙方限期整改或更换工作人员，期限届满乙方并未进行改善的；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6</w:t>
      </w:r>
      <w:r>
        <w:rPr>
          <w:rFonts w:ascii="Times New Roman" w:hAnsi="Times New Roman" w:eastAsia="宋体" w:cs="Times New Roman"/>
          <w:color w:val="auto"/>
          <w:sz w:val="24"/>
          <w:szCs w:val="24"/>
          <w:highlight w:val="none"/>
        </w:rPr>
        <w:t>.乙方明确表示或者以自己的行为表明不履行本合同的。</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三）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color w:val="auto"/>
          <w:sz w:val="24"/>
          <w:highlight w:val="none"/>
        </w:rPr>
      </w:pPr>
      <w:r>
        <w:rPr>
          <w:rFonts w:ascii="Times New Roman" w:hAnsi="Times New Roman" w:eastAsia="宋体" w:cs="Times New Roman"/>
          <w:color w:val="auto"/>
          <w:sz w:val="24"/>
          <w:szCs w:val="24"/>
          <w:highlight w:val="none"/>
        </w:rPr>
        <w:t>（四）上述违约责任各自独立且可累加。如本合同所约定的违约金无法弥补因违约行为所造成的损失，违约方应补偿上述不足部分的损失</w:t>
      </w:r>
      <w:r>
        <w:rPr>
          <w:rFonts w:hint="eastAsia" w:ascii="Times New Roman" w:hAnsi="Times New Roman" w:eastAsia="宋体" w:cs="Times New Roman"/>
          <w:color w:val="auto"/>
          <w:sz w:val="24"/>
          <w:szCs w:val="24"/>
          <w:highlight w:val="none"/>
        </w:rPr>
        <w:t>，包括但不限于上述索赔或责任所产生的诉讼费用、合理的律师费用、鉴定评估费用、调查费用、和解金额或生效法律文书中规定的赔偿金额</w:t>
      </w:r>
      <w:r>
        <w:rPr>
          <w:rFonts w:hint="default" w:cs="Times New Roman"/>
          <w:color w:val="auto"/>
          <w:sz w:val="24"/>
          <w:szCs w:val="24"/>
          <w:highlight w:val="none"/>
          <w:lang w:val="en-US" w:eastAsia="zh-CN"/>
        </w:rPr>
        <w:t>。</w:t>
      </w:r>
    </w:p>
    <w:p>
      <w:pPr>
        <w:numPr>
          <w:ilvl w:val="0"/>
          <w:numId w:val="0"/>
        </w:numPr>
        <w:spacing w:line="360" w:lineRule="auto"/>
        <w:ind w:firstLine="482" w:firstLineChars="200"/>
        <w:outlineLvl w:val="1"/>
        <w:rPr>
          <w:rFonts w:ascii="宋体" w:hAnsi="宋体" w:cs="宋体"/>
          <w:b/>
          <w:bCs/>
          <w:color w:val="auto"/>
          <w:sz w:val="24"/>
          <w:highlight w:val="none"/>
        </w:rPr>
      </w:pPr>
      <w:r>
        <w:rPr>
          <w:rFonts w:hint="eastAsia" w:ascii="宋体" w:hAnsi="宋体" w:eastAsia="宋体" w:cs="宋体"/>
          <w:b/>
          <w:bCs/>
          <w:color w:val="auto"/>
          <w:kern w:val="2"/>
          <w:sz w:val="24"/>
          <w:szCs w:val="24"/>
          <w:highlight w:val="none"/>
          <w:lang w:val="en-US" w:eastAsia="zh-CN" w:bidi="ar-SA"/>
        </w:rPr>
        <w:t>第十</w:t>
      </w:r>
      <w:r>
        <w:rPr>
          <w:rFonts w:hint="eastAsia" w:ascii="宋体" w:hAnsi="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en-US" w:eastAsia="zh-CN" w:bidi="ar-SA"/>
        </w:rPr>
        <w:t>条</w:t>
      </w:r>
      <w:r>
        <w:rPr>
          <w:rFonts w:hint="eastAsia" w:ascii="宋体" w:hAnsi="宋体" w:cs="宋体"/>
          <w:b/>
          <w:bCs/>
          <w:color w:val="auto"/>
          <w:kern w:val="2"/>
          <w:sz w:val="24"/>
          <w:szCs w:val="24"/>
          <w:highlight w:val="none"/>
          <w:lang w:val="en-US" w:eastAsia="zh-CN" w:bidi="ar-SA"/>
        </w:rPr>
        <w:t xml:space="preserve">  </w:t>
      </w:r>
      <w:r>
        <w:rPr>
          <w:rFonts w:hint="eastAsia" w:ascii="宋体" w:hAnsi="宋体" w:cs="宋体"/>
          <w:b/>
          <w:bCs/>
          <w:color w:val="auto"/>
          <w:sz w:val="24"/>
          <w:szCs w:val="24"/>
          <w:highlight w:val="none"/>
        </w:rPr>
        <w:t>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（1）合同书及补充协议；</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（2）中标通知书；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（3）招标文件（编号：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）及其澄清、补正公告；</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3、本合同各条标题仅为提示之用，应以条文内容确定各方的权利义务。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4、本合同未尽事宜，由双方协商签订补充协议进行约定。补充协议应以书面形式作成，经双方法定代表人或其授权代表签字、盖章后与本合同具有同等法律效力。</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5、本合同约定的权利和义务不因合同双方发生收购、兼并、重组、分立而发生变化。如果发生上述情形，则本合同约定的权利和义务随之转移至收购、兼并、重组或分立后成立的单位。</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6、本合同在国家法律、法规和规章规定的范围内执行。当国家法律、法规和规章发生变化导致本合同有关条款与之抵触时，双方协商变更或废止该条款，在此情况下，双方互不承担责任。</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7、如果本合同的任何条款在任何时候变成不合法、无效或不可强制执行而不从根本上影响本合同的效力时，本合同的其他条款不受影响。</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9、任何一方未经另一方同意不得向任何第三方透露本合同的签订及其内容。甲方向其关联公司透露前述内容的，不受此限。</w:t>
      </w:r>
    </w:p>
    <w:p>
      <w:pPr>
        <w:pStyle w:val="28"/>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11、本合同自盖章</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法定代表人或其授权代表签字之日起生效，有效期至后续服务期满之日止。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12、本合同一式六份，甲、乙方各执三份，均具有同等法律效力。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（以下无正文，为签章栏）</w:t>
      </w:r>
    </w:p>
    <w:p>
      <w:pPr>
        <w:adjustRightInd w:val="0"/>
        <w:snapToGrid w:val="0"/>
        <w:spacing w:line="360" w:lineRule="auto"/>
        <w:ind w:firstLine="200"/>
        <w:rPr>
          <w:rFonts w:ascii="宋体" w:hAnsi="宋体" w:cs="宋体"/>
          <w:color w:val="auto"/>
          <w:sz w:val="24"/>
          <w:highlight w:val="none"/>
        </w:rPr>
      </w:pP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甲方（盖章）：</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日期：     年    月   日            </w:t>
      </w: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乙方（盖章）： </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法定代表人或授权代表（签字）：</w:t>
      </w:r>
    </w:p>
    <w:p>
      <w:pPr>
        <w:shd w:val="clear" w:color="auto"/>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日期：     年    月   日</w:t>
      </w:r>
    </w:p>
    <w:p>
      <w:pPr>
        <w:shd w:val="clear" w:color="auto"/>
        <w:adjustRightInd w:val="0"/>
        <w:snapToGrid w:val="0"/>
        <w:spacing w:line="360" w:lineRule="auto"/>
        <w:rPr>
          <w:rFonts w:ascii="宋体" w:hAnsi="宋体" w:cs="宋体"/>
          <w:color w:val="auto"/>
          <w:sz w:val="24"/>
          <w:highlight w:val="none"/>
        </w:rPr>
      </w:pPr>
      <w:r>
        <w:rPr>
          <w:rFonts w:hint="eastAsia" w:ascii="宋体" w:hAnsi="宋体" w:cs="宋体"/>
          <w:color w:val="auto"/>
          <w:sz w:val="24"/>
          <w:highlight w:val="none"/>
        </w:rPr>
        <w:t>注：本合同样本仅供参考，非实质性条款内容可由采购单位和中标单位协商确定。</w:t>
      </w:r>
    </w:p>
    <w:p>
      <w:pPr>
        <w:numPr>
          <w:ilvl w:val="0"/>
          <w:numId w:val="2"/>
        </w:numPr>
        <w:spacing w:line="360" w:lineRule="auto"/>
        <w:jc w:val="center"/>
        <w:outlineLvl w:val="0"/>
        <w:rPr>
          <w:rFonts w:ascii="宋体" w:hAnsi="宋体" w:cs="宋体"/>
          <w:b/>
          <w:bCs/>
          <w:color w:val="auto"/>
          <w:sz w:val="24"/>
          <w:highlight w:val="none"/>
        </w:rPr>
        <w:sectPr>
          <w:pgSz w:w="11906" w:h="16838"/>
          <w:pgMar w:top="1440" w:right="1633" w:bottom="1440" w:left="1633" w:header="851" w:footer="992" w:gutter="0"/>
          <w:pgNumType w:fmt="decimal"/>
          <w:cols w:space="720" w:num="1"/>
          <w:docGrid w:type="lines" w:linePitch="312" w:charSpace="0"/>
        </w:sectPr>
      </w:pPr>
    </w:p>
    <w:p>
      <w:pPr>
        <w:numPr>
          <w:ilvl w:val="0"/>
          <w:numId w:val="2"/>
        </w:numPr>
        <w:spacing w:line="360" w:lineRule="auto"/>
        <w:jc w:val="center"/>
        <w:outlineLvl w:val="0"/>
        <w:rPr>
          <w:rFonts w:ascii="宋体" w:hAnsi="宋体" w:cs="宋体"/>
          <w:b/>
          <w:bCs/>
          <w:color w:val="auto"/>
          <w:sz w:val="24"/>
          <w:highlight w:val="none"/>
        </w:rPr>
      </w:pPr>
      <w:r>
        <w:rPr>
          <w:rFonts w:hint="eastAsia" w:ascii="宋体" w:hAnsi="宋体" w:cs="宋体"/>
          <w:color w:val="auto"/>
          <w:sz w:val="24"/>
          <w:highlight w:val="none"/>
        </w:rPr>
        <w:t xml:space="preserve"> </w:t>
      </w:r>
      <w:r>
        <w:rPr>
          <w:rFonts w:hint="eastAsia" w:ascii="宋体" w:hAnsi="宋体" w:cs="宋体"/>
          <w:b/>
          <w:bCs/>
          <w:color w:val="auto"/>
          <w:sz w:val="24"/>
          <w:highlight w:val="none"/>
        </w:rPr>
        <w:t xml:space="preserve"> </w:t>
      </w:r>
      <w:bookmarkStart w:id="21" w:name="_Toc793"/>
      <w:r>
        <w:rPr>
          <w:rFonts w:hint="eastAsia" w:ascii="宋体" w:hAnsi="宋体" w:cs="宋体"/>
          <w:b/>
          <w:bCs/>
          <w:color w:val="auto"/>
          <w:sz w:val="24"/>
          <w:highlight w:val="none"/>
        </w:rPr>
        <w:t>用户需求书</w:t>
      </w:r>
      <w:bookmarkEnd w:id="21"/>
    </w:p>
    <w:p>
      <w:pPr>
        <w:pStyle w:val="39"/>
        <w:tabs>
          <w:tab w:val="left" w:pos="720"/>
        </w:tabs>
        <w:autoSpaceDE w:val="0"/>
        <w:autoSpaceDN w:val="0"/>
        <w:adjustRightInd w:val="0"/>
        <w:spacing w:line="360" w:lineRule="auto"/>
        <w:ind w:right="17" w:firstLine="482"/>
        <w:jc w:val="left"/>
        <w:outlineLvl w:val="1"/>
        <w:rPr>
          <w:rFonts w:ascii="宋体" w:hAnsi="宋体" w:cs="宋体"/>
          <w:b/>
          <w:color w:val="000000"/>
          <w:sz w:val="24"/>
        </w:rPr>
      </w:pPr>
      <w:bookmarkStart w:id="22" w:name="_Toc23726"/>
      <w:bookmarkStart w:id="23" w:name="_Toc11045"/>
      <w:r>
        <w:rPr>
          <w:rFonts w:hint="eastAsia" w:ascii="宋体" w:hAnsi="宋体" w:cs="宋体"/>
          <w:b/>
          <w:color w:val="000000"/>
          <w:sz w:val="24"/>
        </w:rPr>
        <w:t>说明：本章“用户需求书”的全部内容为本项目正常开展的基本要求，投标人必须完全响应，否则将导致投标无效。</w:t>
      </w:r>
    </w:p>
    <w:p>
      <w:pPr>
        <w:spacing w:line="360" w:lineRule="auto"/>
        <w:ind w:firstLine="241" w:firstLineChars="100"/>
        <w:rPr>
          <w:rFonts w:hint="eastAsia" w:ascii="宋体" w:hAnsi="宋体" w:cs="宋体"/>
          <w:b/>
          <w:color w:val="auto"/>
          <w:sz w:val="24"/>
          <w:highlight w:val="none"/>
        </w:rPr>
      </w:pPr>
    </w:p>
    <w:p>
      <w:pPr>
        <w:spacing w:line="360" w:lineRule="auto"/>
        <w:ind w:firstLine="241" w:firstLineChars="100"/>
        <w:outlineLvl w:val="1"/>
        <w:rPr>
          <w:color w:val="auto"/>
          <w:highlight w:val="none"/>
        </w:rPr>
      </w:pPr>
      <w:r>
        <w:rPr>
          <w:rFonts w:hint="eastAsia" w:ascii="宋体" w:hAnsi="宋体" w:cs="宋体"/>
          <w:b/>
          <w:color w:val="auto"/>
          <w:sz w:val="24"/>
          <w:highlight w:val="none"/>
        </w:rPr>
        <w:t>一、</w:t>
      </w:r>
      <w:bookmarkEnd w:id="22"/>
      <w:bookmarkEnd w:id="23"/>
      <w:bookmarkStart w:id="24" w:name="_Toc96337997"/>
      <w:bookmarkStart w:id="25" w:name="_Toc51746099"/>
      <w:r>
        <w:rPr>
          <w:rFonts w:hint="eastAsia" w:ascii="宋体" w:hAnsi="宋体" w:cs="宋体"/>
          <w:b/>
          <w:color w:val="auto"/>
          <w:sz w:val="24"/>
          <w:highlight w:val="none"/>
        </w:rPr>
        <w:t>项目背景</w:t>
      </w:r>
      <w:bookmarkEnd w:id="24"/>
    </w:p>
    <w:bookmarkEnd w:id="25"/>
    <w:p>
      <w:pPr>
        <w:pStyle w:val="29"/>
        <w:tabs>
          <w:tab w:val="left" w:pos="720"/>
        </w:tabs>
        <w:autoSpaceDE w:val="0"/>
        <w:autoSpaceDN w:val="0"/>
        <w:adjustRightInd w:val="0"/>
        <w:spacing w:line="360" w:lineRule="auto"/>
        <w:ind w:right="17" w:firstLine="482"/>
        <w:jc w:val="left"/>
        <w:outlineLvl w:val="1"/>
        <w:rPr>
          <w:rFonts w:hint="eastAsia" w:ascii="宋体" w:hAnsi="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为推动提升前海合作区的精神文明建设水平，打造文艺精品、鼓励艺术创新、提高艺术品质，讲好湾区故事、前海故事，进一步促进前海与港澳影视产业合作创新，彰显前海合作区及粤港澳大湾区蓬勃发展、欣欣向荣的生机与活力，拟开展前海港澳文艺作品创作及宣推合作项目。通过联合制作音乐剧和广播剧的形式，以生动的电视语言全方位、多角度地展现前海的创新成果，再现“生机勃勃”的前海，让更多港澳青年认识前海、了解湾区，积极投身粤港澳大湾区建设、更好融入国家发展大局。</w:t>
      </w:r>
    </w:p>
    <w:p>
      <w:pPr>
        <w:pStyle w:val="29"/>
        <w:numPr>
          <w:ilvl w:val="0"/>
          <w:numId w:val="0"/>
        </w:numPr>
        <w:tabs>
          <w:tab w:val="left" w:pos="720"/>
        </w:tabs>
        <w:autoSpaceDE w:val="0"/>
        <w:autoSpaceDN w:val="0"/>
        <w:adjustRightInd w:val="0"/>
        <w:spacing w:line="360" w:lineRule="auto"/>
        <w:ind w:right="17" w:rightChars="0" w:firstLine="241" w:firstLineChars="100"/>
        <w:jc w:val="left"/>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二</w:t>
      </w:r>
      <w:r>
        <w:rPr>
          <w:rFonts w:hint="eastAsia" w:ascii="宋体" w:hAnsi="宋体" w:cs="宋体"/>
          <w:b/>
          <w:color w:val="auto"/>
          <w:sz w:val="24"/>
          <w:highlight w:val="none"/>
        </w:rPr>
        <w:t>、项目目标</w:t>
      </w:r>
    </w:p>
    <w:p>
      <w:pPr>
        <w:pStyle w:val="29"/>
        <w:tabs>
          <w:tab w:val="left" w:pos="720"/>
        </w:tabs>
        <w:autoSpaceDE w:val="0"/>
        <w:autoSpaceDN w:val="0"/>
        <w:adjustRightInd w:val="0"/>
        <w:spacing w:line="360" w:lineRule="auto"/>
        <w:ind w:right="17" w:firstLine="482"/>
        <w:jc w:val="left"/>
        <w:outlineLvl w:val="1"/>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完成采购人合作音乐剧和广播剧的全部制作、发行出品以及宣传推广等全周期工作。</w:t>
      </w:r>
    </w:p>
    <w:p>
      <w:pPr>
        <w:pStyle w:val="29"/>
        <w:numPr>
          <w:ilvl w:val="0"/>
          <w:numId w:val="0"/>
        </w:numPr>
        <w:tabs>
          <w:tab w:val="left" w:pos="720"/>
        </w:tabs>
        <w:autoSpaceDE w:val="0"/>
        <w:autoSpaceDN w:val="0"/>
        <w:adjustRightInd w:val="0"/>
        <w:spacing w:line="360" w:lineRule="auto"/>
        <w:ind w:right="17" w:rightChars="0" w:firstLine="241" w:firstLineChars="100"/>
        <w:jc w:val="left"/>
        <w:outlineLvl w:val="1"/>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三、项目内容</w:t>
      </w:r>
    </w:p>
    <w:p>
      <w:pPr>
        <w:widowControl/>
        <w:spacing w:line="360" w:lineRule="auto"/>
        <w:ind w:firstLine="504" w:firstLineChars="200"/>
        <w:jc w:val="both"/>
        <w:outlineLvl w:val="2"/>
        <w:rPr>
          <w:rFonts w:hint="eastAsia" w:ascii="Times New Roman" w:hAnsi="Times New Roman" w:cs="Times New Roman"/>
          <w:color w:val="auto"/>
          <w:spacing w:val="6"/>
          <w:kern w:val="0"/>
          <w:sz w:val="24"/>
          <w:szCs w:val="24"/>
          <w:highlight w:val="none"/>
          <w:lang w:val="en-US" w:eastAsia="zh-CN" w:bidi="ar-SA"/>
        </w:rPr>
      </w:pPr>
      <w:r>
        <w:rPr>
          <w:rFonts w:hint="eastAsia" w:ascii="Times New Roman" w:hAnsi="Times New Roman" w:cs="Times New Roman"/>
          <w:color w:val="auto"/>
          <w:spacing w:val="6"/>
          <w:kern w:val="0"/>
          <w:sz w:val="24"/>
          <w:szCs w:val="24"/>
          <w:highlight w:val="none"/>
          <w:lang w:val="en-US" w:eastAsia="zh-CN" w:bidi="ar-SA"/>
        </w:rPr>
        <w:t>1.工作内容</w:t>
      </w:r>
    </w:p>
    <w:p>
      <w:pPr>
        <w:widowControl/>
        <w:spacing w:line="360" w:lineRule="auto"/>
        <w:ind w:firstLine="504" w:firstLineChars="200"/>
        <w:jc w:val="both"/>
        <w:rPr>
          <w:rFonts w:hint="eastAsia" w:ascii="Times New Roman" w:hAnsi="Times New Roman" w:cs="Times New Roman"/>
          <w:color w:val="auto"/>
          <w:spacing w:val="6"/>
          <w:kern w:val="0"/>
          <w:sz w:val="24"/>
          <w:szCs w:val="24"/>
          <w:highlight w:val="none"/>
          <w:lang w:val="en-US" w:eastAsia="zh-CN" w:bidi="ar-SA"/>
        </w:rPr>
      </w:pPr>
      <w:r>
        <w:rPr>
          <w:rFonts w:hint="eastAsia" w:ascii="Times New Roman" w:hAnsi="Times New Roman" w:cs="Times New Roman"/>
          <w:color w:val="auto"/>
          <w:spacing w:val="6"/>
          <w:kern w:val="0"/>
          <w:sz w:val="24"/>
          <w:szCs w:val="24"/>
          <w:highlight w:val="none"/>
          <w:lang w:val="en-US" w:eastAsia="zh-CN" w:bidi="ar-SA"/>
        </w:rPr>
        <w:t>（1）负责合作音乐剧和广播剧的脚本策划、特效制作、拍摄、场景制作、渲染、后期制作（含字幕、音乐、音效、解说词、配音、剪辑等）等；上述文艺作品内容需贴近前海“深港深度融合发展引领区”的城市形象，体现港澳特色。</w:t>
      </w:r>
    </w:p>
    <w:p>
      <w:pPr>
        <w:widowControl/>
        <w:spacing w:line="360" w:lineRule="auto"/>
        <w:ind w:firstLine="504" w:firstLineChars="200"/>
        <w:jc w:val="both"/>
        <w:rPr>
          <w:rFonts w:hint="eastAsia" w:ascii="Times New Roman" w:hAnsi="Times New Roman" w:cs="Times New Roman"/>
          <w:color w:val="auto"/>
          <w:spacing w:val="6"/>
          <w:kern w:val="0"/>
          <w:sz w:val="24"/>
          <w:szCs w:val="24"/>
          <w:highlight w:val="none"/>
          <w:lang w:val="en-US" w:eastAsia="zh-CN" w:bidi="ar-SA"/>
        </w:rPr>
      </w:pPr>
      <w:r>
        <w:rPr>
          <w:rFonts w:hint="eastAsia" w:ascii="Times New Roman" w:hAnsi="Times New Roman" w:cs="Times New Roman"/>
          <w:color w:val="auto"/>
          <w:spacing w:val="6"/>
          <w:kern w:val="0"/>
          <w:sz w:val="24"/>
          <w:szCs w:val="24"/>
          <w:highlight w:val="none"/>
          <w:lang w:val="en-US" w:eastAsia="zh-CN" w:bidi="ar-SA"/>
        </w:rPr>
        <w:t>（2）负责推动音乐剧和广播剧至少在央视或省级电台播出，并联合官方微博、微信、视频号、抖音等全媒体宣传矩阵进行宣传推广，形成全覆盖的媒体宣传阵势，同期负责完成深圳市前海管理局作为音乐剧和广播剧联合出品方或策划单位或制作方的整体宣传。</w:t>
      </w:r>
    </w:p>
    <w:p>
      <w:pPr>
        <w:widowControl/>
        <w:spacing w:line="360" w:lineRule="auto"/>
        <w:ind w:firstLine="504" w:firstLineChars="200"/>
        <w:jc w:val="both"/>
        <w:rPr>
          <w:rFonts w:hint="eastAsia" w:ascii="Times New Roman" w:hAnsi="Times New Roman" w:cs="Times New Roman"/>
          <w:color w:val="auto"/>
          <w:spacing w:val="6"/>
          <w:kern w:val="0"/>
          <w:sz w:val="24"/>
          <w:szCs w:val="24"/>
          <w:highlight w:val="none"/>
          <w:lang w:val="en-US" w:eastAsia="zh-CN" w:bidi="ar-SA"/>
        </w:rPr>
      </w:pPr>
      <w:r>
        <w:rPr>
          <w:rFonts w:hint="eastAsia" w:ascii="Times New Roman" w:hAnsi="Times New Roman" w:cs="Times New Roman"/>
          <w:color w:val="auto"/>
          <w:spacing w:val="6"/>
          <w:kern w:val="0"/>
          <w:sz w:val="24"/>
          <w:szCs w:val="24"/>
          <w:highlight w:val="none"/>
          <w:lang w:val="en-US" w:eastAsia="zh-CN" w:bidi="ar-SA"/>
        </w:rPr>
        <w:t>（3）其他要求</w:t>
      </w:r>
    </w:p>
    <w:p>
      <w:pPr>
        <w:widowControl/>
        <w:spacing w:line="360" w:lineRule="auto"/>
        <w:ind w:firstLine="504" w:firstLineChars="200"/>
        <w:jc w:val="both"/>
        <w:rPr>
          <w:rFonts w:hint="eastAsia" w:ascii="Times New Roman" w:hAnsi="Times New Roman" w:cs="Times New Roman"/>
          <w:color w:val="auto"/>
          <w:spacing w:val="6"/>
          <w:kern w:val="0"/>
          <w:sz w:val="24"/>
          <w:szCs w:val="24"/>
          <w:highlight w:val="none"/>
          <w:lang w:val="en-US" w:eastAsia="zh-CN" w:bidi="ar-SA"/>
        </w:rPr>
      </w:pPr>
      <w:r>
        <w:rPr>
          <w:rFonts w:hint="eastAsia" w:ascii="Times New Roman" w:hAnsi="Times New Roman" w:cs="Times New Roman"/>
          <w:color w:val="auto"/>
          <w:spacing w:val="6"/>
          <w:kern w:val="0"/>
          <w:sz w:val="24"/>
          <w:szCs w:val="24"/>
          <w:highlight w:val="none"/>
          <w:lang w:val="en-US" w:eastAsia="zh-CN" w:bidi="ar-SA"/>
        </w:rPr>
        <w:t>音乐剧和广播剧：成片分辨率为1920*1080p</w:t>
      </w:r>
      <w:r>
        <w:rPr>
          <w:rFonts w:hint="eastAsia" w:cs="Times New Roman"/>
          <w:color w:val="auto"/>
          <w:spacing w:val="6"/>
          <w:kern w:val="0"/>
          <w:sz w:val="24"/>
          <w:szCs w:val="24"/>
          <w:highlight w:val="none"/>
          <w:lang w:val="en-US" w:eastAsia="zh-CN" w:bidi="ar-SA"/>
        </w:rPr>
        <w:t>，</w:t>
      </w:r>
      <w:r>
        <w:rPr>
          <w:rFonts w:hint="eastAsia" w:ascii="Times New Roman" w:hAnsi="Times New Roman" w:cs="Times New Roman"/>
          <w:color w:val="auto"/>
          <w:spacing w:val="6"/>
          <w:kern w:val="0"/>
          <w:sz w:val="24"/>
          <w:szCs w:val="24"/>
          <w:highlight w:val="none"/>
          <w:lang w:val="en-US" w:eastAsia="zh-CN" w:bidi="ar-SA"/>
        </w:rPr>
        <w:t>MOV格式及MP4格式交付，以移动硬盘作为拍摄素材和成果（拍摄的视频、音乐、动画等原文件及其他相关素材）存储载体。</w:t>
      </w:r>
    </w:p>
    <w:p>
      <w:pPr>
        <w:widowControl/>
        <w:spacing w:line="360" w:lineRule="auto"/>
        <w:ind w:firstLine="504" w:firstLineChars="200"/>
        <w:jc w:val="both"/>
        <w:outlineLvl w:val="2"/>
        <w:rPr>
          <w:rFonts w:hint="eastAsia" w:ascii="Times New Roman" w:hAnsi="Times New Roman" w:cs="Times New Roman"/>
          <w:color w:val="auto"/>
          <w:spacing w:val="6"/>
          <w:kern w:val="0"/>
          <w:sz w:val="24"/>
          <w:szCs w:val="24"/>
          <w:highlight w:val="none"/>
          <w:lang w:val="en-US" w:eastAsia="zh-CN" w:bidi="ar-SA"/>
        </w:rPr>
      </w:pPr>
      <w:r>
        <w:rPr>
          <w:rFonts w:hint="eastAsia" w:ascii="Times New Roman" w:hAnsi="Times New Roman" w:cs="Times New Roman"/>
          <w:color w:val="auto"/>
          <w:spacing w:val="6"/>
          <w:kern w:val="0"/>
          <w:sz w:val="24"/>
          <w:szCs w:val="24"/>
          <w:highlight w:val="none"/>
          <w:lang w:val="en-US" w:eastAsia="zh-CN" w:bidi="ar-SA"/>
        </w:rPr>
        <w:t>2.技术要求</w:t>
      </w:r>
    </w:p>
    <w:p>
      <w:pPr>
        <w:widowControl/>
        <w:spacing w:line="360" w:lineRule="auto"/>
        <w:ind w:firstLine="504" w:firstLineChars="200"/>
        <w:jc w:val="both"/>
        <w:rPr>
          <w:rFonts w:hint="eastAsia" w:ascii="Times New Roman" w:hAnsi="Times New Roman" w:cs="Times New Roman"/>
          <w:color w:val="auto"/>
          <w:spacing w:val="6"/>
          <w:kern w:val="0"/>
          <w:sz w:val="24"/>
          <w:szCs w:val="24"/>
          <w:highlight w:val="none"/>
          <w:lang w:val="en-US" w:eastAsia="zh-CN" w:bidi="ar-SA"/>
        </w:rPr>
      </w:pPr>
      <w:r>
        <w:rPr>
          <w:rFonts w:hint="eastAsia" w:ascii="Times New Roman" w:hAnsi="Times New Roman" w:cs="Times New Roman"/>
          <w:color w:val="auto"/>
          <w:spacing w:val="6"/>
          <w:kern w:val="0"/>
          <w:sz w:val="24"/>
          <w:szCs w:val="24"/>
          <w:highlight w:val="none"/>
          <w:lang w:val="en-US" w:eastAsia="zh-CN" w:bidi="ar-SA"/>
        </w:rPr>
        <w:t>（1）音乐剧和广播剧保证验收成片为高清版，最终交付完整版正片视频时长不少于30分钟。</w:t>
      </w:r>
    </w:p>
    <w:p>
      <w:pPr>
        <w:widowControl/>
        <w:spacing w:line="360" w:lineRule="auto"/>
        <w:ind w:firstLine="504" w:firstLineChars="200"/>
        <w:jc w:val="both"/>
        <w:rPr>
          <w:rFonts w:hint="eastAsia" w:ascii="宋体" w:hAnsi="宋体" w:cs="宋体"/>
          <w:b/>
          <w:color w:val="auto"/>
          <w:sz w:val="24"/>
          <w:highlight w:val="none"/>
          <w:lang w:val="en-US" w:eastAsia="zh-CN"/>
        </w:rPr>
      </w:pPr>
      <w:r>
        <w:rPr>
          <w:rFonts w:hint="eastAsia" w:ascii="Times New Roman" w:hAnsi="Times New Roman" w:cs="Times New Roman"/>
          <w:color w:val="auto"/>
          <w:spacing w:val="6"/>
          <w:kern w:val="0"/>
          <w:sz w:val="24"/>
          <w:szCs w:val="24"/>
          <w:highlight w:val="none"/>
          <w:lang w:val="en-US" w:eastAsia="zh-CN" w:bidi="ar-SA"/>
        </w:rPr>
        <w:t>（2）上述作品播出或发行资料中需体现</w:t>
      </w:r>
      <w:r>
        <w:rPr>
          <w:rFonts w:hint="eastAsia" w:ascii="宋体" w:hAnsi="宋体" w:eastAsia="宋体" w:cs="宋体"/>
          <w:b w:val="0"/>
          <w:bCs/>
          <w:color w:val="auto"/>
          <w:sz w:val="24"/>
          <w:highlight w:val="none"/>
          <w:lang w:val="en-US" w:eastAsia="zh-CN"/>
        </w:rPr>
        <w:t>采购人</w:t>
      </w:r>
      <w:r>
        <w:rPr>
          <w:rFonts w:hint="eastAsia" w:ascii="Times New Roman" w:hAnsi="Times New Roman" w:cs="Times New Roman"/>
          <w:color w:val="auto"/>
          <w:spacing w:val="6"/>
          <w:kern w:val="0"/>
          <w:sz w:val="24"/>
          <w:szCs w:val="24"/>
          <w:highlight w:val="none"/>
          <w:lang w:val="en-US" w:eastAsia="zh-CN" w:bidi="ar-SA"/>
        </w:rPr>
        <w:t>作为联合出品方或策划单位或制作方之一。</w:t>
      </w:r>
    </w:p>
    <w:p>
      <w:pPr>
        <w:pStyle w:val="39"/>
        <w:tabs>
          <w:tab w:val="left" w:pos="720"/>
        </w:tabs>
        <w:autoSpaceDE w:val="0"/>
        <w:autoSpaceDN w:val="0"/>
        <w:adjustRightInd w:val="0"/>
        <w:spacing w:line="360" w:lineRule="auto"/>
        <w:ind w:left="0" w:leftChars="0" w:right="17" w:firstLine="241" w:firstLineChars="100"/>
        <w:jc w:val="left"/>
        <w:outlineLvl w:val="1"/>
        <w:rPr>
          <w:rFonts w:hint="eastAsia" w:ascii="宋体" w:hAnsi="宋体" w:cs="宋体"/>
          <w:b/>
          <w:color w:val="auto"/>
          <w:sz w:val="24"/>
          <w:highlight w:val="none"/>
          <w:lang w:val="en-US" w:eastAsia="zh-CN"/>
        </w:rPr>
      </w:pPr>
      <w:r>
        <w:rPr>
          <w:rFonts w:hint="eastAsia" w:ascii="宋体" w:hAnsi="宋体" w:cs="宋体"/>
          <w:b/>
          <w:color w:val="auto"/>
          <w:sz w:val="24"/>
          <w:highlight w:val="none"/>
          <w:lang w:val="en-US" w:eastAsia="zh-CN"/>
        </w:rPr>
        <w:t>四、项目管理及进度要求</w:t>
      </w:r>
    </w:p>
    <w:p>
      <w:pPr>
        <w:widowControl/>
        <w:spacing w:line="360" w:lineRule="auto"/>
        <w:ind w:firstLine="504" w:firstLineChars="200"/>
        <w:jc w:val="both"/>
        <w:outlineLvl w:val="2"/>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1.组织实施要求</w:t>
      </w:r>
    </w:p>
    <w:p>
      <w:pPr>
        <w:widowControl/>
        <w:spacing w:line="360" w:lineRule="auto"/>
        <w:ind w:firstLine="504" w:firstLineChars="200"/>
        <w:jc w:val="both"/>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为确保本次项目投标工作管理规范、实施有力，中标人应成立项目组，按采购人要求完成研究成果。</w:t>
      </w:r>
    </w:p>
    <w:p>
      <w:pPr>
        <w:widowControl/>
        <w:spacing w:line="360" w:lineRule="auto"/>
        <w:ind w:firstLine="504" w:firstLineChars="200"/>
        <w:jc w:val="both"/>
        <w:outlineLvl w:val="2"/>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2.项目服务期限要求</w:t>
      </w:r>
    </w:p>
    <w:p>
      <w:pPr>
        <w:widowControl/>
        <w:spacing w:line="360" w:lineRule="auto"/>
        <w:ind w:firstLine="504" w:firstLineChars="200"/>
        <w:jc w:val="both"/>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本项目合同服务期限为：自合同签订之日起至本项目作品播出、发行、宣传结束。</w:t>
      </w:r>
    </w:p>
    <w:p>
      <w:pPr>
        <w:widowControl/>
        <w:spacing w:line="360" w:lineRule="auto"/>
        <w:ind w:firstLine="504" w:firstLineChars="200"/>
        <w:jc w:val="both"/>
        <w:outlineLvl w:val="2"/>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3.项目人员安排要求</w:t>
      </w:r>
    </w:p>
    <w:p>
      <w:pPr>
        <w:widowControl/>
        <w:spacing w:line="360" w:lineRule="auto"/>
        <w:ind w:firstLine="504" w:firstLineChars="200"/>
        <w:jc w:val="both"/>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（1）</w:t>
      </w:r>
      <w:r>
        <w:rPr>
          <w:rFonts w:hint="eastAsia" w:ascii="Times New Roman" w:hAnsi="Times New Roman" w:eastAsia="宋体" w:cs="Times New Roman"/>
          <w:color w:val="auto"/>
          <w:spacing w:val="6"/>
          <w:sz w:val="24"/>
          <w:szCs w:val="24"/>
          <w:highlight w:val="none"/>
          <w:lang w:val="en-US" w:eastAsia="zh-CN"/>
        </w:rPr>
        <w:t>中标人需提供投入本项目的项目负责人及项目团队成员。</w:t>
      </w:r>
    </w:p>
    <w:p>
      <w:pPr>
        <w:widowControl/>
        <w:spacing w:line="360" w:lineRule="auto"/>
        <w:ind w:firstLine="504" w:firstLineChars="200"/>
        <w:jc w:val="both"/>
        <w:rPr>
          <w:rFonts w:hint="eastAsia" w:ascii="宋体" w:hAnsi="宋体" w:cs="宋体"/>
          <w:b/>
          <w:color w:val="auto"/>
          <w:sz w:val="24"/>
          <w:highlight w:val="none"/>
          <w:lang w:val="en-US" w:eastAsia="zh-CN"/>
        </w:rPr>
      </w:pPr>
      <w:r>
        <w:rPr>
          <w:rFonts w:hint="eastAsia" w:ascii="Times New Roman" w:hAnsi="Times New Roman" w:eastAsia="宋体" w:cs="Times New Roman"/>
          <w:color w:val="auto"/>
          <w:spacing w:val="6"/>
          <w:kern w:val="0"/>
          <w:sz w:val="24"/>
          <w:szCs w:val="24"/>
          <w:highlight w:val="none"/>
          <w:lang w:val="en-US" w:eastAsia="zh-CN" w:bidi="ar-SA"/>
        </w:rPr>
        <w:t>（2）中标人不得随意更换项目负责人和项目组成员。</w:t>
      </w:r>
    </w:p>
    <w:p>
      <w:pPr>
        <w:pStyle w:val="39"/>
        <w:tabs>
          <w:tab w:val="left" w:pos="720"/>
        </w:tabs>
        <w:autoSpaceDE w:val="0"/>
        <w:autoSpaceDN w:val="0"/>
        <w:adjustRightInd w:val="0"/>
        <w:spacing w:line="360" w:lineRule="auto"/>
        <w:ind w:left="0" w:leftChars="0" w:right="17" w:firstLine="241" w:firstLineChars="100"/>
        <w:jc w:val="left"/>
        <w:outlineLvl w:val="1"/>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五、项目验收要求</w:t>
      </w:r>
    </w:p>
    <w:p>
      <w:pPr>
        <w:widowControl/>
        <w:spacing w:line="360" w:lineRule="auto"/>
        <w:ind w:firstLine="504" w:firstLineChars="200"/>
        <w:jc w:val="both"/>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1. 需提供采购人参与制作且可用于验收的高清版音乐剧和广播剧原片（不少30分钟，成片分辨率不低于1920X1080p，MOV格式及MP4格式交付），验收材料需体现采购人作为联合出品方或策划单位或制作方。</w:t>
      </w:r>
    </w:p>
    <w:p>
      <w:pPr>
        <w:widowControl/>
        <w:spacing w:line="360" w:lineRule="auto"/>
        <w:ind w:firstLine="504" w:firstLineChars="200"/>
        <w:jc w:val="both"/>
        <w:rPr>
          <w:rFonts w:hint="eastAsia" w:ascii="Times New Roman" w:hAnsi="Times New Roman" w:eastAsia="宋体" w:cs="Times New Roman"/>
          <w:color w:val="auto"/>
          <w:spacing w:val="6"/>
          <w:kern w:val="0"/>
          <w:sz w:val="24"/>
          <w:szCs w:val="24"/>
          <w:highlight w:val="none"/>
          <w:lang w:val="en-US" w:eastAsia="zh-CN" w:bidi="ar-SA"/>
        </w:rPr>
      </w:pPr>
      <w:r>
        <w:rPr>
          <w:rFonts w:hint="eastAsia" w:ascii="Times New Roman" w:hAnsi="Times New Roman" w:eastAsia="宋体" w:cs="Times New Roman"/>
          <w:color w:val="auto"/>
          <w:spacing w:val="6"/>
          <w:kern w:val="0"/>
          <w:sz w:val="24"/>
          <w:szCs w:val="24"/>
          <w:highlight w:val="none"/>
          <w:lang w:val="en-US" w:eastAsia="zh-CN" w:bidi="ar-SA"/>
        </w:rPr>
        <w:t>2. 需提供音乐剧和广播剧成片在电视台（央视或省级卫视及国内主流音视频平台）播出的证明材料，以及播出、发行期间在各大平台运用多种媒介进行宣传的证明材料。</w:t>
      </w:r>
    </w:p>
    <w:p>
      <w:pPr>
        <w:widowControl/>
        <w:spacing w:line="360" w:lineRule="auto"/>
        <w:ind w:firstLine="504" w:firstLineChars="200"/>
        <w:jc w:val="both"/>
        <w:rPr>
          <w:rFonts w:hint="eastAsia" w:ascii="宋体" w:hAnsi="宋体" w:eastAsia="宋体" w:cs="宋体"/>
          <w:color w:val="auto"/>
          <w:kern w:val="0"/>
          <w:sz w:val="24"/>
          <w:szCs w:val="24"/>
          <w:highlight w:val="none"/>
          <w:lang w:val="en-US" w:eastAsia="zh-CN"/>
        </w:rPr>
      </w:pPr>
      <w:r>
        <w:rPr>
          <w:rFonts w:hint="eastAsia" w:ascii="Times New Roman" w:hAnsi="Times New Roman" w:eastAsia="宋体" w:cs="Times New Roman"/>
          <w:color w:val="auto"/>
          <w:spacing w:val="6"/>
          <w:kern w:val="0"/>
          <w:sz w:val="24"/>
          <w:szCs w:val="24"/>
          <w:highlight w:val="none"/>
          <w:lang w:val="en-US" w:eastAsia="zh-CN" w:bidi="ar-SA"/>
        </w:rPr>
        <w:t>3. 需提供采购人作为所合作音乐剧和广播剧的联合出品方或策划单位或制作方的证明材料；如参评获得相关奖项</w:t>
      </w:r>
      <w:r>
        <w:rPr>
          <w:rFonts w:hint="eastAsia" w:ascii="宋体" w:hAnsi="宋体" w:cs="宋体"/>
          <w:bCs/>
          <w:color w:val="auto"/>
          <w:sz w:val="24"/>
          <w:highlight w:val="none"/>
          <w:lang w:val="en-US" w:eastAsia="zh-CN"/>
        </w:rPr>
        <w:t>的，需提供获奖证明材料。</w:t>
      </w:r>
    </w:p>
    <w:p>
      <w:pPr>
        <w:pStyle w:val="29"/>
        <w:tabs>
          <w:tab w:val="left" w:pos="720"/>
        </w:tabs>
        <w:autoSpaceDE w:val="0"/>
        <w:autoSpaceDN w:val="0"/>
        <w:adjustRightInd w:val="0"/>
        <w:spacing w:line="360" w:lineRule="auto"/>
        <w:ind w:left="0" w:leftChars="0" w:right="17" w:firstLine="241" w:firstLineChars="100"/>
        <w:jc w:val="left"/>
        <w:outlineLvl w:val="1"/>
        <w:rPr>
          <w:rFonts w:hint="eastAsia" w:ascii="宋体" w:hAnsi="宋体" w:cs="宋体"/>
          <w:b/>
          <w:color w:val="auto"/>
          <w:sz w:val="24"/>
          <w:highlight w:val="none"/>
          <w:lang w:val="en-US" w:eastAsia="zh-CN"/>
        </w:rPr>
      </w:pPr>
    </w:p>
    <w:p>
      <w:pPr>
        <w:pStyle w:val="29"/>
        <w:tabs>
          <w:tab w:val="left" w:pos="720"/>
        </w:tabs>
        <w:autoSpaceDE w:val="0"/>
        <w:autoSpaceDN w:val="0"/>
        <w:adjustRightInd w:val="0"/>
        <w:spacing w:line="360" w:lineRule="auto"/>
        <w:ind w:left="0" w:leftChars="0" w:right="17" w:firstLine="241" w:firstLineChars="100"/>
        <w:jc w:val="left"/>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六、</w:t>
      </w:r>
      <w:r>
        <w:rPr>
          <w:rFonts w:hint="eastAsia" w:ascii="宋体" w:hAnsi="宋体" w:cs="宋体"/>
          <w:b/>
          <w:color w:val="auto"/>
          <w:sz w:val="24"/>
          <w:highlight w:val="none"/>
        </w:rPr>
        <w:t>商务要求</w:t>
      </w:r>
    </w:p>
    <w:p>
      <w:pPr>
        <w:tabs>
          <w:tab w:val="left" w:pos="720"/>
        </w:tabs>
        <w:autoSpaceDE w:val="0"/>
        <w:autoSpaceDN w:val="0"/>
        <w:adjustRightInd w:val="0"/>
        <w:spacing w:line="360" w:lineRule="auto"/>
        <w:ind w:right="17" w:firstLine="482" w:firstLineChars="200"/>
        <w:outlineLvl w:val="2"/>
        <w:rPr>
          <w:rFonts w:ascii="宋体" w:hAnsi="宋体" w:cs="宋体"/>
          <w:color w:val="auto"/>
          <w:sz w:val="24"/>
          <w:highlight w:val="none"/>
        </w:rPr>
      </w:pPr>
      <w:r>
        <w:rPr>
          <w:rFonts w:hint="eastAsia" w:ascii="宋体" w:hAnsi="宋体" w:cs="宋体"/>
          <w:b/>
          <w:bCs/>
          <w:color w:val="auto"/>
          <w:kern w:val="0"/>
          <w:sz w:val="24"/>
          <w:highlight w:val="none"/>
        </w:rPr>
        <w:t>（一）服务期限</w:t>
      </w:r>
    </w:p>
    <w:p>
      <w:pPr>
        <w:spacing w:after="156" w:afterLines="50"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服务期限：自合同签订之日起至本项目作品播出、发行、宣传结束。</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（二）报价要求</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1.本次投标为总价包干，投标报价总价作为中标人与采购人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的合同金额。项目预算控制</w:t>
      </w:r>
      <w:r>
        <w:rPr>
          <w:rFonts w:hint="eastAsia" w:ascii="宋体" w:hAnsi="宋体" w:cs="宋体"/>
          <w:color w:val="auto"/>
          <w:sz w:val="24"/>
          <w:highlight w:val="none"/>
          <w:lang w:val="en-US" w:eastAsia="zh-CN"/>
        </w:rPr>
        <w:t>73.2</w:t>
      </w:r>
      <w:r>
        <w:rPr>
          <w:rFonts w:hint="eastAsia" w:ascii="宋体" w:hAnsi="宋体" w:cs="宋体"/>
          <w:color w:val="auto"/>
          <w:sz w:val="24"/>
          <w:highlight w:val="none"/>
          <w:lang w:eastAsia="zh-CN"/>
        </w:rPr>
        <w:t>万元以内</w:t>
      </w:r>
      <w:r>
        <w:rPr>
          <w:rFonts w:hint="eastAsia" w:ascii="宋体" w:hAnsi="宋体" w:cs="宋体"/>
          <w:color w:val="auto"/>
          <w:sz w:val="24"/>
          <w:highlight w:val="none"/>
        </w:rPr>
        <w:t>，投标人的报价不可高于预算（限价），否则投标人的投标文件视同无效。本项目服务费包括但不限于包括服务成本、法定税费和企业的利润、后续服务等所有费用，并提供合同要求的有关成果材料，以及其它相关服务的全部费用。</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sz w:val="24"/>
          <w:highlight w:val="none"/>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color w:val="auto"/>
          <w:highlight w:val="none"/>
        </w:rPr>
      </w:pPr>
      <w:r>
        <w:rPr>
          <w:rFonts w:hint="eastAsia" w:ascii="宋体" w:hAnsi="宋体" w:cs="宋体"/>
          <w:b/>
          <w:bCs/>
          <w:color w:val="auto"/>
          <w:kern w:val="0"/>
          <w:sz w:val="24"/>
          <w:highlight w:val="none"/>
        </w:rPr>
        <w:t>（三）付款方式</w:t>
      </w:r>
    </w:p>
    <w:p>
      <w:pPr>
        <w:keepNext w:val="0"/>
        <w:keepLines w:val="0"/>
        <w:pageBreakBefore w:val="0"/>
        <w:widowControl/>
        <w:kinsoku/>
        <w:overflowPunct/>
        <w:topLinePunct w:val="0"/>
        <w:bidi w:val="0"/>
        <w:spacing w:line="560" w:lineRule="exact"/>
        <w:ind w:firstLine="480" w:firstLineChars="200"/>
        <w:rPr>
          <w:rFonts w:hint="eastAsia" w:ascii="宋体" w:hAnsi="宋体" w:eastAsia="宋体" w:cs="宋体"/>
          <w:sz w:val="24"/>
        </w:rPr>
      </w:pPr>
      <w:r>
        <w:rPr>
          <w:rFonts w:hint="eastAsia" w:ascii="宋体" w:hAnsi="宋体" w:eastAsia="宋体" w:cs="宋体"/>
          <w:sz w:val="24"/>
        </w:rPr>
        <w:t>1.合同金额由</w:t>
      </w:r>
      <w:r>
        <w:rPr>
          <w:rFonts w:hint="eastAsia" w:ascii="宋体" w:hAnsi="宋体" w:cs="宋体"/>
          <w:sz w:val="24"/>
          <w:lang w:val="en-US" w:eastAsia="zh-CN"/>
        </w:rPr>
        <w:t>采购人</w:t>
      </w:r>
      <w:r>
        <w:rPr>
          <w:rFonts w:hint="eastAsia" w:ascii="宋体" w:hAnsi="宋体" w:eastAsia="宋体" w:cs="宋体"/>
          <w:sz w:val="24"/>
        </w:rPr>
        <w:t>分2期支付至</w:t>
      </w:r>
      <w:r>
        <w:rPr>
          <w:rFonts w:hint="eastAsia" w:ascii="宋体" w:hAnsi="宋体" w:cs="宋体"/>
          <w:sz w:val="24"/>
          <w:lang w:val="en-US" w:eastAsia="zh-CN"/>
        </w:rPr>
        <w:t>中标人</w:t>
      </w:r>
      <w:r>
        <w:rPr>
          <w:rFonts w:hint="eastAsia" w:ascii="宋体" w:hAnsi="宋体" w:eastAsia="宋体" w:cs="宋体"/>
          <w:sz w:val="24"/>
        </w:rPr>
        <w:t>指定银行账户：</w:t>
      </w:r>
    </w:p>
    <w:p>
      <w:pPr>
        <w:keepNext w:val="0"/>
        <w:keepLines w:val="0"/>
        <w:pageBreakBefore w:val="0"/>
        <w:widowControl/>
        <w:kinsoku/>
        <w:overflowPunct/>
        <w:topLinePunct w:val="0"/>
        <w:bidi w:val="0"/>
        <w:spacing w:line="560" w:lineRule="exact"/>
        <w:ind w:firstLine="480" w:firstLineChars="200"/>
        <w:rPr>
          <w:rFonts w:hint="eastAsia" w:ascii="宋体" w:hAnsi="宋体" w:eastAsia="宋体" w:cs="宋体"/>
          <w:sz w:val="24"/>
        </w:rPr>
      </w:pPr>
      <w:r>
        <w:rPr>
          <w:rFonts w:hint="eastAsia" w:ascii="宋体" w:hAnsi="宋体" w:eastAsia="宋体" w:cs="宋体"/>
          <w:sz w:val="24"/>
        </w:rPr>
        <w:t>1.1.第一期：合同签订后15个工作日内，采购人收到中标人出具的正规发票后，支付合同总金额的50%；</w:t>
      </w:r>
    </w:p>
    <w:p>
      <w:pPr>
        <w:keepNext w:val="0"/>
        <w:keepLines w:val="0"/>
        <w:pageBreakBefore w:val="0"/>
        <w:widowControl/>
        <w:kinsoku/>
        <w:overflowPunct/>
        <w:topLinePunct w:val="0"/>
        <w:bidi w:val="0"/>
        <w:spacing w:line="560" w:lineRule="exact"/>
        <w:ind w:firstLine="480" w:firstLineChars="200"/>
        <w:rPr>
          <w:rFonts w:hint="eastAsia" w:ascii="宋体" w:hAnsi="宋体" w:eastAsia="宋体" w:cs="宋体"/>
          <w:sz w:val="24"/>
          <w:lang w:eastAsia="zh-CN"/>
        </w:rPr>
      </w:pPr>
      <w:r>
        <w:rPr>
          <w:rFonts w:hint="eastAsia" w:ascii="宋体" w:hAnsi="宋体" w:eastAsia="宋体" w:cs="宋体"/>
          <w:sz w:val="24"/>
        </w:rPr>
        <w:t>1.2.第二期：经采购人确认中标人全面、充分履行合同义务，验收合格后1</w:t>
      </w:r>
      <w:r>
        <w:rPr>
          <w:rFonts w:hint="eastAsia" w:ascii="宋体" w:hAnsi="宋体" w:cs="宋体"/>
          <w:sz w:val="24"/>
          <w:lang w:val="en-US" w:eastAsia="zh-CN"/>
        </w:rPr>
        <w:t>0</w:t>
      </w:r>
      <w:r>
        <w:rPr>
          <w:rFonts w:hint="eastAsia" w:ascii="宋体" w:hAnsi="宋体" w:eastAsia="宋体" w:cs="宋体"/>
          <w:sz w:val="24"/>
        </w:rPr>
        <w:t>个工作日内再次启动付款程序，支付50%合同款</w:t>
      </w:r>
      <w:r>
        <w:rPr>
          <w:rFonts w:hint="eastAsia" w:ascii="宋体" w:hAnsi="宋体" w:cs="宋体"/>
          <w:sz w:val="24"/>
          <w:lang w:eastAsia="zh-CN"/>
        </w:rPr>
        <w:t>；</w:t>
      </w:r>
    </w:p>
    <w:p>
      <w:pPr>
        <w:keepNext w:val="0"/>
        <w:keepLines w:val="0"/>
        <w:pageBreakBefore w:val="0"/>
        <w:widowControl/>
        <w:kinsoku/>
        <w:overflowPunct/>
        <w:topLinePunct w:val="0"/>
        <w:bidi w:val="0"/>
        <w:spacing w:line="560" w:lineRule="exact"/>
        <w:ind w:firstLine="480" w:firstLineChars="200"/>
        <w:rPr>
          <w:rFonts w:hint="eastAsia"/>
          <w:kern w:val="2"/>
        </w:rPr>
      </w:pPr>
      <w:r>
        <w:rPr>
          <w:rFonts w:hint="eastAsia" w:ascii="宋体" w:hAnsi="宋体" w:eastAsia="宋体" w:cs="宋体"/>
          <w:sz w:val="24"/>
        </w:rPr>
        <w:t>1.3.上述每期款项均在满足付款条件，且</w:t>
      </w:r>
      <w:r>
        <w:rPr>
          <w:rFonts w:hint="eastAsia" w:ascii="宋体" w:hAnsi="宋体" w:cs="宋体"/>
          <w:sz w:val="24"/>
          <w:lang w:val="en-US" w:eastAsia="zh-CN"/>
        </w:rPr>
        <w:t>采购人</w:t>
      </w:r>
      <w:r>
        <w:rPr>
          <w:rFonts w:hint="eastAsia" w:ascii="宋体" w:hAnsi="宋体" w:eastAsia="宋体" w:cs="宋体"/>
          <w:sz w:val="24"/>
        </w:rPr>
        <w:t>收到</w:t>
      </w:r>
      <w:r>
        <w:rPr>
          <w:rFonts w:hint="eastAsia" w:ascii="宋体" w:hAnsi="宋体" w:cs="宋体"/>
          <w:sz w:val="24"/>
          <w:lang w:val="en-US" w:eastAsia="zh-CN"/>
        </w:rPr>
        <w:t>中标人</w:t>
      </w:r>
      <w:r>
        <w:rPr>
          <w:rFonts w:hint="eastAsia" w:ascii="宋体" w:hAnsi="宋体" w:eastAsia="宋体" w:cs="宋体"/>
          <w:sz w:val="24"/>
        </w:rPr>
        <w:t>开具的载明相应金额的合格发票后1</w:t>
      </w:r>
      <w:r>
        <w:rPr>
          <w:rFonts w:hint="eastAsia" w:ascii="宋体" w:hAnsi="宋体" w:cs="宋体"/>
          <w:sz w:val="24"/>
          <w:lang w:val="en-US" w:eastAsia="zh-CN"/>
        </w:rPr>
        <w:t>0</w:t>
      </w:r>
      <w:r>
        <w:rPr>
          <w:rFonts w:hint="eastAsia" w:ascii="宋体" w:hAnsi="宋体" w:eastAsia="宋体" w:cs="宋体"/>
          <w:sz w:val="24"/>
        </w:rPr>
        <w:t>个工作日内付至</w:t>
      </w:r>
      <w:r>
        <w:rPr>
          <w:rFonts w:hint="eastAsia" w:ascii="宋体" w:hAnsi="宋体" w:cs="宋体"/>
          <w:sz w:val="24"/>
          <w:lang w:val="en-US" w:eastAsia="zh-CN"/>
        </w:rPr>
        <w:t>中标人</w:t>
      </w:r>
      <w:r>
        <w:rPr>
          <w:rFonts w:hint="eastAsia" w:ascii="宋体" w:hAnsi="宋体" w:eastAsia="宋体" w:cs="宋体"/>
          <w:sz w:val="24"/>
        </w:rPr>
        <w:t>指定银行账户。如未及时收到发票，则</w:t>
      </w:r>
      <w:r>
        <w:rPr>
          <w:rFonts w:hint="eastAsia" w:ascii="宋体" w:hAnsi="宋体" w:cs="宋体"/>
          <w:sz w:val="24"/>
          <w:lang w:val="en-US" w:eastAsia="zh-CN"/>
        </w:rPr>
        <w:t>采购人</w:t>
      </w:r>
      <w:r>
        <w:rPr>
          <w:rFonts w:hint="eastAsia" w:ascii="宋体" w:hAnsi="宋体" w:eastAsia="宋体" w:cs="宋体"/>
          <w:sz w:val="24"/>
        </w:rPr>
        <w:t>相应付款时间顺延。因</w:t>
      </w:r>
      <w:r>
        <w:rPr>
          <w:rFonts w:hint="eastAsia" w:ascii="宋体" w:hAnsi="宋体" w:cs="宋体"/>
          <w:sz w:val="24"/>
          <w:lang w:val="en-US" w:eastAsia="zh-CN"/>
        </w:rPr>
        <w:t>采购人</w:t>
      </w:r>
      <w:r>
        <w:rPr>
          <w:rFonts w:hint="eastAsia" w:ascii="宋体" w:hAnsi="宋体" w:eastAsia="宋体" w:cs="宋体"/>
          <w:sz w:val="24"/>
        </w:rPr>
        <w:t>付款审批影响支付进度，请</w:t>
      </w:r>
      <w:r>
        <w:rPr>
          <w:rFonts w:hint="eastAsia" w:ascii="宋体" w:hAnsi="宋体" w:cs="宋体"/>
          <w:sz w:val="24"/>
          <w:lang w:val="en-US" w:eastAsia="zh-CN"/>
        </w:rPr>
        <w:t>中标人</w:t>
      </w:r>
      <w:r>
        <w:rPr>
          <w:rFonts w:hint="eastAsia" w:ascii="宋体" w:hAnsi="宋体" w:eastAsia="宋体" w:cs="宋体"/>
          <w:sz w:val="24"/>
        </w:rPr>
        <w:t>予以谅解，并不得就此向</w:t>
      </w:r>
      <w:r>
        <w:rPr>
          <w:rFonts w:hint="eastAsia" w:ascii="宋体" w:hAnsi="宋体" w:cs="宋体"/>
          <w:sz w:val="24"/>
          <w:lang w:val="en-US" w:eastAsia="zh-CN"/>
        </w:rPr>
        <w:t>采购人</w:t>
      </w:r>
      <w:r>
        <w:rPr>
          <w:rFonts w:hint="eastAsia" w:ascii="宋体" w:hAnsi="宋体" w:eastAsia="宋体" w:cs="宋体"/>
          <w:sz w:val="24"/>
        </w:rPr>
        <w:t>索赔。</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（四）成果权属与知识产权</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1.双方对本合同有关的知识产权以及与之相关的所有权利归属约定如下：本项目全部阶段性成果和最终成果（包括为后续服务范围所编制的材料）的知识产权以及与之相关的所有权利归</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所有；本合同签署前双方已经拥有的知识产权权利，仍归各自所有。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2.双方确定，</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有权利用</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按照本合同约定提供的研究开发成果，进行后续改进。由此产生的具有实质性或创造性技术进步特征的新的技术成果及其权利归属，全部由</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享有。具体相关利益的分配办法如下：</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100%。</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所提交的全部中间成果和最终成果材料及任何数据、资料、软件等不得侵犯任何第三方的知识产权或其他权利，由于该等文件、材料、数据、资料、软件侵权所导致的任何索赔或责任均由</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承担，同时，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保留要求</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赔偿相应损失的权利，包括但不限于上述索赔或责任所</w:t>
      </w:r>
      <w:r>
        <w:rPr>
          <w:rFonts w:hint="eastAsia" w:ascii="宋体" w:hAnsi="宋体" w:eastAsia="宋体" w:cs="宋体"/>
          <w:color w:val="auto"/>
          <w:sz w:val="24"/>
          <w:highlight w:val="none"/>
        </w:rPr>
        <w:t>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4.未经</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书面在先同意，</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不得将本项目的中间成果和最终成果材料及任何数据、资料、软件向任何第三方转让、授权任何第三方使用或用于本合同项目外的其他项目。如发生以上情况，</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应向</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支付本合同总价款20%的违约金，如果违约金无法弥补</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的损失，</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有权要求</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完成本合同项目的研究开发人员享有在有关技术成果材料上写明技术成果完成者的权利和与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共同获得有关荣誉证书、奖励的权利。</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（五）</w:t>
      </w:r>
      <w:r>
        <w:rPr>
          <w:rFonts w:hint="eastAsia" w:ascii="宋体" w:hAnsi="宋体" w:cs="宋体"/>
          <w:b/>
          <w:bCs/>
          <w:color w:val="auto"/>
          <w:sz w:val="24"/>
          <w:highlight w:val="none"/>
        </w:rPr>
        <w:t>保密条款</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1.双方应保守的秘密是指不为公众所知悉、能为权利人带来经济利益、具有实用性并经权利人采取保密措施的技术信息和经营信息，或由双方在履行本合同过程中明确指明为秘密的、法律所认可的任何信息，以及</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在履行本合同过程中所获得或接触到的任何</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内部数据资料。</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须以保密方式处理在编制本项目成果材料过程中自</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工作人员或</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关联机构获得的相关信息、资料、图纸、数据等，或由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在履行本合同过程中明确指明为秘密的任何信息</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以及</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因本项目工作所直接或间接取得、处理或接触的任何其他资料。未经</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实施项目的程序应符合国家安全、保密的有关规定和标准。</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5.上述保密义务不适用以下情况：</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（1）获取的信息已被合法公开；</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（2）获得信息拥有方书面许可并在该许可范围内披露；</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（3）国家法律、法规规定的情形。</w:t>
      </w:r>
    </w:p>
    <w:p>
      <w:pPr>
        <w:widowControl/>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违反上述保密条款，</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有权解除本合同，</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应在合同解除通知发出之日起10日内向</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支付本合同服务费总金额20%的违约金，如果违约金无法弥补</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损失，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保留要求</w:t>
      </w:r>
      <w:r>
        <w:rPr>
          <w:rFonts w:hint="eastAsia" w:ascii="宋体" w:hAnsi="宋体" w:cs="宋体"/>
          <w:color w:val="auto"/>
          <w:sz w:val="24"/>
          <w:szCs w:val="24"/>
          <w:highlight w:val="none"/>
          <w:lang w:eastAsia="zh-CN"/>
        </w:rPr>
        <w:t>中标人</w:t>
      </w:r>
      <w:r>
        <w:rPr>
          <w:rFonts w:hint="eastAsia" w:ascii="宋体" w:hAnsi="宋体" w:cs="宋体"/>
          <w:color w:val="auto"/>
          <w:sz w:val="24"/>
          <w:szCs w:val="24"/>
          <w:highlight w:val="none"/>
        </w:rPr>
        <w:t>赔偿全部损失的权利，包括但不限于前述责任所产生的诉讼费用、律师费用、鉴定评估费用、调查费用、和解金额或生效法律文书中规定的赔偿金额。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合同的保密义务包括，未经采购单位许可，中标单位不得就其可通过开发的软件系统能够获得的任何采购单位客户信息、数据以及商业秘密，与任何第三方开展任何形式的合作开发或者项目研究，或者向任何第三方出售该等数据、信息。</w:t>
      </w:r>
    </w:p>
    <w:p>
      <w:pPr>
        <w:widowControl/>
        <w:spacing w:line="360" w:lineRule="auto"/>
        <w:ind w:firstLine="480" w:firstLineChars="200"/>
        <w:rPr>
          <w:rFonts w:ascii="宋体" w:hAnsi="宋体" w:cs="宋体"/>
          <w:color w:val="auto"/>
          <w:sz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无论本合同或本合同其他条款是否有效，本保密条款始终约束双方。国家秘密的保密期限由国家有关部门确定，工作秘密的保密期限由</w:t>
      </w:r>
      <w:r>
        <w:rPr>
          <w:rFonts w:hint="eastAsia" w:ascii="宋体" w:hAnsi="宋体" w:cs="宋体"/>
          <w:color w:val="auto"/>
          <w:sz w:val="24"/>
          <w:szCs w:val="24"/>
          <w:highlight w:val="none"/>
          <w:lang w:eastAsia="zh-CN"/>
        </w:rPr>
        <w:t>采购人</w:t>
      </w:r>
      <w:r>
        <w:rPr>
          <w:rFonts w:hint="eastAsia" w:ascii="宋体" w:hAnsi="宋体" w:cs="宋体"/>
          <w:color w:val="auto"/>
          <w:sz w:val="24"/>
          <w:szCs w:val="24"/>
          <w:highlight w:val="none"/>
        </w:rPr>
        <w:t>确定</w:t>
      </w:r>
      <w:r>
        <w:rPr>
          <w:rFonts w:hint="eastAsia" w:ascii="宋体" w:hAnsi="宋体" w:cs="宋体"/>
          <w:color w:val="auto"/>
          <w:sz w:val="24"/>
          <w:highlight w:val="none"/>
        </w:rPr>
        <w:t>。</w:t>
      </w:r>
    </w:p>
    <w:p>
      <w:pPr>
        <w:widowControl/>
        <w:spacing w:line="360" w:lineRule="auto"/>
        <w:ind w:firstLine="482" w:firstLineChars="200"/>
        <w:outlineLvl w:val="2"/>
        <w:rPr>
          <w:rFonts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违约责任</w:t>
      </w:r>
    </w:p>
    <w:p>
      <w:pPr>
        <w:widowControl/>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（一）如</w:t>
      </w:r>
      <w:r>
        <w:rPr>
          <w:rFonts w:hint="eastAsia" w:ascii="宋体" w:hAnsi="宋体" w:eastAsia="宋体" w:cs="宋体"/>
          <w:color w:val="auto"/>
          <w:sz w:val="24"/>
          <w:highlight w:val="none"/>
          <w:lang w:eastAsia="zh-CN"/>
        </w:rPr>
        <w:t>中标人</w:t>
      </w:r>
      <w:r>
        <w:rPr>
          <w:rFonts w:hint="eastAsia" w:ascii="宋体" w:hAnsi="宋体" w:eastAsia="宋体" w:cs="宋体"/>
          <w:color w:val="auto"/>
          <w:sz w:val="24"/>
          <w:highlight w:val="none"/>
        </w:rPr>
        <w:t>未按照本合同约定的时间完成本项目各阶段工作，每迟延一日，</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有权自尚未支付的合同款项中扣除本合同服务费总金额的</w:t>
      </w:r>
      <w:r>
        <w:rPr>
          <w:rFonts w:ascii="Times New Roman" w:hAnsi="Times New Roman" w:eastAsia="宋体" w:cs="Times New Roman"/>
          <w:color w:val="auto"/>
          <w:sz w:val="24"/>
          <w:szCs w:val="24"/>
          <w:highlight w:val="none"/>
        </w:rPr>
        <w:t>1‰</w:t>
      </w:r>
      <w:r>
        <w:rPr>
          <w:rFonts w:hint="eastAsia" w:ascii="宋体" w:hAnsi="宋体" w:eastAsia="宋体" w:cs="宋体"/>
          <w:color w:val="auto"/>
          <w:sz w:val="24"/>
          <w:highlight w:val="none"/>
        </w:rPr>
        <w:t>的逾期违约金。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（二）本合同履行期间，发生下述情形时，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有权解除本合同，</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除应退还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还应在合同解除通知发出之日起10日内向</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支付合同总价款10%的违约金。</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应同时将已完成的项目成果移交给</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，并将全部有关资料退还</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未能按合同约定的日期(含协商延缓的日期)完成经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审核通过的，延误时间超过10个工作日；</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工作的错误或遗漏造成成果质量不符合本合同要求，且</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未按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要求采取及时有效的补救措施的；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虽如期提报活动方案、阶段成果、活动总结等总结性成果资料，但最终成果连续二次未能通过</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验收的；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书面在先同意，</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擅自将本合同项目与任何第三方合作，或将本合同标的全部或部分擅自转包或分包给任何第三方，且未按</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的要求终止与第三方的协议的；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5.发现</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或</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工作人员出现全部或部分丧失履行委托服务能力的情况，</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有权通知</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限期整改或更换工作人员，期限届满</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并未进行改善的；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明确表示或者以自己的行为表明不履行本合同的。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未按照本合同约定的时间支付服务费，</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书面催告</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并给予不少于30个工作日的履行期限后</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仍未支付的，</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有权自该期限届满之日起要求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支付该阶段应付而未付合同价款每日1‰的逾期违约金。如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无正当理由拒绝接受服务，到期明确表示拒付服务款项，</w:t>
      </w:r>
      <w:r>
        <w:rPr>
          <w:rFonts w:hint="eastAsia" w:ascii="宋体" w:hAnsi="宋体" w:cs="宋体"/>
          <w:color w:val="auto"/>
          <w:sz w:val="24"/>
          <w:highlight w:val="none"/>
          <w:lang w:eastAsia="zh-CN"/>
        </w:rPr>
        <w:t>中标人</w:t>
      </w:r>
      <w:r>
        <w:rPr>
          <w:rFonts w:hint="eastAsia" w:ascii="宋体" w:hAnsi="宋体" w:cs="宋体"/>
          <w:color w:val="auto"/>
          <w:sz w:val="24"/>
          <w:highlight w:val="none"/>
        </w:rPr>
        <w:t>有权要求</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支付本合同项下服务费总金额10%的违约金。</w:t>
      </w:r>
    </w:p>
    <w:p>
      <w:pPr>
        <w:spacing w:line="560" w:lineRule="exact"/>
        <w:ind w:firstLine="480" w:firstLineChars="200"/>
        <w:rPr>
          <w:rFonts w:hint="default" w:ascii="宋体" w:hAnsi="宋体" w:eastAsia="宋体" w:cs="宋体"/>
          <w:color w:val="auto"/>
          <w:kern w:val="0"/>
          <w:sz w:val="24"/>
          <w:szCs w:val="20"/>
          <w:highlight w:val="none"/>
          <w:lang w:val="en-US" w:eastAsia="zh-CN"/>
        </w:rPr>
      </w:pPr>
      <w:r>
        <w:rPr>
          <w:rFonts w:hint="eastAsia" w:ascii="宋体" w:hAnsi="宋体" w:cs="宋体"/>
          <w:color w:val="auto"/>
          <w:sz w:val="24"/>
          <w:highlight w:val="none"/>
        </w:rPr>
        <w:t>（四）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r>
        <w:rPr>
          <w:rFonts w:hint="eastAsia" w:ascii="宋体" w:hAnsi="宋体" w:eastAsia="宋体" w:cs="宋体"/>
          <w:color w:val="auto"/>
          <w:sz w:val="24"/>
          <w:highlight w:val="none"/>
        </w:rPr>
        <w:t>。</w:t>
      </w:r>
    </w:p>
    <w:p>
      <w:pPr>
        <w:spacing w:line="360" w:lineRule="auto"/>
        <w:jc w:val="center"/>
        <w:outlineLvl w:val="0"/>
        <w:rPr>
          <w:rFonts w:ascii="宋体" w:cs="宋体"/>
          <w:b/>
          <w:bCs/>
          <w:color w:val="auto"/>
          <w:sz w:val="24"/>
          <w:highlight w:val="none"/>
        </w:rPr>
      </w:pPr>
      <w:r>
        <w:rPr>
          <w:rFonts w:hint="eastAsia" w:ascii="宋体" w:hAnsi="宋体" w:cs="宋体"/>
          <w:color w:val="auto"/>
          <w:sz w:val="24"/>
          <w:highlight w:val="none"/>
        </w:rPr>
        <w:br w:type="page"/>
      </w:r>
      <w:bookmarkStart w:id="26" w:name="_Toc6457"/>
      <w:r>
        <w:rPr>
          <w:rFonts w:hint="eastAsia" w:ascii="宋体" w:cs="宋体"/>
          <w:b/>
          <w:bCs/>
          <w:color w:val="auto"/>
          <w:sz w:val="24"/>
          <w:highlight w:val="none"/>
        </w:rPr>
        <w:t>第六章 投标文件初审及招标项目评分表</w:t>
      </w:r>
      <w:bookmarkEnd w:id="26"/>
    </w:p>
    <w:p>
      <w:pPr>
        <w:autoSpaceDE w:val="0"/>
        <w:autoSpaceDN w:val="0"/>
        <w:adjustRightInd w:val="0"/>
        <w:spacing w:line="240" w:lineRule="auto"/>
        <w:jc w:val="center"/>
        <w:outlineLvl w:val="1"/>
        <w:rPr>
          <w:rFonts w:hint="eastAsia" w:ascii="宋体" w:hAnsi="宋体" w:cs="宋体"/>
          <w:b/>
          <w:bCs/>
          <w:color w:val="auto"/>
          <w:kern w:val="0"/>
          <w:sz w:val="36"/>
          <w:szCs w:val="36"/>
          <w:highlight w:val="none"/>
        </w:rPr>
      </w:pPr>
      <w:r>
        <w:rPr>
          <w:rFonts w:hint="eastAsia" w:ascii="宋体" w:hAnsi="宋体" w:cs="宋体"/>
          <w:b/>
          <w:bCs/>
          <w:color w:val="auto"/>
          <w:kern w:val="0"/>
          <w:sz w:val="36"/>
          <w:szCs w:val="36"/>
          <w:highlight w:val="none"/>
        </w:rPr>
        <w:t>投标文件初审表（不可偏离条款）</w:t>
      </w:r>
    </w:p>
    <w:p>
      <w:pPr>
        <w:spacing w:line="360" w:lineRule="auto"/>
        <w:jc w:val="center"/>
        <w:outlineLvl w:val="1"/>
        <w:rPr>
          <w:rFonts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19"/>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5</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6</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7</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8</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9</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10</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出现下列情形之一的，评审委员会应当启动异常低价投标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审查程序，要求</w:t>
            </w:r>
            <w:r>
              <w:rPr>
                <w:rFonts w:hint="eastAsia" w:ascii="宋体" w:hAnsi="宋体" w:eastAsia="宋体" w:cs="宋体"/>
                <w:color w:val="auto"/>
                <w:sz w:val="24"/>
                <w:highlight w:val="none"/>
                <w:lang w:val="en-US" w:eastAsia="zh-CN"/>
              </w:rPr>
              <w:t>相关供应商</w:t>
            </w:r>
            <w:r>
              <w:rPr>
                <w:rFonts w:hint="eastAsia" w:ascii="宋体" w:hAnsi="宋体" w:eastAsia="宋体" w:cs="宋体"/>
                <w:color w:val="auto"/>
                <w:sz w:val="24"/>
                <w:highlight w:val="none"/>
              </w:rPr>
              <w:t>在评标现场合理的时间内提供书面说明</w:t>
            </w:r>
            <w:r>
              <w:rPr>
                <w:rFonts w:hint="eastAsia" w:ascii="宋体" w:hAnsi="宋体" w:eastAsia="宋体" w:cs="宋体"/>
                <w:color w:val="auto"/>
                <w:sz w:val="24"/>
                <w:highlight w:val="none"/>
                <w:lang w:val="en-US" w:eastAsia="zh-CN"/>
              </w:rPr>
              <w:t>及必要的</w:t>
            </w:r>
            <w:r>
              <w:rPr>
                <w:rFonts w:hint="eastAsia" w:ascii="宋体" w:hAnsi="宋体" w:eastAsia="宋体" w:cs="宋体"/>
                <w:color w:val="auto"/>
                <w:sz w:val="24"/>
                <w:highlight w:val="none"/>
              </w:rPr>
              <w:t>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2</w:t>
            </w:r>
          </w:p>
        </w:tc>
        <w:tc>
          <w:tcPr>
            <w:tcW w:w="7108"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rPr>
          <w:rFonts w:ascii="宋体" w:hAnsi="宋体" w:cs="宋体"/>
          <w:color w:val="auto"/>
          <w:sz w:val="24"/>
          <w:highlight w:val="none"/>
        </w:rPr>
      </w:pPr>
    </w:p>
    <w:p>
      <w:pPr>
        <w:spacing w:line="360" w:lineRule="auto"/>
        <w:jc w:val="center"/>
        <w:outlineLvl w:val="1"/>
        <w:rPr>
          <w:lang w:val="en-US" w:eastAsia="zh-CN"/>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招标项目评分表</w:t>
      </w:r>
    </w:p>
    <w:p>
      <w:pPr>
        <w:tabs>
          <w:tab w:val="left" w:pos="1198"/>
        </w:tabs>
        <w:bidi w:val="0"/>
        <w:jc w:val="left"/>
        <w:rPr>
          <w:lang w:val="en-US" w:eastAsia="zh-CN"/>
        </w:rPr>
      </w:pPr>
      <w:r>
        <w:rPr>
          <w:rFonts w:hint="eastAsia"/>
          <w:lang w:val="en-US" w:eastAsia="zh-CN"/>
        </w:rPr>
        <w:tab/>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1680"/>
        <w:gridCol w:w="4909"/>
        <w:gridCol w:w="794"/>
        <w:gridCol w:w="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pPr>
              <w:keepNext w:val="0"/>
              <w:keepLines w:val="0"/>
              <w:pageBreakBefore w:val="0"/>
              <w:widowControl/>
              <w:numPr>
                <w:ilvl w:val="0"/>
                <w:numId w:val="8"/>
              </w:numPr>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b/>
                <w:bCs/>
                <w:kern w:val="0"/>
                <w:sz w:val="24"/>
                <w:lang w:bidi="ar"/>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序号</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内容</w:t>
            </w:r>
          </w:p>
        </w:tc>
        <w:tc>
          <w:tcPr>
            <w:tcW w:w="278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评分规则</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sz w:val="24"/>
              </w:rPr>
              <w:t>分值</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投标报价</w:t>
            </w:r>
          </w:p>
        </w:tc>
        <w:tc>
          <w:tcPr>
            <w:tcW w:w="278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default" w:ascii="宋体" w:hAnsi="宋体" w:cs="宋体"/>
                <w:sz w:val="24"/>
              </w:rPr>
            </w:pPr>
            <w:r>
              <w:rPr>
                <w:rFonts w:hint="eastAsia" w:ascii="宋体" w:hAnsi="宋体" w:cs="宋体"/>
                <w:sz w:val="24"/>
              </w:rPr>
              <w:t>价格分计算方法：满足招标文件要求且投标价格最低的投标报价为评标基准价，其价格分为满分。其他投标人的价格分统一按照下列公式计算：</w:t>
            </w:r>
          </w:p>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default" w:ascii="宋体" w:hAnsi="宋体" w:cs="宋体"/>
                <w:sz w:val="24"/>
              </w:rPr>
            </w:pPr>
            <w:r>
              <w:rPr>
                <w:rFonts w:hint="eastAsia" w:ascii="宋体" w:hAnsi="宋体" w:cs="宋体"/>
                <w:sz w:val="24"/>
              </w:rPr>
              <w:t xml:space="preserve">投标报价得分=(评标基准价／投标报价)×10    </w:t>
            </w:r>
          </w:p>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备注：1、因落实政府采购政策进行价格调整的，以调整后的价格计算评标基准价和投标报价。</w:t>
            </w:r>
            <w:r>
              <w:rPr>
                <w:rFonts w:hint="eastAsia" w:ascii="宋体" w:hAnsi="宋体" w:cs="宋体"/>
                <w:sz w:val="24"/>
                <w:lang w:val="en-US" w:eastAsia="zh-CN"/>
              </w:rPr>
              <w:t>根据</w:t>
            </w:r>
            <w:r>
              <w:rPr>
                <w:rFonts w:hint="eastAsia" w:ascii="宋体" w:hAnsi="宋体" w:cs="宋体"/>
                <w:sz w:val="24"/>
              </w:rPr>
              <w:t>财库〔2020〕46号、财库〔2014〕68号、财库〔2017〕141号及深财购〔2022〕31号文件规定：本项目非专门面向中小企业的项目，对小型和微型企业、监狱企业或残疾人福利性企业产品的价格给予10%的扣除，用扣除后的价格即为“经评审合格的投标报价”参与价格评审。监狱企业应当提供由省级以上监狱管理局、戒毒管理局（含新疆生产建设兵团）出具的属于监狱企业的证明文件，中小企业提供中小企业声明函，残疾人福利性企业提供残疾人福利性企业声明函。对于同时属于小微企业、监狱企业或残疾人福利性单位的，不重复进行投标报价扣除。如有其它政策支持因素（如鼓励创新等）需一并列出。</w:t>
            </w:r>
          </w:p>
          <w:p>
            <w:pPr>
              <w:pStyle w:val="6"/>
              <w:keepNext w:val="0"/>
              <w:keepLines w:val="0"/>
              <w:pageBreakBefore w:val="0"/>
              <w:numPr>
                <w:ilvl w:val="0"/>
                <w:numId w:val="9"/>
              </w:numPr>
              <w:suppressLineNumbers w:val="0"/>
              <w:kinsoku/>
              <w:overflowPunct/>
              <w:topLinePunct w:val="0"/>
              <w:bidi w:val="0"/>
              <w:snapToGrid/>
              <w:spacing w:before="0" w:beforeAutospacing="0" w:afterAutospacing="0" w:line="360" w:lineRule="auto"/>
              <w:ind w:left="0" w:right="0"/>
              <w:rPr>
                <w:rFonts w:hint="default" w:ascii="宋体" w:hAnsi="宋体" w:cs="宋体"/>
                <w:sz w:val="24"/>
              </w:rPr>
            </w:pPr>
            <w:r>
              <w:rPr>
                <w:rFonts w:hint="eastAsia" w:ascii="宋体" w:hAnsi="宋体" w:cs="宋体"/>
                <w:sz w:val="24"/>
              </w:rPr>
              <w:t>投标报价得分四舍五入后，小数点后保留两位有效数；</w:t>
            </w:r>
          </w:p>
          <w:p>
            <w:pPr>
              <w:keepNext w:val="0"/>
              <w:keepLines w:val="0"/>
              <w:pageBreakBefore w:val="0"/>
              <w:numPr>
                <w:ilvl w:val="0"/>
                <w:numId w:val="9"/>
              </w:numPr>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本项目所属行业为：租赁和商务服务业。</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10</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b/>
                <w:bCs/>
                <w:kern w:val="0"/>
                <w:sz w:val="24"/>
                <w:lang w:bidi="ar"/>
              </w:rPr>
              <w:t>二、商务部分（45分）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序号</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内容</w:t>
            </w:r>
          </w:p>
        </w:tc>
        <w:tc>
          <w:tcPr>
            <w:tcW w:w="278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评分规则</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分值</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评分方式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1</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综合实力</w:t>
            </w:r>
          </w:p>
        </w:tc>
        <w:tc>
          <w:tcPr>
            <w:tcW w:w="2782" w:type="pct"/>
            <w:noWrap w:val="0"/>
            <w:vAlign w:val="center"/>
          </w:tcPr>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default" w:ascii="宋体" w:hAnsi="宋体" w:cs="宋体"/>
                <w:kern w:val="0"/>
                <w:sz w:val="24"/>
                <w:lang w:bidi="ar"/>
              </w:rPr>
            </w:pPr>
            <w:r>
              <w:rPr>
                <w:rFonts w:hint="eastAsia" w:ascii="宋体" w:hAnsi="宋体" w:cs="宋体"/>
                <w:kern w:val="0"/>
                <w:sz w:val="24"/>
                <w:lang w:bidi="ar"/>
              </w:rPr>
              <w:t>1.评分标准：</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eastAsia" w:ascii="宋体" w:hAnsi="宋体" w:eastAsia="宋体" w:cs="宋体"/>
                <w:kern w:val="0"/>
                <w:sz w:val="24"/>
                <w:lang w:eastAsia="zh-CN" w:bidi="ar"/>
              </w:rPr>
            </w:pPr>
            <w:r>
              <w:rPr>
                <w:rFonts w:hint="eastAsia" w:ascii="宋体" w:hAnsi="宋体" w:cs="宋体"/>
                <w:kern w:val="0"/>
                <w:sz w:val="24"/>
                <w:lang w:bidi="ar"/>
              </w:rPr>
              <w:t>（1）（202</w:t>
            </w:r>
            <w:r>
              <w:rPr>
                <w:rFonts w:hint="eastAsia" w:ascii="宋体" w:hAnsi="宋体" w:cs="宋体"/>
                <w:kern w:val="0"/>
                <w:sz w:val="24"/>
                <w:lang w:val="en-US" w:eastAsia="zh-CN" w:bidi="ar"/>
              </w:rPr>
              <w:t>3</w:t>
            </w:r>
            <w:r>
              <w:rPr>
                <w:rFonts w:hint="eastAsia" w:ascii="宋体" w:hAnsi="宋体" w:cs="宋体"/>
                <w:kern w:val="0"/>
                <w:sz w:val="24"/>
                <w:lang w:bidi="ar"/>
              </w:rPr>
              <w:t>年</w:t>
            </w:r>
            <w:r>
              <w:rPr>
                <w:rFonts w:hint="eastAsia" w:ascii="宋体" w:hAnsi="宋体" w:cs="宋体"/>
                <w:kern w:val="0"/>
                <w:sz w:val="24"/>
                <w:lang w:val="en-US" w:eastAsia="zh-CN" w:bidi="ar"/>
              </w:rPr>
              <w:t>7</w:t>
            </w:r>
            <w:r>
              <w:rPr>
                <w:rFonts w:hint="eastAsia" w:ascii="宋体" w:hAnsi="宋体" w:cs="宋体"/>
                <w:kern w:val="0"/>
                <w:sz w:val="24"/>
                <w:lang w:bidi="ar"/>
              </w:rPr>
              <w:t>月1日至本项目投标截止时间，以合同签订时间为准）投标人</w:t>
            </w:r>
            <w:r>
              <w:rPr>
                <w:rFonts w:hint="eastAsia" w:ascii="宋体" w:hAnsi="宋体" w:cs="宋体"/>
                <w:color w:val="000000"/>
                <w:sz w:val="24"/>
                <w:lang w:val="zh-CN"/>
              </w:rPr>
              <w:t>承担</w:t>
            </w:r>
            <w:r>
              <w:rPr>
                <w:rFonts w:hint="eastAsia" w:ascii="宋体" w:hAnsi="宋体" w:cs="宋体"/>
                <w:color w:val="000000"/>
                <w:sz w:val="24"/>
              </w:rPr>
              <w:t>过同类</w:t>
            </w:r>
            <w:r>
              <w:rPr>
                <w:rFonts w:hint="eastAsia" w:ascii="宋体" w:hAnsi="宋体" w:cs="宋体"/>
                <w:kern w:val="0"/>
                <w:sz w:val="24"/>
                <w:lang w:val="en-US" w:eastAsia="zh-CN" w:bidi="ar"/>
              </w:rPr>
              <w:t>舞台剧</w:t>
            </w:r>
            <w:r>
              <w:rPr>
                <w:rFonts w:hint="eastAsia" w:ascii="宋体" w:hAnsi="宋体" w:cs="宋体"/>
                <w:kern w:val="0"/>
                <w:sz w:val="24"/>
                <w:lang w:bidi="ar"/>
              </w:rPr>
              <w:t>和广播剧项目</w:t>
            </w:r>
            <w:r>
              <w:rPr>
                <w:rFonts w:hint="eastAsia" w:ascii="宋体" w:hAnsi="宋体" w:cs="宋体"/>
                <w:color w:val="000000"/>
                <w:sz w:val="24"/>
              </w:rPr>
              <w:t>业绩</w:t>
            </w:r>
            <w:r>
              <w:rPr>
                <w:rFonts w:hint="eastAsia" w:ascii="宋体" w:hAnsi="宋体" w:cs="宋体"/>
                <w:color w:val="000000"/>
                <w:sz w:val="24"/>
                <w:lang w:val="zh-CN"/>
              </w:rPr>
              <w:t>的，分别</w:t>
            </w:r>
            <w:r>
              <w:rPr>
                <w:rFonts w:hint="eastAsia" w:ascii="宋体" w:hAnsi="宋体" w:cs="宋体"/>
                <w:color w:val="000000"/>
                <w:sz w:val="24"/>
                <w:lang w:val="en-US" w:eastAsia="zh-CN"/>
              </w:rPr>
              <w:t>各</w:t>
            </w:r>
            <w:r>
              <w:rPr>
                <w:rFonts w:hint="eastAsia" w:ascii="宋体" w:hAnsi="宋体" w:cs="宋体"/>
                <w:kern w:val="0"/>
                <w:sz w:val="24"/>
                <w:lang w:bidi="ar"/>
              </w:rPr>
              <w:t>提供1个案例，</w:t>
            </w:r>
            <w:r>
              <w:rPr>
                <w:rFonts w:hint="eastAsia" w:ascii="宋体" w:hAnsi="宋体" w:cs="宋体"/>
                <w:color w:val="000000"/>
                <w:sz w:val="24"/>
              </w:rPr>
              <w:t>1</w:t>
            </w:r>
            <w:r>
              <w:rPr>
                <w:rFonts w:hint="eastAsia" w:ascii="宋体" w:hAnsi="宋体" w:cs="宋体"/>
                <w:color w:val="000000"/>
                <w:sz w:val="24"/>
                <w:lang w:val="zh-CN"/>
              </w:rPr>
              <w:t>个案例</w:t>
            </w:r>
            <w:r>
              <w:rPr>
                <w:rFonts w:hint="eastAsia" w:ascii="宋体" w:hAnsi="宋体" w:cs="宋体"/>
                <w:color w:val="000000"/>
                <w:sz w:val="24"/>
              </w:rPr>
              <w:t>得</w:t>
            </w:r>
            <w:r>
              <w:rPr>
                <w:rFonts w:hint="eastAsia" w:ascii="宋体" w:hAnsi="宋体" w:eastAsia="PMingLiU" w:cs="宋体"/>
                <w:color w:val="000000"/>
                <w:sz w:val="24"/>
              </w:rPr>
              <w:t>4</w:t>
            </w:r>
            <w:r>
              <w:rPr>
                <w:rFonts w:hint="eastAsia" w:ascii="宋体" w:hAnsi="宋体" w:cs="宋体"/>
                <w:color w:val="000000"/>
                <w:sz w:val="24"/>
              </w:rPr>
              <w:t>分</w:t>
            </w:r>
            <w:r>
              <w:rPr>
                <w:rFonts w:hint="eastAsia" w:ascii="宋体" w:hAnsi="宋体" w:cs="宋体"/>
                <w:kern w:val="0"/>
                <w:sz w:val="24"/>
                <w:lang w:bidi="ar"/>
              </w:rPr>
              <w:t>，最高得</w:t>
            </w:r>
            <w:r>
              <w:rPr>
                <w:rFonts w:hint="eastAsia" w:ascii="宋体" w:hAnsi="宋体" w:cs="宋体"/>
                <w:kern w:val="0"/>
                <w:sz w:val="24"/>
                <w:lang w:val="en-US" w:eastAsia="zh-CN" w:bidi="ar"/>
              </w:rPr>
              <w:t>12</w:t>
            </w:r>
            <w:r>
              <w:rPr>
                <w:rFonts w:hint="eastAsia" w:ascii="宋体" w:hAnsi="宋体" w:cs="宋体"/>
                <w:kern w:val="0"/>
                <w:sz w:val="24"/>
                <w:lang w:bidi="ar"/>
              </w:rPr>
              <w:t>分。</w:t>
            </w:r>
            <w:r>
              <w:rPr>
                <w:rFonts w:hint="eastAsia" w:ascii="宋体" w:hAnsi="宋体" w:cs="宋体"/>
                <w:kern w:val="0"/>
                <w:sz w:val="24"/>
                <w:lang w:eastAsia="zh-CN" w:bidi="ar"/>
              </w:rPr>
              <w:t>（所提供同类项目必须包含舞台剧和广播剧方可得满分，只提供同一类别的最高只能得</w:t>
            </w:r>
            <w:r>
              <w:rPr>
                <w:rFonts w:hint="eastAsia" w:ascii="宋体" w:hAnsi="宋体" w:cs="宋体"/>
                <w:kern w:val="0"/>
                <w:sz w:val="24"/>
                <w:lang w:val="en-US" w:eastAsia="zh-CN" w:bidi="ar"/>
              </w:rPr>
              <w:t>8分</w:t>
            </w:r>
            <w:r>
              <w:rPr>
                <w:rFonts w:hint="eastAsia" w:ascii="宋体" w:hAnsi="宋体" w:cs="宋体"/>
                <w:kern w:val="0"/>
                <w:sz w:val="24"/>
                <w:lang w:eastAsia="zh-CN" w:bidi="ar"/>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default" w:ascii="宋体" w:hAnsi="宋体" w:cs="宋体"/>
                <w:kern w:val="0"/>
                <w:sz w:val="24"/>
                <w:lang w:bidi="ar"/>
              </w:rPr>
            </w:pPr>
            <w:r>
              <w:rPr>
                <w:rFonts w:hint="eastAsia" w:ascii="宋体" w:hAnsi="宋体" w:cs="宋体"/>
                <w:kern w:val="0"/>
                <w:sz w:val="24"/>
                <w:lang w:bidi="ar"/>
              </w:rPr>
              <w:t>（2）投标</w:t>
            </w:r>
            <w:r>
              <w:rPr>
                <w:rFonts w:hint="eastAsia" w:ascii="宋体" w:hAnsi="宋体" w:eastAsia="宋体" w:cs="宋体"/>
                <w:kern w:val="0"/>
                <w:sz w:val="24"/>
                <w:lang w:bidi="ar"/>
              </w:rPr>
              <w:t>人文艺作品获</w:t>
            </w:r>
            <w:r>
              <w:rPr>
                <w:rFonts w:hint="eastAsia" w:ascii="宋体" w:hAnsi="宋体" w:cs="宋体"/>
                <w:kern w:val="0"/>
                <w:sz w:val="24"/>
                <w:lang w:bidi="ar"/>
              </w:rPr>
              <w:t>得过1个奖项得</w:t>
            </w:r>
            <w:r>
              <w:rPr>
                <w:rFonts w:hint="eastAsia" w:ascii="宋体" w:hAnsi="宋体" w:eastAsia="PMingLiU" w:cs="宋体"/>
                <w:kern w:val="0"/>
                <w:sz w:val="24"/>
                <w:lang w:bidi="ar"/>
              </w:rPr>
              <w:t>4</w:t>
            </w:r>
            <w:r>
              <w:rPr>
                <w:rFonts w:hint="eastAsia" w:ascii="宋体" w:hAnsi="宋体" w:cs="宋体"/>
                <w:kern w:val="0"/>
                <w:sz w:val="24"/>
                <w:lang w:bidi="ar"/>
              </w:rPr>
              <w:t>分</w:t>
            </w:r>
            <w:r>
              <w:rPr>
                <w:rFonts w:hint="eastAsia" w:ascii="宋体" w:hAnsi="宋体" w:cs="宋体"/>
                <w:kern w:val="0"/>
                <w:sz w:val="24"/>
                <w:lang w:eastAsia="zh-CN" w:bidi="ar"/>
              </w:rPr>
              <w:t>，</w:t>
            </w:r>
            <w:r>
              <w:rPr>
                <w:rFonts w:hint="eastAsia" w:ascii="宋体" w:hAnsi="宋体" w:cs="宋体"/>
                <w:kern w:val="0"/>
                <w:sz w:val="24"/>
                <w:lang w:bidi="ar"/>
              </w:rPr>
              <w:t>最高得</w:t>
            </w:r>
            <w:r>
              <w:rPr>
                <w:rFonts w:hint="eastAsia" w:ascii="宋体" w:hAnsi="宋体" w:cs="宋体"/>
                <w:kern w:val="0"/>
                <w:sz w:val="24"/>
                <w:lang w:val="en-US" w:eastAsia="zh-CN" w:bidi="ar"/>
              </w:rPr>
              <w:t>8</w:t>
            </w:r>
            <w:r>
              <w:rPr>
                <w:rFonts w:hint="eastAsia" w:ascii="宋体" w:hAnsi="宋体" w:cs="宋体"/>
                <w:kern w:val="0"/>
                <w:sz w:val="24"/>
                <w:lang w:bidi="ar"/>
              </w:rPr>
              <w:t>分，</w:t>
            </w:r>
            <w:r>
              <w:rPr>
                <w:rFonts w:hint="eastAsia" w:ascii="宋体" w:hAnsi="宋体" w:cs="宋体"/>
                <w:kern w:val="0"/>
                <w:sz w:val="24"/>
                <w:lang w:val="en-US" w:eastAsia="zh-CN" w:bidi="ar"/>
              </w:rPr>
              <w:t>不提供不</w:t>
            </w:r>
            <w:r>
              <w:rPr>
                <w:rFonts w:hint="eastAsia" w:ascii="宋体" w:hAnsi="宋体" w:cs="宋体"/>
                <w:kern w:val="0"/>
                <w:sz w:val="24"/>
                <w:lang w:bidi="ar"/>
              </w:rPr>
              <w:t>得分。</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default" w:ascii="宋体" w:hAnsi="宋体" w:eastAsia="PMingLiU" w:cs="宋体"/>
                <w:kern w:val="0"/>
                <w:sz w:val="24"/>
                <w:lang w:eastAsia="zh-TW" w:bidi="ar"/>
              </w:rPr>
            </w:pPr>
            <w:r>
              <w:rPr>
                <w:rFonts w:hint="eastAsia" w:ascii="宋体" w:hAnsi="宋体" w:cs="宋体"/>
                <w:kern w:val="0"/>
                <w:sz w:val="24"/>
                <w:lang w:bidi="ar"/>
              </w:rPr>
              <w:t>2.证明文件</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default" w:ascii="宋体" w:hAnsi="宋体" w:cs="宋体"/>
                <w:kern w:val="0"/>
                <w:sz w:val="24"/>
                <w:lang w:bidi="ar"/>
              </w:rPr>
            </w:pPr>
            <w:r>
              <w:rPr>
                <w:rFonts w:hint="eastAsia" w:ascii="宋体" w:hAnsi="宋体" w:cs="宋体"/>
                <w:kern w:val="0"/>
                <w:sz w:val="24"/>
                <w:lang w:bidi="ar"/>
              </w:rPr>
              <w:t>（1）投标人须提供合同关键页，合同关键页要求包含</w:t>
            </w:r>
            <w:r>
              <w:rPr>
                <w:rFonts w:hint="eastAsia" w:ascii="宋体" w:hAnsi="宋体" w:cs="宋体"/>
                <w:kern w:val="0"/>
                <w:sz w:val="24"/>
                <w:lang w:val="en-US" w:eastAsia="zh-CN" w:bidi="ar"/>
              </w:rPr>
              <w:t>但不限于</w:t>
            </w:r>
            <w:r>
              <w:rPr>
                <w:rFonts w:hint="eastAsia" w:ascii="宋体" w:hAnsi="宋体" w:cs="宋体"/>
                <w:kern w:val="0"/>
                <w:sz w:val="24"/>
                <w:lang w:bidi="ar"/>
              </w:rPr>
              <w:t>签订合同双方的单位名称、合同项目名称、双方的落款盖章和签订日期等信息。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textAlignment w:val="center"/>
              <w:rPr>
                <w:rFonts w:hint="default" w:ascii="宋体" w:hAnsi="宋体" w:cs="宋体"/>
                <w:kern w:val="0"/>
                <w:sz w:val="24"/>
                <w:lang w:bidi="ar"/>
              </w:rPr>
            </w:pPr>
            <w:r>
              <w:rPr>
                <w:rFonts w:hint="eastAsia" w:ascii="宋体" w:hAnsi="宋体" w:cs="宋体"/>
                <w:kern w:val="0"/>
                <w:sz w:val="24"/>
                <w:lang w:bidi="ar"/>
              </w:rPr>
              <w:t>（2）投标人须提供作品获得奖项的获奖证书（或官方网站截图）</w:t>
            </w:r>
            <w:r>
              <w:rPr>
                <w:rFonts w:hint="eastAsia" w:ascii="宋体" w:hAnsi="宋体" w:cs="宋体"/>
                <w:kern w:val="0"/>
                <w:sz w:val="24"/>
                <w:lang w:val="en-US" w:eastAsia="zh-CN" w:bidi="ar"/>
              </w:rPr>
              <w:t>或奖杯等</w:t>
            </w:r>
            <w:r>
              <w:rPr>
                <w:rFonts w:hint="eastAsia" w:ascii="宋体" w:hAnsi="宋体" w:cs="宋体"/>
                <w:kern w:val="0"/>
                <w:sz w:val="24"/>
                <w:lang w:bidi="ar"/>
              </w:rPr>
              <w:t>证明</w:t>
            </w:r>
            <w:r>
              <w:rPr>
                <w:rFonts w:hint="eastAsia" w:ascii="宋体" w:hAnsi="宋体" w:cs="宋体"/>
                <w:kern w:val="0"/>
                <w:sz w:val="24"/>
                <w:lang w:val="en-US" w:eastAsia="zh-CN" w:bidi="ar"/>
              </w:rPr>
              <w:t>材料</w:t>
            </w:r>
            <w:r>
              <w:rPr>
                <w:rFonts w:hint="eastAsia" w:ascii="宋体" w:hAnsi="宋体" w:cs="宋体"/>
                <w:kern w:val="0"/>
                <w:sz w:val="24"/>
                <w:lang w:bidi="ar"/>
              </w:rPr>
              <w:t>。</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60" w:lineRule="auto"/>
              <w:ind w:left="0" w:right="0"/>
              <w:textAlignment w:val="center"/>
              <w:rPr>
                <w:rFonts w:hint="default" w:ascii="宋体" w:hAnsi="宋体" w:cs="宋体"/>
                <w:sz w:val="24"/>
              </w:rPr>
            </w:pPr>
            <w:r>
              <w:rPr>
                <w:rFonts w:hint="eastAsia" w:ascii="宋体" w:hAnsi="宋体" w:cs="宋体"/>
                <w:kern w:val="0"/>
                <w:sz w:val="24"/>
                <w:lang w:bidi="ar"/>
              </w:rPr>
              <w:t>（3）以上资料均要求提供复印件（或官方网站截图），加盖投标人公章。评分中出现无证明资料或专家无法凭所提供资料判断是否得分的情况，一律不得分。</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eastAsia="宋体" w:cs="宋体"/>
                <w:sz w:val="24"/>
                <w:lang w:val="en-US" w:eastAsia="zh-CN"/>
              </w:rPr>
            </w:pPr>
            <w:r>
              <w:rPr>
                <w:rFonts w:hint="eastAsia" w:ascii="宋体" w:hAnsi="宋体" w:cs="宋体"/>
                <w:sz w:val="24"/>
                <w:lang w:val="en-US" w:eastAsia="zh-CN"/>
              </w:rPr>
              <w:t>20</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kern w:val="0"/>
                <w:sz w:val="24"/>
                <w:lang w:bidi="ar"/>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suppressLineNumbers w:val="0"/>
              <w:kinsoku/>
              <w:overflowPunct/>
              <w:topLinePunct w:val="0"/>
              <w:autoSpaceDE w:val="0"/>
              <w:autoSpaceDN w:val="0"/>
              <w:bidi w:val="0"/>
              <w:adjustRightInd w:val="0"/>
              <w:snapToGrid/>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2</w:t>
            </w:r>
          </w:p>
        </w:tc>
        <w:tc>
          <w:tcPr>
            <w:tcW w:w="952" w:type="pct"/>
            <w:noWrap w:val="0"/>
            <w:vAlign w:val="center"/>
          </w:tcPr>
          <w:p>
            <w:pPr>
              <w:keepNext w:val="0"/>
              <w:keepLines w:val="0"/>
              <w:pageBreakBefore w:val="0"/>
              <w:suppressLineNumbers w:val="0"/>
              <w:kinsoku/>
              <w:overflowPunct/>
              <w:topLinePunct w:val="0"/>
              <w:autoSpaceDE w:val="0"/>
              <w:autoSpaceDN w:val="0"/>
              <w:bidi w:val="0"/>
              <w:adjustRightInd w:val="0"/>
              <w:snapToGrid/>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项目团队成员</w:t>
            </w:r>
          </w:p>
        </w:tc>
        <w:tc>
          <w:tcPr>
            <w:tcW w:w="2782" w:type="pct"/>
            <w:noWrap w:val="0"/>
            <w:vAlign w:val="center"/>
          </w:tcPr>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w:t>
            </w:r>
            <w:r>
              <w:rPr>
                <w:rFonts w:hint="eastAsia" w:ascii="宋体" w:hAnsi="宋体" w:eastAsia="宋体" w:cs="宋体"/>
                <w:sz w:val="24"/>
                <w:szCs w:val="24"/>
                <w:lang w:val="zh-CN"/>
              </w:rPr>
              <w:t>评审标准：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eastAsia="宋体" w:cs="宋体"/>
                <w:sz w:val="24"/>
                <w:szCs w:val="24"/>
                <w:lang w:val="zh-CN"/>
              </w:rPr>
            </w:pPr>
            <w:r>
              <w:rPr>
                <w:rFonts w:hint="eastAsia" w:ascii="宋体" w:hAnsi="宋体" w:eastAsia="宋体" w:cs="宋体"/>
                <w:sz w:val="24"/>
                <w:szCs w:val="24"/>
                <w:lang w:val="zh-CN"/>
              </w:rPr>
              <w:t>（1）项目负责人（</w:t>
            </w:r>
            <w:r>
              <w:rPr>
                <w:rFonts w:hint="eastAsia" w:ascii="宋体" w:hAnsi="宋体" w:eastAsia="宋体" w:cs="宋体"/>
                <w:sz w:val="24"/>
                <w:szCs w:val="24"/>
                <w:lang w:val="en-US" w:eastAsia="zh-CN"/>
              </w:rPr>
              <w:t>仅2人</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舞台剧</w:t>
            </w:r>
            <w:r>
              <w:rPr>
                <w:rFonts w:hint="eastAsia" w:ascii="宋体" w:hAnsi="宋体" w:eastAsia="宋体" w:cs="宋体"/>
                <w:sz w:val="24"/>
                <w:szCs w:val="24"/>
                <w:lang w:val="zh-CN"/>
              </w:rPr>
              <w:t>项目和</w:t>
            </w:r>
            <w:r>
              <w:rPr>
                <w:rFonts w:hint="eastAsia" w:ascii="宋体" w:hAnsi="宋体" w:eastAsia="宋体" w:cs="宋体"/>
                <w:sz w:val="24"/>
                <w:szCs w:val="24"/>
                <w:lang w:val="en-US" w:eastAsia="zh-CN"/>
              </w:rPr>
              <w:t>广播剧</w:t>
            </w:r>
            <w:r>
              <w:rPr>
                <w:rFonts w:hint="eastAsia" w:ascii="宋体" w:hAnsi="宋体" w:eastAsia="宋体" w:cs="宋体"/>
                <w:sz w:val="24"/>
                <w:szCs w:val="24"/>
                <w:lang w:val="zh-CN"/>
              </w:rPr>
              <w:t>项目须各</w:t>
            </w:r>
            <w:r>
              <w:rPr>
                <w:rFonts w:hint="eastAsia" w:ascii="宋体" w:hAnsi="宋体" w:eastAsia="宋体" w:cs="宋体"/>
                <w:sz w:val="24"/>
                <w:szCs w:val="24"/>
                <w:lang w:val="en-US" w:eastAsia="zh-CN"/>
              </w:rPr>
              <w:t>提供</w:t>
            </w:r>
            <w:r>
              <w:rPr>
                <w:rFonts w:hint="eastAsia" w:ascii="宋体" w:hAnsi="宋体" w:eastAsia="宋体" w:cs="宋体"/>
                <w:sz w:val="24"/>
                <w:szCs w:val="24"/>
              </w:rPr>
              <w:t>1</w:t>
            </w:r>
            <w:r>
              <w:rPr>
                <w:rFonts w:hint="eastAsia" w:ascii="宋体" w:hAnsi="宋体" w:eastAsia="宋体" w:cs="宋体"/>
                <w:sz w:val="24"/>
                <w:szCs w:val="24"/>
                <w:lang w:val="en-US" w:eastAsia="zh-CN"/>
              </w:rPr>
              <w:t>名项目负责人</w:t>
            </w:r>
            <w:r>
              <w:rPr>
                <w:rFonts w:hint="eastAsia" w:ascii="宋体" w:hAnsi="宋体" w:eastAsia="宋体" w:cs="宋体"/>
                <w:sz w:val="24"/>
                <w:szCs w:val="24"/>
                <w:lang w:val="zh-CN"/>
              </w:rPr>
              <w:t>：</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lang w:val="zh-CN"/>
              </w:rPr>
              <w:t>①</w:t>
            </w:r>
            <w:r>
              <w:rPr>
                <w:rFonts w:hint="eastAsia" w:ascii="宋体" w:hAnsi="宋体" w:eastAsia="宋体" w:cs="宋体"/>
                <w:sz w:val="24"/>
                <w:szCs w:val="24"/>
              </w:rPr>
              <w:t xml:space="preserve"> </w:t>
            </w:r>
            <w:r>
              <w:rPr>
                <w:rFonts w:hint="eastAsia" w:ascii="宋体" w:hAnsi="宋体" w:eastAsia="宋体" w:cs="宋体"/>
                <w:sz w:val="24"/>
                <w:szCs w:val="24"/>
                <w:lang w:val="zh-CN"/>
              </w:rPr>
              <w:t>提供1人具有广播电视、</w:t>
            </w:r>
            <w:r>
              <w:rPr>
                <w:rFonts w:hint="eastAsia" w:ascii="宋体" w:hAnsi="宋体" w:eastAsia="宋体" w:cs="宋体"/>
                <w:sz w:val="24"/>
                <w:szCs w:val="24"/>
              </w:rPr>
              <w:t>编导、传媒、广告、导演或表演等相关专业</w:t>
            </w:r>
            <w:r>
              <w:rPr>
                <w:rFonts w:hint="eastAsia" w:ascii="宋体" w:hAnsi="宋体" w:eastAsia="宋体" w:cs="宋体"/>
                <w:sz w:val="24"/>
                <w:szCs w:val="24"/>
                <w:lang w:val="en-US" w:eastAsia="zh-CN"/>
              </w:rPr>
              <w:t>博士研究生</w:t>
            </w:r>
            <w:r>
              <w:rPr>
                <w:rFonts w:hint="eastAsia" w:ascii="宋体" w:hAnsi="宋体" w:eastAsia="宋体" w:cs="宋体"/>
                <w:sz w:val="24"/>
                <w:szCs w:val="24"/>
                <w:lang w:val="zh-CN"/>
              </w:rPr>
              <w:t>学历的，得</w:t>
            </w:r>
            <w:r>
              <w:rPr>
                <w:rFonts w:hint="eastAsia" w:ascii="宋体" w:hAnsi="宋体" w:eastAsia="宋体" w:cs="宋体"/>
                <w:sz w:val="24"/>
                <w:szCs w:val="24"/>
                <w:lang w:val="en-US" w:eastAsia="zh-CN"/>
              </w:rPr>
              <w:t>2.5</w:t>
            </w:r>
            <w:r>
              <w:rPr>
                <w:rFonts w:hint="eastAsia" w:ascii="宋体" w:hAnsi="宋体" w:eastAsia="宋体" w:cs="宋体"/>
                <w:sz w:val="24"/>
                <w:szCs w:val="24"/>
                <w:lang w:val="zh-CN"/>
              </w:rPr>
              <w:t>分，</w:t>
            </w:r>
            <w:r>
              <w:rPr>
                <w:rFonts w:hint="eastAsia" w:ascii="宋体" w:hAnsi="宋体" w:eastAsia="宋体" w:cs="宋体"/>
                <w:sz w:val="24"/>
                <w:szCs w:val="24"/>
                <w:lang w:val="en-US" w:eastAsia="zh-CN"/>
              </w:rPr>
              <w:t>最高得5分；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②</w:t>
            </w:r>
            <w:r>
              <w:rPr>
                <w:rFonts w:hint="eastAsia" w:ascii="宋体" w:hAnsi="宋体" w:eastAsia="宋体" w:cs="宋体"/>
                <w:sz w:val="24"/>
                <w:szCs w:val="24"/>
                <w:lang w:val="zh-CN"/>
              </w:rPr>
              <w:t>提供1人具有广播电视、</w:t>
            </w:r>
            <w:r>
              <w:rPr>
                <w:rFonts w:hint="eastAsia" w:ascii="宋体" w:hAnsi="宋体" w:eastAsia="宋体" w:cs="宋体"/>
                <w:sz w:val="24"/>
                <w:szCs w:val="24"/>
              </w:rPr>
              <w:t>编导、传媒、广告、导演或表演等</w:t>
            </w:r>
            <w:r>
              <w:rPr>
                <w:rFonts w:hint="eastAsia" w:ascii="宋体" w:hAnsi="宋体" w:eastAsia="宋体" w:cs="宋体"/>
                <w:sz w:val="24"/>
                <w:szCs w:val="24"/>
                <w:lang w:val="zh-CN"/>
              </w:rPr>
              <w:t>相关专业</w:t>
            </w:r>
            <w:r>
              <w:rPr>
                <w:rFonts w:hint="eastAsia" w:ascii="宋体" w:hAnsi="宋体" w:eastAsia="宋体" w:cs="宋体"/>
                <w:sz w:val="24"/>
                <w:szCs w:val="24"/>
                <w:lang w:val="en-US" w:eastAsia="zh-CN"/>
              </w:rPr>
              <w:t>硕士研究生</w:t>
            </w:r>
            <w:r>
              <w:rPr>
                <w:rFonts w:hint="eastAsia" w:ascii="宋体" w:hAnsi="宋体" w:eastAsia="宋体" w:cs="宋体"/>
                <w:sz w:val="24"/>
                <w:szCs w:val="24"/>
                <w:lang w:val="zh-CN"/>
              </w:rPr>
              <w:t>学历的，得</w:t>
            </w:r>
            <w:r>
              <w:rPr>
                <w:rFonts w:hint="eastAsia" w:ascii="宋体" w:hAnsi="宋体" w:eastAsia="宋体" w:cs="宋体"/>
                <w:sz w:val="24"/>
                <w:szCs w:val="24"/>
                <w:lang w:val="en-US" w:eastAsia="zh-CN"/>
              </w:rPr>
              <w:t>2</w:t>
            </w:r>
            <w:r>
              <w:rPr>
                <w:rFonts w:hint="eastAsia" w:ascii="宋体" w:hAnsi="宋体" w:eastAsia="宋体" w:cs="宋体"/>
                <w:sz w:val="24"/>
                <w:szCs w:val="24"/>
                <w:lang w:val="zh-CN"/>
              </w:rPr>
              <w:t>分，</w:t>
            </w:r>
            <w:r>
              <w:rPr>
                <w:rFonts w:hint="eastAsia" w:ascii="宋体" w:hAnsi="宋体" w:eastAsia="宋体" w:cs="宋体"/>
                <w:sz w:val="24"/>
                <w:szCs w:val="24"/>
                <w:lang w:val="en-US" w:eastAsia="zh-CN"/>
              </w:rPr>
              <w:t>最高得4分；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eastAsia" w:ascii="宋体" w:hAnsi="宋体" w:eastAsia="宋体" w:cs="宋体"/>
                <w:sz w:val="24"/>
                <w:szCs w:val="24"/>
                <w:lang w:val="zh-CN"/>
              </w:rPr>
            </w:pPr>
            <w:r>
              <w:rPr>
                <w:rFonts w:hint="eastAsia" w:ascii="宋体" w:hAnsi="宋体" w:eastAsia="宋体" w:cs="宋体"/>
                <w:sz w:val="24"/>
                <w:szCs w:val="24"/>
                <w:lang w:val="en-US" w:eastAsia="zh-CN"/>
              </w:rPr>
              <w:t>③</w:t>
            </w:r>
            <w:r>
              <w:rPr>
                <w:rFonts w:hint="eastAsia" w:ascii="宋体" w:hAnsi="宋体" w:eastAsia="宋体" w:cs="宋体"/>
                <w:sz w:val="24"/>
                <w:szCs w:val="24"/>
                <w:lang w:val="zh-CN"/>
              </w:rPr>
              <w:t>提供1人具有广播电视、</w:t>
            </w:r>
            <w:r>
              <w:rPr>
                <w:rFonts w:hint="eastAsia" w:ascii="宋体" w:hAnsi="宋体" w:eastAsia="宋体" w:cs="宋体"/>
                <w:sz w:val="24"/>
                <w:szCs w:val="24"/>
              </w:rPr>
              <w:t>编导、传媒、广告、导演或表演等</w:t>
            </w:r>
            <w:r>
              <w:rPr>
                <w:rFonts w:hint="eastAsia" w:ascii="宋体" w:hAnsi="宋体" w:eastAsia="宋体" w:cs="宋体"/>
                <w:sz w:val="24"/>
                <w:szCs w:val="24"/>
                <w:lang w:val="zh-CN"/>
              </w:rPr>
              <w:t>相关专业本科学历的，得</w:t>
            </w:r>
            <w:r>
              <w:rPr>
                <w:rFonts w:hint="eastAsia" w:ascii="宋体" w:hAnsi="宋体" w:eastAsia="宋体" w:cs="宋体"/>
                <w:sz w:val="24"/>
                <w:szCs w:val="24"/>
                <w:lang w:val="en-US" w:eastAsia="zh-CN"/>
              </w:rPr>
              <w:t>1.5</w:t>
            </w:r>
            <w:r>
              <w:rPr>
                <w:rFonts w:hint="eastAsia" w:ascii="宋体" w:hAnsi="宋体" w:eastAsia="宋体" w:cs="宋体"/>
                <w:sz w:val="24"/>
                <w:szCs w:val="24"/>
                <w:lang w:val="zh-CN"/>
              </w:rPr>
              <w:t>分，</w:t>
            </w:r>
            <w:r>
              <w:rPr>
                <w:rFonts w:hint="eastAsia" w:ascii="宋体" w:hAnsi="宋体" w:eastAsia="宋体" w:cs="宋体"/>
                <w:sz w:val="24"/>
                <w:szCs w:val="24"/>
                <w:lang w:val="en-US" w:eastAsia="zh-CN"/>
              </w:rPr>
              <w:t>最高得3分；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eastAsia" w:ascii="宋体" w:hAnsi="宋体" w:eastAsia="宋体" w:cs="宋体"/>
                <w:sz w:val="24"/>
                <w:szCs w:val="24"/>
                <w:lang w:val="zh-CN"/>
              </w:rPr>
            </w:pPr>
            <w:r>
              <w:rPr>
                <w:rFonts w:hint="eastAsia" w:ascii="宋体" w:hAnsi="宋体" w:eastAsia="宋体" w:cs="宋体"/>
                <w:sz w:val="24"/>
                <w:szCs w:val="24"/>
                <w:lang w:val="zh-CN"/>
              </w:rPr>
              <w:t>④提供1人具有广播电视、</w:t>
            </w:r>
            <w:r>
              <w:rPr>
                <w:rFonts w:hint="eastAsia" w:ascii="宋体" w:hAnsi="宋体" w:eastAsia="宋体" w:cs="宋体"/>
                <w:sz w:val="24"/>
                <w:szCs w:val="24"/>
              </w:rPr>
              <w:t>编导、传媒、广告、导演或表演等</w:t>
            </w:r>
            <w:r>
              <w:rPr>
                <w:rFonts w:hint="eastAsia" w:ascii="宋体" w:hAnsi="宋体" w:eastAsia="宋体" w:cs="宋体"/>
                <w:sz w:val="24"/>
                <w:szCs w:val="24"/>
                <w:lang w:val="zh-CN"/>
              </w:rPr>
              <w:t>相关专业大专学历的，得</w:t>
            </w:r>
            <w:r>
              <w:rPr>
                <w:rFonts w:hint="eastAsia" w:ascii="宋体" w:hAnsi="宋体" w:eastAsia="宋体" w:cs="宋体"/>
                <w:sz w:val="24"/>
                <w:szCs w:val="24"/>
                <w:lang w:val="en-US" w:eastAsia="zh-CN"/>
              </w:rPr>
              <w:t>1</w:t>
            </w:r>
            <w:r>
              <w:rPr>
                <w:rFonts w:hint="eastAsia" w:ascii="宋体" w:hAnsi="宋体" w:eastAsia="宋体" w:cs="宋体"/>
                <w:sz w:val="24"/>
                <w:szCs w:val="24"/>
                <w:lang w:val="zh-CN"/>
              </w:rPr>
              <w:t>分，</w:t>
            </w:r>
            <w:r>
              <w:rPr>
                <w:rFonts w:hint="eastAsia" w:ascii="宋体" w:hAnsi="宋体" w:eastAsia="宋体" w:cs="宋体"/>
                <w:sz w:val="24"/>
                <w:szCs w:val="24"/>
                <w:lang w:val="en-US" w:eastAsia="zh-CN"/>
              </w:rPr>
              <w:t>最高得2分；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eastAsia="宋体" w:cs="宋体"/>
                <w:sz w:val="24"/>
                <w:szCs w:val="24"/>
                <w:lang w:val="zh-CN"/>
              </w:rPr>
            </w:pPr>
            <w:r>
              <w:rPr>
                <w:rFonts w:hint="eastAsia" w:ascii="宋体" w:hAnsi="宋体" w:eastAsia="宋体" w:cs="宋体"/>
                <w:sz w:val="24"/>
                <w:szCs w:val="24"/>
                <w:lang w:val="en-US" w:eastAsia="zh-CN"/>
              </w:rPr>
              <w:t>以上</w:t>
            </w:r>
            <w:r>
              <w:rPr>
                <w:rFonts w:hint="eastAsia" w:ascii="宋体" w:hAnsi="宋体" w:eastAsia="宋体" w:cs="宋体"/>
                <w:sz w:val="24"/>
                <w:szCs w:val="24"/>
              </w:rPr>
              <w:t>最高</w:t>
            </w:r>
            <w:r>
              <w:rPr>
                <w:rFonts w:hint="eastAsia" w:ascii="宋体" w:hAnsi="宋体" w:eastAsia="宋体" w:cs="宋体"/>
                <w:sz w:val="24"/>
                <w:szCs w:val="24"/>
                <w:lang w:val="zh-CN"/>
              </w:rPr>
              <w:t>得</w:t>
            </w:r>
            <w:r>
              <w:rPr>
                <w:rFonts w:hint="eastAsia" w:ascii="宋体" w:hAnsi="宋体" w:eastAsia="宋体" w:cs="宋体"/>
                <w:sz w:val="24"/>
                <w:szCs w:val="24"/>
                <w:lang w:val="en-US" w:eastAsia="zh-CN"/>
              </w:rPr>
              <w:t>5</w:t>
            </w:r>
            <w:r>
              <w:rPr>
                <w:rFonts w:hint="eastAsia" w:ascii="宋体" w:hAnsi="宋体" w:eastAsia="宋体" w:cs="宋体"/>
                <w:sz w:val="24"/>
                <w:szCs w:val="24"/>
                <w:lang w:val="zh-CN"/>
              </w:rPr>
              <w:t>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kern w:val="0"/>
                <w:sz w:val="24"/>
                <w:szCs w:val="24"/>
                <w:lang w:bidi="ar"/>
              </w:rPr>
              <w:t>（2）其他项目团队包括：</w:t>
            </w:r>
            <w:r>
              <w:rPr>
                <w:rFonts w:hint="eastAsia" w:ascii="宋体" w:hAnsi="宋体" w:eastAsia="宋体" w:cs="宋体"/>
                <w:sz w:val="24"/>
                <w:szCs w:val="24"/>
              </w:rPr>
              <w:t>团队成员不少于</w:t>
            </w:r>
            <w:r>
              <w:rPr>
                <w:rFonts w:hint="eastAsia" w:ascii="宋体" w:hAnsi="宋体" w:eastAsia="宋体" w:cs="宋体"/>
                <w:sz w:val="24"/>
                <w:szCs w:val="24"/>
                <w:lang w:val="en-US" w:eastAsia="zh-CN"/>
              </w:rPr>
              <w:t>10</w:t>
            </w:r>
            <w:r>
              <w:rPr>
                <w:rFonts w:hint="eastAsia" w:ascii="宋体" w:hAnsi="宋体" w:eastAsia="宋体" w:cs="宋体"/>
                <w:sz w:val="24"/>
                <w:szCs w:val="24"/>
              </w:rPr>
              <w:t>人（不含项目负责人，</w:t>
            </w:r>
            <w:r>
              <w:rPr>
                <w:rFonts w:hint="eastAsia" w:ascii="宋体" w:hAnsi="宋体" w:eastAsia="宋体" w:cs="宋体"/>
                <w:sz w:val="24"/>
                <w:szCs w:val="24"/>
                <w:lang w:val="en-US" w:eastAsia="zh-CN"/>
              </w:rPr>
              <w:t>舞台剧</w:t>
            </w:r>
            <w:r>
              <w:rPr>
                <w:rFonts w:hint="eastAsia" w:ascii="宋体" w:hAnsi="宋体" w:eastAsia="宋体" w:cs="宋体"/>
                <w:sz w:val="24"/>
                <w:szCs w:val="24"/>
              </w:rPr>
              <w:t>项目和</w:t>
            </w:r>
            <w:r>
              <w:rPr>
                <w:rFonts w:hint="eastAsia" w:ascii="宋体" w:hAnsi="宋体" w:eastAsia="宋体" w:cs="宋体"/>
                <w:sz w:val="24"/>
                <w:szCs w:val="24"/>
                <w:lang w:val="en-US" w:eastAsia="zh-CN"/>
              </w:rPr>
              <w:t>广播剧</w:t>
            </w:r>
            <w:r>
              <w:rPr>
                <w:rFonts w:hint="eastAsia" w:ascii="宋体" w:hAnsi="宋体" w:eastAsia="宋体" w:cs="宋体"/>
                <w:sz w:val="24"/>
                <w:szCs w:val="24"/>
              </w:rPr>
              <w:t>项目须至少各</w:t>
            </w:r>
            <w:r>
              <w:rPr>
                <w:rFonts w:hint="eastAsia" w:ascii="宋体" w:hAnsi="宋体" w:eastAsia="宋体" w:cs="宋体"/>
                <w:sz w:val="24"/>
                <w:szCs w:val="24"/>
                <w:lang w:val="en-US" w:eastAsia="zh-CN"/>
              </w:rPr>
              <w:t>5</w:t>
            </w:r>
            <w:r>
              <w:rPr>
                <w:rFonts w:hint="eastAsia" w:ascii="宋体" w:hAnsi="宋体" w:eastAsia="宋体" w:cs="宋体"/>
                <w:sz w:val="24"/>
                <w:szCs w:val="24"/>
              </w:rPr>
              <w:t>人</w:t>
            </w:r>
            <w:r>
              <w:rPr>
                <w:rFonts w:hint="eastAsia" w:ascii="宋体" w:hAnsi="宋体" w:eastAsia="宋体" w:cs="宋体"/>
                <w:sz w:val="24"/>
                <w:szCs w:val="24"/>
                <w:lang w:eastAsia="zh-CN"/>
              </w:rPr>
              <w:t>，分别提供人员清单</w:t>
            </w:r>
            <w:r>
              <w:rPr>
                <w:rFonts w:hint="eastAsia" w:ascii="宋体" w:hAnsi="宋体" w:eastAsia="宋体" w:cs="宋体"/>
                <w:sz w:val="24"/>
                <w:szCs w:val="24"/>
              </w:rPr>
              <w:t>）</w:t>
            </w:r>
            <w:r>
              <w:rPr>
                <w:rFonts w:hint="eastAsia" w:ascii="宋体" w:hAnsi="宋体" w:eastAsia="宋体" w:cs="宋体"/>
                <w:kern w:val="0"/>
                <w:sz w:val="24"/>
                <w:szCs w:val="24"/>
                <w:lang w:bidi="ar"/>
              </w:rPr>
              <w:t>，</w:t>
            </w:r>
            <w:r>
              <w:rPr>
                <w:rFonts w:hint="eastAsia" w:ascii="宋体" w:hAnsi="宋体" w:eastAsia="宋体" w:cs="宋体"/>
                <w:sz w:val="24"/>
                <w:szCs w:val="24"/>
              </w:rPr>
              <w:t>音乐制作、音乐表演、流行音乐、音乐学、音乐剧、乐器类、表演类、新闻传播类、文学类、</w:t>
            </w:r>
            <w:r>
              <w:rPr>
                <w:rFonts w:hint="eastAsia" w:ascii="宋体" w:hAnsi="宋体" w:eastAsia="宋体" w:cs="宋体"/>
                <w:sz w:val="24"/>
                <w:szCs w:val="24"/>
                <w:lang w:val="en-US" w:eastAsia="zh-CN"/>
              </w:rPr>
              <w:t>中文类、</w:t>
            </w:r>
            <w:r>
              <w:rPr>
                <w:rFonts w:hint="eastAsia" w:ascii="宋体" w:hAnsi="宋体" w:eastAsia="宋体" w:cs="宋体"/>
                <w:sz w:val="24"/>
                <w:szCs w:val="24"/>
              </w:rPr>
              <w:t>计算机等专业，</w:t>
            </w:r>
            <w:r>
              <w:rPr>
                <w:rFonts w:hint="eastAsia" w:ascii="宋体" w:hAnsi="宋体" w:eastAsia="宋体" w:cs="宋体"/>
                <w:kern w:val="0"/>
                <w:sz w:val="24"/>
                <w:szCs w:val="24"/>
                <w:lang w:bidi="ar"/>
              </w:rPr>
              <w:t>每提供1人</w:t>
            </w:r>
            <w:r>
              <w:rPr>
                <w:rFonts w:hint="eastAsia" w:ascii="宋体" w:hAnsi="宋体" w:eastAsia="宋体" w:cs="宋体"/>
                <w:sz w:val="24"/>
                <w:szCs w:val="24"/>
              </w:rPr>
              <w:t>具有以上相关专业大专或以上学历的</w:t>
            </w:r>
            <w:r>
              <w:rPr>
                <w:rFonts w:hint="eastAsia" w:ascii="宋体" w:hAnsi="宋体" w:eastAsia="宋体" w:cs="宋体"/>
                <w:kern w:val="0"/>
                <w:sz w:val="24"/>
                <w:szCs w:val="24"/>
                <w:lang w:bidi="ar"/>
              </w:rPr>
              <w:t>得</w:t>
            </w:r>
            <w:r>
              <w:rPr>
                <w:rFonts w:hint="eastAsia" w:ascii="宋体" w:hAnsi="宋体" w:eastAsia="宋体" w:cs="宋体"/>
                <w:kern w:val="0"/>
                <w:sz w:val="24"/>
                <w:szCs w:val="24"/>
                <w:lang w:val="en-US" w:eastAsia="zh-CN" w:bidi="ar"/>
              </w:rPr>
              <w:t>1</w:t>
            </w:r>
            <w:r>
              <w:rPr>
                <w:rFonts w:hint="eastAsia" w:ascii="宋体" w:hAnsi="宋体" w:eastAsia="宋体" w:cs="宋体"/>
                <w:kern w:val="0"/>
                <w:sz w:val="24"/>
                <w:szCs w:val="24"/>
                <w:lang w:bidi="ar"/>
              </w:rPr>
              <w:t>分</w:t>
            </w:r>
            <w:r>
              <w:rPr>
                <w:rFonts w:hint="eastAsia" w:ascii="宋体" w:hAnsi="宋体" w:eastAsia="宋体" w:cs="宋体"/>
                <w:sz w:val="24"/>
                <w:szCs w:val="24"/>
              </w:rPr>
              <w:t>，</w:t>
            </w:r>
            <w:r>
              <w:rPr>
                <w:rFonts w:hint="eastAsia" w:ascii="宋体" w:hAnsi="宋体" w:eastAsia="宋体" w:cs="宋体"/>
                <w:sz w:val="24"/>
                <w:szCs w:val="24"/>
                <w:lang w:val="en-US" w:eastAsia="zh-CN"/>
              </w:rPr>
              <w:t>有舞台剧或广播剧作品经验得1分，</w:t>
            </w:r>
            <w:r>
              <w:rPr>
                <w:rFonts w:hint="eastAsia" w:ascii="宋体" w:hAnsi="宋体" w:eastAsia="宋体" w:cs="宋体"/>
                <w:kern w:val="0"/>
                <w:sz w:val="24"/>
                <w:szCs w:val="24"/>
                <w:lang w:bidi="ar"/>
              </w:rPr>
              <w:t>最高得</w:t>
            </w:r>
            <w:r>
              <w:rPr>
                <w:rFonts w:hint="eastAsia" w:ascii="宋体" w:hAnsi="宋体" w:eastAsia="宋体" w:cs="宋体"/>
                <w:kern w:val="0"/>
                <w:sz w:val="24"/>
                <w:szCs w:val="24"/>
                <w:lang w:val="en-US" w:eastAsia="zh-CN" w:bidi="ar"/>
              </w:rPr>
              <w:t>20</w:t>
            </w:r>
            <w:r>
              <w:rPr>
                <w:rFonts w:hint="eastAsia" w:ascii="宋体" w:hAnsi="宋体" w:eastAsia="宋体" w:cs="宋体"/>
                <w:kern w:val="0"/>
                <w:sz w:val="24"/>
                <w:szCs w:val="24"/>
                <w:lang w:bidi="ar"/>
              </w:rPr>
              <w:t>分。</w:t>
            </w:r>
            <w:r>
              <w:rPr>
                <w:rFonts w:hint="eastAsia" w:ascii="宋体" w:hAnsi="宋体" w:eastAsia="宋体" w:cs="宋体"/>
                <w:kern w:val="0"/>
                <w:sz w:val="24"/>
                <w:szCs w:val="24"/>
                <w:lang w:val="en-US" w:eastAsia="zh-CN" w:bidi="ar"/>
              </w:rPr>
              <w:t>同一项目的多人参与均可得分，同一人提供多个项目仅记1次分。同一人同时满足以上2点可累计得分。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ins w:id="0" w:author="修改建议" w:date="2025-09-26T15:39:43Z"/>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以上（1）（2）项合计最高得25分。</w:t>
            </w:r>
          </w:p>
          <w:p>
            <w:pPr>
              <w:pStyle w:val="4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w:t>
            </w:r>
            <w:r>
              <w:rPr>
                <w:rFonts w:hint="eastAsia" w:ascii="宋体" w:hAnsi="宋体" w:eastAsia="宋体" w:cs="宋体"/>
                <w:sz w:val="24"/>
                <w:szCs w:val="24"/>
                <w:lang w:val="zh-CN"/>
              </w:rPr>
              <w:t>证明文件：</w:t>
            </w:r>
          </w:p>
          <w:p>
            <w:pPr>
              <w:keepNext w:val="0"/>
              <w:keepLines w:val="0"/>
              <w:widowControl/>
              <w:suppressLineNumbers w:val="0"/>
              <w:autoSpaceDE w:val="0"/>
              <w:autoSpaceDN w:val="0"/>
              <w:adjustRightInd w:val="0"/>
              <w:spacing w:before="0" w:beforeAutospacing="0" w:after="0" w:afterAutospacing="0" w:line="360" w:lineRule="exact"/>
              <w:ind w:left="0" w:right="0"/>
              <w:rPr>
                <w:rFonts w:hint="eastAsia" w:ascii="宋体" w:hAnsi="宋体"/>
                <w:sz w:val="24"/>
              </w:rPr>
            </w:pPr>
            <w:r>
              <w:rPr>
                <w:rFonts w:hint="eastAsia" w:ascii="宋体" w:hAnsi="宋体"/>
                <w:sz w:val="24"/>
              </w:rPr>
              <w:t>1、项目团队成员必须为投标人自有员工，提供相关人员投标人为团队人员缴纳的近</w:t>
            </w:r>
            <w:r>
              <w:rPr>
                <w:rFonts w:hint="eastAsia" w:ascii="宋体" w:hAnsi="宋体"/>
                <w:sz w:val="24"/>
                <w:lang w:val="en-US" w:eastAsia="zh-CN"/>
              </w:rPr>
              <w:t>3</w:t>
            </w:r>
            <w:r>
              <w:rPr>
                <w:rFonts w:hint="eastAsia" w:ascii="宋体" w:hAnsi="宋体"/>
                <w:sz w:val="24"/>
              </w:rPr>
              <w:t>个月内任意1个月的社保缴纳证明（代缴个税税单或参加社会保险的《投保单》或《社会保险参保人员证明》）。若投标人成立不足一个月的，需提供成立情况说明函（格式自拟），无需提供相关人员社保，亦可得分；若为退休返聘人员，需提供说明函（格式自拟），无需提供相关人员社保，亦可得分。</w:t>
            </w:r>
          </w:p>
          <w:p>
            <w:pPr>
              <w:keepNext w:val="0"/>
              <w:keepLines w:val="0"/>
              <w:widowControl/>
              <w:suppressLineNumbers w:val="0"/>
              <w:autoSpaceDE w:val="0"/>
              <w:autoSpaceDN w:val="0"/>
              <w:adjustRightInd w:val="0"/>
              <w:spacing w:before="0" w:beforeAutospacing="0" w:after="0" w:afterAutospacing="0" w:line="360" w:lineRule="exact"/>
              <w:ind w:left="0" w:right="0"/>
              <w:rPr>
                <w:rFonts w:hint="eastAsia" w:ascii="宋体" w:hAnsi="宋体" w:eastAsia="宋体" w:cs="Times New Roman"/>
                <w:sz w:val="24"/>
              </w:rPr>
            </w:pPr>
            <w:r>
              <w:rPr>
                <w:rFonts w:hint="eastAsia" w:ascii="宋体" w:hAnsi="宋体"/>
                <w:sz w:val="24"/>
              </w:rPr>
              <w:t>2、涉及学历的，提供毕业证书扫描件或复印件及学信网查询记录截图（如较早颁发的毕业证书，学信网无法查询的，可提供毕业院校或教育或人社部门等颁发机构或监管机构等出具的证明，如海外留学（含港澳台人）学历无法通过学信</w:t>
            </w:r>
            <w:r>
              <w:rPr>
                <w:rFonts w:hint="eastAsia" w:ascii="宋体" w:hAnsi="宋体" w:eastAsia="宋体" w:cs="Times New Roman"/>
                <w:sz w:val="24"/>
              </w:rPr>
              <w:t>网站查询的，应当提供教育部留学服务中心出具的国外学历认证证书以及教育部留学服务中心官网查询截图。若证明文件为其它语言，必须附中文译文，以中文译文为准）</w:t>
            </w:r>
          </w:p>
          <w:p>
            <w:pPr>
              <w:keepNext w:val="0"/>
              <w:keepLines w:val="0"/>
              <w:widowControl/>
              <w:suppressLineNumbers w:val="0"/>
              <w:autoSpaceDE w:val="0"/>
              <w:autoSpaceDN w:val="0"/>
              <w:adjustRightInd w:val="0"/>
              <w:spacing w:before="0" w:beforeAutospacing="0" w:after="0" w:afterAutospacing="0" w:line="360" w:lineRule="exact"/>
              <w:ind w:left="0" w:right="0"/>
              <w:rPr>
                <w:rFonts w:hint="eastAsia" w:ascii="宋体" w:hAnsi="宋体" w:eastAsia="宋体" w:cs="Times New Roman"/>
                <w:sz w:val="24"/>
                <w:lang w:val="zh-CN"/>
              </w:rPr>
            </w:pPr>
            <w:r>
              <w:rPr>
                <w:rFonts w:hint="eastAsia" w:ascii="宋体" w:hAnsi="宋体" w:eastAsia="宋体" w:cs="Times New Roman"/>
                <w:sz w:val="24"/>
                <w:lang w:val="en-US" w:eastAsia="zh-CN"/>
              </w:rPr>
              <w:t>3、</w:t>
            </w:r>
            <w:r>
              <w:rPr>
                <w:rFonts w:hint="eastAsia" w:ascii="宋体" w:hAnsi="宋体" w:eastAsia="宋体" w:cs="Times New Roman"/>
                <w:sz w:val="24"/>
              </w:rPr>
              <w:t>如未按要求提供证明材料，或所提供的证明材料未能体现上述评分内容的，视为该证明材料无效。</w:t>
            </w:r>
          </w:p>
          <w:p>
            <w:pPr>
              <w:keepNext w:val="0"/>
              <w:keepLines w:val="0"/>
              <w:widowControl/>
              <w:suppressLineNumbers w:val="0"/>
              <w:autoSpaceDE w:val="0"/>
              <w:autoSpaceDN w:val="0"/>
              <w:adjustRightInd w:val="0"/>
              <w:spacing w:before="0" w:beforeAutospacing="0" w:after="0" w:afterAutospacing="0" w:line="360" w:lineRule="exact"/>
              <w:ind w:left="0" w:right="0"/>
              <w:rPr>
                <w:rFonts w:hint="default" w:ascii="宋体" w:hAnsi="宋体" w:cs="宋体"/>
                <w:sz w:val="24"/>
              </w:rPr>
            </w:pPr>
            <w:r>
              <w:rPr>
                <w:rFonts w:hint="eastAsia" w:ascii="宋体" w:hAnsi="宋体" w:eastAsia="宋体" w:cs="Times New Roman"/>
                <w:sz w:val="24"/>
                <w:lang w:val="en-US" w:eastAsia="zh-CN"/>
              </w:rPr>
              <w:t>4、</w:t>
            </w:r>
            <w:r>
              <w:rPr>
                <w:rFonts w:hint="eastAsia" w:ascii="宋体" w:hAnsi="宋体" w:eastAsia="宋体" w:cs="Times New Roman"/>
                <w:sz w:val="24"/>
                <w:lang w:val="zh-CN"/>
              </w:rPr>
              <w:t>以上资料均要求提供复印件，加盖投标人公章。评分中出现无证明资料或专家无法凭所提供资料判断是否得分的情况，一律不得分。投标人提供虚假材料的，将做无效投标处理，涉嫌存在违法违规行为的，依法报主管部门处理处罚。</w:t>
            </w:r>
          </w:p>
        </w:tc>
        <w:tc>
          <w:tcPr>
            <w:tcW w:w="450" w:type="pct"/>
            <w:noWrap w:val="0"/>
            <w:vAlign w:val="center"/>
          </w:tcPr>
          <w:p>
            <w:pPr>
              <w:keepNext w:val="0"/>
              <w:keepLines w:val="0"/>
              <w:pageBreakBefore w:val="0"/>
              <w:suppressLineNumbers w:val="0"/>
              <w:kinsoku/>
              <w:overflowPunct/>
              <w:topLinePunct w:val="0"/>
              <w:autoSpaceDE w:val="0"/>
              <w:autoSpaceDN w:val="0"/>
              <w:bidi w:val="0"/>
              <w:adjustRightInd w:val="0"/>
              <w:snapToGrid/>
              <w:spacing w:before="0" w:beforeAutospacing="0" w:after="0" w:afterAutospacing="0" w:line="360" w:lineRule="auto"/>
              <w:ind w:left="0" w:right="0"/>
              <w:jc w:val="center"/>
              <w:rPr>
                <w:rFonts w:hint="default" w:ascii="宋体" w:hAnsi="宋体" w:eastAsia="宋体" w:cs="宋体"/>
                <w:sz w:val="24"/>
                <w:lang w:val="en-US" w:eastAsia="zh-CN"/>
              </w:rPr>
            </w:pPr>
            <w:r>
              <w:rPr>
                <w:rFonts w:hint="eastAsia" w:ascii="宋体" w:hAnsi="宋体" w:cs="宋体"/>
                <w:sz w:val="24"/>
                <w:lang w:val="en-US" w:eastAsia="zh-CN"/>
              </w:rPr>
              <w:t>25</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sz w:val="24"/>
              </w:rPr>
            </w:pPr>
            <w:r>
              <w:rPr>
                <w:rFonts w:hint="eastAsia" w:ascii="宋体" w:hAnsi="宋体" w:cs="宋体"/>
                <w:sz w:val="24"/>
                <w:lang w:val="zh-CN"/>
              </w:rPr>
              <w:t>评委打分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b/>
                <w:bCs/>
                <w:kern w:val="0"/>
                <w:sz w:val="24"/>
                <w:lang w:bidi="ar"/>
              </w:rPr>
              <w:t>三、技术部分（40分）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设计思路</w:t>
            </w:r>
          </w:p>
        </w:tc>
        <w:tc>
          <w:tcPr>
            <w:tcW w:w="2782" w:type="pct"/>
            <w:noWrap w:val="0"/>
            <w:vAlign w:val="center"/>
          </w:tcPr>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（一）评审内容：</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投标人对项目提出策划思路</w:t>
            </w:r>
            <w:r>
              <w:rPr>
                <w:rFonts w:hint="eastAsia" w:ascii="宋体" w:hAnsi="宋体" w:cs="宋体"/>
                <w:kern w:val="0"/>
                <w:sz w:val="24"/>
                <w:lang w:bidi="ar"/>
              </w:rPr>
              <w:t>和宣传思路</w:t>
            </w:r>
            <w:r>
              <w:rPr>
                <w:rFonts w:hint="eastAsia" w:ascii="宋体" w:hAnsi="宋体" w:cs="宋体"/>
                <w:sz w:val="24"/>
              </w:rPr>
              <w:t>。</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lang w:bidi="ar"/>
              </w:rPr>
              <w:t>（须包</w:t>
            </w:r>
            <w:r>
              <w:rPr>
                <w:rFonts w:hint="eastAsia" w:ascii="宋体" w:hAnsi="宋体" w:cs="宋体"/>
                <w:sz w:val="24"/>
              </w:rPr>
              <w:t>含</w:t>
            </w:r>
            <w:r>
              <w:rPr>
                <w:rFonts w:hint="eastAsia" w:ascii="宋体" w:hAnsi="宋体" w:cs="宋体"/>
                <w:sz w:val="24"/>
                <w:lang w:val="zh-CN"/>
              </w:rPr>
              <w:t>舞台剧和广播剧两个项目，广播剧可作为舞台剧项目的配套项目、也可作为单独项目</w:t>
            </w:r>
            <w:r>
              <w:rPr>
                <w:rFonts w:hint="eastAsia" w:ascii="宋体" w:hAnsi="宋体" w:cs="宋体"/>
                <w:kern w:val="0"/>
                <w:sz w:val="24"/>
                <w:lang w:bidi="ar"/>
              </w:rPr>
              <w:t>）</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包括但不限于以下内容：</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1.对项目制作的目的、背景和需求的解读；</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2.本项目后期宣传的思路策略；</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3.根据本项目发展现状提交的总体规划。</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sz w:val="24"/>
              </w:rPr>
              <w:t>（二）评分标准：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color w:val="000000"/>
                <w:sz w:val="24"/>
              </w:rPr>
            </w:pPr>
            <w:r>
              <w:rPr>
                <w:rFonts w:hint="eastAsia" w:ascii="宋体" w:hAnsi="宋体" w:cs="宋体"/>
                <w:color w:val="000000"/>
                <w:sz w:val="24"/>
                <w:lang w:bidi="ar"/>
              </w:rPr>
              <w:t>满足以上3点得</w:t>
            </w:r>
            <w:r>
              <w:rPr>
                <w:rFonts w:hint="eastAsia" w:ascii="宋体" w:hAnsi="宋体" w:cs="宋体"/>
                <w:color w:val="000000"/>
                <w:sz w:val="24"/>
                <w:lang w:val="en-US" w:eastAsia="zh-CN" w:bidi="ar"/>
              </w:rPr>
              <w:t>9</w:t>
            </w:r>
            <w:r>
              <w:rPr>
                <w:rFonts w:hint="eastAsia" w:ascii="宋体" w:hAnsi="宋体" w:cs="宋体"/>
                <w:color w:val="000000"/>
                <w:sz w:val="24"/>
                <w:lang w:bidi="ar"/>
              </w:rPr>
              <w:t>分，满足以上任意2点得</w:t>
            </w:r>
            <w:r>
              <w:rPr>
                <w:rFonts w:hint="eastAsia" w:ascii="宋体" w:hAnsi="宋体" w:cs="宋体"/>
                <w:color w:val="000000"/>
                <w:sz w:val="24"/>
                <w:lang w:val="en-US" w:eastAsia="zh-CN" w:bidi="ar"/>
              </w:rPr>
              <w:t>6</w:t>
            </w:r>
            <w:r>
              <w:rPr>
                <w:rFonts w:hint="eastAsia" w:ascii="宋体" w:hAnsi="宋体" w:cs="宋体"/>
                <w:color w:val="000000"/>
                <w:sz w:val="24"/>
                <w:lang w:bidi="ar"/>
              </w:rPr>
              <w:t>分，满足任意1点得</w:t>
            </w:r>
            <w:r>
              <w:rPr>
                <w:rFonts w:hint="eastAsia" w:ascii="宋体" w:hAnsi="宋体" w:cs="宋体"/>
                <w:color w:val="000000"/>
                <w:sz w:val="24"/>
                <w:lang w:val="en-US" w:eastAsia="zh-CN" w:bidi="ar"/>
              </w:rPr>
              <w:t>3</w:t>
            </w:r>
            <w:r>
              <w:rPr>
                <w:rFonts w:hint="eastAsia" w:ascii="宋体" w:hAnsi="宋体" w:cs="宋体"/>
                <w:color w:val="000000"/>
                <w:sz w:val="24"/>
                <w:lang w:bidi="ar"/>
              </w:rPr>
              <w:t>分，未满足不得分。在此基础上，评委根据各供应商的具体响应内容按照量化的评审因素指标进一步评审：</w:t>
            </w:r>
          </w:p>
          <w:p>
            <w:pPr>
              <w:pStyle w:val="16"/>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default"/>
              </w:rPr>
            </w:pPr>
            <w:r>
              <w:rPr>
                <w:rFonts w:hint="eastAsia"/>
                <w:color w:val="000000"/>
              </w:rPr>
              <w:t>优：对项目制作解读、后期宣传思路、总体规划非常清楚合理、落地实施强的，得</w:t>
            </w:r>
            <w:r>
              <w:rPr>
                <w:rFonts w:hint="eastAsia"/>
                <w:color w:val="000000"/>
                <w:lang w:val="en-US" w:eastAsia="zh-CN"/>
              </w:rPr>
              <w:t>6</w:t>
            </w:r>
            <w:r>
              <w:rPr>
                <w:rFonts w:hint="eastAsia"/>
                <w:color w:val="000000"/>
              </w:rPr>
              <w:t>分；</w:t>
            </w:r>
          </w:p>
          <w:p>
            <w:pPr>
              <w:pStyle w:val="16"/>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default"/>
                <w:color w:val="000000"/>
              </w:rPr>
            </w:pPr>
            <w:r>
              <w:rPr>
                <w:rFonts w:hint="eastAsia"/>
                <w:color w:val="000000"/>
              </w:rPr>
              <w:t>良：对项目制作解读、后期宣传思路、总体规划较清楚合理，可落地实施的得</w:t>
            </w:r>
            <w:r>
              <w:rPr>
                <w:rFonts w:hint="eastAsia"/>
                <w:color w:val="000000"/>
                <w:lang w:val="en-US" w:eastAsia="zh-CN"/>
              </w:rPr>
              <w:t>4</w:t>
            </w:r>
            <w:r>
              <w:rPr>
                <w:rFonts w:hint="eastAsia"/>
                <w:color w:val="000000"/>
              </w:rPr>
              <w:t>分；</w:t>
            </w:r>
          </w:p>
          <w:p>
            <w:pPr>
              <w:pStyle w:val="16"/>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default"/>
                <w:color w:val="000000"/>
              </w:rPr>
            </w:pPr>
            <w:r>
              <w:rPr>
                <w:rFonts w:hint="eastAsia"/>
                <w:color w:val="000000"/>
              </w:rPr>
              <w:t>中：对项目制作解读、后期宣传思路、总体规划基本合理的，落地实施基本可行的得2分；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sz w:val="24"/>
              </w:rPr>
            </w:pPr>
            <w:r>
              <w:rPr>
                <w:rFonts w:hint="eastAsia" w:ascii="宋体" w:hAnsi="宋体" w:cs="宋体"/>
                <w:color w:val="000000"/>
                <w:sz w:val="24"/>
              </w:rPr>
              <w:t>差：对项目制作解读、后期宣传思路、总体规划不完整、落地实施操作性弱的，不得分。</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15</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2</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整体定位</w:t>
            </w:r>
          </w:p>
        </w:tc>
        <w:tc>
          <w:tcPr>
            <w:tcW w:w="2782" w:type="pct"/>
            <w:noWrap w:val="0"/>
            <w:vAlign w:val="center"/>
          </w:tcPr>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（一）评审内容：</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投标人对项目提出整体定位。包括但不限于以下内容：</w:t>
            </w:r>
          </w:p>
          <w:p>
            <w:pPr>
              <w:pStyle w:val="6"/>
              <w:keepNext w:val="0"/>
              <w:keepLines w:val="0"/>
              <w:pageBreakBefore w:val="0"/>
              <w:suppressLineNumbers w:val="0"/>
              <w:kinsoku/>
              <w:overflowPunct/>
              <w:topLinePunct w:val="0"/>
              <w:bidi w:val="0"/>
              <w:snapToGrid/>
              <w:spacing w:before="0" w:beforeAutospacing="0" w:afterAutospacing="0" w:line="360" w:lineRule="auto"/>
              <w:ind w:left="0" w:right="0"/>
              <w:rPr>
                <w:rFonts w:hint="default" w:ascii="宋体" w:hAnsi="宋体" w:cs="宋体"/>
                <w:sz w:val="24"/>
              </w:rPr>
            </w:pPr>
            <w:r>
              <w:rPr>
                <w:rFonts w:hint="eastAsia" w:ascii="宋体" w:hAnsi="宋体" w:cs="宋体"/>
                <w:kern w:val="0"/>
                <w:sz w:val="24"/>
                <w:lang w:bidi="ar"/>
              </w:rPr>
              <w:t>（须包</w:t>
            </w:r>
            <w:r>
              <w:rPr>
                <w:rFonts w:hint="eastAsia" w:ascii="宋体" w:hAnsi="宋体" w:cs="宋体"/>
                <w:sz w:val="24"/>
              </w:rPr>
              <w:t>含</w:t>
            </w:r>
            <w:r>
              <w:rPr>
                <w:rFonts w:hint="eastAsia" w:ascii="宋体" w:hAnsi="宋体" w:cs="宋体"/>
                <w:sz w:val="24"/>
                <w:lang w:val="zh-CN"/>
              </w:rPr>
              <w:t>舞台剧和广播剧两个项目，广播剧可作为舞台剧项目的配套项目、也可作为单独项目</w:t>
            </w:r>
            <w:r>
              <w:rPr>
                <w:rFonts w:hint="eastAsia" w:ascii="宋体" w:hAnsi="宋体" w:cs="宋体"/>
                <w:kern w:val="0"/>
                <w:sz w:val="24"/>
                <w:lang w:bidi="ar"/>
              </w:rPr>
              <w:t>）</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1.</w:t>
            </w:r>
            <w:r>
              <w:rPr>
                <w:rFonts w:hint="eastAsia" w:ascii="宋体" w:hAnsi="宋体" w:cs="宋体"/>
                <w:sz w:val="24"/>
                <w:lang w:val="zh-CN"/>
              </w:rPr>
              <w:t>项目的整体</w:t>
            </w:r>
            <w:r>
              <w:rPr>
                <w:rFonts w:hint="eastAsia" w:ascii="宋体" w:hAnsi="宋体" w:cs="宋体"/>
                <w:kern w:val="0"/>
                <w:sz w:val="24"/>
                <w:lang w:bidi="ar"/>
              </w:rPr>
              <w:t>定位；</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2.</w:t>
            </w:r>
            <w:r>
              <w:rPr>
                <w:rFonts w:hint="eastAsia" w:ascii="宋体" w:hAnsi="宋体" w:cs="宋体"/>
                <w:sz w:val="24"/>
                <w:lang w:val="zh-CN"/>
              </w:rPr>
              <w:t>项目</w:t>
            </w:r>
            <w:r>
              <w:rPr>
                <w:rFonts w:hint="eastAsia" w:ascii="宋体" w:hAnsi="宋体" w:cs="宋体"/>
                <w:kern w:val="0"/>
                <w:sz w:val="24"/>
                <w:lang w:bidi="ar"/>
              </w:rPr>
              <w:t>的主题立意、创新理念、制作风格、表现形式、与前海及港澳的相关性；</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3.项目配套宣传方案。</w:t>
            </w:r>
          </w:p>
          <w:p>
            <w:pPr>
              <w:pStyle w:val="6"/>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（二）评分标准：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color w:val="000000"/>
                <w:sz w:val="24"/>
              </w:rPr>
            </w:pPr>
            <w:r>
              <w:rPr>
                <w:rFonts w:hint="eastAsia" w:ascii="宋体" w:hAnsi="宋体" w:cs="宋体"/>
                <w:color w:val="000000"/>
                <w:sz w:val="24"/>
                <w:lang w:bidi="ar"/>
              </w:rPr>
              <w:t>满足以上3点得</w:t>
            </w:r>
            <w:r>
              <w:rPr>
                <w:rFonts w:hint="eastAsia" w:ascii="宋体" w:hAnsi="宋体" w:cs="宋体"/>
                <w:color w:val="000000"/>
                <w:sz w:val="24"/>
                <w:lang w:val="en-US" w:eastAsia="zh-CN" w:bidi="ar"/>
              </w:rPr>
              <w:t>7</w:t>
            </w:r>
            <w:r>
              <w:rPr>
                <w:rFonts w:hint="eastAsia" w:ascii="宋体" w:hAnsi="宋体" w:cs="宋体"/>
                <w:color w:val="000000"/>
                <w:sz w:val="24"/>
                <w:lang w:bidi="ar"/>
              </w:rPr>
              <w:t>分，满足以上</w:t>
            </w:r>
            <w:r>
              <w:rPr>
                <w:rFonts w:hint="eastAsia" w:ascii="宋体" w:hAnsi="宋体" w:cs="宋体"/>
                <w:color w:val="000000"/>
                <w:sz w:val="24"/>
                <w:lang w:eastAsia="zh-CN" w:bidi="ar"/>
              </w:rPr>
              <w:t>任意</w:t>
            </w:r>
            <w:r>
              <w:rPr>
                <w:rFonts w:hint="eastAsia" w:ascii="宋体" w:hAnsi="宋体" w:cs="宋体"/>
                <w:color w:val="000000"/>
                <w:sz w:val="24"/>
                <w:lang w:bidi="ar"/>
              </w:rPr>
              <w:t>2点得</w:t>
            </w:r>
            <w:r>
              <w:rPr>
                <w:rFonts w:hint="eastAsia" w:ascii="宋体" w:hAnsi="宋体" w:cs="宋体"/>
                <w:color w:val="000000"/>
                <w:sz w:val="24"/>
                <w:lang w:val="en-US" w:eastAsia="zh-CN" w:bidi="ar"/>
              </w:rPr>
              <w:t>4</w:t>
            </w:r>
            <w:r>
              <w:rPr>
                <w:rFonts w:hint="eastAsia" w:ascii="宋体" w:hAnsi="宋体" w:cs="宋体"/>
                <w:color w:val="000000"/>
                <w:sz w:val="24"/>
                <w:lang w:bidi="ar"/>
              </w:rPr>
              <w:t>分，满足以上任意1点得</w:t>
            </w:r>
            <w:r>
              <w:rPr>
                <w:rFonts w:hint="eastAsia" w:ascii="宋体" w:hAnsi="宋体" w:cs="宋体"/>
                <w:color w:val="000000"/>
                <w:sz w:val="24"/>
                <w:lang w:val="en-US" w:eastAsia="zh-CN" w:bidi="ar"/>
              </w:rPr>
              <w:t>2</w:t>
            </w:r>
            <w:r>
              <w:rPr>
                <w:rFonts w:hint="eastAsia" w:ascii="宋体" w:hAnsi="宋体" w:cs="宋体"/>
                <w:color w:val="000000"/>
                <w:sz w:val="24"/>
                <w:lang w:bidi="ar"/>
              </w:rPr>
              <w:t>分，未满足不得分。在此基础上，评委根据各供应商的具体响应内容按照量化的评审因素指标进一步评审：</w:t>
            </w:r>
          </w:p>
          <w:p>
            <w:pPr>
              <w:pStyle w:val="16"/>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default"/>
              </w:rPr>
            </w:pPr>
            <w:r>
              <w:rPr>
                <w:rFonts w:hint="eastAsia"/>
                <w:color w:val="000000"/>
              </w:rPr>
              <w:t>优：项目的整体定位和</w:t>
            </w:r>
            <w:r>
              <w:rPr>
                <w:rFonts w:hint="eastAsia"/>
                <w:lang w:bidi="ar"/>
              </w:rPr>
              <w:t>创新理念</w:t>
            </w:r>
            <w:r>
              <w:rPr>
                <w:rFonts w:hint="eastAsia"/>
                <w:color w:val="000000"/>
              </w:rPr>
              <w:t>非常精准有特色、制作风格和表现形式非常丰富显著，配套</w:t>
            </w:r>
            <w:r>
              <w:rPr>
                <w:rFonts w:hint="eastAsia"/>
                <w:lang w:bidi="ar"/>
              </w:rPr>
              <w:t>宣传方案具体、全面、有效的，</w:t>
            </w:r>
            <w:r>
              <w:rPr>
                <w:rFonts w:hint="eastAsia"/>
                <w:color w:val="000000"/>
              </w:rPr>
              <w:t>得</w:t>
            </w:r>
            <w:r>
              <w:rPr>
                <w:rFonts w:hint="eastAsia"/>
                <w:color w:val="000000"/>
                <w:lang w:val="en-US" w:eastAsia="zh-CN"/>
              </w:rPr>
              <w:t>3</w:t>
            </w:r>
            <w:r>
              <w:rPr>
                <w:rFonts w:hint="eastAsia"/>
                <w:color w:val="000000"/>
              </w:rPr>
              <w:t>分；</w:t>
            </w:r>
          </w:p>
          <w:p>
            <w:pPr>
              <w:pStyle w:val="16"/>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default"/>
                <w:color w:val="000000"/>
              </w:rPr>
            </w:pPr>
            <w:r>
              <w:rPr>
                <w:rFonts w:hint="eastAsia"/>
                <w:color w:val="000000"/>
              </w:rPr>
              <w:t>良：项目的整体定位和</w:t>
            </w:r>
            <w:r>
              <w:rPr>
                <w:rFonts w:hint="eastAsia"/>
                <w:lang w:bidi="ar"/>
              </w:rPr>
              <w:t>创新理念</w:t>
            </w:r>
            <w:r>
              <w:rPr>
                <w:rFonts w:hint="eastAsia"/>
                <w:color w:val="000000"/>
              </w:rPr>
              <w:t>较精准有特色，制作风格和表现形式较丰富显著，配套</w:t>
            </w:r>
            <w:r>
              <w:rPr>
                <w:rFonts w:hint="eastAsia"/>
                <w:lang w:bidi="ar"/>
              </w:rPr>
              <w:t>宣传方案较具体、全面、有效的，</w:t>
            </w:r>
            <w:r>
              <w:rPr>
                <w:rFonts w:hint="eastAsia"/>
                <w:color w:val="000000"/>
              </w:rPr>
              <w:t>得</w:t>
            </w:r>
            <w:r>
              <w:rPr>
                <w:rFonts w:hint="eastAsia"/>
                <w:color w:val="000000"/>
                <w:lang w:val="en-US" w:eastAsia="zh-CN"/>
              </w:rPr>
              <w:t>2</w:t>
            </w:r>
            <w:r>
              <w:rPr>
                <w:rFonts w:hint="eastAsia"/>
                <w:color w:val="000000"/>
              </w:rPr>
              <w:t>分；</w:t>
            </w:r>
          </w:p>
          <w:p>
            <w:pPr>
              <w:pStyle w:val="16"/>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default"/>
                <w:color w:val="000000"/>
              </w:rPr>
            </w:pPr>
            <w:r>
              <w:rPr>
                <w:rFonts w:hint="eastAsia"/>
                <w:color w:val="000000"/>
              </w:rPr>
              <w:t>中：项目的整体定位和</w:t>
            </w:r>
            <w:r>
              <w:rPr>
                <w:rFonts w:hint="eastAsia"/>
                <w:lang w:bidi="ar"/>
              </w:rPr>
              <w:t>创新理念</w:t>
            </w:r>
            <w:r>
              <w:rPr>
                <w:rFonts w:hint="eastAsia"/>
                <w:color w:val="000000"/>
              </w:rPr>
              <w:t>基本准确不能突出特色，制作风格和表现形式不够丰富显著，配套</w:t>
            </w:r>
            <w:r>
              <w:rPr>
                <w:rFonts w:hint="eastAsia"/>
                <w:lang w:bidi="ar"/>
              </w:rPr>
              <w:t>宣传方案不够具体、全面、有效的，</w:t>
            </w:r>
            <w:r>
              <w:rPr>
                <w:rFonts w:hint="eastAsia"/>
                <w:color w:val="000000"/>
              </w:rPr>
              <w:t>得1分；</w:t>
            </w:r>
          </w:p>
          <w:p>
            <w:pPr>
              <w:pStyle w:val="16"/>
              <w:keepNext w:val="0"/>
              <w:keepLines w:val="0"/>
              <w:pageBreakBefore w:val="0"/>
              <w:suppressLineNumbers w:val="0"/>
              <w:kinsoku/>
              <w:overflowPunct/>
              <w:topLinePunct w:val="0"/>
              <w:bidi w:val="0"/>
              <w:snapToGrid/>
              <w:spacing w:before="0" w:beforeAutospacing="0" w:after="0" w:afterAutospacing="0" w:line="360" w:lineRule="auto"/>
              <w:ind w:left="0" w:right="0"/>
              <w:jc w:val="both"/>
              <w:rPr>
                <w:rFonts w:hint="default"/>
                <w:lang w:bidi="ar"/>
              </w:rPr>
            </w:pPr>
            <w:r>
              <w:rPr>
                <w:rFonts w:hint="eastAsia"/>
                <w:color w:val="000000"/>
              </w:rPr>
              <w:t>差：项目的整体定位和</w:t>
            </w:r>
            <w:r>
              <w:rPr>
                <w:rFonts w:hint="eastAsia"/>
                <w:lang w:bidi="ar"/>
              </w:rPr>
              <w:t>创新理念</w:t>
            </w:r>
            <w:r>
              <w:rPr>
                <w:rFonts w:hint="eastAsia"/>
                <w:color w:val="000000"/>
              </w:rPr>
              <w:t>没有特色，制作风格和表现形式单一苍白，配套</w:t>
            </w:r>
            <w:r>
              <w:rPr>
                <w:rFonts w:hint="eastAsia"/>
                <w:lang w:bidi="ar"/>
              </w:rPr>
              <w:t>宣传方案不具体、全面、有效</w:t>
            </w:r>
            <w:r>
              <w:rPr>
                <w:rFonts w:hint="eastAsia"/>
                <w:color w:val="000000"/>
              </w:rPr>
              <w:t>的，不得分。</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10</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3</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质量（完成时间、安全、环保）保障措施及方案</w:t>
            </w:r>
          </w:p>
        </w:tc>
        <w:tc>
          <w:tcPr>
            <w:tcW w:w="2782" w:type="pct"/>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（一）评审内容：</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1.项目进度安排；</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2.质量保障措施。</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val="zh-CN" w:bidi="ar"/>
              </w:rPr>
            </w:pPr>
            <w:r>
              <w:rPr>
                <w:rFonts w:hint="eastAsia" w:ascii="宋体" w:hAnsi="宋体" w:cs="宋体"/>
                <w:kern w:val="0"/>
                <w:sz w:val="24"/>
                <w:lang w:val="zh-CN" w:bidi="ar"/>
              </w:rPr>
              <w:t>（</w:t>
            </w:r>
            <w:r>
              <w:rPr>
                <w:rFonts w:hint="eastAsia" w:ascii="宋体" w:hAnsi="宋体" w:cs="宋体"/>
                <w:kern w:val="0"/>
                <w:sz w:val="24"/>
                <w:lang w:bidi="ar"/>
              </w:rPr>
              <w:t>二</w:t>
            </w:r>
            <w:r>
              <w:rPr>
                <w:rFonts w:hint="eastAsia" w:ascii="宋体" w:hAnsi="宋体" w:cs="宋体"/>
                <w:kern w:val="0"/>
                <w:sz w:val="24"/>
                <w:lang w:val="zh-CN" w:bidi="ar"/>
              </w:rPr>
              <w:t>）</w:t>
            </w:r>
            <w:r>
              <w:rPr>
                <w:rFonts w:hint="eastAsia" w:ascii="宋体" w:hAnsi="宋体" w:cs="宋体"/>
                <w:kern w:val="0"/>
                <w:sz w:val="24"/>
                <w:lang w:bidi="ar"/>
              </w:rPr>
              <w:t>评审标准</w:t>
            </w:r>
            <w:r>
              <w:rPr>
                <w:rFonts w:hint="eastAsia" w:ascii="宋体" w:hAnsi="宋体" w:cs="宋体"/>
                <w:kern w:val="0"/>
                <w:sz w:val="24"/>
                <w:lang w:val="zh-CN" w:bidi="ar"/>
              </w:rPr>
              <w:t>：</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满足以上两项要求得</w:t>
            </w:r>
            <w:r>
              <w:rPr>
                <w:rFonts w:hint="eastAsia" w:ascii="宋体" w:hAnsi="宋体" w:cs="宋体"/>
                <w:kern w:val="0"/>
                <w:sz w:val="24"/>
                <w:lang w:val="en-US" w:eastAsia="zh-CN" w:bidi="ar"/>
              </w:rPr>
              <w:t>3</w:t>
            </w:r>
            <w:r>
              <w:rPr>
                <w:rFonts w:hint="eastAsia" w:ascii="宋体" w:hAnsi="宋体" w:cs="宋体"/>
                <w:kern w:val="0"/>
                <w:sz w:val="24"/>
                <w:lang w:bidi="ar"/>
              </w:rPr>
              <w:t>分，满足以上</w:t>
            </w:r>
            <w:r>
              <w:rPr>
                <w:rFonts w:hint="eastAsia" w:ascii="宋体" w:hAnsi="宋体" w:cs="宋体"/>
                <w:kern w:val="0"/>
                <w:sz w:val="24"/>
                <w:lang w:eastAsia="zh-CN" w:bidi="ar"/>
              </w:rPr>
              <w:t>任意</w:t>
            </w:r>
            <w:r>
              <w:rPr>
                <w:rFonts w:hint="eastAsia" w:ascii="宋体" w:hAnsi="宋体" w:cs="宋体"/>
                <w:kern w:val="0"/>
                <w:sz w:val="24"/>
                <w:lang w:bidi="ar"/>
              </w:rPr>
              <w:t>一项要求得1分，其它情况不得分。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eastAsia" w:ascii="宋体" w:hAnsi="宋体" w:cs="宋体"/>
                <w:kern w:val="0"/>
                <w:sz w:val="24"/>
                <w:lang w:bidi="ar"/>
              </w:rPr>
            </w:pPr>
            <w:r>
              <w:rPr>
                <w:rFonts w:hint="eastAsia" w:ascii="宋体" w:hAnsi="宋体" w:cs="宋体"/>
                <w:kern w:val="0"/>
                <w:sz w:val="24"/>
                <w:lang w:bidi="ar"/>
              </w:rPr>
              <w:t>在此基础上，专家根据各供应商的具体响应内容进一步评审，</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评审为优(方案内容针对性强，全面具体，且科学合理可操作性强）的加</w:t>
            </w:r>
            <w:r>
              <w:rPr>
                <w:rFonts w:hint="eastAsia" w:ascii="宋体" w:hAnsi="宋体" w:cs="宋体"/>
                <w:kern w:val="0"/>
                <w:sz w:val="24"/>
                <w:lang w:val="en-US" w:eastAsia="zh-CN" w:bidi="ar"/>
              </w:rPr>
              <w:t>2</w:t>
            </w:r>
            <w:r>
              <w:rPr>
                <w:rFonts w:hint="eastAsia" w:ascii="宋体" w:hAnsi="宋体" w:cs="宋体"/>
                <w:kern w:val="0"/>
                <w:sz w:val="24"/>
                <w:lang w:bidi="ar"/>
              </w:rPr>
              <w:t>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 xml:space="preserve">评审为良(方案内容措施针对性较强，较全面具体，科学合理可操作性较好）的加 </w:t>
            </w:r>
            <w:r>
              <w:rPr>
                <w:rFonts w:hint="eastAsia" w:ascii="宋体" w:hAnsi="宋体" w:cs="宋体"/>
                <w:kern w:val="0"/>
                <w:sz w:val="24"/>
                <w:lang w:val="en-US" w:eastAsia="zh-CN" w:bidi="ar"/>
              </w:rPr>
              <w:t>1</w:t>
            </w:r>
            <w:r>
              <w:rPr>
                <w:rFonts w:hint="eastAsia" w:ascii="宋体" w:hAnsi="宋体" w:cs="宋体"/>
                <w:kern w:val="0"/>
                <w:sz w:val="24"/>
                <w:lang w:bidi="ar"/>
              </w:rPr>
              <w:t>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评审为中（针对性一般，合理及可操作性一般）的加</w:t>
            </w:r>
            <w:r>
              <w:rPr>
                <w:rFonts w:hint="eastAsia" w:ascii="宋体" w:hAnsi="宋体" w:cs="宋体"/>
                <w:kern w:val="0"/>
                <w:sz w:val="24"/>
                <w:lang w:val="en-US" w:eastAsia="zh-CN" w:bidi="ar"/>
              </w:rPr>
              <w:t>0.5</w:t>
            </w:r>
            <w:r>
              <w:rPr>
                <w:rFonts w:hint="eastAsia" w:ascii="宋体" w:hAnsi="宋体" w:cs="宋体"/>
                <w:kern w:val="0"/>
                <w:sz w:val="24"/>
                <w:lang w:bidi="ar"/>
              </w:rPr>
              <w:t>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评价为差（总体方案无特点，方案较差）不得分。</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5</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4</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违约承诺</w:t>
            </w:r>
          </w:p>
        </w:tc>
        <w:tc>
          <w:tcPr>
            <w:tcW w:w="2782" w:type="pct"/>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（一）评审内容：</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1.提供专业及稳定的技术团队</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2.提供完善的保障体系。</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val="zh-CN" w:bidi="ar"/>
              </w:rPr>
            </w:pPr>
            <w:r>
              <w:rPr>
                <w:rFonts w:hint="eastAsia" w:ascii="宋体" w:hAnsi="宋体" w:cs="宋体"/>
                <w:kern w:val="0"/>
                <w:sz w:val="24"/>
                <w:lang w:val="zh-CN" w:bidi="ar"/>
              </w:rPr>
              <w:t>（</w:t>
            </w:r>
            <w:r>
              <w:rPr>
                <w:rFonts w:hint="eastAsia" w:ascii="宋体" w:hAnsi="宋体" w:cs="宋体"/>
                <w:kern w:val="0"/>
                <w:sz w:val="24"/>
                <w:lang w:bidi="ar"/>
              </w:rPr>
              <w:t>二</w:t>
            </w:r>
            <w:r>
              <w:rPr>
                <w:rFonts w:hint="eastAsia" w:ascii="宋体" w:hAnsi="宋体" w:cs="宋体"/>
                <w:kern w:val="0"/>
                <w:sz w:val="24"/>
                <w:lang w:val="zh-CN" w:bidi="ar"/>
              </w:rPr>
              <w:t>）</w:t>
            </w:r>
            <w:r>
              <w:rPr>
                <w:rFonts w:hint="eastAsia" w:ascii="宋体" w:hAnsi="宋体" w:cs="宋体"/>
                <w:kern w:val="0"/>
                <w:sz w:val="24"/>
                <w:lang w:bidi="ar"/>
              </w:rPr>
              <w:t>评审标准</w:t>
            </w:r>
            <w:r>
              <w:rPr>
                <w:rFonts w:hint="eastAsia" w:ascii="宋体" w:hAnsi="宋体" w:cs="宋体"/>
                <w:kern w:val="0"/>
                <w:sz w:val="24"/>
                <w:lang w:val="zh-CN" w:bidi="ar"/>
              </w:rPr>
              <w:t>：</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满足以上两项要求得</w:t>
            </w:r>
            <w:r>
              <w:rPr>
                <w:rFonts w:hint="eastAsia" w:ascii="宋体" w:hAnsi="宋体" w:cs="宋体"/>
                <w:kern w:val="0"/>
                <w:sz w:val="24"/>
                <w:lang w:val="en-US" w:eastAsia="zh-CN" w:bidi="ar"/>
              </w:rPr>
              <w:t>3</w:t>
            </w:r>
            <w:r>
              <w:rPr>
                <w:rFonts w:hint="eastAsia" w:ascii="宋体" w:hAnsi="宋体" w:cs="宋体"/>
                <w:kern w:val="0"/>
                <w:sz w:val="24"/>
                <w:lang w:bidi="ar"/>
              </w:rPr>
              <w:t>分，满足以上</w:t>
            </w:r>
            <w:r>
              <w:rPr>
                <w:rFonts w:hint="eastAsia" w:ascii="宋体" w:hAnsi="宋体" w:cs="宋体"/>
                <w:kern w:val="0"/>
                <w:sz w:val="24"/>
                <w:lang w:eastAsia="zh-CN" w:bidi="ar"/>
              </w:rPr>
              <w:t>任意</w:t>
            </w:r>
            <w:r>
              <w:rPr>
                <w:rFonts w:hint="eastAsia" w:ascii="宋体" w:hAnsi="宋体" w:cs="宋体"/>
                <w:kern w:val="0"/>
                <w:sz w:val="24"/>
                <w:lang w:bidi="ar"/>
              </w:rPr>
              <w:t>一项要求得1分，其它情况不得分。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在此基础上，专家根据各供应商的具体响应内容进一步评审，评审为优(方案内容针对性强，全面具体，且科学合理可操作性强）的加</w:t>
            </w:r>
            <w:r>
              <w:rPr>
                <w:rFonts w:hint="eastAsia" w:ascii="宋体" w:hAnsi="宋体" w:cs="宋体"/>
                <w:kern w:val="0"/>
                <w:sz w:val="24"/>
                <w:lang w:val="en-US" w:eastAsia="zh-CN" w:bidi="ar"/>
              </w:rPr>
              <w:t>2</w:t>
            </w:r>
            <w:r>
              <w:rPr>
                <w:rFonts w:hint="eastAsia" w:ascii="宋体" w:hAnsi="宋体" w:cs="宋体"/>
                <w:kern w:val="0"/>
                <w:sz w:val="24"/>
                <w:lang w:bidi="ar"/>
              </w:rPr>
              <w:t>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 xml:space="preserve">评审为良(方案内容措施针对性较强，较全面具体，科学合理可操作性较好）的加 </w:t>
            </w:r>
            <w:r>
              <w:rPr>
                <w:rFonts w:hint="eastAsia" w:ascii="宋体" w:hAnsi="宋体" w:cs="宋体"/>
                <w:kern w:val="0"/>
                <w:sz w:val="24"/>
                <w:lang w:val="en-US" w:eastAsia="zh-CN" w:bidi="ar"/>
              </w:rPr>
              <w:t>1</w:t>
            </w:r>
            <w:r>
              <w:rPr>
                <w:rFonts w:hint="eastAsia" w:ascii="宋体" w:hAnsi="宋体" w:cs="宋体"/>
                <w:kern w:val="0"/>
                <w:sz w:val="24"/>
                <w:lang w:bidi="ar"/>
              </w:rPr>
              <w:t>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评审为中（针对性一般，合理及可操作性一般）的加</w:t>
            </w:r>
            <w:r>
              <w:rPr>
                <w:rFonts w:hint="eastAsia" w:ascii="宋体" w:hAnsi="宋体" w:cs="宋体"/>
                <w:kern w:val="0"/>
                <w:sz w:val="24"/>
                <w:lang w:val="en-US" w:eastAsia="zh-CN" w:bidi="ar"/>
              </w:rPr>
              <w:t>0.5</w:t>
            </w:r>
            <w:r>
              <w:rPr>
                <w:rFonts w:hint="eastAsia" w:ascii="宋体" w:hAnsi="宋体" w:cs="宋体"/>
                <w:kern w:val="0"/>
                <w:sz w:val="24"/>
                <w:lang w:bidi="ar"/>
              </w:rPr>
              <w:t>分；</w:t>
            </w:r>
          </w:p>
          <w:p>
            <w:pPr>
              <w:keepNext w:val="0"/>
              <w:keepLines w:val="0"/>
              <w:pageBreakBefore w:val="0"/>
              <w:suppressLineNumbers w:val="0"/>
              <w:kinsoku/>
              <w:overflowPunct/>
              <w:topLinePunct w:val="0"/>
              <w:bidi w:val="0"/>
              <w:snapToGrid/>
              <w:spacing w:before="0" w:beforeAutospacing="0" w:after="0" w:afterAutospacing="0" w:line="360" w:lineRule="auto"/>
              <w:ind w:left="0" w:right="0"/>
              <w:rPr>
                <w:rFonts w:hint="default" w:ascii="宋体" w:hAnsi="宋体" w:cs="宋体"/>
                <w:kern w:val="0"/>
                <w:sz w:val="24"/>
                <w:lang w:bidi="ar"/>
              </w:rPr>
            </w:pPr>
            <w:r>
              <w:rPr>
                <w:rFonts w:hint="eastAsia" w:ascii="宋体" w:hAnsi="宋体" w:cs="宋体"/>
                <w:kern w:val="0"/>
                <w:sz w:val="24"/>
                <w:lang w:bidi="ar"/>
              </w:rPr>
              <w:t>评价为差（总体方案无特点，方案较差）不得分。</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5</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5</w:t>
            </w:r>
          </w:p>
        </w:tc>
        <w:tc>
          <w:tcPr>
            <w:tcW w:w="95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服务响应</w:t>
            </w:r>
          </w:p>
        </w:tc>
        <w:tc>
          <w:tcPr>
            <w:tcW w:w="2782"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left"/>
              <w:textAlignment w:val="center"/>
              <w:rPr>
                <w:rFonts w:hint="default" w:ascii="宋体" w:hAnsi="宋体" w:cs="宋体"/>
                <w:kern w:val="0"/>
                <w:sz w:val="24"/>
                <w:lang w:bidi="ar"/>
              </w:rPr>
            </w:pPr>
            <w:r>
              <w:rPr>
                <w:rFonts w:hint="eastAsia" w:ascii="宋体" w:hAnsi="宋体" w:cs="宋体"/>
                <w:kern w:val="0"/>
                <w:sz w:val="24"/>
                <w:lang w:bidi="ar"/>
              </w:rPr>
              <w:t>提供</w:t>
            </w:r>
            <w:r>
              <w:rPr>
                <w:rFonts w:hint="eastAsia" w:ascii="宋体" w:hAnsi="宋体" w:cs="宋体"/>
                <w:sz w:val="24"/>
                <w:shd w:val="clear" w:color="auto" w:fill="FFFFFF"/>
              </w:rPr>
              <w:t>项目的</w:t>
            </w:r>
            <w:r>
              <w:rPr>
                <w:rFonts w:hint="eastAsia" w:ascii="宋体" w:hAnsi="宋体" w:cs="宋体"/>
                <w:kern w:val="0"/>
                <w:sz w:val="24"/>
                <w:lang w:val="en-US" w:eastAsia="zh-CN" w:bidi="ar"/>
              </w:rPr>
              <w:t>剧本</w:t>
            </w:r>
            <w:r>
              <w:rPr>
                <w:rFonts w:hint="eastAsia" w:ascii="宋体" w:hAnsi="宋体" w:cs="宋体"/>
                <w:kern w:val="0"/>
                <w:sz w:val="24"/>
                <w:lang w:bidi="ar"/>
              </w:rPr>
              <w:t>、</w:t>
            </w:r>
            <w:r>
              <w:rPr>
                <w:rFonts w:hint="eastAsia" w:ascii="宋体" w:hAnsi="宋体" w:cs="宋体"/>
                <w:kern w:val="0"/>
                <w:sz w:val="24"/>
                <w:lang w:val="en-US" w:eastAsia="zh-CN" w:bidi="ar"/>
              </w:rPr>
              <w:t>设计图</w:t>
            </w:r>
            <w:r>
              <w:rPr>
                <w:rFonts w:hint="eastAsia" w:ascii="宋体" w:hAnsi="宋体" w:cs="宋体"/>
                <w:kern w:val="0"/>
                <w:sz w:val="24"/>
                <w:lang w:bidi="ar"/>
              </w:rPr>
              <w:t>、</w:t>
            </w:r>
            <w:r>
              <w:rPr>
                <w:rFonts w:hint="eastAsia" w:ascii="宋体" w:hAnsi="宋体" w:cs="宋体"/>
                <w:kern w:val="0"/>
                <w:sz w:val="24"/>
                <w:lang w:val="en-US" w:eastAsia="zh-CN" w:bidi="ar"/>
              </w:rPr>
              <w:t>音乐</w:t>
            </w:r>
            <w:r>
              <w:rPr>
                <w:rFonts w:hint="eastAsia" w:ascii="宋体" w:hAnsi="宋体" w:cs="宋体"/>
                <w:sz w:val="24"/>
                <w:shd w:val="clear" w:color="auto" w:fill="FFFFFF"/>
              </w:rPr>
              <w:t>及</w:t>
            </w:r>
            <w:r>
              <w:rPr>
                <w:rFonts w:hint="eastAsia" w:ascii="宋体" w:hAnsi="宋体" w:cs="宋体"/>
                <w:sz w:val="24"/>
                <w:shd w:val="clear" w:color="auto" w:fill="FFFFFF"/>
                <w:lang w:eastAsia="zh-CN"/>
              </w:rPr>
              <w:t>广播剧</w:t>
            </w:r>
            <w:r>
              <w:rPr>
                <w:rFonts w:hint="eastAsia" w:ascii="宋体" w:hAnsi="宋体" w:cs="宋体"/>
                <w:sz w:val="24"/>
                <w:shd w:val="clear" w:color="auto" w:fill="FFFFFF"/>
              </w:rPr>
              <w:t>项目的</w:t>
            </w:r>
            <w:r>
              <w:rPr>
                <w:rFonts w:hint="eastAsia" w:ascii="宋体" w:hAnsi="宋体" w:cs="宋体"/>
                <w:kern w:val="0"/>
                <w:sz w:val="24"/>
                <w:lang w:val="en-US" w:eastAsia="zh-CN" w:bidi="ar"/>
              </w:rPr>
              <w:t>剧本</w:t>
            </w:r>
            <w:r>
              <w:rPr>
                <w:rFonts w:hint="eastAsia" w:ascii="宋体" w:hAnsi="宋体" w:cs="宋体"/>
                <w:kern w:val="0"/>
                <w:sz w:val="24"/>
                <w:lang w:bidi="ar"/>
              </w:rPr>
              <w:t>修改更新服务，响应时间不超过24小时。提供包括以上内容的承诺函（格式自拟）加盖投标人公章得满分，未提供或承诺内容不满足不得分。</w:t>
            </w:r>
          </w:p>
        </w:tc>
        <w:tc>
          <w:tcPr>
            <w:tcW w:w="450"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5</w:t>
            </w:r>
          </w:p>
        </w:tc>
        <w:tc>
          <w:tcPr>
            <w:tcW w:w="423" w:type="pct"/>
            <w:noWrap w:val="0"/>
            <w:vAlign w:val="center"/>
          </w:tcPr>
          <w:p>
            <w:pPr>
              <w:keepNext w:val="0"/>
              <w:keepLines w:val="0"/>
              <w:pageBreakBefore w:val="0"/>
              <w:widowControl/>
              <w:suppressLineNumbers w:val="0"/>
              <w:kinsoku/>
              <w:overflowPunct/>
              <w:topLinePunct w:val="0"/>
              <w:bidi w:val="0"/>
              <w:snapToGrid/>
              <w:spacing w:before="0" w:beforeAutospacing="0" w:after="0" w:afterAutospacing="0" w:line="360" w:lineRule="auto"/>
              <w:ind w:left="0" w:right="0"/>
              <w:jc w:val="center"/>
              <w:textAlignment w:val="center"/>
              <w:rPr>
                <w:rFonts w:hint="default" w:ascii="宋体" w:hAnsi="宋体" w:cs="宋体"/>
                <w:kern w:val="0"/>
                <w:sz w:val="24"/>
                <w:lang w:bidi="ar"/>
              </w:rPr>
            </w:pPr>
            <w:r>
              <w:rPr>
                <w:rFonts w:hint="eastAsia" w:ascii="宋体" w:hAnsi="宋体" w:cs="宋体"/>
                <w:kern w:val="0"/>
                <w:sz w:val="24"/>
                <w:lang w:bidi="ar"/>
              </w:rPr>
              <w:t>评审委员打分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四、诚信部分（5分）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1" w:type="pct"/>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1</w:t>
            </w:r>
          </w:p>
        </w:tc>
        <w:tc>
          <w:tcPr>
            <w:tcW w:w="952" w:type="pct"/>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诚信管理情况</w:t>
            </w:r>
          </w:p>
        </w:tc>
        <w:tc>
          <w:tcPr>
            <w:tcW w:w="4909" w:type="dxa"/>
            <w:noWrap w:val="0"/>
            <w:vAlign w:val="center"/>
          </w:tcPr>
          <w:p>
            <w:pPr>
              <w:keepNext w:val="0"/>
              <w:keepLines w:val="0"/>
              <w:suppressLineNumbers w:val="0"/>
              <w:autoSpaceDE w:val="0"/>
              <w:autoSpaceDN w:val="0"/>
              <w:adjustRightInd w:val="0"/>
              <w:spacing w:before="0" w:beforeAutospacing="0" w:after="0" w:afterAutospacing="0" w:line="360" w:lineRule="exact"/>
              <w:ind w:left="0" w:right="0"/>
              <w:rPr>
                <w:rFonts w:hint="eastAsia" w:ascii="宋体" w:hAnsi="宋体"/>
                <w:sz w:val="24"/>
                <w:lang w:val="zh-CN"/>
              </w:rPr>
            </w:pPr>
            <w:r>
              <w:rPr>
                <w:rFonts w:hint="eastAsia" w:ascii="宋体" w:hAnsi="宋体"/>
                <w:sz w:val="24"/>
                <w:lang w:val="zh-CN" w:bidi="ar"/>
              </w:rPr>
              <w:t>（一）评审内容：</w:t>
            </w:r>
          </w:p>
          <w:p>
            <w:pPr>
              <w:keepNext w:val="0"/>
              <w:keepLines w:val="0"/>
              <w:suppressLineNumbers w:val="0"/>
              <w:autoSpaceDE w:val="0"/>
              <w:autoSpaceDN w:val="0"/>
              <w:adjustRightInd w:val="0"/>
              <w:spacing w:before="0" w:beforeAutospacing="0" w:after="0" w:afterAutospacing="0" w:line="360" w:lineRule="exact"/>
              <w:ind w:left="0" w:right="0"/>
              <w:rPr>
                <w:rFonts w:hint="eastAsia" w:ascii="宋体" w:hAnsi="宋体"/>
                <w:sz w:val="24"/>
                <w:lang w:val="zh-CN" w:bidi="ar"/>
              </w:rPr>
            </w:pPr>
            <w:r>
              <w:rPr>
                <w:rFonts w:hint="eastAsia" w:ascii="宋体" w:hAnsi="宋体"/>
                <w:sz w:val="24"/>
                <w:lang w:val="zh-CN" w:bidi="ar"/>
              </w:rPr>
              <w:t>投标人存在《深圳市财政局政府采购供应商信用信息管理办法》（深财规〔2023〕3号）列明的一般行政处罚信息、一般违法失信记录信息的，本项不得分，不存在上述情形的本项得</w:t>
            </w:r>
            <w:r>
              <w:rPr>
                <w:rFonts w:hint="eastAsia" w:ascii="宋体" w:hAnsi="宋体"/>
                <w:sz w:val="24"/>
                <w:lang w:bidi="ar"/>
              </w:rPr>
              <w:t>5</w:t>
            </w:r>
            <w:r>
              <w:rPr>
                <w:rFonts w:hint="eastAsia" w:ascii="宋体" w:hAnsi="宋体"/>
                <w:sz w:val="24"/>
                <w:lang w:val="zh-CN" w:bidi="ar"/>
              </w:rPr>
              <w:t>分。投标人无需提供任何证明材料，评标过程中由工作人员向评审委员会提供有关投标人诚信查询结果。</w:t>
            </w:r>
          </w:p>
          <w:p>
            <w:pPr>
              <w:keepNext w:val="0"/>
              <w:keepLines w:val="0"/>
              <w:suppressLineNumbers w:val="0"/>
              <w:autoSpaceDE w:val="0"/>
              <w:autoSpaceDN w:val="0"/>
              <w:adjustRightInd w:val="0"/>
              <w:spacing w:before="0" w:beforeAutospacing="0" w:after="0" w:afterAutospacing="0" w:line="360" w:lineRule="exact"/>
              <w:ind w:left="0" w:right="0"/>
              <w:rPr>
                <w:rFonts w:hint="eastAsia" w:ascii="宋体" w:hAnsi="宋体"/>
                <w:sz w:val="24"/>
                <w:lang w:val="zh-CN"/>
              </w:rPr>
            </w:pPr>
            <w:r>
              <w:rPr>
                <w:rFonts w:hint="eastAsia" w:ascii="宋体" w:hAnsi="宋体"/>
                <w:sz w:val="24"/>
                <w:lang w:val="zh-CN" w:bidi="ar"/>
              </w:rPr>
              <w:t>（</w:t>
            </w:r>
            <w:r>
              <w:rPr>
                <w:rFonts w:hint="eastAsia" w:ascii="宋体" w:hAnsi="宋体"/>
                <w:sz w:val="24"/>
                <w:lang w:bidi="ar"/>
              </w:rPr>
              <w:t>二</w:t>
            </w:r>
            <w:r>
              <w:rPr>
                <w:rFonts w:hint="eastAsia" w:ascii="宋体" w:hAnsi="宋体"/>
                <w:sz w:val="24"/>
                <w:lang w:val="zh-CN" w:bidi="ar"/>
              </w:rPr>
              <w:t>）评分标准：</w:t>
            </w:r>
          </w:p>
          <w:p>
            <w:pPr>
              <w:keepNext w:val="0"/>
              <w:keepLines w:val="0"/>
              <w:suppressLineNumbers w:val="0"/>
              <w:autoSpaceDE w:val="0"/>
              <w:autoSpaceDN w:val="0"/>
              <w:adjustRightInd w:val="0"/>
              <w:spacing w:before="0" w:beforeAutospacing="0" w:after="0" w:afterAutospacing="0" w:line="360" w:lineRule="exact"/>
              <w:ind w:left="0" w:leftChars="0" w:right="0" w:rightChars="0"/>
              <w:rPr>
                <w:rFonts w:hint="default" w:ascii="宋体" w:hAnsi="宋体" w:cs="宋体"/>
                <w:kern w:val="0"/>
                <w:sz w:val="24"/>
                <w:lang w:bidi="ar"/>
              </w:rPr>
            </w:pPr>
            <w:r>
              <w:rPr>
                <w:rFonts w:hint="eastAsia" w:ascii="宋体" w:hAnsi="宋体"/>
                <w:sz w:val="24"/>
                <w:lang w:val="zh-CN" w:bidi="ar"/>
              </w:rPr>
              <w:t>查询渠道：通过“信用中国”（www.creditchina.gov.cn，下载信用信息报告）、“中国政府采购网”（www.ccgp.gov.cn）以及“深圳市政府采购监管网”（http://zfcg.sz.gov.cn）查询投标人信用信息，信用信息以开标当日的查询结果为准。</w:t>
            </w:r>
          </w:p>
        </w:tc>
        <w:tc>
          <w:tcPr>
            <w:tcW w:w="450" w:type="pct"/>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5</w:t>
            </w:r>
          </w:p>
        </w:tc>
        <w:tc>
          <w:tcPr>
            <w:tcW w:w="423" w:type="pct"/>
            <w:noWrap w:val="0"/>
            <w:vAlign w:val="center"/>
          </w:tcPr>
          <w:p>
            <w:pPr>
              <w:keepNext w:val="0"/>
              <w:keepLines w:val="0"/>
              <w:pageBreakBefore w:val="0"/>
              <w:suppressLineNumbers w:val="0"/>
              <w:kinsoku/>
              <w:overflowPunct/>
              <w:topLinePunct w:val="0"/>
              <w:bidi w:val="0"/>
              <w:snapToGrid/>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评审委员打分</w:t>
            </w:r>
          </w:p>
        </w:tc>
      </w:tr>
    </w:tbl>
    <w:p>
      <w:pPr>
        <w:tabs>
          <w:tab w:val="left" w:pos="1198"/>
        </w:tabs>
        <w:bidi w:val="0"/>
        <w:jc w:val="left"/>
        <w:rPr>
          <w:lang w:val="en-US" w:eastAsia="zh-CN"/>
        </w:rPr>
        <w:sectPr>
          <w:pgSz w:w="11906" w:h="16838"/>
          <w:pgMar w:top="1440" w:right="1650" w:bottom="1440" w:left="1650" w:header="851" w:footer="992" w:gutter="0"/>
          <w:pgNumType w:fmt="decimal"/>
          <w:cols w:space="720" w:num="1"/>
          <w:docGrid w:type="lines" w:linePitch="319" w:charSpace="0"/>
        </w:sectPr>
      </w:pPr>
    </w:p>
    <w:p>
      <w:pPr>
        <w:spacing w:line="360" w:lineRule="auto"/>
        <w:jc w:val="center"/>
        <w:outlineLvl w:val="0"/>
        <w:rPr>
          <w:rFonts w:ascii="宋体" w:hAnsi="宋体" w:cs="宋体"/>
          <w:b/>
          <w:bCs/>
          <w:color w:val="auto"/>
          <w:sz w:val="24"/>
          <w:highlight w:val="none"/>
        </w:rPr>
      </w:pPr>
      <w:bookmarkStart w:id="27" w:name="_Toc834"/>
      <w:bookmarkStart w:id="28" w:name="_Hlk28269117"/>
      <w:r>
        <w:rPr>
          <w:rFonts w:hint="eastAsia" w:ascii="宋体" w:hAnsi="宋体" w:cs="宋体"/>
          <w:b/>
          <w:bCs/>
          <w:color w:val="auto"/>
          <w:sz w:val="24"/>
          <w:highlight w:val="none"/>
        </w:rPr>
        <w:t>第七章 附件（投标文件格式）</w:t>
      </w:r>
      <w:bookmarkEnd w:id="27"/>
    </w:p>
    <w:p>
      <w:pPr>
        <w:keepNext/>
        <w:keepLines/>
        <w:spacing w:before="260" w:after="260" w:line="360" w:lineRule="auto"/>
        <w:jc w:val="center"/>
        <w:outlineLvl w:val="1"/>
        <w:rPr>
          <w:rFonts w:ascii="宋体" w:hAnsi="宋体" w:cs="宋体"/>
          <w:b/>
          <w:bCs/>
          <w:color w:val="auto"/>
          <w:sz w:val="24"/>
          <w:highlight w:val="none"/>
        </w:rPr>
      </w:pPr>
      <w:bookmarkStart w:id="29" w:name="_Toc6548"/>
      <w:bookmarkStart w:id="30" w:name="_Toc19494"/>
      <w:bookmarkStart w:id="31" w:name="_Toc5116"/>
      <w:bookmarkStart w:id="32" w:name="_Toc31827"/>
      <w:r>
        <w:rPr>
          <w:rFonts w:hint="eastAsia" w:ascii="宋体" w:hAnsi="宋体" w:cs="宋体"/>
          <w:b/>
          <w:color w:val="auto"/>
          <w:sz w:val="24"/>
          <w:highlight w:val="none"/>
        </w:rPr>
        <w:t>一、</w:t>
      </w:r>
      <w:r>
        <w:rPr>
          <w:rFonts w:hint="eastAsia" w:ascii="宋体" w:hAnsi="宋体" w:cs="宋体"/>
          <w:b/>
          <w:bCs/>
          <w:color w:val="auto"/>
          <w:sz w:val="24"/>
          <w:highlight w:val="none"/>
        </w:rPr>
        <w:t>投标文件包装封面参考</w:t>
      </w:r>
      <w:bookmarkEnd w:id="29"/>
      <w:bookmarkEnd w:id="30"/>
      <w:bookmarkEnd w:id="31"/>
      <w:bookmarkEnd w:id="32"/>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黑体" w:eastAsia="黑体"/>
                <w:b/>
                <w:color w:val="auto"/>
                <w:sz w:val="72"/>
                <w:szCs w:val="7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color w:val="auto"/>
                <w:sz w:val="72"/>
                <w:szCs w:val="72"/>
                <w:highlight w:val="none"/>
              </w:rPr>
            </w:pPr>
            <w:r>
              <w:rPr>
                <w:rFonts w:hint="eastAsia" w:ascii="黑体" w:eastAsia="黑体"/>
                <w:b/>
                <w:color w:val="auto"/>
                <w:sz w:val="72"/>
                <w:szCs w:val="72"/>
                <w:highlight w:val="none"/>
              </w:rPr>
              <w:t>投 标 文 件</w:t>
            </w:r>
          </w:p>
          <w:p>
            <w:pPr>
              <w:pStyle w:val="6"/>
              <w:keepNext w:val="0"/>
              <w:keepLines w:val="0"/>
              <w:suppressLineNumbers w:val="0"/>
              <w:tabs>
                <w:tab w:val="left" w:pos="562"/>
                <w:tab w:val="left" w:pos="3372"/>
                <w:tab w:val="left" w:pos="3653"/>
              </w:tabs>
              <w:spacing w:before="0" w:beforeAutospacing="0" w:afterAutospacing="0" w:line="360" w:lineRule="auto"/>
              <w:ind w:left="0" w:right="0"/>
              <w:jc w:val="center"/>
              <w:rPr>
                <w:rFonts w:hint="default" w:ascii="黑体" w:eastAsia="黑体"/>
                <w:b/>
                <w:strike/>
                <w:color w:val="auto"/>
                <w:sz w:val="32"/>
                <w:highlight w:val="none"/>
              </w:rPr>
            </w:pP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keepNext w:val="0"/>
              <w:keepLines w:val="0"/>
              <w:suppressLineNumbers w:val="0"/>
              <w:spacing w:before="0" w:beforeAutospacing="0" w:after="120" w:afterAutospacing="0" w:line="360" w:lineRule="auto"/>
              <w:ind w:left="0" w:right="0" w:firstLine="3385" w:firstLineChars="651"/>
              <w:textAlignment w:val="baseline"/>
              <w:rPr>
                <w:rFonts w:hint="default"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32"/>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p>
          <w:p>
            <w:pPr>
              <w:keepNext w:val="0"/>
              <w:keepLines w:val="0"/>
              <w:suppressLineNumbers w:val="0"/>
              <w:spacing w:before="0" w:beforeAutospacing="0" w:after="0" w:afterAutospacing="0"/>
              <w:ind w:left="0" w:right="0"/>
              <w:rPr>
                <w:rFonts w:hint="default"/>
                <w:color w:val="auto"/>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rPr>
                <w:rFonts w:hint="default" w:ascii="仿宋_GB2312" w:eastAsia="仿宋_GB2312"/>
                <w:b/>
                <w:color w:val="auto"/>
                <w:sz w:val="28"/>
                <w:szCs w:val="28"/>
                <w:highlight w:val="none"/>
              </w:rPr>
            </w:pP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项目编号：</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项目名称：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28"/>
                <w:szCs w:val="28"/>
                <w:highlight w:val="none"/>
              </w:rPr>
            </w:pPr>
            <w:r>
              <w:rPr>
                <w:rFonts w:hint="eastAsia" w:ascii="仿宋_GB2312" w:eastAsia="仿宋_GB2312"/>
                <w:b/>
                <w:color w:val="auto"/>
                <w:sz w:val="28"/>
                <w:szCs w:val="28"/>
                <w:highlight w:val="none"/>
              </w:rPr>
              <w:t>投标人名称：</w:t>
            </w:r>
          </w:p>
          <w:p>
            <w:pPr>
              <w:pStyle w:val="6"/>
              <w:keepNext w:val="0"/>
              <w:keepLines w:val="0"/>
              <w:suppressLineNumbers w:val="0"/>
              <w:tabs>
                <w:tab w:val="left" w:pos="562"/>
                <w:tab w:val="left" w:pos="3372"/>
                <w:tab w:val="left" w:pos="3653"/>
              </w:tabs>
              <w:spacing w:before="0" w:beforeAutospacing="0" w:afterAutospacing="0" w:line="360" w:lineRule="auto"/>
              <w:ind w:left="0" w:right="0" w:firstLine="900" w:firstLineChars="320"/>
              <w:rPr>
                <w:rFonts w:hint="default" w:ascii="仿宋_GB2312" w:eastAsia="仿宋_GB2312"/>
                <w:b/>
                <w:color w:val="auto"/>
                <w:sz w:val="32"/>
                <w:highlight w:val="none"/>
              </w:rPr>
            </w:pPr>
            <w:r>
              <w:rPr>
                <w:rFonts w:hint="eastAsia" w:ascii="仿宋_GB2312" w:eastAsia="仿宋_GB2312"/>
                <w:b/>
                <w:color w:val="auto"/>
                <w:sz w:val="28"/>
                <w:szCs w:val="28"/>
                <w:highlight w:val="none"/>
              </w:rPr>
              <w:t xml:space="preserve">投标人地址：           </w:t>
            </w:r>
          </w:p>
        </w:tc>
      </w:tr>
    </w:tbl>
    <w:p>
      <w:pPr>
        <w:pStyle w:val="2"/>
        <w:rPr>
          <w:rFonts w:hint="eastAsia" w:ascii="宋体" w:eastAsia="宋体" w:cs="宋体"/>
          <w:b/>
          <w:color w:val="auto"/>
          <w:sz w:val="24"/>
          <w:highlight w:val="none"/>
        </w:rPr>
      </w:pPr>
    </w:p>
    <w:p>
      <w:pPr>
        <w:pStyle w:val="2"/>
        <w:rPr>
          <w:rFonts w:ascii="宋体" w:cs="宋体"/>
          <w:b/>
          <w:color w:val="auto"/>
          <w:sz w:val="24"/>
          <w:highlight w:val="none"/>
        </w:rPr>
      </w:pPr>
      <w:r>
        <w:rPr>
          <w:rFonts w:hint="eastAsia" w:ascii="宋体" w:eastAsia="宋体" w:cs="宋体"/>
          <w:b/>
          <w:color w:val="auto"/>
          <w:sz w:val="24"/>
          <w:highlight w:val="none"/>
        </w:rPr>
        <w:t>二、投标文件—目录</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1、投标一览表；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2、分</w:t>
      </w:r>
      <w:r>
        <w:rPr>
          <w:rFonts w:hint="eastAsia" w:ascii="宋体" w:hAnsi="宋体" w:cs="宋体"/>
          <w:color w:val="auto"/>
          <w:sz w:val="24"/>
          <w:highlight w:val="none"/>
          <w:lang w:val="en-US" w:eastAsia="zh-CN"/>
        </w:rPr>
        <w:t>项</w:t>
      </w:r>
      <w:r>
        <w:rPr>
          <w:rFonts w:hint="eastAsia" w:ascii="宋体" w:hAnsi="宋体" w:cs="宋体"/>
          <w:color w:val="auto"/>
          <w:sz w:val="24"/>
          <w:highlight w:val="none"/>
        </w:rPr>
        <w:t>报价明细表；</w:t>
      </w:r>
    </w:p>
    <w:p>
      <w:pPr>
        <w:tabs>
          <w:tab w:val="left" w:pos="64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rPr>
          <w:rFonts w:ascii="宋体" w:hAnsi="宋体" w:cs="宋体"/>
          <w:b/>
          <w:bCs/>
          <w:color w:val="auto"/>
          <w:sz w:val="24"/>
          <w:highlight w:val="none"/>
          <w:u w:val="wave"/>
        </w:rPr>
      </w:pPr>
      <w:r>
        <w:rPr>
          <w:rFonts w:hint="eastAsia" w:ascii="宋体" w:hAnsi="宋体" w:cs="宋体"/>
          <w:b/>
          <w:bCs/>
          <w:color w:val="auto"/>
          <w:sz w:val="24"/>
          <w:highlight w:val="none"/>
        </w:rPr>
        <w:t>（二）商务部分</w:t>
      </w:r>
    </w:p>
    <w:p>
      <w:pPr>
        <w:tabs>
          <w:tab w:val="left" w:pos="640"/>
          <w:tab w:val="left" w:pos="1260"/>
          <w:tab w:val="left" w:pos="1418"/>
        </w:tabs>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1、投标响应书；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fr-CH"/>
        </w:rPr>
        <w:t>、营业执照【其他组织视其实际情况提供：《事业单位法人证书》或《民办非企业单位登记证书》等】及税务登记册证副本复印件(加盖投标人公章，若提供的营业执照为三证合一，则税务登记证可不单独提供</w:t>
      </w:r>
      <w:r>
        <w:rPr>
          <w:rFonts w:hint="eastAsia" w:ascii="宋体" w:hAnsi="宋体" w:cs="宋体"/>
          <w:color w:val="auto"/>
          <w:sz w:val="24"/>
          <w:highlight w:val="none"/>
          <w:lang w:val="fr-CH"/>
        </w:rPr>
        <w:t>)；</w:t>
      </w:r>
    </w:p>
    <w:p>
      <w:pPr>
        <w:tabs>
          <w:tab w:val="left" w:pos="640"/>
          <w:tab w:val="left" w:pos="1260"/>
          <w:tab w:val="left" w:pos="1418"/>
        </w:tabs>
        <w:spacing w:line="360" w:lineRule="auto"/>
        <w:ind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lang w:val="fr-CH"/>
        </w:rPr>
        <w:t>、政府采购投标及履约承诺函；</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lang w:val="fr-CH" w:eastAsia="zh-CN"/>
        </w:rPr>
        <w:t>、政府采购违法行为风险知悉确认书</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lang w:val="fr-CH"/>
        </w:rPr>
        <w:t>、关于资格的声明函；</w:t>
      </w:r>
    </w:p>
    <w:p>
      <w:pPr>
        <w:pStyle w:val="28"/>
        <w:spacing w:line="360" w:lineRule="auto"/>
        <w:ind w:firstLine="480"/>
        <w:rPr>
          <w:color w:val="auto"/>
          <w:highlight w:val="none"/>
          <w:lang w:val="fr-CH"/>
        </w:rPr>
      </w:pPr>
      <w:r>
        <w:rPr>
          <w:rFonts w:hint="eastAsia" w:ascii="宋体" w:hAnsi="宋体" w:cs="宋体"/>
          <w:color w:val="auto"/>
          <w:kern w:val="2"/>
          <w:sz w:val="24"/>
          <w:szCs w:val="24"/>
          <w:highlight w:val="none"/>
          <w:lang w:val="en-US" w:eastAsia="zh-CN"/>
        </w:rPr>
        <w:t>6</w:t>
      </w:r>
      <w:r>
        <w:rPr>
          <w:rFonts w:hint="eastAsia" w:ascii="宋体" w:hAnsi="宋体" w:cs="宋体"/>
          <w:color w:val="auto"/>
          <w:kern w:val="2"/>
          <w:sz w:val="24"/>
          <w:szCs w:val="24"/>
          <w:highlight w:val="none"/>
          <w:lang w:val="fr-CH"/>
        </w:rPr>
        <w:t>、企业诚信声明与承诺；</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w:t>
      </w:r>
      <w:r>
        <w:rPr>
          <w:rFonts w:hint="eastAsia" w:ascii="宋体" w:hAnsi="宋体" w:cs="宋体"/>
          <w:color w:val="auto"/>
          <w:sz w:val="24"/>
          <w:highlight w:val="none"/>
          <w:lang w:val="fr-CH"/>
        </w:rPr>
        <w:t>法</w:t>
      </w:r>
      <w:r>
        <w:rPr>
          <w:rFonts w:hint="eastAsia" w:ascii="宋体" w:hAnsi="宋体" w:cs="宋体"/>
          <w:color w:val="auto"/>
          <w:sz w:val="24"/>
          <w:highlight w:val="none"/>
          <w:lang w:val="en-US" w:eastAsia="zh-CN"/>
        </w:rPr>
        <w:t>定</w:t>
      </w:r>
      <w:r>
        <w:rPr>
          <w:rFonts w:hint="eastAsia" w:ascii="宋体" w:hAnsi="宋体" w:cs="宋体"/>
          <w:color w:val="auto"/>
          <w:sz w:val="24"/>
          <w:highlight w:val="none"/>
          <w:lang w:val="fr-CH"/>
        </w:rPr>
        <w:t>代表</w:t>
      </w:r>
      <w:r>
        <w:rPr>
          <w:rFonts w:hint="eastAsia" w:ascii="宋体" w:hAnsi="宋体" w:cs="宋体"/>
          <w:color w:val="auto"/>
          <w:sz w:val="24"/>
          <w:highlight w:val="none"/>
          <w:lang w:val="en-US" w:eastAsia="zh-CN"/>
        </w:rPr>
        <w:t>人</w:t>
      </w:r>
      <w:r>
        <w:rPr>
          <w:rFonts w:hint="eastAsia" w:ascii="宋体" w:hAnsi="宋体" w:cs="宋体"/>
          <w:color w:val="auto"/>
          <w:sz w:val="24"/>
          <w:highlight w:val="none"/>
          <w:lang w:val="fr-CH"/>
        </w:rPr>
        <w:t>/单位负责人证明书及身份证明；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8</w:t>
      </w:r>
      <w:r>
        <w:rPr>
          <w:rFonts w:hint="eastAsia" w:ascii="宋体" w:hAnsi="宋体" w:cs="宋体"/>
          <w:color w:val="auto"/>
          <w:sz w:val="24"/>
          <w:highlight w:val="none"/>
          <w:lang w:val="fr-CH"/>
        </w:rPr>
        <w:t>、法定代表人/单位负责人授权书及身份证明；</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fr-CH"/>
        </w:rPr>
        <w:t>、招标代理服务费承诺书；</w:t>
      </w:r>
    </w:p>
    <w:p>
      <w:pPr>
        <w:tabs>
          <w:tab w:val="left" w:pos="640"/>
          <w:tab w:val="left" w:pos="1260"/>
          <w:tab w:val="left" w:pos="1418"/>
        </w:tabs>
        <w:spacing w:line="360" w:lineRule="auto"/>
        <w:ind w:firstLine="480" w:firstLineChars="200"/>
        <w:rPr>
          <w:rFonts w:hint="eastAsia" w:ascii="宋体" w:hAnsi="宋体" w:eastAsia="宋体" w:cs="宋体"/>
          <w:color w:val="auto"/>
          <w:sz w:val="24"/>
          <w:highlight w:val="none"/>
          <w:lang w:val="fr-CH" w:eastAsia="zh-CN"/>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lang w:val="fr-CH"/>
        </w:rPr>
        <w:t>、投标人简介</w:t>
      </w:r>
      <w:r>
        <w:rPr>
          <w:rFonts w:hint="eastAsia" w:ascii="宋体" w:hAnsi="宋体" w:cs="宋体"/>
          <w:color w:val="auto"/>
          <w:sz w:val="24"/>
          <w:highlight w:val="none"/>
          <w:lang w:val="fr-CH" w:eastAsia="zh-CN"/>
        </w:rPr>
        <w:t>（供应商基本情况表）</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11、综合实力</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12</w:t>
      </w:r>
      <w:r>
        <w:rPr>
          <w:rFonts w:hint="eastAsia" w:ascii="宋体" w:hAnsi="宋体" w:cs="宋体"/>
          <w:color w:val="auto"/>
          <w:sz w:val="24"/>
          <w:highlight w:val="none"/>
          <w:lang w:val="fr-CH"/>
        </w:rPr>
        <w:t>、项目团队成员</w:t>
      </w:r>
    </w:p>
    <w:p>
      <w:pPr>
        <w:tabs>
          <w:tab w:val="left" w:pos="640"/>
          <w:tab w:val="left" w:pos="1260"/>
          <w:tab w:val="left" w:pos="1418"/>
        </w:tabs>
        <w:spacing w:line="360" w:lineRule="auto"/>
        <w:ind w:firstLine="480" w:firstLineChars="200"/>
        <w:rPr>
          <w:rFonts w:ascii="宋体" w:hAnsi="宋体" w:cs="宋体"/>
          <w:color w:val="auto"/>
          <w:sz w:val="24"/>
          <w:highlight w:val="none"/>
          <w:lang w:val="fr-CH"/>
        </w:rPr>
      </w:pPr>
      <w:r>
        <w:rPr>
          <w:rFonts w:hint="eastAsia" w:ascii="宋体" w:hAnsi="宋体" w:cs="宋体"/>
          <w:color w:val="auto"/>
          <w:sz w:val="24"/>
          <w:highlight w:val="none"/>
          <w:lang w:val="en-US" w:eastAsia="zh-CN"/>
        </w:rPr>
        <w:t>13</w:t>
      </w:r>
      <w:r>
        <w:rPr>
          <w:rFonts w:hint="eastAsia" w:ascii="宋体" w:hAnsi="宋体" w:cs="宋体"/>
          <w:color w:val="auto"/>
          <w:sz w:val="24"/>
          <w:highlight w:val="none"/>
        </w:rPr>
        <w:t>、</w:t>
      </w:r>
      <w:r>
        <w:rPr>
          <w:rFonts w:hint="eastAsia" w:ascii="宋体" w:hAnsi="宋体" w:cs="宋体"/>
          <w:color w:val="auto"/>
          <w:sz w:val="24"/>
          <w:highlight w:val="none"/>
          <w:lang w:val="fr-CH"/>
        </w:rPr>
        <w:t>投标单位认为有必要提供的其他材料（</w:t>
      </w:r>
      <w:r>
        <w:rPr>
          <w:rFonts w:hint="eastAsia" w:ascii="宋体" w:hAnsi="宋体" w:cs="宋体"/>
          <w:color w:val="auto"/>
          <w:sz w:val="24"/>
          <w:highlight w:val="none"/>
        </w:rPr>
        <w:t>格式自拟</w:t>
      </w:r>
      <w:r>
        <w:rPr>
          <w:rFonts w:hint="eastAsia" w:ascii="宋体" w:hAnsi="宋体" w:cs="宋体"/>
          <w:color w:val="auto"/>
          <w:sz w:val="24"/>
          <w:highlight w:val="none"/>
          <w:lang w:val="fr-CH"/>
        </w:rPr>
        <w:t>）</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（三）技术部分</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1、</w:t>
      </w:r>
      <w:r>
        <w:rPr>
          <w:rFonts w:hint="eastAsia" w:ascii="宋体" w:hAnsi="宋体" w:cs="宋体"/>
          <w:color w:val="auto"/>
          <w:sz w:val="24"/>
          <w:highlight w:val="none"/>
          <w:lang w:val="fr-CH"/>
        </w:rPr>
        <w:t>用户需求响应表</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lang w:val="fr-CH"/>
        </w:rPr>
      </w:pPr>
      <w:r>
        <w:rPr>
          <w:rFonts w:hint="eastAsia" w:ascii="宋体" w:hAnsi="宋体" w:cs="宋体"/>
          <w:color w:val="auto"/>
          <w:sz w:val="24"/>
          <w:highlight w:val="none"/>
        </w:rPr>
        <w:t>2、设计思路</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3、</w:t>
      </w:r>
      <w:r>
        <w:rPr>
          <w:rFonts w:hint="eastAsia" w:ascii="宋体" w:hAnsi="宋体" w:cs="宋体"/>
          <w:kern w:val="0"/>
          <w:sz w:val="24"/>
          <w:lang w:bidi="ar"/>
        </w:rPr>
        <w:t>整体定位</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fr-CH"/>
        </w:rPr>
        <w:t>4、</w:t>
      </w:r>
      <w:r>
        <w:rPr>
          <w:rFonts w:hint="eastAsia" w:ascii="宋体" w:hAnsi="宋体" w:cs="宋体"/>
          <w:kern w:val="0"/>
          <w:sz w:val="24"/>
          <w:lang w:bidi="ar"/>
        </w:rPr>
        <w:t>质量（完成时间、安全、环保）保障措施及方案</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r>
        <w:rPr>
          <w:rFonts w:hint="eastAsia" w:ascii="宋体" w:hAnsi="宋体" w:cs="宋体"/>
          <w:kern w:val="0"/>
          <w:sz w:val="24"/>
          <w:lang w:bidi="ar"/>
        </w:rPr>
        <w:t>违约承诺</w:t>
      </w:r>
    </w:p>
    <w:p>
      <w:pPr>
        <w:tabs>
          <w:tab w:val="left" w:pos="640"/>
          <w:tab w:val="left" w:pos="1260"/>
          <w:tab w:val="left" w:pos="1418"/>
        </w:tabs>
        <w:spacing w:line="360" w:lineRule="auto"/>
        <w:ind w:right="-420" w:rightChars="-200" w:firstLine="480" w:firstLineChars="200"/>
        <w:rPr>
          <w:rFonts w:hint="eastAsia" w:ascii="宋体" w:hAnsi="宋体" w:cs="宋体"/>
          <w:color w:val="auto"/>
          <w:sz w:val="24"/>
          <w:highlight w:val="none"/>
          <w:lang w:val="fr-CH"/>
        </w:rPr>
      </w:pPr>
      <w:r>
        <w:rPr>
          <w:rFonts w:hint="eastAsia" w:ascii="宋体" w:hAnsi="宋体" w:cs="宋体"/>
          <w:color w:val="auto"/>
          <w:sz w:val="24"/>
          <w:highlight w:val="none"/>
          <w:lang w:val="en-US" w:eastAsia="zh-CN"/>
        </w:rPr>
        <w:t>6、</w:t>
      </w:r>
      <w:r>
        <w:rPr>
          <w:rFonts w:hint="eastAsia" w:ascii="宋体" w:hAnsi="宋体" w:cs="宋体"/>
          <w:kern w:val="0"/>
          <w:sz w:val="24"/>
          <w:lang w:bidi="ar"/>
        </w:rPr>
        <w:t>服务响应</w:t>
      </w:r>
    </w:p>
    <w:p>
      <w:pPr>
        <w:tabs>
          <w:tab w:val="left" w:pos="640"/>
          <w:tab w:val="left" w:pos="1260"/>
          <w:tab w:val="left" w:pos="1418"/>
        </w:tabs>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fr-CH"/>
        </w:rPr>
        <w:t>投标单位认为有必要提供的其他材料</w:t>
      </w:r>
      <w:r>
        <w:rPr>
          <w:rFonts w:hint="eastAsia" w:ascii="宋体" w:hAnsi="宋体" w:cs="宋体"/>
          <w:color w:val="auto"/>
          <w:sz w:val="24"/>
          <w:highlight w:val="none"/>
          <w:lang w:val="fr-CH" w:bidi="ar"/>
        </w:rPr>
        <w:t>（格式自拟）</w:t>
      </w:r>
      <w:r>
        <w:rPr>
          <w:rFonts w:hint="eastAsia" w:ascii="宋体" w:hAnsi="宋体" w:cs="宋体"/>
          <w:color w:val="auto"/>
          <w:sz w:val="24"/>
          <w:highlight w:val="none"/>
          <w:lang w:val="fr-CH" w:bidi="ar"/>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1、投标一览表</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9"/>
        <w:tblW w:w="8959" w:type="dxa"/>
        <w:tblInd w:w="1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76"/>
        <w:gridCol w:w="3225"/>
        <w:gridCol w:w="27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00" w:hRule="atLeast"/>
        </w:trPr>
        <w:tc>
          <w:tcPr>
            <w:tcW w:w="2976"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项目名称</w:t>
            </w:r>
          </w:p>
        </w:tc>
        <w:tc>
          <w:tcPr>
            <w:tcW w:w="3225"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投标总价</w:t>
            </w:r>
          </w:p>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（人民币）</w:t>
            </w:r>
          </w:p>
        </w:tc>
        <w:tc>
          <w:tcPr>
            <w:tcW w:w="2758" w:type="dxa"/>
            <w:vAlign w:val="center"/>
          </w:tcPr>
          <w:p>
            <w:pPr>
              <w:keepNext w:val="0"/>
              <w:keepLines w:val="0"/>
              <w:suppressLineNumbers w:val="0"/>
              <w:spacing w:before="0" w:beforeAutospacing="0" w:after="60" w:afterAutospacing="0" w:line="36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1" w:hRule="atLeast"/>
        </w:trPr>
        <w:tc>
          <w:tcPr>
            <w:tcW w:w="2976"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3225"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c>
          <w:tcPr>
            <w:tcW w:w="275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highlight w:val="none"/>
                <w:u w:val="singl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pStyle w:val="28"/>
        <w:ind w:firstLine="0" w:firstLineChars="0"/>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spacing w:line="360" w:lineRule="auto"/>
        <w:jc w:val="center"/>
        <w:rPr>
          <w:rFonts w:hint="eastAsia" w:ascii="宋体" w:hAnsi="宋体" w:eastAsia="宋体" w:cs="宋体"/>
          <w:color w:val="auto"/>
          <w:sz w:val="24"/>
          <w:highlight w:val="none"/>
          <w:lang w:eastAsia="zh-CN"/>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2、分项报价清单</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仅供参考</w:t>
      </w:r>
      <w:r>
        <w:rPr>
          <w:rFonts w:hint="eastAsia" w:ascii="宋体" w:hAnsi="宋体" w:cs="宋体"/>
          <w:b/>
          <w:bCs/>
          <w:color w:val="auto"/>
          <w:sz w:val="24"/>
          <w:highlight w:val="none"/>
          <w:lang w:eastAsia="zh-CN"/>
        </w:rPr>
        <w:t>）</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9"/>
        <w:tblW w:w="8596" w:type="dxa"/>
        <w:tblInd w:w="-116" w:type="dxa"/>
        <w:tblLayout w:type="fixed"/>
        <w:tblCellMar>
          <w:top w:w="0" w:type="dxa"/>
          <w:left w:w="108" w:type="dxa"/>
          <w:bottom w:w="0" w:type="dxa"/>
          <w:right w:w="108" w:type="dxa"/>
        </w:tblCellMar>
      </w:tblPr>
      <w:tblGrid>
        <w:gridCol w:w="3576"/>
        <w:gridCol w:w="1105"/>
        <w:gridCol w:w="1032"/>
        <w:gridCol w:w="944"/>
        <w:gridCol w:w="1939"/>
      </w:tblGrid>
      <w:tr>
        <w:tblPrEx>
          <w:tblCellMar>
            <w:top w:w="0" w:type="dxa"/>
            <w:left w:w="108" w:type="dxa"/>
            <w:bottom w:w="0" w:type="dxa"/>
            <w:right w:w="108" w:type="dxa"/>
          </w:tblCellMar>
        </w:tblPrEx>
        <w:trPr>
          <w:trHeight w:val="927" w:hRule="atLeast"/>
        </w:trPr>
        <w:tc>
          <w:tcPr>
            <w:tcW w:w="8596"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黑体" w:cs="仿宋_GB2312"/>
                <w:b/>
                <w:bCs/>
                <w:color w:val="auto"/>
                <w:kern w:val="0"/>
                <w:sz w:val="24"/>
                <w:highlight w:val="none"/>
                <w:lang w:bidi="ar"/>
              </w:rPr>
            </w:pPr>
            <w:r>
              <w:rPr>
                <w:rFonts w:hint="eastAsia" w:ascii="黑体" w:hAnsi="黑体" w:eastAsia="黑体" w:cs="黑体"/>
                <w:b/>
                <w:bCs/>
                <w:color w:val="auto"/>
                <w:kern w:val="0"/>
                <w:sz w:val="28"/>
                <w:szCs w:val="28"/>
                <w:highlight w:val="none"/>
                <w:lang w:bidi="ar"/>
              </w:rPr>
              <w:t>分项报价清单（例）</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b/>
                <w:bCs/>
                <w:color w:val="auto"/>
                <w:kern w:val="0"/>
                <w:sz w:val="24"/>
                <w:highlight w:val="none"/>
                <w:lang w:bidi="zh-CN"/>
              </w:rPr>
            </w:pPr>
            <w:r>
              <w:rPr>
                <w:rFonts w:hint="eastAsia" w:ascii="仿宋_GB2312" w:hAnsi="仿宋_GB2312" w:eastAsia="仿宋_GB2312" w:cs="仿宋_GB2312"/>
                <w:b/>
                <w:bCs/>
                <w:color w:val="auto"/>
                <w:kern w:val="0"/>
                <w:sz w:val="24"/>
                <w:highlight w:val="none"/>
                <w:lang w:bidi="zh-CN"/>
              </w:rPr>
              <w:t>服务内容</w:t>
            </w: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单价</w:t>
            </w: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数量</w:t>
            </w: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总价</w:t>
            </w: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r>
              <w:rPr>
                <w:rFonts w:hint="eastAsia" w:ascii="仿宋_GB2312" w:hAnsi="仿宋_GB2312" w:eastAsia="仿宋_GB2312" w:cs="仿宋_GB2312"/>
                <w:b/>
                <w:bCs/>
                <w:color w:val="auto"/>
                <w:kern w:val="0"/>
                <w:sz w:val="24"/>
                <w:highlight w:val="none"/>
                <w:lang w:bidi="ar"/>
              </w:rPr>
              <w:t>备注</w:t>
            </w: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center"/>
              <w:rPr>
                <w:rFonts w:hint="default" w:ascii="仿宋_GB2312" w:hAnsi="仿宋_GB2312" w:eastAsia="仿宋_GB2312" w:cs="仿宋_GB2312"/>
                <w:color w:val="auto"/>
                <w:kern w:val="0"/>
                <w:sz w:val="24"/>
                <w:highlight w:val="none"/>
                <w:lang w:bidi="ar"/>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bidi="ar"/>
              </w:rPr>
            </w:pPr>
          </w:p>
        </w:tc>
        <w:tc>
          <w:tcPr>
            <w:tcW w:w="1105"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032"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94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autoSpaceDE w:val="0"/>
              <w:autoSpaceDN w:val="0"/>
              <w:spacing w:before="0" w:beforeAutospacing="0" w:after="0" w:afterAutospacing="0" w:line="560" w:lineRule="exact"/>
              <w:ind w:left="0" w:right="0"/>
              <w:jc w:val="center"/>
              <w:rPr>
                <w:rFonts w:hint="default" w:ascii="仿宋_GB2312" w:hAnsi="仿宋_GB2312" w:eastAsia="仿宋_GB2312" w:cs="仿宋_GB2312"/>
                <w:color w:val="auto"/>
                <w:kern w:val="0"/>
                <w:sz w:val="24"/>
                <w:highlight w:val="none"/>
                <w:lang w:val="zh-CN" w:bidi="zh-CN"/>
              </w:rPr>
            </w:pPr>
          </w:p>
        </w:tc>
        <w:tc>
          <w:tcPr>
            <w:tcW w:w="193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r>
        <w:tblPrEx>
          <w:tblCellMar>
            <w:top w:w="0" w:type="dxa"/>
            <w:left w:w="108" w:type="dxa"/>
            <w:bottom w:w="0" w:type="dxa"/>
            <w:right w:w="108" w:type="dxa"/>
          </w:tblCellMar>
        </w:tblPrEx>
        <w:trPr>
          <w:trHeight w:val="737" w:hRule="atLeast"/>
        </w:trPr>
        <w:tc>
          <w:tcPr>
            <w:tcW w:w="357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top"/>
              <w:rPr>
                <w:rFonts w:hint="default" w:ascii="仿宋_GB2312" w:hAnsi="仿宋_GB2312" w:eastAsia="仿宋_GB2312" w:cs="仿宋_GB2312"/>
                <w:color w:val="auto"/>
                <w:kern w:val="0"/>
                <w:sz w:val="24"/>
                <w:highlight w:val="none"/>
                <w:lang w:val="zh-CN" w:bidi="zh-CN"/>
              </w:rPr>
            </w:pPr>
          </w:p>
        </w:tc>
        <w:tc>
          <w:tcPr>
            <w:tcW w:w="502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spacing w:before="0" w:beforeAutospacing="0" w:after="0" w:afterAutospacing="0" w:line="560" w:lineRule="exact"/>
              <w:ind w:left="0" w:right="0"/>
              <w:jc w:val="center"/>
              <w:textAlignment w:val="bottom"/>
              <w:rPr>
                <w:rFonts w:hint="default" w:ascii="仿宋_GB2312" w:hAnsi="仿宋_GB2312" w:eastAsia="仿宋_GB2312" w:cs="仿宋_GB2312"/>
                <w:b/>
                <w:bCs/>
                <w:color w:val="auto"/>
                <w:kern w:val="0"/>
                <w:sz w:val="24"/>
                <w:highlight w:val="none"/>
                <w:lang w:bidi="ar"/>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 ________________________</w:t>
      </w:r>
    </w:p>
    <w:p>
      <w:pPr>
        <w:spacing w:line="360" w:lineRule="auto"/>
        <w:rPr>
          <w:rFonts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3、《中小企业声明函》或《残疾人福利性单位声明函》或《监狱企业声明函》（参与价格扣减的投标人应提供）；</w:t>
      </w:r>
    </w:p>
    <w:p>
      <w:pPr>
        <w:numPr>
          <w:ilvl w:val="0"/>
          <w:numId w:val="0"/>
        </w:numPr>
        <w:spacing w:line="360" w:lineRule="auto"/>
        <w:jc w:val="center"/>
        <w:outlineLvl w:val="2"/>
        <w:rPr>
          <w:rFonts w:ascii="宋体" w:hAnsi="宋体" w:cs="宋体"/>
          <w:b/>
          <w:bCs/>
          <w:color w:val="auto"/>
          <w:sz w:val="24"/>
          <w:highlight w:val="none"/>
        </w:rPr>
      </w:pPr>
      <w:r>
        <w:rPr>
          <w:rFonts w:hint="eastAsia" w:ascii="宋体" w:hAnsi="宋体" w:cs="宋体"/>
          <w:b/>
          <w:bCs/>
          <w:color w:val="auto"/>
          <w:sz w:val="24"/>
          <w:highlight w:val="none"/>
          <w:lang w:val="en-US" w:eastAsia="zh-CN"/>
        </w:rPr>
        <w:t>（具体详见“附件：相关政策”）</w:t>
      </w:r>
      <w:r>
        <w:rPr>
          <w:rFonts w:hint="eastAsia" w:ascii="宋体" w:hAnsi="宋体" w:cs="宋体"/>
          <w:b/>
          <w:bCs/>
          <w:color w:val="auto"/>
          <w:sz w:val="24"/>
          <w:highlight w:val="none"/>
        </w:rPr>
        <w:br w:type="page"/>
      </w:r>
      <w:r>
        <w:rPr>
          <w:rFonts w:hint="eastAsia" w:ascii="宋体" w:hAnsi="宋体" w:cs="宋体"/>
          <w:b/>
          <w:bCs/>
          <w:color w:val="auto"/>
          <w:sz w:val="24"/>
          <w:highlight w:val="none"/>
        </w:rPr>
        <w:t>商务部分</w:t>
      </w:r>
    </w:p>
    <w:p>
      <w:pPr>
        <w:pStyle w:val="28"/>
        <w:ind w:firstLine="0" w:firstLineChars="0"/>
        <w:rPr>
          <w:color w:val="auto"/>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1、投标响应书</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w:t>
      </w:r>
      <w:r>
        <w:rPr>
          <w:rFonts w:hint="eastAsia" w:ascii="宋体" w:hAnsi="宋体" w:cs="宋体"/>
          <w:color w:val="auto"/>
          <w:sz w:val="24"/>
          <w:highlight w:val="none"/>
        </w:rPr>
        <w:t>投标文件。</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6"/>
        <w:spacing w:line="360" w:lineRule="auto"/>
        <w:rPr>
          <w:color w:val="auto"/>
          <w:highlight w:val="none"/>
        </w:rPr>
      </w:pPr>
    </w:p>
    <w:p>
      <w:pPr>
        <w:spacing w:line="360" w:lineRule="auto"/>
        <w:jc w:val="left"/>
        <w:rPr>
          <w:rFonts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fr-CH"/>
        </w:rPr>
        <w:t>2、营业执照</w:t>
      </w:r>
    </w:p>
    <w:p>
      <w:pPr>
        <w:tabs>
          <w:tab w:val="left" w:pos="640"/>
          <w:tab w:val="left" w:pos="1260"/>
          <w:tab w:val="left" w:pos="1418"/>
        </w:tabs>
        <w:spacing w:line="360" w:lineRule="auto"/>
        <w:rPr>
          <w:rFonts w:ascii="宋体" w:hAnsi="宋体" w:cs="宋体"/>
          <w:color w:val="auto"/>
          <w:sz w:val="24"/>
          <w:highlight w:val="none"/>
          <w:lang w:val="fr-CH"/>
        </w:rPr>
      </w:pPr>
      <w:r>
        <w:rPr>
          <w:rFonts w:hint="eastAsia" w:ascii="宋体" w:hAnsi="宋体" w:cs="宋体"/>
          <w:color w:val="auto"/>
          <w:sz w:val="24"/>
          <w:highlight w:val="none"/>
          <w:lang w:val="fr-CH"/>
        </w:rPr>
        <w:t>【其他组织提供《事业单位法人证书》或《民办非企业单位登记证书》等】及税务登记册证副本复印件(加盖投标人公章，若提供的营业执照为三证合一，则税务登记证可不单独提供)；</w:t>
      </w:r>
    </w:p>
    <w:p>
      <w:pPr>
        <w:tabs>
          <w:tab w:val="left" w:pos="640"/>
          <w:tab w:val="left" w:pos="1260"/>
          <w:tab w:val="left" w:pos="1418"/>
        </w:tabs>
        <w:spacing w:line="360" w:lineRule="auto"/>
        <w:jc w:val="center"/>
        <w:rPr>
          <w:rFonts w:ascii="宋体" w:hAnsi="宋体" w:cs="宋体"/>
          <w:b/>
          <w:bCs/>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rPr>
        <w:t>、</w:t>
      </w:r>
      <w:r>
        <w:rPr>
          <w:rFonts w:hint="eastAsia" w:ascii="宋体" w:hAnsi="宋体" w:cs="宋体"/>
          <w:b/>
          <w:bCs/>
          <w:color w:val="auto"/>
          <w:sz w:val="24"/>
          <w:highlight w:val="none"/>
          <w:lang w:val="fr-CH"/>
        </w:rPr>
        <w:t>政府采购投标及履约承诺函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1.我单位本招标项目所提供的货物或服务未侵犯知识产权。</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spacing w:line="360" w:lineRule="auto"/>
        <w:ind w:right="-4"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4.我单位具备《中华人民共和国政府采购法》第二十二条的条件。</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5.</w:t>
      </w:r>
      <w:r>
        <w:rPr>
          <w:rFonts w:hint="eastAsia" w:ascii="宋体" w:hAnsi="宋体" w:cs="宋体"/>
          <w:color w:val="auto"/>
          <w:kern w:val="0"/>
          <w:sz w:val="24"/>
          <w:highlight w:val="none"/>
        </w:rPr>
        <w:t xml:space="preserve"> 符合国家法规政策关于诚信管理的要求，至投标截止时间，投标人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 。</w:t>
      </w:r>
    </w:p>
    <w:p>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6.我单位不存在单位法定代表人为同一人或者存在直接控股、管理关系的不同供应商，同时参加本项目投标之情形；我公司未为本项目提供过整体设计、规范编制或者项目管理、监理、检测等服务。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auto"/>
          <w:sz w:val="24"/>
          <w:highlight w:val="none"/>
          <w:lang w:eastAsia="zh-CN"/>
        </w:rPr>
        <w:t>我单位承诺与其他不同供应商的法定代表人、主要经营负责人、投标授权代表人、项目负责人（如有）、</w:t>
      </w:r>
      <w:r>
        <w:rPr>
          <w:rFonts w:hint="eastAsia" w:ascii="宋体" w:hAnsi="宋体" w:cs="宋体"/>
          <w:color w:val="auto"/>
          <w:sz w:val="24"/>
          <w:highlight w:val="none"/>
          <w:lang w:val="en-US" w:eastAsia="zh-CN"/>
        </w:rPr>
        <w:t>主要技术人员（如有）</w:t>
      </w:r>
      <w:r>
        <w:rPr>
          <w:rFonts w:hint="eastAsia" w:ascii="宋体" w:hAnsi="宋体" w:cs="宋体"/>
          <w:color w:val="auto"/>
          <w:sz w:val="24"/>
          <w:highlight w:val="none"/>
          <w:lang w:eastAsia="zh-CN"/>
        </w:rPr>
        <w:t>不存在为同一人、属同一单位或者在同一单位缴纳社会保险的情形。</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.我单位如果中标，做到诚实守信，依照本项目招标文件需求内容、签署的采购合同及本单位在投标中所作的一切承诺履约；不非法转包、分包。</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.我单位承诺本项目的报价不低于我单位的成本价，不恶意低价谋取中标；对</w:t>
      </w:r>
      <w:r>
        <w:rPr>
          <w:rFonts w:hint="eastAsia" w:ascii="宋体" w:hAnsi="宋体" w:cs="宋体"/>
          <w:color w:val="auto"/>
          <w:sz w:val="24"/>
          <w:highlight w:val="none"/>
        </w:rPr>
        <w:t>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.我单位承诺未参与本项目的采购需求、技术指标、商务指标等内容的设定，不存在对其他投标单位不公平的行为。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以上承诺，如有违反，愿依照国家相关法律处理</w:t>
      </w:r>
      <w:r>
        <w:rPr>
          <w:rFonts w:hint="eastAsia" w:ascii="宋体" w:hAnsi="宋体" w:cs="宋体"/>
          <w:color w:val="auto"/>
          <w:sz w:val="24"/>
          <w:highlight w:val="none"/>
        </w:rPr>
        <w:t>，并承担由此给采购人带来的损失。</w:t>
      </w:r>
    </w:p>
    <w:p>
      <w:pPr>
        <w:spacing w:line="360" w:lineRule="auto"/>
        <w:ind w:firstLine="480" w:firstLineChars="200"/>
        <w:rPr>
          <w:rFonts w:ascii="宋体" w:hAnsi="宋体" w:cs="宋体"/>
          <w:color w:val="auto"/>
          <w:sz w:val="24"/>
          <w:highlight w:val="none"/>
        </w:rPr>
      </w:pP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 xml:space="preserve">法定代表人或授权代表（签字）：                  </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供应商（盖章）：</w:t>
      </w:r>
    </w:p>
    <w:p>
      <w:pPr>
        <w:tabs>
          <w:tab w:val="left" w:pos="4860"/>
        </w:tabs>
        <w:adjustRightInd w:val="0"/>
        <w:snapToGrid w:val="0"/>
        <w:spacing w:line="360" w:lineRule="auto"/>
        <w:ind w:right="105" w:rightChars="50" w:firstLine="241" w:firstLineChars="100"/>
        <w:rPr>
          <w:rFonts w:ascii="宋体" w:hAnsi="宋体" w:cs="宋体"/>
          <w:b/>
          <w:bCs/>
          <w:color w:val="auto"/>
          <w:sz w:val="24"/>
          <w:highlight w:val="none"/>
        </w:rPr>
      </w:pPr>
      <w:r>
        <w:rPr>
          <w:rFonts w:hint="eastAsia" w:ascii="宋体" w:hAnsi="宋体" w:cs="宋体"/>
          <w:b/>
          <w:bCs/>
          <w:color w:val="auto"/>
          <w:sz w:val="24"/>
          <w:highlight w:val="none"/>
        </w:rPr>
        <w:t>日期：   年  月   日</w:t>
      </w:r>
    </w:p>
    <w:p>
      <w:pPr>
        <w:pStyle w:val="6"/>
        <w:spacing w:line="560" w:lineRule="exact"/>
        <w:jc w:val="center"/>
        <w:rPr>
          <w:b/>
          <w:color w:val="auto"/>
          <w:sz w:val="24"/>
          <w:highlight w:val="none"/>
          <w:lang w:val="fr-CH"/>
        </w:rPr>
      </w:pPr>
      <w:r>
        <w:rPr>
          <w:rFonts w:hint="eastAsia" w:hAnsi="宋体" w:cs="宋体"/>
          <w:color w:val="auto"/>
          <w:highlight w:val="none"/>
        </w:rPr>
        <w:br w:type="page"/>
      </w:r>
      <w:r>
        <w:rPr>
          <w:rFonts w:hint="eastAsia"/>
          <w:b/>
          <w:color w:val="auto"/>
          <w:sz w:val="24"/>
          <w:highlight w:val="none"/>
          <w:lang w:val="en-US" w:eastAsia="zh-CN"/>
        </w:rPr>
        <w:t>4</w:t>
      </w:r>
      <w:r>
        <w:rPr>
          <w:rFonts w:hint="eastAsia"/>
          <w:b/>
          <w:color w:val="auto"/>
          <w:sz w:val="24"/>
          <w:highlight w:val="none"/>
          <w:lang w:val="fr-CH"/>
        </w:rPr>
        <w:t>、政府采购违法行为风险知悉确认书</w:t>
      </w:r>
    </w:p>
    <w:p>
      <w:pPr>
        <w:spacing w:after="120" w:line="560" w:lineRule="exact"/>
        <w:ind w:firstLine="480" w:firstLineChars="200"/>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ind w:firstLine="480" w:firstLineChars="200"/>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ind w:firstLine="480" w:firstLineChars="200"/>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ind w:firstLine="480" w:firstLineChars="200"/>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ind w:firstLine="480" w:firstLineChars="200"/>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ind w:firstLine="480" w:firstLineChars="200"/>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ind w:firstLine="480" w:firstLineChars="200"/>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ind w:firstLine="480" w:firstLineChars="200"/>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ind w:firstLine="480" w:firstLineChars="200"/>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ind w:firstLine="480" w:firstLineChars="200"/>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ind w:firstLine="480" w:firstLineChars="200"/>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ind w:firstLine="480" w:firstLineChars="200"/>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ind w:firstLine="480" w:firstLineChars="200"/>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ind w:firstLine="480" w:firstLineChars="200"/>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spacing w:after="120" w:line="560" w:lineRule="exact"/>
        <w:rPr>
          <w:color w:val="auto"/>
          <w:sz w:val="24"/>
          <w:highlight w:val="none"/>
          <w:lang w:val="fr-CH"/>
        </w:rPr>
      </w:pPr>
      <w:r>
        <w:rPr>
          <w:rFonts w:hint="eastAsia"/>
          <w:color w:val="auto"/>
          <w:sz w:val="24"/>
          <w:highlight w:val="none"/>
          <w:lang w:val="fr-CH"/>
        </w:rPr>
        <w:t>日期：</w:t>
      </w:r>
    </w:p>
    <w:p>
      <w:pPr>
        <w:pStyle w:val="6"/>
        <w:rPr>
          <w:color w:val="auto"/>
          <w:highlight w:val="none"/>
          <w:lang w:val="fr-CH"/>
        </w:rPr>
      </w:pPr>
    </w:p>
    <w:p>
      <w:pPr>
        <w:tabs>
          <w:tab w:val="left" w:pos="640"/>
          <w:tab w:val="left" w:pos="1260"/>
          <w:tab w:val="left" w:pos="1418"/>
        </w:tabs>
        <w:spacing w:line="360" w:lineRule="auto"/>
        <w:jc w:val="center"/>
        <w:rPr>
          <w:rFonts w:ascii="宋体" w:hAnsi="宋体" w:cs="宋体"/>
          <w:b/>
          <w:bCs/>
          <w:color w:val="auto"/>
          <w:sz w:val="24"/>
          <w:highlight w:val="none"/>
          <w:lang w:val="fr-CH"/>
        </w:rPr>
        <w:sectPr>
          <w:pgSz w:w="11906" w:h="16838"/>
          <w:pgMar w:top="1440" w:right="1650" w:bottom="1440" w:left="1650" w:header="851" w:footer="992" w:gutter="0"/>
          <w:pgNumType w:fmt="decimal"/>
          <w:cols w:space="720" w:num="1"/>
          <w:docGrid w:type="lines" w:linePitch="319" w:charSpace="0"/>
        </w:sectPr>
      </w:pPr>
    </w:p>
    <w:p>
      <w:pPr>
        <w:tabs>
          <w:tab w:val="left" w:pos="640"/>
          <w:tab w:val="left" w:pos="1260"/>
          <w:tab w:val="left" w:pos="1418"/>
        </w:tabs>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rPr>
        <w:t>、关于资格的声明函</w:t>
      </w:r>
    </w:p>
    <w:p>
      <w:pPr>
        <w:spacing w:line="360" w:lineRule="auto"/>
        <w:rPr>
          <w:rFonts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ascii="宋体" w:hAnsi="宋体" w:cs="宋体"/>
          <w:color w:val="auto"/>
          <w:sz w:val="24"/>
          <w:highlight w:val="none"/>
        </w:rPr>
      </w:pPr>
    </w:p>
    <w:p>
      <w:pPr>
        <w:pStyle w:val="10"/>
        <w:spacing w:line="360" w:lineRule="auto"/>
        <w:jc w:val="center"/>
        <w:rPr>
          <w:rFonts w:hAnsi="宋体" w:cs="宋体"/>
          <w:color w:val="auto"/>
          <w:sz w:val="24"/>
          <w:highlight w:val="none"/>
        </w:rPr>
      </w:pPr>
      <w:r>
        <w:rPr>
          <w:rFonts w:hint="eastAsia" w:hAnsi="宋体" w:cs="宋体"/>
          <w:color w:val="auto"/>
          <w:sz w:val="24"/>
          <w:highlight w:val="none"/>
        </w:rPr>
        <w:t xml:space="preserve">                投标人名称（投标人法人公章）：</w:t>
      </w:r>
    </w:p>
    <w:p>
      <w:pPr>
        <w:spacing w:line="360" w:lineRule="auto"/>
        <w:jc w:val="center"/>
        <w:rPr>
          <w:rFonts w:ascii="宋体" w:hAnsi="宋体" w:cs="宋体"/>
          <w:color w:val="auto"/>
          <w:kern w:val="0"/>
          <w:sz w:val="24"/>
          <w:highlight w:val="none"/>
        </w:rPr>
      </w:pPr>
      <w:r>
        <w:rPr>
          <w:rFonts w:hint="eastAsia" w:ascii="宋体" w:hAnsi="宋体" w:cs="宋体"/>
          <w:color w:val="auto"/>
          <w:sz w:val="24"/>
          <w:highlight w:val="none"/>
        </w:rPr>
        <w:t xml:space="preserve">             承诺日期：   年     月     日</w:t>
      </w:r>
    </w:p>
    <w:p>
      <w:pPr>
        <w:tabs>
          <w:tab w:val="left" w:pos="640"/>
          <w:tab w:val="left" w:pos="1260"/>
          <w:tab w:val="left" w:pos="1418"/>
        </w:tabs>
        <w:spacing w:line="360" w:lineRule="auto"/>
        <w:rPr>
          <w:rFonts w:ascii="宋体" w:hAnsi="宋体" w:cs="宋体"/>
          <w:color w:val="auto"/>
          <w:sz w:val="24"/>
          <w:highlight w:val="none"/>
          <w:lang w:val="fr-CH"/>
        </w:rPr>
      </w:pPr>
    </w:p>
    <w:p>
      <w:pPr>
        <w:spacing w:before="120" w:after="120" w:line="360" w:lineRule="auto"/>
        <w:jc w:val="center"/>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pStyle w:val="28"/>
        <w:ind w:firstLine="482"/>
        <w:rPr>
          <w:rFonts w:ascii="宋体" w:hAnsi="宋体" w:cs="宋体"/>
          <w:b/>
          <w:color w:val="auto"/>
          <w:sz w:val="24"/>
          <w:highlight w:val="none"/>
        </w:rPr>
      </w:pPr>
    </w:p>
    <w:p>
      <w:pPr>
        <w:jc w:val="left"/>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）投标，现就企业诚信作如下声明与承诺：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0"/>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0"/>
        <w:spacing w:line="360" w:lineRule="auto"/>
        <w:jc w:val="left"/>
        <w:rPr>
          <w:rFonts w:hAnsi="宋体" w:cs="宋体"/>
          <w:color w:val="auto"/>
          <w:sz w:val="24"/>
          <w:highlight w:val="none"/>
        </w:rPr>
      </w:pPr>
    </w:p>
    <w:p>
      <w:pPr>
        <w:pStyle w:val="10"/>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6"/>
        <w:spacing w:line="360" w:lineRule="auto"/>
        <w:rPr>
          <w:color w:val="auto"/>
          <w:highlight w:val="none"/>
          <w:lang w:val="fr-CH"/>
        </w:rPr>
      </w:pPr>
    </w:p>
    <w:p>
      <w:pPr>
        <w:rPr>
          <w:color w:val="auto"/>
          <w:highlight w:val="none"/>
          <w:lang w:val="fr-CH"/>
        </w:rPr>
      </w:pPr>
    </w:p>
    <w:p>
      <w:pPr>
        <w:pStyle w:val="28"/>
        <w:ind w:firstLine="420"/>
        <w:rPr>
          <w:color w:val="auto"/>
          <w:highlight w:val="none"/>
          <w:lang w:val="fr-CH"/>
        </w:rPr>
      </w:pPr>
    </w:p>
    <w:p>
      <w:pPr>
        <w:pStyle w:val="28"/>
        <w:ind w:firstLine="420"/>
        <w:rPr>
          <w:color w:val="auto"/>
          <w:highlight w:val="none"/>
          <w:lang w:val="fr-CH"/>
        </w:rPr>
      </w:pPr>
    </w:p>
    <w:p>
      <w:pPr>
        <w:pStyle w:val="28"/>
        <w:ind w:firstLine="420"/>
        <w:rPr>
          <w:color w:val="auto"/>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jc w:val="left"/>
        <w:rPr>
          <w:rFonts w:ascii="宋体" w:hAnsi="宋体" w:cs="宋体"/>
          <w:b/>
          <w:color w:val="auto"/>
          <w:sz w:val="24"/>
          <w:highlight w:val="none"/>
        </w:rPr>
      </w:pPr>
      <w:r>
        <w:rPr>
          <w:rFonts w:hint="eastAsia" w:ascii="宋体" w:hAnsi="宋体" w:cs="宋体"/>
          <w:b/>
          <w:color w:val="auto"/>
          <w:sz w:val="24"/>
          <w:highlight w:val="none"/>
        </w:rPr>
        <w:br w:type="page"/>
      </w:r>
    </w:p>
    <w:p>
      <w:pPr>
        <w:spacing w:before="120" w:after="120" w:line="360" w:lineRule="auto"/>
        <w:jc w:val="center"/>
        <w:rPr>
          <w:rFonts w:ascii="宋体" w:hAnsi="宋体" w:cs="宋体"/>
          <w:b/>
          <w:color w:val="auto"/>
          <w:sz w:val="24"/>
          <w:highlight w:val="none"/>
        </w:rPr>
      </w:pPr>
      <w:r>
        <w:rPr>
          <w:rFonts w:hint="eastAsia" w:ascii="宋体" w:hAnsi="宋体" w:cs="宋体"/>
          <w:b/>
          <w:color w:val="auto"/>
          <w:sz w:val="24"/>
          <w:highlight w:val="none"/>
          <w:lang w:val="en-US" w:eastAsia="zh-CN"/>
        </w:rPr>
        <w:t>7</w:t>
      </w:r>
      <w:r>
        <w:rPr>
          <w:rFonts w:hint="eastAsia" w:ascii="宋体" w:hAnsi="宋体" w:cs="宋体"/>
          <w:b/>
          <w:color w:val="auto"/>
          <w:sz w:val="24"/>
          <w:highlight w:val="none"/>
        </w:rPr>
        <w:t>、法定代表人</w:t>
      </w:r>
      <w:r>
        <w:rPr>
          <w:rFonts w:hint="eastAsia" w:ascii="宋体" w:hAnsi="宋体" w:cs="宋体"/>
          <w:b/>
          <w:color w:val="auto"/>
          <w:sz w:val="24"/>
          <w:highlight w:val="none"/>
          <w:lang w:val="fr-CH"/>
        </w:rPr>
        <w:t>/单位负责人</w:t>
      </w:r>
      <w:r>
        <w:rPr>
          <w:rFonts w:hint="eastAsia" w:ascii="宋体" w:hAnsi="宋体" w:cs="宋体"/>
          <w:b/>
          <w:color w:val="auto"/>
          <w:sz w:val="24"/>
          <w:highlight w:val="none"/>
        </w:rPr>
        <w:t>证明书</w:t>
      </w:r>
      <w:r>
        <w:rPr>
          <w:rFonts w:hint="eastAsia" w:ascii="宋体" w:hAnsi="宋体" w:cs="宋体"/>
          <w:b/>
          <w:color w:val="auto"/>
          <w:sz w:val="24"/>
          <w:highlight w:val="none"/>
          <w:lang w:val="fr-CH"/>
        </w:rPr>
        <w:t>及身份证明</w:t>
      </w:r>
    </w:p>
    <w:p>
      <w:pPr>
        <w:spacing w:line="360" w:lineRule="auto"/>
        <w:rPr>
          <w:rFonts w:ascii="宋体" w:hAnsi="宋体" w:cs="宋体"/>
          <w:color w:val="auto"/>
          <w:sz w:val="24"/>
          <w:highlight w:val="none"/>
          <w:u w:val="singl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同志，现任我单位职务，为法定代表人/单位负责人，特此证明。</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ascii="宋体" w:hAnsi="宋体" w:cs="宋体"/>
          <w:color w:val="auto"/>
          <w:sz w:val="24"/>
          <w:highlight w:val="none"/>
        </w:rPr>
      </w:pPr>
      <w:r>
        <w:rPr>
          <w:rFonts w:hint="eastAsia" w:ascii="宋体" w:hAnsi="宋体" w:cs="宋体"/>
          <w:color w:val="auto"/>
          <w:sz w:val="24"/>
          <w:highlight w:val="none"/>
        </w:rPr>
        <w:t>说明：1、法定代表人/单位负责人为企业事业单位、国家机关、社会团体的主要行政负责人。</w:t>
      </w:r>
    </w:p>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2、内容必须填写真实、清楚，涂改无效，不得转让、买卖</w:t>
      </w:r>
      <w:r>
        <w:rPr>
          <w:rFonts w:hint="eastAsia" w:ascii="宋体" w:hAnsi="宋体" w:cs="宋体"/>
          <w:color w:val="auto"/>
          <w:sz w:val="24"/>
          <w:highlight w:val="none"/>
          <w:lang w:eastAsia="zh-CN"/>
        </w:rPr>
        <w:t>。</w:t>
      </w:r>
    </w:p>
    <w:p>
      <w:pPr>
        <w:spacing w:line="360" w:lineRule="auto"/>
        <w:rPr>
          <w:rFonts w:ascii="宋体" w:hAnsi="宋体" w:cs="宋体"/>
          <w:color w:val="auto"/>
          <w:sz w:val="24"/>
          <w:highlight w:val="none"/>
        </w:rPr>
      </w:pPr>
    </w:p>
    <w:p>
      <w:pPr>
        <w:tabs>
          <w:tab w:val="left" w:pos="3780"/>
        </w:tabs>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before="120" w:after="120" w:line="360" w:lineRule="auto"/>
        <w:jc w:val="left"/>
        <w:rPr>
          <w:rFonts w:ascii="宋体" w:hAnsi="宋体" w:cs="宋体"/>
          <w:color w:val="auto"/>
          <w:szCs w:val="21"/>
          <w:highlight w:val="none"/>
        </w:rPr>
      </w:pPr>
    </w:p>
    <w:p>
      <w:pPr>
        <w:rPr>
          <w:rFonts w:ascii="宋体" w:hAnsi="宋体" w:cs="宋体"/>
          <w:color w:val="auto"/>
          <w:szCs w:val="21"/>
          <w:highlight w:val="none"/>
        </w:rPr>
      </w:pPr>
    </w:p>
    <w:p>
      <w:pPr>
        <w:rPr>
          <w:color w:val="auto"/>
          <w:highlight w:val="none"/>
        </w:rPr>
      </w:pPr>
    </w:p>
    <w:p>
      <w:pPr>
        <w:spacing w:before="120" w:after="120" w:line="360" w:lineRule="auto"/>
        <w:jc w:val="left"/>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pStyle w:val="10"/>
        <w:spacing w:line="360" w:lineRule="auto"/>
        <w:jc w:val="center"/>
        <w:rPr>
          <w:rFonts w:hint="eastAsia" w:hAnsi="宋体" w:cs="宋体"/>
          <w:b/>
          <w:color w:val="auto"/>
          <w:sz w:val="24"/>
          <w:highlight w:val="none"/>
          <w:lang w:val="en-US" w:eastAsia="zh-CN"/>
        </w:rPr>
      </w:pPr>
    </w:p>
    <w:p>
      <w:pPr>
        <w:pStyle w:val="10"/>
        <w:spacing w:line="360" w:lineRule="auto"/>
        <w:jc w:val="center"/>
        <w:rPr>
          <w:rFonts w:hAnsi="宋体" w:cs="宋体"/>
          <w:b/>
          <w:color w:val="auto"/>
          <w:sz w:val="24"/>
          <w:highlight w:val="none"/>
        </w:rPr>
      </w:pPr>
      <w:r>
        <w:rPr>
          <w:rFonts w:hint="eastAsia" w:hAnsi="宋体" w:cs="宋体"/>
          <w:b/>
          <w:color w:val="auto"/>
          <w:sz w:val="24"/>
          <w:highlight w:val="none"/>
          <w:lang w:val="en-US" w:eastAsia="zh-CN"/>
        </w:rPr>
        <w:t>8</w:t>
      </w:r>
      <w:r>
        <w:rPr>
          <w:rFonts w:hint="eastAsia" w:hAnsi="宋体" w:cs="宋体"/>
          <w:b/>
          <w:color w:val="auto"/>
          <w:sz w:val="24"/>
          <w:highlight w:val="none"/>
        </w:rPr>
        <w:t>、法定代表人/单位负责人授权书</w:t>
      </w:r>
      <w:r>
        <w:rPr>
          <w:rFonts w:hint="eastAsia" w:hAnsi="宋体" w:cs="宋体"/>
          <w:b/>
          <w:color w:val="auto"/>
          <w:sz w:val="24"/>
          <w:highlight w:val="none"/>
          <w:lang w:val="fr-CH"/>
        </w:rPr>
        <w:t>及身份证明</w:t>
      </w:r>
    </w:p>
    <w:p>
      <w:pPr>
        <w:pStyle w:val="10"/>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10"/>
        <w:spacing w:line="360" w:lineRule="auto"/>
        <w:ind w:firstLine="420"/>
        <w:rPr>
          <w:rFonts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（法定代表人/单位负责人姓名、职务）代表本公司授权在下面签字的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10"/>
        <w:spacing w:line="360" w:lineRule="auto"/>
        <w:rPr>
          <w:rFonts w:hint="default" w:hAnsi="宋体" w:eastAsia="宋体" w:cs="宋体"/>
          <w:color w:val="auto"/>
          <w:sz w:val="24"/>
          <w:highlight w:val="none"/>
          <w:lang w:val="en-US" w:eastAsia="zh-CN"/>
        </w:rPr>
      </w:pPr>
    </w:p>
    <w:p>
      <w:pPr>
        <w:spacing w:line="360" w:lineRule="auto"/>
        <w:ind w:firstLine="570"/>
        <w:rPr>
          <w:rFonts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ascii="宋体" w:hAnsi="宋体" w:cs="宋体"/>
          <w:color w:val="auto"/>
          <w:sz w:val="24"/>
          <w:highlight w:val="none"/>
        </w:rPr>
      </w:pP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被授权人联系方式（手机）：         </w:t>
      </w:r>
    </w:p>
    <w:p>
      <w:pPr>
        <w:spacing w:line="360" w:lineRule="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被授权人邮箱号：</w:t>
      </w:r>
    </w:p>
    <w:p>
      <w:pPr>
        <w:spacing w:line="360" w:lineRule="auto"/>
        <w:rPr>
          <w:rFonts w:hint="default" w:ascii="宋体" w:hAnsi="宋体" w:cs="宋体"/>
          <w:color w:val="auto"/>
          <w:sz w:val="24"/>
          <w:highlight w:val="none"/>
          <w:lang w:val="en-US" w:eastAsia="zh-CN"/>
        </w:rPr>
      </w:pPr>
    </w:p>
    <w:p>
      <w:pPr>
        <w:spacing w:line="360" w:lineRule="auto"/>
        <w:rPr>
          <w:rFonts w:ascii="宋体" w:hAnsi="宋体" w:cs="宋体"/>
          <w:color w:val="auto"/>
          <w:sz w:val="24"/>
          <w:highlight w:val="none"/>
        </w:rPr>
      </w:pPr>
    </w:p>
    <w:p>
      <w:pPr>
        <w:tabs>
          <w:tab w:val="left" w:pos="3780"/>
        </w:tabs>
        <w:spacing w:line="360" w:lineRule="auto"/>
        <w:rPr>
          <w:rFonts w:ascii="宋体" w:hAnsi="宋体" w:cs="宋体"/>
          <w:b/>
          <w:bCs/>
          <w:color w:val="auto"/>
          <w:sz w:val="24"/>
          <w:highlight w:val="none"/>
        </w:rPr>
      </w:pPr>
      <w:r>
        <w:rPr>
          <w:rFonts w:hint="eastAsia" w:ascii="宋体" w:hAnsi="宋体" w:cs="宋体"/>
          <w:b/>
          <w:bCs/>
          <w:color w:val="auto"/>
          <w:sz w:val="24"/>
          <w:highlight w:val="none"/>
        </w:rPr>
        <w:t>投标供应商（公章）：</w:t>
      </w:r>
    </w:p>
    <w:p>
      <w:pPr>
        <w:tabs>
          <w:tab w:val="left" w:pos="3780"/>
        </w:tabs>
        <w:spacing w:line="360" w:lineRule="auto"/>
        <w:jc w:val="left"/>
        <w:rPr>
          <w:rFonts w:ascii="宋体" w:hAnsi="宋体" w:cs="宋体"/>
          <w:b/>
          <w:bCs/>
          <w:color w:val="auto"/>
          <w:sz w:val="24"/>
          <w:highlight w:val="none"/>
        </w:rPr>
      </w:pPr>
      <w:r>
        <w:rPr>
          <w:rFonts w:hint="eastAsia" w:ascii="宋体" w:hAnsi="宋体" w:cs="宋体"/>
          <w:b/>
          <w:bCs/>
          <w:color w:val="auto"/>
          <w:sz w:val="24"/>
          <w:highlight w:val="none"/>
        </w:rPr>
        <w:t>法定代表人/单位负责人（签字或盖章）：</w:t>
      </w:r>
    </w:p>
    <w:p>
      <w:pPr>
        <w:spacing w:line="360" w:lineRule="auto"/>
        <w:jc w:val="left"/>
        <w:rPr>
          <w:rFonts w:ascii="宋体" w:hAnsi="宋体" w:cs="宋体"/>
          <w:b/>
          <w:bCs/>
          <w:color w:val="auto"/>
          <w:sz w:val="24"/>
          <w:highlight w:val="none"/>
        </w:rPr>
      </w:pPr>
      <w:r>
        <w:rPr>
          <w:rFonts w:hint="eastAsia" w:ascii="宋体" w:hAnsi="宋体" w:cs="宋体"/>
          <w:b/>
          <w:bCs/>
          <w:color w:val="auto"/>
          <w:spacing w:val="20"/>
          <w:sz w:val="24"/>
          <w:highlight w:val="none"/>
        </w:rPr>
        <w:t>被授权人（签字或盖章）</w:t>
      </w:r>
      <w:r>
        <w:rPr>
          <w:rFonts w:hint="eastAsia" w:ascii="宋体" w:hAnsi="宋体" w:cs="宋体"/>
          <w:b/>
          <w:bCs/>
          <w:color w:val="auto"/>
          <w:sz w:val="24"/>
          <w:highlight w:val="none"/>
        </w:rPr>
        <w:t>：</w:t>
      </w:r>
    </w:p>
    <w:p>
      <w:pPr>
        <w:tabs>
          <w:tab w:val="left" w:pos="640"/>
          <w:tab w:val="left" w:pos="1260"/>
          <w:tab w:val="left" w:pos="1418"/>
        </w:tabs>
        <w:spacing w:line="360" w:lineRule="auto"/>
        <w:rPr>
          <w:rFonts w:ascii="宋体" w:hAnsi="宋体" w:cs="宋体"/>
          <w:b/>
          <w:color w:val="auto"/>
          <w:sz w:val="24"/>
          <w:highlight w:val="none"/>
        </w:rPr>
      </w:pPr>
      <w:r>
        <w:rPr>
          <w:rFonts w:hint="eastAsia" w:ascii="宋体" w:hAnsi="宋体" w:cs="宋体"/>
          <w:b/>
          <w:color w:val="auto"/>
          <w:sz w:val="24"/>
          <w:highlight w:val="none"/>
        </w:rPr>
        <w:t>附身份证正反面</w:t>
      </w:r>
    </w:p>
    <w:tbl>
      <w:tblPr>
        <w:tblStyle w:val="19"/>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c>
          <w:tcPr>
            <w:tcW w:w="4677" w:type="dxa"/>
          </w:tcPr>
          <w:p>
            <w:pPr>
              <w:pStyle w:val="10"/>
              <w:keepNext w:val="0"/>
              <w:keepLines w:val="0"/>
              <w:suppressLineNumbers w:val="0"/>
              <w:spacing w:before="0" w:beforeAutospacing="0" w:after="0" w:afterAutospacing="0" w:line="360" w:lineRule="auto"/>
              <w:ind w:left="0" w:right="0"/>
              <w:rPr>
                <w:rFonts w:hint="default" w:ascii="Arial Narrow" w:hAnsi="Arial Narrow"/>
                <w:b/>
                <w:bCs/>
                <w:color w:val="auto"/>
                <w:szCs w:val="21"/>
                <w:highlight w:val="none"/>
              </w:rPr>
            </w:pPr>
          </w:p>
        </w:tc>
      </w:tr>
    </w:tbl>
    <w:p>
      <w:pPr>
        <w:widowControl/>
        <w:autoSpaceDE w:val="0"/>
        <w:autoSpaceDN w:val="0"/>
        <w:spacing w:line="360" w:lineRule="auto"/>
        <w:ind w:right="26"/>
        <w:jc w:val="center"/>
        <w:textAlignment w:val="bottom"/>
        <w:rPr>
          <w:rFonts w:hint="eastAsia" w:ascii="宋体" w:hAnsi="宋体" w:cs="宋体"/>
          <w:b/>
          <w:bCs/>
          <w:color w:val="auto"/>
          <w:sz w:val="24"/>
          <w:highlight w:val="none"/>
          <w:lang w:val="en-US" w:eastAsia="zh-CN"/>
        </w:rPr>
      </w:pPr>
    </w:p>
    <w:p>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pPr>
        <w:widowControl/>
        <w:autoSpaceDE w:val="0"/>
        <w:autoSpaceDN w:val="0"/>
        <w:spacing w:line="360" w:lineRule="auto"/>
        <w:ind w:right="26"/>
        <w:jc w:val="center"/>
        <w:textAlignment w:val="bottom"/>
        <w:rPr>
          <w:rFonts w:ascii="宋体" w:hAnsi="宋体" w:cs="宋体"/>
          <w:b/>
          <w:bCs/>
          <w:color w:val="auto"/>
          <w:sz w:val="24"/>
          <w:highlight w:val="none"/>
          <w:lang w:val="fr-CH"/>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w:t>
      </w: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致：深圳交易咨询集团有限公司</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项目（货物/服务/工程）招标中若获中标（招标文件编号：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），我们保证在收到中标通知书后5日内按招标文件的规定，以现金或电汇向贵公司即深圳交易咨询集团有限公司指定的银行</w:t>
      </w:r>
      <w:r>
        <w:rPr>
          <w:rFonts w:hint="eastAsia" w:ascii="宋体" w:hAnsi="宋体" w:cs="宋体"/>
          <w:color w:val="auto"/>
          <w:sz w:val="24"/>
          <w:highlight w:val="none"/>
          <w:lang w:eastAsia="zh-CN"/>
        </w:rPr>
        <w:t>账</w:t>
      </w:r>
      <w:r>
        <w:rPr>
          <w:rFonts w:hint="eastAsia" w:ascii="宋体" w:hAnsi="宋体" w:cs="宋体"/>
          <w:color w:val="auto"/>
          <w:sz w:val="24"/>
          <w:highlight w:val="none"/>
        </w:rPr>
        <w:t>号支付全额招标代理服务费。招标代理服务费按照</w:t>
      </w:r>
      <w:r>
        <w:rPr>
          <w:rFonts w:hint="eastAsia" w:ascii="宋体" w:hAnsi="宋体" w:cs="宋体"/>
          <w:color w:val="auto"/>
          <w:sz w:val="24"/>
          <w:highlight w:val="none"/>
          <w:u w:val="single"/>
        </w:rPr>
        <w:t>招标文件中的规定以差额定率累进法</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ascii="宋体" w:hAnsi="宋体" w:cs="宋体"/>
          <w:color w:val="auto"/>
          <w:sz w:val="24"/>
          <w:highlight w:val="none"/>
        </w:rPr>
      </w:pPr>
      <w:r>
        <w:rPr>
          <w:rFonts w:hint="eastAsia" w:ascii="宋体" w:hAnsi="宋体" w:cs="宋体"/>
          <w:color w:val="auto"/>
          <w:sz w:val="24"/>
          <w:highlight w:val="none"/>
        </w:rPr>
        <w:t>特此承诺。</w:t>
      </w:r>
    </w:p>
    <w:p>
      <w:pPr>
        <w:widowControl/>
        <w:autoSpaceDE w:val="0"/>
        <w:autoSpaceDN w:val="0"/>
        <w:spacing w:line="360" w:lineRule="auto"/>
        <w:ind w:left="359" w:right="26" w:hanging="357"/>
        <w:textAlignment w:val="bottom"/>
        <w:rPr>
          <w:rFonts w:ascii="宋体" w:hAnsi="宋体" w:cs="宋体"/>
          <w:color w:val="auto"/>
          <w:sz w:val="24"/>
          <w:highlight w:val="none"/>
          <w:u w:val="single"/>
        </w:rPr>
      </w:pPr>
      <w:r>
        <w:rPr>
          <w:rFonts w:hint="eastAsia" w:ascii="宋体" w:hAnsi="宋体" w:cs="宋体"/>
          <w:color w:val="auto"/>
          <w:sz w:val="24"/>
          <w:highlight w:val="none"/>
        </w:rPr>
        <w:t>承诺方法定名称（承诺方盖章）：</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地址：</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ascii="宋体" w:hAnsi="宋体" w:cs="宋体"/>
          <w:color w:val="auto"/>
          <w:sz w:val="24"/>
          <w:highlight w:val="none"/>
        </w:rPr>
      </w:pPr>
      <w:r>
        <w:rPr>
          <w:rFonts w:hint="eastAsia" w:ascii="宋体" w:hAnsi="宋体" w:cs="宋体"/>
          <w:color w:val="auto"/>
          <w:sz w:val="24"/>
          <w:highlight w:val="none"/>
        </w:rPr>
        <w:t>承诺日期：</w:t>
      </w:r>
    </w:p>
    <w:p>
      <w:pPr>
        <w:widowControl/>
        <w:tabs>
          <w:tab w:val="left" w:pos="640"/>
          <w:tab w:val="left" w:pos="1260"/>
          <w:tab w:val="left" w:pos="1418"/>
        </w:tabs>
        <w:autoSpaceDE/>
        <w:autoSpaceDN/>
        <w:spacing w:line="360" w:lineRule="auto"/>
        <w:ind w:right="0"/>
        <w:jc w:val="left"/>
        <w:textAlignment w:val="auto"/>
        <w:rPr>
          <w:rFonts w:hint="eastAsia" w:ascii="宋体" w:hAnsi="宋体" w:cs="宋体"/>
          <w:b/>
          <w:bCs/>
          <w:color w:val="auto"/>
          <w:sz w:val="24"/>
          <w:highlight w:val="none"/>
          <w:lang w:val="en-US" w:eastAsia="zh-CN"/>
        </w:rPr>
      </w:pPr>
    </w:p>
    <w:p>
      <w:pPr>
        <w:widowControl/>
        <w:tabs>
          <w:tab w:val="left" w:pos="640"/>
          <w:tab w:val="left" w:pos="1260"/>
          <w:tab w:val="left" w:pos="1418"/>
        </w:tabs>
        <w:autoSpaceDE/>
        <w:autoSpaceDN/>
        <w:spacing w:line="360" w:lineRule="auto"/>
        <w:ind w:right="0"/>
        <w:jc w:val="left"/>
        <w:textAlignment w:val="auto"/>
        <w:rPr>
          <w:rFonts w:hint="eastAsia" w:ascii="宋体" w:hAnsi="宋体" w:cs="宋体"/>
          <w:b/>
          <w:bCs/>
          <w:color w:val="auto"/>
          <w:sz w:val="24"/>
          <w:highlight w:val="none"/>
          <w:lang w:val="en-US" w:eastAsia="zh-CN"/>
        </w:rPr>
      </w:pPr>
    </w:p>
    <w:p>
      <w:pPr>
        <w:widowControl/>
        <w:tabs>
          <w:tab w:val="left" w:pos="640"/>
          <w:tab w:val="left" w:pos="1260"/>
          <w:tab w:val="left" w:pos="1418"/>
        </w:tabs>
        <w:autoSpaceDE/>
        <w:autoSpaceDN/>
        <w:spacing w:line="360" w:lineRule="auto"/>
        <w:ind w:right="0"/>
        <w:jc w:val="left"/>
        <w:textAlignment w:val="auto"/>
        <w:rPr>
          <w:rFonts w:hint="eastAsia" w:ascii="宋体" w:hAnsi="宋体" w:cs="宋体"/>
          <w:b/>
          <w:bCs/>
          <w:color w:val="auto"/>
          <w:sz w:val="24"/>
          <w:highlight w:val="none"/>
          <w:lang w:val="en-US" w:eastAsia="zh-CN"/>
        </w:rPr>
      </w:pPr>
    </w:p>
    <w:p>
      <w:pPr>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br w:type="page"/>
      </w:r>
    </w:p>
    <w:p>
      <w:pPr>
        <w:rPr>
          <w:rFonts w:hint="eastAsia" w:ascii="宋体" w:hAnsi="宋体" w:eastAsia="宋体" w:cs="宋体"/>
          <w:b/>
          <w:bCs/>
          <w:color w:val="auto"/>
          <w:sz w:val="24"/>
          <w:highlight w:val="none"/>
          <w:lang w:val="fr-CH"/>
        </w:rPr>
      </w:pP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lang w:val="en-US" w:eastAsia="zh-CN"/>
        </w:rPr>
        <w:t>、</w:t>
      </w:r>
      <w:r>
        <w:rPr>
          <w:rFonts w:hint="eastAsia" w:ascii="宋体" w:hAnsi="宋体" w:eastAsia="宋体" w:cs="宋体"/>
          <w:b/>
          <w:bCs/>
          <w:color w:val="auto"/>
          <w:sz w:val="24"/>
          <w:highlight w:val="none"/>
          <w:lang w:val="fr-CH"/>
        </w:rPr>
        <w:t>投标人简介</w:t>
      </w:r>
    </w:p>
    <w:p>
      <w:pPr>
        <w:pStyle w:val="5"/>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outlineLvl w:val="0"/>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供应商基本情况表</w:t>
      </w:r>
    </w:p>
    <w:p>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outlineLvl w:val="0"/>
        <w:rPr>
          <w:b/>
          <w:bCs/>
          <w:color w:val="auto"/>
          <w:sz w:val="28"/>
          <w:szCs w:val="36"/>
          <w:highlight w:val="none"/>
        </w:rPr>
      </w:pPr>
      <w:r>
        <w:rPr>
          <w:rFonts w:hint="eastAsia"/>
          <w:b/>
          <w:bCs/>
          <w:color w:val="auto"/>
          <w:sz w:val="28"/>
          <w:szCs w:val="36"/>
          <w:highlight w:val="none"/>
        </w:rPr>
        <w:t>填表单位：（加盖单位公章）</w:t>
      </w:r>
      <w:r>
        <w:rPr>
          <w:rFonts w:hint="eastAsia"/>
          <w:b/>
          <w:bCs/>
          <w:color w:val="auto"/>
          <w:sz w:val="28"/>
          <w:szCs w:val="36"/>
          <w:highlight w:val="none"/>
        </w:rPr>
        <w:tab/>
      </w:r>
      <w:r>
        <w:rPr>
          <w:rFonts w:hint="eastAsia"/>
          <w:b/>
          <w:bCs/>
          <w:color w:val="auto"/>
          <w:sz w:val="28"/>
          <w:szCs w:val="36"/>
          <w:highlight w:val="none"/>
        </w:rPr>
        <w:tab/>
      </w:r>
      <w:r>
        <w:rPr>
          <w:rFonts w:hint="eastAsia"/>
          <w:b/>
          <w:bCs/>
          <w:color w:val="auto"/>
          <w:sz w:val="28"/>
          <w:szCs w:val="36"/>
          <w:highlight w:val="none"/>
        </w:rPr>
        <w:t xml:space="preserve">   填表日期：    年   月   日</w:t>
      </w:r>
    </w:p>
    <w:tbl>
      <w:tblPr>
        <w:tblStyle w:val="20"/>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2282" w:type="dxa"/>
            <w:gridSpan w:val="2"/>
            <w:noWrap w:val="0"/>
            <w:vAlign w:val="center"/>
          </w:tcPr>
          <w:p>
            <w:pPr>
              <w:pStyle w:val="5"/>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color w:val="auto"/>
          <w:szCs w:val="21"/>
          <w:highlight w:val="none"/>
        </w:rPr>
      </w:pPr>
      <w:r>
        <w:rPr>
          <w:rFonts w:hint="eastAsia" w:ascii="宋体" w:hAnsi="宋体"/>
          <w:b/>
          <w:bCs/>
          <w:color w:val="auto"/>
          <w:szCs w:val="21"/>
          <w:highlight w:val="none"/>
        </w:rPr>
        <w:t>注：</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2、投标人需如实填写上述信息，如查实上述信息与实际不符，视为提供虚假证明材料骗取中标，投标人应承担相应法律后果。</w:t>
      </w:r>
    </w:p>
    <w:p>
      <w:pPr>
        <w:spacing w:line="440" w:lineRule="exact"/>
        <w:rPr>
          <w:rFonts w:ascii="宋体" w:hAnsi="宋体" w:eastAsia="宋体"/>
          <w:color w:val="auto"/>
          <w:highlight w:val="none"/>
        </w:rPr>
      </w:pPr>
    </w:p>
    <w:p>
      <w:pPr>
        <w:numPr>
          <w:ilvl w:val="0"/>
          <w:numId w:val="0"/>
        </w:numPr>
        <w:tabs>
          <w:tab w:val="left" w:pos="640"/>
          <w:tab w:val="left" w:pos="1260"/>
          <w:tab w:val="left" w:pos="1418"/>
        </w:tabs>
        <w:spacing w:line="360" w:lineRule="auto"/>
        <w:rPr>
          <w:rFonts w:hint="eastAsia" w:ascii="宋体" w:hAnsi="宋体" w:cs="宋体"/>
          <w:b/>
          <w:bCs/>
          <w:color w:val="auto"/>
          <w:sz w:val="24"/>
          <w:highlight w:val="none"/>
          <w:lang w:val="fr-CH"/>
        </w:rPr>
      </w:pPr>
      <w:r>
        <w:rPr>
          <w:rFonts w:hint="eastAsia" w:ascii="宋体" w:hAnsi="宋体" w:eastAsia="宋体"/>
          <w:b/>
          <w:color w:val="auto"/>
          <w:highlight w:val="none"/>
        </w:rPr>
        <w:t>备注：</w:t>
      </w:r>
      <w:r>
        <w:rPr>
          <w:rFonts w:hint="eastAsia" w:ascii="宋体" w:hAnsi="宋体" w:eastAsia="宋体"/>
          <w:color w:val="auto"/>
          <w:highlight w:val="none"/>
        </w:rPr>
        <w:t>以上资质证明材料必须在投标文件中如实提供，一旦发现虚报、造假等违规行为，立即取消其投标资格并追究其相应法律责任。</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2、综合实力</w:t>
      </w:r>
      <w:r>
        <w:rPr>
          <w:rFonts w:hint="eastAsia" w:ascii="宋体" w:hAnsi="宋体" w:cs="宋体"/>
          <w:b/>
          <w:bCs/>
          <w:color w:val="auto"/>
          <w:sz w:val="24"/>
          <w:highlight w:val="none"/>
          <w:lang w:val="fr-CH"/>
        </w:rPr>
        <w:t>（格式自拟）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3</w:t>
      </w:r>
      <w:r>
        <w:rPr>
          <w:rFonts w:hint="eastAsia" w:ascii="宋体" w:hAnsi="宋体" w:cs="宋体"/>
          <w:b/>
          <w:bCs/>
          <w:color w:val="auto"/>
          <w:sz w:val="24"/>
          <w:highlight w:val="none"/>
          <w:lang w:val="fr-CH"/>
        </w:rPr>
        <w:t>、项目团队成员（格式自拟）</w:t>
      </w:r>
    </w:p>
    <w:p>
      <w:pPr>
        <w:tabs>
          <w:tab w:val="left" w:pos="640"/>
          <w:tab w:val="left" w:pos="1260"/>
          <w:tab w:val="left" w:pos="1418"/>
        </w:tabs>
        <w:spacing w:line="360" w:lineRule="auto"/>
        <w:rPr>
          <w:rFonts w:ascii="宋体" w:hAnsi="宋体" w:cs="宋体"/>
          <w:b/>
          <w:bCs/>
          <w:color w:val="auto"/>
          <w:sz w:val="24"/>
          <w:highlight w:val="none"/>
          <w:lang w:val="fr-CH"/>
        </w:rPr>
      </w:pPr>
      <w:r>
        <w:rPr>
          <w:rFonts w:hint="eastAsia" w:ascii="宋体" w:hAnsi="宋体" w:cs="宋体"/>
          <w:b/>
          <w:bCs/>
          <w:color w:val="auto"/>
          <w:sz w:val="24"/>
          <w:highlight w:val="none"/>
          <w:lang w:val="fr-CH"/>
        </w:rPr>
        <w:t>1</w:t>
      </w:r>
      <w:r>
        <w:rPr>
          <w:rFonts w:hint="eastAsia" w:ascii="宋体" w:hAnsi="宋体" w:cs="宋体"/>
          <w:b/>
          <w:bCs/>
          <w:color w:val="auto"/>
          <w:sz w:val="24"/>
          <w:highlight w:val="none"/>
          <w:lang w:val="en-US" w:eastAsia="zh-CN"/>
        </w:rPr>
        <w:t>4</w:t>
      </w:r>
      <w:r>
        <w:rPr>
          <w:rFonts w:hint="eastAsia" w:ascii="宋体" w:hAnsi="宋体" w:cs="宋体"/>
          <w:b/>
          <w:bCs/>
          <w:color w:val="auto"/>
          <w:sz w:val="24"/>
          <w:highlight w:val="none"/>
          <w:lang w:val="fr-CH"/>
        </w:rPr>
        <w:t>、投标单位认为有必要提供的其他材料（格式自拟）</w:t>
      </w:r>
    </w:p>
    <w:p>
      <w:pPr>
        <w:tabs>
          <w:tab w:val="left" w:pos="640"/>
          <w:tab w:val="left" w:pos="1260"/>
          <w:tab w:val="left" w:pos="1418"/>
        </w:tabs>
        <w:spacing w:line="360" w:lineRule="auto"/>
        <w:rPr>
          <w:rFonts w:ascii="宋体" w:hAnsi="宋体" w:cs="宋体"/>
          <w:b/>
          <w:bCs/>
          <w:color w:val="auto"/>
          <w:sz w:val="24"/>
          <w:highlight w:val="none"/>
          <w:lang w:val="fr-CH"/>
        </w:rPr>
      </w:pPr>
    </w:p>
    <w:p>
      <w:pPr>
        <w:tabs>
          <w:tab w:val="left" w:pos="640"/>
          <w:tab w:val="left" w:pos="840"/>
          <w:tab w:val="left" w:pos="1260"/>
          <w:tab w:val="left" w:pos="1418"/>
        </w:tabs>
        <w:spacing w:line="360" w:lineRule="auto"/>
        <w:rPr>
          <w:rFonts w:ascii="宋体" w:hAnsi="宋体" w:cs="宋体"/>
          <w:color w:val="auto"/>
          <w:sz w:val="24"/>
          <w:highlight w:val="none"/>
        </w:rPr>
      </w:pPr>
    </w:p>
    <w:p>
      <w:pPr>
        <w:spacing w:line="360" w:lineRule="auto"/>
        <w:outlineLvl w:val="2"/>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spacing w:after="78" w:line="360" w:lineRule="auto"/>
        <w:jc w:val="center"/>
        <w:rPr>
          <w:rFonts w:ascii="宋体" w:hAnsi="宋体" w:cs="宋体"/>
          <w:b/>
          <w:bCs/>
          <w:color w:val="auto"/>
          <w:sz w:val="24"/>
          <w:highlight w:val="none"/>
          <w:lang w:val="fr-CH"/>
        </w:rPr>
      </w:pPr>
      <w:r>
        <w:rPr>
          <w:rFonts w:hint="eastAsia" w:ascii="宋体" w:hAnsi="宋体" w:cs="宋体"/>
          <w:b/>
          <w:bCs/>
          <w:color w:val="auto"/>
          <w:sz w:val="24"/>
          <w:highlight w:val="none"/>
        </w:rPr>
        <w:t>1、</w:t>
      </w:r>
      <w:r>
        <w:rPr>
          <w:rFonts w:hint="eastAsia" w:ascii="宋体" w:hAnsi="宋体" w:cs="宋体"/>
          <w:b/>
          <w:bCs/>
          <w:color w:val="auto"/>
          <w:sz w:val="24"/>
          <w:highlight w:val="none"/>
          <w:lang w:val="fr-CH"/>
        </w:rPr>
        <w:t>用户需求响应表</w:t>
      </w:r>
    </w:p>
    <w:p>
      <w:pPr>
        <w:spacing w:after="78" w:line="360" w:lineRule="auto"/>
        <w:rPr>
          <w:rFonts w:ascii="宋体" w:hAnsi="宋体" w:cs="宋体"/>
          <w:color w:val="auto"/>
          <w:sz w:val="24"/>
          <w:highlight w:val="none"/>
        </w:rPr>
      </w:pPr>
      <w:r>
        <w:rPr>
          <w:rFonts w:hint="eastAsia" w:ascii="宋体" w:hAnsi="宋体" w:cs="宋体"/>
          <w:color w:val="auto"/>
          <w:sz w:val="24"/>
          <w:highlight w:val="none"/>
        </w:rPr>
        <w:t>投标人名称____________________          招标编号____________________</w:t>
      </w: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19"/>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序号</w:t>
            </w:r>
          </w:p>
        </w:tc>
        <w:tc>
          <w:tcPr>
            <w:tcW w:w="350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招标文件要求</w:t>
            </w:r>
          </w:p>
        </w:tc>
        <w:tc>
          <w:tcPr>
            <w:tcW w:w="3241"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投标文件响应</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r>
              <w:rPr>
                <w:rFonts w:hint="eastAsia" w:ascii="宋体" w:hAnsi="宋体" w:cs="宋体"/>
                <w:bCs/>
                <w:color w:val="auto"/>
                <w:sz w:val="24"/>
                <w:highlight w:val="none"/>
              </w:rPr>
              <w:t>1</w:t>
            </w:r>
          </w:p>
        </w:tc>
        <w:tc>
          <w:tcPr>
            <w:tcW w:w="3507" w:type="dxa"/>
            <w:vAlign w:val="center"/>
          </w:tcPr>
          <w:p>
            <w:pPr>
              <w:keepNext w:val="0"/>
              <w:keepLines w:val="0"/>
              <w:suppressLineNumbers w:val="0"/>
              <w:spacing w:before="0" w:beforeAutospacing="0" w:after="78" w:afterAutospacing="0" w:line="360" w:lineRule="auto"/>
              <w:ind w:left="0" w:right="0"/>
              <w:rPr>
                <w:rFonts w:hint="default" w:ascii="宋体" w:hAnsi="宋体" w:cs="宋体"/>
                <w:bCs/>
                <w:color w:val="auto"/>
                <w:sz w:val="24"/>
                <w:highlight w:val="none"/>
              </w:rPr>
            </w:pPr>
            <w:r>
              <w:rPr>
                <w:rFonts w:hint="eastAsia" w:ascii="宋体" w:hAnsi="宋体" w:cs="宋体"/>
                <w:bCs/>
                <w:color w:val="auto"/>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vAlign w:val="center"/>
          </w:tcPr>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keepNext w:val="0"/>
              <w:keepLines w:val="0"/>
              <w:suppressLineNumbers w:val="0"/>
              <w:spacing w:before="0" w:beforeAutospacing="0" w:after="0" w:afterAutospacing="0" w:line="360" w:lineRule="auto"/>
              <w:ind w:left="0" w:right="0"/>
              <w:jc w:val="left"/>
              <w:rPr>
                <w:rFonts w:hint="default"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1917" w:type="dxa"/>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auto"/>
                <w:sz w:val="24"/>
                <w:highlight w:val="none"/>
              </w:rPr>
            </w:pPr>
          </w:p>
        </w:tc>
      </w:tr>
    </w:tbl>
    <w:p>
      <w:pPr>
        <w:spacing w:after="78" w:line="360" w:lineRule="auto"/>
        <w:rPr>
          <w:rFonts w:ascii="宋体" w:hAnsi="宋体" w:cs="宋体"/>
          <w:bCs/>
          <w:color w:val="auto"/>
          <w:sz w:val="24"/>
          <w:highlight w:val="none"/>
        </w:rPr>
      </w:pPr>
    </w:p>
    <w:p>
      <w:pPr>
        <w:spacing w:after="78" w:line="360" w:lineRule="auto"/>
        <w:rPr>
          <w:rFonts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若响应情况优于招标要求，应作详细说明；“偏离情况”栏中根据响应情况填写，没有达到要求的填“负偏离”，达到要求的填“符合”，优于要求的填“正偏离”。</w:t>
      </w:r>
    </w:p>
    <w:p>
      <w:pPr>
        <w:pStyle w:val="10"/>
        <w:spacing w:line="360" w:lineRule="auto"/>
        <w:ind w:firstLine="5760" w:firstLineChars="2400"/>
        <w:rPr>
          <w:rFonts w:hint="eastAsia" w:hAnsi="宋体" w:cs="宋体"/>
          <w:bCs/>
          <w:color w:val="auto"/>
          <w:sz w:val="24"/>
          <w:highlight w:val="none"/>
        </w:rPr>
      </w:pPr>
    </w:p>
    <w:p>
      <w:pPr>
        <w:pStyle w:val="10"/>
        <w:spacing w:line="360" w:lineRule="auto"/>
        <w:ind w:firstLine="5760" w:firstLineChars="2400"/>
        <w:rPr>
          <w:rFonts w:hAnsi="宋体" w:cs="宋体"/>
          <w:bCs/>
          <w:color w:val="auto"/>
          <w:sz w:val="24"/>
          <w:highlight w:val="none"/>
        </w:rPr>
      </w:pPr>
      <w:r>
        <w:rPr>
          <w:rFonts w:hint="eastAsia" w:hAnsi="宋体" w:cs="宋体"/>
          <w:bCs/>
          <w:color w:val="auto"/>
          <w:sz w:val="24"/>
          <w:highlight w:val="none"/>
        </w:rPr>
        <w:t>供应商：（公章）</w:t>
      </w:r>
    </w:p>
    <w:p>
      <w:pPr>
        <w:spacing w:line="360" w:lineRule="auto"/>
        <w:ind w:firstLine="5589" w:firstLineChars="2329"/>
        <w:rPr>
          <w:color w:val="auto"/>
          <w:highlight w:val="none"/>
          <w:lang w:val="fr-CH"/>
        </w:rPr>
      </w:pPr>
      <w:r>
        <w:rPr>
          <w:rFonts w:hint="eastAsia" w:ascii="宋体" w:hAnsi="宋体" w:cs="宋体"/>
          <w:bCs/>
          <w:color w:val="auto"/>
          <w:sz w:val="24"/>
          <w:highlight w:val="none"/>
        </w:rPr>
        <w:t>日期：  年   月  日</w:t>
      </w: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2、设计思路（格式自拟）</w:t>
      </w: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3、整体定位（格式自拟）</w:t>
      </w:r>
    </w:p>
    <w:p>
      <w:pPr>
        <w:tabs>
          <w:tab w:val="left" w:pos="640"/>
          <w:tab w:val="left" w:pos="1260"/>
          <w:tab w:val="left" w:pos="1418"/>
        </w:tabs>
        <w:spacing w:line="360" w:lineRule="auto"/>
        <w:ind w:right="0" w:rightChars="0"/>
        <w:rPr>
          <w:rFonts w:hint="eastAsia" w:ascii="宋体" w:hAnsi="宋体" w:eastAsia="宋体" w:cs="宋体"/>
          <w:b/>
          <w:bCs/>
          <w:color w:val="auto"/>
          <w:sz w:val="24"/>
          <w:highlight w:val="none"/>
          <w:lang w:val="fr-CH"/>
        </w:rPr>
      </w:pPr>
      <w:r>
        <w:rPr>
          <w:rFonts w:hint="eastAsia" w:ascii="宋体" w:hAnsi="宋体" w:cs="宋体"/>
          <w:b/>
          <w:bCs/>
          <w:color w:val="auto"/>
          <w:sz w:val="24"/>
          <w:highlight w:val="none"/>
          <w:lang w:val="fr-CH"/>
        </w:rPr>
        <w:t>4、质量（完成时间、安全、环保）保障措施及方案</w:t>
      </w:r>
      <w:r>
        <w:rPr>
          <w:rFonts w:hint="eastAsia" w:ascii="宋体" w:hAnsi="宋体" w:eastAsia="宋体" w:cs="宋体"/>
          <w:b/>
          <w:bCs/>
          <w:color w:val="auto"/>
          <w:sz w:val="24"/>
          <w:highlight w:val="none"/>
          <w:lang w:val="fr-CH"/>
        </w:rPr>
        <w:t>（格式自拟）</w:t>
      </w:r>
    </w:p>
    <w:p>
      <w:pPr>
        <w:tabs>
          <w:tab w:val="left" w:pos="640"/>
          <w:tab w:val="left" w:pos="1260"/>
          <w:tab w:val="left" w:pos="1418"/>
        </w:tabs>
        <w:spacing w:line="360" w:lineRule="auto"/>
        <w:ind w:right="0" w:rightChars="0"/>
        <w:rPr>
          <w:rFonts w:hint="eastAsia" w:ascii="宋体" w:hAnsi="宋体" w:eastAsia="宋体" w:cs="宋体"/>
          <w:b/>
          <w:bCs/>
          <w:color w:val="auto"/>
          <w:sz w:val="24"/>
          <w:highlight w:val="none"/>
          <w:lang w:val="fr-CH"/>
        </w:rPr>
      </w:pPr>
      <w:r>
        <w:rPr>
          <w:rFonts w:hint="eastAsia" w:ascii="宋体" w:hAnsi="宋体" w:eastAsia="宋体" w:cs="宋体"/>
          <w:b/>
          <w:bCs/>
          <w:color w:val="auto"/>
          <w:sz w:val="24"/>
          <w:highlight w:val="none"/>
          <w:lang w:val="fr-CH"/>
        </w:rPr>
        <w:t>5、违约承诺（格式自拟）</w:t>
      </w:r>
    </w:p>
    <w:p>
      <w:pPr>
        <w:tabs>
          <w:tab w:val="left" w:pos="640"/>
          <w:tab w:val="left" w:pos="1260"/>
          <w:tab w:val="left" w:pos="1418"/>
        </w:tabs>
        <w:spacing w:line="360" w:lineRule="auto"/>
        <w:ind w:right="0" w:rightChars="0"/>
        <w:rPr>
          <w:rFonts w:hint="eastAsia" w:ascii="宋体" w:hAnsi="宋体" w:eastAsia="宋体" w:cs="宋体"/>
          <w:b/>
          <w:bCs/>
          <w:color w:val="auto"/>
          <w:sz w:val="24"/>
          <w:highlight w:val="none"/>
          <w:lang w:val="fr-CH"/>
        </w:rPr>
      </w:pPr>
      <w:r>
        <w:rPr>
          <w:rFonts w:hint="eastAsia" w:ascii="宋体" w:hAnsi="宋体" w:eastAsia="宋体" w:cs="宋体"/>
          <w:b/>
          <w:bCs/>
          <w:color w:val="auto"/>
          <w:sz w:val="24"/>
          <w:highlight w:val="none"/>
          <w:lang w:val="fr-CH"/>
        </w:rPr>
        <w:t>6、服务响应（格式自拟）</w:t>
      </w:r>
    </w:p>
    <w:p>
      <w:pPr>
        <w:tabs>
          <w:tab w:val="left" w:pos="640"/>
          <w:tab w:val="left" w:pos="1260"/>
          <w:tab w:val="left" w:pos="1418"/>
        </w:tabs>
        <w:spacing w:line="360" w:lineRule="auto"/>
        <w:ind w:right="0" w:rightChars="0"/>
        <w:rPr>
          <w:rFonts w:hint="eastAsia" w:ascii="宋体" w:hAnsi="宋体" w:cs="宋体"/>
          <w:b/>
          <w:bCs/>
          <w:color w:val="auto"/>
          <w:sz w:val="24"/>
          <w:highlight w:val="none"/>
          <w:lang w:val="fr-CH"/>
        </w:rPr>
      </w:pPr>
      <w:r>
        <w:rPr>
          <w:rFonts w:hint="eastAsia" w:ascii="宋体" w:hAnsi="宋体" w:cs="宋体"/>
          <w:b/>
          <w:bCs/>
          <w:color w:val="auto"/>
          <w:sz w:val="24"/>
          <w:highlight w:val="none"/>
          <w:lang w:val="en-US" w:eastAsia="zh-CN"/>
        </w:rPr>
        <w:t>7</w:t>
      </w:r>
      <w:r>
        <w:rPr>
          <w:rFonts w:hint="eastAsia" w:ascii="宋体" w:hAnsi="宋体" w:cs="宋体"/>
          <w:b/>
          <w:bCs/>
          <w:color w:val="auto"/>
          <w:sz w:val="24"/>
          <w:highlight w:val="none"/>
          <w:lang w:val="fr-CH"/>
        </w:rPr>
        <w:t>、投标单位认为有必要提供的其他材料（</w:t>
      </w:r>
      <w:r>
        <w:rPr>
          <w:rFonts w:hint="eastAsia" w:ascii="宋体" w:hAnsi="宋体" w:cs="宋体"/>
          <w:b/>
          <w:bCs/>
          <w:color w:val="auto"/>
          <w:sz w:val="24"/>
          <w:highlight w:val="none"/>
          <w:lang w:val="en-US" w:eastAsia="zh-CN"/>
        </w:rPr>
        <w:t>包括但不限于以下内容</w:t>
      </w:r>
      <w:r>
        <w:rPr>
          <w:rFonts w:hint="eastAsia" w:ascii="宋体" w:hAnsi="宋体" w:cs="宋体"/>
          <w:b/>
          <w:bCs/>
          <w:color w:val="auto"/>
          <w:sz w:val="24"/>
          <w:highlight w:val="none"/>
          <w:lang w:val="fr-CH"/>
        </w:rPr>
        <w:t>）</w:t>
      </w:r>
    </w:p>
    <w:p>
      <w:pP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br w:type="page"/>
      </w:r>
    </w:p>
    <w:p>
      <w:pPr>
        <w:numPr>
          <w:ilvl w:val="0"/>
          <w:numId w:val="0"/>
        </w:numPr>
        <w:spacing w:line="440" w:lineRule="exact"/>
        <w:ind w:firstLine="0" w:firstLineChars="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最近三年本公司牵涉的主要诉讼案件</w:t>
      </w:r>
    </w:p>
    <w:p>
      <w:pPr>
        <w:spacing w:line="440" w:lineRule="exact"/>
        <w:jc w:val="left"/>
        <w:rPr>
          <w:rFonts w:hint="eastAsia" w:ascii="宋体" w:hAnsi="宋体"/>
          <w:color w:val="auto"/>
          <w:szCs w:val="21"/>
          <w:highlight w:val="none"/>
        </w:rPr>
      </w:pPr>
    </w:p>
    <w:p>
      <w:pPr>
        <w:spacing w:line="440" w:lineRule="exact"/>
        <w:jc w:val="left"/>
        <w:rPr>
          <w:rFonts w:hint="eastAsia" w:ascii="宋体" w:hAnsi="宋体"/>
          <w:color w:val="auto"/>
          <w:highlight w:val="none"/>
        </w:rPr>
      </w:pPr>
      <w:r>
        <w:rPr>
          <w:rFonts w:hint="eastAsia" w:ascii="宋体" w:hAnsi="宋体"/>
          <w:color w:val="auto"/>
          <w:szCs w:val="21"/>
          <w:highlight w:val="none"/>
        </w:rPr>
        <w:t>2、</w:t>
      </w:r>
      <w:r>
        <w:rPr>
          <w:rFonts w:hint="eastAsia" w:ascii="宋体" w:hAnsi="宋体"/>
          <w:b/>
          <w:bCs/>
          <w:color w:val="auto"/>
          <w:highlight w:val="none"/>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color w:val="auto"/>
          <w:highlight w:val="none"/>
        </w:rPr>
      </w:pPr>
    </w:p>
    <w:p>
      <w:pPr>
        <w:spacing w:line="440" w:lineRule="exact"/>
        <w:jc w:val="left"/>
        <w:outlineLvl w:val="0"/>
        <w:rPr>
          <w:rFonts w:hint="eastAsia" w:ascii="宋体" w:hAnsi="宋体"/>
          <w:color w:val="auto"/>
          <w:highlight w:val="none"/>
        </w:rPr>
      </w:pPr>
      <w:r>
        <w:rPr>
          <w:rFonts w:hint="eastAsia" w:ascii="宋体" w:hAnsi="宋体"/>
          <w:color w:val="auto"/>
          <w:highlight w:val="none"/>
        </w:rPr>
        <w:t>注：</w:t>
      </w:r>
    </w:p>
    <w:p>
      <w:pPr>
        <w:spacing w:line="440" w:lineRule="exact"/>
        <w:jc w:val="left"/>
        <w:rPr>
          <w:rFonts w:hint="eastAsia" w:ascii="宋体" w:hAnsi="宋体"/>
          <w:color w:val="auto"/>
          <w:highlight w:val="none"/>
        </w:rPr>
      </w:pPr>
      <w:r>
        <w:rPr>
          <w:rFonts w:hint="eastAsia" w:ascii="宋体" w:hAnsi="宋体"/>
          <w:color w:val="auto"/>
          <w:highlight w:val="none"/>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color w:val="auto"/>
          <w:highlight w:val="none"/>
        </w:rPr>
      </w:pPr>
      <w:r>
        <w:rPr>
          <w:rFonts w:hint="eastAsia" w:ascii="宋体" w:hAnsi="宋体"/>
          <w:color w:val="auto"/>
          <w:highlight w:val="none"/>
        </w:rPr>
        <w:t>2.投标人为新成立企业且成立时间不足一个月可提供加盖投标人公章的情况说明或者证明材料亦视为符合。</w:t>
      </w:r>
    </w:p>
    <w:p>
      <w:pPr>
        <w:spacing w:line="440" w:lineRule="exact"/>
        <w:jc w:val="left"/>
        <w:rPr>
          <w:rFonts w:hint="eastAsia" w:ascii="宋体" w:hAnsi="宋体"/>
          <w:color w:val="auto"/>
          <w:highlight w:val="none"/>
        </w:rPr>
      </w:pPr>
      <w:r>
        <w:rPr>
          <w:rFonts w:hint="eastAsia" w:ascii="宋体" w:hAnsi="宋体"/>
          <w:color w:val="auto"/>
          <w:highlight w:val="none"/>
        </w:rPr>
        <w:t>3.若为退休人员，提供退休证明。</w:t>
      </w:r>
    </w:p>
    <w:p>
      <w:pPr>
        <w:spacing w:line="440" w:lineRule="exact"/>
        <w:jc w:val="left"/>
        <w:rPr>
          <w:rFonts w:hint="eastAsia" w:ascii="宋体" w:hAnsi="宋体"/>
          <w:color w:val="auto"/>
          <w:highlight w:val="none"/>
        </w:rPr>
      </w:pPr>
      <w:r>
        <w:rPr>
          <w:rFonts w:hint="eastAsia" w:ascii="宋体" w:hAnsi="宋体"/>
          <w:color w:val="auto"/>
          <w:highlight w:val="none"/>
        </w:rPr>
        <w:t>4.如依法不需要缴纳社会保险的，应提供相应文件证明。</w:t>
      </w:r>
    </w:p>
    <w:p>
      <w:pPr>
        <w:spacing w:line="440" w:lineRule="exact"/>
        <w:jc w:val="left"/>
        <w:rPr>
          <w:rFonts w:hint="eastAsia" w:ascii="宋体" w:hAnsi="宋体"/>
          <w:color w:val="auto"/>
          <w:highlight w:val="none"/>
        </w:rPr>
      </w:pPr>
      <w:r>
        <w:rPr>
          <w:rFonts w:hint="eastAsia" w:ascii="宋体" w:hAnsi="宋体"/>
          <w:color w:val="auto"/>
          <w:highlight w:val="none"/>
        </w:rPr>
        <w:t>5.若因为社保部门或税务部门原因无法提供的，需提供劳动合同及社保部门或税务部门官方通知证明（或官网公告截图）。</w:t>
      </w:r>
    </w:p>
    <w:p>
      <w:pPr>
        <w:spacing w:line="440" w:lineRule="exact"/>
        <w:jc w:val="left"/>
        <w:rPr>
          <w:rFonts w:hint="eastAsia" w:ascii="宋体" w:hAnsi="宋体"/>
          <w:color w:val="auto"/>
          <w:highlight w:val="none"/>
        </w:rPr>
      </w:pPr>
      <w:r>
        <w:rPr>
          <w:rFonts w:hint="eastAsia" w:ascii="宋体" w:hAnsi="宋体"/>
          <w:color w:val="auto"/>
          <w:highlight w:val="none"/>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.如是联合体投标的，需提供各方的。</w:t>
      </w:r>
    </w:p>
    <w:p>
      <w:pPr>
        <w:spacing w:line="440" w:lineRule="exact"/>
        <w:jc w:val="left"/>
        <w:rPr>
          <w:rFonts w:hint="eastAsia" w:ascii="宋体" w:hAnsi="宋体"/>
          <w:color w:val="auto"/>
          <w:highlight w:val="none"/>
        </w:rPr>
      </w:pPr>
    </w:p>
    <w:p>
      <w:pPr>
        <w:tabs>
          <w:tab w:val="left" w:pos="640"/>
          <w:tab w:val="left" w:pos="1260"/>
          <w:tab w:val="left" w:pos="1418"/>
        </w:tabs>
        <w:spacing w:line="360" w:lineRule="auto"/>
        <w:rPr>
          <w:rFonts w:ascii="宋体" w:hAnsi="宋体" w:cs="宋体"/>
          <w:b/>
          <w:bCs/>
          <w:color w:val="auto"/>
          <w:sz w:val="24"/>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其他招标文件要求和投标人认为有必要的内容</w:t>
      </w:r>
      <w:r>
        <w:rPr>
          <w:rFonts w:hint="eastAsia" w:ascii="宋体" w:hAnsi="宋体" w:cs="宋体"/>
          <w:color w:val="auto"/>
          <w:sz w:val="24"/>
          <w:highlight w:val="none"/>
          <w:lang w:val="fr-CH"/>
        </w:rPr>
        <w:br w:type="page"/>
      </w:r>
      <w:r>
        <w:rPr>
          <w:rFonts w:hint="eastAsia" w:ascii="宋体" w:hAnsi="宋体" w:cs="宋体"/>
          <w:b/>
          <w:bCs/>
          <w:color w:val="auto"/>
          <w:sz w:val="24"/>
          <w:highlight w:val="none"/>
        </w:rPr>
        <w:t>注：以上各项请根据“招标项目评分表”中的要求自行填写并提供相应的证明材料。</w:t>
      </w:r>
    </w:p>
    <w:p>
      <w:pPr>
        <w:tabs>
          <w:tab w:val="left" w:pos="425"/>
          <w:tab w:val="left" w:pos="640"/>
          <w:tab w:val="left" w:pos="1260"/>
          <w:tab w:val="left" w:pos="1418"/>
        </w:tabs>
        <w:spacing w:line="360" w:lineRule="auto"/>
        <w:ind w:right="-420" w:rightChars="-200"/>
        <w:jc w:val="center"/>
        <w:outlineLvl w:val="0"/>
        <w:rPr>
          <w:rFonts w:ascii="宋体" w:hAnsi="宋体" w:cs="宋体"/>
          <w:b/>
          <w:bCs/>
          <w:color w:val="auto"/>
          <w:sz w:val="24"/>
          <w:highlight w:val="none"/>
        </w:rPr>
      </w:pPr>
      <w:r>
        <w:rPr>
          <w:rFonts w:hint="eastAsia" w:ascii="宋体" w:hAnsi="宋体" w:cs="宋体"/>
          <w:color w:val="auto"/>
          <w:sz w:val="24"/>
          <w:highlight w:val="none"/>
          <w:lang w:val="fr-CH"/>
        </w:rPr>
        <w:br w:type="page"/>
      </w:r>
      <w:bookmarkEnd w:id="28"/>
      <w:bookmarkStart w:id="33" w:name="_Toc3166"/>
      <w:bookmarkStart w:id="34" w:name="_Toc6251"/>
      <w:r>
        <w:rPr>
          <w:rFonts w:hint="eastAsia" w:ascii="宋体" w:hAnsi="宋体" w:cs="宋体"/>
          <w:b/>
          <w:bCs/>
          <w:color w:val="auto"/>
          <w:sz w:val="24"/>
          <w:highlight w:val="none"/>
        </w:rPr>
        <w:t>附件：相关政策</w:t>
      </w:r>
      <w:bookmarkEnd w:id="33"/>
      <w:bookmarkEnd w:id="34"/>
    </w:p>
    <w:p>
      <w:pPr>
        <w:tabs>
          <w:tab w:val="left" w:pos="360"/>
        </w:tabs>
        <w:spacing w:line="360" w:lineRule="auto"/>
        <w:outlineLvl w:val="1"/>
        <w:rPr>
          <w:rFonts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6"/>
        <w:tabs>
          <w:tab w:val="left" w:pos="562"/>
          <w:tab w:val="left" w:pos="3372"/>
          <w:tab w:val="left" w:pos="3653"/>
        </w:tabs>
        <w:spacing w:line="360" w:lineRule="auto"/>
        <w:rPr>
          <w:rFonts w:ascii="宋体" w:hAnsi="宋体" w:cs="宋体"/>
          <w:color w:val="auto"/>
          <w:sz w:val="24"/>
          <w:highlight w:val="none"/>
        </w:rPr>
      </w:pPr>
    </w:p>
    <w:p>
      <w:pPr>
        <w:widowControl/>
        <w:shd w:val="clear" w:color="auto" w:fill="FFFFFF"/>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spacing w:line="360" w:lineRule="auto"/>
        <w:jc w:val="right"/>
        <w:rPr>
          <w:rFonts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spacing w:line="360" w:lineRule="auto"/>
        <w:jc w:val="left"/>
        <w:rPr>
          <w:rFonts w:ascii="宋体" w:hAnsi="宋体" w:cs="宋体"/>
          <w:color w:val="auto"/>
          <w:kern w:val="0"/>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第一条 为了发挥政府采购的政策功能，促进中小企业健康发展，根据《中华人民共和国政府采购法》、《中华人民共和国中小企业促进法》等有关法律法规，制定本办法。</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第四条 在政府采购活动中，供应商提供的货物、工程或者服务符合下列情形的，享受本办法规定的中小企业扶持政策：</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 物由中小企业生产且使用该中小企业商号或者注册商标；</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 程施工单位为中小企业；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在货物采购项目中，供应商提供的货物既有中小企业制造货物，也有大型企业制造货物的，不享受本办法规定的中小企业扶持政策。</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6"/>
        <w:tabs>
          <w:tab w:val="left" w:pos="562"/>
          <w:tab w:val="left" w:pos="3372"/>
          <w:tab w:val="left" w:pos="3653"/>
        </w:tabs>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符合下列情形之一的，可不专门面向中小企业预留采购</w:t>
      </w:r>
      <w:r>
        <w:rPr>
          <w:rFonts w:hint="eastAsia" w:ascii="宋体" w:hAnsi="宋体" w:cs="宋体"/>
          <w:color w:val="auto"/>
          <w:sz w:val="24"/>
          <w:highlight w:val="none"/>
        </w:rPr>
        <w:t>份额：</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（一）法律法规和国家有关政策明确规定优先或者应当面向事业单位、社会组织等非企业主体采购的；</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（二）因确需使用不可替代的专利、专有技术，基础设施限制，或者提供特定公共服务等原因，只能从中小企业之外的供应商处采购的；</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（三）按照本办法规定预留采购份额无法确保充分供应、充分竞争，或者存在可能影响政府采购目标实现的情形；</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（四）框架协议采购项目；</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（五）省级以上人民政府财政部门规定的其他情形。 除上述情形外，其他均为适宜由中小企业提供的情形。</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第七条</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采购限额标准以上，200万元以下的货物和服务采购项目、400 万元以下的工程采购项目，适宜由中小企业提供的，采购人应当专门面向中小企业采购。</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（一）将采购项目整体或者设置采购包专门面向中小企业采购；</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（二）要求供应商以联合体形式参加采购活动，且联合体中中小企业承担的部分达到一定比例；</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（三）要求获得采购合同的供应商将采购项目中的一定比例分包给一家或者多家中小企业。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组成联合体或者接受分包合同的中小企业与联合体内 其他企业、分包企业之间不得存在直接控股、管理关系。</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第十二条 采购项目涉及中小企业采购的，采购文件应当明确以下内容：</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（一）预留份额的采购项目或者采购包，明确该项目或相关采购包专门面向中小企业采购，以及相关标的及预算金额；</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（二）要求以联合体形式参加或者合同分包的，明确联合协议或者分包意向协议中中小企业合同金额应当达到的 比例，并作为供应商资格条件；</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（三）非预留份额的采购项目或者采购包，明确有关价格扣除比例或者价格分加分比例；</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（四）规定依据本办法规定享受扶持政策获得政府采购合同的，小微企业不得将合同分包给大中型企业，中型企业不得将合同分包给大型企业；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（五）采购人认为具备相关条件的，明确对中小企业在资金支付期限、预付款比例等方面的优惠措施；</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（六）明确采购标的对应的中小企业划分标准所属行业；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（七）法律法规和省级以上人民政府财政部门规定的其他事项。</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第十三条 中标、成交供应商享受本办法规定的中小企业扶持政策的，采购人、采购代理机构应当随中标、成交结果公开中标、成交供应商的《中小企业声明函》。</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适用招标投标法的政府采购工程建设项目，应当在公示中标候选人时公开中标候选人的《中小企业声明函》。</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中小企业主管部门应当在收到财政部门或者有关招标 投标行政监督部门关于协助开展中小企业认定函后 10 个工作日内做出书面答复。</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第二十条 供应商按照本办法规定提供声明函内容不实的，属于提供虚假材料谋取中标、成交，依照《中华人民共和国政府采购法》等国家有关规定追究相应责任。</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第二十二条 对外援助项目、国家相关资格或者资质管理制度另有规定的项目，不适用本办法。</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第二十三条 关于视同中小企业的其他主体的政府采购扶持政策，由财政部会同有关部门另行规定。</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第二十四条 省级财政部门可以会同中小企业主管部门根据本办法的规定制定具体实施办法。</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第二十五条 本办法自 2021 年 1 月 1 日起施行。《财政部 工业和信息化部关于印发〈政府采购促进中小企业发展暂行办法〉的通知》（财库﹝2011﹞181 号）同时废止。</w:t>
      </w:r>
    </w:p>
    <w:p>
      <w:pPr>
        <w:pStyle w:val="6"/>
        <w:tabs>
          <w:tab w:val="left" w:pos="562"/>
          <w:tab w:val="left" w:pos="3372"/>
          <w:tab w:val="left" w:pos="3653"/>
        </w:tabs>
        <w:spacing w:before="5" w:line="360" w:lineRule="auto"/>
        <w:rPr>
          <w:rFonts w:ascii="宋体" w:hAnsi="宋体" w:cs="宋体"/>
          <w:color w:val="auto"/>
          <w:sz w:val="24"/>
          <w:highlight w:val="none"/>
        </w:rPr>
      </w:pP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附：1.中小企业声明函</w:t>
      </w:r>
    </w:p>
    <w:p>
      <w:pPr>
        <w:pStyle w:val="6"/>
        <w:tabs>
          <w:tab w:val="left" w:pos="562"/>
          <w:tab w:val="left" w:pos="3372"/>
          <w:tab w:val="left" w:pos="3653"/>
        </w:tabs>
        <w:spacing w:line="360" w:lineRule="auto"/>
        <w:ind w:firstLine="960" w:firstLineChars="400"/>
        <w:rPr>
          <w:rFonts w:ascii="宋体" w:hAnsi="宋体" w:cs="宋体"/>
          <w:color w:val="auto"/>
          <w:kern w:val="0"/>
          <w:sz w:val="24"/>
          <w:highlight w:val="none"/>
        </w:rPr>
      </w:pPr>
      <w:r>
        <w:rPr>
          <w:rFonts w:hint="eastAsia" w:ascii="宋体" w:hAnsi="宋体" w:cs="宋体"/>
          <w:color w:val="auto"/>
          <w:kern w:val="0"/>
          <w:sz w:val="24"/>
          <w:highlight w:val="none"/>
        </w:rPr>
        <w:t>2.面向中小企业预留项目执行情况公告</w:t>
      </w:r>
    </w:p>
    <w:p>
      <w:pPr>
        <w:pStyle w:val="6"/>
        <w:tabs>
          <w:tab w:val="left" w:pos="562"/>
          <w:tab w:val="left" w:pos="3372"/>
          <w:tab w:val="left" w:pos="3653"/>
        </w:tabs>
        <w:spacing w:before="30" w:line="360" w:lineRule="auto"/>
        <w:outlineLvl w:val="0"/>
        <w:rPr>
          <w:rFonts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 1</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t>中小企业声明函（货物）</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）采购活动，提供的货物全部由符合政策要求的中小企业制造。相关企业（含联合体中的中小企业、签订分包意向协议的中小企业） 的具体情况如下：</w:t>
      </w:r>
    </w:p>
    <w:p>
      <w:pPr>
        <w:pStyle w:val="6"/>
        <w:tabs>
          <w:tab w:val="left" w:pos="562"/>
          <w:tab w:val="left" w:pos="3372"/>
          <w:tab w:val="left" w:pos="3653"/>
        </w:tabs>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kern w:val="0"/>
          <w:sz w:val="24"/>
          <w:highlight w:val="none"/>
        </w:rPr>
        <w:t>）；制造商为（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人，营业收入为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kern w:val="0"/>
          <w:sz w:val="24"/>
          <w:highlight w:val="none"/>
          <w:u w:val="single"/>
          <w:lang w:eastAsia="zh-Hans"/>
        </w:rPr>
        <w:t>采购文件中明确的所属行业</w:t>
      </w:r>
      <w:r>
        <w:rPr>
          <w:rFonts w:hint="eastAsia" w:ascii="宋体" w:hAnsi="宋体" w:cs="宋体"/>
          <w:color w:val="auto"/>
          <w:spacing w:val="-2"/>
          <w:sz w:val="24"/>
          <w:highlight w:val="none"/>
        </w:rPr>
        <w:t>）；制造商为（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color w:val="auto"/>
          <w:sz w:val="24"/>
          <w:highlight w:val="none"/>
        </w:rPr>
      </w:pPr>
      <w:r>
        <w:rPr>
          <w:rFonts w:hint="eastAsia" w:ascii="宋体" w:hAnsi="宋体" w:cs="宋体"/>
          <w:color w:val="auto"/>
          <w:spacing w:val="-2"/>
          <w:sz w:val="24"/>
          <w:highlight w:val="none"/>
        </w:rPr>
        <w:t>企业名称（盖章）日期：</w:t>
      </w:r>
    </w:p>
    <w:p>
      <w:pPr>
        <w:pStyle w:val="6"/>
        <w:tabs>
          <w:tab w:val="left" w:pos="562"/>
          <w:tab w:val="left" w:pos="3372"/>
          <w:tab w:val="left" w:pos="3653"/>
        </w:tabs>
        <w:spacing w:line="360" w:lineRule="auto"/>
        <w:jc w:val="left"/>
        <w:rPr>
          <w:rFonts w:ascii="宋体" w:hAnsi="宋体" w:cs="宋体"/>
          <w:color w:val="auto"/>
          <w:spacing w:val="-2"/>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p>
    <w:p>
      <w:pPr>
        <w:spacing w:after="319" w:afterLines="100"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1、（</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lang w:val="en-US" w:eastAsia="zh-CN"/>
        </w:rPr>
        <w:t xml:space="preserve">    </w:t>
      </w:r>
      <w:r>
        <w:rPr>
          <w:rFonts w:hint="eastAsia" w:ascii="宋体" w:hAnsi="宋体" w:cs="宋体"/>
          <w:color w:val="auto"/>
          <w:spacing w:val="-2"/>
          <w:sz w:val="24"/>
          <w:highlight w:val="none"/>
        </w:rPr>
        <w:t>）；承建（承接）企业为（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b/>
          <w:bCs/>
          <w:color w:val="auto"/>
          <w:spacing w:val="-2"/>
          <w:sz w:val="24"/>
          <w:highlight w:val="none"/>
          <w:u w:val="single"/>
          <w:lang w:val="en-US" w:eastAsia="zh-CN"/>
        </w:rPr>
        <w:t xml:space="preserve">     </w:t>
      </w:r>
      <w:r>
        <w:rPr>
          <w:rFonts w:hint="eastAsia" w:ascii="宋体" w:hAnsi="宋体" w:cs="宋体"/>
          <w:color w:val="auto"/>
          <w:spacing w:val="-2"/>
          <w:sz w:val="24"/>
          <w:highlight w:val="none"/>
        </w:rPr>
        <w:t>） ；承建（承接）企业为（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6"/>
        <w:tabs>
          <w:tab w:val="left" w:pos="562"/>
          <w:tab w:val="left" w:pos="3372"/>
          <w:tab w:val="left" w:pos="3653"/>
        </w:tabs>
        <w:spacing w:line="360" w:lineRule="auto"/>
        <w:ind w:firstLine="472" w:firstLineChars="200"/>
        <w:rPr>
          <w:rFonts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6"/>
        <w:tabs>
          <w:tab w:val="left" w:pos="562"/>
          <w:tab w:val="left" w:pos="3372"/>
          <w:tab w:val="left" w:pos="3653"/>
        </w:tabs>
        <w:spacing w:line="360" w:lineRule="auto"/>
        <w:ind w:left="4200" w:leftChars="2000"/>
        <w:rPr>
          <w:rFonts w:ascii="宋体" w:hAnsi="宋体" w:cs="宋体"/>
          <w:color w:val="auto"/>
          <w:spacing w:val="-2"/>
          <w:sz w:val="24"/>
          <w:highlight w:val="none"/>
        </w:rPr>
      </w:pPr>
    </w:p>
    <w:p>
      <w:pPr>
        <w:pStyle w:val="6"/>
        <w:tabs>
          <w:tab w:val="left" w:pos="562"/>
          <w:tab w:val="left" w:pos="3372"/>
          <w:tab w:val="left" w:pos="3653"/>
        </w:tabs>
        <w:spacing w:line="360" w:lineRule="auto"/>
        <w:ind w:left="4200" w:leftChars="2000"/>
        <w:rPr>
          <w:rFonts w:ascii="宋体" w:hAnsi="宋体" w:cs="宋体"/>
          <w:color w:val="auto"/>
          <w:spacing w:val="-2"/>
          <w:sz w:val="24"/>
          <w:highlight w:val="none"/>
        </w:rPr>
      </w:pPr>
      <w:r>
        <w:rPr>
          <w:rFonts w:hint="eastAsia" w:ascii="宋体" w:hAnsi="宋体" w:cs="宋体"/>
          <w:color w:val="auto"/>
          <w:spacing w:val="-2"/>
          <w:sz w:val="24"/>
          <w:highlight w:val="none"/>
        </w:rPr>
        <w:t>企业名称（盖章）日期：</w:t>
      </w:r>
    </w:p>
    <w:p>
      <w:pPr>
        <w:pStyle w:val="6"/>
        <w:tabs>
          <w:tab w:val="left" w:pos="562"/>
          <w:tab w:val="left" w:pos="3372"/>
          <w:tab w:val="left" w:pos="3653"/>
        </w:tabs>
        <w:spacing w:before="30" w:line="360" w:lineRule="auto"/>
        <w:rPr>
          <w:rFonts w:ascii="宋体" w:hAnsi="宋体" w:cs="宋体"/>
          <w:color w:val="auto"/>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r>
        <w:rPr>
          <w:rFonts w:hint="eastAsia" w:ascii="宋体" w:hAnsi="宋体" w:cs="宋体"/>
          <w:color w:val="auto"/>
          <w:sz w:val="24"/>
          <w:highlight w:val="none"/>
        </w:rPr>
        <w:br w:type="page"/>
      </w:r>
      <w:r>
        <w:rPr>
          <w:rFonts w:hint="eastAsia" w:ascii="宋体" w:hAnsi="宋体" w:cs="宋体"/>
          <w:b/>
          <w:bCs/>
          <w:color w:val="auto"/>
          <w:sz w:val="24"/>
          <w:highlight w:val="none"/>
        </w:rPr>
        <w:t>附 2</w:t>
      </w:r>
    </w:p>
    <w:p>
      <w:pPr>
        <w:jc w:val="center"/>
        <w:rPr>
          <w:rFonts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6"/>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w:t>
      </w:r>
      <w:r>
        <w:rPr>
          <w:rFonts w:hint="eastAsia" w:ascii="宋体" w:hAnsi="宋体" w:cs="宋体"/>
          <w:color w:val="auto"/>
          <w:spacing w:val="-47"/>
          <w:sz w:val="24"/>
          <w:highlight w:val="none"/>
        </w:rPr>
        <w:t xml:space="preserve"> 号</w:t>
      </w:r>
      <w:r>
        <w:rPr>
          <w:rFonts w:hint="eastAsia" w:ascii="宋体" w:hAnsi="宋体" w:cs="宋体"/>
          <w:color w:val="auto"/>
          <w:spacing w:val="-22"/>
          <w:sz w:val="24"/>
          <w:highlight w:val="none"/>
        </w:rPr>
        <w:t>）</w:t>
      </w:r>
      <w:r>
        <w:rPr>
          <w:rFonts w:hint="eastAsia" w:ascii="宋体" w:hAnsi="宋体" w:cs="宋体"/>
          <w:color w:val="auto"/>
          <w:spacing w:val="-7"/>
          <w:sz w:val="24"/>
          <w:highlight w:val="none"/>
        </w:rPr>
        <w:t>要求，现对本部门</w:t>
      </w:r>
      <w:r>
        <w:rPr>
          <w:rFonts w:hint="eastAsia" w:ascii="宋体" w:hAnsi="宋体" w:cs="宋体"/>
          <w:color w:val="auto"/>
          <w:spacing w:val="-3"/>
          <w:sz w:val="24"/>
          <w:highlight w:val="none"/>
        </w:rPr>
        <w:t>（</w:t>
      </w:r>
      <w:r>
        <w:rPr>
          <w:rFonts w:hint="eastAsia" w:ascii="宋体" w:hAnsi="宋体" w:cs="宋体"/>
          <w:color w:val="auto"/>
          <w:sz w:val="24"/>
          <w:highlight w:val="none"/>
        </w:rPr>
        <w:t>单位</w:t>
      </w:r>
      <w:r>
        <w:rPr>
          <w:rFonts w:hint="eastAsia" w:ascii="宋体" w:hAnsi="宋体" w:cs="宋体"/>
          <w:color w:val="auto"/>
          <w:spacing w:val="-7"/>
          <w:sz w:val="24"/>
          <w:highlight w:val="none"/>
        </w:rPr>
        <w:t>）</w:t>
      </w:r>
      <w:r>
        <w:rPr>
          <w:rFonts w:hint="eastAsia" w:ascii="宋体" w:hAnsi="宋体" w:cs="宋体"/>
          <w:color w:val="auto"/>
          <w:spacing w:val="-4"/>
          <w:sz w:val="24"/>
          <w:highlight w:val="none"/>
        </w:rPr>
        <w:t>××年面向中小企业预留项目执行情况公告如下：</w:t>
      </w:r>
    </w:p>
    <w:p>
      <w:pPr>
        <w:pStyle w:val="6"/>
        <w:tabs>
          <w:tab w:val="left" w:pos="562"/>
          <w:tab w:val="left" w:pos="3372"/>
          <w:tab w:val="left" w:pos="3653"/>
        </w:tabs>
        <w:ind w:firstLine="480" w:firstLineChars="200"/>
        <w:rPr>
          <w:rFonts w:ascii="宋体" w:hAnsi="宋体" w:cs="宋体"/>
          <w:color w:val="auto"/>
          <w:sz w:val="24"/>
          <w:highlight w:val="none"/>
        </w:rPr>
      </w:pPr>
      <w:r>
        <w:rPr>
          <w:rFonts w:hint="eastAsia" w:ascii="宋体" w:hAnsi="宋体" w:cs="宋体"/>
          <w:color w:val="auto"/>
          <w:sz w:val="24"/>
          <w:highlight w:val="none"/>
        </w:rPr>
        <w:t>本部门（单位）××年预留项目面向中小企业采购共计××万元，其中，面向小微企业采购××万元，占××%。</w:t>
      </w:r>
    </w:p>
    <w:p>
      <w:pPr>
        <w:pStyle w:val="6"/>
        <w:tabs>
          <w:tab w:val="left" w:pos="562"/>
          <w:tab w:val="left" w:pos="3372"/>
          <w:tab w:val="left" w:pos="3653"/>
        </w:tabs>
        <w:jc w:val="center"/>
        <w:rPr>
          <w:rFonts w:ascii="宋体" w:hAnsi="宋体" w:cs="宋体"/>
          <w:b/>
          <w:bCs/>
          <w:color w:val="auto"/>
          <w:sz w:val="24"/>
          <w:highlight w:val="none"/>
        </w:rPr>
      </w:pPr>
      <w:r>
        <w:rPr>
          <w:rFonts w:hint="eastAsia" w:ascii="宋体" w:hAnsi="宋体" w:cs="宋体"/>
          <w:b/>
          <w:bCs/>
          <w:color w:val="auto"/>
          <w:sz w:val="24"/>
          <w:highlight w:val="none"/>
        </w:rPr>
        <w:t>面向中小企业预留项目明细</w:t>
      </w:r>
    </w:p>
    <w:tbl>
      <w:tblPr>
        <w:tblStyle w:val="19"/>
        <w:tblW w:w="882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序号</w:t>
            </w:r>
          </w:p>
        </w:tc>
        <w:tc>
          <w:tcPr>
            <w:tcW w:w="1866"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项目名称</w:t>
            </w:r>
          </w:p>
        </w:tc>
        <w:tc>
          <w:tcPr>
            <w:tcW w:w="2010"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预留选项</w:t>
            </w:r>
          </w:p>
        </w:tc>
        <w:tc>
          <w:tcPr>
            <w:tcW w:w="2296"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面向中小企业采购金额</w:t>
            </w:r>
          </w:p>
        </w:tc>
        <w:tc>
          <w:tcPr>
            <w:tcW w:w="1784" w:type="dxa"/>
            <w:vAlign w:val="center"/>
          </w:tcPr>
          <w:p>
            <w:pPr>
              <w:pStyle w:val="30"/>
              <w:keepNext w:val="0"/>
              <w:keepLines w:val="0"/>
              <w:suppressLineNumbers w:val="0"/>
              <w:spacing w:before="0" w:beforeAutospacing="0" w:after="0" w:afterAutospacing="0"/>
              <w:ind w:left="0" w:right="0"/>
              <w:jc w:val="center"/>
              <w:rPr>
                <w:rFonts w:hint="default"/>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86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（填写“采购项</w:t>
            </w:r>
          </w:p>
        </w:tc>
        <w:tc>
          <w:tcPr>
            <w:tcW w:w="2296" w:type="dxa"/>
            <w:tcBorders>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restart"/>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目整体预留”、</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（填写集中采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包”、“要求以</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加”或者“要求</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合同分包”，除</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预留”外，还应</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c>
          <w:tcPr>
            <w:tcW w:w="186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010"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小企业的比例）</w:t>
            </w:r>
          </w:p>
        </w:tc>
        <w:tc>
          <w:tcPr>
            <w:tcW w:w="2296" w:type="dxa"/>
            <w:tcBorders>
              <w:top w:val="nil"/>
            </w:tcBorders>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1784" w:type="dxa"/>
            <w:vMerge w:val="continue"/>
            <w:tcBorders>
              <w:top w:val="nil"/>
            </w:tcBorders>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866"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010"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2296"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c>
          <w:tcPr>
            <w:tcW w:w="1784" w:type="dxa"/>
            <w:vAlign w:val="center"/>
          </w:tcPr>
          <w:p>
            <w:pPr>
              <w:pStyle w:val="30"/>
              <w:keepNext w:val="0"/>
              <w:keepLines w:val="0"/>
              <w:suppressLineNumbers w:val="0"/>
              <w:spacing w:before="0" w:beforeAutospacing="0" w:after="0" w:afterAutospacing="0"/>
              <w:ind w:left="0" w:right="0"/>
              <w:jc w:val="center"/>
              <w:rPr>
                <w:rFonts w:hint="default"/>
                <w:color w:val="auto"/>
                <w:sz w:val="24"/>
                <w:szCs w:val="24"/>
                <w:highlight w:val="none"/>
              </w:rPr>
            </w:pPr>
            <w:r>
              <w:rPr>
                <w:rFonts w:hint="eastAsia"/>
                <w:color w:val="auto"/>
                <w:sz w:val="24"/>
                <w:szCs w:val="24"/>
                <w:highlight w:val="none"/>
              </w:rPr>
              <w:t>……</w:t>
            </w:r>
          </w:p>
        </w:tc>
      </w:tr>
    </w:tbl>
    <w:p>
      <w:pPr>
        <w:pStyle w:val="6"/>
        <w:tabs>
          <w:tab w:val="left" w:pos="562"/>
          <w:tab w:val="left" w:pos="3372"/>
          <w:tab w:val="left" w:pos="3653"/>
        </w:tabs>
        <w:spacing w:before="128"/>
        <w:ind w:left="4220" w:right="1843"/>
        <w:rPr>
          <w:rFonts w:hint="eastAsia" w:ascii="宋体" w:hAnsi="宋体" w:cs="宋体"/>
          <w:color w:val="auto"/>
          <w:sz w:val="24"/>
          <w:highlight w:val="none"/>
        </w:rPr>
      </w:pPr>
    </w:p>
    <w:p>
      <w:pPr>
        <w:pStyle w:val="6"/>
        <w:tabs>
          <w:tab w:val="left" w:pos="562"/>
          <w:tab w:val="left" w:pos="3372"/>
          <w:tab w:val="left" w:pos="3653"/>
        </w:tabs>
        <w:spacing w:before="128"/>
        <w:ind w:left="4220" w:right="1843"/>
        <w:rPr>
          <w:rFonts w:hint="eastAsia" w:ascii="宋体" w:hAnsi="宋体" w:cs="宋体"/>
          <w:color w:val="auto"/>
          <w:sz w:val="24"/>
          <w:highlight w:val="none"/>
        </w:rPr>
      </w:pPr>
      <w:r>
        <w:rPr>
          <w:rFonts w:hint="eastAsia" w:ascii="宋体" w:hAnsi="宋体" w:cs="宋体"/>
          <w:color w:val="auto"/>
          <w:sz w:val="24"/>
          <w:highlight w:val="none"/>
        </w:rPr>
        <w:t xml:space="preserve">部门（单位）名称： </w:t>
      </w:r>
    </w:p>
    <w:p>
      <w:pPr>
        <w:pStyle w:val="6"/>
        <w:tabs>
          <w:tab w:val="left" w:pos="562"/>
          <w:tab w:val="left" w:pos="3372"/>
          <w:tab w:val="left" w:pos="3653"/>
        </w:tabs>
        <w:spacing w:before="128"/>
        <w:ind w:left="4220" w:right="1843"/>
        <w:rPr>
          <w:rFonts w:ascii="宋体" w:hAnsi="宋体" w:cs="宋体"/>
          <w:color w:val="auto"/>
          <w:sz w:val="24"/>
          <w:highlight w:val="none"/>
        </w:rPr>
      </w:pPr>
      <w:r>
        <w:rPr>
          <w:rFonts w:hint="eastAsia" w:ascii="宋体" w:hAnsi="宋体" w:cs="宋体"/>
          <w:color w:val="auto"/>
          <w:sz w:val="24"/>
          <w:highlight w:val="none"/>
        </w:rPr>
        <w:t>日期：</w:t>
      </w:r>
    </w:p>
    <w:p>
      <w:pPr>
        <w:pStyle w:val="6"/>
        <w:tabs>
          <w:tab w:val="left" w:pos="562"/>
          <w:tab w:val="left" w:pos="3372"/>
          <w:tab w:val="left" w:pos="3653"/>
        </w:tabs>
        <w:rPr>
          <w:rFonts w:ascii="宋体" w:hAnsi="宋体" w:cs="宋体"/>
          <w:color w:val="auto"/>
          <w:sz w:val="24"/>
          <w:highlight w:val="none"/>
        </w:rPr>
      </w:pPr>
    </w:p>
    <w:p>
      <w:pPr>
        <w:pStyle w:val="17"/>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w:t>
      </w:r>
      <w:r>
        <w:rPr>
          <w:rFonts w:hint="eastAsia" w:ascii="宋体" w:hAnsi="宋体" w:cs="宋体"/>
          <w:b/>
          <w:bCs/>
          <w:color w:val="auto"/>
          <w:sz w:val="24"/>
          <w:highlight w:val="none"/>
          <w:lang w:val="en-US" w:eastAsia="zh-CN"/>
        </w:rPr>
        <w:t>和</w:t>
      </w:r>
      <w:r>
        <w:rPr>
          <w:rFonts w:hint="eastAsia" w:ascii="宋体" w:hAnsi="宋体" w:cs="宋体"/>
          <w:b/>
          <w:bCs/>
          <w:color w:val="auto"/>
          <w:sz w:val="24"/>
          <w:highlight w:val="none"/>
        </w:rPr>
        <w:t>信息化部、国家统计局、国家发展和改革委员会、财政部《关于印发〈中小企业划型标准规定〉的通知》（工信部联企〔2011〕300 号）</w:t>
      </w:r>
    </w:p>
    <w:p>
      <w:pPr>
        <w:pStyle w:val="6"/>
        <w:tabs>
          <w:tab w:val="left" w:pos="562"/>
          <w:tab w:val="left" w:pos="3372"/>
          <w:tab w:val="left" w:pos="3653"/>
        </w:tabs>
        <w:spacing w:line="360" w:lineRule="auto"/>
        <w:rPr>
          <w:rFonts w:ascii="宋体" w:hAnsi="宋体" w:cs="宋体"/>
          <w:color w:val="auto"/>
          <w:sz w:val="24"/>
          <w:highlight w:val="none"/>
        </w:rPr>
      </w:pP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工信部联企业〔2011〕300号</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工业和信息化部 国家统计局</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国家发展和改革委员会 财政部</w:t>
      </w:r>
    </w:p>
    <w:p>
      <w:pPr>
        <w:spacing w:line="360" w:lineRule="auto"/>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二○一一年六月十八日</w:t>
      </w:r>
    </w:p>
    <w:p>
      <w:pPr>
        <w:spacing w:line="360" w:lineRule="auto"/>
        <w:ind w:firstLine="480" w:firstLineChars="200"/>
        <w:rPr>
          <w:rFonts w:ascii="宋体" w:hAnsi="宋体" w:cs="宋体"/>
          <w:color w:val="auto"/>
          <w:sz w:val="24"/>
          <w:highlight w:val="none"/>
        </w:rPr>
      </w:pPr>
    </w:p>
    <w:p>
      <w:pPr>
        <w:pStyle w:val="6"/>
        <w:rPr>
          <w:rFonts w:ascii="宋体" w:hAnsi="宋体" w:cs="宋体"/>
          <w:color w:val="auto"/>
          <w:sz w:val="24"/>
          <w:highlight w:val="none"/>
        </w:rPr>
      </w:pPr>
    </w:p>
    <w:p>
      <w:pPr>
        <w:rPr>
          <w:rFonts w:ascii="宋体" w:hAnsi="宋体" w:cs="宋体"/>
          <w:color w:val="auto"/>
          <w:sz w:val="24"/>
          <w:highlight w:val="none"/>
        </w:rPr>
      </w:pPr>
    </w:p>
    <w:p>
      <w:pPr>
        <w:pStyle w:val="6"/>
        <w:rPr>
          <w:rFonts w:ascii="宋体" w:hAnsi="宋体" w:cs="宋体"/>
          <w:color w:val="auto"/>
          <w:sz w:val="24"/>
          <w:highlight w:val="none"/>
        </w:rPr>
      </w:pPr>
    </w:p>
    <w:p>
      <w:pPr>
        <w:rPr>
          <w:rFonts w:ascii="宋体" w:hAnsi="宋体" w:cs="宋体"/>
          <w:color w:val="auto"/>
          <w:sz w:val="24"/>
          <w:highlight w:val="none"/>
        </w:rPr>
      </w:pPr>
    </w:p>
    <w:p>
      <w:pPr>
        <w:rPr>
          <w:color w:val="auto"/>
          <w:highlight w:val="none"/>
        </w:rPr>
      </w:pPr>
    </w:p>
    <w:p>
      <w:pPr>
        <w:pStyle w:val="6"/>
        <w:rPr>
          <w:color w:val="auto"/>
          <w:highlight w:val="none"/>
        </w:rPr>
      </w:pPr>
    </w:p>
    <w:p>
      <w:pPr>
        <w:spacing w:line="360" w:lineRule="auto"/>
        <w:ind w:firstLine="480" w:firstLineChars="200"/>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p>
    <w:p>
      <w:pPr>
        <w:rPr>
          <w:rFonts w:ascii="宋体" w:hAnsi="宋体" w:cs="宋体"/>
          <w:b/>
          <w:bCs/>
          <w:color w:val="auto"/>
          <w:sz w:val="24"/>
          <w:highlight w:val="none"/>
        </w:rPr>
      </w:pPr>
      <w:r>
        <w:rPr>
          <w:rFonts w:hint="eastAsia" w:ascii="宋体" w:hAnsi="宋体" w:cs="宋体"/>
          <w:b/>
          <w:bCs/>
          <w:color w:val="auto"/>
          <w:sz w:val="24"/>
          <w:highlight w:val="none"/>
        </w:rPr>
        <w:br w:type="page"/>
      </w:r>
    </w:p>
    <w:p>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四、各行业划型标准为：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ascii="宋体" w:hAnsi="宋体" w:cs="宋体"/>
          <w:color w:val="auto"/>
          <w:sz w:val="24"/>
          <w:highlight w:val="none"/>
        </w:rPr>
      </w:pPr>
    </w:p>
    <w:p>
      <w:pPr>
        <w:pStyle w:val="17"/>
        <w:jc w:val="both"/>
        <w:outlineLvl w:val="9"/>
        <w:rPr>
          <w:rFonts w:ascii="宋体" w:hAnsi="宋体" w:eastAsia="宋体" w:cs="宋体"/>
          <w:color w:val="auto"/>
          <w:sz w:val="24"/>
          <w:szCs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spacing w:line="360" w:lineRule="auto"/>
        <w:jc w:val="center"/>
        <w:rPr>
          <w:rFonts w:ascii="宋体" w:hAnsi="宋体" w:cs="宋体"/>
          <w:b/>
          <w:bCs/>
          <w:color w:val="auto"/>
          <w:kern w:val="0"/>
          <w:sz w:val="24"/>
          <w:highlight w:val="none"/>
        </w:rPr>
      </w:pPr>
    </w:p>
    <w:p>
      <w:pPr>
        <w:widowControl/>
        <w:shd w:val="clear" w:color="auto" w:fill="FFFFFF"/>
        <w:spacing w:line="360" w:lineRule="auto"/>
        <w:jc w:val="center"/>
        <w:rPr>
          <w:rFonts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pStyle w:val="6"/>
        <w:rPr>
          <w:rFonts w:ascii="宋体" w:hAnsi="宋体" w:cs="宋体"/>
          <w:color w:val="auto"/>
          <w:kern w:val="0"/>
          <w:sz w:val="24"/>
          <w:highlight w:val="none"/>
        </w:rPr>
      </w:pPr>
    </w:p>
    <w:p>
      <w:pPr>
        <w:rPr>
          <w:rFonts w:ascii="宋体" w:hAnsi="宋体" w:cs="宋体"/>
          <w:color w:val="auto"/>
          <w:kern w:val="0"/>
          <w:sz w:val="24"/>
          <w:highlight w:val="none"/>
        </w:rPr>
      </w:pPr>
    </w:p>
    <w:p>
      <w:pPr>
        <w:pStyle w:val="6"/>
        <w:rPr>
          <w:rFonts w:ascii="宋体" w:hAnsi="宋体" w:cs="宋体"/>
          <w:color w:val="auto"/>
          <w:kern w:val="0"/>
          <w:sz w:val="24"/>
          <w:highlight w:val="none"/>
        </w:rPr>
      </w:pPr>
    </w:p>
    <w:p>
      <w:pPr>
        <w:rPr>
          <w:color w:val="auto"/>
          <w:highlight w:val="none"/>
        </w:rPr>
      </w:pPr>
    </w:p>
    <w:p>
      <w:pPr>
        <w:widowControl/>
        <w:shd w:val="clear" w:color="auto" w:fill="FFFFFF"/>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spacing w:line="360" w:lineRule="auto"/>
        <w:jc w:val="left"/>
        <w:rPr>
          <w:rFonts w:ascii="宋体" w:hAnsi="宋体" w:cs="宋体"/>
          <w:color w:val="auto"/>
          <w:kern w:val="0"/>
          <w:sz w:val="24"/>
          <w:highlight w:val="none"/>
        </w:rPr>
      </w:pPr>
    </w:p>
    <w:p>
      <w:pPr>
        <w:pStyle w:val="6"/>
        <w:rPr>
          <w:color w:val="auto"/>
          <w:highlight w:val="none"/>
        </w:rPr>
      </w:pPr>
    </w:p>
    <w:p>
      <w:pPr>
        <w:widowControl/>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附表：</w:t>
      </w:r>
    </w:p>
    <w:p>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19"/>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b/>
                <w:bCs/>
                <w:color w:val="auto"/>
                <w:kern w:val="0"/>
                <w:sz w:val="24"/>
                <w:highlight w:val="none"/>
              </w:rPr>
            </w:pPr>
            <w:r>
              <w:rPr>
                <w:rFonts w:hint="eastAsia" w:ascii="宋体" w:hAnsi="宋体" w:cs="宋体"/>
                <w:b/>
                <w:bCs/>
                <w:color w:val="auto"/>
                <w:kern w:val="0"/>
                <w:sz w:val="24"/>
                <w:highlight w:val="none"/>
              </w:rPr>
              <w:t>计量</w:t>
            </w:r>
          </w:p>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vAlign w:val="center"/>
          </w:tcPr>
          <w:p>
            <w:pPr>
              <w:keepNext w:val="0"/>
              <w:keepLines w:val="0"/>
              <w:widowControl/>
              <w:suppressLineNumbers w:val="0"/>
              <w:spacing w:before="0" w:beforeAutospacing="0" w:after="0" w:afterAutospacing="0" w:line="360" w:lineRule="auto"/>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6"/>
        <w:tabs>
          <w:tab w:val="left" w:pos="562"/>
          <w:tab w:val="left" w:pos="3372"/>
          <w:tab w:val="left" w:pos="3653"/>
        </w:tabs>
        <w:spacing w:line="360" w:lineRule="auto"/>
        <w:rPr>
          <w:rFonts w:ascii="宋体" w:hAnsi="宋体" w:cs="宋体"/>
          <w:color w:val="auto"/>
          <w:sz w:val="24"/>
          <w:highlight w:val="none"/>
        </w:rPr>
      </w:pPr>
    </w:p>
    <w:p>
      <w:pPr>
        <w:tabs>
          <w:tab w:val="left" w:pos="360"/>
        </w:tabs>
        <w:spacing w:line="360" w:lineRule="auto"/>
        <w:outlineLvl w:val="1"/>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spacing w:line="360" w:lineRule="auto"/>
        <w:rPr>
          <w:rFonts w:ascii="宋体" w:hAnsi="宋体" w:cs="宋体"/>
          <w:bCs/>
          <w:color w:val="auto"/>
          <w:sz w:val="24"/>
          <w:highlight w:val="none"/>
        </w:rPr>
      </w:pPr>
    </w:p>
    <w:p>
      <w:pPr>
        <w:shd w:val="clear" w:color="auto" w:fill="FFFFFF"/>
        <w:spacing w:line="360" w:lineRule="auto"/>
        <w:rPr>
          <w:rFonts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6"/>
        <w:shd w:val="clear" w:color="auto" w:fill="FFFFFF"/>
        <w:spacing w:before="0" w:beforeAutospacing="0" w:after="0" w:afterAutospacing="0" w:line="360" w:lineRule="auto"/>
        <w:jc w:val="center"/>
        <w:rPr>
          <w:color w:val="auto"/>
          <w:highlight w:val="none"/>
        </w:rPr>
      </w:pPr>
      <w:r>
        <w:rPr>
          <w:rFonts w:hint="eastAsia"/>
          <w:color w:val="auto"/>
          <w:highlight w:val="none"/>
        </w:rPr>
        <w:t>　　</w:t>
      </w:r>
      <w:bookmarkStart w:id="35" w:name="sendNo"/>
      <w:r>
        <w:rPr>
          <w:rFonts w:hint="eastAsia"/>
          <w:color w:val="auto"/>
          <w:highlight w:val="none"/>
        </w:rPr>
        <w:t>财库〔</w:t>
      </w:r>
      <w:bookmarkEnd w:id="35"/>
      <w:r>
        <w:rPr>
          <w:rFonts w:hint="eastAsia"/>
          <w:color w:val="auto"/>
          <w:highlight w:val="none"/>
        </w:rPr>
        <w:t>2017〕141号</w:t>
      </w:r>
    </w:p>
    <w:p>
      <w:pPr>
        <w:pStyle w:val="16"/>
        <w:shd w:val="clear" w:color="auto" w:fill="FFFFFF"/>
        <w:spacing w:before="0" w:beforeAutospacing="0" w:after="0" w:afterAutospacing="0" w:line="360" w:lineRule="auto"/>
        <w:ind w:firstLine="480" w:firstLineChars="200"/>
        <w:rPr>
          <w:color w:val="auto"/>
          <w:highlight w:val="none"/>
        </w:rPr>
      </w:pPr>
      <w:bookmarkStart w:id="36"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6"/>
      <w:r>
        <w:rPr>
          <w:rFonts w:hint="eastAsia"/>
          <w:color w:val="auto"/>
          <w:highlight w:val="none"/>
        </w:rPr>
        <w:t>：</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一、享受政府采购支持政策的残疾人福利性单位应当同时满足以下条件：</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（一）安置的残疾人占本单位在职职工人数的比例不低于25%（含25%），并且安置的残疾人人数不少于10人（含10人）；</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（二）依法与安置的每位残疾人签订了一年以上（含一年）的劳动合同或服务协议；</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6"/>
        <w:shd w:val="clear" w:color="auto" w:fill="FFFFFF"/>
        <w:spacing w:before="0" w:beforeAutospacing="0" w:after="0" w:afterAutospacing="0" w:line="360" w:lineRule="auto"/>
        <w:ind w:firstLine="480" w:firstLineChars="200"/>
        <w:rPr>
          <w:color w:val="auto"/>
          <w:highlight w:val="none"/>
        </w:rPr>
      </w:pPr>
      <w:r>
        <w:rPr>
          <w:rFonts w:hint="eastAsia"/>
          <w:color w:val="auto"/>
          <w:highlight w:val="none"/>
        </w:rPr>
        <w:t>七、本通知自2017年10月1日起执行。</w:t>
      </w:r>
    </w:p>
    <w:p>
      <w:pPr>
        <w:pStyle w:val="16"/>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财政部 民政部 中国残疾人联合会</w:t>
      </w:r>
    </w:p>
    <w:p>
      <w:pPr>
        <w:pStyle w:val="16"/>
        <w:shd w:val="clear" w:color="auto" w:fill="FFFFFF"/>
        <w:spacing w:before="0" w:beforeAutospacing="0" w:after="0" w:afterAutospacing="0" w:line="360" w:lineRule="auto"/>
        <w:ind w:firstLine="480" w:firstLineChars="200"/>
        <w:jc w:val="right"/>
        <w:rPr>
          <w:color w:val="auto"/>
          <w:highlight w:val="none"/>
        </w:rPr>
      </w:pPr>
      <w:r>
        <w:rPr>
          <w:rFonts w:hint="eastAsia"/>
          <w:color w:val="auto"/>
          <w:highlight w:val="none"/>
        </w:rPr>
        <w:t>2017年8月22日</w:t>
      </w: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pStyle w:val="31"/>
        <w:shd w:val="clear" w:color="auto" w:fill="FFFFFF"/>
        <w:spacing w:before="0" w:beforeAutospacing="0" w:after="0" w:afterAutospacing="0" w:line="360" w:lineRule="auto"/>
        <w:jc w:val="both"/>
        <w:rPr>
          <w:color w:val="auto"/>
          <w:highlight w:val="none"/>
        </w:rPr>
      </w:pPr>
    </w:p>
    <w:p>
      <w:pPr>
        <w:rPr>
          <w:color w:val="auto"/>
          <w:highlight w:val="none"/>
        </w:rPr>
      </w:pPr>
      <w:r>
        <w:rPr>
          <w:rFonts w:hint="eastAsia"/>
          <w:color w:val="auto"/>
          <w:highlight w:val="none"/>
        </w:rPr>
        <w:br w:type="page"/>
      </w:r>
    </w:p>
    <w:p>
      <w:pPr>
        <w:pStyle w:val="31"/>
        <w:shd w:val="clear" w:color="auto" w:fill="FFFFFF"/>
        <w:spacing w:before="0" w:beforeAutospacing="0" w:after="0" w:afterAutospacing="0" w:line="360" w:lineRule="auto"/>
        <w:jc w:val="both"/>
        <w:rPr>
          <w:color w:val="auto"/>
          <w:highlight w:val="none"/>
        </w:rPr>
      </w:pPr>
      <w:r>
        <w:rPr>
          <w:rFonts w:hint="eastAsia"/>
          <w:color w:val="auto"/>
          <w:highlight w:val="none"/>
        </w:rPr>
        <w:t>附件：</w:t>
      </w:r>
    </w:p>
    <w:p>
      <w:pPr>
        <w:pStyle w:val="31"/>
        <w:shd w:val="clear" w:color="auto" w:fill="FFFFFF"/>
        <w:spacing w:before="0" w:beforeAutospacing="0" w:after="0" w:afterAutospacing="0" w:line="360" w:lineRule="auto"/>
        <w:ind w:firstLine="482" w:firstLineChars="200"/>
        <w:jc w:val="center"/>
        <w:rPr>
          <w:color w:val="auto"/>
          <w:highlight w:val="none"/>
        </w:rPr>
      </w:pPr>
      <w:r>
        <w:rPr>
          <w:rStyle w:val="32"/>
          <w:rFonts w:hint="eastAsia"/>
          <w:b/>
          <w:bCs/>
          <w:color w:val="auto"/>
          <w:highlight w:val="none"/>
        </w:rPr>
        <w:t>残疾人福利性单位声明函</w:t>
      </w:r>
    </w:p>
    <w:p>
      <w:pPr>
        <w:pStyle w:val="31"/>
        <w:shd w:val="clear" w:color="auto" w:fill="FFFFFF"/>
        <w:spacing w:before="0" w:beforeAutospacing="0" w:after="0" w:afterAutospacing="0" w:line="360" w:lineRule="auto"/>
        <w:ind w:firstLine="480" w:firstLineChars="200"/>
        <w:jc w:val="both"/>
        <w:rPr>
          <w:color w:val="auto"/>
          <w:highlight w:val="none"/>
        </w:rPr>
      </w:pPr>
    </w:p>
    <w:p>
      <w:pPr>
        <w:pStyle w:val="31"/>
        <w:shd w:val="clear" w:color="auto" w:fill="FFFFFF"/>
        <w:spacing w:before="0" w:beforeAutospacing="0" w:after="0" w:afterAutospacing="0" w:line="360" w:lineRule="auto"/>
        <w:ind w:firstLine="480" w:firstLineChars="200"/>
        <w:jc w:val="both"/>
        <w:rPr>
          <w:color w:val="auto"/>
          <w:highlight w:val="none"/>
        </w:rPr>
      </w:pPr>
      <w:r>
        <w:rPr>
          <w:rStyle w:val="32"/>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1"/>
        <w:shd w:val="clear" w:color="auto" w:fill="FFFFFF"/>
        <w:spacing w:before="0" w:beforeAutospacing="0" w:after="0" w:afterAutospacing="0" w:line="360" w:lineRule="auto"/>
        <w:ind w:firstLine="480" w:firstLineChars="200"/>
        <w:jc w:val="both"/>
        <w:rPr>
          <w:color w:val="auto"/>
          <w:highlight w:val="none"/>
        </w:rPr>
      </w:pPr>
      <w:r>
        <w:rPr>
          <w:rStyle w:val="32"/>
          <w:rFonts w:hint="eastAsia"/>
          <w:color w:val="auto"/>
          <w:highlight w:val="none"/>
        </w:rPr>
        <w:t>本单位对上述声明的真实性负责。如有虚假，将依法承担相应责任。</w:t>
      </w:r>
    </w:p>
    <w:p>
      <w:pPr>
        <w:pStyle w:val="31"/>
        <w:shd w:val="clear" w:color="auto" w:fill="FFFFFF"/>
        <w:spacing w:before="0" w:beforeAutospacing="0" w:after="0" w:afterAutospacing="0" w:line="360" w:lineRule="auto"/>
        <w:ind w:firstLine="480" w:firstLineChars="200"/>
        <w:jc w:val="both"/>
        <w:rPr>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31"/>
        <w:shd w:val="clear" w:color="auto" w:fill="FFFFFF"/>
        <w:spacing w:before="0" w:beforeAutospacing="0" w:after="0" w:afterAutospacing="0" w:line="360" w:lineRule="auto"/>
        <w:ind w:firstLine="480" w:firstLineChars="200"/>
        <w:jc w:val="both"/>
        <w:rPr>
          <w:color w:val="auto"/>
          <w:highlight w:val="none"/>
        </w:rPr>
      </w:pPr>
    </w:p>
    <w:p>
      <w:pPr>
        <w:pStyle w:val="31"/>
        <w:shd w:val="clear" w:color="auto" w:fill="FFFFFF"/>
        <w:spacing w:before="0" w:beforeAutospacing="0" w:after="0" w:afterAutospacing="0" w:line="360" w:lineRule="auto"/>
        <w:ind w:right="2100" w:rightChars="1000"/>
        <w:jc w:val="right"/>
        <w:rPr>
          <w:color w:val="auto"/>
          <w:highlight w:val="none"/>
        </w:rPr>
      </w:pPr>
      <w:r>
        <w:rPr>
          <w:rStyle w:val="32"/>
          <w:rFonts w:hint="eastAsia"/>
          <w:color w:val="auto"/>
          <w:highlight w:val="none"/>
        </w:rPr>
        <w:t>单位名称（盖章）：</w:t>
      </w:r>
    </w:p>
    <w:p>
      <w:pPr>
        <w:pStyle w:val="31"/>
        <w:shd w:val="clear" w:color="auto" w:fill="FFFFFF"/>
        <w:spacing w:before="0" w:beforeAutospacing="0" w:after="0" w:afterAutospacing="0" w:line="360" w:lineRule="auto"/>
        <w:ind w:right="2100" w:rightChars="1000"/>
        <w:jc w:val="right"/>
        <w:rPr>
          <w:color w:val="auto"/>
          <w:highlight w:val="none"/>
          <w:lang w:val="fr-CH"/>
        </w:rPr>
      </w:pPr>
      <w:r>
        <w:rPr>
          <w:rStyle w:val="32"/>
          <w:rFonts w:hint="eastAsia"/>
          <w:color w:val="auto"/>
          <w:highlight w:val="none"/>
        </w:rPr>
        <w:t>日 期：</w:t>
      </w:r>
    </w:p>
    <w:p>
      <w:pPr>
        <w:tabs>
          <w:tab w:val="left" w:pos="640"/>
          <w:tab w:val="left" w:pos="1260"/>
          <w:tab w:val="left" w:pos="1418"/>
        </w:tabs>
        <w:spacing w:line="360" w:lineRule="auto"/>
        <w:ind w:right="-420" w:rightChars="-200"/>
        <w:rPr>
          <w:rFonts w:ascii="宋体" w:hAnsi="宋体" w:cs="宋体"/>
          <w:color w:val="auto"/>
          <w:sz w:val="24"/>
          <w:highlight w:val="none"/>
          <w:lang w:val="fr-CH"/>
        </w:rPr>
      </w:pPr>
    </w:p>
    <w:p>
      <w:pPr>
        <w:rPr>
          <w:color w:val="auto"/>
          <w:highlight w:val="none"/>
        </w:rPr>
      </w:pPr>
    </w:p>
    <w:sectPr>
      <w:headerReference r:id="rId7" w:type="first"/>
      <w:headerReference r:id="rId5" w:type="default"/>
      <w:headerReference r:id="rId6" w:type="even"/>
      <w:pgSz w:w="11906" w:h="16838"/>
      <w:pgMar w:top="1440" w:right="1650" w:bottom="1440" w:left="1650" w:header="851" w:footer="992"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jc w:val="right"/>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21</w:t>
                    </w:r>
                    <w:r>
                      <w:rPr>
                        <w:rFonts w:ascii="宋体" w:hAnsi="宋体"/>
                        <w:sz w:val="28"/>
                        <w:szCs w:val="28"/>
                      </w:rPr>
                      <w:fldChar w:fldCharType="end"/>
                    </w:r>
                    <w:r>
                      <w:rPr>
                        <w:rFonts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3"/>
        <w:rFonts w:ascii="宋体" w:hAnsi="宋体"/>
        <w:sz w:val="28"/>
        <w:szCs w:val="28"/>
      </w:rPr>
      <w:instrText xml:space="preserve">PAGE  </w:instrText>
    </w:r>
    <w:r>
      <w:rPr>
        <w:rFonts w:ascii="宋体" w:hAnsi="宋体"/>
        <w:sz w:val="28"/>
        <w:szCs w:val="28"/>
      </w:rPr>
      <w:fldChar w:fldCharType="separate"/>
    </w:r>
    <w:r>
      <w:rPr>
        <w:rStyle w:val="23"/>
        <w:rFonts w:ascii="宋体" w:hAnsi="宋体"/>
        <w:sz w:val="28"/>
        <w:szCs w:val="28"/>
      </w:rPr>
      <w:t>20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4098"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4097"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洪琦20230413" style="font-family:&amp;quot;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E1567"/>
    <w:multiLevelType w:val="singleLevel"/>
    <w:tmpl w:val="87AE1567"/>
    <w:lvl w:ilvl="0" w:tentative="0">
      <w:start w:val="1"/>
      <w:numFmt w:val="chineseCounting"/>
      <w:suff w:val="nothing"/>
      <w:lvlText w:val="%1、"/>
      <w:lvlJc w:val="left"/>
      <w:rPr>
        <w:rFonts w:hint="eastAsia"/>
      </w:rPr>
    </w:lvl>
  </w:abstractNum>
  <w:abstractNum w:abstractNumId="1">
    <w:nsid w:val="923D1DCE"/>
    <w:multiLevelType w:val="singleLevel"/>
    <w:tmpl w:val="923D1DCE"/>
    <w:lvl w:ilvl="0" w:tentative="0">
      <w:start w:val="1"/>
      <w:numFmt w:val="decimalEnclosedCircleChinese"/>
      <w:suff w:val="nothing"/>
      <w:lvlText w:val="%1　"/>
      <w:lvlJc w:val="left"/>
      <w:pPr>
        <w:ind w:left="0" w:firstLine="400"/>
      </w:pPr>
      <w:rPr>
        <w:rFonts w:hint="eastAsia"/>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E2BE74A2"/>
    <w:multiLevelType w:val="singleLevel"/>
    <w:tmpl w:val="E2BE74A2"/>
    <w:lvl w:ilvl="0" w:tentative="0">
      <w:start w:val="1"/>
      <w:numFmt w:val="chineseCounting"/>
      <w:suff w:val="nothing"/>
      <w:lvlText w:val="%1、"/>
      <w:lvlJc w:val="left"/>
      <w:rPr>
        <w:rFonts w:hint="eastAsia"/>
      </w:rPr>
    </w:lvl>
  </w:abstractNum>
  <w:abstractNum w:abstractNumId="4">
    <w:nsid w:val="147E6560"/>
    <w:multiLevelType w:val="multilevel"/>
    <w:tmpl w:val="147E6560"/>
    <w:lvl w:ilvl="0" w:tentative="0">
      <w:start w:val="1"/>
      <w:numFmt w:val="chineseCountingThousand"/>
      <w:pStyle w:val="42"/>
      <w:suff w:val="noth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86A1B4D"/>
    <w:multiLevelType w:val="singleLevel"/>
    <w:tmpl w:val="386A1B4D"/>
    <w:lvl w:ilvl="0" w:tentative="0">
      <w:start w:val="1"/>
      <w:numFmt w:val="decimalEnclosedCircleChinese"/>
      <w:suff w:val="nothing"/>
      <w:lvlText w:val="%1　"/>
      <w:lvlJc w:val="left"/>
      <w:pPr>
        <w:ind w:left="0" w:firstLine="400"/>
      </w:pPr>
      <w:rPr>
        <w:rFonts w:hint="eastAsia"/>
      </w:rPr>
    </w:lvl>
  </w:abstractNum>
  <w:abstractNum w:abstractNumId="6">
    <w:nsid w:val="682AEC8D"/>
    <w:multiLevelType w:val="singleLevel"/>
    <w:tmpl w:val="682AEC8D"/>
    <w:lvl w:ilvl="0" w:tentative="0">
      <w:start w:val="2"/>
      <w:numFmt w:val="decimal"/>
      <w:suff w:val="nothing"/>
      <w:lvlText w:val="%1、"/>
      <w:lvlJc w:val="left"/>
    </w:lvl>
  </w:abstractNum>
  <w:abstractNum w:abstractNumId="7">
    <w:nsid w:val="6C7B8507"/>
    <w:multiLevelType w:val="multilevel"/>
    <w:tmpl w:val="6C7B8507"/>
    <w:lvl w:ilvl="0" w:tentative="0">
      <w:start w:val="1"/>
      <w:numFmt w:val="decimal"/>
      <w:lvlText w:val="(%1)"/>
      <w:lvlJc w:val="left"/>
      <w:pPr>
        <w:ind w:left="425" w:hanging="425"/>
      </w:pPr>
      <w:rPr>
        <w:rFonts w:hint="default"/>
      </w:rPr>
    </w:lvl>
    <w:lvl w:ilvl="1" w:tentative="0">
      <w:start w:val="1"/>
      <w:numFmt w:val="decimalEnclosedCircleChinese"/>
      <w:lvlText w:val="%2"/>
      <w:lvlJc w:val="left"/>
      <w:pPr>
        <w:tabs>
          <w:tab w:val="left" w:pos="840"/>
        </w:tabs>
        <w:ind w:left="840" w:hanging="420"/>
      </w:pPr>
      <w:rPr>
        <w:rFonts w:hint="default"/>
      </w:rPr>
    </w:lvl>
    <w:lvl w:ilvl="2" w:tentative="0">
      <w:start w:val="1"/>
      <w:numFmt w:val="decimal"/>
      <w:lvlText w:val="%3)"/>
      <w:lvlJc w:val="left"/>
      <w:pPr>
        <w:tabs>
          <w:tab w:val="left" w:pos="1260"/>
        </w:tabs>
        <w:ind w:left="1260" w:hanging="420"/>
      </w:pPr>
      <w:rPr>
        <w:rFonts w:hint="default"/>
      </w:rPr>
    </w:lvl>
    <w:lvl w:ilvl="3" w:tentative="0">
      <w:start w:val="1"/>
      <w:numFmt w:val="lowerLetter"/>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8">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4"/>
  </w:num>
  <w:num w:numId="2">
    <w:abstractNumId w:val="8"/>
  </w:num>
  <w:num w:numId="3">
    <w:abstractNumId w:val="2"/>
  </w:num>
  <w:num w:numId="4">
    <w:abstractNumId w:val="1"/>
  </w:num>
  <w:num w:numId="5">
    <w:abstractNumId w:val="7"/>
  </w:num>
  <w:num w:numId="6">
    <w:abstractNumId w:val="5"/>
  </w:num>
  <w:num w:numId="7">
    <w:abstractNumId w:val="3"/>
  </w:num>
  <w:num w:numId="8">
    <w:abstractNumId w:val="0"/>
  </w:num>
  <w:num w:numId="9">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修改建议">
    <w15:presenceInfo w15:providerId="None" w15:userId="修改建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iNjU1YjYxMmE1ZjA1ZGI4YzZiMWU4ZDg3Zjk4MWMifQ=="/>
  </w:docVars>
  <w:rsids>
    <w:rsidRoot w:val="00172A27"/>
    <w:rsid w:val="00102FCF"/>
    <w:rsid w:val="00127819"/>
    <w:rsid w:val="001D18BD"/>
    <w:rsid w:val="001D3334"/>
    <w:rsid w:val="001E733B"/>
    <w:rsid w:val="002D3A6D"/>
    <w:rsid w:val="00427844"/>
    <w:rsid w:val="00523433"/>
    <w:rsid w:val="00531F14"/>
    <w:rsid w:val="005B0D49"/>
    <w:rsid w:val="00621A13"/>
    <w:rsid w:val="00770252"/>
    <w:rsid w:val="007A52F5"/>
    <w:rsid w:val="00821404"/>
    <w:rsid w:val="00B7098E"/>
    <w:rsid w:val="00C26D89"/>
    <w:rsid w:val="00D05268"/>
    <w:rsid w:val="00E04AD1"/>
    <w:rsid w:val="00E75D82"/>
    <w:rsid w:val="010C37B8"/>
    <w:rsid w:val="016F05E9"/>
    <w:rsid w:val="01A11967"/>
    <w:rsid w:val="01BD17FD"/>
    <w:rsid w:val="02B9090A"/>
    <w:rsid w:val="02BD3216"/>
    <w:rsid w:val="031107FC"/>
    <w:rsid w:val="03344889"/>
    <w:rsid w:val="03510688"/>
    <w:rsid w:val="03990478"/>
    <w:rsid w:val="03C80805"/>
    <w:rsid w:val="04220A01"/>
    <w:rsid w:val="05024E58"/>
    <w:rsid w:val="05690583"/>
    <w:rsid w:val="05D84CA5"/>
    <w:rsid w:val="05EB2641"/>
    <w:rsid w:val="063313B4"/>
    <w:rsid w:val="07552703"/>
    <w:rsid w:val="077AF5D6"/>
    <w:rsid w:val="07D06FDE"/>
    <w:rsid w:val="07DB29DD"/>
    <w:rsid w:val="081E1FDA"/>
    <w:rsid w:val="085A6660"/>
    <w:rsid w:val="086A2F6F"/>
    <w:rsid w:val="08762705"/>
    <w:rsid w:val="088C4E09"/>
    <w:rsid w:val="08C71150"/>
    <w:rsid w:val="09A36B41"/>
    <w:rsid w:val="0A0345F4"/>
    <w:rsid w:val="0A183285"/>
    <w:rsid w:val="0AA95FE6"/>
    <w:rsid w:val="0B1A27AE"/>
    <w:rsid w:val="0B264B1A"/>
    <w:rsid w:val="0B30205B"/>
    <w:rsid w:val="0B9650E5"/>
    <w:rsid w:val="0BCC6A37"/>
    <w:rsid w:val="0BD45EF5"/>
    <w:rsid w:val="0BF67D6A"/>
    <w:rsid w:val="0C234952"/>
    <w:rsid w:val="0C4D7368"/>
    <w:rsid w:val="0C6C4A39"/>
    <w:rsid w:val="0C992E66"/>
    <w:rsid w:val="0CCB3933"/>
    <w:rsid w:val="0D376BE5"/>
    <w:rsid w:val="0DB46393"/>
    <w:rsid w:val="0DBFF8A4"/>
    <w:rsid w:val="0E0636C2"/>
    <w:rsid w:val="0E541CB6"/>
    <w:rsid w:val="0F226313"/>
    <w:rsid w:val="0F260153"/>
    <w:rsid w:val="0F742F92"/>
    <w:rsid w:val="0F9B909F"/>
    <w:rsid w:val="0FA94F43"/>
    <w:rsid w:val="0FBC28CC"/>
    <w:rsid w:val="0FDF2C31"/>
    <w:rsid w:val="0FFE3C2D"/>
    <w:rsid w:val="10762E0F"/>
    <w:rsid w:val="10C12E9A"/>
    <w:rsid w:val="113969C6"/>
    <w:rsid w:val="12117034"/>
    <w:rsid w:val="122F0D51"/>
    <w:rsid w:val="122F69BB"/>
    <w:rsid w:val="12631F4C"/>
    <w:rsid w:val="126D9995"/>
    <w:rsid w:val="12EA61D9"/>
    <w:rsid w:val="12ED74B0"/>
    <w:rsid w:val="12F47908"/>
    <w:rsid w:val="13723BF6"/>
    <w:rsid w:val="13BB0907"/>
    <w:rsid w:val="140D3389"/>
    <w:rsid w:val="15297246"/>
    <w:rsid w:val="156E66B6"/>
    <w:rsid w:val="15787C5B"/>
    <w:rsid w:val="162D45A8"/>
    <w:rsid w:val="168B5553"/>
    <w:rsid w:val="1717300A"/>
    <w:rsid w:val="175D30A4"/>
    <w:rsid w:val="178E628A"/>
    <w:rsid w:val="17974DC1"/>
    <w:rsid w:val="1797A8E8"/>
    <w:rsid w:val="17AFCD58"/>
    <w:rsid w:val="17BF9709"/>
    <w:rsid w:val="17DFB82A"/>
    <w:rsid w:val="17E41A7D"/>
    <w:rsid w:val="17F917F2"/>
    <w:rsid w:val="181D051D"/>
    <w:rsid w:val="18235CAA"/>
    <w:rsid w:val="18270E2D"/>
    <w:rsid w:val="18B65219"/>
    <w:rsid w:val="18BD7EDC"/>
    <w:rsid w:val="19724F00"/>
    <w:rsid w:val="198C2042"/>
    <w:rsid w:val="199D0E65"/>
    <w:rsid w:val="19D86C84"/>
    <w:rsid w:val="19FA3545"/>
    <w:rsid w:val="1A035868"/>
    <w:rsid w:val="1A4947FA"/>
    <w:rsid w:val="1A827038"/>
    <w:rsid w:val="1AD3361A"/>
    <w:rsid w:val="1AF56CB1"/>
    <w:rsid w:val="1B1D4692"/>
    <w:rsid w:val="1B3C173F"/>
    <w:rsid w:val="1B7F54A3"/>
    <w:rsid w:val="1B7FF535"/>
    <w:rsid w:val="1BBFE1C1"/>
    <w:rsid w:val="1BFDEAE4"/>
    <w:rsid w:val="1BFFE856"/>
    <w:rsid w:val="1C215235"/>
    <w:rsid w:val="1CAF6DFF"/>
    <w:rsid w:val="1CBF97F2"/>
    <w:rsid w:val="1D7C69A3"/>
    <w:rsid w:val="1D9A259A"/>
    <w:rsid w:val="1DDD2E13"/>
    <w:rsid w:val="1DEBDB17"/>
    <w:rsid w:val="1E2951C8"/>
    <w:rsid w:val="1E2A5B36"/>
    <w:rsid w:val="1E7EB620"/>
    <w:rsid w:val="1E8D5784"/>
    <w:rsid w:val="1E8E7398"/>
    <w:rsid w:val="1EDD6EA9"/>
    <w:rsid w:val="1EEA12FF"/>
    <w:rsid w:val="1EF7CA78"/>
    <w:rsid w:val="1EFF6F72"/>
    <w:rsid w:val="1F0A406F"/>
    <w:rsid w:val="1F1D05E3"/>
    <w:rsid w:val="1F25C25A"/>
    <w:rsid w:val="1F3670F2"/>
    <w:rsid w:val="1F501AAA"/>
    <w:rsid w:val="1F5BAC61"/>
    <w:rsid w:val="1F5D2FD1"/>
    <w:rsid w:val="1F6EF29D"/>
    <w:rsid w:val="1F7F4BF3"/>
    <w:rsid w:val="1FAFF4B3"/>
    <w:rsid w:val="1FB7081D"/>
    <w:rsid w:val="1FBAC58D"/>
    <w:rsid w:val="1FBBF8DB"/>
    <w:rsid w:val="1FD6A300"/>
    <w:rsid w:val="1FD96C40"/>
    <w:rsid w:val="1FFF9FA2"/>
    <w:rsid w:val="207865DF"/>
    <w:rsid w:val="20A4382C"/>
    <w:rsid w:val="213740D6"/>
    <w:rsid w:val="216300BC"/>
    <w:rsid w:val="2185500C"/>
    <w:rsid w:val="21A92B96"/>
    <w:rsid w:val="21F24A45"/>
    <w:rsid w:val="2260669D"/>
    <w:rsid w:val="227D45A9"/>
    <w:rsid w:val="22E21BC4"/>
    <w:rsid w:val="2374556A"/>
    <w:rsid w:val="23BF0D43"/>
    <w:rsid w:val="23CD5478"/>
    <w:rsid w:val="23D13C15"/>
    <w:rsid w:val="23D64C00"/>
    <w:rsid w:val="242F5B1C"/>
    <w:rsid w:val="24495099"/>
    <w:rsid w:val="248D3582"/>
    <w:rsid w:val="24A63729"/>
    <w:rsid w:val="25003AF0"/>
    <w:rsid w:val="25747400"/>
    <w:rsid w:val="25801095"/>
    <w:rsid w:val="25D977F1"/>
    <w:rsid w:val="25FED59A"/>
    <w:rsid w:val="25FF3C20"/>
    <w:rsid w:val="260D2D7B"/>
    <w:rsid w:val="263C7034"/>
    <w:rsid w:val="2675E140"/>
    <w:rsid w:val="26E2701C"/>
    <w:rsid w:val="271C5A1C"/>
    <w:rsid w:val="271F938A"/>
    <w:rsid w:val="2734033D"/>
    <w:rsid w:val="27636103"/>
    <w:rsid w:val="27BE2A52"/>
    <w:rsid w:val="27E880B4"/>
    <w:rsid w:val="27F26299"/>
    <w:rsid w:val="27F55E0F"/>
    <w:rsid w:val="27FE33CE"/>
    <w:rsid w:val="28641D7B"/>
    <w:rsid w:val="286533D6"/>
    <w:rsid w:val="28977EA2"/>
    <w:rsid w:val="289A3AA3"/>
    <w:rsid w:val="29A1025D"/>
    <w:rsid w:val="2A3F4BF5"/>
    <w:rsid w:val="2A810D6A"/>
    <w:rsid w:val="2AADC391"/>
    <w:rsid w:val="2AAF4215"/>
    <w:rsid w:val="2AB928BF"/>
    <w:rsid w:val="2ADF707C"/>
    <w:rsid w:val="2AF54989"/>
    <w:rsid w:val="2B2B082F"/>
    <w:rsid w:val="2B7D0165"/>
    <w:rsid w:val="2BB9C8F2"/>
    <w:rsid w:val="2BFB6E8B"/>
    <w:rsid w:val="2BFFB032"/>
    <w:rsid w:val="2C4F242F"/>
    <w:rsid w:val="2C5FE643"/>
    <w:rsid w:val="2C667A3B"/>
    <w:rsid w:val="2C7C2E07"/>
    <w:rsid w:val="2D133F04"/>
    <w:rsid w:val="2D8C184B"/>
    <w:rsid w:val="2DAE0518"/>
    <w:rsid w:val="2DC86A18"/>
    <w:rsid w:val="2DDF7CF0"/>
    <w:rsid w:val="2DFF5839"/>
    <w:rsid w:val="2E3E806D"/>
    <w:rsid w:val="2E5F5866"/>
    <w:rsid w:val="2E8B55C3"/>
    <w:rsid w:val="2EBC3384"/>
    <w:rsid w:val="2EEF79C5"/>
    <w:rsid w:val="2EF45D6A"/>
    <w:rsid w:val="2EF7EE3A"/>
    <w:rsid w:val="2F32348A"/>
    <w:rsid w:val="2F4BFFAC"/>
    <w:rsid w:val="2F4C0476"/>
    <w:rsid w:val="2F6F2DA0"/>
    <w:rsid w:val="2F6F565C"/>
    <w:rsid w:val="2F7FF788"/>
    <w:rsid w:val="2F9B0E34"/>
    <w:rsid w:val="2FB77A4C"/>
    <w:rsid w:val="2FEAA120"/>
    <w:rsid w:val="2FFDCAA5"/>
    <w:rsid w:val="308A48AC"/>
    <w:rsid w:val="310061F3"/>
    <w:rsid w:val="317F7117"/>
    <w:rsid w:val="319B575E"/>
    <w:rsid w:val="31B72E5C"/>
    <w:rsid w:val="32AE6949"/>
    <w:rsid w:val="32F40FD3"/>
    <w:rsid w:val="32F977F1"/>
    <w:rsid w:val="32FF0317"/>
    <w:rsid w:val="33757578"/>
    <w:rsid w:val="337AE2D6"/>
    <w:rsid w:val="33AD2BD0"/>
    <w:rsid w:val="33DEF139"/>
    <w:rsid w:val="33E52AA0"/>
    <w:rsid w:val="33F915CE"/>
    <w:rsid w:val="33F9C19C"/>
    <w:rsid w:val="33FF10A1"/>
    <w:rsid w:val="346DC6E6"/>
    <w:rsid w:val="34D5481E"/>
    <w:rsid w:val="35341E00"/>
    <w:rsid w:val="3535527B"/>
    <w:rsid w:val="35E75334"/>
    <w:rsid w:val="35EB6C31"/>
    <w:rsid w:val="35F7ACF4"/>
    <w:rsid w:val="36B772DB"/>
    <w:rsid w:val="36BDDA7C"/>
    <w:rsid w:val="36EE6EF7"/>
    <w:rsid w:val="36F7F178"/>
    <w:rsid w:val="36FDBDE3"/>
    <w:rsid w:val="373DBD37"/>
    <w:rsid w:val="3769533B"/>
    <w:rsid w:val="376B13D8"/>
    <w:rsid w:val="3774DA36"/>
    <w:rsid w:val="377DF0D3"/>
    <w:rsid w:val="37AA06DF"/>
    <w:rsid w:val="37B63894"/>
    <w:rsid w:val="37BFE1FD"/>
    <w:rsid w:val="37DD7DB5"/>
    <w:rsid w:val="37EBD977"/>
    <w:rsid w:val="37F73822"/>
    <w:rsid w:val="37FF5767"/>
    <w:rsid w:val="38607A0E"/>
    <w:rsid w:val="38791C4D"/>
    <w:rsid w:val="38A96204"/>
    <w:rsid w:val="38AA163F"/>
    <w:rsid w:val="38DCE36B"/>
    <w:rsid w:val="3948288A"/>
    <w:rsid w:val="396B4AFF"/>
    <w:rsid w:val="397B107A"/>
    <w:rsid w:val="397B1CE6"/>
    <w:rsid w:val="397E758C"/>
    <w:rsid w:val="399333C8"/>
    <w:rsid w:val="3A092B2A"/>
    <w:rsid w:val="3A456D67"/>
    <w:rsid w:val="3A626B85"/>
    <w:rsid w:val="3A7418FC"/>
    <w:rsid w:val="3A8F174A"/>
    <w:rsid w:val="3AC2456D"/>
    <w:rsid w:val="3AF774CA"/>
    <w:rsid w:val="3AFF7B57"/>
    <w:rsid w:val="3B3FC881"/>
    <w:rsid w:val="3B6E5B2D"/>
    <w:rsid w:val="3B7905A1"/>
    <w:rsid w:val="3B7BF8D1"/>
    <w:rsid w:val="3B93441B"/>
    <w:rsid w:val="3B9528C7"/>
    <w:rsid w:val="3B9603ED"/>
    <w:rsid w:val="3BA725FA"/>
    <w:rsid w:val="3BF3F690"/>
    <w:rsid w:val="3BFFAFAC"/>
    <w:rsid w:val="3C0223B7"/>
    <w:rsid w:val="3C62CBC3"/>
    <w:rsid w:val="3C6FA9D3"/>
    <w:rsid w:val="3C9FAAB0"/>
    <w:rsid w:val="3CBF52AA"/>
    <w:rsid w:val="3CBFC02A"/>
    <w:rsid w:val="3CFC7333"/>
    <w:rsid w:val="3D146668"/>
    <w:rsid w:val="3D3D173E"/>
    <w:rsid w:val="3D5358A8"/>
    <w:rsid w:val="3D6F35BF"/>
    <w:rsid w:val="3D84435C"/>
    <w:rsid w:val="3DB03A24"/>
    <w:rsid w:val="3DBDE794"/>
    <w:rsid w:val="3DBFC698"/>
    <w:rsid w:val="3DDF4999"/>
    <w:rsid w:val="3DEAAE5D"/>
    <w:rsid w:val="3DEB085D"/>
    <w:rsid w:val="3DFEF73F"/>
    <w:rsid w:val="3E180A3B"/>
    <w:rsid w:val="3E31A9C9"/>
    <w:rsid w:val="3EAA2D67"/>
    <w:rsid w:val="3EBC3261"/>
    <w:rsid w:val="3EC3748A"/>
    <w:rsid w:val="3EC45405"/>
    <w:rsid w:val="3ECC6910"/>
    <w:rsid w:val="3EDE3B0B"/>
    <w:rsid w:val="3EDF52C5"/>
    <w:rsid w:val="3EDF680B"/>
    <w:rsid w:val="3EDF913A"/>
    <w:rsid w:val="3EEF766D"/>
    <w:rsid w:val="3EF34746"/>
    <w:rsid w:val="3EF91C35"/>
    <w:rsid w:val="3F3F8B61"/>
    <w:rsid w:val="3F576BF2"/>
    <w:rsid w:val="3F6F0A32"/>
    <w:rsid w:val="3F772D4C"/>
    <w:rsid w:val="3F77813E"/>
    <w:rsid w:val="3F7E6325"/>
    <w:rsid w:val="3F84C1AE"/>
    <w:rsid w:val="3F8F1F95"/>
    <w:rsid w:val="3F9844A6"/>
    <w:rsid w:val="3F9E313C"/>
    <w:rsid w:val="3FA06772"/>
    <w:rsid w:val="3FB3B736"/>
    <w:rsid w:val="3FCDAA70"/>
    <w:rsid w:val="3FCF161C"/>
    <w:rsid w:val="3FD7C333"/>
    <w:rsid w:val="3FDF7814"/>
    <w:rsid w:val="3FDFE01C"/>
    <w:rsid w:val="3FEFC185"/>
    <w:rsid w:val="3FF72816"/>
    <w:rsid w:val="3FFB77CB"/>
    <w:rsid w:val="3FFB87EC"/>
    <w:rsid w:val="3FFD2741"/>
    <w:rsid w:val="3FFDCBCA"/>
    <w:rsid w:val="3FFEAECC"/>
    <w:rsid w:val="3FFF03B9"/>
    <w:rsid w:val="401C3D4C"/>
    <w:rsid w:val="40226BDD"/>
    <w:rsid w:val="4050335B"/>
    <w:rsid w:val="40810FC8"/>
    <w:rsid w:val="41513BB1"/>
    <w:rsid w:val="41CF6829"/>
    <w:rsid w:val="41DB2FFE"/>
    <w:rsid w:val="42337B3F"/>
    <w:rsid w:val="423A7D24"/>
    <w:rsid w:val="427D40B5"/>
    <w:rsid w:val="440918F1"/>
    <w:rsid w:val="447D7569"/>
    <w:rsid w:val="44B52210"/>
    <w:rsid w:val="44CB1698"/>
    <w:rsid w:val="44F324D8"/>
    <w:rsid w:val="455B5B96"/>
    <w:rsid w:val="459C5D66"/>
    <w:rsid w:val="459E2651"/>
    <w:rsid w:val="459F5CA0"/>
    <w:rsid w:val="45C41A3D"/>
    <w:rsid w:val="462D6801"/>
    <w:rsid w:val="469D7925"/>
    <w:rsid w:val="46EA32A6"/>
    <w:rsid w:val="47053F7C"/>
    <w:rsid w:val="4706073F"/>
    <w:rsid w:val="47775721"/>
    <w:rsid w:val="478563C6"/>
    <w:rsid w:val="47C60945"/>
    <w:rsid w:val="47D54B88"/>
    <w:rsid w:val="47E9A1A0"/>
    <w:rsid w:val="48002B88"/>
    <w:rsid w:val="480E6DE3"/>
    <w:rsid w:val="484F4B48"/>
    <w:rsid w:val="485F07D8"/>
    <w:rsid w:val="48605FCE"/>
    <w:rsid w:val="48C06477"/>
    <w:rsid w:val="48C3322B"/>
    <w:rsid w:val="48F14BF7"/>
    <w:rsid w:val="4945059D"/>
    <w:rsid w:val="49BEA124"/>
    <w:rsid w:val="49CC6CB6"/>
    <w:rsid w:val="49E140B7"/>
    <w:rsid w:val="4A152139"/>
    <w:rsid w:val="4A6202EB"/>
    <w:rsid w:val="4A7C4FC1"/>
    <w:rsid w:val="4A9A6CAF"/>
    <w:rsid w:val="4A9C5875"/>
    <w:rsid w:val="4AFD4615"/>
    <w:rsid w:val="4B333556"/>
    <w:rsid w:val="4B454A0A"/>
    <w:rsid w:val="4B5A3FD8"/>
    <w:rsid w:val="4B887951"/>
    <w:rsid w:val="4BC20883"/>
    <w:rsid w:val="4C251B2D"/>
    <w:rsid w:val="4CF92E7B"/>
    <w:rsid w:val="4CFB6B2C"/>
    <w:rsid w:val="4D1DB812"/>
    <w:rsid w:val="4D357CE0"/>
    <w:rsid w:val="4DAFC284"/>
    <w:rsid w:val="4DB5CB25"/>
    <w:rsid w:val="4DBB3E33"/>
    <w:rsid w:val="4DE3154B"/>
    <w:rsid w:val="4DF5D2BF"/>
    <w:rsid w:val="4E5655E3"/>
    <w:rsid w:val="4ECD7EB5"/>
    <w:rsid w:val="4EDE35AC"/>
    <w:rsid w:val="4EF94607"/>
    <w:rsid w:val="4EFFCEF6"/>
    <w:rsid w:val="4F640F18"/>
    <w:rsid w:val="4F7E3902"/>
    <w:rsid w:val="4F9A44F8"/>
    <w:rsid w:val="4F9F214B"/>
    <w:rsid w:val="4FF395E6"/>
    <w:rsid w:val="4FFA569E"/>
    <w:rsid w:val="4FFF7B66"/>
    <w:rsid w:val="501B37DA"/>
    <w:rsid w:val="50943FF9"/>
    <w:rsid w:val="51487335"/>
    <w:rsid w:val="519246CA"/>
    <w:rsid w:val="51BCFBE2"/>
    <w:rsid w:val="51E01C33"/>
    <w:rsid w:val="51E44568"/>
    <w:rsid w:val="51F15DFD"/>
    <w:rsid w:val="51FF628E"/>
    <w:rsid w:val="522BBFAA"/>
    <w:rsid w:val="522D533A"/>
    <w:rsid w:val="53252976"/>
    <w:rsid w:val="53401509"/>
    <w:rsid w:val="53543ED7"/>
    <w:rsid w:val="536433D3"/>
    <w:rsid w:val="536F6462"/>
    <w:rsid w:val="53BD2119"/>
    <w:rsid w:val="54176117"/>
    <w:rsid w:val="547C1168"/>
    <w:rsid w:val="549324D8"/>
    <w:rsid w:val="549D6375"/>
    <w:rsid w:val="54C469E3"/>
    <w:rsid w:val="553C7A36"/>
    <w:rsid w:val="5567BD2F"/>
    <w:rsid w:val="557D857A"/>
    <w:rsid w:val="557F84E0"/>
    <w:rsid w:val="55992B5C"/>
    <w:rsid w:val="55A211BE"/>
    <w:rsid w:val="55E7D38E"/>
    <w:rsid w:val="55F80356"/>
    <w:rsid w:val="55FF196E"/>
    <w:rsid w:val="567B2EA4"/>
    <w:rsid w:val="56C7BF65"/>
    <w:rsid w:val="56DEF74B"/>
    <w:rsid w:val="56F52AF0"/>
    <w:rsid w:val="57380BEA"/>
    <w:rsid w:val="575DDB48"/>
    <w:rsid w:val="57A782E9"/>
    <w:rsid w:val="57A927F5"/>
    <w:rsid w:val="57BD2EED"/>
    <w:rsid w:val="57BFE2CB"/>
    <w:rsid w:val="57F758DB"/>
    <w:rsid w:val="57FBE100"/>
    <w:rsid w:val="57FF3DFF"/>
    <w:rsid w:val="57FF4AD2"/>
    <w:rsid w:val="57FFB7BC"/>
    <w:rsid w:val="585A0DAA"/>
    <w:rsid w:val="58E55E64"/>
    <w:rsid w:val="593739B8"/>
    <w:rsid w:val="593E081A"/>
    <w:rsid w:val="59C9319A"/>
    <w:rsid w:val="59D63A74"/>
    <w:rsid w:val="59D714F6"/>
    <w:rsid w:val="59DFFD93"/>
    <w:rsid w:val="59EF1DFC"/>
    <w:rsid w:val="5A4947D3"/>
    <w:rsid w:val="5ABB1050"/>
    <w:rsid w:val="5AF93469"/>
    <w:rsid w:val="5B3B3860"/>
    <w:rsid w:val="5B5D2F92"/>
    <w:rsid w:val="5B7DDC28"/>
    <w:rsid w:val="5B7F624A"/>
    <w:rsid w:val="5BAF68EF"/>
    <w:rsid w:val="5BE72AE1"/>
    <w:rsid w:val="5BEB75A4"/>
    <w:rsid w:val="5BF42BBB"/>
    <w:rsid w:val="5BFFD5F5"/>
    <w:rsid w:val="5CF634E9"/>
    <w:rsid w:val="5D355CB4"/>
    <w:rsid w:val="5D5D99E9"/>
    <w:rsid w:val="5D7FC7C9"/>
    <w:rsid w:val="5D9952E5"/>
    <w:rsid w:val="5D9A46F0"/>
    <w:rsid w:val="5DAD523C"/>
    <w:rsid w:val="5DAF0801"/>
    <w:rsid w:val="5DE3477F"/>
    <w:rsid w:val="5DEE2A2A"/>
    <w:rsid w:val="5DEEFCE9"/>
    <w:rsid w:val="5DF7BECE"/>
    <w:rsid w:val="5DFB6840"/>
    <w:rsid w:val="5DFDE687"/>
    <w:rsid w:val="5E14F78C"/>
    <w:rsid w:val="5E1F6A54"/>
    <w:rsid w:val="5E2558D5"/>
    <w:rsid w:val="5E87441E"/>
    <w:rsid w:val="5EB735A1"/>
    <w:rsid w:val="5EBAD936"/>
    <w:rsid w:val="5EBD38F4"/>
    <w:rsid w:val="5EC6A0C8"/>
    <w:rsid w:val="5EDF719A"/>
    <w:rsid w:val="5EE02E3C"/>
    <w:rsid w:val="5EE707FD"/>
    <w:rsid w:val="5EF9E1D9"/>
    <w:rsid w:val="5EFD1774"/>
    <w:rsid w:val="5EFD63A1"/>
    <w:rsid w:val="5F2D046E"/>
    <w:rsid w:val="5F3C7A35"/>
    <w:rsid w:val="5F3EE51C"/>
    <w:rsid w:val="5F4E1719"/>
    <w:rsid w:val="5F4ED10A"/>
    <w:rsid w:val="5F622E52"/>
    <w:rsid w:val="5F7D5BE8"/>
    <w:rsid w:val="5F7F3DD2"/>
    <w:rsid w:val="5F7F49C8"/>
    <w:rsid w:val="5FA01D10"/>
    <w:rsid w:val="5FA77A2C"/>
    <w:rsid w:val="5FDF10FF"/>
    <w:rsid w:val="5FDFE6D0"/>
    <w:rsid w:val="5FED422E"/>
    <w:rsid w:val="5FF48D17"/>
    <w:rsid w:val="5FF6893A"/>
    <w:rsid w:val="5FF8AACB"/>
    <w:rsid w:val="5FFB4E30"/>
    <w:rsid w:val="5FFB4F3D"/>
    <w:rsid w:val="5FFD8CB0"/>
    <w:rsid w:val="5FFF5037"/>
    <w:rsid w:val="5FFFE862"/>
    <w:rsid w:val="607D3748"/>
    <w:rsid w:val="60CC028A"/>
    <w:rsid w:val="60EC4488"/>
    <w:rsid w:val="610C3A9C"/>
    <w:rsid w:val="611B38AB"/>
    <w:rsid w:val="615C31E8"/>
    <w:rsid w:val="61B62DA1"/>
    <w:rsid w:val="61FF5178"/>
    <w:rsid w:val="6243437A"/>
    <w:rsid w:val="62616D7C"/>
    <w:rsid w:val="628D14F2"/>
    <w:rsid w:val="62BD4574"/>
    <w:rsid w:val="6325773C"/>
    <w:rsid w:val="634C1706"/>
    <w:rsid w:val="635F7193"/>
    <w:rsid w:val="63B63069"/>
    <w:rsid w:val="63E57C7D"/>
    <w:rsid w:val="649966D5"/>
    <w:rsid w:val="64C200F2"/>
    <w:rsid w:val="64F57139"/>
    <w:rsid w:val="65167D25"/>
    <w:rsid w:val="65655C60"/>
    <w:rsid w:val="6593F782"/>
    <w:rsid w:val="65BE74B1"/>
    <w:rsid w:val="65FD1E19"/>
    <w:rsid w:val="65FE0871"/>
    <w:rsid w:val="6609095A"/>
    <w:rsid w:val="66390EEC"/>
    <w:rsid w:val="66613576"/>
    <w:rsid w:val="66720F9F"/>
    <w:rsid w:val="66BB5DAD"/>
    <w:rsid w:val="66E7865B"/>
    <w:rsid w:val="66F7B9BD"/>
    <w:rsid w:val="66FF70F4"/>
    <w:rsid w:val="672F4BD5"/>
    <w:rsid w:val="6780592A"/>
    <w:rsid w:val="67A30EFF"/>
    <w:rsid w:val="67CD7F64"/>
    <w:rsid w:val="67E72EF0"/>
    <w:rsid w:val="67E75822"/>
    <w:rsid w:val="67FBCA81"/>
    <w:rsid w:val="67FEC540"/>
    <w:rsid w:val="67FF8842"/>
    <w:rsid w:val="68174789"/>
    <w:rsid w:val="688B16B1"/>
    <w:rsid w:val="692A7449"/>
    <w:rsid w:val="696D3286"/>
    <w:rsid w:val="69DFBEF8"/>
    <w:rsid w:val="6A4176E3"/>
    <w:rsid w:val="6AE517EE"/>
    <w:rsid w:val="6B0F7019"/>
    <w:rsid w:val="6B7DB2B6"/>
    <w:rsid w:val="6BA60BF0"/>
    <w:rsid w:val="6BAD01AB"/>
    <w:rsid w:val="6BB585A9"/>
    <w:rsid w:val="6BBB65E2"/>
    <w:rsid w:val="6BEC1818"/>
    <w:rsid w:val="6BEEC337"/>
    <w:rsid w:val="6BFB3942"/>
    <w:rsid w:val="6BFC154B"/>
    <w:rsid w:val="6BFDD94E"/>
    <w:rsid w:val="6BFE6227"/>
    <w:rsid w:val="6BFF005A"/>
    <w:rsid w:val="6BFF12B7"/>
    <w:rsid w:val="6C1FE371"/>
    <w:rsid w:val="6C32189C"/>
    <w:rsid w:val="6C32409A"/>
    <w:rsid w:val="6C4C7A62"/>
    <w:rsid w:val="6C67530A"/>
    <w:rsid w:val="6C7B0821"/>
    <w:rsid w:val="6C7F72AC"/>
    <w:rsid w:val="6C892D57"/>
    <w:rsid w:val="6CE16F10"/>
    <w:rsid w:val="6CF9A775"/>
    <w:rsid w:val="6D5050C7"/>
    <w:rsid w:val="6DBDB722"/>
    <w:rsid w:val="6DDFE8A4"/>
    <w:rsid w:val="6DF5168E"/>
    <w:rsid w:val="6DFF2102"/>
    <w:rsid w:val="6E2039C3"/>
    <w:rsid w:val="6E4C4A24"/>
    <w:rsid w:val="6E6B3D34"/>
    <w:rsid w:val="6E7E4B13"/>
    <w:rsid w:val="6EAF2D51"/>
    <w:rsid w:val="6EB255EB"/>
    <w:rsid w:val="6ED72C6E"/>
    <w:rsid w:val="6EE10092"/>
    <w:rsid w:val="6EFDCD2D"/>
    <w:rsid w:val="6EFF57D0"/>
    <w:rsid w:val="6EFF612F"/>
    <w:rsid w:val="6F18680E"/>
    <w:rsid w:val="6F1F37FC"/>
    <w:rsid w:val="6F59F9E4"/>
    <w:rsid w:val="6F5FAB1B"/>
    <w:rsid w:val="6F6219C7"/>
    <w:rsid w:val="6F81415B"/>
    <w:rsid w:val="6F8E58D6"/>
    <w:rsid w:val="6FB35245"/>
    <w:rsid w:val="6FB86FC2"/>
    <w:rsid w:val="6FCF2F80"/>
    <w:rsid w:val="6FD5E567"/>
    <w:rsid w:val="6FDBF1A1"/>
    <w:rsid w:val="6FDCF403"/>
    <w:rsid w:val="6FE6ECA6"/>
    <w:rsid w:val="6FEC0EF8"/>
    <w:rsid w:val="6FEE3D9A"/>
    <w:rsid w:val="6FEF3E9F"/>
    <w:rsid w:val="6FEFF0EF"/>
    <w:rsid w:val="6FFD0C97"/>
    <w:rsid w:val="6FFD15F0"/>
    <w:rsid w:val="6FFECEB9"/>
    <w:rsid w:val="6FFF08FD"/>
    <w:rsid w:val="6FFF45DC"/>
    <w:rsid w:val="704E2A69"/>
    <w:rsid w:val="7080499D"/>
    <w:rsid w:val="7082711C"/>
    <w:rsid w:val="70C236C4"/>
    <w:rsid w:val="70F12FC6"/>
    <w:rsid w:val="70FF9F02"/>
    <w:rsid w:val="713F17D9"/>
    <w:rsid w:val="71AC1F64"/>
    <w:rsid w:val="71BF5DB7"/>
    <w:rsid w:val="71E85758"/>
    <w:rsid w:val="72100F31"/>
    <w:rsid w:val="72445F08"/>
    <w:rsid w:val="72BD5FD5"/>
    <w:rsid w:val="72BF09DC"/>
    <w:rsid w:val="72EB5790"/>
    <w:rsid w:val="72F25D68"/>
    <w:rsid w:val="72F34105"/>
    <w:rsid w:val="72F3DFB7"/>
    <w:rsid w:val="73156CA1"/>
    <w:rsid w:val="733EE3F5"/>
    <w:rsid w:val="735EF94D"/>
    <w:rsid w:val="735F9F05"/>
    <w:rsid w:val="737B2761"/>
    <w:rsid w:val="73AF6EDB"/>
    <w:rsid w:val="73B384CE"/>
    <w:rsid w:val="73DF4221"/>
    <w:rsid w:val="73DF49F4"/>
    <w:rsid w:val="73E1108C"/>
    <w:rsid w:val="73F5007A"/>
    <w:rsid w:val="73FEB008"/>
    <w:rsid w:val="73FF3C21"/>
    <w:rsid w:val="74077D93"/>
    <w:rsid w:val="743F2389"/>
    <w:rsid w:val="74AE9EF4"/>
    <w:rsid w:val="74B15673"/>
    <w:rsid w:val="74C257D4"/>
    <w:rsid w:val="74FE88D1"/>
    <w:rsid w:val="750B3103"/>
    <w:rsid w:val="757B8C15"/>
    <w:rsid w:val="75B556EC"/>
    <w:rsid w:val="75B7E9C3"/>
    <w:rsid w:val="75DE6D1A"/>
    <w:rsid w:val="75E13102"/>
    <w:rsid w:val="75FF3FD3"/>
    <w:rsid w:val="7688309F"/>
    <w:rsid w:val="769E28CC"/>
    <w:rsid w:val="76A43029"/>
    <w:rsid w:val="76CFB604"/>
    <w:rsid w:val="76EB13C1"/>
    <w:rsid w:val="76EF4444"/>
    <w:rsid w:val="76F3A106"/>
    <w:rsid w:val="76FB10EB"/>
    <w:rsid w:val="76FD926B"/>
    <w:rsid w:val="76FF9977"/>
    <w:rsid w:val="773109EF"/>
    <w:rsid w:val="77520F35"/>
    <w:rsid w:val="7759F936"/>
    <w:rsid w:val="77633287"/>
    <w:rsid w:val="776FD87D"/>
    <w:rsid w:val="77747C81"/>
    <w:rsid w:val="777BDA6A"/>
    <w:rsid w:val="777F79C7"/>
    <w:rsid w:val="777FC199"/>
    <w:rsid w:val="778BDCF1"/>
    <w:rsid w:val="77ABAAEB"/>
    <w:rsid w:val="77ADA65E"/>
    <w:rsid w:val="77BBB69B"/>
    <w:rsid w:val="77BBCBAD"/>
    <w:rsid w:val="77BD97C9"/>
    <w:rsid w:val="77C57B61"/>
    <w:rsid w:val="77C62DC1"/>
    <w:rsid w:val="77CB4C74"/>
    <w:rsid w:val="77CFED9C"/>
    <w:rsid w:val="77DFC49B"/>
    <w:rsid w:val="77DFE8D3"/>
    <w:rsid w:val="77DFF2A1"/>
    <w:rsid w:val="77E6C2A5"/>
    <w:rsid w:val="77EF7EB5"/>
    <w:rsid w:val="77F3FCBB"/>
    <w:rsid w:val="77F79727"/>
    <w:rsid w:val="77F93DFF"/>
    <w:rsid w:val="77FC164C"/>
    <w:rsid w:val="77FD6ECE"/>
    <w:rsid w:val="77FF00E7"/>
    <w:rsid w:val="77FF90F0"/>
    <w:rsid w:val="77FFEC7B"/>
    <w:rsid w:val="785F2FBE"/>
    <w:rsid w:val="78781E10"/>
    <w:rsid w:val="794C1B10"/>
    <w:rsid w:val="7972DF47"/>
    <w:rsid w:val="797BCC08"/>
    <w:rsid w:val="799E691A"/>
    <w:rsid w:val="799F4D91"/>
    <w:rsid w:val="79BA2FEC"/>
    <w:rsid w:val="79DA45DF"/>
    <w:rsid w:val="79EF2068"/>
    <w:rsid w:val="79EFC2ED"/>
    <w:rsid w:val="79FF532C"/>
    <w:rsid w:val="7A3EA76F"/>
    <w:rsid w:val="7A6BC49B"/>
    <w:rsid w:val="7A7719EE"/>
    <w:rsid w:val="7A9053C5"/>
    <w:rsid w:val="7AA5772A"/>
    <w:rsid w:val="7AF1A2F4"/>
    <w:rsid w:val="7AF66DB7"/>
    <w:rsid w:val="7B0D6371"/>
    <w:rsid w:val="7B180978"/>
    <w:rsid w:val="7B1DA959"/>
    <w:rsid w:val="7B3D1ACD"/>
    <w:rsid w:val="7B755887"/>
    <w:rsid w:val="7B770434"/>
    <w:rsid w:val="7B7E4325"/>
    <w:rsid w:val="7B9740ED"/>
    <w:rsid w:val="7B9B4F39"/>
    <w:rsid w:val="7B9BD476"/>
    <w:rsid w:val="7B9E4B6E"/>
    <w:rsid w:val="7BAFAC10"/>
    <w:rsid w:val="7BD4FE36"/>
    <w:rsid w:val="7BE28173"/>
    <w:rsid w:val="7BE865F2"/>
    <w:rsid w:val="7BEB6994"/>
    <w:rsid w:val="7BF2742E"/>
    <w:rsid w:val="7BF33EBA"/>
    <w:rsid w:val="7BF542A0"/>
    <w:rsid w:val="7BF73396"/>
    <w:rsid w:val="7BFBC874"/>
    <w:rsid w:val="7BFE24D0"/>
    <w:rsid w:val="7BFE7EFB"/>
    <w:rsid w:val="7C3F1A46"/>
    <w:rsid w:val="7C6BE0FE"/>
    <w:rsid w:val="7C6E1534"/>
    <w:rsid w:val="7C7531B8"/>
    <w:rsid w:val="7C7B6AC3"/>
    <w:rsid w:val="7C7BA9C8"/>
    <w:rsid w:val="7C9BD21E"/>
    <w:rsid w:val="7CA02A6A"/>
    <w:rsid w:val="7CD30860"/>
    <w:rsid w:val="7CF5B1E8"/>
    <w:rsid w:val="7CF71E25"/>
    <w:rsid w:val="7CF78C98"/>
    <w:rsid w:val="7CFF5EAB"/>
    <w:rsid w:val="7D518BB4"/>
    <w:rsid w:val="7D57321B"/>
    <w:rsid w:val="7D5B5C79"/>
    <w:rsid w:val="7D5F70E1"/>
    <w:rsid w:val="7D770A6F"/>
    <w:rsid w:val="7D7F1A16"/>
    <w:rsid w:val="7D9C1EA2"/>
    <w:rsid w:val="7DA320A3"/>
    <w:rsid w:val="7DBAE706"/>
    <w:rsid w:val="7DBF3103"/>
    <w:rsid w:val="7DC8B4CE"/>
    <w:rsid w:val="7DCD2E4C"/>
    <w:rsid w:val="7DCFFCA0"/>
    <w:rsid w:val="7DD61975"/>
    <w:rsid w:val="7DDE5D37"/>
    <w:rsid w:val="7DDE6C1C"/>
    <w:rsid w:val="7DDF1479"/>
    <w:rsid w:val="7DDFEE3A"/>
    <w:rsid w:val="7DEF67DA"/>
    <w:rsid w:val="7DF2C0B3"/>
    <w:rsid w:val="7DF65F5D"/>
    <w:rsid w:val="7DF74A7A"/>
    <w:rsid w:val="7DFB68E7"/>
    <w:rsid w:val="7DFBCA38"/>
    <w:rsid w:val="7DFC33CF"/>
    <w:rsid w:val="7DFE35DE"/>
    <w:rsid w:val="7DFEBE00"/>
    <w:rsid w:val="7DFF4E5C"/>
    <w:rsid w:val="7E396F10"/>
    <w:rsid w:val="7E3E3C12"/>
    <w:rsid w:val="7E3F688E"/>
    <w:rsid w:val="7E9F9FFA"/>
    <w:rsid w:val="7EA1C8FE"/>
    <w:rsid w:val="7EB588E9"/>
    <w:rsid w:val="7ECFC5A0"/>
    <w:rsid w:val="7EDB260A"/>
    <w:rsid w:val="7EDF81E0"/>
    <w:rsid w:val="7EDFB9CE"/>
    <w:rsid w:val="7EF4280A"/>
    <w:rsid w:val="7EF73F35"/>
    <w:rsid w:val="7EFA749D"/>
    <w:rsid w:val="7EFD617A"/>
    <w:rsid w:val="7EFDD9F4"/>
    <w:rsid w:val="7F153A07"/>
    <w:rsid w:val="7F4F6B62"/>
    <w:rsid w:val="7F557C0B"/>
    <w:rsid w:val="7F5FC9E5"/>
    <w:rsid w:val="7F6523F0"/>
    <w:rsid w:val="7F66F75E"/>
    <w:rsid w:val="7F68349B"/>
    <w:rsid w:val="7F6B747D"/>
    <w:rsid w:val="7F6D24B4"/>
    <w:rsid w:val="7F7668EF"/>
    <w:rsid w:val="7F77536D"/>
    <w:rsid w:val="7F7BF2A7"/>
    <w:rsid w:val="7F7BFBBA"/>
    <w:rsid w:val="7F7C1911"/>
    <w:rsid w:val="7F7D6521"/>
    <w:rsid w:val="7F7D9E04"/>
    <w:rsid w:val="7F7F6C5B"/>
    <w:rsid w:val="7F8F15DF"/>
    <w:rsid w:val="7F963032"/>
    <w:rsid w:val="7F9F2658"/>
    <w:rsid w:val="7F9FE305"/>
    <w:rsid w:val="7FA30144"/>
    <w:rsid w:val="7FAA7B97"/>
    <w:rsid w:val="7FABBF8A"/>
    <w:rsid w:val="7FAC2F56"/>
    <w:rsid w:val="7FAF74C6"/>
    <w:rsid w:val="7FB224C1"/>
    <w:rsid w:val="7FB58A92"/>
    <w:rsid w:val="7FBBA781"/>
    <w:rsid w:val="7FBDFC47"/>
    <w:rsid w:val="7FBFA2D7"/>
    <w:rsid w:val="7FBFF277"/>
    <w:rsid w:val="7FC24AC2"/>
    <w:rsid w:val="7FCC5C95"/>
    <w:rsid w:val="7FCF48BA"/>
    <w:rsid w:val="7FD704A6"/>
    <w:rsid w:val="7FD7B9F5"/>
    <w:rsid w:val="7FD7F78E"/>
    <w:rsid w:val="7FD9A9AB"/>
    <w:rsid w:val="7FDF2562"/>
    <w:rsid w:val="7FDF76F0"/>
    <w:rsid w:val="7FDFD4B4"/>
    <w:rsid w:val="7FE71672"/>
    <w:rsid w:val="7FEB1C5C"/>
    <w:rsid w:val="7FEB2A6A"/>
    <w:rsid w:val="7FEECF9C"/>
    <w:rsid w:val="7FEF0C4E"/>
    <w:rsid w:val="7FEFA22C"/>
    <w:rsid w:val="7FEFCC65"/>
    <w:rsid w:val="7FF1384F"/>
    <w:rsid w:val="7FF359BF"/>
    <w:rsid w:val="7FF4525D"/>
    <w:rsid w:val="7FF54540"/>
    <w:rsid w:val="7FF5EA62"/>
    <w:rsid w:val="7FF70438"/>
    <w:rsid w:val="7FF79F7F"/>
    <w:rsid w:val="7FFB10D2"/>
    <w:rsid w:val="7FFB147F"/>
    <w:rsid w:val="7FFC0833"/>
    <w:rsid w:val="7FFDD08B"/>
    <w:rsid w:val="7FFF2134"/>
    <w:rsid w:val="7FFF2B8E"/>
    <w:rsid w:val="7FFF2D5A"/>
    <w:rsid w:val="7FFF4A79"/>
    <w:rsid w:val="7FFF6EB3"/>
    <w:rsid w:val="7FFF8B10"/>
    <w:rsid w:val="7FFFAE84"/>
    <w:rsid w:val="7FFFB057"/>
    <w:rsid w:val="7FFFC142"/>
    <w:rsid w:val="7FFFCB71"/>
    <w:rsid w:val="849F72DD"/>
    <w:rsid w:val="873FEF8F"/>
    <w:rsid w:val="888FAC59"/>
    <w:rsid w:val="88EF3050"/>
    <w:rsid w:val="8BF793E2"/>
    <w:rsid w:val="8CDD2D42"/>
    <w:rsid w:val="8DDFC2B8"/>
    <w:rsid w:val="8EFD6DDD"/>
    <w:rsid w:val="8F1BA822"/>
    <w:rsid w:val="8FB9DA41"/>
    <w:rsid w:val="94FF7365"/>
    <w:rsid w:val="97D76740"/>
    <w:rsid w:val="97F55F0F"/>
    <w:rsid w:val="99EF7EA1"/>
    <w:rsid w:val="9A9AD6E6"/>
    <w:rsid w:val="9B59490C"/>
    <w:rsid w:val="9B773F67"/>
    <w:rsid w:val="9B7F72A1"/>
    <w:rsid w:val="9D2BF5B8"/>
    <w:rsid w:val="9DFAC422"/>
    <w:rsid w:val="9EEFA1BA"/>
    <w:rsid w:val="9EFE59C9"/>
    <w:rsid w:val="9F1D3251"/>
    <w:rsid w:val="9F5D23DC"/>
    <w:rsid w:val="9F95275D"/>
    <w:rsid w:val="9FDB46F6"/>
    <w:rsid w:val="9FFA5A1E"/>
    <w:rsid w:val="9FFB7019"/>
    <w:rsid w:val="9FFB9088"/>
    <w:rsid w:val="9FFBC3EA"/>
    <w:rsid w:val="9FFDB30E"/>
    <w:rsid w:val="9FFEF493"/>
    <w:rsid w:val="9FFF4F0A"/>
    <w:rsid w:val="A779402A"/>
    <w:rsid w:val="A7F7110A"/>
    <w:rsid w:val="A9BF86FD"/>
    <w:rsid w:val="AB1C5E57"/>
    <w:rsid w:val="AB6EB05A"/>
    <w:rsid w:val="AB7FDCD1"/>
    <w:rsid w:val="ABEDF919"/>
    <w:rsid w:val="ABF64354"/>
    <w:rsid w:val="ADD704A4"/>
    <w:rsid w:val="AEBD9832"/>
    <w:rsid w:val="AEDF7556"/>
    <w:rsid w:val="AEF7D195"/>
    <w:rsid w:val="AEFF2162"/>
    <w:rsid w:val="AFF557E2"/>
    <w:rsid w:val="AFF60A15"/>
    <w:rsid w:val="AFFBF6A7"/>
    <w:rsid w:val="B33BF28E"/>
    <w:rsid w:val="B3791423"/>
    <w:rsid w:val="B37A8E10"/>
    <w:rsid w:val="B5AFF77F"/>
    <w:rsid w:val="B5DC6341"/>
    <w:rsid w:val="B5F42EA8"/>
    <w:rsid w:val="B6A63F2E"/>
    <w:rsid w:val="B6E65348"/>
    <w:rsid w:val="B76F36A9"/>
    <w:rsid w:val="B77EC4AC"/>
    <w:rsid w:val="B7EBF03A"/>
    <w:rsid w:val="B7FBA883"/>
    <w:rsid w:val="B7FDF15A"/>
    <w:rsid w:val="B8BEDE5B"/>
    <w:rsid w:val="B96B993A"/>
    <w:rsid w:val="B9DEE6E2"/>
    <w:rsid w:val="BAD934FB"/>
    <w:rsid w:val="BADF7E11"/>
    <w:rsid w:val="BB7FC558"/>
    <w:rsid w:val="BB9B82AB"/>
    <w:rsid w:val="BBF7EAC5"/>
    <w:rsid w:val="BCFF8224"/>
    <w:rsid w:val="BD5F71F8"/>
    <w:rsid w:val="BDBB51BC"/>
    <w:rsid w:val="BDCD8A47"/>
    <w:rsid w:val="BDD73F79"/>
    <w:rsid w:val="BDDD276F"/>
    <w:rsid w:val="BDF4583F"/>
    <w:rsid w:val="BDFF82DD"/>
    <w:rsid w:val="BDFF9C0A"/>
    <w:rsid w:val="BDFFB145"/>
    <w:rsid w:val="BE7F2934"/>
    <w:rsid w:val="BEB7A52F"/>
    <w:rsid w:val="BEBB644F"/>
    <w:rsid w:val="BEEF5CAA"/>
    <w:rsid w:val="BF0F4D57"/>
    <w:rsid w:val="BF7731A6"/>
    <w:rsid w:val="BF855487"/>
    <w:rsid w:val="BF985636"/>
    <w:rsid w:val="BFA7DD1D"/>
    <w:rsid w:val="BFAF6995"/>
    <w:rsid w:val="BFB0D57C"/>
    <w:rsid w:val="BFB5637C"/>
    <w:rsid w:val="BFBFCCCE"/>
    <w:rsid w:val="BFD107FA"/>
    <w:rsid w:val="BFDDD067"/>
    <w:rsid w:val="BFDFC4F6"/>
    <w:rsid w:val="BFE77FD3"/>
    <w:rsid w:val="BFEBAF11"/>
    <w:rsid w:val="BFEC50E1"/>
    <w:rsid w:val="BFEE3A60"/>
    <w:rsid w:val="BFEF04D3"/>
    <w:rsid w:val="BFF5774C"/>
    <w:rsid w:val="BFF7B7B3"/>
    <w:rsid w:val="BFFC7862"/>
    <w:rsid w:val="BFFD8AD6"/>
    <w:rsid w:val="BFFF89F9"/>
    <w:rsid w:val="C6F32DCC"/>
    <w:rsid w:val="C6F76B63"/>
    <w:rsid w:val="C6FF537A"/>
    <w:rsid w:val="C6FF61A2"/>
    <w:rsid w:val="C7ECA57F"/>
    <w:rsid w:val="C7F24352"/>
    <w:rsid w:val="C7FB6C83"/>
    <w:rsid w:val="C93144B0"/>
    <w:rsid w:val="CCFF8640"/>
    <w:rsid w:val="CD6D627B"/>
    <w:rsid w:val="CD76D643"/>
    <w:rsid w:val="CDBF0F11"/>
    <w:rsid w:val="CDBF6347"/>
    <w:rsid w:val="CDFF7006"/>
    <w:rsid w:val="CE8075F9"/>
    <w:rsid w:val="CEBED425"/>
    <w:rsid w:val="CEFD45B6"/>
    <w:rsid w:val="CF9F9751"/>
    <w:rsid w:val="CFB5BBFE"/>
    <w:rsid w:val="CFB7B634"/>
    <w:rsid w:val="CFBEE156"/>
    <w:rsid w:val="CFE73BA4"/>
    <w:rsid w:val="CFE93B53"/>
    <w:rsid w:val="CFF23669"/>
    <w:rsid w:val="CFFE68F2"/>
    <w:rsid w:val="CFFEF7FD"/>
    <w:rsid w:val="D11A01C8"/>
    <w:rsid w:val="D467BB2F"/>
    <w:rsid w:val="D5F28C17"/>
    <w:rsid w:val="D5FD7C65"/>
    <w:rsid w:val="D6FB7D4A"/>
    <w:rsid w:val="D6FBD824"/>
    <w:rsid w:val="D7F768FF"/>
    <w:rsid w:val="D7FFB121"/>
    <w:rsid w:val="D9DFEB6F"/>
    <w:rsid w:val="DA3F11D2"/>
    <w:rsid w:val="DA77BF65"/>
    <w:rsid w:val="DA7EFCED"/>
    <w:rsid w:val="DA864DF8"/>
    <w:rsid w:val="DB3FB4A8"/>
    <w:rsid w:val="DB6F05CE"/>
    <w:rsid w:val="DB761A47"/>
    <w:rsid w:val="DB9CAD45"/>
    <w:rsid w:val="DBF2FCA9"/>
    <w:rsid w:val="DBF32C96"/>
    <w:rsid w:val="DBFEDD45"/>
    <w:rsid w:val="DD3B7287"/>
    <w:rsid w:val="DD6D19F4"/>
    <w:rsid w:val="DD8D7858"/>
    <w:rsid w:val="DDCCDB7C"/>
    <w:rsid w:val="DDE7C262"/>
    <w:rsid w:val="DDFD15F3"/>
    <w:rsid w:val="DE0B5C63"/>
    <w:rsid w:val="DE48A245"/>
    <w:rsid w:val="DED7ADC0"/>
    <w:rsid w:val="DEE5EE65"/>
    <w:rsid w:val="DEEDB7FE"/>
    <w:rsid w:val="DEF72C5C"/>
    <w:rsid w:val="DEFB56F0"/>
    <w:rsid w:val="DEFFA451"/>
    <w:rsid w:val="DF2DFF79"/>
    <w:rsid w:val="DF3DF2FE"/>
    <w:rsid w:val="DF3FC20C"/>
    <w:rsid w:val="DF4F60F7"/>
    <w:rsid w:val="DF6AAF7E"/>
    <w:rsid w:val="DF6D6421"/>
    <w:rsid w:val="DF7E1314"/>
    <w:rsid w:val="DF7F990A"/>
    <w:rsid w:val="DF871704"/>
    <w:rsid w:val="DFBF3049"/>
    <w:rsid w:val="DFBFA9EF"/>
    <w:rsid w:val="DFBFF981"/>
    <w:rsid w:val="DFCB9460"/>
    <w:rsid w:val="DFCEBF54"/>
    <w:rsid w:val="DFF707C1"/>
    <w:rsid w:val="DFFCA25F"/>
    <w:rsid w:val="DFFE8273"/>
    <w:rsid w:val="DFFF3D2D"/>
    <w:rsid w:val="DFFFE042"/>
    <w:rsid w:val="E2DA1E82"/>
    <w:rsid w:val="E3DC91FC"/>
    <w:rsid w:val="E3FD78CA"/>
    <w:rsid w:val="E5DFBA70"/>
    <w:rsid w:val="E5FF37F3"/>
    <w:rsid w:val="E67D2A72"/>
    <w:rsid w:val="E6FF22E0"/>
    <w:rsid w:val="E73EED4C"/>
    <w:rsid w:val="E75B4443"/>
    <w:rsid w:val="E79D8EEE"/>
    <w:rsid w:val="E7AB7F05"/>
    <w:rsid w:val="E7FA061E"/>
    <w:rsid w:val="E7FE269C"/>
    <w:rsid w:val="E7FF2437"/>
    <w:rsid w:val="E7FF88EA"/>
    <w:rsid w:val="E9F6066D"/>
    <w:rsid w:val="EA76CD76"/>
    <w:rsid w:val="EABF49E6"/>
    <w:rsid w:val="EB7F8A09"/>
    <w:rsid w:val="EB7F9983"/>
    <w:rsid w:val="EBADF67E"/>
    <w:rsid w:val="EBBF3C91"/>
    <w:rsid w:val="EBDF5910"/>
    <w:rsid w:val="EBEFA3D3"/>
    <w:rsid w:val="EBFF07D8"/>
    <w:rsid w:val="ED6391F0"/>
    <w:rsid w:val="ED73AAC5"/>
    <w:rsid w:val="ED7BF5CC"/>
    <w:rsid w:val="EDEFB2A2"/>
    <w:rsid w:val="EDF7FA5F"/>
    <w:rsid w:val="EE9C973A"/>
    <w:rsid w:val="EEAF2439"/>
    <w:rsid w:val="EEBDBBD9"/>
    <w:rsid w:val="EEDCE468"/>
    <w:rsid w:val="EEF71889"/>
    <w:rsid w:val="EF3B3245"/>
    <w:rsid w:val="EF3E9F91"/>
    <w:rsid w:val="EFA6CFAA"/>
    <w:rsid w:val="EFBE6AA5"/>
    <w:rsid w:val="EFBE85D3"/>
    <w:rsid w:val="EFD45404"/>
    <w:rsid w:val="EFDEA483"/>
    <w:rsid w:val="EFEA1677"/>
    <w:rsid w:val="EFEFC1FF"/>
    <w:rsid w:val="EFEFDEF6"/>
    <w:rsid w:val="EFF3A15E"/>
    <w:rsid w:val="EFF76733"/>
    <w:rsid w:val="EFFF4016"/>
    <w:rsid w:val="EFFF564E"/>
    <w:rsid w:val="EFFF8502"/>
    <w:rsid w:val="EFFFF58D"/>
    <w:rsid w:val="F16FC5C5"/>
    <w:rsid w:val="F1DF3A84"/>
    <w:rsid w:val="F1FEC505"/>
    <w:rsid w:val="F233A6EC"/>
    <w:rsid w:val="F2A72CB2"/>
    <w:rsid w:val="F2F719FB"/>
    <w:rsid w:val="F33F8A9F"/>
    <w:rsid w:val="F3A10B6F"/>
    <w:rsid w:val="F3DD0BA1"/>
    <w:rsid w:val="F3DE9A1F"/>
    <w:rsid w:val="F3DF2033"/>
    <w:rsid w:val="F3F973B3"/>
    <w:rsid w:val="F3FFC112"/>
    <w:rsid w:val="F476475F"/>
    <w:rsid w:val="F4E12D11"/>
    <w:rsid w:val="F4EB8E44"/>
    <w:rsid w:val="F4EFEE1A"/>
    <w:rsid w:val="F4F77541"/>
    <w:rsid w:val="F4FEA51D"/>
    <w:rsid w:val="F573702A"/>
    <w:rsid w:val="F59E91F2"/>
    <w:rsid w:val="F5F30BCA"/>
    <w:rsid w:val="F5F60EAE"/>
    <w:rsid w:val="F5F78086"/>
    <w:rsid w:val="F5FF1F3A"/>
    <w:rsid w:val="F63F6F64"/>
    <w:rsid w:val="F68E8EBC"/>
    <w:rsid w:val="F6CFF33F"/>
    <w:rsid w:val="F6FDB564"/>
    <w:rsid w:val="F72F231F"/>
    <w:rsid w:val="F75BBD0A"/>
    <w:rsid w:val="F76B4181"/>
    <w:rsid w:val="F76FC8E7"/>
    <w:rsid w:val="F77F293A"/>
    <w:rsid w:val="F77F6F5D"/>
    <w:rsid w:val="F7AD7728"/>
    <w:rsid w:val="F7B66E6B"/>
    <w:rsid w:val="F7BB4CE9"/>
    <w:rsid w:val="F7BBF82E"/>
    <w:rsid w:val="F7BE1D1A"/>
    <w:rsid w:val="F7BF626F"/>
    <w:rsid w:val="F7D7C933"/>
    <w:rsid w:val="F7D7E901"/>
    <w:rsid w:val="F7DB8A99"/>
    <w:rsid w:val="F7DD7EBA"/>
    <w:rsid w:val="F7E61377"/>
    <w:rsid w:val="F7EDAC32"/>
    <w:rsid w:val="F7F1D18D"/>
    <w:rsid w:val="F7FDC64C"/>
    <w:rsid w:val="F7FE1326"/>
    <w:rsid w:val="F7FF39DB"/>
    <w:rsid w:val="F8161B5D"/>
    <w:rsid w:val="F82BF878"/>
    <w:rsid w:val="F8367EC8"/>
    <w:rsid w:val="F8DEF50C"/>
    <w:rsid w:val="F8E6D969"/>
    <w:rsid w:val="F92EC1B5"/>
    <w:rsid w:val="F933FFC1"/>
    <w:rsid w:val="F94FC1D7"/>
    <w:rsid w:val="F97EE55F"/>
    <w:rsid w:val="F9DBA0C7"/>
    <w:rsid w:val="F9DD2A2E"/>
    <w:rsid w:val="F9EAC850"/>
    <w:rsid w:val="F9EF76F1"/>
    <w:rsid w:val="F9F798B4"/>
    <w:rsid w:val="F9FF7DCC"/>
    <w:rsid w:val="F9FF95C6"/>
    <w:rsid w:val="F9FFD4BD"/>
    <w:rsid w:val="FA3F9E5F"/>
    <w:rsid w:val="FA878932"/>
    <w:rsid w:val="FAAABF82"/>
    <w:rsid w:val="FACF3FFA"/>
    <w:rsid w:val="FAEF4EAD"/>
    <w:rsid w:val="FB17FC89"/>
    <w:rsid w:val="FB73862D"/>
    <w:rsid w:val="FB78543D"/>
    <w:rsid w:val="FB792A97"/>
    <w:rsid w:val="FBB06DFD"/>
    <w:rsid w:val="FBB615CF"/>
    <w:rsid w:val="FBD485CB"/>
    <w:rsid w:val="FBDF362C"/>
    <w:rsid w:val="FBDFAD9A"/>
    <w:rsid w:val="FBDFEA15"/>
    <w:rsid w:val="FBE3D565"/>
    <w:rsid w:val="FBEA4912"/>
    <w:rsid w:val="FBEEE93C"/>
    <w:rsid w:val="FBEF119B"/>
    <w:rsid w:val="FBEF4575"/>
    <w:rsid w:val="FBF43BC8"/>
    <w:rsid w:val="FBF7DF5A"/>
    <w:rsid w:val="FBF84B88"/>
    <w:rsid w:val="FBF9BD5A"/>
    <w:rsid w:val="FBFB100D"/>
    <w:rsid w:val="FBFC4259"/>
    <w:rsid w:val="FBFDE5A7"/>
    <w:rsid w:val="FBFF1B42"/>
    <w:rsid w:val="FBFF3349"/>
    <w:rsid w:val="FBFF57A4"/>
    <w:rsid w:val="FBFFC0F5"/>
    <w:rsid w:val="FC74888D"/>
    <w:rsid w:val="FCAD0D42"/>
    <w:rsid w:val="FCBF2D87"/>
    <w:rsid w:val="FCCF6794"/>
    <w:rsid w:val="FCDF3B93"/>
    <w:rsid w:val="FCEFF891"/>
    <w:rsid w:val="FCF684FA"/>
    <w:rsid w:val="FCFA91C5"/>
    <w:rsid w:val="FCFE8128"/>
    <w:rsid w:val="FD546795"/>
    <w:rsid w:val="FD5F2EEF"/>
    <w:rsid w:val="FD9F45F6"/>
    <w:rsid w:val="FDA566D2"/>
    <w:rsid w:val="FDBD221F"/>
    <w:rsid w:val="FDDE82FE"/>
    <w:rsid w:val="FDEF7A88"/>
    <w:rsid w:val="FDEFCD20"/>
    <w:rsid w:val="FDF7ABD0"/>
    <w:rsid w:val="FDFC106C"/>
    <w:rsid w:val="FDFEA2DD"/>
    <w:rsid w:val="FDFFCB60"/>
    <w:rsid w:val="FE6DC9B1"/>
    <w:rsid w:val="FE6DE328"/>
    <w:rsid w:val="FE755604"/>
    <w:rsid w:val="FE779C47"/>
    <w:rsid w:val="FE7F57C1"/>
    <w:rsid w:val="FE7FCF1D"/>
    <w:rsid w:val="FEBA87C3"/>
    <w:rsid w:val="FECF8C6A"/>
    <w:rsid w:val="FEDD8D01"/>
    <w:rsid w:val="FEEB9ADD"/>
    <w:rsid w:val="FEEB9D36"/>
    <w:rsid w:val="FEED4D94"/>
    <w:rsid w:val="FEEFA82B"/>
    <w:rsid w:val="FEF74500"/>
    <w:rsid w:val="FEFE122F"/>
    <w:rsid w:val="FEFE93FF"/>
    <w:rsid w:val="FEFF9050"/>
    <w:rsid w:val="FEFFF1E8"/>
    <w:rsid w:val="FF2F02BD"/>
    <w:rsid w:val="FF37A503"/>
    <w:rsid w:val="FF3AEA09"/>
    <w:rsid w:val="FF3BA86B"/>
    <w:rsid w:val="FF3D1E05"/>
    <w:rsid w:val="FF3F73B9"/>
    <w:rsid w:val="FF3FDAD6"/>
    <w:rsid w:val="FF57496C"/>
    <w:rsid w:val="FF5F4CDB"/>
    <w:rsid w:val="FF5FAED1"/>
    <w:rsid w:val="FF5FC6B4"/>
    <w:rsid w:val="FF5FC710"/>
    <w:rsid w:val="FF647DCA"/>
    <w:rsid w:val="FF694674"/>
    <w:rsid w:val="FF6F5256"/>
    <w:rsid w:val="FF73429B"/>
    <w:rsid w:val="FF77158C"/>
    <w:rsid w:val="FF78E636"/>
    <w:rsid w:val="FF7BC82F"/>
    <w:rsid w:val="FF7D9ED9"/>
    <w:rsid w:val="FF7EB9EE"/>
    <w:rsid w:val="FF7F243F"/>
    <w:rsid w:val="FFAFA0BC"/>
    <w:rsid w:val="FFB69FCA"/>
    <w:rsid w:val="FFB7425B"/>
    <w:rsid w:val="FFB750E2"/>
    <w:rsid w:val="FFB7C282"/>
    <w:rsid w:val="FFBAB4ED"/>
    <w:rsid w:val="FFBBD831"/>
    <w:rsid w:val="FFBBFE98"/>
    <w:rsid w:val="FFBD163F"/>
    <w:rsid w:val="FFBD786F"/>
    <w:rsid w:val="FFBDA173"/>
    <w:rsid w:val="FFBDE45F"/>
    <w:rsid w:val="FFBE13DA"/>
    <w:rsid w:val="FFBED280"/>
    <w:rsid w:val="FFBFD07B"/>
    <w:rsid w:val="FFBFD265"/>
    <w:rsid w:val="FFCB30B4"/>
    <w:rsid w:val="FFCBCBF6"/>
    <w:rsid w:val="FFCD5AE9"/>
    <w:rsid w:val="FFCD8A82"/>
    <w:rsid w:val="FFCF1F06"/>
    <w:rsid w:val="FFCF2DF7"/>
    <w:rsid w:val="FFD3259D"/>
    <w:rsid w:val="FFD5038E"/>
    <w:rsid w:val="FFD78112"/>
    <w:rsid w:val="FFD9D6BA"/>
    <w:rsid w:val="FFDA6E28"/>
    <w:rsid w:val="FFDB52D7"/>
    <w:rsid w:val="FFDD8CC8"/>
    <w:rsid w:val="FFDEA10A"/>
    <w:rsid w:val="FFDED851"/>
    <w:rsid w:val="FFDF21D1"/>
    <w:rsid w:val="FFDFAA64"/>
    <w:rsid w:val="FFDFBE6A"/>
    <w:rsid w:val="FFE750AB"/>
    <w:rsid w:val="FFEFF18D"/>
    <w:rsid w:val="FFF2614D"/>
    <w:rsid w:val="FFF6DFEB"/>
    <w:rsid w:val="FFF71634"/>
    <w:rsid w:val="FFF7C9A4"/>
    <w:rsid w:val="FFF7DDB7"/>
    <w:rsid w:val="FFF91262"/>
    <w:rsid w:val="FFFB836F"/>
    <w:rsid w:val="FFFD3583"/>
    <w:rsid w:val="FFFD5BAF"/>
    <w:rsid w:val="FFFDAABC"/>
    <w:rsid w:val="FFFDB880"/>
    <w:rsid w:val="FFFDE7A9"/>
    <w:rsid w:val="FFFE0131"/>
    <w:rsid w:val="FFFF1242"/>
    <w:rsid w:val="FFFF287C"/>
    <w:rsid w:val="FFFFC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2">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Normal Indent"/>
    <w:basedOn w:val="1"/>
    <w:next w:val="6"/>
    <w:qFormat/>
    <w:uiPriority w:val="0"/>
    <w:pPr>
      <w:ind w:firstLine="420" w:firstLineChars="200"/>
    </w:pPr>
    <w:rPr>
      <w:szCs w:val="20"/>
    </w:rPr>
  </w:style>
  <w:style w:type="paragraph" w:styleId="6">
    <w:name w:val="Body Text"/>
    <w:basedOn w:val="1"/>
    <w:next w:val="1"/>
    <w:link w:val="34"/>
    <w:unhideWhenUsed/>
    <w:qFormat/>
    <w:uiPriority w:val="99"/>
    <w:pPr>
      <w:spacing w:after="120"/>
    </w:pPr>
  </w:style>
  <w:style w:type="paragraph" w:styleId="7">
    <w:name w:val="annotation text"/>
    <w:basedOn w:val="1"/>
    <w:unhideWhenUsed/>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cs="Times New Roman"/>
      <w:kern w:val="2"/>
      <w:sz w:val="21"/>
      <w:szCs w:val="21"/>
      <w:lang w:val="en-US" w:eastAsia="zh-CN" w:bidi="ar"/>
    </w:rPr>
  </w:style>
  <w:style w:type="paragraph" w:styleId="8">
    <w:name w:val="Body Text Indent"/>
    <w:basedOn w:val="1"/>
    <w:link w:val="37"/>
    <w:unhideWhenUsed/>
    <w:qFormat/>
    <w:uiPriority w:val="99"/>
    <w:pPr>
      <w:spacing w:after="120"/>
      <w:ind w:left="420" w:leftChars="200"/>
    </w:pPr>
    <w:rPr>
      <w:kern w:val="0"/>
      <w:sz w:val="20"/>
      <w:szCs w:val="20"/>
    </w:rPr>
  </w:style>
  <w:style w:type="paragraph" w:styleId="9">
    <w:name w:val="Block Text"/>
    <w:basedOn w:val="1"/>
    <w:unhideWhenUsed/>
    <w:qFormat/>
    <w:uiPriority w:val="99"/>
    <w:pPr>
      <w:spacing w:after="120"/>
      <w:ind w:left="1440" w:leftChars="700" w:right="1440" w:rightChars="700"/>
    </w:pPr>
  </w:style>
  <w:style w:type="paragraph" w:styleId="10">
    <w:name w:val="Plain Text"/>
    <w:basedOn w:val="1"/>
    <w:qFormat/>
    <w:uiPriority w:val="0"/>
    <w:rPr>
      <w:rFonts w:ascii="宋体" w:hAnsi="Courier New"/>
    </w:rPr>
  </w:style>
  <w:style w:type="paragraph" w:styleId="11">
    <w:name w:val="Balloon Text"/>
    <w:basedOn w:val="1"/>
    <w:link w:val="33"/>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kern w:val="0"/>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7">
    <w:name w:val="Title"/>
    <w:basedOn w:val="1"/>
    <w:next w:val="1"/>
    <w:qFormat/>
    <w:uiPriority w:val="0"/>
    <w:pPr>
      <w:spacing w:before="240" w:after="60"/>
      <w:jc w:val="center"/>
      <w:outlineLvl w:val="0"/>
    </w:pPr>
    <w:rPr>
      <w:rFonts w:ascii="Arial" w:hAnsi="Arial" w:eastAsia="隶书"/>
      <w:b/>
      <w:bCs/>
      <w:sz w:val="32"/>
      <w:szCs w:val="32"/>
    </w:rPr>
  </w:style>
  <w:style w:type="paragraph" w:styleId="18">
    <w:name w:val="Body Text First Indent"/>
    <w:basedOn w:val="6"/>
    <w:qFormat/>
    <w:uiPriority w:val="0"/>
    <w:pPr>
      <w:ind w:firstLine="420" w:firstLineChars="100"/>
    </w:pPr>
  </w:style>
  <w:style w:type="table" w:styleId="20">
    <w:name w:val="Table Grid"/>
    <w:basedOn w:val="19"/>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qFormat/>
    <w:uiPriority w:val="0"/>
    <w:rPr>
      <w:b/>
    </w:rPr>
  </w:style>
  <w:style w:type="character" w:styleId="23">
    <w:name w:val="page number"/>
    <w:qFormat/>
    <w:uiPriority w:val="0"/>
  </w:style>
  <w:style w:type="character" w:styleId="24">
    <w:name w:val="annotation reference"/>
    <w:unhideWhenUsed/>
    <w:qFormat/>
    <w:uiPriority w:val="0"/>
    <w:rPr>
      <w:sz w:val="21"/>
      <w:szCs w:val="21"/>
    </w:rPr>
  </w:style>
  <w:style w:type="paragraph" w:customStyle="1" w:styleId="25">
    <w:name w:val="表格文字"/>
    <w:basedOn w:val="1"/>
    <w:next w:val="1"/>
    <w:qFormat/>
    <w:uiPriority w:val="0"/>
    <w:pPr>
      <w:spacing w:before="25" w:after="25"/>
      <w:jc w:val="left"/>
    </w:pPr>
    <w:rPr>
      <w:spacing w:val="10"/>
      <w:kern w:val="0"/>
      <w:sz w:val="24"/>
      <w:szCs w:val="20"/>
    </w:rPr>
  </w:style>
  <w:style w:type="paragraph" w:styleId="2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customStyle="1" w:styleId="29">
    <w:name w:val="列出段落2"/>
    <w:basedOn w:val="1"/>
    <w:qFormat/>
    <w:uiPriority w:val="34"/>
    <w:pPr>
      <w:ind w:firstLine="420" w:firstLineChars="200"/>
    </w:pPr>
  </w:style>
  <w:style w:type="paragraph" w:customStyle="1" w:styleId="30">
    <w:name w:val="Table Paragraph"/>
    <w:basedOn w:val="1"/>
    <w:qFormat/>
    <w:uiPriority w:val="0"/>
    <w:pPr>
      <w:autoSpaceDE w:val="0"/>
      <w:autoSpaceDN w:val="0"/>
      <w:jc w:val="left"/>
    </w:pPr>
    <w:rPr>
      <w:rFonts w:ascii="宋体" w:hAnsi="宋体" w:cs="宋体"/>
      <w:kern w:val="0"/>
      <w:sz w:val="22"/>
      <w:szCs w:val="22"/>
    </w:rPr>
  </w:style>
  <w:style w:type="paragraph" w:customStyle="1" w:styleId="3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qowt-font5-gb2312"/>
    <w:qFormat/>
    <w:uiPriority w:val="0"/>
  </w:style>
  <w:style w:type="character" w:customStyle="1" w:styleId="33">
    <w:name w:val="批注框文本 Char"/>
    <w:basedOn w:val="21"/>
    <w:link w:val="11"/>
    <w:qFormat/>
    <w:uiPriority w:val="0"/>
    <w:rPr>
      <w:kern w:val="2"/>
      <w:sz w:val="18"/>
      <w:szCs w:val="18"/>
    </w:rPr>
  </w:style>
  <w:style w:type="character" w:customStyle="1" w:styleId="34">
    <w:name w:val="正文文本 Char"/>
    <w:basedOn w:val="21"/>
    <w:link w:val="6"/>
    <w:qFormat/>
    <w:uiPriority w:val="99"/>
    <w:rPr>
      <w:kern w:val="2"/>
      <w:sz w:val="21"/>
      <w:szCs w:val="24"/>
    </w:rPr>
  </w:style>
  <w:style w:type="paragraph" w:customStyle="1" w:styleId="35">
    <w:name w:val="msolistparagraph"/>
    <w:basedOn w:val="1"/>
    <w:qFormat/>
    <w:uiPriority w:val="0"/>
    <w:pPr>
      <w:ind w:firstLine="420" w:firstLineChars="200"/>
    </w:pPr>
  </w:style>
  <w:style w:type="paragraph" w:customStyle="1" w:styleId="36">
    <w:name w:val="正文格式"/>
    <w:basedOn w:val="8"/>
    <w:qFormat/>
    <w:uiPriority w:val="99"/>
    <w:pPr>
      <w:spacing w:after="0" w:line="360" w:lineRule="auto"/>
      <w:ind w:left="0" w:leftChars="0" w:firstLine="600"/>
    </w:pPr>
    <w:rPr>
      <w:rFonts w:eastAsia="仿宋_GB2312"/>
      <w:sz w:val="30"/>
      <w:szCs w:val="30"/>
    </w:rPr>
  </w:style>
  <w:style w:type="character" w:customStyle="1" w:styleId="37">
    <w:name w:val="正文文本缩进 Char"/>
    <w:link w:val="8"/>
    <w:semiHidden/>
    <w:qFormat/>
    <w:uiPriority w:val="99"/>
    <w:rPr>
      <w:kern w:val="0"/>
      <w:sz w:val="20"/>
      <w:szCs w:val="20"/>
    </w:rPr>
  </w:style>
  <w:style w:type="paragraph" w:customStyle="1" w:styleId="38">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9">
    <w:name w:val="List Paragraph"/>
    <w:basedOn w:val="1"/>
    <w:qFormat/>
    <w:uiPriority w:val="34"/>
    <w:pPr>
      <w:ind w:firstLine="420" w:firstLineChars="200"/>
    </w:pPr>
  </w:style>
  <w:style w:type="paragraph" w:customStyle="1" w:styleId="40">
    <w:name w:val="9前海 标题"/>
    <w:basedOn w:val="1"/>
    <w:next w:val="41"/>
    <w:qFormat/>
    <w:uiPriority w:val="0"/>
    <w:pPr>
      <w:spacing w:line="560" w:lineRule="exact"/>
      <w:jc w:val="center"/>
      <w:outlineLvl w:val="0"/>
    </w:pPr>
    <w:rPr>
      <w:rFonts w:ascii="方正小标宋简体" w:hAnsi="Arial Narrow" w:eastAsia="方正小标宋简体" w:cs="Arial"/>
      <w:bCs/>
      <w:sz w:val="44"/>
      <w:szCs w:val="44"/>
    </w:rPr>
  </w:style>
  <w:style w:type="paragraph" w:customStyle="1" w:styleId="41">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42">
    <w:name w:val="1级标题"/>
    <w:basedOn w:val="1"/>
    <w:next w:val="43"/>
    <w:qFormat/>
    <w:uiPriority w:val="0"/>
    <w:pPr>
      <w:numPr>
        <w:ilvl w:val="0"/>
        <w:numId w:val="1"/>
      </w:numPr>
      <w:spacing w:line="560" w:lineRule="exact"/>
      <w:ind w:left="0" w:firstLine="640" w:firstLineChars="200"/>
      <w:outlineLvl w:val="0"/>
    </w:pPr>
    <w:rPr>
      <w:rFonts w:ascii="黑体" w:hAnsi="黑体" w:eastAsia="黑体" w:cs="Arial"/>
      <w:sz w:val="32"/>
      <w:szCs w:val="32"/>
    </w:rPr>
  </w:style>
  <w:style w:type="paragraph" w:customStyle="1" w:styleId="43">
    <w:name w:val="9前海 正文"/>
    <w:basedOn w:val="41"/>
    <w:qFormat/>
    <w:uiPriority w:val="0"/>
    <w:pPr>
      <w:ind w:firstLine="640"/>
    </w:pPr>
    <w:rPr>
      <w:rFonts w:ascii="仿宋_GB2312" w:eastAsia="仿宋_GB2312"/>
    </w:rPr>
  </w:style>
  <w:style w:type="paragraph" w:customStyle="1" w:styleId="44">
    <w:name w:val="2级标题"/>
    <w:basedOn w:val="43"/>
    <w:next w:val="43"/>
    <w:qFormat/>
    <w:uiPriority w:val="0"/>
    <w:pPr>
      <w:ind w:firstLine="643"/>
      <w:outlineLvl w:val="1"/>
    </w:pPr>
    <w:rPr>
      <w:rFonts w:ascii="楷体_GB2312" w:hAnsi="楷体" w:eastAsia="楷体_GB2312"/>
      <w:b/>
    </w:rPr>
  </w:style>
  <w:style w:type="character" w:customStyle="1" w:styleId="45">
    <w:name w:val="15"/>
    <w:basedOn w:val="21"/>
    <w:qFormat/>
    <w:uiPriority w:val="0"/>
    <w:rPr>
      <w:rFonts w:hint="default" w:ascii="Times New Roman" w:hAnsi="Times New Roman" w:cs="Times New Roman"/>
    </w:rPr>
  </w:style>
  <w:style w:type="paragraph" w:customStyle="1" w:styleId="46">
    <w:name w:val="正文 A"/>
    <w:qFormat/>
    <w:uiPriority w:val="0"/>
    <w:pPr>
      <w:widowControl w:val="0"/>
      <w:spacing w:after="0" w:line="240" w:lineRule="auto"/>
      <w:jc w:val="both"/>
    </w:pPr>
    <w:rPr>
      <w:rFonts w:ascii="Times New Roman" w:hAnsi="Times New Roman" w:eastAsia="Times New Roman"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89</Pages>
  <Words>6407</Words>
  <Characters>6670</Characters>
  <Lines>1</Lines>
  <Paragraphs>1</Paragraphs>
  <TotalTime>30</TotalTime>
  <ScaleCrop>false</ScaleCrop>
  <LinksUpToDate>false</LinksUpToDate>
  <CharactersWithSpaces>6751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2023-09-29T12:34:00Z</dcterms:created>
  <dc:creator>黄雅静</dc:creator>
  <cp:lastModifiedBy>黎俊</cp:lastModifiedBy>
  <cp:lastPrinted>2023-11-13T11:12:00Z</cp:lastPrinted>
  <dcterms:modified xsi:type="dcterms:W3CDTF">2025-10-21T01:34:44Z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2372877F848E41E3AF3758E3B7295862_13</vt:lpwstr>
  </property>
  <property fmtid="{D5CDD505-2E9C-101B-9397-08002B2CF9AE}" pid="4" name="KSOTemplateDocerSaveRecord">
    <vt:lpwstr>eyJoZGlkIjoiMWViNjU1YjYxMmE1ZjA1ZGI4YzZiMWU4ZDg3Zjk4MWMiLCJ1c2VySWQiOiIxNDg2ODI2MzgyIn0=</vt:lpwstr>
  </property>
</Properties>
</file>