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rPr>
      </w:pPr>
      <w:r>
        <w:rPr>
          <w:rFonts w:hint="eastAsia" w:ascii="黑体" w:hAnsi="黑体" w:eastAsia="黑体" w:cs="黑体"/>
          <w:bCs/>
          <w:sz w:val="32"/>
          <w:szCs w:val="32"/>
        </w:rPr>
        <w:t xml:space="preserve">  </w:t>
      </w:r>
    </w:p>
    <w:p>
      <w:pPr>
        <w:jc w:val="center"/>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32"/>
        <w:ind w:firstLine="420"/>
        <w:rPr>
          <w:rFonts w:hint="eastAsia" w:ascii="宋体" w:hAnsi="宋体" w:cs="宋体"/>
        </w:rPr>
      </w:pPr>
    </w:p>
    <w:p>
      <w:pPr>
        <w:pStyle w:val="32"/>
        <w:ind w:firstLine="420"/>
        <w:rPr>
          <w:rFonts w:hint="eastAsia" w:ascii="宋体" w:hAnsi="宋体" w:cs="宋体"/>
        </w:rPr>
      </w:pPr>
    </w:p>
    <w:p>
      <w:pPr>
        <w:rPr>
          <w:rFonts w:hint="eastAsia" w:ascii="宋体" w:hAnsi="宋体" w:cs="宋体"/>
          <w:b/>
          <w:sz w:val="44"/>
        </w:rPr>
      </w:pPr>
    </w:p>
    <w:p>
      <w:pPr>
        <w:ind w:right="-319" w:rightChars="-152"/>
        <w:rPr>
          <w:rFonts w:hint="eastAsia" w:ascii="宋体" w:hAnsi="宋体" w:cs="宋体"/>
          <w:b/>
          <w:sz w:val="36"/>
          <w:szCs w:val="36"/>
        </w:rPr>
      </w:pPr>
      <w:r>
        <w:rPr>
          <w:rFonts w:hint="eastAsia" w:ascii="宋体" w:hAnsi="宋体" w:cs="宋体"/>
          <w:b/>
          <w:sz w:val="36"/>
          <w:szCs w:val="36"/>
        </w:rPr>
        <w:t>招标编号：前海金融业发展“十五五”规划研究项目</w:t>
      </w:r>
    </w:p>
    <w:p>
      <w:pPr>
        <w:ind w:firstLine="723" w:firstLineChars="200"/>
        <w:rPr>
          <w:rFonts w:hint="eastAsia" w:ascii="宋体" w:hAnsi="宋体" w:cs="宋体"/>
          <w:b/>
          <w:sz w:val="36"/>
          <w:szCs w:val="36"/>
        </w:rPr>
      </w:pPr>
    </w:p>
    <w:p>
      <w:pPr>
        <w:ind w:firstLine="723" w:firstLineChars="200"/>
        <w:rPr>
          <w:rFonts w:hint="eastAsia" w:ascii="宋体" w:hAnsi="宋体" w:cs="宋体"/>
          <w:b/>
          <w:sz w:val="36"/>
          <w:szCs w:val="36"/>
        </w:rPr>
      </w:pPr>
    </w:p>
    <w:p>
      <w:pPr>
        <w:pStyle w:val="32"/>
        <w:ind w:firstLine="420"/>
        <w:rPr>
          <w:rFonts w:hint="eastAsia" w:ascii="宋体" w:hAnsi="宋体" w:cs="宋体"/>
        </w:rPr>
      </w:pPr>
    </w:p>
    <w:p>
      <w:pPr>
        <w:pStyle w:val="32"/>
        <w:ind w:firstLine="420"/>
        <w:rPr>
          <w:rFonts w:hint="eastAsia" w:ascii="宋体" w:hAnsi="宋体" w:cs="宋体"/>
        </w:rPr>
      </w:pPr>
    </w:p>
    <w:p>
      <w:pPr>
        <w:ind w:right="-319" w:rightChars="-152"/>
        <w:rPr>
          <w:rFonts w:hint="eastAsia" w:ascii="宋体" w:hAnsi="宋体" w:cs="宋体"/>
          <w:b/>
          <w:sz w:val="36"/>
          <w:szCs w:val="36"/>
        </w:rPr>
      </w:pPr>
      <w:r>
        <w:rPr>
          <w:rFonts w:hint="eastAsia" w:ascii="宋体" w:hAnsi="宋体" w:cs="宋体"/>
          <w:b/>
          <w:sz w:val="36"/>
          <w:szCs w:val="36"/>
        </w:rPr>
        <w:t>招标项目：QH2025094</w:t>
      </w:r>
    </w:p>
    <w:p>
      <w:pPr>
        <w:ind w:firstLine="3264" w:firstLineChars="739"/>
        <w:rPr>
          <w:rFonts w:hint="eastAsia" w:ascii="宋体" w:hAnsi="宋体" w:cs="宋体"/>
          <w:b/>
          <w:sz w:val="44"/>
        </w:rPr>
      </w:pPr>
    </w:p>
    <w:p>
      <w:pPr>
        <w:pStyle w:val="32"/>
        <w:ind w:firstLine="0" w:firstLineChars="0"/>
        <w:rPr>
          <w:rFonts w:hint="eastAsia" w:ascii="宋体" w:hAnsi="宋体" w:cs="宋体"/>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2025年</w:t>
      </w:r>
      <w:r>
        <w:rPr>
          <w:rFonts w:hint="default" w:ascii="宋体" w:hAnsi="宋体" w:cs="宋体"/>
          <w:b/>
          <w:bCs/>
          <w:sz w:val="36"/>
          <w:szCs w:val="36"/>
          <w:lang w:val="en-US"/>
        </w:rPr>
        <w:t>10</w:t>
      </w:r>
      <w:r>
        <w:rPr>
          <w:rFonts w:hint="eastAsia" w:ascii="宋体" w:hAnsi="宋体" w:cs="宋体"/>
          <w:b/>
          <w:bCs/>
          <w:sz w:val="36"/>
          <w:szCs w:val="36"/>
        </w:rPr>
        <w:t>月</w:t>
      </w:r>
    </w:p>
    <w:p>
      <w:pPr>
        <w:autoSpaceDE w:val="0"/>
        <w:autoSpaceDN w:val="0"/>
        <w:adjustRightInd w:val="0"/>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4"/>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b/>
                <w:bCs/>
                <w:sz w:val="24"/>
              </w:rPr>
            </w:pPr>
            <w:r>
              <w:rPr>
                <w:rFonts w:hint="eastAsia" w:ascii="宋体" w:hAnsi="宋体" w:cs="宋体"/>
                <w:b/>
                <w:bCs/>
                <w:sz w:val="24"/>
              </w:rPr>
              <w:t>序号</w:t>
            </w:r>
          </w:p>
        </w:tc>
        <w:tc>
          <w:tcPr>
            <w:tcW w:w="4519" w:type="pct"/>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1</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2</w:t>
            </w:r>
          </w:p>
        </w:tc>
        <w:tc>
          <w:tcPr>
            <w:tcW w:w="4519" w:type="pct"/>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3</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4</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5</w:t>
            </w:r>
          </w:p>
        </w:tc>
        <w:tc>
          <w:tcPr>
            <w:tcW w:w="4519" w:type="pct"/>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ind w:left="239" w:leftChars="114" w:firstLine="241" w:firstLineChars="100"/>
        <w:jc w:val="left"/>
        <w:rPr>
          <w:rFonts w:hint="eastAsia" w:ascii="宋体" w:hAnsi="宋体" w:cs="宋体"/>
          <w:sz w:val="24"/>
        </w:rPr>
      </w:pPr>
      <w:r>
        <w:rPr>
          <w:rStyle w:val="26"/>
          <w:rFonts w:hint="eastAsia" w:ascii="宋体" w:hAnsi="宋体" w:cs="宋体"/>
          <w:sz w:val="24"/>
        </w:rPr>
        <w:t>第五十七条</w:t>
      </w:r>
      <w:r>
        <w:rPr>
          <w:rFonts w:hint="eastAsia" w:ascii="宋体" w:hAnsi="宋体" w:cs="宋体"/>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9"/>
        <w:spacing w:before="0" w:beforeAutospacing="0" w:after="0" w:afterAutospacing="0"/>
        <w:ind w:firstLine="480" w:firstLineChars="200"/>
        <w:rPr>
          <w:rFonts w:hint="eastAsia"/>
        </w:rPr>
      </w:pPr>
      <w:bookmarkStart w:id="1" w:name="_Toc2750"/>
      <w:r>
        <w:rPr>
          <w:rFonts w:hint="eastAsia"/>
        </w:rPr>
        <w:t>（一）在采购活动中应当回避而未回避的；</w:t>
      </w:r>
      <w:bookmarkEnd w:id="1"/>
    </w:p>
    <w:p>
      <w:pPr>
        <w:pStyle w:val="19"/>
        <w:spacing w:before="0" w:beforeAutospacing="0" w:after="0" w:afterAutospacing="0"/>
        <w:ind w:firstLine="480" w:firstLineChars="200"/>
        <w:rPr>
          <w:rFonts w:hint="eastAsia"/>
        </w:rPr>
      </w:pPr>
      <w:r>
        <w:rPr>
          <w:rFonts w:hint="eastAsia"/>
        </w:rPr>
        <w:t>（二）未按照本条例规定签订、履行采购合同，造成严重后果的；</w:t>
      </w:r>
    </w:p>
    <w:p>
      <w:pPr>
        <w:pStyle w:val="19"/>
        <w:spacing w:before="0" w:beforeAutospacing="0" w:after="0" w:afterAutospacing="0"/>
        <w:ind w:firstLine="480" w:firstLineChars="200"/>
        <w:rPr>
          <w:rFonts w:hint="eastAsia"/>
        </w:rPr>
      </w:pPr>
      <w:r>
        <w:rPr>
          <w:rFonts w:hint="eastAsia"/>
        </w:rPr>
        <w:t>（三）隐瞒真实情况，提供虚假资料的；</w:t>
      </w:r>
    </w:p>
    <w:p>
      <w:pPr>
        <w:pStyle w:val="19"/>
        <w:spacing w:before="0" w:beforeAutospacing="0" w:after="0" w:afterAutospacing="0"/>
        <w:ind w:firstLine="480" w:firstLineChars="200"/>
        <w:rPr>
          <w:rFonts w:hint="eastAsia"/>
        </w:rPr>
      </w:pPr>
      <w:r>
        <w:rPr>
          <w:rFonts w:hint="eastAsia"/>
        </w:rPr>
        <w:t>（四）以非法手段排斥其他供应商参与竞争的；</w:t>
      </w:r>
    </w:p>
    <w:p>
      <w:pPr>
        <w:pStyle w:val="19"/>
        <w:spacing w:before="0" w:beforeAutospacing="0" w:after="0" w:afterAutospacing="0"/>
        <w:ind w:firstLine="480" w:firstLineChars="200"/>
        <w:rPr>
          <w:rFonts w:hint="eastAsia"/>
        </w:rPr>
      </w:pPr>
      <w:r>
        <w:rPr>
          <w:rFonts w:hint="eastAsia"/>
        </w:rPr>
        <w:t>（五）与其他采购参加人串通投标的；</w:t>
      </w:r>
    </w:p>
    <w:p>
      <w:pPr>
        <w:pStyle w:val="19"/>
        <w:spacing w:before="0" w:beforeAutospacing="0" w:after="0" w:afterAutospacing="0"/>
        <w:ind w:firstLine="480" w:firstLineChars="200"/>
        <w:rPr>
          <w:rFonts w:hint="eastAsia"/>
        </w:rPr>
      </w:pPr>
      <w:r>
        <w:rPr>
          <w:rFonts w:hint="eastAsia"/>
        </w:rPr>
        <w:t>（六）恶意投诉的；</w:t>
      </w:r>
    </w:p>
    <w:p>
      <w:pPr>
        <w:pStyle w:val="19"/>
        <w:spacing w:before="0" w:beforeAutospacing="0" w:after="0" w:afterAutospacing="0"/>
        <w:ind w:firstLine="480" w:firstLineChars="200"/>
        <w:rPr>
          <w:rFonts w:hint="eastAsia"/>
        </w:rPr>
      </w:pPr>
      <w:r>
        <w:rPr>
          <w:rFonts w:hint="eastAsia"/>
        </w:rPr>
        <w:t>（七）向采购项目相关人行贿或者提供其他不当利益的；</w:t>
      </w:r>
    </w:p>
    <w:p>
      <w:pPr>
        <w:pStyle w:val="19"/>
        <w:spacing w:before="0" w:beforeAutospacing="0" w:after="0" w:afterAutospacing="0"/>
        <w:ind w:firstLine="480" w:firstLineChars="200"/>
        <w:rPr>
          <w:rFonts w:hint="eastAsia"/>
        </w:rPr>
      </w:pPr>
      <w:r>
        <w:rPr>
          <w:rFonts w:hint="eastAsia"/>
        </w:rPr>
        <w:t>（八）阻碍、抗拒主管部门监督检查的；</w:t>
      </w:r>
    </w:p>
    <w:p>
      <w:pPr>
        <w:pStyle w:val="19"/>
        <w:spacing w:before="0" w:beforeAutospacing="0" w:after="0" w:afterAutospacing="0"/>
        <w:ind w:firstLine="480" w:firstLineChars="200"/>
        <w:rPr>
          <w:rFonts w:hint="eastAsia"/>
        </w:rPr>
      </w:pPr>
      <w:r>
        <w:rPr>
          <w:rFonts w:hint="eastAsia"/>
        </w:rPr>
        <w:t>（九）其他违反本条例规定的行为。</w:t>
      </w:r>
    </w:p>
    <w:p>
      <w:pPr>
        <w:autoSpaceDE w:val="0"/>
        <w:autoSpaceDN w:val="0"/>
        <w:adjustRightInd w:val="0"/>
        <w:ind w:firstLine="360" w:firstLineChars="150"/>
        <w:jc w:val="left"/>
        <w:rPr>
          <w:rFonts w:hint="eastAsia" w:ascii="宋体" w:hAnsi="宋体" w:cs="宋体"/>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ind w:firstLine="480" w:firstLineChars="200"/>
        <w:jc w:val="left"/>
        <w:rPr>
          <w:rFonts w:hint="eastAsia"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ind w:firstLine="480" w:firstLineChars="200"/>
        <w:jc w:val="left"/>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ind w:firstLine="480" w:firstLineChars="200"/>
        <w:jc w:val="left"/>
        <w:rPr>
          <w:rFonts w:hint="eastAsia" w:ascii="宋体" w:hAnsi="宋体" w:cs="宋体"/>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autoSpaceDE w:val="0"/>
        <w:autoSpaceDN w:val="0"/>
        <w:adjustRightInd w:val="0"/>
        <w:jc w:val="left"/>
        <w:rPr>
          <w:rFonts w:hint="eastAsia" w:ascii="宋体" w:hAnsi="宋体" w:cs="宋体"/>
          <w:b/>
          <w:kern w:val="0"/>
          <w:sz w:val="24"/>
        </w:rPr>
      </w:pPr>
      <w:r>
        <w:rPr>
          <w:rFonts w:hint="eastAsia" w:ascii="宋体" w:hAnsi="宋体" w:cs="宋体"/>
          <w:b/>
          <w:kern w:val="0"/>
          <w:sz w:val="24"/>
        </w:rPr>
        <w:t>强化政府采购异常低价审查：</w:t>
      </w:r>
    </w:p>
    <w:p>
      <w:pPr>
        <w:ind w:firstLine="480" w:firstLineChars="200"/>
        <w:jc w:val="left"/>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pPr>
        <w:ind w:firstLine="480" w:firstLineChars="200"/>
        <w:jc w:val="left"/>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firstLineChars="200"/>
        <w:jc w:val="left"/>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ind w:firstLine="480" w:firstLineChars="200"/>
        <w:jc w:val="left"/>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b/>
          <w:bCs/>
          <w:sz w:val="32"/>
          <w:szCs w:val="40"/>
        </w:rPr>
      </w:pPr>
      <w:r>
        <w:rPr>
          <w:rFonts w:ascii="宋体" w:hAnsi="宋体"/>
          <w:b/>
          <w:bCs/>
          <w:sz w:val="32"/>
          <w:szCs w:val="40"/>
          <w:u w:val="single"/>
        </w:rPr>
        <w:br w:type="page"/>
      </w:r>
      <w:bookmarkStart w:id="6" w:name="_Toc30761"/>
      <w:r>
        <w:rPr>
          <w:rFonts w:ascii="宋体" w:hAnsi="宋体"/>
          <w:b/>
          <w:bCs/>
          <w:sz w:val="32"/>
          <w:szCs w:val="40"/>
        </w:rPr>
        <w:t>目录</w:t>
      </w:r>
      <w:bookmarkEnd w:id="0"/>
      <w:bookmarkEnd w:id="6"/>
    </w:p>
    <w:p>
      <w:pPr>
        <w:pStyle w:val="16"/>
        <w:tabs>
          <w:tab w:val="right" w:leader="dot" w:pos="8306"/>
        </w:tabs>
        <w:spacing w:line="480" w:lineRule="auto"/>
        <w:rPr>
          <w:b/>
          <w:bCs/>
          <w:sz w:val="24"/>
          <w:szCs w:val="32"/>
        </w:rPr>
      </w:pPr>
    </w:p>
    <w:p>
      <w:pPr>
        <w:pStyle w:val="16"/>
        <w:tabs>
          <w:tab w:val="right" w:leader="dot" w:pos="8306"/>
        </w:tabs>
        <w:spacing w:line="36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"_Toc28255" </w:instrText>
      </w:r>
      <w:r>
        <w:fldChar w:fldCharType="separate"/>
      </w:r>
      <w:r>
        <w:rPr>
          <w:rFonts w:hint="eastAsia" w:ascii="宋体" w:hAnsi="宋体" w:cs="宋体"/>
          <w:b/>
          <w:bCs/>
          <w:sz w:val="24"/>
        </w:rPr>
        <w:t>第一章 招标邀请书（招标公告）</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w:t>
      </w:r>
    </w:p>
    <w:p>
      <w:pPr>
        <w:pStyle w:val="16"/>
        <w:tabs>
          <w:tab w:val="right" w:leader="dot" w:pos="8306"/>
        </w:tabs>
        <w:spacing w:line="360" w:lineRule="auto"/>
        <w:rPr>
          <w:rFonts w:hint="eastAsia" w:ascii="宋体" w:hAnsi="宋体" w:cs="宋体"/>
          <w:b/>
          <w:bCs/>
          <w:sz w:val="24"/>
        </w:rPr>
      </w:pPr>
      <w:r>
        <w:fldChar w:fldCharType="begin"/>
      </w:r>
      <w:r>
        <w:instrText xml:space="preserve"> HYPERLINK \l "_Toc16734" </w:instrText>
      </w:r>
      <w:r>
        <w:fldChar w:fldCharType="separate"/>
      </w:r>
      <w:r>
        <w:rPr>
          <w:rFonts w:hint="eastAsia" w:ascii="宋体" w:hAnsi="宋体" w:cs="宋体"/>
          <w:b/>
          <w:bCs/>
          <w:sz w:val="24"/>
        </w:rPr>
        <w:t>第二章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_Toc16734 \h </w:instrText>
      </w:r>
      <w:r>
        <w:rPr>
          <w:rFonts w:hint="eastAsia" w:ascii="宋体" w:hAnsi="宋体" w:cs="宋体"/>
          <w:b/>
          <w:bCs/>
          <w:sz w:val="24"/>
        </w:rPr>
        <w:fldChar w:fldCharType="separate"/>
      </w:r>
      <w:r>
        <w:rPr>
          <w:rFonts w:hint="eastAsia" w:ascii="宋体" w:hAnsi="宋体" w:cs="宋体"/>
          <w:b/>
          <w:bCs/>
          <w:sz w:val="24"/>
        </w:rPr>
        <w:t>9</w:t>
      </w:r>
      <w:r>
        <w:rPr>
          <w:rFonts w:hint="eastAsia" w:ascii="宋体" w:hAnsi="宋体" w:cs="宋体"/>
          <w:b/>
          <w:bCs/>
          <w:sz w:val="24"/>
        </w:rPr>
        <w:fldChar w:fldCharType="end"/>
      </w:r>
      <w:r>
        <w:rPr>
          <w:rFonts w:hint="eastAsia" w:ascii="宋体" w:hAnsi="宋体" w:cs="宋体"/>
          <w:b/>
          <w:bCs/>
          <w:sz w:val="24"/>
        </w:rPr>
        <w:fldChar w:fldCharType="end"/>
      </w:r>
    </w:p>
    <w:p>
      <w:pPr>
        <w:pStyle w:val="16"/>
        <w:tabs>
          <w:tab w:val="right" w:leader="dot" w:pos="8306"/>
        </w:tabs>
        <w:spacing w:line="360" w:lineRule="auto"/>
        <w:rPr>
          <w:rFonts w:hint="eastAsia" w:ascii="宋体" w:hAnsi="宋体" w:cs="宋体"/>
          <w:b/>
          <w:bCs/>
          <w:sz w:val="24"/>
        </w:rPr>
      </w:pPr>
      <w:r>
        <w:fldChar w:fldCharType="begin"/>
      </w:r>
      <w:r>
        <w:instrText xml:space="preserve"> HYPERLINK \l "_Toc18857" </w:instrText>
      </w:r>
      <w:r>
        <w:fldChar w:fldCharType="separate"/>
      </w:r>
      <w:r>
        <w:rPr>
          <w:rFonts w:hint="eastAsia" w:ascii="宋体" w:hAnsi="宋体" w:cs="宋体"/>
          <w:b/>
          <w:bCs/>
          <w:sz w:val="24"/>
        </w:rPr>
        <w:t>第三章 评标程序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_Toc18857 \h </w:instrText>
      </w:r>
      <w:r>
        <w:rPr>
          <w:rFonts w:hint="eastAsia" w:ascii="宋体" w:hAnsi="宋体" w:cs="宋体"/>
          <w:b/>
          <w:bCs/>
          <w:sz w:val="24"/>
        </w:rPr>
        <w:fldChar w:fldCharType="separate"/>
      </w:r>
      <w:r>
        <w:rPr>
          <w:rFonts w:hint="eastAsia" w:ascii="宋体" w:hAnsi="宋体" w:cs="宋体"/>
          <w:b/>
          <w:bCs/>
          <w:sz w:val="24"/>
        </w:rPr>
        <w:t>12</w:t>
      </w:r>
      <w:r>
        <w:rPr>
          <w:rFonts w:hint="eastAsia" w:ascii="宋体" w:hAnsi="宋体" w:cs="宋体"/>
          <w:b/>
          <w:bCs/>
          <w:sz w:val="24"/>
        </w:rPr>
        <w:fldChar w:fldCharType="end"/>
      </w:r>
      <w:r>
        <w:rPr>
          <w:rFonts w:hint="eastAsia" w:ascii="宋体" w:hAnsi="宋体" w:cs="宋体"/>
          <w:b/>
          <w:bCs/>
          <w:sz w:val="24"/>
        </w:rPr>
        <w:fldChar w:fldCharType="end"/>
      </w:r>
    </w:p>
    <w:p>
      <w:pPr>
        <w:pStyle w:val="16"/>
        <w:tabs>
          <w:tab w:val="right" w:leader="dot" w:pos="8306"/>
        </w:tabs>
        <w:spacing w:line="360" w:lineRule="auto"/>
        <w:rPr>
          <w:rFonts w:hint="eastAsia" w:ascii="宋体" w:hAnsi="宋体" w:cs="宋体"/>
          <w:b/>
          <w:bCs/>
          <w:sz w:val="24"/>
        </w:rPr>
      </w:pPr>
      <w:r>
        <w:fldChar w:fldCharType="begin"/>
      </w:r>
      <w:r>
        <w:instrText xml:space="preserve"> HYPERLINK \l "_Toc1635" </w:instrText>
      </w:r>
      <w:r>
        <w:fldChar w:fldCharType="separate"/>
      </w:r>
      <w:r>
        <w:rPr>
          <w:rFonts w:hint="eastAsia" w:ascii="宋体" w:hAnsi="宋体" w:cs="宋体"/>
          <w:b/>
          <w:bCs/>
          <w:sz w:val="24"/>
        </w:rPr>
        <w:t>第四章 合同格式及合同条款</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_Toc1635 \h </w:instrText>
      </w:r>
      <w:r>
        <w:rPr>
          <w:rFonts w:hint="eastAsia" w:ascii="宋体" w:hAnsi="宋体" w:cs="宋体"/>
          <w:b/>
          <w:bCs/>
          <w:sz w:val="24"/>
        </w:rPr>
        <w:fldChar w:fldCharType="separate"/>
      </w:r>
      <w:r>
        <w:rPr>
          <w:rFonts w:hint="eastAsia" w:ascii="宋体" w:hAnsi="宋体" w:cs="宋体"/>
          <w:b/>
          <w:bCs/>
          <w:sz w:val="24"/>
        </w:rPr>
        <w:t>14</w:t>
      </w:r>
      <w:r>
        <w:rPr>
          <w:rFonts w:hint="eastAsia" w:ascii="宋体" w:hAnsi="宋体" w:cs="宋体"/>
          <w:b/>
          <w:bCs/>
          <w:sz w:val="24"/>
        </w:rPr>
        <w:fldChar w:fldCharType="end"/>
      </w:r>
      <w:r>
        <w:rPr>
          <w:rFonts w:hint="eastAsia" w:ascii="宋体" w:hAnsi="宋体" w:cs="宋体"/>
          <w:b/>
          <w:bCs/>
          <w:sz w:val="24"/>
        </w:rPr>
        <w:fldChar w:fldCharType="end"/>
      </w:r>
    </w:p>
    <w:p>
      <w:pPr>
        <w:pStyle w:val="16"/>
        <w:tabs>
          <w:tab w:val="right" w:leader="dot" w:pos="8306"/>
        </w:tabs>
        <w:spacing w:line="360" w:lineRule="auto"/>
        <w:rPr>
          <w:rFonts w:hint="eastAsia" w:ascii="宋体" w:hAnsi="宋体" w:cs="宋体"/>
          <w:b/>
          <w:bCs/>
          <w:sz w:val="24"/>
        </w:rPr>
      </w:pPr>
      <w:r>
        <w:fldChar w:fldCharType="begin"/>
      </w:r>
      <w:r>
        <w:instrText xml:space="preserve"> HYPERLINK \l "_Toc793" </w:instrText>
      </w:r>
      <w:r>
        <w:fldChar w:fldCharType="separate"/>
      </w:r>
      <w:r>
        <w:rPr>
          <w:rFonts w:hint="eastAsia" w:ascii="宋体" w:hAnsi="宋体" w:cs="宋体"/>
          <w:b/>
          <w:bCs/>
          <w:sz w:val="24"/>
        </w:rPr>
        <w:t>第五章 用户需求书</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_Toc793 \h </w:instrText>
      </w:r>
      <w:r>
        <w:rPr>
          <w:rFonts w:hint="eastAsia" w:ascii="宋体" w:hAnsi="宋体" w:cs="宋体"/>
          <w:b/>
          <w:bCs/>
          <w:sz w:val="24"/>
        </w:rPr>
        <w:fldChar w:fldCharType="separate"/>
      </w:r>
      <w:r>
        <w:rPr>
          <w:rFonts w:hint="eastAsia" w:ascii="宋体" w:hAnsi="宋体" w:cs="宋体"/>
          <w:b/>
          <w:bCs/>
          <w:sz w:val="24"/>
        </w:rPr>
        <w:t>26</w:t>
      </w:r>
      <w:r>
        <w:rPr>
          <w:rFonts w:hint="eastAsia" w:ascii="宋体" w:hAnsi="宋体" w:cs="宋体"/>
          <w:b/>
          <w:bCs/>
          <w:sz w:val="24"/>
        </w:rPr>
        <w:fldChar w:fldCharType="end"/>
      </w:r>
      <w:r>
        <w:rPr>
          <w:rFonts w:hint="eastAsia" w:ascii="宋体" w:hAnsi="宋体" w:cs="宋体"/>
          <w:b/>
          <w:bCs/>
          <w:sz w:val="24"/>
        </w:rPr>
        <w:fldChar w:fldCharType="end"/>
      </w:r>
    </w:p>
    <w:p>
      <w:pPr>
        <w:pStyle w:val="16"/>
        <w:tabs>
          <w:tab w:val="right" w:leader="dot" w:pos="8306"/>
        </w:tabs>
        <w:spacing w:line="360" w:lineRule="auto"/>
        <w:rPr>
          <w:rFonts w:hint="eastAsia" w:ascii="宋体" w:hAnsi="宋体" w:cs="宋体"/>
          <w:b/>
          <w:bCs/>
          <w:sz w:val="24"/>
        </w:rPr>
      </w:pPr>
      <w:r>
        <w:fldChar w:fldCharType="begin"/>
      </w:r>
      <w:r>
        <w:instrText xml:space="preserve"> HYPERLINK \l "_Toc6457" </w:instrText>
      </w:r>
      <w:r>
        <w:fldChar w:fldCharType="separate"/>
      </w:r>
      <w:r>
        <w:rPr>
          <w:rFonts w:hint="eastAsia" w:ascii="宋体" w:hAnsi="宋体" w:cs="宋体"/>
          <w:b/>
          <w:bCs/>
          <w:sz w:val="24"/>
        </w:rPr>
        <w:t>第六章 投标文件初审及招标项目评分表</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_Toc6457 \h </w:instrText>
      </w:r>
      <w:r>
        <w:rPr>
          <w:rFonts w:hint="eastAsia" w:ascii="宋体" w:hAnsi="宋体" w:cs="宋体"/>
          <w:b/>
          <w:bCs/>
          <w:sz w:val="24"/>
        </w:rPr>
        <w:fldChar w:fldCharType="separate"/>
      </w:r>
      <w:r>
        <w:rPr>
          <w:rFonts w:hint="eastAsia" w:ascii="宋体" w:hAnsi="宋体" w:cs="宋体"/>
          <w:b/>
          <w:bCs/>
          <w:sz w:val="24"/>
        </w:rPr>
        <w:t>32</w:t>
      </w:r>
      <w:r>
        <w:rPr>
          <w:rFonts w:hint="eastAsia" w:ascii="宋体" w:hAnsi="宋体" w:cs="宋体"/>
          <w:b/>
          <w:bCs/>
          <w:sz w:val="24"/>
        </w:rPr>
        <w:fldChar w:fldCharType="end"/>
      </w:r>
      <w:r>
        <w:rPr>
          <w:rFonts w:hint="eastAsia" w:ascii="宋体" w:hAnsi="宋体" w:cs="宋体"/>
          <w:b/>
          <w:bCs/>
          <w:sz w:val="24"/>
        </w:rPr>
        <w:fldChar w:fldCharType="end"/>
      </w:r>
    </w:p>
    <w:p>
      <w:pPr>
        <w:pStyle w:val="16"/>
        <w:tabs>
          <w:tab w:val="right" w:leader="dot" w:pos="8306"/>
        </w:tabs>
        <w:spacing w:line="360" w:lineRule="auto"/>
        <w:rPr>
          <w:rFonts w:hint="eastAsia" w:ascii="宋体" w:hAnsi="宋体" w:cs="宋体"/>
          <w:b/>
          <w:bCs/>
          <w:sz w:val="24"/>
        </w:rPr>
      </w:pPr>
      <w:r>
        <w:fldChar w:fldCharType="begin"/>
      </w:r>
      <w:r>
        <w:instrText xml:space="preserve"> HYPERLINK \l "_Toc834" </w:instrText>
      </w:r>
      <w:r>
        <w:fldChar w:fldCharType="separate"/>
      </w:r>
      <w:r>
        <w:rPr>
          <w:rFonts w:hint="eastAsia" w:ascii="宋体" w:hAnsi="宋体" w:cs="宋体"/>
          <w:b/>
          <w:bCs/>
          <w:sz w:val="24"/>
        </w:rPr>
        <w:t>第七章 附件（投标文件格式）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_Toc834 \h </w:instrText>
      </w:r>
      <w:r>
        <w:rPr>
          <w:rFonts w:hint="eastAsia" w:ascii="宋体" w:hAnsi="宋体" w:cs="宋体"/>
          <w:b/>
          <w:bCs/>
          <w:sz w:val="24"/>
        </w:rPr>
        <w:fldChar w:fldCharType="separate"/>
      </w:r>
      <w:r>
        <w:rPr>
          <w:rFonts w:hint="eastAsia" w:ascii="宋体" w:hAnsi="宋体" w:cs="宋体"/>
          <w:b/>
          <w:bCs/>
          <w:sz w:val="24"/>
        </w:rPr>
        <w:t>37</w:t>
      </w:r>
      <w:r>
        <w:rPr>
          <w:rFonts w:hint="eastAsia" w:ascii="宋体" w:hAnsi="宋体" w:cs="宋体"/>
          <w:b/>
          <w:bCs/>
          <w:sz w:val="24"/>
        </w:rPr>
        <w:fldChar w:fldCharType="end"/>
      </w:r>
      <w:r>
        <w:rPr>
          <w:rFonts w:hint="eastAsia" w:ascii="宋体" w:hAnsi="宋体" w:cs="宋体"/>
          <w:b/>
          <w:bCs/>
          <w:sz w:val="24"/>
        </w:rPr>
        <w:fldChar w:fldCharType="end"/>
      </w:r>
    </w:p>
    <w:p>
      <w:pPr>
        <w:pStyle w:val="16"/>
        <w:tabs>
          <w:tab w:val="right" w:leader="dot" w:pos="8306"/>
        </w:tabs>
        <w:spacing w:line="360" w:lineRule="auto"/>
        <w:rPr>
          <w:rFonts w:hint="eastAsia" w:ascii="宋体" w:hAnsi="宋体" w:cs="宋体"/>
          <w:b/>
          <w:bCs/>
          <w:sz w:val="24"/>
        </w:rPr>
      </w:pPr>
      <w:r>
        <w:fldChar w:fldCharType="begin"/>
      </w:r>
      <w:r>
        <w:instrText xml:space="preserve"> HYPERLINK \l "_Toc3166" </w:instrText>
      </w:r>
      <w:r>
        <w:fldChar w:fldCharType="separate"/>
      </w:r>
      <w:r>
        <w:rPr>
          <w:rFonts w:hint="eastAsia" w:ascii="宋体" w:hAnsi="宋体" w:cs="宋体"/>
          <w:b/>
          <w:bCs/>
          <w:sz w:val="24"/>
        </w:rPr>
        <w:t>附件：相关政策</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57</w:t>
      </w:r>
    </w:p>
    <w:p>
      <w:pPr>
        <w:spacing w:line="360" w:lineRule="auto"/>
      </w:pPr>
      <w:r>
        <w:rPr>
          <w:rFonts w:hint="eastAsia" w:ascii="宋体" w:hAnsi="宋体" w:cs="宋体"/>
          <w:b/>
          <w:bCs/>
          <w:sz w:val="24"/>
        </w:rPr>
        <w:fldChar w:fldCharType="end"/>
      </w:r>
    </w:p>
    <w:p>
      <w:pPr>
        <w:numPr>
          <w:ilvl w:val="0"/>
          <w:numId w:val="3"/>
        </w:numPr>
        <w:spacing w:line="360" w:lineRule="auto"/>
        <w:jc w:val="center"/>
        <w:outlineLvl w:val="0"/>
        <w:rPr>
          <w:rFonts w:hint="eastAsia"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28255"/>
      <w:r>
        <w:rPr>
          <w:rFonts w:hint="eastAsia" w:ascii="宋体" w:hAnsi="宋体" w:cs="宋体"/>
          <w:b/>
          <w:bCs/>
          <w:sz w:val="24"/>
        </w:rPr>
        <w:t>招标公告</w:t>
      </w:r>
      <w:bookmarkEnd w:id="7"/>
    </w:p>
    <w:p>
      <w:pPr>
        <w:spacing w:line="360" w:lineRule="auto"/>
        <w:ind w:firstLine="480" w:firstLineChars="200"/>
        <w:jc w:val="left"/>
        <w:rPr>
          <w:rFonts w:hint="eastAsia" w:ascii="宋体" w:hAnsi="宋体" w:cs="宋体"/>
          <w:sz w:val="24"/>
        </w:rPr>
      </w:pPr>
      <w:r>
        <w:rPr>
          <w:rFonts w:hint="eastAsia" w:ascii="宋体" w:hAnsi="宋体" w:cs="宋体"/>
          <w:sz w:val="24"/>
        </w:rPr>
        <w:t>深圳交易咨询集团有限公司（以下简称采购代理机构）受深圳市前海深港现代服务业合作区管理局委托就</w:t>
      </w:r>
      <w:r>
        <w:rPr>
          <w:rFonts w:hint="eastAsia" w:ascii="宋体" w:hAnsi="宋体" w:cs="宋体"/>
          <w:sz w:val="24"/>
          <w:u w:val="single"/>
        </w:rPr>
        <w:t xml:space="preserve"> 前海金融业发展“十五五”规划研究项目 </w:t>
      </w:r>
      <w:r>
        <w:rPr>
          <w:rFonts w:hint="eastAsia" w:ascii="宋体" w:hAnsi="宋体" w:cs="宋体"/>
          <w:sz w:val="24"/>
        </w:rPr>
        <w:t>（招标编号：QH2025094）采用简易招标方式采购，欢迎符合投标</w:t>
      </w:r>
      <w:r>
        <w:rPr>
          <w:rFonts w:ascii="宋体" w:hAnsi="宋体" w:cs="宋体"/>
          <w:kern w:val="0"/>
          <w:sz w:val="24"/>
          <w:szCs w:val="20"/>
        </w:rPr>
        <w:t>单位</w:t>
      </w:r>
      <w:r>
        <w:rPr>
          <w:rFonts w:hint="eastAsia" w:ascii="宋体" w:hAnsi="宋体" w:cs="宋体"/>
          <w:sz w:val="24"/>
        </w:rPr>
        <w:t>资格要求的专业供应商积极参加投标。</w:t>
      </w:r>
    </w:p>
    <w:tbl>
      <w:tblPr>
        <w:tblStyle w:val="23"/>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spacing w:line="360" w:lineRule="auto"/>
              <w:jc w:val="center"/>
            </w:pPr>
            <w:r>
              <w:rPr>
                <w:rFonts w:hint="eastAsia" w:ascii="宋体" w:hAnsi="宋体" w:cs="宋体"/>
                <w:sz w:val="24"/>
              </w:rPr>
              <w:t>招标文件编号</w:t>
            </w:r>
          </w:p>
        </w:tc>
        <w:tc>
          <w:tcPr>
            <w:tcW w:w="7015" w:type="dxa"/>
            <w:vAlign w:val="center"/>
          </w:tcPr>
          <w:p>
            <w:pPr>
              <w:spacing w:line="360" w:lineRule="auto"/>
              <w:rPr>
                <w:rFonts w:hint="eastAsia" w:ascii="宋体" w:hAnsi="宋体" w:cs="宋体"/>
                <w:sz w:val="24"/>
              </w:rPr>
            </w:pPr>
            <w:r>
              <w:rPr>
                <w:rFonts w:hint="eastAsia" w:ascii="宋体" w:hAnsi="宋体" w:cs="宋体"/>
                <w:sz w:val="24"/>
              </w:rPr>
              <w:t>QH2025094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hint="eastAsia" w:ascii="宋体" w:hAnsi="宋体" w:cs="宋体"/>
                <w:sz w:val="24"/>
              </w:rPr>
            </w:pPr>
            <w:r>
              <w:rPr>
                <w:rFonts w:hint="eastAsia" w:ascii="宋体" w:hAnsi="宋体" w:cs="宋体"/>
                <w:sz w:val="24"/>
              </w:rPr>
              <w:t>前海金融业发展“十五五”规划研究项目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pPr>
              <w:spacing w:line="360" w:lineRule="auto"/>
              <w:rPr>
                <w:rFonts w:hint="eastAsia" w:ascii="宋体" w:hAnsi="宋体" w:cs="宋体"/>
                <w:sz w:val="24"/>
              </w:rPr>
            </w:pPr>
            <w:r>
              <w:rPr>
                <w:rFonts w:hint="eastAsia" w:ascii="宋体" w:hAnsi="宋体" w:cs="宋体"/>
                <w:sz w:val="24"/>
              </w:rPr>
              <w:t>为深入贯彻落实《全面深化前海深港现代服务业合作区改革开放方案》精神，按照前海合作区“十五五”规划编制工作统筹安排，对前海金融业高质量发展进行前瞻性思考、全局性谋划、战略性布局，现拟委托专业机构开展《前海金融业发展“十五五”规划研究项目》，以期发挥专业研究机构贴近市场、专业精通的优势，为前海金融“十五五”高质量发展献计献策。具体内容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tc>
        <w:tc>
          <w:tcPr>
            <w:tcW w:w="7015" w:type="dxa"/>
            <w:vAlign w:val="center"/>
          </w:tcPr>
          <w:p>
            <w:pPr>
              <w:widowControl/>
              <w:spacing w:line="360" w:lineRule="auto"/>
              <w:jc w:val="left"/>
              <w:rPr>
                <w:rFonts w:hint="eastAsia" w:ascii="宋体" w:hAnsi="宋体" w:cs="宋体"/>
                <w:sz w:val="24"/>
              </w:rPr>
            </w:pPr>
            <w:r>
              <w:rPr>
                <w:rFonts w:hint="eastAsia" w:ascii="宋体" w:hAnsi="宋体" w:cs="宋体"/>
                <w:sz w:val="24"/>
                <w:lang w:val="en-US" w:eastAsia="zh-CN"/>
              </w:rPr>
              <w:t>737</w:t>
            </w:r>
            <w:r>
              <w:rPr>
                <w:rFonts w:hint="eastAsia" w:ascii="宋体" w:hAnsi="宋体" w:cs="宋体"/>
                <w:sz w:val="24"/>
              </w:rPr>
              <w:t>,000.00（人民币</w:t>
            </w:r>
            <w:r>
              <w:rPr>
                <w:rFonts w:hint="eastAsia" w:ascii="宋体" w:hAnsi="宋体" w:cs="宋体"/>
                <w:color w:val="auto"/>
                <w:sz w:val="24"/>
                <w:szCs w:val="24"/>
                <w:highlight w:val="none"/>
              </w:rPr>
              <w:t>柒拾叁</w:t>
            </w:r>
            <w:r>
              <w:rPr>
                <w:rFonts w:hint="eastAsia" w:ascii="宋体" w:hAnsi="宋体" w:eastAsia="宋体" w:cs="宋体"/>
                <w:color w:val="auto"/>
                <w:kern w:val="2"/>
                <w:sz w:val="24"/>
                <w:szCs w:val="24"/>
                <w:highlight w:val="none"/>
                <w:lang w:val="en-US" w:eastAsia="zh-CN" w:bidi="ar-SA"/>
              </w:rPr>
              <w:t>万</w:t>
            </w:r>
            <w:r>
              <w:rPr>
                <w:rFonts w:hint="eastAsia" w:ascii="宋体" w:hAnsi="宋体" w:cs="宋体"/>
                <w:color w:val="auto"/>
                <w:sz w:val="24"/>
                <w:szCs w:val="24"/>
                <w:highlight w:val="none"/>
              </w:rPr>
              <w:t>柒仟</w:t>
            </w:r>
            <w:r>
              <w:rPr>
                <w:rFonts w:hint="eastAsia" w:ascii="宋体" w:hAnsi="宋体" w:eastAsia="宋体" w:cs="宋体"/>
                <w:color w:val="auto"/>
                <w:kern w:val="2"/>
                <w:sz w:val="24"/>
                <w:szCs w:val="24"/>
                <w:highlight w:val="none"/>
                <w:lang w:val="en-US" w:eastAsia="zh-CN" w:bidi="ar-SA"/>
              </w:rPr>
              <w:t>元</w:t>
            </w:r>
            <w:r>
              <w:rPr>
                <w:rFonts w:hint="eastAsia" w:ascii="宋体" w:hAnsi="宋体" w:cs="宋体"/>
                <w:sz w:val="24"/>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lang w:bidi="ar"/>
              </w:rPr>
            </w:pPr>
            <w:r>
              <w:rPr>
                <w:rFonts w:hint="eastAsia" w:ascii="宋体" w:hAnsi="宋体" w:cs="宋体"/>
                <w:sz w:val="24"/>
                <w:lang w:bidi="ar"/>
              </w:rPr>
              <w:t>报名方式</w:t>
            </w:r>
          </w:p>
        </w:tc>
        <w:tc>
          <w:tcPr>
            <w:tcW w:w="7015" w:type="dxa"/>
            <w:vAlign w:val="center"/>
          </w:tcPr>
          <w:p>
            <w:pPr>
              <w:spacing w:line="360" w:lineRule="auto"/>
              <w:jc w:val="left"/>
              <w:rPr>
                <w:rFonts w:hint="eastAsia" w:ascii="宋体" w:hAnsi="宋体" w:cs="宋体"/>
                <w:kern w:val="0"/>
                <w:sz w:val="24"/>
                <w:lang w:bidi="ar"/>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将投标文件（一式五份，正本1份，副本4份，附电子版，电子版是以光盘、U盘或硬盘等移动存储介质提交的加盖公章的PDF电子投标文件）密封并在2025年</w:t>
            </w:r>
            <w:r>
              <w:rPr>
                <w:rFonts w:hint="eastAsia" w:ascii="宋体" w:hAnsi="宋体" w:cs="宋体"/>
                <w:kern w:val="0"/>
                <w:sz w:val="24"/>
                <w:lang w:val="en-US" w:eastAsia="zh-CN" w:bidi="ar"/>
              </w:rPr>
              <w:t>10</w:t>
            </w:r>
            <w:r>
              <w:rPr>
                <w:rFonts w:hint="eastAsia" w:ascii="宋体" w:hAnsi="宋体" w:cs="宋体"/>
                <w:kern w:val="0"/>
                <w:sz w:val="24"/>
                <w:lang w:bidi="ar"/>
              </w:rPr>
              <w:t>月</w:t>
            </w:r>
            <w:r>
              <w:rPr>
                <w:rFonts w:hint="eastAsia" w:ascii="宋体" w:hAnsi="宋体" w:cs="宋体"/>
                <w:kern w:val="0"/>
                <w:sz w:val="24"/>
                <w:lang w:val="en-US" w:eastAsia="zh-CN" w:bidi="ar"/>
              </w:rPr>
              <w:t>27</w:t>
            </w:r>
            <w:r>
              <w:rPr>
                <w:rFonts w:hint="eastAsia" w:ascii="宋体" w:hAnsi="宋体" w:cs="宋体"/>
                <w:kern w:val="0"/>
                <w:sz w:val="24"/>
                <w:lang w:bidi="ar"/>
              </w:rPr>
              <w:t>日</w:t>
            </w:r>
            <w:r>
              <w:rPr>
                <w:rFonts w:hint="eastAsia" w:ascii="宋体" w:hAnsi="宋体" w:cs="宋体"/>
                <w:kern w:val="0"/>
                <w:sz w:val="24"/>
                <w:lang w:val="en-US" w:eastAsia="zh-CN" w:bidi="ar"/>
              </w:rPr>
              <w:t>上</w:t>
            </w:r>
            <w:r>
              <w:rPr>
                <w:rFonts w:hint="eastAsia" w:ascii="宋体" w:hAnsi="宋体" w:cs="宋体"/>
                <w:kern w:val="0"/>
                <w:sz w:val="24"/>
                <w:lang w:bidi="ar"/>
              </w:rPr>
              <w:t>午</w:t>
            </w:r>
            <w:r>
              <w:rPr>
                <w:rFonts w:hint="eastAsia" w:ascii="宋体" w:hAnsi="宋体" w:cs="宋体"/>
                <w:kern w:val="0"/>
                <w:sz w:val="24"/>
                <w:lang w:val="en-US" w:eastAsia="zh-CN" w:bidi="ar"/>
              </w:rPr>
              <w:t>10</w:t>
            </w:r>
            <w:r>
              <w:rPr>
                <w:rFonts w:hint="eastAsia" w:ascii="宋体" w:hAnsi="宋体" w:cs="宋体"/>
                <w:kern w:val="0"/>
                <w:sz w:val="24"/>
                <w:lang w:bidi="ar"/>
              </w:rPr>
              <w:t>:00时（北京时间）前送达（现场递交或邮寄）至深圳市前海深港现代服务业合作区桂湾五路123号前海大厦T1栋</w:t>
            </w:r>
            <w:r>
              <w:rPr>
                <w:rFonts w:hint="eastAsia" w:ascii="宋体" w:hAnsi="宋体" w:cs="宋体"/>
                <w:sz w:val="24"/>
              </w:rPr>
              <w:t>2308</w:t>
            </w:r>
            <w:r>
              <w:rPr>
                <w:rFonts w:hint="eastAsia" w:ascii="宋体" w:hAnsi="宋体" w:cs="宋体"/>
                <w:kern w:val="0"/>
                <w:sz w:val="24"/>
                <w:lang w:bidi="ar"/>
              </w:rPr>
              <w:t>室。</w:t>
            </w:r>
          </w:p>
          <w:p>
            <w:pPr>
              <w:spacing w:line="360" w:lineRule="auto"/>
              <w:jc w:val="left"/>
              <w:rPr>
                <w:rFonts w:hint="eastAsia" w:ascii="宋体" w:hAnsi="宋体" w:cs="宋体"/>
                <w:kern w:val="0"/>
                <w:sz w:val="24"/>
                <w:lang w:bidi="ar"/>
              </w:rPr>
            </w:pPr>
            <w:r>
              <w:rPr>
                <w:rFonts w:hint="eastAsia" w:ascii="宋体" w:hAnsi="宋体" w:cs="宋体"/>
                <w:kern w:val="0"/>
                <w:sz w:val="24"/>
                <w:lang w:bidi="ar"/>
              </w:rPr>
              <w:t>联系人：沈先生        联系电话：0755-88105144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b w:val="0"/>
                <w:bCs w:val="0"/>
                <w:color w:val="000000" w:themeColor="text1"/>
                <w:kern w:val="0"/>
                <w:sz w:val="24"/>
                <w14:textFill>
                  <w14:solidFill>
                    <w14:schemeClr w14:val="tx1"/>
                  </w14:solidFill>
                </w14:textFill>
              </w:rPr>
              <w:t>具有独立承担民事责任能力的法人或其他组织（提供营业执照或事业单位法人证书等证明资料复印件或扫描件，原件备查。如果参与投标的供应商为分公司（或分所）则须提供分公司（或分所）营业执照</w:t>
            </w:r>
            <w:r>
              <w:rPr>
                <w:rFonts w:hint="eastAsia" w:ascii="宋体" w:hAnsi="宋体" w:cs="宋体"/>
                <w:color w:val="000000" w:themeColor="text1"/>
                <w:kern w:val="0"/>
                <w:sz w:val="24"/>
                <w14:textFill>
                  <w14:solidFill>
                    <w14:schemeClr w14:val="tx1"/>
                  </w14:solidFill>
                </w14:textFill>
              </w:rPr>
              <w:t>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14:textFill>
                  <w14:solidFill>
                    <w14:schemeClr w14:val="tx1"/>
                  </w14:solidFill>
                </w14:textFill>
              </w:rPr>
              <w:t>以上证明材料均需提供加盖投标人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章的复印件或扫描件，原件备查。</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参与政府采购项目投标的供应商近三年内（投标人成立不足三年的可从成立之日起算）无行贿犯罪记录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（由投标人在《政府采购投标及履约承诺函》中作出声明并加盖投标人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（由投标人在《政府采购投标及履约承诺函》中作出声明并加盖投标人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rPr>
              <w:t>。与不同供应商的法定代表人、投标授权代表人、项目负责人（如有）不存在为同一人或在同一单位缴纳社会保险的情形。</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并提供《供应商基本信息表》加盖投标人公章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（7）未被列入失信被执行人、重大税收违法案件当事人名单</w:t>
            </w:r>
            <w:r>
              <w:rPr>
                <w:rFonts w:ascii="宋体" w:hAnsi="宋体" w:cs="宋体"/>
                <w:kern w:val="0"/>
                <w:sz w:val="24"/>
              </w:rPr>
              <w:t>（重大税收违法失信主体）</w:t>
            </w:r>
            <w:r>
              <w:rPr>
                <w:rFonts w:hint="eastAsia" w:ascii="宋体" w:hAnsi="宋体" w:cs="宋体"/>
                <w:color w:val="000000" w:themeColor="text1"/>
                <w:kern w:val="0"/>
                <w:sz w:val="24"/>
                <w14:textFill>
                  <w14:solidFill>
                    <w14:schemeClr w14:val="tx1"/>
                  </w14:solidFill>
                </w14:textFill>
              </w:rPr>
              <w:t>、政府采购严重违法失信行为记录名单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（8）本项目不接受联合体投标，不允许转包、分包。</w:t>
            </w:r>
          </w:p>
          <w:p>
            <w:pPr>
              <w:spacing w:line="360" w:lineRule="auto"/>
            </w:pPr>
            <w:r>
              <w:rPr>
                <w:rFonts w:hint="eastAsia" w:ascii="宋体" w:hAnsi="宋体" w:cs="宋体"/>
                <w:b/>
                <w:bCs/>
                <w:kern w:val="0"/>
                <w:sz w:val="24"/>
              </w:rPr>
              <w:t>（9）本项目不专门面向中小企业采购。本项目所属行业为：其他未列明行业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numPr>
                <w:ilvl w:val="0"/>
                <w:numId w:val="4"/>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本次投标为总价包干，投标报价总价作为中标人与采购人</w:t>
            </w:r>
            <w:r>
              <w:rPr>
                <w:rFonts w:hint="eastAsia" w:ascii="宋体" w:hAnsi="宋体" w:cs="宋体"/>
                <w:color w:val="000000" w:themeColor="text1"/>
                <w:kern w:val="0"/>
                <w:sz w:val="24"/>
                <w:lang w:eastAsia="zh-CN"/>
                <w14:textFill>
                  <w14:solidFill>
                    <w14:schemeClr w14:val="tx1"/>
                  </w14:solidFill>
                </w14:textFill>
              </w:rPr>
              <w:t>签订</w:t>
            </w:r>
            <w:r>
              <w:rPr>
                <w:rFonts w:hint="eastAsia" w:ascii="宋体" w:hAnsi="宋体" w:cs="宋体"/>
                <w:color w:val="000000" w:themeColor="text1"/>
                <w:kern w:val="0"/>
                <w:sz w:val="24"/>
                <w14:textFill>
                  <w14:solidFill>
                    <w14:schemeClr w14:val="tx1"/>
                  </w14:solidFill>
                </w14:textFill>
              </w:rPr>
              <w:t>的合同金额。项目预算控制</w:t>
            </w:r>
            <w:r>
              <w:rPr>
                <w:rFonts w:hint="eastAsia" w:ascii="宋体" w:hAnsi="宋体" w:cs="宋体"/>
                <w:color w:val="000000" w:themeColor="text1"/>
                <w:kern w:val="0"/>
                <w:sz w:val="24"/>
                <w:lang w:val="en-US" w:eastAsia="zh-CN"/>
                <w14:textFill>
                  <w14:solidFill>
                    <w14:schemeClr w14:val="tx1"/>
                  </w14:solidFill>
                </w14:textFill>
              </w:rPr>
              <w:t>73.7</w:t>
            </w:r>
            <w:r>
              <w:rPr>
                <w:rFonts w:hint="eastAsia" w:ascii="宋体" w:hAnsi="宋体" w:cs="宋体"/>
                <w:color w:val="000000" w:themeColor="text1"/>
                <w:kern w:val="0"/>
                <w:sz w:val="24"/>
                <w14:textFill>
                  <w14:solidFill>
                    <w14:schemeClr w14:val="tx1"/>
                  </w14:solidFill>
                </w14:textFill>
              </w:rPr>
              <w:t>万元以内，投标人的报价不可高于预算（限价），否则投标人的投标文件视同无效。项目服务费包括项目实施过程中产生的一切费用。</w:t>
            </w:r>
          </w:p>
          <w:p>
            <w:pPr>
              <w:numPr>
                <w:ilvl w:val="0"/>
                <w:numId w:val="4"/>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4"/>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4"/>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4"/>
              </w:numPr>
              <w:spacing w:line="360" w:lineRule="auto"/>
              <w:rPr>
                <w:rFonts w:hint="eastAsia" w:ascii="宋体" w:hAnsi="宋体" w:cs="宋体"/>
                <w:kern w:val="0"/>
                <w:sz w:val="24"/>
                <w:szCs w:val="20"/>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采购人信息：</w:t>
            </w:r>
          </w:p>
          <w:p>
            <w:pPr>
              <w:spacing w:line="360" w:lineRule="auto"/>
              <w:rPr>
                <w:rFonts w:hint="eastAsia"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hint="eastAsia" w:ascii="宋体" w:hAnsi="宋体" w:cs="宋体"/>
                <w:kern w:val="0"/>
                <w:sz w:val="24"/>
              </w:rPr>
            </w:pPr>
            <w:r>
              <w:rPr>
                <w:rFonts w:hint="eastAsia" w:ascii="宋体" w:hAnsi="宋体" w:cs="宋体"/>
                <w:kern w:val="0"/>
                <w:sz w:val="24"/>
              </w:rPr>
              <w:t>地      址：深圳市前海深港现代服务业合作区桂湾五路123号前海大厦T1栋</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人：沈先生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话：0755-88105144</w:t>
            </w:r>
          </w:p>
          <w:p>
            <w:pPr>
              <w:spacing w:line="360" w:lineRule="auto"/>
              <w:rPr>
                <w:rFonts w:hint="eastAsia" w:ascii="宋体" w:hAnsi="宋体" w:cs="宋体"/>
                <w:kern w:val="0"/>
                <w:sz w:val="24"/>
              </w:rPr>
            </w:pPr>
            <w:r>
              <w:rPr>
                <w:rFonts w:hint="eastAsia" w:ascii="宋体" w:hAnsi="宋体" w:cs="宋体"/>
                <w:kern w:val="0"/>
                <w:sz w:val="24"/>
              </w:rPr>
              <w:t>采购代理机构信息：</w:t>
            </w:r>
          </w:p>
          <w:p>
            <w:pPr>
              <w:spacing w:line="360" w:lineRule="auto"/>
              <w:rPr>
                <w:rFonts w:hint="eastAsia" w:ascii="宋体" w:hAnsi="宋体" w:cs="宋体"/>
                <w:kern w:val="0"/>
                <w:sz w:val="24"/>
              </w:rPr>
            </w:pPr>
            <w:r>
              <w:rPr>
                <w:rFonts w:hint="eastAsia" w:ascii="宋体" w:hAnsi="宋体" w:cs="宋体"/>
                <w:kern w:val="0"/>
                <w:sz w:val="24"/>
              </w:rPr>
              <w:t>名      称：深圳交易咨询集团有限公司</w:t>
            </w:r>
          </w:p>
          <w:p>
            <w:pPr>
              <w:spacing w:line="360" w:lineRule="auto"/>
              <w:rPr>
                <w:rFonts w:hint="eastAsia" w:ascii="宋体" w:hAnsi="宋体" w:cs="宋体"/>
                <w:kern w:val="0"/>
                <w:sz w:val="24"/>
              </w:rPr>
            </w:pPr>
            <w:r>
              <w:rPr>
                <w:rFonts w:hint="eastAsia" w:ascii="宋体" w:hAnsi="宋体" w:cs="宋体"/>
                <w:kern w:val="0"/>
                <w:sz w:val="24"/>
              </w:rPr>
              <w:t>地      址：深圳市南山区沙河西路 3157 号南山智谷产业园 A 座21楼</w:t>
            </w:r>
          </w:p>
          <w:p>
            <w:pPr>
              <w:spacing w:line="360" w:lineRule="auto"/>
              <w:rPr>
                <w:rFonts w:hint="eastAsia" w:ascii="宋体" w:hAnsi="宋体" w:cs="宋体"/>
                <w:kern w:val="0"/>
                <w:sz w:val="24"/>
              </w:rPr>
            </w:pPr>
            <w:r>
              <w:rPr>
                <w:rFonts w:hint="eastAsia" w:ascii="宋体" w:hAnsi="宋体" w:cs="宋体"/>
                <w:kern w:val="0"/>
                <w:sz w:val="24"/>
              </w:rPr>
              <w:t>联  系  人：曹茜、郭金龙</w:t>
            </w:r>
          </w:p>
          <w:p>
            <w:pPr>
              <w:spacing w:line="360" w:lineRule="auto"/>
              <w:rPr>
                <w:rFonts w:hint="eastAsia" w:ascii="宋体" w:hAnsi="宋体" w:cs="宋体"/>
                <w:kern w:val="0"/>
                <w:sz w:val="24"/>
              </w:rPr>
            </w:pPr>
            <w:r>
              <w:rPr>
                <w:rFonts w:hint="eastAsia" w:ascii="宋体" w:hAnsi="宋体" w:cs="宋体"/>
                <w:kern w:val="0"/>
                <w:sz w:val="24"/>
              </w:rPr>
              <w:t>电      话：18599127733、15118037034　</w:t>
            </w:r>
          </w:p>
        </w:tc>
      </w:tr>
    </w:tbl>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深圳交易咨询集团有限公司</w:t>
      </w:r>
    </w:p>
    <w:p>
      <w:pPr>
        <w:adjustRightInd w:val="0"/>
        <w:snapToGrid w:val="0"/>
        <w:spacing w:line="360" w:lineRule="auto"/>
        <w:ind w:firstLine="480" w:firstLineChars="200"/>
        <w:jc w:val="right"/>
        <w:rPr>
          <w:rFonts w:hint="eastAsia" w:ascii="宋体" w:hAnsi="宋体" w:cs="宋体"/>
          <w:sz w:val="24"/>
          <w:highlight w:val="yellow"/>
        </w:rPr>
      </w:pPr>
      <w:r>
        <w:rPr>
          <w:rFonts w:hint="eastAsia" w:ascii="宋体" w:hAnsi="宋体" w:cs="宋体"/>
          <w:sz w:val="24"/>
        </w:rPr>
        <w:t>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20</w:t>
      </w:r>
      <w:r>
        <w:rPr>
          <w:rFonts w:hint="eastAsia" w:ascii="宋体" w:hAnsi="宋体" w:cs="宋体"/>
          <w:sz w:val="24"/>
        </w:rPr>
        <w:t>日</w:t>
      </w:r>
    </w:p>
    <w:p>
      <w:pPr>
        <w:numPr>
          <w:ilvl w:val="0"/>
          <w:numId w:val="3"/>
        </w:numPr>
        <w:spacing w:line="360" w:lineRule="auto"/>
        <w:jc w:val="center"/>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8" w:name="_Toc16734"/>
      <w:r>
        <w:rPr>
          <w:rFonts w:hint="eastAsia" w:ascii="宋体" w:hAnsi="宋体" w:cs="宋体"/>
          <w:b/>
          <w:bCs/>
          <w:sz w:val="24"/>
        </w:rPr>
        <w:t>投标须知</w:t>
      </w:r>
      <w:bookmarkEnd w:id="8"/>
    </w:p>
    <w:p>
      <w:pPr>
        <w:spacing w:line="360" w:lineRule="auto"/>
        <w:ind w:firstLine="480" w:firstLineChars="200"/>
        <w:rPr>
          <w:rFonts w:hint="eastAsia" w:ascii="宋体" w:hAnsi="宋体" w:cs="宋体"/>
          <w:sz w:val="24"/>
        </w:rPr>
      </w:pPr>
      <w:r>
        <w:rPr>
          <w:rFonts w:hint="eastAsia" w:ascii="宋体" w:hAnsi="宋体" w:cs="宋体"/>
          <w:sz w:val="24"/>
        </w:rPr>
        <w:t>1、本项目是深圳市前海深港现代服务业合作区管理局的前海金融业发展“十五五”规划研究项目。</w:t>
      </w:r>
    </w:p>
    <w:p>
      <w:pPr>
        <w:spacing w:line="360" w:lineRule="auto"/>
        <w:ind w:firstLine="480" w:firstLineChars="200"/>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的有关规定，深圳交易咨询集团有限公司受深圳市前海深港现代服务业合作区管理局委托以简易招标方式组织采购。</w:t>
      </w:r>
    </w:p>
    <w:p>
      <w:pPr>
        <w:spacing w:line="360" w:lineRule="auto"/>
        <w:ind w:firstLine="480" w:firstLineChars="200"/>
        <w:rPr>
          <w:rFonts w:hint="eastAsia" w:ascii="宋体" w:hAnsi="宋体" w:cs="宋体"/>
          <w:sz w:val="24"/>
        </w:rPr>
      </w:pPr>
      <w:r>
        <w:rPr>
          <w:rFonts w:hint="eastAsia" w:ascii="宋体" w:hAnsi="宋体" w:cs="宋体"/>
          <w:sz w:val="24"/>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0" w:firstLineChars="200"/>
        <w:rPr>
          <w:rFonts w:hint="eastAsia" w:ascii="宋体" w:hAnsi="宋体" w:cs="宋体"/>
          <w:sz w:val="24"/>
        </w:rPr>
      </w:pPr>
      <w:r>
        <w:rPr>
          <w:rFonts w:hint="eastAsia" w:ascii="宋体" w:hAnsi="宋体" w:cs="宋体"/>
          <w:sz w:val="24"/>
        </w:rPr>
        <w:t>2.2、对于重新组织简易招标(公开征集)，仍出现报名且符合招标文件初审的投标供应商不足3家的情形，按以下流程执行：</w:t>
      </w:r>
    </w:p>
    <w:p>
      <w:pPr>
        <w:spacing w:line="360" w:lineRule="auto"/>
        <w:ind w:firstLine="480" w:firstLineChars="200"/>
        <w:rPr>
          <w:rFonts w:hint="eastAsia" w:ascii="宋体" w:hAnsi="宋体" w:cs="宋体"/>
          <w:sz w:val="24"/>
        </w:rPr>
      </w:pPr>
      <w:r>
        <w:rPr>
          <w:rFonts w:hint="eastAsia" w:ascii="宋体" w:hAnsi="宋体" w:cs="宋体"/>
          <w:sz w:val="24"/>
        </w:rPr>
        <w:t>a.有效投标人为2家的，可在2家有效投标人中取得分最高者为中标供应商；</w:t>
      </w:r>
    </w:p>
    <w:p>
      <w:pPr>
        <w:spacing w:line="360" w:lineRule="auto"/>
        <w:ind w:firstLine="480" w:firstLineChars="200"/>
        <w:rPr>
          <w:rFonts w:hint="eastAsia" w:ascii="宋体" w:hAnsi="宋体" w:cs="宋体"/>
          <w:sz w:val="24"/>
        </w:rPr>
      </w:pPr>
      <w:r>
        <w:rPr>
          <w:rFonts w:hint="eastAsia" w:ascii="宋体" w:hAnsi="宋体" w:cs="宋体"/>
          <w:sz w:val="24"/>
        </w:rPr>
        <w:t>b.如参与投标且符合招标文件要求的供应商仅有1家，评审委员会应与投标供应商进行谈判，原则上成交价不超过最初报价的95%。</w:t>
      </w:r>
    </w:p>
    <w:p>
      <w:pPr>
        <w:spacing w:line="360" w:lineRule="auto"/>
        <w:ind w:firstLine="480" w:firstLineChars="200"/>
        <w:rPr>
          <w:rFonts w:hint="eastAsia" w:ascii="宋体" w:hAnsi="宋体" w:cs="宋体"/>
          <w:sz w:val="24"/>
        </w:rPr>
      </w:pPr>
      <w:r>
        <w:rPr>
          <w:rFonts w:hint="eastAsia" w:ascii="宋体" w:hAnsi="宋体" w:cs="宋体"/>
          <w:sz w:val="24"/>
        </w:rPr>
        <w:t>3、本项目根据项目的实际情况，公开征集符合投标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ind w:firstLine="482" w:firstLineChars="200"/>
      </w:pPr>
      <w:r>
        <w:rPr>
          <w:rFonts w:hint="eastAsia" w:ascii="宋体" w:hAnsi="宋体" w:cs="宋体"/>
          <w:b/>
          <w:bCs/>
          <w:color w:val="FF0000"/>
          <w:sz w:val="24"/>
        </w:rPr>
        <w:t>注：投标文件需根据目录内容编写页码，正本不得活页装订。</w:t>
      </w:r>
    </w:p>
    <w:p>
      <w:pPr>
        <w:spacing w:line="360" w:lineRule="auto"/>
        <w:ind w:firstLine="480" w:firstLineChars="200"/>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5、响应文件要包括如下内容：</w:t>
      </w:r>
    </w:p>
    <w:p>
      <w:pPr>
        <w:numPr>
          <w:ilvl w:val="0"/>
          <w:numId w:val="5"/>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价格部分；</w:t>
      </w:r>
    </w:p>
    <w:p>
      <w:pPr>
        <w:numPr>
          <w:ilvl w:val="0"/>
          <w:numId w:val="5"/>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商务部分；</w:t>
      </w:r>
    </w:p>
    <w:p>
      <w:pPr>
        <w:numPr>
          <w:ilvl w:val="0"/>
          <w:numId w:val="5"/>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技术部分。</w:t>
      </w:r>
    </w:p>
    <w:p>
      <w:pPr>
        <w:snapToGrid w:val="0"/>
        <w:spacing w:line="360" w:lineRule="auto"/>
        <w:ind w:firstLine="480" w:firstLineChars="200"/>
        <w:rPr>
          <w:rFonts w:hint="eastAsia" w:ascii="宋体" w:hAnsi="宋体" w:cs="宋体"/>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w:t>
      </w:r>
    </w:p>
    <w:p>
      <w:pPr>
        <w:snapToGrid w:val="0"/>
        <w:spacing w:line="360" w:lineRule="auto"/>
        <w:ind w:firstLine="480" w:firstLineChars="200"/>
        <w:rPr>
          <w:rFonts w:hint="eastAsia" w:ascii="宋体" w:hAnsi="宋体" w:cs="宋体"/>
          <w:b/>
          <w:sz w:val="24"/>
        </w:rPr>
      </w:pPr>
      <w:r>
        <w:rPr>
          <w:rFonts w:hint="eastAsia" w:ascii="宋体" w:hAnsi="宋体" w:cs="宋体"/>
          <w:sz w:val="24"/>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360" w:lineRule="auto"/>
        <w:ind w:firstLine="480" w:firstLineChars="200"/>
        <w:rPr>
          <w:rFonts w:hint="eastAsia" w:ascii="宋体" w:hAnsi="宋体" w:cs="宋体"/>
          <w:sz w:val="24"/>
        </w:rPr>
      </w:pPr>
      <w:r>
        <w:rPr>
          <w:rFonts w:hint="eastAsia" w:ascii="宋体" w:hAnsi="宋体" w:cs="宋体"/>
          <w:sz w:val="24"/>
        </w:rPr>
        <w:t>8、如采购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hint="eastAsia" w:ascii="宋体" w:hAnsi="宋体" w:cs="宋体"/>
          <w:sz w:val="24"/>
        </w:rPr>
      </w:pPr>
      <w:r>
        <w:rPr>
          <w:rFonts w:hint="eastAsia" w:ascii="宋体" w:hAnsi="宋体" w:cs="宋体"/>
          <w:sz w:val="24"/>
        </w:rPr>
        <w:t>9、采购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hint="eastAsia" w:ascii="宋体" w:hAnsi="宋体" w:cs="宋体"/>
          <w:sz w:val="24"/>
        </w:rPr>
      </w:pPr>
      <w:r>
        <w:rPr>
          <w:rFonts w:hint="eastAsia" w:ascii="宋体" w:hAnsi="宋体" w:cs="宋体"/>
          <w:sz w:val="24"/>
        </w:rPr>
        <w:t>10、本次采购凡涉及知识产权问题，由项目供应商负责。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11、采购</w:t>
      </w:r>
      <w:r>
        <w:rPr>
          <w:rFonts w:ascii="宋体" w:hAnsi="宋体" w:cs="宋体"/>
          <w:sz w:val="24"/>
        </w:rPr>
        <w:t>单位</w:t>
      </w:r>
      <w:r>
        <w:rPr>
          <w:rFonts w:hint="eastAsia" w:ascii="宋体" w:hAnsi="宋体" w:cs="宋体"/>
          <w:sz w:val="24"/>
        </w:rPr>
        <w:t>将组成评审委员会，评审工作由评审委员会独立负责。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12、供应商应在规定的时间内现场递交或邮寄投标文件。</w:t>
      </w:r>
    </w:p>
    <w:p>
      <w:pPr>
        <w:snapToGrid w:val="0"/>
        <w:spacing w:line="360" w:lineRule="auto"/>
        <w:ind w:firstLine="480" w:firstLineChars="200"/>
        <w:rPr>
          <w:rFonts w:hint="eastAsia" w:ascii="宋体" w:hAnsi="宋体" w:cs="宋体"/>
          <w:sz w:val="24"/>
        </w:rPr>
      </w:pPr>
      <w:r>
        <w:rPr>
          <w:rFonts w:hint="eastAsia" w:ascii="宋体" w:hAnsi="宋体" w:cs="宋体"/>
          <w:sz w:val="24"/>
        </w:rPr>
        <w:t>13、采用综合评分法的情况：评审委员会将分别对供应商递交的投标文件进行评审。</w:t>
      </w:r>
    </w:p>
    <w:p>
      <w:pPr>
        <w:pStyle w:val="32"/>
        <w:numPr>
          <w:ilvl w:val="1"/>
          <w:numId w:val="6"/>
        </w:numPr>
        <w:snapToGrid w:val="0"/>
        <w:spacing w:line="360" w:lineRule="auto"/>
        <w:ind w:firstLineChars="0"/>
        <w:rPr>
          <w:rFonts w:hint="eastAsia"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32"/>
        <w:numPr>
          <w:ilvl w:val="1"/>
          <w:numId w:val="6"/>
        </w:numPr>
        <w:snapToGrid w:val="0"/>
        <w:spacing w:line="360" w:lineRule="auto"/>
        <w:ind w:firstLineChars="0"/>
        <w:rPr>
          <w:rFonts w:hint="eastAsia"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6"/>
        </w:numPr>
        <w:snapToGrid w:val="0"/>
        <w:spacing w:line="360" w:lineRule="auto"/>
        <w:rPr>
          <w:rFonts w:hint="eastAsia"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360" w:lineRule="auto"/>
        <w:ind w:firstLine="480" w:firstLineChars="200"/>
        <w:rPr>
          <w:rFonts w:hint="eastAsia" w:ascii="宋体" w:hAnsi="宋体" w:cs="宋体"/>
          <w:sz w:val="24"/>
        </w:rPr>
      </w:pPr>
      <w:r>
        <w:rPr>
          <w:rFonts w:hint="eastAsia" w:ascii="宋体" w:hAnsi="宋体" w:cs="宋体"/>
          <w:sz w:val="24"/>
        </w:rPr>
        <w:t>14、采用谈判的情况：如参与投标且符合招标文件要求的供应商仅有1家</w:t>
      </w:r>
      <w:r>
        <w:rPr>
          <w:rFonts w:hint="eastAsia" w:ascii="宋体" w:hAnsi="宋体" w:cs="宋体"/>
          <w:sz w:val="24"/>
          <w:lang w:eastAsia="zh-CN"/>
        </w:rPr>
        <w:t>，</w:t>
      </w:r>
      <w:r>
        <w:rPr>
          <w:rFonts w:hint="eastAsia" w:ascii="宋体" w:hAnsi="宋体" w:cs="宋体"/>
          <w:sz w:val="24"/>
        </w:rPr>
        <w:t>评审委员会将与投标供应商进行谈判。</w:t>
      </w:r>
    </w:p>
    <w:p>
      <w:pPr>
        <w:numPr>
          <w:ilvl w:val="0"/>
          <w:numId w:val="7"/>
        </w:numPr>
        <w:snapToGrid w:val="0"/>
        <w:spacing w:line="360" w:lineRule="auto"/>
        <w:ind w:firstLine="480" w:firstLineChars="200"/>
        <w:rPr>
          <w:rFonts w:hint="eastAsia" w:ascii="宋体" w:hAnsi="宋体" w:cs="宋体"/>
          <w:sz w:val="24"/>
        </w:rPr>
      </w:pPr>
      <w:r>
        <w:rPr>
          <w:rFonts w:hint="eastAsia" w:ascii="宋体" w:hAnsi="宋体" w:cs="宋体"/>
          <w:sz w:val="24"/>
        </w:rPr>
        <w:t>供应商在谈判时由项目负责人与评审委员会进行谈判；</w:t>
      </w:r>
    </w:p>
    <w:p>
      <w:pPr>
        <w:numPr>
          <w:ilvl w:val="0"/>
          <w:numId w:val="7"/>
        </w:numPr>
        <w:snapToGrid w:val="0"/>
        <w:spacing w:line="360" w:lineRule="auto"/>
        <w:ind w:firstLine="480" w:firstLineChars="200"/>
        <w:rPr>
          <w:rFonts w:hint="eastAsia" w:ascii="宋体" w:hAnsi="宋体" w:cs="宋体"/>
          <w:sz w:val="24"/>
        </w:rPr>
      </w:pPr>
      <w:r>
        <w:rPr>
          <w:rFonts w:hint="eastAsia" w:ascii="宋体" w:hAnsi="宋体" w:cs="宋体"/>
          <w:sz w:val="24"/>
        </w:rPr>
        <w:t>原则上成交价不超过最初报价的95%。</w:t>
      </w:r>
    </w:p>
    <w:p>
      <w:pPr>
        <w:snapToGrid w:val="0"/>
        <w:spacing w:line="360" w:lineRule="auto"/>
        <w:ind w:firstLine="480" w:firstLineChars="200"/>
        <w:rPr>
          <w:rFonts w:hint="eastAsia" w:ascii="宋体" w:hAnsi="宋体" w:cs="宋体"/>
          <w:sz w:val="24"/>
        </w:rPr>
      </w:pPr>
      <w:r>
        <w:rPr>
          <w:rFonts w:hint="eastAsia" w:ascii="宋体" w:hAnsi="宋体" w:cs="宋体"/>
          <w:sz w:val="24"/>
        </w:rPr>
        <w:t>15、供应商不得将本项目转包给其他人。</w:t>
      </w:r>
    </w:p>
    <w:p>
      <w:pPr>
        <w:snapToGrid w:val="0"/>
        <w:spacing w:line="360" w:lineRule="auto"/>
        <w:ind w:firstLine="480" w:firstLineChars="200"/>
        <w:rPr>
          <w:rFonts w:hint="eastAsia" w:ascii="宋体" w:hAnsi="宋体" w:cs="宋体"/>
          <w:sz w:val="24"/>
        </w:rPr>
      </w:pPr>
      <w:r>
        <w:rPr>
          <w:rFonts w:hint="eastAsia" w:ascii="宋体" w:hAnsi="宋体" w:cs="宋体"/>
          <w:sz w:val="24"/>
        </w:rPr>
        <w:t>16、所有的评审/谈判内容都必须保密。</w:t>
      </w:r>
    </w:p>
    <w:p>
      <w:pPr>
        <w:snapToGrid w:val="0"/>
        <w:spacing w:line="360" w:lineRule="auto"/>
        <w:ind w:firstLine="480" w:firstLineChars="200"/>
        <w:rPr>
          <w:rFonts w:hint="eastAsia" w:ascii="宋体" w:hAnsi="宋体" w:cs="宋体"/>
          <w:sz w:val="24"/>
        </w:rPr>
      </w:pPr>
      <w:r>
        <w:rPr>
          <w:rFonts w:hint="eastAsia" w:ascii="宋体" w:hAnsi="宋体" w:cs="宋体"/>
          <w:sz w:val="24"/>
        </w:rPr>
        <w:t>17、招标代理服务收费：</w:t>
      </w:r>
    </w:p>
    <w:p>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rPr>
      </w:pPr>
    </w:p>
    <w:p>
      <w:pPr>
        <w:adjustRightInd w:val="0"/>
        <w:snapToGrid w:val="0"/>
        <w:spacing w:line="360" w:lineRule="auto"/>
        <w:ind w:right="26"/>
        <w:jc w:val="left"/>
        <w:rPr>
          <w:rFonts w:hint="eastAsia" w:ascii="宋体" w:hAnsi="宋体" w:cs="宋体"/>
          <w:sz w:val="24"/>
        </w:rPr>
      </w:pPr>
      <w:r>
        <w:rPr>
          <w:rFonts w:hint="eastAsia" w:ascii="宋体" w:hAnsi="宋体" w:cs="宋体"/>
          <w:sz w:val="24"/>
        </w:rPr>
        <w:t>具体计取费率标准如下表所示：</w:t>
      </w:r>
    </w:p>
    <w:tbl>
      <w:tblPr>
        <w:tblStyle w:val="23"/>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spacing w:line="360" w:lineRule="auto"/>
        <w:rPr>
          <w:rFonts w:hint="eastAsia" w:ascii="宋体" w:hAnsi="宋体" w:cs="宋体"/>
          <w:b/>
          <w:bCs/>
          <w:sz w:val="24"/>
        </w:rPr>
        <w:sectPr>
          <w:footerReference r:id="rId3" w:type="default"/>
          <w:footerReference r:id="rId4" w:type="even"/>
          <w:pgSz w:w="11906" w:h="16838"/>
          <w:pgMar w:top="2098" w:right="1474" w:bottom="1984" w:left="1587" w:header="851" w:footer="992" w:gutter="0"/>
          <w:cols w:space="720" w:num="1"/>
          <w:docGrid w:type="lines" w:linePitch="312" w:charSpace="0"/>
        </w:sectPr>
      </w:pPr>
    </w:p>
    <w:p>
      <w:pPr>
        <w:numPr>
          <w:ilvl w:val="0"/>
          <w:numId w:val="3"/>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9" w:name="_Toc18857"/>
      <w:r>
        <w:rPr>
          <w:rFonts w:hint="eastAsia" w:ascii="宋体" w:hAnsi="宋体" w:cs="宋体"/>
          <w:b/>
          <w:bCs/>
          <w:sz w:val="24"/>
        </w:rPr>
        <w:t>评标程序</w:t>
      </w:r>
      <w:bookmarkEnd w:id="9"/>
    </w:p>
    <w:p>
      <w:pPr>
        <w:numPr>
          <w:ilvl w:val="0"/>
          <w:numId w:val="8"/>
        </w:numPr>
        <w:spacing w:line="360" w:lineRule="auto"/>
        <w:ind w:firstLine="480" w:firstLineChars="200"/>
        <w:rPr>
          <w:rFonts w:hint="eastAsia"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hint="eastAsia" w:ascii="宋体" w:hAnsi="宋体" w:cs="宋体"/>
          <w:sz w:val="24"/>
        </w:rPr>
      </w:pPr>
      <w:r>
        <w:rPr>
          <w:rFonts w:hint="eastAsia" w:ascii="宋体" w:hAnsi="宋体" w:cs="宋体"/>
          <w:sz w:val="24"/>
        </w:rPr>
        <w:t>二、参加会议人员：项目负责代表、评审委员会成员、监督部门代表（如有）、</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三、会议主持人：开标评标会议由招标代理机构主持。</w:t>
      </w:r>
    </w:p>
    <w:p>
      <w:pPr>
        <w:spacing w:line="360" w:lineRule="auto"/>
        <w:ind w:firstLine="480" w:firstLineChars="200"/>
        <w:rPr>
          <w:rFonts w:hint="eastAsia" w:ascii="宋体" w:hAnsi="宋体" w:cs="宋体"/>
          <w:sz w:val="24"/>
        </w:rPr>
      </w:pPr>
      <w:r>
        <w:rPr>
          <w:rFonts w:hint="eastAsia" w:ascii="宋体" w:hAnsi="宋体" w:cs="宋体"/>
          <w:sz w:val="24"/>
        </w:rPr>
        <w:t>四、开标时间：2025年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27</w:t>
      </w:r>
      <w:r>
        <w:rPr>
          <w:rFonts w:hint="eastAsia" w:ascii="宋体" w:hAnsi="宋体" w:cs="宋体"/>
          <w:sz w:val="24"/>
        </w:rPr>
        <w:t>日</w:t>
      </w:r>
      <w:r>
        <w:rPr>
          <w:rFonts w:hint="eastAsia" w:ascii="宋体" w:hAnsi="宋体" w:cs="宋体"/>
          <w:sz w:val="24"/>
          <w:lang w:val="en-US" w:eastAsia="zh-CN"/>
        </w:rPr>
        <w:t>上</w:t>
      </w:r>
      <w:r>
        <w:rPr>
          <w:rFonts w:hint="eastAsia" w:ascii="宋体" w:hAnsi="宋体" w:cs="宋体"/>
          <w:sz w:val="24"/>
        </w:rPr>
        <w:t>午1</w:t>
      </w:r>
      <w:r>
        <w:rPr>
          <w:rFonts w:hint="eastAsia" w:ascii="宋体" w:hAnsi="宋体" w:cs="宋体"/>
          <w:sz w:val="24"/>
          <w:lang w:val="en-US" w:eastAsia="zh-CN"/>
        </w:rPr>
        <w:t>0</w:t>
      </w:r>
      <w:r>
        <w:rPr>
          <w:rFonts w:hint="eastAsia" w:ascii="宋体" w:hAnsi="宋体" w:cs="宋体"/>
          <w:sz w:val="24"/>
        </w:rPr>
        <w:t>:00时（北京时间）。</w:t>
      </w:r>
    </w:p>
    <w:p>
      <w:pPr>
        <w:spacing w:line="360" w:lineRule="auto"/>
        <w:ind w:firstLine="480" w:firstLineChars="200"/>
        <w:rPr>
          <w:rFonts w:hint="eastAsia" w:ascii="宋体" w:hAnsi="宋体" w:cs="宋体"/>
          <w:sz w:val="24"/>
        </w:rPr>
      </w:pPr>
      <w:r>
        <w:rPr>
          <w:rFonts w:hint="eastAsia" w:ascii="宋体" w:hAnsi="宋体" w:cs="宋体"/>
          <w:sz w:val="24"/>
        </w:rPr>
        <w:t>五、投标文件的递交。投标单位应将投标文件正本和副本密封，并标明项目编号、招标项目名称及“正本”或“副本”，采购单位业务处室工作人员接收投标单位递交的投标文件，投标单位应在2025年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27</w:t>
      </w:r>
      <w:r>
        <w:rPr>
          <w:rFonts w:hint="eastAsia" w:ascii="宋体" w:hAnsi="宋体" w:cs="宋体"/>
          <w:sz w:val="24"/>
        </w:rPr>
        <w:t>日</w:t>
      </w:r>
      <w:r>
        <w:rPr>
          <w:rFonts w:hint="eastAsia" w:ascii="宋体" w:hAnsi="宋体" w:cs="宋体"/>
          <w:sz w:val="24"/>
          <w:lang w:val="en-US" w:eastAsia="zh-CN"/>
        </w:rPr>
        <w:t>上</w:t>
      </w:r>
      <w:r>
        <w:rPr>
          <w:rFonts w:hint="eastAsia" w:ascii="宋体" w:hAnsi="宋体" w:cs="宋体"/>
          <w:sz w:val="24"/>
        </w:rPr>
        <w:t>午1</w:t>
      </w:r>
      <w:r>
        <w:rPr>
          <w:rFonts w:hint="eastAsia" w:ascii="宋体" w:hAnsi="宋体" w:cs="宋体"/>
          <w:sz w:val="24"/>
          <w:lang w:val="en-US" w:eastAsia="zh-CN"/>
        </w:rPr>
        <w:t>0</w:t>
      </w:r>
      <w:r>
        <w:rPr>
          <w:rFonts w:hint="eastAsia" w:ascii="宋体" w:hAnsi="宋体" w:cs="宋体"/>
          <w:sz w:val="24"/>
        </w:rPr>
        <w:t>:00时（北京时间）前送达（现场递交或邮寄至前海大厦T1栋2308室）。截标后不再接收任何投标文件。</w:t>
      </w:r>
    </w:p>
    <w:p>
      <w:pPr>
        <w:spacing w:line="360" w:lineRule="auto"/>
        <w:ind w:firstLine="480" w:firstLineChars="200"/>
        <w:rPr>
          <w:rFonts w:hint="eastAsia"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如委派代表参加，参加开标的代表应签名报到以证明出席。开标时，招标代理机构将当众宣读投标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360" w:lineRule="auto"/>
        <w:ind w:firstLine="480" w:firstLineChars="200"/>
        <w:rPr>
          <w:rFonts w:hint="eastAsia" w:ascii="宋体" w:hAnsi="宋体" w:cs="宋体"/>
          <w:sz w:val="24"/>
        </w:rPr>
      </w:pPr>
      <w:r>
        <w:rPr>
          <w:rFonts w:hint="eastAsia" w:ascii="宋体" w:hAnsi="宋体" w:cs="宋体"/>
          <w:sz w:val="24"/>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pPr>
        <w:spacing w:line="360" w:lineRule="auto"/>
        <w:ind w:firstLine="480" w:firstLineChars="200"/>
        <w:rPr>
          <w:rFonts w:hint="eastAsia"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hint="eastAsia"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hint="eastAsia" w:ascii="宋体" w:hAnsi="宋体" w:cs="宋体"/>
          <w:sz w:val="24"/>
        </w:rPr>
      </w:pPr>
      <w:r>
        <w:rPr>
          <w:rFonts w:hint="eastAsia" w:ascii="宋体" w:hAnsi="宋体" w:cs="宋体"/>
          <w:sz w:val="24"/>
        </w:rPr>
        <w:t>1、评标委员会对各供应商的投标文件进行初审，对未能通过初审的投标文件作投标无效处理。</w:t>
      </w:r>
    </w:p>
    <w:p>
      <w:pPr>
        <w:spacing w:line="560" w:lineRule="exact"/>
        <w:ind w:firstLine="480" w:firstLineChars="200"/>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pPr>
        <w:spacing w:line="560" w:lineRule="exact"/>
        <w:ind w:firstLine="480" w:firstLineChars="200"/>
        <w:rPr>
          <w:rFonts w:hint="eastAsia" w:ascii="宋体" w:hAnsi="宋体" w:cs="宋体"/>
          <w:sz w:val="24"/>
        </w:rPr>
      </w:pPr>
      <w:r>
        <w:rPr>
          <w:rFonts w:hint="eastAsia" w:ascii="宋体" w:hAnsi="宋体" w:cs="宋体"/>
          <w:sz w:val="24"/>
        </w:rPr>
        <w:t>5.2原则上成交价不超过最初报价的95%。</w:t>
      </w:r>
    </w:p>
    <w:p>
      <w:pPr>
        <w:spacing w:line="560" w:lineRule="exact"/>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560" w:lineRule="exact"/>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pPr>
        <w:spacing w:line="560" w:lineRule="exact"/>
        <w:ind w:firstLine="480" w:firstLineChars="200"/>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numPr>
          <w:ilvl w:val="0"/>
          <w:numId w:val="3"/>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10" w:name="_Toc1635"/>
      <w:r>
        <w:rPr>
          <w:rFonts w:hint="eastAsia" w:ascii="宋体" w:hAnsi="宋体" w:cs="宋体"/>
          <w:b/>
          <w:bCs/>
          <w:sz w:val="24"/>
        </w:rPr>
        <w:t>合同格式及合同条款</w:t>
      </w:r>
      <w:bookmarkEnd w:id="10"/>
    </w:p>
    <w:p>
      <w:pPr>
        <w:spacing w:line="360" w:lineRule="auto"/>
        <w:ind w:firstLine="470" w:firstLineChars="196"/>
        <w:jc w:val="center"/>
        <w:rPr>
          <w:rFonts w:hint="eastAsia" w:ascii="宋体" w:hAnsi="宋体" w:cs="宋体"/>
          <w:sz w:val="24"/>
        </w:rPr>
      </w:pPr>
      <w:bookmarkStart w:id="11" w:name="_Toc101074886"/>
      <w:bookmarkStart w:id="12" w:name="_Toc84303603"/>
      <w:bookmarkStart w:id="13" w:name="_Toc73518163"/>
      <w:bookmarkStart w:id="14" w:name="_Toc100052414"/>
      <w:bookmarkStart w:id="15" w:name="_Toc73521680"/>
      <w:bookmarkStart w:id="16" w:name="_Toc73521592"/>
      <w:bookmarkStart w:id="17" w:name="_Toc73517685"/>
    </w:p>
    <w:bookmarkEnd w:id="11"/>
    <w:bookmarkEnd w:id="12"/>
    <w:bookmarkEnd w:id="13"/>
    <w:bookmarkEnd w:id="14"/>
    <w:bookmarkEnd w:id="15"/>
    <w:bookmarkEnd w:id="16"/>
    <w:bookmarkEnd w:id="17"/>
    <w:p>
      <w:pPr>
        <w:spacing w:line="360" w:lineRule="auto"/>
        <w:ind w:firstLine="470" w:firstLineChars="196"/>
        <w:rPr>
          <w:rFonts w:hint="eastAsia" w:ascii="宋体" w:hAnsi="宋体" w:cs="宋体"/>
          <w:sz w:val="24"/>
        </w:rPr>
      </w:pPr>
    </w:p>
    <w:p>
      <w:pPr>
        <w:pStyle w:val="32"/>
        <w:spacing w:line="360" w:lineRule="auto"/>
        <w:ind w:left="1470" w:right="1470" w:firstLine="482"/>
        <w:jc w:val="center"/>
        <w:rPr>
          <w:rFonts w:hint="eastAsia" w:ascii="宋体" w:hAnsi="宋体" w:cs="宋体"/>
          <w:b/>
          <w:sz w:val="24"/>
          <w:szCs w:val="24"/>
        </w:rPr>
      </w:pPr>
      <w:r>
        <w:rPr>
          <w:rFonts w:hint="eastAsia" w:ascii="仿宋" w:hAnsi="仿宋" w:eastAsia="仿宋" w:cs="仿宋"/>
          <w:b/>
          <w:sz w:val="24"/>
          <w:szCs w:val="24"/>
        </w:rPr>
        <w:t xml:space="preserve">                        </w:t>
      </w:r>
      <w:r>
        <w:rPr>
          <w:rFonts w:hint="eastAsia" w:ascii="宋体" w:hAnsi="宋体" w:cs="宋体"/>
          <w:b/>
          <w:sz w:val="24"/>
          <w:szCs w:val="24"/>
        </w:rPr>
        <w:t xml:space="preserve">合同编号（甲方）：            </w:t>
      </w:r>
    </w:p>
    <w:p>
      <w:pPr>
        <w:pStyle w:val="32"/>
        <w:spacing w:line="360" w:lineRule="auto"/>
        <w:ind w:left="1470" w:right="1470" w:firstLine="482"/>
        <w:jc w:val="center"/>
        <w:rPr>
          <w:rFonts w:hint="eastAsia" w:ascii="宋体" w:hAnsi="宋体" w:cs="宋体"/>
          <w:b/>
          <w:sz w:val="24"/>
          <w:szCs w:val="24"/>
        </w:rPr>
      </w:pPr>
      <w:r>
        <w:rPr>
          <w:rFonts w:hint="eastAsia" w:ascii="宋体" w:hAnsi="宋体" w:cs="宋体"/>
          <w:b/>
          <w:sz w:val="24"/>
          <w:szCs w:val="24"/>
        </w:rPr>
        <w:t xml:space="preserve">                        合同编号（乙方）：            </w:t>
      </w:r>
    </w:p>
    <w:p>
      <w:pPr>
        <w:pStyle w:val="32"/>
        <w:spacing w:line="360" w:lineRule="auto"/>
        <w:ind w:left="1470" w:right="1470" w:firstLine="482"/>
        <w:jc w:val="center"/>
        <w:rPr>
          <w:rFonts w:hint="eastAsia" w:ascii="宋体" w:hAnsi="宋体" w:cs="宋体"/>
          <w:b/>
          <w:sz w:val="24"/>
          <w:szCs w:val="24"/>
        </w:rPr>
      </w:pPr>
    </w:p>
    <w:p>
      <w:pPr>
        <w:pStyle w:val="32"/>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32"/>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spacing w:line="360" w:lineRule="auto"/>
        <w:jc w:val="center"/>
        <w:rPr>
          <w:rFonts w:hint="eastAsia" w:ascii="宋体" w:hAnsi="宋体" w:cs="宋体"/>
          <w:b/>
          <w:sz w:val="28"/>
          <w:szCs w:val="28"/>
        </w:rPr>
      </w:pPr>
      <w:r>
        <w:rPr>
          <w:rFonts w:hint="eastAsia" w:ascii="宋体" w:hAnsi="宋体" w:cs="宋体"/>
          <w:b/>
          <w:sz w:val="28"/>
          <w:szCs w:val="28"/>
        </w:rPr>
        <w:t>前海金融业发展“十五五”规划研究项目</w:t>
      </w:r>
    </w:p>
    <w:p>
      <w:pPr>
        <w:spacing w:line="360" w:lineRule="auto"/>
        <w:jc w:val="center"/>
        <w:rPr>
          <w:rFonts w:hint="eastAsia" w:ascii="宋体" w:hAnsi="宋体" w:cs="宋体"/>
          <w:b/>
          <w:sz w:val="28"/>
          <w:szCs w:val="28"/>
        </w:rPr>
      </w:pPr>
      <w:r>
        <w:rPr>
          <w:rFonts w:hint="eastAsia" w:ascii="宋体" w:hAnsi="宋体" w:cs="宋体"/>
          <w:b/>
          <w:sz w:val="28"/>
          <w:szCs w:val="28"/>
        </w:rPr>
        <w:t>委托合同</w:t>
      </w:r>
    </w:p>
    <w:p>
      <w:pPr>
        <w:spacing w:line="360" w:lineRule="auto"/>
        <w:rPr>
          <w:rFonts w:hint="eastAsia" w:ascii="宋体" w:hAnsi="宋体" w:cs="宋体"/>
          <w:sz w:val="24"/>
        </w:rPr>
      </w:pPr>
      <w:r>
        <w:rPr>
          <w:rFonts w:hint="eastAsia" w:ascii="宋体" w:hAnsi="宋体" w:cs="宋体"/>
          <w:sz w:val="24"/>
        </w:rPr>
        <w:t xml:space="preserve"> </w:t>
      </w:r>
    </w:p>
    <w:p>
      <w:pPr>
        <w:pStyle w:val="32"/>
        <w:spacing w:line="360" w:lineRule="auto"/>
        <w:ind w:left="1470" w:right="1470" w:firstLine="480"/>
        <w:rPr>
          <w:rFonts w:hint="eastAsia" w:ascii="宋体" w:hAnsi="宋体" w:cs="宋体"/>
          <w:sz w:val="24"/>
          <w:szCs w:val="24"/>
        </w:rPr>
      </w:pPr>
      <w:r>
        <w:rPr>
          <w:rFonts w:hint="eastAsia" w:ascii="宋体" w:hAnsi="宋体" w:cs="宋体"/>
          <w:sz w:val="24"/>
          <w:szCs w:val="24"/>
        </w:rPr>
        <w:t xml:space="preserve"> </w:t>
      </w:r>
    </w:p>
    <w:p>
      <w:pPr>
        <w:pStyle w:val="32"/>
        <w:spacing w:line="360" w:lineRule="auto"/>
        <w:ind w:left="1470" w:right="1470" w:firstLine="480"/>
        <w:rPr>
          <w:rFonts w:hint="eastAsia" w:ascii="宋体" w:hAnsi="宋体" w:cs="宋体"/>
          <w:sz w:val="24"/>
          <w:szCs w:val="24"/>
        </w:rPr>
      </w:pPr>
      <w:r>
        <w:rPr>
          <w:rFonts w:hint="eastAsia" w:ascii="宋体" w:hAnsi="宋体" w:cs="宋体"/>
          <w:sz w:val="24"/>
          <w:szCs w:val="24"/>
        </w:rPr>
        <w:t xml:space="preserve"> </w:t>
      </w: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前海金融业发展“十五五”规划研究项目</w:t>
      </w:r>
    </w:p>
    <w:p>
      <w:pPr>
        <w:spacing w:line="360" w:lineRule="auto"/>
        <w:ind w:firstLine="480" w:firstLineChars="200"/>
        <w:rPr>
          <w:rFonts w:hint="eastAsia" w:ascii="宋体" w:hAnsi="宋体" w:cs="宋体"/>
          <w:sz w:val="24"/>
          <w:u w:val="single"/>
        </w:rPr>
      </w:pPr>
      <w:r>
        <w:rPr>
          <w:rFonts w:hint="eastAsia" w:ascii="宋体" w:hAnsi="宋体" w:cs="宋体"/>
          <w:sz w:val="24"/>
        </w:rPr>
        <w:t>项目类型：</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 xml:space="preserve">  深圳市前海深港现代服务业合作区管理局 </w:t>
      </w:r>
    </w:p>
    <w:p>
      <w:pPr>
        <w:spacing w:line="360" w:lineRule="auto"/>
        <w:ind w:firstLine="480" w:firstLineChars="200"/>
        <w:rPr>
          <w:rFonts w:hint="eastAsia" w:ascii="宋体" w:hAnsi="宋体" w:cs="宋体"/>
          <w:sz w:val="24"/>
          <w:u w:val="single"/>
        </w:rPr>
      </w:pPr>
      <w:r>
        <w:rPr>
          <w:rFonts w:hint="eastAsia" w:ascii="宋体" w:hAnsi="宋体" w:cs="宋体"/>
          <w:sz w:val="24"/>
        </w:rPr>
        <w:t>受托方（乙方）：</w:t>
      </w:r>
      <w:r>
        <w:rPr>
          <w:rFonts w:hint="eastAsia" w:ascii="宋体" w:hAnsi="宋体" w:cs="宋体"/>
          <w:sz w:val="24"/>
          <w:u w:val="single"/>
        </w:rPr>
        <w:t xml:space="preserve">                                </w:t>
      </w: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jc w:val="center"/>
        <w:rPr>
          <w:rFonts w:hint="eastAsia" w:ascii="宋体" w:hAnsi="宋体" w:cs="宋体"/>
          <w:sz w:val="24"/>
        </w:rPr>
      </w:pPr>
    </w:p>
    <w:p>
      <w:pPr>
        <w:spacing w:line="360" w:lineRule="auto"/>
        <w:jc w:val="center"/>
        <w:rPr>
          <w:rFonts w:hint="eastAsia" w:ascii="宋体" w:hAnsi="宋体" w:cs="宋体"/>
          <w:sz w:val="24"/>
        </w:rPr>
      </w:pPr>
      <w:r>
        <w:rPr>
          <w:rFonts w:hint="eastAsia" w:ascii="宋体" w:hAnsi="宋体" w:cs="宋体"/>
          <w:sz w:val="24"/>
        </w:rPr>
        <w:t>二〇二五年  月</w:t>
      </w:r>
    </w:p>
    <w:p>
      <w:pPr>
        <w:spacing w:line="360" w:lineRule="auto"/>
        <w:jc w:val="center"/>
        <w:rPr>
          <w:rFonts w:hint="eastAsia" w:ascii="宋体" w:hAnsi="宋体" w:cs="宋体"/>
          <w:sz w:val="24"/>
        </w:rPr>
      </w:pPr>
      <w:r>
        <w:rPr>
          <w:rFonts w:hint="eastAsia" w:ascii="宋体" w:hAnsi="宋体" w:cs="宋体"/>
          <w:sz w:val="24"/>
        </w:rPr>
        <w:t>本合同共    页（不含封面）</w:t>
      </w:r>
    </w:p>
    <w:p>
      <w:pPr>
        <w:snapToGrid w:val="0"/>
        <w:spacing w:line="360" w:lineRule="auto"/>
        <w:rPr>
          <w:rFonts w:hint="eastAsia" w:ascii="仿宋" w:hAnsi="仿宋" w:eastAsia="仿宋" w:cs="仿宋"/>
          <w:sz w:val="22"/>
          <w:szCs w:val="22"/>
          <w:lang w:bidi="ar"/>
        </w:rPr>
      </w:pPr>
    </w:p>
    <w:p>
      <w:pPr>
        <w:pStyle w:val="22"/>
        <w:numPr>
          <w:ilvl w:val="0"/>
          <w:numId w:val="0"/>
        </w:numPr>
      </w:pP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br w:type="page"/>
      </w:r>
      <w:r>
        <w:rPr>
          <w:rFonts w:hint="eastAsia" w:ascii="仿宋" w:hAnsi="仿宋" w:eastAsia="仿宋" w:cs="仿宋"/>
          <w:bCs/>
          <w:sz w:val="24"/>
        </w:rPr>
        <w:t>甲方（委托方）：深圳市前海深港现代服务业合作区管理局</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法定代表人：</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地      址：深圳市前海深港现代服务业合作区桂湾五路123号前海大厦T1栋</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乙方（受托方）：</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负  责  人：</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地      址：</w:t>
      </w:r>
    </w:p>
    <w:p>
      <w:pPr>
        <w:spacing w:line="360" w:lineRule="auto"/>
        <w:ind w:firstLine="480" w:firstLineChars="200"/>
        <w:rPr>
          <w:rFonts w:hint="eastAsia" w:ascii="仿宋" w:hAnsi="仿宋" w:eastAsia="仿宋" w:cs="仿宋"/>
          <w:bCs/>
          <w:sz w:val="24"/>
        </w:rPr>
      </w:pPr>
    </w:p>
    <w:p>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                   </w:t>
      </w:r>
    </w:p>
    <w:p>
      <w:pPr>
        <w:tabs>
          <w:tab w:val="left" w:pos="4267"/>
        </w:tabs>
        <w:spacing w:line="360" w:lineRule="auto"/>
        <w:ind w:firstLine="480" w:firstLineChars="200"/>
        <w:rPr>
          <w:rFonts w:hint="eastAsia" w:ascii="仿宋" w:hAnsi="仿宋" w:eastAsia="仿宋" w:cs="仿宋"/>
          <w:bCs/>
          <w:sz w:val="24"/>
        </w:rPr>
      </w:pP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根据《中华人民共和国民法典》等法律、法规的相关规定和编号__________________招标项目的中标结果，经友好协商，甲方、乙方（以下简称“各方”）就甲方委托乙方承担</w:t>
      </w:r>
      <w:r>
        <w:rPr>
          <w:rFonts w:hint="eastAsia" w:ascii="仿宋" w:hAnsi="仿宋" w:eastAsia="仿宋" w:cs="仿宋"/>
          <w:b/>
          <w:bCs/>
          <w:kern w:val="0"/>
          <w:sz w:val="24"/>
          <w:u w:val="single"/>
        </w:rPr>
        <w:t>前海金融业发展“十五五”规划研究项目（以下简称本项目）</w:t>
      </w:r>
      <w:r>
        <w:rPr>
          <w:rFonts w:hint="eastAsia" w:ascii="仿宋" w:hAnsi="仿宋" w:eastAsia="仿宋" w:cs="仿宋"/>
          <w:sz w:val="24"/>
        </w:rPr>
        <w:t>达成以下合同条款：</w:t>
      </w:r>
    </w:p>
    <w:p>
      <w:pPr>
        <w:spacing w:line="360" w:lineRule="auto"/>
        <w:ind w:firstLine="480" w:firstLineChars="200"/>
        <w:outlineLvl w:val="0"/>
        <w:rPr>
          <w:rFonts w:hint="eastAsia" w:ascii="仿宋" w:hAnsi="仿宋" w:eastAsia="仿宋" w:cs="仿宋"/>
          <w:bCs/>
          <w:sz w:val="24"/>
        </w:rPr>
      </w:pPr>
      <w:bookmarkStart w:id="18" w:name="_Toc21577"/>
      <w:r>
        <w:rPr>
          <w:rFonts w:hint="eastAsia" w:ascii="仿宋" w:hAnsi="仿宋" w:eastAsia="仿宋" w:cs="仿宋"/>
          <w:bCs/>
          <w:sz w:val="24"/>
        </w:rPr>
        <w:t>一、项目总体概况、项目目标及服务内容</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（一）项目总体概况</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本次咨询服务内容主要为根据前海金融业“十四五”发展情况，准确把握“十五五”金融业发展优势、劣势、机遇和挑战，对未来五年发展进行构思和展望，提出前海金融业发展优化升级的总体思路、主要目标和关键举措，对前海金融业高质量发展进行前瞻性思考、全局性谋划、战略性布局。</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（二）项目目标</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形成前海金融业发展“十五五”规划研究报告及相关专题研究成果。</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（三）服务内容</w:t>
      </w:r>
      <w:bookmarkEnd w:id="18"/>
      <w:r>
        <w:rPr>
          <w:rFonts w:hint="eastAsia" w:ascii="仿宋" w:hAnsi="仿宋" w:eastAsia="仿宋" w:cs="仿宋"/>
          <w:bCs/>
          <w:sz w:val="24"/>
        </w:rPr>
        <w:t>及服务要求</w:t>
      </w:r>
    </w:p>
    <w:p>
      <w:pPr>
        <w:spacing w:line="360" w:lineRule="auto"/>
        <w:ind w:firstLine="480" w:firstLineChars="200"/>
        <w:outlineLvl w:val="0"/>
        <w:rPr>
          <w:rFonts w:hint="eastAsia" w:ascii="仿宋" w:hAnsi="仿宋" w:eastAsia="仿宋" w:cs="仿宋"/>
          <w:bCs/>
          <w:sz w:val="24"/>
        </w:rPr>
      </w:pPr>
      <w:bookmarkStart w:id="19" w:name="_Toc19186"/>
      <w:r>
        <w:rPr>
          <w:rFonts w:hint="eastAsia" w:ascii="仿宋" w:hAnsi="仿宋" w:eastAsia="仿宋" w:cs="仿宋"/>
          <w:bCs/>
          <w:sz w:val="24"/>
        </w:rPr>
        <w:t>1、总结分析“十四五”时期前海金融业发展成效及存在问题。围绕“前海金融30条”等重大政策文件落实情况，结合上一个五年专项规划提出目标任务，系统总结前海金融业改革开放创新取得成效，以及进一步提升金融业发展质效已具备的优势条件和可挖掘的潜力空间。通过与同类型区域多维度比较，深入分析制约前海金融业发展的关键因素，提出当前及未来亟待解决问题、补强短板。</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2、科学研判“十五五”时期前海金融业发展面临的内外部形势变化。基于国内外经济金融形势研判，深入分析国家省市政策取向和金融市场走向，结合新兴特色金融领域及未来发展方向，精准定位香港、深圳、前海所处发展阶段及特征，研究分析前海金融业发展面临的重大战略机遇及风险挑战，主动识别并挖掘有利条件。</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3、研究提出“十五五”时期前海金融业发展思路、总体定位及具体目标。围绕国家金融业对外开放试验示范窗口和跨境人民币业务创新试验区战略使命，聚焦“金融强国”建设、做好金融“五篇大文章”、推进深港金融市场互联互通等任务要求，研究提出“十五五”时期前海金融业高质量发展基本思路及功能定位，科学测算总体发展目标及细分领域定性定量指标。</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4、研究提出“十五五”时期前海金融业发展路径方向和任务措施。基于上述总体思路框架，结合对前海金融业发展优势与劣势、机遇与挑战分析，进一步明确“十五五”时期金融业发展路径，从金融改革开放、金融主体、金融市场、金融生态等多个维度，研究制定兼具前瞻性、科学性和可操作性的具体措施，确保高质量完成各项任务目标。</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5、系统梳理“十五五”时期前海金融业重大改革及重大项目。结合前海金融发展局中长期工作安排，系统谋划梳理一批重大载体、重大平台、重大改革和重大项目，以甘特图、时间轴等形式，进一步明确实施主体、责任单位和推进措施。充分用好“前海金融30条”等政策文件，做好与上级有关部门沟通衔接，争取更多重大载体、重大平台、重大改革和重大项目纳入上级规划或政策文件。</w:t>
      </w:r>
    </w:p>
    <w:p>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二、合同金额</w:t>
      </w:r>
      <w:bookmarkEnd w:id="19"/>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本合同含税金额为（大写）：人民币</w:t>
      </w:r>
      <w:r>
        <w:rPr>
          <w:rFonts w:hint="eastAsia" w:ascii="仿宋" w:hAnsi="仿宋" w:eastAsia="仿宋" w:cs="仿宋"/>
          <w:sz w:val="24"/>
          <w:u w:val="single"/>
        </w:rPr>
        <w:t xml:space="preserve">     </w:t>
      </w:r>
      <w:r>
        <w:rPr>
          <w:rFonts w:hint="eastAsia" w:ascii="仿宋" w:hAnsi="仿宋" w:eastAsia="仿宋" w:cs="仿宋"/>
          <w:sz w:val="24"/>
        </w:rPr>
        <w:t>元（小写：￥</w:t>
      </w:r>
      <w:r>
        <w:rPr>
          <w:rFonts w:hint="eastAsia" w:ascii="仿宋" w:hAnsi="仿宋" w:eastAsia="仿宋" w:cs="仿宋"/>
          <w:sz w:val="24"/>
          <w:u w:val="single"/>
        </w:rPr>
        <w:t xml:space="preserve">     </w:t>
      </w:r>
      <w:r>
        <w:rPr>
          <w:rFonts w:hint="eastAsia" w:ascii="仿宋" w:hAnsi="仿宋" w:eastAsia="仿宋" w:cs="仿宋"/>
          <w:sz w:val="24"/>
        </w:rPr>
        <w:t>元），不含税金额为￥</w:t>
      </w:r>
      <w:r>
        <w:rPr>
          <w:rFonts w:hint="eastAsia" w:ascii="仿宋" w:hAnsi="仿宋" w:eastAsia="仿宋" w:cs="仿宋"/>
          <w:sz w:val="24"/>
          <w:u w:val="single"/>
        </w:rPr>
        <w:t xml:space="preserve">     </w:t>
      </w:r>
      <w:r>
        <w:rPr>
          <w:rFonts w:hint="eastAsia" w:ascii="仿宋" w:hAnsi="仿宋" w:eastAsia="仿宋" w:cs="仿宋"/>
          <w:sz w:val="24"/>
        </w:rPr>
        <w:t>元，增值税税额为￥</w:t>
      </w:r>
      <w:r>
        <w:rPr>
          <w:rFonts w:hint="eastAsia" w:ascii="仿宋" w:hAnsi="仿宋" w:eastAsia="仿宋" w:cs="仿宋"/>
          <w:sz w:val="24"/>
          <w:u w:val="single"/>
        </w:rPr>
        <w:t xml:space="preserve">     </w:t>
      </w:r>
      <w:r>
        <w:rPr>
          <w:rFonts w:hint="eastAsia" w:ascii="仿宋" w:hAnsi="仿宋" w:eastAsia="仿宋" w:cs="仿宋"/>
          <w:sz w:val="24"/>
        </w:rPr>
        <w:t>元。（本合同金额为包干价，项目服务费包括项目实施过程中产生的一切费用。）</w:t>
      </w:r>
    </w:p>
    <w:p>
      <w:pPr>
        <w:spacing w:line="360" w:lineRule="auto"/>
        <w:ind w:firstLine="482" w:firstLineChars="200"/>
        <w:outlineLvl w:val="0"/>
        <w:rPr>
          <w:rFonts w:hint="eastAsia" w:ascii="仿宋" w:hAnsi="仿宋" w:eastAsia="仿宋" w:cs="仿宋"/>
          <w:b/>
          <w:sz w:val="24"/>
        </w:rPr>
      </w:pPr>
      <w:bookmarkStart w:id="20" w:name="_Toc30479"/>
      <w:r>
        <w:rPr>
          <w:rFonts w:hint="eastAsia" w:ascii="仿宋" w:hAnsi="仿宋" w:eastAsia="仿宋" w:cs="仿宋"/>
          <w:b/>
          <w:sz w:val="24"/>
        </w:rPr>
        <w:t>三、保密条款</w:t>
      </w:r>
      <w:bookmarkEnd w:id="20"/>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一）各方应保守的秘密是指不为公众所知悉、能为权利人带来经济利益、具有实用性并经权利人采取保密措施的技术信息和经营信息，或由各方在履行本合同过程中明确指明为秘密的、法律所认可的任何信息，以及乙方在履行本合同过程中所获得或接触到的任何甲方内部数据资料。</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二）各方应遵守国家的有关保密规定。妥善保管对方提供的资料，保守对方的各项秘密，并保护对方的知识产权。获取对方秘密的一方应当采取有效的保护方式防止秘密未经对方书面授权而被使用、传播或公开，仅可以将该秘密用于履行其在本合同项下的义务，且只能由相关的技术人员使用。</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三）乙方应以保密方式处理在编制本项目成果文件过程中自甲方、甲方工作人员或甲方关联机构获得的相关信息、资料、图纸、数据等，或由甲方在履行本合同过程中明确指明为秘密的任何信息，以及乙方因本项目工作内容所直接或间接取得、处理或接触的任何其他资料。未经甲方书面在先同意，乙方不得向任何其他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（四）乙方实施项目的程序应符合国家安全、保密的有关规定和标准。</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（五）上述保密义务不适用以下情况：</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1.获取的信息已被合法公开或不属于商业秘密；</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2.获得信息拥有方书面许可并在该许可范围内披露；</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3.国家法律、法规规定的情形。</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六）如乙方违反上述保密条款，甲方有权解除本合同，乙方应在合同解除通知发出之日起10日内向甲方支付本合同服务费总金额20%的违约金，如果违约金无法弥补甲方损失，甲方保留要求乙方赔偿全部损失的权利。</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（七）无论本合同或本合同其他条款是否有效，本保密条款始终约束甲乙各方。国家秘密的保密期限由国家有关部门确定，工作秘密的保密期限由甲方确定。</w:t>
      </w:r>
    </w:p>
    <w:p>
      <w:pPr>
        <w:spacing w:line="360" w:lineRule="auto"/>
        <w:ind w:firstLine="482" w:firstLineChars="200"/>
        <w:outlineLvl w:val="0"/>
        <w:rPr>
          <w:rFonts w:hint="eastAsia" w:ascii="仿宋" w:hAnsi="仿宋" w:eastAsia="仿宋" w:cs="仿宋"/>
          <w:b/>
          <w:sz w:val="24"/>
        </w:rPr>
      </w:pPr>
      <w:bookmarkStart w:id="21" w:name="_Toc27550"/>
      <w:r>
        <w:rPr>
          <w:rFonts w:hint="eastAsia" w:ascii="仿宋" w:hAnsi="仿宋" w:eastAsia="仿宋" w:cs="仿宋"/>
          <w:b/>
          <w:sz w:val="24"/>
        </w:rPr>
        <w:t>四、知识产权及项目成果归属</w:t>
      </w:r>
      <w:bookmarkEnd w:id="21"/>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（一）本项目全部阶段性成果和最终成果的所有权、知识产权以及与之相关的所有权利归甲方所有；本合同签署前各方已经拥有的知识产权权利，仍归各自所有。</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（二）各方确定，甲方有权对乙方按照本合同约定提供的成果进行后续改进。由此产生的具有实质性或创造性技术进步特征的新的技术成果及其权利全部由甲方享有。</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三）乙方所提交的全部阶段性成果和最终成果文件及任何数据、资料、软件等不得侵犯任何第三方的知识产权或其他权利，由于该等文件、数据、资料、软件侵权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四）未经甲方书面事先同意，乙方不得将研究成果公开发表、内部刊用或用于其他任何项目，也不得将本项目的阶段性成果和/或最终成果文件及任何数据、资料、软件向任何其他方转让、授权任何其他方使用或用于本合同项目外的其他项目。如发生以上情况，乙方应向甲方支付本合同总价款20%的违约金。同时，甲方保留要求乙方赔偿全部损失的权利。</w:t>
      </w:r>
    </w:p>
    <w:p>
      <w:pPr>
        <w:spacing w:line="360" w:lineRule="auto"/>
        <w:ind w:firstLine="482" w:firstLineChars="200"/>
        <w:outlineLvl w:val="0"/>
        <w:rPr>
          <w:rFonts w:hint="eastAsia" w:ascii="仿宋" w:hAnsi="仿宋" w:eastAsia="仿宋" w:cs="仿宋"/>
          <w:b/>
          <w:sz w:val="24"/>
        </w:rPr>
      </w:pPr>
      <w:bookmarkStart w:id="22" w:name="_Toc26541"/>
      <w:r>
        <w:rPr>
          <w:rFonts w:hint="eastAsia" w:ascii="仿宋" w:hAnsi="仿宋" w:eastAsia="仿宋" w:cs="仿宋"/>
          <w:b/>
          <w:sz w:val="24"/>
        </w:rPr>
        <w:t>五、甲方的权利与义务</w:t>
      </w:r>
      <w:bookmarkEnd w:id="22"/>
    </w:p>
    <w:p>
      <w:pPr>
        <w:tabs>
          <w:tab w:val="left" w:pos="4267"/>
        </w:tabs>
        <w:spacing w:line="360" w:lineRule="auto"/>
        <w:ind w:firstLine="482" w:firstLineChars="200"/>
        <w:outlineLvl w:val="1"/>
        <w:rPr>
          <w:rFonts w:hint="eastAsia" w:ascii="仿宋" w:hAnsi="仿宋" w:eastAsia="仿宋" w:cs="仿宋"/>
          <w:b/>
          <w:bCs/>
          <w:sz w:val="24"/>
        </w:rPr>
      </w:pPr>
      <w:r>
        <w:rPr>
          <w:rFonts w:hint="eastAsia" w:ascii="仿宋" w:hAnsi="仿宋" w:eastAsia="仿宋" w:cs="仿宋"/>
          <w:b/>
          <w:bCs/>
          <w:sz w:val="24"/>
        </w:rPr>
        <w:t>（一）甲方的权利</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1、甲方对服务过程的决策、控制、实施等环节实行全面管理，协调和监督服务工作开展，控制服务工作过程，进行统计服务成果验收。</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2、检查乙方服务人员到位情况，如因人力、能力不足致使服务工作不能按计划完成时，可要求乙方增加或替换相应的技术人员，直至甲方认可，乙方不得拒绝。</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3、甲方有权向乙方询问项目工作进展及相关情况，并要求乙方在指定时间内做出答复。</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4、甲方有权对乙方提交的阶段性成果、最终成果送审稿等相关工作文件进行审核并提出修改意见。</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5、如乙方所提供的成果文件不满足委托方的工作内容及需求，甲方有权要求乙方重新执行相应的工作服务，由此产生的全部费用由乙方自行承担。</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6、甲方有权要求乙方全面履行合同。甲方不接受部分履行，如本合同项下部分成果文件未能按时交付则视为整体延误。</w:t>
      </w:r>
    </w:p>
    <w:p>
      <w:pPr>
        <w:tabs>
          <w:tab w:val="left" w:pos="4267"/>
        </w:tabs>
        <w:spacing w:line="360" w:lineRule="auto"/>
        <w:ind w:firstLine="482" w:firstLineChars="200"/>
        <w:outlineLvl w:val="1"/>
        <w:rPr>
          <w:rFonts w:hint="eastAsia" w:ascii="仿宋" w:hAnsi="仿宋" w:eastAsia="仿宋" w:cs="仿宋"/>
          <w:b/>
          <w:bCs/>
          <w:sz w:val="24"/>
        </w:rPr>
      </w:pPr>
      <w:r>
        <w:rPr>
          <w:rFonts w:hint="eastAsia" w:ascii="仿宋" w:hAnsi="仿宋" w:eastAsia="仿宋" w:cs="仿宋"/>
          <w:b/>
          <w:bCs/>
          <w:sz w:val="24"/>
        </w:rPr>
        <w:t>（二）甲方的义务</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1、为使统计服务工作顺利进行，甲方应在一个合理的时间内向乙方提供能够获得的与统计服务工作有关的资料。</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2、甲方对乙方按照合同规定所履行的服务提供必要的支持与协助。</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3、根据合同约定的相关条款，按时支付乙方服务费用。</w:t>
      </w:r>
    </w:p>
    <w:p>
      <w:pPr>
        <w:pStyle w:val="9"/>
        <w:spacing w:after="0" w:line="360" w:lineRule="auto"/>
        <w:ind w:firstLine="480"/>
        <w:rPr>
          <w:rFonts w:hint="eastAsia" w:ascii="仿宋" w:hAnsi="仿宋" w:eastAsia="仿宋" w:cs="仿宋"/>
          <w:sz w:val="24"/>
        </w:rPr>
      </w:pPr>
      <w:r>
        <w:rPr>
          <w:rFonts w:hint="eastAsia" w:ascii="仿宋" w:hAnsi="仿宋" w:eastAsia="仿宋" w:cs="仿宋"/>
          <w:sz w:val="24"/>
        </w:rPr>
        <w:t>4、甲方应在收到乙方验收申请后的10个工作日内完成成果验收。</w:t>
      </w:r>
    </w:p>
    <w:p>
      <w:pPr>
        <w:spacing w:line="360" w:lineRule="auto"/>
        <w:ind w:firstLine="482" w:firstLineChars="200"/>
        <w:outlineLvl w:val="0"/>
        <w:rPr>
          <w:rFonts w:hint="eastAsia" w:ascii="仿宋" w:hAnsi="仿宋" w:eastAsia="仿宋" w:cs="仿宋"/>
          <w:b/>
          <w:sz w:val="24"/>
        </w:rPr>
      </w:pPr>
      <w:bookmarkStart w:id="23" w:name="_Toc22779"/>
      <w:r>
        <w:rPr>
          <w:rFonts w:hint="eastAsia" w:ascii="仿宋" w:hAnsi="仿宋" w:eastAsia="仿宋" w:cs="仿宋"/>
          <w:b/>
          <w:sz w:val="24"/>
        </w:rPr>
        <w:t>六、乙方的权利与义务</w:t>
      </w:r>
      <w:bookmarkEnd w:id="23"/>
    </w:p>
    <w:p>
      <w:pPr>
        <w:tabs>
          <w:tab w:val="left" w:pos="4267"/>
        </w:tabs>
        <w:spacing w:line="360" w:lineRule="auto"/>
        <w:ind w:firstLine="482" w:firstLineChars="200"/>
        <w:outlineLvl w:val="1"/>
        <w:rPr>
          <w:rFonts w:hint="eastAsia" w:ascii="仿宋" w:hAnsi="仿宋" w:eastAsia="仿宋" w:cs="仿宋"/>
          <w:b/>
          <w:bCs/>
          <w:sz w:val="24"/>
        </w:rPr>
      </w:pPr>
      <w:r>
        <w:rPr>
          <w:rFonts w:hint="eastAsia" w:ascii="仿宋" w:hAnsi="仿宋" w:eastAsia="仿宋" w:cs="仿宋"/>
          <w:b/>
          <w:bCs/>
          <w:sz w:val="24"/>
        </w:rPr>
        <w:t>（一）乙方的权利</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1、根据服务工作的需要，可要求甲方提供或协助乙方收集相关资料。</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2、参与本项服务相关的工作会议（活动）。</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3、根据合同约定收取相应的服务费。</w:t>
      </w:r>
    </w:p>
    <w:p>
      <w:pPr>
        <w:tabs>
          <w:tab w:val="left" w:pos="4267"/>
        </w:tabs>
        <w:spacing w:line="360" w:lineRule="auto"/>
        <w:ind w:firstLine="482" w:firstLineChars="200"/>
        <w:outlineLvl w:val="1"/>
        <w:rPr>
          <w:rFonts w:hint="eastAsia" w:ascii="仿宋" w:hAnsi="仿宋" w:eastAsia="仿宋" w:cs="仿宋"/>
          <w:b/>
          <w:bCs/>
          <w:sz w:val="24"/>
        </w:rPr>
      </w:pPr>
      <w:r>
        <w:rPr>
          <w:rFonts w:hint="eastAsia" w:ascii="仿宋" w:hAnsi="仿宋" w:eastAsia="仿宋" w:cs="仿宋"/>
          <w:b/>
          <w:bCs/>
          <w:sz w:val="24"/>
        </w:rPr>
        <w:t>（二）乙方的义务</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1、乙方应按国家及深圳的有关法律法规及本合同约定的工作内容、工作进度等要求提供服务，并对其提交的服务成果负责。对于与本项目工作内容相关的其他相关项目，乙方应进行充分了解并做好协调与衔接工作。</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2、为保证项目成果的质量，乙方在合同履行期间，应按照本项目工作内容要求，成立项目团队。项目负责人负责对项目实施全过程进行组织和指导，负责人及相关工作人员名单在甲方确认后如需更换，乙方应事先征得甲方的书面同意，且接替的工作人员的职位、资历、资质应与原定工作人员相当。</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3、如乙方提供的服务成果文件不符合本合同要求，必须在甲方提出要求后7天内无条件修改，其费用由乙方自行承担。修改期间，甲方付款时间相应顺延。</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4、未经甲方书面同意，乙方不得将本合同项下权利义务转让给任何第三方。</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5、未经甲方书面同意，乙方不得将本合同项下任何权利义务予以分包。如甲方同意乙方分包的，分包单位的资质应事先经甲方审查和批准。</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6、乙方对其工作人员在合同履行期间的一切行为负责，期间发生的一切安全事故责任、其它人身损害及因此发生的人身损害赔偿和其他费用由乙方自行承担，与甲方无关。若因此导致甲方支付赔偿及其他费用，乙方于甲方支付前述费用的三日内应全部偿还给甲方。</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7、乙方必须按本合同约定的内容、标准和期限完成项目工作，并按照甲方要求将完成委托事项的相关资料交给甲方。如甲方需对工作进度进行调整，甲方、乙方应共同协商解决。</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8、乙方有维护甲方声誉的义务，乙方不能以甲方名义从事与本项目无关的任何事务。</w:t>
      </w:r>
    </w:p>
    <w:p>
      <w:pPr>
        <w:tabs>
          <w:tab w:val="left" w:pos="4267"/>
        </w:tabs>
        <w:spacing w:line="360" w:lineRule="auto"/>
        <w:ind w:firstLine="480" w:firstLineChars="200"/>
        <w:rPr>
          <w:rFonts w:hint="eastAsia" w:ascii="仿宋" w:hAnsi="仿宋" w:eastAsia="仿宋" w:cs="仿宋"/>
          <w:bCs/>
          <w:szCs w:val="21"/>
        </w:rPr>
      </w:pPr>
      <w:r>
        <w:rPr>
          <w:rFonts w:ascii="仿宋" w:hAnsi="仿宋" w:eastAsia="仿宋" w:cs="仿宋"/>
          <w:sz w:val="24"/>
        </w:rPr>
        <w:t>9</w:t>
      </w:r>
      <w:r>
        <w:rPr>
          <w:rFonts w:hint="eastAsia" w:ascii="仿宋" w:hAnsi="仿宋" w:eastAsia="仿宋" w:cs="仿宋"/>
          <w:sz w:val="24"/>
        </w:rPr>
        <w:t>、乙方在完成本项目过程中，不得损害其他任何第三方的知识产权等合法权益，否则由此造成的相关责任应当由乙方自行承担，与甲方无关。</w:t>
      </w:r>
    </w:p>
    <w:p>
      <w:pPr>
        <w:snapToGrid w:val="0"/>
        <w:spacing w:line="360" w:lineRule="auto"/>
        <w:ind w:firstLine="482" w:firstLineChars="200"/>
        <w:rPr>
          <w:rFonts w:hint="eastAsia" w:ascii="仿宋" w:hAnsi="仿宋" w:eastAsia="仿宋" w:cs="仿宋"/>
          <w:b/>
          <w:bCs/>
          <w:sz w:val="24"/>
        </w:rPr>
      </w:pPr>
      <w:bookmarkStart w:id="24" w:name="_Toc15508"/>
      <w:r>
        <w:rPr>
          <w:rFonts w:hint="eastAsia" w:ascii="仿宋" w:hAnsi="仿宋" w:eastAsia="仿宋" w:cs="仿宋"/>
          <w:b/>
          <w:bCs/>
          <w:sz w:val="24"/>
        </w:rPr>
        <w:t>七、工作进度及阶段成果要求</w:t>
      </w:r>
    </w:p>
    <w:tbl>
      <w:tblPr>
        <w:tblStyle w:val="23"/>
        <w:tblW w:w="8859" w:type="dxa"/>
        <w:jc w:val="center"/>
        <w:tblLayout w:type="fixed"/>
        <w:tblCellMar>
          <w:top w:w="0" w:type="dxa"/>
          <w:left w:w="0" w:type="dxa"/>
          <w:bottom w:w="0" w:type="dxa"/>
          <w:right w:w="0" w:type="dxa"/>
        </w:tblCellMar>
      </w:tblPr>
      <w:tblGrid>
        <w:gridCol w:w="707"/>
        <w:gridCol w:w="1456"/>
        <w:gridCol w:w="2209"/>
        <w:gridCol w:w="4487"/>
      </w:tblGrid>
      <w:tr>
        <w:tblPrEx>
          <w:tblCellMar>
            <w:top w:w="0" w:type="dxa"/>
            <w:left w:w="0" w:type="dxa"/>
            <w:bottom w:w="0" w:type="dxa"/>
            <w:right w:w="0" w:type="dxa"/>
          </w:tblCellMar>
        </w:tblPrEx>
        <w:trPr>
          <w:cantSplit/>
          <w:trHeight w:val="461"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仿宋" w:hAnsi="仿宋" w:eastAsia="仿宋" w:cs="仿宋"/>
                <w:bCs/>
                <w:sz w:val="24"/>
              </w:rPr>
            </w:pPr>
            <w:r>
              <w:rPr>
                <w:rFonts w:hint="eastAsia" w:ascii="仿宋" w:hAnsi="仿宋" w:eastAsia="仿宋" w:cs="仿宋"/>
                <w:bCs/>
                <w:sz w:val="24"/>
              </w:rPr>
              <w:t>序号</w:t>
            </w:r>
          </w:p>
        </w:tc>
        <w:tc>
          <w:tcPr>
            <w:tcW w:w="1456"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仿宋" w:hAnsi="仿宋" w:eastAsia="仿宋" w:cs="仿宋"/>
                <w:bCs/>
                <w:sz w:val="24"/>
              </w:rPr>
            </w:pPr>
            <w:r>
              <w:rPr>
                <w:rFonts w:hint="eastAsia" w:ascii="仿宋" w:hAnsi="仿宋" w:eastAsia="仿宋" w:cs="仿宋"/>
                <w:bCs/>
                <w:sz w:val="24"/>
              </w:rPr>
              <w:t>阶段</w:t>
            </w:r>
          </w:p>
        </w:tc>
        <w:tc>
          <w:tcPr>
            <w:tcW w:w="2209"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仿宋" w:hAnsi="仿宋" w:eastAsia="仿宋" w:cs="仿宋"/>
                <w:bCs/>
                <w:sz w:val="24"/>
              </w:rPr>
            </w:pPr>
            <w:r>
              <w:rPr>
                <w:rFonts w:hint="eastAsia" w:ascii="仿宋" w:hAnsi="仿宋" w:eastAsia="仿宋" w:cs="仿宋"/>
                <w:bCs/>
                <w:sz w:val="24"/>
              </w:rPr>
              <w:t>时间</w:t>
            </w:r>
          </w:p>
        </w:tc>
        <w:tc>
          <w:tcPr>
            <w:tcW w:w="4487"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仿宋" w:hAnsi="仿宋" w:eastAsia="仿宋" w:cs="仿宋"/>
                <w:bCs/>
                <w:sz w:val="24"/>
              </w:rPr>
            </w:pPr>
            <w:r>
              <w:rPr>
                <w:rFonts w:hint="eastAsia" w:ascii="仿宋" w:hAnsi="仿宋" w:eastAsia="仿宋" w:cs="仿宋"/>
                <w:bCs/>
                <w:sz w:val="24"/>
              </w:rPr>
              <w:t>主要工作</w:t>
            </w:r>
          </w:p>
        </w:tc>
      </w:tr>
      <w:tr>
        <w:tblPrEx>
          <w:tblCellMar>
            <w:top w:w="0" w:type="dxa"/>
            <w:left w:w="0" w:type="dxa"/>
            <w:bottom w:w="0" w:type="dxa"/>
            <w:right w:w="0" w:type="dxa"/>
          </w:tblCellMar>
        </w:tblPrEx>
        <w:trPr>
          <w:cantSplit/>
          <w:trHeight w:val="461"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仿宋" w:hAnsi="仿宋" w:eastAsia="仿宋" w:cs="仿宋"/>
                <w:bCs/>
                <w:sz w:val="24"/>
              </w:rPr>
            </w:pPr>
            <w:r>
              <w:rPr>
                <w:rFonts w:hint="eastAsia" w:ascii="仿宋" w:hAnsi="仿宋" w:eastAsia="仿宋" w:cs="仿宋"/>
                <w:bCs/>
                <w:sz w:val="24"/>
                <w:lang w:eastAsia="en-US"/>
              </w:rPr>
              <w:t>1</w:t>
            </w:r>
          </w:p>
        </w:tc>
        <w:tc>
          <w:tcPr>
            <w:tcW w:w="1456"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仿宋" w:hAnsi="仿宋" w:eastAsia="仿宋" w:cs="仿宋"/>
                <w:bCs/>
                <w:sz w:val="24"/>
              </w:rPr>
            </w:pPr>
            <w:r>
              <w:rPr>
                <w:rFonts w:hint="eastAsia" w:ascii="仿宋" w:hAnsi="仿宋" w:eastAsia="仿宋" w:cs="仿宋"/>
                <w:bCs/>
                <w:sz w:val="24"/>
              </w:rPr>
              <w:t>项目前期</w:t>
            </w:r>
          </w:p>
        </w:tc>
        <w:tc>
          <w:tcPr>
            <w:tcW w:w="2209"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仿宋" w:hAnsi="仿宋" w:eastAsia="仿宋" w:cs="仿宋"/>
                <w:bCs/>
                <w:sz w:val="24"/>
              </w:rPr>
            </w:pPr>
            <w:r>
              <w:rPr>
                <w:rFonts w:hint="eastAsia" w:ascii="仿宋" w:hAnsi="仿宋" w:eastAsia="仿宋" w:cs="仿宋"/>
                <w:bCs/>
                <w:sz w:val="24"/>
              </w:rPr>
              <w:t>自本合同签订后</w:t>
            </w:r>
          </w:p>
        </w:tc>
        <w:tc>
          <w:tcPr>
            <w:tcW w:w="4487"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仿宋" w:hAnsi="仿宋" w:eastAsia="仿宋" w:cs="仿宋"/>
                <w:bCs/>
                <w:sz w:val="24"/>
              </w:rPr>
            </w:pPr>
            <w:r>
              <w:rPr>
                <w:rFonts w:hint="eastAsia" w:ascii="仿宋" w:hAnsi="仿宋" w:eastAsia="仿宋" w:cs="仿宋"/>
                <w:bCs/>
                <w:sz w:val="24"/>
              </w:rPr>
              <w:t>确定研究主体思路、框架搭建、资料收集</w:t>
            </w:r>
          </w:p>
        </w:tc>
      </w:tr>
      <w:tr>
        <w:tblPrEx>
          <w:tblCellMar>
            <w:top w:w="0" w:type="dxa"/>
            <w:left w:w="0" w:type="dxa"/>
            <w:bottom w:w="0" w:type="dxa"/>
            <w:right w:w="0" w:type="dxa"/>
          </w:tblCellMar>
        </w:tblPrEx>
        <w:trPr>
          <w:cantSplit/>
          <w:trHeight w:val="468"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仿宋" w:hAnsi="仿宋" w:eastAsia="仿宋" w:cs="仿宋"/>
                <w:bCs/>
                <w:sz w:val="24"/>
              </w:rPr>
            </w:pPr>
            <w:r>
              <w:rPr>
                <w:rFonts w:hint="eastAsia" w:ascii="仿宋" w:hAnsi="仿宋" w:eastAsia="仿宋" w:cs="仿宋"/>
                <w:bCs/>
                <w:sz w:val="24"/>
              </w:rPr>
              <w:t>2</w:t>
            </w:r>
          </w:p>
        </w:tc>
        <w:tc>
          <w:tcPr>
            <w:tcW w:w="1456"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仿宋" w:hAnsi="仿宋" w:eastAsia="仿宋" w:cs="仿宋"/>
                <w:bCs/>
                <w:sz w:val="24"/>
              </w:rPr>
            </w:pPr>
            <w:r>
              <w:rPr>
                <w:rFonts w:hint="eastAsia" w:ascii="仿宋" w:hAnsi="仿宋" w:eastAsia="仿宋" w:cs="仿宋"/>
                <w:bCs/>
                <w:sz w:val="24"/>
              </w:rPr>
              <w:t>项目中期</w:t>
            </w:r>
          </w:p>
        </w:tc>
        <w:tc>
          <w:tcPr>
            <w:tcW w:w="2209"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仿宋" w:hAnsi="仿宋" w:eastAsia="仿宋" w:cs="仿宋"/>
                <w:bCs/>
                <w:sz w:val="24"/>
              </w:rPr>
            </w:pPr>
            <w:r>
              <w:rPr>
                <w:rFonts w:hint="eastAsia" w:ascii="仿宋" w:hAnsi="仿宋" w:eastAsia="仿宋" w:cs="仿宋"/>
                <w:bCs/>
                <w:sz w:val="24"/>
              </w:rPr>
              <w:t>合同签订后3个月内</w:t>
            </w:r>
          </w:p>
        </w:tc>
        <w:tc>
          <w:tcPr>
            <w:tcW w:w="4487"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仿宋" w:hAnsi="仿宋" w:eastAsia="仿宋" w:cs="仿宋"/>
                <w:bCs/>
                <w:sz w:val="24"/>
              </w:rPr>
            </w:pPr>
            <w:r>
              <w:rPr>
                <w:rFonts w:hint="eastAsia" w:ascii="仿宋" w:hAnsi="仿宋" w:eastAsia="仿宋" w:cs="仿宋"/>
                <w:bCs/>
                <w:sz w:val="24"/>
              </w:rPr>
              <w:t>完成研究报告完整版初稿编制</w:t>
            </w:r>
          </w:p>
        </w:tc>
      </w:tr>
      <w:tr>
        <w:tblPrEx>
          <w:tblCellMar>
            <w:top w:w="0" w:type="dxa"/>
            <w:left w:w="0" w:type="dxa"/>
            <w:bottom w:w="0" w:type="dxa"/>
            <w:right w:w="0" w:type="dxa"/>
          </w:tblCellMar>
        </w:tblPrEx>
        <w:trPr>
          <w:cantSplit/>
          <w:trHeight w:val="471"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仿宋" w:hAnsi="仿宋" w:eastAsia="仿宋" w:cs="仿宋"/>
                <w:bCs/>
                <w:sz w:val="24"/>
              </w:rPr>
            </w:pPr>
            <w:r>
              <w:rPr>
                <w:rFonts w:hint="eastAsia" w:ascii="仿宋" w:hAnsi="仿宋" w:eastAsia="仿宋" w:cs="仿宋"/>
                <w:bCs/>
                <w:sz w:val="24"/>
              </w:rPr>
              <w:t>3</w:t>
            </w:r>
          </w:p>
        </w:tc>
        <w:tc>
          <w:tcPr>
            <w:tcW w:w="1456"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仿宋" w:hAnsi="仿宋" w:eastAsia="仿宋" w:cs="仿宋"/>
                <w:bCs/>
                <w:sz w:val="24"/>
              </w:rPr>
            </w:pPr>
            <w:r>
              <w:rPr>
                <w:rFonts w:hint="eastAsia" w:ascii="仿宋" w:hAnsi="仿宋" w:eastAsia="仿宋" w:cs="仿宋"/>
                <w:bCs/>
                <w:sz w:val="24"/>
              </w:rPr>
              <w:t>项目后期</w:t>
            </w:r>
          </w:p>
        </w:tc>
        <w:tc>
          <w:tcPr>
            <w:tcW w:w="2209"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仿宋" w:hAnsi="仿宋" w:eastAsia="仿宋" w:cs="仿宋"/>
                <w:bCs/>
                <w:sz w:val="24"/>
              </w:rPr>
            </w:pPr>
            <w:r>
              <w:rPr>
                <w:rFonts w:hint="eastAsia" w:ascii="仿宋" w:hAnsi="仿宋" w:eastAsia="仿宋" w:cs="仿宋"/>
                <w:bCs/>
                <w:sz w:val="24"/>
              </w:rPr>
              <w:t>合同有效期内</w:t>
            </w:r>
          </w:p>
        </w:tc>
        <w:tc>
          <w:tcPr>
            <w:tcW w:w="4487"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仿宋" w:hAnsi="仿宋" w:eastAsia="仿宋" w:cs="仿宋"/>
                <w:bCs/>
                <w:sz w:val="24"/>
              </w:rPr>
            </w:pPr>
            <w:r>
              <w:rPr>
                <w:rFonts w:hint="eastAsia" w:ascii="仿宋" w:hAnsi="仿宋" w:eastAsia="仿宋" w:cs="仿宋"/>
                <w:bCs/>
                <w:sz w:val="24"/>
              </w:rPr>
              <w:t>完成研究成果并通过审核。</w:t>
            </w:r>
          </w:p>
        </w:tc>
      </w:tr>
    </w:tbl>
    <w:p>
      <w:pPr>
        <w:pStyle w:val="42"/>
        <w:tabs>
          <w:tab w:val="left" w:pos="720"/>
        </w:tabs>
        <w:autoSpaceDE w:val="0"/>
        <w:autoSpaceDN w:val="0"/>
        <w:adjustRightInd w:val="0"/>
        <w:spacing w:line="360" w:lineRule="auto"/>
        <w:ind w:firstLine="480"/>
        <w:jc w:val="left"/>
        <w:outlineLvl w:val="1"/>
        <w:rPr>
          <w:rFonts w:hint="eastAsia" w:ascii="仿宋" w:hAnsi="仿宋" w:eastAsia="仿宋" w:cs="仿宋"/>
          <w:bCs/>
          <w:sz w:val="24"/>
        </w:rPr>
      </w:pPr>
      <w:r>
        <w:rPr>
          <w:rFonts w:hint="eastAsia" w:ascii="仿宋" w:hAnsi="仿宋" w:eastAsia="仿宋" w:cs="仿宋"/>
          <w:bCs/>
          <w:sz w:val="24"/>
        </w:rPr>
        <w:t>主要成果为《前海金融业发展“十五五”规划研究》报告文本，需要根据前海金融业“十四五”发展情况，准确把握“十五五”金融业发展优势、劣势、机遇和挑战，对未来五年发展进行构思和展望，提出前海金融业发展优化升级的总体思路、主要目标和关键举措，进一步提升前海金融业高质量发展水平。</w:t>
      </w:r>
    </w:p>
    <w:p>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八、合同履行时间、履行方式</w:t>
      </w:r>
      <w:bookmarkEnd w:id="24"/>
      <w:r>
        <w:rPr>
          <w:rFonts w:hint="eastAsia" w:ascii="仿宋" w:hAnsi="仿宋" w:eastAsia="仿宋" w:cs="仿宋"/>
          <w:b/>
          <w:sz w:val="24"/>
        </w:rPr>
        <w:t>及后续服务要求</w:t>
      </w:r>
    </w:p>
    <w:p>
      <w:pPr>
        <w:pStyle w:val="42"/>
        <w:tabs>
          <w:tab w:val="left" w:pos="720"/>
        </w:tabs>
        <w:autoSpaceDE w:val="0"/>
        <w:autoSpaceDN w:val="0"/>
        <w:adjustRightInd w:val="0"/>
        <w:spacing w:line="360" w:lineRule="auto"/>
        <w:ind w:firstLine="480"/>
        <w:jc w:val="left"/>
        <w:outlineLvl w:val="1"/>
        <w:rPr>
          <w:rFonts w:hint="eastAsia" w:ascii="仿宋" w:hAnsi="仿宋" w:eastAsia="仿宋" w:cs="仿宋"/>
          <w:bCs/>
          <w:sz w:val="24"/>
        </w:rPr>
      </w:pPr>
      <w:bookmarkStart w:id="25" w:name="_Toc20839"/>
      <w:r>
        <w:rPr>
          <w:rFonts w:hint="eastAsia" w:ascii="仿宋" w:hAnsi="仿宋" w:eastAsia="仿宋" w:cs="仿宋"/>
          <w:bCs/>
          <w:sz w:val="24"/>
        </w:rPr>
        <w:t>（一）履行时间：合同签订之日起一年内完成全部项目工作内容，工作成果按照双方约定时间交付。</w:t>
      </w:r>
    </w:p>
    <w:p>
      <w:pPr>
        <w:pStyle w:val="42"/>
        <w:tabs>
          <w:tab w:val="left" w:pos="720"/>
        </w:tabs>
        <w:autoSpaceDE w:val="0"/>
        <w:autoSpaceDN w:val="0"/>
        <w:adjustRightInd w:val="0"/>
        <w:spacing w:line="360" w:lineRule="auto"/>
        <w:ind w:firstLine="480"/>
        <w:jc w:val="left"/>
        <w:outlineLvl w:val="1"/>
        <w:rPr>
          <w:rFonts w:hint="eastAsia" w:ascii="仿宋" w:hAnsi="仿宋" w:eastAsia="仿宋" w:cs="仿宋"/>
          <w:bCs/>
          <w:sz w:val="24"/>
        </w:rPr>
      </w:pPr>
      <w:r>
        <w:rPr>
          <w:rFonts w:hint="eastAsia" w:ascii="仿宋" w:hAnsi="仿宋" w:eastAsia="仿宋" w:cs="仿宋"/>
          <w:bCs/>
          <w:sz w:val="24"/>
        </w:rPr>
        <w:t>（二）履行方式：按甲方的工作内容及商务需求完成相应工作，并提交全部工作成果。</w:t>
      </w:r>
    </w:p>
    <w:p>
      <w:pPr>
        <w:pStyle w:val="42"/>
        <w:tabs>
          <w:tab w:val="left" w:pos="720"/>
        </w:tabs>
        <w:autoSpaceDE w:val="0"/>
        <w:autoSpaceDN w:val="0"/>
        <w:adjustRightInd w:val="0"/>
        <w:spacing w:line="360" w:lineRule="auto"/>
        <w:ind w:firstLine="480"/>
        <w:jc w:val="left"/>
        <w:outlineLvl w:val="1"/>
        <w:rPr>
          <w:rFonts w:hint="eastAsia" w:ascii="仿宋" w:hAnsi="仿宋" w:eastAsia="仿宋" w:cs="仿宋"/>
          <w:bCs/>
          <w:sz w:val="24"/>
        </w:rPr>
      </w:pPr>
      <w:r>
        <w:rPr>
          <w:rFonts w:hint="eastAsia" w:ascii="仿宋" w:hAnsi="仿宋" w:eastAsia="仿宋" w:cs="仿宋"/>
          <w:bCs/>
          <w:sz w:val="24"/>
        </w:rPr>
        <w:t>（三）后续服务要求：乙方提交的本项目最终成果通过甲方审查验收之日起半年为本合同后续服务期。服务期内乙方应向甲方提供后续的专业技术支持与咨询服务。</w:t>
      </w:r>
    </w:p>
    <w:p>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九、</w:t>
      </w:r>
      <w:bookmarkEnd w:id="25"/>
      <w:r>
        <w:rPr>
          <w:rFonts w:hint="eastAsia" w:ascii="仿宋" w:hAnsi="仿宋" w:eastAsia="仿宋" w:cs="仿宋"/>
          <w:b/>
          <w:sz w:val="24"/>
        </w:rPr>
        <w:t>验收方式</w:t>
      </w:r>
    </w:p>
    <w:p>
      <w:pPr>
        <w:pStyle w:val="42"/>
        <w:tabs>
          <w:tab w:val="left" w:pos="720"/>
        </w:tabs>
        <w:autoSpaceDE w:val="0"/>
        <w:autoSpaceDN w:val="0"/>
        <w:adjustRightInd w:val="0"/>
        <w:spacing w:line="360" w:lineRule="auto"/>
        <w:ind w:firstLine="480"/>
        <w:jc w:val="left"/>
        <w:outlineLvl w:val="1"/>
        <w:rPr>
          <w:rFonts w:hint="eastAsia" w:ascii="仿宋" w:hAnsi="仿宋" w:eastAsia="仿宋" w:cs="仿宋"/>
          <w:bCs/>
          <w:sz w:val="24"/>
        </w:rPr>
      </w:pPr>
      <w:r>
        <w:rPr>
          <w:rFonts w:hint="eastAsia" w:ascii="仿宋" w:hAnsi="仿宋" w:eastAsia="仿宋" w:cs="仿宋"/>
          <w:bCs/>
          <w:sz w:val="24"/>
        </w:rPr>
        <w:t>乙方按甲方要求提交《前海金融业发展“十五五”规划研究》研究成果后，甲方在最终成果提交后20天内对工作进行审查，最终成果验收合格的标志为甲方审查通过。</w:t>
      </w:r>
    </w:p>
    <w:p>
      <w:pPr>
        <w:spacing w:line="360" w:lineRule="auto"/>
        <w:ind w:firstLine="482" w:firstLineChars="200"/>
        <w:outlineLvl w:val="0"/>
        <w:rPr>
          <w:rFonts w:hint="eastAsia" w:ascii="仿宋" w:hAnsi="仿宋" w:eastAsia="仿宋" w:cs="仿宋"/>
          <w:b/>
          <w:sz w:val="24"/>
        </w:rPr>
      </w:pPr>
      <w:bookmarkStart w:id="26" w:name="_Toc31126"/>
      <w:r>
        <w:rPr>
          <w:rFonts w:hint="eastAsia" w:ascii="仿宋" w:hAnsi="仿宋" w:eastAsia="仿宋" w:cs="仿宋"/>
          <w:b/>
          <w:sz w:val="24"/>
        </w:rPr>
        <w:t>十、项目服务费用及付款方式</w:t>
      </w:r>
      <w:bookmarkEnd w:id="26"/>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（一）本合同项下项目服务费用总金额计</w:t>
      </w:r>
      <w:r>
        <w:rPr>
          <w:rFonts w:hint="eastAsia" w:ascii="仿宋" w:hAnsi="仿宋" w:eastAsia="仿宋" w:cs="仿宋"/>
          <w:bCs/>
          <w:sz w:val="24"/>
          <w:u w:val="single"/>
        </w:rPr>
        <w:t>人民币    整</w:t>
      </w:r>
      <w:r>
        <w:rPr>
          <w:rFonts w:hint="eastAsia" w:ascii="仿宋" w:hAnsi="仿宋" w:eastAsia="仿宋" w:cs="仿宋"/>
          <w:bCs/>
          <w:sz w:val="24"/>
        </w:rPr>
        <w:t>（￥    ），</w:t>
      </w:r>
      <w:r>
        <w:rPr>
          <w:rFonts w:hint="eastAsia" w:ascii="仿宋" w:hAnsi="仿宋" w:eastAsia="仿宋" w:cs="仿宋"/>
          <w:sz w:val="24"/>
        </w:rPr>
        <w:t>项目服务费包括项目实施过程中产生的一切费用</w:t>
      </w:r>
      <w:r>
        <w:rPr>
          <w:rFonts w:hint="eastAsia" w:ascii="仿宋" w:hAnsi="仿宋" w:eastAsia="仿宋" w:cs="仿宋"/>
          <w:bCs/>
          <w:sz w:val="24"/>
        </w:rPr>
        <w:t>。</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（二）付款方式：</w:t>
      </w:r>
    </w:p>
    <w:p>
      <w:pPr>
        <w:spacing w:line="360" w:lineRule="auto"/>
        <w:ind w:firstLine="480" w:firstLineChars="200"/>
        <w:outlineLvl w:val="0"/>
        <w:rPr>
          <w:rFonts w:hint="eastAsia" w:ascii="仿宋" w:hAnsi="仿宋" w:eastAsia="仿宋" w:cs="仿宋"/>
          <w:bCs/>
          <w:sz w:val="24"/>
        </w:rPr>
      </w:pPr>
      <w:bookmarkStart w:id="27" w:name="_Toc7588"/>
      <w:r>
        <w:rPr>
          <w:rFonts w:hint="eastAsia" w:ascii="仿宋" w:hAnsi="仿宋" w:eastAsia="仿宋" w:cs="仿宋"/>
          <w:bCs/>
          <w:sz w:val="24"/>
        </w:rPr>
        <w:t>项目资金分3期支付至乙方指定银行账户：</w:t>
      </w:r>
      <w:bookmarkEnd w:id="27"/>
    </w:p>
    <w:p>
      <w:pPr>
        <w:spacing w:line="360" w:lineRule="auto"/>
        <w:ind w:firstLine="480" w:firstLineChars="200"/>
        <w:outlineLvl w:val="0"/>
        <w:rPr>
          <w:rFonts w:hint="eastAsia" w:ascii="仿宋" w:hAnsi="仿宋" w:eastAsia="仿宋" w:cs="仿宋"/>
          <w:bCs/>
          <w:sz w:val="24"/>
        </w:rPr>
      </w:pPr>
      <w:bookmarkStart w:id="28" w:name="_Toc29399"/>
      <w:r>
        <w:rPr>
          <w:rFonts w:hint="eastAsia" w:ascii="仿宋" w:hAnsi="仿宋" w:eastAsia="仿宋" w:cs="仿宋"/>
          <w:bCs/>
          <w:sz w:val="24"/>
        </w:rPr>
        <w:t>1.第</w:t>
      </w:r>
      <w:r>
        <w:rPr>
          <w:rFonts w:ascii="仿宋" w:hAnsi="仿宋" w:eastAsia="仿宋" w:cs="仿宋"/>
          <w:bCs/>
          <w:sz w:val="24"/>
        </w:rPr>
        <w:t>1</w:t>
      </w:r>
      <w:r>
        <w:rPr>
          <w:rFonts w:hint="eastAsia" w:ascii="仿宋" w:hAnsi="仿宋" w:eastAsia="仿宋" w:cs="仿宋"/>
          <w:bCs/>
          <w:sz w:val="24"/>
        </w:rPr>
        <w:t>期：自本项目合同签订之日后，根据乙方提出的付款申请，甲方向乙方支付合同总价款的</w:t>
      </w:r>
      <w:r>
        <w:rPr>
          <w:rFonts w:ascii="仿宋" w:hAnsi="仿宋" w:eastAsia="仿宋" w:cs="仿宋"/>
          <w:bCs/>
          <w:sz w:val="24"/>
        </w:rPr>
        <w:t>5</w:t>
      </w:r>
      <w:r>
        <w:rPr>
          <w:rFonts w:hint="eastAsia" w:ascii="仿宋" w:hAnsi="仿宋" w:eastAsia="仿宋" w:cs="仿宋"/>
          <w:bCs/>
          <w:sz w:val="24"/>
        </w:rPr>
        <w:t>0%，即人民币         （小写￥         ）；</w:t>
      </w:r>
      <w:bookmarkEnd w:id="28"/>
    </w:p>
    <w:p>
      <w:pPr>
        <w:spacing w:line="360" w:lineRule="auto"/>
        <w:ind w:firstLine="480" w:firstLineChars="200"/>
        <w:outlineLvl w:val="0"/>
        <w:rPr>
          <w:rFonts w:hint="eastAsia" w:ascii="仿宋" w:hAnsi="仿宋" w:eastAsia="仿宋" w:cs="仿宋"/>
          <w:bCs/>
          <w:sz w:val="24"/>
        </w:rPr>
      </w:pPr>
      <w:bookmarkStart w:id="29" w:name="_Toc13036"/>
      <w:r>
        <w:rPr>
          <w:rFonts w:hint="eastAsia" w:ascii="仿宋" w:hAnsi="仿宋" w:eastAsia="仿宋" w:cs="仿宋"/>
          <w:bCs/>
          <w:sz w:val="24"/>
        </w:rPr>
        <w:t>2.第</w:t>
      </w:r>
      <w:r>
        <w:rPr>
          <w:rFonts w:ascii="仿宋" w:hAnsi="仿宋" w:eastAsia="仿宋" w:cs="仿宋"/>
          <w:bCs/>
          <w:sz w:val="24"/>
        </w:rPr>
        <w:t>2</w:t>
      </w:r>
      <w:r>
        <w:rPr>
          <w:rFonts w:hint="eastAsia" w:ascii="仿宋" w:hAnsi="仿宋" w:eastAsia="仿宋" w:cs="仿宋"/>
          <w:bCs/>
          <w:sz w:val="24"/>
        </w:rPr>
        <w:t>期：自合同签订后3个月内，乙方完成研究报告完整版初稿编制，经甲方验收合格后，甲方向乙方支付合同总价款的30%</w:t>
      </w:r>
      <w:bookmarkStart w:id="54" w:name="_GoBack"/>
      <w:bookmarkEnd w:id="54"/>
      <w:r>
        <w:rPr>
          <w:rFonts w:hint="eastAsia" w:ascii="仿宋" w:hAnsi="仿宋" w:eastAsia="仿宋" w:cs="仿宋"/>
          <w:bCs/>
          <w:sz w:val="24"/>
        </w:rPr>
        <w:t>，即人民币         （小写￥         ）。</w:t>
      </w:r>
      <w:bookmarkEnd w:id="29"/>
    </w:p>
    <w:p>
      <w:pPr>
        <w:spacing w:line="360" w:lineRule="auto"/>
        <w:ind w:firstLine="480" w:firstLineChars="200"/>
        <w:outlineLvl w:val="0"/>
        <w:rPr>
          <w:rFonts w:hint="eastAsia" w:ascii="仿宋" w:hAnsi="仿宋" w:eastAsia="仿宋" w:cs="仿宋"/>
          <w:bCs/>
          <w:sz w:val="24"/>
        </w:rPr>
      </w:pPr>
      <w:bookmarkStart w:id="30" w:name="_Toc23573"/>
      <w:r>
        <w:rPr>
          <w:rFonts w:hint="eastAsia" w:ascii="仿宋" w:hAnsi="仿宋" w:eastAsia="仿宋" w:cs="仿宋"/>
          <w:bCs/>
          <w:sz w:val="24"/>
        </w:rPr>
        <w:t>3.第3期：乙方完成合同全部内容，经甲方验收合格后，甲方向乙方支付项目合同总价款的尾款。</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4.上述每期款项均在满足付款条件，且甲方收到乙方开具的载明相应金额的合格发票后10个工作日内付至乙方指定银行账户。如未及时收到发票，则甲方相应付款时间顺延。若因甲方付款审批影响支付进度，不视为违约，请乙方予以谅解，并不得就此向甲方索赔。甲方有权在支付价款时扣除乙方按照本合同应承担的违约金和赔补偿金。</w:t>
      </w:r>
      <w:bookmarkEnd w:id="30"/>
    </w:p>
    <w:p>
      <w:pPr>
        <w:spacing w:line="360" w:lineRule="auto"/>
        <w:ind w:firstLine="480" w:firstLineChars="200"/>
        <w:outlineLvl w:val="0"/>
        <w:rPr>
          <w:rFonts w:hint="eastAsia" w:ascii="仿宋" w:hAnsi="仿宋" w:eastAsia="仿宋" w:cs="仿宋"/>
          <w:bCs/>
          <w:sz w:val="24"/>
        </w:rPr>
      </w:pPr>
      <w:bookmarkStart w:id="31" w:name="_Toc26475"/>
      <w:r>
        <w:rPr>
          <w:rFonts w:hint="eastAsia" w:ascii="仿宋" w:hAnsi="仿宋" w:eastAsia="仿宋" w:cs="仿宋"/>
          <w:bCs/>
          <w:sz w:val="24"/>
        </w:rPr>
        <w:t>乙方收款信息</w:t>
      </w:r>
      <w:bookmarkEnd w:id="31"/>
    </w:p>
    <w:p>
      <w:pPr>
        <w:spacing w:line="360" w:lineRule="auto"/>
        <w:ind w:firstLine="480" w:firstLineChars="200"/>
        <w:outlineLvl w:val="0"/>
        <w:rPr>
          <w:rFonts w:hint="eastAsia" w:ascii="仿宋" w:hAnsi="仿宋" w:eastAsia="仿宋" w:cs="仿宋"/>
          <w:bCs/>
          <w:sz w:val="24"/>
        </w:rPr>
      </w:pPr>
      <w:bookmarkStart w:id="32" w:name="_Toc28263"/>
      <w:r>
        <w:rPr>
          <w:rFonts w:hint="eastAsia" w:ascii="仿宋" w:hAnsi="仿宋" w:eastAsia="仿宋" w:cs="仿宋"/>
          <w:bCs/>
          <w:sz w:val="24"/>
        </w:rPr>
        <w:t>户名：</w:t>
      </w:r>
      <w:bookmarkEnd w:id="32"/>
    </w:p>
    <w:p>
      <w:pPr>
        <w:spacing w:line="360" w:lineRule="auto"/>
        <w:ind w:firstLine="480" w:firstLineChars="200"/>
        <w:outlineLvl w:val="0"/>
        <w:rPr>
          <w:rFonts w:hint="eastAsia" w:ascii="仿宋" w:hAnsi="仿宋" w:eastAsia="仿宋" w:cs="仿宋"/>
          <w:bCs/>
          <w:sz w:val="24"/>
        </w:rPr>
      </w:pPr>
      <w:bookmarkStart w:id="33" w:name="_Toc26152"/>
      <w:r>
        <w:rPr>
          <w:rFonts w:hint="eastAsia" w:ascii="仿宋" w:hAnsi="仿宋" w:eastAsia="仿宋" w:cs="仿宋"/>
          <w:bCs/>
          <w:sz w:val="24"/>
        </w:rPr>
        <w:t>银行账号：</w:t>
      </w:r>
      <w:bookmarkEnd w:id="33"/>
    </w:p>
    <w:p>
      <w:pPr>
        <w:spacing w:line="360" w:lineRule="auto"/>
        <w:ind w:firstLine="480" w:firstLineChars="200"/>
        <w:outlineLvl w:val="0"/>
        <w:rPr>
          <w:rFonts w:hint="eastAsia" w:ascii="仿宋" w:hAnsi="仿宋" w:eastAsia="仿宋" w:cs="仿宋"/>
          <w:bCs/>
          <w:sz w:val="24"/>
        </w:rPr>
      </w:pPr>
      <w:bookmarkStart w:id="34" w:name="_Toc438"/>
      <w:r>
        <w:rPr>
          <w:rFonts w:hint="eastAsia" w:ascii="仿宋" w:hAnsi="仿宋" w:eastAsia="仿宋" w:cs="仿宋"/>
          <w:bCs/>
          <w:sz w:val="24"/>
        </w:rPr>
        <w:t>开户银行：</w:t>
      </w:r>
      <w:bookmarkEnd w:id="34"/>
      <w:r>
        <w:rPr>
          <w:rFonts w:hint="eastAsia" w:ascii="仿宋" w:hAnsi="仿宋" w:eastAsia="仿宋" w:cs="仿宋"/>
          <w:bCs/>
          <w:sz w:val="24"/>
        </w:rPr>
        <w:t xml:space="preserve"> </w:t>
      </w:r>
    </w:p>
    <w:p>
      <w:pPr>
        <w:spacing w:line="360" w:lineRule="auto"/>
        <w:ind w:firstLine="480" w:firstLineChars="200"/>
        <w:outlineLvl w:val="0"/>
        <w:rPr>
          <w:rFonts w:hint="eastAsia" w:ascii="仿宋" w:hAnsi="仿宋" w:eastAsia="仿宋" w:cs="仿宋"/>
          <w:bCs/>
          <w:sz w:val="24"/>
        </w:rPr>
      </w:pPr>
      <w:bookmarkStart w:id="35" w:name="_Toc27597"/>
      <w:r>
        <w:rPr>
          <w:rFonts w:hint="eastAsia" w:ascii="仿宋" w:hAnsi="仿宋" w:eastAsia="仿宋" w:cs="仿宋"/>
          <w:bCs/>
          <w:sz w:val="24"/>
        </w:rPr>
        <w:t>乙方应确保所提供的银行账号信息准确无误。如账号发生错误、变更等情况，应当提前10日以书面形式通知甲方，否则，由此而引起的一切责任均由乙方自行承担。</w:t>
      </w:r>
      <w:bookmarkEnd w:id="35"/>
    </w:p>
    <w:p>
      <w:pPr>
        <w:spacing w:line="360" w:lineRule="auto"/>
        <w:ind w:firstLine="482" w:firstLineChars="200"/>
        <w:outlineLvl w:val="0"/>
        <w:rPr>
          <w:rFonts w:hint="eastAsia" w:ascii="仿宋" w:hAnsi="仿宋" w:eastAsia="仿宋" w:cs="仿宋"/>
          <w:b/>
          <w:sz w:val="24"/>
        </w:rPr>
      </w:pPr>
      <w:bookmarkStart w:id="36" w:name="_Toc26548"/>
      <w:r>
        <w:rPr>
          <w:rFonts w:hint="eastAsia" w:ascii="仿宋" w:hAnsi="仿宋" w:eastAsia="仿宋" w:cs="仿宋"/>
          <w:b/>
          <w:sz w:val="24"/>
        </w:rPr>
        <w:t>十一、合同提前终止</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1.甲、乙方不得擅自变更、中止或者终止本合同。如本合同继续履行将损害国家利益和社会公共利益的，各方当事人应当变更、中止或者终止本合同。有过错的一方应当承担赔偿责任，双方都有过错的，各自承担相应的责任。</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2.如果一方发生破产、解散、被依法关闭、撤销或已进入清算阶段等情形，发生上述情形的一方有义务在事由发生后15个工作日内以书面方式通知各方，任何一方有权解除合同。在该等情形下，甲方已向乙方支付的款项不退还，尚未支付的款项不再支付，同时乙方应向甲方提交在合同终止日前完成的所有项目文件和相关资料。</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3.有下列情形之一的，本合同自甲方向乙方发出书面通知之日起终止：</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（1）甲方的职能发生转变，不再具有委托职能。</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（2）本合同签订时适用的法律法规或政策发生变化，且对本合同的继续履行造成重大影响。</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发生以上情形，甲方已向乙方支付的款项不退还，尚未支付的款项不再支付，同时乙方应向甲方提交在合同终止日前完成的所有项目文件和相关资料。</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4.如发生不可抗力或其他超出合同各方控制的事件，致使一方无法履行合同，本合同解除。</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1）本合同所称不可抗力是指自然灾害、战争、地震等不可预见、不可避免、不可克服的情况。不可抗力事件发生后，受影响一方应立即通知各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各方提交正式报告及有关部门开具的证明材料。</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（2）发生不可抗力，各方承担各自的损失。由于其中一方迟延履行合同义务后发生不可抗力的，其违约责任不能免除。</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3）不可抗力事件导致一方无法履行合同义务或继续履行已无意义，由各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0"/>
        <w:rPr>
          <w:rFonts w:hint="eastAsia" w:ascii="仿宋" w:hAnsi="仿宋" w:eastAsia="仿宋" w:cs="仿宋"/>
          <w:b/>
          <w:sz w:val="24"/>
        </w:rPr>
      </w:pPr>
      <w:r>
        <w:rPr>
          <w:rFonts w:hint="eastAsia" w:ascii="仿宋" w:hAnsi="仿宋" w:eastAsia="仿宋" w:cs="仿宋"/>
          <w:b/>
          <w:sz w:val="24"/>
        </w:rPr>
        <w:t>十二、争议解决办法</w:t>
      </w:r>
      <w:bookmarkEnd w:id="36"/>
    </w:p>
    <w:p>
      <w:pPr>
        <w:tabs>
          <w:tab w:val="left" w:pos="4267"/>
        </w:tabs>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甲方、乙方在履行本合同对有关问题发生争端时，各方应友好协商解决。协商不成的，各方可依法向深圳前海合作区人民法院起诉。</w:t>
      </w:r>
    </w:p>
    <w:p>
      <w:pPr>
        <w:spacing w:line="360" w:lineRule="auto"/>
        <w:ind w:firstLine="482" w:firstLineChars="200"/>
        <w:outlineLvl w:val="0"/>
        <w:rPr>
          <w:rFonts w:hint="eastAsia" w:ascii="仿宋" w:hAnsi="仿宋" w:eastAsia="仿宋" w:cs="仿宋"/>
          <w:b/>
          <w:sz w:val="24"/>
        </w:rPr>
      </w:pPr>
      <w:bookmarkStart w:id="37" w:name="_Toc13355"/>
      <w:r>
        <w:rPr>
          <w:rFonts w:hint="eastAsia" w:ascii="仿宋" w:hAnsi="仿宋" w:eastAsia="仿宋" w:cs="仿宋"/>
          <w:b/>
          <w:sz w:val="24"/>
        </w:rPr>
        <w:t>十三、违约责任</w:t>
      </w:r>
      <w:bookmarkEnd w:id="37"/>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（一）如乙方未按照约定的时间完成相关工作要求，每迟延一日，甲方有权自尚未支付的合同款项中扣除本合同服务费总金额的3‰的逾期违约金。</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（二）本合同项下的工作内容不可分割，任一文件的迟延交付均视为整个项目的迟延交付。</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（三）本合同履行期间，发生下述情形时，甲方有权解除本合同，乙方除应退还甲方已支付的全部款项外</w:t>
      </w:r>
      <w:r>
        <w:rPr>
          <w:rFonts w:hint="eastAsia" w:ascii="仿宋" w:hAnsi="仿宋" w:eastAsia="仿宋" w:cs="仿宋"/>
          <w:bCs/>
          <w:sz w:val="24"/>
          <w:lang w:eastAsia="zh-CN"/>
        </w:rPr>
        <w:t>，</w:t>
      </w:r>
      <w:r>
        <w:rPr>
          <w:rFonts w:hint="eastAsia" w:ascii="仿宋" w:hAnsi="仿宋" w:eastAsia="仿宋" w:cs="仿宋"/>
          <w:bCs/>
          <w:sz w:val="24"/>
        </w:rPr>
        <w:t>还应在合同解除通知发出之日起10日内向甲方支付合同总价款10%的违约金。乙方应同时将已完成的项目成果移交给甲方，并将全部有关资料退还甲方：</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1.乙方未能按合同约定的日期(含协商延缓的日期)完成工作或提交成果，延误时间超过7个工作日；</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2.因乙方工作的错误或遗漏造成成果质量不符合本合同要求，且乙方未按甲方要求采取及时有效的补救措施的；</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3.乙方虽如期完成工作或提交工作成果，但工作成果连续两次未能通过甲方验收的；</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4.未经甲方书面在先同意，乙方擅自将本合同项目与任何第三方合作，或将本合同标的的全部或部分擅自转包或分包给任何第三方，且未按甲方的要求终止与第三方的协议的；</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5.发现乙方或乙方工作人员出现全部或部分丧失履行委托服务能力的情况，甲方有权通知乙方限期整改或更换工作人员，期限届满乙方并未进行改善的；</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6.乙方明确表示或者以自己的行为表明不履行本合同的。</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四）除因甲方付款审批影响支付进度的情况外，如甲方未按照本合同约定的时间支付服务费，乙方书面催告甲方并给予不少于5个工作日的履行期限后甲方仍未支付的，乙方有权自该期限届满之日起要求甲方支付应付而未付服务费金额的3‰的逾期违约金。如甲方无正当理由拒绝接受服务，乙方有权要求甲方支付本合同项下服务费总金额10%的违约金。</w:t>
      </w:r>
    </w:p>
    <w:p>
      <w:pPr>
        <w:spacing w:line="360" w:lineRule="auto"/>
        <w:ind w:firstLine="480" w:firstLineChars="200"/>
        <w:outlineLvl w:val="0"/>
        <w:rPr>
          <w:rFonts w:hint="eastAsia" w:ascii="仿宋" w:hAnsi="仿宋" w:eastAsia="仿宋" w:cs="仿宋"/>
          <w:bCs/>
          <w:sz w:val="24"/>
        </w:rPr>
      </w:pPr>
      <w:r>
        <w:rPr>
          <w:rFonts w:hint="eastAsia" w:ascii="仿宋" w:hAnsi="仿宋" w:eastAsia="仿宋" w:cs="仿宋"/>
          <w:bCs/>
          <w:sz w:val="24"/>
        </w:rPr>
        <w:t>（五）上述违约责任各自独立且可累加。如本合同所约定的违约金无法弥补因违约行为所造成的损失，违约方应补偿上述不足部分的损失。</w:t>
      </w:r>
    </w:p>
    <w:p>
      <w:pPr>
        <w:spacing w:line="360" w:lineRule="auto"/>
        <w:ind w:firstLine="482" w:firstLineChars="200"/>
        <w:outlineLvl w:val="0"/>
        <w:rPr>
          <w:rFonts w:hint="eastAsia" w:ascii="仿宋" w:hAnsi="仿宋" w:eastAsia="仿宋" w:cs="仿宋"/>
          <w:b/>
          <w:sz w:val="24"/>
        </w:rPr>
      </w:pPr>
      <w:bookmarkStart w:id="38" w:name="_Toc563"/>
      <w:r>
        <w:rPr>
          <w:rFonts w:hint="eastAsia" w:ascii="仿宋" w:hAnsi="仿宋" w:eastAsia="仿宋" w:cs="仿宋"/>
          <w:b/>
          <w:sz w:val="24"/>
        </w:rPr>
        <w:t>十四、其他</w:t>
      </w:r>
      <w:bookmarkEnd w:id="38"/>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一）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1、合同书及补充协议；</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2、中标通知书；</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3、招标文件（编号：</w:t>
      </w:r>
      <w:r>
        <w:rPr>
          <w:rFonts w:hint="eastAsia" w:ascii="仿宋" w:hAnsi="仿宋" w:eastAsia="仿宋" w:cs="仿宋"/>
          <w:sz w:val="24"/>
          <w:u w:val="single"/>
        </w:rPr>
        <w:t xml:space="preserve">      </w:t>
      </w:r>
      <w:r>
        <w:rPr>
          <w:rFonts w:hint="eastAsia" w:ascii="仿宋" w:hAnsi="仿宋" w:eastAsia="仿宋" w:cs="仿宋"/>
          <w:sz w:val="24"/>
        </w:rPr>
        <w:t>）、答疑及补充通知；</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4、投标书。</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（二）本合同替代此前各方所有关于本合同事项的口头或书面的纪要、备忘录、合同、协议。</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（三）本合同附件（如有）为合同不可分割的组成部分，与本合同一并加盖骑缝章后具有同等法律效力。若附件与合同正文有任何冲突，以合同正文为准。</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（四）本合同各条标题仅为提示之用，应以条文内容确定各方的权利义务。</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（五）本合同未尽事宜，由各方协商签订补充协议进行约定。补充协议应以书面形式作成，经各方盖章后与本合同具有同等法律效力。</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（六）本合同约定的权利和义务不因合同各方发生收购、兼并、重组、分立而发生变化。如果发生上述情形，则本合同约定的权利和义务随之转移至收购、兼并、重组或分立后成立的单位。</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（七）本合同在国家法律、法规和规章规定的范围内执行。当国家法律、法规和规章发生变化导致本合同有关条款与之抵触时，各方协商变更或废止该条款，在此情况下，各方互不承担责任。</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（八）如果本合同的任何条款在任何时候变成不合法、无效或不可强制执行而不从根本上影响本合同的效力时，本合同的其他条款不受影响。</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九）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（十）本合同的任何内容不应被视为或解释为各方之间具有合资、合伙、代理关系。</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（十一）任何一方未经另一方同意不得向任何第三方透露本合同的签订及其内容。甲方向其关联公司透露前述内容的，不受此限。</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十二）各方因履行本合同或与本合同有关的一切通知都必须按照本合同中的地址，以书面形式或各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（十三）本合同自各方盖章之日起生效，有效期至本合同服务期满之日止。</w:t>
      </w: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（十四）本合同一式四份正本，甲方与乙方各执两份，均具同等法律效力。</w:t>
      </w:r>
    </w:p>
    <w:p>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附件：项目服务团队人员名单</w:t>
      </w:r>
    </w:p>
    <w:p>
      <w:pPr>
        <w:tabs>
          <w:tab w:val="left" w:pos="4267"/>
        </w:tabs>
        <w:spacing w:line="360" w:lineRule="auto"/>
        <w:rPr>
          <w:rFonts w:hint="eastAsia" w:ascii="仿宋" w:hAnsi="仿宋" w:eastAsia="仿宋" w:cs="仿宋"/>
          <w:sz w:val="24"/>
        </w:rPr>
      </w:pPr>
    </w:p>
    <w:p>
      <w:pPr>
        <w:tabs>
          <w:tab w:val="left" w:pos="4267"/>
        </w:tabs>
        <w:spacing w:line="360" w:lineRule="auto"/>
        <w:ind w:firstLine="480" w:firstLineChars="200"/>
        <w:rPr>
          <w:rFonts w:hint="eastAsia" w:ascii="仿宋" w:hAnsi="仿宋" w:eastAsia="仿宋" w:cs="仿宋"/>
          <w:sz w:val="24"/>
        </w:rPr>
      </w:pPr>
      <w:r>
        <w:rPr>
          <w:rFonts w:hint="eastAsia" w:ascii="仿宋" w:hAnsi="仿宋" w:eastAsia="仿宋" w:cs="仿宋"/>
          <w:sz w:val="24"/>
        </w:rPr>
        <w:t>（以下无正文，为签章栏）</w:t>
      </w:r>
    </w:p>
    <w:p>
      <w:pPr>
        <w:tabs>
          <w:tab w:val="left" w:pos="4267"/>
        </w:tabs>
        <w:spacing w:line="360" w:lineRule="auto"/>
        <w:ind w:firstLine="480" w:firstLineChars="200"/>
        <w:rPr>
          <w:rFonts w:hint="eastAsia" w:ascii="仿宋" w:hAnsi="仿宋" w:eastAsia="仿宋" w:cs="仿宋"/>
          <w:sz w:val="24"/>
        </w:rPr>
      </w:pPr>
    </w:p>
    <w:p>
      <w:pPr>
        <w:tabs>
          <w:tab w:val="left" w:pos="4267"/>
        </w:tabs>
        <w:spacing w:line="360" w:lineRule="auto"/>
        <w:ind w:firstLine="480" w:firstLineChars="200"/>
        <w:rPr>
          <w:rFonts w:hint="eastAsia" w:ascii="仿宋" w:hAnsi="仿宋" w:eastAsia="仿宋" w:cs="仿宋"/>
          <w:sz w:val="24"/>
        </w:rPr>
        <w:sectPr>
          <w:footerReference r:id="rId5" w:type="default"/>
          <w:footerReference r:id="rId6" w:type="even"/>
          <w:pgSz w:w="11906" w:h="16838"/>
          <w:pgMar w:top="2098" w:right="1588" w:bottom="1531" w:left="1588" w:header="709" w:footer="709" w:gutter="0"/>
          <w:cols w:space="720" w:num="1"/>
          <w:docGrid w:linePitch="360" w:charSpace="0"/>
        </w:sectPr>
      </w:pPr>
    </w:p>
    <w:p>
      <w:pPr>
        <w:tabs>
          <w:tab w:val="left" w:pos="4267"/>
        </w:tabs>
        <w:spacing w:line="360" w:lineRule="auto"/>
        <w:rPr>
          <w:rFonts w:hint="eastAsia" w:ascii="仿宋" w:hAnsi="仿宋" w:eastAsia="仿宋" w:cs="仿宋"/>
          <w:bCs/>
          <w:szCs w:val="21"/>
        </w:rPr>
      </w:pP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甲方（盖章）：深圳市前海深港现代服务业合作区管理局</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法定代表人或授权代表（签字）：</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 xml:space="preserve">日期：     年    月   日            </w:t>
      </w:r>
    </w:p>
    <w:p>
      <w:pPr>
        <w:pStyle w:val="11"/>
        <w:spacing w:after="0" w:line="360" w:lineRule="auto"/>
        <w:ind w:left="0" w:leftChars="0" w:right="0" w:rightChars="0"/>
        <w:rPr>
          <w:rFonts w:hint="eastAsia" w:ascii="仿宋" w:hAnsi="仿宋" w:eastAsia="仿宋" w:cs="仿宋"/>
          <w:sz w:val="24"/>
        </w:rPr>
      </w:pP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乙方（盖章）：</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法定代表人或授权代表（签字）：</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 xml:space="preserve">日期：     年    月   日            </w:t>
      </w:r>
    </w:p>
    <w:p>
      <w:pPr>
        <w:pStyle w:val="11"/>
        <w:spacing w:after="0" w:line="360" w:lineRule="auto"/>
        <w:ind w:left="0" w:leftChars="0" w:right="0" w:rightChars="0"/>
        <w:rPr>
          <w:rFonts w:hint="eastAsia" w:ascii="仿宋" w:hAnsi="仿宋" w:eastAsia="仿宋" w:cs="仿宋"/>
          <w:sz w:val="24"/>
        </w:rPr>
      </w:pPr>
    </w:p>
    <w:p>
      <w:pPr>
        <w:tabs>
          <w:tab w:val="left" w:pos="4267"/>
        </w:tabs>
        <w:spacing w:line="360" w:lineRule="auto"/>
        <w:ind w:firstLine="480" w:firstLineChars="200"/>
        <w:rPr>
          <w:rFonts w:hint="eastAsia" w:ascii="仿宋" w:hAnsi="仿宋" w:eastAsia="仿宋" w:cs="仿宋"/>
          <w:sz w:val="24"/>
        </w:rPr>
      </w:pPr>
    </w:p>
    <w:p>
      <w:pPr>
        <w:tabs>
          <w:tab w:val="left" w:pos="4267"/>
        </w:tabs>
        <w:spacing w:line="360" w:lineRule="auto"/>
        <w:ind w:firstLine="480" w:firstLineChars="200"/>
        <w:rPr>
          <w:rFonts w:hint="eastAsia" w:ascii="仿宋" w:hAnsi="仿宋" w:eastAsia="仿宋" w:cs="仿宋"/>
          <w:sz w:val="24"/>
        </w:rPr>
      </w:pPr>
    </w:p>
    <w:p>
      <w:pPr>
        <w:tabs>
          <w:tab w:val="left" w:pos="4267"/>
        </w:tabs>
        <w:spacing w:line="360" w:lineRule="auto"/>
        <w:ind w:firstLine="480" w:firstLineChars="200"/>
        <w:rPr>
          <w:rFonts w:hint="eastAsia" w:ascii="仿宋" w:hAnsi="仿宋" w:eastAsia="仿宋" w:cs="仿宋"/>
          <w:sz w:val="24"/>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24"/>
        </w:rPr>
        <w:t>注：本合同样本仅供参考，具体条款内容由采购单位和中标单位协商确定。</w:t>
      </w:r>
    </w:p>
    <w:p>
      <w:pPr>
        <w:numPr>
          <w:ilvl w:val="0"/>
          <w:numId w:val="3"/>
        </w:numPr>
        <w:spacing w:line="360" w:lineRule="auto"/>
        <w:jc w:val="center"/>
        <w:outlineLvl w:val="0"/>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w:t>
      </w:r>
      <w:bookmarkStart w:id="39" w:name="_Toc793"/>
      <w:r>
        <w:rPr>
          <w:rFonts w:hint="eastAsia" w:ascii="宋体" w:hAnsi="宋体" w:cs="宋体"/>
          <w:b/>
          <w:bCs/>
          <w:sz w:val="24"/>
        </w:rPr>
        <w:t>用户需求书</w:t>
      </w:r>
      <w:bookmarkEnd w:id="39"/>
    </w:p>
    <w:p>
      <w:pPr>
        <w:spacing w:line="360" w:lineRule="auto"/>
        <w:ind w:firstLine="482" w:firstLineChars="200"/>
        <w:outlineLvl w:val="1"/>
      </w:pPr>
      <w:bookmarkStart w:id="40" w:name="_Toc11045"/>
      <w:bookmarkStart w:id="41" w:name="_Toc23726"/>
      <w:r>
        <w:rPr>
          <w:rFonts w:hint="eastAsia" w:ascii="宋体" w:hAnsi="宋体" w:cs="宋体"/>
          <w:b/>
          <w:sz w:val="24"/>
        </w:rPr>
        <w:t>一、</w:t>
      </w:r>
      <w:bookmarkEnd w:id="40"/>
      <w:bookmarkEnd w:id="41"/>
      <w:bookmarkStart w:id="42" w:name="_Toc51746099"/>
      <w:r>
        <w:rPr>
          <w:rFonts w:hint="eastAsia" w:ascii="宋体" w:hAnsi="宋体" w:cs="宋体"/>
          <w:b/>
          <w:sz w:val="24"/>
        </w:rPr>
        <w:t>项目总体概况</w:t>
      </w:r>
    </w:p>
    <w:bookmarkEnd w:id="42"/>
    <w:p>
      <w:pPr>
        <w:pStyle w:val="33"/>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本次咨询服务内容主要为根据前海金融业“十四五”发展情况，准确把握“十五五”金融业发展优势、劣势、机遇和挑战，对未来五年发展进行构思和展望，提出前海金融业发展优化升级的总体思路、主要目标和关键举措，对前海金融业高质量发展进行前瞻性思考、全局性谋划、战略性布局。</w:t>
      </w:r>
    </w:p>
    <w:p>
      <w:pPr>
        <w:spacing w:line="360" w:lineRule="auto"/>
        <w:ind w:firstLine="482" w:firstLineChars="200"/>
        <w:outlineLvl w:val="1"/>
        <w:rPr>
          <w:rFonts w:hint="eastAsia" w:ascii="宋体" w:hAnsi="宋体" w:cs="宋体"/>
          <w:b/>
          <w:sz w:val="24"/>
        </w:rPr>
      </w:pPr>
      <w:r>
        <w:rPr>
          <w:rFonts w:hint="eastAsia" w:ascii="宋体" w:hAnsi="宋体" w:cs="宋体"/>
          <w:b/>
          <w:sz w:val="24"/>
        </w:rPr>
        <w:t>二、项目目标</w:t>
      </w:r>
    </w:p>
    <w:p>
      <w:pPr>
        <w:pStyle w:val="33"/>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形成前海金融业发展“十五五”规划研究报告及相关专题研究成果。</w:t>
      </w:r>
    </w:p>
    <w:p>
      <w:pPr>
        <w:pStyle w:val="33"/>
        <w:tabs>
          <w:tab w:val="left" w:pos="720"/>
        </w:tabs>
        <w:autoSpaceDE w:val="0"/>
        <w:autoSpaceDN w:val="0"/>
        <w:adjustRightInd w:val="0"/>
        <w:spacing w:line="360" w:lineRule="auto"/>
        <w:ind w:right="17" w:firstLine="482"/>
        <w:jc w:val="left"/>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三、服务内容及服务要求</w:t>
      </w:r>
    </w:p>
    <w:p>
      <w:pPr>
        <w:pStyle w:val="33"/>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1、总结分析“十四五”时期前海金融业发展成效及存在问题。围绕“前海金融30条”等重大政策文件落实情况，结合上一个五年专项规划提出目标任务，系统总结前海金融业改革开放创新取得成效，以及进一步提升金融业发展质效已具备的优势条件和可挖掘的潜力空间。通过与同类型区域多维度比较，深入分析制约前海金融业发展的关键因素，提出当前及未来亟待解决问题、补强短板。</w:t>
      </w:r>
    </w:p>
    <w:p>
      <w:pPr>
        <w:pStyle w:val="33"/>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2、科学研判“十五五”时期前海金融业发展面临的内外部形势变化。基于国内外经济金融形势研判，深入分析国家省市政策取向和金融市场走向，结合新兴特色金融领域及未来发展方向，精准定位香港、深圳、前海所处发展阶段及特征，研究分析前海金融业发展面临的重大战略机遇及风险挑战，主动识别并挖掘有利条件。</w:t>
      </w:r>
    </w:p>
    <w:p>
      <w:pPr>
        <w:pStyle w:val="33"/>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3、研究提出“十五五”时期前海金融业发展思路、总体定位及具体目标。围绕国家金融业对外开放试验示范窗口和跨境人民币业务创新试验区战略使命，聚焦“金融强国”建设、做好金融“五篇大文章”、推进深港金融市场互联互通等任务要求，研究提出“十五五”时期前海金融业高质量发展基本思路及功能定位，科学测算总体发展目标及细分领域定性定量指标。</w:t>
      </w:r>
    </w:p>
    <w:p>
      <w:pPr>
        <w:pStyle w:val="33"/>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4、研究提出“十五五”时期前海金融业发展路径方向和任务措施。基于上述总体思路框架，结合对前海金融业发展优势与劣势、机遇与挑战分析，进一步明确“十五五”时期金融业发展路径，从金融改革开放、金融主体、金融市场、金融生态等多个维度，研究制定兼具前瞻性、科学性和可操作性的具体措施，确保高质量完成各项任务目标。</w:t>
      </w:r>
    </w:p>
    <w:p>
      <w:pPr>
        <w:pStyle w:val="33"/>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5、系统梳理“十五五”时期前海金融业重大改革及重大项目。结合前海金融发展局中长期工作安排，系统谋划梳理一批重大载体、重大平台、重大改革和重大项目，以甘特图、时间轴等形式，进一步明确实施主体、责任单位和推进措施。充分用好“前海金融30条”等政策文件，做好与上级有关部门沟通衔接，争取更多重大载体、重大平台、重大改革和重大项目纳入上级规划或政策文件。</w:t>
      </w:r>
    </w:p>
    <w:p>
      <w:pPr>
        <w:pStyle w:val="33"/>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四、工作进度及阶段成果要求</w:t>
      </w:r>
    </w:p>
    <w:tbl>
      <w:tblPr>
        <w:tblStyle w:val="23"/>
        <w:tblW w:w="8858" w:type="dxa"/>
        <w:jc w:val="center"/>
        <w:tblLayout w:type="fixed"/>
        <w:tblCellMar>
          <w:top w:w="0" w:type="dxa"/>
          <w:left w:w="0" w:type="dxa"/>
          <w:bottom w:w="0" w:type="dxa"/>
          <w:right w:w="0" w:type="dxa"/>
        </w:tblCellMar>
      </w:tblPr>
      <w:tblGrid>
        <w:gridCol w:w="707"/>
        <w:gridCol w:w="1456"/>
        <w:gridCol w:w="2209"/>
        <w:gridCol w:w="4486"/>
      </w:tblGrid>
      <w:tr>
        <w:tblPrEx>
          <w:tblCellMar>
            <w:top w:w="0" w:type="dxa"/>
            <w:left w:w="0" w:type="dxa"/>
            <w:bottom w:w="0" w:type="dxa"/>
            <w:right w:w="0" w:type="dxa"/>
          </w:tblCellMar>
        </w:tblPrEx>
        <w:trPr>
          <w:cantSplit/>
          <w:trHeight w:val="419"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宋体" w:hAnsi="宋体" w:cs="宋体"/>
                <w:bCs/>
                <w:sz w:val="24"/>
              </w:rPr>
            </w:pPr>
            <w:r>
              <w:rPr>
                <w:rFonts w:hint="eastAsia" w:ascii="宋体" w:hAnsi="宋体" w:cs="宋体"/>
                <w:bCs/>
                <w:sz w:val="24"/>
              </w:rPr>
              <w:t>序号</w:t>
            </w:r>
          </w:p>
        </w:tc>
        <w:tc>
          <w:tcPr>
            <w:tcW w:w="1456"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宋体" w:hAnsi="宋体" w:cs="宋体"/>
                <w:bCs/>
                <w:sz w:val="24"/>
              </w:rPr>
            </w:pPr>
            <w:r>
              <w:rPr>
                <w:rFonts w:hint="eastAsia" w:ascii="宋体" w:hAnsi="宋体" w:cs="宋体"/>
                <w:bCs/>
                <w:sz w:val="24"/>
              </w:rPr>
              <w:t>阶段</w:t>
            </w:r>
          </w:p>
        </w:tc>
        <w:tc>
          <w:tcPr>
            <w:tcW w:w="2209"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宋体" w:hAnsi="宋体" w:cs="宋体"/>
                <w:bCs/>
                <w:sz w:val="24"/>
              </w:rPr>
            </w:pPr>
            <w:r>
              <w:rPr>
                <w:rFonts w:hint="eastAsia" w:ascii="宋体" w:hAnsi="宋体" w:cs="宋体"/>
                <w:bCs/>
                <w:sz w:val="24"/>
              </w:rPr>
              <w:t>时间</w:t>
            </w:r>
          </w:p>
        </w:tc>
        <w:tc>
          <w:tcPr>
            <w:tcW w:w="4486"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宋体" w:hAnsi="宋体" w:cs="宋体"/>
                <w:bCs/>
                <w:sz w:val="24"/>
              </w:rPr>
            </w:pPr>
            <w:r>
              <w:rPr>
                <w:rFonts w:hint="eastAsia" w:ascii="宋体" w:hAnsi="宋体" w:cs="宋体"/>
                <w:bCs/>
                <w:sz w:val="24"/>
              </w:rPr>
              <w:t>主要工作</w:t>
            </w:r>
          </w:p>
        </w:tc>
      </w:tr>
      <w:tr>
        <w:tblPrEx>
          <w:tblCellMar>
            <w:top w:w="0" w:type="dxa"/>
            <w:left w:w="0" w:type="dxa"/>
            <w:bottom w:w="0" w:type="dxa"/>
            <w:right w:w="0" w:type="dxa"/>
          </w:tblCellMar>
        </w:tblPrEx>
        <w:trPr>
          <w:cantSplit/>
          <w:trHeight w:val="475"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宋体" w:hAnsi="宋体" w:cs="宋体"/>
                <w:bCs/>
                <w:sz w:val="24"/>
              </w:rPr>
            </w:pPr>
            <w:r>
              <w:rPr>
                <w:rFonts w:hint="eastAsia" w:ascii="宋体" w:hAnsi="宋体" w:cs="宋体"/>
                <w:bCs/>
                <w:sz w:val="24"/>
                <w:lang w:eastAsia="en-US"/>
              </w:rPr>
              <w:t>1</w:t>
            </w:r>
          </w:p>
        </w:tc>
        <w:tc>
          <w:tcPr>
            <w:tcW w:w="1456"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宋体" w:hAnsi="宋体" w:cs="宋体"/>
                <w:bCs/>
                <w:sz w:val="24"/>
              </w:rPr>
            </w:pPr>
            <w:r>
              <w:rPr>
                <w:rFonts w:hint="eastAsia" w:ascii="宋体" w:hAnsi="宋体" w:cs="宋体"/>
                <w:bCs/>
                <w:sz w:val="24"/>
              </w:rPr>
              <w:t>项目前期</w:t>
            </w:r>
          </w:p>
        </w:tc>
        <w:tc>
          <w:tcPr>
            <w:tcW w:w="2209"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宋体" w:hAnsi="宋体" w:cs="宋体"/>
                <w:bCs/>
                <w:sz w:val="24"/>
              </w:rPr>
            </w:pPr>
            <w:r>
              <w:rPr>
                <w:rFonts w:hint="eastAsia" w:ascii="宋体" w:hAnsi="宋体" w:cs="宋体"/>
                <w:bCs/>
                <w:sz w:val="24"/>
              </w:rPr>
              <w:t>自本合同签订后</w:t>
            </w:r>
          </w:p>
        </w:tc>
        <w:tc>
          <w:tcPr>
            <w:tcW w:w="4486"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宋体" w:hAnsi="宋体" w:cs="宋体"/>
                <w:bCs/>
                <w:sz w:val="24"/>
              </w:rPr>
            </w:pPr>
            <w:r>
              <w:rPr>
                <w:rFonts w:hint="eastAsia" w:ascii="宋体" w:hAnsi="宋体" w:cs="宋体"/>
                <w:bCs/>
                <w:sz w:val="24"/>
              </w:rPr>
              <w:t>确定</w:t>
            </w:r>
            <w:r>
              <w:rPr>
                <w:rFonts w:hint="eastAsia" w:ascii="宋体" w:hAnsi="宋体" w:cs="宋体"/>
                <w:sz w:val="24"/>
              </w:rPr>
              <w:t>研究</w:t>
            </w:r>
            <w:r>
              <w:rPr>
                <w:rFonts w:hint="eastAsia" w:ascii="宋体" w:hAnsi="宋体" w:cs="宋体"/>
                <w:bCs/>
                <w:sz w:val="24"/>
              </w:rPr>
              <w:t>主体思路、框架搭建、资料收集</w:t>
            </w:r>
          </w:p>
        </w:tc>
      </w:tr>
      <w:tr>
        <w:tblPrEx>
          <w:tblCellMar>
            <w:top w:w="0" w:type="dxa"/>
            <w:left w:w="0" w:type="dxa"/>
            <w:bottom w:w="0" w:type="dxa"/>
            <w:right w:w="0" w:type="dxa"/>
          </w:tblCellMar>
        </w:tblPrEx>
        <w:trPr>
          <w:cantSplit/>
          <w:trHeight w:val="512"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宋体" w:hAnsi="宋体" w:cs="宋体"/>
                <w:bCs/>
                <w:sz w:val="24"/>
              </w:rPr>
            </w:pPr>
            <w:r>
              <w:rPr>
                <w:rFonts w:hint="eastAsia" w:ascii="宋体" w:hAnsi="宋体" w:cs="宋体"/>
                <w:bCs/>
                <w:sz w:val="24"/>
              </w:rPr>
              <w:t>2</w:t>
            </w:r>
          </w:p>
        </w:tc>
        <w:tc>
          <w:tcPr>
            <w:tcW w:w="1456"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宋体" w:hAnsi="宋体" w:cs="宋体"/>
                <w:bCs/>
                <w:sz w:val="24"/>
              </w:rPr>
            </w:pPr>
            <w:r>
              <w:rPr>
                <w:rFonts w:hint="eastAsia" w:ascii="宋体" w:hAnsi="宋体" w:cs="宋体"/>
                <w:bCs/>
                <w:sz w:val="24"/>
              </w:rPr>
              <w:t>项目中期</w:t>
            </w:r>
          </w:p>
        </w:tc>
        <w:tc>
          <w:tcPr>
            <w:tcW w:w="2209"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宋体" w:hAnsi="宋体" w:cs="宋体"/>
                <w:bCs/>
                <w:sz w:val="24"/>
              </w:rPr>
            </w:pPr>
            <w:r>
              <w:rPr>
                <w:rFonts w:hint="eastAsia" w:ascii="宋体" w:hAnsi="宋体" w:cs="宋体"/>
                <w:bCs/>
                <w:sz w:val="24"/>
              </w:rPr>
              <w:t>合同签订后3个月内</w:t>
            </w:r>
          </w:p>
        </w:tc>
        <w:tc>
          <w:tcPr>
            <w:tcW w:w="4486"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宋体" w:hAnsi="宋体" w:cs="宋体"/>
                <w:bCs/>
                <w:sz w:val="24"/>
              </w:rPr>
            </w:pPr>
            <w:r>
              <w:rPr>
                <w:rFonts w:hint="eastAsia" w:ascii="宋体" w:hAnsi="宋体" w:cs="宋体"/>
                <w:bCs/>
                <w:sz w:val="24"/>
              </w:rPr>
              <w:t>完成研究报告完整版初稿编制</w:t>
            </w:r>
          </w:p>
        </w:tc>
      </w:tr>
      <w:tr>
        <w:tblPrEx>
          <w:tblCellMar>
            <w:top w:w="0" w:type="dxa"/>
            <w:left w:w="0" w:type="dxa"/>
            <w:bottom w:w="0" w:type="dxa"/>
            <w:right w:w="0" w:type="dxa"/>
          </w:tblCellMar>
        </w:tblPrEx>
        <w:trPr>
          <w:cantSplit/>
          <w:trHeight w:val="40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宋体" w:hAnsi="宋体" w:cs="宋体"/>
                <w:bCs/>
                <w:sz w:val="24"/>
              </w:rPr>
            </w:pPr>
            <w:r>
              <w:rPr>
                <w:rFonts w:hint="eastAsia" w:ascii="宋体" w:hAnsi="宋体" w:cs="宋体"/>
                <w:bCs/>
                <w:sz w:val="24"/>
              </w:rPr>
              <w:t>3</w:t>
            </w:r>
          </w:p>
        </w:tc>
        <w:tc>
          <w:tcPr>
            <w:tcW w:w="1456"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宋体" w:hAnsi="宋体" w:cs="宋体"/>
                <w:bCs/>
                <w:sz w:val="24"/>
              </w:rPr>
            </w:pPr>
            <w:r>
              <w:rPr>
                <w:rFonts w:hint="eastAsia" w:ascii="宋体" w:hAnsi="宋体" w:cs="宋体"/>
                <w:bCs/>
                <w:sz w:val="24"/>
              </w:rPr>
              <w:t>项目后期</w:t>
            </w:r>
          </w:p>
        </w:tc>
        <w:tc>
          <w:tcPr>
            <w:tcW w:w="2209"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宋体" w:hAnsi="宋体" w:cs="宋体"/>
                <w:bCs/>
                <w:sz w:val="24"/>
              </w:rPr>
            </w:pPr>
            <w:r>
              <w:rPr>
                <w:rFonts w:hint="eastAsia" w:ascii="宋体" w:hAnsi="宋体" w:cs="宋体"/>
                <w:bCs/>
                <w:sz w:val="24"/>
              </w:rPr>
              <w:t>合同有效期内</w:t>
            </w:r>
          </w:p>
        </w:tc>
        <w:tc>
          <w:tcPr>
            <w:tcW w:w="4486" w:type="dxa"/>
            <w:tcBorders>
              <w:top w:val="single" w:color="auto" w:sz="4" w:space="0"/>
              <w:left w:val="single" w:color="auto" w:sz="4" w:space="0"/>
              <w:bottom w:val="single" w:color="auto" w:sz="4" w:space="0"/>
              <w:right w:val="single" w:color="auto" w:sz="4" w:space="0"/>
            </w:tcBorders>
            <w:vAlign w:val="center"/>
          </w:tcPr>
          <w:p>
            <w:pPr>
              <w:pStyle w:val="33"/>
              <w:tabs>
                <w:tab w:val="left" w:pos="720"/>
              </w:tabs>
              <w:autoSpaceDE w:val="0"/>
              <w:autoSpaceDN w:val="0"/>
              <w:adjustRightInd w:val="0"/>
              <w:spacing w:line="360" w:lineRule="auto"/>
              <w:ind w:right="17" w:firstLine="0" w:firstLineChars="0"/>
              <w:jc w:val="center"/>
              <w:outlineLvl w:val="1"/>
              <w:rPr>
                <w:rFonts w:hint="eastAsia" w:ascii="宋体" w:hAnsi="宋体" w:cs="宋体"/>
                <w:bCs/>
                <w:sz w:val="24"/>
              </w:rPr>
            </w:pPr>
            <w:r>
              <w:rPr>
                <w:rFonts w:hint="eastAsia" w:ascii="宋体" w:hAnsi="宋体" w:cs="宋体"/>
                <w:bCs/>
                <w:sz w:val="24"/>
              </w:rPr>
              <w:t>完成研究成果并通过审核。</w:t>
            </w:r>
          </w:p>
        </w:tc>
      </w:tr>
    </w:tbl>
    <w:p>
      <w:pPr>
        <w:pStyle w:val="33"/>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主要成果：主要成果为《前海金融业发展“十五五”规划研究》报告文本，需要根据前海金融业“十四五”发展情况，准确把握“十五五”金融业发展优势、劣势、机遇和挑战，对未来五年发展进行构思和展望，提出前海金融业发展优化升级的总体思路、主要目标和关键举措，进一步提升前海金融业高质量发展水平。</w:t>
      </w:r>
    </w:p>
    <w:p>
      <w:pPr>
        <w:pStyle w:val="33"/>
        <w:tabs>
          <w:tab w:val="left" w:pos="720"/>
        </w:tabs>
        <w:autoSpaceDE w:val="0"/>
        <w:autoSpaceDN w:val="0"/>
        <w:adjustRightInd w:val="0"/>
        <w:spacing w:line="360" w:lineRule="auto"/>
        <w:ind w:right="17" w:firstLine="482"/>
        <w:jc w:val="left"/>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sz w:val="24"/>
        </w:rPr>
        <w:t>五、验收方式</w:t>
      </w:r>
    </w:p>
    <w:p>
      <w:pPr>
        <w:pStyle w:val="33"/>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中标人按采购人要求提交《前海金融业发展“十五五”规划研究》研究成果后，采购人在最终成果提交后20天内对工作进行审查，最终成果验收合格的标志为采购人审查通过。</w:t>
      </w:r>
    </w:p>
    <w:p>
      <w:pPr>
        <w:pStyle w:val="33"/>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六、商务要求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（一）服务期限、履行方式及后续服务要求</w:t>
      </w:r>
    </w:p>
    <w:p>
      <w:pPr>
        <w:pStyle w:val="33"/>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1.履行时间：合同签订之日起一年内完成全部项目工作内容，工作成果按照双方约定时间交付。</w:t>
      </w:r>
    </w:p>
    <w:p>
      <w:pPr>
        <w:pStyle w:val="33"/>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2.履行方式：按委托方的工作内容及商务需求完成相应工作，并提交全部工作成果。</w:t>
      </w:r>
    </w:p>
    <w:p>
      <w:pPr>
        <w:pStyle w:val="33"/>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3.后续服务要求：中标人提交的本项目最终成果通过采购人审查验收之日起半年为本合同后续服务期。服务期内中标人应向采购人提供后续的专业技术支持与咨询服务。</w:t>
      </w:r>
    </w:p>
    <w:p>
      <w:pPr>
        <w:widowControl/>
        <w:spacing w:line="360" w:lineRule="auto"/>
        <w:ind w:firstLine="482"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（二）报价要求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的合同金额。项目预算控制</w:t>
      </w:r>
      <w:r>
        <w:rPr>
          <w:rFonts w:hint="eastAsia" w:ascii="宋体" w:hAnsi="宋体" w:cs="宋体"/>
          <w:color w:val="000000" w:themeColor="text1"/>
          <w:sz w:val="24"/>
          <w:lang w:val="en-US" w:eastAsia="zh-CN"/>
          <w14:textFill>
            <w14:solidFill>
              <w14:schemeClr w14:val="tx1"/>
            </w14:solidFill>
          </w14:textFill>
        </w:rPr>
        <w:t>73.7</w:t>
      </w:r>
      <w:r>
        <w:rPr>
          <w:rFonts w:hint="eastAsia" w:ascii="宋体" w:hAnsi="宋体" w:cs="宋体"/>
          <w:color w:val="000000" w:themeColor="text1"/>
          <w:sz w:val="24"/>
          <w14:textFill>
            <w14:solidFill>
              <w14:schemeClr w14:val="tx1"/>
            </w14:solidFill>
          </w14:textFill>
        </w:rPr>
        <w:t>万元以内，投标人的报价不可高于预算（限价），</w:t>
      </w:r>
      <w:r>
        <w:rPr>
          <w:rFonts w:hint="eastAsia" w:ascii="宋体" w:hAnsi="宋体" w:cs="宋体"/>
          <w:sz w:val="24"/>
        </w:rPr>
        <w:t>否则投标人的投标文件视同无效。项目服务费包括项目实施过程中产生的一切费用</w:t>
      </w: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pPr>
      <w:r>
        <w:rPr>
          <w:rFonts w:hint="eastAsia" w:ascii="宋体" w:hAnsi="宋体" w:cs="宋体"/>
          <w:b/>
          <w:bCs/>
          <w:color w:val="000000" w:themeColor="text1"/>
          <w:kern w:val="0"/>
          <w:sz w:val="24"/>
          <w14:textFill>
            <w14:solidFill>
              <w14:schemeClr w14:val="tx1"/>
            </w14:solidFill>
          </w14:textFill>
        </w:rPr>
        <w:t>（三）付款方式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项目资金分3期支付至中标人指定银行账户：</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1.第1期：自本项目合同签订之日后，根据中标人提出的付款申请，采购人向中标人支付合同总价款的50%；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2.第2期：自合同签订后3个月内，中标人完成研究报告完整版初稿编制，经采购人验收合格后，采购人向中标人支付合同总价款的30%；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3.第3期：中标人完成合同全部内容，经采购人验收合格后，采购人向中标人支付项目合同总价款的尾款。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上述每期款项均在满足付款条件，且采购人收到中标人开具的载明相应金额的合格发票后10个工作日内付至中标人指定银行账户。如未及时收到发票，则采购人相应付款时间顺延。若因采购人付款审批影响支付进度，不视为违约，请中标人予以谅解，并不得就此向采购人索赔。采购人有权在支付价款时扣除中标人按照合同应承担的违约金和赔补偿金。</w:t>
      </w:r>
    </w:p>
    <w:p>
      <w:pPr>
        <w:widowControl/>
        <w:spacing w:line="360" w:lineRule="auto"/>
        <w:ind w:firstLine="482" w:firstLineChars="200"/>
        <w:outlineLvl w:val="1"/>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七、知识产权及项目成果归属</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（一）本项目全部阶段性成果和最终成果的所有权、知识产权以及与之相关的所有权利归采购人所有；本合同签署前各方已经拥有的知识产权权利，仍归各自所有。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（二）各方确定，采购人有权对中标人按照本合同约定提供的成果进行后续改进。由此产生的具有实质性或创造性技术进步特征的新的技术成果及其权利全部由采购人享有。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中标人所提交的全部阶段性成果和最终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未经采购人书面事先同意，中标人不得将研究成果公开发表、内部刊用或用于其他任何项目，也不得将本项目的阶段性成果和/或最终成果文件及任何数据、资料、软件向任何其他方转让、授权任何其他方使用或用于本合同项目外的其他项目。如发生以上情况，中标人应向采购人支付本合同总价款20%的违约金。同时，采购人保留要求中标人赔偿全部损失的权利。</w:t>
      </w:r>
    </w:p>
    <w:p>
      <w:pPr>
        <w:widowControl/>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八、</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各方应保守的秘密是指不为公众所知悉、能为权利人带来经济利益、具有实用性并经权利人采取保密措施的技术信息和经营信息，或由各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各方应遵守国家的有关保密规定。妥善保管对方提供的资料，保守对方的各项秘密，并保护对方的知识产权。获取对方秘密的一方应当采取有效的保护方式防止秘密未经对方书面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中标人应以保密方式处理在编制本项目成果文件过程中自采购人、采购人工作人员或采购人关联机构获得的相关信息、资料、图纸、数据等，或由采购人在履行本合同过程中明确指明为秘密的任何信息，以及中标人因本项目工作内容所直接或间接取得、处理或接触的任何其他资料。未经采购人书面在先同意，中标人不得向任何其他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（四）中标人实施项目的程序应符合国家安全、保密的有关规定和标准。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（五）上述保密义务不适用以下情况：</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1.获取的信息已被合法公开或不属于商业秘密；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（七）无论本合同或本合同其他条款是否有效，本保密条款始终约束各方。国家秘密的保密期限由国家有关部门确定，工作秘密的保密期限由采购人确定。</w:t>
      </w:r>
    </w:p>
    <w:p>
      <w:pPr>
        <w:widowControl/>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九、</w:t>
      </w:r>
      <w:r>
        <w:rPr>
          <w:rFonts w:hint="eastAsia" w:ascii="宋体" w:hAnsi="宋体" w:cs="宋体"/>
          <w:b/>
          <w:bCs/>
          <w:color w:val="000000" w:themeColor="text1"/>
          <w:sz w:val="24"/>
          <w14:textFill>
            <w14:solidFill>
              <w14:schemeClr w14:val="tx1"/>
            </w14:solidFill>
          </w14:textFill>
        </w:rPr>
        <w:t>违约责任</w:t>
      </w:r>
    </w:p>
    <w:p>
      <w:pPr>
        <w:spacing w:line="560" w:lineRule="exact"/>
        <w:ind w:firstLine="480" w:firstLineChars="200"/>
        <w:rPr>
          <w:rFonts w:hint="eastAsia" w:ascii="宋体" w:hAnsi="宋体" w:cs="宋体"/>
          <w:sz w:val="24"/>
        </w:rPr>
      </w:pPr>
      <w:r>
        <w:rPr>
          <w:rFonts w:hint="eastAsia" w:ascii="宋体" w:hAnsi="宋体" w:cs="宋体"/>
          <w:sz w:val="24"/>
        </w:rPr>
        <w:t>（一）如中标人未按照约定的时间完成相关工作要求，每迟延一日，采购人有权自尚未支付的合同款项中扣除本合同服务费总金额的3‰的逾期违约金。</w:t>
      </w:r>
    </w:p>
    <w:p>
      <w:pPr>
        <w:spacing w:line="560" w:lineRule="exact"/>
        <w:ind w:firstLine="480" w:firstLineChars="200"/>
        <w:rPr>
          <w:rFonts w:hint="eastAsia" w:ascii="宋体" w:hAnsi="宋体" w:cs="宋体"/>
          <w:sz w:val="24"/>
        </w:rPr>
      </w:pPr>
      <w:r>
        <w:rPr>
          <w:rFonts w:hint="eastAsia" w:ascii="宋体" w:hAnsi="宋体" w:cs="宋体"/>
          <w:sz w:val="24"/>
        </w:rPr>
        <w:t>（二）本合同项下的工作内容不可分割，任一文件的迟延交付均视为整个项目的迟延交付。</w:t>
      </w:r>
    </w:p>
    <w:p>
      <w:pPr>
        <w:spacing w:line="560" w:lineRule="exact"/>
        <w:ind w:firstLine="480" w:firstLineChars="200"/>
        <w:rPr>
          <w:rFonts w:hint="eastAsia" w:ascii="宋体" w:hAnsi="宋体" w:cs="宋体"/>
          <w:sz w:val="24"/>
        </w:rPr>
      </w:pPr>
      <w:r>
        <w:rPr>
          <w:rFonts w:hint="eastAsia" w:ascii="宋体" w:hAnsi="宋体" w:cs="宋体"/>
          <w:sz w:val="24"/>
        </w:rPr>
        <w:t>（三）本合同履行期间，发生下述情形时，采购人有权解除本合同，中标人除应退还采购人已支付的全部款项外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还应在合同解除通知发出之日起10日内向采购人支付合同总价款10%的违约金。中标人应同时将已完成的项目成果移交给采购人，并将全部有关资料退还采购人：</w:t>
      </w:r>
    </w:p>
    <w:p>
      <w:pPr>
        <w:spacing w:line="560" w:lineRule="exact"/>
        <w:ind w:firstLine="480" w:firstLineChars="200"/>
        <w:rPr>
          <w:rFonts w:hint="eastAsia" w:ascii="宋体" w:hAnsi="宋体" w:cs="宋体"/>
          <w:sz w:val="24"/>
        </w:rPr>
      </w:pPr>
      <w:r>
        <w:rPr>
          <w:rFonts w:hint="eastAsia" w:ascii="宋体" w:hAnsi="宋体" w:cs="宋体"/>
          <w:sz w:val="24"/>
        </w:rPr>
        <w:t>1.中标人未能按合同约定的日期(含协商延缓的日期)完成工作或提交成果，延误时间超过7个工作日；</w:t>
      </w:r>
    </w:p>
    <w:p>
      <w:pPr>
        <w:spacing w:line="560" w:lineRule="exact"/>
        <w:ind w:firstLine="480" w:firstLineChars="200"/>
        <w:rPr>
          <w:rFonts w:hint="eastAsia" w:ascii="宋体" w:hAnsi="宋体" w:cs="宋体"/>
          <w:sz w:val="24"/>
        </w:rPr>
      </w:pPr>
      <w:r>
        <w:rPr>
          <w:rFonts w:hint="eastAsia" w:ascii="宋体" w:hAnsi="宋体" w:cs="宋体"/>
          <w:sz w:val="24"/>
        </w:rPr>
        <w:t>2.因中标人工作的错误或遗漏造成成果质量不符合本合同要求，且中标人未按采购人要求采取及时有效的补救措施的；</w:t>
      </w:r>
    </w:p>
    <w:p>
      <w:pPr>
        <w:spacing w:line="560" w:lineRule="exact"/>
        <w:ind w:firstLine="480" w:firstLineChars="200"/>
        <w:rPr>
          <w:rFonts w:hint="eastAsia" w:ascii="宋体" w:hAnsi="宋体" w:cs="宋体"/>
          <w:sz w:val="24"/>
        </w:rPr>
      </w:pPr>
      <w:r>
        <w:rPr>
          <w:rFonts w:hint="eastAsia" w:ascii="宋体" w:hAnsi="宋体" w:cs="宋体"/>
          <w:sz w:val="24"/>
        </w:rPr>
        <w:t>3.中标人虽如期完成工作或提交工作成果，但工作成果连续两次未能通过采购人验收的；</w:t>
      </w:r>
    </w:p>
    <w:p>
      <w:pPr>
        <w:spacing w:line="560" w:lineRule="exact"/>
        <w:ind w:firstLine="480" w:firstLineChars="200"/>
        <w:rPr>
          <w:rFonts w:hint="eastAsia" w:ascii="宋体" w:hAnsi="宋体" w:cs="宋体"/>
          <w:sz w:val="24"/>
        </w:rPr>
      </w:pPr>
      <w:r>
        <w:rPr>
          <w:rFonts w:hint="eastAsia" w:ascii="宋体" w:hAnsi="宋体" w:cs="宋体"/>
          <w:sz w:val="24"/>
        </w:rPr>
        <w:t>4.未经采购人书面在先同意，中标人擅自将本合同项目与任何第三方合作，或将本合同标的的全部或部分擅自转包或分包给任何第三方，且未按采购人的要求终止与第三方的协议的；</w:t>
      </w:r>
    </w:p>
    <w:p>
      <w:pPr>
        <w:spacing w:line="560" w:lineRule="exact"/>
        <w:ind w:firstLine="480" w:firstLineChars="200"/>
        <w:rPr>
          <w:rFonts w:hint="eastAsia" w:ascii="宋体" w:hAnsi="宋体" w:cs="宋体"/>
          <w:sz w:val="24"/>
        </w:rPr>
      </w:pPr>
      <w:r>
        <w:rPr>
          <w:rFonts w:hint="eastAsia" w:ascii="宋体" w:hAnsi="宋体" w:cs="宋体"/>
          <w:sz w:val="24"/>
        </w:rPr>
        <w:t>5.发现中标人或中标人工作人员出现全部或部分丧失履行委托服务能力的情况，采购人有权通知中标人限期整改或更换工作人员，期限届满中标人并未进行改善的；</w:t>
      </w:r>
    </w:p>
    <w:p>
      <w:pPr>
        <w:spacing w:line="560" w:lineRule="exact"/>
        <w:ind w:firstLine="480" w:firstLineChars="200"/>
        <w:rPr>
          <w:rFonts w:hint="eastAsia" w:ascii="宋体" w:hAnsi="宋体" w:cs="宋体"/>
          <w:sz w:val="24"/>
        </w:rPr>
      </w:pPr>
      <w:r>
        <w:rPr>
          <w:rFonts w:hint="eastAsia" w:ascii="宋体" w:hAnsi="宋体" w:cs="宋体"/>
          <w:sz w:val="24"/>
        </w:rPr>
        <w:t>6.中标人明确表示或者以自己的行为表明不履行本合同的。</w:t>
      </w:r>
    </w:p>
    <w:p>
      <w:pPr>
        <w:spacing w:line="560" w:lineRule="exact"/>
        <w:ind w:firstLine="480" w:firstLineChars="200"/>
        <w:rPr>
          <w:rFonts w:hint="eastAsia" w:ascii="宋体" w:hAnsi="宋体" w:cs="宋体"/>
          <w:sz w:val="24"/>
        </w:rPr>
      </w:pPr>
      <w:r>
        <w:rPr>
          <w:rFonts w:hint="eastAsia" w:ascii="宋体" w:hAnsi="宋体" w:cs="宋体"/>
          <w:sz w:val="24"/>
        </w:rPr>
        <w:t>（四）除因采购人付款审批影响支付进度的情况外，如采购人未按照本合同约定的时间支付服务费，中标人书面催告采购人并给予不少于5个工作日的履行期限后采购人仍未支付的，中标人有权自该期限届满之日起要求采购人支付应付而未付服务费金额的3‰的逾期违约金。如采购人无正当理由拒绝接受服务，中标人有权要求采购人支付本合同项下服务费总金额10%的违约金。</w:t>
      </w:r>
    </w:p>
    <w:p>
      <w:pPr>
        <w:spacing w:line="560" w:lineRule="exact"/>
        <w:ind w:firstLine="480" w:firstLineChars="200"/>
        <w:rPr>
          <w:rFonts w:hint="eastAsia" w:ascii="宋体" w:hAnsi="宋体" w:cs="宋体"/>
          <w:kern w:val="0"/>
          <w:sz w:val="24"/>
          <w:szCs w:val="20"/>
        </w:rPr>
      </w:pPr>
      <w:r>
        <w:rPr>
          <w:rFonts w:hint="eastAsia" w:ascii="宋体" w:hAnsi="宋体" w:cs="宋体"/>
          <w:sz w:val="24"/>
        </w:rPr>
        <w:t>（五）上述违约责任各自独立且可累加。如本合同所约定的违约金无法弥补因违约行为所造成的损失，违约方应补偿上述不足部分的损失。</w:t>
      </w:r>
    </w:p>
    <w:p>
      <w:pPr>
        <w:spacing w:line="360" w:lineRule="auto"/>
        <w:jc w:val="center"/>
        <w:outlineLvl w:val="0"/>
        <w:rPr>
          <w:rFonts w:ascii="宋体" w:cs="宋体"/>
          <w:b/>
          <w:bCs/>
          <w:sz w:val="24"/>
        </w:rPr>
      </w:pPr>
      <w:r>
        <w:rPr>
          <w:rFonts w:hint="eastAsia" w:ascii="宋体" w:hAnsi="宋体" w:cs="宋体"/>
          <w:sz w:val="24"/>
        </w:rPr>
        <w:br w:type="page"/>
      </w:r>
      <w:bookmarkStart w:id="43" w:name="_Toc6457"/>
      <w:r>
        <w:rPr>
          <w:rFonts w:hint="eastAsia" w:ascii="宋体" w:cs="宋体"/>
          <w:b/>
          <w:bCs/>
          <w:sz w:val="24"/>
        </w:rPr>
        <w:t>第六章 投标文件初审及招标项目评分表</w:t>
      </w:r>
      <w:bookmarkEnd w:id="43"/>
    </w:p>
    <w:p>
      <w:pPr>
        <w:autoSpaceDE w:val="0"/>
        <w:autoSpaceDN w:val="0"/>
        <w:adjustRightInd w:val="0"/>
        <w:jc w:val="center"/>
        <w:outlineLvl w:val="1"/>
        <w:rPr>
          <w:rFonts w:hint="eastAsia" w:ascii="宋体" w:hAnsi="宋体" w:cs="宋体"/>
          <w:b/>
          <w:bCs/>
          <w:kern w:val="0"/>
          <w:sz w:val="36"/>
          <w:szCs w:val="36"/>
        </w:rPr>
      </w:pPr>
      <w:r>
        <w:rPr>
          <w:rFonts w:hint="eastAsia" w:ascii="宋体" w:hAnsi="宋体" w:cs="宋体"/>
          <w:b/>
          <w:bCs/>
          <w:kern w:val="0"/>
          <w:sz w:val="36"/>
          <w:szCs w:val="36"/>
        </w:rPr>
        <w:t>投标文件初审表（不可偏离条款）</w:t>
      </w:r>
    </w:p>
    <w:p>
      <w:pPr>
        <w:spacing w:line="360" w:lineRule="auto"/>
        <w:jc w:val="center"/>
        <w:outlineLvl w:val="1"/>
        <w:rPr>
          <w:rFonts w:hint="eastAsia" w:ascii="宋体" w:hAnsi="宋体" w:cs="宋体"/>
          <w:b/>
          <w:sz w:val="24"/>
        </w:rPr>
      </w:pPr>
      <w:r>
        <w:rPr>
          <w:rFonts w:hint="eastAsia" w:ascii="宋体" w:hAnsi="宋体" w:cs="宋体"/>
          <w:b/>
          <w:sz w:val="24"/>
        </w:rPr>
        <w:t>（凡有下列情形之一的，投标文件无效，投标作废标处理）</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rPr>
                <w:rFonts w:hint="eastAsia" w:ascii="宋体" w:hAnsi="宋体" w:cs="宋体"/>
                <w:sz w:val="24"/>
              </w:rPr>
            </w:pPr>
            <w:r>
              <w:rPr>
                <w:rFonts w:hint="eastAsia" w:ascii="宋体" w:hAnsi="宋体" w:cs="宋体"/>
                <w:b/>
                <w:bCs/>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w:t>
            </w:r>
          </w:p>
        </w:tc>
        <w:tc>
          <w:tcPr>
            <w:tcW w:w="7108" w:type="dxa"/>
            <w:vAlign w:val="center"/>
          </w:tcPr>
          <w:p>
            <w:pPr>
              <w:rPr>
                <w:rFonts w:hint="eastAsia" w:ascii="宋体" w:hAnsi="宋体" w:cs="宋体"/>
                <w:sz w:val="24"/>
              </w:rPr>
            </w:pPr>
            <w:r>
              <w:rPr>
                <w:rFonts w:hint="eastAsia" w:ascii="宋体" w:hAnsi="宋体" w:cs="宋体"/>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rPr>
                <w:rFonts w:hint="eastAsia" w:ascii="宋体" w:hAnsi="宋体" w:cs="宋体"/>
                <w:sz w:val="24"/>
              </w:rPr>
            </w:pPr>
            <w:r>
              <w:rPr>
                <w:rFonts w:hint="eastAsia" w:ascii="宋体" w:hAnsi="宋体" w:cs="宋体"/>
                <w:b/>
                <w:bCs/>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w:t>
            </w:r>
          </w:p>
        </w:tc>
        <w:tc>
          <w:tcPr>
            <w:tcW w:w="7108" w:type="dxa"/>
            <w:vAlign w:val="center"/>
          </w:tcPr>
          <w:p>
            <w:pPr>
              <w:rPr>
                <w:rFonts w:hint="eastAsia" w:ascii="宋体" w:hAnsi="宋体" w:cs="宋体"/>
                <w:sz w:val="24"/>
              </w:rPr>
            </w:pPr>
            <w:r>
              <w:rPr>
                <w:rFonts w:hint="eastAsia" w:ascii="宋体" w:hAnsi="宋体" w:cs="宋体"/>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2</w:t>
            </w:r>
          </w:p>
        </w:tc>
        <w:tc>
          <w:tcPr>
            <w:tcW w:w="7108" w:type="dxa"/>
            <w:vAlign w:val="center"/>
          </w:tcPr>
          <w:p>
            <w:pPr>
              <w:rPr>
                <w:rFonts w:hint="eastAsia" w:ascii="宋体" w:hAnsi="宋体" w:cs="宋体"/>
                <w:sz w:val="24"/>
              </w:rPr>
            </w:pPr>
            <w:r>
              <w:rPr>
                <w:rFonts w:hint="eastAsia" w:ascii="宋体" w:hAnsi="宋体" w:cs="宋体"/>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3</w:t>
            </w:r>
          </w:p>
        </w:tc>
        <w:tc>
          <w:tcPr>
            <w:tcW w:w="7108" w:type="dxa"/>
            <w:vAlign w:val="center"/>
          </w:tcPr>
          <w:p>
            <w:pPr>
              <w:rPr>
                <w:rFonts w:hint="eastAsia" w:ascii="宋体" w:hAnsi="宋体" w:cs="宋体"/>
                <w:b/>
                <w:bCs/>
                <w:sz w:val="24"/>
              </w:rPr>
            </w:pPr>
            <w:r>
              <w:rPr>
                <w:rFonts w:hint="eastAsia" w:ascii="宋体" w:hAnsi="宋体" w:cs="宋体"/>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4</w:t>
            </w:r>
          </w:p>
        </w:tc>
        <w:tc>
          <w:tcPr>
            <w:tcW w:w="7108" w:type="dxa"/>
            <w:vAlign w:val="center"/>
          </w:tcPr>
          <w:p>
            <w:pPr>
              <w:rPr>
                <w:rFonts w:hint="eastAsia" w:ascii="宋体" w:hAnsi="宋体" w:cs="宋体"/>
                <w:sz w:val="24"/>
              </w:rPr>
            </w:pPr>
            <w:r>
              <w:rPr>
                <w:rFonts w:hint="eastAsia" w:ascii="宋体" w:hAnsi="宋体" w:cs="宋体"/>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5</w:t>
            </w:r>
          </w:p>
        </w:tc>
        <w:tc>
          <w:tcPr>
            <w:tcW w:w="7108" w:type="dxa"/>
            <w:vAlign w:val="center"/>
          </w:tcPr>
          <w:p>
            <w:pPr>
              <w:rPr>
                <w:rFonts w:hint="eastAsia" w:ascii="宋体" w:hAnsi="宋体" w:cs="宋体"/>
                <w:sz w:val="24"/>
              </w:rPr>
            </w:pPr>
            <w:r>
              <w:rPr>
                <w:rFonts w:hint="eastAsia" w:ascii="宋体" w:hAnsi="宋体" w:cs="宋体"/>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6</w:t>
            </w:r>
          </w:p>
        </w:tc>
        <w:tc>
          <w:tcPr>
            <w:tcW w:w="7108" w:type="dxa"/>
            <w:vAlign w:val="center"/>
          </w:tcPr>
          <w:p>
            <w:pPr>
              <w:rPr>
                <w:rFonts w:hint="eastAsia" w:ascii="宋体" w:hAnsi="宋体" w:cs="宋体"/>
                <w:sz w:val="24"/>
              </w:rPr>
            </w:pPr>
            <w:r>
              <w:rPr>
                <w:rFonts w:hint="eastAsia" w:ascii="宋体" w:hAnsi="宋体" w:cs="宋体"/>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7</w:t>
            </w:r>
          </w:p>
        </w:tc>
        <w:tc>
          <w:tcPr>
            <w:tcW w:w="7108" w:type="dxa"/>
            <w:vAlign w:val="center"/>
          </w:tcPr>
          <w:p>
            <w:pPr>
              <w:rPr>
                <w:rFonts w:hint="eastAsia" w:ascii="宋体" w:hAnsi="宋体" w:cs="宋体"/>
                <w:sz w:val="24"/>
              </w:rPr>
            </w:pPr>
            <w:r>
              <w:rPr>
                <w:rFonts w:hint="eastAsia" w:ascii="宋体" w:hAnsi="宋体" w:cs="宋体"/>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8</w:t>
            </w:r>
          </w:p>
        </w:tc>
        <w:tc>
          <w:tcPr>
            <w:tcW w:w="7108" w:type="dxa"/>
            <w:vAlign w:val="center"/>
          </w:tcPr>
          <w:p>
            <w:pPr>
              <w:rPr>
                <w:rFonts w:hint="eastAsia" w:ascii="宋体" w:hAnsi="宋体" w:cs="宋体"/>
                <w:sz w:val="24"/>
              </w:rPr>
            </w:pPr>
            <w:r>
              <w:rPr>
                <w:rFonts w:hint="eastAsia" w:ascii="宋体" w:hAnsi="宋体" w:cs="宋体"/>
                <w:sz w:val="24"/>
              </w:rPr>
              <w:t>未出现“所投货物或工程或服务在质量、技术、方案等方面没有实质性满足招标文件要求”的情形</w:t>
            </w:r>
          </w:p>
          <w:p>
            <w:pPr>
              <w:rPr>
                <w:rFonts w:hint="eastAsia" w:ascii="宋体" w:hAnsi="宋体" w:cs="宋体"/>
                <w:b/>
                <w:bCs/>
                <w:sz w:val="24"/>
              </w:rPr>
            </w:pPr>
            <w:r>
              <w:rPr>
                <w:rFonts w:hint="eastAsia" w:ascii="宋体" w:hAnsi="宋体" w:cs="宋体"/>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9</w:t>
            </w:r>
          </w:p>
        </w:tc>
        <w:tc>
          <w:tcPr>
            <w:tcW w:w="7108" w:type="dxa"/>
            <w:vAlign w:val="center"/>
          </w:tcPr>
          <w:p>
            <w:pPr>
              <w:rPr>
                <w:rFonts w:hint="eastAsia" w:ascii="宋体" w:hAnsi="宋体" w:cs="宋体"/>
                <w:sz w:val="24"/>
              </w:rPr>
            </w:pPr>
            <w:r>
              <w:rPr>
                <w:rFonts w:hint="eastAsia" w:ascii="宋体" w:hAnsi="宋体" w:cs="宋体"/>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10</w:t>
            </w:r>
          </w:p>
        </w:tc>
        <w:tc>
          <w:tcPr>
            <w:tcW w:w="7108" w:type="dxa"/>
            <w:vAlign w:val="center"/>
          </w:tcPr>
          <w:p>
            <w:pPr>
              <w:rPr>
                <w:rFonts w:hint="eastAsia" w:ascii="宋体" w:hAnsi="宋体" w:cs="宋体"/>
                <w:b/>
                <w:bCs/>
                <w:sz w:val="24"/>
              </w:rPr>
            </w:pPr>
            <w:r>
              <w:rPr>
                <w:rFonts w:hint="eastAsia" w:ascii="宋体" w:hAnsi="宋体" w:cs="宋体"/>
                <w:b/>
                <w:bCs/>
                <w:sz w:val="24"/>
              </w:rPr>
              <w:t>报价合理性审查</w:t>
            </w:r>
          </w:p>
          <w:p>
            <w:pPr>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11</w:t>
            </w:r>
          </w:p>
        </w:tc>
        <w:tc>
          <w:tcPr>
            <w:tcW w:w="7108" w:type="dxa"/>
            <w:vAlign w:val="center"/>
          </w:tcPr>
          <w:p>
            <w:pPr>
              <w:rPr>
                <w:rFonts w:hint="eastAsia" w:ascii="宋体" w:hAnsi="宋体" w:cs="宋体"/>
                <w:sz w:val="24"/>
              </w:rPr>
            </w:pPr>
            <w:r>
              <w:rPr>
                <w:rFonts w:hint="eastAsia" w:ascii="宋体" w:hAnsi="宋体" w:cs="宋体"/>
                <w:sz w:val="24"/>
              </w:rPr>
              <w:t>未出现法律、法规规定的其他情形</w:t>
            </w:r>
          </w:p>
        </w:tc>
      </w:tr>
    </w:tbl>
    <w:p>
      <w:pPr>
        <w:spacing w:line="360" w:lineRule="auto"/>
        <w:rPr>
          <w:rFonts w:hint="eastAsia" w:ascii="宋体" w:hAnsi="宋体" w:cs="宋体"/>
          <w:sz w:val="24"/>
        </w:rPr>
      </w:pPr>
    </w:p>
    <w:p>
      <w:pPr>
        <w:spacing w:line="360" w:lineRule="auto"/>
        <w:jc w:val="center"/>
        <w:outlineLvl w:val="1"/>
      </w:pPr>
      <w:r>
        <w:rPr>
          <w:rFonts w:hint="eastAsia" w:ascii="宋体" w:hAnsi="宋体" w:cs="宋体"/>
          <w:b/>
          <w:bCs/>
          <w:sz w:val="24"/>
        </w:rPr>
        <w:br w:type="page"/>
      </w:r>
      <w:r>
        <w:rPr>
          <w:rFonts w:hint="eastAsia" w:ascii="宋体" w:hAnsi="宋体" w:cs="宋体"/>
          <w:b/>
          <w:bCs/>
          <w:sz w:val="24"/>
        </w:rPr>
        <w:t>招标项目评分表</w:t>
      </w:r>
    </w:p>
    <w:tbl>
      <w:tblPr>
        <w:tblStyle w:val="23"/>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860"/>
        <w:gridCol w:w="1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仿宋" w:hAnsi="仿宋" w:eastAsia="仿宋" w:cs="仿宋"/>
                <w:b/>
                <w:sz w:val="24"/>
                <w:lang w:val="zh-CN"/>
              </w:rPr>
            </w:pPr>
            <w:r>
              <w:rPr>
                <w:rFonts w:hint="eastAsia" w:ascii="仿宋" w:hAnsi="仿宋" w:eastAsia="仿宋" w:cs="仿宋"/>
                <w:b/>
                <w:sz w:val="24"/>
                <w:lang w:val="zh-CN"/>
              </w:rPr>
              <w:t>一、价格部分（</w:t>
            </w:r>
            <w:r>
              <w:rPr>
                <w:rFonts w:hint="eastAsia" w:ascii="仿宋" w:hAnsi="仿宋" w:eastAsia="仿宋" w:cs="仿宋"/>
                <w:b/>
                <w:sz w:val="24"/>
              </w:rPr>
              <w:t>10</w:t>
            </w:r>
            <w:r>
              <w:rPr>
                <w:rFonts w:hint="eastAsia" w:ascii="仿宋" w:hAnsi="仿宋" w:eastAsia="仿宋" w:cs="仿宋"/>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lang w:val="zh-CN"/>
              </w:rPr>
              <w:t>序号</w:t>
            </w:r>
          </w:p>
        </w:tc>
        <w:tc>
          <w:tcPr>
            <w:tcW w:w="1168" w:type="dxa"/>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lang w:val="zh-CN"/>
              </w:rPr>
              <w:t>内容</w:t>
            </w:r>
          </w:p>
        </w:tc>
        <w:tc>
          <w:tcPr>
            <w:tcW w:w="5907" w:type="dxa"/>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lang w:val="zh-CN"/>
              </w:rPr>
              <w:t>评分规则</w:t>
            </w:r>
          </w:p>
        </w:tc>
        <w:tc>
          <w:tcPr>
            <w:tcW w:w="860" w:type="dxa"/>
            <w:vAlign w:val="center"/>
          </w:tcPr>
          <w:p>
            <w:pPr>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rPr>
              <w:t>分值</w:t>
            </w:r>
          </w:p>
        </w:tc>
        <w:tc>
          <w:tcPr>
            <w:tcW w:w="1120" w:type="dxa"/>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1</w:t>
            </w:r>
          </w:p>
        </w:tc>
        <w:tc>
          <w:tcPr>
            <w:tcW w:w="1168" w:type="dxa"/>
            <w:vAlign w:val="center"/>
          </w:tcPr>
          <w:p>
            <w:pPr>
              <w:autoSpaceDE w:val="0"/>
              <w:autoSpaceDN w:val="0"/>
              <w:adjustRightInd w:val="0"/>
              <w:spacing w:line="360" w:lineRule="auto"/>
              <w:jc w:val="center"/>
              <w:rPr>
                <w:rFonts w:hint="eastAsia" w:ascii="仿宋" w:hAnsi="仿宋" w:eastAsia="仿宋" w:cs="仿宋"/>
                <w:bCs/>
                <w:sz w:val="24"/>
                <w:lang w:val="zh-CN"/>
              </w:rPr>
            </w:pPr>
            <w:r>
              <w:rPr>
                <w:rFonts w:hint="eastAsia" w:ascii="仿宋" w:hAnsi="仿宋" w:eastAsia="仿宋" w:cs="仿宋"/>
                <w:bCs/>
                <w:sz w:val="24"/>
              </w:rPr>
              <w:t>投标报价</w:t>
            </w:r>
          </w:p>
        </w:tc>
        <w:tc>
          <w:tcPr>
            <w:tcW w:w="5907" w:type="dxa"/>
            <w:vAlign w:val="center"/>
          </w:tcPr>
          <w:p>
            <w:pPr>
              <w:rPr>
                <w:rFonts w:hint="eastAsia" w:ascii="仿宋" w:hAnsi="仿宋" w:eastAsia="仿宋" w:cs="仿宋"/>
                <w:sz w:val="24"/>
              </w:rPr>
            </w:pPr>
            <w:r>
              <w:rPr>
                <w:rFonts w:hint="eastAsia" w:ascii="仿宋" w:hAnsi="仿宋" w:eastAsia="仿宋" w:cs="仿宋"/>
                <w:sz w:val="24"/>
              </w:rPr>
              <w:t>1、价格分计算方法：</w:t>
            </w:r>
          </w:p>
          <w:p>
            <w:pPr>
              <w:rPr>
                <w:rFonts w:hint="eastAsia" w:ascii="仿宋" w:hAnsi="仿宋" w:eastAsia="仿宋" w:cs="仿宋"/>
                <w:sz w:val="24"/>
              </w:rPr>
            </w:pPr>
            <w:r>
              <w:rPr>
                <w:rFonts w:hint="eastAsia" w:ascii="仿宋" w:hAnsi="仿宋" w:eastAsia="仿宋" w:cs="仿宋"/>
                <w:sz w:val="24"/>
              </w:rPr>
              <w:t xml:space="preserve">采用低价优先法计算，即满足招标文件要求且投标价格最低的投标报价为评标基准价，其价格分为满分。其他投标人的价格分统一按照下列公式计算： </w:t>
            </w:r>
          </w:p>
          <w:p>
            <w:pPr>
              <w:rPr>
                <w:rFonts w:hint="eastAsia" w:ascii="仿宋" w:hAnsi="仿宋" w:eastAsia="仿宋" w:cs="仿宋"/>
                <w:sz w:val="24"/>
              </w:rPr>
            </w:pPr>
            <w:r>
              <w:rPr>
                <w:rFonts w:hint="eastAsia" w:ascii="仿宋" w:hAnsi="仿宋" w:eastAsia="仿宋" w:cs="仿宋"/>
                <w:sz w:val="24"/>
              </w:rPr>
              <w:t>投标报价得分=(评标基准价／投标报价)×价格分值</w:t>
            </w:r>
          </w:p>
          <w:p>
            <w:pPr>
              <w:rPr>
                <w:rFonts w:hint="eastAsia" w:ascii="仿宋" w:hAnsi="仿宋" w:eastAsia="仿宋" w:cs="仿宋"/>
                <w:sz w:val="24"/>
              </w:rPr>
            </w:pPr>
            <w:r>
              <w:rPr>
                <w:rFonts w:hint="eastAsia" w:ascii="仿宋" w:hAnsi="仿宋" w:eastAsia="仿宋" w:cs="仿宋"/>
                <w:sz w:val="24"/>
              </w:rPr>
              <w:t xml:space="preserve">评标过程中，不得去掉报价中的最高报价和最低报价。 </w:t>
            </w:r>
          </w:p>
          <w:p>
            <w:pPr>
              <w:rPr>
                <w:rFonts w:hint="eastAsia" w:ascii="仿宋" w:hAnsi="仿宋" w:eastAsia="仿宋" w:cs="仿宋"/>
                <w:sz w:val="24"/>
              </w:rPr>
            </w:pPr>
            <w:r>
              <w:rPr>
                <w:rFonts w:hint="eastAsia" w:ascii="仿宋" w:hAnsi="仿宋" w:eastAsia="仿宋" w:cs="仿宋"/>
                <w:sz w:val="24"/>
              </w:rPr>
              <w:t>本项目为非专门面向中小企业的项目，用扣除后的价格参与评审，本项目的扣除比例为：</w:t>
            </w:r>
          </w:p>
          <w:p>
            <w:pPr>
              <w:rPr>
                <w:rFonts w:hint="eastAsia" w:ascii="仿宋" w:hAnsi="仿宋" w:eastAsia="仿宋" w:cs="仿宋"/>
                <w:sz w:val="24"/>
              </w:rPr>
            </w:pPr>
            <w:r>
              <w:rPr>
                <w:rFonts w:hint="eastAsia" w:ascii="仿宋" w:hAnsi="仿宋" w:eastAsia="仿宋" w:cs="仿宋"/>
                <w:sz w:val="24"/>
              </w:rPr>
              <w:t>（1）小型企业、微型企业、监狱企业、残疾人福利性单位均给予10%的扣除。</w:t>
            </w:r>
          </w:p>
          <w:p>
            <w:pPr>
              <w:rPr>
                <w:rFonts w:hint="eastAsia" w:ascii="仿宋" w:hAnsi="仿宋" w:eastAsia="仿宋" w:cs="仿宋"/>
                <w:sz w:val="24"/>
              </w:rPr>
            </w:pPr>
            <w:r>
              <w:rPr>
                <w:rFonts w:hint="eastAsia" w:ascii="仿宋" w:hAnsi="仿宋" w:eastAsia="仿宋" w:cs="仿宋"/>
                <w:sz w:val="24"/>
              </w:rPr>
              <w:t>（2）接受大中型企业与小微企业组成联合体或者允许大中型企业向一家或者多家小微企业分包的采购项目，对于联合协议或者分包意向协议约定小微企业的合同份额占到合同总金额30%以上的，当对联合体或者大中型企业的报价给予4%-6%的扣除。【本项目不适用】</w:t>
            </w:r>
          </w:p>
          <w:p>
            <w:pPr>
              <w:rPr>
                <w:rFonts w:hint="eastAsia" w:ascii="仿宋" w:hAnsi="仿宋" w:eastAsia="仿宋" w:cs="仿宋"/>
                <w:sz w:val="24"/>
              </w:rPr>
            </w:pPr>
            <w:r>
              <w:rPr>
                <w:rFonts w:hint="eastAsia" w:ascii="仿宋" w:hAnsi="仿宋" w:eastAsia="仿宋" w:cs="仿宋"/>
                <w:sz w:val="24"/>
              </w:rPr>
              <w:t>（3）相关证明文件详见投标文件格式要求，投标人同时为小型、微型企业、监狱企业和残疾人福利性单位的，评审中只享受一次价格扣除，不重复进行价格扣除。</w:t>
            </w:r>
          </w:p>
          <w:p>
            <w:pPr>
              <w:rPr>
                <w:rFonts w:hint="eastAsia" w:ascii="仿宋" w:hAnsi="仿宋" w:eastAsia="仿宋" w:cs="仿宋"/>
                <w:sz w:val="24"/>
              </w:rPr>
            </w:pPr>
            <w:r>
              <w:rPr>
                <w:rFonts w:hint="eastAsia" w:ascii="仿宋" w:hAnsi="仿宋" w:eastAsia="仿宋" w:cs="仿宋"/>
                <w:sz w:val="24"/>
              </w:rPr>
              <w:t>2、投标报价得分四舍五入后，小数点后保留两位有效数；</w:t>
            </w:r>
          </w:p>
          <w:p>
            <w:pPr>
              <w:rPr>
                <w:rFonts w:hint="eastAsia" w:ascii="仿宋" w:hAnsi="仿宋" w:eastAsia="仿宋" w:cs="仿宋"/>
                <w:sz w:val="24"/>
                <w:lang w:val="zh-CN"/>
              </w:rPr>
            </w:pPr>
            <w:r>
              <w:rPr>
                <w:rFonts w:hint="eastAsia" w:ascii="仿宋" w:hAnsi="仿宋" w:eastAsia="仿宋" w:cs="仿宋"/>
                <w:b/>
                <w:bCs/>
                <w:sz w:val="24"/>
              </w:rPr>
              <w:t>3、本项目所属行业为：其他未列明行业</w:t>
            </w:r>
          </w:p>
        </w:tc>
        <w:tc>
          <w:tcPr>
            <w:tcW w:w="860" w:type="dxa"/>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10</w:t>
            </w:r>
          </w:p>
        </w:tc>
        <w:tc>
          <w:tcPr>
            <w:tcW w:w="1120" w:type="dxa"/>
            <w:vAlign w:val="center"/>
          </w:tcPr>
          <w:p>
            <w:pPr>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仿宋" w:hAnsi="仿宋" w:eastAsia="仿宋" w:cs="仿宋"/>
                <w:b/>
                <w:sz w:val="24"/>
                <w:lang w:val="zh-CN"/>
              </w:rPr>
            </w:pPr>
            <w:r>
              <w:rPr>
                <w:rFonts w:hint="eastAsia" w:ascii="仿宋" w:hAnsi="仿宋" w:eastAsia="仿宋" w:cs="仿宋"/>
                <w:b/>
                <w:sz w:val="24"/>
                <w:lang w:val="zh-CN"/>
              </w:rPr>
              <w:t>二、商务部分（</w:t>
            </w:r>
            <w:r>
              <w:rPr>
                <w:rFonts w:hint="eastAsia" w:ascii="仿宋" w:hAnsi="仿宋" w:eastAsia="仿宋" w:cs="仿宋"/>
                <w:b/>
                <w:sz w:val="24"/>
              </w:rPr>
              <w:t>49</w:t>
            </w:r>
            <w:r>
              <w:rPr>
                <w:rFonts w:hint="eastAsia" w:ascii="仿宋" w:hAnsi="仿宋" w:eastAsia="仿宋" w:cs="仿宋"/>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lang w:val="zh-CN"/>
              </w:rPr>
              <w:t>序号</w:t>
            </w:r>
          </w:p>
        </w:tc>
        <w:tc>
          <w:tcPr>
            <w:tcW w:w="1168" w:type="dxa"/>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lang w:val="zh-CN"/>
              </w:rPr>
              <w:t>内容</w:t>
            </w:r>
          </w:p>
        </w:tc>
        <w:tc>
          <w:tcPr>
            <w:tcW w:w="5907" w:type="dxa"/>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lang w:val="zh-CN"/>
              </w:rPr>
              <w:t>评分规则</w:t>
            </w:r>
          </w:p>
        </w:tc>
        <w:tc>
          <w:tcPr>
            <w:tcW w:w="860" w:type="dxa"/>
            <w:vAlign w:val="center"/>
          </w:tcPr>
          <w:p>
            <w:pPr>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rPr>
              <w:t>分值</w:t>
            </w:r>
          </w:p>
        </w:tc>
        <w:tc>
          <w:tcPr>
            <w:tcW w:w="1120" w:type="dxa"/>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rPr>
              <w:t>1</w:t>
            </w:r>
          </w:p>
        </w:tc>
        <w:tc>
          <w:tcPr>
            <w:tcW w:w="1168" w:type="dxa"/>
            <w:vAlign w:val="center"/>
          </w:tcPr>
          <w:p>
            <w:pPr>
              <w:widowControl/>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项目负责人（仅限1人）</w:t>
            </w:r>
          </w:p>
        </w:tc>
        <w:tc>
          <w:tcPr>
            <w:tcW w:w="5907" w:type="dxa"/>
            <w:vAlign w:val="center"/>
          </w:tcPr>
          <w:p>
            <w:pPr>
              <w:widowControl/>
              <w:spacing w:line="360" w:lineRule="auto"/>
              <w:jc w:val="left"/>
              <w:rPr>
                <w:rFonts w:hint="eastAsia" w:ascii="仿宋" w:hAnsi="仿宋" w:eastAsia="仿宋" w:cs="仿宋"/>
                <w:sz w:val="24"/>
                <w:lang w:val="zh-CN"/>
              </w:rPr>
            </w:pPr>
            <w:r>
              <w:rPr>
                <w:rFonts w:hint="eastAsia" w:ascii="仿宋" w:hAnsi="仿宋" w:eastAsia="仿宋" w:cs="仿宋"/>
                <w:sz w:val="24"/>
                <w:lang w:val="zh-CN"/>
              </w:rPr>
              <w:t>评分内容：</w:t>
            </w:r>
          </w:p>
          <w:p>
            <w:pPr>
              <w:widowControl/>
              <w:spacing w:line="360" w:lineRule="auto"/>
              <w:jc w:val="left"/>
              <w:rPr>
                <w:rFonts w:hint="eastAsia" w:ascii="仿宋" w:hAnsi="仿宋" w:eastAsia="仿宋" w:cs="仿宋"/>
                <w:sz w:val="24"/>
              </w:rPr>
            </w:pPr>
            <w:r>
              <w:rPr>
                <w:rFonts w:hint="eastAsia" w:ascii="仿宋" w:hAnsi="仿宋" w:eastAsia="仿宋" w:cs="仿宋"/>
                <w:sz w:val="24"/>
              </w:rPr>
              <w:t>项目负责人需为本单位人员，否则本项不得分，在此基础上：</w:t>
            </w:r>
          </w:p>
          <w:p>
            <w:pPr>
              <w:widowControl/>
              <w:spacing w:line="360" w:lineRule="auto"/>
              <w:jc w:val="left"/>
              <w:rPr>
                <w:rFonts w:hint="eastAsia" w:ascii="仿宋" w:hAnsi="仿宋" w:eastAsia="仿宋" w:cs="仿宋"/>
                <w:sz w:val="24"/>
                <w:lang w:val="zh-CN"/>
              </w:rPr>
            </w:pPr>
            <w:r>
              <w:rPr>
                <w:rFonts w:hint="eastAsia" w:ascii="仿宋" w:hAnsi="仿宋" w:eastAsia="仿宋" w:cs="仿宋"/>
                <w:sz w:val="24"/>
                <w:lang w:val="zh-CN"/>
              </w:rPr>
              <w:t>1、项目负责人具备</w:t>
            </w:r>
            <w:r>
              <w:rPr>
                <w:rFonts w:hint="eastAsia" w:ascii="仿宋" w:hAnsi="仿宋" w:eastAsia="仿宋" w:cs="仿宋"/>
                <w:sz w:val="24"/>
                <w:lang w:val="en-US" w:eastAsia="zh-CN"/>
              </w:rPr>
              <w:t>经济类</w:t>
            </w:r>
            <w:r>
              <w:rPr>
                <w:rFonts w:hint="eastAsia" w:ascii="仿宋" w:hAnsi="仿宋" w:eastAsia="仿宋" w:cs="仿宋"/>
                <w:sz w:val="24"/>
                <w:lang w:val="zh-CN"/>
              </w:rPr>
              <w:t>正高级职称的，得</w:t>
            </w:r>
            <w:r>
              <w:rPr>
                <w:rFonts w:hint="eastAsia" w:ascii="仿宋" w:hAnsi="仿宋" w:eastAsia="仿宋" w:cs="仿宋"/>
                <w:sz w:val="24"/>
              </w:rPr>
              <w:t>3</w:t>
            </w:r>
            <w:r>
              <w:rPr>
                <w:rFonts w:hint="eastAsia" w:ascii="仿宋" w:hAnsi="仿宋" w:eastAsia="仿宋" w:cs="仿宋"/>
                <w:sz w:val="24"/>
                <w:lang w:val="zh-CN"/>
              </w:rPr>
              <w:t>分；</w:t>
            </w:r>
          </w:p>
          <w:p>
            <w:pPr>
              <w:pStyle w:val="22"/>
              <w:numPr>
                <w:ilvl w:val="0"/>
                <w:numId w:val="0"/>
              </w:numPr>
              <w:spacing w:after="0" w:line="360" w:lineRule="auto"/>
              <w:rPr>
                <w:lang w:val="zh-CN"/>
              </w:rPr>
            </w:pPr>
            <w:r>
              <w:rPr>
                <w:rFonts w:hint="eastAsia" w:ascii="仿宋" w:hAnsi="仿宋" w:eastAsia="仿宋" w:cs="仿宋"/>
                <w:kern w:val="2"/>
                <w:sz w:val="24"/>
                <w:szCs w:val="24"/>
                <w:lang w:val="zh-CN"/>
              </w:rPr>
              <w:t>2、项目负责人具备</w:t>
            </w:r>
            <w:r>
              <w:rPr>
                <w:rFonts w:hint="eastAsia" w:ascii="仿宋" w:hAnsi="仿宋" w:eastAsia="仿宋" w:cs="仿宋"/>
                <w:kern w:val="2"/>
                <w:sz w:val="24"/>
                <w:szCs w:val="24"/>
                <w:lang w:val="en-US" w:eastAsia="zh-CN"/>
              </w:rPr>
              <w:t>经济学或管理学</w:t>
            </w:r>
            <w:r>
              <w:rPr>
                <w:rFonts w:hint="eastAsia" w:ascii="仿宋" w:hAnsi="仿宋" w:eastAsia="仿宋" w:cs="仿宋"/>
                <w:kern w:val="2"/>
                <w:sz w:val="24"/>
                <w:szCs w:val="24"/>
                <w:lang w:val="zh-CN"/>
              </w:rPr>
              <w:t>博士学位的，得</w:t>
            </w:r>
            <w:r>
              <w:rPr>
                <w:rFonts w:hint="eastAsia" w:ascii="仿宋" w:hAnsi="仿宋" w:eastAsia="仿宋" w:cs="仿宋"/>
                <w:kern w:val="2"/>
                <w:sz w:val="24"/>
                <w:szCs w:val="24"/>
              </w:rPr>
              <w:t>3</w:t>
            </w:r>
            <w:r>
              <w:rPr>
                <w:rFonts w:hint="eastAsia" w:ascii="仿宋" w:hAnsi="仿宋" w:eastAsia="仿宋" w:cs="仿宋"/>
                <w:kern w:val="2"/>
                <w:sz w:val="24"/>
                <w:szCs w:val="24"/>
                <w:lang w:val="zh-CN"/>
              </w:rPr>
              <w:t>分；</w:t>
            </w:r>
          </w:p>
          <w:p>
            <w:pPr>
              <w:spacing w:line="360" w:lineRule="auto"/>
              <w:rPr>
                <w:rFonts w:hint="eastAsia" w:ascii="仿宋" w:hAnsi="仿宋" w:eastAsia="仿宋" w:cs="仿宋"/>
                <w:sz w:val="24"/>
                <w:lang w:val="zh-CN"/>
              </w:rPr>
            </w:pPr>
            <w:r>
              <w:rPr>
                <w:rFonts w:ascii="仿宋" w:hAnsi="仿宋" w:eastAsia="仿宋" w:cs="仿宋"/>
                <w:sz w:val="24"/>
                <w:lang w:val="zh-CN"/>
              </w:rPr>
              <w:t>3</w:t>
            </w:r>
            <w:r>
              <w:rPr>
                <w:rFonts w:hint="eastAsia" w:ascii="仿宋" w:hAnsi="仿宋" w:eastAsia="仿宋" w:cs="仿宋"/>
                <w:sz w:val="24"/>
                <w:lang w:val="zh-CN"/>
              </w:rPr>
              <w:t>、项目负责人的工作经验不少于</w:t>
            </w:r>
            <w:r>
              <w:rPr>
                <w:rFonts w:ascii="仿宋" w:hAnsi="仿宋" w:eastAsia="仿宋" w:cs="仿宋"/>
                <w:sz w:val="24"/>
                <w:lang w:val="zh-CN"/>
              </w:rPr>
              <w:t>1</w:t>
            </w:r>
            <w:r>
              <w:rPr>
                <w:rFonts w:hint="eastAsia" w:ascii="仿宋" w:hAnsi="仿宋" w:eastAsia="仿宋" w:cs="仿宋"/>
                <w:sz w:val="24"/>
                <w:lang w:val="en-US" w:eastAsia="zh-CN"/>
              </w:rPr>
              <w:t>0</w:t>
            </w:r>
            <w:r>
              <w:rPr>
                <w:rFonts w:hint="eastAsia" w:ascii="仿宋" w:hAnsi="仿宋" w:eastAsia="仿宋" w:cs="仿宋"/>
                <w:sz w:val="24"/>
                <w:lang w:val="zh-CN"/>
              </w:rPr>
              <w:t>年（从毕业时间开始算起，</w:t>
            </w:r>
            <w:r>
              <w:rPr>
                <w:rFonts w:hint="eastAsia" w:ascii="仿宋" w:hAnsi="仿宋" w:eastAsia="仿宋" w:cs="仿宋"/>
                <w:sz w:val="24"/>
              </w:rPr>
              <w:t>以提供的</w:t>
            </w:r>
            <w:r>
              <w:rPr>
                <w:rFonts w:hint="eastAsia" w:ascii="仿宋" w:hAnsi="仿宋" w:eastAsia="仿宋" w:cs="仿宋"/>
                <w:sz w:val="24"/>
                <w:lang w:eastAsia="zh-CN"/>
              </w:rPr>
              <w:t>博士</w:t>
            </w:r>
            <w:r>
              <w:rPr>
                <w:rFonts w:hint="eastAsia" w:ascii="仿宋" w:hAnsi="仿宋" w:eastAsia="仿宋" w:cs="仿宋"/>
                <w:sz w:val="24"/>
              </w:rPr>
              <w:t>学位证书颁发时间为准</w:t>
            </w:r>
            <w:r>
              <w:rPr>
                <w:rFonts w:hint="eastAsia" w:ascii="仿宋" w:hAnsi="仿宋" w:eastAsia="仿宋" w:cs="仿宋"/>
                <w:sz w:val="24"/>
                <w:lang w:val="zh-CN"/>
              </w:rPr>
              <w:t>）得</w:t>
            </w:r>
            <w:r>
              <w:rPr>
                <w:rFonts w:hint="eastAsia" w:ascii="仿宋" w:hAnsi="仿宋" w:eastAsia="仿宋" w:cs="仿宋"/>
                <w:sz w:val="24"/>
              </w:rPr>
              <w:t>3</w:t>
            </w:r>
            <w:r>
              <w:rPr>
                <w:rFonts w:hint="eastAsia" w:ascii="仿宋" w:hAnsi="仿宋" w:eastAsia="仿宋" w:cs="仿宋"/>
                <w:sz w:val="24"/>
                <w:lang w:val="zh-CN"/>
              </w:rPr>
              <w:t>分。</w:t>
            </w:r>
          </w:p>
          <w:p>
            <w:pPr>
              <w:spacing w:line="360" w:lineRule="auto"/>
              <w:rPr>
                <w:rFonts w:hint="eastAsia" w:ascii="仿宋" w:hAnsi="仿宋" w:eastAsia="仿宋" w:cs="仿宋"/>
                <w:sz w:val="24"/>
                <w:lang w:val="zh-CN"/>
              </w:rPr>
            </w:pPr>
            <w:r>
              <w:rPr>
                <w:rFonts w:hint="eastAsia" w:ascii="仿宋" w:hAnsi="仿宋" w:eastAsia="仿宋" w:cs="仿宋"/>
                <w:sz w:val="24"/>
                <w:lang w:val="zh-CN"/>
              </w:rPr>
              <w:t>以上</w:t>
            </w:r>
            <w:r>
              <w:rPr>
                <w:rFonts w:ascii="仿宋" w:hAnsi="仿宋" w:eastAsia="仿宋" w:cs="仿宋"/>
                <w:sz w:val="24"/>
                <w:lang w:val="zh-CN"/>
              </w:rPr>
              <w:t>3</w:t>
            </w:r>
            <w:r>
              <w:rPr>
                <w:rFonts w:hint="eastAsia" w:ascii="仿宋" w:hAnsi="仿宋" w:eastAsia="仿宋" w:cs="仿宋"/>
                <w:sz w:val="24"/>
                <w:lang w:val="zh-CN"/>
              </w:rPr>
              <w:t>项累计得分，最高得</w:t>
            </w:r>
            <w:r>
              <w:rPr>
                <w:rFonts w:hint="eastAsia" w:ascii="仿宋" w:hAnsi="仿宋" w:eastAsia="仿宋" w:cs="仿宋"/>
                <w:sz w:val="24"/>
              </w:rPr>
              <w:t>9</w:t>
            </w:r>
            <w:r>
              <w:rPr>
                <w:rFonts w:hint="eastAsia" w:ascii="仿宋" w:hAnsi="仿宋" w:eastAsia="仿宋" w:cs="仿宋"/>
                <w:sz w:val="24"/>
                <w:lang w:val="zh-CN"/>
              </w:rPr>
              <w:t>分。</w:t>
            </w:r>
          </w:p>
          <w:p>
            <w:pPr>
              <w:spacing w:line="360" w:lineRule="auto"/>
              <w:rPr>
                <w:rFonts w:hint="eastAsia" w:ascii="仿宋" w:hAnsi="仿宋" w:eastAsia="仿宋" w:cs="仿宋"/>
                <w:sz w:val="24"/>
                <w:lang w:val="zh-CN"/>
              </w:rPr>
            </w:pPr>
            <w:r>
              <w:rPr>
                <w:rFonts w:hint="eastAsia" w:ascii="仿宋" w:hAnsi="仿宋" w:eastAsia="仿宋" w:cs="仿宋"/>
                <w:sz w:val="24"/>
                <w:lang w:val="zh-CN"/>
              </w:rPr>
              <w:t>评分依据：</w:t>
            </w:r>
          </w:p>
          <w:p>
            <w:pPr>
              <w:spacing w:line="360" w:lineRule="auto"/>
              <w:rPr>
                <w:rFonts w:hint="eastAsia" w:ascii="仿宋" w:hAnsi="仿宋" w:eastAsia="仿宋" w:cs="仿宋"/>
                <w:sz w:val="24"/>
              </w:rPr>
            </w:pPr>
            <w:r>
              <w:rPr>
                <w:rFonts w:hint="eastAsia" w:ascii="仿宋" w:hAnsi="仿宋" w:eastAsia="仿宋" w:cs="仿宋"/>
                <w:sz w:val="24"/>
              </w:rPr>
              <w:t>1、投标人须提供开标日前由投标人为其缴交的载有政府部门公章的近三个月任意一个月社保缴交证明材料，如投标人为新成立企业且成立时间不足三个月的可提供加盖公章的情况说明或其他相关证明材料亦可。（已退休返聘人员需提供有效聘用合同）；</w:t>
            </w:r>
          </w:p>
          <w:p>
            <w:pPr>
              <w:spacing w:line="360" w:lineRule="auto"/>
              <w:rPr>
                <w:rFonts w:hint="eastAsia" w:ascii="仿宋" w:hAnsi="仿宋" w:eastAsia="仿宋" w:cs="仿宋"/>
                <w:sz w:val="24"/>
                <w:lang w:val="zh-CN"/>
              </w:rPr>
            </w:pPr>
            <w:r>
              <w:rPr>
                <w:rFonts w:hint="eastAsia" w:ascii="仿宋" w:hAnsi="仿宋" w:eastAsia="仿宋" w:cs="仿宋"/>
                <w:sz w:val="24"/>
              </w:rPr>
              <w:t>2、</w:t>
            </w:r>
            <w:r>
              <w:rPr>
                <w:rFonts w:hint="eastAsia" w:ascii="仿宋" w:hAnsi="仿宋" w:eastAsia="仿宋" w:cs="仿宋"/>
                <w:sz w:val="24"/>
                <w:lang w:val="zh-CN"/>
              </w:rPr>
              <w:t>投标人须提供学位证书及学信网查询截图。对于较早颁发的学位证书，学信网无法查询的，除要求提供证书</w:t>
            </w:r>
            <w:r>
              <w:rPr>
                <w:rFonts w:hint="eastAsia" w:ascii="仿宋" w:hAnsi="仿宋" w:eastAsia="仿宋" w:cs="仿宋"/>
                <w:sz w:val="24"/>
              </w:rPr>
              <w:t>复印件或</w:t>
            </w:r>
            <w:r>
              <w:rPr>
                <w:rFonts w:hint="eastAsia" w:ascii="仿宋" w:hAnsi="仿宋" w:eastAsia="仿宋" w:cs="仿宋"/>
                <w:sz w:val="24"/>
                <w:lang w:val="zh-CN"/>
              </w:rPr>
              <w:t>扫描件，</w:t>
            </w:r>
            <w:r>
              <w:rPr>
                <w:rFonts w:hint="eastAsia" w:ascii="仿宋" w:hAnsi="仿宋" w:eastAsia="仿宋" w:cs="仿宋"/>
                <w:sz w:val="24"/>
              </w:rPr>
              <w:t>还</w:t>
            </w:r>
            <w:r>
              <w:rPr>
                <w:rFonts w:hint="eastAsia" w:ascii="仿宋" w:hAnsi="仿宋" w:eastAsia="仿宋" w:cs="仿宋"/>
                <w:sz w:val="24"/>
                <w:lang w:val="zh-CN"/>
              </w:rPr>
              <w:t>需要提供其他佐证材料（如毕业院校、人社部门等颁发机构或监管机构等单位出具的证明）作为可以得分的依据。（若为境外留学学历，无需提供学信网查询记录，需提供教育部留学服务中心出具的学历学位认证书）；</w:t>
            </w:r>
          </w:p>
          <w:p>
            <w:pPr>
              <w:spacing w:line="360" w:lineRule="auto"/>
              <w:rPr>
                <w:rFonts w:hint="eastAsia" w:ascii="仿宋" w:hAnsi="仿宋" w:eastAsia="仿宋" w:cs="仿宋"/>
                <w:sz w:val="24"/>
                <w:lang w:val="zh-CN"/>
              </w:rPr>
            </w:pPr>
            <w:r>
              <w:rPr>
                <w:rFonts w:hint="eastAsia" w:ascii="仿宋" w:hAnsi="仿宋" w:eastAsia="仿宋" w:cs="仿宋"/>
                <w:sz w:val="24"/>
              </w:rPr>
              <w:t>3、投标人须提供</w:t>
            </w:r>
            <w:r>
              <w:rPr>
                <w:rFonts w:hint="eastAsia" w:ascii="仿宋" w:hAnsi="仿宋" w:eastAsia="仿宋" w:cs="仿宋"/>
                <w:sz w:val="24"/>
                <w:lang w:val="zh-CN"/>
              </w:rPr>
              <w:t>职称证书</w:t>
            </w:r>
            <w:r>
              <w:rPr>
                <w:rFonts w:hint="eastAsia" w:ascii="仿宋" w:hAnsi="仿宋" w:eastAsia="仿宋" w:cs="仿宋"/>
                <w:sz w:val="24"/>
              </w:rPr>
              <w:t>复印件或扫描件</w:t>
            </w:r>
            <w:r>
              <w:rPr>
                <w:rFonts w:hint="eastAsia" w:ascii="仿宋" w:hAnsi="仿宋" w:eastAsia="仿宋" w:cs="仿宋"/>
                <w:sz w:val="24"/>
                <w:lang w:val="zh-CN"/>
              </w:rPr>
              <w:t>并加盖公章。评分中出现无证明资料或专家无法凭所提供资料判断是否得分的情况，一律不得分。</w:t>
            </w:r>
          </w:p>
        </w:tc>
        <w:tc>
          <w:tcPr>
            <w:tcW w:w="860" w:type="dxa"/>
            <w:vAlign w:val="center"/>
          </w:tcPr>
          <w:p>
            <w:pPr>
              <w:widowControl/>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9</w:t>
            </w:r>
          </w:p>
        </w:tc>
        <w:tc>
          <w:tcPr>
            <w:tcW w:w="1120" w:type="dxa"/>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rPr>
              <w:t>2</w:t>
            </w:r>
          </w:p>
        </w:tc>
        <w:tc>
          <w:tcPr>
            <w:tcW w:w="1168" w:type="dxa"/>
            <w:vAlign w:val="center"/>
          </w:tcPr>
          <w:p>
            <w:pPr>
              <w:widowControl/>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拟安排的项目主要团队成员情况（项目负责人除外）</w:t>
            </w:r>
          </w:p>
        </w:tc>
        <w:tc>
          <w:tcPr>
            <w:tcW w:w="5907" w:type="dxa"/>
            <w:vAlign w:val="center"/>
          </w:tcPr>
          <w:p>
            <w:pPr>
              <w:widowControl/>
              <w:spacing w:line="360" w:lineRule="auto"/>
              <w:jc w:val="left"/>
              <w:rPr>
                <w:rFonts w:hint="eastAsia" w:ascii="仿宋" w:hAnsi="仿宋" w:eastAsia="仿宋" w:cs="仿宋"/>
                <w:sz w:val="24"/>
                <w:lang w:val="zh-CN"/>
              </w:rPr>
            </w:pPr>
            <w:r>
              <w:rPr>
                <w:rFonts w:hint="eastAsia" w:ascii="仿宋" w:hAnsi="仿宋" w:eastAsia="仿宋" w:cs="仿宋"/>
                <w:sz w:val="24"/>
                <w:lang w:val="zh-CN"/>
              </w:rPr>
              <w:t>评分内容：</w:t>
            </w:r>
          </w:p>
          <w:p>
            <w:pPr>
              <w:widowControl/>
              <w:spacing w:line="360" w:lineRule="auto"/>
              <w:jc w:val="left"/>
              <w:rPr>
                <w:rFonts w:hint="eastAsia" w:ascii="仿宋" w:hAnsi="仿宋" w:eastAsia="仿宋" w:cs="仿宋"/>
                <w:sz w:val="24"/>
              </w:rPr>
            </w:pPr>
            <w:r>
              <w:rPr>
                <w:rFonts w:hint="eastAsia" w:ascii="仿宋" w:hAnsi="仿宋" w:eastAsia="仿宋" w:cs="仿宋"/>
                <w:sz w:val="24"/>
              </w:rPr>
              <w:t>项目团队成员需为本单位人员，否则本项不得分，在此基础上：</w:t>
            </w:r>
          </w:p>
          <w:p>
            <w:pPr>
              <w:spacing w:line="360" w:lineRule="auto"/>
              <w:rPr>
                <w:rFonts w:hint="eastAsia" w:ascii="仿宋" w:hAnsi="仿宋" w:eastAsia="仿宋" w:cs="仿宋"/>
                <w:sz w:val="24"/>
                <w:lang w:val="zh-CN"/>
              </w:rPr>
            </w:pPr>
            <w:r>
              <w:rPr>
                <w:rFonts w:hint="eastAsia" w:ascii="仿宋" w:hAnsi="仿宋" w:eastAsia="仿宋" w:cs="仿宋"/>
                <w:sz w:val="24"/>
                <w:lang w:val="zh-CN"/>
              </w:rPr>
              <w:t>1、项目团队成员具备金融类专业</w:t>
            </w:r>
            <w:r>
              <w:rPr>
                <w:rFonts w:hint="eastAsia" w:ascii="仿宋" w:hAnsi="仿宋" w:eastAsia="仿宋" w:cs="仿宋"/>
                <w:sz w:val="24"/>
              </w:rPr>
              <w:t>硕士</w:t>
            </w:r>
            <w:r>
              <w:rPr>
                <w:rFonts w:hint="eastAsia" w:ascii="仿宋" w:hAnsi="仿宋" w:eastAsia="仿宋" w:cs="仿宋"/>
                <w:sz w:val="24"/>
                <w:lang w:val="zh-CN"/>
              </w:rPr>
              <w:t>研究生（</w:t>
            </w:r>
            <w:r>
              <w:rPr>
                <w:rFonts w:hint="eastAsia" w:ascii="仿宋" w:hAnsi="仿宋" w:eastAsia="仿宋" w:cs="仿宋"/>
                <w:sz w:val="24"/>
              </w:rPr>
              <w:t>或</w:t>
            </w:r>
            <w:r>
              <w:rPr>
                <w:rFonts w:hint="eastAsia" w:ascii="仿宋" w:hAnsi="仿宋" w:eastAsia="仿宋" w:cs="仿宋"/>
                <w:sz w:val="24"/>
                <w:lang w:val="zh-CN"/>
              </w:rPr>
              <w:t>以上）学历的，每个得1分，最高得</w:t>
            </w:r>
            <w:r>
              <w:rPr>
                <w:rFonts w:ascii="仿宋" w:hAnsi="仿宋" w:eastAsia="仿宋" w:cs="仿宋"/>
                <w:sz w:val="24"/>
                <w:lang w:val="zh-CN"/>
              </w:rPr>
              <w:t>6</w:t>
            </w:r>
            <w:r>
              <w:rPr>
                <w:rFonts w:hint="eastAsia" w:ascii="仿宋" w:hAnsi="仿宋" w:eastAsia="仿宋" w:cs="仿宋"/>
                <w:sz w:val="24"/>
                <w:lang w:val="zh-CN"/>
              </w:rPr>
              <w:t>分；</w:t>
            </w:r>
          </w:p>
          <w:p>
            <w:pPr>
              <w:spacing w:line="360" w:lineRule="auto"/>
              <w:rPr>
                <w:rFonts w:hint="eastAsia" w:ascii="仿宋" w:hAnsi="仿宋" w:eastAsia="仿宋" w:cs="仿宋"/>
                <w:sz w:val="24"/>
                <w:lang w:val="zh-CN"/>
              </w:rPr>
            </w:pPr>
            <w:r>
              <w:rPr>
                <w:rFonts w:hint="eastAsia" w:ascii="仿宋" w:hAnsi="仿宋" w:eastAsia="仿宋" w:cs="仿宋"/>
                <w:sz w:val="24"/>
                <w:lang w:val="zh-CN"/>
              </w:rPr>
              <w:t>2、项目团队成员中具备中级</w:t>
            </w:r>
            <w:r>
              <w:rPr>
                <w:rFonts w:hint="eastAsia" w:ascii="仿宋" w:hAnsi="仿宋" w:eastAsia="仿宋" w:cs="仿宋"/>
                <w:sz w:val="24"/>
              </w:rPr>
              <w:t>或</w:t>
            </w:r>
            <w:r>
              <w:rPr>
                <w:rFonts w:hint="eastAsia" w:ascii="仿宋" w:hAnsi="仿宋" w:eastAsia="仿宋" w:cs="仿宋"/>
                <w:sz w:val="24"/>
                <w:lang w:val="zh-CN"/>
              </w:rPr>
              <w:t>以上研究员职称，每个得1分，最高得6分。</w:t>
            </w:r>
          </w:p>
          <w:p>
            <w:pPr>
              <w:spacing w:line="360" w:lineRule="auto"/>
              <w:rPr>
                <w:rFonts w:hint="eastAsia" w:ascii="仿宋" w:hAnsi="仿宋" w:eastAsia="仿宋" w:cs="仿宋"/>
                <w:sz w:val="24"/>
              </w:rPr>
            </w:pPr>
            <w:r>
              <w:rPr>
                <w:rFonts w:hint="eastAsia" w:ascii="仿宋" w:hAnsi="仿宋" w:eastAsia="仿宋" w:cs="仿宋"/>
                <w:sz w:val="24"/>
                <w:lang w:val="zh-CN"/>
              </w:rPr>
              <w:t>以上</w:t>
            </w:r>
            <w:r>
              <w:rPr>
                <w:rFonts w:ascii="仿宋" w:hAnsi="仿宋" w:eastAsia="仿宋" w:cs="仿宋"/>
                <w:sz w:val="24"/>
                <w:lang w:val="zh-CN"/>
              </w:rPr>
              <w:t>2</w:t>
            </w:r>
            <w:r>
              <w:rPr>
                <w:rFonts w:hint="eastAsia" w:ascii="仿宋" w:hAnsi="仿宋" w:eastAsia="仿宋" w:cs="仿宋"/>
                <w:sz w:val="24"/>
                <w:lang w:val="zh-CN"/>
              </w:rPr>
              <w:t>项累计得分，最高得12分。</w:t>
            </w:r>
            <w:r>
              <w:rPr>
                <w:rFonts w:hint="eastAsia" w:ascii="仿宋" w:hAnsi="仿宋" w:eastAsia="仿宋" w:cs="仿宋"/>
                <w:sz w:val="24"/>
              </w:rPr>
              <w:t>同一人员同时具备以上要求可重复计分。</w:t>
            </w:r>
          </w:p>
          <w:p>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评分依据：</w:t>
            </w:r>
          </w:p>
          <w:p>
            <w:pPr>
              <w:spacing w:line="360" w:lineRule="auto"/>
              <w:rPr>
                <w:rFonts w:hint="eastAsia" w:ascii="仿宋" w:hAnsi="仿宋" w:eastAsia="仿宋" w:cs="仿宋"/>
                <w:sz w:val="24"/>
              </w:rPr>
            </w:pPr>
            <w:r>
              <w:rPr>
                <w:rFonts w:hint="eastAsia" w:ascii="仿宋" w:hAnsi="仿宋" w:eastAsia="仿宋" w:cs="仿宋"/>
                <w:sz w:val="24"/>
              </w:rPr>
              <w:t>1、投标人须提供开标日前由投标人为其缴交的载有政府部门公章的近三个月任意一个月社保缴交证明材料，如投标人为新成立企业且成立时间不足三个月的可提供加盖公章的情况说明或其他相关证明材料亦可。（已退休返聘人员需提供有效聘用合同）；</w:t>
            </w:r>
          </w:p>
          <w:p>
            <w:pPr>
              <w:spacing w:line="360" w:lineRule="auto"/>
              <w:rPr>
                <w:rFonts w:hint="eastAsia" w:ascii="仿宋" w:hAnsi="仿宋" w:eastAsia="仿宋" w:cs="仿宋"/>
                <w:sz w:val="24"/>
                <w:lang w:val="zh-CN"/>
              </w:rPr>
            </w:pPr>
            <w:r>
              <w:rPr>
                <w:rFonts w:hint="eastAsia" w:ascii="仿宋" w:hAnsi="仿宋" w:eastAsia="仿宋" w:cs="仿宋"/>
                <w:sz w:val="24"/>
              </w:rPr>
              <w:t>2、</w:t>
            </w:r>
            <w:r>
              <w:rPr>
                <w:rFonts w:hint="eastAsia" w:ascii="仿宋" w:hAnsi="仿宋" w:eastAsia="仿宋" w:cs="仿宋"/>
                <w:sz w:val="24"/>
                <w:lang w:val="zh-CN"/>
              </w:rPr>
              <w:t>投标人须提供</w:t>
            </w:r>
            <w:r>
              <w:rPr>
                <w:rFonts w:hint="eastAsia" w:ascii="仿宋" w:hAnsi="仿宋" w:eastAsia="仿宋" w:cs="仿宋"/>
                <w:sz w:val="24"/>
              </w:rPr>
              <w:t>毕业</w:t>
            </w:r>
            <w:r>
              <w:rPr>
                <w:rFonts w:hint="eastAsia" w:ascii="仿宋" w:hAnsi="仿宋" w:eastAsia="仿宋" w:cs="仿宋"/>
                <w:sz w:val="24"/>
                <w:lang w:val="zh-CN"/>
              </w:rPr>
              <w:t>证书及学信网查询截图。对于较早颁发的</w:t>
            </w:r>
            <w:r>
              <w:rPr>
                <w:rFonts w:hint="eastAsia" w:ascii="仿宋" w:hAnsi="仿宋" w:eastAsia="仿宋" w:cs="仿宋"/>
                <w:sz w:val="24"/>
              </w:rPr>
              <w:t>毕业</w:t>
            </w:r>
            <w:r>
              <w:rPr>
                <w:rFonts w:hint="eastAsia" w:ascii="仿宋" w:hAnsi="仿宋" w:eastAsia="仿宋" w:cs="仿宋"/>
                <w:sz w:val="24"/>
                <w:lang w:val="zh-CN"/>
              </w:rPr>
              <w:t>证书，学信网无法查询的，除要求提供证书</w:t>
            </w:r>
            <w:r>
              <w:rPr>
                <w:rFonts w:hint="eastAsia" w:ascii="仿宋" w:hAnsi="仿宋" w:eastAsia="仿宋" w:cs="仿宋"/>
                <w:sz w:val="24"/>
              </w:rPr>
              <w:t>复印件或</w:t>
            </w:r>
            <w:r>
              <w:rPr>
                <w:rFonts w:hint="eastAsia" w:ascii="仿宋" w:hAnsi="仿宋" w:eastAsia="仿宋" w:cs="仿宋"/>
                <w:sz w:val="24"/>
                <w:lang w:val="zh-CN"/>
              </w:rPr>
              <w:t>扫描件，需要提供其他佐证材料（如毕业院校、人社部门等颁发机构或监管机构等单位出具的证明）作为可以得分的依据。（若为境外留学学历，无需提供学信网查询记录，需提供教育部留学服务中心出具的学历学位认证书）；</w:t>
            </w:r>
          </w:p>
          <w:p>
            <w:pPr>
              <w:spacing w:line="360" w:lineRule="auto"/>
              <w:rPr>
                <w:rFonts w:hint="eastAsia" w:ascii="仿宋" w:hAnsi="仿宋" w:eastAsia="仿宋" w:cs="仿宋"/>
                <w:sz w:val="24"/>
                <w:lang w:val="zh-CN"/>
              </w:rPr>
            </w:pPr>
            <w:r>
              <w:rPr>
                <w:rFonts w:hint="eastAsia" w:ascii="仿宋" w:hAnsi="仿宋" w:eastAsia="仿宋" w:cs="仿宋"/>
                <w:sz w:val="24"/>
              </w:rPr>
              <w:t>3、投标人须提供</w:t>
            </w:r>
            <w:r>
              <w:rPr>
                <w:rFonts w:hint="eastAsia" w:ascii="仿宋" w:hAnsi="仿宋" w:eastAsia="仿宋" w:cs="仿宋"/>
                <w:sz w:val="24"/>
                <w:lang w:val="zh-CN"/>
              </w:rPr>
              <w:t>职称证书</w:t>
            </w:r>
            <w:r>
              <w:rPr>
                <w:rFonts w:hint="eastAsia" w:ascii="仿宋" w:hAnsi="仿宋" w:eastAsia="仿宋" w:cs="仿宋"/>
                <w:sz w:val="24"/>
              </w:rPr>
              <w:t>复印件或扫描件</w:t>
            </w:r>
            <w:r>
              <w:rPr>
                <w:rFonts w:hint="eastAsia" w:ascii="仿宋" w:hAnsi="仿宋" w:eastAsia="仿宋" w:cs="仿宋"/>
                <w:sz w:val="24"/>
                <w:lang w:val="zh-CN"/>
              </w:rPr>
              <w:t>并加盖公章。评分中出现无证明资料或专家无法凭所提供资料判断是否得分的情况，一律不得分。</w:t>
            </w:r>
          </w:p>
        </w:tc>
        <w:tc>
          <w:tcPr>
            <w:tcW w:w="860" w:type="dxa"/>
            <w:vAlign w:val="center"/>
          </w:tcPr>
          <w:p>
            <w:pPr>
              <w:widowControl/>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12</w:t>
            </w:r>
          </w:p>
        </w:tc>
        <w:tc>
          <w:tcPr>
            <w:tcW w:w="1120" w:type="dxa"/>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rPr>
              <w:t>3</w:t>
            </w:r>
          </w:p>
        </w:tc>
        <w:tc>
          <w:tcPr>
            <w:tcW w:w="1168" w:type="dxa"/>
            <w:vAlign w:val="center"/>
          </w:tcPr>
          <w:p>
            <w:pPr>
              <w:widowControl/>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投标人获奖情况</w:t>
            </w:r>
          </w:p>
        </w:tc>
        <w:tc>
          <w:tcPr>
            <w:tcW w:w="5907" w:type="dxa"/>
            <w:vAlign w:val="center"/>
          </w:tcPr>
          <w:p>
            <w:pPr>
              <w:widowControl/>
              <w:spacing w:line="360" w:lineRule="auto"/>
              <w:jc w:val="left"/>
              <w:rPr>
                <w:rFonts w:hint="eastAsia" w:ascii="仿宋" w:hAnsi="仿宋" w:eastAsia="仿宋" w:cs="仿宋"/>
                <w:sz w:val="24"/>
                <w:lang w:val="zh-CN"/>
              </w:rPr>
            </w:pPr>
            <w:r>
              <w:rPr>
                <w:rFonts w:hint="eastAsia" w:ascii="仿宋" w:hAnsi="仿宋" w:eastAsia="仿宋" w:cs="仿宋"/>
                <w:sz w:val="24"/>
                <w:lang w:val="zh-CN"/>
              </w:rPr>
              <w:t>评分内容：</w:t>
            </w:r>
          </w:p>
          <w:p>
            <w:pPr>
              <w:widowControl/>
              <w:spacing w:line="360" w:lineRule="auto"/>
              <w:jc w:val="left"/>
              <w:rPr>
                <w:rFonts w:hint="eastAsia" w:ascii="仿宋" w:hAnsi="仿宋" w:eastAsia="仿宋" w:cs="仿宋"/>
                <w:sz w:val="24"/>
                <w:lang w:val="zh-CN"/>
              </w:rPr>
            </w:pPr>
            <w:r>
              <w:rPr>
                <w:rFonts w:hint="eastAsia" w:ascii="仿宋" w:hAnsi="仿宋" w:eastAsia="仿宋" w:cs="仿宋"/>
                <w:sz w:val="24"/>
                <w:lang w:val="zh-CN"/>
              </w:rPr>
              <w:t>投标人获得过政府部门颁发的咨询服务类奖项的，每个得2.5分，最高得5分。</w:t>
            </w:r>
          </w:p>
          <w:p>
            <w:pPr>
              <w:spacing w:line="360" w:lineRule="auto"/>
              <w:rPr>
                <w:rFonts w:hint="eastAsia" w:ascii="仿宋" w:hAnsi="仿宋" w:eastAsia="仿宋" w:cs="仿宋"/>
                <w:sz w:val="24"/>
                <w:lang w:val="zh-CN"/>
              </w:rPr>
            </w:pPr>
            <w:r>
              <w:rPr>
                <w:rFonts w:hint="eastAsia" w:ascii="仿宋" w:hAnsi="仿宋" w:eastAsia="仿宋" w:cs="仿宋"/>
                <w:sz w:val="24"/>
                <w:lang w:val="zh-CN"/>
              </w:rPr>
              <w:t>评分依据：</w:t>
            </w:r>
          </w:p>
          <w:p>
            <w:pPr>
              <w:spacing w:line="360" w:lineRule="auto"/>
              <w:rPr>
                <w:rFonts w:hint="eastAsia" w:ascii="仿宋" w:hAnsi="仿宋" w:eastAsia="仿宋" w:cs="仿宋"/>
                <w:sz w:val="24"/>
                <w:lang w:val="zh-CN"/>
              </w:rPr>
            </w:pPr>
            <w:r>
              <w:rPr>
                <w:rFonts w:hint="eastAsia" w:ascii="仿宋" w:hAnsi="仿宋" w:eastAsia="仿宋" w:cs="仿宋"/>
                <w:sz w:val="24"/>
                <w:lang w:val="zh-CN"/>
              </w:rPr>
              <w:t>投标人须提供奖项照片或获奖（荣誉）证书等证明材料加盖公章。评分中出现无证明资料或专家无法凭所提供资料判断是否得分的情况，一律不得分。</w:t>
            </w:r>
          </w:p>
        </w:tc>
        <w:tc>
          <w:tcPr>
            <w:tcW w:w="860" w:type="dxa"/>
            <w:vAlign w:val="center"/>
          </w:tcPr>
          <w:p>
            <w:pPr>
              <w:widowControl/>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120" w:type="dxa"/>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rPr>
              <w:t>4</w:t>
            </w:r>
          </w:p>
        </w:tc>
        <w:tc>
          <w:tcPr>
            <w:tcW w:w="1168" w:type="dxa"/>
            <w:vAlign w:val="center"/>
          </w:tcPr>
          <w:p>
            <w:pPr>
              <w:widowControl/>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业绩情况</w:t>
            </w:r>
          </w:p>
        </w:tc>
        <w:tc>
          <w:tcPr>
            <w:tcW w:w="5907" w:type="dxa"/>
            <w:vAlign w:val="center"/>
          </w:tcPr>
          <w:p>
            <w:pPr>
              <w:widowControl/>
              <w:spacing w:line="360" w:lineRule="auto"/>
              <w:jc w:val="left"/>
              <w:rPr>
                <w:rFonts w:hint="eastAsia" w:ascii="仿宋" w:hAnsi="仿宋" w:eastAsia="仿宋" w:cs="仿宋"/>
                <w:sz w:val="24"/>
                <w:lang w:val="zh-CN"/>
              </w:rPr>
            </w:pPr>
            <w:r>
              <w:rPr>
                <w:rFonts w:hint="eastAsia" w:ascii="仿宋" w:hAnsi="仿宋" w:eastAsia="仿宋" w:cs="仿宋"/>
                <w:sz w:val="24"/>
                <w:lang w:val="zh-CN"/>
              </w:rPr>
              <w:t>评</w:t>
            </w:r>
            <w:r>
              <w:rPr>
                <w:rFonts w:hint="eastAsia" w:ascii="仿宋" w:hAnsi="仿宋" w:eastAsia="仿宋" w:cs="仿宋"/>
                <w:sz w:val="24"/>
              </w:rPr>
              <w:t>分</w:t>
            </w:r>
            <w:r>
              <w:rPr>
                <w:rFonts w:hint="eastAsia" w:ascii="仿宋" w:hAnsi="仿宋" w:eastAsia="仿宋" w:cs="仿宋"/>
                <w:sz w:val="24"/>
                <w:lang w:val="zh-CN"/>
              </w:rPr>
              <w:t>内容：</w:t>
            </w:r>
          </w:p>
          <w:p>
            <w:pPr>
              <w:widowControl/>
              <w:spacing w:line="360" w:lineRule="auto"/>
              <w:jc w:val="left"/>
              <w:rPr>
                <w:rFonts w:hint="eastAsia" w:ascii="仿宋" w:hAnsi="仿宋" w:eastAsia="仿宋" w:cs="仿宋"/>
                <w:sz w:val="24"/>
                <w:lang w:val="zh-CN"/>
              </w:rPr>
            </w:pPr>
            <w:r>
              <w:rPr>
                <w:rFonts w:hint="eastAsia" w:ascii="仿宋" w:hAnsi="仿宋" w:eastAsia="仿宋" w:cs="仿宋"/>
                <w:sz w:val="24"/>
                <w:lang w:val="zh-CN"/>
              </w:rPr>
              <w:t>投标人承接过金融研究</w:t>
            </w:r>
            <w:r>
              <w:rPr>
                <w:rFonts w:hint="eastAsia" w:ascii="仿宋" w:hAnsi="仿宋" w:eastAsia="仿宋" w:cs="仿宋"/>
                <w:sz w:val="24"/>
                <w:lang w:eastAsia="zh-CN"/>
              </w:rPr>
              <w:t>或</w:t>
            </w:r>
            <w:r>
              <w:rPr>
                <w:rFonts w:hint="eastAsia" w:ascii="仿宋" w:hAnsi="仿宋" w:eastAsia="仿宋" w:cs="仿宋"/>
                <w:sz w:val="24"/>
                <w:lang w:val="zh-CN"/>
              </w:rPr>
              <w:t>金融规划和蓝皮书类项目的，每1个得</w:t>
            </w:r>
            <w:r>
              <w:rPr>
                <w:rFonts w:ascii="仿宋" w:hAnsi="仿宋" w:eastAsia="仿宋" w:cs="仿宋"/>
                <w:sz w:val="24"/>
                <w:lang w:val="zh-CN"/>
              </w:rPr>
              <w:t>2</w:t>
            </w:r>
            <w:r>
              <w:rPr>
                <w:rFonts w:hint="eastAsia" w:ascii="仿宋" w:hAnsi="仿宋" w:eastAsia="仿宋" w:cs="仿宋"/>
                <w:sz w:val="24"/>
                <w:lang w:val="zh-CN"/>
              </w:rPr>
              <w:t>分，最高得</w:t>
            </w:r>
            <w:r>
              <w:rPr>
                <w:rFonts w:ascii="仿宋" w:hAnsi="仿宋" w:eastAsia="仿宋" w:cs="仿宋"/>
                <w:sz w:val="24"/>
                <w:lang w:val="zh-CN"/>
              </w:rPr>
              <w:t>18</w:t>
            </w:r>
            <w:r>
              <w:rPr>
                <w:rFonts w:hint="eastAsia" w:ascii="仿宋" w:hAnsi="仿宋" w:eastAsia="仿宋" w:cs="仿宋"/>
                <w:sz w:val="24"/>
                <w:lang w:val="zh-CN"/>
              </w:rPr>
              <w:t>分；</w:t>
            </w:r>
          </w:p>
          <w:p>
            <w:pPr>
              <w:widowControl/>
              <w:spacing w:line="360" w:lineRule="auto"/>
              <w:jc w:val="left"/>
              <w:rPr>
                <w:rFonts w:hint="eastAsia" w:ascii="仿宋" w:hAnsi="仿宋" w:eastAsia="仿宋" w:cs="仿宋"/>
                <w:sz w:val="24"/>
                <w:lang w:val="zh-CN"/>
              </w:rPr>
            </w:pPr>
            <w:r>
              <w:rPr>
                <w:rFonts w:hint="eastAsia" w:ascii="仿宋" w:hAnsi="仿宋" w:eastAsia="仿宋" w:cs="仿宋"/>
                <w:sz w:val="24"/>
                <w:lang w:val="zh-CN"/>
              </w:rPr>
              <w:t>评分依据：</w:t>
            </w:r>
          </w:p>
          <w:p>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投标人须提供合同关键页（包含</w:t>
            </w:r>
            <w:r>
              <w:rPr>
                <w:rFonts w:hint="eastAsia" w:ascii="仿宋" w:hAnsi="仿宋" w:eastAsia="仿宋" w:cs="仿宋"/>
                <w:sz w:val="24"/>
              </w:rPr>
              <w:t>但不限于</w:t>
            </w:r>
            <w:r>
              <w:rPr>
                <w:rFonts w:hint="eastAsia" w:ascii="仿宋" w:hAnsi="仿宋" w:eastAsia="仿宋" w:cs="仿宋"/>
                <w:sz w:val="24"/>
                <w:lang w:val="zh-CN"/>
              </w:rPr>
              <w:t>合同首页、服务内容页和落款盖章页）加盖投标人公章。评分中出现无证明资料或专家无法凭所提供资料判断是否得分的情况，一律不得分。</w:t>
            </w:r>
          </w:p>
        </w:tc>
        <w:tc>
          <w:tcPr>
            <w:tcW w:w="860" w:type="dxa"/>
            <w:vAlign w:val="center"/>
          </w:tcPr>
          <w:p>
            <w:pPr>
              <w:widowControl/>
              <w:autoSpaceDE w:val="0"/>
              <w:autoSpaceDN w:val="0"/>
              <w:adjustRightInd w:val="0"/>
              <w:spacing w:line="360" w:lineRule="auto"/>
              <w:jc w:val="center"/>
              <w:rPr>
                <w:rFonts w:hint="eastAsia" w:ascii="仿宋" w:hAnsi="仿宋" w:eastAsia="仿宋" w:cs="仿宋"/>
                <w:sz w:val="24"/>
              </w:rPr>
            </w:pPr>
            <w:r>
              <w:rPr>
                <w:rFonts w:ascii="仿宋" w:hAnsi="仿宋" w:eastAsia="仿宋" w:cs="仿宋"/>
                <w:sz w:val="24"/>
              </w:rPr>
              <w:t>18</w:t>
            </w:r>
          </w:p>
        </w:tc>
        <w:tc>
          <w:tcPr>
            <w:tcW w:w="1120" w:type="dxa"/>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widowControl/>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rPr>
              <w:t>5</w:t>
            </w:r>
          </w:p>
        </w:tc>
        <w:tc>
          <w:tcPr>
            <w:tcW w:w="1168" w:type="dxa"/>
            <w:vAlign w:val="center"/>
          </w:tcPr>
          <w:p>
            <w:pPr>
              <w:widowControl/>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诚信情况</w:t>
            </w:r>
          </w:p>
        </w:tc>
        <w:tc>
          <w:tcPr>
            <w:tcW w:w="5907" w:type="dxa"/>
            <w:vAlign w:val="center"/>
          </w:tcPr>
          <w:p>
            <w:pPr>
              <w:widowControl/>
              <w:spacing w:line="360" w:lineRule="auto"/>
              <w:rPr>
                <w:rFonts w:hint="eastAsia" w:ascii="仿宋" w:hAnsi="仿宋" w:eastAsia="仿宋" w:cs="仿宋"/>
                <w:sz w:val="24"/>
                <w:lang w:val="zh-CN"/>
              </w:rPr>
            </w:pPr>
            <w:r>
              <w:rPr>
                <w:rFonts w:hint="eastAsia" w:ascii="仿宋" w:hAnsi="仿宋" w:eastAsia="仿宋" w:cs="仿宋"/>
                <w:sz w:val="24"/>
                <w:lang w:val="zh-CN" w:bidi="ar"/>
              </w:rPr>
              <w:t>评</w:t>
            </w:r>
            <w:r>
              <w:rPr>
                <w:rFonts w:hint="eastAsia" w:ascii="仿宋" w:hAnsi="仿宋" w:eastAsia="仿宋" w:cs="仿宋"/>
                <w:sz w:val="24"/>
                <w:lang w:bidi="ar"/>
              </w:rPr>
              <w:t>分</w:t>
            </w:r>
            <w:r>
              <w:rPr>
                <w:rFonts w:hint="eastAsia" w:ascii="仿宋" w:hAnsi="仿宋" w:eastAsia="仿宋" w:cs="仿宋"/>
                <w:sz w:val="24"/>
                <w:lang w:val="zh-CN" w:bidi="ar"/>
              </w:rPr>
              <w:t>内容：</w:t>
            </w:r>
          </w:p>
          <w:p>
            <w:pPr>
              <w:widowControl/>
              <w:spacing w:line="360" w:lineRule="auto"/>
              <w:rPr>
                <w:rFonts w:hint="eastAsia" w:ascii="仿宋" w:hAnsi="仿宋" w:eastAsia="仿宋" w:cs="仿宋"/>
                <w:sz w:val="24"/>
                <w:lang w:val="zh-CN" w:bidi="ar"/>
              </w:rPr>
            </w:pPr>
            <w:r>
              <w:rPr>
                <w:rFonts w:hint="eastAsia" w:ascii="仿宋" w:hAnsi="仿宋" w:eastAsia="仿宋" w:cs="仿宋"/>
                <w:sz w:val="24"/>
                <w:lang w:val="zh-CN" w:bidi="ar"/>
              </w:rPr>
              <w:t>供应商存在《深圳市财政局政府采购供应商信用信息管理办法》（深财规〔2023〕3号）列明的一般行政处罚信息、一般违法失信记录信息的，本项不得分，不存在上述情形的本项得</w:t>
            </w:r>
            <w:r>
              <w:rPr>
                <w:rFonts w:hint="eastAsia" w:ascii="仿宋" w:hAnsi="仿宋" w:eastAsia="仿宋" w:cs="仿宋"/>
                <w:sz w:val="24"/>
                <w:lang w:bidi="ar"/>
              </w:rPr>
              <w:t>5</w:t>
            </w:r>
            <w:r>
              <w:rPr>
                <w:rFonts w:hint="eastAsia" w:ascii="仿宋" w:hAnsi="仿宋" w:eastAsia="仿宋" w:cs="仿宋"/>
                <w:sz w:val="24"/>
                <w:lang w:val="zh-CN" w:bidi="ar"/>
              </w:rPr>
              <w:t>分。供应商无需提供任何证明材料，评标过程中由工作人员向评审委员会提供有关供应商诚信查询结果。</w:t>
            </w:r>
          </w:p>
          <w:p>
            <w:pPr>
              <w:widowControl/>
              <w:spacing w:line="360" w:lineRule="auto"/>
              <w:rPr>
                <w:rFonts w:hint="eastAsia" w:ascii="仿宋" w:hAnsi="仿宋" w:eastAsia="仿宋" w:cs="仿宋"/>
                <w:sz w:val="24"/>
                <w:lang w:val="zh-CN"/>
              </w:rPr>
            </w:pPr>
            <w:r>
              <w:rPr>
                <w:rFonts w:hint="eastAsia" w:ascii="仿宋" w:hAnsi="仿宋" w:eastAsia="仿宋" w:cs="仿宋"/>
                <w:sz w:val="24"/>
                <w:lang w:val="zh-CN" w:bidi="ar"/>
              </w:rPr>
              <w:t>评分</w:t>
            </w:r>
            <w:r>
              <w:rPr>
                <w:rFonts w:hint="eastAsia" w:ascii="仿宋" w:hAnsi="仿宋" w:eastAsia="仿宋" w:cs="仿宋"/>
                <w:sz w:val="24"/>
                <w:lang w:bidi="ar"/>
              </w:rPr>
              <w:t>依据</w:t>
            </w:r>
            <w:r>
              <w:rPr>
                <w:rFonts w:hint="eastAsia" w:ascii="仿宋" w:hAnsi="仿宋" w:eastAsia="仿宋" w:cs="仿宋"/>
                <w:sz w:val="24"/>
                <w:lang w:val="zh-CN" w:bidi="ar"/>
              </w:rPr>
              <w:t>：</w:t>
            </w:r>
          </w:p>
          <w:p>
            <w:pPr>
              <w:widowControl/>
              <w:spacing w:line="360" w:lineRule="auto"/>
              <w:jc w:val="left"/>
              <w:rPr>
                <w:rFonts w:hint="eastAsia" w:ascii="仿宋" w:hAnsi="仿宋" w:eastAsia="仿宋" w:cs="仿宋"/>
                <w:sz w:val="24"/>
                <w:lang w:val="zh-CN"/>
              </w:rPr>
            </w:pPr>
            <w:r>
              <w:rPr>
                <w:rFonts w:hint="eastAsia" w:ascii="仿宋" w:hAnsi="仿宋" w:eastAsia="仿宋" w:cs="仿宋"/>
                <w:sz w:val="24"/>
                <w:lang w:val="zh-CN" w:bidi="ar"/>
              </w:rPr>
              <w:t>查询渠道：通过“信用中国”（www.creditchina.gov.cn，下载信用信息报告）、“中国政府采购网”（www.ccgp.gov.cn）以及“深圳市政府采购监管网”（http://zfcg.sz.gov.cn）查询供应商信用信息，信用信息以开标当日的查询结果为准。</w:t>
            </w:r>
          </w:p>
        </w:tc>
        <w:tc>
          <w:tcPr>
            <w:tcW w:w="860" w:type="dxa"/>
            <w:vAlign w:val="center"/>
          </w:tcPr>
          <w:p>
            <w:pPr>
              <w:widowControl/>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120" w:type="dxa"/>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仿宋" w:hAnsi="仿宋" w:eastAsia="仿宋" w:cs="仿宋"/>
                <w:b/>
                <w:sz w:val="24"/>
                <w:lang w:val="zh-CN"/>
              </w:rPr>
            </w:pPr>
            <w:r>
              <w:rPr>
                <w:rFonts w:hint="eastAsia" w:ascii="仿宋" w:hAnsi="仿宋" w:eastAsia="仿宋" w:cs="仿宋"/>
                <w:b/>
                <w:sz w:val="24"/>
                <w:lang w:val="zh-CN"/>
              </w:rPr>
              <w:t>三、技术部分（</w:t>
            </w:r>
            <w:r>
              <w:rPr>
                <w:rFonts w:hint="eastAsia" w:ascii="仿宋" w:hAnsi="仿宋" w:eastAsia="仿宋" w:cs="仿宋"/>
                <w:b/>
                <w:sz w:val="24"/>
              </w:rPr>
              <w:t>41</w:t>
            </w:r>
            <w:r>
              <w:rPr>
                <w:rFonts w:hint="eastAsia" w:ascii="仿宋" w:hAnsi="仿宋" w:eastAsia="仿宋" w:cs="仿宋"/>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lang w:val="zh-CN"/>
              </w:rPr>
              <w:t>序号</w:t>
            </w:r>
          </w:p>
        </w:tc>
        <w:tc>
          <w:tcPr>
            <w:tcW w:w="1168" w:type="dxa"/>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lang w:val="zh-CN"/>
              </w:rPr>
              <w:t>内容</w:t>
            </w:r>
          </w:p>
        </w:tc>
        <w:tc>
          <w:tcPr>
            <w:tcW w:w="5907" w:type="dxa"/>
            <w:vAlign w:val="center"/>
          </w:tcPr>
          <w:p>
            <w:pPr>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评分规则</w:t>
            </w:r>
          </w:p>
        </w:tc>
        <w:tc>
          <w:tcPr>
            <w:tcW w:w="860" w:type="dxa"/>
            <w:vAlign w:val="center"/>
          </w:tcPr>
          <w:p>
            <w:pPr>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rPr>
              <w:t>分值</w:t>
            </w:r>
          </w:p>
        </w:tc>
        <w:tc>
          <w:tcPr>
            <w:tcW w:w="1120" w:type="dxa"/>
            <w:vAlign w:val="center"/>
          </w:tcPr>
          <w:p>
            <w:pPr>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widowControl/>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1</w:t>
            </w:r>
          </w:p>
        </w:tc>
        <w:tc>
          <w:tcPr>
            <w:tcW w:w="1168" w:type="dxa"/>
            <w:vAlign w:val="center"/>
          </w:tcPr>
          <w:p>
            <w:pPr>
              <w:widowControl/>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需求理解</w:t>
            </w:r>
          </w:p>
        </w:tc>
        <w:tc>
          <w:tcPr>
            <w:tcW w:w="5907" w:type="dxa"/>
            <w:vAlign w:val="center"/>
          </w:tcPr>
          <w:p>
            <w:pPr>
              <w:widowControl/>
              <w:spacing w:line="360" w:lineRule="auto"/>
              <w:jc w:val="left"/>
              <w:rPr>
                <w:rFonts w:hint="eastAsia" w:ascii="仿宋" w:hAnsi="仿宋" w:eastAsia="仿宋" w:cs="仿宋"/>
                <w:sz w:val="24"/>
                <w:lang w:val="zh-CN"/>
              </w:rPr>
            </w:pPr>
            <w:r>
              <w:rPr>
                <w:rFonts w:hint="eastAsia" w:ascii="仿宋" w:hAnsi="仿宋" w:eastAsia="仿宋" w:cs="仿宋"/>
                <w:sz w:val="24"/>
                <w:lang w:val="zh-CN"/>
              </w:rPr>
              <w:t>评</w:t>
            </w:r>
            <w:r>
              <w:rPr>
                <w:rFonts w:hint="eastAsia" w:ascii="仿宋" w:hAnsi="仿宋" w:eastAsia="仿宋" w:cs="仿宋"/>
                <w:sz w:val="24"/>
              </w:rPr>
              <w:t>分</w:t>
            </w:r>
            <w:r>
              <w:rPr>
                <w:rFonts w:hint="eastAsia" w:ascii="仿宋" w:hAnsi="仿宋" w:eastAsia="仿宋" w:cs="仿宋"/>
                <w:sz w:val="24"/>
                <w:lang w:val="zh-CN"/>
              </w:rPr>
              <w:t>内容：</w:t>
            </w:r>
          </w:p>
          <w:p>
            <w:pPr>
              <w:widowControl/>
              <w:spacing w:line="360" w:lineRule="auto"/>
              <w:jc w:val="left"/>
              <w:rPr>
                <w:rFonts w:hint="eastAsia" w:ascii="仿宋" w:hAnsi="仿宋" w:eastAsia="仿宋" w:cs="仿宋"/>
                <w:sz w:val="24"/>
                <w:lang w:val="zh-CN"/>
              </w:rPr>
            </w:pPr>
            <w:r>
              <w:rPr>
                <w:rFonts w:hint="eastAsia" w:ascii="仿宋" w:hAnsi="仿宋" w:eastAsia="仿宋" w:cs="仿宋"/>
                <w:sz w:val="24"/>
                <w:lang w:val="zh-CN"/>
              </w:rPr>
              <w:t>1.项目的认识与理解。</w:t>
            </w:r>
          </w:p>
          <w:p>
            <w:pPr>
              <w:widowControl/>
              <w:spacing w:line="360" w:lineRule="auto"/>
              <w:jc w:val="left"/>
              <w:rPr>
                <w:rFonts w:hint="eastAsia" w:ascii="仿宋" w:hAnsi="仿宋" w:eastAsia="仿宋" w:cs="仿宋"/>
                <w:sz w:val="24"/>
                <w:lang w:val="zh-CN"/>
              </w:rPr>
            </w:pPr>
            <w:r>
              <w:rPr>
                <w:rFonts w:hint="eastAsia" w:ascii="仿宋" w:hAnsi="仿宋" w:eastAsia="仿宋" w:cs="仿宋"/>
                <w:sz w:val="24"/>
                <w:lang w:val="zh-CN"/>
              </w:rPr>
              <w:t>2.工作方法和工作流程。</w:t>
            </w:r>
          </w:p>
          <w:p>
            <w:pPr>
              <w:widowControl/>
              <w:spacing w:line="360" w:lineRule="auto"/>
              <w:jc w:val="left"/>
              <w:rPr>
                <w:rFonts w:hint="eastAsia" w:ascii="仿宋" w:hAnsi="仿宋" w:eastAsia="仿宋" w:cs="仿宋"/>
                <w:sz w:val="24"/>
                <w:lang w:val="zh-CN"/>
              </w:rPr>
            </w:pPr>
            <w:r>
              <w:rPr>
                <w:rFonts w:hint="eastAsia" w:ascii="仿宋" w:hAnsi="仿宋" w:eastAsia="仿宋" w:cs="仿宋"/>
                <w:sz w:val="24"/>
                <w:lang w:val="zh-CN"/>
              </w:rPr>
              <w:t>3.利弊分析。</w:t>
            </w:r>
          </w:p>
          <w:p>
            <w:pPr>
              <w:widowControl/>
              <w:spacing w:line="360" w:lineRule="auto"/>
              <w:jc w:val="left"/>
              <w:rPr>
                <w:rFonts w:hint="eastAsia" w:ascii="仿宋" w:hAnsi="仿宋" w:eastAsia="仿宋" w:cs="仿宋"/>
                <w:sz w:val="24"/>
                <w:lang w:val="zh-CN"/>
              </w:rPr>
            </w:pPr>
            <w:r>
              <w:rPr>
                <w:rFonts w:hint="eastAsia" w:ascii="仿宋" w:hAnsi="仿宋" w:eastAsia="仿宋" w:cs="仿宋"/>
                <w:sz w:val="24"/>
                <w:lang w:val="zh-CN"/>
              </w:rPr>
              <w:t>评分标准：</w:t>
            </w:r>
          </w:p>
          <w:p>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满足以上3项的得</w:t>
            </w:r>
            <w:r>
              <w:rPr>
                <w:rFonts w:ascii="仿宋" w:hAnsi="仿宋" w:eastAsia="仿宋" w:cs="仿宋"/>
                <w:sz w:val="24"/>
                <w:lang w:val="zh-CN"/>
              </w:rPr>
              <w:t>9</w:t>
            </w:r>
            <w:r>
              <w:rPr>
                <w:rFonts w:hint="eastAsia" w:ascii="仿宋" w:hAnsi="仿宋" w:eastAsia="仿宋" w:cs="仿宋"/>
                <w:sz w:val="24"/>
                <w:lang w:val="zh-CN"/>
              </w:rPr>
              <w:t>分，满足以上2项的得</w:t>
            </w:r>
            <w:r>
              <w:rPr>
                <w:rFonts w:ascii="仿宋" w:hAnsi="仿宋" w:eastAsia="仿宋" w:cs="仿宋"/>
                <w:sz w:val="24"/>
                <w:lang w:val="zh-CN"/>
              </w:rPr>
              <w:t>6</w:t>
            </w:r>
            <w:r>
              <w:rPr>
                <w:rFonts w:hint="eastAsia" w:ascii="仿宋" w:hAnsi="仿宋" w:eastAsia="仿宋" w:cs="仿宋"/>
                <w:sz w:val="24"/>
                <w:lang w:val="zh-CN"/>
              </w:rPr>
              <w:t>分，其他情况不得分。在此基础上，专家根据内容的合理性进行评分：</w:t>
            </w:r>
          </w:p>
          <w:p>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1、优：分析全面透彻，符合项目实际情况，针对性强、内容合理的评价为优，得</w:t>
            </w:r>
            <w:r>
              <w:rPr>
                <w:rFonts w:ascii="仿宋" w:hAnsi="仿宋" w:eastAsia="仿宋" w:cs="仿宋"/>
                <w:sz w:val="24"/>
                <w:lang w:val="zh-CN"/>
              </w:rPr>
              <w:t>9</w:t>
            </w:r>
            <w:r>
              <w:rPr>
                <w:rFonts w:hint="eastAsia" w:ascii="仿宋" w:hAnsi="仿宋" w:eastAsia="仿宋" w:cs="仿宋"/>
                <w:sz w:val="24"/>
                <w:lang w:val="zh-CN"/>
              </w:rPr>
              <w:t>分；</w:t>
            </w:r>
          </w:p>
          <w:p>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2、良：分析较为透彻，较为符合项目实际情况，有一定针对性和说服力的评价为良，得</w:t>
            </w:r>
            <w:r>
              <w:rPr>
                <w:rFonts w:ascii="仿宋" w:hAnsi="仿宋" w:eastAsia="仿宋" w:cs="仿宋"/>
                <w:sz w:val="24"/>
                <w:lang w:val="zh-CN"/>
              </w:rPr>
              <w:t>6</w:t>
            </w:r>
            <w:r>
              <w:rPr>
                <w:rFonts w:hint="eastAsia" w:ascii="仿宋" w:hAnsi="仿宋" w:eastAsia="仿宋" w:cs="仿宋"/>
                <w:sz w:val="24"/>
                <w:lang w:val="zh-CN"/>
              </w:rPr>
              <w:t>分；</w:t>
            </w:r>
          </w:p>
          <w:p>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3、中：分析基本符合实际，针对性和说服力一般的评价为中，得1分；</w:t>
            </w:r>
          </w:p>
          <w:p>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4、差：分析不到位、描述不清晰，缺乏针对性和说服力的评价为差，得0分。</w:t>
            </w:r>
          </w:p>
          <w:p>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如果评审为差，要求专家书面说明理由，并记录在档。</w:t>
            </w:r>
          </w:p>
        </w:tc>
        <w:tc>
          <w:tcPr>
            <w:tcW w:w="860" w:type="dxa"/>
            <w:vAlign w:val="center"/>
          </w:tcPr>
          <w:p>
            <w:pPr>
              <w:widowControl/>
              <w:autoSpaceDE w:val="0"/>
              <w:autoSpaceDN w:val="0"/>
              <w:adjustRightInd w:val="0"/>
              <w:spacing w:line="360" w:lineRule="auto"/>
              <w:jc w:val="center"/>
              <w:rPr>
                <w:rFonts w:hint="eastAsia" w:ascii="仿宋" w:hAnsi="仿宋" w:eastAsia="仿宋" w:cs="仿宋"/>
                <w:sz w:val="24"/>
                <w:lang w:val="zh-CN"/>
              </w:rPr>
            </w:pPr>
            <w:r>
              <w:rPr>
                <w:rFonts w:ascii="仿宋" w:hAnsi="仿宋" w:eastAsia="仿宋" w:cs="仿宋"/>
                <w:sz w:val="24"/>
                <w:lang w:val="zh-CN"/>
              </w:rPr>
              <w:t>1</w:t>
            </w:r>
            <w:r>
              <w:rPr>
                <w:rFonts w:hint="eastAsia" w:ascii="仿宋" w:hAnsi="仿宋" w:eastAsia="仿宋" w:cs="仿宋"/>
                <w:sz w:val="24"/>
                <w:lang w:val="zh-CN"/>
              </w:rPr>
              <w:t>8</w:t>
            </w:r>
          </w:p>
        </w:tc>
        <w:tc>
          <w:tcPr>
            <w:tcW w:w="1120" w:type="dxa"/>
            <w:vAlign w:val="center"/>
          </w:tcPr>
          <w:p>
            <w:pPr>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widowControl/>
              <w:autoSpaceDE w:val="0"/>
              <w:autoSpaceDN w:val="0"/>
              <w:adjustRightInd w:val="0"/>
              <w:spacing w:line="360" w:lineRule="auto"/>
              <w:jc w:val="center"/>
              <w:rPr>
                <w:rFonts w:hint="eastAsia" w:ascii="仿宋" w:hAnsi="仿宋" w:eastAsia="仿宋" w:cs="仿宋"/>
                <w:sz w:val="24"/>
                <w:lang w:val="zh-CN"/>
              </w:rPr>
            </w:pPr>
            <w:r>
              <w:rPr>
                <w:rFonts w:ascii="仿宋" w:hAnsi="仿宋" w:eastAsia="仿宋" w:cs="仿宋"/>
                <w:sz w:val="24"/>
                <w:lang w:val="zh-CN"/>
              </w:rPr>
              <w:t>2</w:t>
            </w:r>
          </w:p>
        </w:tc>
        <w:tc>
          <w:tcPr>
            <w:tcW w:w="1168" w:type="dxa"/>
            <w:vAlign w:val="center"/>
          </w:tcPr>
          <w:p>
            <w:pPr>
              <w:widowControl/>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项目重点难点分析、应对措施及相关的合理化建议</w:t>
            </w:r>
          </w:p>
          <w:p>
            <w:pPr>
              <w:widowControl/>
              <w:autoSpaceDE w:val="0"/>
              <w:autoSpaceDN w:val="0"/>
              <w:adjustRightInd w:val="0"/>
              <w:spacing w:line="360" w:lineRule="auto"/>
              <w:jc w:val="center"/>
              <w:rPr>
                <w:rFonts w:hint="eastAsia" w:ascii="仿宋" w:hAnsi="仿宋" w:eastAsia="仿宋" w:cs="仿宋"/>
                <w:sz w:val="24"/>
                <w:lang w:val="zh-CN"/>
              </w:rPr>
            </w:pPr>
          </w:p>
        </w:tc>
        <w:tc>
          <w:tcPr>
            <w:tcW w:w="5907" w:type="dxa"/>
            <w:vAlign w:val="center"/>
          </w:tcPr>
          <w:p>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评</w:t>
            </w:r>
            <w:r>
              <w:rPr>
                <w:rFonts w:hint="eastAsia" w:ascii="仿宋" w:hAnsi="仿宋" w:eastAsia="仿宋" w:cs="仿宋"/>
                <w:sz w:val="24"/>
              </w:rPr>
              <w:t>分</w:t>
            </w:r>
            <w:r>
              <w:rPr>
                <w:rFonts w:hint="eastAsia" w:ascii="仿宋" w:hAnsi="仿宋" w:eastAsia="仿宋" w:cs="仿宋"/>
                <w:sz w:val="24"/>
                <w:lang w:val="zh-CN"/>
              </w:rPr>
              <w:t>内容：</w:t>
            </w:r>
          </w:p>
          <w:p>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1.项目重点、难点的分析。</w:t>
            </w:r>
          </w:p>
          <w:p>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2.项目重点、难点的应对措施。</w:t>
            </w:r>
          </w:p>
          <w:p>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3.项目实施提出的相关合理化建议。</w:t>
            </w:r>
          </w:p>
          <w:p>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评分标准：</w:t>
            </w:r>
          </w:p>
          <w:p>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满足以上3项的得8分，满足以上2项的得4分，其他情况不得分。在此基础上，专家根据内容的合理性进行评分：</w:t>
            </w:r>
          </w:p>
          <w:p>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1、优：分析透彻、依据着实，内容全面、针对性强、科学合理且可行性强的评价为优，得5分；</w:t>
            </w:r>
          </w:p>
          <w:p>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2、良：分析较为透彻、依据着实，内容较全面、针对性、合理性和可行性较强的评价为良，得3分；</w:t>
            </w:r>
          </w:p>
          <w:p>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3、中：分析一般透彻、依据一般，内容部分缺项、针对性、合理性和可行性一般的评价为中，得1分；</w:t>
            </w:r>
          </w:p>
          <w:p>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4、差：分析不透彻、内容缺项较多，不具有针对性和可行性的或未提供的评价为差，得0分。</w:t>
            </w:r>
          </w:p>
          <w:p>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如果评审为差，要求专家书面说明理由，并记录在档。</w:t>
            </w:r>
          </w:p>
        </w:tc>
        <w:tc>
          <w:tcPr>
            <w:tcW w:w="860" w:type="dxa"/>
            <w:vAlign w:val="center"/>
          </w:tcPr>
          <w:p>
            <w:pPr>
              <w:widowControl/>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13</w:t>
            </w:r>
          </w:p>
        </w:tc>
        <w:tc>
          <w:tcPr>
            <w:tcW w:w="1120" w:type="dxa"/>
            <w:vAlign w:val="center"/>
          </w:tcPr>
          <w:p>
            <w:pPr>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widowControl/>
              <w:autoSpaceDE w:val="0"/>
              <w:autoSpaceDN w:val="0"/>
              <w:adjustRightInd w:val="0"/>
              <w:spacing w:line="360" w:lineRule="auto"/>
              <w:jc w:val="center"/>
              <w:rPr>
                <w:rFonts w:hint="eastAsia" w:ascii="仿宋" w:hAnsi="仿宋" w:eastAsia="仿宋" w:cs="仿宋"/>
                <w:sz w:val="24"/>
                <w:lang w:val="zh-CN"/>
              </w:rPr>
            </w:pPr>
            <w:r>
              <w:rPr>
                <w:rFonts w:ascii="仿宋" w:hAnsi="仿宋" w:eastAsia="仿宋" w:cs="仿宋"/>
                <w:sz w:val="24"/>
                <w:lang w:val="zh-CN"/>
              </w:rPr>
              <w:t>3</w:t>
            </w:r>
          </w:p>
        </w:tc>
        <w:tc>
          <w:tcPr>
            <w:tcW w:w="1168" w:type="dxa"/>
            <w:vAlign w:val="center"/>
          </w:tcPr>
          <w:p>
            <w:pPr>
              <w:widowControl/>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项目管理措施和进度计划</w:t>
            </w:r>
          </w:p>
        </w:tc>
        <w:tc>
          <w:tcPr>
            <w:tcW w:w="5907" w:type="dxa"/>
            <w:vAlign w:val="center"/>
          </w:tcPr>
          <w:p>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评</w:t>
            </w:r>
            <w:r>
              <w:rPr>
                <w:rFonts w:hint="eastAsia" w:ascii="仿宋" w:hAnsi="仿宋" w:eastAsia="仿宋" w:cs="仿宋"/>
                <w:sz w:val="24"/>
              </w:rPr>
              <w:t>分</w:t>
            </w:r>
            <w:r>
              <w:rPr>
                <w:rFonts w:hint="eastAsia" w:ascii="仿宋" w:hAnsi="仿宋" w:eastAsia="仿宋" w:cs="仿宋"/>
                <w:sz w:val="24"/>
                <w:lang w:val="zh-CN"/>
              </w:rPr>
              <w:t>内容：</w:t>
            </w:r>
          </w:p>
          <w:p>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1.项目质量管理。</w:t>
            </w:r>
          </w:p>
          <w:p>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2.项目安全管理。</w:t>
            </w:r>
          </w:p>
          <w:p>
            <w:pPr>
              <w:spacing w:line="360" w:lineRule="auto"/>
              <w:rPr>
                <w:rFonts w:hint="eastAsia" w:ascii="仿宋" w:hAnsi="仿宋" w:eastAsia="仿宋" w:cs="仿宋"/>
                <w:sz w:val="24"/>
                <w:lang w:val="zh-CN"/>
              </w:rPr>
            </w:pPr>
            <w:r>
              <w:rPr>
                <w:rFonts w:hint="eastAsia" w:ascii="仿宋" w:hAnsi="仿宋" w:eastAsia="仿宋" w:cs="仿宋"/>
                <w:sz w:val="24"/>
                <w:lang w:val="zh-CN"/>
              </w:rPr>
              <w:t>3.项目进度安排以及完成时间。</w:t>
            </w:r>
          </w:p>
          <w:p>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评分标准：</w:t>
            </w:r>
          </w:p>
          <w:p>
            <w:pPr>
              <w:spacing w:line="360" w:lineRule="auto"/>
              <w:rPr>
                <w:rFonts w:hint="eastAsia" w:ascii="仿宋" w:hAnsi="仿宋" w:eastAsia="仿宋" w:cs="仿宋"/>
                <w:sz w:val="24"/>
                <w:lang w:val="zh-CN"/>
              </w:rPr>
            </w:pPr>
            <w:r>
              <w:rPr>
                <w:rFonts w:hint="eastAsia" w:ascii="仿宋" w:hAnsi="仿宋" w:eastAsia="仿宋" w:cs="仿宋"/>
                <w:sz w:val="24"/>
                <w:lang w:val="zh-CN"/>
              </w:rPr>
              <w:t>满足以上</w:t>
            </w:r>
            <w:r>
              <w:rPr>
                <w:rFonts w:ascii="仿宋" w:hAnsi="仿宋" w:eastAsia="仿宋" w:cs="仿宋"/>
                <w:sz w:val="24"/>
                <w:lang w:val="zh-CN"/>
              </w:rPr>
              <w:t>3</w:t>
            </w:r>
            <w:r>
              <w:rPr>
                <w:rFonts w:hint="eastAsia" w:ascii="仿宋" w:hAnsi="仿宋" w:eastAsia="仿宋" w:cs="仿宋"/>
                <w:sz w:val="24"/>
                <w:lang w:val="zh-CN"/>
              </w:rPr>
              <w:t>项的得</w:t>
            </w:r>
            <w:r>
              <w:rPr>
                <w:rFonts w:hint="eastAsia" w:ascii="仿宋" w:hAnsi="仿宋" w:eastAsia="仿宋" w:cs="仿宋"/>
                <w:sz w:val="24"/>
              </w:rPr>
              <w:t>4</w:t>
            </w:r>
            <w:r>
              <w:rPr>
                <w:rFonts w:hint="eastAsia" w:ascii="仿宋" w:hAnsi="仿宋" w:eastAsia="仿宋" w:cs="仿宋"/>
                <w:sz w:val="24"/>
                <w:lang w:val="zh-CN"/>
              </w:rPr>
              <w:t>分，满足以上</w:t>
            </w:r>
            <w:r>
              <w:rPr>
                <w:rFonts w:ascii="仿宋" w:hAnsi="仿宋" w:eastAsia="仿宋" w:cs="仿宋"/>
                <w:sz w:val="24"/>
                <w:lang w:val="zh-CN"/>
              </w:rPr>
              <w:t>2</w:t>
            </w:r>
            <w:r>
              <w:rPr>
                <w:rFonts w:hint="eastAsia" w:ascii="仿宋" w:hAnsi="仿宋" w:eastAsia="仿宋" w:cs="仿宋"/>
                <w:sz w:val="24"/>
                <w:lang w:val="zh-CN"/>
              </w:rPr>
              <w:t>项的得2分，满足以上</w:t>
            </w:r>
            <w:r>
              <w:rPr>
                <w:rFonts w:ascii="仿宋" w:hAnsi="仿宋" w:eastAsia="仿宋" w:cs="仿宋"/>
                <w:sz w:val="24"/>
                <w:lang w:val="zh-CN"/>
              </w:rPr>
              <w:t>1</w:t>
            </w:r>
            <w:r>
              <w:rPr>
                <w:rFonts w:hint="eastAsia" w:ascii="仿宋" w:hAnsi="仿宋" w:eastAsia="仿宋" w:cs="仿宋"/>
                <w:sz w:val="24"/>
                <w:lang w:val="zh-CN"/>
              </w:rPr>
              <w:t>项的得1分，其他情况不得分。在此基础上，专家根据内容的合理性进行评分：</w:t>
            </w:r>
          </w:p>
          <w:p>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1、优：内容完整详细，符合项目实际情况，可行性强的评价为优，得</w:t>
            </w:r>
            <w:r>
              <w:rPr>
                <w:rFonts w:hint="eastAsia" w:ascii="仿宋" w:hAnsi="仿宋" w:eastAsia="仿宋" w:cs="仿宋"/>
                <w:sz w:val="24"/>
              </w:rPr>
              <w:t>3</w:t>
            </w:r>
            <w:r>
              <w:rPr>
                <w:rFonts w:hint="eastAsia" w:ascii="仿宋" w:hAnsi="仿宋" w:eastAsia="仿宋" w:cs="仿宋"/>
                <w:sz w:val="24"/>
                <w:lang w:val="zh-CN"/>
              </w:rPr>
              <w:t>分；</w:t>
            </w:r>
          </w:p>
          <w:p>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2、良：内容完整，基本符合项目实际情况，可行性较好的评价为良，得2分；</w:t>
            </w:r>
          </w:p>
          <w:p>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3、中：内容能符合项目部分要求，较符合项目实际情况的评价为中，得1分；</w:t>
            </w:r>
          </w:p>
          <w:p>
            <w:pPr>
              <w:spacing w:line="360" w:lineRule="auto"/>
              <w:rPr>
                <w:rFonts w:hint="eastAsia" w:ascii="仿宋" w:hAnsi="仿宋" w:eastAsia="仿宋" w:cs="仿宋"/>
                <w:sz w:val="24"/>
                <w:lang w:val="zh-CN"/>
              </w:rPr>
            </w:pPr>
            <w:r>
              <w:rPr>
                <w:rFonts w:hint="eastAsia" w:ascii="仿宋" w:hAnsi="仿宋" w:eastAsia="仿宋" w:cs="仿宋"/>
                <w:sz w:val="24"/>
                <w:lang w:val="zh-CN"/>
              </w:rPr>
              <w:t>4、差：内容不符合项目要求，不符合项目实际情况的或未提供的评价为差，得0分。</w:t>
            </w:r>
          </w:p>
          <w:p>
            <w:pPr>
              <w:spacing w:line="360" w:lineRule="auto"/>
              <w:rPr>
                <w:rFonts w:hint="eastAsia" w:ascii="仿宋" w:hAnsi="仿宋" w:eastAsia="仿宋" w:cs="仿宋"/>
                <w:sz w:val="24"/>
                <w:lang w:val="zh-CN"/>
              </w:rPr>
            </w:pPr>
            <w:r>
              <w:rPr>
                <w:rFonts w:hint="eastAsia" w:ascii="仿宋" w:hAnsi="仿宋" w:eastAsia="仿宋" w:cs="仿宋"/>
                <w:sz w:val="24"/>
                <w:lang w:val="zh-CN"/>
              </w:rPr>
              <w:t>如果评审为差，要求专家书面说明理由，并记录在档。</w:t>
            </w:r>
          </w:p>
        </w:tc>
        <w:tc>
          <w:tcPr>
            <w:tcW w:w="860" w:type="dxa"/>
            <w:vAlign w:val="center"/>
          </w:tcPr>
          <w:p>
            <w:pPr>
              <w:widowControl/>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7</w:t>
            </w:r>
          </w:p>
        </w:tc>
        <w:tc>
          <w:tcPr>
            <w:tcW w:w="1120" w:type="dxa"/>
            <w:vAlign w:val="center"/>
          </w:tcPr>
          <w:p>
            <w:pPr>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widowControl/>
              <w:autoSpaceDE w:val="0"/>
              <w:autoSpaceDN w:val="0"/>
              <w:adjustRightInd w:val="0"/>
              <w:spacing w:line="360" w:lineRule="auto"/>
              <w:jc w:val="center"/>
              <w:rPr>
                <w:rFonts w:hint="eastAsia" w:ascii="仿宋" w:hAnsi="仿宋" w:eastAsia="仿宋" w:cs="仿宋"/>
                <w:sz w:val="24"/>
                <w:lang w:val="zh-CN"/>
              </w:rPr>
            </w:pPr>
            <w:r>
              <w:rPr>
                <w:rFonts w:ascii="仿宋" w:hAnsi="仿宋" w:eastAsia="仿宋" w:cs="仿宋"/>
                <w:sz w:val="24"/>
                <w:lang w:val="zh-CN"/>
              </w:rPr>
              <w:t>4</w:t>
            </w:r>
          </w:p>
        </w:tc>
        <w:tc>
          <w:tcPr>
            <w:tcW w:w="1168" w:type="dxa"/>
            <w:vAlign w:val="center"/>
          </w:tcPr>
          <w:p>
            <w:pPr>
              <w:widowControl/>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项目服务承诺</w:t>
            </w:r>
          </w:p>
        </w:tc>
        <w:tc>
          <w:tcPr>
            <w:tcW w:w="5907" w:type="dxa"/>
            <w:vAlign w:val="center"/>
          </w:tcPr>
          <w:p>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评</w:t>
            </w:r>
            <w:r>
              <w:rPr>
                <w:rFonts w:hint="eastAsia" w:ascii="仿宋" w:hAnsi="仿宋" w:eastAsia="仿宋" w:cs="仿宋"/>
                <w:sz w:val="24"/>
              </w:rPr>
              <w:t>分</w:t>
            </w:r>
            <w:r>
              <w:rPr>
                <w:rFonts w:hint="eastAsia" w:ascii="仿宋" w:hAnsi="仿宋" w:eastAsia="仿宋" w:cs="仿宋"/>
                <w:sz w:val="24"/>
                <w:lang w:val="zh-CN"/>
              </w:rPr>
              <w:t>内容：</w:t>
            </w:r>
          </w:p>
          <w:p>
            <w:pPr>
              <w:spacing w:line="360" w:lineRule="auto"/>
              <w:rPr>
                <w:rFonts w:hint="eastAsia" w:ascii="仿宋" w:hAnsi="仿宋" w:eastAsia="仿宋" w:cs="仿宋"/>
                <w:sz w:val="24"/>
                <w:lang w:val="zh-CN"/>
              </w:rPr>
            </w:pPr>
            <w:r>
              <w:rPr>
                <w:rFonts w:hint="eastAsia" w:ascii="仿宋" w:hAnsi="仿宋" w:eastAsia="仿宋" w:cs="仿宋"/>
                <w:sz w:val="24"/>
                <w:lang w:val="zh-CN"/>
              </w:rPr>
              <w:t>1、在项目服务期间，未经招标人同意，不得随意更换团队人员，确保服务连续性、稳定性；</w:t>
            </w:r>
          </w:p>
          <w:p>
            <w:pPr>
              <w:spacing w:line="360" w:lineRule="auto"/>
              <w:rPr>
                <w:rFonts w:hint="eastAsia" w:ascii="仿宋" w:hAnsi="仿宋" w:eastAsia="仿宋" w:cs="仿宋"/>
                <w:sz w:val="24"/>
                <w:lang w:val="zh-CN"/>
              </w:rPr>
            </w:pPr>
            <w:r>
              <w:rPr>
                <w:rFonts w:hint="eastAsia" w:ascii="仿宋" w:hAnsi="仿宋" w:eastAsia="仿宋" w:cs="仿宋"/>
                <w:sz w:val="24"/>
                <w:lang w:val="zh-CN"/>
              </w:rPr>
              <w:t>2、服务质量达到招标文件要求；</w:t>
            </w:r>
          </w:p>
          <w:p>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3、服务期满后，严格遵守保密承诺的原则，不泄露与项目有关的任何信息。</w:t>
            </w:r>
          </w:p>
          <w:p>
            <w:pPr>
              <w:spacing w:line="360" w:lineRule="auto"/>
              <w:rPr>
                <w:rFonts w:hint="eastAsia" w:ascii="仿宋" w:hAnsi="仿宋" w:eastAsia="仿宋" w:cs="仿宋"/>
                <w:sz w:val="24"/>
                <w:lang w:val="zh-CN"/>
              </w:rPr>
            </w:pPr>
            <w:r>
              <w:rPr>
                <w:rFonts w:hint="eastAsia" w:ascii="仿宋" w:hAnsi="仿宋" w:eastAsia="仿宋" w:cs="仿宋"/>
                <w:sz w:val="24"/>
                <w:lang w:val="zh-CN"/>
              </w:rPr>
              <w:t>投标人承诺以上全部三项得3分，否则不得分。</w:t>
            </w:r>
          </w:p>
          <w:p>
            <w:pPr>
              <w:widowControl/>
              <w:spacing w:line="360" w:lineRule="auto"/>
              <w:rPr>
                <w:rFonts w:hint="eastAsia" w:ascii="仿宋" w:hAnsi="仿宋" w:eastAsia="仿宋" w:cs="仿宋"/>
                <w:sz w:val="24"/>
                <w:lang w:val="zh-CN"/>
              </w:rPr>
            </w:pPr>
            <w:r>
              <w:rPr>
                <w:rFonts w:hint="eastAsia" w:ascii="仿宋" w:hAnsi="仿宋" w:eastAsia="仿宋" w:cs="仿宋"/>
                <w:sz w:val="24"/>
                <w:lang w:val="zh-CN"/>
              </w:rPr>
              <w:t>评分标准：</w:t>
            </w:r>
          </w:p>
          <w:p>
            <w:pPr>
              <w:spacing w:line="360" w:lineRule="auto"/>
              <w:rPr>
                <w:rFonts w:hint="eastAsia" w:ascii="仿宋" w:hAnsi="仿宋" w:eastAsia="仿宋" w:cs="仿宋"/>
                <w:sz w:val="24"/>
                <w:lang w:val="zh-CN"/>
              </w:rPr>
            </w:pPr>
            <w:r>
              <w:rPr>
                <w:rFonts w:hint="eastAsia" w:ascii="仿宋" w:hAnsi="仿宋" w:eastAsia="仿宋" w:cs="仿宋"/>
                <w:sz w:val="24"/>
                <w:lang w:val="zh-CN"/>
              </w:rPr>
              <w:t>要求提供承诺函（格式自定）作为得分依据，未提供承诺或承诺内容不满足要求不得分。</w:t>
            </w:r>
          </w:p>
        </w:tc>
        <w:tc>
          <w:tcPr>
            <w:tcW w:w="860" w:type="dxa"/>
            <w:vAlign w:val="center"/>
          </w:tcPr>
          <w:p>
            <w:pPr>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3</w:t>
            </w:r>
          </w:p>
        </w:tc>
        <w:tc>
          <w:tcPr>
            <w:tcW w:w="1120" w:type="dxa"/>
            <w:vAlign w:val="center"/>
          </w:tcPr>
          <w:p>
            <w:pPr>
              <w:autoSpaceDE w:val="0"/>
              <w:autoSpaceDN w:val="0"/>
              <w:adjustRightIn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评审委员打分</w:t>
            </w:r>
          </w:p>
        </w:tc>
      </w:tr>
    </w:tbl>
    <w:p>
      <w:pPr>
        <w:pStyle w:val="2"/>
      </w:pPr>
    </w:p>
    <w:p>
      <w:pPr>
        <w:spacing w:line="360" w:lineRule="auto"/>
        <w:jc w:val="center"/>
        <w:rPr>
          <w:rFonts w:hint="eastAsia" w:ascii="宋体" w:hAnsi="宋体" w:cs="宋体"/>
          <w:b/>
          <w:bCs/>
          <w:sz w:val="24"/>
        </w:rPr>
      </w:pPr>
    </w:p>
    <w:p>
      <w:pPr>
        <w:spacing w:line="360" w:lineRule="auto"/>
        <w:jc w:val="center"/>
        <w:outlineLvl w:val="0"/>
        <w:rPr>
          <w:rFonts w:hint="eastAsia" w:ascii="宋体" w:hAnsi="宋体" w:cs="宋体"/>
          <w:b/>
          <w:bCs/>
          <w:sz w:val="24"/>
        </w:rPr>
        <w:sectPr>
          <w:pgSz w:w="11906" w:h="16838"/>
          <w:pgMar w:top="1440" w:right="1650" w:bottom="1440" w:left="1650" w:header="851" w:footer="992" w:gutter="0"/>
          <w:cols w:space="720" w:num="1"/>
          <w:docGrid w:type="lines" w:linePitch="319" w:charSpace="0"/>
        </w:sectPr>
      </w:pPr>
      <w:bookmarkStart w:id="44" w:name="_Toc834"/>
      <w:bookmarkStart w:id="45" w:name="_Hlk28269117"/>
    </w:p>
    <w:p>
      <w:pPr>
        <w:spacing w:line="360" w:lineRule="auto"/>
        <w:jc w:val="center"/>
        <w:outlineLvl w:val="0"/>
        <w:rPr>
          <w:rFonts w:hint="eastAsia" w:ascii="宋体" w:hAnsi="宋体" w:cs="宋体"/>
          <w:b/>
          <w:bCs/>
          <w:sz w:val="24"/>
        </w:rPr>
      </w:pPr>
      <w:r>
        <w:rPr>
          <w:rFonts w:hint="eastAsia" w:ascii="宋体" w:hAnsi="宋体" w:cs="宋体"/>
          <w:b/>
          <w:bCs/>
          <w:sz w:val="24"/>
        </w:rPr>
        <w:t>第七章 附件（投标文件格式）</w:t>
      </w:r>
      <w:bookmarkEnd w:id="44"/>
    </w:p>
    <w:p>
      <w:pPr>
        <w:keepNext/>
        <w:keepLines/>
        <w:spacing w:before="260" w:after="260" w:line="360" w:lineRule="auto"/>
        <w:jc w:val="center"/>
        <w:outlineLvl w:val="1"/>
        <w:rPr>
          <w:rFonts w:hint="eastAsia" w:ascii="宋体" w:hAnsi="宋体" w:cs="宋体"/>
          <w:b/>
          <w:bCs/>
          <w:sz w:val="24"/>
        </w:rPr>
      </w:pPr>
      <w:bookmarkStart w:id="46" w:name="_Toc5116"/>
      <w:bookmarkStart w:id="47" w:name="_Toc31827"/>
      <w:bookmarkStart w:id="48" w:name="_Toc19494"/>
      <w:bookmarkStart w:id="49" w:name="_Toc6548"/>
      <w:r>
        <w:rPr>
          <w:rFonts w:hint="eastAsia" w:ascii="宋体" w:hAnsi="宋体" w:cs="宋体"/>
          <w:b/>
          <w:sz w:val="24"/>
        </w:rPr>
        <w:t>一、</w:t>
      </w:r>
      <w:r>
        <w:rPr>
          <w:rFonts w:hint="eastAsia" w:ascii="宋体" w:hAnsi="宋体" w:cs="宋体"/>
          <w:b/>
          <w:bCs/>
          <w:sz w:val="24"/>
        </w:rPr>
        <w:t>投标文件包装封面参考</w:t>
      </w:r>
      <w:bookmarkEnd w:id="46"/>
      <w:bookmarkEnd w:id="47"/>
      <w:bookmarkEnd w:id="48"/>
      <w:bookmarkEnd w:id="49"/>
    </w:p>
    <w:tbl>
      <w:tblPr>
        <w:tblStyle w:val="23"/>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9"/>
              <w:tabs>
                <w:tab w:val="left" w:pos="562"/>
                <w:tab w:val="left" w:pos="3372"/>
                <w:tab w:val="left" w:pos="3653"/>
              </w:tabs>
              <w:spacing w:line="360" w:lineRule="auto"/>
              <w:rPr>
                <w:rFonts w:ascii="黑体" w:eastAsia="黑体"/>
                <w:b/>
                <w:sz w:val="72"/>
                <w:szCs w:val="72"/>
              </w:rPr>
            </w:pPr>
          </w:p>
          <w:p>
            <w:pPr>
              <w:pStyle w:val="9"/>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9"/>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9"/>
              <w:tabs>
                <w:tab w:val="left" w:pos="562"/>
                <w:tab w:val="left" w:pos="3372"/>
                <w:tab w:val="left" w:pos="3653"/>
              </w:tabs>
              <w:spacing w:line="360" w:lineRule="auto"/>
              <w:rPr>
                <w:rFonts w:ascii="仿宋_GB2312" w:eastAsia="仿宋_GB2312"/>
                <w:b/>
                <w:sz w:val="32"/>
              </w:rPr>
            </w:pPr>
          </w:p>
          <w:p>
            <w:pPr>
              <w:pStyle w:val="9"/>
              <w:tabs>
                <w:tab w:val="left" w:pos="562"/>
                <w:tab w:val="left" w:pos="3372"/>
                <w:tab w:val="left" w:pos="3653"/>
              </w:tabs>
              <w:spacing w:line="360" w:lineRule="auto"/>
              <w:rPr>
                <w:rFonts w:ascii="仿宋_GB2312" w:eastAsia="仿宋_GB2312"/>
                <w:b/>
                <w:sz w:val="32"/>
              </w:rPr>
            </w:pPr>
          </w:p>
          <w:p>
            <w:pPr>
              <w:pStyle w:val="9"/>
              <w:tabs>
                <w:tab w:val="left" w:pos="562"/>
                <w:tab w:val="left" w:pos="3372"/>
                <w:tab w:val="left" w:pos="3653"/>
              </w:tabs>
              <w:spacing w:line="360" w:lineRule="auto"/>
              <w:ind w:firstLine="900" w:firstLineChars="320"/>
              <w:rPr>
                <w:rFonts w:ascii="仿宋_GB2312" w:eastAsia="仿宋_GB2312"/>
                <w:b/>
                <w:sz w:val="28"/>
                <w:szCs w:val="28"/>
              </w:rPr>
            </w:pPr>
          </w:p>
          <w:p/>
          <w:p>
            <w:pPr>
              <w:pStyle w:val="9"/>
              <w:tabs>
                <w:tab w:val="left" w:pos="562"/>
                <w:tab w:val="left" w:pos="3372"/>
                <w:tab w:val="left" w:pos="3653"/>
              </w:tabs>
              <w:spacing w:line="360" w:lineRule="auto"/>
              <w:rPr>
                <w:rFonts w:ascii="仿宋_GB2312" w:eastAsia="仿宋_GB2312"/>
                <w:b/>
                <w:sz w:val="28"/>
                <w:szCs w:val="28"/>
              </w:rPr>
            </w:pPr>
          </w:p>
          <w:p>
            <w:pPr>
              <w:pStyle w:val="9"/>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9"/>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9"/>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9"/>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Pr>
        <w:pStyle w:val="6"/>
        <w:rPr>
          <w:rFonts w:hint="eastAsia" w:ascii="宋体" w:eastAsia="宋体" w:cs="宋体"/>
          <w:b/>
          <w:sz w:val="24"/>
        </w:rPr>
      </w:pPr>
    </w:p>
    <w:p>
      <w:pPr>
        <w:pStyle w:val="6"/>
        <w:rPr>
          <w:rFonts w:hint="eastAsia" w:ascii="宋体" w:cs="宋体"/>
          <w:b/>
          <w:sz w:val="24"/>
        </w:rPr>
      </w:pPr>
      <w:r>
        <w:rPr>
          <w:rFonts w:hint="eastAsia" w:ascii="宋体" w:eastAsia="宋体" w:cs="宋体"/>
          <w:b/>
          <w:sz w:val="24"/>
        </w:rPr>
        <w:t>二、投标文件—目录</w:t>
      </w:r>
    </w:p>
    <w:p>
      <w:pPr>
        <w:spacing w:line="360" w:lineRule="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1、投标一览表；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2、分项报价明细表；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3、《中小企业声明函》或《残疾人福利性单位声明函》或《监狱企业声明函》（参与价格扣减的投标人应提供）；</w:t>
      </w:r>
    </w:p>
    <w:p>
      <w:pPr>
        <w:spacing w:line="360" w:lineRule="auto"/>
        <w:rPr>
          <w:rFonts w:hint="eastAsia" w:ascii="宋体" w:hAnsi="宋体" w:cs="宋体"/>
          <w:b/>
          <w:bCs/>
          <w:sz w:val="24"/>
          <w:u w:val="wave"/>
        </w:rPr>
      </w:pPr>
      <w:r>
        <w:rPr>
          <w:rFonts w:hint="eastAsia" w:ascii="宋体" w:hAnsi="宋体" w:cs="宋体"/>
          <w:b/>
          <w:bCs/>
          <w:sz w:val="24"/>
        </w:rPr>
        <w:t>（二）商务部分</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1、投标响应书；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2</w:t>
      </w:r>
      <w:r>
        <w:rPr>
          <w:rFonts w:hint="eastAsia" w:ascii="宋体" w:hAnsi="宋体" w:cs="宋体"/>
          <w:sz w:val="24"/>
          <w:lang w:val="fr-CH"/>
        </w:rPr>
        <w:t>、营业执照【其他组织视其实际情况提供：《事业单位法人证书》或《民办非企业单位登记证书》等】及税务登记册证副本复印件(加盖投标人公章，若提供的营业执照为三证合一，则税务登记证可不单独提供)；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3</w:t>
      </w:r>
      <w:r>
        <w:rPr>
          <w:rFonts w:hint="eastAsia" w:ascii="宋体" w:hAnsi="宋体" w:cs="宋体"/>
          <w:sz w:val="24"/>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4</w:t>
      </w:r>
      <w:r>
        <w:rPr>
          <w:rFonts w:hint="eastAsia" w:ascii="宋体" w:hAnsi="宋体" w:cs="宋体"/>
          <w:sz w:val="24"/>
          <w:lang w:val="fr-CH"/>
        </w:rPr>
        <w:t>、政府采购违法行为风险知悉确认书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5</w:t>
      </w:r>
      <w:r>
        <w:rPr>
          <w:rFonts w:hint="eastAsia" w:ascii="宋体" w:hAnsi="宋体" w:cs="宋体"/>
          <w:sz w:val="24"/>
          <w:lang w:val="fr-CH"/>
        </w:rPr>
        <w:t>、关于资格的声明函；</w:t>
      </w:r>
    </w:p>
    <w:p>
      <w:pPr>
        <w:pStyle w:val="32"/>
        <w:spacing w:line="360" w:lineRule="auto"/>
        <w:ind w:firstLine="480"/>
        <w:rPr>
          <w:lang w:val="fr-CH"/>
        </w:rPr>
      </w:pPr>
      <w:r>
        <w:rPr>
          <w:rFonts w:hint="eastAsia" w:ascii="宋体" w:hAnsi="宋体" w:cs="宋体"/>
          <w:kern w:val="2"/>
          <w:sz w:val="24"/>
          <w:szCs w:val="24"/>
        </w:rPr>
        <w:t>6</w:t>
      </w:r>
      <w:r>
        <w:rPr>
          <w:rFonts w:hint="eastAsia" w:ascii="宋体" w:hAnsi="宋体" w:cs="宋体"/>
          <w:kern w:val="2"/>
          <w:sz w:val="24"/>
          <w:szCs w:val="24"/>
          <w:lang w:val="fr-CH"/>
        </w:rPr>
        <w:t>、企业诚信声明与承诺；</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7、</w:t>
      </w:r>
      <w:r>
        <w:rPr>
          <w:rFonts w:hint="eastAsia" w:ascii="宋体" w:hAnsi="宋体" w:cs="宋体"/>
          <w:sz w:val="24"/>
          <w:lang w:val="fr-CH"/>
        </w:rPr>
        <w:t>法</w:t>
      </w:r>
      <w:r>
        <w:rPr>
          <w:rFonts w:hint="eastAsia" w:ascii="宋体" w:hAnsi="宋体" w:cs="宋体"/>
          <w:sz w:val="24"/>
        </w:rPr>
        <w:t>定</w:t>
      </w:r>
      <w:r>
        <w:rPr>
          <w:rFonts w:hint="eastAsia" w:ascii="宋体" w:hAnsi="宋体" w:cs="宋体"/>
          <w:sz w:val="24"/>
          <w:lang w:val="fr-CH"/>
        </w:rPr>
        <w:t>代表</w:t>
      </w:r>
      <w:r>
        <w:rPr>
          <w:rFonts w:hint="eastAsia" w:ascii="宋体" w:hAnsi="宋体" w:cs="宋体"/>
          <w:sz w:val="24"/>
        </w:rPr>
        <w:t>人</w:t>
      </w:r>
      <w:r>
        <w:rPr>
          <w:rFonts w:hint="eastAsia" w:ascii="宋体" w:hAnsi="宋体" w:cs="宋体"/>
          <w:sz w:val="24"/>
          <w:lang w:val="fr-CH"/>
        </w:rPr>
        <w:t>/单位负责人证明书及身份证明；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8</w:t>
      </w:r>
      <w:r>
        <w:rPr>
          <w:rFonts w:hint="eastAsia" w:ascii="宋体" w:hAnsi="宋体" w:cs="宋体"/>
          <w:sz w:val="24"/>
          <w:lang w:val="fr-CH"/>
        </w:rPr>
        <w:t>、法定代表人/单位负责人授权书及身份证明；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9</w:t>
      </w:r>
      <w:r>
        <w:rPr>
          <w:rFonts w:hint="eastAsia" w:ascii="宋体" w:hAnsi="宋体" w:cs="宋体"/>
          <w:sz w:val="24"/>
          <w:lang w:val="fr-CH"/>
        </w:rPr>
        <w:t>、招标代理服务费承诺书；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10</w:t>
      </w:r>
      <w:r>
        <w:rPr>
          <w:rFonts w:hint="eastAsia" w:ascii="宋体" w:hAnsi="宋体" w:cs="宋体"/>
          <w:sz w:val="24"/>
          <w:lang w:val="fr-CH"/>
        </w:rPr>
        <w:t>、投标人简介（供应商基本情况表）</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1</w:t>
      </w:r>
      <w:r>
        <w:rPr>
          <w:rFonts w:hint="eastAsia" w:ascii="宋体" w:hAnsi="宋体" w:cs="宋体"/>
          <w:sz w:val="24"/>
          <w:lang w:val="fr-CH"/>
        </w:rPr>
        <w:t>、项目负责人（仅限1人）</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12、</w:t>
      </w:r>
      <w:r>
        <w:rPr>
          <w:rFonts w:hint="eastAsia" w:ascii="宋体" w:hAnsi="宋体" w:cs="宋体"/>
          <w:sz w:val="24"/>
          <w:lang w:val="zh-CN"/>
        </w:rPr>
        <w:t>拟安排的项目主要团队成员情况（项目负责人除外）</w:t>
      </w:r>
    </w:p>
    <w:p>
      <w:pPr>
        <w:tabs>
          <w:tab w:val="left" w:pos="640"/>
          <w:tab w:val="left" w:pos="1260"/>
          <w:tab w:val="left" w:pos="1418"/>
        </w:tabs>
        <w:spacing w:line="360" w:lineRule="auto"/>
        <w:ind w:firstLine="480" w:firstLineChars="200"/>
        <w:rPr>
          <w:rFonts w:hint="eastAsia" w:ascii="宋体" w:hAnsi="宋体" w:cs="宋体"/>
          <w:sz w:val="24"/>
          <w:lang w:val="zh-CN"/>
        </w:rPr>
      </w:pPr>
      <w:r>
        <w:rPr>
          <w:rFonts w:hint="eastAsia" w:ascii="宋体" w:hAnsi="宋体" w:cs="宋体"/>
          <w:sz w:val="24"/>
          <w:lang w:val="fr-CH"/>
        </w:rPr>
        <w:t>1</w:t>
      </w:r>
      <w:r>
        <w:rPr>
          <w:rFonts w:hint="eastAsia" w:ascii="宋体" w:hAnsi="宋体" w:cs="宋体"/>
          <w:sz w:val="24"/>
        </w:rPr>
        <w:t>3</w:t>
      </w:r>
      <w:r>
        <w:rPr>
          <w:rFonts w:hint="eastAsia" w:ascii="宋体" w:hAnsi="宋体" w:cs="宋体"/>
          <w:sz w:val="24"/>
          <w:lang w:val="fr-CH"/>
        </w:rPr>
        <w:t>、</w:t>
      </w:r>
      <w:r>
        <w:rPr>
          <w:rFonts w:hint="eastAsia" w:ascii="宋体" w:hAnsi="宋体" w:cs="宋体"/>
          <w:sz w:val="24"/>
          <w:lang w:val="zh-CN"/>
        </w:rPr>
        <w:t>投标人获奖情况</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14、</w:t>
      </w:r>
      <w:r>
        <w:rPr>
          <w:rFonts w:hint="eastAsia" w:ascii="宋体" w:hAnsi="宋体" w:cs="宋体"/>
          <w:sz w:val="24"/>
          <w:lang w:val="fr-CH"/>
        </w:rPr>
        <w:t>业绩情况</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5</w:t>
      </w:r>
      <w:r>
        <w:rPr>
          <w:rFonts w:hint="eastAsia" w:ascii="宋体" w:hAnsi="宋体" w:cs="宋体"/>
          <w:sz w:val="24"/>
          <w:lang w:val="fr-CH"/>
        </w:rPr>
        <w:t>、投标单位认为有必要提供的其他材料（</w:t>
      </w:r>
      <w:r>
        <w:rPr>
          <w:rFonts w:hint="eastAsia" w:ascii="宋体" w:hAnsi="宋体" w:cs="宋体"/>
          <w:sz w:val="24"/>
        </w:rPr>
        <w:t>格式自拟</w:t>
      </w:r>
      <w:r>
        <w:rPr>
          <w:rFonts w:hint="eastAsia" w:ascii="宋体" w:hAnsi="宋体" w:cs="宋体"/>
          <w:sz w:val="24"/>
          <w:lang w:val="fr-CH"/>
        </w:rPr>
        <w:t>）</w:t>
      </w:r>
    </w:p>
    <w:p>
      <w:pPr>
        <w:spacing w:line="360" w:lineRule="auto"/>
        <w:rPr>
          <w:rFonts w:hint="eastAsia" w:ascii="宋体" w:hAnsi="宋体" w:cs="宋体"/>
          <w:b/>
          <w:bCs/>
          <w:sz w:val="24"/>
        </w:rPr>
      </w:pPr>
      <w:r>
        <w:rPr>
          <w:rFonts w:hint="eastAsia" w:ascii="宋体" w:hAnsi="宋体" w:cs="宋体"/>
          <w:b/>
          <w:bCs/>
          <w:sz w:val="24"/>
        </w:rPr>
        <w:t>（三）技术部分</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2、</w:t>
      </w:r>
      <w:r>
        <w:rPr>
          <w:rFonts w:hint="eastAsia" w:ascii="宋体" w:hAnsi="宋体" w:cs="宋体"/>
          <w:sz w:val="24"/>
          <w:lang w:val="zh-CN"/>
        </w:rPr>
        <w:t>需求理解</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3、项目重点难点分析、应对措施及相关的合理化建议</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4、项目管理措施和进度计划</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5、</w:t>
      </w:r>
      <w:r>
        <w:rPr>
          <w:rFonts w:hint="eastAsia" w:ascii="宋体" w:hAnsi="宋体" w:cs="宋体"/>
          <w:sz w:val="24"/>
          <w:lang w:val="zh-CN"/>
        </w:rPr>
        <w:t>项目服务承诺</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6、</w:t>
      </w:r>
      <w:r>
        <w:rPr>
          <w:rFonts w:hint="eastAsia" w:ascii="宋体" w:hAnsi="宋体" w:cs="宋体"/>
          <w:sz w:val="24"/>
          <w:lang w:val="fr-CH"/>
        </w:rPr>
        <w:t>投标单位认为有必要提供的其他材料</w:t>
      </w:r>
      <w:r>
        <w:rPr>
          <w:rFonts w:hint="eastAsia" w:ascii="宋体" w:hAnsi="宋体" w:cs="宋体"/>
          <w:sz w:val="24"/>
          <w:lang w:val="fr-CH" w:bidi="ar"/>
        </w:rPr>
        <w:br w:type="page"/>
      </w:r>
      <w:r>
        <w:rPr>
          <w:rFonts w:hint="eastAsia" w:ascii="宋体" w:hAnsi="宋体" w:cs="宋体"/>
          <w:b/>
          <w:bCs/>
          <w:sz w:val="24"/>
        </w:rPr>
        <w:t>（一）</w:t>
      </w:r>
      <w:r>
        <w:rPr>
          <w:rFonts w:hint="eastAsia" w:ascii="宋体" w:hAnsi="宋体" w:cs="宋体"/>
          <w:b/>
          <w:bCs/>
          <w:sz w:val="24"/>
          <w:lang w:val="zh-CN"/>
        </w:rPr>
        <w:t>价格部分</w:t>
      </w:r>
    </w:p>
    <w:p>
      <w:pPr>
        <w:spacing w:line="360" w:lineRule="auto"/>
        <w:jc w:val="center"/>
        <w:rPr>
          <w:rFonts w:hint="eastAsia" w:ascii="宋体" w:hAnsi="宋体" w:cs="宋体"/>
          <w:b/>
          <w:bCs/>
          <w:sz w:val="24"/>
        </w:rPr>
      </w:pPr>
      <w:r>
        <w:rPr>
          <w:rFonts w:hint="eastAsia" w:ascii="宋体" w:hAnsi="宋体" w:cs="宋体"/>
          <w:b/>
          <w:bCs/>
          <w:sz w:val="24"/>
        </w:rPr>
        <w:t>1、投标一览表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3"/>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3225" w:type="dxa"/>
            <w:vAlign w:val="center"/>
          </w:tcPr>
          <w:p>
            <w:pPr>
              <w:spacing w:after="60" w:line="360" w:lineRule="auto"/>
              <w:jc w:val="center"/>
              <w:rPr>
                <w:rFonts w:hint="eastAsia" w:ascii="宋体" w:hAnsi="宋体" w:cs="宋体"/>
                <w:sz w:val="24"/>
              </w:rPr>
            </w:pPr>
            <w:r>
              <w:rPr>
                <w:rFonts w:hint="eastAsia" w:ascii="宋体" w:hAnsi="宋体" w:cs="宋体"/>
                <w:sz w:val="24"/>
              </w:rPr>
              <w:t>投标总价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275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hint="eastAsia" w:ascii="宋体" w:hAnsi="宋体" w:cs="宋体"/>
                <w:sz w:val="24"/>
                <w:u w:val="single"/>
              </w:rPr>
            </w:pPr>
          </w:p>
        </w:tc>
        <w:tc>
          <w:tcPr>
            <w:tcW w:w="3225" w:type="dxa"/>
            <w:vAlign w:val="center"/>
          </w:tcPr>
          <w:p>
            <w:pPr>
              <w:spacing w:line="360" w:lineRule="auto"/>
              <w:jc w:val="center"/>
              <w:rPr>
                <w:rFonts w:hint="eastAsia" w:ascii="宋体" w:hAnsi="宋体" w:cs="宋体"/>
                <w:sz w:val="24"/>
                <w:u w:val="single"/>
              </w:rPr>
            </w:pPr>
          </w:p>
        </w:tc>
        <w:tc>
          <w:tcPr>
            <w:tcW w:w="275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pStyle w:val="32"/>
        <w:ind w:firstLine="0" w:firstLineChars="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2、分项报价清单</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3"/>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黑体" w:cs="仿宋_GB2312"/>
                <w:b/>
                <w:bCs/>
                <w:color w:val="000000"/>
                <w:kern w:val="0"/>
                <w:sz w:val="24"/>
                <w:lang w:bidi="ar"/>
              </w:rPr>
            </w:pPr>
            <w:r>
              <w:rPr>
                <w:rFonts w:hint="eastAsia" w:ascii="黑体" w:hAnsi="黑体" w:eastAsia="黑体" w:cs="黑体"/>
                <w:b/>
                <w:bCs/>
                <w:color w:val="000000"/>
                <w:kern w:val="0"/>
                <w:sz w:val="28"/>
                <w:szCs w:val="28"/>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b/>
                <w:bCs/>
                <w:color w:val="000000"/>
                <w:kern w:val="0"/>
                <w:sz w:val="24"/>
                <w:lang w:bidi="zh-CN"/>
              </w:rPr>
            </w:pPr>
            <w:r>
              <w:rPr>
                <w:rFonts w:hint="eastAsia" w:ascii="仿宋_GB2312" w:hAnsi="仿宋_GB2312" w:eastAsia="仿宋_GB2312" w:cs="仿宋_GB2312"/>
                <w:b/>
                <w:bCs/>
                <w:color w:val="000000"/>
                <w:kern w:val="0"/>
                <w:sz w:val="24"/>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FF0000"/>
                <w:kern w:val="0"/>
                <w:sz w:val="24"/>
                <w:lang w:bidi="ar"/>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注：可根据需要自行调整报价格式。含税总计应等于投标总价。</w:t>
      </w: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pPr>
        <w:spacing w:line="360" w:lineRule="auto"/>
        <w:jc w:val="center"/>
        <w:outlineLvl w:val="2"/>
        <w:rPr>
          <w:rFonts w:hint="eastAsia" w:ascii="宋体" w:hAnsi="宋体" w:cs="宋体"/>
          <w:b/>
          <w:bCs/>
          <w:sz w:val="24"/>
        </w:rPr>
      </w:pPr>
      <w:r>
        <w:rPr>
          <w:rFonts w:hint="eastAsia" w:ascii="宋体" w:hAnsi="宋体" w:cs="宋体"/>
          <w:b/>
          <w:bCs/>
          <w:sz w:val="24"/>
        </w:rPr>
        <w:t>（具体详见“附件：相关政策”）</w:t>
      </w:r>
      <w:r>
        <w:rPr>
          <w:rFonts w:hint="eastAsia" w:ascii="宋体" w:hAnsi="宋体" w:cs="宋体"/>
          <w:b/>
          <w:bCs/>
          <w:sz w:val="24"/>
        </w:rPr>
        <w:br w:type="page"/>
      </w:r>
      <w:r>
        <w:rPr>
          <w:rFonts w:hint="eastAsia" w:ascii="宋体" w:hAnsi="宋体" w:cs="宋体"/>
          <w:b/>
          <w:bCs/>
          <w:sz w:val="24"/>
        </w:rPr>
        <w:t>商务部分</w:t>
      </w:r>
    </w:p>
    <w:p>
      <w:pPr>
        <w:pStyle w:val="32"/>
        <w:ind w:firstLine="0" w:firstLineChars="0"/>
      </w:pPr>
    </w:p>
    <w:p>
      <w:pPr>
        <w:spacing w:line="360" w:lineRule="auto"/>
        <w:jc w:val="center"/>
        <w:rPr>
          <w:rFonts w:hint="eastAsia" w:ascii="宋体" w:hAnsi="宋体" w:cs="宋体"/>
          <w:b/>
          <w:bCs/>
          <w:sz w:val="24"/>
        </w:rPr>
      </w:pPr>
      <w:r>
        <w:rPr>
          <w:rFonts w:hint="eastAsia" w:ascii="宋体" w:hAnsi="宋体" w:cs="宋体"/>
          <w:b/>
          <w:bCs/>
          <w:sz w:val="24"/>
        </w:rPr>
        <w:t>1、投标响应书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360" w:lineRule="auto"/>
        <w:rPr>
          <w:rFonts w:hint="eastAsia" w:ascii="宋体" w:hAnsi="宋体" w:cs="宋体"/>
          <w:sz w:val="24"/>
        </w:rPr>
      </w:pPr>
      <w:r>
        <w:rPr>
          <w:rFonts w:hint="eastAsia" w:ascii="宋体" w:hAnsi="宋体" w:cs="宋体"/>
          <w:sz w:val="24"/>
        </w:rPr>
        <w:t xml:space="preserve">  据此函，签字代表宣布同意如下：</w:t>
      </w:r>
    </w:p>
    <w:p>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rPr>
      </w:pPr>
      <w:r>
        <w:rPr>
          <w:rFonts w:hint="eastAsia" w:ascii="宋体" w:hAnsi="宋体" w:cs="宋体"/>
          <w:sz w:val="24"/>
        </w:rPr>
        <w:t>3、与本投标项目有关的一切正式往来通讯请寄：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9"/>
        <w:spacing w:line="360" w:lineRule="auto"/>
      </w:pPr>
    </w:p>
    <w:p>
      <w:pPr>
        <w:spacing w:line="360" w:lineRule="auto"/>
        <w:rPr>
          <w:rFonts w:hint="eastAsia" w:ascii="宋体" w:hAnsi="宋体" w:cs="宋体"/>
          <w:sz w:val="24"/>
          <w:lang w:val="fr-CH"/>
        </w:rPr>
      </w:pPr>
      <w:r>
        <w:rPr>
          <w:rFonts w:hint="eastAsia" w:ascii="宋体" w:hAnsi="宋体" w:cs="宋体"/>
          <w:sz w:val="24"/>
          <w:lang w:val="fr-CH"/>
        </w:rPr>
        <w:br w:type="page"/>
      </w:r>
    </w:p>
    <w:p>
      <w:pPr>
        <w:tabs>
          <w:tab w:val="left" w:pos="640"/>
          <w:tab w:val="left" w:pos="1260"/>
          <w:tab w:val="left" w:pos="1418"/>
        </w:tabs>
        <w:spacing w:line="360" w:lineRule="auto"/>
        <w:jc w:val="center"/>
        <w:rPr>
          <w:rFonts w:hint="eastAsia" w:ascii="宋体" w:hAnsi="宋体" w:cs="宋体"/>
          <w:sz w:val="24"/>
          <w:lang w:val="fr-CH"/>
        </w:rPr>
      </w:pPr>
      <w:r>
        <w:rPr>
          <w:rFonts w:hint="eastAsia" w:ascii="宋体" w:hAnsi="宋体" w:cs="宋体"/>
          <w:b/>
          <w:bCs/>
          <w:sz w:val="24"/>
          <w:lang w:val="fr-CH"/>
        </w:rPr>
        <w:t>2、营业执照</w:t>
      </w:r>
    </w:p>
    <w:p>
      <w:pPr>
        <w:tabs>
          <w:tab w:val="left" w:pos="640"/>
          <w:tab w:val="left" w:pos="1260"/>
          <w:tab w:val="left" w:pos="1418"/>
        </w:tabs>
        <w:spacing w:line="360" w:lineRule="auto"/>
        <w:rPr>
          <w:rFonts w:hint="eastAsia" w:ascii="宋体" w:hAnsi="宋体" w:cs="宋体"/>
          <w:sz w:val="24"/>
          <w:lang w:val="fr-CH"/>
        </w:rPr>
      </w:pPr>
      <w:r>
        <w:rPr>
          <w:rFonts w:hint="eastAsia" w:ascii="宋体" w:hAnsi="宋体" w:cs="宋体"/>
          <w:sz w:val="24"/>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rPr>
        <w:t>3、</w:t>
      </w: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360" w:lineRule="auto"/>
        <w:ind w:firstLine="480" w:firstLineChars="200"/>
        <w:rPr>
          <w:rFonts w:hint="eastAsia" w:ascii="宋体" w:hAnsi="宋体" w:cs="宋体"/>
          <w:sz w:val="24"/>
        </w:rPr>
      </w:pPr>
      <w:r>
        <w:rPr>
          <w:rFonts w:hint="eastAsia" w:ascii="宋体" w:hAnsi="宋体" w:cs="宋体"/>
          <w:sz w:val="24"/>
        </w:rPr>
        <w:t>1.我单位本招标项目所提供的货物或服务未侵犯知识产权。</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360" w:lineRule="auto"/>
        <w:ind w:firstLine="480" w:firstLineChars="200"/>
        <w:rPr>
          <w:rFonts w:hint="eastAsia" w:ascii="宋体" w:hAnsi="宋体" w:cs="宋体"/>
          <w:sz w:val="24"/>
        </w:rPr>
      </w:pPr>
      <w:r>
        <w:rPr>
          <w:rFonts w:hint="eastAsia" w:ascii="宋体" w:hAnsi="宋体" w:cs="宋体"/>
          <w:sz w:val="24"/>
        </w:rPr>
        <w:t>4.我单位具备《中华人民共和国政府采购法》第二十二条的条件。</w:t>
      </w:r>
    </w:p>
    <w:p>
      <w:pPr>
        <w:spacing w:line="360" w:lineRule="auto"/>
        <w:ind w:firstLine="480" w:firstLineChars="200"/>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highlight w:val="yellow"/>
        </w:rPr>
      </w:pPr>
      <w:r>
        <w:rPr>
          <w:rFonts w:hint="eastAsia" w:ascii="宋体" w:hAnsi="宋体" w:cs="宋体"/>
          <w:sz w:val="24"/>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w:t>
      </w:r>
      <w:r>
        <w:rPr>
          <w:rFonts w:hint="eastAsia" w:ascii="宋体" w:hAnsi="宋体" w:cs="宋体"/>
          <w:color w:val="000000"/>
          <w:sz w:val="24"/>
          <w:highlight w:val="none"/>
        </w:rPr>
        <w:t>我单位承诺与其他不同供应商的法定代表人、主要经营负责人、投标授权代表人、项目负责人（如有）、主要技术人员（如有）不存在为同一人、属同一单位或者在同一单位缴纳社会保险的情形。</w:t>
      </w:r>
    </w:p>
    <w:p>
      <w:pPr>
        <w:spacing w:line="360" w:lineRule="auto"/>
        <w:ind w:firstLine="480" w:firstLineChars="200"/>
        <w:rPr>
          <w:rFonts w:hint="eastAsia"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pPr>
        <w:spacing w:line="360" w:lineRule="auto"/>
        <w:ind w:firstLine="480" w:firstLineChars="200"/>
        <w:rPr>
          <w:rFonts w:hint="eastAsia" w:ascii="宋体" w:hAnsi="宋体" w:cs="宋体"/>
          <w:sz w:val="24"/>
        </w:rPr>
      </w:pPr>
      <w:r>
        <w:rPr>
          <w:rFonts w:hint="eastAsia" w:ascii="宋体" w:hAnsi="宋体" w:cs="宋体"/>
          <w:sz w:val="24"/>
        </w:rPr>
        <w:t>9.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hint="eastAsia"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hint="eastAsia"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pPr>
        <w:spacing w:line="360" w:lineRule="auto"/>
        <w:ind w:firstLine="480" w:firstLineChars="200"/>
        <w:rPr>
          <w:rFonts w:hint="eastAsia"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供应商（盖章）：</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日期：   年  月   日</w:t>
      </w:r>
    </w:p>
    <w:p>
      <w:pPr>
        <w:pStyle w:val="9"/>
        <w:spacing w:line="560" w:lineRule="exact"/>
        <w:jc w:val="center"/>
        <w:rPr>
          <w:b/>
          <w:sz w:val="24"/>
          <w:lang w:val="fr-CH"/>
        </w:rPr>
      </w:pPr>
      <w:r>
        <w:rPr>
          <w:rFonts w:hint="eastAsia" w:hAnsi="宋体" w:cs="宋体"/>
        </w:rPr>
        <w:br w:type="page"/>
      </w:r>
      <w:r>
        <w:rPr>
          <w:rFonts w:hint="eastAsia"/>
          <w:b/>
          <w:sz w:val="24"/>
        </w:rPr>
        <w:t>4</w:t>
      </w:r>
      <w:r>
        <w:rPr>
          <w:rFonts w:hint="eastAsia"/>
          <w:b/>
          <w:sz w:val="24"/>
          <w:lang w:val="fr-CH"/>
        </w:rPr>
        <w:t>、政府采购违法行为风险知悉确认书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hint="eastAsia"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9"/>
        <w:rPr>
          <w:lang w:val="fr-CH"/>
        </w:rPr>
      </w:pPr>
    </w:p>
    <w:p>
      <w:pPr>
        <w:tabs>
          <w:tab w:val="left" w:pos="640"/>
          <w:tab w:val="left" w:pos="1260"/>
          <w:tab w:val="left" w:pos="1418"/>
        </w:tabs>
        <w:spacing w:line="360" w:lineRule="auto"/>
        <w:jc w:val="center"/>
        <w:rPr>
          <w:rFonts w:hint="eastAsia" w:ascii="宋体" w:hAnsi="宋体" w:cs="宋体"/>
          <w:b/>
          <w:bCs/>
          <w:sz w:val="24"/>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5、关于资格的声明函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pStyle w:val="12"/>
        <w:spacing w:line="360" w:lineRule="auto"/>
        <w:jc w:val="center"/>
        <w:rPr>
          <w:rFonts w:hint="eastAsia" w:hAnsi="宋体" w:cs="宋体"/>
          <w:sz w:val="24"/>
        </w:rPr>
      </w:pPr>
      <w:r>
        <w:rPr>
          <w:rFonts w:hint="eastAsia" w:hAnsi="宋体" w:cs="宋体"/>
          <w:sz w:val="24"/>
        </w:rPr>
        <w:t xml:space="preserve">                投标人名称（投标人法人公章）：</w:t>
      </w:r>
    </w:p>
    <w:p>
      <w:pPr>
        <w:spacing w:line="360" w:lineRule="auto"/>
        <w:jc w:val="center"/>
        <w:rPr>
          <w:rFonts w:hint="eastAsia"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360" w:lineRule="auto"/>
        <w:rPr>
          <w:rFonts w:hint="eastAsia" w:ascii="宋体" w:hAnsi="宋体" w:cs="宋体"/>
          <w:sz w:val="24"/>
          <w:lang w:val="fr-CH"/>
        </w:rPr>
      </w:pPr>
    </w:p>
    <w:p>
      <w:pPr>
        <w:spacing w:before="120" w:after="120" w:line="360" w:lineRule="auto"/>
        <w:jc w:val="center"/>
        <w:rPr>
          <w:rFonts w:hint="eastAsia" w:ascii="宋体" w:hAnsi="宋体" w:cs="宋体"/>
          <w:b/>
          <w:sz w:val="24"/>
        </w:rPr>
      </w:pPr>
    </w:p>
    <w:p>
      <w:pPr>
        <w:pStyle w:val="32"/>
        <w:ind w:firstLine="482"/>
        <w:rPr>
          <w:rFonts w:hint="eastAsia" w:ascii="宋体" w:hAnsi="宋体" w:cs="宋体"/>
          <w:b/>
          <w:sz w:val="24"/>
        </w:rPr>
      </w:pPr>
    </w:p>
    <w:p>
      <w:pPr>
        <w:pStyle w:val="32"/>
        <w:ind w:firstLine="482"/>
        <w:rPr>
          <w:rFonts w:hint="eastAsia" w:ascii="宋体" w:hAnsi="宋体" w:cs="宋体"/>
          <w:b/>
          <w:sz w:val="24"/>
        </w:rPr>
      </w:pPr>
    </w:p>
    <w:p>
      <w:pPr>
        <w:pStyle w:val="32"/>
        <w:ind w:firstLine="482"/>
        <w:rPr>
          <w:rFonts w:hint="eastAsia" w:ascii="宋体" w:hAnsi="宋体" w:cs="宋体"/>
          <w:b/>
          <w:sz w:val="24"/>
        </w:rPr>
      </w:pPr>
    </w:p>
    <w:p>
      <w:pPr>
        <w:pStyle w:val="32"/>
        <w:ind w:firstLine="482"/>
        <w:rPr>
          <w:rFonts w:hint="eastAsia" w:ascii="宋体" w:hAnsi="宋体" w:cs="宋体"/>
          <w:b/>
          <w:sz w:val="24"/>
        </w:rPr>
      </w:pPr>
    </w:p>
    <w:p>
      <w:pPr>
        <w:pStyle w:val="32"/>
        <w:ind w:firstLine="482"/>
        <w:rPr>
          <w:rFonts w:hint="eastAsia" w:ascii="宋体" w:hAnsi="宋体" w:cs="宋体"/>
          <w:b/>
          <w:sz w:val="24"/>
        </w:rPr>
      </w:pPr>
    </w:p>
    <w:p>
      <w:pPr>
        <w:pStyle w:val="32"/>
        <w:ind w:firstLine="482"/>
        <w:rPr>
          <w:rFonts w:hint="eastAsia" w:ascii="宋体" w:hAnsi="宋体" w:cs="宋体"/>
          <w:b/>
          <w:sz w:val="24"/>
        </w:rPr>
      </w:pPr>
    </w:p>
    <w:p>
      <w:pPr>
        <w:pStyle w:val="32"/>
        <w:ind w:firstLine="482"/>
        <w:rPr>
          <w:rFonts w:hint="eastAsia" w:ascii="宋体" w:hAnsi="宋体" w:cs="宋体"/>
          <w:b/>
          <w:sz w:val="24"/>
        </w:rPr>
      </w:pPr>
    </w:p>
    <w:p>
      <w:pPr>
        <w:pStyle w:val="32"/>
        <w:ind w:firstLine="482"/>
        <w:rPr>
          <w:rFonts w:hint="eastAsia" w:ascii="宋体" w:hAnsi="宋体" w:cs="宋体"/>
          <w:b/>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6、企业诚信声明与承诺</w:t>
      </w:r>
    </w:p>
    <w:p>
      <w:pPr>
        <w:spacing w:line="360" w:lineRule="auto"/>
        <w:rPr>
          <w:rFonts w:hint="eastAsia" w:ascii="宋体" w:hAnsi="宋体" w:cs="宋体"/>
          <w:b/>
          <w:bCs/>
          <w:sz w:val="24"/>
        </w:rPr>
      </w:pPr>
      <w:r>
        <w:rPr>
          <w:rFonts w:hint="eastAsia" w:ascii="宋体" w:hAnsi="宋体" w:cs="宋体"/>
          <w:b/>
          <w:bCs/>
          <w:sz w:val="24"/>
        </w:rPr>
        <w:t>深圳交易咨询集团有限公司：</w:t>
      </w:r>
    </w:p>
    <w:p>
      <w:pPr>
        <w:spacing w:line="360" w:lineRule="auto"/>
        <w:ind w:firstLine="360" w:firstLineChars="150"/>
        <w:jc w:val="left"/>
        <w:rPr>
          <w:rFonts w:hint="eastAsia" w:ascii="宋体" w:hAnsi="宋体" w:cs="宋体"/>
          <w:sz w:val="24"/>
        </w:rPr>
      </w:pPr>
      <w:r>
        <w:rPr>
          <w:rFonts w:hint="eastAsia" w:ascii="宋体" w:hAnsi="宋体" w:cs="宋体"/>
          <w:sz w:val="24"/>
        </w:rPr>
        <w:t xml:space="preserve">  我公司参与贵代理机构组织的项目（项目编号：   ）投标，现就企业诚信作如下声明与承诺：</w:t>
      </w:r>
    </w:p>
    <w:p>
      <w:pPr>
        <w:spacing w:line="360" w:lineRule="auto"/>
        <w:ind w:firstLine="360" w:firstLineChars="150"/>
        <w:jc w:val="left"/>
        <w:rPr>
          <w:rFonts w:hint="eastAsia" w:ascii="宋体" w:hAnsi="宋体" w:cs="宋体"/>
          <w:sz w:val="24"/>
        </w:rPr>
      </w:pPr>
      <w:r>
        <w:rPr>
          <w:rFonts w:hint="eastAsia" w:ascii="宋体" w:hAnsi="宋体" w:cs="宋体"/>
          <w:sz w:val="24"/>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widowControl/>
        <w:autoSpaceDE w:val="0"/>
        <w:autoSpaceDN w:val="0"/>
        <w:spacing w:line="360" w:lineRule="auto"/>
        <w:ind w:right="893"/>
        <w:jc w:val="center"/>
        <w:textAlignment w:val="bottom"/>
        <w:rPr>
          <w:rFonts w:hint="eastAsia" w:ascii="宋体" w:hAnsi="宋体" w:cs="宋体"/>
          <w:sz w:val="24"/>
        </w:rPr>
      </w:pPr>
      <w:r>
        <w:rPr>
          <w:rFonts w:hint="eastAsia" w:ascii="宋体" w:hAnsi="宋体" w:cs="宋体"/>
          <w:sz w:val="24"/>
        </w:rPr>
        <w:t xml:space="preserve">                                       供应商名称：（法人公章）</w:t>
      </w:r>
    </w:p>
    <w:p>
      <w:pPr>
        <w:pStyle w:val="12"/>
        <w:spacing w:line="360" w:lineRule="auto"/>
        <w:jc w:val="center"/>
        <w:rPr>
          <w:rFonts w:hint="eastAsia" w:hAnsi="宋体" w:cs="宋体"/>
          <w:sz w:val="24"/>
        </w:rPr>
      </w:pPr>
      <w:r>
        <w:rPr>
          <w:rFonts w:hint="eastAsia" w:hAnsi="宋体" w:cs="宋体"/>
          <w:sz w:val="24"/>
        </w:rPr>
        <w:t xml:space="preserve">                                  承诺日期：    年  月  日</w:t>
      </w:r>
    </w:p>
    <w:p>
      <w:pPr>
        <w:pStyle w:val="12"/>
        <w:spacing w:line="360" w:lineRule="auto"/>
        <w:jc w:val="left"/>
        <w:rPr>
          <w:rFonts w:hint="eastAsia" w:hAnsi="宋体" w:cs="宋体"/>
          <w:sz w:val="24"/>
        </w:rPr>
      </w:pPr>
    </w:p>
    <w:p>
      <w:pPr>
        <w:pStyle w:val="12"/>
        <w:spacing w:line="360" w:lineRule="auto"/>
        <w:jc w:val="left"/>
        <w:rPr>
          <w:rFonts w:hint="eastAsia" w:hAnsi="宋体" w:cs="宋体"/>
          <w:sz w:val="24"/>
        </w:rPr>
      </w:pPr>
    </w:p>
    <w:p>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9"/>
        <w:spacing w:line="360" w:lineRule="auto"/>
        <w:rPr>
          <w:lang w:val="fr-CH"/>
        </w:rPr>
      </w:pPr>
    </w:p>
    <w:p>
      <w:pPr>
        <w:rPr>
          <w:lang w:val="fr-CH"/>
        </w:rPr>
      </w:pPr>
    </w:p>
    <w:p>
      <w:pPr>
        <w:pStyle w:val="32"/>
        <w:ind w:firstLine="420"/>
        <w:rPr>
          <w:lang w:val="fr-CH"/>
        </w:rPr>
      </w:pPr>
    </w:p>
    <w:p>
      <w:pPr>
        <w:pStyle w:val="32"/>
        <w:ind w:firstLine="420"/>
        <w:rPr>
          <w:lang w:val="fr-CH"/>
        </w:rPr>
      </w:pPr>
    </w:p>
    <w:p>
      <w:pPr>
        <w:pStyle w:val="32"/>
        <w:ind w:firstLine="420"/>
        <w:rPr>
          <w:lang w:val="fr-CH"/>
        </w:rPr>
      </w:pPr>
    </w:p>
    <w:p>
      <w:pPr>
        <w:tabs>
          <w:tab w:val="left" w:pos="640"/>
          <w:tab w:val="left" w:pos="840"/>
          <w:tab w:val="left" w:pos="1260"/>
          <w:tab w:val="left" w:pos="1418"/>
        </w:tabs>
        <w:spacing w:line="360" w:lineRule="auto"/>
        <w:rPr>
          <w:rFonts w:hint="eastAsia" w:ascii="宋体" w:hAnsi="宋体" w:cs="宋体"/>
          <w:sz w:val="24"/>
        </w:rPr>
      </w:pPr>
    </w:p>
    <w:p>
      <w:pPr>
        <w:jc w:val="left"/>
        <w:rPr>
          <w:rFonts w:hint="eastAsia" w:ascii="宋体" w:hAnsi="宋体" w:cs="宋体"/>
          <w:b/>
          <w:sz w:val="24"/>
        </w:rPr>
      </w:pPr>
      <w:r>
        <w:rPr>
          <w:rFonts w:hint="eastAsia" w:ascii="宋体" w:hAnsi="宋体" w:cs="宋体"/>
          <w:b/>
          <w:sz w:val="24"/>
        </w:rPr>
        <w:br w:type="page"/>
      </w:r>
    </w:p>
    <w:p>
      <w:pPr>
        <w:spacing w:before="120" w:after="120" w:line="360" w:lineRule="auto"/>
        <w:jc w:val="center"/>
        <w:rPr>
          <w:rFonts w:hint="eastAsia" w:ascii="宋体" w:hAnsi="宋体" w:cs="宋体"/>
          <w:b/>
          <w:sz w:val="24"/>
        </w:rPr>
      </w:pPr>
      <w:r>
        <w:rPr>
          <w:rFonts w:hint="eastAsia" w:ascii="宋体" w:hAnsi="宋体" w:cs="宋体"/>
          <w:b/>
          <w:sz w:val="24"/>
        </w:rPr>
        <w:t>7、法定代表人</w:t>
      </w:r>
      <w:r>
        <w:rPr>
          <w:rFonts w:hint="eastAsia" w:ascii="宋体" w:hAnsi="宋体" w:cs="宋体"/>
          <w:b/>
          <w:sz w:val="24"/>
          <w:lang w:val="fr-CH"/>
        </w:rPr>
        <w:t>/单位负责人</w:t>
      </w:r>
      <w:r>
        <w:rPr>
          <w:rFonts w:hint="eastAsia" w:ascii="宋体" w:hAnsi="宋体" w:cs="宋体"/>
          <w:b/>
          <w:sz w:val="24"/>
        </w:rPr>
        <w:t>证明书</w:t>
      </w:r>
      <w:r>
        <w:rPr>
          <w:rFonts w:hint="eastAsia" w:ascii="宋体" w:hAnsi="宋体" w:cs="宋体"/>
          <w:b/>
          <w:sz w:val="24"/>
          <w:lang w:val="fr-CH"/>
        </w:rPr>
        <w:t>及身份证明</w:t>
      </w:r>
    </w:p>
    <w:p>
      <w:pPr>
        <w:spacing w:line="360" w:lineRule="auto"/>
        <w:rPr>
          <w:rFonts w:hint="eastAsia" w:ascii="宋体" w:hAnsi="宋体" w:cs="宋体"/>
          <w:sz w:val="24"/>
          <w:u w:val="single"/>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说明：1、法定代表人/单位负责人为企业事业单位、国家机关、社会团体的主要行政负责人。</w:t>
      </w:r>
    </w:p>
    <w:p>
      <w:pPr>
        <w:spacing w:line="360" w:lineRule="auto"/>
        <w:rPr>
          <w:rFonts w:hint="eastAsia" w:ascii="宋体" w:hAnsi="宋体" w:cs="宋体"/>
          <w:sz w:val="24"/>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rPr>
          <w:rFonts w:hint="eastAsia" w:ascii="宋体" w:hAnsi="宋体" w:cs="宋体"/>
          <w:b/>
          <w:bCs/>
          <w:sz w:val="24"/>
        </w:rPr>
      </w:pPr>
      <w:r>
        <w:rPr>
          <w:rFonts w:hint="eastAsia" w:ascii="宋体" w:hAnsi="宋体" w:cs="宋体"/>
          <w:b/>
          <w:bCs/>
          <w:sz w:val="24"/>
        </w:rPr>
        <w:t>法定代表人/单位负责人（签字或盖章）：</w:t>
      </w:r>
    </w:p>
    <w:p>
      <w:pPr>
        <w:spacing w:before="120" w:after="120" w:line="360" w:lineRule="auto"/>
        <w:jc w:val="left"/>
        <w:rPr>
          <w:rFonts w:hint="eastAsia" w:ascii="宋体" w:hAnsi="宋体" w:cs="宋体"/>
          <w:szCs w:val="21"/>
        </w:rPr>
      </w:pPr>
    </w:p>
    <w:p>
      <w:pPr>
        <w:rPr>
          <w:rFonts w:hint="eastAsia" w:ascii="宋体" w:hAnsi="宋体" w:cs="宋体"/>
          <w:szCs w:val="21"/>
        </w:rPr>
      </w:pPr>
    </w:p>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3"/>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2"/>
              <w:spacing w:line="360" w:lineRule="auto"/>
              <w:rPr>
                <w:rFonts w:ascii="Arial Narrow" w:hAnsi="Arial Narrow"/>
                <w:b/>
                <w:bCs/>
                <w:szCs w:val="21"/>
              </w:rPr>
            </w:pPr>
          </w:p>
        </w:tc>
        <w:tc>
          <w:tcPr>
            <w:tcW w:w="4677" w:type="dxa"/>
          </w:tcPr>
          <w:p>
            <w:pPr>
              <w:pStyle w:val="12"/>
              <w:spacing w:line="360" w:lineRule="auto"/>
              <w:rPr>
                <w:rFonts w:ascii="Arial Narrow" w:hAnsi="Arial Narrow"/>
                <w:b/>
                <w:bCs/>
                <w:szCs w:val="21"/>
              </w:rPr>
            </w:pPr>
          </w:p>
        </w:tc>
      </w:tr>
    </w:tbl>
    <w:p>
      <w:pPr>
        <w:pStyle w:val="12"/>
        <w:spacing w:line="360" w:lineRule="auto"/>
        <w:jc w:val="center"/>
        <w:rPr>
          <w:rFonts w:hint="eastAsia" w:hAnsi="宋体" w:cs="宋体"/>
          <w:b/>
          <w:sz w:val="24"/>
        </w:rPr>
      </w:pPr>
      <w:r>
        <w:rPr>
          <w:rFonts w:hint="eastAsia" w:hAnsi="宋体" w:cs="宋体"/>
          <w:b/>
          <w:sz w:val="24"/>
        </w:rPr>
        <w:t>8、法定代表人/单位负责人授权书</w:t>
      </w:r>
      <w:r>
        <w:rPr>
          <w:rFonts w:hint="eastAsia" w:hAnsi="宋体" w:cs="宋体"/>
          <w:b/>
          <w:sz w:val="24"/>
          <w:lang w:val="fr-CH"/>
        </w:rPr>
        <w:t>及身份证明</w:t>
      </w:r>
    </w:p>
    <w:p>
      <w:pPr>
        <w:pStyle w:val="12"/>
        <w:spacing w:line="360" w:lineRule="auto"/>
        <w:rPr>
          <w:rFonts w:hint="eastAsia" w:hAnsi="宋体" w:cs="宋体"/>
          <w:sz w:val="24"/>
        </w:rPr>
      </w:pPr>
    </w:p>
    <w:p>
      <w:pPr>
        <w:pStyle w:val="12"/>
        <w:spacing w:line="360" w:lineRule="auto"/>
        <w:rPr>
          <w:rFonts w:hint="eastAsia" w:hAnsi="宋体" w:cs="宋体"/>
          <w:sz w:val="24"/>
        </w:rPr>
      </w:pPr>
      <w:r>
        <w:rPr>
          <w:rFonts w:hint="eastAsia" w:hAnsi="宋体" w:cs="宋体"/>
          <w:b/>
          <w:sz w:val="24"/>
        </w:rPr>
        <w:t>深圳市前海深港现代服务业合作区管理局：</w:t>
      </w:r>
    </w:p>
    <w:p>
      <w:pPr>
        <w:pStyle w:val="12"/>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2"/>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被授权人联系方式（手机）：         </w:t>
      </w:r>
    </w:p>
    <w:p>
      <w:pPr>
        <w:spacing w:line="360" w:lineRule="auto"/>
        <w:rPr>
          <w:rFonts w:hint="eastAsia" w:ascii="宋体" w:hAnsi="宋体" w:cs="宋体"/>
          <w:sz w:val="24"/>
        </w:rPr>
      </w:pPr>
      <w:r>
        <w:rPr>
          <w:rFonts w:hint="eastAsia" w:ascii="宋体" w:hAnsi="宋体" w:cs="宋体"/>
          <w:sz w:val="24"/>
        </w:rPr>
        <w:t>被授权人邮箱号：</w:t>
      </w: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jc w:val="left"/>
        <w:rPr>
          <w:rFonts w:hint="eastAsia" w:ascii="宋体" w:hAnsi="宋体" w:cs="宋体"/>
          <w:b/>
          <w:bCs/>
          <w:sz w:val="24"/>
        </w:rPr>
      </w:pPr>
      <w:r>
        <w:rPr>
          <w:rFonts w:hint="eastAsia" w:ascii="宋体" w:hAnsi="宋体" w:cs="宋体"/>
          <w:b/>
          <w:bCs/>
          <w:sz w:val="24"/>
        </w:rPr>
        <w:t>法定代表人/单位负责人（签字或盖章）：</w:t>
      </w:r>
    </w:p>
    <w:p>
      <w:pPr>
        <w:spacing w:line="360" w:lineRule="auto"/>
        <w:jc w:val="left"/>
        <w:rPr>
          <w:rFonts w:hint="eastAsia"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360" w:lineRule="auto"/>
        <w:rPr>
          <w:rFonts w:hint="eastAsia" w:ascii="宋体" w:hAnsi="宋体" w:cs="宋体"/>
          <w:b/>
          <w:sz w:val="24"/>
        </w:rPr>
      </w:pPr>
    </w:p>
    <w:p>
      <w:pPr>
        <w:rPr>
          <w:rFonts w:hint="eastAsia" w:ascii="宋体" w:hAnsi="宋体" w:cs="宋体"/>
          <w:b/>
          <w:sz w:val="24"/>
        </w:rPr>
      </w:pPr>
    </w:p>
    <w:p>
      <w:pPr>
        <w:pStyle w:val="9"/>
        <w:rPr>
          <w:rFonts w:hint="eastAsia" w:ascii="宋体" w:hAnsi="宋体" w:cs="宋体"/>
          <w:b/>
          <w:sz w:val="24"/>
        </w:rPr>
      </w:pPr>
    </w:p>
    <w:p>
      <w:pPr>
        <w:pStyle w:val="9"/>
      </w:pP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3"/>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2"/>
              <w:spacing w:line="360" w:lineRule="auto"/>
              <w:rPr>
                <w:rFonts w:ascii="Arial Narrow" w:hAnsi="Arial Narrow"/>
                <w:b/>
                <w:bCs/>
                <w:szCs w:val="21"/>
              </w:rPr>
            </w:pPr>
          </w:p>
        </w:tc>
        <w:tc>
          <w:tcPr>
            <w:tcW w:w="4677" w:type="dxa"/>
          </w:tcPr>
          <w:p>
            <w:pPr>
              <w:pStyle w:val="12"/>
              <w:spacing w:line="360" w:lineRule="auto"/>
              <w:rPr>
                <w:rFonts w:ascii="Arial Narrow" w:hAnsi="Arial Narrow"/>
                <w:b/>
                <w:bCs/>
                <w:szCs w:val="21"/>
              </w:rPr>
            </w:pPr>
          </w:p>
        </w:tc>
      </w:tr>
    </w:tbl>
    <w:p>
      <w:pPr>
        <w:widowControl/>
        <w:autoSpaceDE w:val="0"/>
        <w:autoSpaceDN w:val="0"/>
        <w:spacing w:line="360" w:lineRule="auto"/>
        <w:ind w:left="359" w:right="26" w:hanging="357"/>
        <w:jc w:val="center"/>
        <w:textAlignment w:val="bottom"/>
        <w:rPr>
          <w:rFonts w:hint="eastAsia" w:ascii="宋体" w:hAnsi="宋体" w:cs="宋体"/>
          <w:b/>
          <w:bCs/>
          <w:sz w:val="24"/>
          <w:lang w:val="fr-CH"/>
        </w:rPr>
      </w:pP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9、</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致：深圳交易咨询集团有限公司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），我们保证在收到中标通知书后5日内按招标文件的规定，以现金或电汇向贵公司即深圳交易咨询集团有限公司指定的银行</w:t>
      </w:r>
      <w:r>
        <w:rPr>
          <w:rFonts w:hint="eastAsia" w:ascii="宋体" w:hAnsi="宋体" w:cs="宋体"/>
          <w:sz w:val="24"/>
          <w:lang w:eastAsia="zh-CN"/>
        </w:rPr>
        <w:t>账</w:t>
      </w:r>
      <w:r>
        <w:rPr>
          <w:rFonts w:hint="eastAsia" w:ascii="宋体" w:hAnsi="宋体" w:cs="宋体"/>
          <w:sz w:val="24"/>
        </w:rPr>
        <w:t>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widowControl/>
        <w:autoSpaceDE w:val="0"/>
        <w:autoSpaceDN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承诺方法定名称（承诺方盖章）：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承诺日期：</w:t>
      </w:r>
    </w:p>
    <w:p>
      <w:pPr>
        <w:pStyle w:val="9"/>
        <w:spacing w:line="360" w:lineRule="auto"/>
        <w:rPr>
          <w:lang w:val="fr-CH"/>
        </w:rPr>
      </w:pPr>
    </w:p>
    <w:p>
      <w:pPr>
        <w:tabs>
          <w:tab w:val="left" w:pos="640"/>
          <w:tab w:val="left" w:pos="1260"/>
          <w:tab w:val="left" w:pos="1418"/>
        </w:tabs>
        <w:spacing w:line="360" w:lineRule="auto"/>
        <w:rPr>
          <w:rFonts w:hint="eastAsia" w:ascii="宋体" w:hAnsi="宋体" w:cs="宋体"/>
          <w:sz w:val="24"/>
          <w:lang w:val="fr-CH"/>
        </w:rPr>
      </w:pPr>
    </w:p>
    <w:p>
      <w:pPr>
        <w:tabs>
          <w:tab w:val="left" w:pos="640"/>
          <w:tab w:val="left" w:pos="1260"/>
          <w:tab w:val="left" w:pos="1418"/>
        </w:tabs>
        <w:spacing w:line="360" w:lineRule="auto"/>
        <w:rPr>
          <w:rFonts w:hint="eastAsia" w:ascii="宋体" w:hAnsi="宋体" w:cs="宋体"/>
          <w:sz w:val="24"/>
        </w:rPr>
      </w:pPr>
      <w:r>
        <w:rPr>
          <w:rFonts w:hint="eastAsia" w:ascii="宋体" w:hAnsi="宋体" w:cs="宋体"/>
          <w:sz w:val="24"/>
          <w:lang w:val="fr-CH"/>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10、</w:t>
      </w:r>
      <w:r>
        <w:rPr>
          <w:rFonts w:hint="eastAsia" w:ascii="宋体" w:hAnsi="宋体" w:cs="宋体"/>
          <w:b/>
          <w:bCs/>
          <w:sz w:val="24"/>
          <w:lang w:val="fr-CH"/>
        </w:rPr>
        <w:t>投标人简介</w:t>
      </w:r>
    </w:p>
    <w:p>
      <w:pPr>
        <w:pStyle w:val="8"/>
        <w:spacing w:line="4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pPr>
        <w:pStyle w:val="8"/>
        <w:spacing w:line="460" w:lineRule="exact"/>
        <w:ind w:firstLine="0" w:firstLineChars="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4"/>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宋体" w:hAnsi="宋体" w:cs="宋体"/>
                <w:szCs w:val="21"/>
              </w:rPr>
            </w:pPr>
            <w:r>
              <w:rPr>
                <w:rFonts w:hint="eastAsia" w:ascii="宋体" w:hAnsi="宋体" w:cs="宋体"/>
                <w:szCs w:val="21"/>
              </w:rPr>
              <w:t>采购人</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r>
              <w:rPr>
                <w:rFonts w:hint="eastAsia" w:ascii="宋体" w:hAnsi="宋体" w:cs="宋体"/>
                <w:szCs w:val="21"/>
              </w:rPr>
              <w:t>项目名称</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宋体" w:hAnsi="宋体" w:cs="宋体"/>
                <w:szCs w:val="21"/>
              </w:rPr>
            </w:pPr>
            <w:r>
              <w:rPr>
                <w:rFonts w:hint="eastAsia" w:ascii="宋体" w:hAnsi="宋体" w:cs="宋体"/>
                <w:szCs w:val="21"/>
              </w:rPr>
              <w:t>投标（响应）供应商</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snapToGrid w:val="0"/>
              <w:jc w:val="center"/>
              <w:rPr>
                <w:rFonts w:hint="eastAsia" w:ascii="宋体" w:hAnsi="宋体" w:cs="宋体"/>
                <w:szCs w:val="21"/>
              </w:rPr>
            </w:pPr>
            <w:r>
              <w:rPr>
                <w:rFonts w:hint="eastAsia" w:ascii="宋体" w:hAnsi="宋体" w:cs="宋体"/>
                <w:szCs w:val="21"/>
              </w:rPr>
              <w:t>供应商统一社会信用代码</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tcBorders>
            <w:vAlign w:val="center"/>
          </w:tcPr>
          <w:p>
            <w:pPr>
              <w:jc w:val="center"/>
              <w:rPr>
                <w:rFonts w:hint="eastAsia" w:ascii="宋体" w:hAnsi="宋体" w:cs="宋体"/>
                <w:szCs w:val="21"/>
              </w:rPr>
            </w:pPr>
          </w:p>
        </w:tc>
        <w:tc>
          <w:tcPr>
            <w:tcW w:w="1500" w:type="dxa"/>
            <w:tcBorders>
              <w:top w:val="single" w:color="auto" w:sz="4" w:space="0"/>
            </w:tcBorders>
            <w:vAlign w:val="center"/>
          </w:tcPr>
          <w:p>
            <w:pPr>
              <w:jc w:val="center"/>
              <w:rPr>
                <w:rFonts w:hint="eastAsia" w:ascii="宋体" w:hAnsi="宋体" w:cs="宋体"/>
                <w:szCs w:val="21"/>
              </w:rPr>
            </w:pPr>
          </w:p>
        </w:tc>
        <w:tc>
          <w:tcPr>
            <w:tcW w:w="1485" w:type="dxa"/>
            <w:tcBorders>
              <w:top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pPr>
              <w:jc w:val="center"/>
              <w:rPr>
                <w:rFonts w:hint="eastAsia" w:ascii="宋体" w:hAnsi="宋体" w:cs="宋体"/>
                <w:szCs w:val="21"/>
              </w:rPr>
            </w:pPr>
            <w:r>
              <w:rPr>
                <w:rFonts w:hint="eastAsia" w:ascii="宋体" w:hAnsi="宋体" w:cs="宋体"/>
                <w:szCs w:val="21"/>
                <w:lang w:bidi="ar"/>
              </w:rPr>
              <w:t>4</w:t>
            </w:r>
          </w:p>
        </w:tc>
        <w:tc>
          <w:tcPr>
            <w:tcW w:w="2282" w:type="dxa"/>
            <w:gridSpan w:val="2"/>
            <w:vAlign w:val="center"/>
          </w:tcPr>
          <w:p>
            <w:pPr>
              <w:jc w:val="center"/>
              <w:rPr>
                <w:rFonts w:hint="eastAsia" w:ascii="宋体" w:hAnsi="宋体" w:cs="宋体"/>
                <w:szCs w:val="21"/>
              </w:rPr>
            </w:pPr>
            <w:r>
              <w:rPr>
                <w:rFonts w:hint="eastAsia" w:ascii="宋体" w:hAnsi="宋体" w:cs="宋体"/>
                <w:szCs w:val="21"/>
              </w:rPr>
              <w:t>主要技术人员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宋体" w:hAnsi="宋体" w:cs="宋体"/>
                <w:szCs w:val="21"/>
              </w:rPr>
            </w:pPr>
            <w:r>
              <w:rPr>
                <w:rFonts w:hint="eastAsia" w:ascii="宋体" w:hAnsi="宋体" w:cs="宋体"/>
                <w:szCs w:val="21"/>
                <w:lang w:bidi="ar"/>
              </w:rPr>
              <w:t>5</w:t>
            </w:r>
          </w:p>
        </w:tc>
        <w:tc>
          <w:tcPr>
            <w:tcW w:w="2282" w:type="dxa"/>
            <w:gridSpan w:val="2"/>
            <w:vAlign w:val="center"/>
          </w:tcPr>
          <w:p>
            <w:pPr>
              <w:pStyle w:val="8"/>
              <w:snapToGrid w:val="0"/>
              <w:ind w:firstLine="0" w:firstLineChars="0"/>
              <w:jc w:val="center"/>
              <w:rPr>
                <w:rFonts w:hint="eastAsia" w:ascii="宋体" w:hAnsi="宋体" w:cs="宋体"/>
                <w:szCs w:val="21"/>
              </w:rPr>
            </w:pPr>
            <w:r>
              <w:rPr>
                <w:rFonts w:hint="eastAsia" w:ascii="宋体" w:hAnsi="宋体" w:cs="宋体"/>
                <w:szCs w:val="21"/>
              </w:rPr>
              <w:t>投标文件编制人员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hint="eastAsia" w:ascii="宋体" w:hAnsi="宋体"/>
          <w:b/>
          <w:bCs/>
          <w:szCs w:val="21"/>
        </w:rPr>
      </w:pPr>
      <w:r>
        <w:rPr>
          <w:rFonts w:hint="eastAsia" w:ascii="宋体" w:hAnsi="宋体"/>
          <w:b/>
          <w:bCs/>
          <w:szCs w:val="21"/>
        </w:rPr>
        <w:t>注：</w:t>
      </w:r>
    </w:p>
    <w:p>
      <w:pPr>
        <w:autoSpaceDE w:val="0"/>
        <w:autoSpaceDN w:val="0"/>
        <w:adjustRightInd w:val="0"/>
        <w:snapToGrid w:val="0"/>
        <w:jc w:val="left"/>
        <w:rPr>
          <w:rFonts w:hint="eastAsia"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hint="eastAsia"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hint="eastAsia" w:ascii="宋体" w:hAnsi="宋体"/>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1</w:t>
      </w:r>
      <w:r>
        <w:rPr>
          <w:rFonts w:hint="eastAsia" w:ascii="宋体" w:hAnsi="宋体" w:cs="宋体"/>
          <w:b/>
          <w:bCs/>
          <w:sz w:val="24"/>
          <w:lang w:val="fr-CH"/>
        </w:rPr>
        <w:t>、项目负责人（仅限1人）（格式自拟）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2</w:t>
      </w:r>
      <w:r>
        <w:rPr>
          <w:rFonts w:hint="eastAsia" w:ascii="宋体" w:hAnsi="宋体" w:cs="宋体"/>
          <w:b/>
          <w:bCs/>
          <w:sz w:val="24"/>
          <w:lang w:val="fr-CH"/>
        </w:rPr>
        <w:t>、拟安排的项目主要团队成员情况（项目负责人除外）（格式自拟）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3</w:t>
      </w:r>
      <w:r>
        <w:rPr>
          <w:rFonts w:hint="eastAsia" w:ascii="宋体" w:hAnsi="宋体" w:cs="宋体"/>
          <w:b/>
          <w:bCs/>
          <w:sz w:val="24"/>
          <w:lang w:val="fr-CH"/>
        </w:rPr>
        <w:t>、投标人获奖情况（格式自拟）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4</w:t>
      </w:r>
      <w:r>
        <w:rPr>
          <w:rFonts w:hint="eastAsia" w:ascii="宋体" w:hAnsi="宋体" w:cs="宋体"/>
          <w:b/>
          <w:bCs/>
          <w:sz w:val="24"/>
          <w:lang w:val="fr-CH"/>
        </w:rPr>
        <w:t>、业绩情况（格式自拟）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5</w:t>
      </w:r>
      <w:r>
        <w:rPr>
          <w:rFonts w:hint="eastAsia" w:ascii="宋体" w:hAnsi="宋体" w:cs="宋体"/>
          <w:b/>
          <w:bCs/>
          <w:sz w:val="24"/>
          <w:lang w:val="fr-CH"/>
        </w:rPr>
        <w:t>、投标单位认为有必要提供的其他材料（格式自拟）</w:t>
      </w: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840"/>
          <w:tab w:val="left" w:pos="1260"/>
          <w:tab w:val="left" w:pos="1418"/>
        </w:tabs>
        <w:spacing w:line="360" w:lineRule="auto"/>
        <w:rPr>
          <w:rFonts w:hint="eastAsia" w:ascii="宋体" w:hAnsi="宋体" w:cs="宋体"/>
          <w:sz w:val="24"/>
        </w:rPr>
      </w:pPr>
    </w:p>
    <w:p>
      <w:pPr>
        <w:spacing w:line="360" w:lineRule="auto"/>
        <w:outlineLvl w:val="2"/>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spacing w:after="78" w:line="360" w:lineRule="auto"/>
        <w:jc w:val="center"/>
        <w:rPr>
          <w:rFonts w:hint="eastAsia" w:ascii="宋体" w:hAnsi="宋体" w:cs="宋体"/>
          <w:b/>
          <w:bCs/>
          <w:sz w:val="24"/>
          <w:lang w:val="fr-CH"/>
        </w:rPr>
      </w:pPr>
    </w:p>
    <w:p>
      <w:pPr>
        <w:spacing w:after="78" w:line="360" w:lineRule="auto"/>
        <w:jc w:val="cente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360" w:lineRule="auto"/>
        <w:rPr>
          <w:rFonts w:hint="eastAsia" w:ascii="宋体" w:hAnsi="宋体" w:cs="宋体"/>
          <w:sz w:val="24"/>
        </w:rPr>
      </w:pPr>
      <w:r>
        <w:rPr>
          <w:rFonts w:hint="eastAsia" w:ascii="宋体" w:hAnsi="宋体" w:cs="宋体"/>
          <w:sz w:val="24"/>
        </w:rPr>
        <w:t>投标人名称____________________          招标编号____________________</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3"/>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241"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1917"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1917"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spacing w:after="78" w:line="360" w:lineRule="auto"/>
        <w:rPr>
          <w:rFonts w:hint="eastAsia" w:ascii="宋体" w:hAnsi="宋体" w:cs="宋体"/>
          <w:bCs/>
          <w:sz w:val="24"/>
        </w:rPr>
      </w:pPr>
    </w:p>
    <w:p>
      <w:pPr>
        <w:pStyle w:val="12"/>
        <w:spacing w:line="360" w:lineRule="auto"/>
        <w:rPr>
          <w:rFonts w:hint="eastAsia" w:hAnsi="宋体" w:cs="宋体"/>
          <w:bCs/>
          <w:sz w:val="24"/>
        </w:rPr>
      </w:pPr>
    </w:p>
    <w:p>
      <w:pPr>
        <w:pStyle w:val="12"/>
        <w:spacing w:line="360" w:lineRule="auto"/>
        <w:ind w:firstLine="5760" w:firstLineChars="2400"/>
        <w:rPr>
          <w:rFonts w:hint="eastAsia" w:hAnsi="宋体" w:cs="宋体"/>
          <w:bCs/>
          <w:sz w:val="24"/>
        </w:rPr>
      </w:pPr>
      <w:r>
        <w:rPr>
          <w:rFonts w:hint="eastAsia" w:hAnsi="宋体" w:cs="宋体"/>
          <w:bCs/>
          <w:sz w:val="24"/>
        </w:rPr>
        <w:t>供应商：（公章）</w:t>
      </w:r>
    </w:p>
    <w:p>
      <w:pPr>
        <w:spacing w:line="360" w:lineRule="auto"/>
        <w:ind w:firstLine="5589" w:firstLineChars="2329"/>
        <w:rPr>
          <w:rFonts w:hint="eastAsia" w:ascii="宋体" w:hAnsi="宋体" w:cs="宋体"/>
          <w:bCs/>
          <w:sz w:val="24"/>
        </w:rPr>
      </w:pPr>
      <w:r>
        <w:rPr>
          <w:rFonts w:hint="eastAsia" w:ascii="宋体" w:hAnsi="宋体" w:cs="宋体"/>
          <w:bCs/>
          <w:sz w:val="24"/>
        </w:rPr>
        <w:t>日期：  年   月  日</w:t>
      </w:r>
    </w:p>
    <w:p>
      <w:pPr>
        <w:pStyle w:val="9"/>
        <w:spacing w:line="360" w:lineRule="auto"/>
        <w:rPr>
          <w:lang w:val="fr-CH"/>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sz w:val="24"/>
          <w:lang w:val="sq-AL"/>
        </w:rPr>
        <w:br w:type="page"/>
      </w:r>
      <w:r>
        <w:rPr>
          <w:rFonts w:hint="eastAsia" w:ascii="宋体" w:hAnsi="宋体" w:cs="宋体"/>
          <w:b/>
          <w:bCs/>
          <w:sz w:val="24"/>
          <w:lang w:val="fr-CH"/>
        </w:rPr>
        <w:t>2、需求理解（格式自拟）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3、项目重点难点分析、应对措施及相关的合理化建议（格式自拟）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4、项目管理措施和进度计划（格式自拟）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5、项目服务承诺（格式自拟）</w:t>
      </w:r>
    </w:p>
    <w:p>
      <w:pPr>
        <w:rPr>
          <w:rFonts w:hint="eastAsia" w:ascii="宋体" w:hAnsi="宋体" w:cs="宋体"/>
          <w:b/>
          <w:bCs/>
          <w:sz w:val="24"/>
          <w:lang w:val="fr-CH"/>
        </w:rPr>
      </w:pPr>
      <w:r>
        <w:rPr>
          <w:rFonts w:hint="eastAsia" w:ascii="宋体" w:hAnsi="宋体" w:cs="宋体"/>
          <w:b/>
          <w:bCs/>
          <w:sz w:val="24"/>
          <w:lang w:val="fr-CH"/>
        </w:rPr>
        <w:br w:type="page"/>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6</w:t>
      </w:r>
      <w:r>
        <w:rPr>
          <w:rFonts w:hint="eastAsia" w:ascii="宋体" w:hAnsi="宋体" w:cs="宋体"/>
          <w:b/>
          <w:bCs/>
          <w:sz w:val="24"/>
          <w:lang w:val="fr-CH"/>
        </w:rPr>
        <w:t>、投标单位认为有必要提供的其他材料（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pPr>
        <w:spacing w:line="440" w:lineRule="exact"/>
        <w:jc w:val="left"/>
        <w:rPr>
          <w:rFonts w:hint="eastAsia" w:ascii="宋体" w:hAnsi="宋体"/>
          <w:color w:val="000000"/>
          <w:szCs w:val="21"/>
        </w:rPr>
      </w:pPr>
      <w:r>
        <w:rPr>
          <w:rFonts w:hint="eastAsia" w:ascii="宋体" w:hAnsi="宋体"/>
          <w:color w:val="000000"/>
          <w:szCs w:val="21"/>
        </w:rPr>
        <w:t>1、最近三年本公司牵涉的主要诉讼案件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outlineLvl w:val="0"/>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rPr>
        <w:t>7.如是联合体投标的，需提供各方的。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rPr>
          <w:rFonts w:hint="eastAsia" w:ascii="宋体" w:hAnsi="宋体"/>
          <w:color w:val="000000"/>
          <w:szCs w:val="21"/>
        </w:rPr>
      </w:pPr>
      <w:r>
        <w:rPr>
          <w:rFonts w:hint="eastAsia" w:ascii="宋体" w:hAnsi="宋体"/>
          <w:color w:val="000000"/>
          <w:szCs w:val="21"/>
        </w:rPr>
        <w:t>3、其他招标文件要求和投标人认为有必要的内容</w:t>
      </w:r>
    </w:p>
    <w:p>
      <w:pPr>
        <w:tabs>
          <w:tab w:val="left" w:pos="640"/>
          <w:tab w:val="left" w:pos="1260"/>
          <w:tab w:val="left" w:pos="1418"/>
        </w:tabs>
        <w:spacing w:line="360" w:lineRule="auto"/>
        <w:rPr>
          <w:rFonts w:hint="eastAsia" w:ascii="宋体" w:hAnsi="宋体" w:cs="宋体"/>
          <w:b/>
          <w:bCs/>
          <w:sz w:val="24"/>
        </w:rPr>
      </w:pPr>
    </w:p>
    <w:p>
      <w:pPr>
        <w:tabs>
          <w:tab w:val="left" w:pos="640"/>
          <w:tab w:val="left" w:pos="1260"/>
          <w:tab w:val="left" w:pos="1418"/>
        </w:tabs>
        <w:spacing w:line="360" w:lineRule="auto"/>
        <w:rPr>
          <w:rFonts w:hint="eastAsia" w:ascii="宋体" w:hAnsi="宋体" w:cs="宋体"/>
          <w:b/>
          <w:bCs/>
          <w:sz w:val="24"/>
        </w:rPr>
      </w:pPr>
    </w:p>
    <w:p>
      <w:pPr>
        <w:tabs>
          <w:tab w:val="left" w:pos="640"/>
          <w:tab w:val="left" w:pos="1260"/>
          <w:tab w:val="left" w:pos="1418"/>
        </w:tabs>
        <w:spacing w:line="360" w:lineRule="auto"/>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hint="eastAsia" w:ascii="宋体" w:hAnsi="宋体" w:cs="宋体"/>
          <w:b/>
          <w:bCs/>
          <w:sz w:val="24"/>
        </w:rPr>
      </w:pPr>
      <w:r>
        <w:rPr>
          <w:rFonts w:hint="eastAsia" w:ascii="宋体" w:hAnsi="宋体" w:cs="宋体"/>
          <w:sz w:val="24"/>
          <w:lang w:val="fr-CH"/>
        </w:rPr>
        <w:br w:type="page"/>
      </w:r>
      <w:bookmarkEnd w:id="45"/>
      <w:bookmarkStart w:id="50" w:name="_Toc3166"/>
      <w:bookmarkStart w:id="51" w:name="_Toc6251"/>
      <w:r>
        <w:rPr>
          <w:rFonts w:hint="eastAsia" w:ascii="宋体" w:hAnsi="宋体" w:cs="宋体"/>
          <w:b/>
          <w:bCs/>
          <w:sz w:val="24"/>
        </w:rPr>
        <w:t>附件：相关政策</w:t>
      </w:r>
      <w:bookmarkEnd w:id="50"/>
      <w:bookmarkEnd w:id="51"/>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9"/>
        <w:tabs>
          <w:tab w:val="left" w:pos="562"/>
          <w:tab w:val="left" w:pos="3372"/>
          <w:tab w:val="left" w:pos="3653"/>
        </w:tabs>
        <w:spacing w:line="360" w:lineRule="auto"/>
        <w:rPr>
          <w:rFonts w:hint="eastAsia" w:ascii="宋体" w:hAnsi="宋体" w:cs="宋体"/>
          <w:sz w:val="24"/>
        </w:rPr>
      </w:pPr>
    </w:p>
    <w:p>
      <w:pPr>
        <w:widowControl/>
        <w:shd w:val="clear" w:color="auto" w:fill="FFFFFF"/>
        <w:spacing w:line="360" w:lineRule="auto"/>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360" w:lineRule="auto"/>
        <w:jc w:val="center"/>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line="360" w:lineRule="auto"/>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spacing w:line="360" w:lineRule="auto"/>
        <w:jc w:val="left"/>
        <w:rPr>
          <w:rFonts w:hint="eastAsia" w:ascii="宋体" w:hAnsi="宋体" w:cs="宋体"/>
          <w:kern w:val="0"/>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政府采购促进中小企业发展管理办法</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9"/>
        <w:tabs>
          <w:tab w:val="left" w:pos="562"/>
          <w:tab w:val="left" w:pos="3372"/>
          <w:tab w:val="left" w:pos="3653"/>
        </w:tabs>
        <w:spacing w:line="360" w:lineRule="auto"/>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（四）框架协议采购项目；</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9"/>
        <w:tabs>
          <w:tab w:val="left" w:pos="562"/>
          <w:tab w:val="left" w:pos="3372"/>
          <w:tab w:val="left" w:pos="3653"/>
        </w:tabs>
        <w:spacing w:before="5" w:line="360" w:lineRule="auto"/>
        <w:rPr>
          <w:rFonts w:hint="eastAsia" w:ascii="宋体" w:hAnsi="宋体" w:cs="宋体"/>
          <w:sz w:val="24"/>
        </w:rPr>
      </w:pP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附：1.中小企业声明函</w:t>
      </w:r>
    </w:p>
    <w:p>
      <w:pPr>
        <w:pStyle w:val="9"/>
        <w:tabs>
          <w:tab w:val="left" w:pos="562"/>
          <w:tab w:val="left" w:pos="3372"/>
          <w:tab w:val="left" w:pos="3653"/>
        </w:tabs>
        <w:spacing w:line="360" w:lineRule="auto"/>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pPr>
        <w:pStyle w:val="9"/>
        <w:tabs>
          <w:tab w:val="left" w:pos="562"/>
          <w:tab w:val="left" w:pos="3372"/>
          <w:tab w:val="left" w:pos="3653"/>
        </w:tabs>
        <w:spacing w:before="30" w:line="360" w:lineRule="auto"/>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360" w:lineRule="auto"/>
        <w:jc w:val="center"/>
        <w:outlineLvl w:val="0"/>
        <w:rPr>
          <w:rFonts w:hint="eastAsia" w:ascii="宋体" w:hAnsi="宋体" w:cs="宋体"/>
          <w:sz w:val="24"/>
        </w:rPr>
      </w:pPr>
      <w:r>
        <w:rPr>
          <w:rFonts w:hint="eastAsia" w:ascii="宋体" w:hAnsi="宋体" w:cs="宋体"/>
          <w:sz w:val="24"/>
        </w:rPr>
        <w:t>中小企业声明函（货物）</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9"/>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spacing w:line="360" w:lineRule="auto"/>
        <w:ind w:left="4200" w:leftChars="2000"/>
        <w:rPr>
          <w:rFonts w:hint="eastAsia" w:ascii="宋体" w:hAnsi="宋体" w:cs="宋体"/>
          <w:sz w:val="24"/>
        </w:rPr>
      </w:pPr>
      <w:r>
        <w:rPr>
          <w:rFonts w:hint="eastAsia" w:ascii="宋体" w:hAnsi="宋体" w:cs="宋体"/>
          <w:spacing w:val="-2"/>
          <w:sz w:val="24"/>
        </w:rPr>
        <w:t>企业名称（盖章）日期：</w:t>
      </w:r>
    </w:p>
    <w:p>
      <w:pPr>
        <w:pStyle w:val="9"/>
        <w:tabs>
          <w:tab w:val="left" w:pos="562"/>
          <w:tab w:val="left" w:pos="3372"/>
          <w:tab w:val="left" w:pos="3653"/>
        </w:tabs>
        <w:spacing w:line="360" w:lineRule="auto"/>
        <w:jc w:val="left"/>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360" w:lineRule="auto"/>
        <w:jc w:val="center"/>
        <w:outlineLvl w:val="0"/>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9"/>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spacing w:line="360" w:lineRule="auto"/>
        <w:ind w:left="4200" w:leftChars="2000"/>
        <w:rPr>
          <w:rFonts w:hint="eastAsia" w:ascii="宋体" w:hAnsi="宋体" w:cs="宋体"/>
          <w:spacing w:val="-2"/>
          <w:sz w:val="24"/>
        </w:rPr>
      </w:pPr>
    </w:p>
    <w:p>
      <w:pPr>
        <w:pStyle w:val="9"/>
        <w:tabs>
          <w:tab w:val="left" w:pos="562"/>
          <w:tab w:val="left" w:pos="3372"/>
          <w:tab w:val="left" w:pos="3653"/>
        </w:tabs>
        <w:spacing w:line="360" w:lineRule="auto"/>
        <w:ind w:left="4200" w:leftChars="2000"/>
        <w:rPr>
          <w:rFonts w:hint="eastAsia" w:ascii="宋体" w:hAnsi="宋体" w:cs="宋体"/>
          <w:spacing w:val="-2"/>
          <w:sz w:val="24"/>
        </w:rPr>
      </w:pPr>
      <w:r>
        <w:rPr>
          <w:rFonts w:hint="eastAsia" w:ascii="宋体" w:hAnsi="宋体" w:cs="宋体"/>
          <w:spacing w:val="-2"/>
          <w:sz w:val="24"/>
        </w:rPr>
        <w:t>企业名称（盖章）日期：</w:t>
      </w:r>
    </w:p>
    <w:p>
      <w:pPr>
        <w:pStyle w:val="9"/>
        <w:tabs>
          <w:tab w:val="left" w:pos="562"/>
          <w:tab w:val="left" w:pos="3372"/>
          <w:tab w:val="left" w:pos="3653"/>
        </w:tabs>
        <w:spacing w:before="30" w:line="360" w:lineRule="auto"/>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outlineLvl w:val="1"/>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9"/>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9"/>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pPr>
        <w:pStyle w:val="9"/>
        <w:tabs>
          <w:tab w:val="left" w:pos="562"/>
          <w:tab w:val="left" w:pos="3372"/>
          <w:tab w:val="left" w:pos="3653"/>
        </w:tabs>
        <w:jc w:val="center"/>
        <w:outlineLvl w:val="1"/>
        <w:rPr>
          <w:rFonts w:hint="eastAsia" w:ascii="宋体" w:hAnsi="宋体" w:cs="宋体"/>
          <w:b/>
          <w:bCs/>
          <w:sz w:val="24"/>
        </w:rPr>
      </w:pPr>
      <w:r>
        <w:rPr>
          <w:rFonts w:hint="eastAsia" w:ascii="宋体" w:hAnsi="宋体" w:cs="宋体"/>
          <w:b/>
          <w:bCs/>
          <w:sz w:val="24"/>
        </w:rPr>
        <w:t>面向中小企业预留项目明细</w:t>
      </w:r>
    </w:p>
    <w:tbl>
      <w:tblPr>
        <w:tblStyle w:val="23"/>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4"/>
              <w:jc w:val="center"/>
              <w:rPr>
                <w:rFonts w:hint="eastAsia"/>
                <w:b/>
                <w:sz w:val="24"/>
                <w:szCs w:val="24"/>
              </w:rPr>
            </w:pPr>
            <w:r>
              <w:rPr>
                <w:rFonts w:hint="eastAsia"/>
                <w:b/>
                <w:sz w:val="24"/>
                <w:szCs w:val="24"/>
              </w:rPr>
              <w:t>序号</w:t>
            </w:r>
          </w:p>
        </w:tc>
        <w:tc>
          <w:tcPr>
            <w:tcW w:w="1866" w:type="dxa"/>
            <w:vAlign w:val="center"/>
          </w:tcPr>
          <w:p>
            <w:pPr>
              <w:pStyle w:val="34"/>
              <w:jc w:val="center"/>
              <w:rPr>
                <w:rFonts w:hint="eastAsia"/>
                <w:b/>
                <w:sz w:val="24"/>
                <w:szCs w:val="24"/>
              </w:rPr>
            </w:pPr>
            <w:r>
              <w:rPr>
                <w:rFonts w:hint="eastAsia"/>
                <w:b/>
                <w:sz w:val="24"/>
                <w:szCs w:val="24"/>
              </w:rPr>
              <w:t>项目名称</w:t>
            </w:r>
          </w:p>
        </w:tc>
        <w:tc>
          <w:tcPr>
            <w:tcW w:w="2010" w:type="dxa"/>
            <w:vAlign w:val="center"/>
          </w:tcPr>
          <w:p>
            <w:pPr>
              <w:pStyle w:val="34"/>
              <w:jc w:val="center"/>
              <w:rPr>
                <w:rFonts w:hint="eastAsia"/>
                <w:b/>
                <w:sz w:val="24"/>
                <w:szCs w:val="24"/>
              </w:rPr>
            </w:pPr>
            <w:r>
              <w:rPr>
                <w:rFonts w:hint="eastAsia"/>
                <w:b/>
                <w:sz w:val="24"/>
                <w:szCs w:val="24"/>
              </w:rPr>
              <w:t>预留选项</w:t>
            </w:r>
          </w:p>
        </w:tc>
        <w:tc>
          <w:tcPr>
            <w:tcW w:w="2296" w:type="dxa"/>
            <w:vAlign w:val="center"/>
          </w:tcPr>
          <w:p>
            <w:pPr>
              <w:pStyle w:val="34"/>
              <w:jc w:val="center"/>
              <w:rPr>
                <w:rFonts w:hint="eastAsia"/>
                <w:b/>
                <w:sz w:val="24"/>
                <w:szCs w:val="24"/>
              </w:rPr>
            </w:pPr>
            <w:r>
              <w:rPr>
                <w:rFonts w:hint="eastAsia"/>
                <w:b/>
                <w:sz w:val="24"/>
                <w:szCs w:val="24"/>
              </w:rPr>
              <w:t>面向中小企业采购金额</w:t>
            </w:r>
          </w:p>
        </w:tc>
        <w:tc>
          <w:tcPr>
            <w:tcW w:w="1784" w:type="dxa"/>
            <w:vAlign w:val="center"/>
          </w:tcPr>
          <w:p>
            <w:pPr>
              <w:pStyle w:val="34"/>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4"/>
              <w:jc w:val="center"/>
              <w:rPr>
                <w:rFonts w:hint="eastAsia"/>
                <w:sz w:val="24"/>
                <w:szCs w:val="24"/>
              </w:rPr>
            </w:pPr>
          </w:p>
        </w:tc>
        <w:tc>
          <w:tcPr>
            <w:tcW w:w="1866" w:type="dxa"/>
            <w:tcBorders>
              <w:bottom w:val="nil"/>
            </w:tcBorders>
            <w:vAlign w:val="center"/>
          </w:tcPr>
          <w:p>
            <w:pPr>
              <w:pStyle w:val="34"/>
              <w:jc w:val="center"/>
              <w:rPr>
                <w:rFonts w:hint="eastAsia"/>
                <w:sz w:val="24"/>
                <w:szCs w:val="24"/>
              </w:rPr>
            </w:pPr>
          </w:p>
        </w:tc>
        <w:tc>
          <w:tcPr>
            <w:tcW w:w="2010" w:type="dxa"/>
            <w:tcBorders>
              <w:bottom w:val="nil"/>
            </w:tcBorders>
            <w:vAlign w:val="center"/>
          </w:tcPr>
          <w:p>
            <w:pPr>
              <w:pStyle w:val="34"/>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34"/>
              <w:jc w:val="center"/>
              <w:rPr>
                <w:rFonts w:hint="eastAsia"/>
                <w:sz w:val="24"/>
                <w:szCs w:val="24"/>
              </w:rPr>
            </w:pPr>
          </w:p>
        </w:tc>
        <w:tc>
          <w:tcPr>
            <w:tcW w:w="1784" w:type="dxa"/>
            <w:vMerge w:val="restart"/>
            <w:vAlign w:val="center"/>
          </w:tcPr>
          <w:p>
            <w:pPr>
              <w:pStyle w:val="34"/>
              <w:jc w:val="center"/>
              <w:rPr>
                <w:rFonts w:hint="eastAsia"/>
                <w:sz w:val="24"/>
                <w:szCs w:val="24"/>
              </w:rPr>
            </w:pPr>
          </w:p>
          <w:p>
            <w:pPr>
              <w:pStyle w:val="34"/>
              <w:jc w:val="center"/>
              <w:rPr>
                <w:rFonts w:hint="eastAsia"/>
                <w:sz w:val="24"/>
                <w:szCs w:val="24"/>
              </w:rPr>
            </w:pPr>
          </w:p>
          <w:p>
            <w:pPr>
              <w:pStyle w:val="34"/>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4"/>
              <w:jc w:val="center"/>
              <w:rPr>
                <w:rFonts w:hint="eastAsia"/>
                <w:sz w:val="24"/>
                <w:szCs w:val="24"/>
              </w:rPr>
            </w:pPr>
          </w:p>
        </w:tc>
        <w:tc>
          <w:tcPr>
            <w:tcW w:w="2010" w:type="dxa"/>
            <w:tcBorders>
              <w:top w:val="nil"/>
              <w:bottom w:val="nil"/>
            </w:tcBorders>
            <w:vAlign w:val="center"/>
          </w:tcPr>
          <w:p>
            <w:pPr>
              <w:pStyle w:val="34"/>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34"/>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4"/>
              <w:jc w:val="center"/>
              <w:rPr>
                <w:rFonts w:hint="eastAsia"/>
                <w:sz w:val="24"/>
                <w:szCs w:val="24"/>
              </w:rPr>
            </w:pPr>
          </w:p>
        </w:tc>
        <w:tc>
          <w:tcPr>
            <w:tcW w:w="2010" w:type="dxa"/>
            <w:tcBorders>
              <w:top w:val="nil"/>
              <w:bottom w:val="nil"/>
            </w:tcBorders>
            <w:vAlign w:val="center"/>
          </w:tcPr>
          <w:p>
            <w:pPr>
              <w:pStyle w:val="34"/>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34"/>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4"/>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34"/>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34"/>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4"/>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34"/>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34"/>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4"/>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34"/>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34"/>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4"/>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34"/>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34"/>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4"/>
              <w:jc w:val="center"/>
              <w:rPr>
                <w:rFonts w:hint="eastAsia"/>
                <w:sz w:val="24"/>
                <w:szCs w:val="24"/>
              </w:rPr>
            </w:pPr>
          </w:p>
        </w:tc>
        <w:tc>
          <w:tcPr>
            <w:tcW w:w="2010" w:type="dxa"/>
            <w:tcBorders>
              <w:top w:val="nil"/>
              <w:bottom w:val="nil"/>
            </w:tcBorders>
            <w:vAlign w:val="center"/>
          </w:tcPr>
          <w:p>
            <w:pPr>
              <w:pStyle w:val="34"/>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34"/>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4"/>
              <w:jc w:val="center"/>
              <w:rPr>
                <w:rFonts w:hint="eastAsia"/>
                <w:sz w:val="24"/>
                <w:szCs w:val="24"/>
              </w:rPr>
            </w:pPr>
          </w:p>
        </w:tc>
        <w:tc>
          <w:tcPr>
            <w:tcW w:w="2010" w:type="dxa"/>
            <w:tcBorders>
              <w:top w:val="nil"/>
              <w:bottom w:val="nil"/>
            </w:tcBorders>
            <w:vAlign w:val="center"/>
          </w:tcPr>
          <w:p>
            <w:pPr>
              <w:pStyle w:val="34"/>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34"/>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4"/>
              <w:jc w:val="center"/>
              <w:rPr>
                <w:rFonts w:hint="eastAsia"/>
                <w:sz w:val="24"/>
                <w:szCs w:val="24"/>
              </w:rPr>
            </w:pPr>
          </w:p>
        </w:tc>
        <w:tc>
          <w:tcPr>
            <w:tcW w:w="2010" w:type="dxa"/>
            <w:tcBorders>
              <w:top w:val="nil"/>
              <w:bottom w:val="nil"/>
            </w:tcBorders>
            <w:vAlign w:val="center"/>
          </w:tcPr>
          <w:p>
            <w:pPr>
              <w:pStyle w:val="34"/>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34"/>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pStyle w:val="34"/>
              <w:jc w:val="center"/>
              <w:rPr>
                <w:rFonts w:hint="eastAsia"/>
                <w:sz w:val="24"/>
                <w:szCs w:val="24"/>
              </w:rPr>
            </w:pPr>
          </w:p>
        </w:tc>
        <w:tc>
          <w:tcPr>
            <w:tcW w:w="2010" w:type="dxa"/>
            <w:tcBorders>
              <w:top w:val="nil"/>
            </w:tcBorders>
            <w:vAlign w:val="center"/>
          </w:tcPr>
          <w:p>
            <w:pPr>
              <w:pStyle w:val="34"/>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34"/>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4"/>
              <w:jc w:val="center"/>
              <w:rPr>
                <w:rFonts w:hint="eastAsia"/>
                <w:sz w:val="24"/>
                <w:szCs w:val="24"/>
              </w:rPr>
            </w:pPr>
            <w:r>
              <w:rPr>
                <w:rFonts w:hint="eastAsia"/>
                <w:sz w:val="24"/>
                <w:szCs w:val="24"/>
              </w:rPr>
              <w:t>……</w:t>
            </w:r>
          </w:p>
        </w:tc>
        <w:tc>
          <w:tcPr>
            <w:tcW w:w="1866" w:type="dxa"/>
            <w:vAlign w:val="center"/>
          </w:tcPr>
          <w:p>
            <w:pPr>
              <w:pStyle w:val="34"/>
              <w:jc w:val="center"/>
              <w:rPr>
                <w:rFonts w:hint="eastAsia"/>
                <w:sz w:val="24"/>
                <w:szCs w:val="24"/>
              </w:rPr>
            </w:pPr>
            <w:r>
              <w:rPr>
                <w:rFonts w:hint="eastAsia"/>
                <w:sz w:val="24"/>
                <w:szCs w:val="24"/>
              </w:rPr>
              <w:t>……</w:t>
            </w:r>
          </w:p>
        </w:tc>
        <w:tc>
          <w:tcPr>
            <w:tcW w:w="2010" w:type="dxa"/>
            <w:vAlign w:val="center"/>
          </w:tcPr>
          <w:p>
            <w:pPr>
              <w:pStyle w:val="34"/>
              <w:jc w:val="center"/>
              <w:rPr>
                <w:rFonts w:hint="eastAsia"/>
                <w:sz w:val="24"/>
                <w:szCs w:val="24"/>
              </w:rPr>
            </w:pPr>
            <w:r>
              <w:rPr>
                <w:rFonts w:hint="eastAsia"/>
                <w:sz w:val="24"/>
                <w:szCs w:val="24"/>
              </w:rPr>
              <w:t>……</w:t>
            </w:r>
          </w:p>
        </w:tc>
        <w:tc>
          <w:tcPr>
            <w:tcW w:w="2296" w:type="dxa"/>
            <w:vAlign w:val="center"/>
          </w:tcPr>
          <w:p>
            <w:pPr>
              <w:pStyle w:val="34"/>
              <w:jc w:val="center"/>
              <w:rPr>
                <w:rFonts w:hint="eastAsia"/>
                <w:sz w:val="24"/>
                <w:szCs w:val="24"/>
              </w:rPr>
            </w:pPr>
            <w:r>
              <w:rPr>
                <w:rFonts w:hint="eastAsia"/>
                <w:sz w:val="24"/>
                <w:szCs w:val="24"/>
              </w:rPr>
              <w:t>……</w:t>
            </w:r>
          </w:p>
        </w:tc>
        <w:tc>
          <w:tcPr>
            <w:tcW w:w="1784" w:type="dxa"/>
            <w:vAlign w:val="center"/>
          </w:tcPr>
          <w:p>
            <w:pPr>
              <w:pStyle w:val="34"/>
              <w:jc w:val="center"/>
              <w:rPr>
                <w:rFonts w:hint="eastAsia"/>
                <w:sz w:val="24"/>
                <w:szCs w:val="24"/>
              </w:rPr>
            </w:pPr>
            <w:r>
              <w:rPr>
                <w:rFonts w:hint="eastAsia"/>
                <w:sz w:val="24"/>
                <w:szCs w:val="24"/>
              </w:rPr>
              <w:t>……</w:t>
            </w:r>
          </w:p>
        </w:tc>
      </w:tr>
    </w:tbl>
    <w:p>
      <w:pPr>
        <w:pStyle w:val="9"/>
        <w:tabs>
          <w:tab w:val="left" w:pos="562"/>
          <w:tab w:val="left" w:pos="3372"/>
          <w:tab w:val="left" w:pos="3653"/>
        </w:tabs>
        <w:spacing w:before="128"/>
        <w:ind w:left="4220" w:right="1843"/>
        <w:rPr>
          <w:rFonts w:hint="eastAsia" w:ascii="宋体" w:hAnsi="宋体" w:cs="宋体"/>
          <w:sz w:val="24"/>
        </w:rPr>
      </w:pPr>
    </w:p>
    <w:p>
      <w:pPr>
        <w:pStyle w:val="9"/>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 xml:space="preserve">部门（单位）名称： </w:t>
      </w:r>
    </w:p>
    <w:p>
      <w:pPr>
        <w:pStyle w:val="9"/>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日期：</w:t>
      </w:r>
    </w:p>
    <w:p>
      <w:pPr>
        <w:pStyle w:val="9"/>
        <w:tabs>
          <w:tab w:val="left" w:pos="562"/>
          <w:tab w:val="left" w:pos="3372"/>
          <w:tab w:val="left" w:pos="3653"/>
        </w:tabs>
        <w:rPr>
          <w:rFonts w:hint="eastAsia" w:ascii="宋体" w:hAnsi="宋体" w:cs="宋体"/>
          <w:sz w:val="24"/>
        </w:rPr>
      </w:pPr>
    </w:p>
    <w:p>
      <w:pPr>
        <w:pStyle w:val="20"/>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w:t>
      </w:r>
      <w:r>
        <w:rPr>
          <w:rFonts w:hint="eastAsia" w:ascii="宋体" w:hAnsi="宋体" w:cs="宋体"/>
          <w:b/>
          <w:bCs/>
          <w:sz w:val="24"/>
          <w:lang w:val="en-US" w:eastAsia="zh-CN"/>
        </w:rPr>
        <w:t>和</w:t>
      </w:r>
      <w:r>
        <w:rPr>
          <w:rFonts w:hint="eastAsia" w:ascii="宋体" w:hAnsi="宋体" w:cs="宋体"/>
          <w:b/>
          <w:bCs/>
          <w:sz w:val="24"/>
        </w:rPr>
        <w:t>信息化部、国家统计局、国家发展和改革委员会、财政部《关于印发〈中小企业划型标准规定〉的通知》（工信部联企〔2011〕300 号）</w:t>
      </w:r>
    </w:p>
    <w:p>
      <w:pPr>
        <w:pStyle w:val="9"/>
        <w:tabs>
          <w:tab w:val="left" w:pos="562"/>
          <w:tab w:val="left" w:pos="3372"/>
          <w:tab w:val="left" w:pos="3653"/>
        </w:tabs>
        <w:spacing w:line="360" w:lineRule="auto"/>
        <w:rPr>
          <w:rFonts w:hint="eastAsia" w:ascii="宋体" w:hAnsi="宋体" w:cs="宋体"/>
          <w:sz w:val="24"/>
        </w:rPr>
      </w:pPr>
    </w:p>
    <w:p>
      <w:pPr>
        <w:spacing w:line="360" w:lineRule="auto"/>
        <w:jc w:val="center"/>
        <w:outlineLvl w:val="1"/>
        <w:rPr>
          <w:rFonts w:hint="eastAsia" w:ascii="宋体" w:hAnsi="宋体" w:cs="宋体"/>
          <w:b/>
          <w:bCs/>
          <w:sz w:val="24"/>
        </w:rPr>
      </w:pPr>
      <w:r>
        <w:rPr>
          <w:rFonts w:hint="eastAsia" w:ascii="宋体" w:hAnsi="宋体" w:cs="宋体"/>
          <w:b/>
          <w:bCs/>
          <w:sz w:val="24"/>
        </w:rPr>
        <w:t>关于印发中小企业划型标准规定的通知</w:t>
      </w:r>
    </w:p>
    <w:p>
      <w:pPr>
        <w:spacing w:line="360" w:lineRule="auto"/>
        <w:jc w:val="center"/>
        <w:outlineLvl w:val="0"/>
        <w:rPr>
          <w:rFonts w:hint="eastAsia" w:ascii="宋体" w:hAnsi="宋体" w:cs="宋体"/>
          <w:sz w:val="24"/>
        </w:rPr>
      </w:pPr>
      <w:r>
        <w:rPr>
          <w:rFonts w:hint="eastAsia" w:ascii="宋体" w:hAnsi="宋体" w:cs="宋体"/>
          <w:sz w:val="24"/>
        </w:rPr>
        <w:t>工信部联企业〔2011〕300号</w:t>
      </w:r>
    </w:p>
    <w:p>
      <w:pPr>
        <w:spacing w:line="360" w:lineRule="auto"/>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spacing w:line="360" w:lineRule="auto"/>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hint="eastAsia" w:ascii="宋体" w:hAnsi="宋体" w:cs="宋体"/>
          <w:sz w:val="24"/>
        </w:rPr>
      </w:pPr>
      <w:r>
        <w:rPr>
          <w:rFonts w:hint="eastAsia" w:ascii="宋体" w:hAnsi="宋体" w:cs="宋体"/>
          <w:sz w:val="24"/>
        </w:rPr>
        <w:t>工业和信息化部 国家统计局</w:t>
      </w:r>
    </w:p>
    <w:p>
      <w:pPr>
        <w:spacing w:line="360" w:lineRule="auto"/>
        <w:ind w:firstLine="480" w:firstLineChars="200"/>
        <w:jc w:val="right"/>
        <w:rPr>
          <w:rFonts w:hint="eastAsia" w:ascii="宋体" w:hAnsi="宋体" w:cs="宋体"/>
          <w:sz w:val="24"/>
        </w:rPr>
      </w:pPr>
      <w:r>
        <w:rPr>
          <w:rFonts w:hint="eastAsia" w:ascii="宋体" w:hAnsi="宋体" w:cs="宋体"/>
          <w:sz w:val="24"/>
        </w:rPr>
        <w:t>国家发展和改革委员会 财政部</w:t>
      </w:r>
    </w:p>
    <w:p>
      <w:pPr>
        <w:spacing w:line="360" w:lineRule="auto"/>
        <w:ind w:firstLine="480" w:firstLineChars="200"/>
        <w:jc w:val="right"/>
        <w:rPr>
          <w:rFonts w:hint="eastAsia" w:ascii="宋体" w:hAnsi="宋体" w:cs="宋体"/>
          <w:sz w:val="24"/>
        </w:rPr>
      </w:pPr>
      <w:r>
        <w:rPr>
          <w:rFonts w:hint="eastAsia" w:ascii="宋体" w:hAnsi="宋体" w:cs="宋体"/>
          <w:sz w:val="24"/>
        </w:rPr>
        <w:t>二○一一年六月十八日</w:t>
      </w:r>
    </w:p>
    <w:p>
      <w:pPr>
        <w:spacing w:line="360" w:lineRule="auto"/>
        <w:ind w:firstLine="480" w:firstLineChars="200"/>
        <w:rPr>
          <w:rFonts w:hint="eastAsia" w:ascii="宋体" w:hAnsi="宋体" w:cs="宋体"/>
          <w:sz w:val="24"/>
        </w:rPr>
      </w:pPr>
    </w:p>
    <w:p>
      <w:pPr>
        <w:pStyle w:val="9"/>
        <w:rPr>
          <w:rFonts w:hint="eastAsia" w:ascii="宋体" w:hAnsi="宋体" w:cs="宋体"/>
          <w:sz w:val="24"/>
        </w:rPr>
      </w:pPr>
    </w:p>
    <w:p>
      <w:pPr>
        <w:rPr>
          <w:rFonts w:hint="eastAsia" w:ascii="宋体" w:hAnsi="宋体" w:cs="宋体"/>
          <w:sz w:val="24"/>
        </w:rPr>
      </w:pPr>
    </w:p>
    <w:p>
      <w:pPr>
        <w:pStyle w:val="9"/>
        <w:rPr>
          <w:rFonts w:hint="eastAsia" w:ascii="宋体" w:hAnsi="宋体" w:cs="宋体"/>
          <w:sz w:val="24"/>
        </w:rPr>
      </w:pPr>
    </w:p>
    <w:p>
      <w:pPr>
        <w:rPr>
          <w:rFonts w:hint="eastAsia" w:ascii="宋体" w:hAnsi="宋体" w:cs="宋体"/>
          <w:sz w:val="24"/>
        </w:rPr>
      </w:pPr>
    </w:p>
    <w:p/>
    <w:p>
      <w:pPr>
        <w:pStyle w:val="9"/>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outlineLvl w:val="1"/>
        <w:rPr>
          <w:rFonts w:hint="eastAsia" w:ascii="宋体" w:hAnsi="宋体" w:cs="宋体"/>
          <w:b/>
          <w:bCs/>
          <w:sz w:val="24"/>
        </w:rPr>
      </w:pPr>
      <w:r>
        <w:rPr>
          <w:rFonts w:hint="eastAsia" w:ascii="宋体" w:hAnsi="宋体" w:cs="宋体"/>
          <w:b/>
          <w:bCs/>
          <w:sz w:val="24"/>
        </w:rPr>
        <w:t xml:space="preserve">中小企业划型标准规定 </w:t>
      </w:r>
    </w:p>
    <w:p>
      <w:pPr>
        <w:spacing w:line="360" w:lineRule="auto"/>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360" w:lineRule="auto"/>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360" w:lineRule="auto"/>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hint="eastAsia" w:ascii="宋体" w:hAnsi="宋体" w:cs="宋体"/>
          <w:sz w:val="24"/>
        </w:rPr>
      </w:pPr>
      <w:r>
        <w:rPr>
          <w:rFonts w:hint="eastAsia" w:ascii="宋体" w:hAnsi="宋体" w:cs="宋体"/>
          <w:sz w:val="24"/>
        </w:rPr>
        <w:t xml:space="preserve">四、各行业划型标准为： </w:t>
      </w:r>
    </w:p>
    <w:p>
      <w:pPr>
        <w:spacing w:line="360" w:lineRule="auto"/>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spacing w:line="360" w:lineRule="auto"/>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360" w:lineRule="auto"/>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spacing w:line="360" w:lineRule="auto"/>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pStyle w:val="20"/>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outlineLvl w:val="1"/>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pStyle w:val="9"/>
        <w:rPr>
          <w:rFonts w:hint="eastAsia" w:ascii="宋体" w:hAnsi="宋体" w:cs="宋体"/>
          <w:kern w:val="0"/>
          <w:sz w:val="24"/>
        </w:rPr>
      </w:pPr>
    </w:p>
    <w:p>
      <w:pPr>
        <w:rPr>
          <w:rFonts w:hint="eastAsia" w:ascii="宋体" w:hAnsi="宋体" w:cs="宋体"/>
          <w:kern w:val="0"/>
          <w:sz w:val="24"/>
        </w:rPr>
      </w:pPr>
    </w:p>
    <w:p>
      <w:pPr>
        <w:pStyle w:val="9"/>
        <w:rPr>
          <w:rFonts w:hint="eastAsia" w:ascii="宋体" w:hAnsi="宋体" w:cs="宋体"/>
          <w:kern w:val="0"/>
          <w:sz w:val="24"/>
        </w:rPr>
      </w:pPr>
    </w:p>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outlineLvl w:val="1"/>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spacing w:line="360" w:lineRule="auto"/>
        <w:jc w:val="left"/>
        <w:rPr>
          <w:rFonts w:hint="eastAsia" w:ascii="宋体" w:hAnsi="宋体" w:cs="宋体"/>
          <w:kern w:val="0"/>
          <w:sz w:val="24"/>
        </w:rPr>
      </w:pPr>
    </w:p>
    <w:p>
      <w:pPr>
        <w:pStyle w:val="9"/>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附表：</w:t>
      </w:r>
    </w:p>
    <w:p>
      <w:pPr>
        <w:widowControl/>
        <w:spacing w:line="360" w:lineRule="auto"/>
        <w:jc w:val="center"/>
        <w:outlineLvl w:val="0"/>
        <w:rPr>
          <w:rFonts w:hint="eastAsia" w:ascii="宋体" w:hAnsi="宋体" w:cs="宋体"/>
          <w:kern w:val="0"/>
          <w:sz w:val="24"/>
        </w:rPr>
      </w:pPr>
      <w:r>
        <w:rPr>
          <w:rFonts w:hint="eastAsia" w:ascii="宋体" w:hAnsi="宋体" w:cs="宋体"/>
          <w:kern w:val="0"/>
          <w:sz w:val="24"/>
        </w:rPr>
        <w:t>统计上大中小微型企业划分标准</w:t>
      </w:r>
    </w:p>
    <w:tbl>
      <w:tblPr>
        <w:tblStyle w:val="23"/>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计量</w:t>
            </w:r>
          </w:p>
          <w:p>
            <w:pPr>
              <w:widowControl/>
              <w:spacing w:line="360" w:lineRule="auto"/>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lang w:eastAsia="zh-CN"/>
        </w:rPr>
        <w:t>；</w:t>
      </w:r>
      <w:r>
        <w:rPr>
          <w:rFonts w:hint="eastAsia" w:ascii="宋体" w:hAnsi="宋体" w:cs="宋体"/>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9"/>
        <w:tabs>
          <w:tab w:val="left" w:pos="562"/>
          <w:tab w:val="left" w:pos="3372"/>
          <w:tab w:val="left" w:pos="3653"/>
        </w:tabs>
        <w:spacing w:line="360" w:lineRule="auto"/>
        <w:rPr>
          <w:rFonts w:hint="eastAsia" w:ascii="宋体" w:hAnsi="宋体" w:cs="宋体"/>
          <w:sz w:val="24"/>
        </w:rPr>
      </w:pPr>
    </w:p>
    <w:p>
      <w:pPr>
        <w:tabs>
          <w:tab w:val="left" w:pos="360"/>
        </w:tabs>
        <w:spacing w:line="360" w:lineRule="auto"/>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360" w:lineRule="auto"/>
        <w:rPr>
          <w:rFonts w:hint="eastAsia" w:ascii="宋体" w:hAnsi="宋体" w:cs="宋体"/>
          <w:bCs/>
          <w:sz w:val="24"/>
        </w:rPr>
      </w:pPr>
    </w:p>
    <w:p>
      <w:pPr>
        <w:shd w:val="clear" w:color="auto" w:fill="FFFFFF"/>
        <w:spacing w:line="360" w:lineRule="auto"/>
        <w:rPr>
          <w:rFonts w:hint="eastAsia" w:ascii="宋体" w:hAnsi="宋体" w:cs="宋体"/>
          <w:bCs/>
          <w:sz w:val="24"/>
        </w:rPr>
      </w:pPr>
      <w:r>
        <w:rPr>
          <w:rFonts w:hint="eastAsia" w:ascii="宋体" w:hAnsi="宋体" w:cs="宋体"/>
          <w:bCs/>
          <w:sz w:val="24"/>
        </w:rPr>
        <w:t>关于促进残疾人就业政府采购政策的通知</w:t>
      </w:r>
    </w:p>
    <w:p>
      <w:pPr>
        <w:pStyle w:val="19"/>
        <w:shd w:val="clear" w:color="auto" w:fill="FFFFFF"/>
        <w:spacing w:before="0" w:beforeAutospacing="0" w:after="0" w:afterAutospacing="0" w:line="360" w:lineRule="auto"/>
        <w:jc w:val="center"/>
        <w:outlineLvl w:val="0"/>
        <w:rPr>
          <w:rFonts w:hint="eastAsia"/>
        </w:rPr>
      </w:pPr>
      <w:r>
        <w:rPr>
          <w:rFonts w:hint="eastAsia"/>
        </w:rPr>
        <w:t>　　</w:t>
      </w:r>
      <w:bookmarkStart w:id="52" w:name="sendNo"/>
      <w:r>
        <w:rPr>
          <w:rFonts w:hint="eastAsia"/>
        </w:rPr>
        <w:t>财库〔</w:t>
      </w:r>
      <w:bookmarkEnd w:id="52"/>
      <w:r>
        <w:rPr>
          <w:rFonts w:hint="eastAsia"/>
        </w:rPr>
        <w:t>2017〕141号</w:t>
      </w:r>
    </w:p>
    <w:p>
      <w:pPr>
        <w:pStyle w:val="19"/>
        <w:shd w:val="clear" w:color="auto" w:fill="FFFFFF"/>
        <w:spacing w:before="0" w:beforeAutospacing="0" w:after="0" w:afterAutospacing="0" w:line="360" w:lineRule="auto"/>
        <w:ind w:firstLine="480" w:firstLineChars="200"/>
        <w:rPr>
          <w:rFonts w:hint="eastAsia"/>
        </w:rPr>
      </w:pPr>
      <w:bookmarkStart w:id="53"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53"/>
      <w:r>
        <w:rPr>
          <w:rFonts w:hint="eastAsia"/>
        </w:rPr>
        <w:t>：</w:t>
      </w:r>
    </w:p>
    <w:p>
      <w:pPr>
        <w:pStyle w:val="19"/>
        <w:shd w:val="clear" w:color="auto" w:fill="FFFFFF"/>
        <w:spacing w:before="0" w:beforeAutospacing="0" w:after="0" w:afterAutospacing="0" w:line="360" w:lineRule="auto"/>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9"/>
        <w:shd w:val="clear" w:color="auto" w:fill="FFFFFF"/>
        <w:spacing w:before="0" w:beforeAutospacing="0" w:after="0" w:afterAutospacing="0" w:line="360" w:lineRule="auto"/>
        <w:ind w:firstLine="480" w:firstLineChars="200"/>
        <w:rPr>
          <w:rFonts w:hint="eastAsia"/>
        </w:rPr>
      </w:pPr>
      <w:r>
        <w:rPr>
          <w:rFonts w:hint="eastAsia"/>
        </w:rPr>
        <w:t>一、享受政府采购支持政策的残疾人福利性单位应当同时满足以下条件：</w:t>
      </w:r>
    </w:p>
    <w:p>
      <w:pPr>
        <w:pStyle w:val="19"/>
        <w:shd w:val="clear" w:color="auto" w:fill="FFFFFF"/>
        <w:spacing w:before="0" w:beforeAutospacing="0" w:after="0" w:afterAutospacing="0" w:line="360" w:lineRule="auto"/>
        <w:ind w:firstLine="480" w:firstLineChars="200"/>
        <w:rPr>
          <w:rFonts w:hint="eastAsia"/>
        </w:rPr>
      </w:pPr>
      <w:r>
        <w:rPr>
          <w:rFonts w:hint="eastAsia"/>
        </w:rPr>
        <w:t>（一）安置的残疾人占本单位在职职工人数的比例不低于25%（含25%），并且安置的残疾人人数不少于10人（含10人）；</w:t>
      </w:r>
    </w:p>
    <w:p>
      <w:pPr>
        <w:pStyle w:val="19"/>
        <w:shd w:val="clear" w:color="auto" w:fill="FFFFFF"/>
        <w:spacing w:before="0" w:beforeAutospacing="0" w:after="0" w:afterAutospacing="0" w:line="360" w:lineRule="auto"/>
        <w:ind w:firstLine="480" w:firstLineChars="200"/>
        <w:rPr>
          <w:rFonts w:hint="eastAsia"/>
        </w:rPr>
      </w:pPr>
      <w:r>
        <w:rPr>
          <w:rFonts w:hint="eastAsia"/>
        </w:rPr>
        <w:t>（二）依法与安置的每位残疾人签订了一年以上（含一年）的劳动合同或服务协议；</w:t>
      </w:r>
    </w:p>
    <w:p>
      <w:pPr>
        <w:pStyle w:val="19"/>
        <w:shd w:val="clear" w:color="auto" w:fill="FFFFFF"/>
        <w:spacing w:before="0" w:beforeAutospacing="0" w:after="0" w:afterAutospacing="0" w:line="360" w:lineRule="auto"/>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19"/>
        <w:shd w:val="clear" w:color="auto" w:fill="FFFFFF"/>
        <w:spacing w:before="0" w:beforeAutospacing="0" w:after="0" w:afterAutospacing="0" w:line="360" w:lineRule="auto"/>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19"/>
        <w:shd w:val="clear" w:color="auto" w:fill="FFFFFF"/>
        <w:spacing w:before="0" w:beforeAutospacing="0" w:after="0" w:afterAutospacing="0" w:line="360" w:lineRule="auto"/>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19"/>
        <w:shd w:val="clear" w:color="auto" w:fill="FFFFFF"/>
        <w:spacing w:before="0" w:beforeAutospacing="0" w:after="0" w:afterAutospacing="0" w:line="36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9"/>
        <w:shd w:val="clear" w:color="auto" w:fill="FFFFFF"/>
        <w:spacing w:before="0" w:beforeAutospacing="0" w:after="0" w:afterAutospacing="0" w:line="360" w:lineRule="auto"/>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9"/>
        <w:shd w:val="clear" w:color="auto" w:fill="FFFFFF"/>
        <w:spacing w:before="0" w:beforeAutospacing="0" w:after="0" w:afterAutospacing="0" w:line="360" w:lineRule="auto"/>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19"/>
        <w:shd w:val="clear" w:color="auto" w:fill="FFFFFF"/>
        <w:spacing w:before="0" w:beforeAutospacing="0" w:after="0" w:afterAutospacing="0" w:line="360" w:lineRule="auto"/>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19"/>
        <w:shd w:val="clear" w:color="auto" w:fill="FFFFFF"/>
        <w:spacing w:before="0" w:beforeAutospacing="0" w:after="0" w:afterAutospacing="0" w:line="360" w:lineRule="auto"/>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9"/>
        <w:shd w:val="clear" w:color="auto" w:fill="FFFFFF"/>
        <w:spacing w:before="0" w:beforeAutospacing="0" w:after="0" w:afterAutospacing="0" w:line="360" w:lineRule="auto"/>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19"/>
        <w:shd w:val="clear" w:color="auto" w:fill="FFFFFF"/>
        <w:spacing w:before="0" w:beforeAutospacing="0" w:after="0" w:afterAutospacing="0" w:line="360" w:lineRule="auto"/>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9"/>
        <w:shd w:val="clear" w:color="auto" w:fill="FFFFFF"/>
        <w:spacing w:before="0" w:beforeAutospacing="0" w:after="0" w:afterAutospacing="0" w:line="360" w:lineRule="auto"/>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9"/>
        <w:shd w:val="clear" w:color="auto" w:fill="FFFFFF"/>
        <w:spacing w:before="0" w:beforeAutospacing="0" w:after="0" w:afterAutospacing="0" w:line="360" w:lineRule="auto"/>
        <w:ind w:firstLine="480" w:firstLineChars="200"/>
        <w:rPr>
          <w:rFonts w:hint="eastAsia"/>
        </w:rPr>
      </w:pPr>
      <w:r>
        <w:rPr>
          <w:rFonts w:hint="eastAsia"/>
        </w:rPr>
        <w:t>七、本通知自2017年10月1日起执行。</w:t>
      </w:r>
    </w:p>
    <w:p>
      <w:pPr>
        <w:pStyle w:val="19"/>
        <w:shd w:val="clear" w:color="auto" w:fill="FFFFFF"/>
        <w:spacing w:before="0" w:beforeAutospacing="0" w:after="0" w:afterAutospacing="0" w:line="360" w:lineRule="auto"/>
        <w:ind w:firstLine="480" w:firstLineChars="200"/>
        <w:jc w:val="right"/>
        <w:rPr>
          <w:rFonts w:hint="eastAsia"/>
        </w:rPr>
      </w:pPr>
      <w:r>
        <w:rPr>
          <w:rFonts w:hint="eastAsia"/>
        </w:rPr>
        <w:t>财政部 民政部 中国残疾人联合会</w:t>
      </w:r>
    </w:p>
    <w:p>
      <w:pPr>
        <w:pStyle w:val="19"/>
        <w:shd w:val="clear" w:color="auto" w:fill="FFFFFF"/>
        <w:spacing w:before="0" w:beforeAutospacing="0" w:after="0" w:afterAutospacing="0" w:line="360" w:lineRule="auto"/>
        <w:ind w:firstLine="480" w:firstLineChars="200"/>
        <w:jc w:val="right"/>
        <w:rPr>
          <w:rFonts w:hint="eastAsia"/>
        </w:rPr>
      </w:pPr>
      <w:r>
        <w:rPr>
          <w:rFonts w:hint="eastAsia"/>
        </w:rPr>
        <w:t>2017年8月22日</w:t>
      </w:r>
    </w:p>
    <w:p>
      <w:pPr>
        <w:pStyle w:val="35"/>
        <w:shd w:val="clear" w:color="auto" w:fill="FFFFFF"/>
        <w:spacing w:before="0" w:beforeAutospacing="0" w:after="0" w:afterAutospacing="0" w:line="360" w:lineRule="auto"/>
        <w:jc w:val="both"/>
        <w:rPr>
          <w:rFonts w:hint="eastAsia"/>
        </w:rPr>
      </w:pPr>
    </w:p>
    <w:p>
      <w:pPr>
        <w:pStyle w:val="35"/>
        <w:shd w:val="clear" w:color="auto" w:fill="FFFFFF"/>
        <w:spacing w:before="0" w:beforeAutospacing="0" w:after="0" w:afterAutospacing="0" w:line="360" w:lineRule="auto"/>
        <w:jc w:val="both"/>
        <w:rPr>
          <w:rFonts w:hint="eastAsia"/>
        </w:rPr>
      </w:pPr>
    </w:p>
    <w:p>
      <w:pPr>
        <w:pStyle w:val="35"/>
        <w:shd w:val="clear" w:color="auto" w:fill="FFFFFF"/>
        <w:spacing w:before="0" w:beforeAutospacing="0" w:after="0" w:afterAutospacing="0" w:line="360" w:lineRule="auto"/>
        <w:jc w:val="both"/>
        <w:rPr>
          <w:rFonts w:hint="eastAsia"/>
        </w:rPr>
      </w:pPr>
    </w:p>
    <w:p>
      <w:pPr>
        <w:pStyle w:val="35"/>
        <w:shd w:val="clear" w:color="auto" w:fill="FFFFFF"/>
        <w:spacing w:before="0" w:beforeAutospacing="0" w:after="0" w:afterAutospacing="0" w:line="360" w:lineRule="auto"/>
        <w:jc w:val="both"/>
        <w:rPr>
          <w:rFonts w:hint="eastAsia"/>
        </w:rPr>
      </w:pPr>
    </w:p>
    <w:p>
      <w:pPr>
        <w:pStyle w:val="35"/>
        <w:shd w:val="clear" w:color="auto" w:fill="FFFFFF"/>
        <w:spacing w:before="0" w:beforeAutospacing="0" w:after="0" w:afterAutospacing="0" w:line="360" w:lineRule="auto"/>
        <w:jc w:val="both"/>
        <w:rPr>
          <w:rFonts w:hint="eastAsia"/>
        </w:rPr>
      </w:pPr>
    </w:p>
    <w:p>
      <w:pPr>
        <w:pStyle w:val="35"/>
        <w:shd w:val="clear" w:color="auto" w:fill="FFFFFF"/>
        <w:spacing w:before="0" w:beforeAutospacing="0" w:after="0" w:afterAutospacing="0" w:line="360" w:lineRule="auto"/>
        <w:jc w:val="both"/>
        <w:rPr>
          <w:rFonts w:hint="eastAsia"/>
        </w:rPr>
      </w:pPr>
    </w:p>
    <w:p>
      <w:r>
        <w:rPr>
          <w:rFonts w:hint="eastAsia"/>
        </w:rPr>
        <w:br w:type="page"/>
      </w:r>
    </w:p>
    <w:p>
      <w:pPr>
        <w:pStyle w:val="35"/>
        <w:shd w:val="clear" w:color="auto" w:fill="FFFFFF"/>
        <w:spacing w:before="0" w:beforeAutospacing="0" w:after="0" w:afterAutospacing="0" w:line="360" w:lineRule="auto"/>
        <w:jc w:val="both"/>
        <w:rPr>
          <w:rFonts w:hint="eastAsia"/>
        </w:rPr>
      </w:pPr>
      <w:r>
        <w:rPr>
          <w:rFonts w:hint="eastAsia"/>
        </w:rPr>
        <w:t>附件：</w:t>
      </w:r>
    </w:p>
    <w:p>
      <w:pPr>
        <w:pStyle w:val="35"/>
        <w:shd w:val="clear" w:color="auto" w:fill="FFFFFF"/>
        <w:spacing w:before="0" w:beforeAutospacing="0" w:after="0" w:afterAutospacing="0" w:line="360" w:lineRule="auto"/>
        <w:ind w:firstLine="482" w:firstLineChars="200"/>
        <w:jc w:val="center"/>
        <w:rPr>
          <w:rFonts w:hint="eastAsia"/>
        </w:rPr>
      </w:pPr>
      <w:r>
        <w:rPr>
          <w:rStyle w:val="36"/>
          <w:rFonts w:hint="eastAsia"/>
          <w:b/>
          <w:bCs/>
        </w:rPr>
        <w:t>残疾人福利性单位声明函</w:t>
      </w:r>
    </w:p>
    <w:p>
      <w:pPr>
        <w:pStyle w:val="35"/>
        <w:shd w:val="clear" w:color="auto" w:fill="FFFFFF"/>
        <w:spacing w:before="0" w:beforeAutospacing="0" w:after="0" w:afterAutospacing="0" w:line="360" w:lineRule="auto"/>
        <w:ind w:firstLine="480" w:firstLineChars="200"/>
        <w:jc w:val="both"/>
        <w:rPr>
          <w:rFonts w:hint="eastAsia"/>
        </w:rPr>
      </w:pPr>
    </w:p>
    <w:p>
      <w:pPr>
        <w:pStyle w:val="35"/>
        <w:shd w:val="clear" w:color="auto" w:fill="FFFFFF"/>
        <w:spacing w:before="0" w:beforeAutospacing="0" w:after="0" w:afterAutospacing="0" w:line="360" w:lineRule="auto"/>
        <w:ind w:firstLine="480" w:firstLineChars="200"/>
        <w:jc w:val="both"/>
        <w:rPr>
          <w:rFonts w:hint="eastAsia"/>
        </w:rPr>
      </w:pPr>
      <w:r>
        <w:rPr>
          <w:rStyle w:val="36"/>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5"/>
        <w:shd w:val="clear" w:color="auto" w:fill="FFFFFF"/>
        <w:spacing w:before="0" w:beforeAutospacing="0" w:after="0" w:afterAutospacing="0" w:line="360" w:lineRule="auto"/>
        <w:ind w:firstLine="480" w:firstLineChars="200"/>
        <w:jc w:val="both"/>
        <w:rPr>
          <w:rFonts w:hint="eastAsia"/>
        </w:rPr>
      </w:pPr>
      <w:r>
        <w:rPr>
          <w:rStyle w:val="36"/>
          <w:rFonts w:hint="eastAsia"/>
        </w:rPr>
        <w:t>本单位对上述声明的真实性负责。如有虚假，将依法承担相应责任。</w:t>
      </w:r>
    </w:p>
    <w:p>
      <w:pPr>
        <w:pStyle w:val="35"/>
        <w:shd w:val="clear" w:color="auto" w:fill="FFFFFF"/>
        <w:spacing w:before="0" w:beforeAutospacing="0" w:after="0" w:afterAutospacing="0" w:line="360" w:lineRule="auto"/>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35"/>
        <w:shd w:val="clear" w:color="auto" w:fill="FFFFFF"/>
        <w:spacing w:before="0" w:beforeAutospacing="0" w:after="0" w:afterAutospacing="0" w:line="360" w:lineRule="auto"/>
        <w:ind w:firstLine="480" w:firstLineChars="200"/>
        <w:jc w:val="both"/>
        <w:rPr>
          <w:rFonts w:hint="eastAsia"/>
        </w:rPr>
      </w:pPr>
    </w:p>
    <w:p>
      <w:pPr>
        <w:pStyle w:val="35"/>
        <w:shd w:val="clear" w:color="auto" w:fill="FFFFFF"/>
        <w:spacing w:before="0" w:beforeAutospacing="0" w:after="0" w:afterAutospacing="0" w:line="360" w:lineRule="auto"/>
        <w:ind w:right="2100" w:rightChars="1000"/>
        <w:jc w:val="right"/>
        <w:rPr>
          <w:rFonts w:hint="eastAsia"/>
        </w:rPr>
      </w:pPr>
      <w:r>
        <w:rPr>
          <w:rStyle w:val="36"/>
          <w:rFonts w:hint="eastAsia"/>
        </w:rPr>
        <w:t>单位名称（盖章）：</w:t>
      </w:r>
    </w:p>
    <w:p>
      <w:pPr>
        <w:pStyle w:val="35"/>
        <w:shd w:val="clear" w:color="auto" w:fill="FFFFFF"/>
        <w:spacing w:before="0" w:beforeAutospacing="0" w:after="0" w:afterAutospacing="0" w:line="360" w:lineRule="auto"/>
        <w:ind w:right="2100" w:rightChars="1000"/>
        <w:jc w:val="right"/>
        <w:rPr>
          <w:rFonts w:hint="eastAsia"/>
          <w:lang w:val="fr-CH"/>
        </w:rPr>
      </w:pPr>
      <w:r>
        <w:rPr>
          <w:rStyle w:val="36"/>
          <w:rFonts w:hint="eastAsia"/>
        </w:rPr>
        <w:t>日 期：</w:t>
      </w:r>
    </w:p>
    <w:p>
      <w:pPr>
        <w:tabs>
          <w:tab w:val="left" w:pos="640"/>
          <w:tab w:val="left" w:pos="1260"/>
          <w:tab w:val="left" w:pos="1418"/>
        </w:tabs>
        <w:spacing w:line="360" w:lineRule="auto"/>
        <w:ind w:right="-420" w:rightChars="-200"/>
        <w:rPr>
          <w:rFonts w:hint="eastAsia" w:ascii="宋体" w:hAnsi="宋体" w:cs="宋体"/>
          <w:sz w:val="24"/>
          <w:lang w:val="fr-CH"/>
        </w:rPr>
      </w:pPr>
    </w:p>
    <w:p/>
    <w:sectPr>
      <w:headerReference r:id="rId9" w:type="first"/>
      <w:headerReference r:id="rId7" w:type="default"/>
      <w:headerReference r:id="rId8"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right"/>
                          </w:pPr>
                          <w:r>
                            <w:rPr>
                              <w:rFonts w:ascii="宋体" w:hAnsi="宋体"/>
                              <w:sz w:val="28"/>
                              <w:szCs w:val="28"/>
                            </w:rPr>
                            <w:t xml:space="preserve">- </w:t>
                          </w:r>
                          <w:r>
                            <w:rPr>
                              <w:rFonts w:ascii="宋体" w:hAnsi="宋体"/>
                              <w:sz w:val="28"/>
                              <w:szCs w:val="28"/>
                            </w:rPr>
                            <w:fldChar w:fldCharType="begin"/>
                          </w:r>
                          <w:r>
                            <w:rPr>
                              <w:rStyle w:val="27"/>
                              <w:rFonts w:ascii="宋体" w:hAnsi="宋体"/>
                              <w:sz w:val="28"/>
                              <w:szCs w:val="28"/>
                            </w:rPr>
                            <w:instrText xml:space="preserve">PAGE  </w:instrText>
                          </w:r>
                          <w:r>
                            <w:rPr>
                              <w:rFonts w:ascii="宋体" w:hAnsi="宋体"/>
                              <w:sz w:val="28"/>
                              <w:szCs w:val="28"/>
                            </w:rPr>
                            <w:fldChar w:fldCharType="separate"/>
                          </w:r>
                          <w:r>
                            <w:rPr>
                              <w:rStyle w:val="27"/>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jc w:val="right"/>
                    </w:pPr>
                    <w:r>
                      <w:rPr>
                        <w:rFonts w:ascii="宋体" w:hAnsi="宋体"/>
                        <w:sz w:val="28"/>
                        <w:szCs w:val="28"/>
                      </w:rPr>
                      <w:t xml:space="preserve">- </w:t>
                    </w:r>
                    <w:r>
                      <w:rPr>
                        <w:rFonts w:ascii="宋体" w:hAnsi="宋体"/>
                        <w:sz w:val="28"/>
                        <w:szCs w:val="28"/>
                      </w:rPr>
                      <w:fldChar w:fldCharType="begin"/>
                    </w:r>
                    <w:r>
                      <w:rPr>
                        <w:rStyle w:val="27"/>
                        <w:rFonts w:ascii="宋体" w:hAnsi="宋体"/>
                        <w:sz w:val="28"/>
                        <w:szCs w:val="28"/>
                      </w:rPr>
                      <w:instrText xml:space="preserve">PAGE  </w:instrText>
                    </w:r>
                    <w:r>
                      <w:rPr>
                        <w:rFonts w:ascii="宋体" w:hAnsi="宋体"/>
                        <w:sz w:val="28"/>
                        <w:szCs w:val="28"/>
                      </w:rPr>
                      <w:fldChar w:fldCharType="separate"/>
                    </w:r>
                    <w:r>
                      <w:rPr>
                        <w:rStyle w:val="27"/>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7"/>
        <w:rFonts w:ascii="宋体" w:hAnsi="宋体"/>
        <w:sz w:val="28"/>
        <w:szCs w:val="28"/>
      </w:rPr>
      <w:instrText xml:space="preserve">PAGE  </w:instrText>
    </w:r>
    <w:r>
      <w:rPr>
        <w:rFonts w:ascii="宋体" w:hAnsi="宋体"/>
        <w:sz w:val="28"/>
        <w:szCs w:val="28"/>
      </w:rPr>
      <w:fldChar w:fldCharType="separate"/>
    </w:r>
    <w:r>
      <w:rPr>
        <w:rStyle w:val="27"/>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7"/>
      </w:rPr>
    </w:pPr>
    <w:r>
      <w:fldChar w:fldCharType="begin"/>
    </w:r>
    <w:r>
      <w:rPr>
        <w:rStyle w:val="27"/>
      </w:rPr>
      <w:instrText xml:space="preserve">PAGE  </w:instrText>
    </w:r>
    <w:r>
      <w:fldChar w:fldCharType="separate"/>
    </w:r>
    <w:r>
      <w:rPr>
        <w:rStyle w:val="27"/>
      </w:rPr>
      <w:t>12</w:t>
    </w:r>
    <w:r>
      <w:fldChar w:fldCharType="end"/>
    </w:r>
  </w:p>
  <w:p>
    <w:pPr>
      <w:pStyle w:val="1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7"/>
      </w:rPr>
    </w:pPr>
    <w:r>
      <w:fldChar w:fldCharType="begin"/>
    </w:r>
    <w:r>
      <w:rPr>
        <w:rStyle w:val="27"/>
      </w:rPr>
      <w:instrText xml:space="preserve">PAGE  </w:instrText>
    </w:r>
    <w:r>
      <w:fldChar w:fldCharType="separate"/>
    </w:r>
    <w:r>
      <w:rPr>
        <w:rStyle w:val="27"/>
      </w:rPr>
      <w:t>12</w:t>
    </w:r>
    <w: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A77657F5"/>
    <w:multiLevelType w:val="singleLevel"/>
    <w:tmpl w:val="A77657F5"/>
    <w:lvl w:ilvl="0" w:tentative="0">
      <w:start w:val="1"/>
      <w:numFmt w:val="decimal"/>
      <w:suff w:val="nothing"/>
      <w:lvlText w:val="（%1）"/>
      <w:lvlJc w:val="left"/>
    </w:lvl>
  </w:abstractNum>
  <w:abstractNum w:abstractNumId="2">
    <w:nsid w:val="E2BE74A2"/>
    <w:multiLevelType w:val="singleLevel"/>
    <w:tmpl w:val="E2BE74A2"/>
    <w:lvl w:ilvl="0" w:tentative="0">
      <w:start w:val="1"/>
      <w:numFmt w:val="chineseCounting"/>
      <w:suff w:val="nothing"/>
      <w:lvlText w:val="%1、"/>
      <w:lvlJc w:val="left"/>
      <w:rPr>
        <w:rFonts w:hint="eastAsia"/>
      </w:rPr>
    </w:lvl>
  </w:abstractNum>
  <w:abstractNum w:abstractNumId="3">
    <w:nsid w:val="147E6560"/>
    <w:multiLevelType w:val="multilevel"/>
    <w:tmpl w:val="147E6560"/>
    <w:lvl w:ilvl="0" w:tentative="0">
      <w:start w:val="1"/>
      <w:numFmt w:val="chineseCountingThousand"/>
      <w:pStyle w:val="45"/>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5">
    <w:nsid w:val="5E1D57DD"/>
    <w:multiLevelType w:val="multilevel"/>
    <w:tmpl w:val="5E1D57DD"/>
    <w:lvl w:ilvl="0" w:tentative="0">
      <w:start w:val="1"/>
      <w:numFmt w:val="chineseCountingThousand"/>
      <w:pStyle w:val="22"/>
      <w:lvlText w:val="%1、"/>
      <w:lvlJc w:val="left"/>
      <w:pPr>
        <w:ind w:left="900" w:hanging="420"/>
      </w:pPr>
      <w:rPr>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7">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5"/>
  </w:num>
  <w:num w:numId="2">
    <w:abstractNumId w:val="3"/>
  </w:num>
  <w:num w:numId="3">
    <w:abstractNumId w:val="7"/>
  </w:num>
  <w:num w:numId="4">
    <w:abstractNumId w:val="1"/>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002D9F"/>
    <w:rsid w:val="000B0E5E"/>
    <w:rsid w:val="00102FCF"/>
    <w:rsid w:val="00127819"/>
    <w:rsid w:val="00172A27"/>
    <w:rsid w:val="001D18BD"/>
    <w:rsid w:val="001D3334"/>
    <w:rsid w:val="001E733B"/>
    <w:rsid w:val="002D3A6D"/>
    <w:rsid w:val="00352C0C"/>
    <w:rsid w:val="00427844"/>
    <w:rsid w:val="00523433"/>
    <w:rsid w:val="00531F14"/>
    <w:rsid w:val="005B0D49"/>
    <w:rsid w:val="00621A13"/>
    <w:rsid w:val="00770252"/>
    <w:rsid w:val="007A52F5"/>
    <w:rsid w:val="00821404"/>
    <w:rsid w:val="00A94A02"/>
    <w:rsid w:val="00B7098E"/>
    <w:rsid w:val="00C26D89"/>
    <w:rsid w:val="00D05268"/>
    <w:rsid w:val="00E04AD1"/>
    <w:rsid w:val="00E75D82"/>
    <w:rsid w:val="010C37B8"/>
    <w:rsid w:val="015D12C3"/>
    <w:rsid w:val="016F05E9"/>
    <w:rsid w:val="01A11967"/>
    <w:rsid w:val="01BD17FD"/>
    <w:rsid w:val="02B9090A"/>
    <w:rsid w:val="02BD3216"/>
    <w:rsid w:val="031107FC"/>
    <w:rsid w:val="03344889"/>
    <w:rsid w:val="03510688"/>
    <w:rsid w:val="03C80805"/>
    <w:rsid w:val="04220A01"/>
    <w:rsid w:val="049A4077"/>
    <w:rsid w:val="05024E58"/>
    <w:rsid w:val="05690583"/>
    <w:rsid w:val="05D84CA5"/>
    <w:rsid w:val="05EB2641"/>
    <w:rsid w:val="063313B4"/>
    <w:rsid w:val="07552703"/>
    <w:rsid w:val="077AF5D6"/>
    <w:rsid w:val="07D06FDE"/>
    <w:rsid w:val="07DB29DD"/>
    <w:rsid w:val="085A6660"/>
    <w:rsid w:val="086A2F6F"/>
    <w:rsid w:val="088C4E09"/>
    <w:rsid w:val="08C71150"/>
    <w:rsid w:val="08D34DD9"/>
    <w:rsid w:val="09A36B41"/>
    <w:rsid w:val="0A183285"/>
    <w:rsid w:val="0B1A27AE"/>
    <w:rsid w:val="0B30205B"/>
    <w:rsid w:val="0B9650E5"/>
    <w:rsid w:val="0BCC6A37"/>
    <w:rsid w:val="0BD45EF5"/>
    <w:rsid w:val="0BF67D6A"/>
    <w:rsid w:val="0C4D7368"/>
    <w:rsid w:val="0C6C4A39"/>
    <w:rsid w:val="0CCB3933"/>
    <w:rsid w:val="0D376BE5"/>
    <w:rsid w:val="0DB46393"/>
    <w:rsid w:val="0DBFF8A4"/>
    <w:rsid w:val="0E0636C2"/>
    <w:rsid w:val="0E541CB6"/>
    <w:rsid w:val="0F226313"/>
    <w:rsid w:val="0F260153"/>
    <w:rsid w:val="0F742F92"/>
    <w:rsid w:val="0F9B909F"/>
    <w:rsid w:val="0FA94F43"/>
    <w:rsid w:val="0FBC28CC"/>
    <w:rsid w:val="0FFE3C2D"/>
    <w:rsid w:val="10762E0F"/>
    <w:rsid w:val="10AD7059"/>
    <w:rsid w:val="10C12E9A"/>
    <w:rsid w:val="12117034"/>
    <w:rsid w:val="122F0D51"/>
    <w:rsid w:val="126D9995"/>
    <w:rsid w:val="12EA61D9"/>
    <w:rsid w:val="12ED74B0"/>
    <w:rsid w:val="12F47908"/>
    <w:rsid w:val="135E5FA2"/>
    <w:rsid w:val="13BB0907"/>
    <w:rsid w:val="140D3389"/>
    <w:rsid w:val="15297246"/>
    <w:rsid w:val="156E66B6"/>
    <w:rsid w:val="15787C5B"/>
    <w:rsid w:val="162D45A8"/>
    <w:rsid w:val="168B5553"/>
    <w:rsid w:val="1717300A"/>
    <w:rsid w:val="175D30A4"/>
    <w:rsid w:val="17733D36"/>
    <w:rsid w:val="178E628A"/>
    <w:rsid w:val="17974DC1"/>
    <w:rsid w:val="1797A8E8"/>
    <w:rsid w:val="17AFCD58"/>
    <w:rsid w:val="17BF9709"/>
    <w:rsid w:val="17DFB82A"/>
    <w:rsid w:val="17E41A7D"/>
    <w:rsid w:val="17F917F2"/>
    <w:rsid w:val="18235CAA"/>
    <w:rsid w:val="18270E2D"/>
    <w:rsid w:val="18B65219"/>
    <w:rsid w:val="18BD7EDC"/>
    <w:rsid w:val="19724F00"/>
    <w:rsid w:val="198C2042"/>
    <w:rsid w:val="199D0E65"/>
    <w:rsid w:val="19D86C84"/>
    <w:rsid w:val="19FA3545"/>
    <w:rsid w:val="1A035868"/>
    <w:rsid w:val="1A4947FA"/>
    <w:rsid w:val="1A827038"/>
    <w:rsid w:val="1AD3361A"/>
    <w:rsid w:val="1AF56CB1"/>
    <w:rsid w:val="1B1D4692"/>
    <w:rsid w:val="1B3C173F"/>
    <w:rsid w:val="1B7F54A3"/>
    <w:rsid w:val="1B7FF535"/>
    <w:rsid w:val="1BBFE1C1"/>
    <w:rsid w:val="1BFDEAE4"/>
    <w:rsid w:val="1BFFE856"/>
    <w:rsid w:val="1C1F5136"/>
    <w:rsid w:val="1C215235"/>
    <w:rsid w:val="1CAF6DFF"/>
    <w:rsid w:val="1CBF97F2"/>
    <w:rsid w:val="1D9A259A"/>
    <w:rsid w:val="1DEBDB17"/>
    <w:rsid w:val="1E7EB620"/>
    <w:rsid w:val="1E8D5784"/>
    <w:rsid w:val="1E8E7398"/>
    <w:rsid w:val="1EDD6EA9"/>
    <w:rsid w:val="1EF7CA78"/>
    <w:rsid w:val="1EFF6F72"/>
    <w:rsid w:val="1F0A406F"/>
    <w:rsid w:val="1F1D05E3"/>
    <w:rsid w:val="1F25C25A"/>
    <w:rsid w:val="1F3670F2"/>
    <w:rsid w:val="1F5BAC61"/>
    <w:rsid w:val="1F5D2FD1"/>
    <w:rsid w:val="1F6EF29D"/>
    <w:rsid w:val="1F7F4BF3"/>
    <w:rsid w:val="1FAFF4B3"/>
    <w:rsid w:val="1FB7081D"/>
    <w:rsid w:val="1FBAC58D"/>
    <w:rsid w:val="1FBBF8DB"/>
    <w:rsid w:val="1FD6A300"/>
    <w:rsid w:val="1FD96C40"/>
    <w:rsid w:val="1FFF9FA2"/>
    <w:rsid w:val="207865DF"/>
    <w:rsid w:val="20A4382C"/>
    <w:rsid w:val="213740D6"/>
    <w:rsid w:val="216300BC"/>
    <w:rsid w:val="2185500C"/>
    <w:rsid w:val="21A92B96"/>
    <w:rsid w:val="22150314"/>
    <w:rsid w:val="22502157"/>
    <w:rsid w:val="2260669D"/>
    <w:rsid w:val="227D45A9"/>
    <w:rsid w:val="229C4054"/>
    <w:rsid w:val="22E21BC4"/>
    <w:rsid w:val="2374556A"/>
    <w:rsid w:val="23BF0D43"/>
    <w:rsid w:val="23D13C15"/>
    <w:rsid w:val="23D64C00"/>
    <w:rsid w:val="24495099"/>
    <w:rsid w:val="248D3582"/>
    <w:rsid w:val="25747400"/>
    <w:rsid w:val="25801095"/>
    <w:rsid w:val="25D977F1"/>
    <w:rsid w:val="260D2D7B"/>
    <w:rsid w:val="263C7034"/>
    <w:rsid w:val="2675E140"/>
    <w:rsid w:val="26E2701C"/>
    <w:rsid w:val="271C5A1C"/>
    <w:rsid w:val="271F938A"/>
    <w:rsid w:val="2734033D"/>
    <w:rsid w:val="27636103"/>
    <w:rsid w:val="27BE2A52"/>
    <w:rsid w:val="27E880B4"/>
    <w:rsid w:val="27F26299"/>
    <w:rsid w:val="27F55E0F"/>
    <w:rsid w:val="27FE33CE"/>
    <w:rsid w:val="28641D7B"/>
    <w:rsid w:val="286533D6"/>
    <w:rsid w:val="28977EA2"/>
    <w:rsid w:val="289A3AA3"/>
    <w:rsid w:val="29A1025D"/>
    <w:rsid w:val="2A3F4BF5"/>
    <w:rsid w:val="2AADC391"/>
    <w:rsid w:val="2AAF4215"/>
    <w:rsid w:val="2AB928BF"/>
    <w:rsid w:val="2ADF707C"/>
    <w:rsid w:val="2AF54989"/>
    <w:rsid w:val="2B2B082F"/>
    <w:rsid w:val="2B7D0165"/>
    <w:rsid w:val="2BB9C8F2"/>
    <w:rsid w:val="2BFB6E8B"/>
    <w:rsid w:val="2BFFB032"/>
    <w:rsid w:val="2C4F242F"/>
    <w:rsid w:val="2C5FE643"/>
    <w:rsid w:val="2C667A3B"/>
    <w:rsid w:val="2C7C2E07"/>
    <w:rsid w:val="2D8C184B"/>
    <w:rsid w:val="2DAE0518"/>
    <w:rsid w:val="2DC86A18"/>
    <w:rsid w:val="2DDF7CF0"/>
    <w:rsid w:val="2DFF5839"/>
    <w:rsid w:val="2E3E806D"/>
    <w:rsid w:val="2E5F5866"/>
    <w:rsid w:val="2E8B55C3"/>
    <w:rsid w:val="2EBC3384"/>
    <w:rsid w:val="2EEF79C5"/>
    <w:rsid w:val="2EF45D6A"/>
    <w:rsid w:val="2EF7EE3A"/>
    <w:rsid w:val="2F32348A"/>
    <w:rsid w:val="2F4C0476"/>
    <w:rsid w:val="2F6F2DA0"/>
    <w:rsid w:val="2F6F565C"/>
    <w:rsid w:val="2F7FF788"/>
    <w:rsid w:val="2F9B0E34"/>
    <w:rsid w:val="2FB77A4C"/>
    <w:rsid w:val="2FEAA120"/>
    <w:rsid w:val="2FFDCAA5"/>
    <w:rsid w:val="302F2868"/>
    <w:rsid w:val="308A48AC"/>
    <w:rsid w:val="310061F3"/>
    <w:rsid w:val="317F7117"/>
    <w:rsid w:val="319B575E"/>
    <w:rsid w:val="31B72E5C"/>
    <w:rsid w:val="32AE6949"/>
    <w:rsid w:val="32F40FD3"/>
    <w:rsid w:val="32F977F1"/>
    <w:rsid w:val="32FF0317"/>
    <w:rsid w:val="337AE2D6"/>
    <w:rsid w:val="33DEF139"/>
    <w:rsid w:val="33E52AA0"/>
    <w:rsid w:val="33E7B344"/>
    <w:rsid w:val="33F915CE"/>
    <w:rsid w:val="33F9C19C"/>
    <w:rsid w:val="346DC6E6"/>
    <w:rsid w:val="34D5481E"/>
    <w:rsid w:val="3535527B"/>
    <w:rsid w:val="35E75334"/>
    <w:rsid w:val="35EB6C31"/>
    <w:rsid w:val="35F7ACF4"/>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607A0E"/>
    <w:rsid w:val="38791C4D"/>
    <w:rsid w:val="38A96204"/>
    <w:rsid w:val="38DCE36B"/>
    <w:rsid w:val="3948288A"/>
    <w:rsid w:val="397B1CE6"/>
    <w:rsid w:val="397E758C"/>
    <w:rsid w:val="399333C8"/>
    <w:rsid w:val="3A456D67"/>
    <w:rsid w:val="3A626B85"/>
    <w:rsid w:val="3A8F174A"/>
    <w:rsid w:val="3AC2456D"/>
    <w:rsid w:val="3AF774CA"/>
    <w:rsid w:val="3AFF7B57"/>
    <w:rsid w:val="3B3FC881"/>
    <w:rsid w:val="3B6E5B2D"/>
    <w:rsid w:val="3B7905A1"/>
    <w:rsid w:val="3B7BF8D1"/>
    <w:rsid w:val="3B93441B"/>
    <w:rsid w:val="3BF3F690"/>
    <w:rsid w:val="3BFFAFAC"/>
    <w:rsid w:val="3C0223B7"/>
    <w:rsid w:val="3C6FA9D3"/>
    <w:rsid w:val="3C9FAAB0"/>
    <w:rsid w:val="3CBF52AA"/>
    <w:rsid w:val="3CFC7333"/>
    <w:rsid w:val="3D146668"/>
    <w:rsid w:val="3D2820AB"/>
    <w:rsid w:val="3D5358A8"/>
    <w:rsid w:val="3D6F35BF"/>
    <w:rsid w:val="3D84435C"/>
    <w:rsid w:val="3DB03A24"/>
    <w:rsid w:val="3DBDE794"/>
    <w:rsid w:val="3DBFC698"/>
    <w:rsid w:val="3DDF4999"/>
    <w:rsid w:val="3DEAAE5D"/>
    <w:rsid w:val="3DFEF73F"/>
    <w:rsid w:val="3E31A9C9"/>
    <w:rsid w:val="3E9C4DDE"/>
    <w:rsid w:val="3EAA2D67"/>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40226BDD"/>
    <w:rsid w:val="4050335B"/>
    <w:rsid w:val="40810FC8"/>
    <w:rsid w:val="41CF6829"/>
    <w:rsid w:val="42337B3F"/>
    <w:rsid w:val="427D40B5"/>
    <w:rsid w:val="440918F1"/>
    <w:rsid w:val="447D7569"/>
    <w:rsid w:val="44B52210"/>
    <w:rsid w:val="44CB1698"/>
    <w:rsid w:val="44F324D8"/>
    <w:rsid w:val="45296BEC"/>
    <w:rsid w:val="455B5B96"/>
    <w:rsid w:val="459C5D66"/>
    <w:rsid w:val="459E2651"/>
    <w:rsid w:val="459F5CA0"/>
    <w:rsid w:val="45C41A3D"/>
    <w:rsid w:val="462D6801"/>
    <w:rsid w:val="469D7925"/>
    <w:rsid w:val="46EA32A6"/>
    <w:rsid w:val="47053F7C"/>
    <w:rsid w:val="4706073F"/>
    <w:rsid w:val="47775721"/>
    <w:rsid w:val="478563C6"/>
    <w:rsid w:val="47C60945"/>
    <w:rsid w:val="47E9A1A0"/>
    <w:rsid w:val="48002B88"/>
    <w:rsid w:val="480E6DE3"/>
    <w:rsid w:val="484F4B48"/>
    <w:rsid w:val="485F07D8"/>
    <w:rsid w:val="48605FCE"/>
    <w:rsid w:val="48C06477"/>
    <w:rsid w:val="48C3322B"/>
    <w:rsid w:val="48F14BF7"/>
    <w:rsid w:val="4945059D"/>
    <w:rsid w:val="49456CD3"/>
    <w:rsid w:val="49BEA124"/>
    <w:rsid w:val="49CC6CB6"/>
    <w:rsid w:val="49E140B7"/>
    <w:rsid w:val="4A6202EB"/>
    <w:rsid w:val="4A6D4A0F"/>
    <w:rsid w:val="4A7C4FC1"/>
    <w:rsid w:val="4A9A6CAF"/>
    <w:rsid w:val="4A9C5875"/>
    <w:rsid w:val="4AFD4615"/>
    <w:rsid w:val="4B454A0A"/>
    <w:rsid w:val="4B5A3FD8"/>
    <w:rsid w:val="4B887951"/>
    <w:rsid w:val="4BC20883"/>
    <w:rsid w:val="4C251B2D"/>
    <w:rsid w:val="4CF92E7B"/>
    <w:rsid w:val="4CFB6B2C"/>
    <w:rsid w:val="4D1DB812"/>
    <w:rsid w:val="4D357CE0"/>
    <w:rsid w:val="4DAFC284"/>
    <w:rsid w:val="4DBB3E33"/>
    <w:rsid w:val="4DE3154B"/>
    <w:rsid w:val="4DF5D2BF"/>
    <w:rsid w:val="4E5655E3"/>
    <w:rsid w:val="4ECD7EB5"/>
    <w:rsid w:val="4EDE35AC"/>
    <w:rsid w:val="4F640F18"/>
    <w:rsid w:val="4F7E3902"/>
    <w:rsid w:val="4F9A44F8"/>
    <w:rsid w:val="4F9F214B"/>
    <w:rsid w:val="4FF395E6"/>
    <w:rsid w:val="4FFA569E"/>
    <w:rsid w:val="4FFF7B66"/>
    <w:rsid w:val="51487335"/>
    <w:rsid w:val="51BCFBE2"/>
    <w:rsid w:val="51E01C33"/>
    <w:rsid w:val="51E44568"/>
    <w:rsid w:val="51F15DFD"/>
    <w:rsid w:val="51FF628E"/>
    <w:rsid w:val="522BBFAA"/>
    <w:rsid w:val="522D533A"/>
    <w:rsid w:val="53252976"/>
    <w:rsid w:val="533A303E"/>
    <w:rsid w:val="53401509"/>
    <w:rsid w:val="53543ED7"/>
    <w:rsid w:val="536433D3"/>
    <w:rsid w:val="536F6462"/>
    <w:rsid w:val="53BD2119"/>
    <w:rsid w:val="547C1168"/>
    <w:rsid w:val="549324D8"/>
    <w:rsid w:val="54C469E3"/>
    <w:rsid w:val="553C7A36"/>
    <w:rsid w:val="5567BD2F"/>
    <w:rsid w:val="557D857A"/>
    <w:rsid w:val="557F84E0"/>
    <w:rsid w:val="55992B5C"/>
    <w:rsid w:val="55A211BE"/>
    <w:rsid w:val="55E7D38E"/>
    <w:rsid w:val="55F80356"/>
    <w:rsid w:val="55FF196E"/>
    <w:rsid w:val="567B2EA4"/>
    <w:rsid w:val="56C7BF65"/>
    <w:rsid w:val="56DEF74B"/>
    <w:rsid w:val="56F52AF0"/>
    <w:rsid w:val="57380BEA"/>
    <w:rsid w:val="575DDB48"/>
    <w:rsid w:val="57A782E9"/>
    <w:rsid w:val="57A927F5"/>
    <w:rsid w:val="57BD2EED"/>
    <w:rsid w:val="57BFE2CB"/>
    <w:rsid w:val="57F758DB"/>
    <w:rsid w:val="57F83E05"/>
    <w:rsid w:val="57FF3DFF"/>
    <w:rsid w:val="57FF4AD2"/>
    <w:rsid w:val="57FFB7BC"/>
    <w:rsid w:val="585A0DAA"/>
    <w:rsid w:val="58E55E64"/>
    <w:rsid w:val="593739B8"/>
    <w:rsid w:val="593E081A"/>
    <w:rsid w:val="59C9319A"/>
    <w:rsid w:val="59D63A74"/>
    <w:rsid w:val="59D714F6"/>
    <w:rsid w:val="59DFFD93"/>
    <w:rsid w:val="59EF1DFC"/>
    <w:rsid w:val="5A4947D3"/>
    <w:rsid w:val="5ABB1050"/>
    <w:rsid w:val="5AF93469"/>
    <w:rsid w:val="5B3B3860"/>
    <w:rsid w:val="5B5D2F92"/>
    <w:rsid w:val="5B7DDC28"/>
    <w:rsid w:val="5B7F624A"/>
    <w:rsid w:val="5BAF68EF"/>
    <w:rsid w:val="5BE72AE1"/>
    <w:rsid w:val="5BEB75A4"/>
    <w:rsid w:val="5BF42BBB"/>
    <w:rsid w:val="5BFFD5F5"/>
    <w:rsid w:val="5CF634E9"/>
    <w:rsid w:val="5D355CB4"/>
    <w:rsid w:val="5D5D99E9"/>
    <w:rsid w:val="5D7FC7C9"/>
    <w:rsid w:val="5D9952E5"/>
    <w:rsid w:val="5D9A46F0"/>
    <w:rsid w:val="5DAD523C"/>
    <w:rsid w:val="5DAF0801"/>
    <w:rsid w:val="5DE3477F"/>
    <w:rsid w:val="5DEE2A2A"/>
    <w:rsid w:val="5DEEFCE9"/>
    <w:rsid w:val="5DF7BECE"/>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F2D046E"/>
    <w:rsid w:val="5F3C7A35"/>
    <w:rsid w:val="5F3EE51C"/>
    <w:rsid w:val="5F4E1719"/>
    <w:rsid w:val="5F4ED10A"/>
    <w:rsid w:val="5F622E52"/>
    <w:rsid w:val="5F7D5BE8"/>
    <w:rsid w:val="5F7F3DD2"/>
    <w:rsid w:val="5F7F49C8"/>
    <w:rsid w:val="5FA01D10"/>
    <w:rsid w:val="5FA77A2C"/>
    <w:rsid w:val="5FDF10FF"/>
    <w:rsid w:val="5FDFE6D0"/>
    <w:rsid w:val="5FED422E"/>
    <w:rsid w:val="5FF48D17"/>
    <w:rsid w:val="5FF6893A"/>
    <w:rsid w:val="5FF8AACB"/>
    <w:rsid w:val="5FFB4E30"/>
    <w:rsid w:val="5FFB4F3D"/>
    <w:rsid w:val="5FFD8CB0"/>
    <w:rsid w:val="5FFF5037"/>
    <w:rsid w:val="5FFFE862"/>
    <w:rsid w:val="607D3748"/>
    <w:rsid w:val="610C3A9C"/>
    <w:rsid w:val="611B38AB"/>
    <w:rsid w:val="615C31E8"/>
    <w:rsid w:val="61B62DA1"/>
    <w:rsid w:val="61FF5178"/>
    <w:rsid w:val="6243437A"/>
    <w:rsid w:val="62616D7C"/>
    <w:rsid w:val="628D14F2"/>
    <w:rsid w:val="62BD4574"/>
    <w:rsid w:val="6325773C"/>
    <w:rsid w:val="634C1706"/>
    <w:rsid w:val="63B63069"/>
    <w:rsid w:val="63E57C7D"/>
    <w:rsid w:val="64C200F2"/>
    <w:rsid w:val="64F57139"/>
    <w:rsid w:val="65655C60"/>
    <w:rsid w:val="6593F782"/>
    <w:rsid w:val="65BE74B1"/>
    <w:rsid w:val="65FD1E19"/>
    <w:rsid w:val="65FE0871"/>
    <w:rsid w:val="6609095A"/>
    <w:rsid w:val="66390EEC"/>
    <w:rsid w:val="66613576"/>
    <w:rsid w:val="66720F9F"/>
    <w:rsid w:val="66BB5DAD"/>
    <w:rsid w:val="66E7865B"/>
    <w:rsid w:val="66F7B9BD"/>
    <w:rsid w:val="66FF70F4"/>
    <w:rsid w:val="672F4BD5"/>
    <w:rsid w:val="67A30EFF"/>
    <w:rsid w:val="67CD7F64"/>
    <w:rsid w:val="67E75822"/>
    <w:rsid w:val="67FBCA81"/>
    <w:rsid w:val="67FEC540"/>
    <w:rsid w:val="67FF8842"/>
    <w:rsid w:val="68174789"/>
    <w:rsid w:val="688B16B1"/>
    <w:rsid w:val="692A7449"/>
    <w:rsid w:val="696D3286"/>
    <w:rsid w:val="6A4176E3"/>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4C7A62"/>
    <w:rsid w:val="6C7B0821"/>
    <w:rsid w:val="6C7F72AC"/>
    <w:rsid w:val="6C892D57"/>
    <w:rsid w:val="6CE16F10"/>
    <w:rsid w:val="6CF9A775"/>
    <w:rsid w:val="6D5050C7"/>
    <w:rsid w:val="6DBDB722"/>
    <w:rsid w:val="6DDFE8A4"/>
    <w:rsid w:val="6DF5168E"/>
    <w:rsid w:val="6DFF2102"/>
    <w:rsid w:val="6E4C4A24"/>
    <w:rsid w:val="6E6B3D34"/>
    <w:rsid w:val="6E7E4B13"/>
    <w:rsid w:val="6EAF2D51"/>
    <w:rsid w:val="6EB255EB"/>
    <w:rsid w:val="6ED72C6E"/>
    <w:rsid w:val="6EE10092"/>
    <w:rsid w:val="6EFDCD2D"/>
    <w:rsid w:val="6EFF612F"/>
    <w:rsid w:val="6F18680E"/>
    <w:rsid w:val="6F1F37FC"/>
    <w:rsid w:val="6F59F9E4"/>
    <w:rsid w:val="6F5FAB1B"/>
    <w:rsid w:val="6F81415B"/>
    <w:rsid w:val="6F8E58D6"/>
    <w:rsid w:val="6FB35245"/>
    <w:rsid w:val="6FB86FC2"/>
    <w:rsid w:val="6FCE7B7A"/>
    <w:rsid w:val="6FCF2F80"/>
    <w:rsid w:val="6FD5E567"/>
    <w:rsid w:val="6FDBF1A1"/>
    <w:rsid w:val="6FDCF403"/>
    <w:rsid w:val="6FE6ECA6"/>
    <w:rsid w:val="6FEC0EF8"/>
    <w:rsid w:val="6FEE3D9A"/>
    <w:rsid w:val="6FEF3E9F"/>
    <w:rsid w:val="6FFD0C97"/>
    <w:rsid w:val="6FFD15F0"/>
    <w:rsid w:val="6FFECEB9"/>
    <w:rsid w:val="6FFF08FD"/>
    <w:rsid w:val="6FFF45DC"/>
    <w:rsid w:val="7080499D"/>
    <w:rsid w:val="7082711C"/>
    <w:rsid w:val="70BB46D5"/>
    <w:rsid w:val="70C236C4"/>
    <w:rsid w:val="70F12FC6"/>
    <w:rsid w:val="713F17D9"/>
    <w:rsid w:val="71AC1F64"/>
    <w:rsid w:val="71BF5DB7"/>
    <w:rsid w:val="71E85758"/>
    <w:rsid w:val="72100F31"/>
    <w:rsid w:val="72445F08"/>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E1108C"/>
    <w:rsid w:val="73F5007A"/>
    <w:rsid w:val="73FB3523"/>
    <w:rsid w:val="73FEB008"/>
    <w:rsid w:val="73FF3C21"/>
    <w:rsid w:val="74077D93"/>
    <w:rsid w:val="743F2389"/>
    <w:rsid w:val="74AE9EF4"/>
    <w:rsid w:val="74B15673"/>
    <w:rsid w:val="74FE88D1"/>
    <w:rsid w:val="750B3103"/>
    <w:rsid w:val="757B8C15"/>
    <w:rsid w:val="75B556EC"/>
    <w:rsid w:val="75B7E9C3"/>
    <w:rsid w:val="75DE6D1A"/>
    <w:rsid w:val="75E13102"/>
    <w:rsid w:val="75FF3FD3"/>
    <w:rsid w:val="7688309F"/>
    <w:rsid w:val="769E28CC"/>
    <w:rsid w:val="76A43029"/>
    <w:rsid w:val="76CFB604"/>
    <w:rsid w:val="76EB13C1"/>
    <w:rsid w:val="76EF4444"/>
    <w:rsid w:val="76FB10EB"/>
    <w:rsid w:val="76FD926B"/>
    <w:rsid w:val="76FF9977"/>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F2FBE"/>
    <w:rsid w:val="78781E10"/>
    <w:rsid w:val="7972DF47"/>
    <w:rsid w:val="797BCC08"/>
    <w:rsid w:val="799E691A"/>
    <w:rsid w:val="799F4D91"/>
    <w:rsid w:val="79BA2FEC"/>
    <w:rsid w:val="79DA45DF"/>
    <w:rsid w:val="79EF2068"/>
    <w:rsid w:val="79EFC2ED"/>
    <w:rsid w:val="79FF532C"/>
    <w:rsid w:val="7A3EA76F"/>
    <w:rsid w:val="7A6BC49B"/>
    <w:rsid w:val="7A7719EE"/>
    <w:rsid w:val="7AF1A2F4"/>
    <w:rsid w:val="7AF66DB7"/>
    <w:rsid w:val="7B0D6371"/>
    <w:rsid w:val="7B180978"/>
    <w:rsid w:val="7B1DA959"/>
    <w:rsid w:val="7B3D1ACD"/>
    <w:rsid w:val="7B6F9C79"/>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3F1A46"/>
    <w:rsid w:val="7C6BE0FE"/>
    <w:rsid w:val="7C6E1534"/>
    <w:rsid w:val="7C7531B8"/>
    <w:rsid w:val="7C7B6AC3"/>
    <w:rsid w:val="7C7BA9C8"/>
    <w:rsid w:val="7C897EC8"/>
    <w:rsid w:val="7C9BD21E"/>
    <w:rsid w:val="7CA02A6A"/>
    <w:rsid w:val="7CD30860"/>
    <w:rsid w:val="7CF5B1E8"/>
    <w:rsid w:val="7CF71E25"/>
    <w:rsid w:val="7CF78C98"/>
    <w:rsid w:val="7CFF5EAB"/>
    <w:rsid w:val="7D518BB4"/>
    <w:rsid w:val="7D57321B"/>
    <w:rsid w:val="7D5B5C79"/>
    <w:rsid w:val="7D770A6F"/>
    <w:rsid w:val="7D7F1A16"/>
    <w:rsid w:val="7D9C1EA2"/>
    <w:rsid w:val="7DBAE706"/>
    <w:rsid w:val="7DBF3103"/>
    <w:rsid w:val="7DC8B4CE"/>
    <w:rsid w:val="7DCD2E4C"/>
    <w:rsid w:val="7DCFFCA0"/>
    <w:rsid w:val="7DDE5D37"/>
    <w:rsid w:val="7DDE6C1C"/>
    <w:rsid w:val="7DDF1479"/>
    <w:rsid w:val="7DDFEE3A"/>
    <w:rsid w:val="7DEF67DA"/>
    <w:rsid w:val="7DF2C0B3"/>
    <w:rsid w:val="7DF65F5D"/>
    <w:rsid w:val="7DF74A7A"/>
    <w:rsid w:val="7DFB68E7"/>
    <w:rsid w:val="7DFBCA38"/>
    <w:rsid w:val="7DFC33CF"/>
    <w:rsid w:val="7DFE35DE"/>
    <w:rsid w:val="7DFEBE00"/>
    <w:rsid w:val="7DFF875B"/>
    <w:rsid w:val="7E396F10"/>
    <w:rsid w:val="7E3E3C12"/>
    <w:rsid w:val="7E3F688E"/>
    <w:rsid w:val="7E9F9FFA"/>
    <w:rsid w:val="7EA1C8FE"/>
    <w:rsid w:val="7EB588E9"/>
    <w:rsid w:val="7ECFC5A0"/>
    <w:rsid w:val="7EDF81E0"/>
    <w:rsid w:val="7EDFB9CE"/>
    <w:rsid w:val="7EF4280A"/>
    <w:rsid w:val="7EF73F35"/>
    <w:rsid w:val="7EFA749D"/>
    <w:rsid w:val="7EFD617A"/>
    <w:rsid w:val="7EFDD9F4"/>
    <w:rsid w:val="7F153A07"/>
    <w:rsid w:val="7F4F6B62"/>
    <w:rsid w:val="7F557C0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E8C4A"/>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F7EAC5"/>
    <w:rsid w:val="BCFF8224"/>
    <w:rsid w:val="BD5F71F8"/>
    <w:rsid w:val="BDBB51BC"/>
    <w:rsid w:val="BDCD8A47"/>
    <w:rsid w:val="BDD73F79"/>
    <w:rsid w:val="BDDD276F"/>
    <w:rsid w:val="BDF4583F"/>
    <w:rsid w:val="BDFF82DD"/>
    <w:rsid w:val="BDFF9C0A"/>
    <w:rsid w:val="BDFFB145"/>
    <w:rsid w:val="BE7F2934"/>
    <w:rsid w:val="BEB7A52F"/>
    <w:rsid w:val="BEBB644F"/>
    <w:rsid w:val="BEEF5CAA"/>
    <w:rsid w:val="BF0F4D57"/>
    <w:rsid w:val="BF7731A6"/>
    <w:rsid w:val="BF985636"/>
    <w:rsid w:val="BFA7DD1D"/>
    <w:rsid w:val="BFAF6995"/>
    <w:rsid w:val="BFB0D57C"/>
    <w:rsid w:val="BFB5637C"/>
    <w:rsid w:val="BFBFCCCE"/>
    <w:rsid w:val="BFD107FA"/>
    <w:rsid w:val="BFDFC4F6"/>
    <w:rsid w:val="BFDFF1B1"/>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AEF9B63"/>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EF944D"/>
    <w:rsid w:val="EEF71889"/>
    <w:rsid w:val="EF3B3245"/>
    <w:rsid w:val="EF3E9F91"/>
    <w:rsid w:val="EFA6CFAA"/>
    <w:rsid w:val="EFBE6AA5"/>
    <w:rsid w:val="EFBE85D3"/>
    <w:rsid w:val="EFD45404"/>
    <w:rsid w:val="EFDEA483"/>
    <w:rsid w:val="EFEA1677"/>
    <w:rsid w:val="EFEFC1FF"/>
    <w:rsid w:val="EFEFDEF6"/>
    <w:rsid w:val="EFF3A15E"/>
    <w:rsid w:val="EFF76733"/>
    <w:rsid w:val="EFFEF48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3F5FEB"/>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8E636"/>
    <w:rsid w:val="FF7BC82F"/>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71634"/>
    <w:rsid w:val="FFF7C9A4"/>
    <w:rsid w:val="FFF7DDB7"/>
    <w:rsid w:val="FFF91262"/>
    <w:rsid w:val="FFFD3583"/>
    <w:rsid w:val="FFFD5BAF"/>
    <w:rsid w:val="FFFDAABC"/>
    <w:rsid w:val="FFFDE7A9"/>
    <w:rsid w:val="FFFE0131"/>
    <w:rsid w:val="FFFF1242"/>
    <w:rsid w:val="FFFF287C"/>
    <w:rsid w:val="FFFFB1D7"/>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7">
    <w:name w:val="heading 3"/>
    <w:basedOn w:val="1"/>
    <w:next w:val="1"/>
    <w:qFormat/>
    <w:uiPriority w:val="0"/>
    <w:pPr>
      <w:keepNext/>
      <w:keepLines/>
      <w:spacing w:before="260" w:after="260" w:line="415" w:lineRule="auto"/>
      <w:outlineLvl w:val="2"/>
    </w:pPr>
    <w:rPr>
      <w:b/>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格式"/>
    <w:basedOn w:val="3"/>
    <w:next w:val="1"/>
    <w:qFormat/>
    <w:uiPriority w:val="99"/>
    <w:pPr>
      <w:spacing w:after="0" w:line="360" w:lineRule="auto"/>
      <w:ind w:left="0" w:leftChars="0" w:firstLine="600"/>
    </w:pPr>
    <w:rPr>
      <w:rFonts w:eastAsia="仿宋_GB2312"/>
      <w:sz w:val="30"/>
      <w:szCs w:val="30"/>
    </w:rPr>
  </w:style>
  <w:style w:type="paragraph" w:styleId="3">
    <w:name w:val="Body Text Indent"/>
    <w:basedOn w:val="1"/>
    <w:next w:val="4"/>
    <w:link w:val="40"/>
    <w:unhideWhenUsed/>
    <w:qFormat/>
    <w:uiPriority w:val="99"/>
    <w:pPr>
      <w:spacing w:after="120"/>
      <w:ind w:left="420" w:leftChars="200"/>
    </w:pPr>
    <w:rPr>
      <w:kern w:val="0"/>
      <w:sz w:val="20"/>
      <w:szCs w:val="20"/>
    </w:rPr>
  </w:style>
  <w:style w:type="paragraph" w:styleId="4">
    <w:name w:val="envelope return"/>
    <w:basedOn w:val="1"/>
    <w:qFormat/>
    <w:uiPriority w:val="0"/>
    <w:pPr>
      <w:tabs>
        <w:tab w:val="left" w:pos="426"/>
      </w:tabs>
    </w:pPr>
    <w:rPr>
      <w:rFonts w:ascii="Arial" w:hAnsi="Arial"/>
    </w:rPr>
  </w:style>
  <w:style w:type="paragraph" w:styleId="8">
    <w:name w:val="Normal Indent"/>
    <w:basedOn w:val="1"/>
    <w:next w:val="9"/>
    <w:qFormat/>
    <w:uiPriority w:val="0"/>
    <w:pPr>
      <w:ind w:firstLine="420" w:firstLineChars="200"/>
    </w:pPr>
    <w:rPr>
      <w:szCs w:val="20"/>
    </w:rPr>
  </w:style>
  <w:style w:type="paragraph" w:styleId="9">
    <w:name w:val="Body Text"/>
    <w:basedOn w:val="1"/>
    <w:next w:val="1"/>
    <w:link w:val="38"/>
    <w:unhideWhenUsed/>
    <w:qFormat/>
    <w:uiPriority w:val="99"/>
    <w:pPr>
      <w:spacing w:after="120"/>
    </w:pPr>
  </w:style>
  <w:style w:type="paragraph" w:styleId="10">
    <w:name w:val="annotation text"/>
    <w:basedOn w:val="1"/>
    <w:unhideWhenUsed/>
    <w:qFormat/>
    <w:uiPriority w:val="0"/>
    <w:pPr>
      <w:jc w:val="left"/>
    </w:pPr>
    <w:rPr>
      <w:szCs w:val="21"/>
    </w:rPr>
  </w:style>
  <w:style w:type="paragraph" w:styleId="11">
    <w:name w:val="Block Text"/>
    <w:basedOn w:val="1"/>
    <w:unhideWhenUsed/>
    <w:qFormat/>
    <w:uiPriority w:val="99"/>
    <w:pPr>
      <w:spacing w:after="120"/>
      <w:ind w:left="1440" w:leftChars="700" w:right="1440" w:rightChars="700"/>
    </w:pPr>
  </w:style>
  <w:style w:type="paragraph" w:styleId="12">
    <w:name w:val="Plain Text"/>
    <w:basedOn w:val="1"/>
    <w:qFormat/>
    <w:uiPriority w:val="0"/>
    <w:rPr>
      <w:rFonts w:ascii="宋体" w:hAnsi="Courier New"/>
    </w:rPr>
  </w:style>
  <w:style w:type="paragraph" w:styleId="13">
    <w:name w:val="Balloon Text"/>
    <w:basedOn w:val="1"/>
    <w:link w:val="37"/>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List"/>
    <w:basedOn w:val="1"/>
    <w:qFormat/>
    <w:uiPriority w:val="0"/>
    <w:pPr>
      <w:ind w:left="200" w:hanging="200" w:hangingChars="200"/>
    </w:pPr>
    <w:rPr>
      <w:rFonts w:ascii="Calibri" w:hAnsi="Calibri"/>
      <w:szCs w:val="20"/>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spacing w:before="240" w:after="60"/>
      <w:jc w:val="center"/>
      <w:outlineLvl w:val="0"/>
    </w:pPr>
    <w:rPr>
      <w:rFonts w:ascii="Arial" w:hAnsi="Arial" w:eastAsia="隶书"/>
      <w:b/>
      <w:bCs/>
      <w:sz w:val="32"/>
      <w:szCs w:val="32"/>
    </w:rPr>
  </w:style>
  <w:style w:type="paragraph" w:styleId="21">
    <w:name w:val="Body Text First Indent"/>
    <w:basedOn w:val="9"/>
    <w:qFormat/>
    <w:uiPriority w:val="0"/>
    <w:pPr>
      <w:ind w:firstLine="420" w:firstLineChars="100"/>
    </w:pPr>
  </w:style>
  <w:style w:type="paragraph" w:styleId="22">
    <w:name w:val="Body Text First Indent 2"/>
    <w:basedOn w:val="3"/>
    <w:next w:val="17"/>
    <w:qFormat/>
    <w:uiPriority w:val="0"/>
    <w:pPr>
      <w:numPr>
        <w:ilvl w:val="0"/>
        <w:numId w:val="1"/>
      </w:numPr>
      <w:tabs>
        <w:tab w:val="left" w:pos="1050"/>
        <w:tab w:val="left" w:pos="2040"/>
      </w:tabs>
      <w:ind w:left="420" w:firstLine="420" w:firstLineChars="200"/>
    </w:pPr>
    <w:rPr>
      <w:rFonts w:ascii="Calibri" w:hAnsi="Calibri"/>
    </w:rPr>
  </w:style>
  <w:style w:type="table" w:styleId="24">
    <w:name w:val="Table Grid"/>
    <w:basedOn w:val="23"/>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qFormat/>
    <w:uiPriority w:val="0"/>
    <w:rPr>
      <w:b/>
    </w:rPr>
  </w:style>
  <w:style w:type="character" w:styleId="27">
    <w:name w:val="page number"/>
    <w:qFormat/>
    <w:uiPriority w:val="0"/>
  </w:style>
  <w:style w:type="character" w:styleId="28">
    <w:name w:val="annotation reference"/>
    <w:unhideWhenUsed/>
    <w:qFormat/>
    <w:uiPriority w:val="0"/>
    <w:rPr>
      <w:sz w:val="21"/>
      <w:szCs w:val="21"/>
    </w:rPr>
  </w:style>
  <w:style w:type="paragraph" w:customStyle="1" w:styleId="29">
    <w:name w:val="表格文字"/>
    <w:basedOn w:val="1"/>
    <w:next w:val="1"/>
    <w:qFormat/>
    <w:uiPriority w:val="0"/>
    <w:pPr>
      <w:spacing w:before="25" w:after="25"/>
      <w:jc w:val="left"/>
    </w:pPr>
    <w:rPr>
      <w:spacing w:val="10"/>
      <w:kern w:val="0"/>
      <w:sz w:val="24"/>
      <w:szCs w:val="20"/>
    </w:rPr>
  </w:style>
  <w:style w:type="paragraph" w:styleId="30">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2">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33">
    <w:name w:val="列出段落2"/>
    <w:basedOn w:val="1"/>
    <w:qFormat/>
    <w:uiPriority w:val="34"/>
    <w:pPr>
      <w:ind w:firstLine="420" w:firstLineChars="200"/>
    </w:pPr>
  </w:style>
  <w:style w:type="paragraph" w:customStyle="1" w:styleId="34">
    <w:name w:val="Table Paragraph"/>
    <w:basedOn w:val="1"/>
    <w:qFormat/>
    <w:uiPriority w:val="0"/>
    <w:pPr>
      <w:autoSpaceDE w:val="0"/>
      <w:autoSpaceDN w:val="0"/>
      <w:jc w:val="left"/>
    </w:pPr>
    <w:rPr>
      <w:rFonts w:ascii="宋体" w:hAnsi="宋体" w:cs="宋体"/>
      <w:kern w:val="0"/>
      <w:sz w:val="22"/>
      <w:szCs w:val="22"/>
    </w:rPr>
  </w:style>
  <w:style w:type="paragraph" w:customStyle="1" w:styleId="35">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6">
    <w:name w:val="qowt-font5-gb2312"/>
    <w:qFormat/>
    <w:uiPriority w:val="0"/>
  </w:style>
  <w:style w:type="character" w:customStyle="1" w:styleId="37">
    <w:name w:val="批注框文本 字符"/>
    <w:basedOn w:val="25"/>
    <w:link w:val="13"/>
    <w:qFormat/>
    <w:uiPriority w:val="0"/>
    <w:rPr>
      <w:kern w:val="2"/>
      <w:sz w:val="18"/>
      <w:szCs w:val="18"/>
    </w:rPr>
  </w:style>
  <w:style w:type="character" w:customStyle="1" w:styleId="38">
    <w:name w:val="正文文本 字符"/>
    <w:basedOn w:val="25"/>
    <w:link w:val="9"/>
    <w:qFormat/>
    <w:uiPriority w:val="99"/>
    <w:rPr>
      <w:kern w:val="2"/>
      <w:sz w:val="21"/>
      <w:szCs w:val="24"/>
    </w:rPr>
  </w:style>
  <w:style w:type="paragraph" w:customStyle="1" w:styleId="39">
    <w:name w:val="msolistparagraph"/>
    <w:basedOn w:val="1"/>
    <w:qFormat/>
    <w:uiPriority w:val="0"/>
    <w:pPr>
      <w:ind w:firstLine="420" w:firstLineChars="200"/>
    </w:pPr>
  </w:style>
  <w:style w:type="character" w:customStyle="1" w:styleId="40">
    <w:name w:val="正文文本缩进 字符"/>
    <w:link w:val="3"/>
    <w:semiHidden/>
    <w:qFormat/>
    <w:uiPriority w:val="99"/>
    <w:rPr>
      <w:kern w:val="0"/>
      <w:sz w:val="20"/>
      <w:szCs w:val="20"/>
    </w:rPr>
  </w:style>
  <w:style w:type="paragraph" w:customStyle="1" w:styleId="4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2">
    <w:name w:val="List Paragraph"/>
    <w:basedOn w:val="1"/>
    <w:qFormat/>
    <w:uiPriority w:val="34"/>
    <w:pPr>
      <w:ind w:firstLine="420" w:firstLineChars="200"/>
    </w:pPr>
  </w:style>
  <w:style w:type="paragraph" w:customStyle="1" w:styleId="43">
    <w:name w:val="9前海 标题"/>
    <w:basedOn w:val="1"/>
    <w:next w:val="44"/>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4">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5">
    <w:name w:val="1级标题"/>
    <w:basedOn w:val="1"/>
    <w:next w:val="46"/>
    <w:qFormat/>
    <w:uiPriority w:val="0"/>
    <w:pPr>
      <w:numPr>
        <w:ilvl w:val="0"/>
        <w:numId w:val="2"/>
      </w:numPr>
      <w:spacing w:line="560" w:lineRule="exact"/>
      <w:ind w:left="0" w:firstLine="640" w:firstLineChars="200"/>
      <w:outlineLvl w:val="0"/>
    </w:pPr>
    <w:rPr>
      <w:rFonts w:ascii="黑体" w:hAnsi="黑体" w:eastAsia="黑体" w:cs="Arial"/>
      <w:sz w:val="32"/>
      <w:szCs w:val="32"/>
    </w:rPr>
  </w:style>
  <w:style w:type="paragraph" w:customStyle="1" w:styleId="46">
    <w:name w:val="9前海 正文"/>
    <w:basedOn w:val="44"/>
    <w:qFormat/>
    <w:uiPriority w:val="0"/>
    <w:pPr>
      <w:ind w:firstLine="640"/>
    </w:pPr>
    <w:rPr>
      <w:rFonts w:ascii="仿宋_GB2312" w:eastAsia="仿宋_GB2312"/>
    </w:rPr>
  </w:style>
  <w:style w:type="paragraph" w:customStyle="1" w:styleId="47">
    <w:name w:val="2级标题"/>
    <w:basedOn w:val="46"/>
    <w:next w:val="46"/>
    <w:qFormat/>
    <w:uiPriority w:val="0"/>
    <w:pPr>
      <w:ind w:firstLine="643"/>
      <w:outlineLvl w:val="1"/>
    </w:pPr>
    <w:rPr>
      <w:rFonts w:ascii="楷体_GB2312" w:hAnsi="楷体" w:eastAsia="楷体_GB2312"/>
      <w:b/>
    </w:rPr>
  </w:style>
  <w:style w:type="character" w:customStyle="1" w:styleId="48">
    <w:name w:val="15"/>
    <w:basedOn w:val="25"/>
    <w:qFormat/>
    <w:uiPriority w:val="0"/>
    <w:rPr>
      <w:rFonts w:hint="default" w:ascii="Times New Roman" w:hAnsi="Times New Roman" w:cs="Times New Roman"/>
    </w:rPr>
  </w:style>
  <w:style w:type="paragraph" w:customStyle="1" w:styleId="4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20701</Words>
  <Characters>21211</Characters>
  <Lines>4235</Lines>
  <Paragraphs>2137</Paragraphs>
  <TotalTime>66</TotalTime>
  <ScaleCrop>false</ScaleCrop>
  <LinksUpToDate>false</LinksUpToDate>
  <CharactersWithSpaces>21629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2023-09-29T12:34:00Z</dcterms:created>
  <dc:creator>黄雅静</dc:creator>
  <cp:lastModifiedBy>黎俊</cp:lastModifiedBy>
  <cp:lastPrinted>2023-11-13T11:12:00Z</cp:lastPrinted>
  <dcterms:modified xsi:type="dcterms:W3CDTF">2025-10-20T06:19:00Z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3C9B86CEE5CB45808EFBC205CC39F672_13</vt:lpwstr>
  </property>
  <property fmtid="{D5CDD505-2E9C-101B-9397-08002B2CF9AE}" pid="4" name="KSOTemplateDocerSaveRecord">
    <vt:lpwstr>eyJoZGlkIjoiMWViNjU1YjYxMmE1ZjA1ZGI4YzZiMWU4ZDg3Zjk4MWMiLCJ1c2VySWQiOiIxNDg2ODI2MzgyIn0=</vt:lpwstr>
  </property>
</Properties>
</file>