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A7E04">
      <w:pPr>
        <w:pStyle w:val="6"/>
        <w:ind w:firstLine="960"/>
        <w:jc w:val="center"/>
        <w:rPr>
          <w:sz w:val="48"/>
          <w:szCs w:val="48"/>
        </w:rPr>
      </w:pPr>
    </w:p>
    <w:p w14:paraId="28A85F07">
      <w:pPr>
        <w:jc w:val="center"/>
        <w:rPr>
          <w:b/>
          <w:sz w:val="48"/>
          <w:szCs w:val="48"/>
        </w:rPr>
      </w:pPr>
    </w:p>
    <w:p w14:paraId="311C60E5">
      <w:pPr>
        <w:jc w:val="center"/>
        <w:rPr>
          <w:b/>
          <w:sz w:val="48"/>
          <w:szCs w:val="48"/>
        </w:rPr>
      </w:pPr>
      <w:r>
        <w:rPr>
          <w:rFonts w:hint="eastAsia"/>
          <w:b/>
          <w:sz w:val="48"/>
          <w:szCs w:val="48"/>
        </w:rPr>
        <w:t>南山区住房和建设局采购</w:t>
      </w:r>
    </w:p>
    <w:p w14:paraId="7983A741">
      <w:pPr>
        <w:jc w:val="center"/>
        <w:rPr>
          <w:b/>
          <w:sz w:val="48"/>
          <w:szCs w:val="48"/>
        </w:rPr>
      </w:pPr>
      <w:r>
        <w:rPr>
          <w:b/>
          <w:sz w:val="48"/>
          <w:szCs w:val="48"/>
          <w:u w:val="single"/>
        </w:rPr>
        <w:t>202</w:t>
      </w:r>
      <w:r>
        <w:rPr>
          <w:rFonts w:hint="eastAsia"/>
          <w:b/>
          <w:sz w:val="48"/>
          <w:szCs w:val="48"/>
          <w:u w:val="single"/>
          <w:lang w:val="en-US" w:eastAsia="zh-CN"/>
        </w:rPr>
        <w:t>5</w:t>
      </w:r>
      <w:r>
        <w:rPr>
          <w:b/>
          <w:sz w:val="48"/>
          <w:szCs w:val="48"/>
          <w:u w:val="single"/>
        </w:rPr>
        <w:t>年</w:t>
      </w:r>
      <w:r>
        <w:rPr>
          <w:rFonts w:hint="eastAsia"/>
          <w:b/>
          <w:sz w:val="48"/>
          <w:szCs w:val="48"/>
          <w:u w:val="single"/>
        </w:rPr>
        <w:t>南山区城市体检技术服务</w:t>
      </w:r>
      <w:r>
        <w:rPr>
          <w:rFonts w:hint="eastAsia"/>
          <w:b/>
          <w:sz w:val="48"/>
          <w:szCs w:val="48"/>
        </w:rPr>
        <w:t>项目</w:t>
      </w:r>
    </w:p>
    <w:p w14:paraId="68A738CE">
      <w:pPr>
        <w:jc w:val="center"/>
        <w:rPr>
          <w:b/>
          <w:sz w:val="48"/>
          <w:szCs w:val="48"/>
        </w:rPr>
      </w:pPr>
      <w:r>
        <w:rPr>
          <w:rFonts w:hint="eastAsia"/>
          <w:b/>
          <w:sz w:val="48"/>
          <w:szCs w:val="48"/>
        </w:rPr>
        <w:t>招标文件</w:t>
      </w:r>
    </w:p>
    <w:p w14:paraId="798836EA">
      <w:pPr>
        <w:pStyle w:val="15"/>
        <w:tabs>
          <w:tab w:val="left" w:pos="6276"/>
        </w:tabs>
        <w:jc w:val="left"/>
        <w:outlineLvl w:val="1"/>
        <w:rPr>
          <w:rFonts w:hint="eastAsia" w:ascii="黑体" w:hAnsi="黑体" w:eastAsia="黑体"/>
          <w:sz w:val="48"/>
          <w:szCs w:val="48"/>
          <w:lang w:eastAsia="zh-CN"/>
        </w:rPr>
      </w:pPr>
      <w:r>
        <w:rPr>
          <w:rFonts w:hint="eastAsia" w:ascii="黑体" w:hAnsi="黑体" w:eastAsia="黑体"/>
          <w:sz w:val="48"/>
          <w:szCs w:val="48"/>
          <w:lang w:eastAsia="zh-CN"/>
        </w:rPr>
        <w:tab/>
      </w:r>
    </w:p>
    <w:p w14:paraId="2C8DF585">
      <w:pPr>
        <w:pStyle w:val="15"/>
        <w:jc w:val="center"/>
        <w:outlineLvl w:val="1"/>
        <w:rPr>
          <w:rFonts w:ascii="黑体" w:hAnsi="黑体" w:eastAsia="黑体"/>
          <w:sz w:val="48"/>
          <w:szCs w:val="48"/>
        </w:rPr>
      </w:pPr>
    </w:p>
    <w:tbl>
      <w:tblPr>
        <w:tblStyle w:val="19"/>
        <w:tblW w:w="7938" w:type="dxa"/>
        <w:jc w:val="center"/>
        <w:tblCellSpacing w:w="0" w:type="dxa"/>
        <w:tblLayout w:type="fixed"/>
        <w:tblCellMar>
          <w:top w:w="36" w:type="dxa"/>
          <w:left w:w="36" w:type="dxa"/>
          <w:bottom w:w="36" w:type="dxa"/>
          <w:right w:w="36" w:type="dxa"/>
        </w:tblCellMar>
      </w:tblPr>
      <w:tblGrid>
        <w:gridCol w:w="2108"/>
        <w:gridCol w:w="5830"/>
      </w:tblGrid>
      <w:tr w14:paraId="3ECE2361">
        <w:tblPrEx>
          <w:tblCellMar>
            <w:top w:w="36" w:type="dxa"/>
            <w:left w:w="36" w:type="dxa"/>
            <w:bottom w:w="36" w:type="dxa"/>
            <w:right w:w="36" w:type="dxa"/>
          </w:tblCellMar>
        </w:tblPrEx>
        <w:trPr>
          <w:trHeight w:val="737" w:hRule="atLeast"/>
          <w:tblCellSpacing w:w="0" w:type="dxa"/>
          <w:jc w:val="center"/>
        </w:trPr>
        <w:tc>
          <w:tcPr>
            <w:tcW w:w="2108" w:type="dxa"/>
            <w:vAlign w:val="center"/>
          </w:tcPr>
          <w:p w14:paraId="0E85C5BD">
            <w:pPr>
              <w:jc w:val="right"/>
              <w:rPr>
                <w:sz w:val="30"/>
                <w:szCs w:val="30"/>
              </w:rPr>
            </w:pPr>
            <w:r>
              <w:rPr>
                <w:sz w:val="30"/>
                <w:szCs w:val="30"/>
              </w:rPr>
              <w:t>项目名称：</w:t>
            </w:r>
          </w:p>
        </w:tc>
        <w:tc>
          <w:tcPr>
            <w:tcW w:w="5830" w:type="dxa"/>
            <w:vAlign w:val="center"/>
          </w:tcPr>
          <w:p w14:paraId="0D3B72E9">
            <w:pPr>
              <w:rPr>
                <w:sz w:val="30"/>
                <w:szCs w:val="30"/>
                <w:u w:val="single"/>
              </w:rPr>
            </w:pPr>
            <w:r>
              <w:rPr>
                <w:sz w:val="30"/>
                <w:szCs w:val="30"/>
                <w:u w:val="single"/>
              </w:rPr>
              <w:t>202</w:t>
            </w:r>
            <w:r>
              <w:rPr>
                <w:rFonts w:hint="eastAsia"/>
                <w:sz w:val="30"/>
                <w:szCs w:val="30"/>
                <w:u w:val="single"/>
                <w:lang w:val="en-US" w:eastAsia="zh-CN"/>
              </w:rPr>
              <w:t>5</w:t>
            </w:r>
            <w:r>
              <w:rPr>
                <w:sz w:val="30"/>
                <w:szCs w:val="30"/>
                <w:u w:val="single"/>
              </w:rPr>
              <w:t>年</w:t>
            </w:r>
            <w:r>
              <w:rPr>
                <w:rFonts w:hint="eastAsia"/>
                <w:sz w:val="30"/>
                <w:szCs w:val="30"/>
                <w:u w:val="single"/>
              </w:rPr>
              <w:t>南山区城市体检技术服务</w:t>
            </w:r>
          </w:p>
        </w:tc>
      </w:tr>
      <w:tr w14:paraId="3C3F4697">
        <w:tblPrEx>
          <w:tblCellMar>
            <w:top w:w="36" w:type="dxa"/>
            <w:left w:w="36" w:type="dxa"/>
            <w:bottom w:w="36" w:type="dxa"/>
            <w:right w:w="36" w:type="dxa"/>
          </w:tblCellMar>
        </w:tblPrEx>
        <w:trPr>
          <w:trHeight w:val="737" w:hRule="atLeast"/>
          <w:tblCellSpacing w:w="0" w:type="dxa"/>
          <w:jc w:val="center"/>
        </w:trPr>
        <w:tc>
          <w:tcPr>
            <w:tcW w:w="2108" w:type="dxa"/>
            <w:vAlign w:val="center"/>
          </w:tcPr>
          <w:p w14:paraId="47D6FCCA">
            <w:pPr>
              <w:jc w:val="right"/>
              <w:rPr>
                <w:sz w:val="30"/>
                <w:szCs w:val="30"/>
              </w:rPr>
            </w:pPr>
            <w:r>
              <w:rPr>
                <w:sz w:val="30"/>
                <w:szCs w:val="30"/>
              </w:rPr>
              <w:t>项目类型：</w:t>
            </w:r>
          </w:p>
        </w:tc>
        <w:tc>
          <w:tcPr>
            <w:tcW w:w="5830" w:type="dxa"/>
            <w:vAlign w:val="center"/>
          </w:tcPr>
          <w:p w14:paraId="4D5E4CB9">
            <w:pPr>
              <w:rPr>
                <w:sz w:val="30"/>
                <w:szCs w:val="30"/>
              </w:rPr>
            </w:pPr>
            <w:r>
              <w:rPr>
                <w:sz w:val="30"/>
                <w:szCs w:val="30"/>
              </w:rPr>
              <w:t>服务类</w:t>
            </w:r>
          </w:p>
        </w:tc>
      </w:tr>
      <w:tr w14:paraId="0E9F47B6">
        <w:tblPrEx>
          <w:tblCellMar>
            <w:top w:w="36" w:type="dxa"/>
            <w:left w:w="36" w:type="dxa"/>
            <w:bottom w:w="36" w:type="dxa"/>
            <w:right w:w="36" w:type="dxa"/>
          </w:tblCellMar>
        </w:tblPrEx>
        <w:trPr>
          <w:trHeight w:val="737" w:hRule="atLeast"/>
          <w:tblCellSpacing w:w="0" w:type="dxa"/>
          <w:jc w:val="center"/>
        </w:trPr>
        <w:tc>
          <w:tcPr>
            <w:tcW w:w="2108" w:type="dxa"/>
            <w:vAlign w:val="center"/>
          </w:tcPr>
          <w:p w14:paraId="5E023C91">
            <w:pPr>
              <w:jc w:val="right"/>
              <w:rPr>
                <w:sz w:val="30"/>
                <w:szCs w:val="30"/>
              </w:rPr>
            </w:pPr>
            <w:r>
              <w:rPr>
                <w:sz w:val="30"/>
                <w:szCs w:val="30"/>
              </w:rPr>
              <w:t>项目</w:t>
            </w:r>
            <w:r>
              <w:rPr>
                <w:rFonts w:hint="eastAsia"/>
                <w:sz w:val="30"/>
                <w:szCs w:val="30"/>
              </w:rPr>
              <w:t>编号</w:t>
            </w:r>
            <w:r>
              <w:rPr>
                <w:sz w:val="30"/>
                <w:szCs w:val="30"/>
              </w:rPr>
              <w:t>：</w:t>
            </w:r>
          </w:p>
        </w:tc>
        <w:tc>
          <w:tcPr>
            <w:tcW w:w="5830" w:type="dxa"/>
            <w:vAlign w:val="center"/>
          </w:tcPr>
          <w:p w14:paraId="59C9F417">
            <w:pPr>
              <w:rPr>
                <w:sz w:val="30"/>
                <w:szCs w:val="30"/>
              </w:rPr>
            </w:pPr>
          </w:p>
        </w:tc>
      </w:tr>
      <w:tr w14:paraId="515605C3">
        <w:tblPrEx>
          <w:tblCellMar>
            <w:top w:w="36" w:type="dxa"/>
            <w:left w:w="36" w:type="dxa"/>
            <w:bottom w:w="36" w:type="dxa"/>
            <w:right w:w="36" w:type="dxa"/>
          </w:tblCellMar>
        </w:tblPrEx>
        <w:trPr>
          <w:trHeight w:val="737" w:hRule="atLeast"/>
          <w:tblCellSpacing w:w="0" w:type="dxa"/>
          <w:jc w:val="center"/>
        </w:trPr>
        <w:tc>
          <w:tcPr>
            <w:tcW w:w="2108" w:type="dxa"/>
            <w:vAlign w:val="center"/>
          </w:tcPr>
          <w:p w14:paraId="3E15728F">
            <w:pPr>
              <w:jc w:val="right"/>
              <w:rPr>
                <w:sz w:val="30"/>
                <w:szCs w:val="30"/>
              </w:rPr>
            </w:pPr>
            <w:r>
              <w:rPr>
                <w:rFonts w:hint="eastAsia"/>
                <w:sz w:val="30"/>
                <w:szCs w:val="30"/>
              </w:rPr>
              <w:t>定</w:t>
            </w:r>
            <w:r>
              <w:rPr>
                <w:sz w:val="30"/>
                <w:szCs w:val="30"/>
              </w:rPr>
              <w:t>标方法：</w:t>
            </w:r>
          </w:p>
        </w:tc>
        <w:tc>
          <w:tcPr>
            <w:tcW w:w="5830" w:type="dxa"/>
            <w:vAlign w:val="center"/>
          </w:tcPr>
          <w:p w14:paraId="409710D0">
            <w:pPr>
              <w:rPr>
                <w:sz w:val="30"/>
                <w:szCs w:val="30"/>
              </w:rPr>
            </w:pPr>
            <w:r>
              <w:rPr>
                <w:sz w:val="30"/>
                <w:szCs w:val="30"/>
              </w:rPr>
              <w:t>综合评分法</w:t>
            </w:r>
          </w:p>
        </w:tc>
      </w:tr>
    </w:tbl>
    <w:p w14:paraId="4AA83FCD">
      <w:pPr>
        <w:widowControl w:val="0"/>
        <w:spacing w:before="156" w:beforeLines="50" w:after="156" w:afterLines="50"/>
        <w:jc w:val="both"/>
        <w:rPr>
          <w:rFonts w:ascii="楷体" w:hAnsi="楷体" w:eastAsia="楷体" w:cs="Times New Roman"/>
          <w:bCs/>
          <w:kern w:val="2"/>
        </w:rPr>
      </w:pPr>
    </w:p>
    <w:p w14:paraId="61E47B09">
      <w:pPr>
        <w:pStyle w:val="6"/>
        <w:ind w:firstLine="0" w:firstLineChars="0"/>
      </w:pPr>
    </w:p>
    <w:p w14:paraId="78A210C2">
      <w:pPr>
        <w:widowControl w:val="0"/>
        <w:spacing w:before="156" w:beforeLines="50" w:after="156" w:afterLines="50"/>
        <w:jc w:val="center"/>
        <w:rPr>
          <w:rFonts w:ascii="楷体" w:hAnsi="楷体" w:eastAsia="楷体" w:cs="Times New Roman"/>
          <w:bCs/>
          <w:kern w:val="2"/>
        </w:rPr>
      </w:pPr>
      <w:r>
        <w:rPr>
          <w:rFonts w:hint="eastAsia" w:ascii="楷体" w:hAnsi="楷体" w:eastAsia="楷体" w:cs="Times New Roman"/>
          <w:bCs/>
          <w:kern w:val="2"/>
        </w:rPr>
        <w:t>南山区住房和建设局 制定</w:t>
      </w:r>
    </w:p>
    <w:p w14:paraId="350EEDE0">
      <w:pPr>
        <w:widowControl w:val="0"/>
        <w:spacing w:before="156" w:beforeLines="50" w:after="156" w:afterLines="50"/>
        <w:jc w:val="center"/>
        <w:rPr>
          <w:rFonts w:hint="eastAsia" w:ascii="楷体" w:hAnsi="楷体" w:eastAsia="楷体" w:cs="Times New Roman"/>
          <w:bCs/>
          <w:kern w:val="2"/>
          <w:u w:val="single"/>
          <w:lang w:val="en-US" w:eastAsia="zh-CN"/>
        </w:rPr>
      </w:pPr>
      <w:r>
        <w:rPr>
          <w:rFonts w:hint="eastAsia" w:ascii="楷体" w:hAnsi="楷体" w:eastAsia="楷体" w:cs="Times New Roman"/>
          <w:bCs/>
          <w:kern w:val="2"/>
        </w:rPr>
        <w:t>二〇二</w:t>
      </w:r>
      <w:r>
        <w:rPr>
          <w:rFonts w:hint="eastAsia" w:ascii="楷体" w:hAnsi="楷体" w:eastAsia="楷体" w:cs="Times New Roman"/>
          <w:bCs/>
          <w:kern w:val="2"/>
          <w:lang w:eastAsia="zh-CN"/>
        </w:rPr>
        <w:t>五</w:t>
      </w:r>
      <w:r>
        <w:rPr>
          <w:rFonts w:hint="eastAsia" w:ascii="楷体" w:hAnsi="楷体" w:eastAsia="楷体" w:cs="Times New Roman"/>
          <w:bCs/>
          <w:kern w:val="2"/>
        </w:rPr>
        <w:t>年</w:t>
      </w:r>
      <w:r>
        <w:rPr>
          <w:rFonts w:ascii="楷体" w:hAnsi="楷体" w:eastAsia="楷体" w:cs="Times New Roman"/>
          <w:bCs/>
          <w:kern w:val="2"/>
          <w:u w:val="single"/>
        </w:rPr>
        <w:t xml:space="preserve"> </w:t>
      </w:r>
      <w:r>
        <w:rPr>
          <w:rFonts w:hint="eastAsia" w:ascii="楷体" w:hAnsi="楷体" w:eastAsia="楷体" w:cs="Times New Roman"/>
          <w:bCs/>
          <w:kern w:val="2"/>
          <w:u w:val="single"/>
          <w:lang w:val="en-US" w:eastAsia="zh-CN"/>
        </w:rPr>
        <w:t>六</w:t>
      </w:r>
      <w:r>
        <w:rPr>
          <w:rFonts w:ascii="楷体" w:hAnsi="楷体" w:eastAsia="楷体" w:cs="Times New Roman"/>
          <w:bCs/>
          <w:kern w:val="2"/>
          <w:u w:val="single"/>
        </w:rPr>
        <w:t xml:space="preserve"> </w:t>
      </w:r>
      <w:r>
        <w:rPr>
          <w:rFonts w:hint="eastAsia" w:ascii="楷体" w:hAnsi="楷体" w:eastAsia="楷体" w:cs="Times New Roman"/>
          <w:bCs/>
          <w:kern w:val="2"/>
          <w:u w:val="single"/>
          <w:lang w:val="en-US" w:eastAsia="zh-CN"/>
        </w:rPr>
        <w:t>月</w:t>
      </w:r>
    </w:p>
    <w:p w14:paraId="4590F092">
      <w:pPr>
        <w:widowControl/>
        <w:spacing w:before="0" w:beforeLines="-2147483648" w:after="0" w:afterLines="-2147483648"/>
        <w:jc w:val="left"/>
        <w:rPr>
          <w:rFonts w:hint="eastAsia" w:ascii="楷体" w:hAnsi="楷体" w:eastAsia="楷体" w:cs="Times New Roman"/>
          <w:bCs/>
          <w:kern w:val="2"/>
          <w:u w:val="single"/>
          <w:lang w:val="en-US" w:eastAsia="zh-CN"/>
        </w:rPr>
      </w:pPr>
      <w:r>
        <w:rPr>
          <w:rFonts w:hint="eastAsia" w:ascii="楷体" w:hAnsi="楷体" w:eastAsia="楷体" w:cs="Times New Roman"/>
          <w:bCs/>
          <w:kern w:val="2"/>
          <w:u w:val="single"/>
          <w:lang w:val="en-US" w:eastAsia="zh-CN"/>
        </w:rPr>
        <w:br w:type="page"/>
      </w:r>
    </w:p>
    <w:p w14:paraId="7CF9D5D6">
      <w:pPr>
        <w:pStyle w:val="2"/>
        <w:rPr>
          <w:rFonts w:hint="eastAsia"/>
          <w:lang w:val="en-US" w:eastAsia="zh-CN"/>
        </w:rPr>
      </w:pPr>
    </w:p>
    <w:p w14:paraId="093CD543">
      <w:pPr>
        <w:pStyle w:val="15"/>
        <w:jc w:val="center"/>
        <w:outlineLvl w:val="1"/>
        <w:rPr>
          <w:rFonts w:ascii="Times New Roman" w:hAnsi="Times New Roman"/>
          <w:b/>
          <w:bCs/>
          <w:kern w:val="44"/>
          <w:sz w:val="32"/>
          <w:szCs w:val="52"/>
        </w:rPr>
      </w:pPr>
      <w:r>
        <w:rPr>
          <w:rFonts w:hint="eastAsia" w:ascii="Times New Roman" w:hAnsi="Times New Roman"/>
          <w:b/>
          <w:bCs/>
          <w:kern w:val="44"/>
          <w:sz w:val="32"/>
          <w:szCs w:val="52"/>
        </w:rPr>
        <w:t>第一章  投标单位的资格要求</w:t>
      </w:r>
    </w:p>
    <w:p w14:paraId="4F6E40D4">
      <w:pPr>
        <w:spacing w:before="156" w:beforeLines="50" w:after="156" w:afterLines="50" w:line="480" w:lineRule="exact"/>
        <w:ind w:firstLine="480" w:firstLineChars="200"/>
      </w:pPr>
      <w:r>
        <w:rPr>
          <w:rFonts w:hint="eastAsia"/>
        </w:rPr>
        <w:t>一、符合《中华人民共和国政府采购法》第二十二条规定。</w:t>
      </w:r>
    </w:p>
    <w:p w14:paraId="3E2C1322">
      <w:pPr>
        <w:spacing w:before="156" w:beforeLines="50" w:after="156" w:afterLines="50" w:line="480" w:lineRule="exact"/>
        <w:ind w:firstLine="480" w:firstLineChars="200"/>
      </w:pPr>
      <w:r>
        <w:rPr>
          <w:rFonts w:hint="eastAsia"/>
        </w:rPr>
        <w:t>二、本项目的特定资格要求：</w:t>
      </w:r>
      <w:r>
        <w:rPr>
          <w:rFonts w:hint="eastAsia"/>
          <w:u w:val="single"/>
        </w:rPr>
        <w:t xml:space="preserve"> 投标人业务范围应包含城乡规划、工程等相关技术咨询范围，须具备城市规划及设计经验 </w:t>
      </w:r>
      <w:r>
        <w:rPr>
          <w:rFonts w:hint="eastAsia"/>
        </w:rPr>
        <w:t>。</w:t>
      </w:r>
    </w:p>
    <w:p w14:paraId="4D420D3E">
      <w:pPr>
        <w:spacing w:before="156" w:beforeLines="50" w:after="156" w:afterLines="50" w:line="480" w:lineRule="exact"/>
        <w:ind w:firstLine="480" w:firstLineChars="200"/>
      </w:pPr>
      <w:r>
        <w:rPr>
          <w:rFonts w:hint="eastAsia"/>
        </w:rPr>
        <w:t>三、落实政府采购政策需满足的资格要求：本项目不属于专门面向特定企业（单位）的采购项目。</w:t>
      </w:r>
    </w:p>
    <w:p w14:paraId="4F051764">
      <w:pPr>
        <w:spacing w:before="156" w:beforeLines="50" w:after="156" w:afterLines="50" w:line="480" w:lineRule="exact"/>
        <w:ind w:firstLine="480" w:firstLineChars="200"/>
      </w:pPr>
      <w:r>
        <w:rPr>
          <w:rFonts w:hint="eastAsia"/>
        </w:rPr>
        <w:t>四、参与本项目政府采购活动时不存在被有关部门禁止参与政府采购活动且在有效期内的情况（由供应商在《政府采购投标及履约承诺函》中作出声明）。</w:t>
      </w:r>
    </w:p>
    <w:p w14:paraId="5971C5F0">
      <w:pPr>
        <w:spacing w:before="156" w:beforeLines="50" w:after="156" w:afterLines="50" w:line="480" w:lineRule="exact"/>
        <w:ind w:firstLine="480" w:firstLineChars="200"/>
      </w:pPr>
      <w:r>
        <w:rPr>
          <w:rFonts w:hint="eastAsia"/>
        </w:rPr>
        <w:t>五、单位负责人为同一人或者存在直接控股、管理关系的不同供应商，不得参加同一合同项下的政府采购活动（由供应商在《政府采购投标及履约承诺函》中作出声明）。</w:t>
      </w:r>
    </w:p>
    <w:p w14:paraId="2B2B986D">
      <w:pPr>
        <w:spacing w:before="156" w:beforeLines="50" w:after="156" w:afterLines="50" w:line="480" w:lineRule="exact"/>
        <w:ind w:firstLine="480" w:firstLineChars="200"/>
      </w:pPr>
      <w:r>
        <w:rPr>
          <w:rFonts w:hint="eastAsia"/>
        </w:rPr>
        <w:t>六、未被列入失信被执行人、重大税收违法案件当事人名单、政府采购严重违法失信行为记录名单（由供应商在《政府采购投标及履约承诺函》中作出声明）。注：“信用中国”、“中国政府采购网”、“深圳信用网”以及“深圳市政府采购监管网”为供应商信用信息的查询渠道，相关信息以开标当日的查询结果为准。</w:t>
      </w:r>
    </w:p>
    <w:p w14:paraId="6525BFC5">
      <w:pPr>
        <w:spacing w:before="156" w:beforeLines="50" w:after="156" w:afterLines="50" w:line="480" w:lineRule="exact"/>
        <w:ind w:firstLine="480" w:firstLineChars="200"/>
        <w:rPr>
          <w:rFonts w:hint="eastAsia"/>
        </w:rPr>
      </w:pPr>
      <w:r>
        <w:rPr>
          <w:rFonts w:hint="eastAsia"/>
        </w:rPr>
        <w:t>七、本项目不接受联合体投标。本项目不接受进口产品投标。</w:t>
      </w:r>
    </w:p>
    <w:p w14:paraId="6C3460E0">
      <w:pPr>
        <w:spacing w:before="0" w:beforeLines="-2147483648" w:after="0" w:afterLines="-2147483648" w:line="240" w:lineRule="auto"/>
        <w:ind w:firstLine="0" w:firstLineChars="0"/>
        <w:rPr>
          <w:rFonts w:hint="eastAsia"/>
        </w:rPr>
      </w:pPr>
      <w:r>
        <w:rPr>
          <w:rFonts w:hint="eastAsia"/>
        </w:rPr>
        <w:br w:type="page"/>
      </w:r>
    </w:p>
    <w:p w14:paraId="4E79102C">
      <w:pPr>
        <w:pStyle w:val="15"/>
        <w:jc w:val="center"/>
        <w:outlineLvl w:val="1"/>
        <w:rPr>
          <w:rFonts w:ascii="Times New Roman" w:hAnsi="Times New Roman"/>
          <w:b/>
          <w:bCs/>
          <w:kern w:val="44"/>
          <w:sz w:val="32"/>
          <w:szCs w:val="52"/>
        </w:rPr>
      </w:pPr>
      <w:r>
        <w:rPr>
          <w:rFonts w:hint="eastAsia" w:ascii="Times New Roman" w:hAnsi="Times New Roman"/>
          <w:b/>
          <w:bCs/>
          <w:kern w:val="44"/>
          <w:sz w:val="32"/>
          <w:szCs w:val="52"/>
        </w:rPr>
        <w:t>第二章  招标项目概况</w:t>
      </w:r>
      <w:bookmarkStart w:id="0" w:name="_Toc73521635"/>
      <w:bookmarkStart w:id="1" w:name="_Toc101074876"/>
      <w:bookmarkStart w:id="2" w:name="_Toc73518117"/>
      <w:bookmarkStart w:id="3" w:name="_Toc60560625"/>
      <w:bookmarkStart w:id="4" w:name="_Toc73517639"/>
      <w:bookmarkStart w:id="5" w:name="_Toc60631620"/>
      <w:bookmarkStart w:id="6" w:name="_Toc100052364"/>
      <w:bookmarkStart w:id="7" w:name="_Toc73521547"/>
    </w:p>
    <w:p w14:paraId="2B7C9461">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一、招标信息</w:t>
      </w:r>
    </w:p>
    <w:bookmarkEnd w:id="0"/>
    <w:bookmarkEnd w:id="1"/>
    <w:bookmarkEnd w:id="2"/>
    <w:bookmarkEnd w:id="3"/>
    <w:bookmarkEnd w:id="4"/>
    <w:bookmarkEnd w:id="5"/>
    <w:bookmarkEnd w:id="6"/>
    <w:bookmarkEnd w:id="7"/>
    <w:tbl>
      <w:tblPr>
        <w:tblStyle w:val="19"/>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965"/>
        <w:gridCol w:w="5673"/>
      </w:tblGrid>
      <w:tr w14:paraId="13A27A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2" w:hRule="atLeast"/>
          <w:jc w:val="center"/>
        </w:trPr>
        <w:tc>
          <w:tcPr>
            <w:tcW w:w="729" w:type="dxa"/>
            <w:vAlign w:val="center"/>
          </w:tcPr>
          <w:p w14:paraId="5FE27F5C">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序号</w:t>
            </w:r>
          </w:p>
        </w:tc>
        <w:tc>
          <w:tcPr>
            <w:tcW w:w="1965" w:type="dxa"/>
            <w:vAlign w:val="center"/>
          </w:tcPr>
          <w:p w14:paraId="73DDFC47">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内   容</w:t>
            </w:r>
          </w:p>
        </w:tc>
        <w:tc>
          <w:tcPr>
            <w:tcW w:w="5673" w:type="dxa"/>
            <w:vAlign w:val="center"/>
          </w:tcPr>
          <w:p w14:paraId="162B0495">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规      定</w:t>
            </w:r>
          </w:p>
        </w:tc>
      </w:tr>
      <w:tr w14:paraId="012F2A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29" w:type="dxa"/>
            <w:vAlign w:val="center"/>
          </w:tcPr>
          <w:p w14:paraId="436E6D73">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1</w:t>
            </w:r>
          </w:p>
        </w:tc>
        <w:tc>
          <w:tcPr>
            <w:tcW w:w="1965" w:type="dxa"/>
            <w:vAlign w:val="center"/>
          </w:tcPr>
          <w:p w14:paraId="51588DD7">
            <w:pPr>
              <w:widowControl w:val="0"/>
              <w:spacing w:line="480" w:lineRule="exact"/>
              <w:jc w:val="center"/>
              <w:rPr>
                <w:rFonts w:ascii="Times New Roman" w:hAnsi="Times New Roman" w:cs="Times New Roman"/>
                <w:kern w:val="2"/>
              </w:rPr>
            </w:pPr>
            <w:r>
              <w:rPr>
                <w:rFonts w:ascii="Times New Roman" w:hAnsi="Times New Roman" w:cs="Times New Roman"/>
                <w:kern w:val="2"/>
              </w:rPr>
              <w:t>投标有效期</w:t>
            </w:r>
          </w:p>
        </w:tc>
        <w:tc>
          <w:tcPr>
            <w:tcW w:w="5673" w:type="dxa"/>
            <w:vAlign w:val="center"/>
          </w:tcPr>
          <w:p w14:paraId="0A516CF6">
            <w:pPr>
              <w:widowControl w:val="0"/>
              <w:spacing w:line="480" w:lineRule="exact"/>
              <w:jc w:val="both"/>
              <w:rPr>
                <w:rFonts w:ascii="Times New Roman" w:hAnsi="Times New Roman" w:cs="Times New Roman"/>
                <w:kern w:val="2"/>
              </w:rPr>
            </w:pPr>
            <w:r>
              <w:rPr>
                <w:rFonts w:hint="eastAsia" w:ascii="Times New Roman" w:hAnsi="Times New Roman" w:cs="Times New Roman"/>
                <w:kern w:val="2"/>
                <w:u w:val="single"/>
              </w:rPr>
              <w:t xml:space="preserve"> 90 </w:t>
            </w:r>
            <w:r>
              <w:rPr>
                <w:rFonts w:ascii="Times New Roman" w:hAnsi="Times New Roman" w:cs="Times New Roman"/>
                <w:kern w:val="2"/>
              </w:rPr>
              <w:t>日历天（从投标截止之日算起）</w:t>
            </w:r>
          </w:p>
        </w:tc>
      </w:tr>
      <w:tr w14:paraId="1BE42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29" w:type="dxa"/>
            <w:vAlign w:val="center"/>
          </w:tcPr>
          <w:p w14:paraId="06FF61D6">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2</w:t>
            </w:r>
          </w:p>
        </w:tc>
        <w:tc>
          <w:tcPr>
            <w:tcW w:w="1965" w:type="dxa"/>
            <w:vAlign w:val="center"/>
          </w:tcPr>
          <w:p w14:paraId="0B19F573">
            <w:pPr>
              <w:widowControl w:val="0"/>
              <w:spacing w:line="480" w:lineRule="exact"/>
              <w:jc w:val="center"/>
              <w:rPr>
                <w:rFonts w:ascii="Times New Roman" w:hAnsi="Times New Roman" w:cs="Times New Roman"/>
                <w:kern w:val="2"/>
              </w:rPr>
            </w:pPr>
            <w:r>
              <w:rPr>
                <w:rFonts w:ascii="Times New Roman" w:hAnsi="Times New Roman" w:cs="Times New Roman"/>
                <w:kern w:val="2"/>
              </w:rPr>
              <w:t>投标文件的投递</w:t>
            </w:r>
          </w:p>
        </w:tc>
        <w:tc>
          <w:tcPr>
            <w:tcW w:w="5673" w:type="dxa"/>
            <w:vAlign w:val="center"/>
          </w:tcPr>
          <w:p w14:paraId="71146A2E">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1.投标单位将投标文件按规定密封和标记后，按以下注明的地址在投标截止时间之前送至招标单位。</w:t>
            </w:r>
          </w:p>
          <w:p w14:paraId="7DDD2AAD">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2.递交资料截止时间：</w:t>
            </w:r>
            <w:r>
              <w:rPr>
                <w:rFonts w:ascii="Times New Roman" w:hAnsi="Times New Roman" w:cs="Times New Roman"/>
                <w:kern w:val="2"/>
                <w:highlight w:val="none"/>
              </w:rPr>
              <w:t>202</w:t>
            </w:r>
            <w:r>
              <w:rPr>
                <w:rFonts w:hint="eastAsia" w:ascii="Times New Roman" w:hAnsi="Times New Roman" w:cs="Times New Roman"/>
                <w:kern w:val="2"/>
                <w:highlight w:val="none"/>
                <w:lang w:val="en-US" w:eastAsia="zh-CN"/>
              </w:rPr>
              <w:t>5</w:t>
            </w:r>
            <w:r>
              <w:rPr>
                <w:rFonts w:hint="eastAsia" w:ascii="Times New Roman" w:hAnsi="Times New Roman" w:cs="Times New Roman"/>
                <w:kern w:val="2"/>
                <w:highlight w:val="none"/>
              </w:rPr>
              <w:t>年</w:t>
            </w:r>
            <w:r>
              <w:rPr>
                <w:rFonts w:ascii="Times New Roman" w:hAnsi="Times New Roman" w:cs="Times New Roman"/>
                <w:kern w:val="2"/>
                <w:highlight w:val="none"/>
                <w:u w:val="single"/>
              </w:rPr>
              <w:t xml:space="preserve"> </w:t>
            </w:r>
            <w:r>
              <w:rPr>
                <w:rFonts w:hint="eastAsia" w:ascii="Times New Roman" w:hAnsi="Times New Roman" w:cs="Times New Roman"/>
                <w:kern w:val="2"/>
                <w:highlight w:val="none"/>
                <w:u w:val="single"/>
                <w:lang w:val="en-US" w:eastAsia="zh-CN"/>
              </w:rPr>
              <w:t>6</w:t>
            </w:r>
            <w:r>
              <w:rPr>
                <w:rFonts w:ascii="Times New Roman" w:hAnsi="Times New Roman" w:cs="Times New Roman"/>
                <w:kern w:val="2"/>
                <w:highlight w:val="none"/>
                <w:u w:val="single"/>
              </w:rPr>
              <w:t xml:space="preserve"> </w:t>
            </w:r>
            <w:r>
              <w:rPr>
                <w:rFonts w:hint="eastAsia" w:ascii="Times New Roman" w:hAnsi="Times New Roman" w:cs="Times New Roman"/>
                <w:kern w:val="2"/>
                <w:highlight w:val="none"/>
              </w:rPr>
              <w:t>月</w:t>
            </w:r>
            <w:r>
              <w:rPr>
                <w:rFonts w:ascii="Times New Roman" w:hAnsi="Times New Roman" w:cs="Times New Roman"/>
                <w:kern w:val="2"/>
                <w:highlight w:val="none"/>
                <w:u w:val="single"/>
              </w:rPr>
              <w:t xml:space="preserve"> </w:t>
            </w:r>
            <w:r>
              <w:rPr>
                <w:rFonts w:hint="eastAsia" w:ascii="Times New Roman" w:hAnsi="Times New Roman" w:cs="Times New Roman"/>
                <w:kern w:val="2"/>
                <w:highlight w:val="none"/>
                <w:u w:val="single"/>
                <w:lang w:val="en-US" w:eastAsia="zh-CN"/>
              </w:rPr>
              <w:t>16</w:t>
            </w:r>
            <w:r>
              <w:rPr>
                <w:rFonts w:ascii="Times New Roman" w:hAnsi="Times New Roman" w:cs="Times New Roman"/>
                <w:kern w:val="2"/>
                <w:highlight w:val="none"/>
                <w:u w:val="single"/>
              </w:rPr>
              <w:t xml:space="preserve"> </w:t>
            </w:r>
            <w:r>
              <w:rPr>
                <w:rFonts w:hint="eastAsia" w:ascii="Times New Roman" w:hAnsi="Times New Roman" w:cs="Times New Roman"/>
                <w:kern w:val="2"/>
                <w:highlight w:val="none"/>
              </w:rPr>
              <w:t>日17:00</w:t>
            </w:r>
            <w:r>
              <w:rPr>
                <w:rFonts w:hint="eastAsia" w:ascii="Times New Roman" w:hAnsi="Times New Roman" w:cs="Times New Roman"/>
                <w:kern w:val="2"/>
              </w:rPr>
              <w:t>；</w:t>
            </w:r>
          </w:p>
          <w:p w14:paraId="510F3A76">
            <w:pPr>
              <w:widowControl w:val="0"/>
              <w:spacing w:line="480" w:lineRule="exact"/>
              <w:jc w:val="both"/>
              <w:rPr>
                <w:rFonts w:ascii="Times New Roman" w:hAnsi="Times New Roman" w:cs="Times New Roman"/>
                <w:kern w:val="2"/>
                <w:u w:val="single"/>
              </w:rPr>
            </w:pPr>
            <w:r>
              <w:rPr>
                <w:rFonts w:hint="eastAsia" w:ascii="Times New Roman" w:hAnsi="Times New Roman" w:cs="Times New Roman"/>
                <w:kern w:val="2"/>
              </w:rPr>
              <w:t>地点：深圳市南山区桃园路2号区委大楼</w:t>
            </w:r>
            <w:r>
              <w:rPr>
                <w:rFonts w:hint="eastAsia" w:ascii="Times New Roman" w:hAnsi="Times New Roman" w:cs="Times New Roman"/>
                <w:kern w:val="2"/>
                <w:u w:val="single"/>
              </w:rPr>
              <w:t>A</w:t>
            </w:r>
            <w:r>
              <w:rPr>
                <w:rFonts w:hint="eastAsia" w:ascii="Times New Roman" w:hAnsi="Times New Roman" w:cs="Times New Roman"/>
                <w:kern w:val="2"/>
                <w:u w:val="single"/>
                <w:lang w:val="en-US" w:eastAsia="zh-CN"/>
              </w:rPr>
              <w:t>314</w:t>
            </w:r>
            <w:r>
              <w:rPr>
                <w:rFonts w:hint="eastAsia" w:ascii="Times New Roman" w:hAnsi="Times New Roman" w:cs="Times New Roman"/>
                <w:kern w:val="2"/>
              </w:rPr>
              <w:t>室；</w:t>
            </w:r>
          </w:p>
          <w:p w14:paraId="69E8A4F8">
            <w:pPr>
              <w:widowControl w:val="0"/>
              <w:spacing w:line="480" w:lineRule="exact"/>
              <w:jc w:val="both"/>
              <w:rPr>
                <w:rFonts w:ascii="Times New Roman" w:hAnsi="Times New Roman" w:cs="Times New Roman"/>
                <w:kern w:val="2"/>
                <w:u w:val="single"/>
              </w:rPr>
            </w:pPr>
            <w:r>
              <w:rPr>
                <w:rFonts w:hint="eastAsia" w:ascii="Times New Roman" w:hAnsi="Times New Roman" w:cs="Times New Roman"/>
                <w:kern w:val="2"/>
              </w:rPr>
              <w:t>联系人：</w:t>
            </w:r>
            <w:r>
              <w:rPr>
                <w:rFonts w:hint="eastAsia" w:ascii="Times New Roman" w:hAnsi="Times New Roman" w:cs="Times New Roman"/>
                <w:kern w:val="2"/>
                <w:highlight w:val="none"/>
                <w:u w:val="single"/>
              </w:rPr>
              <w:t xml:space="preserve"> </w:t>
            </w:r>
            <w:r>
              <w:rPr>
                <w:rFonts w:hint="eastAsia" w:ascii="Times New Roman" w:hAnsi="Times New Roman" w:cs="Times New Roman"/>
                <w:kern w:val="2"/>
                <w:highlight w:val="none"/>
                <w:u w:val="single"/>
                <w:lang w:val="en-US" w:eastAsia="zh-CN"/>
              </w:rPr>
              <w:t>罗工</w:t>
            </w:r>
            <w:r>
              <w:rPr>
                <w:rFonts w:hint="eastAsia" w:ascii="Times New Roman" w:hAnsi="Times New Roman" w:cs="Times New Roman"/>
                <w:kern w:val="2"/>
                <w:highlight w:val="none"/>
                <w:u w:val="single"/>
              </w:rPr>
              <w:t xml:space="preserve"> </w:t>
            </w:r>
            <w:r>
              <w:rPr>
                <w:rFonts w:hint="eastAsia" w:ascii="Times New Roman" w:hAnsi="Times New Roman" w:cs="Times New Roman"/>
                <w:kern w:val="2"/>
                <w:highlight w:val="none"/>
              </w:rPr>
              <w:t>；电话：</w:t>
            </w:r>
            <w:r>
              <w:rPr>
                <w:rFonts w:hint="eastAsia" w:ascii="Times New Roman" w:hAnsi="Times New Roman" w:cs="Times New Roman"/>
                <w:kern w:val="2"/>
                <w:highlight w:val="none"/>
                <w:u w:val="single"/>
              </w:rPr>
              <w:t xml:space="preserve"> </w:t>
            </w:r>
            <w:r>
              <w:rPr>
                <w:rFonts w:hint="eastAsia" w:ascii="Times New Roman" w:hAnsi="Times New Roman" w:cs="Times New Roman"/>
                <w:kern w:val="2"/>
                <w:highlight w:val="none"/>
                <w:u w:val="single"/>
                <w:lang w:val="en-US" w:eastAsia="zh-CN"/>
              </w:rPr>
              <w:t>8816761</w:t>
            </w:r>
            <w:r>
              <w:rPr>
                <w:rFonts w:hint="default" w:ascii="Times New Roman" w:hAnsi="Times New Roman" w:cs="Times New Roman"/>
                <w:kern w:val="2"/>
                <w:highlight w:val="none"/>
                <w:u w:val="single"/>
                <w:lang w:val="en-US" w:eastAsia="zh-CN"/>
              </w:rPr>
              <w:t>2</w:t>
            </w:r>
            <w:r>
              <w:rPr>
                <w:rFonts w:hint="eastAsia" w:ascii="Times New Roman" w:hAnsi="Times New Roman" w:cs="Times New Roman"/>
                <w:kern w:val="2"/>
                <w:highlight w:val="none"/>
                <w:u w:val="single"/>
              </w:rPr>
              <w:t xml:space="preserve"> </w:t>
            </w:r>
            <w:r>
              <w:rPr>
                <w:rFonts w:hint="eastAsia" w:ascii="Times New Roman" w:hAnsi="Times New Roman" w:cs="Times New Roman"/>
                <w:kern w:val="2"/>
              </w:rPr>
              <w:t>；</w:t>
            </w:r>
          </w:p>
        </w:tc>
      </w:tr>
      <w:tr w14:paraId="554F5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29" w:type="dxa"/>
            <w:vAlign w:val="center"/>
          </w:tcPr>
          <w:p w14:paraId="0C4D42CB">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3</w:t>
            </w:r>
          </w:p>
        </w:tc>
        <w:tc>
          <w:tcPr>
            <w:tcW w:w="1965" w:type="dxa"/>
            <w:vAlign w:val="center"/>
          </w:tcPr>
          <w:p w14:paraId="25DD6B4C">
            <w:pPr>
              <w:widowControl w:val="0"/>
              <w:spacing w:line="480" w:lineRule="exact"/>
              <w:jc w:val="center"/>
              <w:rPr>
                <w:rFonts w:ascii="Times New Roman" w:hAnsi="Times New Roman" w:cs="Times New Roman"/>
                <w:kern w:val="2"/>
              </w:rPr>
            </w:pPr>
            <w:r>
              <w:rPr>
                <w:rFonts w:ascii="Times New Roman" w:hAnsi="Times New Roman" w:cs="Times New Roman"/>
                <w:kern w:val="2"/>
              </w:rPr>
              <w:t>中标数量</w:t>
            </w:r>
          </w:p>
        </w:tc>
        <w:tc>
          <w:tcPr>
            <w:tcW w:w="5673" w:type="dxa"/>
            <w:vAlign w:val="center"/>
          </w:tcPr>
          <w:p w14:paraId="02F78D8E">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该项目确定中标单位1名，若通过资格审查的供应商不足3名的，则本项目第一轮招标失败，须以体现充分竞争为目的，降低招标标准进行第二轮招标。</w:t>
            </w:r>
          </w:p>
        </w:tc>
      </w:tr>
      <w:tr w14:paraId="39253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729" w:type="dxa"/>
            <w:vAlign w:val="center"/>
          </w:tcPr>
          <w:p w14:paraId="5FD8690C">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4</w:t>
            </w:r>
          </w:p>
        </w:tc>
        <w:tc>
          <w:tcPr>
            <w:tcW w:w="1965" w:type="dxa"/>
            <w:vAlign w:val="center"/>
          </w:tcPr>
          <w:p w14:paraId="6F3F85CD">
            <w:pPr>
              <w:widowControl w:val="0"/>
              <w:spacing w:line="480" w:lineRule="exact"/>
              <w:jc w:val="center"/>
              <w:rPr>
                <w:rFonts w:ascii="Times New Roman" w:hAnsi="Times New Roman" w:cs="Times New Roman"/>
                <w:kern w:val="2"/>
              </w:rPr>
            </w:pPr>
            <w:r>
              <w:rPr>
                <w:rFonts w:ascii="Times New Roman" w:hAnsi="Times New Roman" w:cs="Times New Roman"/>
                <w:kern w:val="2"/>
              </w:rPr>
              <w:t>定标方法</w:t>
            </w:r>
          </w:p>
        </w:tc>
        <w:tc>
          <w:tcPr>
            <w:tcW w:w="5673" w:type="dxa"/>
            <w:vAlign w:val="center"/>
          </w:tcPr>
          <w:p w14:paraId="4D072EB7">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综合评分法</w:t>
            </w:r>
          </w:p>
        </w:tc>
      </w:tr>
    </w:tbl>
    <w:p w14:paraId="286E9262">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szCs w:val="20"/>
        </w:rPr>
      </w:pPr>
      <w:bookmarkStart w:id="8" w:name="_Toc128884461"/>
      <w:r>
        <w:rPr>
          <w:rFonts w:hint="eastAsia" w:ascii="Times New Roman" w:hAnsi="Times New Roman" w:cs="Times New Roman"/>
          <w:b/>
          <w:bCs/>
          <w:szCs w:val="20"/>
        </w:rPr>
        <w:t>二、招标项目概况</w:t>
      </w:r>
      <w:bookmarkEnd w:id="8"/>
    </w:p>
    <w:p w14:paraId="47147103">
      <w:pPr>
        <w:spacing w:line="480" w:lineRule="exact"/>
        <w:ind w:firstLine="480" w:firstLineChars="200"/>
        <w:jc w:val="both"/>
      </w:pPr>
      <w:r>
        <w:rPr>
          <w:rFonts w:hint="eastAsia"/>
        </w:rPr>
        <w:t>1、招标单位（采购单位）：深圳市南山区住房和建设局。</w:t>
      </w:r>
    </w:p>
    <w:p w14:paraId="3BF56265">
      <w:pPr>
        <w:spacing w:line="480" w:lineRule="exact"/>
        <w:ind w:firstLine="480" w:firstLineChars="200"/>
        <w:jc w:val="both"/>
      </w:pPr>
      <w:r>
        <w:rPr>
          <w:rFonts w:hint="eastAsia"/>
        </w:rPr>
        <w:t>2、采购内容：</w:t>
      </w:r>
      <w:r>
        <w:rPr>
          <w:highlight w:val="none"/>
          <w:u w:val="single"/>
        </w:rPr>
        <w:t>202</w:t>
      </w:r>
      <w:r>
        <w:rPr>
          <w:rFonts w:hint="eastAsia"/>
          <w:highlight w:val="none"/>
          <w:u w:val="single"/>
          <w:lang w:val="en-US" w:eastAsia="zh-CN"/>
        </w:rPr>
        <w:t>5</w:t>
      </w:r>
      <w:r>
        <w:rPr>
          <w:rFonts w:hint="eastAsia"/>
          <w:highlight w:val="none"/>
          <w:u w:val="single"/>
        </w:rPr>
        <w:t>年南山区城市体检技术服务。</w:t>
      </w:r>
    </w:p>
    <w:p w14:paraId="3469597A">
      <w:pPr>
        <w:spacing w:line="480" w:lineRule="exact"/>
        <w:ind w:firstLine="480" w:firstLineChars="200"/>
        <w:jc w:val="both"/>
        <w:rPr>
          <w:highlight w:val="none"/>
        </w:rPr>
      </w:pPr>
      <w:r>
        <w:t>3、项目服务期：</w:t>
      </w:r>
      <w:r>
        <w:rPr>
          <w:highlight w:val="none"/>
        </w:rPr>
        <w:t>本项目合同服务期限自合同生效之日起</w:t>
      </w:r>
      <w:r>
        <w:rPr>
          <w:rFonts w:hint="eastAsia"/>
          <w:highlight w:val="none"/>
        </w:rPr>
        <w:t>一年</w:t>
      </w:r>
      <w:r>
        <w:rPr>
          <w:highlight w:val="none"/>
        </w:rPr>
        <w:t>，自合同生效之日起</w:t>
      </w:r>
      <w:r>
        <w:rPr>
          <w:rFonts w:hint="eastAsia"/>
          <w:highlight w:val="none"/>
        </w:rPr>
        <w:t>五</w:t>
      </w:r>
      <w:r>
        <w:rPr>
          <w:highlight w:val="none"/>
        </w:rPr>
        <w:t>个月内须提交验收合格的成果报告，后续</w:t>
      </w:r>
      <w:r>
        <w:rPr>
          <w:rFonts w:hint="eastAsia"/>
          <w:highlight w:val="none"/>
        </w:rPr>
        <w:t>七</w:t>
      </w:r>
      <w:r>
        <w:rPr>
          <w:highlight w:val="none"/>
        </w:rPr>
        <w:t>个月为服务保障期。</w:t>
      </w:r>
    </w:p>
    <w:p w14:paraId="3CEED59A">
      <w:pPr>
        <w:spacing w:line="480" w:lineRule="exact"/>
        <w:ind w:firstLine="480" w:firstLineChars="200"/>
        <w:jc w:val="both"/>
      </w:pPr>
      <w:r>
        <w:rPr>
          <w:rFonts w:hint="eastAsia"/>
        </w:rPr>
        <w:t>4、合同方式：固定总价合同。</w:t>
      </w:r>
    </w:p>
    <w:p w14:paraId="5CF53E87">
      <w:pPr>
        <w:spacing w:line="480" w:lineRule="exact"/>
        <w:ind w:firstLine="480" w:firstLineChars="200"/>
        <w:jc w:val="both"/>
      </w:pPr>
      <w:r>
        <w:rPr>
          <w:rFonts w:hint="eastAsia"/>
        </w:rPr>
        <w:t>5、采购价格上限：</w:t>
      </w:r>
      <w:r>
        <w:rPr>
          <w:rFonts w:hint="eastAsia"/>
          <w:highlight w:val="none"/>
        </w:rPr>
        <w:t>本次采购控制金额为人民币</w:t>
      </w:r>
      <w:r>
        <w:rPr>
          <w:rFonts w:hint="eastAsia"/>
          <w:highlight w:val="none"/>
          <w:u w:val="single"/>
          <w:lang w:val="en-US" w:eastAsia="zh-CN"/>
        </w:rPr>
        <w:t>30</w:t>
      </w:r>
      <w:r>
        <w:rPr>
          <w:rFonts w:hint="eastAsia"/>
          <w:highlight w:val="none"/>
        </w:rPr>
        <w:t>万元，</w:t>
      </w:r>
      <w:r>
        <w:rPr>
          <w:rFonts w:hint="eastAsia"/>
        </w:rPr>
        <w:t>投标单位的报价不可高于控制金额，否则投标文件视同无效。合同结束后，招标单位对中标单位工作进行履约评价，验收合格后，向中标单位支付全部费用，如不合格，招标单位视情况严重程度可以在合同总价中扣除合同价款20%以内的违约金。</w:t>
      </w:r>
    </w:p>
    <w:p w14:paraId="7997575C">
      <w:pPr>
        <w:spacing w:line="480" w:lineRule="exact"/>
        <w:ind w:firstLine="480" w:firstLineChars="200"/>
        <w:rPr>
          <w:highlight w:val="yellow"/>
          <w:u w:val="single"/>
        </w:rPr>
      </w:pPr>
      <w:r>
        <w:rPr>
          <w:rFonts w:hint="eastAsia"/>
        </w:rPr>
        <w:t>6</w:t>
      </w:r>
      <w:r>
        <w:t>、</w:t>
      </w:r>
      <w:r>
        <w:rPr>
          <w:rFonts w:hint="eastAsia" w:ascii="宋体" w:hAnsi="宋体" w:eastAsia="宋体" w:cs="宋体"/>
        </w:rPr>
        <w:t>项目背景：为深入贯彻习近平总书记关于建立城市体检评估制度的重要部署，认真落实《住房城乡建设部关于全面开展城市体检工作的指导意见》（建科〔2023〕75号）等文件精神，按照《广东省城镇人居环境提升工作领导小组办公室关于开展2025年城市体检工作的通知》任务要求，以及深圳市委市政府的工作</w:t>
      </w:r>
      <w:r>
        <w:rPr>
          <w:rFonts w:hint="eastAsia" w:ascii="宋体" w:hAnsi="宋体" w:eastAsia="宋体" w:cs="宋体"/>
          <w:lang w:eastAsia="zh-CN"/>
        </w:rPr>
        <w:t>部署</w:t>
      </w:r>
      <w:r>
        <w:rPr>
          <w:rFonts w:hint="eastAsia" w:ascii="宋体" w:hAnsi="宋体" w:eastAsia="宋体" w:cs="宋体"/>
        </w:rPr>
        <w:t>，202</w:t>
      </w:r>
      <w:r>
        <w:rPr>
          <w:rFonts w:hint="eastAsia" w:ascii="宋体" w:hAnsi="宋体" w:eastAsia="宋体" w:cs="宋体"/>
          <w:lang w:val="en-US" w:eastAsia="zh-CN"/>
        </w:rPr>
        <w:t>5</w:t>
      </w:r>
      <w:r>
        <w:rPr>
          <w:rFonts w:hint="eastAsia" w:ascii="宋体" w:hAnsi="宋体" w:eastAsia="宋体" w:cs="宋体"/>
        </w:rPr>
        <w:t>年深圳继续在各区开展区级城市体检。城市体检工作要求坚持“人民城市人民建，人民城市为人民”，坚持“先体检、后更新，无体检、不更新”，把城市体检作为统筹城市规划、建设、管理工作的重要抓手，把城市体检发现的问题作为城市更新工作重点，一体化推动城市体检与城市更新，促进城市绿色高质量健康发展，全面推进城市治理体系和治理能力的现代化提升，推动深圳建设社会主义先行示范区，创建社会主义现代化强国的城市范例。</w:t>
      </w:r>
    </w:p>
    <w:p w14:paraId="340B9832">
      <w:pPr>
        <w:keepNext/>
        <w:keepLines/>
        <w:widowControl w:val="0"/>
        <w:adjustRightInd w:val="0"/>
        <w:spacing w:before="156" w:beforeLines="50" w:after="156" w:afterLines="50" w:line="480" w:lineRule="exact"/>
        <w:textAlignment w:val="baseline"/>
        <w:outlineLvl w:val="1"/>
        <w:rPr>
          <w:rFonts w:hint="eastAsia" w:ascii="Times New Roman" w:hAnsi="Times New Roman" w:cs="Times New Roman"/>
          <w:b/>
          <w:bCs/>
          <w:kern w:val="44"/>
          <w:szCs w:val="44"/>
          <w:highlight w:val="none"/>
        </w:rPr>
      </w:pPr>
      <w:r>
        <w:rPr>
          <w:rFonts w:hint="eastAsia" w:ascii="Times New Roman" w:hAnsi="Times New Roman" w:cs="Times New Roman"/>
          <w:b/>
          <w:bCs/>
          <w:kern w:val="44"/>
          <w:szCs w:val="44"/>
          <w:highlight w:val="none"/>
        </w:rPr>
        <w:t>三、技术（服务）要求</w:t>
      </w:r>
    </w:p>
    <w:p w14:paraId="0D789A00">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（一）城区维度体检</w:t>
      </w:r>
    </w:p>
    <w:p w14:paraId="67710F86">
      <w:pPr>
        <w:adjustRightInd w:val="0"/>
        <w:snapToGrid w:val="0"/>
        <w:spacing w:line="48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2025年深圳市城市体检工作方案》，城区维度体检围绕生态宜居、历史文化保护利用、产城融合与职住平衡、安全韧性、智慧高效设置体检指标，进行指标数据收集、分析，重点查找影响城市竞争力、承载力和可持续发展的短板弱项，并有针对性地提出解决措施。</w:t>
      </w:r>
    </w:p>
    <w:p w14:paraId="579EF61B">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）街区维度体检</w:t>
      </w:r>
    </w:p>
    <w:p w14:paraId="422ECE5C">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我区本年度的参检街道为</w:t>
      </w:r>
      <w:r>
        <w:rPr>
          <w:rFonts w:hint="eastAsia" w:ascii="宋体" w:hAnsi="宋体" w:eastAsia="宋体" w:cs="宋体"/>
          <w:sz w:val="24"/>
          <w:szCs w:val="24"/>
          <w:lang w:eastAsia="zh-CN"/>
        </w:rPr>
        <w:t>桃源</w:t>
      </w:r>
      <w:r>
        <w:rPr>
          <w:rFonts w:hint="eastAsia" w:ascii="宋体" w:hAnsi="宋体" w:eastAsia="宋体" w:cs="宋体"/>
          <w:sz w:val="24"/>
          <w:szCs w:val="24"/>
        </w:rPr>
        <w:t>街道</w:t>
      </w:r>
      <w:r>
        <w:rPr>
          <w:rFonts w:hint="eastAsia" w:ascii="宋体" w:hAnsi="宋体" w:eastAsia="宋体" w:cs="宋体"/>
          <w:sz w:val="24"/>
          <w:szCs w:val="24"/>
          <w:lang w:eastAsia="zh-CN"/>
        </w:rPr>
        <w:t>、沙河</w:t>
      </w:r>
      <w:r>
        <w:rPr>
          <w:rFonts w:hint="eastAsia" w:ascii="宋体" w:hAnsi="宋体" w:eastAsia="宋体" w:cs="宋体"/>
          <w:sz w:val="24"/>
          <w:szCs w:val="24"/>
        </w:rPr>
        <w:t>街道，按要求需对</w:t>
      </w:r>
      <w:r>
        <w:rPr>
          <w:rFonts w:hint="eastAsia" w:ascii="宋体" w:hAnsi="宋体" w:eastAsia="宋体" w:cs="宋体"/>
          <w:sz w:val="24"/>
          <w:szCs w:val="24"/>
          <w:lang w:eastAsia="zh-CN"/>
        </w:rPr>
        <w:t>桃源</w:t>
      </w:r>
      <w:r>
        <w:rPr>
          <w:rFonts w:hint="eastAsia" w:ascii="宋体" w:hAnsi="宋体" w:eastAsia="宋体" w:cs="宋体"/>
          <w:sz w:val="24"/>
          <w:szCs w:val="24"/>
        </w:rPr>
        <w:t>街道</w:t>
      </w:r>
      <w:r>
        <w:rPr>
          <w:rFonts w:hint="eastAsia" w:ascii="宋体" w:hAnsi="宋体" w:eastAsia="宋体" w:cs="宋体"/>
          <w:sz w:val="24"/>
          <w:szCs w:val="24"/>
          <w:lang w:eastAsia="zh-CN"/>
        </w:rPr>
        <w:t>、沙河</w:t>
      </w:r>
      <w:r>
        <w:rPr>
          <w:rFonts w:hint="eastAsia" w:ascii="宋体" w:hAnsi="宋体" w:eastAsia="宋体" w:cs="宋体"/>
          <w:sz w:val="24"/>
          <w:szCs w:val="24"/>
        </w:rPr>
        <w:t>街道开展街区维度的城市体检，围绕功能完善、整洁有序、特色活力设置体检指标，重点查找中学、文化活动中心等公共服务设施建设，以及市容市貌管理、街区改造与活力提升等方面存在的问题和短板，并结合城市更新，形成解决问题的整改项目库。</w:t>
      </w:r>
    </w:p>
    <w:p w14:paraId="34624AE4">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）社区维度体检</w:t>
      </w:r>
    </w:p>
    <w:p w14:paraId="4FB28309">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桃源</w:t>
      </w:r>
      <w:r>
        <w:rPr>
          <w:rFonts w:hint="eastAsia" w:ascii="宋体" w:hAnsi="宋体" w:eastAsia="宋体" w:cs="宋体"/>
          <w:sz w:val="24"/>
          <w:szCs w:val="24"/>
        </w:rPr>
        <w:t>街道</w:t>
      </w:r>
      <w:r>
        <w:rPr>
          <w:rFonts w:hint="eastAsia" w:ascii="宋体" w:hAnsi="宋体" w:eastAsia="宋体" w:cs="宋体"/>
          <w:sz w:val="24"/>
          <w:szCs w:val="24"/>
          <w:lang w:eastAsia="zh-CN"/>
        </w:rPr>
        <w:t>、沙河</w:t>
      </w:r>
      <w:r>
        <w:rPr>
          <w:rFonts w:hint="eastAsia" w:ascii="宋体" w:hAnsi="宋体" w:eastAsia="宋体" w:cs="宋体"/>
          <w:sz w:val="24"/>
          <w:szCs w:val="24"/>
        </w:rPr>
        <w:t>街道</w:t>
      </w:r>
      <w:r>
        <w:rPr>
          <w:rFonts w:hint="eastAsia" w:ascii="宋体" w:hAnsi="宋体" w:eastAsia="宋体" w:cs="宋体"/>
          <w:sz w:val="24"/>
          <w:szCs w:val="24"/>
          <w:lang w:eastAsia="zh-CN"/>
        </w:rPr>
        <w:t>的所有</w:t>
      </w:r>
      <w:r>
        <w:rPr>
          <w:rFonts w:hint="eastAsia" w:ascii="宋体" w:hAnsi="宋体" w:eastAsia="宋体" w:cs="宋体"/>
          <w:sz w:val="24"/>
          <w:szCs w:val="24"/>
        </w:rPr>
        <w:t>社区开展</w:t>
      </w:r>
      <w:r>
        <w:rPr>
          <w:rFonts w:hint="eastAsia" w:ascii="宋体" w:hAnsi="宋体" w:eastAsia="宋体" w:cs="宋体"/>
          <w:sz w:val="24"/>
          <w:szCs w:val="24"/>
          <w:lang w:eastAsia="zh-CN"/>
        </w:rPr>
        <w:t>社区</w:t>
      </w:r>
      <w:r>
        <w:rPr>
          <w:rFonts w:hint="eastAsia" w:ascii="宋体" w:hAnsi="宋体" w:eastAsia="宋体" w:cs="宋体"/>
          <w:sz w:val="24"/>
          <w:szCs w:val="24"/>
        </w:rPr>
        <w:t>维度体检，</w:t>
      </w:r>
      <w:r>
        <w:rPr>
          <w:rFonts w:hint="eastAsia" w:ascii="宋体" w:hAnsi="宋体" w:eastAsia="宋体" w:cs="宋体"/>
          <w:sz w:val="24"/>
          <w:szCs w:val="24"/>
          <w:lang w:eastAsia="zh-CN"/>
        </w:rPr>
        <w:t>主要</w:t>
      </w:r>
      <w:r>
        <w:rPr>
          <w:rFonts w:hint="eastAsia" w:ascii="宋体" w:hAnsi="宋体" w:eastAsia="宋体" w:cs="宋体"/>
          <w:sz w:val="24"/>
          <w:szCs w:val="24"/>
        </w:rPr>
        <w:t>围绕设施完善、环境宜居、管理健全设置体检指标，了解婴幼儿照护服务设施、幼儿园、小学、停车位、充电桩、公共活动场地等设施建设和供给，以及物业管理、智慧社区等管理情况，分析查找群众反映强烈的难点、堵点、痛点问题，结合更新单元项目立项申报、微更新等工作形成整改项目。</w:t>
      </w:r>
    </w:p>
    <w:p w14:paraId="58FF8BC0">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）住房维度体检</w:t>
      </w:r>
    </w:p>
    <w:p w14:paraId="234E8E1F">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桃源</w:t>
      </w:r>
      <w:r>
        <w:rPr>
          <w:rFonts w:hint="eastAsia" w:ascii="宋体" w:hAnsi="宋体" w:eastAsia="宋体" w:cs="宋体"/>
          <w:sz w:val="24"/>
          <w:szCs w:val="24"/>
        </w:rPr>
        <w:t>街道</w:t>
      </w:r>
      <w:r>
        <w:rPr>
          <w:rFonts w:hint="eastAsia" w:ascii="宋体" w:hAnsi="宋体" w:eastAsia="宋体" w:cs="宋体"/>
          <w:sz w:val="24"/>
          <w:szCs w:val="24"/>
          <w:lang w:eastAsia="zh-CN"/>
        </w:rPr>
        <w:t>、沙河</w:t>
      </w:r>
      <w:r>
        <w:rPr>
          <w:rFonts w:hint="eastAsia" w:ascii="宋体" w:hAnsi="宋体" w:eastAsia="宋体" w:cs="宋体"/>
          <w:sz w:val="24"/>
          <w:szCs w:val="24"/>
        </w:rPr>
        <w:t>街道</w:t>
      </w:r>
      <w:r>
        <w:rPr>
          <w:rFonts w:hint="eastAsia" w:ascii="宋体" w:hAnsi="宋体" w:eastAsia="宋体" w:cs="宋体"/>
          <w:sz w:val="24"/>
          <w:szCs w:val="24"/>
          <w:lang w:eastAsia="zh-CN"/>
        </w:rPr>
        <w:t>的居住建筑（本年度住房维度体检对象指参检街道内所有居住建筑，不含参检街道内的城中村。重点是1980年（含）以前建成且未进行加固的城市住宅，以及1981年至1990年之间建成的预制板砌体住宅）</w:t>
      </w:r>
      <w:r>
        <w:rPr>
          <w:rFonts w:hint="eastAsia" w:ascii="宋体" w:hAnsi="宋体" w:eastAsia="宋体" w:cs="宋体"/>
          <w:sz w:val="24"/>
          <w:szCs w:val="24"/>
        </w:rPr>
        <w:t>开展住房维度体检</w:t>
      </w:r>
      <w:r>
        <w:rPr>
          <w:rFonts w:hint="eastAsia" w:ascii="宋体" w:hAnsi="宋体" w:eastAsia="宋体" w:cs="宋体"/>
          <w:sz w:val="24"/>
          <w:szCs w:val="24"/>
          <w:lang w:eastAsia="zh-CN"/>
        </w:rPr>
        <w:t>，主要</w:t>
      </w:r>
      <w:r>
        <w:rPr>
          <w:rFonts w:hint="eastAsia" w:ascii="宋体" w:hAnsi="宋体" w:eastAsia="宋体" w:cs="宋体"/>
          <w:sz w:val="24"/>
          <w:szCs w:val="24"/>
        </w:rPr>
        <w:t>围绕安全耐久、功能完善、绿色智能设置体检指标，重点查找住宅建筑本身的问题和公共空间部分存在的问题。涉及影响群众健康和城市安全的问题，要形成风险隐患通知书，及时进行整改。</w:t>
      </w:r>
    </w:p>
    <w:p w14:paraId="245DBB92">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）城中村维度体检</w:t>
      </w:r>
    </w:p>
    <w:p w14:paraId="5CC06D1C">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对</w:t>
      </w:r>
      <w:r>
        <w:rPr>
          <w:rFonts w:hint="eastAsia" w:ascii="宋体" w:hAnsi="宋体" w:eastAsia="宋体" w:cs="宋体"/>
          <w:sz w:val="24"/>
          <w:szCs w:val="24"/>
        </w:rPr>
        <w:t>《</w:t>
      </w:r>
      <w:r>
        <w:rPr>
          <w:rFonts w:hint="eastAsia" w:ascii="宋体" w:hAnsi="宋体" w:eastAsia="宋体" w:cs="宋体"/>
          <w:sz w:val="24"/>
          <w:szCs w:val="24"/>
          <w:lang w:val="en-US" w:eastAsia="zh-CN"/>
        </w:rPr>
        <w:t>2025年深圳市城市体检</w:t>
      </w:r>
      <w:r>
        <w:rPr>
          <w:rFonts w:hint="eastAsia" w:ascii="宋体" w:hAnsi="宋体" w:eastAsia="宋体" w:cs="宋体"/>
          <w:sz w:val="24"/>
          <w:szCs w:val="24"/>
        </w:rPr>
        <w:t>工作方案》</w:t>
      </w:r>
      <w:r>
        <w:rPr>
          <w:rFonts w:hint="eastAsia" w:ascii="宋体" w:hAnsi="宋体" w:eastAsia="宋体" w:cs="宋体"/>
          <w:sz w:val="24"/>
          <w:szCs w:val="24"/>
          <w:lang w:eastAsia="zh-CN"/>
        </w:rPr>
        <w:t>选取的我区本年度抽样城中村</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龙井村</w:t>
      </w:r>
      <w:r>
        <w:rPr>
          <w:rFonts w:hint="eastAsia" w:ascii="宋体" w:hAnsi="宋体" w:eastAsia="宋体" w:cs="宋体"/>
          <w:sz w:val="24"/>
          <w:szCs w:val="24"/>
          <w:lang w:val="en-US" w:eastAsia="zh-CN"/>
        </w:rPr>
        <w:t>，开展城中村维度体检，</w:t>
      </w:r>
      <w:r>
        <w:rPr>
          <w:rFonts w:hint="eastAsia" w:ascii="宋体" w:hAnsi="宋体" w:eastAsia="宋体" w:cs="宋体"/>
          <w:sz w:val="24"/>
          <w:szCs w:val="24"/>
        </w:rPr>
        <w:t>以消除安全隐患、改善居住环境为目标，围绕安全隐患排查、服务设施完善、空间品质提升、历史风貌、物业管理、产业经济设置体检指标，深入查找城中村在安全、基础设施和公共服务设施、社区治理、产业发展等方面存在的问题短板，提出有针对性的整治建议，统筹推进城中村整治提升。</w:t>
      </w:r>
    </w:p>
    <w:p w14:paraId="64BA6863">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体检成果应用</w:t>
      </w:r>
    </w:p>
    <w:p w14:paraId="2F3AF893">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落实辖区2024年度城市体检问题的整改实施，分析体检成果应用情况（</w:t>
      </w:r>
      <w:bookmarkStart w:id="9" w:name="OLE_LINK27"/>
      <w:r>
        <w:rPr>
          <w:rFonts w:hint="eastAsia" w:ascii="宋体" w:hAnsi="宋体" w:eastAsia="宋体" w:cs="宋体"/>
          <w:sz w:val="24"/>
          <w:szCs w:val="24"/>
        </w:rPr>
        <w:t>附</w:t>
      </w:r>
      <w:bookmarkEnd w:id="9"/>
      <w:r>
        <w:rPr>
          <w:rFonts w:hint="eastAsia" w:ascii="宋体" w:hAnsi="宋体" w:eastAsia="宋体" w:cs="宋体"/>
          <w:sz w:val="24"/>
          <w:szCs w:val="24"/>
        </w:rPr>
        <w:t>应用佐证材料）、问题整改完成情况（附整改佐证材料）、总结典型项目案例的经验做法、实施成效等，形成2024年度城市体检成果应用专题报告。针对2025年度城市体检发现的问题，制定并印发问题整改实施方案，明确整治措施和完成时限，生成城市更新项目库。</w:t>
      </w:r>
    </w:p>
    <w:p w14:paraId="4F5A9E26">
      <w:pPr>
        <w:adjustRightInd w:val="0"/>
        <w:snapToGrid w:val="0"/>
        <w:spacing w:line="48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）后续服务保障</w:t>
      </w:r>
    </w:p>
    <w:p w14:paraId="27CBC234">
      <w:pPr>
        <w:adjustRightInd w:val="0"/>
        <w:snapToGrid w:val="0"/>
        <w:spacing w:line="480" w:lineRule="exact"/>
        <w:ind w:firstLine="480" w:firstLineChars="200"/>
        <w:jc w:val="both"/>
      </w:pPr>
      <w:r>
        <w:rPr>
          <w:rFonts w:hint="eastAsia" w:ascii="宋体" w:hAnsi="宋体" w:eastAsia="宋体" w:cs="宋体"/>
          <w:sz w:val="24"/>
          <w:szCs w:val="24"/>
        </w:rPr>
        <w:t>针对提交的南山区城市体检</w:t>
      </w:r>
      <w:r>
        <w:rPr>
          <w:rFonts w:hint="eastAsia"/>
        </w:rPr>
        <w:t>各项成果，负责解答对报告中的疑问，进行书面回复，提供后续的保障服务等。</w:t>
      </w:r>
    </w:p>
    <w:p w14:paraId="39F58375">
      <w:pPr>
        <w:keepNext/>
        <w:keepLines/>
        <w:widowControl w:val="0"/>
        <w:adjustRightInd w:val="0"/>
        <w:spacing w:before="156" w:beforeLines="50" w:after="156" w:afterLines="50" w:line="480" w:lineRule="exact"/>
        <w:jc w:val="left"/>
        <w:textAlignment w:val="baseline"/>
        <w:outlineLvl w:val="1"/>
        <w:rPr>
          <w:rFonts w:ascii="Times New Roman" w:hAnsi="Times New Roman" w:cs="Times New Roman"/>
          <w:b/>
          <w:bCs/>
          <w:kern w:val="44"/>
          <w:szCs w:val="44"/>
          <w:highlight w:val="none"/>
        </w:rPr>
      </w:pPr>
      <w:r>
        <w:rPr>
          <w:rFonts w:hint="eastAsia" w:ascii="Times New Roman" w:hAnsi="Times New Roman" w:cs="Times New Roman"/>
          <w:b/>
          <w:bCs/>
          <w:kern w:val="44"/>
          <w:szCs w:val="44"/>
          <w:highlight w:val="none"/>
        </w:rPr>
        <w:t>四、人员配备及要求</w:t>
      </w:r>
    </w:p>
    <w:p w14:paraId="74CE1ED0">
      <w:pPr>
        <w:spacing w:line="480" w:lineRule="exact"/>
        <w:ind w:firstLine="480" w:firstLineChars="200"/>
        <w:jc w:val="both"/>
      </w:pPr>
      <w:r>
        <w:t>1、所提供的服务应符合国家和地方的有关法律、法规、规章和国家、行业标准的规定。</w:t>
      </w:r>
    </w:p>
    <w:p w14:paraId="5C6E193D">
      <w:pPr>
        <w:spacing w:line="480" w:lineRule="exact"/>
        <w:ind w:firstLine="480" w:firstLineChars="200"/>
        <w:jc w:val="both"/>
      </w:pPr>
      <w:r>
        <w:t>2、本项目要求服务人员不少于</w:t>
      </w:r>
      <w:r>
        <w:rPr>
          <w:u w:val="single"/>
        </w:rPr>
        <w:t>8</w:t>
      </w:r>
      <w:r>
        <w:rPr>
          <w:rFonts w:hint="eastAsia"/>
        </w:rPr>
        <w:t>人，至少配</w:t>
      </w:r>
      <w:r>
        <w:rPr>
          <w:rFonts w:hint="eastAsia"/>
          <w:u w:val="single"/>
        </w:rPr>
        <w:t>城市规划岗位</w:t>
      </w:r>
      <w:r>
        <w:rPr>
          <w:rFonts w:hint="eastAsia"/>
          <w:u w:val="single"/>
          <w:lang w:val="en-US" w:eastAsia="zh-CN"/>
        </w:rPr>
        <w:t>4</w:t>
      </w:r>
      <w:r>
        <w:rPr>
          <w:u w:val="single"/>
        </w:rPr>
        <w:t>人，建筑工程、园林景观、道路交通、市政工程（含给排水、电力、燃气等相关专业）岗位</w:t>
      </w:r>
      <w:r>
        <w:rPr>
          <w:rFonts w:hint="eastAsia"/>
          <w:u w:val="single"/>
          <w:lang w:val="en-US" w:eastAsia="zh-CN"/>
        </w:rPr>
        <w:t>各1</w:t>
      </w:r>
      <w:r>
        <w:rPr>
          <w:u w:val="single"/>
        </w:rPr>
        <w:t>人</w:t>
      </w:r>
      <w:r>
        <w:rPr>
          <w:rFonts w:hint="eastAsia"/>
        </w:rPr>
        <w:t>，项目服务小组人员固定，不得随意更换，自行配备服务所需的车辆、设施设备及相关材料。投标单位可根据项目进度增加项目服务人员，但项目服务人员需经过招标单位书面签字盖章同意后方可开展工作。具体人员要求如下：</w:t>
      </w:r>
    </w:p>
    <w:tbl>
      <w:tblPr>
        <w:tblStyle w:val="19"/>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6"/>
        <w:gridCol w:w="1461"/>
        <w:gridCol w:w="3834"/>
        <w:gridCol w:w="677"/>
      </w:tblGrid>
      <w:tr w14:paraId="5D3F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40" w:type="dxa"/>
            <w:shd w:val="clear" w:color="auto" w:fill="auto"/>
            <w:vAlign w:val="center"/>
          </w:tcPr>
          <w:p w14:paraId="2164050B">
            <w:pPr>
              <w:spacing w:line="480" w:lineRule="exact"/>
              <w:jc w:val="center"/>
              <w:rPr>
                <w:b/>
                <w:bCs/>
              </w:rPr>
            </w:pPr>
            <w:r>
              <w:rPr>
                <w:rFonts w:hint="eastAsia"/>
                <w:b/>
                <w:bCs/>
              </w:rPr>
              <w:t>岗位</w:t>
            </w:r>
          </w:p>
        </w:tc>
        <w:tc>
          <w:tcPr>
            <w:tcW w:w="986" w:type="dxa"/>
            <w:shd w:val="clear" w:color="auto" w:fill="auto"/>
            <w:vAlign w:val="center"/>
          </w:tcPr>
          <w:p w14:paraId="60334F76">
            <w:pPr>
              <w:spacing w:line="480" w:lineRule="exact"/>
              <w:jc w:val="center"/>
              <w:rPr>
                <w:b/>
                <w:bCs/>
              </w:rPr>
            </w:pPr>
            <w:r>
              <w:rPr>
                <w:rFonts w:hint="eastAsia"/>
                <w:b/>
                <w:bCs/>
              </w:rPr>
              <w:t>人数</w:t>
            </w:r>
          </w:p>
          <w:p w14:paraId="35C17F15">
            <w:pPr>
              <w:spacing w:line="480" w:lineRule="exact"/>
              <w:jc w:val="center"/>
              <w:rPr>
                <w:b/>
                <w:bCs/>
              </w:rPr>
            </w:pPr>
            <w:r>
              <w:rPr>
                <w:rFonts w:hint="eastAsia"/>
                <w:b/>
                <w:bCs/>
              </w:rPr>
              <w:t>要求</w:t>
            </w:r>
          </w:p>
        </w:tc>
        <w:tc>
          <w:tcPr>
            <w:tcW w:w="1461" w:type="dxa"/>
            <w:shd w:val="clear" w:color="auto" w:fill="auto"/>
            <w:vAlign w:val="center"/>
          </w:tcPr>
          <w:p w14:paraId="36A11EDA">
            <w:pPr>
              <w:spacing w:line="480" w:lineRule="exact"/>
              <w:jc w:val="center"/>
              <w:rPr>
                <w:b/>
                <w:bCs/>
              </w:rPr>
            </w:pPr>
            <w:r>
              <w:rPr>
                <w:rFonts w:hint="eastAsia"/>
                <w:b/>
                <w:bCs/>
              </w:rPr>
              <w:t>职称及学历要求</w:t>
            </w:r>
          </w:p>
        </w:tc>
        <w:tc>
          <w:tcPr>
            <w:tcW w:w="3834" w:type="dxa"/>
            <w:shd w:val="clear" w:color="auto" w:fill="auto"/>
            <w:vAlign w:val="center"/>
          </w:tcPr>
          <w:p w14:paraId="4CF65B6E">
            <w:pPr>
              <w:spacing w:line="480" w:lineRule="exact"/>
              <w:ind w:firstLine="482" w:firstLineChars="200"/>
              <w:jc w:val="center"/>
              <w:rPr>
                <w:b/>
                <w:bCs/>
              </w:rPr>
            </w:pPr>
            <w:r>
              <w:rPr>
                <w:rFonts w:hint="eastAsia"/>
                <w:b/>
                <w:bCs/>
              </w:rPr>
              <w:t>专业资格基本要求</w:t>
            </w:r>
          </w:p>
        </w:tc>
        <w:tc>
          <w:tcPr>
            <w:tcW w:w="677" w:type="dxa"/>
            <w:shd w:val="clear" w:color="auto" w:fill="auto"/>
            <w:vAlign w:val="center"/>
          </w:tcPr>
          <w:p w14:paraId="0C70A860">
            <w:pPr>
              <w:spacing w:line="480" w:lineRule="exact"/>
              <w:jc w:val="center"/>
              <w:rPr>
                <w:b/>
                <w:bCs/>
              </w:rPr>
            </w:pPr>
            <w:r>
              <w:rPr>
                <w:rFonts w:hint="eastAsia"/>
                <w:b/>
                <w:bCs/>
              </w:rPr>
              <w:t>备注</w:t>
            </w:r>
          </w:p>
        </w:tc>
      </w:tr>
      <w:tr w14:paraId="712E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740" w:type="dxa"/>
            <w:shd w:val="clear" w:color="auto" w:fill="auto"/>
            <w:vAlign w:val="center"/>
          </w:tcPr>
          <w:p w14:paraId="02459C7F">
            <w:pPr>
              <w:spacing w:line="480" w:lineRule="exact"/>
              <w:rPr>
                <w:rFonts w:hint="eastAsia" w:ascii="宋体" w:hAnsi="宋体" w:eastAsia="宋体" w:cs="宋体"/>
                <w:sz w:val="21"/>
                <w:szCs w:val="21"/>
                <w:u w:val="none"/>
              </w:rPr>
            </w:pPr>
            <w:r>
              <w:rPr>
                <w:rFonts w:hint="eastAsia" w:ascii="宋体" w:hAnsi="宋体" w:eastAsia="宋体" w:cs="宋体"/>
                <w:sz w:val="21"/>
                <w:szCs w:val="21"/>
                <w:u w:val="none"/>
              </w:rPr>
              <w:t>项目团队负责人</w:t>
            </w:r>
          </w:p>
        </w:tc>
        <w:tc>
          <w:tcPr>
            <w:tcW w:w="986" w:type="dxa"/>
            <w:shd w:val="clear" w:color="auto" w:fill="auto"/>
            <w:vAlign w:val="center"/>
          </w:tcPr>
          <w:p w14:paraId="6F60F49E">
            <w:pPr>
              <w:spacing w:line="480" w:lineRule="exact"/>
              <w:jc w:val="left"/>
              <w:rPr>
                <w:rFonts w:hint="eastAsia" w:ascii="宋体" w:hAnsi="宋体" w:eastAsia="宋体" w:cs="宋体"/>
                <w:sz w:val="21"/>
                <w:szCs w:val="21"/>
                <w:u w:val="none"/>
              </w:rPr>
            </w:pPr>
            <w:r>
              <w:rPr>
                <w:rFonts w:hint="eastAsia" w:ascii="宋体" w:hAnsi="宋体" w:eastAsia="宋体" w:cs="宋体"/>
                <w:sz w:val="21"/>
                <w:szCs w:val="21"/>
                <w:u w:val="none"/>
              </w:rPr>
              <w:t>1人</w:t>
            </w:r>
          </w:p>
        </w:tc>
        <w:tc>
          <w:tcPr>
            <w:tcW w:w="1461" w:type="dxa"/>
            <w:shd w:val="clear" w:color="auto" w:fill="auto"/>
            <w:vAlign w:val="center"/>
          </w:tcPr>
          <w:p w14:paraId="2770C96B">
            <w:pPr>
              <w:spacing w:line="480" w:lineRule="exact"/>
              <w:rPr>
                <w:rFonts w:hint="eastAsia" w:ascii="宋体" w:hAnsi="宋体" w:eastAsia="宋体" w:cs="宋体"/>
                <w:sz w:val="21"/>
                <w:szCs w:val="21"/>
              </w:rPr>
            </w:pPr>
            <w:r>
              <w:rPr>
                <w:rFonts w:hint="eastAsia" w:ascii="宋体" w:hAnsi="宋体" w:eastAsia="宋体" w:cs="宋体"/>
                <w:sz w:val="21"/>
                <w:szCs w:val="21"/>
              </w:rPr>
              <w:t>高级职称</w:t>
            </w:r>
          </w:p>
          <w:p w14:paraId="0677F14B">
            <w:pPr>
              <w:spacing w:line="480" w:lineRule="exact"/>
              <w:rPr>
                <w:rFonts w:hint="eastAsia" w:ascii="宋体" w:hAnsi="宋体" w:eastAsia="宋体" w:cs="宋体"/>
                <w:sz w:val="21"/>
                <w:szCs w:val="21"/>
                <w:lang w:eastAsia="zh-CN"/>
              </w:rPr>
            </w:pPr>
            <w:r>
              <w:rPr>
                <w:rFonts w:hint="eastAsia" w:ascii="宋体" w:hAnsi="宋体" w:eastAsia="宋体" w:cs="宋体"/>
                <w:sz w:val="21"/>
                <w:szCs w:val="21"/>
                <w:u w:val="none"/>
                <w:lang w:eastAsia="zh-CN"/>
              </w:rPr>
              <w:t>本科以上</w:t>
            </w:r>
          </w:p>
        </w:tc>
        <w:tc>
          <w:tcPr>
            <w:tcW w:w="3834" w:type="dxa"/>
            <w:shd w:val="clear" w:color="auto" w:fill="auto"/>
            <w:vAlign w:val="center"/>
          </w:tcPr>
          <w:p w14:paraId="0217474F">
            <w:pPr>
              <w:spacing w:line="480" w:lineRule="exact"/>
              <w:rPr>
                <w:sz w:val="21"/>
                <w:szCs w:val="21"/>
                <w:u w:val="single"/>
              </w:rPr>
            </w:pPr>
            <w:r>
              <w:rPr>
                <w:rFonts w:hint="eastAsia"/>
                <w:sz w:val="21"/>
                <w:szCs w:val="21"/>
              </w:rPr>
              <w:t>具备城市规划高级职称、工作经验十年及以上</w:t>
            </w:r>
          </w:p>
        </w:tc>
        <w:tc>
          <w:tcPr>
            <w:tcW w:w="677" w:type="dxa"/>
            <w:shd w:val="clear" w:color="auto" w:fill="auto"/>
            <w:vAlign w:val="center"/>
          </w:tcPr>
          <w:p w14:paraId="01C52483">
            <w:pPr>
              <w:spacing w:line="480" w:lineRule="exact"/>
              <w:ind w:firstLine="480" w:firstLineChars="200"/>
              <w:jc w:val="center"/>
              <w:rPr>
                <w:u w:val="single"/>
              </w:rPr>
            </w:pPr>
          </w:p>
        </w:tc>
      </w:tr>
      <w:tr w14:paraId="353B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40" w:type="dxa"/>
            <w:vMerge w:val="restart"/>
            <w:shd w:val="clear" w:color="auto" w:fill="auto"/>
            <w:vAlign w:val="center"/>
          </w:tcPr>
          <w:p w14:paraId="7B6CE475">
            <w:pPr>
              <w:spacing w:line="480" w:lineRule="exact"/>
              <w:rPr>
                <w:rFonts w:hint="eastAsia" w:ascii="宋体" w:hAnsi="宋体" w:eastAsia="宋体" w:cs="宋体"/>
                <w:sz w:val="21"/>
                <w:szCs w:val="21"/>
                <w:u w:val="none"/>
              </w:rPr>
            </w:pPr>
            <w:r>
              <w:rPr>
                <w:rFonts w:hint="eastAsia" w:ascii="宋体" w:hAnsi="宋体" w:eastAsia="宋体" w:cs="宋体"/>
                <w:sz w:val="21"/>
                <w:szCs w:val="21"/>
                <w:u w:val="none"/>
              </w:rPr>
              <w:t>项目团队人员</w:t>
            </w:r>
          </w:p>
        </w:tc>
        <w:tc>
          <w:tcPr>
            <w:tcW w:w="986" w:type="dxa"/>
            <w:shd w:val="clear" w:color="auto" w:fill="auto"/>
            <w:vAlign w:val="center"/>
          </w:tcPr>
          <w:p w14:paraId="4FE3082D">
            <w:pPr>
              <w:spacing w:line="480" w:lineRule="exact"/>
              <w:jc w:val="left"/>
              <w:rPr>
                <w:rFonts w:hint="eastAsia" w:ascii="宋体" w:hAnsi="宋体" w:eastAsia="宋体" w:cs="宋体"/>
                <w:sz w:val="21"/>
                <w:szCs w:val="21"/>
                <w:u w:val="none"/>
              </w:rPr>
            </w:pPr>
            <w:r>
              <w:rPr>
                <w:rFonts w:hint="eastAsia" w:ascii="宋体" w:hAnsi="宋体" w:eastAsia="宋体" w:cs="宋体"/>
                <w:sz w:val="21"/>
                <w:szCs w:val="21"/>
                <w:u w:val="none"/>
              </w:rPr>
              <w:t>4人</w:t>
            </w:r>
          </w:p>
        </w:tc>
        <w:tc>
          <w:tcPr>
            <w:tcW w:w="1461" w:type="dxa"/>
            <w:shd w:val="clear" w:color="auto" w:fill="auto"/>
            <w:vAlign w:val="center"/>
          </w:tcPr>
          <w:p w14:paraId="753B7121">
            <w:pPr>
              <w:spacing w:line="480" w:lineRule="exact"/>
              <w:rPr>
                <w:rFonts w:hint="eastAsia" w:ascii="宋体" w:hAnsi="宋体" w:eastAsia="宋体" w:cs="宋体"/>
                <w:sz w:val="21"/>
                <w:szCs w:val="21"/>
              </w:rPr>
            </w:pPr>
            <w:r>
              <w:rPr>
                <w:rFonts w:hint="eastAsia" w:ascii="宋体" w:hAnsi="宋体" w:eastAsia="宋体" w:cs="宋体"/>
                <w:sz w:val="21"/>
                <w:szCs w:val="21"/>
              </w:rPr>
              <w:t>中级或以上</w:t>
            </w:r>
          </w:p>
          <w:p w14:paraId="4D488B19">
            <w:pPr>
              <w:spacing w:line="480" w:lineRule="exact"/>
              <w:rPr>
                <w:rFonts w:hint="eastAsia" w:ascii="宋体" w:hAnsi="宋体" w:eastAsia="宋体" w:cs="宋体"/>
                <w:sz w:val="21"/>
                <w:szCs w:val="21"/>
              </w:rPr>
            </w:pPr>
            <w:r>
              <w:rPr>
                <w:rFonts w:hint="eastAsia" w:ascii="宋体" w:hAnsi="宋体" w:eastAsia="宋体" w:cs="宋体"/>
                <w:sz w:val="21"/>
                <w:szCs w:val="21"/>
                <w:u w:val="none"/>
                <w:lang w:eastAsia="zh-CN"/>
              </w:rPr>
              <w:t>本科以上</w:t>
            </w:r>
          </w:p>
        </w:tc>
        <w:tc>
          <w:tcPr>
            <w:tcW w:w="3834" w:type="dxa"/>
            <w:shd w:val="clear" w:color="auto" w:fill="auto"/>
            <w:vAlign w:val="center"/>
          </w:tcPr>
          <w:p w14:paraId="2BCAA52E">
            <w:pPr>
              <w:spacing w:line="480" w:lineRule="exact"/>
              <w:rPr>
                <w:sz w:val="21"/>
                <w:szCs w:val="21"/>
                <w:u w:val="single"/>
              </w:rPr>
            </w:pPr>
            <w:r>
              <w:rPr>
                <w:rFonts w:hint="eastAsia"/>
                <w:sz w:val="21"/>
                <w:szCs w:val="21"/>
              </w:rPr>
              <w:t>具备工程类中级职称、工作经验五年及以上</w:t>
            </w:r>
          </w:p>
        </w:tc>
        <w:tc>
          <w:tcPr>
            <w:tcW w:w="677" w:type="dxa"/>
            <w:shd w:val="clear" w:color="auto" w:fill="auto"/>
            <w:vAlign w:val="center"/>
          </w:tcPr>
          <w:p w14:paraId="53363EEE">
            <w:pPr>
              <w:spacing w:line="480" w:lineRule="exact"/>
              <w:ind w:firstLine="480" w:firstLineChars="200"/>
              <w:jc w:val="center"/>
              <w:rPr>
                <w:u w:val="single"/>
              </w:rPr>
            </w:pPr>
          </w:p>
        </w:tc>
      </w:tr>
      <w:tr w14:paraId="4177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40" w:type="dxa"/>
            <w:vMerge w:val="continue"/>
            <w:shd w:val="clear" w:color="auto" w:fill="auto"/>
            <w:vAlign w:val="center"/>
          </w:tcPr>
          <w:p w14:paraId="110F207C">
            <w:pPr>
              <w:spacing w:line="480" w:lineRule="exact"/>
              <w:rPr>
                <w:rFonts w:hint="eastAsia" w:ascii="宋体" w:hAnsi="宋体" w:eastAsia="宋体" w:cs="宋体"/>
                <w:sz w:val="21"/>
                <w:szCs w:val="21"/>
                <w:u w:val="none"/>
              </w:rPr>
            </w:pPr>
          </w:p>
        </w:tc>
        <w:tc>
          <w:tcPr>
            <w:tcW w:w="986" w:type="dxa"/>
            <w:shd w:val="clear" w:color="auto" w:fill="auto"/>
            <w:vAlign w:val="center"/>
          </w:tcPr>
          <w:p w14:paraId="3F7778E7">
            <w:pPr>
              <w:spacing w:line="480" w:lineRule="exact"/>
              <w:jc w:val="left"/>
              <w:rPr>
                <w:rFonts w:hint="eastAsia" w:ascii="宋体" w:hAnsi="宋体" w:eastAsia="宋体" w:cs="宋体"/>
                <w:sz w:val="21"/>
                <w:szCs w:val="21"/>
                <w:u w:val="none"/>
              </w:rPr>
            </w:pPr>
            <w:r>
              <w:rPr>
                <w:rFonts w:hint="eastAsia" w:ascii="宋体" w:hAnsi="宋体" w:eastAsia="宋体" w:cs="宋体"/>
                <w:sz w:val="21"/>
                <w:szCs w:val="21"/>
                <w:u w:val="none"/>
              </w:rPr>
              <w:t>3人</w:t>
            </w:r>
          </w:p>
        </w:tc>
        <w:tc>
          <w:tcPr>
            <w:tcW w:w="1461" w:type="dxa"/>
            <w:shd w:val="clear" w:color="auto" w:fill="auto"/>
            <w:vAlign w:val="center"/>
          </w:tcPr>
          <w:p w14:paraId="3E65A239">
            <w:pPr>
              <w:spacing w:line="480" w:lineRule="exact"/>
              <w:rPr>
                <w:rFonts w:hint="eastAsia" w:ascii="宋体" w:hAnsi="宋体" w:eastAsia="宋体" w:cs="宋体"/>
                <w:sz w:val="21"/>
                <w:szCs w:val="21"/>
              </w:rPr>
            </w:pPr>
            <w:r>
              <w:rPr>
                <w:rFonts w:hint="eastAsia" w:ascii="宋体" w:hAnsi="宋体" w:eastAsia="宋体" w:cs="宋体"/>
                <w:sz w:val="21"/>
                <w:szCs w:val="21"/>
              </w:rPr>
              <w:t>初级职称</w:t>
            </w:r>
          </w:p>
          <w:p w14:paraId="78F7895C">
            <w:pPr>
              <w:spacing w:line="480" w:lineRule="exact"/>
              <w:rPr>
                <w:rFonts w:hint="eastAsia" w:ascii="宋体" w:hAnsi="宋体" w:eastAsia="宋体" w:cs="宋体"/>
                <w:sz w:val="21"/>
                <w:szCs w:val="21"/>
              </w:rPr>
            </w:pPr>
            <w:r>
              <w:rPr>
                <w:rFonts w:hint="eastAsia" w:ascii="宋体" w:hAnsi="宋体" w:eastAsia="宋体" w:cs="宋体"/>
                <w:sz w:val="21"/>
                <w:szCs w:val="21"/>
                <w:u w:val="none"/>
                <w:lang w:eastAsia="zh-CN"/>
              </w:rPr>
              <w:t>本科以上</w:t>
            </w:r>
          </w:p>
        </w:tc>
        <w:tc>
          <w:tcPr>
            <w:tcW w:w="3834" w:type="dxa"/>
            <w:shd w:val="clear" w:color="auto" w:fill="auto"/>
            <w:vAlign w:val="center"/>
          </w:tcPr>
          <w:p w14:paraId="3CA3AE50">
            <w:pPr>
              <w:spacing w:line="480" w:lineRule="exact"/>
              <w:rPr>
                <w:sz w:val="21"/>
                <w:szCs w:val="21"/>
              </w:rPr>
            </w:pPr>
            <w:r>
              <w:rPr>
                <w:rFonts w:hint="eastAsia"/>
                <w:sz w:val="21"/>
                <w:szCs w:val="21"/>
              </w:rPr>
              <w:t>具备工程类初级职称，工作经验三年及以上</w:t>
            </w:r>
          </w:p>
        </w:tc>
        <w:tc>
          <w:tcPr>
            <w:tcW w:w="677" w:type="dxa"/>
            <w:shd w:val="clear" w:color="auto" w:fill="auto"/>
            <w:vAlign w:val="center"/>
          </w:tcPr>
          <w:p w14:paraId="14043259">
            <w:pPr>
              <w:spacing w:line="480" w:lineRule="exact"/>
              <w:ind w:firstLine="480" w:firstLineChars="200"/>
              <w:jc w:val="center"/>
              <w:rPr>
                <w:u w:val="single"/>
              </w:rPr>
            </w:pPr>
          </w:p>
        </w:tc>
      </w:tr>
    </w:tbl>
    <w:p w14:paraId="68826F85">
      <w:pPr>
        <w:spacing w:line="480" w:lineRule="exact"/>
        <w:ind w:firstLine="480" w:firstLineChars="200"/>
        <w:jc w:val="both"/>
      </w:pPr>
      <w:r>
        <w:t>3、投标文件中载明的专业人员即为招标单位提供服务实际人员，需提供连续缴纳不少于3个月的社保证明，未经招标单位书面签字盖章同意，中标单位中标后不能更换</w:t>
      </w:r>
      <w:r>
        <w:rPr>
          <w:rFonts w:hint="eastAsia"/>
          <w:lang w:eastAsia="zh-CN"/>
        </w:rPr>
        <w:t>，</w:t>
      </w:r>
      <w:r>
        <w:rPr>
          <w:rFonts w:hint="eastAsia"/>
          <w:lang w:val="en-US" w:eastAsia="zh-CN"/>
        </w:rPr>
        <w:t>且更换人员的资质不得低于被更换人员的资质</w:t>
      </w:r>
      <w:r>
        <w:t>。投标单位应自行解决工作条件、期间所需费用，招标单位不再另外支付任何费用。</w:t>
      </w:r>
    </w:p>
    <w:p w14:paraId="5DCFB6D0">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kern w:val="44"/>
          <w:szCs w:val="44"/>
        </w:rPr>
      </w:pPr>
      <w:r>
        <w:rPr>
          <w:rFonts w:hint="eastAsia" w:ascii="Times New Roman" w:hAnsi="Times New Roman" w:cs="Times New Roman"/>
          <w:b/>
          <w:bCs/>
          <w:kern w:val="44"/>
          <w:szCs w:val="44"/>
        </w:rPr>
        <w:t>五、考核方式/验收办法</w:t>
      </w:r>
    </w:p>
    <w:p w14:paraId="07976A2F">
      <w:pPr>
        <w:spacing w:line="480" w:lineRule="exact"/>
        <w:ind w:firstLine="480" w:firstLineChars="200"/>
        <w:jc w:val="both"/>
      </w:pPr>
      <w:r>
        <w:rPr>
          <w:rFonts w:hint="eastAsia"/>
        </w:rPr>
        <w:t>（一）服务监督</w:t>
      </w:r>
    </w:p>
    <w:p w14:paraId="00856194">
      <w:pPr>
        <w:spacing w:line="480" w:lineRule="exact"/>
        <w:ind w:firstLine="480" w:firstLineChars="200"/>
        <w:jc w:val="both"/>
      </w:pPr>
      <w:r>
        <w:rPr>
          <w:rFonts w:hint="eastAsia"/>
        </w:rPr>
        <w:t>1、</w:t>
      </w:r>
      <w:r>
        <w:rPr>
          <w:rFonts w:hint="eastAsia"/>
          <w:lang w:eastAsia="zh-CN"/>
        </w:rPr>
        <w:t>中</w:t>
      </w:r>
      <w:r>
        <w:rPr>
          <w:rFonts w:hint="eastAsia"/>
        </w:rPr>
        <w:t>标单位应在履行项目过程中，接受招标单位对工作进行抽查。招标单位有权根据招标文件、投标文件及本合同约定的采购标准、采购内容等事项进行抽查，对抽查中发现的问题，要求中标单位进行纠正并追究有关违约责任。</w:t>
      </w:r>
    </w:p>
    <w:p w14:paraId="1E175ECB">
      <w:pPr>
        <w:spacing w:line="480" w:lineRule="exact"/>
        <w:ind w:firstLine="480" w:firstLineChars="200"/>
        <w:jc w:val="both"/>
      </w:pPr>
      <w:r>
        <w:rPr>
          <w:rFonts w:hint="eastAsia"/>
        </w:rPr>
        <w:t>2、中标单位应在服务期结束后向招标单位提交工作成果（报告、台账等）。招标单位负责听取中标单位工作成果，并结合抽查记录对服务过程及最终服务效果进行验收，对</w:t>
      </w:r>
      <w:r>
        <w:rPr>
          <w:rFonts w:hint="eastAsia"/>
          <w:lang w:val="en-US" w:eastAsia="zh-CN"/>
        </w:rPr>
        <w:t>中</w:t>
      </w:r>
      <w:r>
        <w:rPr>
          <w:rFonts w:hint="eastAsia"/>
        </w:rPr>
        <w:t>标单位的服务情况及成果运用作出履约评价。</w:t>
      </w:r>
    </w:p>
    <w:p w14:paraId="13253773">
      <w:pPr>
        <w:spacing w:line="480" w:lineRule="exact"/>
        <w:ind w:firstLine="480" w:firstLineChars="200"/>
        <w:jc w:val="both"/>
      </w:pPr>
      <w:r>
        <w:rPr>
          <w:rFonts w:hint="eastAsia"/>
        </w:rPr>
        <w:t>3、由于</w:t>
      </w:r>
      <w:r>
        <w:rPr>
          <w:rFonts w:hint="eastAsia"/>
          <w:lang w:eastAsia="zh-CN"/>
        </w:rPr>
        <w:t>中</w:t>
      </w:r>
      <w:r>
        <w:rPr>
          <w:rFonts w:hint="eastAsia"/>
        </w:rPr>
        <w:t>标单位原因，造成在合同约定期限内未能完成服务内容、服务内容未达约定标准或者履约评价不合格的，招标单位有权要求</w:t>
      </w:r>
      <w:r>
        <w:rPr>
          <w:rFonts w:hint="eastAsia"/>
          <w:lang w:eastAsia="zh-CN"/>
        </w:rPr>
        <w:t>中</w:t>
      </w:r>
      <w:r>
        <w:rPr>
          <w:rFonts w:hint="eastAsia"/>
        </w:rPr>
        <w:t xml:space="preserve">标单位在指定期限内进行整改，直至招标单位验收通过。 </w:t>
      </w:r>
    </w:p>
    <w:p w14:paraId="3CCDD0AA">
      <w:pPr>
        <w:spacing w:line="480" w:lineRule="exact"/>
        <w:ind w:firstLine="480" w:firstLineChars="200"/>
        <w:jc w:val="both"/>
        <w:rPr>
          <w:sz w:val="21"/>
          <w:szCs w:val="21"/>
          <w:u w:val="single"/>
        </w:rPr>
      </w:pPr>
      <w:r>
        <w:rPr>
          <w:rFonts w:hint="eastAsia"/>
        </w:rPr>
        <w:t>4、</w:t>
      </w:r>
      <w:r>
        <w:rPr>
          <w:rFonts w:hint="eastAsia"/>
          <w:sz w:val="21"/>
          <w:szCs w:val="21"/>
          <w:u w:val="single"/>
        </w:rPr>
        <w:t xml:space="preserve">                                                                                     </w:t>
      </w:r>
    </w:p>
    <w:p w14:paraId="0983D433">
      <w:pPr>
        <w:spacing w:line="480" w:lineRule="exact"/>
        <w:ind w:firstLine="480" w:firstLineChars="200"/>
        <w:jc w:val="both"/>
      </w:pPr>
      <w:r>
        <w:rPr>
          <w:rFonts w:hint="eastAsia"/>
        </w:rPr>
        <w:t>（二）项目验收</w:t>
      </w:r>
    </w:p>
    <w:p w14:paraId="3BABC21A">
      <w:pPr>
        <w:spacing w:line="480" w:lineRule="exact"/>
        <w:ind w:firstLine="480" w:firstLineChars="200"/>
        <w:jc w:val="both"/>
        <w:rPr>
          <w:u w:val="single"/>
        </w:rPr>
      </w:pPr>
      <w:r>
        <w:rPr>
          <w:rFonts w:hint="eastAsia"/>
        </w:rPr>
        <w:t>1、中标单位应当在合同约定的服务期限内完成项目工作并汇总以下工作成果，向招标单位交付以供验收：</w:t>
      </w:r>
    </w:p>
    <w:p w14:paraId="6CD9C8D2">
      <w:pPr>
        <w:spacing w:line="480" w:lineRule="exact"/>
        <w:ind w:firstLine="480" w:firstLineChars="200"/>
        <w:jc w:val="both"/>
      </w:pPr>
      <w:r>
        <w:rPr>
          <w:rFonts w:hint="eastAsia"/>
        </w:rPr>
        <w:t>（1）工作报告；</w:t>
      </w:r>
    </w:p>
    <w:p w14:paraId="37D06DB5">
      <w:pPr>
        <w:spacing w:line="480" w:lineRule="exact"/>
        <w:ind w:firstLine="480" w:firstLineChars="200"/>
        <w:jc w:val="both"/>
      </w:pPr>
      <w:r>
        <w:rPr>
          <w:rFonts w:hint="eastAsia"/>
        </w:rPr>
        <w:t>（2）工作记录(包括但不限于：台账、</w:t>
      </w:r>
      <w:r>
        <w:rPr>
          <w:rFonts w:hint="eastAsia"/>
          <w:u w:val="single"/>
        </w:rPr>
        <w:t xml:space="preserve"> 图片 </w:t>
      </w:r>
      <w:r>
        <w:rPr>
          <w:rFonts w:hint="eastAsia"/>
        </w:rPr>
        <w:t>等)；</w:t>
      </w:r>
    </w:p>
    <w:p w14:paraId="6FEDAFF0">
      <w:pPr>
        <w:spacing w:line="480" w:lineRule="exact"/>
        <w:ind w:firstLine="480" w:firstLineChars="200"/>
        <w:jc w:val="both"/>
      </w:pPr>
      <w:r>
        <w:rPr>
          <w:rFonts w:hint="eastAsia"/>
        </w:rPr>
        <w:t>（3）</w:t>
      </w:r>
      <w:r>
        <w:rPr>
          <w:rFonts w:hint="eastAsia"/>
          <w:i/>
          <w:iCs/>
          <w:u w:val="single"/>
        </w:rPr>
        <w:t xml:space="preserve">        </w:t>
      </w:r>
      <w:r>
        <w:rPr>
          <w:rFonts w:hint="eastAsia"/>
        </w:rPr>
        <w:t xml:space="preserve">。 </w:t>
      </w:r>
    </w:p>
    <w:p w14:paraId="12969AAE">
      <w:pPr>
        <w:widowControl w:val="0"/>
        <w:spacing w:line="480" w:lineRule="exact"/>
        <w:ind w:firstLine="480" w:firstLineChars="200"/>
      </w:pPr>
      <w:r>
        <w:rPr>
          <w:rFonts w:hint="eastAsia"/>
        </w:rPr>
        <w:t xml:space="preserve">2、相应工作记录及工作报告等按时录入深圳市南山区城市建设智能管理平台存档。  </w:t>
      </w:r>
    </w:p>
    <w:p w14:paraId="147697F6">
      <w:pPr>
        <w:keepNext/>
        <w:keepLines/>
        <w:widowControl w:val="0"/>
        <w:adjustRightInd w:val="0"/>
        <w:spacing w:before="156" w:beforeLines="50" w:after="156" w:afterLines="50" w:line="480" w:lineRule="exact"/>
        <w:textAlignment w:val="baseline"/>
        <w:outlineLvl w:val="1"/>
        <w:rPr>
          <w:rFonts w:ascii="Times New Roman" w:hAnsi="Times New Roman" w:cs="Times New Roman"/>
          <w:b/>
          <w:bCs/>
          <w:kern w:val="44"/>
          <w:szCs w:val="44"/>
        </w:rPr>
      </w:pPr>
      <w:r>
        <w:rPr>
          <w:rFonts w:hint="eastAsia" w:ascii="Times New Roman" w:hAnsi="Times New Roman" w:cs="Times New Roman"/>
          <w:b/>
          <w:bCs/>
          <w:kern w:val="44"/>
          <w:szCs w:val="44"/>
        </w:rPr>
        <w:t>六、服务费用及支付方式</w:t>
      </w:r>
    </w:p>
    <w:p w14:paraId="2EDB81A5">
      <w:pPr>
        <w:widowControl w:val="0"/>
        <w:spacing w:line="480" w:lineRule="exact"/>
        <w:ind w:firstLine="480" w:firstLineChars="200"/>
      </w:pPr>
      <w:r>
        <w:rPr>
          <w:rFonts w:hint="eastAsia"/>
        </w:rPr>
        <w:t>投标单位的投标报价应包括服务成本、法定税费、自身利润以及其他一切不可预见的费用。投标单位根据招标文件所提供的资料自行测算投标报价，一经中标，投标报价总价作为中标单位与招标单位签订的合同服务费用总额；除另有约定外，合同期限内不作调整。招标单位付款前，</w:t>
      </w:r>
      <w:r>
        <w:rPr>
          <w:rFonts w:hint="eastAsia"/>
          <w:lang w:val="en-US" w:eastAsia="zh-CN"/>
        </w:rPr>
        <w:t>中</w:t>
      </w:r>
      <w:r>
        <w:rPr>
          <w:rFonts w:hint="eastAsia"/>
        </w:rPr>
        <w:t>标单位均应开具正规发票给到招标单位。除第一期款外，</w:t>
      </w:r>
      <w:r>
        <w:rPr>
          <w:rFonts w:hint="eastAsia"/>
          <w:lang w:val="en-US" w:eastAsia="zh-CN"/>
        </w:rPr>
        <w:t>中</w:t>
      </w:r>
      <w:r>
        <w:rPr>
          <w:rFonts w:hint="eastAsia"/>
        </w:rPr>
        <w:t>标单位须向招标单位提供相应工作成果文件；招标单位须提供对投标单位服务的抽查记录，以深圳市南山区城市建设智能管理平台成果台账记录作为支付证明。本项目服务费用按以下方式支付：</w:t>
      </w:r>
    </w:p>
    <w:p w14:paraId="39E421EF">
      <w:pPr>
        <w:spacing w:line="480" w:lineRule="exact"/>
        <w:ind w:firstLine="480" w:firstLineChars="200"/>
        <w:rPr>
          <w:szCs w:val="21"/>
        </w:rPr>
      </w:pPr>
      <w:r>
        <w:rPr>
          <w:rFonts w:hint="eastAsia"/>
          <w:szCs w:val="21"/>
        </w:rPr>
        <w:t>第一期</w:t>
      </w:r>
      <w:r>
        <w:rPr>
          <w:szCs w:val="21"/>
        </w:rPr>
        <w:t>：</w:t>
      </w:r>
      <w:r>
        <w:rPr>
          <w:rFonts w:hint="eastAsia"/>
          <w:szCs w:val="21"/>
        </w:rPr>
        <w:t>本合同签订之日起</w:t>
      </w:r>
      <w:r>
        <w:rPr>
          <w:rFonts w:hint="eastAsia"/>
          <w:bCs/>
          <w:szCs w:val="21"/>
          <w:u w:val="none"/>
          <w:lang w:val="en-US" w:eastAsia="zh-CN"/>
        </w:rPr>
        <w:t>10</w:t>
      </w:r>
      <w:r>
        <w:rPr>
          <w:rFonts w:hint="eastAsia"/>
          <w:bCs/>
          <w:szCs w:val="21"/>
          <w:u w:val="single"/>
          <w:lang w:val="en-US" w:eastAsia="zh-CN"/>
        </w:rPr>
        <w:t>个工作</w:t>
      </w:r>
      <w:r>
        <w:rPr>
          <w:rFonts w:hint="eastAsia"/>
          <w:szCs w:val="21"/>
        </w:rPr>
        <w:t>日内，且收到乙方开具的符合财务要求的发票后，甲方向乙方支付服务费用人民币</w:t>
      </w:r>
      <w:r>
        <w:rPr>
          <w:rFonts w:hint="eastAsia"/>
          <w:szCs w:val="21"/>
          <w:u w:val="single"/>
        </w:rPr>
        <w:t xml:space="preserve"> </w:t>
      </w:r>
      <w:r>
        <w:rPr>
          <w:szCs w:val="21"/>
          <w:u w:val="single"/>
        </w:rPr>
        <w:t xml:space="preserve">        </w:t>
      </w:r>
      <w:r>
        <w:rPr>
          <w:rFonts w:hint="eastAsia"/>
          <w:szCs w:val="21"/>
        </w:rPr>
        <w:t>元整，大写</w:t>
      </w:r>
      <w:r>
        <w:rPr>
          <w:bCs/>
          <w:szCs w:val="21"/>
          <w:u w:val="single"/>
        </w:rPr>
        <w:t xml:space="preserve">   </w:t>
      </w:r>
      <w:r>
        <w:rPr>
          <w:rFonts w:hint="eastAsia"/>
          <w:bCs/>
          <w:szCs w:val="21"/>
          <w:u w:val="single"/>
        </w:rPr>
        <w:t xml:space="preserve"> </w:t>
      </w:r>
      <w:r>
        <w:rPr>
          <w:bCs/>
          <w:szCs w:val="21"/>
          <w:u w:val="single"/>
        </w:rPr>
        <w:t xml:space="preserve">    </w:t>
      </w:r>
      <w:r>
        <w:rPr>
          <w:rFonts w:hint="eastAsia"/>
          <w:szCs w:val="21"/>
        </w:rPr>
        <w:t>元整（占总费用的</w:t>
      </w:r>
      <w:r>
        <w:rPr>
          <w:rFonts w:hint="eastAsia"/>
          <w:szCs w:val="21"/>
          <w:lang w:val="en-US" w:eastAsia="zh-CN"/>
        </w:rPr>
        <w:t>3</w:t>
      </w:r>
      <w:r>
        <w:rPr>
          <w:szCs w:val="21"/>
        </w:rPr>
        <w:t>0%）</w:t>
      </w:r>
      <w:r>
        <w:rPr>
          <w:rFonts w:hint="eastAsia"/>
          <w:bCs/>
          <w:szCs w:val="21"/>
        </w:rPr>
        <w:t>；</w:t>
      </w:r>
    </w:p>
    <w:p w14:paraId="0437753C">
      <w:pPr>
        <w:spacing w:line="480" w:lineRule="exact"/>
        <w:ind w:firstLine="480" w:firstLineChars="200"/>
        <w:rPr>
          <w:szCs w:val="21"/>
        </w:rPr>
      </w:pPr>
      <w:r>
        <w:rPr>
          <w:rFonts w:hint="eastAsia"/>
          <w:szCs w:val="21"/>
        </w:rPr>
        <w:t>第二期：乙方提供验收合格的成果报告及成果文件、深圳市南山区城市建设智能管理平台工作成果台账记录等电子资料，经甲方复核合格后</w:t>
      </w:r>
      <w:r>
        <w:rPr>
          <w:rFonts w:hint="eastAsia"/>
          <w:szCs w:val="21"/>
          <w:lang w:val="en-US" w:eastAsia="zh-CN"/>
        </w:rPr>
        <w:t>10</w:t>
      </w:r>
      <w:r>
        <w:rPr>
          <w:szCs w:val="21"/>
        </w:rPr>
        <w:t>个工作日内，甲方支付乙方人民币</w:t>
      </w:r>
      <w:r>
        <w:rPr>
          <w:szCs w:val="21"/>
          <w:u w:val="single"/>
        </w:rPr>
        <w:t xml:space="preserve">        </w:t>
      </w:r>
      <w:r>
        <w:rPr>
          <w:rFonts w:hint="eastAsia"/>
          <w:szCs w:val="21"/>
        </w:rPr>
        <w:t>元整，大写</w:t>
      </w:r>
      <w:r>
        <w:rPr>
          <w:szCs w:val="21"/>
          <w:u w:val="single"/>
        </w:rPr>
        <w:t xml:space="preserve">  </w:t>
      </w:r>
      <w:r>
        <w:rPr>
          <w:rFonts w:hint="eastAsia"/>
          <w:szCs w:val="21"/>
          <w:u w:val="single"/>
        </w:rPr>
        <w:t xml:space="preserve"> </w:t>
      </w:r>
      <w:r>
        <w:rPr>
          <w:szCs w:val="21"/>
          <w:u w:val="single"/>
        </w:rPr>
        <w:t xml:space="preserve">     </w:t>
      </w:r>
      <w:r>
        <w:rPr>
          <w:rFonts w:hint="eastAsia"/>
          <w:szCs w:val="21"/>
        </w:rPr>
        <w:t>元整（占总费用的</w:t>
      </w:r>
      <w:r>
        <w:rPr>
          <w:rFonts w:hint="eastAsia"/>
          <w:szCs w:val="21"/>
          <w:lang w:val="en-US" w:eastAsia="zh-CN"/>
        </w:rPr>
        <w:t>2</w:t>
      </w:r>
      <w:r>
        <w:rPr>
          <w:rFonts w:hint="default"/>
          <w:szCs w:val="21"/>
          <w:lang w:val="en-US" w:eastAsia="zh-CN"/>
        </w:rPr>
        <w:t>0</w:t>
      </w:r>
      <w:r>
        <w:rPr>
          <w:rFonts w:hint="eastAsia"/>
          <w:szCs w:val="21"/>
        </w:rPr>
        <w:t>%）；</w:t>
      </w:r>
    </w:p>
    <w:p w14:paraId="27192D6A">
      <w:pPr>
        <w:spacing w:line="480" w:lineRule="exact"/>
        <w:ind w:firstLine="480" w:firstLineChars="200"/>
        <w:rPr>
          <w:szCs w:val="21"/>
        </w:rPr>
      </w:pPr>
      <w:r>
        <w:rPr>
          <w:rFonts w:hint="eastAsia"/>
          <w:szCs w:val="21"/>
        </w:rPr>
        <w:t>第三期：服务期到期</w:t>
      </w:r>
      <w:r>
        <w:rPr>
          <w:rFonts w:hint="eastAsia"/>
          <w:szCs w:val="21"/>
          <w:lang w:val="en-US" w:eastAsia="zh-CN"/>
        </w:rPr>
        <w:t>之日起10个工作</w:t>
      </w:r>
      <w:r>
        <w:rPr>
          <w:rFonts w:hint="eastAsia"/>
          <w:szCs w:val="21"/>
        </w:rPr>
        <w:t>日内，乙方完成本项目全部服务，由甲方进行验收并进行履约评价，履约评价表（报告）中要完整体现约定的服务内容绩效完成情况。验收通过且履约评价合格的，甲方在</w:t>
      </w:r>
      <w:r>
        <w:rPr>
          <w:rFonts w:hint="eastAsia"/>
          <w:szCs w:val="21"/>
          <w:lang w:val="en-US" w:eastAsia="zh-CN"/>
        </w:rPr>
        <w:t>10个工作</w:t>
      </w:r>
      <w:r>
        <w:rPr>
          <w:szCs w:val="21"/>
        </w:rPr>
        <w:t>日内向乙方支付服务费用人民币</w:t>
      </w:r>
      <w:r>
        <w:rPr>
          <w:szCs w:val="21"/>
          <w:u w:val="single"/>
        </w:rPr>
        <w:t xml:space="preserve">         </w:t>
      </w:r>
      <w:r>
        <w:rPr>
          <w:rFonts w:hint="eastAsia"/>
          <w:szCs w:val="21"/>
        </w:rPr>
        <w:t>元整，大写</w:t>
      </w:r>
      <w:r>
        <w:rPr>
          <w:rFonts w:hint="eastAsia"/>
          <w:szCs w:val="21"/>
          <w:u w:val="single"/>
        </w:rPr>
        <w:t xml:space="preserve"> </w:t>
      </w:r>
      <w:r>
        <w:rPr>
          <w:szCs w:val="21"/>
          <w:u w:val="single"/>
        </w:rPr>
        <w:t xml:space="preserve">         </w:t>
      </w:r>
      <w:r>
        <w:rPr>
          <w:rFonts w:hint="eastAsia"/>
          <w:szCs w:val="21"/>
        </w:rPr>
        <w:t>元整（占总费用的</w:t>
      </w:r>
      <w:r>
        <w:rPr>
          <w:rFonts w:hint="default"/>
          <w:szCs w:val="21"/>
          <w:lang w:val="en-US" w:eastAsia="zh-CN"/>
        </w:rPr>
        <w:t>50</w:t>
      </w:r>
      <w:r>
        <w:rPr>
          <w:rFonts w:hint="eastAsia"/>
          <w:szCs w:val="21"/>
        </w:rPr>
        <w:t>%）。</w:t>
      </w:r>
    </w:p>
    <w:p w14:paraId="34C5F9B8">
      <w:pPr>
        <w:widowControl w:val="0"/>
        <w:spacing w:line="480" w:lineRule="exact"/>
        <w:ind w:firstLine="480" w:firstLineChars="200"/>
        <w:rPr>
          <w:highlight w:val="yellow"/>
        </w:rPr>
      </w:pPr>
      <w:r>
        <w:rPr>
          <w:rFonts w:hint="eastAsia"/>
        </w:rPr>
        <w:t>备注：以上金额是中标单位正常履约情况下的支付金额，若履行过程中出现合同所约定违约情形的，当期应付费用须扣除相应违约金后再行支付。</w:t>
      </w:r>
    </w:p>
    <w:p w14:paraId="045F906D">
      <w:pPr>
        <w:keepNext/>
        <w:keepLines/>
        <w:widowControl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七、本项目定标方法</w:t>
      </w:r>
    </w:p>
    <w:p w14:paraId="2C080E1A">
      <w:pPr>
        <w:spacing w:line="480" w:lineRule="exact"/>
        <w:ind w:firstLine="480" w:firstLineChars="200"/>
        <w:jc w:val="both"/>
      </w:pPr>
      <w:r>
        <w:rPr>
          <w:rFonts w:hint="eastAsia"/>
        </w:rPr>
        <w:t>采用综合评分法，评标结果按评审后得分由高到低顺序排列。得分相同的，按投标报价由低到高顺序排列。得分且投标报价相同的并列，中标单位的确定由招标单位综合考虑单位实力、服务方案、服务人员等进行选定。</w:t>
      </w:r>
    </w:p>
    <w:p w14:paraId="0AE7674D">
      <w:pPr>
        <w:keepNext/>
        <w:keepLines/>
        <w:widowControl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八、注意事项</w:t>
      </w:r>
    </w:p>
    <w:p w14:paraId="2E9C92AD">
      <w:pPr>
        <w:spacing w:line="480" w:lineRule="exact"/>
        <w:ind w:firstLine="480" w:firstLineChars="200"/>
        <w:jc w:val="both"/>
      </w:pPr>
      <w:r>
        <w:rPr>
          <w:rFonts w:hint="eastAsia"/>
        </w:rPr>
        <w:t>1、中标单位不得将项目非法分包或转包给任何单位和个人。否则，招标单位有权解除合同，并要求中标单位赔偿相应损失。</w:t>
      </w:r>
    </w:p>
    <w:p w14:paraId="193F174E">
      <w:pPr>
        <w:spacing w:line="480" w:lineRule="exact"/>
        <w:ind w:firstLine="480" w:firstLineChars="200"/>
        <w:jc w:val="both"/>
      </w:pPr>
      <w:r>
        <w:rPr>
          <w:rFonts w:hint="eastAsia"/>
        </w:rPr>
        <w:t>2、投标单位若认为招标文件的技术要求或其他要求有倾向性或不公正性，可向招标单位提出解释请求，以维护招标行为的公平、公正。</w:t>
      </w:r>
    </w:p>
    <w:p w14:paraId="14D23F32">
      <w:pPr>
        <w:spacing w:line="480" w:lineRule="exact"/>
        <w:ind w:firstLine="480" w:firstLineChars="200"/>
        <w:jc w:val="both"/>
      </w:pPr>
      <w:r>
        <w:rPr>
          <w:rFonts w:hint="eastAsia"/>
        </w:rPr>
        <w:t>3、投标单位使用的标准必须是国际公认或国家、或地方政府颁布的同等或更高的标准。如投标单位使用的标准低于上述标准，投标单位必须列表将明显的差异详细说明，招标单位有权不予接受。</w:t>
      </w:r>
    </w:p>
    <w:p w14:paraId="56F28B43">
      <w:pPr>
        <w:spacing w:line="480" w:lineRule="exact"/>
        <w:ind w:firstLine="480" w:firstLineChars="200"/>
        <w:jc w:val="both"/>
      </w:pPr>
      <w:r>
        <w:rPr>
          <w:rFonts w:hint="eastAsia"/>
        </w:rPr>
        <w:t>4、投标单位所提交的投标文件对技术参数和各项要求的响应应当列出具体内容。如果投标单位只注明“符合”或“满足”，将被视为“不符合”，并可能严重影响评标结果。</w:t>
      </w:r>
    </w:p>
    <w:p w14:paraId="1DC85775">
      <w:pPr>
        <w:spacing w:line="480" w:lineRule="exact"/>
        <w:ind w:firstLine="480" w:firstLineChars="200"/>
        <w:jc w:val="both"/>
      </w:pPr>
      <w:r>
        <w:rPr>
          <w:rFonts w:hint="eastAsia"/>
        </w:rPr>
        <w:t>5、《深圳经济特区政府采购条例》规定：供应商在政府采购中，未按该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供应商必须诚信投标，对项目需求响应真实性负责。</w:t>
      </w:r>
    </w:p>
    <w:p w14:paraId="74B1B49E">
      <w:pPr>
        <w:spacing w:line="480" w:lineRule="exact"/>
        <w:ind w:firstLine="480" w:firstLineChars="200"/>
        <w:jc w:val="both"/>
      </w:pPr>
      <w:r>
        <w:rPr>
          <w:rFonts w:hint="eastAsia"/>
        </w:rPr>
        <w:t>6、对采购文件中描述有歧义或前后不一致的地方，招标单位有权进行评判，但对同一条款的评判应适用于每个投标单位。</w:t>
      </w:r>
    </w:p>
    <w:p w14:paraId="5F47AB8D">
      <w:pPr>
        <w:spacing w:line="480" w:lineRule="exact"/>
        <w:ind w:firstLine="480" w:firstLineChars="200"/>
        <w:jc w:val="both"/>
      </w:pPr>
      <w:r>
        <w:rPr>
          <w:rFonts w:hint="eastAsia"/>
        </w:rPr>
        <w:t>7、《政府采购货物和服务招标投标管理办法》（财政部令第87号）规定：采购人认为投标单位的报价明显低于其他通过符合性审查投标单位的报价，有可能影响产品质量或者不能诚信履约的，应当要求其在合理的时间内提供书面说明，必要时提交相关证明材料；投标单位不能证明其报价合理性的，采购人应当将其作为无效投标处理。</w:t>
      </w:r>
    </w:p>
    <w:p w14:paraId="08E3F943">
      <w:pPr>
        <w:spacing w:line="480" w:lineRule="exact"/>
        <w:ind w:firstLine="480" w:firstLineChars="200"/>
        <w:jc w:val="both"/>
      </w:pPr>
      <w:r>
        <w:rPr>
          <w:rFonts w:hint="eastAsia"/>
        </w:rPr>
        <w:t>8、若供应商在政府采购活动中出现《深圳经济特区政府采购条例实施细则》</w:t>
      </w:r>
      <w:r>
        <w:rPr>
          <w:rFonts w:hint="eastAsia"/>
          <w:lang w:eastAsia="zh-CN"/>
        </w:rPr>
        <w:t>（</w:t>
      </w:r>
      <w:r>
        <w:rPr>
          <w:rFonts w:hint="eastAsia"/>
          <w:lang w:val="en-US" w:eastAsia="zh-CN"/>
        </w:rPr>
        <w:t>2022年修订）</w:t>
      </w:r>
      <w:r>
        <w:rPr>
          <w:rFonts w:hint="eastAsia"/>
        </w:rPr>
        <w:t>第八十条规定情形的，采购人或招标机构可将有关情况报同级财政部门，由财政部门根据实际情况记入供应商诚信档案，予以通报。市、区财政部门将加大对违法违规供应商的惩戒力度，实施联合惩戒。</w:t>
      </w:r>
    </w:p>
    <w:p w14:paraId="44AD0B5B">
      <w:pPr>
        <w:spacing w:line="480" w:lineRule="exact"/>
        <w:ind w:firstLine="480" w:firstLineChars="200"/>
        <w:jc w:val="both"/>
      </w:pPr>
      <w:r>
        <w:rPr>
          <w:rFonts w:hint="eastAsia"/>
        </w:rPr>
        <w:t>9、根据《深圳市建立清理拖欠民营企业中小企业账款长效工作机制方案》和《南山区进一步完善清理拖欠民营企业中小企业账款长效工作机制方案》，要求各采购人应努力避免各类政府采购项目发生新的拖欠民营企业中小企业账款现象。</w:t>
      </w:r>
    </w:p>
    <w:p w14:paraId="694F5498">
      <w:pPr>
        <w:spacing w:line="480" w:lineRule="exact"/>
        <w:ind w:firstLine="480" w:firstLineChars="200"/>
        <w:jc w:val="both"/>
      </w:pPr>
      <w:r>
        <w:rPr>
          <w:rFonts w:hint="eastAsia"/>
        </w:rPr>
        <w:t>10、根据《关于促进政府采购公平竞争优化营商环境的通知》，招标单位将依法保障各类市场主体平等参与政府采购活动的权利，各投标单位应积极发挥自身优势，参与投标，充分竞争。</w:t>
      </w:r>
    </w:p>
    <w:p w14:paraId="329D30FB">
      <w:pPr>
        <w:spacing w:line="480" w:lineRule="exact"/>
        <w:ind w:firstLine="480" w:firstLineChars="200"/>
        <w:jc w:val="both"/>
      </w:pPr>
      <w:r>
        <w:rPr>
          <w:rFonts w:hint="eastAsia"/>
        </w:rPr>
        <w:t>若通过资格审查的供应商不足3名的，则本项目第一轮招标失败，须以体现充分竞争为目的，降低招标标准（评分因素）进行第二轮招标。</w:t>
      </w:r>
    </w:p>
    <w:p w14:paraId="4C0D4814">
      <w:pPr>
        <w:numPr>
          <w:ilvl w:val="0"/>
          <w:numId w:val="1"/>
        </w:numPr>
        <w:spacing w:line="480" w:lineRule="exact"/>
        <w:ind w:firstLine="480" w:firstLineChars="200"/>
        <w:jc w:val="both"/>
      </w:pPr>
      <w:r>
        <w:rPr>
          <w:rFonts w:hint="eastAsia"/>
        </w:rPr>
        <w:t>本次招标将通过“</w:t>
      </w:r>
      <w:r>
        <w:rPr>
          <w:rFonts w:hint="eastAsia"/>
          <w:lang w:val="en-US" w:eastAsia="zh-CN"/>
        </w:rPr>
        <w:t>南山区人民政府</w:t>
      </w:r>
      <w:r>
        <w:rPr>
          <w:rFonts w:hint="eastAsia"/>
        </w:rPr>
        <w:t>网站”发布招标公告。</w:t>
      </w:r>
    </w:p>
    <w:p w14:paraId="0B932AF5">
      <w:pPr>
        <w:numPr>
          <w:ilvl w:val="0"/>
          <w:numId w:val="1"/>
        </w:numPr>
        <w:ind w:firstLine="241"/>
      </w:pPr>
      <w:r>
        <w:rPr>
          <w:rFonts w:hint="eastAsia"/>
        </w:rPr>
        <w:br w:type="page"/>
      </w:r>
    </w:p>
    <w:p w14:paraId="3A657D0C">
      <w:pPr>
        <w:ind w:firstLine="643" w:firstLineChars="200"/>
        <w:jc w:val="center"/>
        <w:rPr>
          <w:rFonts w:ascii="Times New Roman" w:hAnsi="Times New Roman" w:cs="Times New Roman"/>
          <w:b/>
          <w:bCs/>
          <w:kern w:val="44"/>
          <w:sz w:val="32"/>
          <w:szCs w:val="52"/>
        </w:rPr>
      </w:pPr>
      <w:r>
        <w:rPr>
          <w:rFonts w:hint="eastAsia" w:ascii="Times New Roman" w:hAnsi="Times New Roman" w:cs="Times New Roman"/>
          <w:b/>
          <w:bCs/>
          <w:kern w:val="44"/>
          <w:sz w:val="32"/>
          <w:szCs w:val="52"/>
        </w:rPr>
        <w:t>第三章</w:t>
      </w:r>
      <w:r>
        <w:rPr>
          <w:rFonts w:ascii="Times New Roman" w:hAnsi="Times New Roman" w:cs="Times New Roman"/>
          <w:b/>
          <w:bCs/>
          <w:kern w:val="44"/>
          <w:sz w:val="32"/>
          <w:szCs w:val="52"/>
        </w:rPr>
        <w:t xml:space="preserve"> </w:t>
      </w:r>
      <w:r>
        <w:rPr>
          <w:rFonts w:hint="eastAsia" w:ascii="Times New Roman" w:hAnsi="Times New Roman" w:cs="Times New Roman"/>
          <w:b/>
          <w:bCs/>
          <w:kern w:val="44"/>
          <w:sz w:val="32"/>
          <w:szCs w:val="52"/>
          <w:lang w:val="en-US" w:eastAsia="zh-CN"/>
        </w:rPr>
        <w:t xml:space="preserve"> </w:t>
      </w:r>
      <w:r>
        <w:rPr>
          <w:rFonts w:hint="eastAsia" w:ascii="Times New Roman" w:hAnsi="Times New Roman" w:cs="Times New Roman"/>
          <w:b/>
          <w:bCs/>
          <w:kern w:val="44"/>
          <w:sz w:val="32"/>
          <w:szCs w:val="52"/>
        </w:rPr>
        <w:t>定标信息</w:t>
      </w:r>
    </w:p>
    <w:p w14:paraId="6E01E8D5">
      <w:pPr>
        <w:pStyle w:val="9"/>
      </w:pPr>
    </w:p>
    <w:tbl>
      <w:tblPr>
        <w:tblStyle w:val="19"/>
        <w:tblW w:w="10205" w:type="dxa"/>
        <w:jc w:val="center"/>
        <w:tblCellSpacing w:w="0" w:type="dxa"/>
        <w:tblLayout w:type="fixed"/>
        <w:tblCellMar>
          <w:top w:w="36" w:type="dxa"/>
          <w:left w:w="36" w:type="dxa"/>
          <w:bottom w:w="36" w:type="dxa"/>
          <w:right w:w="36" w:type="dxa"/>
        </w:tblCellMar>
      </w:tblPr>
      <w:tblGrid>
        <w:gridCol w:w="7427"/>
        <w:gridCol w:w="1712"/>
        <w:gridCol w:w="1066"/>
      </w:tblGrid>
      <w:tr w14:paraId="74FC4420">
        <w:tblPrEx>
          <w:tblCellMar>
            <w:top w:w="36" w:type="dxa"/>
            <w:left w:w="36" w:type="dxa"/>
            <w:bottom w:w="36" w:type="dxa"/>
            <w:right w:w="36" w:type="dxa"/>
          </w:tblCellMar>
        </w:tblPrEx>
        <w:trPr>
          <w:gridAfter w:val="1"/>
          <w:wAfter w:w="1066" w:type="dxa"/>
          <w:trHeight w:val="420" w:hRule="atLeast"/>
          <w:tblCellSpacing w:w="0" w:type="dxa"/>
          <w:jc w:val="center"/>
        </w:trPr>
        <w:tc>
          <w:tcPr>
            <w:tcW w:w="7427" w:type="dxa"/>
            <w:tcBorders>
              <w:top w:val="nil"/>
              <w:left w:val="nil"/>
              <w:bottom w:val="nil"/>
              <w:right w:val="nil"/>
            </w:tcBorders>
            <w:vAlign w:val="center"/>
          </w:tcPr>
          <w:p w14:paraId="2F3F6623">
            <w:pPr>
              <w:rPr>
                <w:b/>
                <w:bCs/>
              </w:rPr>
            </w:pPr>
            <w:r>
              <w:rPr>
                <w:rFonts w:hint="eastAsia"/>
                <w:b/>
                <w:bCs/>
              </w:rPr>
              <w:t>定</w:t>
            </w:r>
            <w:r>
              <w:rPr>
                <w:b/>
                <w:bCs/>
              </w:rPr>
              <w:t>标方法：综合评分法</w:t>
            </w:r>
          </w:p>
        </w:tc>
        <w:tc>
          <w:tcPr>
            <w:tcW w:w="1712" w:type="dxa"/>
            <w:tcBorders>
              <w:top w:val="nil"/>
              <w:left w:val="nil"/>
              <w:bottom w:val="nil"/>
              <w:right w:val="nil"/>
            </w:tcBorders>
            <w:vAlign w:val="center"/>
          </w:tcPr>
          <w:p w14:paraId="3DC55DF5">
            <w:pPr>
              <w:jc w:val="right"/>
              <w:rPr>
                <w:b/>
                <w:bCs/>
              </w:rPr>
            </w:pPr>
          </w:p>
        </w:tc>
      </w:tr>
      <w:tr w14:paraId="09C0BC49">
        <w:tblPrEx>
          <w:tblCellMar>
            <w:top w:w="36" w:type="dxa"/>
            <w:left w:w="36" w:type="dxa"/>
            <w:bottom w:w="36" w:type="dxa"/>
            <w:right w:w="36" w:type="dxa"/>
          </w:tblCellMar>
        </w:tblPrEx>
        <w:trPr>
          <w:trHeight w:val="9372" w:hRule="atLeast"/>
          <w:tblCellSpacing w:w="0" w:type="dxa"/>
          <w:jc w:val="center"/>
        </w:trPr>
        <w:tc>
          <w:tcPr>
            <w:tcW w:w="10205" w:type="dxa"/>
            <w:gridSpan w:val="3"/>
            <w:tcBorders>
              <w:top w:val="nil"/>
              <w:left w:val="nil"/>
              <w:bottom w:val="nil"/>
              <w:right w:val="nil"/>
            </w:tcBorders>
            <w:vAlign w:val="center"/>
          </w:tcPr>
          <w:p w14:paraId="32EC1CAF">
            <w:pPr>
              <w:pStyle w:val="15"/>
              <w:spacing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综合评分法，是指投标文件满足招标文件全部实质性要求，且按照评审因素的量化指标评审得分最高的投标单位为中标候选人的评标方法。 </w:t>
            </w:r>
          </w:p>
          <w:p w14:paraId="792509A6">
            <w:pPr>
              <w:pStyle w:val="15"/>
              <w:spacing w:beforeAutospacing="0" w:afterAutospacing="0"/>
              <w:ind w:firstLine="420"/>
              <w:rPr>
                <w:sz w:val="21"/>
                <w:szCs w:val="21"/>
              </w:rPr>
            </w:pPr>
            <w:r>
              <w:rPr>
                <w:sz w:val="21"/>
                <w:szCs w:val="21"/>
              </w:rPr>
              <w:t xml:space="preserve">价格分计算方法：采用低价优先法计算，即满足招标文件要求且投标价格最低的投标报价为评标基准价，其价格分为满分。其他投标单位的价格分统一按照下列公式计算： </w:t>
            </w:r>
            <w:r>
              <w:rPr>
                <w:sz w:val="21"/>
                <w:szCs w:val="21"/>
              </w:rPr>
              <w:br w:type="textWrapping"/>
            </w:r>
            <w:r>
              <w:rPr>
                <w:sz w:val="21"/>
                <w:szCs w:val="21"/>
              </w:rPr>
              <w:t>投标报价得分=(评标基准价／投标报价)×</w:t>
            </w:r>
            <w:r>
              <w:rPr>
                <w:rFonts w:hint="eastAsia"/>
                <w:sz w:val="21"/>
                <w:szCs w:val="21"/>
              </w:rPr>
              <w:t>权重</w:t>
            </w:r>
            <w:r>
              <w:rPr>
                <w:sz w:val="21"/>
                <w:szCs w:val="21"/>
              </w:rPr>
              <w:t xml:space="preserve">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tbl>
            <w:tblPr>
              <w:tblStyle w:val="19"/>
              <w:tblpPr w:leftFromText="180" w:rightFromText="180" w:vertAnchor="text" w:horzAnchor="page" w:tblpX="1" w:tblpY="335"/>
              <w:tblOverlap w:val="never"/>
              <w:tblW w:w="98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397"/>
              <w:gridCol w:w="323"/>
              <w:gridCol w:w="1095"/>
              <w:gridCol w:w="727"/>
              <w:gridCol w:w="3726"/>
              <w:gridCol w:w="3248"/>
              <w:gridCol w:w="331"/>
            </w:tblGrid>
            <w:tr w14:paraId="2B425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tcBorders>
                    <w:top w:val="single" w:color="000000" w:sz="8" w:space="0"/>
                    <w:left w:val="single" w:color="000000" w:sz="8" w:space="0"/>
                    <w:bottom w:val="single" w:color="000000" w:sz="8" w:space="0"/>
                    <w:right w:val="single" w:color="auto" w:sz="4" w:space="0"/>
                  </w:tcBorders>
                  <w:shd w:val="clear" w:color="auto" w:fill="E6EFFA"/>
                  <w:vAlign w:val="center"/>
                </w:tcPr>
                <w:p w14:paraId="00B654CD">
                  <w:pPr>
                    <w:wordWrap w:val="0"/>
                    <w:jc w:val="center"/>
                    <w:rPr>
                      <w:b/>
                      <w:bCs/>
                      <w:i w:val="0"/>
                      <w:iCs w:val="0"/>
                      <w:sz w:val="21"/>
                      <w:szCs w:val="21"/>
                    </w:rPr>
                  </w:pPr>
                  <w:bookmarkStart w:id="10" w:name="OLE_LINK1"/>
                  <w:r>
                    <w:rPr>
                      <w:b/>
                      <w:bCs/>
                      <w:i w:val="0"/>
                      <w:iCs w:val="0"/>
                      <w:sz w:val="21"/>
                      <w:szCs w:val="21"/>
                    </w:rPr>
                    <w:t>序号</w:t>
                  </w:r>
                </w:p>
              </w:tc>
              <w:tc>
                <w:tcPr>
                  <w:tcW w:w="2145" w:type="dxa"/>
                  <w:gridSpan w:val="3"/>
                  <w:tcBorders>
                    <w:top w:val="single" w:color="auto" w:sz="4" w:space="0"/>
                    <w:left w:val="single" w:color="auto" w:sz="4" w:space="0"/>
                    <w:bottom w:val="single" w:color="auto" w:sz="4" w:space="0"/>
                    <w:right w:val="single" w:color="auto" w:sz="4" w:space="0"/>
                  </w:tcBorders>
                  <w:shd w:val="clear" w:color="auto" w:fill="E6EFFA"/>
                  <w:vAlign w:val="center"/>
                </w:tcPr>
                <w:p w14:paraId="50336703">
                  <w:pPr>
                    <w:wordWrap w:val="0"/>
                    <w:jc w:val="center"/>
                    <w:rPr>
                      <w:b/>
                      <w:bCs/>
                      <w:i w:val="0"/>
                      <w:iCs w:val="0"/>
                      <w:sz w:val="21"/>
                      <w:szCs w:val="21"/>
                    </w:rPr>
                  </w:pPr>
                  <w:r>
                    <w:rPr>
                      <w:b/>
                      <w:bCs/>
                      <w:i w:val="0"/>
                      <w:iCs w:val="0"/>
                      <w:sz w:val="21"/>
                      <w:szCs w:val="21"/>
                    </w:rPr>
                    <w:t>评分项</w:t>
                  </w:r>
                </w:p>
              </w:tc>
              <w:tc>
                <w:tcPr>
                  <w:tcW w:w="3726" w:type="dxa"/>
                  <w:tcBorders>
                    <w:top w:val="single" w:color="auto" w:sz="4" w:space="0"/>
                    <w:left w:val="single" w:color="auto" w:sz="4" w:space="0"/>
                    <w:bottom w:val="single" w:color="auto" w:sz="4" w:space="0"/>
                    <w:right w:val="single" w:color="auto" w:sz="4" w:space="0"/>
                  </w:tcBorders>
                  <w:shd w:val="clear" w:color="auto" w:fill="E6EFFA"/>
                  <w:vAlign w:val="center"/>
                </w:tcPr>
                <w:p w14:paraId="75C56322">
                  <w:pPr>
                    <w:wordWrap w:val="0"/>
                    <w:jc w:val="center"/>
                    <w:rPr>
                      <w:b/>
                      <w:bCs/>
                      <w:i w:val="0"/>
                      <w:iCs w:val="0"/>
                      <w:sz w:val="21"/>
                      <w:szCs w:val="21"/>
                    </w:rPr>
                  </w:pPr>
                  <w:r>
                    <w:rPr>
                      <w:rFonts w:hint="eastAsia"/>
                      <w:b/>
                      <w:bCs/>
                      <w:i w:val="0"/>
                      <w:iCs w:val="0"/>
                      <w:sz w:val="21"/>
                      <w:szCs w:val="21"/>
                    </w:rPr>
                    <w:t>权重（%）</w:t>
                  </w:r>
                </w:p>
              </w:tc>
              <w:tc>
                <w:tcPr>
                  <w:tcW w:w="3248" w:type="dxa"/>
                  <w:tcBorders>
                    <w:top w:val="single" w:color="auto" w:sz="4" w:space="0"/>
                    <w:left w:val="single" w:color="auto" w:sz="4" w:space="0"/>
                    <w:bottom w:val="single" w:color="auto" w:sz="4" w:space="0"/>
                    <w:right w:val="single" w:color="auto" w:sz="4" w:space="0"/>
                  </w:tcBorders>
                  <w:shd w:val="clear" w:color="auto" w:fill="E6EFFA"/>
                  <w:vAlign w:val="center"/>
                </w:tcPr>
                <w:p w14:paraId="3F3A0DBD">
                  <w:pPr>
                    <w:jc w:val="center"/>
                    <w:rPr>
                      <w:b/>
                      <w:bCs/>
                      <w:i w:val="0"/>
                      <w:iCs w:val="0"/>
                      <w:sz w:val="21"/>
                      <w:szCs w:val="21"/>
                    </w:rPr>
                  </w:pPr>
                  <w:r>
                    <w:rPr>
                      <w:rFonts w:hint="eastAsia"/>
                      <w:b/>
                      <w:bCs/>
                      <w:i w:val="0"/>
                      <w:iCs w:val="0"/>
                      <w:sz w:val="21"/>
                      <w:szCs w:val="21"/>
                    </w:rPr>
                    <w:t>备注</w:t>
                  </w:r>
                </w:p>
              </w:tc>
              <w:tc>
                <w:tcPr>
                  <w:tcW w:w="331" w:type="dxa"/>
                  <w:tcBorders>
                    <w:top w:val="single" w:color="auto" w:sz="4" w:space="0"/>
                    <w:left w:val="single" w:color="auto" w:sz="4" w:space="0"/>
                    <w:bottom w:val="single" w:color="auto" w:sz="4" w:space="0"/>
                    <w:right w:val="single" w:color="auto" w:sz="4" w:space="0"/>
                  </w:tcBorders>
                  <w:shd w:val="clear" w:color="auto" w:fill="E6EFFA"/>
                  <w:vAlign w:val="center"/>
                </w:tcPr>
                <w:p w14:paraId="083E9B11">
                  <w:pPr>
                    <w:wordWrap w:val="0"/>
                    <w:jc w:val="center"/>
                    <w:rPr>
                      <w:b/>
                      <w:bCs/>
                      <w:sz w:val="21"/>
                      <w:szCs w:val="21"/>
                    </w:rPr>
                  </w:pPr>
                  <w:r>
                    <w:rPr>
                      <w:rFonts w:hint="eastAsia"/>
                      <w:b/>
                      <w:bCs/>
                      <w:sz w:val="21"/>
                      <w:szCs w:val="21"/>
                    </w:rPr>
                    <w:t>得分</w:t>
                  </w:r>
                </w:p>
              </w:tc>
            </w:tr>
            <w:tr w14:paraId="70AF0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vMerge w:val="restart"/>
                  <w:tcBorders>
                    <w:top w:val="single" w:color="000000" w:sz="8" w:space="0"/>
                    <w:left w:val="single" w:color="000000" w:sz="8" w:space="0"/>
                    <w:right w:val="single" w:color="auto" w:sz="4" w:space="0"/>
                  </w:tcBorders>
                  <w:vAlign w:val="center"/>
                </w:tcPr>
                <w:p w14:paraId="6D038ADD">
                  <w:pPr>
                    <w:wordWrap w:val="0"/>
                    <w:jc w:val="center"/>
                    <w:rPr>
                      <w:b/>
                      <w:bCs/>
                      <w:i w:val="0"/>
                      <w:iCs w:val="0"/>
                    </w:rPr>
                  </w:pPr>
                  <w:r>
                    <w:rPr>
                      <w:rFonts w:hint="eastAsia"/>
                      <w:b/>
                      <w:bCs/>
                      <w:i w:val="0"/>
                      <w:iCs w:val="0"/>
                    </w:rPr>
                    <w:t>1</w:t>
                  </w: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554CEEA3">
                  <w:pPr>
                    <w:wordWrap w:val="0"/>
                    <w:jc w:val="center"/>
                    <w:rPr>
                      <w:b/>
                      <w:bCs/>
                      <w:i w:val="0"/>
                      <w:iCs w:val="0"/>
                    </w:rPr>
                  </w:pPr>
                  <w:r>
                    <w:rPr>
                      <w:rFonts w:hint="eastAsia"/>
                      <w:b/>
                      <w:bCs/>
                      <w:i w:val="0"/>
                      <w:iCs w:val="0"/>
                    </w:rPr>
                    <w:t>价格</w:t>
                  </w:r>
                </w:p>
              </w:tc>
              <w:tc>
                <w:tcPr>
                  <w:tcW w:w="3726" w:type="dxa"/>
                  <w:tcBorders>
                    <w:top w:val="single" w:color="auto" w:sz="4" w:space="0"/>
                    <w:left w:val="single" w:color="auto" w:sz="4" w:space="0"/>
                    <w:bottom w:val="single" w:color="auto" w:sz="4" w:space="0"/>
                    <w:right w:val="single" w:color="auto" w:sz="4" w:space="0"/>
                  </w:tcBorders>
                  <w:vAlign w:val="center"/>
                </w:tcPr>
                <w:p w14:paraId="0D6516BC">
                  <w:pPr>
                    <w:wordWrap w:val="0"/>
                    <w:jc w:val="center"/>
                    <w:rPr>
                      <w:b/>
                      <w:bCs/>
                      <w:i w:val="0"/>
                      <w:iCs w:val="0"/>
                    </w:rPr>
                  </w:pPr>
                  <w:r>
                    <w:rPr>
                      <w:rFonts w:hint="eastAsia"/>
                      <w:b/>
                      <w:bCs/>
                      <w:i w:val="0"/>
                      <w:iCs w:val="0"/>
                    </w:rPr>
                    <w:t>20</w:t>
                  </w:r>
                </w:p>
              </w:tc>
              <w:tc>
                <w:tcPr>
                  <w:tcW w:w="3248" w:type="dxa"/>
                  <w:tcBorders>
                    <w:top w:val="single" w:color="auto" w:sz="4" w:space="0"/>
                    <w:left w:val="single" w:color="auto" w:sz="4" w:space="0"/>
                    <w:bottom w:val="single" w:color="auto" w:sz="4" w:space="0"/>
                    <w:right w:val="single" w:color="auto" w:sz="4" w:space="0"/>
                  </w:tcBorders>
                  <w:vAlign w:val="center"/>
                </w:tcPr>
                <w:p w14:paraId="2FDEAE5A">
                  <w:pPr>
                    <w:wordWrap w:val="0"/>
                    <w:rPr>
                      <w:b/>
                      <w:bCs/>
                      <w:i w:val="0"/>
                      <w:iCs w:val="0"/>
                    </w:rPr>
                  </w:pPr>
                </w:p>
              </w:tc>
              <w:tc>
                <w:tcPr>
                  <w:tcW w:w="331" w:type="dxa"/>
                  <w:tcBorders>
                    <w:top w:val="single" w:color="auto" w:sz="4" w:space="0"/>
                    <w:left w:val="single" w:color="auto" w:sz="4" w:space="0"/>
                    <w:bottom w:val="single" w:color="auto" w:sz="4" w:space="0"/>
                    <w:right w:val="single" w:color="auto" w:sz="4" w:space="0"/>
                  </w:tcBorders>
                  <w:vAlign w:val="center"/>
                </w:tcPr>
                <w:p w14:paraId="3A442B2F">
                  <w:pPr>
                    <w:wordWrap w:val="0"/>
                    <w:jc w:val="center"/>
                    <w:rPr>
                      <w:b/>
                      <w:bCs/>
                    </w:rPr>
                  </w:pPr>
                </w:p>
              </w:tc>
            </w:tr>
            <w:tr w14:paraId="5F328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vMerge w:val="continue"/>
                  <w:tcBorders>
                    <w:left w:val="single" w:color="000000" w:sz="8" w:space="0"/>
                    <w:right w:val="single" w:color="auto" w:sz="4" w:space="0"/>
                  </w:tcBorders>
                  <w:shd w:val="clear" w:color="auto" w:fill="E6EFFA"/>
                  <w:vAlign w:val="center"/>
                </w:tcPr>
                <w:p w14:paraId="09207AA1">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shd w:val="clear" w:color="auto" w:fill="E6EFFA"/>
                  <w:vAlign w:val="center"/>
                </w:tcPr>
                <w:p w14:paraId="3FFE98A7">
                  <w:pPr>
                    <w:wordWrap w:val="0"/>
                    <w:jc w:val="center"/>
                    <w:rPr>
                      <w:i w:val="0"/>
                      <w:iCs w:val="0"/>
                      <w:sz w:val="21"/>
                      <w:szCs w:val="21"/>
                    </w:rPr>
                  </w:pPr>
                  <w:r>
                    <w:rPr>
                      <w:i w:val="0"/>
                      <w:iCs w:val="0"/>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E6EFFA"/>
                  <w:vAlign w:val="center"/>
                </w:tcPr>
                <w:p w14:paraId="4D62B51E">
                  <w:pPr>
                    <w:wordWrap w:val="0"/>
                    <w:jc w:val="center"/>
                    <w:rPr>
                      <w:i w:val="0"/>
                      <w:iCs w:val="0"/>
                      <w:sz w:val="21"/>
                      <w:szCs w:val="21"/>
                    </w:rPr>
                  </w:pPr>
                  <w:r>
                    <w:rPr>
                      <w:i w:val="0"/>
                      <w:iCs w:val="0"/>
                      <w:sz w:val="21"/>
                      <w:szCs w:val="21"/>
                    </w:rPr>
                    <w:t>评分因素</w:t>
                  </w:r>
                </w:p>
              </w:tc>
              <w:tc>
                <w:tcPr>
                  <w:tcW w:w="727" w:type="dxa"/>
                  <w:tcBorders>
                    <w:top w:val="single" w:color="auto" w:sz="4" w:space="0"/>
                    <w:left w:val="single" w:color="auto" w:sz="4" w:space="0"/>
                    <w:bottom w:val="single" w:color="auto" w:sz="4" w:space="0"/>
                    <w:right w:val="single" w:color="auto" w:sz="4" w:space="0"/>
                  </w:tcBorders>
                  <w:shd w:val="clear" w:color="auto" w:fill="E6EFFA"/>
                  <w:vAlign w:val="center"/>
                </w:tcPr>
                <w:p w14:paraId="42769BDE">
                  <w:pPr>
                    <w:wordWrap w:val="0"/>
                    <w:jc w:val="center"/>
                    <w:rPr>
                      <w:i w:val="0"/>
                      <w:iCs w:val="0"/>
                      <w:sz w:val="21"/>
                      <w:szCs w:val="21"/>
                    </w:rPr>
                  </w:pPr>
                  <w:r>
                    <w:rPr>
                      <w:rFonts w:hint="eastAsia"/>
                      <w:i w:val="0"/>
                      <w:iCs w:val="0"/>
                      <w:sz w:val="21"/>
                      <w:szCs w:val="21"/>
                    </w:rPr>
                    <w:t>总分</w:t>
                  </w:r>
                </w:p>
              </w:tc>
              <w:tc>
                <w:tcPr>
                  <w:tcW w:w="3726" w:type="dxa"/>
                  <w:tcBorders>
                    <w:top w:val="single" w:color="auto" w:sz="4" w:space="0"/>
                    <w:left w:val="single" w:color="auto" w:sz="4" w:space="0"/>
                    <w:bottom w:val="single" w:color="auto" w:sz="4" w:space="0"/>
                    <w:right w:val="single" w:color="auto" w:sz="4" w:space="0"/>
                  </w:tcBorders>
                  <w:shd w:val="clear" w:color="auto" w:fill="E6EFFA"/>
                  <w:vAlign w:val="center"/>
                </w:tcPr>
                <w:p w14:paraId="4E33B496">
                  <w:pPr>
                    <w:wordWrap w:val="0"/>
                    <w:jc w:val="center"/>
                    <w:rPr>
                      <w:i w:val="0"/>
                      <w:iCs w:val="0"/>
                      <w:sz w:val="21"/>
                      <w:szCs w:val="21"/>
                    </w:rPr>
                  </w:pPr>
                  <w:r>
                    <w:rPr>
                      <w:rFonts w:hint="eastAsia"/>
                      <w:i w:val="0"/>
                      <w:iCs w:val="0"/>
                      <w:sz w:val="21"/>
                      <w:szCs w:val="21"/>
                    </w:rPr>
                    <w:t>评分准则</w:t>
                  </w:r>
                </w:p>
              </w:tc>
              <w:tc>
                <w:tcPr>
                  <w:tcW w:w="3248" w:type="dxa"/>
                  <w:tcBorders>
                    <w:top w:val="single" w:color="auto" w:sz="4" w:space="0"/>
                    <w:left w:val="single" w:color="auto" w:sz="4" w:space="0"/>
                    <w:bottom w:val="single" w:color="auto" w:sz="4" w:space="0"/>
                    <w:right w:val="single" w:color="auto" w:sz="4" w:space="0"/>
                  </w:tcBorders>
                  <w:shd w:val="clear" w:color="auto" w:fill="E6EFFA"/>
                  <w:vAlign w:val="center"/>
                </w:tcPr>
                <w:p w14:paraId="7DFD6C5C">
                  <w:pPr>
                    <w:jc w:val="center"/>
                    <w:rPr>
                      <w:i w:val="0"/>
                      <w:iCs w:val="0"/>
                      <w:sz w:val="21"/>
                      <w:szCs w:val="21"/>
                    </w:rPr>
                  </w:pPr>
                  <w:r>
                    <w:rPr>
                      <w:rFonts w:hint="eastAsia"/>
                      <w:i w:val="0"/>
                      <w:iCs w:val="0"/>
                      <w:sz w:val="21"/>
                      <w:szCs w:val="21"/>
                    </w:rPr>
                    <w:t>备注</w:t>
                  </w:r>
                </w:p>
              </w:tc>
              <w:tc>
                <w:tcPr>
                  <w:tcW w:w="331" w:type="dxa"/>
                  <w:tcBorders>
                    <w:top w:val="single" w:color="auto" w:sz="4" w:space="0"/>
                    <w:left w:val="single" w:color="auto" w:sz="4" w:space="0"/>
                    <w:bottom w:val="single" w:color="auto" w:sz="4" w:space="0"/>
                    <w:right w:val="single" w:color="auto" w:sz="4" w:space="0"/>
                  </w:tcBorders>
                  <w:shd w:val="clear" w:color="auto" w:fill="E6EFFA"/>
                  <w:vAlign w:val="center"/>
                </w:tcPr>
                <w:p w14:paraId="7AD908B1">
                  <w:pPr>
                    <w:wordWrap w:val="0"/>
                    <w:jc w:val="center"/>
                    <w:rPr>
                      <w:sz w:val="21"/>
                      <w:szCs w:val="21"/>
                    </w:rPr>
                  </w:pPr>
                  <w:r>
                    <w:rPr>
                      <w:rFonts w:hint="eastAsia"/>
                      <w:sz w:val="21"/>
                      <w:szCs w:val="21"/>
                    </w:rPr>
                    <w:t>得分</w:t>
                  </w:r>
                </w:p>
              </w:tc>
            </w:tr>
            <w:tr w14:paraId="33CCE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397" w:type="dxa"/>
                  <w:vMerge w:val="continue"/>
                  <w:tcBorders>
                    <w:left w:val="single" w:color="000000" w:sz="8" w:space="0"/>
                    <w:right w:val="single" w:color="auto" w:sz="4" w:space="0"/>
                  </w:tcBorders>
                  <w:vAlign w:val="center"/>
                </w:tcPr>
                <w:p w14:paraId="40CAA2FF">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vAlign w:val="center"/>
                </w:tcPr>
                <w:p w14:paraId="182BCE14">
                  <w:pPr>
                    <w:wordWrap w:val="0"/>
                    <w:jc w:val="center"/>
                    <w:rPr>
                      <w:i w:val="0"/>
                      <w:iCs w:val="0"/>
                      <w:sz w:val="21"/>
                      <w:szCs w:val="21"/>
                    </w:rPr>
                  </w:pPr>
                  <w:r>
                    <w:rPr>
                      <w:i w:val="0"/>
                      <w:iCs w:val="0"/>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14:paraId="77EE40F8">
                  <w:pPr>
                    <w:wordWrap w:val="0"/>
                    <w:jc w:val="center"/>
                    <w:rPr>
                      <w:i w:val="0"/>
                      <w:iCs w:val="0"/>
                      <w:sz w:val="21"/>
                      <w:szCs w:val="21"/>
                      <w:u w:val="single"/>
                    </w:rPr>
                  </w:pPr>
                  <w:r>
                    <w:rPr>
                      <w:rFonts w:hint="eastAsia"/>
                      <w:i w:val="0"/>
                      <w:iCs w:val="0"/>
                      <w:sz w:val="21"/>
                      <w:szCs w:val="21"/>
                      <w:u w:val="single"/>
                    </w:rPr>
                    <w:t>报价金额</w:t>
                  </w:r>
                </w:p>
              </w:tc>
              <w:tc>
                <w:tcPr>
                  <w:tcW w:w="727" w:type="dxa"/>
                  <w:tcBorders>
                    <w:top w:val="single" w:color="auto" w:sz="4" w:space="0"/>
                    <w:left w:val="single" w:color="auto" w:sz="4" w:space="0"/>
                    <w:bottom w:val="single" w:color="auto" w:sz="4" w:space="0"/>
                    <w:right w:val="single" w:color="auto" w:sz="4" w:space="0"/>
                  </w:tcBorders>
                  <w:vAlign w:val="center"/>
                </w:tcPr>
                <w:p w14:paraId="0B39AF96">
                  <w:pPr>
                    <w:wordWrap w:val="0"/>
                    <w:jc w:val="center"/>
                    <w:rPr>
                      <w:i w:val="0"/>
                      <w:iCs w:val="0"/>
                      <w:sz w:val="21"/>
                      <w:szCs w:val="21"/>
                    </w:rPr>
                  </w:pPr>
                  <w:r>
                    <w:rPr>
                      <w:i w:val="0"/>
                      <w:iCs w:val="0"/>
                      <w:sz w:val="21"/>
                      <w:szCs w:val="21"/>
                    </w:rPr>
                    <w:t>20</w:t>
                  </w:r>
                </w:p>
              </w:tc>
              <w:tc>
                <w:tcPr>
                  <w:tcW w:w="3726" w:type="dxa"/>
                  <w:tcBorders>
                    <w:top w:val="single" w:color="auto" w:sz="4" w:space="0"/>
                    <w:left w:val="single" w:color="auto" w:sz="4" w:space="0"/>
                    <w:bottom w:val="single" w:color="auto" w:sz="4" w:space="0"/>
                    <w:right w:val="single" w:color="auto" w:sz="4" w:space="0"/>
                  </w:tcBorders>
                  <w:vAlign w:val="center"/>
                </w:tcPr>
                <w:p w14:paraId="11B76B6C">
                  <w:pPr>
                    <w:jc w:val="center"/>
                    <w:rPr>
                      <w:i w:val="0"/>
                      <w:iCs w:val="0"/>
                      <w:sz w:val="21"/>
                      <w:szCs w:val="21"/>
                    </w:rPr>
                  </w:pPr>
                  <w:r>
                    <w:rPr>
                      <w:i w:val="0"/>
                      <w:iCs w:val="0"/>
                      <w:sz w:val="21"/>
                      <w:szCs w:val="21"/>
                    </w:rPr>
                    <w:t>得分=评标基准价</w:t>
                  </w:r>
                  <w:r>
                    <w:rPr>
                      <w:rFonts w:hint="eastAsia"/>
                      <w:i w:val="0"/>
                      <w:iCs w:val="0"/>
                      <w:sz w:val="21"/>
                      <w:szCs w:val="21"/>
                    </w:rPr>
                    <w:t>÷</w:t>
                  </w:r>
                  <w:r>
                    <w:rPr>
                      <w:i w:val="0"/>
                      <w:iCs w:val="0"/>
                      <w:sz w:val="21"/>
                      <w:szCs w:val="21"/>
                    </w:rPr>
                    <w:t>投标报价×</w:t>
                  </w:r>
                  <w:r>
                    <w:rPr>
                      <w:rFonts w:hint="eastAsia"/>
                      <w:i w:val="0"/>
                      <w:iCs w:val="0"/>
                      <w:sz w:val="21"/>
                      <w:szCs w:val="21"/>
                    </w:rPr>
                    <w:t>20</w:t>
                  </w:r>
                </w:p>
              </w:tc>
              <w:tc>
                <w:tcPr>
                  <w:tcW w:w="3248" w:type="dxa"/>
                  <w:tcBorders>
                    <w:top w:val="single" w:color="auto" w:sz="4" w:space="0"/>
                    <w:left w:val="single" w:color="auto" w:sz="4" w:space="0"/>
                    <w:bottom w:val="single" w:color="auto" w:sz="4" w:space="0"/>
                    <w:right w:val="single" w:color="auto" w:sz="4" w:space="0"/>
                  </w:tcBorders>
                  <w:vAlign w:val="center"/>
                </w:tcPr>
                <w:p w14:paraId="22606E62">
                  <w:pPr>
                    <w:rPr>
                      <w:i w:val="0"/>
                      <w:iCs w:val="0"/>
                      <w:sz w:val="21"/>
                      <w:szCs w:val="21"/>
                    </w:rPr>
                  </w:pPr>
                  <w:r>
                    <w:rPr>
                      <w:i w:val="0"/>
                      <w:iCs w:val="0"/>
                      <w:sz w:val="21"/>
                      <w:szCs w:val="21"/>
                    </w:rPr>
                    <w:t>评标基准价</w:t>
                  </w:r>
                  <w:r>
                    <w:rPr>
                      <w:rFonts w:hint="eastAsia"/>
                      <w:i w:val="0"/>
                      <w:iCs w:val="0"/>
                      <w:sz w:val="21"/>
                      <w:szCs w:val="21"/>
                    </w:rPr>
                    <w:t>为投标最低报价</w:t>
                  </w:r>
                </w:p>
              </w:tc>
              <w:tc>
                <w:tcPr>
                  <w:tcW w:w="331" w:type="dxa"/>
                  <w:tcBorders>
                    <w:top w:val="single" w:color="auto" w:sz="4" w:space="0"/>
                    <w:left w:val="single" w:color="auto" w:sz="4" w:space="0"/>
                    <w:bottom w:val="single" w:color="auto" w:sz="4" w:space="0"/>
                    <w:right w:val="single" w:color="auto" w:sz="4" w:space="0"/>
                  </w:tcBorders>
                  <w:vAlign w:val="center"/>
                </w:tcPr>
                <w:p w14:paraId="706BABEA">
                  <w:pPr>
                    <w:jc w:val="center"/>
                    <w:rPr>
                      <w:sz w:val="21"/>
                      <w:szCs w:val="21"/>
                    </w:rPr>
                  </w:pPr>
                </w:p>
              </w:tc>
            </w:tr>
            <w:tr w14:paraId="4FC7D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vMerge w:val="restart"/>
                  <w:tcBorders>
                    <w:top w:val="single" w:color="000000" w:sz="8" w:space="0"/>
                    <w:left w:val="single" w:color="000000" w:sz="8" w:space="0"/>
                    <w:right w:val="single" w:color="auto" w:sz="4" w:space="0"/>
                  </w:tcBorders>
                  <w:vAlign w:val="center"/>
                </w:tcPr>
                <w:p w14:paraId="503C18CC">
                  <w:pPr>
                    <w:wordWrap w:val="0"/>
                    <w:jc w:val="center"/>
                    <w:rPr>
                      <w:b/>
                      <w:bCs/>
                      <w:i w:val="0"/>
                      <w:iCs w:val="0"/>
                    </w:rPr>
                  </w:pPr>
                  <w:r>
                    <w:rPr>
                      <w:b/>
                      <w:bCs/>
                      <w:i w:val="0"/>
                      <w:iCs w:val="0"/>
                    </w:rPr>
                    <w:t>2</w:t>
                  </w: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49F1A051">
                  <w:pPr>
                    <w:wordWrap w:val="0"/>
                    <w:jc w:val="center"/>
                    <w:rPr>
                      <w:b/>
                      <w:bCs/>
                      <w:i w:val="0"/>
                      <w:iCs w:val="0"/>
                    </w:rPr>
                  </w:pPr>
                  <w:r>
                    <w:rPr>
                      <w:b/>
                      <w:bCs/>
                      <w:i w:val="0"/>
                      <w:iCs w:val="0"/>
                    </w:rPr>
                    <w:t>综合实力</w:t>
                  </w:r>
                </w:p>
              </w:tc>
              <w:tc>
                <w:tcPr>
                  <w:tcW w:w="3726" w:type="dxa"/>
                  <w:tcBorders>
                    <w:top w:val="single" w:color="auto" w:sz="4" w:space="0"/>
                    <w:left w:val="single" w:color="auto" w:sz="4" w:space="0"/>
                    <w:bottom w:val="single" w:color="auto" w:sz="4" w:space="0"/>
                    <w:right w:val="single" w:color="auto" w:sz="4" w:space="0"/>
                  </w:tcBorders>
                  <w:vAlign w:val="center"/>
                </w:tcPr>
                <w:p w14:paraId="4CF04405">
                  <w:pPr>
                    <w:wordWrap w:val="0"/>
                    <w:jc w:val="center"/>
                    <w:rPr>
                      <w:b/>
                      <w:bCs/>
                      <w:i w:val="0"/>
                      <w:iCs w:val="0"/>
                    </w:rPr>
                  </w:pPr>
                  <w:r>
                    <w:rPr>
                      <w:rFonts w:hint="eastAsia"/>
                      <w:b/>
                      <w:bCs/>
                      <w:i w:val="0"/>
                      <w:iCs w:val="0"/>
                    </w:rPr>
                    <w:t>25</w:t>
                  </w:r>
                </w:p>
              </w:tc>
              <w:tc>
                <w:tcPr>
                  <w:tcW w:w="3248" w:type="dxa"/>
                  <w:tcBorders>
                    <w:top w:val="single" w:color="auto" w:sz="4" w:space="0"/>
                    <w:left w:val="single" w:color="auto" w:sz="4" w:space="0"/>
                    <w:bottom w:val="single" w:color="auto" w:sz="4" w:space="0"/>
                    <w:right w:val="single" w:color="auto" w:sz="4" w:space="0"/>
                  </w:tcBorders>
                  <w:vAlign w:val="center"/>
                </w:tcPr>
                <w:p w14:paraId="27B09E18">
                  <w:pPr>
                    <w:wordWrap w:val="0"/>
                    <w:rPr>
                      <w:b/>
                      <w:bCs/>
                      <w:i w:val="0"/>
                      <w:iCs w:val="0"/>
                    </w:rPr>
                  </w:pPr>
                </w:p>
              </w:tc>
              <w:tc>
                <w:tcPr>
                  <w:tcW w:w="331" w:type="dxa"/>
                  <w:tcBorders>
                    <w:top w:val="single" w:color="auto" w:sz="4" w:space="0"/>
                    <w:left w:val="single" w:color="auto" w:sz="4" w:space="0"/>
                    <w:bottom w:val="single" w:color="auto" w:sz="4" w:space="0"/>
                    <w:right w:val="single" w:color="auto" w:sz="4" w:space="0"/>
                  </w:tcBorders>
                  <w:vAlign w:val="center"/>
                </w:tcPr>
                <w:p w14:paraId="348512C8">
                  <w:pPr>
                    <w:wordWrap w:val="0"/>
                    <w:jc w:val="center"/>
                    <w:rPr>
                      <w:b/>
                      <w:bCs/>
                    </w:rPr>
                  </w:pPr>
                </w:p>
              </w:tc>
            </w:tr>
            <w:tr w14:paraId="479EE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vMerge w:val="continue"/>
                  <w:tcBorders>
                    <w:left w:val="single" w:color="000000" w:sz="8" w:space="0"/>
                    <w:right w:val="single" w:color="auto" w:sz="4" w:space="0"/>
                  </w:tcBorders>
                  <w:shd w:val="clear" w:color="auto" w:fill="E6EFFA"/>
                  <w:vAlign w:val="center"/>
                </w:tcPr>
                <w:p w14:paraId="416A050C">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shd w:val="clear" w:color="auto" w:fill="E6EFFA"/>
                  <w:vAlign w:val="center"/>
                </w:tcPr>
                <w:p w14:paraId="489538FF">
                  <w:pPr>
                    <w:wordWrap w:val="0"/>
                    <w:jc w:val="center"/>
                    <w:rPr>
                      <w:i w:val="0"/>
                      <w:iCs w:val="0"/>
                      <w:sz w:val="21"/>
                      <w:szCs w:val="21"/>
                    </w:rPr>
                  </w:pPr>
                  <w:r>
                    <w:rPr>
                      <w:i w:val="0"/>
                      <w:iCs w:val="0"/>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E6EFFA"/>
                  <w:vAlign w:val="center"/>
                </w:tcPr>
                <w:p w14:paraId="3D37189A">
                  <w:pPr>
                    <w:wordWrap w:val="0"/>
                    <w:jc w:val="center"/>
                    <w:rPr>
                      <w:i w:val="0"/>
                      <w:iCs w:val="0"/>
                      <w:sz w:val="21"/>
                      <w:szCs w:val="21"/>
                    </w:rPr>
                  </w:pPr>
                  <w:r>
                    <w:rPr>
                      <w:i w:val="0"/>
                      <w:iCs w:val="0"/>
                      <w:sz w:val="21"/>
                      <w:szCs w:val="21"/>
                    </w:rPr>
                    <w:t>评分因素</w:t>
                  </w:r>
                </w:p>
              </w:tc>
              <w:tc>
                <w:tcPr>
                  <w:tcW w:w="727" w:type="dxa"/>
                  <w:tcBorders>
                    <w:top w:val="single" w:color="auto" w:sz="4" w:space="0"/>
                    <w:left w:val="single" w:color="auto" w:sz="4" w:space="0"/>
                    <w:bottom w:val="single" w:color="auto" w:sz="4" w:space="0"/>
                    <w:right w:val="single" w:color="auto" w:sz="4" w:space="0"/>
                  </w:tcBorders>
                  <w:shd w:val="clear" w:color="auto" w:fill="E6EFFA"/>
                  <w:vAlign w:val="center"/>
                </w:tcPr>
                <w:p w14:paraId="5E1F5B76">
                  <w:pPr>
                    <w:wordWrap w:val="0"/>
                    <w:jc w:val="center"/>
                    <w:rPr>
                      <w:i w:val="0"/>
                      <w:iCs w:val="0"/>
                      <w:sz w:val="21"/>
                      <w:szCs w:val="21"/>
                    </w:rPr>
                  </w:pPr>
                  <w:r>
                    <w:rPr>
                      <w:rFonts w:hint="eastAsia"/>
                      <w:i w:val="0"/>
                      <w:iCs w:val="0"/>
                      <w:sz w:val="21"/>
                      <w:szCs w:val="21"/>
                    </w:rPr>
                    <w:t>总分</w:t>
                  </w:r>
                </w:p>
              </w:tc>
              <w:tc>
                <w:tcPr>
                  <w:tcW w:w="3726" w:type="dxa"/>
                  <w:tcBorders>
                    <w:top w:val="single" w:color="auto" w:sz="4" w:space="0"/>
                    <w:left w:val="single" w:color="auto" w:sz="4" w:space="0"/>
                    <w:bottom w:val="single" w:color="auto" w:sz="4" w:space="0"/>
                    <w:right w:val="single" w:color="auto" w:sz="4" w:space="0"/>
                  </w:tcBorders>
                  <w:shd w:val="clear" w:color="auto" w:fill="E6EFFA"/>
                  <w:vAlign w:val="center"/>
                </w:tcPr>
                <w:p w14:paraId="7E6C3AEA">
                  <w:pPr>
                    <w:wordWrap w:val="0"/>
                    <w:jc w:val="center"/>
                    <w:rPr>
                      <w:i w:val="0"/>
                      <w:iCs w:val="0"/>
                      <w:sz w:val="21"/>
                      <w:szCs w:val="21"/>
                    </w:rPr>
                  </w:pPr>
                  <w:r>
                    <w:rPr>
                      <w:rFonts w:hint="eastAsia"/>
                      <w:i w:val="0"/>
                      <w:iCs w:val="0"/>
                      <w:sz w:val="21"/>
                      <w:szCs w:val="21"/>
                    </w:rPr>
                    <w:t>评分准则</w:t>
                  </w:r>
                </w:p>
              </w:tc>
              <w:tc>
                <w:tcPr>
                  <w:tcW w:w="3248" w:type="dxa"/>
                  <w:tcBorders>
                    <w:top w:val="single" w:color="auto" w:sz="4" w:space="0"/>
                    <w:left w:val="single" w:color="auto" w:sz="4" w:space="0"/>
                    <w:bottom w:val="single" w:color="auto" w:sz="4" w:space="0"/>
                    <w:right w:val="single" w:color="auto" w:sz="4" w:space="0"/>
                  </w:tcBorders>
                  <w:shd w:val="clear" w:color="auto" w:fill="E6EFFA"/>
                  <w:vAlign w:val="center"/>
                </w:tcPr>
                <w:p w14:paraId="0FFA3D4F">
                  <w:pPr>
                    <w:jc w:val="center"/>
                    <w:rPr>
                      <w:i w:val="0"/>
                      <w:iCs w:val="0"/>
                      <w:sz w:val="21"/>
                      <w:szCs w:val="21"/>
                    </w:rPr>
                  </w:pPr>
                  <w:r>
                    <w:rPr>
                      <w:rFonts w:hint="eastAsia"/>
                      <w:i w:val="0"/>
                      <w:iCs w:val="0"/>
                      <w:sz w:val="21"/>
                      <w:szCs w:val="21"/>
                    </w:rPr>
                    <w:t>备注</w:t>
                  </w:r>
                </w:p>
              </w:tc>
              <w:tc>
                <w:tcPr>
                  <w:tcW w:w="331" w:type="dxa"/>
                  <w:tcBorders>
                    <w:top w:val="single" w:color="auto" w:sz="4" w:space="0"/>
                    <w:left w:val="single" w:color="auto" w:sz="4" w:space="0"/>
                    <w:bottom w:val="single" w:color="auto" w:sz="4" w:space="0"/>
                    <w:right w:val="single" w:color="auto" w:sz="4" w:space="0"/>
                  </w:tcBorders>
                  <w:shd w:val="clear" w:color="auto" w:fill="E6EFFA"/>
                  <w:vAlign w:val="center"/>
                </w:tcPr>
                <w:p w14:paraId="20426338">
                  <w:pPr>
                    <w:wordWrap w:val="0"/>
                    <w:jc w:val="center"/>
                    <w:rPr>
                      <w:sz w:val="21"/>
                      <w:szCs w:val="21"/>
                    </w:rPr>
                  </w:pPr>
                  <w:r>
                    <w:rPr>
                      <w:rFonts w:hint="eastAsia"/>
                      <w:sz w:val="21"/>
                      <w:szCs w:val="21"/>
                    </w:rPr>
                    <w:t>得分</w:t>
                  </w:r>
                </w:p>
              </w:tc>
            </w:tr>
            <w:tr w14:paraId="2CB99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6" w:hRule="atLeast"/>
              </w:trPr>
              <w:tc>
                <w:tcPr>
                  <w:tcW w:w="397" w:type="dxa"/>
                  <w:vMerge w:val="continue"/>
                  <w:tcBorders>
                    <w:left w:val="single" w:color="000000" w:sz="8" w:space="0"/>
                    <w:right w:val="single" w:color="auto" w:sz="4" w:space="0"/>
                  </w:tcBorders>
                  <w:vAlign w:val="center"/>
                </w:tcPr>
                <w:p w14:paraId="57EFE76B">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vAlign w:val="center"/>
                </w:tcPr>
                <w:p w14:paraId="696842F8">
                  <w:pPr>
                    <w:wordWrap w:val="0"/>
                    <w:jc w:val="center"/>
                    <w:rPr>
                      <w:i w:val="0"/>
                      <w:iCs w:val="0"/>
                      <w:sz w:val="21"/>
                      <w:szCs w:val="21"/>
                    </w:rPr>
                  </w:pPr>
                  <w:r>
                    <w:rPr>
                      <w:i w:val="0"/>
                      <w:iCs w:val="0"/>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14:paraId="780DE7F1">
                  <w:pPr>
                    <w:wordWrap w:val="0"/>
                    <w:jc w:val="center"/>
                    <w:rPr>
                      <w:i w:val="0"/>
                      <w:iCs w:val="0"/>
                      <w:sz w:val="21"/>
                      <w:szCs w:val="21"/>
                      <w:u w:val="single"/>
                    </w:rPr>
                  </w:pPr>
                  <w:r>
                    <w:rPr>
                      <w:rFonts w:hint="eastAsia"/>
                      <w:i w:val="0"/>
                      <w:iCs w:val="0"/>
                      <w:sz w:val="21"/>
                      <w:szCs w:val="21"/>
                      <w:u w:val="single"/>
                    </w:rPr>
                    <w:t>投标人同类项目业绩情况</w:t>
                  </w:r>
                </w:p>
              </w:tc>
              <w:tc>
                <w:tcPr>
                  <w:tcW w:w="727" w:type="dxa"/>
                  <w:tcBorders>
                    <w:top w:val="single" w:color="auto" w:sz="4" w:space="0"/>
                    <w:left w:val="single" w:color="auto" w:sz="4" w:space="0"/>
                    <w:bottom w:val="single" w:color="auto" w:sz="4" w:space="0"/>
                    <w:right w:val="single" w:color="auto" w:sz="4" w:space="0"/>
                  </w:tcBorders>
                  <w:vAlign w:val="center"/>
                </w:tcPr>
                <w:p w14:paraId="7125D994">
                  <w:pPr>
                    <w:wordWrap w:val="0"/>
                    <w:jc w:val="center"/>
                    <w:rPr>
                      <w:i w:val="0"/>
                      <w:iCs w:val="0"/>
                      <w:sz w:val="21"/>
                      <w:szCs w:val="21"/>
                    </w:rPr>
                  </w:pPr>
                  <w:r>
                    <w:rPr>
                      <w:rFonts w:hint="eastAsia"/>
                      <w:i w:val="0"/>
                      <w:iCs w:val="0"/>
                      <w:sz w:val="21"/>
                      <w:szCs w:val="21"/>
                    </w:rPr>
                    <w:t>10</w:t>
                  </w:r>
                </w:p>
              </w:tc>
              <w:tc>
                <w:tcPr>
                  <w:tcW w:w="3726" w:type="dxa"/>
                  <w:tcBorders>
                    <w:top w:val="single" w:color="auto" w:sz="4" w:space="0"/>
                    <w:left w:val="single" w:color="auto" w:sz="4" w:space="0"/>
                    <w:bottom w:val="single" w:color="auto" w:sz="4" w:space="0"/>
                    <w:right w:val="single" w:color="auto" w:sz="4" w:space="0"/>
                  </w:tcBorders>
                  <w:vAlign w:val="center"/>
                </w:tcPr>
                <w:p w14:paraId="39C6A34E">
                  <w:pPr>
                    <w:wordWrap w:val="0"/>
                    <w:rPr>
                      <w:i w:val="0"/>
                      <w:iCs w:val="0"/>
                      <w:sz w:val="21"/>
                      <w:szCs w:val="21"/>
                    </w:rPr>
                  </w:pPr>
                  <w:r>
                    <w:rPr>
                      <w:i w:val="0"/>
                      <w:iCs w:val="0"/>
                      <w:sz w:val="21"/>
                      <w:szCs w:val="21"/>
                    </w:rPr>
                    <w:t>近三年（202</w:t>
                  </w:r>
                  <w:r>
                    <w:rPr>
                      <w:rFonts w:hint="eastAsia"/>
                      <w:i w:val="0"/>
                      <w:iCs w:val="0"/>
                      <w:sz w:val="21"/>
                      <w:szCs w:val="21"/>
                      <w:lang w:val="en-US" w:eastAsia="zh-CN"/>
                    </w:rPr>
                    <w:t>2</w:t>
                  </w:r>
                  <w:r>
                    <w:rPr>
                      <w:i w:val="0"/>
                      <w:iCs w:val="0"/>
                      <w:sz w:val="21"/>
                      <w:szCs w:val="21"/>
                    </w:rPr>
                    <w:t>年1月1日至投标截止日）</w:t>
                  </w:r>
                  <w:r>
                    <w:rPr>
                      <w:rFonts w:hint="eastAsia"/>
                      <w:i w:val="0"/>
                      <w:iCs w:val="0"/>
                      <w:sz w:val="21"/>
                      <w:szCs w:val="21"/>
                    </w:rPr>
                    <w:t>在副省级（或以上级别）城市范围内，</w:t>
                  </w:r>
                  <w:r>
                    <w:rPr>
                      <w:i w:val="0"/>
                      <w:iCs w:val="0"/>
                      <w:sz w:val="21"/>
                      <w:szCs w:val="21"/>
                    </w:rPr>
                    <w:t>承担过区级或以上住建部门城市体检项目服务的（以合同签订时间为准），每个业绩项目提供1项得</w:t>
                  </w:r>
                  <w:r>
                    <w:rPr>
                      <w:rFonts w:hint="eastAsia"/>
                      <w:i w:val="0"/>
                      <w:iCs w:val="0"/>
                      <w:color w:val="000000" w:themeColor="text1"/>
                      <w:sz w:val="21"/>
                      <w:szCs w:val="21"/>
                      <w14:textFill>
                        <w14:solidFill>
                          <w14:schemeClr w14:val="tx1"/>
                        </w14:solidFill>
                      </w14:textFill>
                    </w:rPr>
                    <w:t>2</w:t>
                  </w:r>
                  <w:r>
                    <w:rPr>
                      <w:i w:val="0"/>
                      <w:iCs w:val="0"/>
                      <w:color w:val="000000" w:themeColor="text1"/>
                      <w:sz w:val="21"/>
                      <w:szCs w:val="21"/>
                      <w14:textFill>
                        <w14:solidFill>
                          <w14:schemeClr w14:val="tx1"/>
                        </w14:solidFill>
                      </w14:textFill>
                    </w:rPr>
                    <w:t>分</w:t>
                  </w:r>
                  <w:r>
                    <w:rPr>
                      <w:i w:val="0"/>
                      <w:iCs w:val="0"/>
                      <w:sz w:val="21"/>
                      <w:szCs w:val="21"/>
                    </w:rPr>
                    <w:t>，最高得1</w:t>
                  </w:r>
                  <w:r>
                    <w:rPr>
                      <w:rFonts w:hint="eastAsia"/>
                      <w:i w:val="0"/>
                      <w:iCs w:val="0"/>
                      <w:sz w:val="21"/>
                      <w:szCs w:val="21"/>
                    </w:rPr>
                    <w:t>0</w:t>
                  </w:r>
                  <w:r>
                    <w:rPr>
                      <w:i w:val="0"/>
                      <w:iCs w:val="0"/>
                      <w:sz w:val="21"/>
                      <w:szCs w:val="21"/>
                    </w:rPr>
                    <w:t>分，未提供不得分。</w:t>
                  </w:r>
                </w:p>
              </w:tc>
              <w:tc>
                <w:tcPr>
                  <w:tcW w:w="3248" w:type="dxa"/>
                  <w:tcBorders>
                    <w:top w:val="single" w:color="auto" w:sz="4" w:space="0"/>
                    <w:left w:val="single" w:color="auto" w:sz="4" w:space="0"/>
                    <w:bottom w:val="single" w:color="auto" w:sz="4" w:space="0"/>
                    <w:right w:val="single" w:color="auto" w:sz="4" w:space="0"/>
                  </w:tcBorders>
                  <w:vAlign w:val="center"/>
                </w:tcPr>
                <w:p w14:paraId="0811A130">
                  <w:pPr>
                    <w:wordWrap w:val="0"/>
                    <w:rPr>
                      <w:i w:val="0"/>
                      <w:iCs w:val="0"/>
                      <w:sz w:val="21"/>
                      <w:szCs w:val="21"/>
                    </w:rPr>
                  </w:pPr>
                  <w:r>
                    <w:rPr>
                      <w:rFonts w:hint="eastAsia"/>
                      <w:i w:val="0"/>
                      <w:iCs w:val="0"/>
                      <w:sz w:val="21"/>
                      <w:szCs w:val="21"/>
                    </w:rPr>
                    <w:t>需提供相关合同关键页复印件</w:t>
                  </w:r>
                </w:p>
              </w:tc>
              <w:tc>
                <w:tcPr>
                  <w:tcW w:w="331" w:type="dxa"/>
                  <w:tcBorders>
                    <w:top w:val="single" w:color="auto" w:sz="4" w:space="0"/>
                    <w:left w:val="single" w:color="auto" w:sz="4" w:space="0"/>
                    <w:bottom w:val="single" w:color="auto" w:sz="4" w:space="0"/>
                    <w:right w:val="single" w:color="auto" w:sz="4" w:space="0"/>
                  </w:tcBorders>
                  <w:vAlign w:val="center"/>
                </w:tcPr>
                <w:p w14:paraId="45EE82AD">
                  <w:pPr>
                    <w:wordWrap w:val="0"/>
                    <w:jc w:val="center"/>
                    <w:rPr>
                      <w:sz w:val="21"/>
                      <w:szCs w:val="21"/>
                    </w:rPr>
                  </w:pPr>
                </w:p>
              </w:tc>
            </w:tr>
            <w:tr w14:paraId="1872D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16" w:hRule="atLeast"/>
              </w:trPr>
              <w:tc>
                <w:tcPr>
                  <w:tcW w:w="397" w:type="dxa"/>
                  <w:vMerge w:val="continue"/>
                  <w:tcBorders>
                    <w:left w:val="single" w:color="000000" w:sz="8" w:space="0"/>
                    <w:right w:val="single" w:color="auto" w:sz="4" w:space="0"/>
                  </w:tcBorders>
                  <w:vAlign w:val="center"/>
                </w:tcPr>
                <w:p w14:paraId="5B14205A">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vAlign w:val="center"/>
                </w:tcPr>
                <w:p w14:paraId="1F33EA3F">
                  <w:pPr>
                    <w:wordWrap w:val="0"/>
                    <w:jc w:val="center"/>
                    <w:rPr>
                      <w:i w:val="0"/>
                      <w:iCs w:val="0"/>
                      <w:sz w:val="21"/>
                      <w:szCs w:val="21"/>
                    </w:rPr>
                  </w:pPr>
                  <w:r>
                    <w:rPr>
                      <w:i w:val="0"/>
                      <w:iCs w:val="0"/>
                      <w:sz w:val="21"/>
                      <w:szCs w:val="21"/>
                    </w:rPr>
                    <w:t>2</w:t>
                  </w:r>
                </w:p>
              </w:tc>
              <w:tc>
                <w:tcPr>
                  <w:tcW w:w="1095" w:type="dxa"/>
                  <w:tcBorders>
                    <w:top w:val="single" w:color="auto" w:sz="4" w:space="0"/>
                    <w:left w:val="single" w:color="auto" w:sz="4" w:space="0"/>
                    <w:bottom w:val="single" w:color="auto" w:sz="4" w:space="0"/>
                    <w:right w:val="single" w:color="auto" w:sz="4" w:space="0"/>
                  </w:tcBorders>
                  <w:vAlign w:val="center"/>
                </w:tcPr>
                <w:p w14:paraId="1C758706">
                  <w:pPr>
                    <w:wordWrap w:val="0"/>
                    <w:jc w:val="center"/>
                    <w:rPr>
                      <w:i w:val="0"/>
                      <w:iCs w:val="0"/>
                      <w:sz w:val="21"/>
                      <w:szCs w:val="21"/>
                      <w:u w:val="single"/>
                    </w:rPr>
                  </w:pPr>
                  <w:r>
                    <w:rPr>
                      <w:rFonts w:hint="eastAsia"/>
                      <w:i w:val="0"/>
                      <w:iCs w:val="0"/>
                      <w:sz w:val="21"/>
                      <w:szCs w:val="21"/>
                      <w:u w:val="single"/>
                    </w:rPr>
                    <w:t>投标人通过相关认证情况</w:t>
                  </w:r>
                </w:p>
              </w:tc>
              <w:tc>
                <w:tcPr>
                  <w:tcW w:w="727" w:type="dxa"/>
                  <w:tcBorders>
                    <w:top w:val="single" w:color="auto" w:sz="4" w:space="0"/>
                    <w:left w:val="single" w:color="auto" w:sz="4" w:space="0"/>
                    <w:bottom w:val="single" w:color="auto" w:sz="4" w:space="0"/>
                    <w:right w:val="single" w:color="auto" w:sz="4" w:space="0"/>
                  </w:tcBorders>
                  <w:vAlign w:val="center"/>
                </w:tcPr>
                <w:p w14:paraId="7B3BAFB0">
                  <w:pPr>
                    <w:wordWrap w:val="0"/>
                    <w:jc w:val="center"/>
                    <w:rPr>
                      <w:i w:val="0"/>
                      <w:iCs w:val="0"/>
                      <w:sz w:val="21"/>
                      <w:szCs w:val="21"/>
                    </w:rPr>
                  </w:pPr>
                  <w:r>
                    <w:rPr>
                      <w:i w:val="0"/>
                      <w:iCs w:val="0"/>
                      <w:sz w:val="21"/>
                      <w:szCs w:val="21"/>
                    </w:rPr>
                    <w:t>5</w:t>
                  </w:r>
                </w:p>
              </w:tc>
              <w:tc>
                <w:tcPr>
                  <w:tcW w:w="3726" w:type="dxa"/>
                  <w:tcBorders>
                    <w:top w:val="single" w:color="auto" w:sz="4" w:space="0"/>
                    <w:left w:val="single" w:color="auto" w:sz="4" w:space="0"/>
                    <w:bottom w:val="single" w:color="auto" w:sz="4" w:space="0"/>
                    <w:right w:val="single" w:color="auto" w:sz="4" w:space="0"/>
                  </w:tcBorders>
                  <w:vAlign w:val="center"/>
                </w:tcPr>
                <w:p w14:paraId="35C66A12">
                  <w:pPr>
                    <w:rPr>
                      <w:i w:val="0"/>
                      <w:iCs w:val="0"/>
                      <w:sz w:val="21"/>
                      <w:szCs w:val="21"/>
                    </w:rPr>
                  </w:pPr>
                  <w:r>
                    <w:rPr>
                      <w:i w:val="0"/>
                      <w:iCs w:val="0"/>
                      <w:sz w:val="21"/>
                      <w:szCs w:val="21"/>
                    </w:rPr>
                    <w:t>1.通过质量管理体系认证得</w:t>
                  </w:r>
                  <w:r>
                    <w:rPr>
                      <w:rFonts w:hint="eastAsia"/>
                      <w:i w:val="0"/>
                      <w:iCs w:val="0"/>
                      <w:sz w:val="21"/>
                      <w:szCs w:val="21"/>
                    </w:rPr>
                    <w:t>3</w:t>
                  </w:r>
                  <w:r>
                    <w:rPr>
                      <w:i w:val="0"/>
                      <w:iCs w:val="0"/>
                      <w:sz w:val="21"/>
                      <w:szCs w:val="21"/>
                    </w:rPr>
                    <w:t>分。</w:t>
                  </w:r>
                </w:p>
                <w:p w14:paraId="4D83759B">
                  <w:pPr>
                    <w:rPr>
                      <w:i w:val="0"/>
                      <w:iCs w:val="0"/>
                      <w:sz w:val="21"/>
                      <w:szCs w:val="21"/>
                    </w:rPr>
                  </w:pPr>
                  <w:r>
                    <w:rPr>
                      <w:i w:val="0"/>
                      <w:iCs w:val="0"/>
                      <w:sz w:val="21"/>
                      <w:szCs w:val="21"/>
                    </w:rPr>
                    <w:t>2.通过环境管理体系认证与职业健康安全管理体系认证得</w:t>
                  </w:r>
                  <w:r>
                    <w:rPr>
                      <w:rFonts w:hint="eastAsia"/>
                      <w:i w:val="0"/>
                      <w:iCs w:val="0"/>
                      <w:sz w:val="21"/>
                      <w:szCs w:val="21"/>
                    </w:rPr>
                    <w:t>2</w:t>
                  </w:r>
                  <w:r>
                    <w:rPr>
                      <w:i w:val="0"/>
                      <w:iCs w:val="0"/>
                      <w:sz w:val="21"/>
                      <w:szCs w:val="21"/>
                    </w:rPr>
                    <w:t>分。</w:t>
                  </w:r>
                </w:p>
                <w:p w14:paraId="2BAE5DC2">
                  <w:pPr>
                    <w:rPr>
                      <w:i w:val="0"/>
                      <w:iCs w:val="0"/>
                      <w:sz w:val="21"/>
                      <w:szCs w:val="21"/>
                    </w:rPr>
                  </w:pPr>
                  <w:r>
                    <w:rPr>
                      <w:i w:val="0"/>
                      <w:iCs w:val="0"/>
                      <w:sz w:val="21"/>
                      <w:szCs w:val="21"/>
                    </w:rPr>
                    <w:t>以上两项合计满分</w:t>
                  </w:r>
                  <w:r>
                    <w:rPr>
                      <w:rFonts w:hint="eastAsia"/>
                      <w:i w:val="0"/>
                      <w:iCs w:val="0"/>
                      <w:sz w:val="21"/>
                      <w:szCs w:val="21"/>
                    </w:rPr>
                    <w:t>5</w:t>
                  </w:r>
                  <w:r>
                    <w:rPr>
                      <w:i w:val="0"/>
                      <w:iCs w:val="0"/>
                      <w:sz w:val="21"/>
                      <w:szCs w:val="21"/>
                    </w:rPr>
                    <w:t xml:space="preserve">分。 </w:t>
                  </w:r>
                </w:p>
              </w:tc>
              <w:tc>
                <w:tcPr>
                  <w:tcW w:w="3248" w:type="dxa"/>
                  <w:tcBorders>
                    <w:top w:val="single" w:color="auto" w:sz="4" w:space="0"/>
                    <w:left w:val="single" w:color="auto" w:sz="4" w:space="0"/>
                    <w:bottom w:val="single" w:color="auto" w:sz="4" w:space="0"/>
                    <w:right w:val="single" w:color="auto" w:sz="4" w:space="0"/>
                  </w:tcBorders>
                  <w:vAlign w:val="center"/>
                </w:tcPr>
                <w:p w14:paraId="24112483">
                  <w:pPr>
                    <w:rPr>
                      <w:i w:val="0"/>
                      <w:iCs w:val="0"/>
                      <w:sz w:val="21"/>
                      <w:szCs w:val="21"/>
                    </w:rPr>
                  </w:pPr>
                  <w:r>
                    <w:rPr>
                      <w:i w:val="0"/>
                      <w:iCs w:val="0"/>
                      <w:sz w:val="21"/>
                      <w:szCs w:val="21"/>
                    </w:rPr>
                    <w:t>1.要求提供有效期内的认证证书扫描件。</w:t>
                  </w:r>
                </w:p>
                <w:p w14:paraId="31C36E8C">
                  <w:pPr>
                    <w:wordWrap w:val="0"/>
                    <w:rPr>
                      <w:i w:val="0"/>
                      <w:iCs w:val="0"/>
                      <w:sz w:val="21"/>
                      <w:szCs w:val="21"/>
                    </w:rPr>
                  </w:pPr>
                  <w:r>
                    <w:rPr>
                      <w:i w:val="0"/>
                      <w:iCs w:val="0"/>
                      <w:sz w:val="21"/>
                      <w:szCs w:val="21"/>
                    </w:rPr>
                    <w:t>2.以上资料均要求提供扫描件，原件备查。</w:t>
                  </w:r>
                </w:p>
              </w:tc>
              <w:tc>
                <w:tcPr>
                  <w:tcW w:w="331" w:type="dxa"/>
                  <w:tcBorders>
                    <w:top w:val="single" w:color="auto" w:sz="4" w:space="0"/>
                    <w:left w:val="single" w:color="auto" w:sz="4" w:space="0"/>
                    <w:bottom w:val="single" w:color="auto" w:sz="4" w:space="0"/>
                    <w:right w:val="single" w:color="auto" w:sz="4" w:space="0"/>
                  </w:tcBorders>
                  <w:vAlign w:val="center"/>
                </w:tcPr>
                <w:p w14:paraId="04E9BF53">
                  <w:pPr>
                    <w:wordWrap w:val="0"/>
                    <w:jc w:val="center"/>
                    <w:rPr>
                      <w:sz w:val="21"/>
                      <w:szCs w:val="21"/>
                    </w:rPr>
                  </w:pPr>
                </w:p>
              </w:tc>
            </w:tr>
            <w:tr w14:paraId="5C223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8" w:hRule="atLeast"/>
              </w:trPr>
              <w:tc>
                <w:tcPr>
                  <w:tcW w:w="397" w:type="dxa"/>
                  <w:vMerge w:val="continue"/>
                  <w:tcBorders>
                    <w:left w:val="single" w:color="000000" w:sz="8" w:space="0"/>
                    <w:right w:val="single" w:color="auto" w:sz="4" w:space="0"/>
                  </w:tcBorders>
                  <w:vAlign w:val="center"/>
                </w:tcPr>
                <w:p w14:paraId="516430DE">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vAlign w:val="center"/>
                </w:tcPr>
                <w:p w14:paraId="00AFD6E9">
                  <w:pPr>
                    <w:wordWrap w:val="0"/>
                    <w:jc w:val="center"/>
                    <w:rPr>
                      <w:i w:val="0"/>
                      <w:iCs w:val="0"/>
                      <w:sz w:val="21"/>
                      <w:szCs w:val="21"/>
                    </w:rPr>
                  </w:pPr>
                  <w:r>
                    <w:rPr>
                      <w:rFonts w:hint="eastAsia"/>
                      <w:i w:val="0"/>
                      <w:iCs w:val="0"/>
                      <w:sz w:val="21"/>
                      <w:szCs w:val="21"/>
                    </w:rPr>
                    <w:t>3</w:t>
                  </w:r>
                </w:p>
              </w:tc>
              <w:tc>
                <w:tcPr>
                  <w:tcW w:w="1095" w:type="dxa"/>
                  <w:tcBorders>
                    <w:top w:val="single" w:color="auto" w:sz="4" w:space="0"/>
                    <w:left w:val="single" w:color="auto" w:sz="4" w:space="0"/>
                    <w:bottom w:val="single" w:color="auto" w:sz="4" w:space="0"/>
                    <w:right w:val="single" w:color="auto" w:sz="4" w:space="0"/>
                  </w:tcBorders>
                  <w:vAlign w:val="center"/>
                </w:tcPr>
                <w:p w14:paraId="18987093">
                  <w:pPr>
                    <w:wordWrap w:val="0"/>
                    <w:jc w:val="center"/>
                    <w:rPr>
                      <w:i w:val="0"/>
                      <w:iCs w:val="0"/>
                      <w:color w:val="000000" w:themeColor="text1"/>
                      <w:sz w:val="21"/>
                      <w:szCs w:val="21"/>
                      <w:u w:val="single"/>
                      <w14:textFill>
                        <w14:solidFill>
                          <w14:schemeClr w14:val="tx1"/>
                        </w14:solidFill>
                      </w14:textFill>
                    </w:rPr>
                  </w:pPr>
                  <w:r>
                    <w:rPr>
                      <w:rFonts w:hint="eastAsia"/>
                      <w:i w:val="0"/>
                      <w:iCs w:val="0"/>
                      <w:color w:val="000000" w:themeColor="text1"/>
                      <w:sz w:val="21"/>
                      <w:szCs w:val="21"/>
                      <w:u w:val="single"/>
                      <w14:textFill>
                        <w14:solidFill>
                          <w14:schemeClr w14:val="tx1"/>
                        </w14:solidFill>
                      </w14:textFill>
                    </w:rPr>
                    <w:t>投标人</w:t>
                  </w:r>
                  <w:r>
                    <w:rPr>
                      <w:rFonts w:hint="eastAsia"/>
                      <w:i w:val="0"/>
                      <w:iCs w:val="0"/>
                      <w:color w:val="000000" w:themeColor="text1"/>
                      <w:sz w:val="21"/>
                      <w:szCs w:val="21"/>
                      <w:u w:val="single"/>
                      <w:lang w:val="en-US" w:eastAsia="zh-CN"/>
                      <w14:textFill>
                        <w14:solidFill>
                          <w14:schemeClr w14:val="tx1"/>
                        </w14:solidFill>
                      </w14:textFill>
                    </w:rPr>
                    <w:t>业务范围</w:t>
                  </w:r>
                </w:p>
              </w:tc>
              <w:tc>
                <w:tcPr>
                  <w:tcW w:w="727" w:type="dxa"/>
                  <w:tcBorders>
                    <w:top w:val="single" w:color="auto" w:sz="4" w:space="0"/>
                    <w:left w:val="single" w:color="auto" w:sz="4" w:space="0"/>
                    <w:bottom w:val="single" w:color="auto" w:sz="4" w:space="0"/>
                    <w:right w:val="single" w:color="auto" w:sz="4" w:space="0"/>
                  </w:tcBorders>
                  <w:vAlign w:val="center"/>
                </w:tcPr>
                <w:p w14:paraId="76DDD4BD">
                  <w:pPr>
                    <w:wordWrap w:val="0"/>
                    <w:jc w:val="center"/>
                    <w:rPr>
                      <w:i w:val="0"/>
                      <w:iCs w:val="0"/>
                      <w:color w:val="000000" w:themeColor="text1"/>
                      <w:sz w:val="21"/>
                      <w:szCs w:val="21"/>
                      <w14:textFill>
                        <w14:solidFill>
                          <w14:schemeClr w14:val="tx1"/>
                        </w14:solidFill>
                      </w14:textFill>
                    </w:rPr>
                  </w:pPr>
                  <w:r>
                    <w:rPr>
                      <w:rFonts w:hint="eastAsia"/>
                      <w:i w:val="0"/>
                      <w:iCs w:val="0"/>
                      <w:color w:val="000000" w:themeColor="text1"/>
                      <w:sz w:val="21"/>
                      <w:szCs w:val="21"/>
                      <w14:textFill>
                        <w14:solidFill>
                          <w14:schemeClr w14:val="tx1"/>
                        </w14:solidFill>
                      </w14:textFill>
                    </w:rPr>
                    <w:t>5</w:t>
                  </w:r>
                </w:p>
              </w:tc>
              <w:tc>
                <w:tcPr>
                  <w:tcW w:w="3726" w:type="dxa"/>
                  <w:tcBorders>
                    <w:top w:val="single" w:color="auto" w:sz="4" w:space="0"/>
                    <w:left w:val="single" w:color="auto" w:sz="4" w:space="0"/>
                    <w:bottom w:val="single" w:color="auto" w:sz="4" w:space="0"/>
                    <w:right w:val="single" w:color="auto" w:sz="4" w:space="0"/>
                  </w:tcBorders>
                  <w:vAlign w:val="center"/>
                </w:tcPr>
                <w:p w14:paraId="50182782">
                  <w:pPr>
                    <w:rPr>
                      <w:i w:val="0"/>
                      <w:iCs w:val="0"/>
                      <w:color w:val="000000" w:themeColor="text1"/>
                      <w:sz w:val="21"/>
                      <w:szCs w:val="21"/>
                      <w14:textFill>
                        <w14:solidFill>
                          <w14:schemeClr w14:val="tx1"/>
                        </w14:solidFill>
                      </w14:textFill>
                    </w:rPr>
                  </w:pPr>
                  <w:r>
                    <w:rPr>
                      <w:rFonts w:hint="eastAsia"/>
                      <w:i w:val="0"/>
                      <w:iCs w:val="0"/>
                      <w:color w:val="000000" w:themeColor="text1"/>
                      <w:sz w:val="21"/>
                      <w:szCs w:val="21"/>
                      <w:lang w:val="en-US" w:eastAsia="zh-CN"/>
                      <w14:textFill>
                        <w14:solidFill>
                          <w14:schemeClr w14:val="tx1"/>
                        </w14:solidFill>
                      </w14:textFill>
                    </w:rPr>
                    <w:t>业务范围包含城市规划、建筑设计、景观设计、交通规划设计、市政工程规划与设计等服务的，每包含一项得2分，最高得 5分</w:t>
                  </w:r>
                  <w:r>
                    <w:rPr>
                      <w:i w:val="0"/>
                      <w:iCs w:val="0"/>
                      <w:color w:val="000000" w:themeColor="text1"/>
                      <w:sz w:val="21"/>
                      <w:szCs w:val="21"/>
                      <w14:textFill>
                        <w14:solidFill>
                          <w14:schemeClr w14:val="tx1"/>
                        </w14:solidFill>
                      </w14:textFill>
                    </w:rPr>
                    <w:t>。</w:t>
                  </w:r>
                </w:p>
              </w:tc>
              <w:tc>
                <w:tcPr>
                  <w:tcW w:w="3248" w:type="dxa"/>
                  <w:tcBorders>
                    <w:top w:val="single" w:color="auto" w:sz="4" w:space="0"/>
                    <w:left w:val="single" w:color="auto" w:sz="4" w:space="0"/>
                    <w:bottom w:val="single" w:color="auto" w:sz="4" w:space="0"/>
                    <w:right w:val="single" w:color="auto" w:sz="4" w:space="0"/>
                  </w:tcBorders>
                  <w:vAlign w:val="center"/>
                </w:tcPr>
                <w:p w14:paraId="1F4E4424">
                  <w:pPr>
                    <w:wordWrap w:val="0"/>
                    <w:rPr>
                      <w:i w:val="0"/>
                      <w:iCs w:val="0"/>
                      <w:color w:val="000000" w:themeColor="text1"/>
                      <w:sz w:val="21"/>
                      <w:szCs w:val="21"/>
                      <w14:textFill>
                        <w14:solidFill>
                          <w14:schemeClr w14:val="tx1"/>
                        </w14:solidFill>
                      </w14:textFill>
                    </w:rPr>
                  </w:pPr>
                  <w:r>
                    <w:rPr>
                      <w:rFonts w:hint="eastAsia"/>
                      <w:i w:val="0"/>
                      <w:iCs w:val="0"/>
                      <w:color w:val="000000" w:themeColor="text1"/>
                      <w:sz w:val="21"/>
                      <w:szCs w:val="21"/>
                      <w:lang w:val="en-US" w:eastAsia="zh-CN"/>
                      <w14:textFill>
                        <w14:solidFill>
                          <w14:schemeClr w14:val="tx1"/>
                        </w14:solidFill>
                      </w14:textFill>
                    </w:rPr>
                    <w:t>需</w:t>
                  </w:r>
                  <w:r>
                    <w:rPr>
                      <w:rFonts w:hint="eastAsia"/>
                      <w:i w:val="0"/>
                      <w:iCs w:val="0"/>
                      <w:color w:val="000000" w:themeColor="text1"/>
                      <w:sz w:val="21"/>
                      <w:szCs w:val="21"/>
                      <w14:textFill>
                        <w14:solidFill>
                          <w14:schemeClr w14:val="tx1"/>
                        </w14:solidFill>
                      </w14:textFill>
                    </w:rPr>
                    <w:t>提供</w:t>
                  </w:r>
                  <w:r>
                    <w:rPr>
                      <w:rFonts w:hint="eastAsia"/>
                      <w:i w:val="0"/>
                      <w:iCs w:val="0"/>
                      <w:color w:val="000000" w:themeColor="text1"/>
                      <w:sz w:val="21"/>
                      <w:szCs w:val="21"/>
                      <w:lang w:val="en-US" w:eastAsia="zh-CN"/>
                      <w14:textFill>
                        <w14:solidFill>
                          <w14:schemeClr w14:val="tx1"/>
                        </w14:solidFill>
                      </w14:textFill>
                    </w:rPr>
                    <w:t>营</w:t>
                  </w:r>
                  <w:r>
                    <w:rPr>
                      <w:rFonts w:hint="eastAsia"/>
                      <w:i w:val="0"/>
                      <w:iCs w:val="0"/>
                      <w:color w:val="000000" w:themeColor="text1"/>
                      <w:sz w:val="21"/>
                      <w:szCs w:val="21"/>
                      <w14:textFill>
                        <w14:solidFill>
                          <w14:schemeClr w14:val="tx1"/>
                        </w14:solidFill>
                      </w14:textFill>
                    </w:rPr>
                    <w:t>业执照等资料</w:t>
                  </w:r>
                  <w:r>
                    <w:rPr>
                      <w:rFonts w:hint="eastAsia"/>
                      <w:i w:val="0"/>
                      <w:iCs w:val="0"/>
                      <w:color w:val="000000" w:themeColor="text1"/>
                      <w:sz w:val="21"/>
                      <w:szCs w:val="21"/>
                      <w:lang w:eastAsia="zh-CN"/>
                      <w14:textFill>
                        <w14:solidFill>
                          <w14:schemeClr w14:val="tx1"/>
                        </w14:solidFill>
                      </w14:textFill>
                    </w:rPr>
                    <w:t>（</w:t>
                  </w:r>
                  <w:r>
                    <w:rPr>
                      <w:rFonts w:hint="eastAsia"/>
                      <w:i w:val="0"/>
                      <w:iCs w:val="0"/>
                      <w:color w:val="000000" w:themeColor="text1"/>
                      <w:sz w:val="21"/>
                      <w:szCs w:val="21"/>
                      <w14:textFill>
                        <w14:solidFill>
                          <w14:schemeClr w14:val="tx1"/>
                        </w14:solidFill>
                      </w14:textFill>
                    </w:rPr>
                    <w:t>无需全部提供，能证明即可</w:t>
                  </w:r>
                  <w:r>
                    <w:rPr>
                      <w:rFonts w:hint="eastAsia"/>
                      <w:i w:val="0"/>
                      <w:iCs w:val="0"/>
                      <w:color w:val="000000" w:themeColor="text1"/>
                      <w:sz w:val="21"/>
                      <w:szCs w:val="21"/>
                      <w:lang w:eastAsia="zh-CN"/>
                      <w14:textFill>
                        <w14:solidFill>
                          <w14:schemeClr w14:val="tx1"/>
                        </w14:solidFill>
                      </w14:textFill>
                    </w:rPr>
                    <w:t>）。</w:t>
                  </w:r>
                </w:p>
              </w:tc>
              <w:tc>
                <w:tcPr>
                  <w:tcW w:w="331" w:type="dxa"/>
                  <w:tcBorders>
                    <w:top w:val="single" w:color="auto" w:sz="4" w:space="0"/>
                    <w:left w:val="single" w:color="auto" w:sz="4" w:space="0"/>
                    <w:bottom w:val="single" w:color="auto" w:sz="4" w:space="0"/>
                    <w:right w:val="single" w:color="auto" w:sz="4" w:space="0"/>
                  </w:tcBorders>
                  <w:vAlign w:val="center"/>
                </w:tcPr>
                <w:p w14:paraId="14FEAE5A">
                  <w:pPr>
                    <w:wordWrap w:val="0"/>
                    <w:jc w:val="center"/>
                    <w:rPr>
                      <w:sz w:val="21"/>
                      <w:szCs w:val="21"/>
                    </w:rPr>
                  </w:pPr>
                </w:p>
              </w:tc>
            </w:tr>
            <w:tr w14:paraId="1A1D0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92" w:hRule="atLeast"/>
              </w:trPr>
              <w:tc>
                <w:tcPr>
                  <w:tcW w:w="397" w:type="dxa"/>
                  <w:vMerge w:val="continue"/>
                  <w:tcBorders>
                    <w:left w:val="single" w:color="000000" w:sz="8" w:space="0"/>
                    <w:right w:val="single" w:color="auto" w:sz="4" w:space="0"/>
                  </w:tcBorders>
                  <w:vAlign w:val="center"/>
                </w:tcPr>
                <w:p w14:paraId="5996E747">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vAlign w:val="center"/>
                </w:tcPr>
                <w:p w14:paraId="41C04AFC">
                  <w:pPr>
                    <w:wordWrap w:val="0"/>
                    <w:jc w:val="center"/>
                    <w:rPr>
                      <w:i w:val="0"/>
                      <w:iCs w:val="0"/>
                      <w:sz w:val="21"/>
                      <w:szCs w:val="21"/>
                    </w:rPr>
                  </w:pPr>
                  <w:r>
                    <w:rPr>
                      <w:rFonts w:hint="eastAsia"/>
                      <w:i w:val="0"/>
                      <w:iCs w:val="0"/>
                      <w:sz w:val="21"/>
                      <w:szCs w:val="21"/>
                    </w:rPr>
                    <w:t>4</w:t>
                  </w:r>
                </w:p>
              </w:tc>
              <w:tc>
                <w:tcPr>
                  <w:tcW w:w="1095" w:type="dxa"/>
                  <w:tcBorders>
                    <w:top w:val="single" w:color="auto" w:sz="4" w:space="0"/>
                    <w:left w:val="single" w:color="auto" w:sz="4" w:space="0"/>
                    <w:bottom w:val="single" w:color="auto" w:sz="4" w:space="0"/>
                    <w:right w:val="single" w:color="auto" w:sz="4" w:space="0"/>
                  </w:tcBorders>
                  <w:vAlign w:val="center"/>
                </w:tcPr>
                <w:p w14:paraId="49C384AE">
                  <w:pPr>
                    <w:wordWrap w:val="0"/>
                    <w:jc w:val="center"/>
                    <w:rPr>
                      <w:i w:val="0"/>
                      <w:iCs w:val="0"/>
                      <w:sz w:val="21"/>
                      <w:szCs w:val="21"/>
                      <w:u w:val="single"/>
                    </w:rPr>
                  </w:pPr>
                  <w:r>
                    <w:rPr>
                      <w:rFonts w:hint="eastAsia"/>
                      <w:i w:val="0"/>
                      <w:iCs w:val="0"/>
                      <w:sz w:val="21"/>
                      <w:szCs w:val="21"/>
                      <w:u w:val="single"/>
                    </w:rPr>
                    <w:t>投标人自主知识产权产品（创新、设计）情况</w:t>
                  </w:r>
                </w:p>
              </w:tc>
              <w:tc>
                <w:tcPr>
                  <w:tcW w:w="727" w:type="dxa"/>
                  <w:tcBorders>
                    <w:top w:val="single" w:color="auto" w:sz="4" w:space="0"/>
                    <w:left w:val="single" w:color="auto" w:sz="4" w:space="0"/>
                    <w:bottom w:val="single" w:color="auto" w:sz="4" w:space="0"/>
                    <w:right w:val="single" w:color="auto" w:sz="4" w:space="0"/>
                  </w:tcBorders>
                  <w:vAlign w:val="center"/>
                </w:tcPr>
                <w:p w14:paraId="1F569813">
                  <w:pPr>
                    <w:wordWrap w:val="0"/>
                    <w:jc w:val="center"/>
                    <w:rPr>
                      <w:rFonts w:hint="default" w:eastAsia="宋体"/>
                      <w:i w:val="0"/>
                      <w:iCs w:val="0"/>
                      <w:sz w:val="21"/>
                      <w:szCs w:val="21"/>
                      <w:lang w:val="en-US" w:eastAsia="zh-CN"/>
                    </w:rPr>
                  </w:pPr>
                  <w:r>
                    <w:rPr>
                      <w:rFonts w:hint="default"/>
                      <w:i w:val="0"/>
                      <w:iCs w:val="0"/>
                      <w:sz w:val="21"/>
                      <w:szCs w:val="21"/>
                      <w:lang w:val="en-US"/>
                    </w:rPr>
                    <w:t>5</w:t>
                  </w:r>
                </w:p>
              </w:tc>
              <w:tc>
                <w:tcPr>
                  <w:tcW w:w="3726" w:type="dxa"/>
                  <w:tcBorders>
                    <w:top w:val="single" w:color="auto" w:sz="4" w:space="0"/>
                    <w:left w:val="single" w:color="auto" w:sz="4" w:space="0"/>
                    <w:bottom w:val="single" w:color="auto" w:sz="4" w:space="0"/>
                    <w:right w:val="single" w:color="auto" w:sz="4" w:space="0"/>
                  </w:tcBorders>
                  <w:vAlign w:val="center"/>
                </w:tcPr>
                <w:p w14:paraId="2C2C15E4">
                  <w:pPr>
                    <w:rPr>
                      <w:i w:val="0"/>
                      <w:iCs w:val="0"/>
                      <w:sz w:val="21"/>
                      <w:szCs w:val="21"/>
                    </w:rPr>
                  </w:pPr>
                  <w:r>
                    <w:rPr>
                      <w:rFonts w:hint="eastAsia"/>
                      <w:i w:val="0"/>
                      <w:iCs w:val="0"/>
                      <w:sz w:val="21"/>
                      <w:szCs w:val="21"/>
                    </w:rPr>
                    <w:t>具有国家知识产权局颁发的发明专利证书，每</w:t>
                  </w:r>
                  <w:r>
                    <w:rPr>
                      <w:i w:val="0"/>
                      <w:iCs w:val="0"/>
                      <w:sz w:val="21"/>
                      <w:szCs w:val="21"/>
                    </w:rPr>
                    <w:t>1项得</w:t>
                  </w:r>
                  <w:r>
                    <w:rPr>
                      <w:rFonts w:hint="default"/>
                      <w:i w:val="0"/>
                      <w:iCs w:val="0"/>
                      <w:sz w:val="21"/>
                      <w:szCs w:val="21"/>
                      <w:lang w:val="en-US"/>
                    </w:rPr>
                    <w:t>1</w:t>
                  </w:r>
                  <w:r>
                    <w:rPr>
                      <w:i w:val="0"/>
                      <w:iCs w:val="0"/>
                      <w:sz w:val="21"/>
                      <w:szCs w:val="21"/>
                    </w:rPr>
                    <w:t>分，最多得</w:t>
                  </w:r>
                  <w:r>
                    <w:rPr>
                      <w:rFonts w:hint="eastAsia"/>
                      <w:i w:val="0"/>
                      <w:iCs w:val="0"/>
                      <w:sz w:val="21"/>
                      <w:szCs w:val="21"/>
                    </w:rPr>
                    <w:t>5</w:t>
                  </w:r>
                  <w:r>
                    <w:rPr>
                      <w:i w:val="0"/>
                      <w:iCs w:val="0"/>
                      <w:sz w:val="21"/>
                      <w:szCs w:val="21"/>
                    </w:rPr>
                    <w:t>分</w:t>
                  </w:r>
                  <w:r>
                    <w:rPr>
                      <w:rFonts w:hint="eastAsia"/>
                      <w:i w:val="0"/>
                      <w:iCs w:val="0"/>
                      <w:sz w:val="21"/>
                      <w:szCs w:val="21"/>
                    </w:rPr>
                    <w:t>，未提供不得分</w:t>
                  </w:r>
                  <w:r>
                    <w:rPr>
                      <w:i w:val="0"/>
                      <w:iCs w:val="0"/>
                      <w:sz w:val="21"/>
                      <w:szCs w:val="21"/>
                    </w:rPr>
                    <w:t>。</w:t>
                  </w:r>
                </w:p>
              </w:tc>
              <w:tc>
                <w:tcPr>
                  <w:tcW w:w="3248" w:type="dxa"/>
                  <w:tcBorders>
                    <w:top w:val="single" w:color="auto" w:sz="4" w:space="0"/>
                    <w:left w:val="single" w:color="auto" w:sz="4" w:space="0"/>
                    <w:bottom w:val="single" w:color="auto" w:sz="4" w:space="0"/>
                    <w:right w:val="single" w:color="auto" w:sz="4" w:space="0"/>
                  </w:tcBorders>
                  <w:vAlign w:val="center"/>
                </w:tcPr>
                <w:p w14:paraId="166B3575">
                  <w:pPr>
                    <w:wordWrap w:val="0"/>
                    <w:rPr>
                      <w:i w:val="0"/>
                      <w:iCs w:val="0"/>
                      <w:sz w:val="21"/>
                      <w:szCs w:val="21"/>
                    </w:rPr>
                  </w:pPr>
                  <w:r>
                    <w:rPr>
                      <w:rFonts w:hint="eastAsia"/>
                      <w:i w:val="0"/>
                      <w:iCs w:val="0"/>
                      <w:sz w:val="21"/>
                      <w:szCs w:val="21"/>
                    </w:rPr>
                    <w:t>1</w:t>
                  </w:r>
                  <w:r>
                    <w:rPr>
                      <w:i w:val="0"/>
                      <w:iCs w:val="0"/>
                      <w:sz w:val="21"/>
                      <w:szCs w:val="21"/>
                    </w:rPr>
                    <w:t>.</w:t>
                  </w:r>
                  <w:r>
                    <w:rPr>
                      <w:rFonts w:hint="eastAsia"/>
                      <w:i w:val="0"/>
                      <w:iCs w:val="0"/>
                      <w:sz w:val="21"/>
                      <w:szCs w:val="21"/>
                    </w:rPr>
                    <w:t>要求提供有效的产权（专利）证书等证明材料作为得分依据。</w:t>
                  </w:r>
                </w:p>
                <w:p w14:paraId="5A4079CB">
                  <w:pPr>
                    <w:wordWrap w:val="0"/>
                    <w:rPr>
                      <w:i w:val="0"/>
                      <w:iCs w:val="0"/>
                      <w:sz w:val="21"/>
                      <w:szCs w:val="21"/>
                    </w:rPr>
                  </w:pPr>
                  <w:r>
                    <w:rPr>
                      <w:i w:val="0"/>
                      <w:iCs w:val="0"/>
                      <w:sz w:val="21"/>
                      <w:szCs w:val="21"/>
                    </w:rPr>
                    <w:t>2.以上资料均要求提供扫描件，原件备查。</w:t>
                  </w:r>
                </w:p>
              </w:tc>
              <w:tc>
                <w:tcPr>
                  <w:tcW w:w="331" w:type="dxa"/>
                  <w:tcBorders>
                    <w:top w:val="single" w:color="auto" w:sz="4" w:space="0"/>
                    <w:left w:val="single" w:color="auto" w:sz="4" w:space="0"/>
                    <w:bottom w:val="single" w:color="auto" w:sz="4" w:space="0"/>
                    <w:right w:val="single" w:color="auto" w:sz="4" w:space="0"/>
                  </w:tcBorders>
                  <w:vAlign w:val="center"/>
                </w:tcPr>
                <w:p w14:paraId="36DCD11A">
                  <w:pPr>
                    <w:wordWrap w:val="0"/>
                    <w:jc w:val="center"/>
                    <w:rPr>
                      <w:sz w:val="21"/>
                      <w:szCs w:val="21"/>
                    </w:rPr>
                  </w:pPr>
                </w:p>
              </w:tc>
            </w:tr>
            <w:tr w14:paraId="6E16F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vMerge w:val="restart"/>
                  <w:tcBorders>
                    <w:left w:val="single" w:color="000000" w:sz="8" w:space="0"/>
                    <w:right w:val="single" w:color="auto" w:sz="4" w:space="0"/>
                  </w:tcBorders>
                  <w:vAlign w:val="center"/>
                </w:tcPr>
                <w:p w14:paraId="4D301406">
                  <w:pPr>
                    <w:jc w:val="center"/>
                    <w:rPr>
                      <w:b/>
                      <w:bCs/>
                      <w:i w:val="0"/>
                      <w:iCs w:val="0"/>
                    </w:rPr>
                  </w:pPr>
                  <w:r>
                    <w:rPr>
                      <w:b/>
                      <w:bCs/>
                      <w:i w:val="0"/>
                      <w:iCs w:val="0"/>
                    </w:rPr>
                    <w:t>3</w:t>
                  </w: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73624B32">
                  <w:pPr>
                    <w:jc w:val="center"/>
                    <w:rPr>
                      <w:b/>
                      <w:bCs/>
                      <w:i w:val="0"/>
                      <w:iCs w:val="0"/>
                    </w:rPr>
                  </w:pPr>
                  <w:r>
                    <w:rPr>
                      <w:b/>
                      <w:bCs/>
                      <w:i w:val="0"/>
                      <w:iCs w:val="0"/>
                    </w:rPr>
                    <w:t>服务人员</w:t>
                  </w:r>
                </w:p>
              </w:tc>
              <w:tc>
                <w:tcPr>
                  <w:tcW w:w="3726" w:type="dxa"/>
                  <w:tcBorders>
                    <w:top w:val="single" w:color="auto" w:sz="4" w:space="0"/>
                    <w:left w:val="single" w:color="auto" w:sz="4" w:space="0"/>
                    <w:bottom w:val="single" w:color="auto" w:sz="4" w:space="0"/>
                    <w:right w:val="single" w:color="auto" w:sz="4" w:space="0"/>
                  </w:tcBorders>
                  <w:vAlign w:val="center"/>
                </w:tcPr>
                <w:p w14:paraId="5D7674DB">
                  <w:pPr>
                    <w:wordWrap w:val="0"/>
                    <w:jc w:val="center"/>
                    <w:rPr>
                      <w:b/>
                      <w:bCs/>
                      <w:i w:val="0"/>
                      <w:iCs w:val="0"/>
                    </w:rPr>
                  </w:pPr>
                  <w:r>
                    <w:rPr>
                      <w:rFonts w:hint="eastAsia"/>
                      <w:b/>
                      <w:bCs/>
                      <w:i w:val="0"/>
                      <w:iCs w:val="0"/>
                    </w:rPr>
                    <w:t>20</w:t>
                  </w:r>
                </w:p>
              </w:tc>
              <w:tc>
                <w:tcPr>
                  <w:tcW w:w="3248" w:type="dxa"/>
                  <w:tcBorders>
                    <w:top w:val="single" w:color="auto" w:sz="4" w:space="0"/>
                    <w:left w:val="single" w:color="auto" w:sz="4" w:space="0"/>
                    <w:bottom w:val="single" w:color="auto" w:sz="4" w:space="0"/>
                    <w:right w:val="single" w:color="auto" w:sz="4" w:space="0"/>
                  </w:tcBorders>
                  <w:vAlign w:val="center"/>
                </w:tcPr>
                <w:p w14:paraId="323B8761">
                  <w:pPr>
                    <w:wordWrap w:val="0"/>
                    <w:rPr>
                      <w:b/>
                      <w:bCs/>
                      <w:i w:val="0"/>
                      <w:iCs w:val="0"/>
                    </w:rPr>
                  </w:pPr>
                </w:p>
              </w:tc>
              <w:tc>
                <w:tcPr>
                  <w:tcW w:w="331" w:type="dxa"/>
                  <w:tcBorders>
                    <w:top w:val="single" w:color="auto" w:sz="4" w:space="0"/>
                    <w:left w:val="single" w:color="auto" w:sz="4" w:space="0"/>
                    <w:bottom w:val="single" w:color="auto" w:sz="4" w:space="0"/>
                    <w:right w:val="single" w:color="auto" w:sz="4" w:space="0"/>
                  </w:tcBorders>
                  <w:vAlign w:val="center"/>
                </w:tcPr>
                <w:p w14:paraId="7DEC3402">
                  <w:pPr>
                    <w:wordWrap w:val="0"/>
                    <w:jc w:val="center"/>
                    <w:rPr>
                      <w:b/>
                      <w:bCs/>
                    </w:rPr>
                  </w:pPr>
                </w:p>
              </w:tc>
            </w:tr>
            <w:tr w14:paraId="44CDAC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vMerge w:val="continue"/>
                  <w:tcBorders>
                    <w:left w:val="single" w:color="000000" w:sz="8" w:space="0"/>
                    <w:right w:val="single" w:color="auto" w:sz="4" w:space="0"/>
                  </w:tcBorders>
                  <w:shd w:val="clear" w:color="auto" w:fill="auto"/>
                  <w:vAlign w:val="center"/>
                </w:tcPr>
                <w:p w14:paraId="198FFC78">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shd w:val="clear" w:color="auto" w:fill="DCE6F2"/>
                  <w:vAlign w:val="center"/>
                </w:tcPr>
                <w:p w14:paraId="1FFAEFB9">
                  <w:pPr>
                    <w:wordWrap w:val="0"/>
                    <w:jc w:val="center"/>
                    <w:rPr>
                      <w:i w:val="0"/>
                      <w:iCs w:val="0"/>
                      <w:sz w:val="21"/>
                      <w:szCs w:val="21"/>
                    </w:rPr>
                  </w:pPr>
                  <w:r>
                    <w:rPr>
                      <w:i w:val="0"/>
                      <w:iCs w:val="0"/>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DCE6F2"/>
                  <w:vAlign w:val="center"/>
                </w:tcPr>
                <w:p w14:paraId="47EC4F20">
                  <w:pPr>
                    <w:wordWrap w:val="0"/>
                    <w:jc w:val="center"/>
                    <w:rPr>
                      <w:i w:val="0"/>
                      <w:iCs w:val="0"/>
                      <w:sz w:val="21"/>
                      <w:szCs w:val="21"/>
                      <w:u w:val="single"/>
                    </w:rPr>
                  </w:pPr>
                  <w:r>
                    <w:rPr>
                      <w:i w:val="0"/>
                      <w:iCs w:val="0"/>
                      <w:sz w:val="21"/>
                      <w:szCs w:val="21"/>
                    </w:rPr>
                    <w:t>评分因素</w:t>
                  </w:r>
                </w:p>
              </w:tc>
              <w:tc>
                <w:tcPr>
                  <w:tcW w:w="727" w:type="dxa"/>
                  <w:tcBorders>
                    <w:top w:val="single" w:color="auto" w:sz="4" w:space="0"/>
                    <w:left w:val="single" w:color="auto" w:sz="4" w:space="0"/>
                    <w:bottom w:val="single" w:color="auto" w:sz="4" w:space="0"/>
                    <w:right w:val="single" w:color="auto" w:sz="4" w:space="0"/>
                  </w:tcBorders>
                  <w:shd w:val="clear" w:color="auto" w:fill="DCE6F2"/>
                  <w:vAlign w:val="center"/>
                </w:tcPr>
                <w:p w14:paraId="0B9CCAD7">
                  <w:pPr>
                    <w:wordWrap w:val="0"/>
                    <w:jc w:val="center"/>
                    <w:rPr>
                      <w:i w:val="0"/>
                      <w:iCs w:val="0"/>
                      <w:sz w:val="21"/>
                      <w:szCs w:val="21"/>
                    </w:rPr>
                  </w:pPr>
                  <w:r>
                    <w:rPr>
                      <w:rFonts w:hint="eastAsia"/>
                      <w:i w:val="0"/>
                      <w:iCs w:val="0"/>
                      <w:sz w:val="21"/>
                      <w:szCs w:val="21"/>
                    </w:rPr>
                    <w:t>总分</w:t>
                  </w:r>
                </w:p>
              </w:tc>
              <w:tc>
                <w:tcPr>
                  <w:tcW w:w="3726" w:type="dxa"/>
                  <w:tcBorders>
                    <w:top w:val="single" w:color="auto" w:sz="4" w:space="0"/>
                    <w:left w:val="single" w:color="auto" w:sz="4" w:space="0"/>
                    <w:bottom w:val="single" w:color="auto" w:sz="4" w:space="0"/>
                    <w:right w:val="single" w:color="auto" w:sz="4" w:space="0"/>
                  </w:tcBorders>
                  <w:shd w:val="clear" w:color="auto" w:fill="DCE6F2"/>
                  <w:vAlign w:val="center"/>
                </w:tcPr>
                <w:p w14:paraId="5EE8F9C9">
                  <w:pPr>
                    <w:wordWrap w:val="0"/>
                    <w:jc w:val="center"/>
                    <w:rPr>
                      <w:i w:val="0"/>
                      <w:iCs w:val="0"/>
                      <w:sz w:val="21"/>
                      <w:szCs w:val="21"/>
                    </w:rPr>
                  </w:pPr>
                  <w:r>
                    <w:rPr>
                      <w:rFonts w:hint="eastAsia"/>
                      <w:i w:val="0"/>
                      <w:iCs w:val="0"/>
                      <w:sz w:val="21"/>
                      <w:szCs w:val="21"/>
                    </w:rPr>
                    <w:t>评分准则</w:t>
                  </w:r>
                </w:p>
              </w:tc>
              <w:tc>
                <w:tcPr>
                  <w:tcW w:w="3248" w:type="dxa"/>
                  <w:tcBorders>
                    <w:top w:val="single" w:color="auto" w:sz="4" w:space="0"/>
                    <w:left w:val="single" w:color="auto" w:sz="4" w:space="0"/>
                    <w:bottom w:val="single" w:color="auto" w:sz="4" w:space="0"/>
                    <w:right w:val="single" w:color="auto" w:sz="4" w:space="0"/>
                  </w:tcBorders>
                  <w:shd w:val="clear" w:color="auto" w:fill="DCE6F2"/>
                  <w:vAlign w:val="center"/>
                </w:tcPr>
                <w:p w14:paraId="50941F96">
                  <w:pPr>
                    <w:jc w:val="center"/>
                    <w:rPr>
                      <w:i w:val="0"/>
                      <w:iCs w:val="0"/>
                      <w:sz w:val="21"/>
                      <w:szCs w:val="21"/>
                    </w:rPr>
                  </w:pPr>
                  <w:r>
                    <w:rPr>
                      <w:rFonts w:hint="eastAsia"/>
                      <w:i w:val="0"/>
                      <w:iCs w:val="0"/>
                      <w:sz w:val="21"/>
                      <w:szCs w:val="21"/>
                    </w:rPr>
                    <w:t>备注</w:t>
                  </w:r>
                </w:p>
              </w:tc>
              <w:tc>
                <w:tcPr>
                  <w:tcW w:w="331" w:type="dxa"/>
                  <w:tcBorders>
                    <w:top w:val="single" w:color="auto" w:sz="4" w:space="0"/>
                    <w:left w:val="single" w:color="auto" w:sz="4" w:space="0"/>
                    <w:bottom w:val="single" w:color="auto" w:sz="4" w:space="0"/>
                    <w:right w:val="single" w:color="auto" w:sz="4" w:space="0"/>
                  </w:tcBorders>
                  <w:shd w:val="clear" w:color="auto" w:fill="DCE6F2"/>
                  <w:vAlign w:val="center"/>
                </w:tcPr>
                <w:p w14:paraId="3313CDA5">
                  <w:pPr>
                    <w:wordWrap w:val="0"/>
                    <w:jc w:val="center"/>
                    <w:rPr>
                      <w:sz w:val="21"/>
                      <w:szCs w:val="21"/>
                    </w:rPr>
                  </w:pPr>
                  <w:r>
                    <w:rPr>
                      <w:rFonts w:hint="eastAsia"/>
                      <w:sz w:val="21"/>
                      <w:szCs w:val="21"/>
                    </w:rPr>
                    <w:t>得分</w:t>
                  </w:r>
                </w:p>
              </w:tc>
            </w:tr>
            <w:tr w14:paraId="4CD93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16" w:hRule="atLeast"/>
              </w:trPr>
              <w:tc>
                <w:tcPr>
                  <w:tcW w:w="397" w:type="dxa"/>
                  <w:vMerge w:val="continue"/>
                  <w:tcBorders>
                    <w:left w:val="single" w:color="000000" w:sz="8" w:space="0"/>
                    <w:right w:val="single" w:color="auto" w:sz="4" w:space="0"/>
                  </w:tcBorders>
                  <w:vAlign w:val="center"/>
                </w:tcPr>
                <w:p w14:paraId="0F65F7C0">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vAlign w:val="center"/>
                </w:tcPr>
                <w:p w14:paraId="32B2E863">
                  <w:pPr>
                    <w:wordWrap w:val="0"/>
                    <w:jc w:val="center"/>
                    <w:rPr>
                      <w:i w:val="0"/>
                      <w:iCs w:val="0"/>
                      <w:sz w:val="21"/>
                      <w:szCs w:val="21"/>
                    </w:rPr>
                  </w:pPr>
                  <w:r>
                    <w:rPr>
                      <w:i w:val="0"/>
                      <w:iCs w:val="0"/>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14:paraId="7248B63E">
                  <w:pPr>
                    <w:wordWrap w:val="0"/>
                    <w:jc w:val="center"/>
                    <w:rPr>
                      <w:i w:val="0"/>
                      <w:iCs w:val="0"/>
                      <w:sz w:val="21"/>
                      <w:szCs w:val="21"/>
                    </w:rPr>
                  </w:pPr>
                  <w:r>
                    <w:rPr>
                      <w:rFonts w:hint="eastAsia"/>
                      <w:i w:val="0"/>
                      <w:iCs w:val="0"/>
                      <w:sz w:val="21"/>
                      <w:szCs w:val="21"/>
                      <w:u w:val="single"/>
                    </w:rPr>
                    <w:t>拟安排的项目负责人情况（仅限一人）</w:t>
                  </w:r>
                </w:p>
              </w:tc>
              <w:tc>
                <w:tcPr>
                  <w:tcW w:w="727" w:type="dxa"/>
                  <w:tcBorders>
                    <w:top w:val="single" w:color="auto" w:sz="4" w:space="0"/>
                    <w:left w:val="single" w:color="auto" w:sz="4" w:space="0"/>
                    <w:bottom w:val="single" w:color="auto" w:sz="4" w:space="0"/>
                    <w:right w:val="single" w:color="auto" w:sz="4" w:space="0"/>
                  </w:tcBorders>
                  <w:vAlign w:val="center"/>
                </w:tcPr>
                <w:p w14:paraId="78A7CBD6">
                  <w:pPr>
                    <w:wordWrap w:val="0"/>
                    <w:jc w:val="center"/>
                    <w:rPr>
                      <w:i w:val="0"/>
                      <w:iCs w:val="0"/>
                      <w:sz w:val="21"/>
                      <w:szCs w:val="21"/>
                    </w:rPr>
                  </w:pPr>
                  <w:r>
                    <w:rPr>
                      <w:i w:val="0"/>
                      <w:iCs w:val="0"/>
                      <w:sz w:val="21"/>
                      <w:szCs w:val="21"/>
                    </w:rPr>
                    <w:t>10</w:t>
                  </w:r>
                </w:p>
              </w:tc>
              <w:tc>
                <w:tcPr>
                  <w:tcW w:w="3726" w:type="dxa"/>
                  <w:tcBorders>
                    <w:top w:val="single" w:color="auto" w:sz="4" w:space="0"/>
                    <w:left w:val="single" w:color="auto" w:sz="4" w:space="0"/>
                    <w:bottom w:val="single" w:color="auto" w:sz="4" w:space="0"/>
                    <w:right w:val="single" w:color="auto" w:sz="4" w:space="0"/>
                  </w:tcBorders>
                  <w:vAlign w:val="center"/>
                </w:tcPr>
                <w:p w14:paraId="2ECAF765">
                  <w:pPr>
                    <w:rPr>
                      <w:i w:val="0"/>
                      <w:iCs w:val="0"/>
                      <w:color w:val="000000" w:themeColor="text1"/>
                      <w:sz w:val="21"/>
                      <w:szCs w:val="21"/>
                      <w14:textFill>
                        <w14:solidFill>
                          <w14:schemeClr w14:val="tx1"/>
                        </w14:solidFill>
                      </w14:textFill>
                    </w:rPr>
                  </w:pPr>
                  <w:r>
                    <w:rPr>
                      <w:rFonts w:hint="eastAsia"/>
                      <w:i w:val="0"/>
                      <w:iCs w:val="0"/>
                      <w:color w:val="000000" w:themeColor="text1"/>
                      <w:sz w:val="21"/>
                      <w:szCs w:val="21"/>
                      <w14:textFill>
                        <w14:solidFill>
                          <w14:schemeClr w14:val="tx1"/>
                        </w14:solidFill>
                      </w14:textFill>
                    </w:rPr>
                    <w:t>拟安排的项目负责人须为投标人自有员工（提供社保作为证明材料），否则本项不得分。根据投标人拟派本项目负责人资质</w:t>
                  </w:r>
                  <w:r>
                    <w:rPr>
                      <w:rFonts w:hint="eastAsia"/>
                      <w:i w:val="0"/>
                      <w:iCs w:val="0"/>
                      <w:color w:val="000000" w:themeColor="text1"/>
                      <w:sz w:val="21"/>
                      <w:szCs w:val="21"/>
                      <w:lang w:val="en-US" w:eastAsia="zh-CN"/>
                      <w14:textFill>
                        <w14:solidFill>
                          <w14:schemeClr w14:val="tx1"/>
                        </w14:solidFill>
                      </w14:textFill>
                    </w:rPr>
                    <w:t>等</w:t>
                  </w:r>
                  <w:r>
                    <w:rPr>
                      <w:rFonts w:hint="eastAsia"/>
                      <w:i w:val="0"/>
                      <w:iCs w:val="0"/>
                      <w:color w:val="000000" w:themeColor="text1"/>
                      <w:sz w:val="21"/>
                      <w:szCs w:val="21"/>
                      <w14:textFill>
                        <w14:solidFill>
                          <w14:schemeClr w14:val="tx1"/>
                        </w14:solidFill>
                      </w14:textFill>
                    </w:rPr>
                    <w:t>情况打分：</w:t>
                  </w:r>
                </w:p>
                <w:p w14:paraId="327AE0FE">
                  <w:pPr>
                    <w:pStyle w:val="36"/>
                    <w:numPr>
                      <w:ilvl w:val="-1"/>
                      <w:numId w:val="0"/>
                    </w:numPr>
                    <w:ind w:left="0" w:firstLine="0" w:firstLineChars="0"/>
                    <w:rPr>
                      <w:i w:val="0"/>
                      <w:iCs w:val="0"/>
                      <w:color w:val="000000" w:themeColor="text1"/>
                      <w:sz w:val="21"/>
                      <w:szCs w:val="21"/>
                      <w14:textFill>
                        <w14:solidFill>
                          <w14:schemeClr w14:val="tx1"/>
                        </w14:solidFill>
                      </w14:textFill>
                    </w:rPr>
                  </w:pPr>
                  <w:r>
                    <w:rPr>
                      <w:rFonts w:hint="eastAsia"/>
                      <w:i w:val="0"/>
                      <w:iCs w:val="0"/>
                      <w:color w:val="000000" w:themeColor="text1"/>
                      <w:sz w:val="21"/>
                      <w:szCs w:val="21"/>
                      <w:lang w:val="en-US" w:eastAsia="zh-CN"/>
                      <w14:textFill>
                        <w14:solidFill>
                          <w14:schemeClr w14:val="tx1"/>
                        </w14:solidFill>
                      </w14:textFill>
                    </w:rPr>
                    <w:t>1.</w:t>
                  </w:r>
                  <w:r>
                    <w:rPr>
                      <w:i w:val="0"/>
                      <w:iCs w:val="0"/>
                      <w:color w:val="000000" w:themeColor="text1"/>
                      <w:sz w:val="21"/>
                      <w:szCs w:val="21"/>
                      <w14:textFill>
                        <w14:solidFill>
                          <w14:schemeClr w14:val="tx1"/>
                        </w14:solidFill>
                      </w14:textFill>
                    </w:rPr>
                    <w:t>具有</w:t>
                  </w:r>
                  <w:r>
                    <w:rPr>
                      <w:rFonts w:hint="eastAsia"/>
                      <w:i w:val="0"/>
                      <w:iCs w:val="0"/>
                      <w:color w:val="000000" w:themeColor="text1"/>
                      <w:sz w:val="21"/>
                      <w:szCs w:val="21"/>
                      <w14:textFill>
                        <w14:solidFill>
                          <w14:schemeClr w14:val="tx1"/>
                        </w14:solidFill>
                      </w14:textFill>
                    </w:rPr>
                    <w:t>高级职称</w:t>
                  </w:r>
                  <w:r>
                    <w:rPr>
                      <w:i w:val="0"/>
                      <w:iCs w:val="0"/>
                      <w:color w:val="000000" w:themeColor="text1"/>
                      <w:sz w:val="21"/>
                      <w:szCs w:val="21"/>
                      <w14:textFill>
                        <w14:solidFill>
                          <w14:schemeClr w14:val="tx1"/>
                        </w14:solidFill>
                      </w14:textFill>
                    </w:rPr>
                    <w:t>得</w:t>
                  </w:r>
                  <w:r>
                    <w:rPr>
                      <w:rFonts w:hint="eastAsia"/>
                      <w:i w:val="0"/>
                      <w:iCs w:val="0"/>
                      <w:color w:val="000000" w:themeColor="text1"/>
                      <w:sz w:val="21"/>
                      <w:szCs w:val="21"/>
                      <w:lang w:val="en-US" w:eastAsia="zh-CN"/>
                      <w14:textFill>
                        <w14:solidFill>
                          <w14:schemeClr w14:val="tx1"/>
                        </w14:solidFill>
                      </w14:textFill>
                    </w:rPr>
                    <w:t>4</w:t>
                  </w:r>
                  <w:r>
                    <w:rPr>
                      <w:i w:val="0"/>
                      <w:iCs w:val="0"/>
                      <w:color w:val="000000" w:themeColor="text1"/>
                      <w:sz w:val="21"/>
                      <w:szCs w:val="21"/>
                      <w14:textFill>
                        <w14:solidFill>
                          <w14:schemeClr w14:val="tx1"/>
                        </w14:solidFill>
                      </w14:textFill>
                    </w:rPr>
                    <w:t>分；</w:t>
                  </w:r>
                </w:p>
                <w:p w14:paraId="3EDBC256">
                  <w:pPr>
                    <w:pStyle w:val="36"/>
                    <w:numPr>
                      <w:ilvl w:val="-1"/>
                      <w:numId w:val="0"/>
                    </w:numPr>
                    <w:ind w:left="0" w:firstLine="0" w:firstLineChars="0"/>
                    <w:rPr>
                      <w:i w:val="0"/>
                      <w:iCs w:val="0"/>
                      <w:color w:val="000000" w:themeColor="text1"/>
                      <w:sz w:val="21"/>
                      <w:szCs w:val="21"/>
                      <w14:textFill>
                        <w14:solidFill>
                          <w14:schemeClr w14:val="tx1"/>
                        </w14:solidFill>
                      </w14:textFill>
                    </w:rPr>
                  </w:pPr>
                  <w:r>
                    <w:rPr>
                      <w:rFonts w:hint="eastAsia"/>
                      <w:i w:val="0"/>
                      <w:iCs w:val="0"/>
                      <w:color w:val="000000" w:themeColor="text1"/>
                      <w:sz w:val="21"/>
                      <w:szCs w:val="21"/>
                      <w:lang w:val="en-US" w:eastAsia="zh-CN"/>
                      <w14:textFill>
                        <w14:solidFill>
                          <w14:schemeClr w14:val="tx1"/>
                        </w14:solidFill>
                      </w14:textFill>
                    </w:rPr>
                    <w:t>2.</w:t>
                  </w:r>
                  <w:r>
                    <w:rPr>
                      <w:i w:val="0"/>
                      <w:iCs w:val="0"/>
                      <w:color w:val="000000" w:themeColor="text1"/>
                      <w:sz w:val="21"/>
                      <w:szCs w:val="21"/>
                      <w14:textFill>
                        <w14:solidFill>
                          <w14:schemeClr w14:val="tx1"/>
                        </w14:solidFill>
                      </w14:textFill>
                    </w:rPr>
                    <w:t>具有注册规划师执业资格得</w:t>
                  </w:r>
                  <w:r>
                    <w:rPr>
                      <w:rFonts w:hint="eastAsia"/>
                      <w:i w:val="0"/>
                      <w:iCs w:val="0"/>
                      <w:color w:val="000000" w:themeColor="text1"/>
                      <w:sz w:val="21"/>
                      <w:szCs w:val="21"/>
                      <w:lang w:val="en-US" w:eastAsia="zh-CN"/>
                      <w14:textFill>
                        <w14:solidFill>
                          <w14:schemeClr w14:val="tx1"/>
                        </w14:solidFill>
                      </w14:textFill>
                    </w:rPr>
                    <w:t>4</w:t>
                  </w:r>
                  <w:r>
                    <w:rPr>
                      <w:i w:val="0"/>
                      <w:iCs w:val="0"/>
                      <w:color w:val="000000" w:themeColor="text1"/>
                      <w:sz w:val="21"/>
                      <w:szCs w:val="21"/>
                      <w14:textFill>
                        <w14:solidFill>
                          <w14:schemeClr w14:val="tx1"/>
                        </w14:solidFill>
                      </w14:textFill>
                    </w:rPr>
                    <w:t>分；</w:t>
                  </w:r>
                </w:p>
                <w:p w14:paraId="67B5D725">
                  <w:pPr>
                    <w:rPr>
                      <w:i w:val="0"/>
                      <w:iCs w:val="0"/>
                      <w:color w:val="000000" w:themeColor="text1"/>
                      <w:sz w:val="21"/>
                      <w:szCs w:val="21"/>
                      <w14:textFill>
                        <w14:solidFill>
                          <w14:schemeClr w14:val="tx1"/>
                        </w14:solidFill>
                      </w14:textFill>
                    </w:rPr>
                  </w:pPr>
                  <w:r>
                    <w:rPr>
                      <w:rFonts w:hint="eastAsia"/>
                      <w:i w:val="0"/>
                      <w:iCs w:val="0"/>
                      <w:color w:val="000000" w:themeColor="text1"/>
                      <w:sz w:val="21"/>
                      <w:szCs w:val="21"/>
                      <w14:textFill>
                        <w14:solidFill>
                          <w14:schemeClr w14:val="tx1"/>
                        </w14:solidFill>
                      </w14:textFill>
                    </w:rPr>
                    <w:t>3</w:t>
                  </w:r>
                  <w:r>
                    <w:rPr>
                      <w:rFonts w:hint="eastAsia"/>
                      <w:i w:val="0"/>
                      <w:iCs w:val="0"/>
                      <w:color w:val="000000" w:themeColor="text1"/>
                      <w:sz w:val="21"/>
                      <w:szCs w:val="21"/>
                      <w:lang w:val="en-US" w:eastAsia="zh-CN"/>
                      <w14:textFill>
                        <w14:solidFill>
                          <w14:schemeClr w14:val="tx1"/>
                        </w14:solidFill>
                      </w14:textFill>
                    </w:rPr>
                    <w:t>.具有硕士</w:t>
                  </w:r>
                  <w:r>
                    <w:rPr>
                      <w:rFonts w:hint="eastAsia"/>
                      <w:i w:val="0"/>
                      <w:iCs w:val="0"/>
                      <w:color w:val="000000" w:themeColor="text1"/>
                      <w:sz w:val="21"/>
                      <w:szCs w:val="21"/>
                      <w14:textFill>
                        <w14:solidFill>
                          <w14:schemeClr w14:val="tx1"/>
                        </w14:solidFill>
                      </w14:textFill>
                    </w:rPr>
                    <w:t>及以上</w:t>
                  </w:r>
                  <w:r>
                    <w:rPr>
                      <w:rFonts w:hint="eastAsia"/>
                      <w:i w:val="0"/>
                      <w:iCs w:val="0"/>
                      <w:color w:val="000000" w:themeColor="text1"/>
                      <w:sz w:val="21"/>
                      <w:szCs w:val="21"/>
                      <w:lang w:val="en-US" w:eastAsia="zh-CN"/>
                      <w14:textFill>
                        <w14:solidFill>
                          <w14:schemeClr w14:val="tx1"/>
                        </w14:solidFill>
                      </w14:textFill>
                    </w:rPr>
                    <w:t>学历</w:t>
                  </w:r>
                  <w:r>
                    <w:rPr>
                      <w:rFonts w:hint="eastAsia"/>
                      <w:i w:val="0"/>
                      <w:iCs w:val="0"/>
                      <w:color w:val="000000" w:themeColor="text1"/>
                      <w:sz w:val="21"/>
                      <w:szCs w:val="21"/>
                      <w14:textFill>
                        <w14:solidFill>
                          <w14:schemeClr w14:val="tx1"/>
                        </w14:solidFill>
                      </w14:textFill>
                    </w:rPr>
                    <w:t>的得</w:t>
                  </w:r>
                  <w:r>
                    <w:rPr>
                      <w:rFonts w:hint="eastAsia"/>
                      <w:i w:val="0"/>
                      <w:iCs w:val="0"/>
                      <w:color w:val="000000" w:themeColor="text1"/>
                      <w:sz w:val="21"/>
                      <w:szCs w:val="21"/>
                      <w:lang w:val="en-US" w:eastAsia="zh-CN"/>
                      <w14:textFill>
                        <w14:solidFill>
                          <w14:schemeClr w14:val="tx1"/>
                        </w14:solidFill>
                      </w14:textFill>
                    </w:rPr>
                    <w:t>2</w:t>
                  </w:r>
                  <w:r>
                    <w:rPr>
                      <w:i w:val="0"/>
                      <w:iCs w:val="0"/>
                      <w:color w:val="000000" w:themeColor="text1"/>
                      <w:sz w:val="21"/>
                      <w:szCs w:val="21"/>
                      <w14:textFill>
                        <w14:solidFill>
                          <w14:schemeClr w14:val="tx1"/>
                        </w14:solidFill>
                      </w14:textFill>
                    </w:rPr>
                    <w:t>分。</w:t>
                  </w:r>
                </w:p>
                <w:p w14:paraId="0E3463E0">
                  <w:pPr>
                    <w:rPr>
                      <w:i w:val="0"/>
                      <w:iCs w:val="0"/>
                      <w:sz w:val="21"/>
                      <w:szCs w:val="21"/>
                    </w:rPr>
                  </w:pPr>
                  <w:r>
                    <w:rPr>
                      <w:i w:val="0"/>
                      <w:iCs w:val="0"/>
                      <w:color w:val="000000" w:themeColor="text1"/>
                      <w:sz w:val="21"/>
                      <w:szCs w:val="21"/>
                      <w14:textFill>
                        <w14:solidFill>
                          <w14:schemeClr w14:val="tx1"/>
                        </w14:solidFill>
                      </w14:textFill>
                    </w:rPr>
                    <w:t>以上</w:t>
                  </w:r>
                  <w:r>
                    <w:rPr>
                      <w:rFonts w:hint="eastAsia"/>
                      <w:i w:val="0"/>
                      <w:iCs w:val="0"/>
                      <w:color w:val="000000" w:themeColor="text1"/>
                      <w:sz w:val="21"/>
                      <w:szCs w:val="21"/>
                      <w14:textFill>
                        <w14:solidFill>
                          <w14:schemeClr w14:val="tx1"/>
                        </w14:solidFill>
                      </w14:textFill>
                    </w:rPr>
                    <w:t>三</w:t>
                  </w:r>
                  <w:r>
                    <w:rPr>
                      <w:i w:val="0"/>
                      <w:iCs w:val="0"/>
                      <w:color w:val="000000" w:themeColor="text1"/>
                      <w:sz w:val="21"/>
                      <w:szCs w:val="21"/>
                      <w14:textFill>
                        <w14:solidFill>
                          <w14:schemeClr w14:val="tx1"/>
                        </w14:solidFill>
                      </w14:textFill>
                    </w:rPr>
                    <w:t>项合计满分</w:t>
                  </w:r>
                  <w:r>
                    <w:rPr>
                      <w:rFonts w:hint="eastAsia"/>
                      <w:i w:val="0"/>
                      <w:iCs w:val="0"/>
                      <w:color w:val="000000" w:themeColor="text1"/>
                      <w:sz w:val="21"/>
                      <w:szCs w:val="21"/>
                      <w14:textFill>
                        <w14:solidFill>
                          <w14:schemeClr w14:val="tx1"/>
                        </w14:solidFill>
                      </w14:textFill>
                    </w:rPr>
                    <w:t>10</w:t>
                  </w:r>
                  <w:r>
                    <w:rPr>
                      <w:i w:val="0"/>
                      <w:iCs w:val="0"/>
                      <w:color w:val="000000" w:themeColor="text1"/>
                      <w:sz w:val="21"/>
                      <w:szCs w:val="21"/>
                      <w14:textFill>
                        <w14:solidFill>
                          <w14:schemeClr w14:val="tx1"/>
                        </w14:solidFill>
                      </w14:textFill>
                    </w:rPr>
                    <w:t>分。</w:t>
                  </w:r>
                </w:p>
              </w:tc>
              <w:tc>
                <w:tcPr>
                  <w:tcW w:w="3248" w:type="dxa"/>
                  <w:tcBorders>
                    <w:top w:val="single" w:color="auto" w:sz="4" w:space="0"/>
                    <w:left w:val="single" w:color="auto" w:sz="4" w:space="0"/>
                    <w:bottom w:val="single" w:color="auto" w:sz="4" w:space="0"/>
                    <w:right w:val="single" w:color="auto" w:sz="4" w:space="0"/>
                  </w:tcBorders>
                  <w:vAlign w:val="center"/>
                </w:tcPr>
                <w:p w14:paraId="4DFF8FB5">
                  <w:pPr>
                    <w:wordWrap w:val="0"/>
                    <w:rPr>
                      <w:i w:val="0"/>
                      <w:iCs w:val="0"/>
                      <w:sz w:val="21"/>
                      <w:szCs w:val="21"/>
                    </w:rPr>
                  </w:pPr>
                  <w:r>
                    <w:rPr>
                      <w:i w:val="0"/>
                      <w:iCs w:val="0"/>
                      <w:sz w:val="21"/>
                      <w:szCs w:val="21"/>
                    </w:rPr>
                    <w:t>1.须提供投标人为项目负责人缴交的载有社保部门公章的近三个月的社保缴交证明材料（202</w:t>
                  </w:r>
                  <w:r>
                    <w:rPr>
                      <w:rFonts w:hint="eastAsia"/>
                      <w:i w:val="0"/>
                      <w:iCs w:val="0"/>
                      <w:sz w:val="21"/>
                      <w:szCs w:val="21"/>
                      <w:lang w:val="en-US" w:eastAsia="zh-CN"/>
                    </w:rPr>
                    <w:t>5</w:t>
                  </w:r>
                  <w:r>
                    <w:rPr>
                      <w:i w:val="0"/>
                      <w:iCs w:val="0"/>
                      <w:sz w:val="21"/>
                      <w:szCs w:val="21"/>
                    </w:rPr>
                    <w:t>年</w:t>
                  </w:r>
                  <w:r>
                    <w:rPr>
                      <w:rFonts w:hint="eastAsia"/>
                      <w:i w:val="0"/>
                      <w:iCs w:val="0"/>
                      <w:sz w:val="21"/>
                      <w:szCs w:val="21"/>
                      <w:lang w:val="en-US" w:eastAsia="zh-CN"/>
                    </w:rPr>
                    <w:t>3</w:t>
                  </w:r>
                  <w:r>
                    <w:rPr>
                      <w:i w:val="0"/>
                      <w:iCs w:val="0"/>
                      <w:sz w:val="21"/>
                      <w:szCs w:val="21"/>
                    </w:rPr>
                    <w:t>月至202</w:t>
                  </w:r>
                  <w:r>
                    <w:rPr>
                      <w:rFonts w:hint="eastAsia"/>
                      <w:i w:val="0"/>
                      <w:iCs w:val="0"/>
                      <w:sz w:val="21"/>
                      <w:szCs w:val="21"/>
                      <w:lang w:val="en-US" w:eastAsia="zh-CN"/>
                    </w:rPr>
                    <w:t>5</w:t>
                  </w:r>
                  <w:r>
                    <w:rPr>
                      <w:i w:val="0"/>
                      <w:iCs w:val="0"/>
                      <w:sz w:val="21"/>
                      <w:szCs w:val="21"/>
                    </w:rPr>
                    <w:t>年</w:t>
                  </w:r>
                  <w:r>
                    <w:rPr>
                      <w:rFonts w:hint="eastAsia"/>
                      <w:i w:val="0"/>
                      <w:iCs w:val="0"/>
                      <w:sz w:val="21"/>
                      <w:szCs w:val="21"/>
                      <w:lang w:val="en-US" w:eastAsia="zh-CN"/>
                    </w:rPr>
                    <w:t>5</w:t>
                  </w:r>
                  <w:r>
                    <w:rPr>
                      <w:i w:val="0"/>
                      <w:iCs w:val="0"/>
                      <w:sz w:val="21"/>
                      <w:szCs w:val="21"/>
                    </w:rPr>
                    <w:t>月，由于社保部门原因最近一个月的社保证明无法提供的可往前顺延一个月，如供应商为新成立企业且成立时间不足三个月可提供加盖公章的情况说明或者证明材料亦视为符合）、职称证书、资格证书</w:t>
                  </w:r>
                  <w:r>
                    <w:rPr>
                      <w:rFonts w:hint="eastAsia"/>
                      <w:i w:val="0"/>
                      <w:iCs w:val="0"/>
                      <w:sz w:val="21"/>
                      <w:szCs w:val="21"/>
                      <w:lang w:val="en-US" w:eastAsia="zh-CN"/>
                    </w:rPr>
                    <w:t>等</w:t>
                  </w:r>
                  <w:r>
                    <w:rPr>
                      <w:i w:val="0"/>
                      <w:iCs w:val="0"/>
                      <w:sz w:val="21"/>
                      <w:szCs w:val="21"/>
                    </w:rPr>
                    <w:t>证明资料作为得分依据，未提供不得分。</w:t>
                  </w:r>
                </w:p>
              </w:tc>
              <w:tc>
                <w:tcPr>
                  <w:tcW w:w="331" w:type="dxa"/>
                  <w:tcBorders>
                    <w:top w:val="single" w:color="auto" w:sz="4" w:space="0"/>
                    <w:left w:val="single" w:color="auto" w:sz="4" w:space="0"/>
                    <w:bottom w:val="single" w:color="auto" w:sz="4" w:space="0"/>
                    <w:right w:val="single" w:color="auto" w:sz="4" w:space="0"/>
                  </w:tcBorders>
                  <w:vAlign w:val="center"/>
                </w:tcPr>
                <w:p w14:paraId="3473F299">
                  <w:pPr>
                    <w:wordWrap w:val="0"/>
                    <w:jc w:val="center"/>
                    <w:rPr>
                      <w:sz w:val="21"/>
                      <w:szCs w:val="21"/>
                    </w:rPr>
                  </w:pPr>
                </w:p>
              </w:tc>
            </w:tr>
            <w:tr w14:paraId="1C6BA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06" w:hRule="atLeast"/>
              </w:trPr>
              <w:tc>
                <w:tcPr>
                  <w:tcW w:w="397" w:type="dxa"/>
                  <w:vMerge w:val="continue"/>
                  <w:tcBorders>
                    <w:left w:val="single" w:color="000000" w:sz="8" w:space="0"/>
                    <w:right w:val="single" w:color="auto" w:sz="4" w:space="0"/>
                  </w:tcBorders>
                  <w:vAlign w:val="center"/>
                </w:tcPr>
                <w:p w14:paraId="7A30A325">
                  <w:pPr>
                    <w:jc w:val="center"/>
                    <w:rPr>
                      <w:b/>
                      <w:bCs/>
                      <w:i w:val="0"/>
                      <w:iCs w:val="0"/>
                    </w:rPr>
                  </w:pPr>
                </w:p>
              </w:tc>
              <w:tc>
                <w:tcPr>
                  <w:tcW w:w="323" w:type="dxa"/>
                  <w:tcBorders>
                    <w:top w:val="single" w:color="auto" w:sz="4" w:space="0"/>
                    <w:left w:val="single" w:color="auto" w:sz="4" w:space="0"/>
                    <w:bottom w:val="single" w:color="auto" w:sz="4" w:space="0"/>
                    <w:right w:val="single" w:color="auto" w:sz="4" w:space="0"/>
                  </w:tcBorders>
                  <w:vAlign w:val="center"/>
                </w:tcPr>
                <w:p w14:paraId="45303823">
                  <w:pPr>
                    <w:wordWrap w:val="0"/>
                    <w:jc w:val="center"/>
                    <w:rPr>
                      <w:i w:val="0"/>
                      <w:iCs w:val="0"/>
                      <w:sz w:val="21"/>
                      <w:szCs w:val="21"/>
                    </w:rPr>
                  </w:pPr>
                  <w:r>
                    <w:rPr>
                      <w:i w:val="0"/>
                      <w:iCs w:val="0"/>
                      <w:sz w:val="21"/>
                      <w:szCs w:val="21"/>
                    </w:rPr>
                    <w:t>2</w:t>
                  </w:r>
                </w:p>
              </w:tc>
              <w:tc>
                <w:tcPr>
                  <w:tcW w:w="1095" w:type="dxa"/>
                  <w:tcBorders>
                    <w:top w:val="single" w:color="auto" w:sz="4" w:space="0"/>
                    <w:left w:val="single" w:color="auto" w:sz="4" w:space="0"/>
                    <w:bottom w:val="single" w:color="auto" w:sz="4" w:space="0"/>
                    <w:right w:val="single" w:color="auto" w:sz="4" w:space="0"/>
                  </w:tcBorders>
                  <w:vAlign w:val="center"/>
                </w:tcPr>
                <w:p w14:paraId="58132430">
                  <w:pPr>
                    <w:wordWrap w:val="0"/>
                    <w:jc w:val="center"/>
                    <w:rPr>
                      <w:i w:val="0"/>
                      <w:iCs w:val="0"/>
                      <w:sz w:val="21"/>
                      <w:szCs w:val="21"/>
                    </w:rPr>
                  </w:pPr>
                  <w:r>
                    <w:rPr>
                      <w:rFonts w:hint="eastAsia"/>
                      <w:i w:val="0"/>
                      <w:iCs w:val="0"/>
                      <w:sz w:val="21"/>
                      <w:szCs w:val="21"/>
                      <w:u w:val="single"/>
                    </w:rPr>
                    <w:t>拟安排的项目主要团队成员（主要技术人员）情况（项目负责人除外）</w:t>
                  </w:r>
                </w:p>
              </w:tc>
              <w:tc>
                <w:tcPr>
                  <w:tcW w:w="727" w:type="dxa"/>
                  <w:tcBorders>
                    <w:top w:val="single" w:color="auto" w:sz="4" w:space="0"/>
                    <w:left w:val="single" w:color="auto" w:sz="4" w:space="0"/>
                    <w:bottom w:val="single" w:color="auto" w:sz="4" w:space="0"/>
                    <w:right w:val="single" w:color="auto" w:sz="4" w:space="0"/>
                  </w:tcBorders>
                  <w:vAlign w:val="center"/>
                </w:tcPr>
                <w:p w14:paraId="0605893A">
                  <w:pPr>
                    <w:wordWrap w:val="0"/>
                    <w:jc w:val="center"/>
                    <w:rPr>
                      <w:i w:val="0"/>
                      <w:iCs w:val="0"/>
                      <w:sz w:val="21"/>
                      <w:szCs w:val="21"/>
                    </w:rPr>
                  </w:pPr>
                  <w:r>
                    <w:rPr>
                      <w:rFonts w:hint="eastAsia"/>
                      <w:i w:val="0"/>
                      <w:iCs w:val="0"/>
                      <w:sz w:val="21"/>
                      <w:szCs w:val="21"/>
                    </w:rPr>
                    <w:t>10</w:t>
                  </w:r>
                </w:p>
              </w:tc>
              <w:tc>
                <w:tcPr>
                  <w:tcW w:w="3726" w:type="dxa"/>
                  <w:tcBorders>
                    <w:top w:val="single" w:color="auto" w:sz="4" w:space="0"/>
                    <w:left w:val="single" w:color="auto" w:sz="4" w:space="0"/>
                    <w:bottom w:val="single" w:color="auto" w:sz="4" w:space="0"/>
                    <w:right w:val="single" w:color="auto" w:sz="4" w:space="0"/>
                  </w:tcBorders>
                  <w:vAlign w:val="center"/>
                </w:tcPr>
                <w:p w14:paraId="30F68A24">
                  <w:pPr>
                    <w:rPr>
                      <w:i w:val="0"/>
                      <w:iCs w:val="0"/>
                      <w:color w:val="000000"/>
                      <w:sz w:val="21"/>
                      <w:szCs w:val="21"/>
                    </w:rPr>
                  </w:pPr>
                  <w:r>
                    <w:rPr>
                      <w:rFonts w:hint="eastAsia"/>
                      <w:i w:val="0"/>
                      <w:iCs w:val="0"/>
                      <w:color w:val="000000"/>
                      <w:sz w:val="21"/>
                      <w:szCs w:val="21"/>
                    </w:rPr>
                    <w:t>拟安排的团队成员须为投标人自有员工（提供社保作为证明材料），且不少于7人（项目负责人除外），否则本项不得分。根据投标人拟派本项目服务人员人数、素质情况打分：</w:t>
                  </w:r>
                </w:p>
                <w:p w14:paraId="34C99B72">
                  <w:pPr>
                    <w:rPr>
                      <w:i w:val="0"/>
                      <w:iCs w:val="0"/>
                      <w:color w:val="000000" w:themeColor="text1"/>
                      <w:sz w:val="21"/>
                      <w:szCs w:val="21"/>
                      <w14:textFill>
                        <w14:solidFill>
                          <w14:schemeClr w14:val="tx1"/>
                        </w14:solidFill>
                      </w14:textFill>
                    </w:rPr>
                  </w:pPr>
                  <w:r>
                    <w:rPr>
                      <w:i w:val="0"/>
                      <w:iCs w:val="0"/>
                      <w:color w:val="000000" w:themeColor="text1"/>
                      <w:sz w:val="21"/>
                      <w:szCs w:val="21"/>
                      <w14:textFill>
                        <w14:solidFill>
                          <w14:schemeClr w14:val="tx1"/>
                        </w14:solidFill>
                      </w14:textFill>
                    </w:rPr>
                    <w:t>1.团队成员中具有国家注册规划师执业资格且为城乡规划副高级（或以上）职称的，每1人得</w:t>
                  </w:r>
                  <w:r>
                    <w:rPr>
                      <w:rFonts w:hint="eastAsia"/>
                      <w:i w:val="0"/>
                      <w:iCs w:val="0"/>
                      <w:color w:val="000000" w:themeColor="text1"/>
                      <w:sz w:val="21"/>
                      <w:szCs w:val="21"/>
                      <w14:textFill>
                        <w14:solidFill>
                          <w14:schemeClr w14:val="tx1"/>
                        </w14:solidFill>
                      </w14:textFill>
                    </w:rPr>
                    <w:t>2</w:t>
                  </w:r>
                  <w:r>
                    <w:rPr>
                      <w:i w:val="0"/>
                      <w:iCs w:val="0"/>
                      <w:color w:val="000000" w:themeColor="text1"/>
                      <w:sz w:val="21"/>
                      <w:szCs w:val="21"/>
                      <w14:textFill>
                        <w14:solidFill>
                          <w14:schemeClr w14:val="tx1"/>
                        </w14:solidFill>
                      </w14:textFill>
                    </w:rPr>
                    <w:t>分，最多得</w:t>
                  </w:r>
                  <w:r>
                    <w:rPr>
                      <w:rFonts w:hint="eastAsia"/>
                      <w:i w:val="0"/>
                      <w:iCs w:val="0"/>
                      <w:color w:val="000000" w:themeColor="text1"/>
                      <w:sz w:val="21"/>
                      <w:szCs w:val="21"/>
                      <w14:textFill>
                        <w14:solidFill>
                          <w14:schemeClr w14:val="tx1"/>
                        </w14:solidFill>
                      </w14:textFill>
                    </w:rPr>
                    <w:t>4</w:t>
                  </w:r>
                  <w:r>
                    <w:rPr>
                      <w:i w:val="0"/>
                      <w:iCs w:val="0"/>
                      <w:color w:val="000000" w:themeColor="text1"/>
                      <w:sz w:val="21"/>
                      <w:szCs w:val="21"/>
                      <w14:textFill>
                        <w14:solidFill>
                          <w14:schemeClr w14:val="tx1"/>
                        </w14:solidFill>
                      </w14:textFill>
                    </w:rPr>
                    <w:t>分；</w:t>
                  </w:r>
                </w:p>
                <w:p w14:paraId="4C629737">
                  <w:pPr>
                    <w:rPr>
                      <w:i w:val="0"/>
                      <w:iCs w:val="0"/>
                      <w:color w:val="000000"/>
                      <w:sz w:val="21"/>
                      <w:szCs w:val="21"/>
                    </w:rPr>
                  </w:pPr>
                  <w:r>
                    <w:rPr>
                      <w:rFonts w:hint="eastAsia"/>
                      <w:i w:val="0"/>
                      <w:iCs w:val="0"/>
                      <w:color w:val="000000"/>
                      <w:sz w:val="21"/>
                      <w:szCs w:val="21"/>
                    </w:rPr>
                    <w:t>2.团队成员中，城市规划、建筑工程、园林景观、道路交通、市政工程（含给排水、电力、燃气等相关专业）各岗位至少1人，</w:t>
                  </w:r>
                  <w:r>
                    <w:rPr>
                      <w:rFonts w:hint="eastAsia"/>
                      <w:i w:val="0"/>
                      <w:iCs w:val="0"/>
                      <w:color w:val="000000"/>
                      <w:sz w:val="21"/>
                      <w:szCs w:val="21"/>
                      <w:lang w:eastAsia="zh-CN"/>
                    </w:rPr>
                    <w:t>均需本科学历以上，</w:t>
                  </w:r>
                  <w:r>
                    <w:rPr>
                      <w:rFonts w:hint="eastAsia"/>
                      <w:i w:val="0"/>
                      <w:iCs w:val="0"/>
                      <w:color w:val="000000"/>
                      <w:sz w:val="21"/>
                      <w:szCs w:val="21"/>
                    </w:rPr>
                    <w:t>且</w:t>
                  </w:r>
                  <w:r>
                    <w:rPr>
                      <w:rFonts w:hint="eastAsia"/>
                      <w:i w:val="0"/>
                      <w:iCs w:val="0"/>
                      <w:sz w:val="21"/>
                      <w:szCs w:val="21"/>
                    </w:rPr>
                    <w:t>具备注册城市规划师或工程类中级职称、工作经验五年及以上至少4人</w:t>
                  </w:r>
                  <w:r>
                    <w:rPr>
                      <w:rFonts w:hint="eastAsia"/>
                      <w:i w:val="0"/>
                      <w:iCs w:val="0"/>
                      <w:color w:val="000000"/>
                      <w:sz w:val="21"/>
                      <w:szCs w:val="21"/>
                    </w:rPr>
                    <w:t>的，得6分，不满足不得分。</w:t>
                  </w:r>
                </w:p>
                <w:p w14:paraId="40CBDB24">
                  <w:pPr>
                    <w:rPr>
                      <w:i w:val="0"/>
                      <w:iCs w:val="0"/>
                      <w:sz w:val="21"/>
                      <w:szCs w:val="21"/>
                    </w:rPr>
                  </w:pPr>
                  <w:r>
                    <w:rPr>
                      <w:i w:val="0"/>
                      <w:iCs w:val="0"/>
                      <w:color w:val="000000"/>
                      <w:sz w:val="21"/>
                      <w:szCs w:val="21"/>
                    </w:rPr>
                    <w:t>以上</w:t>
                  </w:r>
                  <w:r>
                    <w:rPr>
                      <w:rFonts w:hint="eastAsia"/>
                      <w:i w:val="0"/>
                      <w:iCs w:val="0"/>
                      <w:color w:val="000000"/>
                      <w:sz w:val="21"/>
                      <w:szCs w:val="21"/>
                    </w:rPr>
                    <w:t>两</w:t>
                  </w:r>
                  <w:r>
                    <w:rPr>
                      <w:i w:val="0"/>
                      <w:iCs w:val="0"/>
                      <w:color w:val="000000"/>
                      <w:sz w:val="21"/>
                      <w:szCs w:val="21"/>
                    </w:rPr>
                    <w:t>项合计满分</w:t>
                  </w:r>
                  <w:r>
                    <w:rPr>
                      <w:rFonts w:hint="eastAsia"/>
                      <w:i w:val="0"/>
                      <w:iCs w:val="0"/>
                      <w:color w:val="000000"/>
                      <w:sz w:val="21"/>
                      <w:szCs w:val="21"/>
                    </w:rPr>
                    <w:t>10</w:t>
                  </w:r>
                  <w:r>
                    <w:rPr>
                      <w:i w:val="0"/>
                      <w:iCs w:val="0"/>
                      <w:color w:val="000000"/>
                      <w:sz w:val="21"/>
                      <w:szCs w:val="21"/>
                    </w:rPr>
                    <w:t>分。</w:t>
                  </w:r>
                </w:p>
              </w:tc>
              <w:tc>
                <w:tcPr>
                  <w:tcW w:w="3248" w:type="dxa"/>
                  <w:tcBorders>
                    <w:top w:val="single" w:color="auto" w:sz="4" w:space="0"/>
                    <w:left w:val="single" w:color="auto" w:sz="4" w:space="0"/>
                    <w:bottom w:val="single" w:color="auto" w:sz="4" w:space="0"/>
                    <w:right w:val="single" w:color="auto" w:sz="4" w:space="0"/>
                  </w:tcBorders>
                  <w:vAlign w:val="center"/>
                </w:tcPr>
                <w:p w14:paraId="46942217">
                  <w:pPr>
                    <w:wordWrap w:val="0"/>
                    <w:rPr>
                      <w:i w:val="0"/>
                      <w:iCs w:val="0"/>
                      <w:sz w:val="21"/>
                      <w:szCs w:val="21"/>
                    </w:rPr>
                  </w:pPr>
                  <w:r>
                    <w:rPr>
                      <w:i w:val="0"/>
                      <w:iCs w:val="0"/>
                      <w:sz w:val="21"/>
                      <w:szCs w:val="21"/>
                    </w:rPr>
                    <w:t>1.须提供投标截止日前三个月的投标人为项目团队成员缴交的载有社保部门公章的</w:t>
                  </w:r>
                  <w:r>
                    <w:rPr>
                      <w:i w:val="0"/>
                      <w:iCs w:val="0"/>
                      <w:color w:val="000000"/>
                      <w:sz w:val="21"/>
                      <w:szCs w:val="21"/>
                    </w:rPr>
                    <w:t>近三个月（202</w:t>
                  </w:r>
                  <w:r>
                    <w:rPr>
                      <w:rFonts w:hint="eastAsia"/>
                      <w:i w:val="0"/>
                      <w:iCs w:val="0"/>
                      <w:color w:val="000000"/>
                      <w:sz w:val="21"/>
                      <w:szCs w:val="21"/>
                      <w:lang w:val="en-US" w:eastAsia="zh-CN"/>
                    </w:rPr>
                    <w:t>5</w:t>
                  </w:r>
                  <w:r>
                    <w:rPr>
                      <w:i w:val="0"/>
                      <w:iCs w:val="0"/>
                      <w:color w:val="000000"/>
                      <w:sz w:val="21"/>
                      <w:szCs w:val="21"/>
                    </w:rPr>
                    <w:t>年</w:t>
                  </w:r>
                  <w:r>
                    <w:rPr>
                      <w:rFonts w:hint="eastAsia"/>
                      <w:i w:val="0"/>
                      <w:iCs w:val="0"/>
                      <w:color w:val="000000"/>
                      <w:sz w:val="21"/>
                      <w:szCs w:val="21"/>
                      <w:lang w:val="en-US" w:eastAsia="zh-CN"/>
                    </w:rPr>
                    <w:t>3</w:t>
                  </w:r>
                  <w:r>
                    <w:rPr>
                      <w:i w:val="0"/>
                      <w:iCs w:val="0"/>
                      <w:color w:val="000000"/>
                      <w:sz w:val="21"/>
                      <w:szCs w:val="21"/>
                    </w:rPr>
                    <w:t>月至202</w:t>
                  </w:r>
                  <w:r>
                    <w:rPr>
                      <w:rFonts w:hint="eastAsia"/>
                      <w:i w:val="0"/>
                      <w:iCs w:val="0"/>
                      <w:color w:val="000000"/>
                      <w:sz w:val="21"/>
                      <w:szCs w:val="21"/>
                      <w:lang w:val="en-US" w:eastAsia="zh-CN"/>
                    </w:rPr>
                    <w:t>5</w:t>
                  </w:r>
                  <w:r>
                    <w:rPr>
                      <w:i w:val="0"/>
                      <w:iCs w:val="0"/>
                      <w:color w:val="000000"/>
                      <w:sz w:val="21"/>
                      <w:szCs w:val="21"/>
                    </w:rPr>
                    <w:t>年</w:t>
                  </w:r>
                  <w:r>
                    <w:rPr>
                      <w:rFonts w:hint="eastAsia"/>
                      <w:i w:val="0"/>
                      <w:iCs w:val="0"/>
                      <w:color w:val="000000"/>
                      <w:sz w:val="21"/>
                      <w:szCs w:val="21"/>
                      <w:lang w:val="en-US" w:eastAsia="zh-CN"/>
                    </w:rPr>
                    <w:t>5</w:t>
                  </w:r>
                  <w:r>
                    <w:rPr>
                      <w:i w:val="0"/>
                      <w:iCs w:val="0"/>
                      <w:color w:val="000000"/>
                      <w:sz w:val="21"/>
                      <w:szCs w:val="21"/>
                    </w:rPr>
                    <w:t>月，由于社保部门原因最近一个月的社保证明无法提供的可往前顺延一个月，如供应商为新成立企业且成立时间不足三个月可提供加盖公章的情况说明或者证明材料亦视为符合）</w:t>
                  </w:r>
                  <w:r>
                    <w:rPr>
                      <w:i w:val="0"/>
                      <w:iCs w:val="0"/>
                      <w:sz w:val="21"/>
                      <w:szCs w:val="21"/>
                    </w:rPr>
                    <w:t>社保缴交证明材料、学历证书、职称证书、资格证书作为得分依据，否则不得分。</w:t>
                  </w:r>
                </w:p>
                <w:p w14:paraId="4EC8C639">
                  <w:pPr>
                    <w:wordWrap w:val="0"/>
                    <w:rPr>
                      <w:i w:val="0"/>
                      <w:iCs w:val="0"/>
                      <w:sz w:val="21"/>
                      <w:szCs w:val="21"/>
                    </w:rPr>
                  </w:pPr>
                  <w:r>
                    <w:rPr>
                      <w:i w:val="0"/>
                      <w:iCs w:val="0"/>
                      <w:sz w:val="21"/>
                      <w:szCs w:val="21"/>
                    </w:rPr>
                    <w:t>2.以上资料均要求提供扫描件，原件备查。</w:t>
                  </w:r>
                </w:p>
              </w:tc>
              <w:tc>
                <w:tcPr>
                  <w:tcW w:w="331" w:type="dxa"/>
                  <w:tcBorders>
                    <w:top w:val="single" w:color="auto" w:sz="4" w:space="0"/>
                    <w:left w:val="single" w:color="auto" w:sz="4" w:space="0"/>
                    <w:bottom w:val="single" w:color="auto" w:sz="4" w:space="0"/>
                    <w:right w:val="single" w:color="auto" w:sz="4" w:space="0"/>
                  </w:tcBorders>
                  <w:vAlign w:val="center"/>
                </w:tcPr>
                <w:p w14:paraId="6D565217">
                  <w:pPr>
                    <w:wordWrap w:val="0"/>
                    <w:jc w:val="center"/>
                    <w:rPr>
                      <w:sz w:val="21"/>
                      <w:szCs w:val="21"/>
                    </w:rPr>
                  </w:pPr>
                </w:p>
              </w:tc>
            </w:tr>
            <w:tr w14:paraId="0A75F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36" w:hRule="atLeast"/>
              </w:trPr>
              <w:tc>
                <w:tcPr>
                  <w:tcW w:w="397" w:type="dxa"/>
                  <w:vMerge w:val="restart"/>
                  <w:tcBorders>
                    <w:top w:val="single" w:color="000000" w:sz="8" w:space="0"/>
                    <w:left w:val="single" w:color="000000" w:sz="8" w:space="0"/>
                    <w:right w:val="single" w:color="auto" w:sz="4" w:space="0"/>
                  </w:tcBorders>
                  <w:vAlign w:val="center"/>
                </w:tcPr>
                <w:p w14:paraId="40FABF14">
                  <w:pPr>
                    <w:wordWrap w:val="0"/>
                    <w:jc w:val="center"/>
                    <w:rPr>
                      <w:b/>
                      <w:bCs/>
                      <w:i w:val="0"/>
                      <w:iCs w:val="0"/>
                    </w:rPr>
                  </w:pPr>
                  <w:r>
                    <w:rPr>
                      <w:rFonts w:hint="eastAsia"/>
                      <w:b/>
                      <w:bCs/>
                      <w:i w:val="0"/>
                      <w:iCs w:val="0"/>
                    </w:rPr>
                    <w:t>4</w:t>
                  </w:r>
                </w:p>
              </w:tc>
              <w:tc>
                <w:tcPr>
                  <w:tcW w:w="2145" w:type="dxa"/>
                  <w:gridSpan w:val="3"/>
                  <w:tcBorders>
                    <w:top w:val="single" w:color="auto" w:sz="4" w:space="0"/>
                    <w:left w:val="single" w:color="auto" w:sz="4" w:space="0"/>
                    <w:bottom w:val="single" w:color="auto" w:sz="4" w:space="0"/>
                    <w:right w:val="single" w:color="auto" w:sz="4" w:space="0"/>
                  </w:tcBorders>
                  <w:vAlign w:val="center"/>
                </w:tcPr>
                <w:p w14:paraId="6A23E0C3">
                  <w:pPr>
                    <w:wordWrap w:val="0"/>
                    <w:jc w:val="center"/>
                    <w:rPr>
                      <w:b/>
                      <w:bCs/>
                      <w:i w:val="0"/>
                      <w:iCs w:val="0"/>
                    </w:rPr>
                  </w:pPr>
                  <w:r>
                    <w:rPr>
                      <w:b/>
                      <w:bCs/>
                      <w:i w:val="0"/>
                      <w:iCs w:val="0"/>
                    </w:rPr>
                    <w:t>技术</w:t>
                  </w:r>
                </w:p>
              </w:tc>
              <w:tc>
                <w:tcPr>
                  <w:tcW w:w="3726" w:type="dxa"/>
                  <w:tcBorders>
                    <w:top w:val="single" w:color="auto" w:sz="4" w:space="0"/>
                    <w:left w:val="single" w:color="auto" w:sz="4" w:space="0"/>
                    <w:bottom w:val="single" w:color="auto" w:sz="4" w:space="0"/>
                    <w:right w:val="single" w:color="auto" w:sz="4" w:space="0"/>
                  </w:tcBorders>
                  <w:vAlign w:val="center"/>
                </w:tcPr>
                <w:p w14:paraId="4C2A6973">
                  <w:pPr>
                    <w:wordWrap w:val="0"/>
                    <w:jc w:val="center"/>
                    <w:rPr>
                      <w:b/>
                      <w:bCs/>
                      <w:i w:val="0"/>
                      <w:iCs w:val="0"/>
                    </w:rPr>
                  </w:pPr>
                  <w:r>
                    <w:rPr>
                      <w:rFonts w:hint="eastAsia"/>
                      <w:b/>
                      <w:bCs/>
                      <w:i w:val="0"/>
                      <w:iCs w:val="0"/>
                    </w:rPr>
                    <w:t>35</w:t>
                  </w:r>
                </w:p>
              </w:tc>
              <w:tc>
                <w:tcPr>
                  <w:tcW w:w="3248" w:type="dxa"/>
                  <w:tcBorders>
                    <w:top w:val="single" w:color="auto" w:sz="4" w:space="0"/>
                    <w:left w:val="single" w:color="auto" w:sz="4" w:space="0"/>
                    <w:bottom w:val="single" w:color="auto" w:sz="4" w:space="0"/>
                    <w:right w:val="single" w:color="auto" w:sz="4" w:space="0"/>
                  </w:tcBorders>
                  <w:vAlign w:val="center"/>
                </w:tcPr>
                <w:p w14:paraId="048009DC">
                  <w:pPr>
                    <w:wordWrap w:val="0"/>
                    <w:rPr>
                      <w:b/>
                      <w:bCs/>
                      <w:i w:val="0"/>
                      <w:iCs w:val="0"/>
                    </w:rPr>
                  </w:pPr>
                </w:p>
              </w:tc>
              <w:tc>
                <w:tcPr>
                  <w:tcW w:w="331" w:type="dxa"/>
                  <w:tcBorders>
                    <w:top w:val="single" w:color="auto" w:sz="4" w:space="0"/>
                    <w:left w:val="single" w:color="auto" w:sz="4" w:space="0"/>
                    <w:bottom w:val="single" w:color="auto" w:sz="4" w:space="0"/>
                    <w:right w:val="single" w:color="auto" w:sz="4" w:space="0"/>
                  </w:tcBorders>
                  <w:vAlign w:val="center"/>
                </w:tcPr>
                <w:p w14:paraId="384DC35A">
                  <w:pPr>
                    <w:wordWrap w:val="0"/>
                    <w:jc w:val="center"/>
                    <w:rPr>
                      <w:b/>
                      <w:bCs/>
                    </w:rPr>
                  </w:pPr>
                </w:p>
              </w:tc>
            </w:tr>
            <w:tr w14:paraId="64BB7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397" w:type="dxa"/>
                  <w:vMerge w:val="continue"/>
                  <w:tcBorders>
                    <w:left w:val="single" w:color="000000" w:sz="8" w:space="0"/>
                    <w:right w:val="single" w:color="auto" w:sz="4" w:space="0"/>
                  </w:tcBorders>
                  <w:shd w:val="clear" w:color="auto" w:fill="E6EFFA"/>
                  <w:vAlign w:val="center"/>
                </w:tcPr>
                <w:p w14:paraId="04EA7FB7">
                  <w:pPr>
                    <w:jc w:val="center"/>
                    <w:rPr>
                      <w:b/>
                      <w:bCs/>
                    </w:rPr>
                  </w:pPr>
                </w:p>
              </w:tc>
              <w:tc>
                <w:tcPr>
                  <w:tcW w:w="323" w:type="dxa"/>
                  <w:tcBorders>
                    <w:top w:val="single" w:color="auto" w:sz="4" w:space="0"/>
                    <w:left w:val="single" w:color="auto" w:sz="4" w:space="0"/>
                    <w:bottom w:val="single" w:color="auto" w:sz="4" w:space="0"/>
                    <w:right w:val="single" w:color="auto" w:sz="4" w:space="0"/>
                  </w:tcBorders>
                  <w:shd w:val="clear" w:color="auto" w:fill="E6EFFA"/>
                  <w:vAlign w:val="center"/>
                </w:tcPr>
                <w:p w14:paraId="09AB159E">
                  <w:pPr>
                    <w:wordWrap w:val="0"/>
                    <w:jc w:val="center"/>
                    <w:rPr>
                      <w:sz w:val="21"/>
                      <w:szCs w:val="21"/>
                    </w:rPr>
                  </w:pPr>
                  <w:r>
                    <w:rPr>
                      <w:sz w:val="21"/>
                      <w:szCs w:val="21"/>
                    </w:rPr>
                    <w:t>序号</w:t>
                  </w:r>
                </w:p>
              </w:tc>
              <w:tc>
                <w:tcPr>
                  <w:tcW w:w="1095" w:type="dxa"/>
                  <w:tcBorders>
                    <w:top w:val="single" w:color="auto" w:sz="4" w:space="0"/>
                    <w:left w:val="single" w:color="auto" w:sz="4" w:space="0"/>
                    <w:bottom w:val="single" w:color="auto" w:sz="4" w:space="0"/>
                    <w:right w:val="single" w:color="auto" w:sz="4" w:space="0"/>
                  </w:tcBorders>
                  <w:shd w:val="clear" w:color="auto" w:fill="E6EFFA"/>
                  <w:vAlign w:val="center"/>
                </w:tcPr>
                <w:p w14:paraId="64CC3674">
                  <w:pPr>
                    <w:wordWrap w:val="0"/>
                    <w:jc w:val="center"/>
                    <w:rPr>
                      <w:sz w:val="21"/>
                      <w:szCs w:val="21"/>
                    </w:rPr>
                  </w:pPr>
                  <w:r>
                    <w:rPr>
                      <w:sz w:val="21"/>
                      <w:szCs w:val="21"/>
                    </w:rPr>
                    <w:t>评分因素</w:t>
                  </w:r>
                </w:p>
              </w:tc>
              <w:tc>
                <w:tcPr>
                  <w:tcW w:w="727" w:type="dxa"/>
                  <w:tcBorders>
                    <w:top w:val="single" w:color="auto" w:sz="4" w:space="0"/>
                    <w:left w:val="single" w:color="auto" w:sz="4" w:space="0"/>
                    <w:bottom w:val="single" w:color="auto" w:sz="4" w:space="0"/>
                    <w:right w:val="single" w:color="auto" w:sz="4" w:space="0"/>
                  </w:tcBorders>
                  <w:shd w:val="clear" w:color="auto" w:fill="E6EFFA"/>
                  <w:vAlign w:val="center"/>
                </w:tcPr>
                <w:p w14:paraId="4E61FC72">
                  <w:pPr>
                    <w:wordWrap w:val="0"/>
                    <w:jc w:val="center"/>
                    <w:rPr>
                      <w:sz w:val="21"/>
                      <w:szCs w:val="21"/>
                    </w:rPr>
                  </w:pPr>
                  <w:r>
                    <w:rPr>
                      <w:rFonts w:hint="eastAsia"/>
                      <w:sz w:val="21"/>
                      <w:szCs w:val="21"/>
                    </w:rPr>
                    <w:t>总分</w:t>
                  </w:r>
                </w:p>
              </w:tc>
              <w:tc>
                <w:tcPr>
                  <w:tcW w:w="3726" w:type="dxa"/>
                  <w:tcBorders>
                    <w:top w:val="single" w:color="auto" w:sz="4" w:space="0"/>
                    <w:left w:val="single" w:color="auto" w:sz="4" w:space="0"/>
                    <w:bottom w:val="single" w:color="auto" w:sz="4" w:space="0"/>
                    <w:right w:val="single" w:color="auto" w:sz="4" w:space="0"/>
                  </w:tcBorders>
                  <w:shd w:val="clear" w:color="auto" w:fill="E6EFFA"/>
                  <w:vAlign w:val="center"/>
                </w:tcPr>
                <w:p w14:paraId="291E9F26">
                  <w:pPr>
                    <w:wordWrap w:val="0"/>
                    <w:jc w:val="center"/>
                    <w:rPr>
                      <w:sz w:val="21"/>
                      <w:szCs w:val="21"/>
                    </w:rPr>
                  </w:pPr>
                  <w:r>
                    <w:rPr>
                      <w:sz w:val="21"/>
                      <w:szCs w:val="21"/>
                    </w:rPr>
                    <w:t>评分准则</w:t>
                  </w:r>
                </w:p>
              </w:tc>
              <w:tc>
                <w:tcPr>
                  <w:tcW w:w="3248" w:type="dxa"/>
                  <w:tcBorders>
                    <w:top w:val="single" w:color="auto" w:sz="4" w:space="0"/>
                    <w:left w:val="single" w:color="auto" w:sz="4" w:space="0"/>
                    <w:bottom w:val="single" w:color="auto" w:sz="4" w:space="0"/>
                    <w:right w:val="single" w:color="auto" w:sz="4" w:space="0"/>
                  </w:tcBorders>
                  <w:shd w:val="clear" w:color="auto" w:fill="E6EFFA"/>
                  <w:vAlign w:val="center"/>
                </w:tcPr>
                <w:p w14:paraId="26CBF076">
                  <w:pPr>
                    <w:jc w:val="center"/>
                    <w:rPr>
                      <w:sz w:val="21"/>
                      <w:szCs w:val="21"/>
                    </w:rPr>
                  </w:pPr>
                  <w:r>
                    <w:rPr>
                      <w:rFonts w:hint="eastAsia"/>
                      <w:sz w:val="21"/>
                      <w:szCs w:val="21"/>
                    </w:rPr>
                    <w:t>备注</w:t>
                  </w:r>
                </w:p>
              </w:tc>
              <w:tc>
                <w:tcPr>
                  <w:tcW w:w="331" w:type="dxa"/>
                  <w:tcBorders>
                    <w:top w:val="single" w:color="auto" w:sz="4" w:space="0"/>
                    <w:left w:val="single" w:color="auto" w:sz="4" w:space="0"/>
                    <w:bottom w:val="single" w:color="auto" w:sz="4" w:space="0"/>
                    <w:right w:val="single" w:color="auto" w:sz="4" w:space="0"/>
                  </w:tcBorders>
                  <w:shd w:val="clear" w:color="auto" w:fill="E6EFFA"/>
                  <w:vAlign w:val="center"/>
                </w:tcPr>
                <w:p w14:paraId="4BFA44EA">
                  <w:pPr>
                    <w:wordWrap w:val="0"/>
                    <w:jc w:val="center"/>
                    <w:rPr>
                      <w:sz w:val="21"/>
                      <w:szCs w:val="21"/>
                    </w:rPr>
                  </w:pPr>
                  <w:r>
                    <w:rPr>
                      <w:rFonts w:hint="eastAsia"/>
                      <w:sz w:val="21"/>
                      <w:szCs w:val="21"/>
                    </w:rPr>
                    <w:t>得分</w:t>
                  </w:r>
                </w:p>
              </w:tc>
            </w:tr>
            <w:tr w14:paraId="3DB14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89" w:hRule="atLeast"/>
              </w:trPr>
              <w:tc>
                <w:tcPr>
                  <w:tcW w:w="397" w:type="dxa"/>
                  <w:vMerge w:val="continue"/>
                  <w:tcBorders>
                    <w:left w:val="single" w:color="000000" w:sz="8" w:space="0"/>
                    <w:right w:val="single" w:color="auto" w:sz="4" w:space="0"/>
                  </w:tcBorders>
                  <w:vAlign w:val="center"/>
                </w:tcPr>
                <w:p w14:paraId="6640DC80">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14:paraId="1983206A">
                  <w:pPr>
                    <w:wordWrap w:val="0"/>
                    <w:jc w:val="center"/>
                    <w:rPr>
                      <w:sz w:val="21"/>
                      <w:szCs w:val="21"/>
                    </w:rPr>
                  </w:pPr>
                  <w:r>
                    <w:rPr>
                      <w:rFonts w:hint="eastAsia"/>
                      <w:sz w:val="21"/>
                      <w:szCs w:val="21"/>
                    </w:rPr>
                    <w:t>1</w:t>
                  </w:r>
                </w:p>
              </w:tc>
              <w:tc>
                <w:tcPr>
                  <w:tcW w:w="1095" w:type="dxa"/>
                  <w:tcBorders>
                    <w:top w:val="single" w:color="auto" w:sz="4" w:space="0"/>
                    <w:left w:val="single" w:color="auto" w:sz="4" w:space="0"/>
                    <w:bottom w:val="single" w:color="auto" w:sz="4" w:space="0"/>
                    <w:right w:val="single" w:color="auto" w:sz="4" w:space="0"/>
                  </w:tcBorders>
                  <w:vAlign w:val="center"/>
                </w:tcPr>
                <w:p w14:paraId="72527AAA">
                  <w:pPr>
                    <w:wordWrap w:val="0"/>
                    <w:jc w:val="center"/>
                    <w:rPr>
                      <w:i w:val="0"/>
                      <w:iCs w:val="0"/>
                      <w:sz w:val="21"/>
                      <w:szCs w:val="21"/>
                      <w:u w:val="single"/>
                    </w:rPr>
                  </w:pPr>
                  <w:r>
                    <w:rPr>
                      <w:rFonts w:hint="eastAsia"/>
                      <w:i w:val="0"/>
                      <w:iCs w:val="0"/>
                      <w:sz w:val="21"/>
                      <w:szCs w:val="21"/>
                      <w:u w:val="single"/>
                    </w:rPr>
                    <w:t>工作实施方案</w:t>
                  </w:r>
                </w:p>
              </w:tc>
              <w:tc>
                <w:tcPr>
                  <w:tcW w:w="727" w:type="dxa"/>
                  <w:tcBorders>
                    <w:top w:val="single" w:color="auto" w:sz="4" w:space="0"/>
                    <w:left w:val="single" w:color="auto" w:sz="4" w:space="0"/>
                    <w:bottom w:val="single" w:color="auto" w:sz="4" w:space="0"/>
                    <w:right w:val="single" w:color="auto" w:sz="4" w:space="0"/>
                  </w:tcBorders>
                  <w:vAlign w:val="center"/>
                </w:tcPr>
                <w:p w14:paraId="462EFEBB">
                  <w:pPr>
                    <w:wordWrap w:val="0"/>
                    <w:jc w:val="center"/>
                    <w:rPr>
                      <w:i w:val="0"/>
                      <w:iCs w:val="0"/>
                      <w:sz w:val="21"/>
                      <w:szCs w:val="21"/>
                    </w:rPr>
                  </w:pPr>
                  <w:r>
                    <w:rPr>
                      <w:rFonts w:hint="eastAsia"/>
                      <w:i w:val="0"/>
                      <w:iCs w:val="0"/>
                      <w:sz w:val="21"/>
                      <w:szCs w:val="21"/>
                    </w:rPr>
                    <w:t>20</w:t>
                  </w:r>
                </w:p>
              </w:tc>
              <w:tc>
                <w:tcPr>
                  <w:tcW w:w="3726" w:type="dxa"/>
                  <w:tcBorders>
                    <w:top w:val="single" w:color="auto" w:sz="4" w:space="0"/>
                    <w:left w:val="single" w:color="auto" w:sz="4" w:space="0"/>
                    <w:bottom w:val="single" w:color="auto" w:sz="4" w:space="0"/>
                    <w:right w:val="single" w:color="auto" w:sz="4" w:space="0"/>
                  </w:tcBorders>
                  <w:vAlign w:val="center"/>
                </w:tcPr>
                <w:p w14:paraId="15463AED">
                  <w:pPr>
                    <w:wordWrap w:val="0"/>
                    <w:ind w:firstLine="211"/>
                    <w:rPr>
                      <w:sz w:val="21"/>
                    </w:rPr>
                  </w:pPr>
                  <w:r>
                    <w:rPr>
                      <w:rFonts w:hint="eastAsia"/>
                      <w:sz w:val="21"/>
                      <w:szCs w:val="21"/>
                    </w:rPr>
                    <w:t>审阅服务方案，方案中服务内容规划是否条理清晰，工作流程是否安排得当，是否具备较强可操作性和可执行性等核心内容，方案优秀的</w:t>
                  </w:r>
                  <w:r>
                    <w:rPr>
                      <w:sz w:val="21"/>
                      <w:szCs w:val="21"/>
                    </w:rPr>
                    <w:t>15-20分、良好的</w:t>
                  </w:r>
                  <w:r>
                    <w:rPr>
                      <w:rFonts w:hint="eastAsia"/>
                      <w:sz w:val="21"/>
                      <w:szCs w:val="21"/>
                    </w:rPr>
                    <w:t>10</w:t>
                  </w:r>
                  <w:r>
                    <w:rPr>
                      <w:sz w:val="21"/>
                      <w:szCs w:val="21"/>
                    </w:rPr>
                    <w:t>-15分、一般的</w:t>
                  </w:r>
                  <w:r>
                    <w:rPr>
                      <w:rFonts w:hint="eastAsia"/>
                      <w:sz w:val="21"/>
                      <w:szCs w:val="21"/>
                    </w:rPr>
                    <w:t>5</w:t>
                  </w:r>
                  <w:r>
                    <w:rPr>
                      <w:sz w:val="21"/>
                      <w:szCs w:val="21"/>
                    </w:rPr>
                    <w:t>-</w:t>
                  </w:r>
                  <w:r>
                    <w:rPr>
                      <w:rFonts w:hint="eastAsia"/>
                      <w:sz w:val="21"/>
                      <w:szCs w:val="21"/>
                    </w:rPr>
                    <w:t>10</w:t>
                  </w:r>
                  <w:r>
                    <w:rPr>
                      <w:sz w:val="21"/>
                      <w:szCs w:val="21"/>
                    </w:rPr>
                    <w:t>分</w:t>
                  </w:r>
                  <w:r>
                    <w:rPr>
                      <w:rFonts w:hint="eastAsia"/>
                      <w:sz w:val="21"/>
                      <w:szCs w:val="21"/>
                    </w:rPr>
                    <w:t>，上限为20</w:t>
                  </w:r>
                  <w:r>
                    <w:rPr>
                      <w:sz w:val="21"/>
                      <w:szCs w:val="21"/>
                    </w:rPr>
                    <w:t>分进行评分。</w:t>
                  </w:r>
                  <w:r>
                    <w:rPr>
                      <w:rFonts w:hint="eastAsia"/>
                      <w:sz w:val="21"/>
                      <w:szCs w:val="21"/>
                    </w:rPr>
                    <w:t>服务方案不符合要求的不得分。</w:t>
                  </w:r>
                </w:p>
              </w:tc>
              <w:tc>
                <w:tcPr>
                  <w:tcW w:w="3248" w:type="dxa"/>
                  <w:tcBorders>
                    <w:top w:val="single" w:color="auto" w:sz="4" w:space="0"/>
                    <w:left w:val="single" w:color="auto" w:sz="4" w:space="0"/>
                    <w:bottom w:val="single" w:color="auto" w:sz="4" w:space="0"/>
                    <w:right w:val="single" w:color="auto" w:sz="4" w:space="0"/>
                  </w:tcBorders>
                  <w:vAlign w:val="center"/>
                </w:tcPr>
                <w:p w14:paraId="483D5197">
                  <w:pPr>
                    <w:wordWrap w:val="0"/>
                    <w:rPr>
                      <w:sz w:val="21"/>
                      <w:szCs w:val="21"/>
                    </w:rPr>
                  </w:pPr>
                </w:p>
              </w:tc>
              <w:tc>
                <w:tcPr>
                  <w:tcW w:w="331" w:type="dxa"/>
                  <w:tcBorders>
                    <w:top w:val="single" w:color="auto" w:sz="4" w:space="0"/>
                    <w:left w:val="single" w:color="auto" w:sz="4" w:space="0"/>
                    <w:bottom w:val="single" w:color="auto" w:sz="4" w:space="0"/>
                    <w:right w:val="single" w:color="auto" w:sz="4" w:space="0"/>
                  </w:tcBorders>
                  <w:vAlign w:val="center"/>
                </w:tcPr>
                <w:p w14:paraId="65561C64">
                  <w:pPr>
                    <w:wordWrap w:val="0"/>
                    <w:jc w:val="center"/>
                    <w:rPr>
                      <w:sz w:val="21"/>
                      <w:szCs w:val="21"/>
                    </w:rPr>
                  </w:pPr>
                </w:p>
              </w:tc>
            </w:tr>
            <w:tr w14:paraId="232F2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652" w:hRule="atLeast"/>
              </w:trPr>
              <w:tc>
                <w:tcPr>
                  <w:tcW w:w="397" w:type="dxa"/>
                  <w:vMerge w:val="continue"/>
                  <w:tcBorders>
                    <w:left w:val="single" w:color="000000" w:sz="8" w:space="0"/>
                    <w:right w:val="single" w:color="auto" w:sz="4" w:space="0"/>
                  </w:tcBorders>
                  <w:vAlign w:val="center"/>
                </w:tcPr>
                <w:p w14:paraId="6F543A4C">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14:paraId="47B6B638">
                  <w:pPr>
                    <w:wordWrap w:val="0"/>
                    <w:jc w:val="center"/>
                    <w:rPr>
                      <w:sz w:val="21"/>
                      <w:szCs w:val="21"/>
                    </w:rPr>
                  </w:pPr>
                  <w:r>
                    <w:rPr>
                      <w:rFonts w:hint="eastAsia"/>
                      <w:sz w:val="21"/>
                      <w:szCs w:val="21"/>
                    </w:rPr>
                    <w:t>2</w:t>
                  </w:r>
                </w:p>
              </w:tc>
              <w:tc>
                <w:tcPr>
                  <w:tcW w:w="1095" w:type="dxa"/>
                  <w:tcBorders>
                    <w:top w:val="single" w:color="auto" w:sz="4" w:space="0"/>
                    <w:left w:val="single" w:color="auto" w:sz="4" w:space="0"/>
                    <w:bottom w:val="single" w:color="auto" w:sz="4" w:space="0"/>
                    <w:right w:val="single" w:color="auto" w:sz="4" w:space="0"/>
                  </w:tcBorders>
                  <w:vAlign w:val="center"/>
                </w:tcPr>
                <w:p w14:paraId="171D8616">
                  <w:pPr>
                    <w:wordWrap w:val="0"/>
                    <w:jc w:val="center"/>
                    <w:rPr>
                      <w:i w:val="0"/>
                      <w:iCs w:val="0"/>
                      <w:sz w:val="21"/>
                      <w:szCs w:val="21"/>
                      <w:u w:val="single"/>
                    </w:rPr>
                  </w:pPr>
                  <w:r>
                    <w:rPr>
                      <w:rFonts w:hint="eastAsia"/>
                      <w:i w:val="0"/>
                      <w:iCs w:val="0"/>
                      <w:sz w:val="21"/>
                      <w:szCs w:val="21"/>
                      <w:u w:val="single"/>
                    </w:rPr>
                    <w:t>质量（完成时间、安全、环保）保障措施及方案</w:t>
                  </w:r>
                </w:p>
              </w:tc>
              <w:tc>
                <w:tcPr>
                  <w:tcW w:w="727" w:type="dxa"/>
                  <w:tcBorders>
                    <w:top w:val="single" w:color="auto" w:sz="4" w:space="0"/>
                    <w:left w:val="single" w:color="auto" w:sz="4" w:space="0"/>
                    <w:bottom w:val="single" w:color="auto" w:sz="4" w:space="0"/>
                    <w:right w:val="single" w:color="auto" w:sz="4" w:space="0"/>
                  </w:tcBorders>
                  <w:vAlign w:val="center"/>
                </w:tcPr>
                <w:p w14:paraId="1754A845">
                  <w:pPr>
                    <w:wordWrap w:val="0"/>
                    <w:jc w:val="center"/>
                    <w:rPr>
                      <w:i w:val="0"/>
                      <w:iCs w:val="0"/>
                      <w:sz w:val="21"/>
                      <w:szCs w:val="21"/>
                    </w:rPr>
                  </w:pPr>
                  <w:r>
                    <w:rPr>
                      <w:i w:val="0"/>
                      <w:iCs w:val="0"/>
                      <w:sz w:val="21"/>
                      <w:szCs w:val="21"/>
                    </w:rPr>
                    <w:t>10</w:t>
                  </w:r>
                </w:p>
              </w:tc>
              <w:tc>
                <w:tcPr>
                  <w:tcW w:w="3726" w:type="dxa"/>
                  <w:tcBorders>
                    <w:top w:val="single" w:color="auto" w:sz="4" w:space="0"/>
                    <w:left w:val="single" w:color="auto" w:sz="4" w:space="0"/>
                    <w:bottom w:val="single" w:color="auto" w:sz="4" w:space="0"/>
                    <w:right w:val="single" w:color="auto" w:sz="4" w:space="0"/>
                  </w:tcBorders>
                  <w:vAlign w:val="center"/>
                </w:tcPr>
                <w:p w14:paraId="12E0F716">
                  <w:pPr>
                    <w:wordWrap w:val="0"/>
                    <w:ind w:firstLine="241"/>
                    <w:rPr>
                      <w:sz w:val="21"/>
                      <w:szCs w:val="21"/>
                    </w:rPr>
                  </w:pPr>
                  <w:r>
                    <w:rPr>
                      <w:rFonts w:hint="eastAsia"/>
                      <w:sz w:val="21"/>
                      <w:szCs w:val="21"/>
                    </w:rPr>
                    <w:t>审阅服务方案，质量、进度等保障措施及方案是否科学有效，工作组织和措施是否全面、合理，方案优秀的8-</w:t>
                  </w:r>
                  <w:r>
                    <w:rPr>
                      <w:sz w:val="21"/>
                      <w:szCs w:val="21"/>
                    </w:rPr>
                    <w:t>10分、良好的5</w:t>
                  </w:r>
                  <w:r>
                    <w:rPr>
                      <w:rFonts w:hint="eastAsia"/>
                      <w:sz w:val="21"/>
                      <w:szCs w:val="21"/>
                    </w:rPr>
                    <w:t>-8</w:t>
                  </w:r>
                  <w:r>
                    <w:rPr>
                      <w:sz w:val="21"/>
                      <w:szCs w:val="21"/>
                    </w:rPr>
                    <w:t>分、一般的3</w:t>
                  </w:r>
                  <w:r>
                    <w:rPr>
                      <w:rFonts w:hint="eastAsia"/>
                      <w:sz w:val="21"/>
                      <w:szCs w:val="21"/>
                    </w:rPr>
                    <w:t>-5</w:t>
                  </w:r>
                  <w:r>
                    <w:rPr>
                      <w:sz w:val="21"/>
                      <w:szCs w:val="21"/>
                    </w:rPr>
                    <w:t>分</w:t>
                  </w:r>
                  <w:r>
                    <w:rPr>
                      <w:rFonts w:hint="eastAsia"/>
                      <w:sz w:val="21"/>
                      <w:szCs w:val="21"/>
                    </w:rPr>
                    <w:t>，上限为</w:t>
                  </w:r>
                  <w:r>
                    <w:rPr>
                      <w:sz w:val="21"/>
                      <w:szCs w:val="21"/>
                    </w:rPr>
                    <w:t>10分进行评分。</w:t>
                  </w:r>
                </w:p>
                <w:p w14:paraId="71706078">
                  <w:pPr>
                    <w:wordWrap w:val="0"/>
                    <w:rPr>
                      <w:sz w:val="21"/>
                      <w:szCs w:val="21"/>
                    </w:rPr>
                  </w:pPr>
                  <w:r>
                    <w:rPr>
                      <w:rFonts w:hint="eastAsia"/>
                      <w:sz w:val="21"/>
                      <w:szCs w:val="21"/>
                    </w:rPr>
                    <w:t>质量、进度等保障措施及方案完全偏离进度要求，工作组织和措施覆盖面低、不合理不得分。</w:t>
                  </w:r>
                </w:p>
              </w:tc>
              <w:tc>
                <w:tcPr>
                  <w:tcW w:w="3248" w:type="dxa"/>
                  <w:tcBorders>
                    <w:top w:val="single" w:color="auto" w:sz="4" w:space="0"/>
                    <w:left w:val="single" w:color="auto" w:sz="4" w:space="0"/>
                    <w:bottom w:val="single" w:color="auto" w:sz="4" w:space="0"/>
                    <w:right w:val="single" w:color="auto" w:sz="4" w:space="0"/>
                  </w:tcBorders>
                  <w:vAlign w:val="center"/>
                </w:tcPr>
                <w:p w14:paraId="0B71E0E0">
                  <w:pPr>
                    <w:wordWrap w:val="0"/>
                    <w:rPr>
                      <w:sz w:val="21"/>
                      <w:szCs w:val="21"/>
                    </w:rPr>
                  </w:pPr>
                </w:p>
              </w:tc>
              <w:tc>
                <w:tcPr>
                  <w:tcW w:w="331" w:type="dxa"/>
                  <w:tcBorders>
                    <w:top w:val="single" w:color="auto" w:sz="4" w:space="0"/>
                    <w:left w:val="single" w:color="auto" w:sz="4" w:space="0"/>
                    <w:bottom w:val="single" w:color="auto" w:sz="4" w:space="0"/>
                    <w:right w:val="single" w:color="auto" w:sz="4" w:space="0"/>
                  </w:tcBorders>
                  <w:vAlign w:val="center"/>
                </w:tcPr>
                <w:p w14:paraId="331EA217">
                  <w:pPr>
                    <w:wordWrap w:val="0"/>
                    <w:jc w:val="center"/>
                    <w:rPr>
                      <w:sz w:val="21"/>
                      <w:szCs w:val="21"/>
                    </w:rPr>
                  </w:pPr>
                </w:p>
              </w:tc>
            </w:tr>
            <w:tr w14:paraId="32C3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19" w:hRule="atLeast"/>
              </w:trPr>
              <w:tc>
                <w:tcPr>
                  <w:tcW w:w="397" w:type="dxa"/>
                  <w:tcBorders>
                    <w:left w:val="single" w:color="000000" w:sz="8" w:space="0"/>
                    <w:right w:val="single" w:color="auto" w:sz="4" w:space="0"/>
                  </w:tcBorders>
                  <w:vAlign w:val="center"/>
                </w:tcPr>
                <w:p w14:paraId="5B980670">
                  <w:pPr>
                    <w:jc w:val="center"/>
                    <w:rPr>
                      <w:b/>
                      <w:bCs/>
                    </w:rPr>
                  </w:pPr>
                </w:p>
              </w:tc>
              <w:tc>
                <w:tcPr>
                  <w:tcW w:w="323" w:type="dxa"/>
                  <w:tcBorders>
                    <w:top w:val="single" w:color="auto" w:sz="4" w:space="0"/>
                    <w:left w:val="single" w:color="auto" w:sz="4" w:space="0"/>
                    <w:bottom w:val="single" w:color="auto" w:sz="4" w:space="0"/>
                    <w:right w:val="single" w:color="auto" w:sz="4" w:space="0"/>
                  </w:tcBorders>
                  <w:vAlign w:val="center"/>
                </w:tcPr>
                <w:p w14:paraId="30EF4A7B">
                  <w:pPr>
                    <w:wordWrap w:val="0"/>
                    <w:jc w:val="center"/>
                    <w:rPr>
                      <w:sz w:val="21"/>
                      <w:szCs w:val="21"/>
                    </w:rPr>
                  </w:pPr>
                  <w:r>
                    <w:rPr>
                      <w:rFonts w:hint="eastAsia"/>
                      <w:sz w:val="21"/>
                      <w:szCs w:val="21"/>
                    </w:rPr>
                    <w:t>3</w:t>
                  </w:r>
                </w:p>
              </w:tc>
              <w:tc>
                <w:tcPr>
                  <w:tcW w:w="1095" w:type="dxa"/>
                  <w:tcBorders>
                    <w:top w:val="single" w:color="auto" w:sz="4" w:space="0"/>
                    <w:left w:val="single" w:color="auto" w:sz="4" w:space="0"/>
                    <w:bottom w:val="single" w:color="auto" w:sz="4" w:space="0"/>
                    <w:right w:val="single" w:color="auto" w:sz="4" w:space="0"/>
                  </w:tcBorders>
                  <w:vAlign w:val="center"/>
                </w:tcPr>
                <w:p w14:paraId="67981367">
                  <w:pPr>
                    <w:wordWrap w:val="0"/>
                    <w:jc w:val="center"/>
                    <w:rPr>
                      <w:i w:val="0"/>
                      <w:iCs w:val="0"/>
                      <w:sz w:val="21"/>
                      <w:szCs w:val="21"/>
                      <w:u w:val="single"/>
                    </w:rPr>
                  </w:pPr>
                  <w:r>
                    <w:rPr>
                      <w:rFonts w:hint="eastAsia"/>
                      <w:i w:val="0"/>
                      <w:iCs w:val="0"/>
                      <w:sz w:val="21"/>
                      <w:szCs w:val="21"/>
                      <w:u w:val="single"/>
                    </w:rPr>
                    <w:t>项目完成（服务期满）后的服务承诺</w:t>
                  </w:r>
                </w:p>
              </w:tc>
              <w:tc>
                <w:tcPr>
                  <w:tcW w:w="727" w:type="dxa"/>
                  <w:tcBorders>
                    <w:top w:val="single" w:color="auto" w:sz="4" w:space="0"/>
                    <w:left w:val="single" w:color="auto" w:sz="4" w:space="0"/>
                    <w:bottom w:val="single" w:color="auto" w:sz="4" w:space="0"/>
                    <w:right w:val="single" w:color="auto" w:sz="4" w:space="0"/>
                  </w:tcBorders>
                  <w:vAlign w:val="center"/>
                </w:tcPr>
                <w:p w14:paraId="14D69CB7">
                  <w:pPr>
                    <w:wordWrap w:val="0"/>
                    <w:jc w:val="center"/>
                    <w:rPr>
                      <w:i w:val="0"/>
                      <w:iCs w:val="0"/>
                      <w:sz w:val="21"/>
                      <w:szCs w:val="21"/>
                    </w:rPr>
                  </w:pPr>
                  <w:r>
                    <w:rPr>
                      <w:rFonts w:hint="eastAsia"/>
                      <w:i w:val="0"/>
                      <w:iCs w:val="0"/>
                      <w:sz w:val="21"/>
                      <w:szCs w:val="21"/>
                    </w:rPr>
                    <w:t>5</w:t>
                  </w:r>
                </w:p>
              </w:tc>
              <w:tc>
                <w:tcPr>
                  <w:tcW w:w="3726" w:type="dxa"/>
                  <w:tcBorders>
                    <w:top w:val="single" w:color="auto" w:sz="4" w:space="0"/>
                    <w:left w:val="single" w:color="auto" w:sz="4" w:space="0"/>
                    <w:bottom w:val="single" w:color="auto" w:sz="4" w:space="0"/>
                    <w:right w:val="single" w:color="auto" w:sz="4" w:space="0"/>
                  </w:tcBorders>
                  <w:vAlign w:val="center"/>
                </w:tcPr>
                <w:p w14:paraId="58A3B804">
                  <w:pPr>
                    <w:wordWrap w:val="0"/>
                    <w:rPr>
                      <w:sz w:val="21"/>
                      <w:szCs w:val="21"/>
                    </w:rPr>
                  </w:pPr>
                  <w:r>
                    <w:rPr>
                      <w:rFonts w:hint="eastAsia"/>
                      <w:sz w:val="21"/>
                      <w:szCs w:val="21"/>
                    </w:rPr>
                    <w:t>审阅服务方案，在项目完成后，提供相应的咨询服务，服务方案是否完善，响应是否迅速，是否具有可操作性，方案优秀的5</w:t>
                  </w:r>
                  <w:r>
                    <w:rPr>
                      <w:sz w:val="21"/>
                      <w:szCs w:val="21"/>
                    </w:rPr>
                    <w:t>分、良好的</w:t>
                  </w:r>
                  <w:r>
                    <w:rPr>
                      <w:rFonts w:hint="eastAsia"/>
                      <w:sz w:val="21"/>
                      <w:szCs w:val="21"/>
                    </w:rPr>
                    <w:t>3</w:t>
                  </w:r>
                  <w:r>
                    <w:rPr>
                      <w:sz w:val="21"/>
                      <w:szCs w:val="21"/>
                    </w:rPr>
                    <w:t>分、一般的</w:t>
                  </w:r>
                  <w:r>
                    <w:rPr>
                      <w:rFonts w:hint="eastAsia"/>
                      <w:sz w:val="21"/>
                      <w:szCs w:val="21"/>
                    </w:rPr>
                    <w:t>1</w:t>
                  </w:r>
                  <w:r>
                    <w:rPr>
                      <w:sz w:val="21"/>
                      <w:szCs w:val="21"/>
                    </w:rPr>
                    <w:t>分</w:t>
                  </w:r>
                  <w:r>
                    <w:rPr>
                      <w:rFonts w:hint="eastAsia"/>
                      <w:sz w:val="21"/>
                      <w:szCs w:val="21"/>
                    </w:rPr>
                    <w:t>，上限为5</w:t>
                  </w:r>
                  <w:r>
                    <w:rPr>
                      <w:sz w:val="21"/>
                      <w:szCs w:val="21"/>
                    </w:rPr>
                    <w:t>分进行评分。</w:t>
                  </w:r>
                </w:p>
                <w:p w14:paraId="43D873E0">
                  <w:pPr>
                    <w:wordWrap w:val="0"/>
                    <w:rPr>
                      <w:sz w:val="21"/>
                      <w:szCs w:val="21"/>
                    </w:rPr>
                  </w:pPr>
                  <w:r>
                    <w:rPr>
                      <w:rFonts w:hint="eastAsia"/>
                      <w:sz w:val="21"/>
                      <w:szCs w:val="21"/>
                    </w:rPr>
                    <w:t>在项目完成后，不提供相应的咨询服务不得分。</w:t>
                  </w:r>
                </w:p>
              </w:tc>
              <w:tc>
                <w:tcPr>
                  <w:tcW w:w="3248" w:type="dxa"/>
                  <w:tcBorders>
                    <w:top w:val="single" w:color="auto" w:sz="4" w:space="0"/>
                    <w:left w:val="single" w:color="auto" w:sz="4" w:space="0"/>
                    <w:bottom w:val="single" w:color="auto" w:sz="4" w:space="0"/>
                    <w:right w:val="single" w:color="auto" w:sz="4" w:space="0"/>
                  </w:tcBorders>
                  <w:vAlign w:val="center"/>
                </w:tcPr>
                <w:p w14:paraId="1A1EFDF4">
                  <w:pPr>
                    <w:wordWrap w:val="0"/>
                    <w:rPr>
                      <w:sz w:val="21"/>
                      <w:szCs w:val="21"/>
                    </w:rPr>
                  </w:pPr>
                </w:p>
              </w:tc>
              <w:tc>
                <w:tcPr>
                  <w:tcW w:w="331" w:type="dxa"/>
                  <w:tcBorders>
                    <w:top w:val="single" w:color="auto" w:sz="4" w:space="0"/>
                    <w:left w:val="single" w:color="auto" w:sz="4" w:space="0"/>
                    <w:bottom w:val="single" w:color="auto" w:sz="4" w:space="0"/>
                    <w:right w:val="single" w:color="auto" w:sz="4" w:space="0"/>
                  </w:tcBorders>
                  <w:vAlign w:val="center"/>
                </w:tcPr>
                <w:p w14:paraId="6B0A5F71">
                  <w:pPr>
                    <w:wordWrap w:val="0"/>
                    <w:jc w:val="center"/>
                    <w:rPr>
                      <w:sz w:val="21"/>
                      <w:szCs w:val="21"/>
                    </w:rPr>
                  </w:pPr>
                </w:p>
              </w:tc>
            </w:tr>
            <w:tr w14:paraId="45A77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5" w:hRule="atLeast"/>
              </w:trPr>
              <w:tc>
                <w:tcPr>
                  <w:tcW w:w="2542" w:type="dxa"/>
                  <w:gridSpan w:val="4"/>
                  <w:tcBorders>
                    <w:top w:val="single" w:color="auto" w:sz="4" w:space="0"/>
                    <w:left w:val="single" w:color="auto" w:sz="4" w:space="0"/>
                    <w:bottom w:val="single" w:color="auto" w:sz="4" w:space="0"/>
                    <w:right w:val="single" w:color="auto" w:sz="4" w:space="0"/>
                  </w:tcBorders>
                  <w:vAlign w:val="center"/>
                </w:tcPr>
                <w:p w14:paraId="7CA56F30">
                  <w:pPr>
                    <w:wordWrap w:val="0"/>
                    <w:jc w:val="center"/>
                    <w:rPr>
                      <w:sz w:val="21"/>
                      <w:szCs w:val="21"/>
                    </w:rPr>
                  </w:pPr>
                  <w:r>
                    <w:rPr>
                      <w:rFonts w:hint="eastAsia"/>
                      <w:sz w:val="21"/>
                      <w:szCs w:val="21"/>
                    </w:rPr>
                    <w:t>总分</w:t>
                  </w:r>
                </w:p>
              </w:tc>
              <w:tc>
                <w:tcPr>
                  <w:tcW w:w="7305" w:type="dxa"/>
                  <w:gridSpan w:val="3"/>
                  <w:tcBorders>
                    <w:top w:val="single" w:color="auto" w:sz="4" w:space="0"/>
                    <w:left w:val="single" w:color="auto" w:sz="4" w:space="0"/>
                    <w:bottom w:val="single" w:color="auto" w:sz="4" w:space="0"/>
                    <w:right w:val="single" w:color="auto" w:sz="4" w:space="0"/>
                  </w:tcBorders>
                  <w:vAlign w:val="center"/>
                </w:tcPr>
                <w:p w14:paraId="74648128">
                  <w:pPr>
                    <w:wordWrap w:val="0"/>
                    <w:rPr>
                      <w:rFonts w:hint="default" w:eastAsia="宋体"/>
                      <w:sz w:val="21"/>
                      <w:szCs w:val="21"/>
                      <w:lang w:val="en-US" w:eastAsia="zh-CN"/>
                    </w:rPr>
                  </w:pPr>
                  <w:r>
                    <w:rPr>
                      <w:rFonts w:hint="eastAsia"/>
                      <w:sz w:val="21"/>
                      <w:szCs w:val="21"/>
                      <w:lang w:val="en-US" w:eastAsia="zh-CN"/>
                    </w:rPr>
                    <w:t>100</w:t>
                  </w:r>
                </w:p>
              </w:tc>
            </w:tr>
            <w:bookmarkEnd w:id="10"/>
          </w:tbl>
          <w:p w14:paraId="3E7D73DA">
            <w:pPr>
              <w:pStyle w:val="15"/>
              <w:rPr>
                <w:sz w:val="21"/>
                <w:szCs w:val="21"/>
              </w:rPr>
            </w:pPr>
            <w:r>
              <w:rPr>
                <w:sz w:val="21"/>
                <w:szCs w:val="21"/>
              </w:rPr>
              <w:t xml:space="preserve"> </w:t>
            </w:r>
          </w:p>
        </w:tc>
      </w:tr>
    </w:tbl>
    <w:p w14:paraId="059DA4EF">
      <w:pPr>
        <w:pStyle w:val="9"/>
        <w:rPr>
          <w:rFonts w:cs="宋体"/>
        </w:rPr>
      </w:pPr>
    </w:p>
    <w:p w14:paraId="4123B5AE">
      <w:pPr>
        <w:jc w:val="center"/>
        <w:outlineLvl w:val="1"/>
        <w:rPr>
          <w:rFonts w:ascii="Times New Roman" w:hAnsi="Times New Roman"/>
          <w:b/>
          <w:bCs/>
          <w:kern w:val="44"/>
          <w:sz w:val="32"/>
          <w:szCs w:val="52"/>
        </w:rPr>
      </w:pPr>
      <w:r>
        <w:rPr>
          <w:rFonts w:ascii="Times New Roman" w:hAnsi="Times New Roman"/>
          <w:b/>
          <w:bCs/>
          <w:kern w:val="44"/>
          <w:sz w:val="32"/>
          <w:szCs w:val="52"/>
        </w:rPr>
        <w:br w:type="page"/>
      </w:r>
    </w:p>
    <w:p w14:paraId="720D737C">
      <w:pPr>
        <w:pStyle w:val="15"/>
        <w:jc w:val="center"/>
        <w:outlineLvl w:val="1"/>
        <w:rPr>
          <w:rFonts w:ascii="Times New Roman" w:hAnsi="Times New Roman"/>
          <w:b/>
          <w:bCs/>
          <w:kern w:val="44"/>
          <w:sz w:val="32"/>
          <w:szCs w:val="52"/>
        </w:rPr>
      </w:pPr>
      <w:r>
        <w:rPr>
          <w:rFonts w:hint="eastAsia" w:ascii="Times New Roman" w:hAnsi="Times New Roman"/>
          <w:b/>
          <w:bCs/>
          <w:kern w:val="44"/>
          <w:sz w:val="32"/>
          <w:szCs w:val="52"/>
        </w:rPr>
        <w:t xml:space="preserve">第四章 </w:t>
      </w:r>
      <w:r>
        <w:rPr>
          <w:rFonts w:hint="eastAsia" w:ascii="Times New Roman" w:hAnsi="Times New Roman"/>
          <w:b/>
          <w:bCs/>
          <w:kern w:val="44"/>
          <w:sz w:val="32"/>
          <w:szCs w:val="52"/>
          <w:lang w:val="en-US" w:eastAsia="zh-CN"/>
        </w:rPr>
        <w:t xml:space="preserve"> </w:t>
      </w:r>
      <w:r>
        <w:rPr>
          <w:rFonts w:hint="eastAsia" w:ascii="Times New Roman" w:hAnsi="Times New Roman"/>
          <w:b/>
          <w:bCs/>
          <w:kern w:val="44"/>
          <w:sz w:val="32"/>
          <w:szCs w:val="52"/>
        </w:rPr>
        <w:t>服务合同模板</w:t>
      </w:r>
    </w:p>
    <w:p w14:paraId="38E8B21E">
      <w:pPr>
        <w:pStyle w:val="9"/>
        <w:rPr>
          <w:rFonts w:cs="宋体"/>
          <w:b w:val="0"/>
          <w:bCs w:val="0"/>
        </w:rPr>
      </w:pPr>
      <w:r>
        <w:rPr>
          <w:rFonts w:hint="eastAsia" w:cs="宋体"/>
          <w:b w:val="0"/>
          <w:bCs w:val="0"/>
        </w:rPr>
        <w:t>合同编号：</w:t>
      </w:r>
    </w:p>
    <w:p w14:paraId="5DC4AE2E">
      <w:pPr>
        <w:pStyle w:val="9"/>
        <w:rPr>
          <w:rFonts w:cs="宋体"/>
        </w:rPr>
      </w:pPr>
    </w:p>
    <w:p w14:paraId="58F50B82"/>
    <w:p w14:paraId="7F621C6F">
      <w:pPr>
        <w:adjustRightInd w:val="0"/>
        <w:spacing w:line="480" w:lineRule="auto"/>
        <w:jc w:val="center"/>
        <w:rPr>
          <w:rFonts w:eastAsia="仿宋_GB2312"/>
          <w:b/>
          <w:sz w:val="48"/>
          <w:szCs w:val="52"/>
          <w:u w:val="single"/>
        </w:rPr>
      </w:pPr>
      <w:bookmarkStart w:id="11" w:name="_Hlk533695053"/>
      <w:r>
        <w:rPr>
          <w:rFonts w:hint="eastAsia" w:eastAsia="仿宋_GB2312"/>
          <w:b/>
          <w:sz w:val="48"/>
          <w:szCs w:val="52"/>
          <w:u w:val="single"/>
        </w:rPr>
        <w:t>深圳市南山区住房和建设局</w:t>
      </w:r>
      <w:r>
        <w:rPr>
          <w:rFonts w:eastAsia="仿宋_GB2312"/>
          <w:b/>
          <w:sz w:val="48"/>
          <w:szCs w:val="52"/>
          <w:u w:val="single"/>
        </w:rPr>
        <w:t>202</w:t>
      </w:r>
      <w:r>
        <w:rPr>
          <w:rFonts w:hint="eastAsia" w:eastAsia="仿宋_GB2312"/>
          <w:b/>
          <w:sz w:val="48"/>
          <w:szCs w:val="52"/>
          <w:u w:val="single"/>
          <w:lang w:val="en-US" w:eastAsia="zh-CN"/>
        </w:rPr>
        <w:t>5</w:t>
      </w:r>
      <w:r>
        <w:rPr>
          <w:rFonts w:eastAsia="仿宋_GB2312"/>
          <w:b/>
          <w:sz w:val="48"/>
          <w:szCs w:val="52"/>
          <w:u w:val="single"/>
        </w:rPr>
        <w:t>年</w:t>
      </w:r>
    </w:p>
    <w:p w14:paraId="4F7D1370">
      <w:pPr>
        <w:adjustRightInd w:val="0"/>
        <w:spacing w:line="480" w:lineRule="auto"/>
        <w:jc w:val="center"/>
        <w:rPr>
          <w:rFonts w:eastAsia="仿宋_GB2312"/>
          <w:b/>
          <w:sz w:val="48"/>
          <w:szCs w:val="52"/>
          <w:u w:val="single"/>
        </w:rPr>
      </w:pPr>
      <w:r>
        <w:rPr>
          <w:rFonts w:hint="eastAsia" w:eastAsia="仿宋_GB2312"/>
          <w:b/>
          <w:sz w:val="48"/>
          <w:szCs w:val="52"/>
          <w:u w:val="single"/>
        </w:rPr>
        <w:t>南山区城市体检技术服务</w:t>
      </w:r>
    </w:p>
    <w:p w14:paraId="01C1D103">
      <w:pPr>
        <w:adjustRightInd w:val="0"/>
        <w:spacing w:line="480" w:lineRule="auto"/>
        <w:jc w:val="center"/>
        <w:rPr>
          <w:rFonts w:eastAsia="仿宋_GB2312"/>
          <w:b/>
          <w:sz w:val="52"/>
          <w:szCs w:val="52"/>
        </w:rPr>
      </w:pPr>
      <w:r>
        <w:rPr>
          <w:rFonts w:hint="eastAsia" w:eastAsia="仿宋_GB2312"/>
          <w:b/>
          <w:sz w:val="52"/>
          <w:szCs w:val="52"/>
        </w:rPr>
        <w:t>合同</w:t>
      </w:r>
    </w:p>
    <w:p w14:paraId="110981D7">
      <w:pPr>
        <w:rPr>
          <w:rFonts w:eastAsia="仿宋_GB2312"/>
          <w:b/>
          <w:sz w:val="52"/>
          <w:szCs w:val="52"/>
        </w:rPr>
      </w:pPr>
    </w:p>
    <w:p w14:paraId="3C84AE72">
      <w:pPr>
        <w:ind w:firstLine="2891" w:firstLineChars="1200"/>
        <w:rPr>
          <w:rFonts w:ascii="仿宋" w:hAnsi="仿宋" w:eastAsia="仿宋" w:cs="仿宋"/>
          <w:b/>
          <w:bCs/>
        </w:rPr>
      </w:pPr>
    </w:p>
    <w:p w14:paraId="4313BD3A">
      <w:pPr>
        <w:pStyle w:val="17"/>
        <w:ind w:firstLine="241"/>
      </w:pPr>
    </w:p>
    <w:p w14:paraId="3D811ABE">
      <w:pPr>
        <w:rPr>
          <w:rFonts w:ascii="仿宋_GB2312" w:eastAsia="仿宋_GB2312"/>
          <w:b/>
          <w:sz w:val="32"/>
          <w:szCs w:val="32"/>
        </w:rPr>
      </w:pPr>
    </w:p>
    <w:p w14:paraId="4C16B006">
      <w:pPr>
        <w:spacing w:before="100" w:beforeAutospacing="1" w:after="100" w:afterAutospacing="1" w:line="480" w:lineRule="auto"/>
        <w:ind w:firstLine="643" w:firstLineChars="200"/>
        <w:jc w:val="both"/>
        <w:rPr>
          <w:b/>
          <w:sz w:val="32"/>
          <w:szCs w:val="32"/>
        </w:rPr>
      </w:pPr>
      <w:r>
        <w:rPr>
          <w:rFonts w:hint="eastAsia"/>
          <w:b/>
          <w:sz w:val="32"/>
          <w:szCs w:val="32"/>
        </w:rPr>
        <w:t>项目名称：</w:t>
      </w:r>
      <w:r>
        <w:rPr>
          <w:b/>
          <w:sz w:val="32"/>
          <w:szCs w:val="32"/>
          <w:u w:val="single"/>
        </w:rPr>
        <w:t>202</w:t>
      </w:r>
      <w:r>
        <w:rPr>
          <w:rFonts w:hint="eastAsia"/>
          <w:b/>
          <w:sz w:val="32"/>
          <w:szCs w:val="32"/>
          <w:u w:val="single"/>
          <w:lang w:val="en-US" w:eastAsia="zh-CN"/>
        </w:rPr>
        <w:t>5</w:t>
      </w:r>
      <w:r>
        <w:rPr>
          <w:b/>
          <w:sz w:val="32"/>
          <w:szCs w:val="32"/>
          <w:u w:val="single"/>
        </w:rPr>
        <w:t>年</w:t>
      </w:r>
      <w:r>
        <w:rPr>
          <w:rFonts w:hint="eastAsia"/>
          <w:b/>
          <w:sz w:val="32"/>
          <w:szCs w:val="32"/>
          <w:u w:val="single"/>
        </w:rPr>
        <w:t xml:space="preserve">南山区城市体检技术服务         </w:t>
      </w:r>
    </w:p>
    <w:p w14:paraId="25C39EA6">
      <w:pPr>
        <w:spacing w:before="100" w:beforeAutospacing="1" w:after="100" w:afterAutospacing="1" w:line="480" w:lineRule="auto"/>
        <w:ind w:firstLine="643" w:firstLineChars="200"/>
        <w:rPr>
          <w:b/>
          <w:sz w:val="32"/>
          <w:szCs w:val="32"/>
        </w:rPr>
      </w:pPr>
      <w:r>
        <w:rPr>
          <w:rFonts w:hint="eastAsia"/>
          <w:b/>
          <w:sz w:val="32"/>
          <w:szCs w:val="32"/>
        </w:rPr>
        <w:t>甲    方：</w:t>
      </w:r>
      <w:r>
        <w:rPr>
          <w:rFonts w:hint="eastAsia"/>
          <w:b/>
          <w:sz w:val="32"/>
          <w:szCs w:val="32"/>
          <w:u w:val="single"/>
        </w:rPr>
        <w:t xml:space="preserve"> 深圳市南山区住房和建设局             </w:t>
      </w:r>
    </w:p>
    <w:p w14:paraId="57B26F3C">
      <w:pPr>
        <w:spacing w:before="100" w:beforeAutospacing="1" w:after="100" w:afterAutospacing="1" w:line="480" w:lineRule="auto"/>
        <w:ind w:firstLine="643" w:firstLineChars="200"/>
        <w:rPr>
          <w:b/>
          <w:sz w:val="32"/>
          <w:szCs w:val="32"/>
        </w:rPr>
      </w:pPr>
      <w:r>
        <w:rPr>
          <w:rFonts w:hint="eastAsia"/>
          <w:b/>
          <w:sz w:val="32"/>
          <w:szCs w:val="32"/>
        </w:rPr>
        <w:t>乙    方：</w:t>
      </w:r>
      <w:r>
        <w:rPr>
          <w:rFonts w:hint="eastAsia"/>
          <w:b/>
          <w:sz w:val="32"/>
          <w:szCs w:val="32"/>
          <w:u w:val="single"/>
        </w:rPr>
        <w:t xml:space="preserve"> </w:t>
      </w:r>
      <w:r>
        <w:rPr>
          <w:b/>
          <w:sz w:val="32"/>
          <w:szCs w:val="32"/>
          <w:u w:val="single"/>
        </w:rPr>
        <w:t xml:space="preserve">                                  </w:t>
      </w:r>
      <w:r>
        <w:rPr>
          <w:rFonts w:hint="eastAsia"/>
          <w:b/>
          <w:sz w:val="32"/>
          <w:szCs w:val="32"/>
          <w:u w:val="single"/>
        </w:rPr>
        <w:t xml:space="preserve">   </w:t>
      </w:r>
    </w:p>
    <w:p w14:paraId="1658E1B2">
      <w:pPr>
        <w:spacing w:before="100" w:beforeAutospacing="1" w:after="100" w:afterAutospacing="1" w:line="480" w:lineRule="auto"/>
        <w:ind w:firstLine="2891" w:firstLineChars="900"/>
        <w:rPr>
          <w:b/>
          <w:sz w:val="32"/>
          <w:szCs w:val="32"/>
        </w:rPr>
      </w:pPr>
    </w:p>
    <w:p w14:paraId="2B025C02">
      <w:pPr>
        <w:spacing w:before="100" w:after="100" w:line="480" w:lineRule="auto"/>
        <w:jc w:val="center"/>
        <w:rPr>
          <w:b/>
          <w:sz w:val="32"/>
          <w:szCs w:val="32"/>
        </w:rPr>
      </w:pPr>
      <w:r>
        <w:rPr>
          <w:rFonts w:hint="eastAsia"/>
          <w:b/>
          <w:sz w:val="32"/>
          <w:szCs w:val="32"/>
        </w:rPr>
        <w:t>南山区住房和建设局</w:t>
      </w:r>
      <w:r>
        <w:rPr>
          <w:b/>
          <w:sz w:val="32"/>
          <w:szCs w:val="32"/>
        </w:rPr>
        <w:t xml:space="preserve">   </w:t>
      </w:r>
      <w:r>
        <w:rPr>
          <w:rFonts w:hint="eastAsia"/>
          <w:b/>
          <w:sz w:val="32"/>
          <w:szCs w:val="32"/>
        </w:rPr>
        <w:t>制定</w:t>
      </w:r>
    </w:p>
    <w:p w14:paraId="3B21ADC0">
      <w:pPr>
        <w:adjustRightInd w:val="0"/>
        <w:spacing w:line="480" w:lineRule="auto"/>
        <w:jc w:val="center"/>
        <w:rPr>
          <w:rFonts w:hint="eastAsia"/>
          <w:b/>
          <w:sz w:val="32"/>
          <w:szCs w:val="32"/>
        </w:rPr>
      </w:pPr>
      <w:r>
        <w:rPr>
          <w:rFonts w:hint="eastAsia"/>
          <w:b/>
          <w:sz w:val="32"/>
          <w:szCs w:val="32"/>
        </w:rPr>
        <w:t>二〇二</w:t>
      </w:r>
      <w:r>
        <w:rPr>
          <w:rFonts w:hint="eastAsia"/>
          <w:b/>
          <w:sz w:val="32"/>
          <w:szCs w:val="32"/>
          <w:lang w:eastAsia="zh-CN"/>
        </w:rPr>
        <w:t>五</w:t>
      </w:r>
      <w:r>
        <w:rPr>
          <w:rFonts w:hint="eastAsia"/>
          <w:b/>
          <w:sz w:val="32"/>
          <w:szCs w:val="32"/>
        </w:rPr>
        <w:t>年</w:t>
      </w:r>
      <w:r>
        <w:rPr>
          <w:rFonts w:hint="eastAsia"/>
          <w:b/>
          <w:sz w:val="32"/>
          <w:szCs w:val="32"/>
          <w:u w:val="single"/>
        </w:rPr>
        <w:t xml:space="preserve">  </w:t>
      </w:r>
      <w:r>
        <w:rPr>
          <w:rFonts w:hint="eastAsia"/>
          <w:b/>
          <w:sz w:val="32"/>
          <w:szCs w:val="32"/>
        </w:rPr>
        <w:t>月</w:t>
      </w:r>
    </w:p>
    <w:p w14:paraId="0A292341">
      <w:pPr>
        <w:adjustRightInd/>
        <w:spacing w:line="240" w:lineRule="auto"/>
        <w:jc w:val="left"/>
        <w:rPr>
          <w:rFonts w:hint="eastAsia"/>
          <w:b/>
          <w:sz w:val="32"/>
          <w:szCs w:val="32"/>
        </w:rPr>
      </w:pPr>
      <w:r>
        <w:rPr>
          <w:rFonts w:hint="eastAsia"/>
          <w:b/>
          <w:sz w:val="32"/>
          <w:szCs w:val="32"/>
        </w:rPr>
        <w:br w:type="page"/>
      </w:r>
    </w:p>
    <w:bookmarkEnd w:id="11"/>
    <w:p w14:paraId="2FE07A83">
      <w:pPr>
        <w:spacing w:line="360" w:lineRule="auto"/>
        <w:ind w:firstLine="482" w:firstLineChars="200"/>
        <w:rPr>
          <w:b/>
        </w:rPr>
      </w:pPr>
      <w:r>
        <w:rPr>
          <w:rFonts w:hint="eastAsia"/>
          <w:b/>
        </w:rPr>
        <w:t>委托方（甲方）：</w:t>
      </w:r>
      <w:r>
        <w:rPr>
          <w:rFonts w:hint="eastAsia"/>
          <w:u w:val="single"/>
        </w:rPr>
        <w:t xml:space="preserve">深圳市南山区住房和建设局 </w:t>
      </w:r>
      <w:r>
        <w:rPr>
          <w:u w:val="single"/>
        </w:rPr>
        <w:t xml:space="preserve">       </w:t>
      </w:r>
      <w:r>
        <w:rPr>
          <w:rFonts w:hint="eastAsia"/>
          <w:u w:val="single"/>
        </w:rPr>
        <w:t xml:space="preserve"> </w:t>
      </w:r>
    </w:p>
    <w:p w14:paraId="688572A9">
      <w:pPr>
        <w:spacing w:line="360" w:lineRule="auto"/>
        <w:ind w:firstLine="482" w:firstLineChars="200"/>
        <w:rPr>
          <w:bCs/>
          <w:u w:val="single"/>
        </w:rPr>
      </w:pPr>
      <w:r>
        <w:rPr>
          <w:rFonts w:hint="eastAsia"/>
          <w:b/>
        </w:rPr>
        <w:t>受托方（乙方）：</w:t>
      </w:r>
      <w:r>
        <w:rPr>
          <w:rFonts w:hint="eastAsia"/>
          <w:bCs/>
          <w:u w:val="single"/>
        </w:rPr>
        <w:t xml:space="preserve"> </w:t>
      </w:r>
      <w:r>
        <w:rPr>
          <w:bCs/>
          <w:u w:val="single"/>
        </w:rPr>
        <w:t xml:space="preserve">                                 </w:t>
      </w:r>
    </w:p>
    <w:p w14:paraId="53E024A5">
      <w:pPr>
        <w:spacing w:line="360" w:lineRule="auto"/>
        <w:ind w:firstLine="480" w:firstLineChars="200"/>
      </w:pPr>
      <w:r>
        <w:rPr>
          <w:rFonts w:hint="eastAsia"/>
        </w:rPr>
        <w:t>依照《中华人民共和国民法典》及其它相关法律、法规，结合本项目的招标文件要求，双方就</w:t>
      </w:r>
      <w:r>
        <w:rPr>
          <w:rFonts w:hint="eastAsia"/>
          <w:u w:val="single"/>
        </w:rPr>
        <w:t>甲方委托乙方提供</w:t>
      </w:r>
      <w:r>
        <w:rPr>
          <w:u w:val="single"/>
        </w:rPr>
        <w:t>202</w:t>
      </w:r>
      <w:r>
        <w:rPr>
          <w:rFonts w:hint="eastAsia"/>
          <w:u w:val="single"/>
          <w:lang w:val="en-US" w:eastAsia="zh-CN"/>
        </w:rPr>
        <w:t>5</w:t>
      </w:r>
      <w:r>
        <w:rPr>
          <w:u w:val="single"/>
        </w:rPr>
        <w:t>年</w:t>
      </w:r>
      <w:r>
        <w:rPr>
          <w:rFonts w:hint="eastAsia"/>
          <w:u w:val="single"/>
        </w:rPr>
        <w:t>南山区城市体检技术服务项目一事</w:t>
      </w:r>
      <w:r>
        <w:rPr>
          <w:rFonts w:hint="eastAsia"/>
        </w:rPr>
        <w:t>，经双方协商一致，签订本合同。</w:t>
      </w:r>
    </w:p>
    <w:p w14:paraId="7DB12E63">
      <w:pPr>
        <w:spacing w:line="360" w:lineRule="auto"/>
        <w:ind w:firstLine="480" w:firstLineChars="200"/>
      </w:pPr>
    </w:p>
    <w:p w14:paraId="345AC89A">
      <w:pPr>
        <w:numPr>
          <w:ilvl w:val="0"/>
          <w:numId w:val="2"/>
        </w:numPr>
        <w:spacing w:before="156" w:beforeLines="50" w:line="360" w:lineRule="auto"/>
        <w:ind w:left="1168" w:hanging="748"/>
        <w:rPr>
          <w:b/>
        </w:rPr>
      </w:pPr>
      <w:r>
        <w:rPr>
          <w:rFonts w:hint="eastAsia"/>
          <w:b/>
        </w:rPr>
        <w:t>项目基本情况</w:t>
      </w:r>
    </w:p>
    <w:p w14:paraId="5E7E98C9">
      <w:pPr>
        <w:spacing w:line="360" w:lineRule="auto"/>
        <w:ind w:firstLine="420"/>
        <w:rPr>
          <w:u w:val="single"/>
        </w:rPr>
      </w:pPr>
      <w:r>
        <w:rPr>
          <w:rFonts w:hint="eastAsia"/>
        </w:rPr>
        <w:t>1、项目名称：</w:t>
      </w:r>
      <w:r>
        <w:rPr>
          <w:rFonts w:hint="eastAsia"/>
          <w:u w:val="single"/>
        </w:rPr>
        <w:t>深圳市南山区住房和建设局</w:t>
      </w:r>
      <w:r>
        <w:rPr>
          <w:u w:val="single"/>
        </w:rPr>
        <w:t>202</w:t>
      </w:r>
      <w:r>
        <w:rPr>
          <w:rFonts w:hint="eastAsia"/>
          <w:u w:val="single"/>
          <w:lang w:val="en-US" w:eastAsia="zh-CN"/>
        </w:rPr>
        <w:t>5</w:t>
      </w:r>
      <w:r>
        <w:rPr>
          <w:u w:val="single"/>
        </w:rPr>
        <w:t>年</w:t>
      </w:r>
      <w:r>
        <w:rPr>
          <w:rFonts w:hint="eastAsia"/>
          <w:u w:val="single"/>
        </w:rPr>
        <w:t>南山区城市体检技术服务</w:t>
      </w:r>
    </w:p>
    <w:p w14:paraId="6878A648">
      <w:pPr>
        <w:spacing w:line="360" w:lineRule="auto"/>
        <w:ind w:firstLine="420"/>
      </w:pPr>
      <w:r>
        <w:rPr>
          <w:rFonts w:hint="eastAsia"/>
        </w:rPr>
        <w:t>2、合同范围：</w:t>
      </w:r>
    </w:p>
    <w:p w14:paraId="15EAEE92">
      <w:pPr>
        <w:tabs>
          <w:tab w:val="left" w:pos="5220"/>
        </w:tabs>
        <w:spacing w:line="360" w:lineRule="auto"/>
        <w:ind w:firstLine="480" w:firstLineChars="200"/>
        <w:rPr>
          <w:u w:val="single"/>
        </w:rPr>
      </w:pPr>
      <w:r>
        <w:rPr>
          <w:rFonts w:hint="eastAsia" w:ascii="宋体" w:hAnsi="宋体" w:eastAsia="宋体" w:cs="宋体"/>
          <w:sz w:val="24"/>
          <w:szCs w:val="24"/>
        </w:rPr>
        <w:t>根据《</w:t>
      </w:r>
      <w:r>
        <w:rPr>
          <w:rFonts w:hint="eastAsia" w:cs="宋体"/>
          <w:sz w:val="24"/>
          <w:szCs w:val="24"/>
          <w:lang w:val="en-US" w:eastAsia="zh-CN"/>
        </w:rPr>
        <w:t>2025年深圳市城市体检</w:t>
      </w:r>
      <w:r>
        <w:rPr>
          <w:rFonts w:hint="eastAsia" w:ascii="宋体" w:hAnsi="宋体" w:eastAsia="宋体" w:cs="宋体"/>
          <w:sz w:val="24"/>
          <w:szCs w:val="24"/>
        </w:rPr>
        <w:t>工作方案》</w:t>
      </w:r>
      <w:r>
        <w:rPr>
          <w:rFonts w:hint="eastAsia" w:cs="宋体"/>
          <w:sz w:val="24"/>
          <w:szCs w:val="24"/>
          <w:lang w:val="en-US" w:eastAsia="zh-CN"/>
        </w:rPr>
        <w:t>，</w:t>
      </w:r>
      <w:r>
        <w:rPr>
          <w:rFonts w:hint="eastAsia"/>
          <w:u w:val="single"/>
        </w:rPr>
        <w:t>结合南山区特点，对南山区内参检街道和参检城中村，</w:t>
      </w:r>
      <w:r>
        <w:rPr>
          <w:rFonts w:hint="eastAsia"/>
          <w:u w:val="single"/>
          <w:lang w:val="en-US" w:eastAsia="zh-CN"/>
        </w:rPr>
        <w:t>开展城区、</w:t>
      </w:r>
      <w:r>
        <w:rPr>
          <w:rFonts w:hint="eastAsia"/>
          <w:u w:val="single"/>
        </w:rPr>
        <w:t>街区、社区、住房、城中村维度的</w:t>
      </w:r>
      <w:r>
        <w:rPr>
          <w:rFonts w:hint="eastAsia"/>
          <w:u w:val="single"/>
          <w:lang w:eastAsia="zh-CN"/>
        </w:rPr>
        <w:t>体检，通过现场调研、座谈等方式收集数据，对</w:t>
      </w:r>
      <w:r>
        <w:rPr>
          <w:rFonts w:hint="eastAsia"/>
          <w:u w:val="single"/>
        </w:rPr>
        <w:t>指标数据进行分析，查找群众反映的难点、堵点、痛点问题，结合城市更新行动，</w:t>
      </w:r>
      <w:r>
        <w:rPr>
          <w:rFonts w:hint="eastAsia" w:ascii="宋体" w:hAnsi="宋体" w:eastAsia="宋体" w:cs="宋体"/>
          <w:u w:val="single"/>
        </w:rPr>
        <w:t>提出解决对策建议，最终形成《2025年南山区城市体检自体检报告》和《2024年度城市体检成果应用专题报告》</w:t>
      </w:r>
      <w:r>
        <w:rPr>
          <w:rFonts w:hint="eastAsia" w:ascii="宋体" w:hAnsi="宋体" w:eastAsia="宋体" w:cs="宋体"/>
          <w:u w:val="single"/>
          <w:lang w:eastAsia="zh-CN"/>
        </w:rPr>
        <w:t>。</w:t>
      </w:r>
    </w:p>
    <w:p w14:paraId="42F0467D">
      <w:pPr>
        <w:numPr>
          <w:ilvl w:val="0"/>
          <w:numId w:val="2"/>
        </w:numPr>
        <w:spacing w:before="156" w:beforeLines="50" w:line="360" w:lineRule="auto"/>
        <w:ind w:left="1168" w:hanging="748"/>
        <w:rPr>
          <w:b/>
        </w:rPr>
      </w:pPr>
      <w:r>
        <w:rPr>
          <w:rFonts w:hint="eastAsia"/>
          <w:b/>
        </w:rPr>
        <w:t>工作内容</w:t>
      </w:r>
    </w:p>
    <w:p w14:paraId="6E0286E0">
      <w:pPr>
        <w:spacing w:line="360" w:lineRule="auto"/>
        <w:ind w:firstLine="480" w:firstLineChars="200"/>
        <w:rPr>
          <w:szCs w:val="21"/>
        </w:rPr>
      </w:pPr>
      <w:r>
        <w:rPr>
          <w:szCs w:val="21"/>
        </w:rPr>
        <w:t>按照</w:t>
      </w:r>
      <w:r>
        <w:rPr>
          <w:rFonts w:hint="eastAsia"/>
          <w:szCs w:val="21"/>
        </w:rPr>
        <w:t>甲方</w:t>
      </w:r>
      <w:r>
        <w:rPr>
          <w:szCs w:val="21"/>
        </w:rPr>
        <w:t>需要，</w:t>
      </w:r>
      <w:r>
        <w:rPr>
          <w:rFonts w:hint="eastAsia"/>
          <w:szCs w:val="21"/>
        </w:rPr>
        <w:t>本次</w:t>
      </w:r>
      <w:r>
        <w:rPr>
          <w:szCs w:val="21"/>
        </w:rPr>
        <w:t>工作</w:t>
      </w:r>
      <w:r>
        <w:rPr>
          <w:rFonts w:hint="eastAsia"/>
          <w:szCs w:val="21"/>
        </w:rPr>
        <w:t>主要</w:t>
      </w:r>
      <w:r>
        <w:rPr>
          <w:szCs w:val="21"/>
        </w:rPr>
        <w:t>服务内容</w:t>
      </w:r>
      <w:r>
        <w:rPr>
          <w:rFonts w:hint="eastAsia"/>
          <w:szCs w:val="21"/>
        </w:rPr>
        <w:t>包括但不限于以下事项</w:t>
      </w:r>
      <w:r>
        <w:rPr>
          <w:szCs w:val="21"/>
        </w:rPr>
        <w:t>，同时</w:t>
      </w:r>
      <w:r>
        <w:rPr>
          <w:rFonts w:hint="eastAsia"/>
          <w:szCs w:val="21"/>
        </w:rPr>
        <w:t>甲方有权结合</w:t>
      </w:r>
      <w:r>
        <w:rPr>
          <w:szCs w:val="21"/>
        </w:rPr>
        <w:t>今后工作中</w:t>
      </w:r>
      <w:r>
        <w:rPr>
          <w:rFonts w:hint="eastAsia"/>
          <w:szCs w:val="21"/>
        </w:rPr>
        <w:t>遇到的</w:t>
      </w:r>
      <w:r>
        <w:rPr>
          <w:szCs w:val="21"/>
        </w:rPr>
        <w:t>实际情况，</w:t>
      </w:r>
      <w:r>
        <w:rPr>
          <w:rFonts w:hint="eastAsia"/>
          <w:szCs w:val="21"/>
        </w:rPr>
        <w:t>对</w:t>
      </w:r>
      <w:r>
        <w:rPr>
          <w:szCs w:val="21"/>
        </w:rPr>
        <w:t>工作内容进行适当调整。</w:t>
      </w:r>
    </w:p>
    <w:p w14:paraId="75F3107D">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（一）城区维度体检</w:t>
      </w:r>
    </w:p>
    <w:p w14:paraId="77806257">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根据《2025年深圳市城市体检工作方案》，城区维度体检围绕生态宜居、历史文化保护利用、产城融合与职住平衡、安全韧性、智慧高效设置体检指标，进行指标数据收集、分析，重点查找影响城市竞争力、承载力和可持续发展的短板弱项，并有针对性地提出解决措施。</w:t>
      </w:r>
    </w:p>
    <w:p w14:paraId="581B4CFB">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（二）街区维度体检</w:t>
      </w:r>
    </w:p>
    <w:p w14:paraId="6EACA222">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我区本年度的参检街道为桃源街道、沙河街道，按要求需对桃源街道、沙河街道开展街区维度的城市体检，围绕功能完善、整洁有序、特色活力设置体检指标，重点查找中学、文化活动中心等公共服务设施建设，以及市容市貌管理、街区改造与活力提升等方面存在的问题和短板，并结合城市更新，形成解决问题的整改项目库。</w:t>
      </w:r>
    </w:p>
    <w:p w14:paraId="77A7F57C">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（三）社区维度体检</w:t>
      </w:r>
    </w:p>
    <w:p w14:paraId="72023EF1">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对桃源街道、沙河街道的所有社区开展社区维度体检，主要围绕设施完善、环境宜居、管理健全设置体检指标，了解婴幼儿照护服务设施、幼儿园、小学、停车位、充电桩、公共活动场地等设施建设和供给，以及物业管理、智慧社区等管理情况，分析查找群众反映强烈的难点、堵点、痛点问题，结合更新单元项目立项申报、微更新等工作形成整改项目。</w:t>
      </w:r>
    </w:p>
    <w:p w14:paraId="4F2C23A8">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（四）住房维度体检</w:t>
      </w:r>
    </w:p>
    <w:p w14:paraId="6C8EC69F">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对桃源街道、沙河街道的居住建筑（本年度住房维度体检对象指参检街道内所有居住建筑，不含参检街道内的城中村。重点是1980年（含）以前建成且未进行加固的城市住宅，以及1981年至1990年之间建成的预制板砌体住宅）开展住房维度体检，主要围绕安全耐久、功能完善、绿色智能设置体检指标，重点查找住宅建筑本身的问题和公共空间部分存在的问题。涉及影响群众健康和城市安全的问题，要形成风险隐患通知书，及时进行整改。</w:t>
      </w:r>
      <w:bookmarkStart w:id="14" w:name="_GoBack"/>
      <w:bookmarkEnd w:id="14"/>
    </w:p>
    <w:p w14:paraId="77E87354">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（五）城中村维度体检</w:t>
      </w:r>
    </w:p>
    <w:p w14:paraId="38B6663A">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对《2025年深圳市城市体检工作方案》选取的我区本年度抽样城中村——龙井村，开展城中村维度体检，以消除安全隐患、改善居住环境为目标，围绕安全隐患排查、服务设施完善、空间品质提升、历史风貌、物业管理、产业经济设置体检指标，深入查找城中村在安全、基础设施和公共服务设施、社区治理、产业发展等方面存在的问题短板，提出有针对性的整治建议，统筹推进城中村整治提升。</w:t>
      </w:r>
    </w:p>
    <w:p w14:paraId="619F9E83">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（六）体检成果应用</w:t>
      </w:r>
    </w:p>
    <w:p w14:paraId="258DEC9C">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落实辖区2024年度城市体检问题的整改实施，分析体检成果应用情况（附应用佐证材料）、问题整改完成情况（附整改佐证材料）、总结典型项目案例的经验做法、实施成效等，形成2024年度城市体检成果应用专题报告。针对2025年度城市体检发现的问题，制定并印发问题整改实施方案，明确整治措施和完成时限，生成城市更新项目库。</w:t>
      </w:r>
    </w:p>
    <w:p w14:paraId="33D56B51">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（七）后续服务保障</w:t>
      </w:r>
    </w:p>
    <w:p w14:paraId="6C9BBC10">
      <w:pPr>
        <w:tabs>
          <w:tab w:val="left" w:pos="5220"/>
        </w:tabs>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针对提交的南山区城市体检各项成果，负责解答对报告中的疑问，进行书面回复，提供后续的保障服务等。</w:t>
      </w:r>
    </w:p>
    <w:p w14:paraId="7E07BC07">
      <w:pPr>
        <w:numPr>
          <w:ilvl w:val="0"/>
          <w:numId w:val="2"/>
        </w:numPr>
        <w:spacing w:before="156" w:beforeLines="50" w:line="360" w:lineRule="auto"/>
        <w:ind w:left="1168" w:hanging="748"/>
        <w:rPr>
          <w:b/>
        </w:rPr>
      </w:pPr>
      <w:r>
        <w:rPr>
          <w:rFonts w:hint="eastAsia"/>
          <w:b/>
        </w:rPr>
        <w:t>技术及人员要求</w:t>
      </w:r>
    </w:p>
    <w:p w14:paraId="6EBCABC0">
      <w:pPr>
        <w:spacing w:line="360" w:lineRule="auto"/>
        <w:ind w:firstLine="420"/>
        <w:rPr>
          <w:highlight w:val="none"/>
        </w:rPr>
      </w:pPr>
      <w:r>
        <w:rPr>
          <w:rFonts w:hint="eastAsia"/>
        </w:rPr>
        <w:t>1、主要依据：</w:t>
      </w:r>
      <w:r>
        <w:rPr>
          <w:rFonts w:hint="eastAsia"/>
          <w:highlight w:val="none"/>
        </w:rPr>
        <w:t>《202</w:t>
      </w:r>
      <w:r>
        <w:rPr>
          <w:rFonts w:hint="eastAsia"/>
          <w:highlight w:val="none"/>
          <w:lang w:val="en-US" w:eastAsia="zh-CN"/>
        </w:rPr>
        <w:t>5</w:t>
      </w:r>
      <w:r>
        <w:rPr>
          <w:rFonts w:hint="eastAsia"/>
          <w:highlight w:val="none"/>
        </w:rPr>
        <w:t>年深圳市城市体检工作方案》。</w:t>
      </w:r>
    </w:p>
    <w:p w14:paraId="340D5BEA">
      <w:pPr>
        <w:spacing w:line="360" w:lineRule="auto"/>
        <w:ind w:firstLine="480" w:firstLineChars="200"/>
        <w:rPr>
          <w:rFonts w:hint="default" w:eastAsia="宋体"/>
          <w:szCs w:val="21"/>
          <w:lang w:val="en-US" w:eastAsia="zh-CN"/>
        </w:rPr>
      </w:pPr>
      <w:r>
        <w:rPr>
          <w:rFonts w:hint="eastAsia"/>
          <w:szCs w:val="21"/>
        </w:rPr>
        <w:t>2、项目人员要求：乙方应成立专门的项目组，设置固定的项目负责人和联系人，满足甲方的工作需求。项目负责人在实施过程中不得更换，如需更换，</w:t>
      </w:r>
      <w:r>
        <w:rPr>
          <w:rFonts w:hint="eastAsia"/>
          <w:szCs w:val="21"/>
          <w:lang w:val="en-US" w:eastAsia="zh-CN"/>
        </w:rPr>
        <w:t>应将更换人员的相关资料提供给甲方，</w:t>
      </w:r>
      <w:r>
        <w:rPr>
          <w:rFonts w:hint="eastAsia"/>
          <w:szCs w:val="21"/>
        </w:rPr>
        <w:t>得到甲方的同意。</w:t>
      </w:r>
      <w:r>
        <w:rPr>
          <w:rFonts w:hint="eastAsia"/>
          <w:szCs w:val="21"/>
          <w:lang w:val="en-US" w:eastAsia="zh-CN"/>
        </w:rPr>
        <w:t>且更换人员的资质不得低于被更换人员的资质。</w:t>
      </w:r>
    </w:p>
    <w:p w14:paraId="7BDFFECC">
      <w:pPr>
        <w:numPr>
          <w:ilvl w:val="0"/>
          <w:numId w:val="2"/>
        </w:numPr>
        <w:spacing w:before="156" w:beforeLines="50" w:line="360" w:lineRule="auto"/>
        <w:ind w:left="1168" w:hanging="748"/>
        <w:rPr>
          <w:b/>
        </w:rPr>
      </w:pPr>
      <w:r>
        <w:rPr>
          <w:rFonts w:hint="eastAsia"/>
          <w:b/>
        </w:rPr>
        <w:t>服务</w:t>
      </w:r>
      <w:r>
        <w:rPr>
          <w:b/>
        </w:rPr>
        <w:t>周期</w:t>
      </w:r>
    </w:p>
    <w:p w14:paraId="024D6295">
      <w:pPr>
        <w:adjustRightInd w:val="0"/>
        <w:snapToGrid w:val="0"/>
        <w:spacing w:before="156" w:beforeLines="50" w:line="360" w:lineRule="auto"/>
        <w:ind w:firstLine="480" w:firstLineChars="200"/>
        <w:rPr>
          <w:szCs w:val="21"/>
        </w:rPr>
      </w:pPr>
      <w:r>
        <w:rPr>
          <w:rFonts w:hint="eastAsia"/>
          <w:bCs/>
          <w:iCs/>
        </w:rPr>
        <w:t>本合同履行期限为自合同签订之日起，至完成合同约定的工作内容之日止，预期履行时间为一年</w:t>
      </w:r>
      <w:r>
        <w:rPr>
          <w:bCs/>
          <w:iCs/>
        </w:rPr>
        <w:t>。</w:t>
      </w:r>
      <w:r>
        <w:rPr>
          <w:rFonts w:hint="eastAsia"/>
          <w:bCs/>
          <w:iCs/>
        </w:rPr>
        <w:t>自合同生效之</w:t>
      </w:r>
      <w:r>
        <w:rPr>
          <w:rFonts w:hint="eastAsia"/>
          <w:bCs/>
          <w:iCs/>
          <w:highlight w:val="none"/>
        </w:rPr>
        <w:t>日起五个月内乙方需提交验收合格的成果报告，后续七个月为服务保障期，此</w:t>
      </w:r>
      <w:r>
        <w:rPr>
          <w:rFonts w:hint="eastAsia"/>
          <w:highlight w:val="none"/>
        </w:rPr>
        <w:t>期间需</w:t>
      </w:r>
      <w:r>
        <w:rPr>
          <w:rFonts w:hint="eastAsia"/>
        </w:rPr>
        <w:t>安排专人提供相关咨询、协调、项目审查和报告更新等技术支持</w:t>
      </w:r>
      <w:r>
        <w:rPr>
          <w:rFonts w:hint="eastAsia"/>
          <w:szCs w:val="21"/>
        </w:rPr>
        <w:t xml:space="preserve">。 </w:t>
      </w:r>
    </w:p>
    <w:p w14:paraId="44821376">
      <w:pPr>
        <w:pStyle w:val="17"/>
        <w:ind w:firstLine="480" w:firstLineChars="200"/>
        <w:rPr>
          <w:b w:val="0"/>
          <w:bCs w:val="0"/>
        </w:rPr>
      </w:pPr>
      <w:r>
        <w:rPr>
          <w:rFonts w:hint="eastAsia"/>
          <w:b w:val="0"/>
          <w:bCs w:val="0"/>
        </w:rPr>
        <w:t>在合同履行过程中，在必要情况下，经双方协商一致，可对工作进度和阶段</w:t>
      </w:r>
      <w:r>
        <w:rPr>
          <w:b w:val="0"/>
          <w:bCs w:val="0"/>
        </w:rPr>
        <w:t xml:space="preserve"> </w:t>
      </w:r>
      <w:r>
        <w:rPr>
          <w:rFonts w:hint="eastAsia"/>
          <w:b w:val="0"/>
          <w:bCs w:val="0"/>
        </w:rPr>
        <w:t>成果要求进行调整，并将最终成果提交日期顺延。</w:t>
      </w:r>
    </w:p>
    <w:p w14:paraId="3066C8A6">
      <w:pPr>
        <w:numPr>
          <w:ilvl w:val="0"/>
          <w:numId w:val="2"/>
        </w:numPr>
        <w:spacing w:before="156" w:beforeLines="50" w:line="360" w:lineRule="auto"/>
        <w:ind w:left="1168" w:hanging="748"/>
        <w:rPr>
          <w:b/>
        </w:rPr>
      </w:pPr>
      <w:r>
        <w:rPr>
          <w:rFonts w:hint="eastAsia"/>
          <w:b/>
        </w:rPr>
        <w:t>合同价款</w:t>
      </w:r>
    </w:p>
    <w:p w14:paraId="24F70CC6">
      <w:pPr>
        <w:pStyle w:val="39"/>
        <w:ind w:firstLine="480"/>
        <w:rPr>
          <w:rFonts w:hint="eastAsia" w:eastAsia="宋体" w:cs="Times New Roman"/>
          <w:iCs w:val="0"/>
          <w:color w:val="FF0000"/>
          <w:sz w:val="21"/>
          <w:szCs w:val="21"/>
          <w:lang w:val="en-US" w:eastAsia="zh-CN"/>
        </w:rPr>
      </w:pPr>
      <w:r>
        <w:rPr>
          <w:rFonts w:hint="eastAsia"/>
          <w:szCs w:val="24"/>
        </w:rPr>
        <w:t>结合合同实际情况，本合同为总价包干合同，</w:t>
      </w:r>
      <w:r>
        <w:rPr>
          <w:rFonts w:hint="eastAsia"/>
          <w:szCs w:val="24"/>
          <w:lang w:eastAsia="zh-Hans"/>
        </w:rPr>
        <w:t>咨询服务费</w:t>
      </w:r>
      <w:r>
        <w:rPr>
          <w:rFonts w:hint="eastAsia"/>
          <w:szCs w:val="24"/>
        </w:rPr>
        <w:t>为人民币(含税）（大写）</w:t>
      </w:r>
      <w:r>
        <w:rPr>
          <w:szCs w:val="24"/>
          <w:u w:val="single"/>
        </w:rPr>
        <w:t xml:space="preserve">      </w:t>
      </w:r>
      <w:r>
        <w:rPr>
          <w:rFonts w:hint="eastAsia"/>
          <w:szCs w:val="24"/>
        </w:rPr>
        <w:t>，小写¥</w:t>
      </w:r>
      <w:r>
        <w:rPr>
          <w:szCs w:val="24"/>
          <w:u w:val="single"/>
        </w:rPr>
        <w:t xml:space="preserve">      </w:t>
      </w:r>
      <w:r>
        <w:rPr>
          <w:rFonts w:hint="eastAsia"/>
          <w:szCs w:val="24"/>
        </w:rPr>
        <w:t>元。该</w:t>
      </w:r>
      <w:r>
        <w:rPr>
          <w:rFonts w:hint="eastAsia"/>
          <w:szCs w:val="24"/>
          <w:lang w:eastAsia="zh-Hans"/>
        </w:rPr>
        <w:t>服务费用</w:t>
      </w:r>
      <w:r>
        <w:rPr>
          <w:rFonts w:hint="eastAsia"/>
          <w:szCs w:val="24"/>
        </w:rPr>
        <w:t>包括完成本合同所有工作量和后续服务的全部费用。</w:t>
      </w:r>
    </w:p>
    <w:p w14:paraId="6B40EDDC">
      <w:pPr>
        <w:numPr>
          <w:ilvl w:val="0"/>
          <w:numId w:val="2"/>
        </w:numPr>
        <w:spacing w:before="156" w:beforeLines="50" w:line="360" w:lineRule="auto"/>
        <w:ind w:left="1168" w:hanging="748"/>
        <w:rPr>
          <w:b/>
        </w:rPr>
      </w:pPr>
      <w:r>
        <w:rPr>
          <w:rFonts w:hint="eastAsia"/>
          <w:b/>
        </w:rPr>
        <w:t>付款方式</w:t>
      </w:r>
    </w:p>
    <w:p w14:paraId="4CB33F71">
      <w:pPr>
        <w:spacing w:line="360" w:lineRule="auto"/>
        <w:ind w:firstLine="420"/>
      </w:pPr>
      <w:r>
        <w:rPr>
          <w:rFonts w:hint="eastAsia"/>
        </w:rPr>
        <w:t>经双方协商，分</w:t>
      </w:r>
      <w:r>
        <w:rPr>
          <w:rFonts w:hint="eastAsia"/>
          <w:u w:val="single"/>
        </w:rPr>
        <w:t>三期</w:t>
      </w:r>
      <w:r>
        <w:rPr>
          <w:rFonts w:hint="eastAsia"/>
        </w:rPr>
        <w:t>付款：</w:t>
      </w:r>
    </w:p>
    <w:p w14:paraId="319441BB">
      <w:pPr>
        <w:spacing w:line="360" w:lineRule="auto"/>
        <w:ind w:firstLine="480" w:firstLineChars="200"/>
        <w:rPr>
          <w:szCs w:val="21"/>
        </w:rPr>
      </w:pPr>
      <w:r>
        <w:rPr>
          <w:rFonts w:hint="eastAsia"/>
          <w:szCs w:val="21"/>
        </w:rPr>
        <w:t>第一期</w:t>
      </w:r>
      <w:r>
        <w:rPr>
          <w:szCs w:val="21"/>
        </w:rPr>
        <w:t>：</w:t>
      </w:r>
      <w:r>
        <w:rPr>
          <w:rFonts w:hint="eastAsia"/>
          <w:szCs w:val="21"/>
        </w:rPr>
        <w:t>本合同签订之日起</w:t>
      </w:r>
      <w:r>
        <w:rPr>
          <w:rFonts w:hint="eastAsia"/>
          <w:bCs/>
          <w:szCs w:val="21"/>
          <w:u w:val="none"/>
          <w:lang w:val="en-US" w:eastAsia="zh-CN"/>
        </w:rPr>
        <w:t>10个工作</w:t>
      </w:r>
      <w:r>
        <w:rPr>
          <w:rFonts w:hint="eastAsia"/>
          <w:szCs w:val="21"/>
        </w:rPr>
        <w:t>日内，且收到乙方开具的符合财务要求的发票后，甲方向乙方支付服务费用人民币</w:t>
      </w:r>
      <w:r>
        <w:rPr>
          <w:u w:val="single"/>
        </w:rPr>
        <w:t xml:space="preserve">      </w:t>
      </w:r>
      <w:r>
        <w:rPr>
          <w:rFonts w:hint="eastAsia"/>
          <w:szCs w:val="21"/>
        </w:rPr>
        <w:t>元整，大写</w:t>
      </w:r>
      <w:r>
        <w:rPr>
          <w:u w:val="single"/>
        </w:rPr>
        <w:t xml:space="preserve">      </w:t>
      </w:r>
      <w:r>
        <w:rPr>
          <w:rFonts w:hint="eastAsia"/>
          <w:szCs w:val="21"/>
        </w:rPr>
        <w:t>元整（占总费用的</w:t>
      </w:r>
      <w:r>
        <w:rPr>
          <w:rFonts w:hint="eastAsia"/>
          <w:szCs w:val="21"/>
          <w:lang w:val="en-US" w:eastAsia="zh-CN"/>
        </w:rPr>
        <w:t>3</w:t>
      </w:r>
      <w:r>
        <w:rPr>
          <w:szCs w:val="21"/>
        </w:rPr>
        <w:t>0%）</w:t>
      </w:r>
      <w:r>
        <w:rPr>
          <w:rFonts w:hint="eastAsia"/>
          <w:bCs/>
          <w:szCs w:val="21"/>
        </w:rPr>
        <w:t>；</w:t>
      </w:r>
    </w:p>
    <w:p w14:paraId="30DE791D">
      <w:pPr>
        <w:spacing w:line="360" w:lineRule="auto"/>
        <w:ind w:firstLine="480" w:firstLineChars="200"/>
        <w:rPr>
          <w:szCs w:val="21"/>
        </w:rPr>
      </w:pPr>
      <w:r>
        <w:rPr>
          <w:rFonts w:hint="eastAsia"/>
          <w:szCs w:val="21"/>
        </w:rPr>
        <w:t>第二期：乙方提供验收合格的成果报告及成果文件、深圳市南山区城市建设智能管理平台工作成果台账记录等电子资料，经甲方复核合格后</w:t>
      </w:r>
      <w:r>
        <w:rPr>
          <w:rFonts w:hint="eastAsia"/>
          <w:szCs w:val="21"/>
          <w:lang w:val="en-US" w:eastAsia="zh-CN"/>
        </w:rPr>
        <w:t>10</w:t>
      </w:r>
      <w:r>
        <w:rPr>
          <w:szCs w:val="21"/>
        </w:rPr>
        <w:t>个工作日内，甲方支付乙方人民币</w:t>
      </w:r>
      <w:r>
        <w:rPr>
          <w:u w:val="single"/>
        </w:rPr>
        <w:t xml:space="preserve">      </w:t>
      </w:r>
      <w:r>
        <w:rPr>
          <w:rFonts w:hint="eastAsia"/>
          <w:szCs w:val="21"/>
        </w:rPr>
        <w:t>元整，大写</w:t>
      </w:r>
      <w:r>
        <w:rPr>
          <w:u w:val="single"/>
        </w:rPr>
        <w:t xml:space="preserve">      </w:t>
      </w:r>
      <w:r>
        <w:rPr>
          <w:rFonts w:hint="eastAsia"/>
          <w:szCs w:val="21"/>
        </w:rPr>
        <w:t>元整（占总费用的</w:t>
      </w:r>
      <w:r>
        <w:rPr>
          <w:szCs w:val="21"/>
        </w:rPr>
        <w:t>2</w:t>
      </w:r>
      <w:r>
        <w:rPr>
          <w:rFonts w:hint="default"/>
          <w:szCs w:val="21"/>
          <w:lang w:val="en-US" w:eastAsia="zh-CN"/>
        </w:rPr>
        <w:t>0</w:t>
      </w:r>
      <w:r>
        <w:rPr>
          <w:rFonts w:hint="eastAsia"/>
          <w:szCs w:val="21"/>
        </w:rPr>
        <w:t>%）；</w:t>
      </w:r>
    </w:p>
    <w:p w14:paraId="401CB8CE">
      <w:pPr>
        <w:spacing w:line="360" w:lineRule="auto"/>
        <w:ind w:firstLine="480" w:firstLineChars="200"/>
        <w:rPr>
          <w:szCs w:val="21"/>
        </w:rPr>
      </w:pPr>
      <w:r>
        <w:rPr>
          <w:rFonts w:hint="eastAsia"/>
          <w:szCs w:val="21"/>
        </w:rPr>
        <w:t>第三期：服务期到期后</w:t>
      </w:r>
      <w:r>
        <w:rPr>
          <w:rFonts w:hint="eastAsia"/>
          <w:szCs w:val="21"/>
          <w:lang w:val="en-US" w:eastAsia="zh-CN"/>
        </w:rPr>
        <w:t>10个工作</w:t>
      </w:r>
      <w:r>
        <w:rPr>
          <w:rFonts w:hint="eastAsia"/>
          <w:szCs w:val="21"/>
        </w:rPr>
        <w:t>日内，乙方完成本项目全部服务，由甲方进行验收并进行履约评价，履约评价表（报告）中要完整体现约定的服务内容绩效完成情况。验收通过且履约评价合格的，甲方在</w:t>
      </w:r>
      <w:r>
        <w:rPr>
          <w:rFonts w:hint="eastAsia"/>
          <w:szCs w:val="21"/>
          <w:lang w:val="en-US" w:eastAsia="zh-CN"/>
        </w:rPr>
        <w:t>10个工作日</w:t>
      </w:r>
      <w:r>
        <w:rPr>
          <w:szCs w:val="21"/>
        </w:rPr>
        <w:t>日内向乙方支付服务费用人民币</w:t>
      </w:r>
      <w:r>
        <w:rPr>
          <w:u w:val="single"/>
        </w:rPr>
        <w:t xml:space="preserve">      </w:t>
      </w:r>
      <w:r>
        <w:rPr>
          <w:rFonts w:hint="eastAsia"/>
          <w:szCs w:val="21"/>
        </w:rPr>
        <w:t>元整，大写</w:t>
      </w:r>
      <w:r>
        <w:rPr>
          <w:u w:val="single"/>
        </w:rPr>
        <w:t xml:space="preserve">      </w:t>
      </w:r>
      <w:r>
        <w:rPr>
          <w:rFonts w:hint="eastAsia"/>
          <w:szCs w:val="21"/>
        </w:rPr>
        <w:t>元整（占总费用的</w:t>
      </w:r>
      <w:r>
        <w:rPr>
          <w:rFonts w:hint="default"/>
          <w:szCs w:val="21"/>
          <w:lang w:val="en-US" w:eastAsia="zh-CN"/>
        </w:rPr>
        <w:t>50</w:t>
      </w:r>
      <w:r>
        <w:rPr>
          <w:rFonts w:hint="eastAsia"/>
          <w:szCs w:val="21"/>
        </w:rPr>
        <w:t>%）。</w:t>
      </w:r>
    </w:p>
    <w:p w14:paraId="4838B4F0">
      <w:pPr>
        <w:spacing w:line="360" w:lineRule="auto"/>
        <w:ind w:firstLine="480" w:firstLineChars="200"/>
        <w:rPr>
          <w:b/>
          <w:szCs w:val="21"/>
        </w:rPr>
      </w:pPr>
      <w:r>
        <w:rPr>
          <w:rFonts w:hint="eastAsia"/>
          <w:szCs w:val="21"/>
        </w:rPr>
        <w:t>备注：以上金额是乙方正常履约情况下的支付金额，若履行过程中乙方出现本合同所述违约情形的，当期应付费用须扣除相应违约金后再行支付。</w:t>
      </w:r>
    </w:p>
    <w:p w14:paraId="25037F74">
      <w:pPr>
        <w:spacing w:line="360" w:lineRule="auto"/>
        <w:ind w:firstLine="480" w:firstLineChars="200"/>
        <w:rPr>
          <w:rFonts w:cs="微软雅黑"/>
          <w:szCs w:val="21"/>
        </w:rPr>
      </w:pPr>
      <w:r>
        <w:rPr>
          <w:rFonts w:hint="eastAsia" w:cs="微软雅黑"/>
          <w:szCs w:val="21"/>
        </w:rPr>
        <w:t>除双方重新达成协议外，本合同履行过程中的价款支付均通过本合同中指定的乙方银行账户进行，乙方向甲方申请付款前，需提供等额增值税发票，否则甲方有权拒付款项。</w:t>
      </w:r>
    </w:p>
    <w:p w14:paraId="401E6011">
      <w:pPr>
        <w:spacing w:line="360" w:lineRule="auto"/>
        <w:ind w:firstLine="480" w:firstLineChars="200"/>
        <w:rPr>
          <w:rFonts w:cs="微软雅黑"/>
          <w:szCs w:val="21"/>
        </w:rPr>
      </w:pPr>
      <w:r>
        <w:rPr>
          <w:rFonts w:hint="eastAsia" w:cs="微软雅黑"/>
          <w:szCs w:val="21"/>
        </w:rPr>
        <w:t>乙方指定的收款银行账户信息如下：</w:t>
      </w:r>
    </w:p>
    <w:p w14:paraId="759EDD8A">
      <w:pPr>
        <w:spacing w:line="360" w:lineRule="auto"/>
        <w:ind w:firstLine="480" w:firstLineChars="200"/>
        <w:rPr>
          <w:rFonts w:cs="微软雅黑"/>
          <w:szCs w:val="21"/>
          <w:u w:val="single"/>
        </w:rPr>
      </w:pPr>
      <w:r>
        <w:rPr>
          <w:rFonts w:hint="eastAsia" w:cs="微软雅黑"/>
          <w:szCs w:val="21"/>
        </w:rPr>
        <w:t>开户银行：</w:t>
      </w:r>
      <w:r>
        <w:rPr>
          <w:rFonts w:hint="eastAsia" w:cs="微软雅黑"/>
          <w:szCs w:val="21"/>
          <w:u w:val="single"/>
        </w:rPr>
        <w:t xml:space="preserve"> </w:t>
      </w:r>
      <w:r>
        <w:rPr>
          <w:rFonts w:cs="微软雅黑"/>
          <w:szCs w:val="21"/>
          <w:u w:val="single"/>
        </w:rPr>
        <w:t xml:space="preserve">   </w:t>
      </w:r>
      <w:r>
        <w:rPr>
          <w:rFonts w:hint="eastAsia" w:cs="微软雅黑"/>
          <w:szCs w:val="21"/>
          <w:u w:val="single"/>
        </w:rPr>
        <w:t xml:space="preserve"> </w:t>
      </w:r>
      <w:r>
        <w:rPr>
          <w:rFonts w:cs="微软雅黑"/>
          <w:szCs w:val="21"/>
          <w:u w:val="single"/>
        </w:rPr>
        <w:t xml:space="preserve">                                      </w:t>
      </w:r>
    </w:p>
    <w:p w14:paraId="6EB5C802">
      <w:pPr>
        <w:spacing w:line="360" w:lineRule="auto"/>
        <w:ind w:firstLine="480" w:firstLineChars="200"/>
        <w:rPr>
          <w:rFonts w:cs="微软雅黑"/>
          <w:szCs w:val="21"/>
          <w:u w:val="single"/>
        </w:rPr>
      </w:pPr>
      <w:r>
        <w:rPr>
          <w:rFonts w:hint="eastAsia" w:cs="微软雅黑"/>
          <w:szCs w:val="21"/>
        </w:rPr>
        <w:t>户名：</w:t>
      </w:r>
      <w:r>
        <w:rPr>
          <w:rFonts w:cs="微软雅黑"/>
          <w:szCs w:val="21"/>
          <w:u w:val="single"/>
        </w:rPr>
        <w:t xml:space="preserve">  </w:t>
      </w:r>
      <w:r>
        <w:rPr>
          <w:rFonts w:hint="eastAsia" w:cs="微软雅黑"/>
          <w:szCs w:val="21"/>
          <w:u w:val="single"/>
        </w:rPr>
        <w:t xml:space="preserve"> </w:t>
      </w:r>
      <w:r>
        <w:rPr>
          <w:rFonts w:cs="微软雅黑"/>
          <w:szCs w:val="21"/>
          <w:u w:val="single"/>
        </w:rPr>
        <w:t xml:space="preserve">                                            </w:t>
      </w:r>
    </w:p>
    <w:p w14:paraId="23FDDB33">
      <w:pPr>
        <w:spacing w:line="360" w:lineRule="auto"/>
        <w:ind w:firstLine="480" w:firstLineChars="200"/>
        <w:rPr>
          <w:rFonts w:cs="微软雅黑"/>
          <w:szCs w:val="21"/>
          <w:u w:val="single"/>
        </w:rPr>
      </w:pPr>
      <w:r>
        <w:rPr>
          <w:rFonts w:hint="eastAsia" w:cs="微软雅黑"/>
          <w:szCs w:val="21"/>
        </w:rPr>
        <w:t>银行账户：</w:t>
      </w:r>
      <w:r>
        <w:rPr>
          <w:rFonts w:cs="微软雅黑"/>
          <w:szCs w:val="21"/>
          <w:u w:val="single"/>
        </w:rPr>
        <w:t xml:space="preserve">                                           </w:t>
      </w:r>
    </w:p>
    <w:p w14:paraId="2FA60703">
      <w:pPr>
        <w:numPr>
          <w:ilvl w:val="0"/>
          <w:numId w:val="2"/>
        </w:numPr>
        <w:spacing w:before="156" w:beforeLines="50" w:line="360" w:lineRule="auto"/>
        <w:ind w:left="1168" w:hanging="748"/>
        <w:rPr>
          <w:b/>
        </w:rPr>
      </w:pPr>
      <w:r>
        <w:rPr>
          <w:rFonts w:hint="eastAsia"/>
          <w:b/>
        </w:rPr>
        <w:t>保密条款</w:t>
      </w:r>
    </w:p>
    <w:p w14:paraId="7D4AFF0F">
      <w:pPr>
        <w:spacing w:line="360" w:lineRule="auto"/>
        <w:ind w:firstLine="480" w:firstLineChars="200"/>
        <w:rPr>
          <w:szCs w:val="21"/>
        </w:rPr>
      </w:pPr>
      <w:r>
        <w:rPr>
          <w:rFonts w:hint="eastAsia"/>
          <w:szCs w:val="21"/>
        </w:rPr>
        <w:t>1、任何一方在本合同履行的过程中，或为履行本合同的需要，对本合同和相关附件的所有信息内容及首次从对方所获得的、有关对方或属于对方的内部或秘密信息、未经对方同意，不得泄露给任何乙方。</w:t>
      </w:r>
    </w:p>
    <w:p w14:paraId="0EC2F1CB">
      <w:pPr>
        <w:spacing w:line="360" w:lineRule="auto"/>
        <w:ind w:firstLine="480" w:firstLineChars="200"/>
        <w:rPr>
          <w:szCs w:val="21"/>
        </w:rPr>
      </w:pPr>
      <w:r>
        <w:rPr>
          <w:rFonts w:hint="eastAsia"/>
          <w:szCs w:val="21"/>
        </w:rPr>
        <w:t>2、获取对方内部或秘密信息的一方，应当采取适当有效的方式保护所获取的信息；除非有对方的书面许可，或该信息已被对方认为不再是内部或秘密信息，或已在社会上公开，该所获取的信息不得对外透露。</w:t>
      </w:r>
    </w:p>
    <w:p w14:paraId="61A321EE">
      <w:pPr>
        <w:spacing w:line="360" w:lineRule="auto"/>
        <w:ind w:firstLine="480" w:firstLineChars="200"/>
        <w:rPr>
          <w:szCs w:val="21"/>
        </w:rPr>
      </w:pPr>
      <w:r>
        <w:rPr>
          <w:rFonts w:hint="eastAsia"/>
          <w:szCs w:val="21"/>
        </w:rPr>
        <w:t>3、乙方对服务的项目名称、服务内容及因而产生的所有资料和台账，不得泄露给任何乙方。</w:t>
      </w:r>
    </w:p>
    <w:p w14:paraId="2E232EBA">
      <w:pPr>
        <w:spacing w:line="360" w:lineRule="auto"/>
        <w:ind w:firstLine="480" w:firstLineChars="200"/>
        <w:rPr>
          <w:szCs w:val="21"/>
        </w:rPr>
      </w:pPr>
      <w:r>
        <w:rPr>
          <w:rFonts w:hint="eastAsia"/>
          <w:szCs w:val="21"/>
        </w:rPr>
        <w:t>4、若因乙方原因导致甲方的信息数据或资料被非法窃取或利用，乙方必须承担由此造成的一切损失，且每发生一次，乙方应按咨询服务费的10%向甲方支付违约金。如事故总数超过3次，甲方有权解除合同，除前款所约定的违约金外，乙方须再支付咨询服务费的30%作为对甲方的赔偿。</w:t>
      </w:r>
    </w:p>
    <w:p w14:paraId="2B18522F">
      <w:pPr>
        <w:spacing w:line="360" w:lineRule="auto"/>
        <w:ind w:firstLine="480" w:firstLineChars="200"/>
        <w:rPr>
          <w:szCs w:val="21"/>
        </w:rPr>
      </w:pPr>
      <w:r>
        <w:rPr>
          <w:rFonts w:hint="eastAsia"/>
          <w:szCs w:val="21"/>
        </w:rPr>
        <w:t>5、本协议中涉及的秘密信息保密期限为永久。</w:t>
      </w:r>
    </w:p>
    <w:p w14:paraId="1F914AE1">
      <w:pPr>
        <w:spacing w:line="360" w:lineRule="auto"/>
        <w:ind w:firstLine="482" w:firstLineChars="200"/>
        <w:rPr>
          <w:b/>
          <w:bCs/>
          <w:szCs w:val="21"/>
        </w:rPr>
      </w:pPr>
      <w:r>
        <w:rPr>
          <w:rFonts w:hint="eastAsia"/>
          <w:b/>
          <w:bCs/>
          <w:szCs w:val="21"/>
        </w:rPr>
        <w:t xml:space="preserve">第八条 </w:t>
      </w:r>
      <w:r>
        <w:rPr>
          <w:b/>
          <w:bCs/>
          <w:szCs w:val="21"/>
        </w:rPr>
        <w:t xml:space="preserve"> </w:t>
      </w:r>
      <w:r>
        <w:rPr>
          <w:rFonts w:hint="eastAsia"/>
          <w:b/>
          <w:bCs/>
          <w:szCs w:val="21"/>
        </w:rPr>
        <w:t>权利义务</w:t>
      </w:r>
    </w:p>
    <w:p w14:paraId="7CB4CE06">
      <w:pPr>
        <w:spacing w:line="360" w:lineRule="auto"/>
        <w:ind w:firstLine="480" w:firstLineChars="200"/>
        <w:rPr>
          <w:szCs w:val="21"/>
        </w:rPr>
      </w:pPr>
      <w:r>
        <w:rPr>
          <w:rFonts w:hint="eastAsia"/>
          <w:szCs w:val="21"/>
        </w:rPr>
        <w:t>1、甲方权利</w:t>
      </w:r>
    </w:p>
    <w:p w14:paraId="09A4AF6B">
      <w:pPr>
        <w:spacing w:line="360" w:lineRule="auto"/>
        <w:ind w:firstLine="480" w:firstLineChars="200"/>
        <w:rPr>
          <w:szCs w:val="21"/>
        </w:rPr>
      </w:pPr>
      <w:r>
        <w:rPr>
          <w:szCs w:val="21"/>
        </w:rPr>
        <w:t>甲方有权根据本合同及甲方制定的各项</w:t>
      </w:r>
      <w:r>
        <w:rPr>
          <w:rFonts w:hint="eastAsia"/>
          <w:szCs w:val="21"/>
        </w:rPr>
        <w:t>规章</w:t>
      </w:r>
      <w:r>
        <w:rPr>
          <w:szCs w:val="21"/>
        </w:rPr>
        <w:t>制度、操作流程和技术规范的内容，监督乙方对合同的履行情况及工作质量实施情况,并以此对乙方所提供的服务进行</w:t>
      </w:r>
      <w:r>
        <w:rPr>
          <w:rFonts w:hint="eastAsia"/>
          <w:szCs w:val="21"/>
        </w:rPr>
        <w:t>履约评价</w:t>
      </w:r>
      <w:r>
        <w:rPr>
          <w:szCs w:val="21"/>
        </w:rPr>
        <w:t>。</w:t>
      </w:r>
    </w:p>
    <w:p w14:paraId="24559ED7">
      <w:pPr>
        <w:spacing w:line="360" w:lineRule="auto"/>
        <w:ind w:firstLine="480" w:firstLineChars="200"/>
        <w:rPr>
          <w:szCs w:val="21"/>
        </w:rPr>
      </w:pPr>
      <w:r>
        <w:rPr>
          <w:szCs w:val="21"/>
        </w:rPr>
        <w:t>甲方有权监督乙方项目</w:t>
      </w:r>
      <w:r>
        <w:rPr>
          <w:rFonts w:hint="eastAsia"/>
          <w:szCs w:val="21"/>
        </w:rPr>
        <w:t>服务</w:t>
      </w:r>
      <w:r>
        <w:rPr>
          <w:szCs w:val="21"/>
        </w:rPr>
        <w:t>人员工作质量和效率,</w:t>
      </w:r>
      <w:r>
        <w:rPr>
          <w:rFonts w:hint="eastAsia"/>
          <w:szCs w:val="21"/>
        </w:rPr>
        <w:t>并根据</w:t>
      </w:r>
      <w:r>
        <w:rPr>
          <w:szCs w:val="21"/>
        </w:rPr>
        <w:t>实际工作情况，要求乙方及时更换不合格的</w:t>
      </w:r>
      <w:r>
        <w:rPr>
          <w:rFonts w:hint="eastAsia"/>
          <w:szCs w:val="21"/>
        </w:rPr>
        <w:t>服务</w:t>
      </w:r>
      <w:r>
        <w:rPr>
          <w:szCs w:val="21"/>
        </w:rPr>
        <w:t>人员。</w:t>
      </w:r>
    </w:p>
    <w:p w14:paraId="6CF95EE3">
      <w:pPr>
        <w:spacing w:line="360" w:lineRule="auto"/>
        <w:ind w:firstLine="480" w:firstLineChars="200"/>
        <w:rPr>
          <w:szCs w:val="21"/>
        </w:rPr>
      </w:pPr>
      <w:r>
        <w:rPr>
          <w:rFonts w:hint="eastAsia"/>
          <w:szCs w:val="21"/>
        </w:rPr>
        <w:t>因政府财政预算和上级部门要求等第三方导致的原因，甲方在征得</w:t>
      </w:r>
      <w:r>
        <w:rPr>
          <w:szCs w:val="21"/>
        </w:rPr>
        <w:t>乙方</w:t>
      </w:r>
      <w:r>
        <w:rPr>
          <w:rFonts w:hint="eastAsia"/>
          <w:szCs w:val="21"/>
        </w:rPr>
        <w:t>书面同意的前提下，可根据实际工作要求调整合同工作内容、服务时间和服务小组人员及数量，并相应的调整合同价和付款方式或者取消合同。</w:t>
      </w:r>
    </w:p>
    <w:p w14:paraId="2FD652E0">
      <w:pPr>
        <w:spacing w:line="360" w:lineRule="auto"/>
        <w:ind w:firstLine="480" w:firstLineChars="200"/>
        <w:rPr>
          <w:szCs w:val="21"/>
        </w:rPr>
      </w:pPr>
      <w:r>
        <w:rPr>
          <w:rFonts w:hint="eastAsia"/>
          <w:szCs w:val="21"/>
        </w:rPr>
        <w:t>2、甲方义务</w:t>
      </w:r>
    </w:p>
    <w:p w14:paraId="0BB37418">
      <w:pPr>
        <w:spacing w:line="360" w:lineRule="auto"/>
        <w:ind w:firstLine="480" w:firstLineChars="200"/>
        <w:rPr>
          <w:szCs w:val="21"/>
        </w:rPr>
      </w:pPr>
      <w:r>
        <w:rPr>
          <w:szCs w:val="21"/>
        </w:rPr>
        <w:t>甲方负责协调相关单位</w:t>
      </w:r>
      <w:r>
        <w:rPr>
          <w:rFonts w:hint="eastAsia"/>
          <w:szCs w:val="21"/>
        </w:rPr>
        <w:t>给予便利支持和配合</w:t>
      </w:r>
      <w:r>
        <w:rPr>
          <w:szCs w:val="21"/>
        </w:rPr>
        <w:t>，并统筹安排工作进度。</w:t>
      </w:r>
    </w:p>
    <w:p w14:paraId="1A882332">
      <w:pPr>
        <w:spacing w:line="360" w:lineRule="auto"/>
        <w:ind w:firstLine="480" w:firstLineChars="200"/>
        <w:rPr>
          <w:szCs w:val="21"/>
        </w:rPr>
      </w:pPr>
      <w:r>
        <w:rPr>
          <w:szCs w:val="21"/>
        </w:rPr>
        <w:t>甲方应当按照本合同约定按时向乙方支付服务费用。</w:t>
      </w:r>
    </w:p>
    <w:p w14:paraId="58027FED">
      <w:pPr>
        <w:spacing w:line="360" w:lineRule="auto"/>
        <w:ind w:firstLine="480" w:firstLineChars="200"/>
        <w:rPr>
          <w:szCs w:val="21"/>
        </w:rPr>
      </w:pPr>
      <w:r>
        <w:rPr>
          <w:rFonts w:hint="eastAsia"/>
          <w:szCs w:val="21"/>
        </w:rPr>
        <w:t>甲方指定</w:t>
      </w:r>
      <w:r>
        <w:rPr>
          <w:rFonts w:hint="eastAsia"/>
          <w:szCs w:val="21"/>
          <w:lang w:eastAsia="zh-CN"/>
        </w:rPr>
        <w:t>周继业</w:t>
      </w:r>
      <w:r>
        <w:rPr>
          <w:rFonts w:hint="eastAsia"/>
          <w:szCs w:val="21"/>
        </w:rPr>
        <w:t>全权代表甲方作为本项目联系人，与乙方专项对接人建立协作关系，负责转达甲方的指示和要求，并根据乙方要求及时提供文件和资料等。因甲方不能及时提供材料而导致进度拖延，乙方不承担任何责任。甲方更换联系人应当及时通知乙方。</w:t>
      </w:r>
    </w:p>
    <w:p w14:paraId="3F8614CF">
      <w:pPr>
        <w:spacing w:line="360" w:lineRule="auto"/>
        <w:ind w:firstLine="420"/>
        <w:rPr>
          <w:szCs w:val="21"/>
        </w:rPr>
      </w:pPr>
      <w:r>
        <w:rPr>
          <w:rFonts w:hint="eastAsia"/>
          <w:szCs w:val="21"/>
        </w:rPr>
        <w:t>3、乙方权利</w:t>
      </w:r>
    </w:p>
    <w:p w14:paraId="3454CD79">
      <w:pPr>
        <w:spacing w:line="360" w:lineRule="auto"/>
        <w:ind w:firstLine="420"/>
        <w:rPr>
          <w:szCs w:val="21"/>
        </w:rPr>
      </w:pPr>
      <w:r>
        <w:rPr>
          <w:rFonts w:hint="eastAsia"/>
          <w:szCs w:val="21"/>
        </w:rPr>
        <w:t>乙方有权按照本合同约定要求甲方按时足额支付项目服务费用。</w:t>
      </w:r>
    </w:p>
    <w:p w14:paraId="0DC729DA">
      <w:pPr>
        <w:spacing w:line="360" w:lineRule="auto"/>
        <w:ind w:firstLine="420"/>
        <w:rPr>
          <w:szCs w:val="21"/>
        </w:rPr>
      </w:pPr>
      <w:r>
        <w:rPr>
          <w:rFonts w:hint="eastAsia"/>
          <w:szCs w:val="21"/>
        </w:rPr>
        <w:t>乙方在开展工作过程中需要甲方协调相关单位的，有权要求甲方予以配合并提供便利。</w:t>
      </w:r>
    </w:p>
    <w:p w14:paraId="72C90961">
      <w:pPr>
        <w:spacing w:line="360" w:lineRule="auto"/>
        <w:ind w:firstLine="420"/>
        <w:rPr>
          <w:szCs w:val="21"/>
        </w:rPr>
      </w:pPr>
      <w:r>
        <w:rPr>
          <w:rFonts w:hint="eastAsia"/>
          <w:szCs w:val="21"/>
        </w:rPr>
        <w:t>4、乙方的义务</w:t>
      </w:r>
    </w:p>
    <w:p w14:paraId="02E21A60">
      <w:pPr>
        <w:spacing w:line="360" w:lineRule="auto"/>
        <w:ind w:firstLine="420"/>
        <w:rPr>
          <w:szCs w:val="21"/>
        </w:rPr>
      </w:pPr>
      <w:r>
        <w:rPr>
          <w:szCs w:val="21"/>
        </w:rPr>
        <w:t>乙方承诺并保证具备履行本合同</w:t>
      </w:r>
      <w:r>
        <w:rPr>
          <w:rFonts w:hint="eastAsia"/>
          <w:szCs w:val="21"/>
        </w:rPr>
        <w:t>服务</w:t>
      </w:r>
      <w:r>
        <w:rPr>
          <w:szCs w:val="21"/>
        </w:rPr>
        <w:t>事项的各项法定资格、并提供相关证明文件。</w:t>
      </w:r>
    </w:p>
    <w:p w14:paraId="6DF0334F">
      <w:pPr>
        <w:spacing w:line="360" w:lineRule="auto"/>
        <w:ind w:firstLine="420"/>
        <w:rPr>
          <w:szCs w:val="21"/>
        </w:rPr>
      </w:pPr>
      <w:r>
        <w:rPr>
          <w:szCs w:val="21"/>
        </w:rPr>
        <w:t>乙方不得将其承接</w:t>
      </w:r>
      <w:r>
        <w:rPr>
          <w:rFonts w:hint="eastAsia"/>
          <w:szCs w:val="21"/>
        </w:rPr>
        <w:t>的</w:t>
      </w:r>
      <w:r>
        <w:rPr>
          <w:szCs w:val="21"/>
        </w:rPr>
        <w:t>本合同项下的全部</w:t>
      </w:r>
      <w:r>
        <w:rPr>
          <w:rFonts w:hint="eastAsia"/>
          <w:szCs w:val="21"/>
        </w:rPr>
        <w:t>或部分</w:t>
      </w:r>
      <w:r>
        <w:rPr>
          <w:szCs w:val="21"/>
        </w:rPr>
        <w:t>服务转包、违法分包</w:t>
      </w:r>
      <w:r>
        <w:rPr>
          <w:rFonts w:hint="eastAsia"/>
          <w:szCs w:val="21"/>
        </w:rPr>
        <w:t>给</w:t>
      </w:r>
      <w:r>
        <w:rPr>
          <w:szCs w:val="21"/>
        </w:rPr>
        <w:t>第三人</w:t>
      </w:r>
      <w:r>
        <w:rPr>
          <w:rFonts w:hint="eastAsia"/>
          <w:szCs w:val="21"/>
        </w:rPr>
        <w:t>，否则，甲方有权单方解除本合同，并要求乙方按照本合同总价款的20%向甲方支付违约金</w:t>
      </w:r>
      <w:r>
        <w:rPr>
          <w:szCs w:val="21"/>
        </w:rPr>
        <w:t>。</w:t>
      </w:r>
    </w:p>
    <w:p w14:paraId="6F5A9391">
      <w:pPr>
        <w:spacing w:line="360" w:lineRule="auto"/>
        <w:ind w:firstLine="420"/>
        <w:rPr>
          <w:szCs w:val="21"/>
        </w:rPr>
      </w:pPr>
      <w:r>
        <w:rPr>
          <w:rFonts w:hint="eastAsia"/>
          <w:szCs w:val="21"/>
        </w:rPr>
        <w:t>乙方按合同约定的工作内容与</w:t>
      </w:r>
      <w:r>
        <w:rPr>
          <w:szCs w:val="21"/>
        </w:rPr>
        <w:t>工作周期，</w:t>
      </w:r>
      <w:r>
        <w:rPr>
          <w:rFonts w:hint="eastAsia"/>
          <w:szCs w:val="21"/>
        </w:rPr>
        <w:t>按现行规范、标准、条例及专业要求提供规划</w:t>
      </w:r>
      <w:r>
        <w:rPr>
          <w:szCs w:val="21"/>
        </w:rPr>
        <w:t>技术与咨询</w:t>
      </w:r>
      <w:r>
        <w:rPr>
          <w:rFonts w:hint="eastAsia"/>
          <w:szCs w:val="21"/>
        </w:rPr>
        <w:t>服务，并对所提供技术与服务的质量负责。</w:t>
      </w:r>
    </w:p>
    <w:p w14:paraId="16CCE055">
      <w:pPr>
        <w:pStyle w:val="8"/>
        <w:spacing w:line="360" w:lineRule="auto"/>
        <w:ind w:firstLine="480" w:firstLineChars="200"/>
        <w:rPr>
          <w:szCs w:val="21"/>
        </w:rPr>
      </w:pPr>
      <w:r>
        <w:rPr>
          <w:rFonts w:hint="eastAsia"/>
          <w:szCs w:val="21"/>
        </w:rPr>
        <w:t>乙方须以保密方式处理甲方提供的资料、图纸、文件，不得向第三方扩散、转让甲方提供的资料、图纸、文件等。</w:t>
      </w:r>
    </w:p>
    <w:p w14:paraId="4D666587">
      <w:pPr>
        <w:pStyle w:val="8"/>
        <w:spacing w:line="360" w:lineRule="auto"/>
        <w:ind w:firstLine="480" w:firstLineChars="200"/>
        <w:rPr>
          <w:szCs w:val="21"/>
        </w:rPr>
      </w:pPr>
      <w:r>
        <w:rPr>
          <w:szCs w:val="21"/>
        </w:rPr>
        <w:t>乙方应当按照投标文件人员名单，建立项目</w:t>
      </w:r>
      <w:r>
        <w:rPr>
          <w:rFonts w:hint="eastAsia"/>
          <w:szCs w:val="21"/>
        </w:rPr>
        <w:t>小组</w:t>
      </w:r>
      <w:r>
        <w:rPr>
          <w:szCs w:val="21"/>
        </w:rPr>
        <w:t>，未经甲方同意，不得随意更换。乙方可根据实际项目情况及项目完成时间要求，增加</w:t>
      </w:r>
      <w:r>
        <w:rPr>
          <w:rFonts w:hint="eastAsia"/>
          <w:szCs w:val="21"/>
        </w:rPr>
        <w:t>服务</w:t>
      </w:r>
      <w:r>
        <w:rPr>
          <w:szCs w:val="21"/>
        </w:rPr>
        <w:t>小组和人员数量，增加的人员</w:t>
      </w:r>
      <w:r>
        <w:rPr>
          <w:rFonts w:hint="eastAsia"/>
          <w:szCs w:val="21"/>
        </w:rPr>
        <w:t>须经</w:t>
      </w:r>
      <w:r>
        <w:rPr>
          <w:szCs w:val="21"/>
        </w:rPr>
        <w:t>甲方</w:t>
      </w:r>
      <w:r>
        <w:rPr>
          <w:rFonts w:hint="eastAsia"/>
          <w:szCs w:val="21"/>
        </w:rPr>
        <w:t>书面签字盖章</w:t>
      </w:r>
      <w:r>
        <w:rPr>
          <w:szCs w:val="21"/>
        </w:rPr>
        <w:t>同意。</w:t>
      </w:r>
    </w:p>
    <w:p w14:paraId="5F6AA468">
      <w:pPr>
        <w:pStyle w:val="8"/>
        <w:spacing w:line="360" w:lineRule="auto"/>
        <w:ind w:firstLine="240" w:firstLineChars="100"/>
        <w:rPr>
          <w:szCs w:val="21"/>
        </w:rPr>
      </w:pPr>
      <w:r>
        <w:rPr>
          <w:rFonts w:hint="eastAsia"/>
          <w:szCs w:val="21"/>
        </w:rPr>
        <w:t xml:space="preserve"> 乙方应当自行准备工作所需的设备、仪器、车辆、食宿、工作报酬等。</w:t>
      </w:r>
    </w:p>
    <w:p w14:paraId="50547D9B">
      <w:pPr>
        <w:pStyle w:val="8"/>
        <w:spacing w:line="360" w:lineRule="auto"/>
        <w:ind w:firstLine="240" w:firstLineChars="100"/>
        <w:rPr>
          <w:szCs w:val="21"/>
        </w:rPr>
      </w:pPr>
      <w:r>
        <w:rPr>
          <w:rFonts w:hint="eastAsia"/>
          <w:szCs w:val="21"/>
        </w:rPr>
        <w:t xml:space="preserve"> </w:t>
      </w:r>
      <w:r>
        <w:rPr>
          <w:szCs w:val="21"/>
        </w:rPr>
        <w:t>乙方人员不得利用工作关系开展私人业务及违反廉洁的有关规定，一经发现，甲方有权</w:t>
      </w:r>
      <w:r>
        <w:rPr>
          <w:rFonts w:hint="eastAsia"/>
          <w:szCs w:val="21"/>
        </w:rPr>
        <w:t>解除</w:t>
      </w:r>
      <w:r>
        <w:rPr>
          <w:szCs w:val="21"/>
        </w:rPr>
        <w:t>合同</w:t>
      </w:r>
      <w:r>
        <w:rPr>
          <w:rFonts w:hint="eastAsia"/>
          <w:szCs w:val="21"/>
        </w:rPr>
        <w:t>。</w:t>
      </w:r>
    </w:p>
    <w:p w14:paraId="0ACE6D94">
      <w:pPr>
        <w:pStyle w:val="8"/>
        <w:spacing w:line="360" w:lineRule="auto"/>
        <w:ind w:firstLine="480" w:firstLineChars="200"/>
        <w:rPr>
          <w:szCs w:val="21"/>
          <w:u w:val="single"/>
        </w:rPr>
      </w:pPr>
      <w:r>
        <w:rPr>
          <w:rFonts w:hint="eastAsia"/>
          <w:szCs w:val="21"/>
        </w:rPr>
        <w:t>乙方</w:t>
      </w:r>
      <w:r>
        <w:rPr>
          <w:szCs w:val="21"/>
        </w:rPr>
        <w:t>应当建立</w:t>
      </w:r>
      <w:r>
        <w:rPr>
          <w:rFonts w:hint="eastAsia"/>
          <w:szCs w:val="21"/>
        </w:rPr>
        <w:t>本</w:t>
      </w:r>
      <w:r>
        <w:rPr>
          <w:szCs w:val="21"/>
        </w:rPr>
        <w:t>服务项目台账，依照有关规定或</w:t>
      </w:r>
      <w:r>
        <w:rPr>
          <w:rFonts w:hint="eastAsia"/>
          <w:szCs w:val="21"/>
        </w:rPr>
        <w:t>本</w:t>
      </w:r>
      <w:r>
        <w:rPr>
          <w:szCs w:val="21"/>
        </w:rPr>
        <w:t>合同约定记录保存</w:t>
      </w:r>
      <w:r>
        <w:rPr>
          <w:rFonts w:hint="eastAsia"/>
          <w:szCs w:val="21"/>
        </w:rPr>
        <w:t>付款所需支付证明及项目履约记录，</w:t>
      </w:r>
      <w:r>
        <w:rPr>
          <w:szCs w:val="21"/>
        </w:rPr>
        <w:t>并向</w:t>
      </w:r>
      <w:r>
        <w:rPr>
          <w:rFonts w:hint="eastAsia"/>
          <w:szCs w:val="21"/>
        </w:rPr>
        <w:t>甲方</w:t>
      </w:r>
      <w:r>
        <w:rPr>
          <w:szCs w:val="21"/>
        </w:rPr>
        <w:t>提供项目实施相关</w:t>
      </w:r>
      <w:r>
        <w:rPr>
          <w:rFonts w:hint="eastAsia"/>
          <w:szCs w:val="21"/>
        </w:rPr>
        <w:t>成果等</w:t>
      </w:r>
      <w:r>
        <w:rPr>
          <w:szCs w:val="21"/>
        </w:rPr>
        <w:t>重要资料信息。</w:t>
      </w:r>
    </w:p>
    <w:p w14:paraId="69C6D895">
      <w:pPr>
        <w:pStyle w:val="8"/>
        <w:spacing w:line="360" w:lineRule="auto"/>
        <w:ind w:firstLine="482" w:firstLineChars="200"/>
        <w:rPr>
          <w:b/>
        </w:rPr>
      </w:pPr>
      <w:r>
        <w:rPr>
          <w:rFonts w:hint="eastAsia"/>
          <w:b/>
        </w:rPr>
        <w:t>第九条 违约责任</w:t>
      </w:r>
    </w:p>
    <w:p w14:paraId="3949D356">
      <w:pPr>
        <w:spacing w:line="360" w:lineRule="auto"/>
        <w:ind w:firstLine="420"/>
        <w:rPr>
          <w:szCs w:val="21"/>
        </w:rPr>
      </w:pPr>
      <w:r>
        <w:rPr>
          <w:rFonts w:hint="eastAsia"/>
          <w:szCs w:val="21"/>
        </w:rPr>
        <w:t>1、乙方应按照甲方的指示，按照甲方指定的时间完成相关工作的，每逾期一日，支付合同总价款万分之二的违约金；逾期超过15日的，甲方有权解除合同，并有权要求乙方支付合同总价款20%的违约金。</w:t>
      </w:r>
    </w:p>
    <w:p w14:paraId="0CB72998">
      <w:pPr>
        <w:spacing w:line="360" w:lineRule="auto"/>
        <w:ind w:firstLine="420"/>
        <w:rPr>
          <w:rFonts w:hint="eastAsia"/>
          <w:szCs w:val="21"/>
        </w:rPr>
      </w:pPr>
      <w:r>
        <w:rPr>
          <w:rFonts w:hint="eastAsia"/>
          <w:szCs w:val="21"/>
        </w:rPr>
        <w:t>2、乙方应按照法律法规和本合同约定，保证所提供服务的质量。因乙方提供的服务不符合甲方要求，甲方有权要求其整改</w:t>
      </w:r>
      <w:r>
        <w:rPr>
          <w:rFonts w:hint="eastAsia"/>
          <w:szCs w:val="21"/>
          <w:lang w:eastAsia="zh-CN"/>
        </w:rPr>
        <w:t>，</w:t>
      </w:r>
      <w:r>
        <w:rPr>
          <w:rFonts w:hint="eastAsia"/>
          <w:szCs w:val="21"/>
          <w:lang w:val="en-US" w:eastAsia="zh-CN"/>
        </w:rPr>
        <w:t>乙方应当在15日内完成整改并经甲方验收合格</w:t>
      </w:r>
      <w:r>
        <w:rPr>
          <w:rFonts w:hint="eastAsia"/>
          <w:szCs w:val="21"/>
        </w:rPr>
        <w:t>。合同结束后，甲方对乙方工作进行履约评价，验收合格后，给乙方支付全部费用，如不合格，甲方有权要求乙方支付合同总价款20%的违约金。</w:t>
      </w:r>
    </w:p>
    <w:p w14:paraId="7200427B">
      <w:pPr>
        <w:pStyle w:val="2"/>
        <w:spacing w:line="360" w:lineRule="auto"/>
        <w:ind w:firstLine="480" w:firstLineChars="200"/>
        <w:rPr>
          <w:rFonts w:hint="default" w:eastAsia="宋体"/>
          <w:szCs w:val="21"/>
          <w:lang w:val="en-US" w:eastAsia="zh-CN"/>
        </w:rPr>
      </w:pPr>
      <w:r>
        <w:rPr>
          <w:rFonts w:hint="eastAsia"/>
          <w:szCs w:val="21"/>
          <w:lang w:val="en-US" w:eastAsia="zh-CN"/>
        </w:rPr>
        <w:t>3、乙方未经甲方同意擅自更换或增加服务小组人员的，视为乙方违约，</w:t>
      </w:r>
      <w:r>
        <w:rPr>
          <w:rFonts w:hint="eastAsia"/>
          <w:szCs w:val="21"/>
        </w:rPr>
        <w:t>每发生一次</w:t>
      </w:r>
      <w:r>
        <w:rPr>
          <w:rFonts w:hint="eastAsia"/>
          <w:szCs w:val="21"/>
          <w:lang w:eastAsia="zh-CN"/>
        </w:rPr>
        <w:t>，</w:t>
      </w:r>
      <w:r>
        <w:rPr>
          <w:rFonts w:hint="eastAsia"/>
          <w:szCs w:val="21"/>
          <w:lang w:val="en-US" w:eastAsia="zh-CN"/>
        </w:rPr>
        <w:t>乙方应按</w:t>
      </w:r>
      <w:r>
        <w:rPr>
          <w:rFonts w:hint="eastAsia"/>
          <w:szCs w:val="21"/>
        </w:rPr>
        <w:t>合同总价款</w:t>
      </w:r>
      <w:r>
        <w:rPr>
          <w:rFonts w:hint="eastAsia"/>
          <w:szCs w:val="21"/>
          <w:lang w:eastAsia="zh-CN"/>
        </w:rPr>
        <w:t>1</w:t>
      </w:r>
      <w:r>
        <w:rPr>
          <w:rFonts w:hint="eastAsia"/>
          <w:szCs w:val="21"/>
        </w:rPr>
        <w:t>0%</w:t>
      </w:r>
      <w:r>
        <w:rPr>
          <w:rFonts w:hint="eastAsia"/>
          <w:szCs w:val="21"/>
          <w:lang w:val="en-US" w:eastAsia="zh-CN"/>
        </w:rPr>
        <w:t>支付违约金，超过3次，甲方有权解除合同。</w:t>
      </w:r>
    </w:p>
    <w:p w14:paraId="09C0E5E0">
      <w:pPr>
        <w:tabs>
          <w:tab w:val="left" w:pos="1170"/>
        </w:tabs>
        <w:spacing w:before="156" w:beforeLines="50" w:line="360" w:lineRule="auto"/>
        <w:ind w:firstLine="482" w:firstLineChars="200"/>
        <w:rPr>
          <w:b/>
        </w:rPr>
      </w:pPr>
      <w:r>
        <w:rPr>
          <w:rFonts w:hint="eastAsia"/>
          <w:b/>
        </w:rPr>
        <w:t xml:space="preserve">第十条 </w:t>
      </w:r>
      <w:r>
        <w:rPr>
          <w:b/>
        </w:rPr>
        <w:t xml:space="preserve"> </w:t>
      </w:r>
      <w:r>
        <w:rPr>
          <w:rFonts w:hint="eastAsia"/>
          <w:b/>
        </w:rPr>
        <w:t>成果验收</w:t>
      </w:r>
    </w:p>
    <w:p w14:paraId="1A95D928">
      <w:pPr>
        <w:spacing w:line="360" w:lineRule="auto"/>
        <w:ind w:firstLine="420"/>
        <w:rPr>
          <w:szCs w:val="21"/>
        </w:rPr>
      </w:pPr>
      <w:r>
        <w:rPr>
          <w:rFonts w:hint="eastAsia"/>
          <w:szCs w:val="21"/>
        </w:rPr>
        <w:t>乙方应在第二期付款前，向甲方提交验收合格的服务成果报告；合同履约完成后，在支付合同尾款前，乙方应向甲方提交工作台账和</w:t>
      </w:r>
      <w:r>
        <w:rPr>
          <w:szCs w:val="21"/>
        </w:rPr>
        <w:t>项目实施相关</w:t>
      </w:r>
      <w:r>
        <w:rPr>
          <w:rFonts w:hint="eastAsia"/>
          <w:szCs w:val="21"/>
        </w:rPr>
        <w:t>成果等</w:t>
      </w:r>
      <w:r>
        <w:rPr>
          <w:szCs w:val="21"/>
        </w:rPr>
        <w:t>重要资料信息</w:t>
      </w:r>
      <w:r>
        <w:rPr>
          <w:rFonts w:hint="eastAsia"/>
          <w:szCs w:val="21"/>
        </w:rPr>
        <w:t>，甲方对乙方提供的书面成果和后续保障服务进行审查，并出具履约评价。</w:t>
      </w:r>
    </w:p>
    <w:p w14:paraId="6E901E31">
      <w:pPr>
        <w:tabs>
          <w:tab w:val="left" w:pos="1170"/>
          <w:tab w:val="left" w:pos="3519"/>
        </w:tabs>
        <w:spacing w:before="156" w:beforeLines="50" w:line="360" w:lineRule="auto"/>
        <w:ind w:left="420"/>
        <w:rPr>
          <w:b/>
        </w:rPr>
      </w:pPr>
      <w:r>
        <w:rPr>
          <w:rFonts w:hint="eastAsia"/>
          <w:b/>
        </w:rPr>
        <w:t xml:space="preserve">第十一条 </w:t>
      </w:r>
      <w:r>
        <w:rPr>
          <w:b/>
        </w:rPr>
        <w:t xml:space="preserve"> </w:t>
      </w:r>
      <w:r>
        <w:rPr>
          <w:rFonts w:hint="eastAsia"/>
          <w:b/>
        </w:rPr>
        <w:t>合同终止</w:t>
      </w:r>
      <w:r>
        <w:rPr>
          <w:b/>
        </w:rPr>
        <w:tab/>
      </w:r>
    </w:p>
    <w:p w14:paraId="2A1FCD43">
      <w:pPr>
        <w:spacing w:line="360" w:lineRule="auto"/>
        <w:ind w:firstLine="420"/>
        <w:rPr>
          <w:szCs w:val="21"/>
        </w:rPr>
      </w:pPr>
      <w:r>
        <w:rPr>
          <w:rFonts w:hint="eastAsia"/>
          <w:szCs w:val="21"/>
        </w:rPr>
        <w:t>1、甲方因自身原因终止委托、解除本合同，对乙方已完成并提交相应成果的工作，甲方应按乙方的实际工作量支付相应的技术服务费。</w:t>
      </w:r>
    </w:p>
    <w:p w14:paraId="282C0BD0">
      <w:pPr>
        <w:spacing w:line="360" w:lineRule="auto"/>
        <w:ind w:firstLine="420"/>
        <w:rPr>
          <w:szCs w:val="21"/>
        </w:rPr>
      </w:pPr>
      <w:r>
        <w:rPr>
          <w:rFonts w:hint="eastAsia"/>
          <w:szCs w:val="21"/>
        </w:rPr>
        <w:t>2、乙方因自身原因无法履行合同，应退还全部技术服务费。</w:t>
      </w:r>
    </w:p>
    <w:p w14:paraId="11303E4B">
      <w:pPr>
        <w:spacing w:line="360" w:lineRule="auto"/>
        <w:ind w:firstLine="420"/>
        <w:rPr>
          <w:szCs w:val="21"/>
        </w:rPr>
      </w:pPr>
      <w:r>
        <w:rPr>
          <w:rFonts w:hint="eastAsia"/>
          <w:szCs w:val="21"/>
        </w:rPr>
        <w:t>3、不可抗力导致的终止合同：如果不可抗力发生，如行政命令、政策法规、罢工、故意破坏、资方停工、禁运、战争、自然灾害（如洪水和地震）或其他超出协议双方控制的事件，因而一方无法履行合同，受到不可抗力影响的一方可以提前十五天书面通知对方终止合同。</w:t>
      </w:r>
    </w:p>
    <w:p w14:paraId="231C8F39">
      <w:pPr>
        <w:spacing w:line="360" w:lineRule="auto"/>
        <w:ind w:firstLine="420"/>
        <w:rPr>
          <w:szCs w:val="21"/>
        </w:rPr>
      </w:pPr>
      <w:r>
        <w:rPr>
          <w:rFonts w:hint="eastAsia"/>
          <w:szCs w:val="21"/>
        </w:rPr>
        <w:t>4、本合同因不可抗力终止的，甲方应按乙方实际完成并提交成功的工作量支付报酬。</w:t>
      </w:r>
    </w:p>
    <w:p w14:paraId="59FEF5DA">
      <w:pPr>
        <w:spacing w:line="360" w:lineRule="auto"/>
        <w:ind w:firstLine="420"/>
        <w:rPr>
          <w:szCs w:val="21"/>
        </w:rPr>
      </w:pPr>
      <w:r>
        <w:rPr>
          <w:rFonts w:hint="eastAsia"/>
          <w:szCs w:val="21"/>
        </w:rPr>
        <w:t>5、本合同因任何原因终止的，已完成的审核评价报告的著作权等所有权属于甲方所有，但甲方在自己的宣传材料中，应写明乙方为审核单位。乙方在取得甲方书面同意后，可以使用审核报告成果。</w:t>
      </w:r>
    </w:p>
    <w:p w14:paraId="20B293AF">
      <w:pPr>
        <w:tabs>
          <w:tab w:val="left" w:pos="1170"/>
        </w:tabs>
        <w:spacing w:before="156" w:beforeLines="50" w:line="360" w:lineRule="auto"/>
        <w:ind w:firstLine="482" w:firstLineChars="200"/>
        <w:rPr>
          <w:b/>
        </w:rPr>
      </w:pPr>
      <w:r>
        <w:rPr>
          <w:rFonts w:hint="eastAsia"/>
          <w:b/>
        </w:rPr>
        <w:t xml:space="preserve">第十二条 </w:t>
      </w:r>
      <w:r>
        <w:rPr>
          <w:b/>
        </w:rPr>
        <w:t xml:space="preserve"> </w:t>
      </w:r>
      <w:r>
        <w:rPr>
          <w:rFonts w:hint="eastAsia"/>
          <w:b/>
        </w:rPr>
        <w:t>合同争议的解决方式</w:t>
      </w:r>
    </w:p>
    <w:p w14:paraId="2246F020">
      <w:pPr>
        <w:spacing w:line="360" w:lineRule="auto"/>
        <w:ind w:firstLine="480" w:firstLineChars="200"/>
        <w:rPr>
          <w:szCs w:val="21"/>
        </w:rPr>
      </w:pPr>
      <w:r>
        <w:rPr>
          <w:szCs w:val="21"/>
        </w:rPr>
        <w:t>凡因本合同引起的或与本合同有关的任何争议、索赔和纠纷（以下合称“争议”），应首先由双方以友好协商方式解决。协商不成或者不予协商的，甲乙双方均有权向深圳市南山区人民法院提起诉讼。</w:t>
      </w:r>
    </w:p>
    <w:p w14:paraId="31D3B754">
      <w:pPr>
        <w:tabs>
          <w:tab w:val="left" w:pos="1170"/>
        </w:tabs>
        <w:spacing w:before="156" w:beforeLines="50" w:line="360" w:lineRule="auto"/>
        <w:ind w:left="420"/>
        <w:rPr>
          <w:b/>
        </w:rPr>
      </w:pPr>
      <w:r>
        <w:rPr>
          <w:rFonts w:hint="eastAsia"/>
          <w:b/>
        </w:rPr>
        <w:t xml:space="preserve">第十三条 </w:t>
      </w:r>
      <w:r>
        <w:rPr>
          <w:b/>
        </w:rPr>
        <w:t xml:space="preserve"> </w:t>
      </w:r>
      <w:r>
        <w:rPr>
          <w:rFonts w:hint="eastAsia"/>
          <w:b/>
        </w:rPr>
        <w:t>其它约定</w:t>
      </w:r>
    </w:p>
    <w:p w14:paraId="2EE8057A">
      <w:pPr>
        <w:spacing w:line="360" w:lineRule="auto"/>
        <w:ind w:firstLine="420"/>
      </w:pPr>
      <w:r>
        <w:rPr>
          <w:rFonts w:hint="eastAsia"/>
        </w:rPr>
        <w:t>1、合同未尽事宜，由双方协商签订补充协议，补充协议与本合同相冲突时，以补充协议为准。</w:t>
      </w:r>
    </w:p>
    <w:p w14:paraId="2BBD588F">
      <w:pPr>
        <w:spacing w:line="360" w:lineRule="auto"/>
        <w:ind w:firstLine="480" w:firstLineChars="200"/>
      </w:pPr>
      <w:r>
        <w:rPr>
          <w:rFonts w:hint="eastAsia"/>
        </w:rPr>
        <w:t>2、本合同履行期限为自合同签订之日起，至完成合同约定的工作内容之日止，预期履行时间</w:t>
      </w:r>
      <w:r>
        <w:rPr>
          <w:rFonts w:hint="eastAsia"/>
          <w:highlight w:val="none"/>
        </w:rPr>
        <w:t>为一年</w:t>
      </w:r>
      <w:r>
        <w:rPr>
          <w:rFonts w:hint="eastAsia"/>
        </w:rPr>
        <w:t>。</w:t>
      </w:r>
    </w:p>
    <w:p w14:paraId="324C6F8A">
      <w:pPr>
        <w:spacing w:line="360" w:lineRule="auto"/>
        <w:ind w:firstLine="480" w:firstLineChars="200"/>
      </w:pPr>
      <w:r>
        <w:rPr>
          <w:rFonts w:hint="eastAsia"/>
        </w:rPr>
        <w:t>3、本合</w:t>
      </w:r>
      <w:r>
        <w:t>同壹式</w:t>
      </w:r>
      <w:r>
        <w:rPr>
          <w:u w:val="single"/>
        </w:rPr>
        <w:t xml:space="preserve"> 捌 </w:t>
      </w:r>
      <w:r>
        <w:rPr>
          <w:rFonts w:hint="eastAsia"/>
        </w:rPr>
        <w:t>份，甲乙各方各执</w:t>
      </w:r>
      <w:r>
        <w:rPr>
          <w:u w:val="single"/>
        </w:rPr>
        <w:t xml:space="preserve"> 肆 </w:t>
      </w:r>
      <w:r>
        <w:rPr>
          <w:rFonts w:hint="eastAsia"/>
        </w:rPr>
        <w:t>份。</w:t>
      </w:r>
    </w:p>
    <w:p w14:paraId="0B449C42">
      <w:pPr>
        <w:spacing w:line="360" w:lineRule="auto"/>
        <w:ind w:firstLine="480" w:firstLineChars="200"/>
      </w:pPr>
      <w:r>
        <w:rPr>
          <w:rFonts w:hint="eastAsia"/>
        </w:rPr>
        <w:t>4、本合同双方所留联系信息均可用于送达文件。根据本合同发出的通知、信函、同意书、批准或其他通讯文件应由发出方签字盖章并送达至接收方或项目联系人。任何一方在本合同所留联系信息发生变化的，应当在发生变化后的三个工作日内按要求通知对方。因一方联系信息变更未履行提前书面告知义务的，导致对方所发送的文件、资料无法送达、送达被拒收、邮件返回的，视为该文件、资料已送达相对方，且相对方已知悉其中所记载的内容。</w:t>
      </w:r>
    </w:p>
    <w:p w14:paraId="5F033E01">
      <w:pPr>
        <w:spacing w:line="360" w:lineRule="auto"/>
        <w:ind w:firstLine="480" w:firstLineChars="200"/>
      </w:pPr>
      <w:r>
        <w:t xml:space="preserve">5、下列文件是本合同的组成部分，应该认为是一个整体，彼此相互解释，相互补充。组成合同的多个文件的优先地位次序如下：(1)本合同书；（2）中标通知书 </w:t>
      </w:r>
      <w:r>
        <w:rPr>
          <w:rFonts w:hint="eastAsia"/>
        </w:rPr>
        <w:t>；（</w:t>
      </w:r>
      <w:r>
        <w:t>3）投标文件；（4）解释、联络文件。</w:t>
      </w:r>
    </w:p>
    <w:p w14:paraId="1A821969">
      <w:pPr>
        <w:spacing w:line="360" w:lineRule="auto"/>
        <w:ind w:left="435"/>
      </w:pPr>
    </w:p>
    <w:p w14:paraId="05D02226">
      <w:pPr>
        <w:pStyle w:val="2"/>
      </w:pPr>
    </w:p>
    <w:p w14:paraId="6D7A0A00">
      <w:pPr>
        <w:pStyle w:val="2"/>
      </w:pPr>
    </w:p>
    <w:p w14:paraId="67986464">
      <w:pPr>
        <w:pStyle w:val="2"/>
      </w:pPr>
    </w:p>
    <w:p w14:paraId="3BFF0541">
      <w:pPr>
        <w:pStyle w:val="2"/>
      </w:pPr>
    </w:p>
    <w:p w14:paraId="6CA7C876">
      <w:pPr>
        <w:pStyle w:val="2"/>
      </w:pPr>
    </w:p>
    <w:p w14:paraId="26EAEC88">
      <w:pPr>
        <w:pStyle w:val="2"/>
      </w:pPr>
    </w:p>
    <w:p w14:paraId="4517CBD2">
      <w:pPr>
        <w:spacing w:line="360" w:lineRule="auto"/>
        <w:ind w:firstLine="482" w:firstLineChars="200"/>
        <w:rPr>
          <w:b/>
        </w:rPr>
      </w:pPr>
      <w:r>
        <w:rPr>
          <w:rFonts w:hint="eastAsia"/>
          <w:b/>
        </w:rPr>
        <w:t>委托方（甲方）名称</w:t>
      </w:r>
      <w:r>
        <w:rPr>
          <w:b/>
        </w:rPr>
        <w:t>（</w:t>
      </w:r>
      <w:r>
        <w:rPr>
          <w:rFonts w:hint="eastAsia"/>
          <w:b/>
        </w:rPr>
        <w:t>盖章</w:t>
      </w:r>
      <w:r>
        <w:rPr>
          <w:b/>
        </w:rPr>
        <w:t>）</w:t>
      </w:r>
      <w:r>
        <w:rPr>
          <w:rFonts w:hint="eastAsia"/>
          <w:b/>
        </w:rPr>
        <w:t>：</w:t>
      </w:r>
    </w:p>
    <w:p w14:paraId="49317DDE">
      <w:pPr>
        <w:spacing w:line="360" w:lineRule="auto"/>
        <w:ind w:firstLine="480" w:firstLineChars="200"/>
      </w:pPr>
      <w:bookmarkStart w:id="12" w:name="OLE_LINK2"/>
      <w:r>
        <w:rPr>
          <w:rFonts w:hint="eastAsia"/>
        </w:rPr>
        <w:t>单位：</w:t>
      </w:r>
      <w:bookmarkEnd w:id="12"/>
      <w:r>
        <w:rPr>
          <w:rFonts w:hint="eastAsia"/>
        </w:rPr>
        <w:t xml:space="preserve"> </w:t>
      </w:r>
      <w:r>
        <w:t xml:space="preserve">                                 </w:t>
      </w:r>
    </w:p>
    <w:p w14:paraId="0BD962B4">
      <w:pPr>
        <w:spacing w:line="360" w:lineRule="auto"/>
        <w:ind w:firstLine="480" w:firstLineChars="200"/>
      </w:pPr>
      <w:r>
        <w:rPr>
          <w:rFonts w:hint="eastAsia"/>
        </w:rPr>
        <w:t>地址：</w:t>
      </w:r>
      <w:r>
        <w:rPr>
          <w:rFonts w:hint="eastAsia"/>
          <w:szCs w:val="21"/>
        </w:rPr>
        <w:t xml:space="preserve"> </w:t>
      </w:r>
      <w:r>
        <w:rPr>
          <w:szCs w:val="21"/>
        </w:rPr>
        <w:t xml:space="preserve">                                 </w:t>
      </w:r>
    </w:p>
    <w:p w14:paraId="2C05D870">
      <w:pPr>
        <w:spacing w:line="360" w:lineRule="auto"/>
        <w:ind w:firstLine="480" w:firstLineChars="200"/>
      </w:pPr>
      <w:r>
        <w:rPr>
          <w:rFonts w:hint="eastAsia"/>
        </w:rPr>
        <w:t>法定代表人（签名或盖章）：</w:t>
      </w:r>
    </w:p>
    <w:p w14:paraId="28CC46BF">
      <w:pPr>
        <w:spacing w:line="360" w:lineRule="auto"/>
        <w:ind w:firstLine="480" w:firstLineChars="200"/>
      </w:pPr>
      <w:r>
        <w:rPr>
          <w:rFonts w:hint="eastAsia"/>
        </w:rPr>
        <w:t>委托代理人（签名或盖章）：</w:t>
      </w:r>
    </w:p>
    <w:p w14:paraId="63F9D73F">
      <w:pPr>
        <w:spacing w:line="360" w:lineRule="auto"/>
        <w:ind w:firstLine="480" w:firstLineChars="200"/>
      </w:pPr>
      <w:r>
        <w:rPr>
          <w:rFonts w:hint="eastAsia"/>
        </w:rPr>
        <w:t xml:space="preserve">联系人： </w:t>
      </w:r>
    </w:p>
    <w:p w14:paraId="740CA1D4">
      <w:pPr>
        <w:spacing w:line="360" w:lineRule="auto"/>
        <w:ind w:firstLine="480" w:firstLineChars="200"/>
      </w:pPr>
      <w:r>
        <w:rPr>
          <w:rFonts w:hint="eastAsia"/>
        </w:rPr>
        <w:t>电  话：</w:t>
      </w:r>
    </w:p>
    <w:p w14:paraId="4029191D">
      <w:pPr>
        <w:spacing w:line="360" w:lineRule="auto"/>
        <w:ind w:firstLine="480" w:firstLineChars="200"/>
      </w:pPr>
      <w:r>
        <w:rPr>
          <w:rFonts w:hint="eastAsia"/>
        </w:rPr>
        <w:t>时</w:t>
      </w:r>
      <w:r>
        <w:rPr>
          <w:rFonts w:hint="eastAsia"/>
          <w:lang w:val="en-US" w:eastAsia="zh-CN"/>
        </w:rPr>
        <w:t xml:space="preserve">  </w:t>
      </w:r>
      <w:r>
        <w:rPr>
          <w:rFonts w:hint="eastAsia"/>
        </w:rPr>
        <w:t>间：</w:t>
      </w:r>
    </w:p>
    <w:p w14:paraId="7AD72E4B">
      <w:pPr>
        <w:spacing w:line="360" w:lineRule="auto"/>
        <w:ind w:firstLine="482" w:firstLineChars="200"/>
        <w:rPr>
          <w:b/>
        </w:rPr>
      </w:pPr>
      <w:r>
        <w:rPr>
          <w:rFonts w:hint="eastAsia"/>
          <w:b/>
        </w:rPr>
        <w:t>受托方（乙方）名称（盖章）：</w:t>
      </w:r>
    </w:p>
    <w:p w14:paraId="6F483414">
      <w:pPr>
        <w:spacing w:line="360" w:lineRule="auto"/>
        <w:ind w:firstLine="480" w:firstLineChars="200"/>
        <w:rPr>
          <w:u w:val="none"/>
        </w:rPr>
      </w:pPr>
      <w:r>
        <w:rPr>
          <w:rFonts w:hint="eastAsia"/>
        </w:rPr>
        <w:t>单位：</w:t>
      </w:r>
      <w:r>
        <w:rPr>
          <w:rFonts w:hint="eastAsia"/>
          <w:u w:val="none"/>
        </w:rPr>
        <w:t xml:space="preserve"> </w:t>
      </w:r>
      <w:r>
        <w:rPr>
          <w:u w:val="none"/>
        </w:rPr>
        <w:t xml:space="preserve">                                    </w:t>
      </w:r>
    </w:p>
    <w:p w14:paraId="285E7CC2">
      <w:pPr>
        <w:spacing w:line="360" w:lineRule="auto"/>
        <w:ind w:firstLine="480" w:firstLineChars="200"/>
      </w:pPr>
      <w:r>
        <w:rPr>
          <w:rFonts w:hint="eastAsia"/>
        </w:rPr>
        <w:t xml:space="preserve">地址： </w:t>
      </w:r>
      <w:r>
        <w:t xml:space="preserve">                              </w:t>
      </w:r>
    </w:p>
    <w:p w14:paraId="71CAEF1F">
      <w:pPr>
        <w:spacing w:line="360" w:lineRule="auto"/>
        <w:ind w:firstLine="480" w:firstLineChars="200"/>
      </w:pPr>
      <w:r>
        <w:rPr>
          <w:rFonts w:hint="eastAsia"/>
        </w:rPr>
        <w:t>法定代表人（签名或盖章）：</w:t>
      </w:r>
    </w:p>
    <w:p w14:paraId="4AE9F775">
      <w:pPr>
        <w:spacing w:line="360" w:lineRule="auto"/>
        <w:ind w:firstLine="480" w:firstLineChars="200"/>
      </w:pPr>
      <w:r>
        <w:rPr>
          <w:rFonts w:hint="eastAsia"/>
        </w:rPr>
        <w:t>委托代理人（签名或盖章）：</w:t>
      </w:r>
    </w:p>
    <w:p w14:paraId="5934684F">
      <w:pPr>
        <w:spacing w:line="360" w:lineRule="auto"/>
        <w:ind w:firstLine="480" w:firstLineChars="200"/>
      </w:pPr>
      <w:r>
        <w:rPr>
          <w:rFonts w:hint="eastAsia"/>
        </w:rPr>
        <w:t>联系人：</w:t>
      </w:r>
    </w:p>
    <w:p w14:paraId="37370552">
      <w:pPr>
        <w:spacing w:line="360" w:lineRule="auto"/>
        <w:ind w:firstLine="480" w:firstLineChars="200"/>
      </w:pPr>
      <w:r>
        <w:rPr>
          <w:rFonts w:hint="eastAsia"/>
        </w:rPr>
        <w:t>电  话：</w:t>
      </w:r>
    </w:p>
    <w:p w14:paraId="3BBFD10A">
      <w:pPr>
        <w:spacing w:line="360" w:lineRule="auto"/>
        <w:ind w:firstLine="480" w:firstLineChars="200"/>
      </w:pPr>
      <w:r>
        <w:rPr>
          <w:rFonts w:hint="eastAsia"/>
        </w:rPr>
        <w:t>时</w:t>
      </w:r>
      <w:r>
        <w:rPr>
          <w:rFonts w:hint="eastAsia"/>
          <w:lang w:val="en-US" w:eastAsia="zh-CN"/>
        </w:rPr>
        <w:t xml:space="preserve">  </w:t>
      </w:r>
      <w:r>
        <w:rPr>
          <w:rFonts w:hint="eastAsia"/>
        </w:rPr>
        <w:t>间：</w:t>
      </w:r>
    </w:p>
    <w:p w14:paraId="7CED941D">
      <w:pPr>
        <w:spacing w:line="240" w:lineRule="auto"/>
        <w:ind w:firstLine="0" w:firstLineChars="0"/>
      </w:pPr>
      <w:r>
        <w:br w:type="page"/>
      </w:r>
    </w:p>
    <w:p w14:paraId="6B0F4B2B">
      <w:pPr>
        <w:pStyle w:val="15"/>
        <w:jc w:val="center"/>
        <w:outlineLvl w:val="1"/>
        <w:rPr>
          <w:rFonts w:ascii="Times New Roman" w:hAnsi="Times New Roman"/>
          <w:b/>
          <w:bCs/>
          <w:kern w:val="44"/>
          <w:sz w:val="32"/>
          <w:szCs w:val="52"/>
        </w:rPr>
      </w:pPr>
      <w:r>
        <w:rPr>
          <w:rFonts w:hint="eastAsia" w:ascii="Times New Roman" w:hAnsi="Times New Roman"/>
          <w:b/>
          <w:bCs/>
          <w:kern w:val="44"/>
          <w:sz w:val="32"/>
          <w:szCs w:val="52"/>
        </w:rPr>
        <w:t>第五章  投标文件格式</w:t>
      </w:r>
    </w:p>
    <w:p w14:paraId="443B7E36">
      <w:pPr>
        <w:pStyle w:val="4"/>
        <w:spacing w:before="120" w:after="120" w:line="600" w:lineRule="exact"/>
        <w:jc w:val="both"/>
        <w:rPr>
          <w:b/>
          <w:bCs/>
        </w:rPr>
      </w:pPr>
      <w:r>
        <w:rPr>
          <w:rFonts w:hint="eastAsia"/>
          <w:b/>
          <w:bCs/>
        </w:rPr>
        <w:t>一、招标文件响应声明书（模板）</w:t>
      </w:r>
    </w:p>
    <w:p w14:paraId="00107E70">
      <w:pPr>
        <w:autoSpaceDE w:val="0"/>
        <w:autoSpaceDN w:val="0"/>
        <w:adjustRightInd w:val="0"/>
        <w:snapToGrid w:val="0"/>
        <w:spacing w:line="300" w:lineRule="auto"/>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（招标人）</w:t>
      </w:r>
      <w:r>
        <w:rPr>
          <w:rFonts w:hint="eastAsia" w:ascii="仿宋_GB2312" w:hAnsi="仿宋_GB2312" w:eastAsia="仿宋_GB2312" w:cs="仿宋_GB2312"/>
        </w:rPr>
        <w:t>：</w:t>
      </w:r>
    </w:p>
    <w:p w14:paraId="0474264A">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u w:val="single"/>
        </w:rPr>
        <w:t>（投标单位全称）</w:t>
      </w:r>
      <w:r>
        <w:rPr>
          <w:rFonts w:hint="eastAsia" w:ascii="仿宋_GB2312" w:hAnsi="仿宋_GB2312" w:eastAsia="仿宋_GB2312" w:cs="仿宋_GB2312"/>
        </w:rPr>
        <w:t>授权</w:t>
      </w:r>
      <w:r>
        <w:rPr>
          <w:rFonts w:hint="eastAsia" w:ascii="仿宋_GB2312" w:hAnsi="仿宋_GB2312" w:eastAsia="仿宋_GB2312" w:cs="仿宋_GB2312"/>
          <w:u w:val="single"/>
        </w:rPr>
        <w:t>（全名、职务）</w:t>
      </w:r>
      <w:r>
        <w:rPr>
          <w:rFonts w:hint="eastAsia" w:ascii="仿宋_GB2312" w:hAnsi="仿宋_GB2312" w:eastAsia="仿宋_GB2312" w:cs="仿宋_GB2312"/>
        </w:rPr>
        <w:t>为全权代表，参加贵方组织的</w:t>
      </w:r>
      <w:r>
        <w:rPr>
          <w:rFonts w:hint="eastAsia" w:ascii="仿宋_GB2312" w:hAnsi="仿宋_GB2312" w:eastAsia="仿宋_GB2312" w:cs="仿宋_GB2312"/>
          <w:u w:val="single"/>
        </w:rPr>
        <w:t>（项目）</w:t>
      </w:r>
      <w:r>
        <w:rPr>
          <w:rFonts w:hint="eastAsia" w:ascii="仿宋_GB2312" w:hAnsi="仿宋_GB2312" w:eastAsia="仿宋_GB2312" w:cs="仿宋_GB2312"/>
        </w:rPr>
        <w:t>招标活动并投标，根据贵方</w:t>
      </w:r>
      <w:r>
        <w:rPr>
          <w:rFonts w:hint="eastAsia" w:ascii="仿宋_GB2312" w:hAnsi="仿宋_GB2312" w:eastAsia="仿宋_GB2312" w:cs="仿宋_GB2312"/>
          <w:u w:val="single"/>
        </w:rPr>
        <w:t xml:space="preserve">                    </w:t>
      </w:r>
      <w:r>
        <w:rPr>
          <w:rFonts w:hint="eastAsia" w:ascii="仿宋_GB2312" w:hAnsi="仿宋_GB2312" w:eastAsia="仿宋_GB2312" w:cs="仿宋_GB2312"/>
        </w:rPr>
        <w:t>的招标文件，我方针对该项目的投标报价为人民币</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元（大写：</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元），服务周期为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日历天。</w:t>
      </w:r>
    </w:p>
    <w:p w14:paraId="0D0B5FF9">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为此：</w:t>
      </w:r>
    </w:p>
    <w:p w14:paraId="1687B3E3">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我方已详细阅读了全部招标文件，包括修改文件（如有）及全部参考资料和附件。我们完全理解并同意放弃对这方面有不明及误解的权利。愿意接受招标文件中的各项要求。</w:t>
      </w:r>
    </w:p>
    <w:p w14:paraId="2483E3D5">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我方提供招标文件要求的全部资料，并保证真实性、合法性。</w:t>
      </w:r>
    </w:p>
    <w:p w14:paraId="07D90E09">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若中标，我方将按照招标文件规定，履行合同责任和义务。</w:t>
      </w:r>
    </w:p>
    <w:p w14:paraId="3C489B3F">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询价响应书自开标日起有效期为30天。</w:t>
      </w:r>
    </w:p>
    <w:p w14:paraId="4097E8DF">
      <w:pPr>
        <w:numPr>
          <w:ilvl w:val="0"/>
          <w:numId w:val="3"/>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我方与本招标文件响应有关的一切正式往来通讯请寄：</w:t>
      </w:r>
    </w:p>
    <w:p w14:paraId="10AECEFE">
      <w:pPr>
        <w:autoSpaceDE w:val="0"/>
        <w:autoSpaceDN w:val="0"/>
        <w:adjustRightInd w:val="0"/>
        <w:snapToGrid w:val="0"/>
        <w:spacing w:line="300" w:lineRule="auto"/>
        <w:ind w:firstLine="960" w:firstLineChars="400"/>
        <w:rPr>
          <w:rFonts w:ascii="仿宋_GB2312" w:hAnsi="仿宋_GB2312" w:eastAsia="仿宋_GB2312" w:cs="仿宋_GB2312"/>
          <w:u w:val="single"/>
        </w:rPr>
      </w:pPr>
      <w:r>
        <w:rPr>
          <w:rFonts w:hint="eastAsia" w:ascii="仿宋_GB2312" w:hAnsi="仿宋_GB2312" w:eastAsia="仿宋_GB2312" w:cs="仿宋_GB2312"/>
        </w:rPr>
        <w:t>地址：                邮编：</w:t>
      </w:r>
    </w:p>
    <w:p w14:paraId="35482A89">
      <w:pPr>
        <w:autoSpaceDE w:val="0"/>
        <w:autoSpaceDN w:val="0"/>
        <w:adjustRightInd w:val="0"/>
        <w:snapToGrid w:val="0"/>
        <w:spacing w:line="300" w:lineRule="auto"/>
        <w:ind w:firstLine="960" w:firstLineChars="400"/>
        <w:rPr>
          <w:rFonts w:ascii="仿宋_GB2312" w:hAnsi="仿宋_GB2312" w:eastAsia="仿宋_GB2312" w:cs="仿宋_GB2312"/>
          <w:u w:val="single"/>
        </w:rPr>
      </w:pPr>
      <w:r>
        <w:rPr>
          <w:rFonts w:hint="eastAsia" w:ascii="仿宋_GB2312" w:hAnsi="仿宋_GB2312" w:eastAsia="仿宋_GB2312" w:cs="仿宋_GB2312"/>
        </w:rPr>
        <w:t>电话：                传真：</w:t>
      </w:r>
    </w:p>
    <w:p w14:paraId="00947807">
      <w:pPr>
        <w:numPr>
          <w:ilvl w:val="0"/>
          <w:numId w:val="3"/>
        </w:numPr>
        <w:autoSpaceDE w:val="0"/>
        <w:autoSpaceDN w:val="0"/>
        <w:adjustRightInd w:val="0"/>
        <w:snapToGrid w:val="0"/>
        <w:spacing w:line="300" w:lineRule="auto"/>
        <w:ind w:firstLine="560"/>
        <w:rPr>
          <w:rFonts w:ascii="仿宋_GB2312" w:hAnsi="仿宋_GB2312" w:eastAsia="仿宋_GB2312" w:cs="仿宋_GB2312"/>
        </w:rPr>
      </w:pPr>
      <w:r>
        <w:rPr>
          <w:rFonts w:hint="eastAsia" w:ascii="仿宋_GB2312" w:hAnsi="仿宋_GB2312" w:eastAsia="仿宋_GB2312" w:cs="仿宋_GB2312"/>
        </w:rPr>
        <w:t>我方同意招标人不一定接受最低报价的投标。</w:t>
      </w:r>
    </w:p>
    <w:p w14:paraId="0E04719A">
      <w:pPr>
        <w:autoSpaceDE w:val="0"/>
        <w:autoSpaceDN w:val="0"/>
        <w:adjustRightInd w:val="0"/>
        <w:snapToGrid w:val="0"/>
        <w:spacing w:line="300" w:lineRule="auto"/>
        <w:rPr>
          <w:rFonts w:ascii="仿宋_GB2312" w:hAnsi="仿宋_GB2312" w:eastAsia="仿宋_GB2312" w:cs="仿宋_GB2312"/>
        </w:rPr>
      </w:pPr>
    </w:p>
    <w:p w14:paraId="6EA99D68">
      <w:pPr>
        <w:autoSpaceDE w:val="0"/>
        <w:autoSpaceDN w:val="0"/>
        <w:adjustRightInd w:val="0"/>
        <w:snapToGrid w:val="0"/>
        <w:spacing w:line="30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rPr>
        <w:t>投标单位名称（公章）：</w:t>
      </w:r>
    </w:p>
    <w:p w14:paraId="718DE339">
      <w:pPr>
        <w:autoSpaceDE w:val="0"/>
        <w:autoSpaceDN w:val="0"/>
        <w:adjustRightInd w:val="0"/>
        <w:snapToGrid w:val="0"/>
        <w:spacing w:line="30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rPr>
        <w:t>授权代表签字：</w:t>
      </w:r>
    </w:p>
    <w:p w14:paraId="11FCEF1F">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 xml:space="preserve">投标响应日期：  </w:t>
      </w:r>
    </w:p>
    <w:p w14:paraId="586760CE">
      <w:pPr>
        <w:autoSpaceDE/>
        <w:autoSpaceDN/>
        <w:adjustRightInd/>
        <w:snapToGrid/>
        <w:spacing w:line="240" w:lineRule="auto"/>
        <w:ind w:firstLine="0" w:firstLineChars="0"/>
        <w:rPr>
          <w:rFonts w:ascii="仿宋_GB2312" w:hAnsi="仿宋_GB2312" w:eastAsia="仿宋_GB2312" w:cs="仿宋_GB2312"/>
        </w:rPr>
      </w:pPr>
      <w:r>
        <w:rPr>
          <w:rFonts w:ascii="仿宋_GB2312" w:hAnsi="仿宋_GB2312" w:eastAsia="仿宋_GB2312" w:cs="仿宋_GB2312"/>
        </w:rPr>
        <w:br w:type="page"/>
      </w:r>
    </w:p>
    <w:p w14:paraId="1B64598C">
      <w:pPr>
        <w:pStyle w:val="4"/>
        <w:spacing w:before="120" w:after="120" w:line="600" w:lineRule="exact"/>
        <w:jc w:val="left"/>
        <w:rPr>
          <w:b/>
          <w:bCs/>
        </w:rPr>
      </w:pPr>
      <w:r>
        <w:rPr>
          <w:rFonts w:hint="eastAsia"/>
          <w:b/>
          <w:bCs/>
        </w:rPr>
        <w:t>二、投标一览表</w:t>
      </w:r>
    </w:p>
    <w:p w14:paraId="6C2F3E27">
      <w:pPr>
        <w:spacing w:line="600" w:lineRule="exact"/>
        <w:ind w:left="480" w:leftChars="200"/>
        <w:rPr>
          <w:rStyle w:val="38"/>
          <w:rFonts w:ascii="仿宋_GB2312" w:hAnsi="仿宋_GB2312" w:eastAsia="仿宋_GB2312" w:cs="仿宋_GB2312"/>
          <w:sz w:val="24"/>
          <w:szCs w:val="24"/>
          <w:u w:val="single"/>
        </w:rPr>
      </w:pPr>
      <w:r>
        <w:rPr>
          <w:rStyle w:val="38"/>
          <w:rFonts w:hint="eastAsia" w:ascii="仿宋_GB2312" w:hAnsi="仿宋_GB2312" w:eastAsia="仿宋_GB2312" w:cs="仿宋_GB2312"/>
          <w:sz w:val="24"/>
          <w:szCs w:val="24"/>
        </w:rPr>
        <w:t>项目名称：</w:t>
      </w:r>
    </w:p>
    <w:p w14:paraId="57161FDB">
      <w:pPr>
        <w:spacing w:line="600" w:lineRule="exact"/>
        <w:ind w:left="480" w:leftChars="200"/>
        <w:rPr>
          <w:rStyle w:val="38"/>
          <w:rFonts w:ascii="仿宋_GB2312" w:hAnsi="仿宋_GB2312" w:eastAsia="仿宋_GB2312" w:cs="仿宋_GB2312"/>
          <w:sz w:val="24"/>
          <w:szCs w:val="24"/>
        </w:rPr>
      </w:pPr>
      <w:r>
        <w:rPr>
          <w:rStyle w:val="38"/>
          <w:rFonts w:hint="eastAsia" w:ascii="仿宋_GB2312" w:hAnsi="仿宋_GB2312" w:eastAsia="仿宋_GB2312" w:cs="仿宋_GB2312"/>
          <w:sz w:val="24"/>
          <w:szCs w:val="24"/>
        </w:rPr>
        <w:t>投标单位名称：</w:t>
      </w:r>
    </w:p>
    <w:tbl>
      <w:tblPr>
        <w:tblStyle w:val="19"/>
        <w:tblW w:w="8522" w:type="dxa"/>
        <w:jc w:val="center"/>
        <w:tblLayout w:type="fixed"/>
        <w:tblCellMar>
          <w:top w:w="0" w:type="dxa"/>
          <w:left w:w="108" w:type="dxa"/>
          <w:bottom w:w="0" w:type="dxa"/>
          <w:right w:w="108" w:type="dxa"/>
        </w:tblCellMar>
      </w:tblPr>
      <w:tblGrid>
        <w:gridCol w:w="5689"/>
        <w:gridCol w:w="1786"/>
        <w:gridCol w:w="1047"/>
      </w:tblGrid>
      <w:tr w14:paraId="5D1F989E">
        <w:tblPrEx>
          <w:tblCellMar>
            <w:top w:w="0" w:type="dxa"/>
            <w:left w:w="108" w:type="dxa"/>
            <w:bottom w:w="0" w:type="dxa"/>
            <w:right w:w="108" w:type="dxa"/>
          </w:tblCellMar>
        </w:tblPrEx>
        <w:trPr>
          <w:cantSplit/>
          <w:trHeight w:val="490" w:hRule="atLeast"/>
          <w:jc w:val="center"/>
        </w:trPr>
        <w:tc>
          <w:tcPr>
            <w:tcW w:w="5689" w:type="dxa"/>
            <w:tcBorders>
              <w:top w:val="single" w:color="auto" w:sz="4" w:space="0"/>
              <w:left w:val="single" w:color="auto" w:sz="4" w:space="0"/>
              <w:bottom w:val="single" w:color="auto" w:sz="4" w:space="0"/>
              <w:right w:val="single" w:color="auto" w:sz="4" w:space="0"/>
            </w:tcBorders>
            <w:vAlign w:val="center"/>
          </w:tcPr>
          <w:p w14:paraId="1FE0CBE3">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项目名称</w:t>
            </w:r>
          </w:p>
        </w:tc>
        <w:tc>
          <w:tcPr>
            <w:tcW w:w="1786" w:type="dxa"/>
            <w:tcBorders>
              <w:top w:val="single" w:color="auto" w:sz="4" w:space="0"/>
              <w:left w:val="nil"/>
              <w:bottom w:val="single" w:color="auto" w:sz="4" w:space="0"/>
              <w:right w:val="single" w:color="auto" w:sz="4" w:space="0"/>
            </w:tcBorders>
            <w:vAlign w:val="center"/>
          </w:tcPr>
          <w:p w14:paraId="6C15A1DD">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投标总价</w:t>
            </w:r>
          </w:p>
        </w:tc>
        <w:tc>
          <w:tcPr>
            <w:tcW w:w="1047" w:type="dxa"/>
            <w:tcBorders>
              <w:top w:val="single" w:color="auto" w:sz="4" w:space="0"/>
              <w:left w:val="nil"/>
              <w:bottom w:val="single" w:color="auto" w:sz="4" w:space="0"/>
              <w:right w:val="single" w:color="auto" w:sz="4" w:space="0"/>
            </w:tcBorders>
            <w:vAlign w:val="center"/>
          </w:tcPr>
          <w:p w14:paraId="77DD3C92">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备注</w:t>
            </w:r>
          </w:p>
        </w:tc>
      </w:tr>
      <w:tr w14:paraId="7322B0D0">
        <w:tblPrEx>
          <w:tblCellMar>
            <w:top w:w="0" w:type="dxa"/>
            <w:left w:w="108" w:type="dxa"/>
            <w:bottom w:w="0" w:type="dxa"/>
            <w:right w:w="108" w:type="dxa"/>
          </w:tblCellMar>
        </w:tblPrEx>
        <w:trPr>
          <w:cantSplit/>
          <w:trHeight w:val="357" w:hRule="atLeast"/>
          <w:jc w:val="center"/>
        </w:trPr>
        <w:tc>
          <w:tcPr>
            <w:tcW w:w="5689" w:type="dxa"/>
            <w:tcBorders>
              <w:top w:val="single" w:color="auto" w:sz="4" w:space="0"/>
              <w:left w:val="single" w:color="auto" w:sz="4" w:space="0"/>
              <w:bottom w:val="single" w:color="auto" w:sz="4" w:space="0"/>
              <w:right w:val="single" w:color="auto" w:sz="4" w:space="0"/>
            </w:tcBorders>
            <w:vAlign w:val="center"/>
          </w:tcPr>
          <w:p w14:paraId="61A90565">
            <w:pPr>
              <w:spacing w:line="400" w:lineRule="exact"/>
              <w:jc w:val="center"/>
              <w:rPr>
                <w:rStyle w:val="38"/>
              </w:rPr>
            </w:pPr>
          </w:p>
        </w:tc>
        <w:tc>
          <w:tcPr>
            <w:tcW w:w="1786" w:type="dxa"/>
            <w:tcBorders>
              <w:top w:val="single" w:color="auto" w:sz="4" w:space="0"/>
              <w:left w:val="nil"/>
              <w:bottom w:val="single" w:color="auto" w:sz="4" w:space="0"/>
              <w:right w:val="single" w:color="auto" w:sz="4" w:space="0"/>
            </w:tcBorders>
            <w:vAlign w:val="center"/>
          </w:tcPr>
          <w:p w14:paraId="044C35AA">
            <w:pPr>
              <w:spacing w:line="400" w:lineRule="exact"/>
              <w:jc w:val="center"/>
              <w:rPr>
                <w:rStyle w:val="38"/>
              </w:rPr>
            </w:pPr>
          </w:p>
        </w:tc>
        <w:tc>
          <w:tcPr>
            <w:tcW w:w="1047" w:type="dxa"/>
            <w:tcBorders>
              <w:top w:val="single" w:color="auto" w:sz="4" w:space="0"/>
              <w:left w:val="nil"/>
              <w:bottom w:val="single" w:color="auto" w:sz="4" w:space="0"/>
              <w:right w:val="single" w:color="auto" w:sz="4" w:space="0"/>
            </w:tcBorders>
            <w:vAlign w:val="center"/>
          </w:tcPr>
          <w:p w14:paraId="32CA594C">
            <w:pPr>
              <w:spacing w:line="400" w:lineRule="exact"/>
              <w:jc w:val="center"/>
              <w:rPr>
                <w:rStyle w:val="38"/>
              </w:rPr>
            </w:pPr>
          </w:p>
        </w:tc>
      </w:tr>
    </w:tbl>
    <w:p w14:paraId="0E9B304B">
      <w:pPr>
        <w:spacing w:line="600" w:lineRule="exact"/>
        <w:ind w:left="480" w:leftChars="200"/>
        <w:rPr>
          <w:rStyle w:val="38"/>
          <w:rFonts w:ascii="仿宋_GB2312" w:hAnsi="仿宋_GB2312" w:eastAsia="仿宋_GB2312" w:cs="仿宋_GB2312"/>
          <w:szCs w:val="24"/>
        </w:rPr>
      </w:pPr>
      <w:r>
        <w:rPr>
          <w:rStyle w:val="38"/>
          <w:rFonts w:ascii="仿宋_GB2312" w:hAnsi="仿宋_GB2312" w:eastAsia="仿宋_GB2312" w:cs="仿宋_GB2312"/>
          <w:szCs w:val="24"/>
        </w:rPr>
        <w:t>拟安排的项目负责人情况（仅限</w:t>
      </w:r>
      <w:r>
        <w:rPr>
          <w:rStyle w:val="38"/>
          <w:rFonts w:hint="eastAsia" w:ascii="仿宋_GB2312" w:hAnsi="仿宋_GB2312" w:eastAsia="仿宋_GB2312" w:cs="仿宋_GB2312"/>
          <w:szCs w:val="24"/>
        </w:rPr>
        <w:t>1人）</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14:paraId="7151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6" w:type="dxa"/>
            <w:vAlign w:val="center"/>
          </w:tcPr>
          <w:p w14:paraId="21CBE6A3">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序号</w:t>
            </w:r>
          </w:p>
        </w:tc>
        <w:tc>
          <w:tcPr>
            <w:tcW w:w="1601" w:type="dxa"/>
            <w:vAlign w:val="center"/>
          </w:tcPr>
          <w:p w14:paraId="0D0B527F">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姓名</w:t>
            </w:r>
          </w:p>
        </w:tc>
        <w:tc>
          <w:tcPr>
            <w:tcW w:w="2141" w:type="dxa"/>
            <w:vAlign w:val="center"/>
          </w:tcPr>
          <w:p w14:paraId="20E90983">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职称</w:t>
            </w:r>
          </w:p>
        </w:tc>
        <w:tc>
          <w:tcPr>
            <w:tcW w:w="2190" w:type="dxa"/>
            <w:vAlign w:val="center"/>
          </w:tcPr>
          <w:p w14:paraId="600514B7">
            <w:pPr>
              <w:widowControl w:val="0"/>
              <w:spacing w:line="400" w:lineRule="exact"/>
              <w:jc w:val="center"/>
              <w:rPr>
                <w:rStyle w:val="38"/>
                <w:rFonts w:ascii="仿宋_GB2312" w:hAnsi="仿宋_GB2312" w:eastAsia="仿宋_GB2312" w:cs="仿宋_GB2312"/>
              </w:rPr>
            </w:pPr>
            <w:r>
              <w:rPr>
                <w:rStyle w:val="38"/>
                <w:rFonts w:ascii="仿宋_GB2312" w:hAnsi="仿宋_GB2312" w:eastAsia="仿宋_GB2312" w:cs="仿宋_GB2312"/>
              </w:rPr>
              <w:t>学历</w:t>
            </w:r>
          </w:p>
        </w:tc>
        <w:tc>
          <w:tcPr>
            <w:tcW w:w="1594" w:type="dxa"/>
            <w:vAlign w:val="center"/>
          </w:tcPr>
          <w:p w14:paraId="30354567">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备注</w:t>
            </w:r>
          </w:p>
        </w:tc>
      </w:tr>
      <w:tr w14:paraId="634C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96" w:type="dxa"/>
          </w:tcPr>
          <w:p w14:paraId="12522136">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1</w:t>
            </w:r>
          </w:p>
        </w:tc>
        <w:tc>
          <w:tcPr>
            <w:tcW w:w="1601" w:type="dxa"/>
          </w:tcPr>
          <w:p w14:paraId="48876A52">
            <w:pPr>
              <w:spacing w:line="400" w:lineRule="exact"/>
              <w:jc w:val="center"/>
              <w:rPr>
                <w:rStyle w:val="38"/>
                <w:rFonts w:ascii="仿宋_GB2312" w:hAnsi="仿宋_GB2312" w:eastAsia="仿宋_GB2312" w:cs="仿宋_GB2312"/>
              </w:rPr>
            </w:pPr>
          </w:p>
        </w:tc>
        <w:tc>
          <w:tcPr>
            <w:tcW w:w="2141" w:type="dxa"/>
          </w:tcPr>
          <w:p w14:paraId="5B436C3D">
            <w:pPr>
              <w:spacing w:line="400" w:lineRule="exact"/>
              <w:jc w:val="center"/>
              <w:rPr>
                <w:rStyle w:val="38"/>
                <w:rFonts w:ascii="仿宋_GB2312" w:hAnsi="仿宋_GB2312" w:eastAsia="仿宋_GB2312" w:cs="仿宋_GB2312"/>
              </w:rPr>
            </w:pPr>
          </w:p>
        </w:tc>
        <w:tc>
          <w:tcPr>
            <w:tcW w:w="2190" w:type="dxa"/>
          </w:tcPr>
          <w:p w14:paraId="47C18A05">
            <w:pPr>
              <w:spacing w:line="400" w:lineRule="exact"/>
              <w:jc w:val="center"/>
              <w:rPr>
                <w:rStyle w:val="38"/>
                <w:rFonts w:ascii="仿宋_GB2312" w:hAnsi="仿宋_GB2312" w:eastAsia="仿宋_GB2312" w:cs="仿宋_GB2312"/>
              </w:rPr>
            </w:pPr>
          </w:p>
        </w:tc>
        <w:tc>
          <w:tcPr>
            <w:tcW w:w="1594" w:type="dxa"/>
          </w:tcPr>
          <w:p w14:paraId="73FCB7BA">
            <w:pPr>
              <w:spacing w:line="400" w:lineRule="exact"/>
              <w:jc w:val="center"/>
              <w:rPr>
                <w:rStyle w:val="38"/>
                <w:rFonts w:ascii="仿宋_GB2312" w:hAnsi="仿宋_GB2312" w:eastAsia="仿宋_GB2312" w:cs="仿宋_GB2312"/>
              </w:rPr>
            </w:pPr>
          </w:p>
        </w:tc>
      </w:tr>
    </w:tbl>
    <w:p w14:paraId="486C82B0">
      <w:pPr>
        <w:spacing w:line="600" w:lineRule="exact"/>
        <w:ind w:left="480" w:leftChars="200"/>
        <w:rPr>
          <w:rStyle w:val="38"/>
          <w:rFonts w:ascii="仿宋_GB2312" w:hAnsi="仿宋_GB2312" w:eastAsia="仿宋_GB2312" w:cs="仿宋_GB2312"/>
          <w:szCs w:val="24"/>
        </w:rPr>
      </w:pPr>
      <w:r>
        <w:rPr>
          <w:rStyle w:val="38"/>
          <w:rFonts w:hint="eastAsia" w:ascii="仿宋_GB2312" w:hAnsi="仿宋_GB2312" w:eastAsia="仿宋_GB2312" w:cs="仿宋_GB2312"/>
          <w:szCs w:val="24"/>
        </w:rPr>
        <w:t>拟安排的项目团队成员（项目负</w:t>
      </w:r>
      <w:r>
        <w:rPr>
          <w:rStyle w:val="38"/>
          <w:rFonts w:ascii="仿宋_GB2312" w:hAnsi="仿宋_GB2312" w:eastAsia="仿宋_GB2312" w:cs="仿宋_GB2312"/>
          <w:szCs w:val="24"/>
        </w:rPr>
        <w:t>责人除外）情况</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14:paraId="0909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6" w:type="dxa"/>
            <w:vAlign w:val="center"/>
          </w:tcPr>
          <w:p w14:paraId="5072F6D8">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序号</w:t>
            </w:r>
          </w:p>
        </w:tc>
        <w:tc>
          <w:tcPr>
            <w:tcW w:w="1601" w:type="dxa"/>
            <w:vAlign w:val="center"/>
          </w:tcPr>
          <w:p w14:paraId="0C8F9D44">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姓名</w:t>
            </w:r>
          </w:p>
        </w:tc>
        <w:tc>
          <w:tcPr>
            <w:tcW w:w="2141" w:type="dxa"/>
            <w:vAlign w:val="center"/>
          </w:tcPr>
          <w:p w14:paraId="53D25283">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职称</w:t>
            </w:r>
          </w:p>
        </w:tc>
        <w:tc>
          <w:tcPr>
            <w:tcW w:w="2190" w:type="dxa"/>
            <w:vAlign w:val="center"/>
          </w:tcPr>
          <w:p w14:paraId="541394E1">
            <w:pPr>
              <w:widowControl w:val="0"/>
              <w:spacing w:line="400" w:lineRule="exact"/>
              <w:jc w:val="center"/>
              <w:rPr>
                <w:rStyle w:val="38"/>
                <w:rFonts w:ascii="仿宋_GB2312" w:hAnsi="仿宋_GB2312" w:eastAsia="仿宋_GB2312" w:cs="仿宋_GB2312"/>
              </w:rPr>
            </w:pPr>
            <w:r>
              <w:rPr>
                <w:rStyle w:val="38"/>
                <w:rFonts w:ascii="仿宋_GB2312" w:hAnsi="仿宋_GB2312" w:eastAsia="仿宋_GB2312" w:cs="仿宋_GB2312"/>
              </w:rPr>
              <w:t>学历</w:t>
            </w:r>
          </w:p>
        </w:tc>
        <w:tc>
          <w:tcPr>
            <w:tcW w:w="1594" w:type="dxa"/>
            <w:vAlign w:val="center"/>
          </w:tcPr>
          <w:p w14:paraId="7E770A04">
            <w:pPr>
              <w:widowControl w:val="0"/>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备注</w:t>
            </w:r>
          </w:p>
        </w:tc>
      </w:tr>
      <w:tr w14:paraId="1B17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6" w:type="dxa"/>
          </w:tcPr>
          <w:p w14:paraId="1E4FC8EE">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1</w:t>
            </w:r>
          </w:p>
        </w:tc>
        <w:tc>
          <w:tcPr>
            <w:tcW w:w="1601" w:type="dxa"/>
          </w:tcPr>
          <w:p w14:paraId="47FFD8D4">
            <w:pPr>
              <w:spacing w:line="400" w:lineRule="exact"/>
              <w:jc w:val="center"/>
              <w:rPr>
                <w:rStyle w:val="38"/>
                <w:rFonts w:ascii="仿宋_GB2312" w:hAnsi="仿宋_GB2312" w:eastAsia="仿宋_GB2312" w:cs="仿宋_GB2312"/>
              </w:rPr>
            </w:pPr>
          </w:p>
        </w:tc>
        <w:tc>
          <w:tcPr>
            <w:tcW w:w="2141" w:type="dxa"/>
          </w:tcPr>
          <w:p w14:paraId="6DFC3123">
            <w:pPr>
              <w:spacing w:line="400" w:lineRule="exact"/>
              <w:jc w:val="center"/>
              <w:rPr>
                <w:rStyle w:val="38"/>
                <w:rFonts w:ascii="仿宋_GB2312" w:hAnsi="仿宋_GB2312" w:eastAsia="仿宋_GB2312" w:cs="仿宋_GB2312"/>
              </w:rPr>
            </w:pPr>
          </w:p>
        </w:tc>
        <w:tc>
          <w:tcPr>
            <w:tcW w:w="2190" w:type="dxa"/>
          </w:tcPr>
          <w:p w14:paraId="0FF026D9">
            <w:pPr>
              <w:spacing w:line="400" w:lineRule="exact"/>
              <w:jc w:val="center"/>
              <w:rPr>
                <w:rStyle w:val="38"/>
                <w:rFonts w:ascii="仿宋_GB2312" w:hAnsi="仿宋_GB2312" w:eastAsia="仿宋_GB2312" w:cs="仿宋_GB2312"/>
              </w:rPr>
            </w:pPr>
          </w:p>
        </w:tc>
        <w:tc>
          <w:tcPr>
            <w:tcW w:w="1594" w:type="dxa"/>
          </w:tcPr>
          <w:p w14:paraId="043A197F">
            <w:pPr>
              <w:spacing w:line="400" w:lineRule="exact"/>
              <w:jc w:val="center"/>
              <w:rPr>
                <w:rStyle w:val="38"/>
                <w:rFonts w:ascii="仿宋_GB2312" w:hAnsi="仿宋_GB2312" w:eastAsia="仿宋_GB2312" w:cs="仿宋_GB2312"/>
              </w:rPr>
            </w:pPr>
          </w:p>
        </w:tc>
      </w:tr>
      <w:tr w14:paraId="0D4E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96" w:type="dxa"/>
          </w:tcPr>
          <w:p w14:paraId="38E3D4A3">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2</w:t>
            </w:r>
          </w:p>
        </w:tc>
        <w:tc>
          <w:tcPr>
            <w:tcW w:w="1601" w:type="dxa"/>
          </w:tcPr>
          <w:p w14:paraId="46734115">
            <w:pPr>
              <w:spacing w:line="400" w:lineRule="exact"/>
              <w:jc w:val="center"/>
              <w:rPr>
                <w:rStyle w:val="38"/>
                <w:rFonts w:ascii="仿宋_GB2312" w:hAnsi="仿宋_GB2312" w:eastAsia="仿宋_GB2312" w:cs="仿宋_GB2312"/>
              </w:rPr>
            </w:pPr>
          </w:p>
        </w:tc>
        <w:tc>
          <w:tcPr>
            <w:tcW w:w="2141" w:type="dxa"/>
          </w:tcPr>
          <w:p w14:paraId="0E93F40E">
            <w:pPr>
              <w:spacing w:line="400" w:lineRule="exact"/>
              <w:jc w:val="center"/>
              <w:rPr>
                <w:rStyle w:val="38"/>
                <w:rFonts w:ascii="仿宋_GB2312" w:hAnsi="仿宋_GB2312" w:eastAsia="仿宋_GB2312" w:cs="仿宋_GB2312"/>
              </w:rPr>
            </w:pPr>
          </w:p>
        </w:tc>
        <w:tc>
          <w:tcPr>
            <w:tcW w:w="2190" w:type="dxa"/>
          </w:tcPr>
          <w:p w14:paraId="448587BE">
            <w:pPr>
              <w:spacing w:line="400" w:lineRule="exact"/>
              <w:jc w:val="center"/>
              <w:rPr>
                <w:rStyle w:val="38"/>
                <w:rFonts w:ascii="仿宋_GB2312" w:hAnsi="仿宋_GB2312" w:eastAsia="仿宋_GB2312" w:cs="仿宋_GB2312"/>
              </w:rPr>
            </w:pPr>
          </w:p>
        </w:tc>
        <w:tc>
          <w:tcPr>
            <w:tcW w:w="1594" w:type="dxa"/>
          </w:tcPr>
          <w:p w14:paraId="695905FB">
            <w:pPr>
              <w:spacing w:line="400" w:lineRule="exact"/>
              <w:jc w:val="center"/>
              <w:rPr>
                <w:rStyle w:val="38"/>
                <w:rFonts w:ascii="仿宋_GB2312" w:hAnsi="仿宋_GB2312" w:eastAsia="仿宋_GB2312" w:cs="仿宋_GB2312"/>
              </w:rPr>
            </w:pPr>
          </w:p>
        </w:tc>
      </w:tr>
      <w:tr w14:paraId="6171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96" w:type="dxa"/>
          </w:tcPr>
          <w:p w14:paraId="747C9336">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3</w:t>
            </w:r>
          </w:p>
        </w:tc>
        <w:tc>
          <w:tcPr>
            <w:tcW w:w="1601" w:type="dxa"/>
          </w:tcPr>
          <w:p w14:paraId="0D19BC09">
            <w:pPr>
              <w:spacing w:line="400" w:lineRule="exact"/>
              <w:jc w:val="center"/>
              <w:rPr>
                <w:rStyle w:val="38"/>
                <w:rFonts w:ascii="仿宋_GB2312" w:hAnsi="仿宋_GB2312" w:eastAsia="仿宋_GB2312" w:cs="仿宋_GB2312"/>
              </w:rPr>
            </w:pPr>
          </w:p>
        </w:tc>
        <w:tc>
          <w:tcPr>
            <w:tcW w:w="2141" w:type="dxa"/>
          </w:tcPr>
          <w:p w14:paraId="3242A988">
            <w:pPr>
              <w:spacing w:line="400" w:lineRule="exact"/>
              <w:jc w:val="center"/>
              <w:rPr>
                <w:rStyle w:val="38"/>
                <w:rFonts w:ascii="仿宋_GB2312" w:hAnsi="仿宋_GB2312" w:eastAsia="仿宋_GB2312" w:cs="仿宋_GB2312"/>
              </w:rPr>
            </w:pPr>
          </w:p>
        </w:tc>
        <w:tc>
          <w:tcPr>
            <w:tcW w:w="2190" w:type="dxa"/>
          </w:tcPr>
          <w:p w14:paraId="6C8BBED4">
            <w:pPr>
              <w:spacing w:line="400" w:lineRule="exact"/>
              <w:jc w:val="center"/>
              <w:rPr>
                <w:rStyle w:val="38"/>
                <w:rFonts w:ascii="仿宋_GB2312" w:hAnsi="仿宋_GB2312" w:eastAsia="仿宋_GB2312" w:cs="仿宋_GB2312"/>
              </w:rPr>
            </w:pPr>
          </w:p>
        </w:tc>
        <w:tc>
          <w:tcPr>
            <w:tcW w:w="1594" w:type="dxa"/>
          </w:tcPr>
          <w:p w14:paraId="5ECAE101">
            <w:pPr>
              <w:spacing w:line="400" w:lineRule="exact"/>
              <w:jc w:val="center"/>
              <w:rPr>
                <w:rStyle w:val="38"/>
                <w:rFonts w:ascii="仿宋_GB2312" w:hAnsi="仿宋_GB2312" w:eastAsia="仿宋_GB2312" w:cs="仿宋_GB2312"/>
              </w:rPr>
            </w:pPr>
          </w:p>
        </w:tc>
      </w:tr>
      <w:tr w14:paraId="2399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tcPr>
          <w:p w14:paraId="1B0FDC6D">
            <w:pPr>
              <w:spacing w:line="400" w:lineRule="exact"/>
              <w:jc w:val="center"/>
              <w:rPr>
                <w:rStyle w:val="38"/>
                <w:rFonts w:ascii="仿宋_GB2312" w:hAnsi="仿宋_GB2312" w:eastAsia="仿宋_GB2312" w:cs="仿宋_GB2312"/>
              </w:rPr>
            </w:pPr>
            <w:r>
              <w:rPr>
                <w:rStyle w:val="38"/>
                <w:rFonts w:hint="eastAsia" w:ascii="仿宋_GB2312" w:hAnsi="仿宋_GB2312" w:eastAsia="仿宋_GB2312" w:cs="仿宋_GB2312"/>
              </w:rPr>
              <w:t>…</w:t>
            </w:r>
          </w:p>
        </w:tc>
        <w:tc>
          <w:tcPr>
            <w:tcW w:w="1601" w:type="dxa"/>
          </w:tcPr>
          <w:p w14:paraId="6C660504">
            <w:pPr>
              <w:spacing w:line="400" w:lineRule="exact"/>
              <w:jc w:val="center"/>
              <w:rPr>
                <w:rStyle w:val="38"/>
                <w:rFonts w:ascii="仿宋_GB2312" w:hAnsi="仿宋_GB2312" w:eastAsia="仿宋_GB2312" w:cs="仿宋_GB2312"/>
              </w:rPr>
            </w:pPr>
          </w:p>
        </w:tc>
        <w:tc>
          <w:tcPr>
            <w:tcW w:w="2141" w:type="dxa"/>
          </w:tcPr>
          <w:p w14:paraId="34746674">
            <w:pPr>
              <w:spacing w:line="400" w:lineRule="exact"/>
              <w:jc w:val="center"/>
              <w:rPr>
                <w:rStyle w:val="38"/>
                <w:rFonts w:ascii="仿宋_GB2312" w:hAnsi="仿宋_GB2312" w:eastAsia="仿宋_GB2312" w:cs="仿宋_GB2312"/>
              </w:rPr>
            </w:pPr>
          </w:p>
        </w:tc>
        <w:tc>
          <w:tcPr>
            <w:tcW w:w="2190" w:type="dxa"/>
          </w:tcPr>
          <w:p w14:paraId="0C98FC02">
            <w:pPr>
              <w:spacing w:line="400" w:lineRule="exact"/>
              <w:jc w:val="center"/>
              <w:rPr>
                <w:rStyle w:val="38"/>
                <w:rFonts w:ascii="仿宋_GB2312" w:hAnsi="仿宋_GB2312" w:eastAsia="仿宋_GB2312" w:cs="仿宋_GB2312"/>
              </w:rPr>
            </w:pPr>
          </w:p>
        </w:tc>
        <w:tc>
          <w:tcPr>
            <w:tcW w:w="1594" w:type="dxa"/>
          </w:tcPr>
          <w:p w14:paraId="0D91F441">
            <w:pPr>
              <w:spacing w:line="400" w:lineRule="exact"/>
              <w:jc w:val="center"/>
              <w:rPr>
                <w:rStyle w:val="38"/>
                <w:rFonts w:ascii="仿宋_GB2312" w:hAnsi="仿宋_GB2312" w:eastAsia="仿宋_GB2312" w:cs="仿宋_GB2312"/>
              </w:rPr>
            </w:pPr>
          </w:p>
        </w:tc>
      </w:tr>
    </w:tbl>
    <w:p w14:paraId="52D7B660">
      <w:pPr>
        <w:spacing w:line="400" w:lineRule="exact"/>
        <w:ind w:firstLine="480" w:firstLineChars="200"/>
        <w:rPr>
          <w:rStyle w:val="38"/>
          <w:rFonts w:ascii="仿宋_GB2312" w:hAnsi="仿宋_GB2312" w:eastAsia="仿宋_GB2312" w:cs="仿宋_GB2312"/>
          <w:sz w:val="24"/>
          <w:szCs w:val="24"/>
        </w:rPr>
      </w:pPr>
      <w:r>
        <w:rPr>
          <w:rStyle w:val="38"/>
          <w:rFonts w:hint="eastAsia" w:ascii="仿宋_GB2312" w:hAnsi="仿宋_GB2312" w:eastAsia="仿宋_GB2312" w:cs="仿宋_GB2312"/>
          <w:sz w:val="24"/>
          <w:szCs w:val="24"/>
        </w:rPr>
        <w:t>注：</w:t>
      </w:r>
    </w:p>
    <w:p w14:paraId="73E79045">
      <w:pPr>
        <w:spacing w:line="400" w:lineRule="exact"/>
        <w:ind w:firstLine="480" w:firstLineChars="200"/>
        <w:rPr>
          <w:rStyle w:val="38"/>
          <w:rFonts w:ascii="仿宋_GB2312" w:hAnsi="仿宋_GB2312" w:eastAsia="仿宋_GB2312" w:cs="仿宋_GB2312"/>
          <w:sz w:val="24"/>
          <w:szCs w:val="24"/>
        </w:rPr>
      </w:pPr>
      <w:r>
        <w:rPr>
          <w:rStyle w:val="38"/>
          <w:rFonts w:hint="eastAsia" w:ascii="仿宋_GB2312" w:hAnsi="仿宋_GB2312" w:eastAsia="仿宋_GB2312" w:cs="仿宋_GB2312"/>
          <w:sz w:val="24"/>
          <w:szCs w:val="24"/>
        </w:rPr>
        <w:t>1.请按以上表格填写相关内容，并明确内容相关证明材料的所在投标文件中的页码。</w:t>
      </w:r>
    </w:p>
    <w:p w14:paraId="5BD275E1">
      <w:pPr>
        <w:spacing w:line="400" w:lineRule="exact"/>
        <w:ind w:firstLine="480" w:firstLineChars="200"/>
        <w:rPr>
          <w:rStyle w:val="38"/>
          <w:rFonts w:ascii="仿宋_GB2312" w:hAnsi="仿宋_GB2312" w:eastAsia="仿宋_GB2312" w:cs="仿宋_GB2312"/>
          <w:sz w:val="24"/>
          <w:szCs w:val="24"/>
        </w:rPr>
      </w:pPr>
      <w:r>
        <w:rPr>
          <w:rStyle w:val="38"/>
          <w:rFonts w:ascii="仿宋_GB2312" w:hAnsi="仿宋_GB2312" w:eastAsia="仿宋_GB2312" w:cs="仿宋_GB2312"/>
          <w:sz w:val="24"/>
          <w:szCs w:val="24"/>
        </w:rPr>
        <w:t>2.</w:t>
      </w:r>
      <w:r>
        <w:rPr>
          <w:rStyle w:val="38"/>
          <w:rFonts w:hint="eastAsia" w:ascii="仿宋_GB2312" w:hAnsi="仿宋_GB2312" w:eastAsia="仿宋_GB2312" w:cs="仿宋_GB2312"/>
          <w:sz w:val="24"/>
          <w:szCs w:val="24"/>
        </w:rPr>
        <w:t>要求提供投标人工作单位所开出的在职证明，并承诺该员工在本公司</w:t>
      </w:r>
      <w:r>
        <w:rPr>
          <w:rStyle w:val="38"/>
          <w:rFonts w:ascii="仿宋_GB2312" w:hAnsi="仿宋_GB2312" w:eastAsia="仿宋_GB2312" w:cs="仿宋_GB2312"/>
          <w:sz w:val="24"/>
          <w:szCs w:val="24"/>
        </w:rPr>
        <w:t>截标前</w:t>
      </w:r>
      <w:r>
        <w:rPr>
          <w:rStyle w:val="38"/>
          <w:rFonts w:hint="eastAsia" w:ascii="仿宋_GB2312" w:hAnsi="仿宋_GB2312" w:eastAsia="仿宋_GB2312" w:cs="仿宋_GB2312"/>
          <w:sz w:val="24"/>
          <w:szCs w:val="24"/>
        </w:rPr>
        <w:t>任职并在本公司连续缴纳社保3个月以上作为依据</w:t>
      </w:r>
      <w:r>
        <w:rPr>
          <w:rStyle w:val="38"/>
          <w:rFonts w:ascii="仿宋_GB2312" w:hAnsi="仿宋_GB2312" w:eastAsia="仿宋_GB2312" w:cs="仿宋_GB2312"/>
          <w:sz w:val="24"/>
          <w:szCs w:val="24"/>
        </w:rPr>
        <w:t>。</w:t>
      </w:r>
    </w:p>
    <w:p w14:paraId="7D9FC76B">
      <w:pPr>
        <w:spacing w:line="400" w:lineRule="exact"/>
        <w:ind w:firstLine="480" w:firstLineChars="200"/>
        <w:rPr>
          <w:rFonts w:ascii="仿宋_GB2312" w:hAnsi="仿宋_GB2312" w:eastAsia="仿宋_GB2312" w:cs="仿宋_GB2312"/>
        </w:rPr>
      </w:pPr>
      <w:r>
        <w:rPr>
          <w:rStyle w:val="38"/>
          <w:rFonts w:ascii="仿宋_GB2312" w:hAnsi="仿宋_GB2312" w:eastAsia="仿宋_GB2312" w:cs="仿宋_GB2312"/>
          <w:sz w:val="24"/>
          <w:szCs w:val="24"/>
        </w:rPr>
        <w:t>3.</w:t>
      </w:r>
      <w:r>
        <w:rPr>
          <w:rStyle w:val="38"/>
          <w:rFonts w:hint="eastAsia" w:ascii="仿宋_GB2312" w:hAnsi="仿宋_GB2312" w:eastAsia="仿宋_GB2312" w:cs="仿宋_GB2312"/>
          <w:sz w:val="24"/>
          <w:szCs w:val="24"/>
        </w:rPr>
        <w:t>提供相关职业资格证书、</w:t>
      </w:r>
      <w:r>
        <w:rPr>
          <w:rStyle w:val="38"/>
          <w:rFonts w:ascii="仿宋_GB2312" w:hAnsi="仿宋_GB2312" w:eastAsia="仿宋_GB2312" w:cs="仿宋_GB2312"/>
          <w:sz w:val="24"/>
          <w:szCs w:val="24"/>
        </w:rPr>
        <w:t>职称证书、</w:t>
      </w:r>
      <w:r>
        <w:rPr>
          <w:rStyle w:val="38"/>
          <w:rFonts w:hint="eastAsia" w:ascii="仿宋_GB2312" w:hAnsi="仿宋_GB2312" w:eastAsia="仿宋_GB2312" w:cs="仿宋_GB2312"/>
          <w:sz w:val="24"/>
          <w:szCs w:val="24"/>
        </w:rPr>
        <w:t>工作经验证明材料扫描件，原件备查。以合同签订时间为准，工作经验证明材料为项目合同关键信息或合同招标单位出具的证明文件。</w:t>
      </w:r>
    </w:p>
    <w:p w14:paraId="05AA2233">
      <w:pPr>
        <w:spacing w:line="360" w:lineRule="auto"/>
        <w:ind w:left="480" w:leftChars="200"/>
        <w:rPr>
          <w:rFonts w:ascii="仿宋_GB2312" w:hAnsi="仿宋_GB2312" w:eastAsia="仿宋_GB2312" w:cs="仿宋_GB2312"/>
        </w:rPr>
      </w:pPr>
      <w:r>
        <w:rPr>
          <w:rFonts w:hint="eastAsia" w:ascii="仿宋_GB2312" w:hAnsi="仿宋_GB2312" w:eastAsia="仿宋_GB2312" w:cs="仿宋_GB2312"/>
        </w:rPr>
        <w:t>4.附价格核算明细及依据。</w:t>
      </w:r>
    </w:p>
    <w:p w14:paraId="1A51CA80">
      <w:pPr>
        <w:spacing w:line="360" w:lineRule="auto"/>
        <w:ind w:left="480" w:leftChars="200"/>
        <w:rPr>
          <w:rFonts w:ascii="仿宋_GB2312" w:hAnsi="仿宋_GB2312" w:eastAsia="仿宋_GB2312" w:cs="仿宋_GB2312"/>
        </w:rPr>
      </w:pPr>
    </w:p>
    <w:p w14:paraId="01BCA7A4">
      <w:pPr>
        <w:spacing w:line="360" w:lineRule="exact"/>
        <w:ind w:left="480" w:leftChars="200"/>
        <w:rPr>
          <w:rStyle w:val="38"/>
          <w:rFonts w:ascii="仿宋_GB2312" w:hAnsi="仿宋_GB2312" w:eastAsia="仿宋_GB2312" w:cs="仿宋_GB2312"/>
          <w:sz w:val="24"/>
          <w:szCs w:val="24"/>
        </w:rPr>
      </w:pPr>
      <w:r>
        <w:rPr>
          <w:rStyle w:val="38"/>
          <w:rFonts w:hint="eastAsia" w:ascii="仿宋_GB2312" w:hAnsi="仿宋_GB2312" w:eastAsia="仿宋_GB2312" w:cs="仿宋_GB2312"/>
          <w:sz w:val="24"/>
          <w:szCs w:val="24"/>
        </w:rPr>
        <w:t xml:space="preserve">投标单位代表签字：             </w:t>
      </w:r>
    </w:p>
    <w:p w14:paraId="483534A8">
      <w:pPr>
        <w:spacing w:line="360" w:lineRule="exact"/>
        <w:rPr>
          <w:rStyle w:val="38"/>
          <w:rFonts w:ascii="仿宋_GB2312" w:hAnsi="仿宋_GB2312" w:eastAsia="仿宋_GB2312" w:cs="仿宋_GB2312"/>
          <w:sz w:val="24"/>
          <w:szCs w:val="24"/>
        </w:rPr>
      </w:pPr>
    </w:p>
    <w:p w14:paraId="12D2965A">
      <w:pPr>
        <w:spacing w:line="360" w:lineRule="exact"/>
        <w:ind w:left="480" w:leftChars="200"/>
        <w:rPr>
          <w:sz w:val="22"/>
          <w:szCs w:val="22"/>
        </w:rPr>
      </w:pPr>
      <w:r>
        <w:rPr>
          <w:rStyle w:val="38"/>
          <w:rFonts w:hint="eastAsia" w:ascii="仿宋_GB2312" w:hAnsi="仿宋_GB2312" w:eastAsia="仿宋_GB2312" w:cs="仿宋_GB2312"/>
          <w:sz w:val="24"/>
          <w:szCs w:val="24"/>
        </w:rPr>
        <w:t>单位盖章：</w:t>
      </w:r>
    </w:p>
    <w:p w14:paraId="1E627BDC">
      <w:pPr>
        <w:pStyle w:val="6"/>
        <w:ind w:firstLine="480"/>
        <w:rPr>
          <w:rFonts w:ascii="仿宋_GB2312" w:hAnsi="仿宋_GB2312" w:eastAsia="仿宋_GB2312" w:cs="仿宋_GB2312"/>
        </w:rPr>
      </w:pPr>
    </w:p>
    <w:p w14:paraId="1FE8F46C">
      <w:pPr>
        <w:pStyle w:val="6"/>
        <w:ind w:firstLine="480"/>
        <w:rPr>
          <w:rFonts w:ascii="仿宋_GB2312" w:hAnsi="仿宋_GB2312" w:eastAsia="仿宋_GB2312" w:cs="仿宋_GB2312"/>
        </w:rPr>
      </w:pPr>
      <w:r>
        <w:rPr>
          <w:rFonts w:hint="eastAsia" w:ascii="仿宋_GB2312" w:hAnsi="仿宋_GB2312" w:eastAsia="仿宋_GB2312" w:cs="仿宋_GB2312"/>
        </w:rPr>
        <w:t>日期：</w:t>
      </w:r>
    </w:p>
    <w:p w14:paraId="7CB8D0A9">
      <w:pPr>
        <w:ind w:firstLine="480"/>
        <w:rPr>
          <w:rFonts w:ascii="仿宋_GB2312" w:hAnsi="仿宋_GB2312" w:eastAsia="仿宋_GB2312" w:cs="仿宋_GB2312"/>
        </w:rPr>
      </w:pPr>
      <w:r>
        <w:rPr>
          <w:rFonts w:ascii="仿宋_GB2312" w:hAnsi="仿宋_GB2312" w:eastAsia="仿宋_GB2312" w:cs="仿宋_GB2312"/>
        </w:rPr>
        <w:br w:type="page"/>
      </w:r>
    </w:p>
    <w:p w14:paraId="763101E7">
      <w:pPr>
        <w:pStyle w:val="4"/>
        <w:spacing w:before="120" w:after="120" w:line="600" w:lineRule="exact"/>
        <w:jc w:val="left"/>
        <w:rPr>
          <w:b/>
          <w:bCs/>
          <w:sz w:val="28"/>
          <w:szCs w:val="28"/>
        </w:rPr>
      </w:pPr>
      <w:r>
        <w:rPr>
          <w:rFonts w:hint="eastAsia"/>
          <w:b/>
          <w:bCs/>
        </w:rPr>
        <w:t>三、投标单位资格证明文件</w:t>
      </w:r>
    </w:p>
    <w:p w14:paraId="6AC1B946">
      <w:pPr>
        <w:spacing w:line="360" w:lineRule="auto"/>
        <w:rPr>
          <w:rFonts w:ascii="仿宋_GB2312" w:hAnsi="仿宋_GB2312" w:eastAsia="仿宋_GB2312" w:cs="仿宋_GB2312"/>
        </w:rPr>
      </w:pPr>
      <w:r>
        <w:rPr>
          <w:rFonts w:hint="eastAsia" w:ascii="仿宋_GB2312" w:hAnsi="仿宋_GB2312" w:eastAsia="仿宋_GB2312" w:cs="仿宋_GB2312"/>
        </w:rPr>
        <w:t>1、执业许可证、税务登记证、组织机构代码证。</w:t>
      </w:r>
    </w:p>
    <w:p w14:paraId="22F586BE">
      <w:pPr>
        <w:spacing w:line="360" w:lineRule="auto"/>
        <w:rPr>
          <w:rFonts w:ascii="仿宋_GB2312" w:hAnsi="仿宋_GB2312" w:eastAsia="仿宋_GB2312" w:cs="仿宋_GB2312"/>
        </w:rPr>
      </w:pPr>
      <w:r>
        <w:rPr>
          <w:rFonts w:hint="eastAsia" w:ascii="仿宋_GB2312" w:hAnsi="仿宋_GB2312" w:eastAsia="仿宋_GB2312" w:cs="仿宋_GB2312"/>
        </w:rPr>
        <w:t>2、法定代表人身份证明书、法定代表人授权委托书。</w:t>
      </w:r>
    </w:p>
    <w:p w14:paraId="2B57BDF7">
      <w:pPr>
        <w:spacing w:line="360" w:lineRule="auto"/>
        <w:rPr>
          <w:rFonts w:ascii="仿宋_GB2312" w:hAnsi="仿宋_GB2312" w:eastAsia="仿宋_GB2312" w:cs="仿宋_GB2312"/>
        </w:rPr>
      </w:pPr>
      <w:r>
        <w:rPr>
          <w:rFonts w:hint="eastAsia" w:ascii="仿宋_GB2312" w:hAnsi="仿宋_GB2312" w:eastAsia="仿宋_GB2312" w:cs="仿宋_GB2312"/>
        </w:rPr>
        <w:t>3、项目负责人资质证明文件及社保证明。</w:t>
      </w:r>
    </w:p>
    <w:p w14:paraId="27BAEB91">
      <w:pPr>
        <w:spacing w:line="360" w:lineRule="auto"/>
        <w:rPr>
          <w:rFonts w:ascii="仿宋_GB2312" w:hAnsi="仿宋_GB2312" w:eastAsia="仿宋_GB2312" w:cs="仿宋_GB2312"/>
        </w:rPr>
      </w:pPr>
      <w:r>
        <w:rPr>
          <w:rFonts w:hint="eastAsia" w:ascii="仿宋_GB2312" w:hAnsi="仿宋_GB2312" w:eastAsia="仿宋_GB2312" w:cs="仿宋_GB2312"/>
        </w:rPr>
        <w:t>4、项目服务人员资质文件及社保证明。</w:t>
      </w:r>
    </w:p>
    <w:p w14:paraId="42ADEE15">
      <w:pPr>
        <w:spacing w:line="360" w:lineRule="auto"/>
        <w:rPr>
          <w:rFonts w:ascii="仿宋_GB2312" w:hAnsi="仿宋_GB2312" w:eastAsia="仿宋_GB2312" w:cs="仿宋_GB2312"/>
        </w:rPr>
      </w:pPr>
    </w:p>
    <w:p w14:paraId="078F8676">
      <w:pPr>
        <w:spacing w:line="360" w:lineRule="auto"/>
        <w:rPr>
          <w:rFonts w:ascii="仿宋_GB2312" w:hAnsi="仿宋_GB2312" w:eastAsia="仿宋_GB2312" w:cs="仿宋_GB2312"/>
        </w:rPr>
      </w:pPr>
      <w:r>
        <w:rPr>
          <w:rFonts w:hint="eastAsia" w:ascii="仿宋_GB2312" w:hAnsi="仿宋_GB2312" w:eastAsia="仿宋_GB2312" w:cs="仿宋_GB2312"/>
        </w:rPr>
        <w:t>投标单位代表签字：</w:t>
      </w:r>
    </w:p>
    <w:p w14:paraId="0DDC0701">
      <w:pPr>
        <w:spacing w:line="360" w:lineRule="auto"/>
        <w:rPr>
          <w:rFonts w:ascii="仿宋_GB2312" w:hAnsi="仿宋_GB2312" w:eastAsia="仿宋_GB2312" w:cs="仿宋_GB2312"/>
        </w:rPr>
      </w:pPr>
    </w:p>
    <w:p w14:paraId="5186E424">
      <w:pPr>
        <w:spacing w:line="360" w:lineRule="auto"/>
        <w:rPr>
          <w:rFonts w:ascii="仿宋_GB2312" w:hAnsi="仿宋_GB2312" w:eastAsia="仿宋_GB2312" w:cs="仿宋_GB2312"/>
        </w:rPr>
      </w:pPr>
      <w:r>
        <w:rPr>
          <w:rFonts w:hint="eastAsia" w:ascii="仿宋_GB2312" w:hAnsi="仿宋_GB2312" w:eastAsia="仿宋_GB2312" w:cs="仿宋_GB2312"/>
        </w:rPr>
        <w:t>单位盖章：</w:t>
      </w:r>
    </w:p>
    <w:p w14:paraId="6E39CF72">
      <w:pPr>
        <w:pStyle w:val="6"/>
        <w:ind w:firstLine="0" w:firstLineChars="0"/>
        <w:rPr>
          <w:rFonts w:ascii="仿宋_GB2312" w:hAnsi="仿宋_GB2312" w:eastAsia="仿宋_GB2312" w:cs="仿宋_GB2312"/>
        </w:rPr>
      </w:pPr>
    </w:p>
    <w:p w14:paraId="50674E2A">
      <w:pPr>
        <w:pStyle w:val="6"/>
        <w:ind w:firstLine="0" w:firstLineChars="0"/>
        <w:rPr>
          <w:rFonts w:ascii="仿宋_GB2312" w:hAnsi="仿宋_GB2312" w:eastAsia="仿宋_GB2312" w:cs="仿宋_GB2312"/>
        </w:rPr>
      </w:pPr>
      <w:r>
        <w:rPr>
          <w:rFonts w:hint="eastAsia" w:ascii="仿宋_GB2312" w:hAnsi="仿宋_GB2312" w:eastAsia="仿宋_GB2312" w:cs="仿宋_GB2312"/>
        </w:rPr>
        <w:t>日期：</w:t>
      </w:r>
    </w:p>
    <w:p w14:paraId="72860A6D">
      <w:pPr>
        <w:ind w:firstLine="0" w:firstLineChars="0"/>
        <w:rPr>
          <w:rFonts w:ascii="仿宋_GB2312" w:hAnsi="仿宋_GB2312" w:eastAsia="仿宋_GB2312" w:cs="仿宋_GB2312"/>
        </w:rPr>
      </w:pPr>
      <w:r>
        <w:rPr>
          <w:rFonts w:ascii="仿宋_GB2312" w:hAnsi="仿宋_GB2312" w:eastAsia="仿宋_GB2312" w:cs="仿宋_GB2312"/>
        </w:rPr>
        <w:br w:type="page"/>
      </w:r>
    </w:p>
    <w:p w14:paraId="196BB730">
      <w:pPr>
        <w:spacing w:line="360" w:lineRule="auto"/>
        <w:jc w:val="both"/>
        <w:rPr>
          <w:b/>
          <w:bCs/>
        </w:rPr>
      </w:pPr>
      <w:r>
        <w:rPr>
          <w:rFonts w:hint="eastAsia"/>
          <w:b/>
          <w:bCs/>
          <w:szCs w:val="20"/>
        </w:rPr>
        <w:t>四、《政府采购投标及履约承诺函》</w:t>
      </w:r>
    </w:p>
    <w:p w14:paraId="552BD618">
      <w:pPr>
        <w:jc w:val="center"/>
        <w:rPr>
          <w:b/>
          <w:bCs/>
        </w:rPr>
      </w:pPr>
    </w:p>
    <w:p w14:paraId="1F5888F4">
      <w:pPr>
        <w:rPr>
          <w:rFonts w:ascii="仿宋_GB2312" w:hAnsi="仿宋_GB2312" w:eastAsia="仿宋_GB2312" w:cs="仿宋_GB2312"/>
          <w:b/>
          <w:bCs/>
        </w:rPr>
      </w:pPr>
      <w:r>
        <w:rPr>
          <w:rFonts w:hint="eastAsia" w:ascii="仿宋_GB2312" w:hAnsi="仿宋_GB2312" w:eastAsia="仿宋_GB2312" w:cs="仿宋_GB2312"/>
          <w:b/>
          <w:bCs/>
        </w:rPr>
        <w:t>致：深圳市南山区住房和建设局</w:t>
      </w:r>
    </w:p>
    <w:p w14:paraId="27BAB9B8">
      <w:pPr>
        <w:rPr>
          <w:rFonts w:ascii="仿宋_GB2312" w:hAnsi="仿宋_GB2312" w:eastAsia="仿宋_GB2312" w:cs="仿宋_GB2312"/>
          <w:b/>
          <w:bCs/>
        </w:rPr>
      </w:pPr>
    </w:p>
    <w:p w14:paraId="1DFA61E7">
      <w:pPr>
        <w:ind w:firstLine="480" w:firstLineChars="200"/>
      </w:pPr>
      <w:r>
        <w:rPr>
          <w:rFonts w:hint="eastAsia"/>
        </w:rPr>
        <w:t>我公司承诺：</w:t>
      </w:r>
    </w:p>
    <w:p w14:paraId="31CB4A0F">
      <w:pPr>
        <w:ind w:firstLine="480" w:firstLineChars="200"/>
      </w:pPr>
      <w:r>
        <w:rPr>
          <w:rFonts w:hint="eastAsia"/>
        </w:rPr>
        <w:t>1.我公司本招标项目所提供的货物或服务未侵犯他人知识产权。</w:t>
      </w:r>
    </w:p>
    <w:p w14:paraId="67E34DA1">
      <w:pPr>
        <w:ind w:firstLine="480" w:firstLineChars="200"/>
      </w:pPr>
      <w:r>
        <w:rPr>
          <w:rFonts w:hint="eastAsia"/>
        </w:rPr>
        <w:t>2.我公司参与本项目投标前三年内，在经营活动中没有重大违法记录。</w:t>
      </w:r>
    </w:p>
    <w:p w14:paraId="4D3E1C2A">
      <w:pPr>
        <w:ind w:firstLine="480" w:firstLineChars="200"/>
      </w:pPr>
      <w:r>
        <w:rPr>
          <w:rFonts w:hint="eastAsia"/>
        </w:rPr>
        <w:t>3.我公司参与本项目政府采购活动时不存在被有关部门禁止参与政府采购活动且在有效期内的情况。</w:t>
      </w:r>
    </w:p>
    <w:p w14:paraId="51CE7569">
      <w:pPr>
        <w:ind w:firstLine="480" w:firstLineChars="200"/>
      </w:pPr>
      <w:r>
        <w:rPr>
          <w:rFonts w:hint="eastAsia"/>
        </w:rPr>
        <w:t>4.我公司具备《中华人民共和国政府采购法》第二十二条第一款的条件。</w:t>
      </w:r>
    </w:p>
    <w:p w14:paraId="413DE7C2">
      <w:pPr>
        <w:ind w:firstLine="480" w:firstLineChars="200"/>
      </w:pPr>
      <w:r>
        <w:rPr>
          <w:rFonts w:hint="eastAsia"/>
        </w:rPr>
        <w:t>5.我公司未被列入失信被执行人、重大税收违法案件当事人名单、政府采购严重违法失信行为记录名单。</w:t>
      </w:r>
    </w:p>
    <w:p w14:paraId="09EBF9DD">
      <w:pPr>
        <w:ind w:firstLine="480" w:firstLineChars="200"/>
      </w:pPr>
      <w:r>
        <w:rPr>
          <w:rFonts w:hint="eastAsia"/>
        </w:rPr>
        <w:t>6.我公司参与该项目投标，严格遵循公平竞争的原则，不恶意串通，不妨碍其他投标人的竞争行为，不损害采购人或者其他投标人的合法权益。我公司已清楚，如违反上述要求，将作投标无效处理。</w:t>
      </w:r>
    </w:p>
    <w:p w14:paraId="5D52A7A6">
      <w:pPr>
        <w:ind w:firstLine="480" w:firstLineChars="200"/>
      </w:pPr>
      <w:r>
        <w:rPr>
          <w:rFonts w:hint="eastAsia"/>
        </w:rPr>
        <w:t>7.我公司如果中标，做到守信，不弄虚作假，依照本项目招标文件需求内容、签署的采购合同及本公司在投标中所作的一切承诺履约。</w:t>
      </w:r>
    </w:p>
    <w:p w14:paraId="0732C655">
      <w:pPr>
        <w:ind w:firstLine="480" w:firstLineChars="200"/>
      </w:pPr>
      <w:r>
        <w:rPr>
          <w:rFonts w:hint="eastAsia"/>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E67C0D5">
      <w:pPr>
        <w:ind w:firstLine="480" w:firstLineChars="200"/>
      </w:pPr>
      <w:r>
        <w:rPr>
          <w:rFonts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18C3E5D4">
      <w:pPr>
        <w:ind w:firstLine="480" w:firstLineChars="200"/>
      </w:pPr>
      <w:r>
        <w:rPr>
          <w:rFonts w:hint="eastAsia"/>
        </w:rPr>
        <w:t>10.我公司承诺不转包、非法分包。</w:t>
      </w:r>
    </w:p>
    <w:p w14:paraId="61AD7A12">
      <w:pPr>
        <w:ind w:firstLine="480" w:firstLineChars="200"/>
      </w:pPr>
      <w:r>
        <w:rPr>
          <w:rFonts w:hint="eastAsia"/>
        </w:rPr>
        <w:t>以上承诺，如有违反，愿依照国家相关法律处理，并承担由此给采购人带来的损失。</w:t>
      </w:r>
    </w:p>
    <w:p w14:paraId="7F5E9729">
      <w:pPr>
        <w:ind w:firstLine="480" w:firstLineChars="200"/>
      </w:pPr>
      <w:r>
        <w:rPr>
          <w:rFonts w:hint="eastAsia"/>
        </w:rPr>
        <w:t xml:space="preserve">投标人：                       单位地址：               </w:t>
      </w:r>
    </w:p>
    <w:p w14:paraId="1E6AB764">
      <w:pPr>
        <w:ind w:firstLine="480" w:firstLineChars="200"/>
      </w:pPr>
      <w:r>
        <w:rPr>
          <w:rFonts w:hint="eastAsia"/>
        </w:rPr>
        <w:t xml:space="preserve">法定代表人或其委托代理人：                   </w:t>
      </w:r>
    </w:p>
    <w:p w14:paraId="6554BF19">
      <w:pPr>
        <w:ind w:firstLine="480" w:firstLineChars="200"/>
      </w:pPr>
      <w:r>
        <w:rPr>
          <w:rFonts w:hint="eastAsia"/>
        </w:rPr>
        <w:t>日期：    年    月    日</w:t>
      </w:r>
    </w:p>
    <w:p w14:paraId="39D164E6">
      <w:pPr>
        <w:ind w:firstLine="420" w:firstLineChars="200"/>
        <w:rPr>
          <w:sz w:val="21"/>
          <w:szCs w:val="21"/>
        </w:rPr>
      </w:pPr>
    </w:p>
    <w:p w14:paraId="2C9264F9">
      <w:pPr>
        <w:pStyle w:val="6"/>
        <w:ind w:firstLine="0" w:firstLineChars="0"/>
        <w:rPr>
          <w:sz w:val="21"/>
          <w:szCs w:val="21"/>
        </w:rPr>
      </w:pPr>
    </w:p>
    <w:p w14:paraId="34E3D026">
      <w:pPr>
        <w:pStyle w:val="6"/>
        <w:rPr>
          <w:sz w:val="21"/>
          <w:szCs w:val="21"/>
        </w:rPr>
      </w:pPr>
    </w:p>
    <w:p w14:paraId="775CB742">
      <w:pPr>
        <w:rPr>
          <w:sz w:val="21"/>
          <w:szCs w:val="21"/>
        </w:rPr>
      </w:pPr>
    </w:p>
    <w:p w14:paraId="4067D0B6">
      <w:pPr>
        <w:rPr>
          <w:b/>
          <w:bCs/>
          <w:sz w:val="22"/>
          <w:szCs w:val="22"/>
        </w:rPr>
      </w:pPr>
      <w:r>
        <w:rPr>
          <w:rFonts w:hint="eastAsia"/>
          <w:b/>
          <w:bCs/>
          <w:sz w:val="21"/>
          <w:szCs w:val="21"/>
        </w:rPr>
        <w:t>备注：本函所称的“公司”由各投标单位根据自身主体性质进行修改。</w:t>
      </w:r>
    </w:p>
    <w:p w14:paraId="0EB14D0E">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五</w:t>
      </w:r>
      <w:r>
        <w:rPr>
          <w:rFonts w:ascii="Times New Roman" w:hAnsi="Times New Roman" w:cs="Times New Roman"/>
          <w:b/>
          <w:bCs/>
          <w:szCs w:val="20"/>
        </w:rPr>
        <w:t>、</w:t>
      </w:r>
      <w:r>
        <w:rPr>
          <w:rFonts w:hint="eastAsia" w:ascii="Times New Roman" w:hAnsi="Times New Roman" w:cs="Times New Roman"/>
          <w:b/>
          <w:bCs/>
          <w:szCs w:val="20"/>
        </w:rPr>
        <w:t>项目</w:t>
      </w:r>
      <w:r>
        <w:rPr>
          <w:rFonts w:ascii="Times New Roman" w:hAnsi="Times New Roman" w:cs="Times New Roman"/>
          <w:b/>
          <w:bCs/>
          <w:szCs w:val="20"/>
        </w:rPr>
        <w:t>服务方案</w:t>
      </w:r>
    </w:p>
    <w:p w14:paraId="42F82E6D">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六</w:t>
      </w:r>
      <w:r>
        <w:rPr>
          <w:rFonts w:ascii="Times New Roman" w:hAnsi="Times New Roman" w:cs="Times New Roman"/>
          <w:b/>
          <w:bCs/>
          <w:szCs w:val="20"/>
        </w:rPr>
        <w:t>、项目重点难点分析、应对措施及相关的合理化建议（格式自定）</w:t>
      </w:r>
    </w:p>
    <w:p w14:paraId="0371F79D">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七</w:t>
      </w:r>
      <w:r>
        <w:rPr>
          <w:rFonts w:ascii="Times New Roman" w:hAnsi="Times New Roman" w:cs="Times New Roman"/>
          <w:b/>
          <w:bCs/>
          <w:szCs w:val="20"/>
        </w:rPr>
        <w:t>、质量（完成时间、安全、环保）保障措施及方案（格式自定）</w:t>
      </w:r>
    </w:p>
    <w:p w14:paraId="5EB0F3E0">
      <w:pPr>
        <w:keepNext/>
        <w:keepLines/>
        <w:widowControl w:val="0"/>
        <w:adjustRightInd w:val="0"/>
        <w:spacing w:before="156" w:beforeLines="50" w:after="156" w:afterLines="50"/>
        <w:textAlignment w:val="baseline"/>
        <w:outlineLvl w:val="1"/>
        <w:rPr>
          <w:rFonts w:ascii="黑体" w:hAnsi="黑体" w:eastAsia="黑体"/>
          <w:sz w:val="40"/>
          <w:szCs w:val="40"/>
        </w:rPr>
      </w:pPr>
      <w:r>
        <w:rPr>
          <w:rFonts w:hint="eastAsia" w:ascii="Times New Roman" w:hAnsi="Times New Roman" w:cs="Times New Roman"/>
          <w:b/>
          <w:bCs/>
          <w:szCs w:val="20"/>
        </w:rPr>
        <w:t>八、</w:t>
      </w:r>
      <w:r>
        <w:rPr>
          <w:rFonts w:ascii="Times New Roman" w:hAnsi="Times New Roman" w:cs="Times New Roman"/>
          <w:b/>
          <w:bCs/>
          <w:szCs w:val="20"/>
        </w:rPr>
        <w:t>其他招标文件要求的资料或投标人认为需要补充的资料（格式自定）</w:t>
      </w:r>
      <w:bookmarkStart w:id="13" w:name="bt合同的授予"/>
      <w:bookmarkEnd w:id="13"/>
    </w:p>
    <w:p w14:paraId="61BC0DE2">
      <w:pPr>
        <w:pStyle w:val="6"/>
        <w:ind w:firstLine="0" w:firstLineChars="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3D7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F23DD9">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26F23DD9">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4521">
    <w:pPr>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99C"/>
    <w:multiLevelType w:val="singleLevel"/>
    <w:tmpl w:val="ADEF299C"/>
    <w:lvl w:ilvl="0" w:tentative="0">
      <w:start w:val="11"/>
      <w:numFmt w:val="decimal"/>
      <w:suff w:val="nothing"/>
      <w:lvlText w:val="%1、"/>
      <w:lvlJc w:val="left"/>
    </w:lvl>
  </w:abstractNum>
  <w:abstractNum w:abstractNumId="1">
    <w:nsid w:val="38C10E5F"/>
    <w:multiLevelType w:val="multilevel"/>
    <w:tmpl w:val="38C10E5F"/>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4C6204E4"/>
    <w:multiLevelType w:val="multilevel"/>
    <w:tmpl w:val="4C6204E4"/>
    <w:lvl w:ilvl="0" w:tentative="0">
      <w:start w:val="1"/>
      <w:numFmt w:val="japaneseCounting"/>
      <w:lvlText w:val="第%1条"/>
      <w:lvlJc w:val="left"/>
      <w:pPr>
        <w:tabs>
          <w:tab w:val="left" w:pos="1170"/>
        </w:tabs>
        <w:ind w:left="1170" w:hanging="750"/>
      </w:pPr>
      <w:rPr>
        <w:rFonts w:hint="eastAsia"/>
        <w:lang w:val="en-US"/>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eastAsia"/>
      </w:rPr>
    </w:lvl>
    <w:lvl w:ilvl="3" w:tentative="0">
      <w:start w:val="1"/>
      <w:numFmt w:val="decimal"/>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23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04"/>
    <w:rsid w:val="0008461F"/>
    <w:rsid w:val="000C3C30"/>
    <w:rsid w:val="000D33D7"/>
    <w:rsid w:val="00162C80"/>
    <w:rsid w:val="00162D39"/>
    <w:rsid w:val="00190CF7"/>
    <w:rsid w:val="00194471"/>
    <w:rsid w:val="001B1AED"/>
    <w:rsid w:val="001C522C"/>
    <w:rsid w:val="001C7BFA"/>
    <w:rsid w:val="00247BA2"/>
    <w:rsid w:val="002B5A2E"/>
    <w:rsid w:val="002E4221"/>
    <w:rsid w:val="00300A18"/>
    <w:rsid w:val="00332E2E"/>
    <w:rsid w:val="0037336D"/>
    <w:rsid w:val="003763CC"/>
    <w:rsid w:val="00393938"/>
    <w:rsid w:val="003B2AEE"/>
    <w:rsid w:val="003C3CE5"/>
    <w:rsid w:val="00405B13"/>
    <w:rsid w:val="004630DB"/>
    <w:rsid w:val="00464ED6"/>
    <w:rsid w:val="004C4C08"/>
    <w:rsid w:val="004D16C6"/>
    <w:rsid w:val="00521F31"/>
    <w:rsid w:val="0054464E"/>
    <w:rsid w:val="00557EC1"/>
    <w:rsid w:val="005B79AF"/>
    <w:rsid w:val="005D5071"/>
    <w:rsid w:val="005E549C"/>
    <w:rsid w:val="00612CF7"/>
    <w:rsid w:val="006352AC"/>
    <w:rsid w:val="0063799B"/>
    <w:rsid w:val="006C554A"/>
    <w:rsid w:val="00704415"/>
    <w:rsid w:val="00717D7A"/>
    <w:rsid w:val="00754077"/>
    <w:rsid w:val="00776E9A"/>
    <w:rsid w:val="00777D51"/>
    <w:rsid w:val="00792BEC"/>
    <w:rsid w:val="007B570F"/>
    <w:rsid w:val="007D5423"/>
    <w:rsid w:val="00827FE7"/>
    <w:rsid w:val="00831DD3"/>
    <w:rsid w:val="00832C61"/>
    <w:rsid w:val="00833379"/>
    <w:rsid w:val="00847E9D"/>
    <w:rsid w:val="00852BDF"/>
    <w:rsid w:val="008678E9"/>
    <w:rsid w:val="00871D7F"/>
    <w:rsid w:val="008805E0"/>
    <w:rsid w:val="00892B09"/>
    <w:rsid w:val="00897860"/>
    <w:rsid w:val="008A2A37"/>
    <w:rsid w:val="008A6243"/>
    <w:rsid w:val="008C0E31"/>
    <w:rsid w:val="008D54ED"/>
    <w:rsid w:val="008F4644"/>
    <w:rsid w:val="00951C78"/>
    <w:rsid w:val="00952E70"/>
    <w:rsid w:val="00A15DF6"/>
    <w:rsid w:val="00A60EEE"/>
    <w:rsid w:val="00A845F6"/>
    <w:rsid w:val="00A85303"/>
    <w:rsid w:val="00A86A70"/>
    <w:rsid w:val="00A92AA4"/>
    <w:rsid w:val="00AD3F34"/>
    <w:rsid w:val="00AD5C39"/>
    <w:rsid w:val="00B246C3"/>
    <w:rsid w:val="00B5703C"/>
    <w:rsid w:val="00BA22EF"/>
    <w:rsid w:val="00BC06A6"/>
    <w:rsid w:val="00BC3160"/>
    <w:rsid w:val="00C5409B"/>
    <w:rsid w:val="00C73D69"/>
    <w:rsid w:val="00C85662"/>
    <w:rsid w:val="00CB56FF"/>
    <w:rsid w:val="00CC7304"/>
    <w:rsid w:val="00D02C37"/>
    <w:rsid w:val="00D715E2"/>
    <w:rsid w:val="00DA4ED5"/>
    <w:rsid w:val="00E23555"/>
    <w:rsid w:val="00E428D5"/>
    <w:rsid w:val="00E43970"/>
    <w:rsid w:val="00E74829"/>
    <w:rsid w:val="00ED187A"/>
    <w:rsid w:val="00F070DA"/>
    <w:rsid w:val="00F53AB3"/>
    <w:rsid w:val="00F548E9"/>
    <w:rsid w:val="00F638F9"/>
    <w:rsid w:val="00F75678"/>
    <w:rsid w:val="00FC5DDB"/>
    <w:rsid w:val="01D7180B"/>
    <w:rsid w:val="022169EA"/>
    <w:rsid w:val="02BC7D06"/>
    <w:rsid w:val="02D77195"/>
    <w:rsid w:val="03FA1FD5"/>
    <w:rsid w:val="047640CB"/>
    <w:rsid w:val="04A45972"/>
    <w:rsid w:val="04C5265C"/>
    <w:rsid w:val="05650E04"/>
    <w:rsid w:val="06366103"/>
    <w:rsid w:val="066527A1"/>
    <w:rsid w:val="071B4316"/>
    <w:rsid w:val="073A5FB2"/>
    <w:rsid w:val="07B715E0"/>
    <w:rsid w:val="0831289E"/>
    <w:rsid w:val="087D574D"/>
    <w:rsid w:val="08981E86"/>
    <w:rsid w:val="08D90654"/>
    <w:rsid w:val="09C04DB1"/>
    <w:rsid w:val="0AE31A2E"/>
    <w:rsid w:val="0BF55E04"/>
    <w:rsid w:val="0C340052"/>
    <w:rsid w:val="0D3356F1"/>
    <w:rsid w:val="0ED47BAC"/>
    <w:rsid w:val="0F1B1618"/>
    <w:rsid w:val="10BF28F1"/>
    <w:rsid w:val="117E1141"/>
    <w:rsid w:val="12A1185B"/>
    <w:rsid w:val="12C82513"/>
    <w:rsid w:val="139A16C4"/>
    <w:rsid w:val="146E05DC"/>
    <w:rsid w:val="15232D98"/>
    <w:rsid w:val="154E7F91"/>
    <w:rsid w:val="159FBF54"/>
    <w:rsid w:val="15DD2633"/>
    <w:rsid w:val="15E43712"/>
    <w:rsid w:val="166A0D35"/>
    <w:rsid w:val="167A3B12"/>
    <w:rsid w:val="170407FC"/>
    <w:rsid w:val="172E28C3"/>
    <w:rsid w:val="17A05F73"/>
    <w:rsid w:val="17D9315F"/>
    <w:rsid w:val="190B634A"/>
    <w:rsid w:val="19675D2E"/>
    <w:rsid w:val="1A7E1E73"/>
    <w:rsid w:val="1B400437"/>
    <w:rsid w:val="1B7E39E8"/>
    <w:rsid w:val="1BC03DB0"/>
    <w:rsid w:val="1C172A31"/>
    <w:rsid w:val="1D2A79B2"/>
    <w:rsid w:val="1D8A2D08"/>
    <w:rsid w:val="1D8F76C7"/>
    <w:rsid w:val="1E1B1B53"/>
    <w:rsid w:val="1E473DD9"/>
    <w:rsid w:val="1F3768AD"/>
    <w:rsid w:val="2077CEC4"/>
    <w:rsid w:val="21830923"/>
    <w:rsid w:val="21D13ED1"/>
    <w:rsid w:val="21ED0B8C"/>
    <w:rsid w:val="223B7CB0"/>
    <w:rsid w:val="22501CD2"/>
    <w:rsid w:val="227C7D89"/>
    <w:rsid w:val="25412922"/>
    <w:rsid w:val="26A5448A"/>
    <w:rsid w:val="283D1182"/>
    <w:rsid w:val="28563A46"/>
    <w:rsid w:val="28583E31"/>
    <w:rsid w:val="286F032A"/>
    <w:rsid w:val="28981DED"/>
    <w:rsid w:val="2A222895"/>
    <w:rsid w:val="2A232EFE"/>
    <w:rsid w:val="2A270B69"/>
    <w:rsid w:val="2AD76BDC"/>
    <w:rsid w:val="2B8B400C"/>
    <w:rsid w:val="2B8F1CFA"/>
    <w:rsid w:val="2CE56ADE"/>
    <w:rsid w:val="2D301F87"/>
    <w:rsid w:val="2D377CB9"/>
    <w:rsid w:val="2DF04122"/>
    <w:rsid w:val="2E1878E3"/>
    <w:rsid w:val="2F3841E1"/>
    <w:rsid w:val="2F5D60A2"/>
    <w:rsid w:val="30B22432"/>
    <w:rsid w:val="30FFF0B9"/>
    <w:rsid w:val="31DDCA17"/>
    <w:rsid w:val="31DF4805"/>
    <w:rsid w:val="32336806"/>
    <w:rsid w:val="323905FF"/>
    <w:rsid w:val="33D520BF"/>
    <w:rsid w:val="33FE6C06"/>
    <w:rsid w:val="34502A3C"/>
    <w:rsid w:val="34BA7BE0"/>
    <w:rsid w:val="34C131F6"/>
    <w:rsid w:val="380042DB"/>
    <w:rsid w:val="393F0936"/>
    <w:rsid w:val="397A71AD"/>
    <w:rsid w:val="39C90E3B"/>
    <w:rsid w:val="3AF493AD"/>
    <w:rsid w:val="3AFC3027"/>
    <w:rsid w:val="3BC71C53"/>
    <w:rsid w:val="3CC07DD8"/>
    <w:rsid w:val="3CDB6A34"/>
    <w:rsid w:val="3E536AC8"/>
    <w:rsid w:val="3F635F01"/>
    <w:rsid w:val="3F6DB341"/>
    <w:rsid w:val="3F963C27"/>
    <w:rsid w:val="3FAE608F"/>
    <w:rsid w:val="3FFFF100"/>
    <w:rsid w:val="405A5FE9"/>
    <w:rsid w:val="420C10A7"/>
    <w:rsid w:val="429B639E"/>
    <w:rsid w:val="43661E83"/>
    <w:rsid w:val="45F84AC0"/>
    <w:rsid w:val="463015A3"/>
    <w:rsid w:val="469F2246"/>
    <w:rsid w:val="475E2534"/>
    <w:rsid w:val="47AF70BC"/>
    <w:rsid w:val="47C22CDC"/>
    <w:rsid w:val="48530AC1"/>
    <w:rsid w:val="489D0B82"/>
    <w:rsid w:val="49773A1E"/>
    <w:rsid w:val="4A0050F8"/>
    <w:rsid w:val="4A256F4F"/>
    <w:rsid w:val="4A69757A"/>
    <w:rsid w:val="4AB43642"/>
    <w:rsid w:val="4ABF47D0"/>
    <w:rsid w:val="4DE8241F"/>
    <w:rsid w:val="4E1513AC"/>
    <w:rsid w:val="4EF61080"/>
    <w:rsid w:val="4F3A3562"/>
    <w:rsid w:val="4FBD6CAC"/>
    <w:rsid w:val="504D3381"/>
    <w:rsid w:val="51732B3B"/>
    <w:rsid w:val="51974E0E"/>
    <w:rsid w:val="52F21129"/>
    <w:rsid w:val="536137E9"/>
    <w:rsid w:val="56057761"/>
    <w:rsid w:val="56195F23"/>
    <w:rsid w:val="561B4563"/>
    <w:rsid w:val="578011B9"/>
    <w:rsid w:val="57B33206"/>
    <w:rsid w:val="59333D30"/>
    <w:rsid w:val="59F91C1C"/>
    <w:rsid w:val="5ABC71C0"/>
    <w:rsid w:val="5AF68C36"/>
    <w:rsid w:val="5B4B7742"/>
    <w:rsid w:val="5B7AB182"/>
    <w:rsid w:val="5CAB5E8D"/>
    <w:rsid w:val="5D07546B"/>
    <w:rsid w:val="5E1F1CB5"/>
    <w:rsid w:val="5E7F41C2"/>
    <w:rsid w:val="5FE00FF1"/>
    <w:rsid w:val="5FF7DD65"/>
    <w:rsid w:val="5FFFB211"/>
    <w:rsid w:val="603521C4"/>
    <w:rsid w:val="60DD4408"/>
    <w:rsid w:val="610E0005"/>
    <w:rsid w:val="618101FE"/>
    <w:rsid w:val="61E928FF"/>
    <w:rsid w:val="62230F2F"/>
    <w:rsid w:val="62933F37"/>
    <w:rsid w:val="634E7593"/>
    <w:rsid w:val="63C35930"/>
    <w:rsid w:val="640C109A"/>
    <w:rsid w:val="6670357B"/>
    <w:rsid w:val="66B74A3E"/>
    <w:rsid w:val="686509AC"/>
    <w:rsid w:val="68D80CAC"/>
    <w:rsid w:val="6908104D"/>
    <w:rsid w:val="69FECA91"/>
    <w:rsid w:val="6A1C3F23"/>
    <w:rsid w:val="6A8E1091"/>
    <w:rsid w:val="6A9A7FCD"/>
    <w:rsid w:val="6AD563CA"/>
    <w:rsid w:val="6B6DE5C0"/>
    <w:rsid w:val="6D9620B7"/>
    <w:rsid w:val="6DC9740A"/>
    <w:rsid w:val="6EA60D2B"/>
    <w:rsid w:val="6F7FE1B9"/>
    <w:rsid w:val="71F14957"/>
    <w:rsid w:val="725E60CF"/>
    <w:rsid w:val="72876AC5"/>
    <w:rsid w:val="73F36ACF"/>
    <w:rsid w:val="74223C94"/>
    <w:rsid w:val="74695B4B"/>
    <w:rsid w:val="746F626B"/>
    <w:rsid w:val="749469E6"/>
    <w:rsid w:val="75863DD3"/>
    <w:rsid w:val="75E447B9"/>
    <w:rsid w:val="77536913"/>
    <w:rsid w:val="77BF0155"/>
    <w:rsid w:val="77DEFE11"/>
    <w:rsid w:val="77FF44C0"/>
    <w:rsid w:val="786B4F68"/>
    <w:rsid w:val="786D063C"/>
    <w:rsid w:val="786F388E"/>
    <w:rsid w:val="78AE5C2A"/>
    <w:rsid w:val="78EE19BD"/>
    <w:rsid w:val="79904AA1"/>
    <w:rsid w:val="7A24064C"/>
    <w:rsid w:val="7ABE7D40"/>
    <w:rsid w:val="7B1C7D7E"/>
    <w:rsid w:val="7B357D14"/>
    <w:rsid w:val="7B7E1869"/>
    <w:rsid w:val="7BBD0D50"/>
    <w:rsid w:val="7C8E224B"/>
    <w:rsid w:val="7C9E64D7"/>
    <w:rsid w:val="7DF5192B"/>
    <w:rsid w:val="7E4D3C99"/>
    <w:rsid w:val="7E75070D"/>
    <w:rsid w:val="7E7F3334"/>
    <w:rsid w:val="7EB26A82"/>
    <w:rsid w:val="7ECFAFF1"/>
    <w:rsid w:val="7ED55142"/>
    <w:rsid w:val="7F35E62A"/>
    <w:rsid w:val="7FABB126"/>
    <w:rsid w:val="7FF7A00F"/>
    <w:rsid w:val="7FF9A9E2"/>
    <w:rsid w:val="7FFE3546"/>
    <w:rsid w:val="9AE53037"/>
    <w:rsid w:val="A3244350"/>
    <w:rsid w:val="ABD1A4FF"/>
    <w:rsid w:val="AF77EC37"/>
    <w:rsid w:val="AF7F2535"/>
    <w:rsid w:val="AF97C23B"/>
    <w:rsid w:val="AFF7C395"/>
    <w:rsid w:val="B7DF809F"/>
    <w:rsid w:val="B7F422BD"/>
    <w:rsid w:val="B9FFEECF"/>
    <w:rsid w:val="BB4B7F85"/>
    <w:rsid w:val="BC3CB9C5"/>
    <w:rsid w:val="BE2F9B2E"/>
    <w:rsid w:val="BEF975A9"/>
    <w:rsid w:val="BEFB90B8"/>
    <w:rsid w:val="BFCF4B13"/>
    <w:rsid w:val="BFEB83EA"/>
    <w:rsid w:val="D1FF0D50"/>
    <w:rsid w:val="DDBAA227"/>
    <w:rsid w:val="DDFC79F4"/>
    <w:rsid w:val="DDFF72C3"/>
    <w:rsid w:val="DFA37EA7"/>
    <w:rsid w:val="DFDFB263"/>
    <w:rsid w:val="E7DFD269"/>
    <w:rsid w:val="EA5F4727"/>
    <w:rsid w:val="EAEF4929"/>
    <w:rsid w:val="EDA88444"/>
    <w:rsid w:val="EDB70DEF"/>
    <w:rsid w:val="EDCDA93D"/>
    <w:rsid w:val="EF7FCC93"/>
    <w:rsid w:val="EFEF965E"/>
    <w:rsid w:val="EFFE9215"/>
    <w:rsid w:val="F5C095E4"/>
    <w:rsid w:val="F67BD5A8"/>
    <w:rsid w:val="F7FB7916"/>
    <w:rsid w:val="F7FCA932"/>
    <w:rsid w:val="F7FF7DEE"/>
    <w:rsid w:val="F7FFAA44"/>
    <w:rsid w:val="F97FEE98"/>
    <w:rsid w:val="F9FDB096"/>
    <w:rsid w:val="F9FF52B0"/>
    <w:rsid w:val="FAF3B857"/>
    <w:rsid w:val="FB3F0A5E"/>
    <w:rsid w:val="FBFBD433"/>
    <w:rsid w:val="FC7D5B66"/>
    <w:rsid w:val="FD49665C"/>
    <w:rsid w:val="FDF58A96"/>
    <w:rsid w:val="FDFB82A2"/>
    <w:rsid w:val="FDFF3F5C"/>
    <w:rsid w:val="FEEEFA98"/>
    <w:rsid w:val="FEF5295C"/>
    <w:rsid w:val="FF2E52FE"/>
    <w:rsid w:val="FF7F7FA9"/>
    <w:rsid w:val="FFBBD83B"/>
    <w:rsid w:val="FFBE8D68"/>
    <w:rsid w:val="FFBF297A"/>
    <w:rsid w:val="FFE21ED8"/>
    <w:rsid w:val="FFEDE77B"/>
    <w:rsid w:val="FFEF900D"/>
    <w:rsid w:val="FFF7533A"/>
    <w:rsid w:val="FFFEDE1A"/>
    <w:rsid w:val="FFFF7CD6"/>
    <w:rsid w:val="FFFFE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spacing w:before="340" w:after="330" w:line="360" w:lineRule="auto"/>
      <w:ind w:left="472" w:hanging="472" w:hangingChars="196"/>
      <w:jc w:val="center"/>
      <w:outlineLvl w:val="0"/>
    </w:pPr>
    <w:rPr>
      <w:kern w:val="44"/>
      <w:szCs w:val="44"/>
    </w:rPr>
  </w:style>
  <w:style w:type="paragraph" w:styleId="4">
    <w:name w:val="heading 2"/>
    <w:basedOn w:val="1"/>
    <w:next w:val="1"/>
    <w:qFormat/>
    <w:uiPriority w:val="0"/>
    <w:pPr>
      <w:adjustRightInd w:val="0"/>
      <w:jc w:val="center"/>
      <w:textAlignment w:val="baseline"/>
      <w:outlineLvl w:val="1"/>
    </w:pPr>
    <w:rPr>
      <w:szCs w:val="20"/>
    </w:rPr>
  </w:style>
  <w:style w:type="paragraph" w:styleId="5">
    <w:name w:val="heading 3"/>
    <w:basedOn w:val="1"/>
    <w:next w:val="1"/>
    <w:link w:val="28"/>
    <w:qFormat/>
    <w:uiPriority w:val="9"/>
    <w:pPr>
      <w:spacing w:before="260" w:after="260" w:line="416" w:lineRule="auto"/>
      <w:outlineLvl w:val="2"/>
    </w:pPr>
    <w:rPr>
      <w:rFonts w:ascii="Times New Roman" w:hAnsi="Times New Roman" w:cs="Times New Roman"/>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非政府正文"/>
    <w:basedOn w:val="1"/>
    <w:qFormat/>
    <w:uiPriority w:val="0"/>
  </w:style>
  <w:style w:type="paragraph" w:styleId="6">
    <w:name w:val="Normal Indent"/>
    <w:basedOn w:val="1"/>
    <w:qFormat/>
    <w:uiPriority w:val="0"/>
    <w:pPr>
      <w:ind w:firstLine="420" w:firstLineChars="200"/>
    </w:pPr>
  </w:style>
  <w:style w:type="paragraph" w:styleId="7">
    <w:name w:val="Document Map"/>
    <w:basedOn w:val="1"/>
    <w:link w:val="29"/>
    <w:qFormat/>
    <w:uiPriority w:val="0"/>
    <w:rPr>
      <w:sz w:val="18"/>
      <w:szCs w:val="18"/>
    </w:rPr>
  </w:style>
  <w:style w:type="paragraph" w:styleId="8">
    <w:name w:val="annotation text"/>
    <w:basedOn w:val="1"/>
    <w:qFormat/>
    <w:uiPriority w:val="0"/>
  </w:style>
  <w:style w:type="paragraph" w:styleId="9">
    <w:name w:val="Body Text"/>
    <w:basedOn w:val="1"/>
    <w:next w:val="1"/>
    <w:qFormat/>
    <w:uiPriority w:val="0"/>
    <w:pPr>
      <w:spacing w:line="360" w:lineRule="auto"/>
    </w:pPr>
    <w:rPr>
      <w:rFonts w:cs="Times New Roman"/>
      <w:b/>
      <w:bCs/>
    </w:rPr>
  </w:style>
  <w:style w:type="paragraph" w:styleId="10">
    <w:name w:val="Body Text Indent"/>
    <w:basedOn w:val="1"/>
    <w:unhideWhenUsed/>
    <w:qFormat/>
    <w:uiPriority w:val="0"/>
    <w:pPr>
      <w:spacing w:after="120"/>
      <w:ind w:left="420" w:leftChars="200"/>
    </w:pPr>
  </w:style>
  <w:style w:type="paragraph" w:styleId="11">
    <w:name w:val="Balloon Text"/>
    <w:basedOn w:val="1"/>
    <w:link w:val="46"/>
    <w:qFormat/>
    <w:uiPriority w:val="0"/>
    <w:rPr>
      <w:sz w:val="18"/>
      <w:szCs w:val="18"/>
    </w:rPr>
  </w:style>
  <w:style w:type="paragraph" w:styleId="12">
    <w:name w:val="footer"/>
    <w:basedOn w:val="1"/>
    <w:unhideWhenUsed/>
    <w:qFormat/>
    <w:uiPriority w:val="99"/>
    <w:pPr>
      <w:tabs>
        <w:tab w:val="center" w:pos="4153"/>
        <w:tab w:val="right" w:pos="8306"/>
      </w:tabs>
      <w:snapToGrid w:val="0"/>
    </w:pPr>
    <w:rPr>
      <w:rFonts w:ascii="Times New Roman" w:hAnsi="Times New Roman" w:cs="Times New Roman"/>
      <w:sz w:val="18"/>
      <w:szCs w:val="18"/>
    </w:rPr>
  </w:style>
  <w:style w:type="paragraph" w:styleId="13">
    <w:name w:val="header"/>
    <w:basedOn w:val="1"/>
    <w:next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toc 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Normal (Web)"/>
    <w:basedOn w:val="1"/>
    <w:qFormat/>
    <w:uiPriority w:val="99"/>
    <w:pPr>
      <w:spacing w:beforeAutospacing="1" w:afterAutospacing="1"/>
    </w:pPr>
    <w:rPr>
      <w:rFonts w:cs="Times New Roman"/>
    </w:rPr>
  </w:style>
  <w:style w:type="paragraph" w:styleId="16">
    <w:name w:val="Title"/>
    <w:basedOn w:val="1"/>
    <w:next w:val="1"/>
    <w:qFormat/>
    <w:uiPriority w:val="0"/>
    <w:pPr>
      <w:spacing w:before="240" w:after="60"/>
      <w:jc w:val="center"/>
      <w:outlineLvl w:val="0"/>
    </w:pPr>
    <w:rPr>
      <w:rFonts w:ascii="Cambria" w:hAnsi="Cambria" w:cs="Times New Roman"/>
      <w:b/>
      <w:bCs/>
      <w:sz w:val="32"/>
      <w:szCs w:val="32"/>
    </w:rPr>
  </w:style>
  <w:style w:type="paragraph" w:styleId="17">
    <w:name w:val="Body Text First Indent"/>
    <w:basedOn w:val="9"/>
    <w:qFormat/>
    <w:uiPriority w:val="0"/>
    <w:pPr>
      <w:ind w:firstLine="420" w:firstLineChars="100"/>
    </w:pPr>
  </w:style>
  <w:style w:type="paragraph" w:styleId="18">
    <w:name w:val="Body Text First Indent 2"/>
    <w:basedOn w:val="1"/>
    <w:qFormat/>
    <w:uiPriority w:val="0"/>
    <w:pPr>
      <w:ind w:firstLine="420" w:firstLineChars="200"/>
    </w:pPr>
    <w:rPr>
      <w:rFonts w:ascii="Calibri" w:hAnsi="Calibri" w:cs="Times New Roman"/>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qFormat/>
    <w:uiPriority w:val="0"/>
    <w:rPr>
      <w:rFonts w:hint="eastAsia" w:ascii="微软雅黑" w:hAnsi="微软雅黑" w:eastAsia="微软雅黑" w:cs="微软雅黑"/>
      <w:color w:val="333333"/>
      <w:sz w:val="21"/>
      <w:szCs w:val="21"/>
      <w:u w:val="none"/>
    </w:rPr>
  </w:style>
  <w:style w:type="character" w:styleId="24">
    <w:name w:val="Emphasis"/>
    <w:basedOn w:val="21"/>
    <w:qFormat/>
    <w:uiPriority w:val="0"/>
  </w:style>
  <w:style w:type="character" w:styleId="25">
    <w:name w:val="Hyperlink"/>
    <w:basedOn w:val="21"/>
    <w:qFormat/>
    <w:uiPriority w:val="0"/>
    <w:rPr>
      <w:rFonts w:hint="eastAsia" w:ascii="微软雅黑" w:hAnsi="微软雅黑" w:eastAsia="微软雅黑" w:cs="微软雅黑"/>
      <w:color w:val="333333"/>
      <w:sz w:val="21"/>
      <w:szCs w:val="21"/>
      <w:u w:val="none"/>
    </w:rPr>
  </w:style>
  <w:style w:type="character" w:styleId="26">
    <w:name w:val="annotation reference"/>
    <w:unhideWhenUsed/>
    <w:qFormat/>
    <w:uiPriority w:val="99"/>
    <w:rPr>
      <w:sz w:val="21"/>
      <w:szCs w:val="21"/>
    </w:rPr>
  </w:style>
  <w:style w:type="character" w:styleId="27">
    <w:name w:val="HTML Cite"/>
    <w:basedOn w:val="21"/>
    <w:qFormat/>
    <w:uiPriority w:val="0"/>
  </w:style>
  <w:style w:type="character" w:customStyle="1" w:styleId="28">
    <w:name w:val="标题 3 字符"/>
    <w:link w:val="5"/>
    <w:qFormat/>
    <w:uiPriority w:val="9"/>
    <w:rPr>
      <w:rFonts w:ascii="Times New Roman" w:hAnsi="Times New Roman" w:cs="Times New Roman"/>
      <w:b/>
      <w:bCs/>
      <w:sz w:val="32"/>
      <w:szCs w:val="32"/>
    </w:rPr>
  </w:style>
  <w:style w:type="character" w:customStyle="1" w:styleId="29">
    <w:name w:val="文档结构图 字符"/>
    <w:basedOn w:val="21"/>
    <w:link w:val="7"/>
    <w:qFormat/>
    <w:uiPriority w:val="0"/>
    <w:rPr>
      <w:rFonts w:ascii="宋体" w:hAnsi="宋体" w:cs="宋体"/>
      <w:sz w:val="18"/>
      <w:szCs w:val="18"/>
    </w:rPr>
  </w:style>
  <w:style w:type="character" w:customStyle="1" w:styleId="30">
    <w:name w:val="页眉 字符"/>
    <w:basedOn w:val="21"/>
    <w:link w:val="13"/>
    <w:qFormat/>
    <w:uiPriority w:val="0"/>
    <w:rPr>
      <w:rFonts w:ascii="宋体" w:hAnsi="宋体" w:cs="宋体"/>
      <w:sz w:val="18"/>
      <w:szCs w:val="18"/>
    </w:rPr>
  </w:style>
  <w:style w:type="character" w:customStyle="1" w:styleId="31">
    <w:name w:val="layui-layer-tabnow"/>
    <w:basedOn w:val="21"/>
    <w:qFormat/>
    <w:uiPriority w:val="0"/>
    <w:rPr>
      <w:bdr w:val="single" w:color="CCCCCC" w:sz="6" w:space="0"/>
      <w:shd w:val="clear" w:color="auto" w:fill="FFFFFF"/>
    </w:rPr>
  </w:style>
  <w:style w:type="character" w:customStyle="1" w:styleId="32">
    <w:name w:val="labelname"/>
    <w:basedOn w:val="21"/>
    <w:qFormat/>
    <w:uiPriority w:val="0"/>
  </w:style>
  <w:style w:type="character" w:customStyle="1" w:styleId="33">
    <w:name w:val="seacher_btn4"/>
    <w:basedOn w:val="21"/>
    <w:qFormat/>
    <w:uiPriority w:val="0"/>
    <w:rPr>
      <w:color w:val="FFFFFF"/>
      <w:shd w:val="clear" w:color="auto" w:fill="008DF9"/>
    </w:rPr>
  </w:style>
  <w:style w:type="character" w:customStyle="1" w:styleId="34">
    <w:name w:val="layui-laypage-curr"/>
    <w:basedOn w:val="21"/>
    <w:qFormat/>
    <w:uiPriority w:val="0"/>
  </w:style>
  <w:style w:type="character" w:customStyle="1" w:styleId="35">
    <w:name w:val="first-child"/>
    <w:basedOn w:val="21"/>
    <w:qFormat/>
    <w:uiPriority w:val="0"/>
  </w:style>
  <w:style w:type="paragraph" w:styleId="36">
    <w:name w:val="List Paragraph"/>
    <w:basedOn w:val="1"/>
    <w:qFormat/>
    <w:uiPriority w:val="99"/>
    <w:pPr>
      <w:ind w:firstLine="420" w:firstLineChars="200"/>
    </w:pPr>
  </w:style>
  <w:style w:type="paragraph" w:customStyle="1" w:styleId="37">
    <w:name w:val="111111"/>
    <w:basedOn w:val="1"/>
    <w:qFormat/>
    <w:uiPriority w:val="0"/>
    <w:pPr>
      <w:ind w:firstLine="470" w:firstLineChars="196"/>
    </w:pPr>
  </w:style>
  <w:style w:type="character" w:customStyle="1" w:styleId="38">
    <w:name w:val="15"/>
    <w:basedOn w:val="21"/>
    <w:qFormat/>
    <w:uiPriority w:val="99"/>
    <w:rPr>
      <w:rFonts w:ascii="Calibri" w:hAnsi="Calibri" w:cs="Calibri"/>
      <w:sz w:val="22"/>
      <w:szCs w:val="22"/>
    </w:rPr>
  </w:style>
  <w:style w:type="paragraph" w:customStyle="1" w:styleId="39">
    <w:name w:val="样式 行距: 1.5 倍行距"/>
    <w:basedOn w:val="1"/>
    <w:qFormat/>
    <w:uiPriority w:val="0"/>
    <w:pPr>
      <w:spacing w:line="360" w:lineRule="auto"/>
      <w:ind w:firstLine="482" w:firstLineChars="200"/>
    </w:pPr>
    <w:rPr>
      <w:bCs/>
      <w:iCs/>
      <w:szCs w:val="20"/>
    </w:rPr>
  </w:style>
  <w:style w:type="paragraph" w:customStyle="1" w:styleId="40">
    <w:name w:val="大分"/>
    <w:basedOn w:val="1"/>
    <w:qFormat/>
    <w:uiPriority w:val="0"/>
    <w:pPr>
      <w:autoSpaceDE w:val="0"/>
      <w:autoSpaceDN w:val="0"/>
      <w:adjustRightInd w:val="0"/>
      <w:spacing w:line="288" w:lineRule="auto"/>
      <w:ind w:firstLine="480"/>
      <w:textAlignment w:val="baseline"/>
    </w:pPr>
    <w:rPr>
      <w:szCs w:val="20"/>
    </w:rPr>
  </w:style>
  <w:style w:type="paragraph" w:customStyle="1" w:styleId="41">
    <w:name w:val="修订1"/>
    <w:hidden/>
    <w:unhideWhenUsed/>
    <w:qFormat/>
    <w:uiPriority w:val="99"/>
    <w:rPr>
      <w:rFonts w:ascii="宋体" w:hAnsi="宋体" w:eastAsia="宋体" w:cs="宋体"/>
      <w:sz w:val="24"/>
      <w:szCs w:val="24"/>
      <w:lang w:val="en-US" w:eastAsia="zh-CN" w:bidi="ar-SA"/>
    </w:rPr>
  </w:style>
  <w:style w:type="paragraph" w:customStyle="1" w:styleId="42">
    <w:name w:val="修订2"/>
    <w:hidden/>
    <w:unhideWhenUsed/>
    <w:qFormat/>
    <w:uiPriority w:val="99"/>
    <w:rPr>
      <w:rFonts w:ascii="宋体" w:hAnsi="宋体" w:eastAsia="宋体" w:cs="宋体"/>
      <w:sz w:val="24"/>
      <w:szCs w:val="24"/>
      <w:lang w:val="en-US" w:eastAsia="zh-CN" w:bidi="ar-SA"/>
    </w:rPr>
  </w:style>
  <w:style w:type="paragraph" w:customStyle="1" w:styleId="43">
    <w:name w:val="修订3"/>
    <w:hidden/>
    <w:semiHidden/>
    <w:qFormat/>
    <w:uiPriority w:val="99"/>
    <w:rPr>
      <w:rFonts w:ascii="宋体" w:hAnsi="宋体" w:eastAsia="宋体" w:cs="宋体"/>
      <w:sz w:val="24"/>
      <w:szCs w:val="24"/>
      <w:lang w:val="en-US" w:eastAsia="zh-CN" w:bidi="ar-SA"/>
    </w:rPr>
  </w:style>
  <w:style w:type="paragraph" w:customStyle="1" w:styleId="44">
    <w:name w:val="修订4"/>
    <w:hidden/>
    <w:semiHidden/>
    <w:qFormat/>
    <w:uiPriority w:val="99"/>
    <w:rPr>
      <w:rFonts w:ascii="宋体" w:hAnsi="宋体" w:eastAsia="宋体" w:cs="宋体"/>
      <w:sz w:val="24"/>
      <w:szCs w:val="24"/>
      <w:lang w:val="en-US" w:eastAsia="zh-CN" w:bidi="ar-SA"/>
    </w:rPr>
  </w:style>
  <w:style w:type="paragraph" w:customStyle="1" w:styleId="45">
    <w:name w:val="修订5"/>
    <w:hidden/>
    <w:semiHidden/>
    <w:qFormat/>
    <w:uiPriority w:val="99"/>
    <w:rPr>
      <w:rFonts w:ascii="宋体" w:hAnsi="宋体" w:eastAsia="宋体" w:cs="宋体"/>
      <w:sz w:val="24"/>
      <w:szCs w:val="24"/>
      <w:lang w:val="en-US" w:eastAsia="zh-CN" w:bidi="ar-SA"/>
    </w:rPr>
  </w:style>
  <w:style w:type="character" w:customStyle="1" w:styleId="46">
    <w:name w:val="批注框文本 字符"/>
    <w:basedOn w:val="21"/>
    <w:link w:val="11"/>
    <w:qFormat/>
    <w:uiPriority w:val="0"/>
    <w:rPr>
      <w:rFonts w:ascii="宋体" w:hAnsi="宋体" w:cs="宋体"/>
      <w:sz w:val="18"/>
      <w:szCs w:val="18"/>
    </w:rPr>
  </w:style>
  <w:style w:type="paragraph" w:customStyle="1" w:styleId="47">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101</Words>
  <Characters>107</Characters>
  <Lines>177</Lines>
  <Paragraphs>49</Paragraphs>
  <TotalTime>0</TotalTime>
  <ScaleCrop>false</ScaleCrop>
  <LinksUpToDate>false</LinksUpToDate>
  <CharactersWithSpaces>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2024-06-08T04:10:00Z</dcterms:created>
  <dc:creator>LZQ</dc:creator>
  <cp:lastModifiedBy>微信用户</cp:lastModifiedBy>
  <cp:lastPrinted>2021-06-20T13:22:00Z</cp:lastPrinted>
  <dcterms:modified xsi:type="dcterms:W3CDTF">2025-10-17T07:16:38Z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F1112C1180FA451AB2F7A6A6CC01BBBC</vt:lpwstr>
  </property>
  <property fmtid="{D5CDD505-2E9C-101B-9397-08002B2CF9AE}" pid="4" name="KSOTemplateDocerSaveRecord">
    <vt:lpwstr>eyJoZGlkIjoiY2VmNzRhMDEyNGJlNzM1MDdkYjM4YTMwNmRkMjI5MmMiLCJ1c2VySWQiOiIxMjQxNDYxNTA3In0=</vt:lpwstr>
  </property>
</Properties>
</file>