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B43F">
      <w:pPr>
        <w:pStyle w:val="6"/>
        <w:jc w:val="center"/>
        <w:outlineLvl w:val="1"/>
        <w:rPr>
          <w:rFonts w:hint="eastAsia" w:ascii="黑体" w:hAnsi="黑体" w:eastAsia="黑体"/>
          <w:sz w:val="40"/>
          <w:szCs w:val="40"/>
          <w:lang w:eastAsia="zh-CN"/>
        </w:rPr>
      </w:pPr>
      <w:r>
        <w:rPr>
          <w:rFonts w:hint="eastAsia" w:ascii="黑体" w:hAnsi="黑体" w:eastAsia="黑体"/>
          <w:sz w:val="40"/>
          <w:szCs w:val="40"/>
        </w:rPr>
        <w:t>评标信息</w:t>
      </w:r>
      <w:r>
        <w:rPr>
          <w:rFonts w:hint="eastAsia" w:ascii="黑体" w:hAnsi="黑体" w:eastAsia="黑体"/>
          <w:sz w:val="40"/>
          <w:szCs w:val="40"/>
          <w:lang w:eastAsia="zh-CN"/>
        </w:rPr>
        <w:t>表</w:t>
      </w:r>
    </w:p>
    <w:tbl>
      <w:tblPr>
        <w:tblStyle w:val="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580"/>
        <w:gridCol w:w="840"/>
        <w:gridCol w:w="5239"/>
      </w:tblGrid>
      <w:tr w14:paraId="0C63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gridSpan w:val="5"/>
            <w:vAlign w:val="center"/>
          </w:tcPr>
          <w:p w14:paraId="4B3399E9">
            <w:pPr>
              <w:jc w:val="left"/>
              <w:rPr>
                <w:rFonts w:ascii="宋体" w:hAnsi="宋体" w:cs="宋体"/>
                <w:b/>
                <w:bCs/>
                <w:sz w:val="24"/>
              </w:rPr>
            </w:pPr>
            <w:r>
              <w:rPr>
                <w:b/>
                <w:bCs/>
              </w:rPr>
              <w:t>评标方法：综合评分法</w:t>
            </w:r>
          </w:p>
        </w:tc>
      </w:tr>
      <w:tr w14:paraId="129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gridSpan w:val="5"/>
            <w:vAlign w:val="center"/>
          </w:tcPr>
          <w:p w14:paraId="2214276C">
            <w:pPr>
              <w:pStyle w:val="6"/>
              <w:spacing w:line="324" w:lineRule="auto"/>
              <w:ind w:firstLine="420"/>
              <w:rPr>
                <w:sz w:val="21"/>
                <w:szCs w:val="21"/>
              </w:rPr>
            </w:pPr>
            <w:r>
              <w:rPr>
                <w:rFonts w:hint="eastAsia"/>
                <w:sz w:val="21"/>
                <w:szCs w:val="21"/>
              </w:rPr>
              <w:t>综合评分法，是指投标文件满足采购文件全部实质性要求，且按照评审因素的量化指标评审得分最高的投标人为中标候选人的评标方法。 （适用于中标候选人为1家的情形）</w:t>
            </w:r>
          </w:p>
          <w:p w14:paraId="0CCCCAF6">
            <w:pPr>
              <w:pStyle w:val="6"/>
              <w:spacing w:line="324" w:lineRule="auto"/>
              <w:ind w:firstLine="420"/>
              <w:rPr>
                <w:sz w:val="21"/>
                <w:szCs w:val="21"/>
              </w:rPr>
            </w:pPr>
            <w:r>
              <w:rPr>
                <w:rFonts w:hint="eastAsia"/>
                <w:sz w:val="21"/>
                <w:szCs w:val="21"/>
              </w:rPr>
              <w:t>综合评分法。在最大限度地满足采购文件实质性要求的前提下，按照采购文件中规定的各项因素进行综合评审，评标总得分排名前列的投标人，作为推荐的候选中标供应商。（适用于中标候选人为多家的情形）</w:t>
            </w:r>
          </w:p>
          <w:p w14:paraId="01AAC899">
            <w:pPr>
              <w:pStyle w:val="6"/>
              <w:ind w:firstLine="420"/>
              <w:rPr>
                <w:sz w:val="21"/>
                <w:szCs w:val="21"/>
              </w:rPr>
            </w:pPr>
            <w:r>
              <w:rPr>
                <w:sz w:val="21"/>
                <w:szCs w:val="21"/>
              </w:rPr>
              <w:t>价格分计算方法：</w:t>
            </w:r>
          </w:p>
          <w:p w14:paraId="01C107A3">
            <w:pPr>
              <w:pStyle w:val="6"/>
              <w:spacing w:line="324" w:lineRule="auto"/>
              <w:ind w:left="420"/>
              <w:rPr>
                <w:sz w:val="21"/>
                <w:szCs w:val="21"/>
              </w:rPr>
            </w:pPr>
            <w:r>
              <w:rPr>
                <w:sz w:val="21"/>
                <w:szCs w:val="21"/>
              </w:rPr>
              <w:t>采用低价优先法计算，即满足</w:t>
            </w:r>
            <w:r>
              <w:rPr>
                <w:rFonts w:hint="eastAsia"/>
                <w:sz w:val="21"/>
                <w:szCs w:val="21"/>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7A9BA9C3">
            <w:pPr>
              <w:pStyle w:val="6"/>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2628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494D75B">
            <w:pPr>
              <w:wordWrap w:val="0"/>
              <w:jc w:val="center"/>
              <w:rPr>
                <w:rFonts w:ascii="宋体" w:hAnsi="宋体" w:cs="宋体"/>
                <w:b/>
                <w:bCs/>
                <w:sz w:val="24"/>
              </w:rPr>
            </w:pPr>
            <w:r>
              <w:rPr>
                <w:b/>
                <w:bCs/>
              </w:rPr>
              <w:t>序号</w:t>
            </w:r>
          </w:p>
        </w:tc>
        <w:tc>
          <w:tcPr>
            <w:tcW w:w="3129" w:type="dxa"/>
            <w:gridSpan w:val="3"/>
            <w:shd w:val="clear" w:color="auto" w:fill="E6EFFA"/>
            <w:vAlign w:val="center"/>
          </w:tcPr>
          <w:p w14:paraId="7F0F4F49">
            <w:pPr>
              <w:wordWrap w:val="0"/>
              <w:jc w:val="center"/>
              <w:rPr>
                <w:rFonts w:ascii="宋体" w:hAnsi="宋体" w:cs="宋体"/>
                <w:b/>
                <w:bCs/>
                <w:sz w:val="24"/>
              </w:rPr>
            </w:pPr>
            <w:r>
              <w:rPr>
                <w:b/>
                <w:bCs/>
              </w:rPr>
              <w:t>评分项</w:t>
            </w:r>
          </w:p>
        </w:tc>
        <w:tc>
          <w:tcPr>
            <w:tcW w:w="5239" w:type="dxa"/>
            <w:shd w:val="clear" w:color="auto" w:fill="E6EFFA"/>
            <w:vAlign w:val="center"/>
          </w:tcPr>
          <w:p w14:paraId="3EF986FA">
            <w:pPr>
              <w:wordWrap w:val="0"/>
              <w:jc w:val="center"/>
              <w:rPr>
                <w:rFonts w:ascii="宋体" w:hAnsi="宋体" w:cs="宋体"/>
                <w:b/>
                <w:bCs/>
                <w:sz w:val="24"/>
              </w:rPr>
            </w:pPr>
            <w:r>
              <w:rPr>
                <w:b/>
                <w:bCs/>
              </w:rPr>
              <w:t>权重(%)</w:t>
            </w:r>
          </w:p>
        </w:tc>
      </w:tr>
      <w:tr w14:paraId="108F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F97BBD2">
            <w:pPr>
              <w:wordWrap w:val="0"/>
              <w:jc w:val="center"/>
              <w:rPr>
                <w:rFonts w:ascii="宋体" w:hAnsi="宋体" w:cs="宋体"/>
                <w:b/>
                <w:bCs/>
                <w:color w:val="0000FF"/>
                <w:sz w:val="24"/>
              </w:rPr>
            </w:pPr>
            <w:r>
              <w:rPr>
                <w:b/>
                <w:bCs/>
                <w:color w:val="0000FF"/>
              </w:rPr>
              <w:t>1</w:t>
            </w:r>
          </w:p>
        </w:tc>
        <w:tc>
          <w:tcPr>
            <w:tcW w:w="3129" w:type="dxa"/>
            <w:gridSpan w:val="3"/>
          </w:tcPr>
          <w:p w14:paraId="6034E283">
            <w:pPr>
              <w:wordWrap w:val="0"/>
              <w:jc w:val="center"/>
              <w:rPr>
                <w:rFonts w:ascii="宋体" w:hAnsi="宋体" w:cs="宋体"/>
                <w:b/>
                <w:bCs/>
                <w:color w:val="0000FF"/>
                <w:sz w:val="24"/>
              </w:rPr>
            </w:pPr>
            <w:r>
              <w:rPr>
                <w:b/>
                <w:bCs/>
                <w:color w:val="0000FF"/>
              </w:rPr>
              <w:t>价格</w:t>
            </w:r>
          </w:p>
        </w:tc>
        <w:tc>
          <w:tcPr>
            <w:tcW w:w="5239" w:type="dxa"/>
          </w:tcPr>
          <w:p w14:paraId="31A5712C">
            <w:pPr>
              <w:wordWrap w:val="0"/>
              <w:jc w:val="center"/>
              <w:rPr>
                <w:rFonts w:ascii="宋体" w:hAnsi="宋体" w:cs="宋体"/>
                <w:b/>
                <w:bCs/>
                <w:color w:val="0000FF"/>
                <w:sz w:val="24"/>
              </w:rPr>
            </w:pPr>
            <w:r>
              <w:rPr>
                <w:rFonts w:hint="eastAsia"/>
                <w:b/>
                <w:bCs/>
                <w:color w:val="0000FF"/>
              </w:rPr>
              <w:t>1</w:t>
            </w:r>
            <w:r>
              <w:rPr>
                <w:b/>
                <w:bCs/>
                <w:color w:val="0000FF"/>
              </w:rPr>
              <w:t>0</w:t>
            </w:r>
          </w:p>
        </w:tc>
      </w:tr>
      <w:tr w14:paraId="52A4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856F45F">
            <w:pPr>
              <w:rPr>
                <w:rFonts w:ascii="宋体" w:hAnsi="宋体" w:cs="宋体"/>
                <w:b/>
                <w:bCs/>
                <w:color w:val="0000FF"/>
                <w:sz w:val="24"/>
              </w:rPr>
            </w:pPr>
          </w:p>
        </w:tc>
        <w:tc>
          <w:tcPr>
            <w:tcW w:w="8368" w:type="dxa"/>
            <w:gridSpan w:val="4"/>
          </w:tcPr>
          <w:p w14:paraId="73605BF5">
            <w:pPr>
              <w:wordWrap w:val="0"/>
              <w:rPr>
                <w:rFonts w:ascii="宋体" w:hAnsi="宋体" w:cs="宋体"/>
                <w:szCs w:val="21"/>
              </w:rPr>
            </w:pPr>
          </w:p>
        </w:tc>
      </w:tr>
      <w:tr w14:paraId="6968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55D0B728">
            <w:pPr>
              <w:wordWrap w:val="0"/>
              <w:jc w:val="center"/>
              <w:rPr>
                <w:rFonts w:ascii="宋体" w:hAnsi="宋体" w:cs="宋体"/>
                <w:b/>
                <w:bCs/>
                <w:color w:val="0000FF"/>
                <w:sz w:val="24"/>
              </w:rPr>
            </w:pPr>
            <w:r>
              <w:rPr>
                <w:b/>
                <w:bCs/>
                <w:color w:val="0000FF"/>
              </w:rPr>
              <w:t>2</w:t>
            </w:r>
          </w:p>
        </w:tc>
        <w:tc>
          <w:tcPr>
            <w:tcW w:w="3129" w:type="dxa"/>
            <w:gridSpan w:val="3"/>
          </w:tcPr>
          <w:p w14:paraId="6014E88F">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5239" w:type="dxa"/>
          </w:tcPr>
          <w:p w14:paraId="1D55AE58">
            <w:pPr>
              <w:wordWrap w:val="0"/>
              <w:jc w:val="center"/>
              <w:rPr>
                <w:rFonts w:ascii="宋体" w:hAnsi="宋体" w:cs="宋体"/>
                <w:b/>
                <w:bCs/>
                <w:color w:val="0000FF"/>
                <w:sz w:val="24"/>
              </w:rPr>
            </w:pPr>
            <w:r>
              <w:rPr>
                <w:rFonts w:hint="eastAsia"/>
                <w:b/>
                <w:bCs/>
                <w:color w:val="0000FF"/>
              </w:rPr>
              <w:t>65</w:t>
            </w:r>
          </w:p>
        </w:tc>
      </w:tr>
      <w:tr w14:paraId="4CD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52A1AE">
            <w:pPr>
              <w:rPr>
                <w:rFonts w:ascii="宋体" w:hAnsi="宋体" w:cs="宋体"/>
                <w:b/>
                <w:bCs/>
                <w:color w:val="0000FF"/>
                <w:sz w:val="24"/>
              </w:rPr>
            </w:pPr>
          </w:p>
        </w:tc>
        <w:tc>
          <w:tcPr>
            <w:tcW w:w="8368" w:type="dxa"/>
            <w:gridSpan w:val="4"/>
          </w:tcPr>
          <w:p w14:paraId="0ADA9FD1">
            <w:pPr>
              <w:wordWrap w:val="0"/>
              <w:rPr>
                <w:rFonts w:ascii="宋体" w:hAnsi="宋体" w:cs="宋体"/>
                <w:szCs w:val="21"/>
              </w:rPr>
            </w:pPr>
          </w:p>
        </w:tc>
      </w:tr>
      <w:tr w14:paraId="4F99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47D27C23">
            <w:pPr>
              <w:rPr>
                <w:rFonts w:ascii="宋体" w:hAnsi="宋体" w:cs="宋体"/>
                <w:b/>
                <w:bCs/>
                <w:color w:val="0000FF"/>
                <w:sz w:val="24"/>
              </w:rPr>
            </w:pPr>
          </w:p>
        </w:tc>
        <w:tc>
          <w:tcPr>
            <w:tcW w:w="709" w:type="dxa"/>
            <w:shd w:val="clear" w:color="auto" w:fill="E6EFFA"/>
            <w:vAlign w:val="center"/>
          </w:tcPr>
          <w:p w14:paraId="44B2162F">
            <w:pPr>
              <w:wordWrap w:val="0"/>
              <w:jc w:val="center"/>
              <w:rPr>
                <w:rFonts w:ascii="宋体" w:hAnsi="宋体" w:cs="宋体"/>
                <w:b/>
                <w:bCs/>
                <w:szCs w:val="21"/>
              </w:rPr>
            </w:pPr>
            <w:r>
              <w:rPr>
                <w:b/>
                <w:bCs/>
                <w:szCs w:val="21"/>
              </w:rPr>
              <w:t>序号</w:t>
            </w:r>
          </w:p>
        </w:tc>
        <w:tc>
          <w:tcPr>
            <w:tcW w:w="1580" w:type="dxa"/>
            <w:shd w:val="clear" w:color="auto" w:fill="E6EFFA"/>
            <w:vAlign w:val="center"/>
          </w:tcPr>
          <w:p w14:paraId="5519A7F6">
            <w:pPr>
              <w:wordWrap w:val="0"/>
              <w:jc w:val="center"/>
              <w:rPr>
                <w:rFonts w:ascii="宋体" w:hAnsi="宋体" w:cs="宋体"/>
                <w:b/>
                <w:bCs/>
                <w:szCs w:val="21"/>
              </w:rPr>
            </w:pPr>
            <w:r>
              <w:rPr>
                <w:rFonts w:hint="eastAsia"/>
                <w:b/>
                <w:bCs/>
                <w:szCs w:val="21"/>
              </w:rPr>
              <w:t>评审因素</w:t>
            </w:r>
          </w:p>
        </w:tc>
        <w:tc>
          <w:tcPr>
            <w:tcW w:w="840" w:type="dxa"/>
            <w:shd w:val="clear" w:color="auto" w:fill="E6EFFA"/>
            <w:vAlign w:val="center"/>
          </w:tcPr>
          <w:p w14:paraId="6FD6E43B">
            <w:pPr>
              <w:wordWrap w:val="0"/>
              <w:jc w:val="center"/>
              <w:rPr>
                <w:rFonts w:ascii="宋体" w:hAnsi="宋体" w:cs="宋体"/>
                <w:b/>
                <w:bCs/>
                <w:szCs w:val="21"/>
              </w:rPr>
            </w:pPr>
            <w:r>
              <w:rPr>
                <w:b/>
                <w:bCs/>
                <w:szCs w:val="21"/>
              </w:rPr>
              <w:t>权重(%)</w:t>
            </w:r>
          </w:p>
        </w:tc>
        <w:tc>
          <w:tcPr>
            <w:tcW w:w="5239" w:type="dxa"/>
            <w:shd w:val="clear" w:color="auto" w:fill="E6EFFA"/>
            <w:vAlign w:val="center"/>
          </w:tcPr>
          <w:p w14:paraId="41F5E52C">
            <w:pPr>
              <w:wordWrap w:val="0"/>
              <w:jc w:val="center"/>
              <w:rPr>
                <w:rFonts w:ascii="宋体" w:hAnsi="宋体" w:cs="宋体"/>
                <w:b/>
                <w:bCs/>
                <w:szCs w:val="21"/>
              </w:rPr>
            </w:pPr>
            <w:r>
              <w:rPr>
                <w:b/>
                <w:bCs/>
                <w:szCs w:val="21"/>
              </w:rPr>
              <w:t>评分准则</w:t>
            </w:r>
          </w:p>
        </w:tc>
      </w:tr>
      <w:tr w14:paraId="219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38E08F4D">
            <w:pPr>
              <w:rPr>
                <w:rFonts w:ascii="宋体" w:hAnsi="宋体" w:cs="宋体"/>
                <w:b/>
                <w:bCs/>
                <w:color w:val="0000FF"/>
                <w:sz w:val="24"/>
              </w:rPr>
            </w:pPr>
          </w:p>
        </w:tc>
        <w:tc>
          <w:tcPr>
            <w:tcW w:w="709" w:type="dxa"/>
            <w:vAlign w:val="center"/>
          </w:tcPr>
          <w:p w14:paraId="3953B193">
            <w:pPr>
              <w:wordWrap w:val="0"/>
              <w:jc w:val="center"/>
              <w:rPr>
                <w:rFonts w:ascii="宋体" w:hAnsi="宋体" w:cs="宋体"/>
                <w:szCs w:val="21"/>
              </w:rPr>
            </w:pPr>
            <w:r>
              <w:rPr>
                <w:rFonts w:ascii="宋体" w:hAnsi="宋体"/>
                <w:szCs w:val="21"/>
              </w:rPr>
              <w:t>1</w:t>
            </w:r>
          </w:p>
        </w:tc>
        <w:tc>
          <w:tcPr>
            <w:tcW w:w="1580" w:type="dxa"/>
            <w:vAlign w:val="center"/>
          </w:tcPr>
          <w:p w14:paraId="5CC698B1">
            <w:pPr>
              <w:wordWrap w:val="0"/>
              <w:jc w:val="center"/>
              <w:rPr>
                <w:rFonts w:ascii="宋体" w:hAnsi="宋体" w:cs="宋体"/>
                <w:szCs w:val="21"/>
              </w:rPr>
            </w:pPr>
            <w:r>
              <w:rPr>
                <w:rFonts w:hint="eastAsia" w:ascii="宋体" w:hAnsi="宋体" w:cs="宋体"/>
                <w:szCs w:val="21"/>
              </w:rPr>
              <w:t>实施方案</w:t>
            </w:r>
          </w:p>
        </w:tc>
        <w:tc>
          <w:tcPr>
            <w:tcW w:w="840" w:type="dxa"/>
            <w:vAlign w:val="center"/>
          </w:tcPr>
          <w:p w14:paraId="5E20DC21">
            <w:pPr>
              <w:wordWrap w:val="0"/>
              <w:jc w:val="center"/>
              <w:rPr>
                <w:rFonts w:ascii="宋体" w:hAnsi="宋体" w:cs="宋体"/>
                <w:szCs w:val="21"/>
              </w:rPr>
            </w:pPr>
            <w:r>
              <w:rPr>
                <w:rFonts w:hint="eastAsia" w:ascii="宋体" w:hAnsi="宋体" w:cs="宋体"/>
                <w:szCs w:val="21"/>
              </w:rPr>
              <w:t>15</w:t>
            </w:r>
          </w:p>
        </w:tc>
        <w:tc>
          <w:tcPr>
            <w:tcW w:w="5239" w:type="dxa"/>
          </w:tcPr>
          <w:p w14:paraId="5B74E70A">
            <w:pPr>
              <w:jc w:val="left"/>
              <w:rPr>
                <w:rFonts w:ascii="宋体" w:hAnsi="宋体" w:cs="宋体"/>
                <w:b/>
                <w:bCs/>
                <w:szCs w:val="21"/>
              </w:rPr>
            </w:pPr>
            <w:r>
              <w:rPr>
                <w:rFonts w:hint="eastAsia" w:ascii="宋体" w:hAnsi="宋体" w:cs="宋体"/>
                <w:b/>
                <w:bCs/>
                <w:szCs w:val="21"/>
              </w:rPr>
              <w:t>（一）评分内容：</w:t>
            </w:r>
          </w:p>
          <w:p w14:paraId="38495087">
            <w:pPr>
              <w:jc w:val="left"/>
              <w:rPr>
                <w:rFonts w:ascii="宋体" w:hAnsi="宋体" w:cs="宋体"/>
                <w:szCs w:val="21"/>
              </w:rPr>
            </w:pPr>
            <w:r>
              <w:rPr>
                <w:rFonts w:hint="eastAsia" w:ascii="宋体" w:hAnsi="宋体" w:cs="宋体"/>
                <w:szCs w:val="21"/>
              </w:rPr>
              <w:t>评审委员会根据投标单位的项目实施方案进行评审，包括但不限于以下内容：</w:t>
            </w:r>
          </w:p>
          <w:p w14:paraId="1079961E">
            <w:pPr>
              <w:jc w:val="left"/>
              <w:rPr>
                <w:rFonts w:ascii="宋体" w:hAnsi="宋体" w:cs="宋体"/>
                <w:szCs w:val="21"/>
              </w:rPr>
            </w:pPr>
            <w:r>
              <w:rPr>
                <w:rFonts w:hint="eastAsia" w:ascii="宋体" w:hAnsi="宋体" w:cs="宋体"/>
                <w:szCs w:val="21"/>
              </w:rPr>
              <w:t>1.运营服务日常管理。</w:t>
            </w:r>
          </w:p>
          <w:p w14:paraId="603E2C8C">
            <w:pPr>
              <w:jc w:val="left"/>
              <w:rPr>
                <w:rFonts w:ascii="宋体" w:hAnsi="宋体" w:cs="宋体"/>
                <w:szCs w:val="21"/>
              </w:rPr>
            </w:pPr>
            <w:r>
              <w:rPr>
                <w:rFonts w:hint="eastAsia" w:ascii="宋体" w:hAnsi="宋体" w:cs="宋体"/>
                <w:szCs w:val="21"/>
              </w:rPr>
              <w:t>2.技术保障措施。</w:t>
            </w:r>
          </w:p>
          <w:p w14:paraId="345CDB7A">
            <w:pPr>
              <w:jc w:val="left"/>
              <w:rPr>
                <w:rFonts w:ascii="宋体" w:hAnsi="宋体" w:cs="宋体"/>
                <w:szCs w:val="21"/>
              </w:rPr>
            </w:pPr>
            <w:r>
              <w:rPr>
                <w:rFonts w:hint="eastAsia" w:ascii="宋体" w:hAnsi="宋体" w:cs="宋体"/>
                <w:szCs w:val="21"/>
              </w:rPr>
              <w:t>3.培训方案。</w:t>
            </w:r>
          </w:p>
          <w:p w14:paraId="375E132D">
            <w:pPr>
              <w:jc w:val="left"/>
              <w:rPr>
                <w:rFonts w:ascii="宋体" w:hAnsi="宋体" w:cs="宋体"/>
                <w:szCs w:val="21"/>
              </w:rPr>
            </w:pPr>
            <w:r>
              <w:rPr>
                <w:rFonts w:hint="eastAsia" w:ascii="宋体" w:hAnsi="宋体" w:cs="宋体"/>
                <w:szCs w:val="21"/>
              </w:rPr>
              <w:t>4.服务团队日常管理规章制度。</w:t>
            </w:r>
          </w:p>
          <w:p w14:paraId="6DFE5DD1">
            <w:pPr>
              <w:jc w:val="left"/>
              <w:rPr>
                <w:rFonts w:ascii="宋体" w:hAnsi="宋体" w:cs="宋体"/>
                <w:b/>
                <w:bCs/>
                <w:szCs w:val="21"/>
              </w:rPr>
            </w:pPr>
            <w:r>
              <w:rPr>
                <w:rFonts w:hint="eastAsia" w:ascii="宋体" w:hAnsi="宋体" w:cs="宋体"/>
                <w:b/>
                <w:bCs/>
                <w:szCs w:val="21"/>
              </w:rPr>
              <w:t>（二）评分标准：</w:t>
            </w:r>
          </w:p>
          <w:p w14:paraId="0055BF3A">
            <w:pPr>
              <w:jc w:val="left"/>
              <w:rPr>
                <w:rFonts w:ascii="宋体" w:hAnsi="宋体" w:cs="宋体"/>
                <w:szCs w:val="21"/>
              </w:rPr>
            </w:pPr>
            <w:r>
              <w:rPr>
                <w:rFonts w:hint="eastAsia" w:ascii="宋体" w:hAnsi="宋体" w:cs="宋体"/>
                <w:szCs w:val="21"/>
              </w:rPr>
              <w:t>投标人所提供的《实施方案》每包含以上1项内容得</w:t>
            </w:r>
            <w:r>
              <w:rPr>
                <w:rFonts w:hint="eastAsia" w:ascii="宋体" w:hAnsi="宋体" w:cs="宋体"/>
                <w:szCs w:val="21"/>
                <w:lang w:val="en-US" w:eastAsia="zh-CN"/>
              </w:rPr>
              <w:t>15</w:t>
            </w:r>
            <w:r>
              <w:rPr>
                <w:rFonts w:hint="eastAsia" w:ascii="宋体" w:hAnsi="宋体" w:cs="宋体"/>
                <w:szCs w:val="21"/>
              </w:rPr>
              <w:t>分，最高得</w:t>
            </w:r>
            <w:r>
              <w:rPr>
                <w:rFonts w:hint="eastAsia" w:ascii="宋体" w:hAnsi="宋体" w:cs="宋体"/>
                <w:szCs w:val="21"/>
                <w:lang w:val="en-US" w:eastAsia="zh-CN"/>
              </w:rPr>
              <w:t>60</w:t>
            </w:r>
            <w:r>
              <w:rPr>
                <w:rFonts w:hint="eastAsia" w:ascii="宋体" w:hAnsi="宋体" w:cs="宋体"/>
                <w:szCs w:val="21"/>
              </w:rPr>
              <w:t>分。在此基础上，专家根据内容的合理性进行评分：</w:t>
            </w:r>
          </w:p>
          <w:p w14:paraId="06EC2D48">
            <w:pPr>
              <w:jc w:val="left"/>
              <w:rPr>
                <w:rFonts w:ascii="宋体" w:hAnsi="宋体" w:cs="宋体"/>
                <w:szCs w:val="21"/>
              </w:rPr>
            </w:pPr>
            <w:r>
              <w:rPr>
                <w:rFonts w:hint="eastAsia" w:ascii="宋体" w:hAnsi="宋体" w:cs="宋体"/>
                <w:szCs w:val="21"/>
              </w:rPr>
              <w:t>（1）优评分标准:方案符合实际、完整、规范、思路清晰，内容合理性强的，加</w:t>
            </w:r>
            <w:r>
              <w:rPr>
                <w:rFonts w:hint="eastAsia" w:ascii="宋体" w:hAnsi="宋体" w:cs="宋体"/>
                <w:szCs w:val="21"/>
                <w:lang w:val="en-US" w:eastAsia="zh-CN"/>
              </w:rPr>
              <w:t>30-40</w:t>
            </w:r>
            <w:r>
              <w:rPr>
                <w:rFonts w:hint="eastAsia" w:ascii="宋体" w:hAnsi="宋体" w:cs="宋体"/>
                <w:szCs w:val="21"/>
              </w:rPr>
              <w:t>分。</w:t>
            </w:r>
          </w:p>
          <w:p w14:paraId="0B1CC034">
            <w:pPr>
              <w:jc w:val="left"/>
              <w:rPr>
                <w:rFonts w:ascii="宋体" w:hAnsi="宋体" w:cs="宋体"/>
                <w:szCs w:val="21"/>
              </w:rPr>
            </w:pPr>
            <w:r>
              <w:rPr>
                <w:rFonts w:hint="eastAsia" w:ascii="宋体" w:hAnsi="宋体" w:cs="宋体"/>
                <w:szCs w:val="21"/>
              </w:rPr>
              <w:t>（2）良评分标准:方案较符合实际、较完整规范、思路较清晰，内容合理性较强的，加</w:t>
            </w:r>
            <w:r>
              <w:rPr>
                <w:rFonts w:hint="eastAsia" w:ascii="宋体" w:hAnsi="宋体" w:cs="宋体"/>
                <w:szCs w:val="21"/>
                <w:lang w:val="en-US" w:eastAsia="zh-CN"/>
              </w:rPr>
              <w:t>20-30</w:t>
            </w:r>
            <w:r>
              <w:rPr>
                <w:rFonts w:hint="eastAsia" w:ascii="宋体" w:hAnsi="宋体" w:cs="宋体"/>
                <w:szCs w:val="21"/>
              </w:rPr>
              <w:t>分。</w:t>
            </w:r>
          </w:p>
          <w:p w14:paraId="4D00EAC4">
            <w:pPr>
              <w:jc w:val="left"/>
              <w:rPr>
                <w:rFonts w:ascii="宋体" w:hAnsi="宋体" w:cs="宋体"/>
                <w:szCs w:val="21"/>
              </w:rPr>
            </w:pPr>
            <w:r>
              <w:rPr>
                <w:rFonts w:hint="eastAsia" w:ascii="宋体" w:hAnsi="宋体" w:cs="宋体"/>
                <w:szCs w:val="21"/>
              </w:rPr>
              <w:t>（3）中评分标准:方案较普通、完整性规范性一般，思路不够清晰，内容合理性一般的，加</w:t>
            </w:r>
            <w:r>
              <w:rPr>
                <w:rFonts w:hint="eastAsia" w:ascii="宋体" w:hAnsi="宋体" w:cs="宋体"/>
                <w:szCs w:val="21"/>
                <w:lang w:val="en-US" w:eastAsia="zh-CN"/>
              </w:rPr>
              <w:t>10-20</w:t>
            </w:r>
            <w:r>
              <w:rPr>
                <w:rFonts w:hint="eastAsia" w:ascii="宋体" w:hAnsi="宋体" w:cs="宋体"/>
                <w:szCs w:val="21"/>
              </w:rPr>
              <w:t>分。</w:t>
            </w:r>
          </w:p>
          <w:p w14:paraId="0A93462A">
            <w:pPr>
              <w:jc w:val="left"/>
              <w:rPr>
                <w:rFonts w:ascii="宋体" w:hAnsi="宋体" w:cs="宋体"/>
                <w:szCs w:val="21"/>
              </w:rPr>
            </w:pPr>
            <w:r>
              <w:rPr>
                <w:rFonts w:hint="eastAsia" w:ascii="宋体" w:hAnsi="宋体" w:cs="宋体"/>
                <w:szCs w:val="21"/>
              </w:rPr>
              <w:t>（4）差评分标准方案:不完整、不规范，思路不清晰，内容合理性较差或未提供的，不加分。</w:t>
            </w:r>
          </w:p>
          <w:p w14:paraId="61AFCC8B">
            <w:pPr>
              <w:wordWrap w:val="0"/>
              <w:rPr>
                <w:rFonts w:ascii="宋体" w:hAnsi="宋体" w:cs="宋体"/>
                <w:szCs w:val="21"/>
              </w:rPr>
            </w:pPr>
            <w:r>
              <w:rPr>
                <w:rFonts w:hint="eastAsia" w:ascii="宋体" w:hAnsi="宋体" w:cs="宋体"/>
                <w:szCs w:val="21"/>
              </w:rPr>
              <w:t>如果评审为差，要求专家书面说明理由，并记录在档。</w:t>
            </w:r>
          </w:p>
        </w:tc>
      </w:tr>
      <w:tr w14:paraId="0C95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B112BB9">
            <w:pPr>
              <w:rPr>
                <w:rFonts w:ascii="宋体" w:hAnsi="宋体" w:cs="宋体"/>
                <w:b/>
                <w:bCs/>
                <w:color w:val="0000FF"/>
                <w:sz w:val="24"/>
              </w:rPr>
            </w:pPr>
          </w:p>
        </w:tc>
        <w:tc>
          <w:tcPr>
            <w:tcW w:w="709" w:type="dxa"/>
            <w:vAlign w:val="center"/>
          </w:tcPr>
          <w:p w14:paraId="6E42BF97">
            <w:pPr>
              <w:wordWrap w:val="0"/>
              <w:jc w:val="center"/>
              <w:rPr>
                <w:rFonts w:ascii="宋体" w:hAnsi="宋体" w:cs="宋体"/>
                <w:szCs w:val="21"/>
              </w:rPr>
            </w:pPr>
            <w:r>
              <w:rPr>
                <w:rFonts w:ascii="宋体" w:hAnsi="宋体"/>
                <w:szCs w:val="21"/>
              </w:rPr>
              <w:t>2</w:t>
            </w:r>
          </w:p>
        </w:tc>
        <w:tc>
          <w:tcPr>
            <w:tcW w:w="1580" w:type="dxa"/>
            <w:vAlign w:val="center"/>
          </w:tcPr>
          <w:p w14:paraId="08659D40">
            <w:pPr>
              <w:wordWrap w:val="0"/>
              <w:jc w:val="center"/>
              <w:rPr>
                <w:rFonts w:ascii="宋体" w:hAnsi="宋体" w:cs="宋体"/>
                <w:szCs w:val="21"/>
              </w:rPr>
            </w:pPr>
            <w:r>
              <w:rPr>
                <w:rFonts w:hint="eastAsia" w:ascii="宋体" w:hAnsi="宋体" w:cs="宋体"/>
                <w:szCs w:val="21"/>
              </w:rPr>
              <w:t>项目重点难点分析、应对措施及相关的合理化建议</w:t>
            </w:r>
          </w:p>
        </w:tc>
        <w:tc>
          <w:tcPr>
            <w:tcW w:w="840" w:type="dxa"/>
            <w:vAlign w:val="center"/>
          </w:tcPr>
          <w:p w14:paraId="6D83C694">
            <w:pPr>
              <w:wordWrap w:val="0"/>
              <w:jc w:val="center"/>
              <w:rPr>
                <w:rFonts w:ascii="宋体" w:hAnsi="宋体" w:cs="宋体"/>
                <w:szCs w:val="21"/>
              </w:rPr>
            </w:pPr>
            <w:r>
              <w:rPr>
                <w:rFonts w:hint="eastAsia" w:ascii="宋体" w:hAnsi="宋体" w:cs="宋体"/>
                <w:szCs w:val="21"/>
              </w:rPr>
              <w:t>10</w:t>
            </w:r>
          </w:p>
        </w:tc>
        <w:tc>
          <w:tcPr>
            <w:tcW w:w="5239" w:type="dxa"/>
            <w:vAlign w:val="center"/>
          </w:tcPr>
          <w:p w14:paraId="21E542C5">
            <w:pPr>
              <w:jc w:val="left"/>
              <w:rPr>
                <w:rFonts w:ascii="宋体" w:hAnsi="宋体" w:cs="宋体"/>
                <w:b/>
                <w:bCs/>
                <w:szCs w:val="21"/>
              </w:rPr>
            </w:pPr>
            <w:r>
              <w:rPr>
                <w:rFonts w:hint="eastAsia" w:ascii="宋体" w:hAnsi="宋体" w:cs="宋体"/>
                <w:b/>
                <w:bCs/>
                <w:szCs w:val="21"/>
              </w:rPr>
              <w:t>（一）评分内容：</w:t>
            </w:r>
          </w:p>
          <w:p w14:paraId="7CBFA2C3">
            <w:pPr>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23EACC2A">
            <w:pPr>
              <w:rPr>
                <w:rFonts w:ascii="宋体" w:hAnsi="宋体" w:cs="宋体"/>
                <w:szCs w:val="21"/>
              </w:rPr>
            </w:pPr>
            <w:r>
              <w:rPr>
                <w:rFonts w:hint="eastAsia" w:ascii="宋体" w:hAnsi="宋体" w:cs="宋体"/>
                <w:szCs w:val="21"/>
              </w:rPr>
              <w:t>1.项目重点难点分析。</w:t>
            </w:r>
          </w:p>
          <w:p w14:paraId="0BA8F461">
            <w:pPr>
              <w:rPr>
                <w:rFonts w:ascii="宋体" w:hAnsi="宋体" w:cs="宋体"/>
                <w:szCs w:val="21"/>
              </w:rPr>
            </w:pPr>
            <w:r>
              <w:rPr>
                <w:rFonts w:hint="eastAsia" w:ascii="宋体" w:hAnsi="宋体" w:cs="宋体"/>
                <w:szCs w:val="21"/>
              </w:rPr>
              <w:t>2.针对重、难点的相关应对措施。</w:t>
            </w:r>
          </w:p>
          <w:p w14:paraId="6F576FAC">
            <w:pPr>
              <w:rPr>
                <w:rFonts w:ascii="宋体" w:hAnsi="宋体" w:cs="宋体"/>
                <w:szCs w:val="21"/>
              </w:rPr>
            </w:pPr>
            <w:r>
              <w:rPr>
                <w:rFonts w:hint="eastAsia" w:ascii="宋体" w:hAnsi="宋体" w:cs="宋体"/>
                <w:szCs w:val="21"/>
              </w:rPr>
              <w:t>3.日常服务的建议。</w:t>
            </w:r>
          </w:p>
          <w:p w14:paraId="594A4738">
            <w:pPr>
              <w:jc w:val="left"/>
              <w:rPr>
                <w:rFonts w:ascii="宋体" w:hAnsi="宋体" w:cs="宋体"/>
                <w:b/>
                <w:bCs/>
                <w:szCs w:val="21"/>
              </w:rPr>
            </w:pPr>
            <w:r>
              <w:rPr>
                <w:rFonts w:hint="eastAsia" w:ascii="宋体" w:hAnsi="宋体" w:cs="宋体"/>
                <w:b/>
                <w:bCs/>
                <w:szCs w:val="21"/>
              </w:rPr>
              <w:t>（二）评分标准：</w:t>
            </w:r>
          </w:p>
          <w:p w14:paraId="4CD90BCD">
            <w:pPr>
              <w:rPr>
                <w:rFonts w:ascii="宋体" w:hAnsi="宋体" w:cs="宋体"/>
                <w:szCs w:val="21"/>
              </w:rPr>
            </w:pPr>
            <w:r>
              <w:rPr>
                <w:rFonts w:hint="eastAsia" w:ascii="宋体" w:hAnsi="宋体" w:cs="宋体"/>
                <w:szCs w:val="21"/>
              </w:rPr>
              <w:t>投标人所提供的《项目重点难点分析、应对措施及相关的合理化建议》每包含以上1点内容得</w:t>
            </w:r>
            <w:r>
              <w:rPr>
                <w:rFonts w:hint="eastAsia" w:ascii="宋体" w:hAnsi="宋体" w:cs="宋体"/>
                <w:szCs w:val="21"/>
                <w:lang w:val="en-US" w:eastAsia="zh-CN"/>
              </w:rPr>
              <w:t>20</w:t>
            </w:r>
            <w:r>
              <w:rPr>
                <w:rFonts w:hint="eastAsia" w:ascii="宋体" w:hAnsi="宋体" w:cs="宋体"/>
                <w:szCs w:val="21"/>
              </w:rPr>
              <w:t>分，最高得</w:t>
            </w:r>
            <w:r>
              <w:rPr>
                <w:rFonts w:hint="eastAsia" w:ascii="宋体" w:hAnsi="宋体" w:cs="宋体"/>
                <w:szCs w:val="21"/>
                <w:lang w:val="en-US" w:eastAsia="zh-CN"/>
              </w:rPr>
              <w:t>60</w:t>
            </w:r>
            <w:r>
              <w:rPr>
                <w:rFonts w:hint="eastAsia" w:ascii="宋体" w:hAnsi="宋体" w:cs="宋体"/>
                <w:szCs w:val="21"/>
              </w:rPr>
              <w:t>分。在此基础上，专家根据内容的合理性进行评分:</w:t>
            </w:r>
          </w:p>
          <w:p w14:paraId="18371092">
            <w:pPr>
              <w:rPr>
                <w:rFonts w:ascii="宋体" w:hAnsi="宋体" w:cs="宋体"/>
                <w:szCs w:val="21"/>
              </w:rPr>
            </w:pPr>
            <w:r>
              <w:rPr>
                <w:rFonts w:hint="eastAsia" w:ascii="宋体" w:hAnsi="宋体" w:cs="宋体"/>
                <w:szCs w:val="21"/>
              </w:rPr>
              <w:t>（1）优评分标准:方案符合实际、完整、规范、思路清晰，内容合理性强的，加</w:t>
            </w:r>
            <w:r>
              <w:rPr>
                <w:rFonts w:hint="eastAsia" w:ascii="宋体" w:hAnsi="宋体" w:cs="宋体"/>
                <w:szCs w:val="21"/>
                <w:lang w:val="en-US" w:eastAsia="zh-CN"/>
              </w:rPr>
              <w:t>30-40</w:t>
            </w:r>
            <w:r>
              <w:rPr>
                <w:rFonts w:hint="eastAsia" w:ascii="宋体" w:hAnsi="宋体" w:cs="宋体"/>
                <w:szCs w:val="21"/>
              </w:rPr>
              <w:t>分。</w:t>
            </w:r>
          </w:p>
          <w:p w14:paraId="4A68DC45">
            <w:pPr>
              <w:rPr>
                <w:rFonts w:ascii="宋体" w:hAnsi="宋体" w:cs="宋体"/>
                <w:szCs w:val="21"/>
              </w:rPr>
            </w:pPr>
            <w:r>
              <w:rPr>
                <w:rFonts w:hint="eastAsia" w:ascii="宋体" w:hAnsi="宋体" w:cs="宋体"/>
                <w:szCs w:val="21"/>
              </w:rPr>
              <w:t>（2）良评分标准:方案较符合实际、较完整规范、思路较清晰，内容合理性较强的，加20</w:t>
            </w:r>
            <w:r>
              <w:rPr>
                <w:rFonts w:hint="eastAsia" w:ascii="宋体" w:hAnsi="宋体" w:cs="宋体"/>
                <w:szCs w:val="21"/>
                <w:lang w:val="en-US" w:eastAsia="zh-CN"/>
              </w:rPr>
              <w:t>-30</w:t>
            </w:r>
            <w:r>
              <w:rPr>
                <w:rFonts w:hint="eastAsia" w:ascii="宋体" w:hAnsi="宋体" w:cs="宋体"/>
                <w:szCs w:val="21"/>
              </w:rPr>
              <w:t>分。</w:t>
            </w:r>
          </w:p>
          <w:p w14:paraId="57A6822C">
            <w:pPr>
              <w:rPr>
                <w:rFonts w:ascii="宋体" w:hAnsi="宋体" w:cs="宋体"/>
                <w:szCs w:val="21"/>
              </w:rPr>
            </w:pPr>
            <w:r>
              <w:rPr>
                <w:rFonts w:hint="eastAsia" w:ascii="宋体" w:hAnsi="宋体" w:cs="宋体"/>
                <w:szCs w:val="21"/>
              </w:rPr>
              <w:t>（3）中评分标准：方案较普通、完整性、规范性-般，思路不够清晰，内容合理性般的，加10</w:t>
            </w:r>
            <w:r>
              <w:rPr>
                <w:rFonts w:hint="eastAsia" w:ascii="宋体" w:hAnsi="宋体" w:cs="宋体"/>
                <w:szCs w:val="21"/>
                <w:lang w:val="en-US" w:eastAsia="zh-CN"/>
              </w:rPr>
              <w:t>-20</w:t>
            </w:r>
            <w:r>
              <w:rPr>
                <w:rFonts w:hint="eastAsia" w:ascii="宋体" w:hAnsi="宋体" w:cs="宋体"/>
                <w:szCs w:val="21"/>
              </w:rPr>
              <w:t>分。</w:t>
            </w:r>
          </w:p>
          <w:p w14:paraId="2723E8D9">
            <w:pPr>
              <w:rPr>
                <w:rFonts w:ascii="宋体" w:hAnsi="宋体" w:cs="宋体"/>
                <w:szCs w:val="21"/>
              </w:rPr>
            </w:pPr>
            <w:r>
              <w:rPr>
                <w:rFonts w:hint="eastAsia" w:ascii="宋体" w:hAnsi="宋体" w:cs="宋体"/>
                <w:szCs w:val="21"/>
              </w:rPr>
              <w:t>（4）差评分标准:方案不完整、不规范，思路不清晰，内容合理性较差或末提供的，不加分。</w:t>
            </w:r>
          </w:p>
          <w:p w14:paraId="593B383B">
            <w:pPr>
              <w:wordWrap w:val="0"/>
              <w:rPr>
                <w:rFonts w:ascii="宋体" w:hAnsi="宋体" w:cs="宋体"/>
                <w:szCs w:val="21"/>
              </w:rPr>
            </w:pPr>
            <w:r>
              <w:rPr>
                <w:rFonts w:hint="eastAsia" w:ascii="宋体" w:hAnsi="宋体" w:cs="宋体"/>
                <w:szCs w:val="21"/>
              </w:rPr>
              <w:t>如果评审为差，要求专家书面说明理由，并记录在档。</w:t>
            </w:r>
          </w:p>
        </w:tc>
      </w:tr>
      <w:tr w14:paraId="75AD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3571C934">
            <w:pPr>
              <w:rPr>
                <w:rFonts w:ascii="宋体" w:hAnsi="宋体" w:cs="宋体"/>
                <w:b/>
                <w:bCs/>
                <w:color w:val="0000FF"/>
                <w:sz w:val="24"/>
              </w:rPr>
            </w:pPr>
          </w:p>
        </w:tc>
        <w:tc>
          <w:tcPr>
            <w:tcW w:w="709" w:type="dxa"/>
            <w:vAlign w:val="center"/>
          </w:tcPr>
          <w:p w14:paraId="4ECE0197">
            <w:pPr>
              <w:wordWrap w:val="0"/>
              <w:jc w:val="center"/>
              <w:rPr>
                <w:rFonts w:ascii="宋体" w:hAnsi="宋体" w:cs="宋体"/>
                <w:szCs w:val="21"/>
              </w:rPr>
            </w:pPr>
            <w:r>
              <w:rPr>
                <w:rFonts w:ascii="宋体" w:hAnsi="宋体"/>
                <w:szCs w:val="21"/>
              </w:rPr>
              <w:t>3</w:t>
            </w:r>
          </w:p>
        </w:tc>
        <w:tc>
          <w:tcPr>
            <w:tcW w:w="1580" w:type="dxa"/>
            <w:vAlign w:val="center"/>
          </w:tcPr>
          <w:p w14:paraId="3D30DC1E">
            <w:pPr>
              <w:wordWrap w:val="0"/>
              <w:jc w:val="center"/>
              <w:rPr>
                <w:rFonts w:ascii="宋体" w:hAnsi="宋体" w:cs="宋体"/>
                <w:szCs w:val="21"/>
              </w:rPr>
            </w:pPr>
            <w:r>
              <w:rPr>
                <w:rFonts w:hint="eastAsia" w:ascii="宋体" w:hAnsi="宋体" w:cs="宋体"/>
                <w:szCs w:val="21"/>
              </w:rPr>
              <w:t>质量（完成时间、安全、环保）保障措施及方案</w:t>
            </w:r>
          </w:p>
        </w:tc>
        <w:tc>
          <w:tcPr>
            <w:tcW w:w="840" w:type="dxa"/>
            <w:vAlign w:val="center"/>
          </w:tcPr>
          <w:p w14:paraId="5EEAA393">
            <w:pPr>
              <w:wordWrap w:val="0"/>
              <w:jc w:val="center"/>
              <w:rPr>
                <w:rFonts w:ascii="宋体" w:hAnsi="宋体" w:cs="宋体"/>
                <w:szCs w:val="21"/>
              </w:rPr>
            </w:pPr>
            <w:r>
              <w:rPr>
                <w:rFonts w:hint="eastAsia" w:ascii="宋体" w:hAnsi="宋体" w:cs="宋体"/>
                <w:szCs w:val="21"/>
              </w:rPr>
              <w:t>10</w:t>
            </w:r>
          </w:p>
        </w:tc>
        <w:tc>
          <w:tcPr>
            <w:tcW w:w="5239" w:type="dxa"/>
            <w:vAlign w:val="center"/>
          </w:tcPr>
          <w:p w14:paraId="0B655B20">
            <w:pPr>
              <w:jc w:val="left"/>
              <w:rPr>
                <w:rFonts w:ascii="宋体" w:hAnsi="宋体" w:cs="宋体"/>
                <w:b/>
                <w:bCs/>
                <w:szCs w:val="21"/>
              </w:rPr>
            </w:pPr>
            <w:r>
              <w:rPr>
                <w:rFonts w:hint="eastAsia" w:ascii="宋体" w:hAnsi="宋体" w:cs="宋体"/>
                <w:b/>
                <w:bCs/>
                <w:szCs w:val="21"/>
              </w:rPr>
              <w:t>（一）评分内容：</w:t>
            </w:r>
          </w:p>
          <w:p w14:paraId="0953CFF4">
            <w:pPr>
              <w:rPr>
                <w:rFonts w:ascii="宋体" w:hAnsi="宋体" w:cs="宋体"/>
                <w:szCs w:val="21"/>
              </w:rPr>
            </w:pPr>
            <w:r>
              <w:rPr>
                <w:rFonts w:hint="eastAsia" w:ascii="宋体" w:hAnsi="宋体" w:cs="宋体"/>
                <w:szCs w:val="21"/>
              </w:rPr>
              <w:t>考察针对本项目的质量(完成时间、安全、环保)保障措施及方案，方案内容包括以下内容:</w:t>
            </w:r>
          </w:p>
          <w:p w14:paraId="0883BF7C">
            <w:pPr>
              <w:rPr>
                <w:rFonts w:ascii="宋体" w:hAnsi="宋体" w:cs="宋体"/>
                <w:szCs w:val="21"/>
              </w:rPr>
            </w:pPr>
            <w:r>
              <w:rPr>
                <w:rFonts w:hint="eastAsia" w:ascii="宋体" w:hAnsi="宋体" w:cs="宋体"/>
                <w:szCs w:val="21"/>
              </w:rPr>
              <w:t>1.质量保障措施。</w:t>
            </w:r>
          </w:p>
          <w:p w14:paraId="3A6123C8">
            <w:pPr>
              <w:rPr>
                <w:rFonts w:ascii="宋体" w:hAnsi="宋体" w:cs="宋体"/>
                <w:szCs w:val="21"/>
              </w:rPr>
            </w:pPr>
            <w:r>
              <w:rPr>
                <w:rFonts w:hint="eastAsia" w:ascii="宋体" w:hAnsi="宋体" w:cs="宋体"/>
                <w:szCs w:val="21"/>
              </w:rPr>
              <w:t>2.安全、环保保障措施。</w:t>
            </w:r>
          </w:p>
          <w:p w14:paraId="33D53B06">
            <w:pPr>
              <w:rPr>
                <w:rFonts w:ascii="宋体" w:hAnsi="宋体" w:cs="宋体"/>
                <w:szCs w:val="21"/>
              </w:rPr>
            </w:pPr>
            <w:r>
              <w:rPr>
                <w:rFonts w:hint="eastAsia" w:ascii="宋体" w:hAnsi="宋体" w:cs="宋体"/>
                <w:szCs w:val="21"/>
              </w:rPr>
              <w:t>3.应急突发事件预案。</w:t>
            </w:r>
          </w:p>
          <w:p w14:paraId="5025A15F">
            <w:pPr>
              <w:jc w:val="left"/>
              <w:rPr>
                <w:rFonts w:ascii="宋体" w:hAnsi="宋体" w:cs="宋体"/>
                <w:b/>
                <w:bCs/>
                <w:szCs w:val="21"/>
              </w:rPr>
            </w:pPr>
            <w:r>
              <w:rPr>
                <w:rFonts w:hint="eastAsia" w:ascii="宋体" w:hAnsi="宋体" w:cs="宋体"/>
                <w:b/>
                <w:bCs/>
                <w:szCs w:val="21"/>
              </w:rPr>
              <w:t>（二）评分标准：</w:t>
            </w:r>
          </w:p>
          <w:p w14:paraId="6F088138">
            <w:pPr>
              <w:rPr>
                <w:rFonts w:ascii="宋体" w:hAnsi="宋体" w:cs="宋体"/>
                <w:szCs w:val="21"/>
              </w:rPr>
            </w:pPr>
            <w:r>
              <w:rPr>
                <w:rFonts w:hint="eastAsia" w:ascii="宋体" w:hAnsi="宋体" w:cs="宋体"/>
                <w:szCs w:val="21"/>
              </w:rPr>
              <w:t>投标人提供的质量（完成时间、安全、环保）保障措施及方案，每包含以上1点内容得</w:t>
            </w:r>
            <w:r>
              <w:rPr>
                <w:rFonts w:hint="eastAsia" w:ascii="宋体" w:hAnsi="宋体" w:cs="宋体"/>
                <w:szCs w:val="21"/>
                <w:lang w:val="en-US" w:eastAsia="zh-CN"/>
              </w:rPr>
              <w:t>20</w:t>
            </w:r>
            <w:r>
              <w:rPr>
                <w:rFonts w:hint="eastAsia" w:ascii="宋体" w:hAnsi="宋体" w:cs="宋体"/>
                <w:szCs w:val="21"/>
              </w:rPr>
              <w:t>分，最高得</w:t>
            </w:r>
            <w:r>
              <w:rPr>
                <w:rFonts w:hint="eastAsia" w:ascii="宋体" w:hAnsi="宋体" w:cs="宋体"/>
                <w:szCs w:val="21"/>
                <w:lang w:val="en-US" w:eastAsia="zh-CN"/>
              </w:rPr>
              <w:t>60</w:t>
            </w:r>
            <w:r>
              <w:rPr>
                <w:rFonts w:hint="eastAsia" w:ascii="宋体" w:hAnsi="宋体" w:cs="宋体"/>
                <w:szCs w:val="21"/>
              </w:rPr>
              <w:t>分。在以上评审内容的基础上，专家根据各投标人的具体响应内容进一步评审加分：</w:t>
            </w:r>
          </w:p>
          <w:p w14:paraId="1423BDAA">
            <w:pPr>
              <w:rPr>
                <w:rFonts w:ascii="宋体" w:hAnsi="宋体" w:cs="宋体"/>
                <w:szCs w:val="21"/>
              </w:rPr>
            </w:pPr>
            <w:r>
              <w:rPr>
                <w:rFonts w:hint="eastAsia" w:ascii="宋体" w:hAnsi="宋体" w:cs="宋体"/>
                <w:szCs w:val="21"/>
              </w:rPr>
              <w:t>1.优评分标准：方案内容全面、具体，合理，具有针对性、可操作性强的，加</w:t>
            </w:r>
            <w:r>
              <w:rPr>
                <w:rFonts w:hint="eastAsia" w:ascii="宋体" w:hAnsi="宋体" w:cs="宋体"/>
                <w:szCs w:val="21"/>
                <w:lang w:val="en-US" w:eastAsia="zh-CN"/>
              </w:rPr>
              <w:t>30-40</w:t>
            </w:r>
            <w:r>
              <w:rPr>
                <w:rFonts w:ascii="宋体" w:hAnsi="宋体" w:cs="宋体"/>
                <w:szCs w:val="21"/>
              </w:rPr>
              <w:t>分</w:t>
            </w:r>
            <w:r>
              <w:rPr>
                <w:rFonts w:hint="eastAsia" w:ascii="宋体" w:hAnsi="宋体" w:cs="宋体"/>
                <w:szCs w:val="21"/>
              </w:rPr>
              <w:t>；</w:t>
            </w:r>
          </w:p>
          <w:p w14:paraId="4D8CE460">
            <w:pPr>
              <w:rPr>
                <w:rFonts w:ascii="宋体" w:hAnsi="宋体" w:cs="宋体"/>
                <w:szCs w:val="21"/>
              </w:rPr>
            </w:pPr>
            <w:r>
              <w:rPr>
                <w:rFonts w:hint="eastAsia" w:ascii="宋体" w:hAnsi="宋体" w:cs="宋体"/>
                <w:szCs w:val="21"/>
              </w:rPr>
              <w:t>2.良评分标准：方案内容比较全面、具体，比较合理，具有一定针对性、可操作性较好的，加</w:t>
            </w:r>
            <w:r>
              <w:rPr>
                <w:rFonts w:hint="eastAsia" w:ascii="宋体" w:hAnsi="宋体" w:cs="宋体"/>
                <w:szCs w:val="21"/>
                <w:lang w:val="en-US" w:eastAsia="zh-CN"/>
              </w:rPr>
              <w:t>20-30</w:t>
            </w:r>
            <w:r>
              <w:rPr>
                <w:rFonts w:ascii="宋体" w:hAnsi="宋体" w:cs="宋体"/>
                <w:szCs w:val="21"/>
              </w:rPr>
              <w:t>分；</w:t>
            </w:r>
          </w:p>
          <w:p w14:paraId="37C57D1C">
            <w:pPr>
              <w:rPr>
                <w:rFonts w:ascii="宋体" w:hAnsi="宋体" w:cs="宋体"/>
                <w:szCs w:val="21"/>
              </w:rPr>
            </w:pPr>
            <w:r>
              <w:rPr>
                <w:rFonts w:hint="eastAsia" w:ascii="宋体" w:hAnsi="宋体" w:cs="宋体"/>
                <w:szCs w:val="21"/>
              </w:rPr>
              <w:t>3.中评分标准：有方案内容，合理性一般，部分方案具有针对性、可操作性一般的，加10</w:t>
            </w:r>
            <w:r>
              <w:rPr>
                <w:rFonts w:hint="eastAsia" w:ascii="宋体" w:hAnsi="宋体" w:cs="宋体"/>
                <w:szCs w:val="21"/>
                <w:lang w:val="en-US" w:eastAsia="zh-CN"/>
              </w:rPr>
              <w:t>-20</w:t>
            </w:r>
            <w:r>
              <w:rPr>
                <w:rFonts w:ascii="宋体" w:hAnsi="宋体" w:cs="宋体"/>
                <w:szCs w:val="21"/>
              </w:rPr>
              <w:t>分；</w:t>
            </w:r>
          </w:p>
          <w:p w14:paraId="5E814E29">
            <w:pPr>
              <w:rPr>
                <w:rFonts w:ascii="宋体" w:hAnsi="宋体" w:cs="宋体"/>
                <w:szCs w:val="21"/>
              </w:rPr>
            </w:pPr>
            <w:r>
              <w:rPr>
                <w:rFonts w:hint="eastAsia" w:ascii="宋体" w:hAnsi="宋体" w:cs="宋体"/>
                <w:szCs w:val="21"/>
              </w:rPr>
              <w:t>4.差评分标准：方案内容简单，缺乏针对性、可操作性较差，不加分。</w:t>
            </w:r>
          </w:p>
          <w:p w14:paraId="7EE6D194">
            <w:pPr>
              <w:wordWrap w:val="0"/>
              <w:rPr>
                <w:rFonts w:ascii="宋体" w:hAnsi="宋体" w:cs="宋体"/>
                <w:szCs w:val="21"/>
              </w:rPr>
            </w:pPr>
            <w:r>
              <w:rPr>
                <w:rFonts w:hint="eastAsia" w:ascii="宋体" w:hAnsi="宋体" w:cs="宋体"/>
                <w:szCs w:val="21"/>
              </w:rPr>
              <w:t>如果评审为差，要求专家书面说明理由，并记录在档。</w:t>
            </w:r>
          </w:p>
        </w:tc>
      </w:tr>
      <w:tr w14:paraId="5CFA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6869649">
            <w:pPr>
              <w:rPr>
                <w:rFonts w:ascii="宋体" w:hAnsi="宋体" w:cs="宋体"/>
                <w:b/>
                <w:bCs/>
                <w:color w:val="0000FF"/>
                <w:sz w:val="24"/>
              </w:rPr>
            </w:pPr>
          </w:p>
        </w:tc>
        <w:tc>
          <w:tcPr>
            <w:tcW w:w="709" w:type="dxa"/>
            <w:vAlign w:val="center"/>
          </w:tcPr>
          <w:p w14:paraId="387C7245">
            <w:pPr>
              <w:wordWrap w:val="0"/>
              <w:jc w:val="center"/>
              <w:rPr>
                <w:rFonts w:ascii="宋体" w:hAnsi="宋体" w:cs="宋体"/>
                <w:szCs w:val="21"/>
              </w:rPr>
            </w:pPr>
            <w:r>
              <w:rPr>
                <w:rFonts w:hint="eastAsia" w:ascii="宋体" w:hAnsi="宋体"/>
                <w:szCs w:val="21"/>
              </w:rPr>
              <w:t>4</w:t>
            </w:r>
          </w:p>
        </w:tc>
        <w:tc>
          <w:tcPr>
            <w:tcW w:w="1580" w:type="dxa"/>
            <w:vAlign w:val="center"/>
          </w:tcPr>
          <w:p w14:paraId="2315D55C">
            <w:pPr>
              <w:wordWrap w:val="0"/>
              <w:jc w:val="center"/>
              <w:rPr>
                <w:rFonts w:ascii="宋体" w:hAnsi="宋体" w:cs="宋体"/>
                <w:szCs w:val="21"/>
              </w:rPr>
            </w:pPr>
            <w:r>
              <w:rPr>
                <w:rFonts w:hint="eastAsia" w:ascii="宋体" w:hAnsi="宋体" w:cs="宋体"/>
                <w:szCs w:val="21"/>
              </w:rPr>
              <w:t>项目完成（服务期满）后的服务承诺</w:t>
            </w:r>
          </w:p>
        </w:tc>
        <w:tc>
          <w:tcPr>
            <w:tcW w:w="840" w:type="dxa"/>
            <w:vAlign w:val="center"/>
          </w:tcPr>
          <w:p w14:paraId="4CF397BD">
            <w:pPr>
              <w:wordWrap w:val="0"/>
              <w:jc w:val="center"/>
              <w:rPr>
                <w:rFonts w:ascii="宋体" w:hAnsi="宋体" w:cs="宋体"/>
                <w:szCs w:val="21"/>
              </w:rPr>
            </w:pPr>
            <w:r>
              <w:rPr>
                <w:rFonts w:hint="eastAsia" w:ascii="宋体" w:hAnsi="宋体" w:cs="宋体"/>
                <w:szCs w:val="21"/>
              </w:rPr>
              <w:t>5</w:t>
            </w:r>
          </w:p>
        </w:tc>
        <w:tc>
          <w:tcPr>
            <w:tcW w:w="5239" w:type="dxa"/>
          </w:tcPr>
          <w:p w14:paraId="62A26D3C">
            <w:pPr>
              <w:jc w:val="left"/>
              <w:rPr>
                <w:rFonts w:ascii="宋体" w:hAnsi="宋体" w:cs="宋体"/>
                <w:b/>
                <w:bCs/>
                <w:szCs w:val="21"/>
              </w:rPr>
            </w:pPr>
            <w:r>
              <w:rPr>
                <w:rFonts w:hint="eastAsia" w:ascii="宋体" w:hAnsi="宋体" w:cs="宋体"/>
                <w:b/>
                <w:bCs/>
                <w:szCs w:val="21"/>
              </w:rPr>
              <w:t>（一）评分内容：</w:t>
            </w:r>
          </w:p>
          <w:p w14:paraId="459E1B8E">
            <w:pPr>
              <w:rPr>
                <w:rFonts w:ascii="宋体" w:hAnsi="宋体" w:cs="宋体"/>
                <w:szCs w:val="21"/>
              </w:rPr>
            </w:pPr>
            <w:r>
              <w:rPr>
                <w:rFonts w:hint="eastAsia" w:ascii="宋体" w:hAnsi="宋体" w:cs="宋体"/>
                <w:szCs w:val="21"/>
              </w:rPr>
              <w:t>1.服务期满，经采购人确认后离岗。</w:t>
            </w:r>
          </w:p>
          <w:p w14:paraId="5E5446D2">
            <w:pPr>
              <w:rPr>
                <w:rFonts w:ascii="宋体" w:hAnsi="宋体" w:cs="宋体"/>
                <w:szCs w:val="21"/>
              </w:rPr>
            </w:pPr>
            <w:r>
              <w:rPr>
                <w:rFonts w:hint="eastAsia" w:ascii="宋体" w:hAnsi="宋体" w:cs="宋体"/>
                <w:szCs w:val="21"/>
              </w:rPr>
              <w:t>2.与后续服务公司进行交接。</w:t>
            </w:r>
          </w:p>
          <w:p w14:paraId="550CAF11">
            <w:pPr>
              <w:rPr>
                <w:rFonts w:ascii="宋体" w:hAnsi="宋体" w:cs="宋体"/>
                <w:szCs w:val="21"/>
              </w:rPr>
            </w:pPr>
            <w:r>
              <w:rPr>
                <w:rFonts w:hint="eastAsia" w:ascii="宋体" w:hAnsi="宋体" w:cs="宋体"/>
                <w:szCs w:val="21"/>
              </w:rPr>
              <w:t>3.服务期满，后续服务公司未到位前仍按原合同服务承诺提供服务。</w:t>
            </w:r>
          </w:p>
          <w:p w14:paraId="67DF2663">
            <w:pPr>
              <w:jc w:val="left"/>
              <w:rPr>
                <w:rFonts w:ascii="宋体" w:hAnsi="宋体" w:cs="宋体"/>
                <w:b/>
                <w:bCs/>
                <w:szCs w:val="21"/>
              </w:rPr>
            </w:pPr>
            <w:r>
              <w:rPr>
                <w:rFonts w:hint="eastAsia" w:ascii="宋体" w:hAnsi="宋体" w:cs="宋体"/>
                <w:b/>
                <w:bCs/>
                <w:szCs w:val="21"/>
              </w:rPr>
              <w:t>（二）评分依据：</w:t>
            </w:r>
          </w:p>
          <w:p w14:paraId="5BFBFA98">
            <w:pPr>
              <w:rPr>
                <w:rFonts w:hAnsi="宋体" w:cs="宋体"/>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16DA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3BB07893">
            <w:pPr>
              <w:rPr>
                <w:rFonts w:ascii="宋体" w:hAnsi="宋体" w:cs="宋体"/>
                <w:b/>
                <w:bCs/>
                <w:color w:val="0000FF"/>
                <w:sz w:val="24"/>
              </w:rPr>
            </w:pPr>
          </w:p>
        </w:tc>
        <w:tc>
          <w:tcPr>
            <w:tcW w:w="709" w:type="dxa"/>
            <w:vAlign w:val="center"/>
          </w:tcPr>
          <w:p w14:paraId="288AE75C">
            <w:pPr>
              <w:wordWrap w:val="0"/>
              <w:jc w:val="center"/>
              <w:rPr>
                <w:rFonts w:ascii="宋体" w:hAnsi="宋体" w:cs="宋体"/>
                <w:szCs w:val="21"/>
              </w:rPr>
            </w:pPr>
            <w:r>
              <w:rPr>
                <w:rFonts w:hint="eastAsia" w:ascii="宋体" w:hAnsi="宋体"/>
                <w:szCs w:val="21"/>
              </w:rPr>
              <w:t>5</w:t>
            </w:r>
          </w:p>
        </w:tc>
        <w:tc>
          <w:tcPr>
            <w:tcW w:w="1580" w:type="dxa"/>
            <w:vAlign w:val="center"/>
          </w:tcPr>
          <w:p w14:paraId="159EC32E">
            <w:pPr>
              <w:wordWrap w:val="0"/>
              <w:jc w:val="center"/>
              <w:rPr>
                <w:rFonts w:ascii="宋体" w:hAnsi="宋体" w:cs="宋体"/>
                <w:szCs w:val="21"/>
              </w:rPr>
            </w:pPr>
            <w:r>
              <w:rPr>
                <w:rFonts w:hint="eastAsia" w:ascii="宋体" w:hAnsi="宋体" w:cs="宋体"/>
                <w:szCs w:val="21"/>
              </w:rPr>
              <w:t>违约承诺</w:t>
            </w:r>
          </w:p>
        </w:tc>
        <w:tc>
          <w:tcPr>
            <w:tcW w:w="840" w:type="dxa"/>
            <w:vAlign w:val="center"/>
          </w:tcPr>
          <w:p w14:paraId="3F4DB6BF">
            <w:pPr>
              <w:wordWrap w:val="0"/>
              <w:jc w:val="center"/>
              <w:rPr>
                <w:rFonts w:ascii="宋体" w:hAnsi="宋体" w:cs="宋体"/>
                <w:szCs w:val="21"/>
              </w:rPr>
            </w:pPr>
            <w:r>
              <w:rPr>
                <w:rFonts w:hint="eastAsia" w:ascii="宋体" w:hAnsi="宋体" w:cs="宋体"/>
                <w:szCs w:val="21"/>
              </w:rPr>
              <w:t>5</w:t>
            </w:r>
          </w:p>
        </w:tc>
        <w:tc>
          <w:tcPr>
            <w:tcW w:w="5239" w:type="dxa"/>
          </w:tcPr>
          <w:p w14:paraId="64DE7176">
            <w:pPr>
              <w:jc w:val="left"/>
              <w:rPr>
                <w:rFonts w:ascii="宋体" w:hAnsi="宋体" w:cs="宋体"/>
                <w:b/>
                <w:bCs/>
                <w:szCs w:val="21"/>
              </w:rPr>
            </w:pPr>
            <w:r>
              <w:rPr>
                <w:rFonts w:hint="eastAsia" w:ascii="宋体" w:hAnsi="宋体" w:cs="宋体"/>
                <w:b/>
                <w:bCs/>
                <w:szCs w:val="21"/>
              </w:rPr>
              <w:t>（一）评分内容：</w:t>
            </w:r>
          </w:p>
          <w:p w14:paraId="3733517F">
            <w:pPr>
              <w:rPr>
                <w:rFonts w:ascii="宋体" w:hAnsi="宋体" w:cs="宋体"/>
                <w:szCs w:val="21"/>
              </w:rPr>
            </w:pPr>
            <w:r>
              <w:rPr>
                <w:rFonts w:hint="eastAsia" w:ascii="宋体" w:hAnsi="宋体" w:cs="宋体"/>
                <w:szCs w:val="21"/>
              </w:rPr>
              <w:t>1.人员严格按照采购文件及投标承诺配置；</w:t>
            </w:r>
          </w:p>
          <w:p w14:paraId="69C5C742">
            <w:pPr>
              <w:rPr>
                <w:rFonts w:ascii="宋体" w:hAnsi="宋体" w:cs="宋体"/>
                <w:szCs w:val="21"/>
              </w:rPr>
            </w:pPr>
            <w:r>
              <w:rPr>
                <w:rFonts w:hint="eastAsia" w:ascii="宋体" w:hAnsi="宋体" w:cs="宋体"/>
                <w:szCs w:val="21"/>
              </w:rPr>
              <w:t>2.服务质量达到采购文件要求；</w:t>
            </w:r>
          </w:p>
          <w:p w14:paraId="18A160B0">
            <w:pPr>
              <w:rPr>
                <w:rFonts w:ascii="宋体" w:hAnsi="宋体" w:cs="宋体"/>
                <w:szCs w:val="21"/>
              </w:rPr>
            </w:pPr>
            <w:r>
              <w:rPr>
                <w:rFonts w:hint="eastAsia" w:ascii="宋体" w:hAnsi="宋体" w:cs="宋体"/>
                <w:szCs w:val="21"/>
              </w:rPr>
              <w:t>3.对未能达到的管理要求承担管理责任。</w:t>
            </w:r>
          </w:p>
          <w:p w14:paraId="5D70F8DE">
            <w:pPr>
              <w:jc w:val="left"/>
              <w:rPr>
                <w:rFonts w:ascii="宋体" w:hAnsi="宋体" w:cs="宋体"/>
                <w:b/>
                <w:bCs/>
                <w:szCs w:val="21"/>
              </w:rPr>
            </w:pPr>
            <w:r>
              <w:rPr>
                <w:rFonts w:hint="eastAsia" w:ascii="宋体" w:hAnsi="宋体" w:cs="宋体"/>
                <w:b/>
                <w:bCs/>
                <w:szCs w:val="21"/>
              </w:rPr>
              <w:t>（二）评分依据：</w:t>
            </w:r>
          </w:p>
          <w:p w14:paraId="595CF4AB">
            <w:r>
              <w:rPr>
                <w:rFonts w:hint="eastAsia" w:ascii="宋体" w:hAnsi="宋体" w:cs="宋体"/>
                <w:szCs w:val="21"/>
              </w:rPr>
              <w:t>投标人承诺以上全部三项的得100分，要求提供承诺（格式自定）作为得分依据，未提供承诺或承诺内容不满足要求不得分。</w:t>
            </w:r>
          </w:p>
        </w:tc>
      </w:tr>
      <w:tr w14:paraId="123A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53D97D7">
            <w:pPr>
              <w:rPr>
                <w:rFonts w:ascii="宋体" w:hAnsi="宋体" w:cs="宋体"/>
                <w:b/>
                <w:bCs/>
                <w:color w:val="0000FF"/>
                <w:sz w:val="24"/>
              </w:rPr>
            </w:pPr>
          </w:p>
        </w:tc>
        <w:tc>
          <w:tcPr>
            <w:tcW w:w="709" w:type="dxa"/>
            <w:vAlign w:val="center"/>
          </w:tcPr>
          <w:p w14:paraId="645544B7">
            <w:pPr>
              <w:wordWrap w:val="0"/>
              <w:jc w:val="center"/>
              <w:rPr>
                <w:rFonts w:ascii="宋体" w:hAnsi="宋体" w:cs="宋体"/>
                <w:szCs w:val="21"/>
              </w:rPr>
            </w:pPr>
            <w:r>
              <w:rPr>
                <w:rFonts w:ascii="宋体" w:hAnsi="宋体"/>
                <w:szCs w:val="21"/>
              </w:rPr>
              <w:t>6</w:t>
            </w:r>
          </w:p>
        </w:tc>
        <w:tc>
          <w:tcPr>
            <w:tcW w:w="1580" w:type="dxa"/>
            <w:vAlign w:val="center"/>
          </w:tcPr>
          <w:p w14:paraId="66B5BABF">
            <w:pPr>
              <w:wordWrap w:val="0"/>
              <w:jc w:val="center"/>
              <w:rPr>
                <w:rFonts w:ascii="宋体" w:hAnsi="宋体" w:cs="宋体"/>
                <w:szCs w:val="21"/>
              </w:rPr>
            </w:pPr>
            <w:r>
              <w:rPr>
                <w:rFonts w:hint="eastAsia" w:ascii="宋体" w:hAnsi="宋体" w:cs="宋体"/>
                <w:szCs w:val="21"/>
              </w:rPr>
              <w:t>拟安排的项目负责人情况（仅限一人）</w:t>
            </w:r>
          </w:p>
        </w:tc>
        <w:tc>
          <w:tcPr>
            <w:tcW w:w="840" w:type="dxa"/>
            <w:vAlign w:val="center"/>
          </w:tcPr>
          <w:p w14:paraId="3EED71DC">
            <w:pPr>
              <w:wordWrap w:val="0"/>
              <w:jc w:val="center"/>
              <w:rPr>
                <w:rFonts w:ascii="宋体" w:hAnsi="宋体" w:cs="宋体"/>
                <w:szCs w:val="21"/>
              </w:rPr>
            </w:pPr>
            <w:r>
              <w:rPr>
                <w:rFonts w:hint="eastAsia" w:ascii="宋体" w:hAnsi="宋体" w:cs="宋体"/>
                <w:szCs w:val="21"/>
              </w:rPr>
              <w:t>5</w:t>
            </w:r>
          </w:p>
        </w:tc>
        <w:tc>
          <w:tcPr>
            <w:tcW w:w="5239" w:type="dxa"/>
          </w:tcPr>
          <w:p w14:paraId="46929140">
            <w:pPr>
              <w:rPr>
                <w:rFonts w:ascii="宋体" w:hAnsi="宋体" w:cs="宋体"/>
                <w:b/>
                <w:bCs/>
                <w:szCs w:val="21"/>
              </w:rPr>
            </w:pPr>
            <w:r>
              <w:rPr>
                <w:rFonts w:hint="eastAsia" w:ascii="宋体" w:hAnsi="宋体" w:cs="宋体"/>
                <w:b/>
                <w:bCs/>
                <w:szCs w:val="21"/>
              </w:rPr>
              <w:t>（一）评分内容：</w:t>
            </w:r>
          </w:p>
          <w:p w14:paraId="0D134682">
            <w:pPr>
              <w:rPr>
                <w:rFonts w:ascii="宋体" w:hAnsi="宋体" w:cs="宋体"/>
                <w:szCs w:val="21"/>
              </w:rPr>
            </w:pPr>
            <w:r>
              <w:rPr>
                <w:rFonts w:hint="eastAsia" w:ascii="宋体" w:hAnsi="宋体" w:cs="宋体"/>
                <w:szCs w:val="21"/>
              </w:rPr>
              <w:t>投标人拟投入1名项目负责人需为投标人自有员工（以社保为准），否则本项不得分，在此基础上按以下条件进行评分：</w:t>
            </w:r>
          </w:p>
          <w:p w14:paraId="1253976A">
            <w:pPr>
              <w:rPr>
                <w:rFonts w:ascii="宋体" w:hAnsi="宋体" w:cs="宋体"/>
                <w:szCs w:val="21"/>
              </w:rPr>
            </w:pPr>
            <w:r>
              <w:rPr>
                <w:rFonts w:hint="eastAsia" w:ascii="宋体" w:hAnsi="宋体" w:cs="宋体"/>
                <w:szCs w:val="21"/>
              </w:rPr>
              <w:t>①具有硕士或以上学历（专业：智能系统类或计算机类或信息技术类相关专业），提供学历证书，得25分；具有本科学历（专业：智能系统类或计算机类或信息技术</w:t>
            </w:r>
            <w:bookmarkStart w:id="3" w:name="_GoBack"/>
            <w:bookmarkEnd w:id="3"/>
            <w:r>
              <w:rPr>
                <w:rFonts w:hint="eastAsia" w:ascii="宋体" w:hAnsi="宋体" w:cs="宋体"/>
                <w:szCs w:val="21"/>
              </w:rPr>
              <w:t>类相关专业）， 提供学历证书，得10分；本小项最高得25分；</w:t>
            </w:r>
          </w:p>
          <w:p w14:paraId="78748FE6">
            <w:pPr>
              <w:rPr>
                <w:rFonts w:ascii="宋体" w:hAnsi="宋体" w:cs="宋体"/>
                <w:szCs w:val="21"/>
              </w:rPr>
            </w:pPr>
            <w:r>
              <w:rPr>
                <w:rFonts w:hint="eastAsia" w:ascii="宋体" w:hAnsi="宋体" w:cs="宋体"/>
                <w:szCs w:val="21"/>
              </w:rPr>
              <w:t>②具有工业和信息化部教育与考试中心颁发的信息系统运维管理工程师证书的，得</w:t>
            </w:r>
            <w:r>
              <w:rPr>
                <w:rFonts w:hint="default" w:ascii="宋体" w:hAnsi="宋体" w:cs="宋体"/>
                <w:szCs w:val="21"/>
                <w:lang w:val="en-US"/>
              </w:rPr>
              <w:t>2</w:t>
            </w:r>
            <w:r>
              <w:rPr>
                <w:rFonts w:hint="eastAsia" w:ascii="宋体" w:hAnsi="宋体" w:cs="宋体"/>
                <w:szCs w:val="21"/>
              </w:rPr>
              <w:t>5分；</w:t>
            </w:r>
          </w:p>
          <w:p w14:paraId="680F73D5">
            <w:pPr>
              <w:rPr>
                <w:rFonts w:hint="eastAsia" w:ascii="宋体" w:hAnsi="宋体" w:cs="宋体"/>
                <w:szCs w:val="21"/>
              </w:rPr>
            </w:pPr>
            <w:r>
              <w:rPr>
                <w:rFonts w:hint="eastAsia" w:ascii="宋体" w:hAnsi="宋体" w:cs="宋体"/>
                <w:szCs w:val="21"/>
              </w:rPr>
              <w:t>③具有人力资源和社会保障部门颁发的计算机技术与软件专业技术资格证书（信息系统项目管理师）的，得25分；</w:t>
            </w:r>
          </w:p>
          <w:p w14:paraId="4B772786">
            <w:pPr>
              <w:pStyle w:val="2"/>
              <w:rPr>
                <w:rFonts w:hint="eastAsia"/>
              </w:rPr>
            </w:pPr>
            <w:r>
              <w:rPr>
                <w:rFonts w:hint="eastAsia"/>
              </w:rPr>
              <w:t>④具有工业和信息化部教育与考试中心颁发的大数据工程师证书的，得25分；</w:t>
            </w:r>
          </w:p>
          <w:p w14:paraId="07D4025F">
            <w:pPr>
              <w:rPr>
                <w:rFonts w:hint="eastAsia" w:ascii="宋体" w:hAnsi="宋体" w:cs="宋体"/>
                <w:szCs w:val="21"/>
              </w:rPr>
            </w:pPr>
            <w:r>
              <w:rPr>
                <w:rFonts w:hint="eastAsia" w:ascii="宋体" w:hAnsi="宋体" w:cs="宋体"/>
                <w:szCs w:val="21"/>
              </w:rPr>
              <w:t>以上4项累计得分，最高得1</w:t>
            </w:r>
            <w:r>
              <w:rPr>
                <w:rFonts w:hint="default" w:ascii="宋体" w:hAnsi="宋体" w:cs="宋体"/>
                <w:szCs w:val="21"/>
                <w:lang w:val="en-US"/>
              </w:rPr>
              <w:t>0</w:t>
            </w:r>
            <w:r>
              <w:rPr>
                <w:rFonts w:hint="eastAsia" w:ascii="宋体" w:hAnsi="宋体" w:cs="宋体"/>
                <w:szCs w:val="21"/>
              </w:rPr>
              <w:t>0分。</w:t>
            </w:r>
          </w:p>
          <w:p w14:paraId="1DFC1925">
            <w:pPr>
              <w:rPr>
                <w:rFonts w:ascii="宋体" w:hAnsi="宋体" w:cs="宋体"/>
                <w:b/>
                <w:bCs/>
                <w:szCs w:val="21"/>
              </w:rPr>
            </w:pPr>
            <w:r>
              <w:rPr>
                <w:rFonts w:hint="eastAsia" w:ascii="宋体" w:hAnsi="宋体" w:cs="宋体"/>
                <w:b/>
                <w:bCs/>
                <w:szCs w:val="21"/>
              </w:rPr>
              <w:t>（二）评分依据：</w:t>
            </w:r>
          </w:p>
          <w:p w14:paraId="35FB94A4">
            <w:pPr>
              <w:rPr>
                <w:rFonts w:ascii="宋体" w:hAnsi="宋体" w:cs="宋体"/>
                <w:szCs w:val="21"/>
              </w:rPr>
            </w:pPr>
            <w:r>
              <w:rPr>
                <w:rFonts w:hint="eastAsia" w:ascii="宋体" w:hAnsi="宋体" w:cs="宋体"/>
                <w:szCs w:val="21"/>
              </w:rPr>
              <w:t>1.投标人需提供项目负责人有效的上述证书和通过投标人缴纳的近一个月（由于社保部门原因最近一个月的社保证明无法提供的可往前顺延一个月；如供应商为新成立企业且成立时间不足一个月可提供加盖公章的情况说明或者证明材料亦视为符合；退休人员需提供返聘合同）社保在本单位的社保证明(社保部门资料或网页资料或窗口打印资料均可)扫描件。</w:t>
            </w:r>
          </w:p>
          <w:p w14:paraId="302E654B">
            <w:pPr>
              <w:rPr>
                <w:rFonts w:ascii="宋体" w:hAnsi="宋体" w:cs="宋体"/>
                <w:szCs w:val="21"/>
              </w:rPr>
            </w:pPr>
            <w:r>
              <w:rPr>
                <w:rFonts w:hint="eastAsia" w:ascii="宋体" w:hAnsi="宋体" w:cs="宋体"/>
                <w:szCs w:val="21"/>
              </w:rPr>
              <w:t>2.要求提供投标人相关证明资料作为得分依据。学历证明材料需提供学历证书以及学信网查询记录。对于较早颁发的学历、学位证书，学信网无法查询的，除要求提供证书扫描件，还需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w:t>
            </w:r>
          </w:p>
          <w:p w14:paraId="39A619AE">
            <w:pPr>
              <w:wordWrap w:val="0"/>
              <w:rPr>
                <w:rFonts w:ascii="宋体" w:hAnsi="宋体" w:cs="宋体"/>
                <w:sz w:val="22"/>
                <w:szCs w:val="16"/>
              </w:rPr>
            </w:pPr>
            <w:r>
              <w:rPr>
                <w:rFonts w:hint="eastAsia" w:ascii="宋体" w:hAnsi="宋体" w:cs="宋体"/>
                <w:szCs w:val="21"/>
              </w:rPr>
              <w:t>3.要求提供项上述人员相关证书作为得分依据；</w:t>
            </w:r>
            <w:r>
              <w:rPr>
                <w:rFonts w:hint="eastAsia" w:ascii="宋体" w:hAnsi="宋体" w:cs="宋体"/>
                <w:sz w:val="22"/>
                <w:szCs w:val="16"/>
              </w:rPr>
              <w:t>提供证书官网或权威机构网站（如人事考试网、政务官网、人社相关部门查询网站或工信相关部门查询官网等）的证书查询记录截图作为得分依据。</w:t>
            </w:r>
          </w:p>
          <w:p w14:paraId="1961150F">
            <w:pPr>
              <w:wordWrap w:val="0"/>
              <w:rPr>
                <w:rFonts w:ascii="宋体" w:hAnsi="宋体" w:cs="宋体"/>
                <w:sz w:val="22"/>
                <w:szCs w:val="16"/>
              </w:rPr>
            </w:pPr>
            <w:r>
              <w:rPr>
                <w:rFonts w:hint="eastAsia" w:ascii="宋体" w:hAnsi="宋体" w:cs="宋体"/>
                <w:sz w:val="22"/>
                <w:szCs w:val="16"/>
              </w:rPr>
              <w:t>证书在公开渠道无法查询的，需提供颁发机构的证明材料，证明证书真实有效。评分中出现无证明资料或专家无法凭所提供资料判断是否得分的情况，一律作不得分处理。</w:t>
            </w:r>
          </w:p>
          <w:p w14:paraId="6D1F9E24">
            <w:pPr>
              <w:rPr>
                <w:rFonts w:ascii="宋体" w:hAnsi="宋体" w:cs="宋体"/>
                <w:szCs w:val="21"/>
              </w:rPr>
            </w:pPr>
            <w:r>
              <w:rPr>
                <w:rFonts w:hint="eastAsia" w:ascii="宋体" w:hAnsi="宋体" w:cs="宋体"/>
                <w:szCs w:val="21"/>
              </w:rPr>
              <w:t>4.以上资料均要求提供扫描件（或官方网站截图）。评分中出现无证明资料或专家无法凭所提供资料判断是否得分的情况，一律作不得分处理。</w:t>
            </w:r>
          </w:p>
        </w:tc>
      </w:tr>
      <w:tr w14:paraId="6DA9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04" w:type="dxa"/>
            <w:vMerge w:val="continue"/>
            <w:vAlign w:val="center"/>
          </w:tcPr>
          <w:p w14:paraId="2933F36F">
            <w:pPr>
              <w:rPr>
                <w:rFonts w:ascii="宋体" w:hAnsi="宋体" w:cs="宋体"/>
                <w:b/>
                <w:bCs/>
                <w:color w:val="0000FF"/>
                <w:sz w:val="24"/>
              </w:rPr>
            </w:pPr>
          </w:p>
        </w:tc>
        <w:tc>
          <w:tcPr>
            <w:tcW w:w="709" w:type="dxa"/>
            <w:vAlign w:val="center"/>
          </w:tcPr>
          <w:p w14:paraId="712CDDDC">
            <w:pPr>
              <w:wordWrap w:val="0"/>
              <w:jc w:val="center"/>
              <w:rPr>
                <w:rFonts w:ascii="宋体" w:hAnsi="宋体"/>
                <w:szCs w:val="21"/>
              </w:rPr>
            </w:pPr>
            <w:r>
              <w:rPr>
                <w:rFonts w:hint="eastAsia" w:ascii="宋体" w:hAnsi="宋体"/>
                <w:szCs w:val="21"/>
              </w:rPr>
              <w:t>7</w:t>
            </w:r>
          </w:p>
        </w:tc>
        <w:tc>
          <w:tcPr>
            <w:tcW w:w="1580" w:type="dxa"/>
            <w:vAlign w:val="center"/>
          </w:tcPr>
          <w:p w14:paraId="09E10C55">
            <w:pPr>
              <w:wordWrap w:val="0"/>
              <w:jc w:val="center"/>
              <w:rPr>
                <w:rFonts w:ascii="宋体" w:hAnsi="宋体" w:cs="宋体"/>
                <w:szCs w:val="21"/>
              </w:rPr>
            </w:pPr>
            <w:r>
              <w:rPr>
                <w:rFonts w:hint="eastAsia" w:ascii="宋体" w:hAnsi="宋体" w:cs="宋体"/>
                <w:szCs w:val="21"/>
              </w:rPr>
              <w:t>拟安排的项目主要团队成员（主要技术人员）情况（项目负责人除外）</w:t>
            </w:r>
          </w:p>
        </w:tc>
        <w:tc>
          <w:tcPr>
            <w:tcW w:w="840" w:type="dxa"/>
            <w:vAlign w:val="center"/>
          </w:tcPr>
          <w:p w14:paraId="698380AB">
            <w:pPr>
              <w:wordWrap w:val="0"/>
              <w:jc w:val="center"/>
              <w:rPr>
                <w:rFonts w:ascii="宋体" w:hAnsi="宋体" w:cs="宋体"/>
                <w:szCs w:val="21"/>
              </w:rPr>
            </w:pPr>
            <w:r>
              <w:rPr>
                <w:rFonts w:hint="eastAsia" w:ascii="宋体" w:hAnsi="宋体" w:cs="宋体"/>
                <w:szCs w:val="21"/>
              </w:rPr>
              <w:t>15</w:t>
            </w:r>
          </w:p>
        </w:tc>
        <w:tc>
          <w:tcPr>
            <w:tcW w:w="5239" w:type="dxa"/>
          </w:tcPr>
          <w:p w14:paraId="2851D96E">
            <w:pPr>
              <w:rPr>
                <w:rFonts w:ascii="宋体" w:hAnsi="宋体" w:cs="宋体"/>
                <w:b/>
                <w:bCs/>
                <w:szCs w:val="21"/>
              </w:rPr>
            </w:pPr>
            <w:r>
              <w:rPr>
                <w:rFonts w:hint="eastAsia" w:ascii="宋体" w:hAnsi="宋体" w:cs="宋体"/>
                <w:b/>
                <w:bCs/>
                <w:szCs w:val="21"/>
              </w:rPr>
              <w:t>（一）评分内容：</w:t>
            </w:r>
          </w:p>
          <w:p w14:paraId="63760C7D">
            <w:pPr>
              <w:rPr>
                <w:rFonts w:ascii="宋体" w:hAnsi="宋体" w:cs="宋体"/>
                <w:szCs w:val="21"/>
              </w:rPr>
            </w:pPr>
            <w:r>
              <w:rPr>
                <w:rFonts w:hint="eastAsia" w:ascii="宋体" w:hAnsi="宋体" w:cs="宋体"/>
                <w:szCs w:val="21"/>
              </w:rPr>
              <w:t>投标人拟投入本项目主要团队成员需为投标人自有员工（以社保为准），否则本项不得分，在此基础上按以下条件进行评分：</w:t>
            </w:r>
          </w:p>
          <w:p w14:paraId="1302A35C">
            <w:pPr>
              <w:rPr>
                <w:rFonts w:ascii="宋体" w:hAnsi="宋体" w:cs="宋体"/>
                <w:b/>
                <w:szCs w:val="21"/>
              </w:rPr>
            </w:pPr>
            <w:r>
              <w:rPr>
                <w:rFonts w:hint="eastAsia" w:ascii="宋体" w:hAnsi="宋体" w:cs="宋体"/>
                <w:b/>
                <w:szCs w:val="21"/>
              </w:rPr>
              <w:t>（1）软件及平台技术负责人（仅限1名）：</w:t>
            </w:r>
          </w:p>
          <w:p w14:paraId="5E3E0175">
            <w:pPr>
              <w:rPr>
                <w:rFonts w:hint="eastAsia" w:ascii="宋体" w:hAnsi="宋体" w:cs="宋体"/>
                <w:szCs w:val="21"/>
              </w:rPr>
            </w:pPr>
            <w:r>
              <w:rPr>
                <w:rFonts w:hint="eastAsia" w:ascii="宋体" w:hAnsi="宋体" w:cs="宋体"/>
                <w:szCs w:val="21"/>
              </w:rPr>
              <w:t>①</w:t>
            </w:r>
            <w:bookmarkStart w:id="0" w:name="OLE_LINK4"/>
            <w:r>
              <w:rPr>
                <w:rFonts w:hint="eastAsia" w:ascii="宋体" w:hAnsi="宋体" w:cs="宋体"/>
                <w:szCs w:val="21"/>
              </w:rPr>
              <w:t>具有</w:t>
            </w:r>
            <w:bookmarkStart w:id="1" w:name="OLE_LINK3"/>
            <w:r>
              <w:rPr>
                <w:rFonts w:hint="eastAsia" w:ascii="宋体" w:hAnsi="宋体" w:cs="宋体"/>
                <w:szCs w:val="21"/>
              </w:rPr>
              <w:t>本科或以上学历的</w:t>
            </w:r>
            <w:bookmarkEnd w:id="0"/>
            <w:bookmarkStart w:id="2" w:name="OLE_LINK5"/>
            <w:r>
              <w:rPr>
                <w:rFonts w:hint="eastAsia" w:ascii="宋体" w:hAnsi="宋体" w:cs="宋体"/>
                <w:szCs w:val="21"/>
              </w:rPr>
              <w:t>（智能系统类或计算机类或信息技术类相关专业）</w:t>
            </w:r>
            <w:bookmarkEnd w:id="2"/>
            <w:r>
              <w:rPr>
                <w:rFonts w:hint="eastAsia" w:ascii="宋体" w:hAnsi="宋体" w:cs="宋体"/>
                <w:szCs w:val="21"/>
              </w:rPr>
              <w:t>，得5分；</w:t>
            </w:r>
            <w:bookmarkEnd w:id="1"/>
          </w:p>
          <w:p w14:paraId="3F63BFED">
            <w:pPr>
              <w:pStyle w:val="2"/>
              <w:rPr>
                <w:rFonts w:hint="eastAsia"/>
              </w:rPr>
            </w:pPr>
            <w:r>
              <w:rPr>
                <w:rFonts w:hint="eastAsia"/>
              </w:rPr>
              <w:t>②具有人力资源和社会保障部门颁发的系统架构设计师（计算机技术与软件专业技术资格证书）证书的，得10分</w:t>
            </w:r>
          </w:p>
          <w:p w14:paraId="43938BF3">
            <w:pPr>
              <w:pStyle w:val="2"/>
              <w:rPr>
                <w:rFonts w:hint="eastAsia"/>
              </w:rPr>
            </w:pPr>
            <w:r>
              <w:rPr>
                <w:rFonts w:hint="eastAsia"/>
              </w:rPr>
              <w:t>③具有工业和信息化部教育与考试中心颁发的IT运维工程师（高级）证书的，得10分</w:t>
            </w:r>
          </w:p>
          <w:p w14:paraId="3F1F0D3E">
            <w:pPr>
              <w:pStyle w:val="2"/>
              <w:rPr>
                <w:rFonts w:hint="eastAsia"/>
              </w:rPr>
            </w:pPr>
            <w:r>
              <w:rPr>
                <w:rFonts w:hint="eastAsia"/>
              </w:rPr>
              <w:t>④具有工业和信息化部教育与考试中心颁发的高级数据库管理工程师证书的，得10分</w:t>
            </w:r>
          </w:p>
          <w:p w14:paraId="3AB32AB7">
            <w:pPr>
              <w:rPr>
                <w:rFonts w:ascii="宋体" w:hAnsi="宋体" w:cs="宋体"/>
                <w:szCs w:val="21"/>
              </w:rPr>
            </w:pPr>
            <w:r>
              <w:rPr>
                <w:rFonts w:hint="eastAsia" w:ascii="宋体" w:hAnsi="宋体" w:cs="宋体"/>
                <w:szCs w:val="21"/>
              </w:rPr>
              <w:t>以上4小项可累计得分，最高得35分；</w:t>
            </w:r>
          </w:p>
          <w:p w14:paraId="789D2E4B">
            <w:pPr>
              <w:rPr>
                <w:rFonts w:ascii="宋体" w:hAnsi="宋体" w:cs="宋体"/>
                <w:b/>
                <w:szCs w:val="21"/>
              </w:rPr>
            </w:pPr>
            <w:r>
              <w:rPr>
                <w:rFonts w:hint="eastAsia" w:ascii="宋体" w:hAnsi="宋体" w:cs="宋体"/>
                <w:b/>
                <w:szCs w:val="21"/>
              </w:rPr>
              <w:t>（2）拟安排的信息安全负责人（仅限1名）：</w:t>
            </w:r>
          </w:p>
          <w:p w14:paraId="7311F51C">
            <w:pPr>
              <w:rPr>
                <w:rFonts w:ascii="宋体" w:hAnsi="宋体" w:cs="宋体"/>
                <w:szCs w:val="21"/>
              </w:rPr>
            </w:pPr>
            <w:r>
              <w:rPr>
                <w:rFonts w:hint="eastAsia" w:ascii="宋体" w:hAnsi="宋体" w:cs="宋体"/>
                <w:szCs w:val="21"/>
              </w:rPr>
              <w:t>①具有本科或以上学历的（智能系统类或计算机类或信息技术类相关专业），得5分；</w:t>
            </w:r>
          </w:p>
          <w:p w14:paraId="6AA88C94">
            <w:pPr>
              <w:rPr>
                <w:rFonts w:hint="eastAsia" w:ascii="宋体" w:hAnsi="宋体" w:cs="宋体"/>
                <w:szCs w:val="21"/>
              </w:rPr>
            </w:pPr>
            <w:r>
              <w:rPr>
                <w:rFonts w:hint="eastAsia" w:ascii="宋体" w:hAnsi="宋体" w:cs="宋体"/>
                <w:szCs w:val="21"/>
              </w:rPr>
              <w:t>②具有中国信息安全测评中心颁发的注册信息安全专业人员（CISP）证书（获准资质：注册应急响应专家(CISP-IRS)）的得10分；</w:t>
            </w:r>
          </w:p>
          <w:p w14:paraId="7C1762A5">
            <w:pPr>
              <w:rPr>
                <w:rFonts w:ascii="宋体" w:hAnsi="宋体" w:cs="宋体"/>
                <w:szCs w:val="21"/>
              </w:rPr>
            </w:pPr>
            <w:r>
              <w:rPr>
                <w:rFonts w:hint="eastAsia" w:ascii="宋体" w:hAnsi="宋体" w:cs="宋体"/>
                <w:szCs w:val="21"/>
              </w:rPr>
              <w:t>③具有中国信息安全测评中心颁发的注册信息安全专业人员（CISP）证书（获准资质：注册渗透测试专家（CISP-PTS））的得10分；</w:t>
            </w:r>
          </w:p>
          <w:p w14:paraId="676CB42B">
            <w:pPr>
              <w:rPr>
                <w:rFonts w:ascii="宋体" w:hAnsi="宋体" w:cs="宋体"/>
                <w:szCs w:val="21"/>
              </w:rPr>
            </w:pPr>
            <w:r>
              <w:rPr>
                <w:rFonts w:hint="eastAsia" w:ascii="宋体" w:hAnsi="宋体" w:cs="宋体"/>
                <w:szCs w:val="21"/>
              </w:rPr>
              <w:t>以上2小项可累计得分，最高得25分；</w:t>
            </w:r>
          </w:p>
          <w:p w14:paraId="6CAC817A">
            <w:pPr>
              <w:rPr>
                <w:rFonts w:ascii="宋体" w:hAnsi="宋体" w:cs="宋体"/>
                <w:b/>
                <w:szCs w:val="21"/>
              </w:rPr>
            </w:pPr>
            <w:r>
              <w:rPr>
                <w:rFonts w:hint="eastAsia" w:ascii="宋体" w:hAnsi="宋体" w:cs="宋体"/>
                <w:b/>
                <w:szCs w:val="21"/>
              </w:rPr>
              <w:t>（3）其他团队成员：</w:t>
            </w:r>
          </w:p>
          <w:p w14:paraId="5719D6B1">
            <w:pPr>
              <w:rPr>
                <w:rFonts w:ascii="宋体" w:hAnsi="宋体" w:cs="宋体"/>
                <w:szCs w:val="21"/>
              </w:rPr>
            </w:pPr>
            <w:r>
              <w:rPr>
                <w:rFonts w:hint="eastAsia" w:ascii="宋体" w:hAnsi="宋体" w:cs="宋体"/>
                <w:szCs w:val="21"/>
              </w:rPr>
              <w:t>①具有工业和信息化部教育与考试中心颁发的（中级或高级）网络与信息安全工程师证书的，每提供1人得10分，本小项最高得20分。</w:t>
            </w:r>
          </w:p>
          <w:p w14:paraId="2A54D68C">
            <w:pPr>
              <w:rPr>
                <w:rFonts w:hint="eastAsia" w:ascii="宋体" w:hAnsi="宋体" w:cs="宋体"/>
                <w:szCs w:val="21"/>
              </w:rPr>
            </w:pPr>
            <w:r>
              <w:rPr>
                <w:rFonts w:hint="eastAsia" w:ascii="宋体" w:hAnsi="宋体" w:cs="宋体"/>
                <w:szCs w:val="21"/>
              </w:rPr>
              <w:t>②具有工业和信息化部教育与考试中心颁发的数据库管理(中级或以上)证书的，得10分。</w:t>
            </w:r>
          </w:p>
          <w:p w14:paraId="3BC3A58F">
            <w:pPr>
              <w:pStyle w:val="2"/>
            </w:pPr>
            <w:r>
              <w:rPr>
                <w:rFonts w:hint="eastAsia" w:ascii="宋体" w:hAnsi="宋体"/>
              </w:rPr>
              <w:t>③</w:t>
            </w:r>
            <w:r>
              <w:rPr>
                <w:rFonts w:hint="eastAsia"/>
              </w:rPr>
              <w:t>具有工业和信息化部教育与考试中心颁发的高级通信工程师证书的，得10分。</w:t>
            </w:r>
          </w:p>
          <w:p w14:paraId="2B136C3C">
            <w:pPr>
              <w:rPr>
                <w:rFonts w:ascii="宋体" w:hAnsi="宋体" w:cs="宋体"/>
                <w:szCs w:val="21"/>
              </w:rPr>
            </w:pPr>
            <w:r>
              <w:rPr>
                <w:rFonts w:hint="eastAsia" w:ascii="宋体" w:hAnsi="宋体" w:cs="宋体"/>
                <w:szCs w:val="21"/>
              </w:rPr>
              <w:t>以上三小项可累计得分，同一人满足多项不重复得分。最高得40分；</w:t>
            </w:r>
          </w:p>
          <w:p w14:paraId="2ABEEA1F">
            <w:pPr>
              <w:rPr>
                <w:rFonts w:ascii="宋体" w:hAnsi="宋体" w:cs="宋体"/>
                <w:szCs w:val="21"/>
              </w:rPr>
            </w:pPr>
            <w:r>
              <w:rPr>
                <w:rFonts w:hint="eastAsia" w:ascii="宋体" w:hAnsi="宋体" w:cs="宋体"/>
                <w:szCs w:val="21"/>
              </w:rPr>
              <w:t>备注：同1人同时满足（1）（2</w:t>
            </w:r>
            <w:r>
              <w:rPr>
                <w:rFonts w:ascii="宋体" w:hAnsi="宋体" w:cs="宋体"/>
                <w:szCs w:val="21"/>
              </w:rPr>
              <w:t>）</w:t>
            </w:r>
            <w:r>
              <w:rPr>
                <w:rFonts w:hint="eastAsia" w:ascii="宋体" w:hAnsi="宋体" w:cs="宋体"/>
                <w:szCs w:val="21"/>
              </w:rPr>
              <w:t>(3)多项要求的，不得累计得分。以上3项累计得分100分。</w:t>
            </w:r>
          </w:p>
          <w:p w14:paraId="25502388">
            <w:pPr>
              <w:rPr>
                <w:rFonts w:ascii="宋体" w:hAnsi="宋体" w:cs="宋体"/>
                <w:b/>
                <w:bCs/>
                <w:szCs w:val="21"/>
              </w:rPr>
            </w:pPr>
            <w:r>
              <w:rPr>
                <w:rFonts w:hint="eastAsia" w:ascii="宋体" w:hAnsi="宋体" w:cs="宋体"/>
                <w:b/>
                <w:bCs/>
                <w:szCs w:val="21"/>
              </w:rPr>
              <w:t>（二）评分依据：</w:t>
            </w:r>
          </w:p>
          <w:p w14:paraId="268A5502">
            <w:pPr>
              <w:rPr>
                <w:rFonts w:ascii="宋体" w:hAnsi="宋体" w:cs="宋体"/>
                <w:szCs w:val="21"/>
              </w:rPr>
            </w:pPr>
            <w:r>
              <w:rPr>
                <w:rFonts w:hint="eastAsia" w:ascii="宋体" w:hAnsi="宋体" w:cs="宋体"/>
                <w:szCs w:val="21"/>
              </w:rPr>
              <w:t>1.投标人需提供项目团队成员有效的上述证书和通过投标人缴纳的近一个月（由于社保部门原因最近一个月的社保证明无法提供的可往前顺延一个月；如供应商为新成立企业且成立时间不足一个月可提供加盖公章的情况说明或者证明材料亦视为符合；退休人员需提供返聘合同）社保在本单位的社保证明(社保部门资料或网页资料或窗口打印资料均可)扫描件。</w:t>
            </w:r>
          </w:p>
          <w:p w14:paraId="3D0E12CE">
            <w:pPr>
              <w:rPr>
                <w:rFonts w:ascii="宋体" w:hAnsi="宋体" w:cs="宋体"/>
                <w:szCs w:val="21"/>
              </w:rPr>
            </w:pPr>
            <w:r>
              <w:rPr>
                <w:rFonts w:hint="eastAsia" w:ascii="宋体" w:hAnsi="宋体" w:cs="宋体"/>
                <w:szCs w:val="21"/>
              </w:rPr>
              <w:t>2.要求提供投标人相关证明资料作为得分依据。学历证明材料需提供学历证书以及学信网查询记录。对于较早颁发的学历、学位证书，学信网无法查询的，除要求提供证书扫描件，还需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w:t>
            </w:r>
          </w:p>
          <w:p w14:paraId="73C0901A">
            <w:pPr>
              <w:wordWrap w:val="0"/>
              <w:rPr>
                <w:rFonts w:ascii="宋体" w:hAnsi="宋体" w:cs="宋体"/>
                <w:sz w:val="22"/>
                <w:szCs w:val="16"/>
              </w:rPr>
            </w:pPr>
            <w:r>
              <w:rPr>
                <w:rFonts w:hint="eastAsia" w:ascii="宋体" w:hAnsi="宋体" w:cs="宋体"/>
                <w:szCs w:val="21"/>
              </w:rPr>
              <w:t>3.要求提供项上述人员相关证书作为得分依据；</w:t>
            </w:r>
            <w:r>
              <w:rPr>
                <w:rFonts w:hint="eastAsia" w:ascii="宋体" w:hAnsi="宋体" w:cs="宋体"/>
                <w:sz w:val="22"/>
                <w:szCs w:val="16"/>
              </w:rPr>
              <w:t>提供证书官网或权威机构网站（如人事考试网、政务官网、人社相关部门查询网站或工信相关部门查询官网等）的证书查询记录截图作为得分依据。</w:t>
            </w:r>
          </w:p>
          <w:p w14:paraId="711350DE">
            <w:pPr>
              <w:wordWrap w:val="0"/>
              <w:rPr>
                <w:rFonts w:ascii="宋体" w:hAnsi="宋体" w:cs="宋体"/>
                <w:sz w:val="22"/>
                <w:szCs w:val="16"/>
              </w:rPr>
            </w:pPr>
            <w:r>
              <w:rPr>
                <w:rFonts w:hint="eastAsia" w:ascii="宋体" w:hAnsi="宋体" w:cs="宋体"/>
                <w:sz w:val="22"/>
                <w:szCs w:val="16"/>
              </w:rPr>
              <w:t>证书在公开渠道无法查询的，需提供颁发机构的证明材料，证明证书真实有效。评分中出现无证明资料或专家无法凭所提供资料判断是否得分的情况，一律作不得分处理。</w:t>
            </w:r>
          </w:p>
          <w:p w14:paraId="58A06ED8">
            <w:pPr>
              <w:rPr>
                <w:rFonts w:ascii="宋体" w:hAnsi="宋体"/>
                <w:szCs w:val="21"/>
              </w:rPr>
            </w:pPr>
            <w:r>
              <w:rPr>
                <w:rFonts w:hint="eastAsia" w:ascii="宋体" w:hAnsi="宋体" w:cs="宋体"/>
                <w:szCs w:val="21"/>
              </w:rPr>
              <w:t>4.以上资料均要求提供扫描件（或官方网站截图）。评分中出现无证明资料或专家无法凭所提供资料判断是否得分的情况，一律作不得分处理。</w:t>
            </w:r>
          </w:p>
        </w:tc>
      </w:tr>
      <w:tr w14:paraId="5DD2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64B76141">
            <w:pPr>
              <w:wordWrap w:val="0"/>
              <w:jc w:val="center"/>
              <w:rPr>
                <w:rFonts w:ascii="宋体" w:hAnsi="宋体" w:cs="宋体"/>
                <w:b/>
                <w:bCs/>
                <w:color w:val="0000FF"/>
                <w:sz w:val="24"/>
              </w:rPr>
            </w:pPr>
            <w:r>
              <w:rPr>
                <w:b/>
                <w:bCs/>
                <w:color w:val="0000FF"/>
              </w:rPr>
              <w:t>3</w:t>
            </w:r>
          </w:p>
        </w:tc>
        <w:tc>
          <w:tcPr>
            <w:tcW w:w="3129" w:type="dxa"/>
            <w:gridSpan w:val="3"/>
          </w:tcPr>
          <w:p w14:paraId="5734BFF9">
            <w:pPr>
              <w:wordWrap w:val="0"/>
              <w:jc w:val="center"/>
              <w:rPr>
                <w:rFonts w:ascii="宋体" w:hAnsi="宋体" w:cs="宋体"/>
                <w:b/>
                <w:bCs/>
                <w:color w:val="0000FF"/>
                <w:sz w:val="24"/>
              </w:rPr>
            </w:pPr>
            <w:r>
              <w:rPr>
                <w:rFonts w:hint="eastAsia"/>
                <w:b/>
                <w:bCs/>
                <w:color w:val="0000FF"/>
              </w:rPr>
              <w:t>综合实力部分</w:t>
            </w:r>
          </w:p>
        </w:tc>
        <w:tc>
          <w:tcPr>
            <w:tcW w:w="5239" w:type="dxa"/>
          </w:tcPr>
          <w:p w14:paraId="2AE1D09A">
            <w:pPr>
              <w:wordWrap w:val="0"/>
              <w:jc w:val="center"/>
              <w:rPr>
                <w:rFonts w:ascii="宋体" w:hAnsi="宋体" w:cs="宋体"/>
                <w:b/>
                <w:bCs/>
                <w:color w:val="0000FF"/>
                <w:sz w:val="24"/>
              </w:rPr>
            </w:pPr>
            <w:r>
              <w:rPr>
                <w:rFonts w:hint="eastAsia" w:ascii="宋体" w:hAnsi="宋体" w:cs="宋体"/>
                <w:b/>
                <w:bCs/>
                <w:color w:val="0000FF"/>
                <w:sz w:val="24"/>
              </w:rPr>
              <w:t>20</w:t>
            </w:r>
          </w:p>
        </w:tc>
      </w:tr>
      <w:tr w14:paraId="754A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3249FFC">
            <w:pPr>
              <w:rPr>
                <w:rFonts w:ascii="宋体" w:hAnsi="宋体" w:cs="宋体"/>
                <w:b/>
                <w:bCs/>
                <w:color w:val="0000FF"/>
                <w:sz w:val="24"/>
              </w:rPr>
            </w:pPr>
          </w:p>
        </w:tc>
        <w:tc>
          <w:tcPr>
            <w:tcW w:w="8368" w:type="dxa"/>
            <w:gridSpan w:val="4"/>
          </w:tcPr>
          <w:p w14:paraId="1CAD1623">
            <w:pPr>
              <w:wordWrap w:val="0"/>
              <w:rPr>
                <w:rFonts w:ascii="宋体" w:hAnsi="宋体" w:cs="宋体"/>
                <w:szCs w:val="21"/>
              </w:rPr>
            </w:pPr>
          </w:p>
        </w:tc>
      </w:tr>
      <w:tr w14:paraId="4323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5B7C6921">
            <w:pPr>
              <w:rPr>
                <w:rFonts w:ascii="宋体" w:hAnsi="宋体" w:cs="宋体"/>
                <w:b/>
                <w:bCs/>
                <w:color w:val="0000FF"/>
                <w:sz w:val="24"/>
              </w:rPr>
            </w:pPr>
          </w:p>
        </w:tc>
        <w:tc>
          <w:tcPr>
            <w:tcW w:w="709" w:type="dxa"/>
            <w:shd w:val="clear" w:color="auto" w:fill="E6EFFA"/>
            <w:vAlign w:val="center"/>
          </w:tcPr>
          <w:p w14:paraId="5C30805D">
            <w:pPr>
              <w:wordWrap w:val="0"/>
              <w:jc w:val="center"/>
              <w:rPr>
                <w:rFonts w:ascii="宋体" w:hAnsi="宋体" w:cs="宋体"/>
                <w:b/>
                <w:bCs/>
                <w:szCs w:val="21"/>
              </w:rPr>
            </w:pPr>
            <w:r>
              <w:rPr>
                <w:b/>
                <w:bCs/>
                <w:szCs w:val="21"/>
              </w:rPr>
              <w:t>序号</w:t>
            </w:r>
          </w:p>
        </w:tc>
        <w:tc>
          <w:tcPr>
            <w:tcW w:w="1580" w:type="dxa"/>
            <w:shd w:val="clear" w:color="auto" w:fill="E6EFFA"/>
            <w:vAlign w:val="center"/>
          </w:tcPr>
          <w:p w14:paraId="0EAF6FCA">
            <w:pPr>
              <w:wordWrap w:val="0"/>
              <w:jc w:val="center"/>
              <w:rPr>
                <w:rFonts w:ascii="宋体" w:hAnsi="宋体" w:cs="宋体"/>
                <w:b/>
                <w:bCs/>
                <w:szCs w:val="21"/>
              </w:rPr>
            </w:pPr>
            <w:r>
              <w:rPr>
                <w:rFonts w:hint="eastAsia"/>
                <w:b/>
                <w:bCs/>
                <w:szCs w:val="21"/>
              </w:rPr>
              <w:t>评审因素</w:t>
            </w:r>
          </w:p>
        </w:tc>
        <w:tc>
          <w:tcPr>
            <w:tcW w:w="840" w:type="dxa"/>
            <w:shd w:val="clear" w:color="auto" w:fill="E6EFFA"/>
            <w:vAlign w:val="center"/>
          </w:tcPr>
          <w:p w14:paraId="4ACD86C8">
            <w:pPr>
              <w:wordWrap w:val="0"/>
              <w:jc w:val="center"/>
              <w:rPr>
                <w:rFonts w:ascii="宋体" w:hAnsi="宋体" w:cs="宋体"/>
                <w:b/>
                <w:bCs/>
                <w:szCs w:val="21"/>
              </w:rPr>
            </w:pPr>
            <w:r>
              <w:rPr>
                <w:b/>
                <w:bCs/>
                <w:szCs w:val="21"/>
              </w:rPr>
              <w:t>权重(%)</w:t>
            </w:r>
          </w:p>
        </w:tc>
        <w:tc>
          <w:tcPr>
            <w:tcW w:w="5239" w:type="dxa"/>
            <w:shd w:val="clear" w:color="auto" w:fill="E6EFFA"/>
            <w:vAlign w:val="center"/>
          </w:tcPr>
          <w:p w14:paraId="3FDD079B">
            <w:pPr>
              <w:wordWrap w:val="0"/>
              <w:jc w:val="center"/>
              <w:rPr>
                <w:rFonts w:ascii="宋体" w:hAnsi="宋体" w:cs="宋体"/>
                <w:b/>
                <w:bCs/>
                <w:szCs w:val="21"/>
              </w:rPr>
            </w:pPr>
            <w:r>
              <w:rPr>
                <w:b/>
                <w:bCs/>
                <w:szCs w:val="21"/>
              </w:rPr>
              <w:t>评分准则</w:t>
            </w:r>
          </w:p>
        </w:tc>
      </w:tr>
      <w:tr w14:paraId="6761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1A15D3E">
            <w:pPr>
              <w:rPr>
                <w:rFonts w:ascii="宋体" w:hAnsi="宋体" w:cs="宋体"/>
                <w:b/>
                <w:bCs/>
                <w:color w:val="0000FF"/>
                <w:sz w:val="24"/>
              </w:rPr>
            </w:pPr>
          </w:p>
        </w:tc>
        <w:tc>
          <w:tcPr>
            <w:tcW w:w="709" w:type="dxa"/>
            <w:vAlign w:val="center"/>
          </w:tcPr>
          <w:p w14:paraId="2518E44A">
            <w:pPr>
              <w:wordWrap w:val="0"/>
              <w:jc w:val="center"/>
              <w:rPr>
                <w:rFonts w:ascii="宋体" w:hAnsi="宋体" w:cs="宋体"/>
                <w:szCs w:val="21"/>
              </w:rPr>
            </w:pPr>
            <w:r>
              <w:rPr>
                <w:rFonts w:ascii="宋体" w:hAnsi="宋体"/>
                <w:szCs w:val="21"/>
              </w:rPr>
              <w:t>1</w:t>
            </w:r>
          </w:p>
        </w:tc>
        <w:tc>
          <w:tcPr>
            <w:tcW w:w="1580" w:type="dxa"/>
            <w:vAlign w:val="center"/>
          </w:tcPr>
          <w:p w14:paraId="3720122D">
            <w:pPr>
              <w:spacing w:line="320" w:lineRule="exact"/>
              <w:jc w:val="center"/>
              <w:rPr>
                <w:rFonts w:ascii="宋体" w:hAnsi="宋体" w:cs="宋体"/>
                <w:szCs w:val="21"/>
              </w:rPr>
            </w:pPr>
            <w:r>
              <w:rPr>
                <w:rFonts w:hint="eastAsia" w:ascii="宋体" w:hAnsi="宋体" w:cs="宋体"/>
                <w:kern w:val="0"/>
                <w:szCs w:val="21"/>
              </w:rPr>
              <w:t>供应商认证情况</w:t>
            </w:r>
          </w:p>
        </w:tc>
        <w:tc>
          <w:tcPr>
            <w:tcW w:w="840" w:type="dxa"/>
            <w:vAlign w:val="center"/>
          </w:tcPr>
          <w:p w14:paraId="04065387">
            <w:pPr>
              <w:spacing w:line="320" w:lineRule="exact"/>
              <w:jc w:val="center"/>
              <w:rPr>
                <w:rFonts w:ascii="宋体" w:hAnsi="宋体" w:cs="宋体"/>
                <w:szCs w:val="21"/>
              </w:rPr>
            </w:pPr>
            <w:r>
              <w:rPr>
                <w:rFonts w:hint="eastAsia" w:ascii="宋体" w:hAnsi="宋体" w:cs="宋体"/>
                <w:szCs w:val="21"/>
              </w:rPr>
              <w:t>6</w:t>
            </w:r>
          </w:p>
        </w:tc>
        <w:tc>
          <w:tcPr>
            <w:tcW w:w="5239" w:type="dxa"/>
            <w:vAlign w:val="center"/>
          </w:tcPr>
          <w:p w14:paraId="250AA3B3">
            <w:pPr>
              <w:snapToGrid w:val="0"/>
              <w:rPr>
                <w:rFonts w:ascii="宋体" w:hAnsi="宋体" w:cs="宋体"/>
                <w:b/>
                <w:bCs/>
                <w:kern w:val="0"/>
                <w:szCs w:val="21"/>
              </w:rPr>
            </w:pPr>
            <w:r>
              <w:rPr>
                <w:rFonts w:hint="eastAsia" w:ascii="宋体" w:hAnsi="宋体" w:cs="宋体"/>
                <w:b/>
                <w:bCs/>
                <w:kern w:val="0"/>
                <w:szCs w:val="21"/>
              </w:rPr>
              <w:t>（一）评分内容：</w:t>
            </w:r>
          </w:p>
          <w:p w14:paraId="7A6BE4C2">
            <w:pPr>
              <w:snapToGrid w:val="0"/>
              <w:spacing w:line="320" w:lineRule="exact"/>
              <w:rPr>
                <w:rFonts w:ascii="宋体" w:hAnsi="宋体" w:cs="宋体"/>
                <w:szCs w:val="21"/>
              </w:rPr>
            </w:pPr>
            <w:r>
              <w:rPr>
                <w:rFonts w:hint="eastAsia" w:ascii="宋体" w:hAnsi="宋体" w:cs="宋体"/>
                <w:szCs w:val="21"/>
              </w:rPr>
              <w:t>（1）投标人具有质量管理体系认证证书；</w:t>
            </w:r>
          </w:p>
          <w:p w14:paraId="4D3D63FB">
            <w:pPr>
              <w:snapToGrid w:val="0"/>
              <w:spacing w:line="320" w:lineRule="exact"/>
              <w:rPr>
                <w:rFonts w:ascii="宋体" w:hAnsi="宋体" w:cs="宋体"/>
                <w:szCs w:val="21"/>
              </w:rPr>
            </w:pPr>
            <w:r>
              <w:rPr>
                <w:rFonts w:hint="eastAsia" w:ascii="宋体" w:hAnsi="宋体" w:cs="宋体"/>
                <w:szCs w:val="21"/>
              </w:rPr>
              <w:t>（2）投标人具有环境管理体系认证证书；</w:t>
            </w:r>
          </w:p>
          <w:p w14:paraId="2908B5A9">
            <w:pPr>
              <w:snapToGrid w:val="0"/>
              <w:spacing w:line="320" w:lineRule="exact"/>
              <w:rPr>
                <w:rFonts w:ascii="宋体" w:hAnsi="宋体" w:cs="宋体"/>
                <w:szCs w:val="21"/>
              </w:rPr>
            </w:pPr>
            <w:r>
              <w:rPr>
                <w:rFonts w:hint="eastAsia" w:ascii="宋体" w:hAnsi="宋体" w:cs="宋体"/>
                <w:szCs w:val="21"/>
              </w:rPr>
              <w:t>（3）投标人具有职业健康安全管理体系认证证书；</w:t>
            </w:r>
          </w:p>
          <w:p w14:paraId="30F7130B">
            <w:pPr>
              <w:snapToGrid w:val="0"/>
              <w:spacing w:line="320" w:lineRule="exact"/>
              <w:rPr>
                <w:rFonts w:ascii="宋体" w:hAnsi="宋体" w:cs="宋体"/>
                <w:szCs w:val="21"/>
              </w:rPr>
            </w:pPr>
            <w:r>
              <w:rPr>
                <w:rFonts w:hint="eastAsia" w:ascii="宋体" w:hAnsi="宋体" w:cs="宋体"/>
                <w:szCs w:val="21"/>
              </w:rPr>
              <w:t>上述1-3项累计得分，每满足1项得35分，满分100分。</w:t>
            </w:r>
          </w:p>
          <w:p w14:paraId="04B5FC55">
            <w:pPr>
              <w:snapToGrid w:val="0"/>
              <w:rPr>
                <w:rFonts w:ascii="宋体" w:hAnsi="宋体" w:cs="宋体"/>
                <w:b/>
                <w:bCs/>
                <w:kern w:val="0"/>
                <w:szCs w:val="21"/>
              </w:rPr>
            </w:pPr>
            <w:r>
              <w:rPr>
                <w:rFonts w:hint="eastAsia" w:ascii="宋体" w:hAnsi="宋体" w:cs="宋体"/>
                <w:b/>
                <w:bCs/>
                <w:kern w:val="0"/>
                <w:szCs w:val="21"/>
              </w:rPr>
              <w:t>（二）评分依据：</w:t>
            </w:r>
          </w:p>
          <w:p w14:paraId="218B0A80">
            <w:pPr>
              <w:snapToGrid w:val="0"/>
              <w:rPr>
                <w:rFonts w:ascii="宋体" w:hAnsi="宋体" w:cs="宋体"/>
                <w:kern w:val="0"/>
                <w:szCs w:val="21"/>
              </w:rPr>
            </w:pPr>
            <w:r>
              <w:rPr>
                <w:rFonts w:hint="eastAsia" w:ascii="宋体" w:hAnsi="宋体" w:cs="宋体"/>
                <w:kern w:val="0"/>
                <w:szCs w:val="21"/>
              </w:rPr>
              <w:t>1.要求提供上述有效的证书作为得分依据。</w:t>
            </w:r>
          </w:p>
          <w:p w14:paraId="4D4BE1F2">
            <w:pPr>
              <w:snapToGrid w:val="0"/>
              <w:rPr>
                <w:rFonts w:ascii="宋体" w:hAnsi="宋体" w:cs="宋体"/>
                <w:kern w:val="0"/>
                <w:szCs w:val="21"/>
              </w:rPr>
            </w:pPr>
            <w:r>
              <w:rPr>
                <w:rFonts w:hint="eastAsia" w:ascii="宋体" w:hAnsi="宋体" w:cs="宋体"/>
                <w:kern w:val="0"/>
                <w:szCs w:val="21"/>
              </w:rPr>
              <w:t>2.以上资料均要求提供扫描件（或官方网站截图）。评分中出现无证明资料或不按要求提供，或专家无法凭所提供资料判断是否得分的情况，一律作不得分处理。</w:t>
            </w:r>
          </w:p>
          <w:p w14:paraId="1ACA2B68">
            <w:pPr>
              <w:snapToGrid w:val="0"/>
              <w:rPr>
                <w:rFonts w:ascii="宋体" w:hAnsi="宋体" w:cs="宋体"/>
                <w:kern w:val="0"/>
                <w:szCs w:val="21"/>
              </w:rPr>
            </w:pPr>
            <w:r>
              <w:rPr>
                <w:rFonts w:hint="eastAsia" w:ascii="宋体" w:hAnsi="宋体" w:cs="宋体"/>
                <w:kern w:val="0"/>
                <w:szCs w:val="21"/>
              </w:rPr>
              <w:t>3.体系认证证书还需要提供全国认证认可信息公共服务平台 （http://cx.cnca.cn）认证信息查询截图（截图需显示证书状态为有效）作为得分依据。</w:t>
            </w:r>
          </w:p>
          <w:p w14:paraId="76A7BB03">
            <w:pPr>
              <w:snapToGrid w:val="0"/>
            </w:pPr>
            <w:r>
              <w:rPr>
                <w:rFonts w:hint="eastAsia" w:ascii="宋体" w:hAnsi="宋体" w:cs="宋体"/>
                <w:kern w:val="0"/>
                <w:szCs w:val="21"/>
              </w:rPr>
              <w:t>4.如投标人成立时间不足证书办理所必须的时间，可提供情况说明作为佐证材料，无需提供证书和认证信息查询截图亦视为满足评分要求。</w:t>
            </w:r>
          </w:p>
        </w:tc>
      </w:tr>
      <w:tr w14:paraId="340F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28" w:hRule="atLeast"/>
          <w:tblCellSpacing w:w="0" w:type="dxa"/>
          <w:jc w:val="center"/>
        </w:trPr>
        <w:tc>
          <w:tcPr>
            <w:tcW w:w="704" w:type="dxa"/>
            <w:vMerge w:val="continue"/>
            <w:vAlign w:val="center"/>
          </w:tcPr>
          <w:p w14:paraId="324CF60C">
            <w:pPr>
              <w:rPr>
                <w:rFonts w:ascii="宋体" w:hAnsi="宋体" w:cs="宋体"/>
                <w:b/>
                <w:bCs/>
                <w:color w:val="0000FF"/>
                <w:sz w:val="24"/>
              </w:rPr>
            </w:pPr>
          </w:p>
        </w:tc>
        <w:tc>
          <w:tcPr>
            <w:tcW w:w="709" w:type="dxa"/>
            <w:vAlign w:val="center"/>
          </w:tcPr>
          <w:p w14:paraId="2FC72E42">
            <w:pPr>
              <w:wordWrap w:val="0"/>
              <w:jc w:val="center"/>
              <w:rPr>
                <w:rFonts w:ascii="宋体" w:hAnsi="宋体" w:cs="宋体"/>
                <w:szCs w:val="21"/>
              </w:rPr>
            </w:pPr>
            <w:r>
              <w:rPr>
                <w:rFonts w:hint="eastAsia" w:ascii="宋体" w:hAnsi="宋体"/>
                <w:szCs w:val="21"/>
              </w:rPr>
              <w:t>2</w:t>
            </w:r>
          </w:p>
        </w:tc>
        <w:tc>
          <w:tcPr>
            <w:tcW w:w="1580" w:type="dxa"/>
            <w:vAlign w:val="center"/>
          </w:tcPr>
          <w:p w14:paraId="20A9BF9E">
            <w:pPr>
              <w:snapToGrid w:val="0"/>
              <w:spacing w:line="320" w:lineRule="exact"/>
              <w:jc w:val="center"/>
              <w:rPr>
                <w:rFonts w:ascii="宋体" w:hAnsi="宋体" w:cs="宋体"/>
                <w:szCs w:val="21"/>
              </w:rPr>
            </w:pPr>
            <w:r>
              <w:rPr>
                <w:rFonts w:hint="eastAsia" w:ascii="宋体" w:hAnsi="宋体" w:cs="宋体"/>
                <w:szCs w:val="21"/>
              </w:rPr>
              <w:t>供应商同类项目业绩情况</w:t>
            </w:r>
          </w:p>
        </w:tc>
        <w:tc>
          <w:tcPr>
            <w:tcW w:w="840" w:type="dxa"/>
            <w:vAlign w:val="center"/>
          </w:tcPr>
          <w:p w14:paraId="4B65C9B7">
            <w:pPr>
              <w:snapToGrid w:val="0"/>
              <w:spacing w:line="320" w:lineRule="exact"/>
              <w:jc w:val="center"/>
              <w:rPr>
                <w:rFonts w:ascii="宋体" w:hAnsi="宋体" w:cs="宋体"/>
                <w:szCs w:val="21"/>
              </w:rPr>
            </w:pPr>
            <w:r>
              <w:rPr>
                <w:rFonts w:hint="eastAsia" w:ascii="宋体" w:hAnsi="宋体" w:cs="宋体"/>
                <w:szCs w:val="21"/>
              </w:rPr>
              <w:t>6</w:t>
            </w:r>
          </w:p>
        </w:tc>
        <w:tc>
          <w:tcPr>
            <w:tcW w:w="5239" w:type="dxa"/>
            <w:vAlign w:val="center"/>
          </w:tcPr>
          <w:p w14:paraId="340BE511">
            <w:pPr>
              <w:snapToGrid w:val="0"/>
              <w:spacing w:line="320" w:lineRule="exact"/>
              <w:rPr>
                <w:rFonts w:ascii="宋体" w:hAnsi="宋体" w:cs="宋体"/>
                <w:b/>
                <w:szCs w:val="21"/>
              </w:rPr>
            </w:pPr>
            <w:r>
              <w:rPr>
                <w:rFonts w:hint="eastAsia" w:ascii="宋体" w:hAnsi="宋体" w:cs="宋体"/>
                <w:b/>
                <w:bCs/>
                <w:kern w:val="0"/>
                <w:szCs w:val="21"/>
              </w:rPr>
              <w:t>（一）</w:t>
            </w:r>
            <w:r>
              <w:rPr>
                <w:rFonts w:hint="eastAsia" w:ascii="宋体" w:hAnsi="宋体" w:cs="宋体"/>
                <w:b/>
                <w:szCs w:val="21"/>
              </w:rPr>
              <w:t>评分内容：</w:t>
            </w:r>
          </w:p>
          <w:p w14:paraId="2E4D28BE">
            <w:pPr>
              <w:snapToGrid w:val="0"/>
              <w:spacing w:line="320" w:lineRule="exact"/>
              <w:rPr>
                <w:rFonts w:ascii="宋体" w:hAnsi="宋体" w:cs="宋体"/>
                <w:szCs w:val="21"/>
              </w:rPr>
            </w:pPr>
            <w:r>
              <w:rPr>
                <w:rFonts w:hint="eastAsia" w:ascii="宋体" w:hAnsi="宋体" w:cs="宋体"/>
                <w:szCs w:val="21"/>
              </w:rPr>
              <w:t>2022年6月1日至本项目截标之日内所签订的项目合同（以合同签订日期为准），每提供1个同类（信息化平台或软件）运维项目业绩得34分，最高得100分。</w:t>
            </w:r>
          </w:p>
          <w:p w14:paraId="62996BD3">
            <w:pPr>
              <w:snapToGrid w:val="0"/>
              <w:spacing w:line="320" w:lineRule="exact"/>
              <w:rPr>
                <w:rFonts w:ascii="宋体" w:hAnsi="宋体" w:cs="宋体"/>
                <w:b/>
                <w:szCs w:val="21"/>
              </w:rPr>
            </w:pPr>
            <w:r>
              <w:rPr>
                <w:rFonts w:hint="eastAsia" w:ascii="宋体" w:hAnsi="宋体" w:cs="宋体"/>
                <w:b/>
                <w:bCs/>
                <w:kern w:val="0"/>
                <w:szCs w:val="21"/>
              </w:rPr>
              <w:t>（二）</w:t>
            </w:r>
            <w:r>
              <w:rPr>
                <w:rFonts w:hint="eastAsia" w:ascii="宋体" w:hAnsi="宋体" w:cs="宋体"/>
                <w:b/>
                <w:szCs w:val="21"/>
              </w:rPr>
              <w:t>评分依据：</w:t>
            </w:r>
          </w:p>
          <w:p w14:paraId="677CDAF0">
            <w:pPr>
              <w:snapToGrid w:val="0"/>
              <w:spacing w:line="320" w:lineRule="exact"/>
              <w:rPr>
                <w:rFonts w:ascii="宋体" w:hAnsi="宋体" w:cs="宋体"/>
                <w:bCs/>
                <w:szCs w:val="21"/>
              </w:rPr>
            </w:pPr>
            <w:r>
              <w:rPr>
                <w:rFonts w:hint="eastAsia" w:ascii="宋体" w:hAnsi="宋体" w:cs="宋体"/>
                <w:bCs/>
                <w:szCs w:val="21"/>
              </w:rPr>
              <w:t>1.要求同时提供合同关键信息和履约评价合格或者验收合格证明文件作为得分依据，履约评价合格或者验收合格证明文件需加盖合同甲方公章（或甲方业务章）。</w:t>
            </w:r>
          </w:p>
          <w:p w14:paraId="76F28AD0">
            <w:pPr>
              <w:snapToGrid w:val="0"/>
              <w:spacing w:line="320" w:lineRule="exact"/>
              <w:rPr>
                <w:szCs w:val="21"/>
              </w:rPr>
            </w:pPr>
            <w:r>
              <w:rPr>
                <w:rFonts w:hint="eastAsia" w:ascii="宋体" w:hAnsi="宋体" w:cs="宋体"/>
                <w:bCs/>
                <w:szCs w:val="21"/>
              </w:rPr>
              <w:t>2.以上资料均要求提供扫描件。评分中出现无证明资料或专家无法凭所提供资料判断是否得分的情况，一律作不得分处理。</w:t>
            </w:r>
          </w:p>
        </w:tc>
      </w:tr>
      <w:tr w14:paraId="03DC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5834D29">
            <w:pPr>
              <w:rPr>
                <w:rFonts w:ascii="宋体" w:hAnsi="宋体" w:cs="宋体"/>
                <w:b/>
                <w:bCs/>
                <w:color w:val="0000FF"/>
                <w:sz w:val="24"/>
              </w:rPr>
            </w:pPr>
          </w:p>
        </w:tc>
        <w:tc>
          <w:tcPr>
            <w:tcW w:w="709" w:type="dxa"/>
            <w:vAlign w:val="center"/>
          </w:tcPr>
          <w:p w14:paraId="41253701">
            <w:pPr>
              <w:wordWrap w:val="0"/>
              <w:jc w:val="center"/>
              <w:rPr>
                <w:rFonts w:ascii="宋体" w:hAnsi="宋体" w:cs="宋体"/>
                <w:szCs w:val="21"/>
              </w:rPr>
            </w:pPr>
            <w:r>
              <w:rPr>
                <w:rFonts w:hint="eastAsia" w:ascii="宋体" w:hAnsi="宋体"/>
                <w:szCs w:val="21"/>
              </w:rPr>
              <w:t>3</w:t>
            </w:r>
          </w:p>
        </w:tc>
        <w:tc>
          <w:tcPr>
            <w:tcW w:w="1580" w:type="dxa"/>
            <w:vAlign w:val="center"/>
          </w:tcPr>
          <w:p w14:paraId="06D76B06">
            <w:pPr>
              <w:pStyle w:val="5"/>
              <w:tabs>
                <w:tab w:val="right" w:leader="dot" w:pos="9628"/>
              </w:tabs>
              <w:jc w:val="center"/>
              <w:rPr>
                <w:rFonts w:ascii="宋体" w:hAnsi="宋体" w:cs="宋体"/>
                <w:b w:val="0"/>
                <w:bCs w:val="0"/>
                <w:szCs w:val="21"/>
              </w:rPr>
            </w:pPr>
            <w:r>
              <w:rPr>
                <w:rFonts w:hint="eastAsia" w:ascii="宋体" w:hAnsi="宋体" w:cs="宋体"/>
                <w:b w:val="0"/>
                <w:bCs w:val="0"/>
                <w:szCs w:val="21"/>
              </w:rPr>
              <w:t>供应商自主知识产权产品（创新、设计）情况</w:t>
            </w:r>
          </w:p>
        </w:tc>
        <w:tc>
          <w:tcPr>
            <w:tcW w:w="840" w:type="dxa"/>
            <w:vAlign w:val="center"/>
          </w:tcPr>
          <w:p w14:paraId="4498E954">
            <w:pPr>
              <w:pStyle w:val="5"/>
              <w:tabs>
                <w:tab w:val="right" w:leader="dot" w:pos="9628"/>
              </w:tabs>
              <w:jc w:val="center"/>
              <w:rPr>
                <w:rFonts w:ascii="宋体" w:hAnsi="宋体" w:cs="宋体"/>
                <w:b w:val="0"/>
                <w:bCs w:val="0"/>
                <w:szCs w:val="21"/>
              </w:rPr>
            </w:pPr>
            <w:r>
              <w:rPr>
                <w:rFonts w:hint="eastAsia" w:ascii="宋体" w:hAnsi="宋体" w:cs="宋体"/>
                <w:b w:val="0"/>
                <w:bCs w:val="0"/>
                <w:szCs w:val="21"/>
              </w:rPr>
              <w:t>8</w:t>
            </w:r>
          </w:p>
        </w:tc>
        <w:tc>
          <w:tcPr>
            <w:tcW w:w="5239" w:type="dxa"/>
          </w:tcPr>
          <w:p w14:paraId="4C1F5A8E">
            <w:pPr>
              <w:spacing w:line="360" w:lineRule="auto"/>
              <w:rPr>
                <w:rFonts w:ascii="宋体" w:hAnsi="宋体" w:cs="宋体"/>
                <w:b/>
                <w:bCs/>
                <w:szCs w:val="21"/>
              </w:rPr>
            </w:pPr>
            <w:r>
              <w:rPr>
                <w:rFonts w:hint="eastAsia" w:ascii="宋体" w:hAnsi="宋体" w:cs="宋体"/>
                <w:b/>
                <w:bCs/>
                <w:szCs w:val="21"/>
              </w:rPr>
              <w:t>考察内容：</w:t>
            </w:r>
          </w:p>
          <w:p w14:paraId="68954A49">
            <w:pPr>
              <w:snapToGrid w:val="0"/>
              <w:spacing w:line="320" w:lineRule="exact"/>
              <w:rPr>
                <w:rFonts w:ascii="宋体" w:hAnsi="宋体" w:cs="宋体"/>
                <w:bCs/>
                <w:szCs w:val="21"/>
              </w:rPr>
            </w:pPr>
            <w:r>
              <w:rPr>
                <w:rFonts w:hint="eastAsia" w:ascii="宋体" w:hAnsi="宋体" w:cs="宋体"/>
                <w:bCs/>
                <w:szCs w:val="21"/>
              </w:rPr>
              <w:t>投标人具有国家版权局颁发的局长信箱相关的平台或软件计算机软件著作权登记证书的，得100分。</w:t>
            </w:r>
          </w:p>
          <w:p w14:paraId="5F7FCF85">
            <w:pPr>
              <w:spacing w:line="360" w:lineRule="auto"/>
              <w:rPr>
                <w:rFonts w:ascii="宋体" w:hAnsi="宋体" w:cs="宋体"/>
                <w:b/>
                <w:bCs/>
                <w:szCs w:val="21"/>
              </w:rPr>
            </w:pPr>
            <w:r>
              <w:rPr>
                <w:rFonts w:hint="eastAsia" w:ascii="宋体" w:hAnsi="宋体" w:cs="宋体"/>
                <w:b/>
                <w:bCs/>
                <w:szCs w:val="21"/>
              </w:rPr>
              <w:t>证明文件：</w:t>
            </w:r>
          </w:p>
          <w:p w14:paraId="11D75A84">
            <w:pPr>
              <w:snapToGrid w:val="0"/>
              <w:spacing w:line="320" w:lineRule="exact"/>
              <w:rPr>
                <w:rFonts w:ascii="宋体" w:hAnsi="宋体" w:cs="宋体"/>
                <w:bCs/>
                <w:szCs w:val="21"/>
              </w:rPr>
            </w:pPr>
            <w:r>
              <w:rPr>
                <w:rFonts w:hint="eastAsia" w:ascii="宋体" w:hAnsi="宋体" w:cs="宋体"/>
                <w:bCs/>
                <w:szCs w:val="21"/>
              </w:rPr>
              <w:t>1.如为自有知识产权，提供计算机软件著作权登记证书（著作权人为投标人）；</w:t>
            </w:r>
          </w:p>
          <w:p w14:paraId="02334444">
            <w:pPr>
              <w:snapToGrid w:val="0"/>
              <w:spacing w:line="320" w:lineRule="exact"/>
              <w:rPr>
                <w:rFonts w:ascii="宋体" w:hAnsi="宋体" w:cs="宋体"/>
                <w:bCs/>
                <w:szCs w:val="21"/>
              </w:rPr>
            </w:pPr>
            <w:r>
              <w:rPr>
                <w:rFonts w:hint="eastAsia" w:ascii="宋体" w:hAnsi="宋体" w:cs="宋体"/>
                <w:bCs/>
                <w:szCs w:val="21"/>
              </w:rPr>
              <w:t>2.如非自有知识产权，提供购买合同或租赁合同或合法授权书以及计算机软件著作权登记证书（著作权人为出售方或出租方或授权方）；</w:t>
            </w:r>
          </w:p>
          <w:p w14:paraId="06C1D174">
            <w:pPr>
              <w:snapToGrid w:val="0"/>
              <w:spacing w:line="320" w:lineRule="exact"/>
            </w:pPr>
            <w:r>
              <w:rPr>
                <w:rFonts w:hint="eastAsia" w:ascii="宋体" w:hAnsi="宋体" w:cs="宋体"/>
                <w:bCs/>
                <w:szCs w:val="21"/>
              </w:rPr>
              <w:t>3.未提供或未按要求提供或提供的不清晰导致专家无法判断的，不得分。</w:t>
            </w:r>
          </w:p>
        </w:tc>
      </w:tr>
      <w:tr w14:paraId="22C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29E75B16">
            <w:pPr>
              <w:wordWrap w:val="0"/>
              <w:jc w:val="center"/>
              <w:rPr>
                <w:rFonts w:ascii="宋体" w:hAnsi="宋体" w:cs="宋体"/>
                <w:b/>
                <w:bCs/>
                <w:color w:val="0000FF"/>
                <w:sz w:val="24"/>
              </w:rPr>
            </w:pPr>
            <w:r>
              <w:rPr>
                <w:b/>
                <w:bCs/>
                <w:color w:val="0000FF"/>
              </w:rPr>
              <w:t>4</w:t>
            </w:r>
          </w:p>
        </w:tc>
        <w:tc>
          <w:tcPr>
            <w:tcW w:w="3129" w:type="dxa"/>
            <w:gridSpan w:val="3"/>
          </w:tcPr>
          <w:p w14:paraId="2B57381A">
            <w:pPr>
              <w:wordWrap w:val="0"/>
              <w:jc w:val="center"/>
              <w:rPr>
                <w:rFonts w:ascii="宋体" w:hAnsi="宋体" w:cs="宋体"/>
                <w:b/>
                <w:bCs/>
                <w:color w:val="0000FF"/>
                <w:sz w:val="24"/>
              </w:rPr>
            </w:pPr>
            <w:r>
              <w:rPr>
                <w:b/>
                <w:bCs/>
                <w:color w:val="0000FF"/>
              </w:rPr>
              <w:t>诚信情况</w:t>
            </w:r>
          </w:p>
        </w:tc>
        <w:tc>
          <w:tcPr>
            <w:tcW w:w="5239" w:type="dxa"/>
          </w:tcPr>
          <w:p w14:paraId="4BA4DE8D">
            <w:pPr>
              <w:wordWrap w:val="0"/>
              <w:jc w:val="center"/>
              <w:rPr>
                <w:rFonts w:ascii="宋体" w:hAnsi="宋体" w:cs="宋体"/>
                <w:b/>
                <w:bCs/>
                <w:color w:val="0000FF"/>
                <w:sz w:val="24"/>
              </w:rPr>
            </w:pPr>
            <w:r>
              <w:rPr>
                <w:b/>
                <w:bCs/>
                <w:color w:val="0000FF"/>
              </w:rPr>
              <w:t>5</w:t>
            </w:r>
          </w:p>
        </w:tc>
      </w:tr>
      <w:tr w14:paraId="709B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auto"/>
            <w:vAlign w:val="center"/>
          </w:tcPr>
          <w:p w14:paraId="37DDCF72">
            <w:pPr>
              <w:rPr>
                <w:rFonts w:ascii="宋体" w:hAnsi="宋体" w:cs="宋体"/>
                <w:b/>
                <w:bCs/>
                <w:color w:val="0000FF"/>
                <w:sz w:val="24"/>
              </w:rPr>
            </w:pPr>
          </w:p>
        </w:tc>
        <w:tc>
          <w:tcPr>
            <w:tcW w:w="709" w:type="dxa"/>
            <w:shd w:val="clear" w:color="auto" w:fill="E6EFFA"/>
            <w:vAlign w:val="center"/>
          </w:tcPr>
          <w:p w14:paraId="1FEF36D0">
            <w:pPr>
              <w:wordWrap w:val="0"/>
              <w:jc w:val="center"/>
              <w:rPr>
                <w:rFonts w:ascii="宋体" w:hAnsi="宋体" w:cs="宋体"/>
                <w:b/>
                <w:bCs/>
                <w:szCs w:val="21"/>
              </w:rPr>
            </w:pPr>
            <w:r>
              <w:rPr>
                <w:b/>
                <w:bCs/>
                <w:szCs w:val="21"/>
              </w:rPr>
              <w:t>序号</w:t>
            </w:r>
          </w:p>
        </w:tc>
        <w:tc>
          <w:tcPr>
            <w:tcW w:w="1580" w:type="dxa"/>
            <w:shd w:val="clear" w:color="auto" w:fill="E6EFFA"/>
            <w:vAlign w:val="center"/>
          </w:tcPr>
          <w:p w14:paraId="610CB0CC">
            <w:pPr>
              <w:wordWrap w:val="0"/>
              <w:jc w:val="center"/>
              <w:rPr>
                <w:rFonts w:ascii="宋体" w:hAnsi="宋体" w:cs="宋体"/>
                <w:b/>
                <w:bCs/>
                <w:szCs w:val="21"/>
              </w:rPr>
            </w:pPr>
            <w:r>
              <w:rPr>
                <w:rFonts w:hint="eastAsia"/>
                <w:b/>
                <w:bCs/>
                <w:szCs w:val="21"/>
              </w:rPr>
              <w:t>评审因素</w:t>
            </w:r>
          </w:p>
        </w:tc>
        <w:tc>
          <w:tcPr>
            <w:tcW w:w="840" w:type="dxa"/>
            <w:shd w:val="clear" w:color="auto" w:fill="E6EFFA"/>
            <w:vAlign w:val="center"/>
          </w:tcPr>
          <w:p w14:paraId="1102C084">
            <w:pPr>
              <w:wordWrap w:val="0"/>
              <w:jc w:val="center"/>
              <w:rPr>
                <w:rFonts w:ascii="宋体" w:hAnsi="宋体" w:cs="宋体"/>
                <w:b/>
                <w:bCs/>
                <w:szCs w:val="21"/>
              </w:rPr>
            </w:pPr>
            <w:r>
              <w:rPr>
                <w:b/>
                <w:bCs/>
                <w:szCs w:val="21"/>
              </w:rPr>
              <w:t>权重(%)</w:t>
            </w:r>
          </w:p>
        </w:tc>
        <w:tc>
          <w:tcPr>
            <w:tcW w:w="5239" w:type="dxa"/>
            <w:shd w:val="clear" w:color="auto" w:fill="E6EFFA"/>
            <w:vAlign w:val="center"/>
          </w:tcPr>
          <w:p w14:paraId="4052C12E">
            <w:pPr>
              <w:wordWrap w:val="0"/>
              <w:jc w:val="center"/>
              <w:rPr>
                <w:rFonts w:ascii="宋体" w:hAnsi="宋体" w:cs="宋体"/>
                <w:b/>
                <w:bCs/>
                <w:szCs w:val="21"/>
              </w:rPr>
            </w:pPr>
            <w:r>
              <w:rPr>
                <w:b/>
                <w:bCs/>
                <w:szCs w:val="21"/>
              </w:rPr>
              <w:t>评分准则</w:t>
            </w:r>
          </w:p>
        </w:tc>
      </w:tr>
      <w:tr w14:paraId="425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auto"/>
            <w:vAlign w:val="center"/>
          </w:tcPr>
          <w:p w14:paraId="0E4B0F30">
            <w:pPr>
              <w:rPr>
                <w:rFonts w:ascii="宋体" w:hAnsi="宋体" w:cs="宋体"/>
                <w:b/>
                <w:bCs/>
                <w:color w:val="0000FF"/>
                <w:sz w:val="24"/>
              </w:rPr>
            </w:pPr>
          </w:p>
        </w:tc>
        <w:tc>
          <w:tcPr>
            <w:tcW w:w="709" w:type="dxa"/>
            <w:vAlign w:val="center"/>
          </w:tcPr>
          <w:p w14:paraId="0D330FD4">
            <w:pPr>
              <w:wordWrap w:val="0"/>
              <w:jc w:val="center"/>
              <w:rPr>
                <w:rFonts w:ascii="宋体" w:hAnsi="宋体"/>
                <w:szCs w:val="21"/>
              </w:rPr>
            </w:pPr>
            <w:r>
              <w:rPr>
                <w:rFonts w:ascii="宋体" w:hAnsi="宋体"/>
                <w:szCs w:val="21"/>
              </w:rPr>
              <w:t>1</w:t>
            </w:r>
          </w:p>
        </w:tc>
        <w:tc>
          <w:tcPr>
            <w:tcW w:w="1580" w:type="dxa"/>
            <w:vAlign w:val="center"/>
          </w:tcPr>
          <w:p w14:paraId="496C25CF">
            <w:pPr>
              <w:wordWrap w:val="0"/>
              <w:jc w:val="center"/>
              <w:rPr>
                <w:rFonts w:ascii="宋体" w:hAnsi="宋体"/>
                <w:szCs w:val="21"/>
              </w:rPr>
            </w:pPr>
            <w:r>
              <w:rPr>
                <w:rFonts w:ascii="宋体" w:hAnsi="宋体"/>
                <w:szCs w:val="21"/>
              </w:rPr>
              <w:t>诚信情况</w:t>
            </w:r>
          </w:p>
        </w:tc>
        <w:tc>
          <w:tcPr>
            <w:tcW w:w="840" w:type="dxa"/>
            <w:vAlign w:val="center"/>
          </w:tcPr>
          <w:p w14:paraId="0D233B39">
            <w:pPr>
              <w:wordWrap w:val="0"/>
              <w:jc w:val="center"/>
              <w:rPr>
                <w:rFonts w:ascii="宋体" w:hAnsi="宋体" w:cs="宋体"/>
                <w:szCs w:val="21"/>
              </w:rPr>
            </w:pPr>
            <w:r>
              <w:rPr>
                <w:szCs w:val="21"/>
              </w:rPr>
              <w:t>5</w:t>
            </w:r>
          </w:p>
        </w:tc>
        <w:tc>
          <w:tcPr>
            <w:tcW w:w="5239" w:type="dxa"/>
          </w:tcPr>
          <w:p w14:paraId="3E5795FF">
            <w:pPr>
              <w:rPr>
                <w:szCs w:val="21"/>
              </w:rPr>
            </w:pPr>
            <w:r>
              <w:rPr>
                <w:rFonts w:hint="eastAsia"/>
                <w:szCs w:val="21"/>
              </w:rPr>
              <w:t>（一）评分内容：</w:t>
            </w:r>
          </w:p>
          <w:p w14:paraId="32BE261F">
            <w:pPr>
              <w:wordWrap w:val="0"/>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6D3980F6">
            <w:pPr>
              <w:wordWrap w:val="0"/>
              <w:rPr>
                <w:szCs w:val="21"/>
              </w:rPr>
            </w:pPr>
            <w:r>
              <w:rPr>
                <w:rFonts w:hint="eastAsia"/>
                <w:szCs w:val="21"/>
              </w:rPr>
              <w:t>（二）评分依据：</w:t>
            </w:r>
          </w:p>
          <w:p w14:paraId="130498E3">
            <w:pPr>
              <w:wordWrap w:val="0"/>
              <w:rPr>
                <w:rFonts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683B01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OWVjZDQzZDg0YTQ4NDU0M2NmMGJjNGY1Njc1OGQifQ=="/>
  </w:docVars>
  <w:rsids>
    <w:rsidRoot w:val="00D50F54"/>
    <w:rsid w:val="0005429E"/>
    <w:rsid w:val="003D19E1"/>
    <w:rsid w:val="007E494A"/>
    <w:rsid w:val="00B4617B"/>
    <w:rsid w:val="00C47768"/>
    <w:rsid w:val="00D50F54"/>
    <w:rsid w:val="9D6D1628"/>
    <w:rsid w:val="B5FFE83B"/>
    <w:rsid w:val="CFFB321F"/>
    <w:rsid w:val="FEE79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annotation text"/>
    <w:basedOn w:val="1"/>
    <w:link w:val="11"/>
    <w:qFormat/>
    <w:uiPriority w:val="99"/>
    <w:pPr>
      <w:autoSpaceDE w:val="0"/>
      <w:autoSpaceDN w:val="0"/>
      <w:adjustRightInd w:val="0"/>
      <w:jc w:val="left"/>
      <w:textAlignment w:val="baseline"/>
    </w:pPr>
    <w:rPr>
      <w:rFonts w:ascii="宋体"/>
      <w:kern w:val="0"/>
      <w:sz w:val="34"/>
      <w:szCs w:val="20"/>
    </w:rPr>
  </w:style>
  <w:style w:type="paragraph" w:styleId="4">
    <w:name w:val="Balloon Text"/>
    <w:basedOn w:val="1"/>
    <w:link w:val="12"/>
    <w:semiHidden/>
    <w:unhideWhenUsed/>
    <w:qFormat/>
    <w:uiPriority w:val="99"/>
    <w:rPr>
      <w:sz w:val="18"/>
      <w:szCs w:val="18"/>
    </w:rPr>
  </w:style>
  <w:style w:type="paragraph" w:styleId="5">
    <w:name w:val="toc 1"/>
    <w:basedOn w:val="1"/>
    <w:next w:val="1"/>
    <w:semiHidden/>
    <w:qFormat/>
    <w:uiPriority w:val="0"/>
    <w:pPr>
      <w:spacing w:before="120" w:after="120"/>
      <w:jc w:val="left"/>
    </w:pPr>
    <w:rPr>
      <w:b/>
      <w:bCs/>
      <w:caps/>
    </w:rPr>
  </w:style>
  <w:style w:type="paragraph" w:styleId="6">
    <w:name w:val="Normal (Web)"/>
    <w:basedOn w:val="1"/>
    <w:link w:val="9"/>
    <w:qFormat/>
    <w:uiPriority w:val="99"/>
    <w:rPr>
      <w:sz w:val="24"/>
    </w:rPr>
  </w:style>
  <w:style w:type="character" w:customStyle="1" w:styleId="9">
    <w:name w:val="普通(网站) Char"/>
    <w:link w:val="6"/>
    <w:qFormat/>
    <w:uiPriority w:val="99"/>
    <w:rPr>
      <w:rFonts w:ascii="Times New Roman" w:hAnsi="Times New Roman" w:eastAsia="宋体" w:cs="Times New Roman"/>
      <w:sz w:val="24"/>
      <w:szCs w:val="24"/>
    </w:rPr>
  </w:style>
  <w:style w:type="character" w:customStyle="1" w:styleId="10">
    <w:name w:val="正文文本 Char"/>
    <w:basedOn w:val="8"/>
    <w:link w:val="2"/>
    <w:semiHidden/>
    <w:qFormat/>
    <w:uiPriority w:val="99"/>
    <w:rPr>
      <w:rFonts w:ascii="Times New Roman" w:hAnsi="Times New Roman" w:eastAsia="宋体" w:cs="Times New Roman"/>
      <w:szCs w:val="24"/>
    </w:rPr>
  </w:style>
  <w:style w:type="character" w:customStyle="1" w:styleId="11">
    <w:name w:val="批注文字 Char"/>
    <w:basedOn w:val="8"/>
    <w:link w:val="3"/>
    <w:qFormat/>
    <w:uiPriority w:val="99"/>
    <w:rPr>
      <w:rFonts w:ascii="宋体" w:hAnsi="Times New Roman" w:eastAsia="宋体" w:cs="Times New Roman"/>
      <w:kern w:val="0"/>
      <w:sz w:val="34"/>
      <w:szCs w:val="20"/>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816</Words>
  <Characters>4656</Characters>
  <Lines>38</Lines>
  <Paragraphs>10</Paragraphs>
  <TotalTime>31</TotalTime>
  <ScaleCrop>false</ScaleCrop>
  <LinksUpToDate>false</LinksUpToDate>
  <CharactersWithSpaces>5462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2025-09-29T14:51:00Z</dcterms:created>
  <dc:creator>A</dc:creator>
  <cp:lastModifiedBy>袁媛</cp:lastModifiedBy>
  <dcterms:modified xsi:type="dcterms:W3CDTF">2025-10-16T11:59:43Z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1C86E0AF8BDA4EAFCE58DA6854A3AF5A</vt:lpwstr>
  </property>
</Properties>
</file>