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802E0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深圳市教育局关于遴选防治学生欺凌教育宣传资源制作合作单位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的评分细则</w:t>
      </w:r>
    </w:p>
    <w:p w14:paraId="43C7E258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0EA67FA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1、技术评价（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67"/>
        <w:gridCol w:w="1767"/>
        <w:gridCol w:w="4331"/>
      </w:tblGrid>
      <w:tr w14:paraId="3BD3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 w14:paraId="64383E5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667" w:type="dxa"/>
          </w:tcPr>
          <w:p w14:paraId="6683546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评议内容</w:t>
            </w:r>
          </w:p>
        </w:tc>
        <w:tc>
          <w:tcPr>
            <w:tcW w:w="1767" w:type="dxa"/>
          </w:tcPr>
          <w:p w14:paraId="24000E1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  <w:tc>
          <w:tcPr>
            <w:tcW w:w="4331" w:type="dxa"/>
          </w:tcPr>
          <w:p w14:paraId="50147E3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评分细则</w:t>
            </w:r>
          </w:p>
        </w:tc>
      </w:tr>
      <w:tr w14:paraId="7413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 w14:paraId="4993A6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67" w:type="dxa"/>
          </w:tcPr>
          <w:p w14:paraId="6B3728F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实施方案</w:t>
            </w:r>
          </w:p>
        </w:tc>
        <w:tc>
          <w:tcPr>
            <w:tcW w:w="1767" w:type="dxa"/>
          </w:tcPr>
          <w:p w14:paraId="6187E6A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30分</w:t>
            </w:r>
          </w:p>
        </w:tc>
        <w:tc>
          <w:tcPr>
            <w:tcW w:w="4331" w:type="dxa"/>
          </w:tcPr>
          <w:p w14:paraId="4D3421C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评</w:t>
            </w:r>
            <w:r>
              <w:rPr>
                <w:rFonts w:hint="eastAsia"/>
                <w:vertAlign w:val="baseline"/>
                <w:lang w:val="en-US" w:eastAsia="zh-CN"/>
              </w:rPr>
              <w:t>分</w:t>
            </w:r>
            <w:r>
              <w:rPr>
                <w:rFonts w:hint="default"/>
                <w:vertAlign w:val="baseline"/>
                <w:lang w:val="en-US" w:eastAsia="zh-CN"/>
              </w:rPr>
              <w:t>内容：</w:t>
            </w:r>
          </w:p>
          <w:p w14:paraId="5A6E136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针对本项目需求内容提供实施方案：</w:t>
            </w:r>
          </w:p>
          <w:p w14:paraId="7AFEDD8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1、有</w:t>
            </w:r>
            <w:r>
              <w:rPr>
                <w:rFonts w:hint="eastAsia"/>
                <w:vertAlign w:val="baseline"/>
                <w:lang w:val="en-US" w:eastAsia="zh-CN"/>
              </w:rPr>
              <w:t>视频制作的</w:t>
            </w:r>
            <w:r>
              <w:rPr>
                <w:rFonts w:hint="default"/>
                <w:vertAlign w:val="baseline"/>
                <w:lang w:val="en-US" w:eastAsia="zh-CN"/>
              </w:rPr>
              <w:t>整体策划方案</w:t>
            </w:r>
            <w:r>
              <w:rPr>
                <w:rFonts w:hint="eastAsia"/>
                <w:vertAlign w:val="baseline"/>
                <w:lang w:val="en-US" w:eastAsia="zh-CN"/>
              </w:rPr>
              <w:t>，包含创意、思路、脚本、风格等内容（20分）</w:t>
            </w:r>
            <w:r>
              <w:rPr>
                <w:rFonts w:hint="default"/>
                <w:vertAlign w:val="baseline"/>
                <w:lang w:val="en-US" w:eastAsia="zh-CN"/>
              </w:rPr>
              <w:t>；</w:t>
            </w:r>
          </w:p>
          <w:p w14:paraId="33387DF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vertAlign w:val="baseline"/>
                <w:lang w:val="en-US" w:eastAsia="zh-CN"/>
              </w:rPr>
              <w:t>有项目进度表，设计合理、可操作性强（10分）；</w:t>
            </w:r>
          </w:p>
          <w:p w14:paraId="157D2D7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本项最高得 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 分；</w:t>
            </w:r>
          </w:p>
        </w:tc>
      </w:tr>
      <w:tr w14:paraId="55B4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 w14:paraId="1B38F60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67" w:type="dxa"/>
          </w:tcPr>
          <w:p w14:paraId="62E0CCE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项目团队</w:t>
            </w:r>
          </w:p>
        </w:tc>
        <w:tc>
          <w:tcPr>
            <w:tcW w:w="1767" w:type="dxa"/>
          </w:tcPr>
          <w:p w14:paraId="75C0FDC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  <w:tc>
          <w:tcPr>
            <w:tcW w:w="4331" w:type="dxa"/>
          </w:tcPr>
          <w:p w14:paraId="308343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（一）评分内容：</w:t>
            </w:r>
          </w:p>
          <w:p w14:paraId="43A673F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拟安排的项目负责人（仅限 1 人），须为投标人自有员工，在此基础上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</w:p>
          <w:p w14:paraId="718EEBF4">
            <w:pPr>
              <w:numPr>
                <w:ilvl w:val="-1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拟派项目负责人具有</w:t>
            </w:r>
            <w:r>
              <w:rPr>
                <w:rFonts w:hint="eastAsia"/>
                <w:vertAlign w:val="baseline"/>
                <w:lang w:val="en-US" w:eastAsia="zh-CN"/>
              </w:rPr>
              <w:t>研究生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以上学历的，可得 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vertAlign w:val="baseline"/>
                <w:lang w:val="en-US" w:eastAsia="zh-CN"/>
              </w:rPr>
              <w:t>分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 w14:paraId="2CA3AB39">
            <w:pPr>
              <w:numPr>
                <w:ilvl w:val="-1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拟派项目负责人具有教育类相关专业学历的，可得5分；</w:t>
            </w:r>
          </w:p>
          <w:p w14:paraId="0604ADAA">
            <w:pPr>
              <w:numPr>
                <w:ilvl w:val="-1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拟派项目团队人员具有教育类或者视频制作类相关专业学历的，每提供一个可得5分，最多10分。</w:t>
            </w:r>
          </w:p>
          <w:p w14:paraId="74DB287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（二）评分依据：</w:t>
            </w:r>
          </w:p>
          <w:p w14:paraId="737B1C2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1、上述人员须为投标人自有员工，提供通过投标单位缴纳的载有社保部门公章的截标日前近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个月个人社保证明，如截标日前近一个月的社保证明因社保部门原因暂时无法提供，可往前顺延一个月；投标人如成立不足三个月的，无需提供社保证明，以投标人营业执照成立时间为准，提供承诺函（格式自拟）说明该员工为自有员工。</w:t>
            </w:r>
          </w:p>
          <w:p w14:paraId="6983706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、学历考察需提供：①学历证书扫描件②学历认证报告或学信网（www.chsi.com.cn）查询截图。学信网无法查询的，可提供其他佐证材料（如毕业院校、人社部门等颁发机构或监管机构等单位出具的证明），留学归国人员如无法提供学信网查询记录截图，提供国（境）外学历证书扫描件（以及中文翻译件）和教育</w:t>
            </w:r>
          </w:p>
          <w:p w14:paraId="50EC379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部留学服务中心出具的国外学历学位认证书扫描件也予以认可。</w:t>
            </w:r>
          </w:p>
        </w:tc>
      </w:tr>
    </w:tbl>
    <w:p w14:paraId="23B53D37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C93B96B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商务评价（30分）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67"/>
        <w:gridCol w:w="1767"/>
        <w:gridCol w:w="4331"/>
      </w:tblGrid>
      <w:tr w14:paraId="053D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 w14:paraId="3F763B7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667" w:type="dxa"/>
          </w:tcPr>
          <w:p w14:paraId="041CE23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评议内容</w:t>
            </w:r>
          </w:p>
        </w:tc>
        <w:tc>
          <w:tcPr>
            <w:tcW w:w="1767" w:type="dxa"/>
          </w:tcPr>
          <w:p w14:paraId="3C871D2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  <w:tc>
          <w:tcPr>
            <w:tcW w:w="4331" w:type="dxa"/>
          </w:tcPr>
          <w:p w14:paraId="6B4AD44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评分细则</w:t>
            </w:r>
          </w:p>
        </w:tc>
      </w:tr>
      <w:tr w14:paraId="5FA9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 w14:paraId="37C8C2C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67" w:type="dxa"/>
          </w:tcPr>
          <w:p w14:paraId="1806DE4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投标人同类业绩情况</w:t>
            </w:r>
          </w:p>
        </w:tc>
        <w:tc>
          <w:tcPr>
            <w:tcW w:w="1767" w:type="dxa"/>
          </w:tcPr>
          <w:p w14:paraId="422A722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  <w:tc>
          <w:tcPr>
            <w:tcW w:w="4331" w:type="dxa"/>
          </w:tcPr>
          <w:p w14:paraId="6FD4496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（一）评分内容：</w:t>
            </w:r>
          </w:p>
          <w:p w14:paraId="6AB9162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1、提供至本项目投标截止日</w:t>
            </w:r>
            <w:r>
              <w:rPr>
                <w:rFonts w:hint="eastAsia"/>
                <w:vertAlign w:val="baseline"/>
                <w:lang w:val="en-US" w:eastAsia="zh-CN"/>
              </w:rPr>
              <w:t>近三年内的同类业绩</w:t>
            </w:r>
            <w:r>
              <w:rPr>
                <w:rFonts w:hint="default"/>
                <w:vertAlign w:val="baseline"/>
                <w:lang w:val="en-US" w:eastAsia="zh-CN"/>
              </w:rPr>
              <w:t>，以合同签订日期为准，承接过</w:t>
            </w:r>
            <w:r>
              <w:rPr>
                <w:rFonts w:hint="eastAsia"/>
                <w:vertAlign w:val="baseline"/>
                <w:lang w:val="en-US" w:eastAsia="zh-CN"/>
              </w:rPr>
              <w:t>校园教育类视频制作</w:t>
            </w:r>
            <w:r>
              <w:rPr>
                <w:rFonts w:hint="default"/>
                <w:vertAlign w:val="baseline"/>
                <w:lang w:val="en-US"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每提供一项可得10分，</w:t>
            </w:r>
            <w:r>
              <w:rPr>
                <w:rFonts w:hint="default"/>
                <w:vertAlign w:val="baseline"/>
                <w:lang w:val="en-US" w:eastAsia="zh-CN"/>
              </w:rPr>
              <w:t>本小项最高得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分。</w:t>
            </w:r>
          </w:p>
          <w:p w14:paraId="4D4C2C6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2、提供从至本项目投标截止日</w:t>
            </w:r>
            <w:r>
              <w:rPr>
                <w:rFonts w:hint="eastAsia"/>
                <w:vertAlign w:val="baseline"/>
                <w:lang w:val="en-US" w:eastAsia="zh-CN"/>
              </w:rPr>
              <w:t>近三年内的同类业绩</w:t>
            </w:r>
            <w:r>
              <w:rPr>
                <w:rFonts w:hint="default"/>
                <w:vertAlign w:val="baseline"/>
                <w:lang w:val="en-US" w:eastAsia="zh-CN"/>
              </w:rPr>
              <w:t>，以合同签订日期为准，承接过</w:t>
            </w:r>
            <w:r>
              <w:rPr>
                <w:rFonts w:hint="eastAsia"/>
                <w:vertAlign w:val="baseline"/>
                <w:lang w:val="en-US" w:eastAsia="zh-CN"/>
              </w:rPr>
              <w:t>安全警示类视频制作</w:t>
            </w:r>
            <w:r>
              <w:rPr>
                <w:rFonts w:hint="default"/>
                <w:vertAlign w:val="baseline"/>
                <w:lang w:val="en-US" w:eastAsia="zh-CN"/>
              </w:rPr>
              <w:t>的，每提供一项得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分，本小项最高得 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 分。</w:t>
            </w:r>
          </w:p>
          <w:p w14:paraId="2346758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（二）评分依据：</w:t>
            </w:r>
          </w:p>
          <w:p w14:paraId="2D96602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1、要求提供合同关键信息页（关键信息包括但不限于合同主体、服务内容、服务期限、合同签署日期、甲乙双方盖章签订页等）作为得分依据，合同需加盖甲方公章（或甲方业务章）。</w:t>
            </w:r>
          </w:p>
          <w:p w14:paraId="1464480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2、提供</w:t>
            </w:r>
            <w:r>
              <w:rPr>
                <w:rFonts w:hint="eastAsia"/>
                <w:vertAlign w:val="baseline"/>
                <w:lang w:val="en-US" w:eastAsia="zh-CN"/>
              </w:rPr>
              <w:t>视频资料</w:t>
            </w:r>
            <w:r>
              <w:rPr>
                <w:rFonts w:hint="default"/>
                <w:vertAlign w:val="baseline"/>
                <w:lang w:val="en-US" w:eastAsia="zh-CN"/>
              </w:rPr>
              <w:t>成果相关材料，如照片或影像资料截图或活动报道截图或总结成果报告</w:t>
            </w:r>
            <w:r>
              <w:rPr>
                <w:rFonts w:hint="eastAsia"/>
                <w:vertAlign w:val="baseline"/>
                <w:lang w:val="en-US" w:eastAsia="zh-CN"/>
              </w:rPr>
              <w:t>或履约评价表</w:t>
            </w:r>
            <w:r>
              <w:rPr>
                <w:rFonts w:hint="default"/>
                <w:vertAlign w:val="baseline"/>
                <w:lang w:val="en-US" w:eastAsia="zh-CN"/>
              </w:rPr>
              <w:t>等内容。</w:t>
            </w:r>
          </w:p>
          <w:p w14:paraId="505E9FE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3、以上资料均要求提供扫描件，评分中出现无证明资料或专家</w:t>
            </w:r>
          </w:p>
          <w:p w14:paraId="5D33950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无法凭所提供资料判断是否得分的情况，一律作不得分处理。</w:t>
            </w:r>
          </w:p>
        </w:tc>
      </w:tr>
      <w:tr w14:paraId="7BDE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 w14:paraId="47CA21D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67" w:type="dxa"/>
          </w:tcPr>
          <w:p w14:paraId="0E87CA6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综合履约能力</w:t>
            </w:r>
          </w:p>
        </w:tc>
        <w:tc>
          <w:tcPr>
            <w:tcW w:w="1767" w:type="dxa"/>
          </w:tcPr>
          <w:p w14:paraId="3CA7602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4331" w:type="dxa"/>
          </w:tcPr>
          <w:p w14:paraId="5218B468">
            <w:pPr>
              <w:rPr>
                <w:rFonts w:hint="eastAsia"/>
              </w:rPr>
            </w:pPr>
            <w:r>
              <w:rPr>
                <w:rFonts w:hint="eastAsia"/>
              </w:rPr>
              <w:t>（一）评分内容：</w:t>
            </w:r>
          </w:p>
          <w:p w14:paraId="286D523A">
            <w:pPr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响应招标</w:t>
            </w:r>
            <w:r>
              <w:rPr>
                <w:rFonts w:hint="eastAsia"/>
                <w:lang w:val="en-US" w:eastAsia="zh-CN"/>
              </w:rPr>
              <w:t>公告</w:t>
            </w:r>
            <w:r>
              <w:rPr>
                <w:rFonts w:hint="eastAsia"/>
              </w:rPr>
              <w:t>的要求，执行项目的计划合理、进度管控方案科学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并有一定的后期保障能力。项目申报书中包含后期保障的书面承诺或应急保障预案，明确视频交付后保障改片期不少于3个月，承诺售后问题24小时内响应。</w:t>
            </w:r>
          </w:p>
          <w:p w14:paraId="37B120FC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评分依据：</w:t>
            </w:r>
          </w:p>
          <w:p w14:paraId="4614A829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lang w:val="en-US" w:eastAsia="zh-CN"/>
              </w:rPr>
              <w:t>完全满足得10分，部分满足或不满足得0分。</w:t>
            </w:r>
          </w:p>
        </w:tc>
      </w:tr>
    </w:tbl>
    <w:p w14:paraId="6535C5A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8CCACD4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价格评价（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834"/>
        <w:gridCol w:w="4281"/>
      </w:tblGrid>
      <w:tr w14:paraId="5EA0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69BC6346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评审项目</w:t>
            </w:r>
          </w:p>
        </w:tc>
        <w:tc>
          <w:tcPr>
            <w:tcW w:w="1834" w:type="dxa"/>
          </w:tcPr>
          <w:p w14:paraId="18262DAD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  <w:tc>
          <w:tcPr>
            <w:tcW w:w="4281" w:type="dxa"/>
          </w:tcPr>
          <w:p w14:paraId="3440241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评分细则</w:t>
            </w:r>
          </w:p>
        </w:tc>
      </w:tr>
      <w:tr w14:paraId="3673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4B29817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</w:p>
        </w:tc>
        <w:tc>
          <w:tcPr>
            <w:tcW w:w="1834" w:type="dxa"/>
          </w:tcPr>
          <w:p w14:paraId="3D38B81B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  <w:tc>
          <w:tcPr>
            <w:tcW w:w="4281" w:type="dxa"/>
          </w:tcPr>
          <w:p w14:paraId="6C12BD8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采用低价优先法计算，即满足招标文件要求且投标价格最低的投标报价为评标基准价，其价格分为满分。其他投标人的价格分统一按照下列公式计算：</w:t>
            </w:r>
          </w:p>
          <w:p w14:paraId="03D4472F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投标报价得分=(评标基准价／投标报价)×20</w:t>
            </w:r>
          </w:p>
        </w:tc>
      </w:tr>
    </w:tbl>
    <w:p w14:paraId="053B68E5">
      <w:pPr>
        <w:numPr>
          <w:ilvl w:val="0"/>
          <w:numId w:val="0"/>
        </w:numPr>
        <w:rPr>
          <w:rFonts w:hint="default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A7582"/>
    <w:multiLevelType w:val="singleLevel"/>
    <w:tmpl w:val="13BA758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WVjZDQzZDg0YTQ4NDU0M2NmMGJjNGY1Njc1OGQifQ=="/>
  </w:docVars>
  <w:rsids>
    <w:rsidRoot w:val="33ED4827"/>
    <w:rsid w:val="16037E4A"/>
    <w:rsid w:val="269729E5"/>
    <w:rsid w:val="2D4F5293"/>
    <w:rsid w:val="33ED4827"/>
    <w:rsid w:val="4D4E363E"/>
    <w:rsid w:val="68A809AB"/>
    <w:rsid w:val="7FBB1666"/>
    <w:rsid w:val="AF94088F"/>
    <w:rsid w:val="E52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1158</Words>
  <Characters>1199</Characters>
  <Lines>0</Lines>
  <Paragraphs>0</Paragraphs>
  <TotalTime>5</TotalTime>
  <ScaleCrop>false</ScaleCrop>
  <LinksUpToDate>false</LinksUpToDate>
  <CharactersWithSpaces>1220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2025-09-18T01:33:00Z</dcterms:created>
  <dc:creator>叶</dc:creator>
  <cp:lastModifiedBy>袁媛</cp:lastModifiedBy>
  <dcterms:modified xsi:type="dcterms:W3CDTF">2025-10-16T12:01:48Z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5739355A66135D528DFAD86817CC422F</vt:lpwstr>
  </property>
  <property fmtid="{D5CDD505-2E9C-101B-9397-08002B2CF9AE}" pid="4" name="KSOTemplateDocerSaveRecord">
    <vt:lpwstr>eyJoZGlkIjoiZGRjYTM2NmUwNGE2YmU3OWZiMzJhYmVmOTkzZTNmNjUiLCJ1c2VySWQiOiIyNzIyMDAwNDkifQ==</vt:lpwstr>
  </property>
</Properties>
</file>