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 w:bidi="ar"/>
        </w:rPr>
        <w:t>2025年第二十五批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面向香港人才常态化配租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审核通过企业名单</w:t>
      </w:r>
    </w:p>
    <w:p>
      <w:pPr>
        <w:pStyle w:val="2"/>
        <w:widowControl/>
        <w:spacing w:beforeAutospacing="0" w:afterAutospacing="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tbl>
      <w:tblPr>
        <w:tblStyle w:val="3"/>
        <w:tblpPr w:leftFromText="180" w:rightFromText="180" w:vertAnchor="text" w:horzAnchor="page" w:tblpX="909" w:tblpY="207"/>
        <w:tblOverlap w:val="never"/>
        <w:tblW w:w="10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8"/>
        <w:gridCol w:w="1697"/>
        <w:gridCol w:w="94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3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记忆卡(深圳)新媒体有限公司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鼎航国际咨询（深圳）有限公司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深圳瑞杉文化有限公司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深圳安培国际咨询有限公司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深圳前海九万里教研科技有限公司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深圳英心科技有限公司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江上（深圳）文化传播有限公司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widowControl/>
        <w:spacing w:beforeAutospacing="0" w:afterAutospacing="0"/>
        <w:ind w:firstLine="64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43037"/>
    <w:rsid w:val="1774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2025-10-13T01:40:00Z</dcterms:created>
  <dc:creator>黎俊</dc:creator>
  <cp:lastModifiedBy>黎俊</cp:lastModifiedBy>
  <dcterms:modified xsi:type="dcterms:W3CDTF">2025-10-13T01:40:54Z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