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E3709AD">
      <w:pPr>
        <w:spacing w:line="360" w:lineRule="auto"/>
        <w:jc w:val="center"/>
        <w:rPr>
          <w:rFonts w:ascii="仿宋_GB2312" w:hAnsi="华文中宋" w:eastAsia="仿宋_GB2312" w:cs="Times New Roman"/>
          <w:bCs/>
          <w:sz w:val="44"/>
          <w:szCs w:val="44"/>
        </w:rPr>
      </w:pPr>
    </w:p>
    <w:p w14:paraId="1C9BA3C1">
      <w:pPr>
        <w:spacing w:line="360" w:lineRule="auto"/>
        <w:jc w:val="center"/>
        <w:rPr>
          <w:rFonts w:ascii="仿宋_GB2312" w:hAnsi="华文中宋" w:eastAsia="仿宋_GB2312" w:cs="Times New Roman"/>
          <w:bCs/>
          <w:sz w:val="44"/>
          <w:szCs w:val="44"/>
        </w:rPr>
      </w:pPr>
    </w:p>
    <w:p w14:paraId="4A313EB8">
      <w:pPr>
        <w:spacing w:line="360" w:lineRule="auto"/>
        <w:jc w:val="center"/>
        <w:rPr>
          <w:rFonts w:ascii="仿宋_GB2312" w:hAnsi="华文中宋" w:eastAsia="仿宋_GB2312" w:cs="Times New Roman"/>
          <w:bCs/>
          <w:sz w:val="44"/>
          <w:szCs w:val="44"/>
        </w:rPr>
      </w:pPr>
      <w:r>
        <w:rPr>
          <w:rFonts w:hint="eastAsia" w:ascii="仿宋_GB2312" w:hAnsi="华文中宋" w:eastAsia="仿宋_GB2312" w:cs="Times New Roman"/>
          <w:bCs/>
          <w:sz w:val="44"/>
          <w:szCs w:val="44"/>
        </w:rPr>
        <w:t>深圳市地方标准</w:t>
      </w:r>
      <w:r>
        <w:rPr>
          <w:rFonts w:ascii="仿宋_GB2312" w:hAnsi="华文中宋" w:eastAsia="仿宋_GB2312" w:cs="Times New Roman"/>
          <w:bCs/>
          <w:sz w:val="44"/>
          <w:szCs w:val="44"/>
        </w:rPr>
        <w:br w:type="textWrapping"/>
      </w:r>
      <w:r>
        <w:rPr>
          <w:rFonts w:hint="eastAsia" w:ascii="仿宋_GB2312" w:hAnsi="华文中宋" w:eastAsia="仿宋_GB2312" w:cs="Times New Roman"/>
          <w:bCs/>
          <w:sz w:val="44"/>
          <w:szCs w:val="44"/>
        </w:rPr>
        <w:t>《人形机器人应用环境数据采集规范》</w:t>
      </w:r>
    </w:p>
    <w:p w14:paraId="5E3FEB57">
      <w:pPr>
        <w:spacing w:line="360" w:lineRule="auto"/>
        <w:jc w:val="center"/>
        <w:rPr>
          <w:rFonts w:ascii="仿宋_GB2312" w:hAnsi="仿宋" w:eastAsia="仿宋_GB2312" w:cs="Times New Roman"/>
          <w:bCs/>
          <w:sz w:val="30"/>
          <w:szCs w:val="30"/>
        </w:rPr>
      </w:pPr>
      <w:r>
        <w:rPr>
          <w:rFonts w:hint="eastAsia" w:ascii="仿宋_GB2312" w:hAnsi="仿宋" w:eastAsia="仿宋_GB2312" w:cs="Times New Roman"/>
          <w:bCs/>
          <w:sz w:val="30"/>
          <w:szCs w:val="30"/>
        </w:rPr>
        <w:t>（</w:t>
      </w:r>
      <w:r>
        <w:rPr>
          <w:rFonts w:hint="eastAsia" w:ascii="仿宋_GB2312" w:hAnsi="仿宋" w:eastAsia="仿宋_GB2312"/>
          <w:bCs/>
          <w:sz w:val="30"/>
          <w:szCs w:val="30"/>
        </w:rPr>
        <w:t>征求意见</w:t>
      </w:r>
      <w:r>
        <w:rPr>
          <w:rFonts w:hint="eastAsia" w:ascii="仿宋_GB2312" w:hAnsi="仿宋" w:eastAsia="仿宋_GB2312" w:cs="Times New Roman"/>
          <w:bCs/>
          <w:sz w:val="30"/>
          <w:szCs w:val="30"/>
        </w:rPr>
        <w:t>稿）</w:t>
      </w:r>
    </w:p>
    <w:p w14:paraId="553441EB">
      <w:pPr>
        <w:spacing w:line="360" w:lineRule="auto"/>
        <w:ind w:left="840" w:hanging="420"/>
        <w:jc w:val="center"/>
        <w:rPr>
          <w:rFonts w:ascii="仿宋_GB2312" w:hAnsi="宋体" w:eastAsia="仿宋_GB2312" w:cs="Times New Roman"/>
          <w:bCs/>
          <w:color w:val="000000"/>
          <w:sz w:val="48"/>
          <w:szCs w:val="48"/>
        </w:rPr>
      </w:pPr>
    </w:p>
    <w:p w14:paraId="50D1C1FE">
      <w:pPr>
        <w:spacing w:line="360" w:lineRule="auto"/>
        <w:jc w:val="center"/>
        <w:rPr>
          <w:rFonts w:ascii="仿宋_GB2312" w:hAnsi="华文中宋" w:eastAsia="仿宋_GB2312" w:cs="Times New Roman"/>
          <w:bCs/>
          <w:sz w:val="44"/>
          <w:szCs w:val="44"/>
        </w:rPr>
      </w:pPr>
      <w:r>
        <w:rPr>
          <w:rFonts w:hint="eastAsia" w:ascii="仿宋_GB2312" w:hAnsi="华文中宋" w:eastAsia="仿宋_GB2312" w:cs="Times New Roman"/>
          <w:bCs/>
          <w:sz w:val="44"/>
          <w:szCs w:val="44"/>
        </w:rPr>
        <w:t>编制说明</w:t>
      </w:r>
    </w:p>
    <w:p w14:paraId="1A0BFD26">
      <w:pPr>
        <w:spacing w:line="360" w:lineRule="auto"/>
        <w:jc w:val="center"/>
        <w:rPr>
          <w:rFonts w:ascii="仿宋_GB2312" w:hAnsi="华文中宋" w:eastAsia="仿宋_GB2312" w:cs="Times New Roman"/>
          <w:bCs/>
          <w:sz w:val="44"/>
          <w:szCs w:val="44"/>
        </w:rPr>
      </w:pPr>
    </w:p>
    <w:p w14:paraId="58FB6668">
      <w:pPr>
        <w:spacing w:line="360" w:lineRule="auto"/>
        <w:jc w:val="center"/>
        <w:rPr>
          <w:rFonts w:ascii="仿宋_GB2312" w:hAnsi="华文中宋" w:eastAsia="仿宋_GB2312" w:cs="Times New Roman"/>
          <w:bCs/>
          <w:sz w:val="44"/>
          <w:szCs w:val="44"/>
        </w:rPr>
      </w:pPr>
    </w:p>
    <w:p w14:paraId="3F94882F">
      <w:pPr>
        <w:spacing w:line="360" w:lineRule="auto"/>
        <w:jc w:val="center"/>
        <w:rPr>
          <w:rFonts w:ascii="仿宋_GB2312" w:hAnsi="华文中宋" w:eastAsia="仿宋_GB2312" w:cs="Times New Roman"/>
          <w:bCs/>
          <w:sz w:val="44"/>
          <w:szCs w:val="44"/>
        </w:rPr>
      </w:pPr>
    </w:p>
    <w:p w14:paraId="40395C33">
      <w:pPr>
        <w:spacing w:line="360" w:lineRule="auto"/>
        <w:jc w:val="center"/>
        <w:rPr>
          <w:rFonts w:ascii="仿宋_GB2312" w:hAnsi="华文中宋" w:eastAsia="仿宋_GB2312"/>
          <w:bCs/>
          <w:sz w:val="44"/>
          <w:szCs w:val="44"/>
        </w:rPr>
      </w:pPr>
    </w:p>
    <w:p w14:paraId="7392E44B">
      <w:pPr>
        <w:spacing w:line="360" w:lineRule="auto"/>
        <w:jc w:val="center"/>
        <w:rPr>
          <w:rFonts w:ascii="仿宋_GB2312" w:hAnsi="华文中宋" w:eastAsia="仿宋_GB2312"/>
          <w:bCs/>
          <w:sz w:val="44"/>
          <w:szCs w:val="44"/>
        </w:rPr>
      </w:pPr>
    </w:p>
    <w:p w14:paraId="23DBB435">
      <w:pPr>
        <w:spacing w:line="360" w:lineRule="auto"/>
        <w:jc w:val="center"/>
        <w:rPr>
          <w:rFonts w:ascii="仿宋_GB2312" w:hAnsi="华文中宋" w:eastAsia="仿宋_GB2312"/>
          <w:bCs/>
          <w:sz w:val="44"/>
          <w:szCs w:val="44"/>
        </w:rPr>
      </w:pPr>
    </w:p>
    <w:p w14:paraId="2C0E00F5">
      <w:pPr>
        <w:spacing w:line="360" w:lineRule="auto"/>
        <w:jc w:val="center"/>
        <w:rPr>
          <w:rFonts w:ascii="仿宋_GB2312" w:hAnsi="华文中宋" w:eastAsia="仿宋_GB2312"/>
          <w:bCs/>
          <w:sz w:val="44"/>
          <w:szCs w:val="44"/>
        </w:rPr>
      </w:pPr>
    </w:p>
    <w:p w14:paraId="41D7BF4F">
      <w:pPr>
        <w:spacing w:line="360" w:lineRule="auto"/>
        <w:jc w:val="center"/>
        <w:rPr>
          <w:rFonts w:ascii="仿宋_GB2312" w:hAnsi="华文中宋" w:eastAsia="仿宋_GB2312"/>
          <w:bCs/>
          <w:sz w:val="44"/>
          <w:szCs w:val="44"/>
        </w:rPr>
      </w:pPr>
    </w:p>
    <w:p w14:paraId="17EC4EF4">
      <w:pPr>
        <w:spacing w:line="360" w:lineRule="auto"/>
        <w:jc w:val="center"/>
        <w:rPr>
          <w:rFonts w:hint="eastAsia" w:ascii="仿宋_GB2312" w:hAnsi="华文中宋" w:eastAsia="仿宋_GB2312"/>
          <w:bCs/>
          <w:sz w:val="44"/>
          <w:szCs w:val="44"/>
        </w:rPr>
      </w:pPr>
    </w:p>
    <w:p w14:paraId="654D144B">
      <w:pPr>
        <w:spacing w:line="360" w:lineRule="auto"/>
        <w:jc w:val="center"/>
        <w:rPr>
          <w:rFonts w:ascii="仿宋_GB2312" w:hAnsi="华文中宋" w:eastAsia="仿宋_GB2312"/>
          <w:bCs/>
          <w:sz w:val="44"/>
          <w:szCs w:val="44"/>
        </w:rPr>
      </w:pPr>
    </w:p>
    <w:p w14:paraId="5910759C">
      <w:pPr>
        <w:spacing w:line="360" w:lineRule="auto"/>
        <w:jc w:val="center"/>
        <w:rPr>
          <w:rFonts w:ascii="仿宋_GB2312" w:hAnsi="Calibri" w:eastAsia="仿宋_GB2312" w:cs="Times New Roman"/>
          <w:bCs/>
          <w:lang w:val="zh-CN"/>
        </w:rPr>
      </w:pPr>
    </w:p>
    <w:p w14:paraId="677CBEE1">
      <w:pPr>
        <w:spacing w:line="360" w:lineRule="auto"/>
        <w:jc w:val="center"/>
        <w:rPr>
          <w:rFonts w:ascii="仿宋_GB2312" w:hAnsi="黑体" w:eastAsia="仿宋_GB2312" w:cs="Times New Roman"/>
          <w:bCs/>
          <w:sz w:val="24"/>
          <w:szCs w:val="32"/>
        </w:rPr>
      </w:pPr>
      <w:r>
        <w:rPr>
          <w:rFonts w:hint="eastAsia" w:ascii="仿宋_GB2312" w:hAnsi="黑体" w:eastAsia="仿宋_GB2312" w:cs="Times New Roman"/>
          <w:bCs/>
          <w:sz w:val="24"/>
          <w:szCs w:val="32"/>
        </w:rPr>
        <w:t>《人形机器人应用环境数据采集规范》起草工作组</w:t>
      </w:r>
    </w:p>
    <w:p w14:paraId="37B3BC71">
      <w:pPr>
        <w:spacing w:line="360" w:lineRule="auto"/>
        <w:jc w:val="center"/>
        <w:rPr>
          <w:rFonts w:ascii="仿宋_GB2312" w:hAnsi="仿宋" w:eastAsia="仿宋_GB2312" w:cs="Times New Roman"/>
          <w:bCs/>
          <w:sz w:val="30"/>
          <w:szCs w:val="30"/>
        </w:rPr>
      </w:pPr>
      <w:r>
        <w:rPr>
          <w:rFonts w:hint="eastAsia" w:ascii="仿宋_GB2312" w:hAnsi="仿宋" w:eastAsia="仿宋_GB2312" w:cs="Times New Roman"/>
          <w:bCs/>
          <w:sz w:val="30"/>
          <w:szCs w:val="30"/>
        </w:rPr>
        <w:t>二○</w:t>
      </w:r>
      <w:r>
        <w:rPr>
          <w:rFonts w:hint="eastAsia" w:ascii="仿宋_GB2312" w:hAnsi="仿宋" w:eastAsia="仿宋_GB2312"/>
          <w:bCs/>
          <w:sz w:val="30"/>
          <w:szCs w:val="30"/>
        </w:rPr>
        <w:t>二五</w:t>
      </w:r>
      <w:r>
        <w:rPr>
          <w:rFonts w:hint="eastAsia" w:ascii="仿宋_GB2312" w:hAnsi="仿宋" w:eastAsia="仿宋_GB2312" w:cs="Times New Roman"/>
          <w:bCs/>
          <w:sz w:val="30"/>
          <w:szCs w:val="30"/>
        </w:rPr>
        <w:t>年</w:t>
      </w:r>
      <w:r>
        <w:rPr>
          <w:rFonts w:hint="eastAsia" w:ascii="仿宋_GB2312" w:hAnsi="仿宋" w:eastAsia="仿宋_GB2312"/>
          <w:bCs/>
          <w:sz w:val="30"/>
          <w:szCs w:val="30"/>
        </w:rPr>
        <w:t>六</w:t>
      </w:r>
      <w:r>
        <w:rPr>
          <w:rFonts w:hint="eastAsia" w:ascii="仿宋_GB2312" w:hAnsi="仿宋" w:eastAsia="仿宋_GB2312" w:cs="Times New Roman"/>
          <w:bCs/>
          <w:sz w:val="30"/>
          <w:szCs w:val="30"/>
        </w:rPr>
        <w:t>月</w:t>
      </w:r>
    </w:p>
    <w:p w14:paraId="05BD3FE4">
      <w:pPr>
        <w:jc w:val="center"/>
        <w:rPr>
          <w:rFonts w:ascii="方正小标宋简体" w:hAnsi="方正小标宋简体" w:eastAsia="方正小标宋简体" w:cs="方正小标宋简体"/>
          <w:sz w:val="32"/>
          <w:szCs w:val="32"/>
        </w:rPr>
      </w:pPr>
    </w:p>
    <w:p w14:paraId="2879229A">
      <w:pPr>
        <w:widowControl/>
        <w:jc w:val="left"/>
        <w:rPr>
          <w:rFonts w:ascii="方正小标宋简体" w:hAnsi="方正小标宋简体" w:eastAsia="方正小标宋简体" w:cs="方正小标宋简体"/>
          <w:sz w:val="32"/>
          <w:szCs w:val="32"/>
        </w:rPr>
      </w:pPr>
      <w:r>
        <w:rPr>
          <w:rFonts w:ascii="方正小标宋简体" w:hAnsi="方正小标宋简体" w:eastAsia="方正小标宋简体" w:cs="方正小标宋简体"/>
          <w:sz w:val="32"/>
          <w:szCs w:val="32"/>
        </w:rPr>
        <w:br w:type="page"/>
      </w:r>
    </w:p>
    <w:p w14:paraId="3733CC4F">
      <w:pPr>
        <w:jc w:val="center"/>
        <w:rPr>
          <w:rFonts w:ascii="仿宋_GB2312" w:eastAsia="仿宋_GB2312"/>
          <w:bCs/>
          <w:sz w:val="32"/>
          <w:szCs w:val="36"/>
        </w:rPr>
      </w:pPr>
      <w:r>
        <w:rPr>
          <w:rFonts w:hint="eastAsia" w:ascii="仿宋_GB2312" w:eastAsia="仿宋_GB2312"/>
          <w:bCs/>
          <w:sz w:val="32"/>
          <w:szCs w:val="36"/>
        </w:rPr>
        <w:t>深圳市地方标准</w:t>
      </w:r>
    </w:p>
    <w:p w14:paraId="5931C2B9">
      <w:pPr>
        <w:jc w:val="center"/>
        <w:rPr>
          <w:rFonts w:ascii="仿宋_GB2312" w:eastAsia="仿宋_GB2312"/>
          <w:bCs/>
          <w:sz w:val="32"/>
          <w:szCs w:val="36"/>
        </w:rPr>
      </w:pPr>
      <w:r>
        <w:rPr>
          <w:rFonts w:hint="eastAsia" w:ascii="仿宋_GB2312" w:eastAsia="仿宋_GB2312"/>
          <w:bCs/>
          <w:sz w:val="32"/>
          <w:szCs w:val="36"/>
        </w:rPr>
        <w:t>《人形机器人应用环境数据采集规范》</w:t>
      </w:r>
    </w:p>
    <w:p w14:paraId="65080CBF">
      <w:pPr>
        <w:jc w:val="center"/>
        <w:rPr>
          <w:rFonts w:ascii="仿宋_GB2312" w:eastAsia="仿宋_GB2312"/>
          <w:bCs/>
          <w:sz w:val="32"/>
          <w:szCs w:val="36"/>
        </w:rPr>
      </w:pPr>
      <w:r>
        <w:rPr>
          <w:rFonts w:hint="eastAsia" w:ascii="仿宋_GB2312" w:eastAsia="仿宋_GB2312"/>
          <w:bCs/>
          <w:sz w:val="32"/>
          <w:szCs w:val="36"/>
        </w:rPr>
        <w:t>征求意见稿编制说明</w:t>
      </w:r>
    </w:p>
    <w:p w14:paraId="4655C07D">
      <w:pPr>
        <w:widowControl/>
        <w:spacing w:line="360" w:lineRule="auto"/>
        <w:jc w:val="left"/>
        <w:outlineLvl w:val="0"/>
        <w:rPr>
          <w:rFonts w:ascii="黑体" w:hAnsi="黑体" w:eastAsia="黑体" w:cs="宋体"/>
          <w:color w:val="000000"/>
          <w:kern w:val="0"/>
          <w:sz w:val="28"/>
          <w:szCs w:val="28"/>
          <w:lang w:bidi="ar"/>
        </w:rPr>
      </w:pPr>
      <w:r>
        <w:rPr>
          <w:rFonts w:hint="eastAsia" w:ascii="黑体" w:hAnsi="黑体" w:eastAsia="黑体" w:cs="宋体"/>
          <w:color w:val="000000"/>
          <w:kern w:val="0"/>
          <w:sz w:val="28"/>
          <w:szCs w:val="28"/>
          <w:lang w:bidi="ar"/>
        </w:rPr>
        <w:t>一、项目背景</w:t>
      </w:r>
    </w:p>
    <w:p w14:paraId="332C50D6">
      <w:pPr>
        <w:widowControl/>
        <w:spacing w:line="360" w:lineRule="auto"/>
        <w:ind w:firstLine="480" w:firstLineChars="200"/>
        <w:rPr>
          <w:rFonts w:ascii="仿宋_GB2312" w:hAnsi="宋体" w:eastAsia="仿宋_GB2312" w:cs="宋体"/>
          <w:color w:val="000000"/>
          <w:kern w:val="0"/>
          <w:sz w:val="24"/>
          <w:szCs w:val="24"/>
          <w:lang w:bidi="ar"/>
        </w:rPr>
      </w:pPr>
      <w:r>
        <w:rPr>
          <w:rFonts w:hint="eastAsia" w:ascii="仿宋_GB2312" w:hAnsi="宋体" w:eastAsia="仿宋_GB2312" w:cs="宋体"/>
          <w:color w:val="000000"/>
          <w:kern w:val="0"/>
          <w:sz w:val="24"/>
          <w:szCs w:val="24"/>
          <w:lang w:bidi="ar"/>
        </w:rPr>
        <w:t>近年来，</w:t>
      </w:r>
      <w:bookmarkStart w:id="1" w:name="_GoBack"/>
      <w:bookmarkEnd w:id="1"/>
      <w:r>
        <w:rPr>
          <w:rFonts w:hint="eastAsia" w:ascii="仿宋_GB2312" w:hAnsi="宋体" w:eastAsia="仿宋_GB2312" w:cs="宋体"/>
          <w:color w:val="000000"/>
          <w:kern w:val="0"/>
          <w:sz w:val="24"/>
          <w:szCs w:val="24"/>
          <w:lang w:bidi="ar"/>
        </w:rPr>
        <w:t>工信部、发改委等部委密集发布机器人相关的政策性文件，其中包括支持机器人技术的研发和应用，支持机器人行业发展的投资和融资政策，以及大力发展机器人新兴产业的政策措施等。如2</w:t>
      </w:r>
      <w:r>
        <w:rPr>
          <w:rFonts w:ascii="仿宋_GB2312" w:hAnsi="宋体" w:eastAsia="仿宋_GB2312" w:cs="宋体"/>
          <w:color w:val="000000"/>
          <w:kern w:val="0"/>
          <w:sz w:val="24"/>
          <w:szCs w:val="24"/>
          <w:lang w:bidi="ar"/>
        </w:rPr>
        <w:t>024</w:t>
      </w:r>
      <w:r>
        <w:rPr>
          <w:rFonts w:hint="eastAsia" w:ascii="仿宋_GB2312" w:hAnsi="宋体" w:eastAsia="仿宋_GB2312" w:cs="宋体"/>
          <w:color w:val="000000"/>
          <w:kern w:val="0"/>
          <w:sz w:val="24"/>
          <w:szCs w:val="24"/>
          <w:lang w:bidi="ar"/>
        </w:rPr>
        <w:t>年1</w:t>
      </w:r>
      <w:r>
        <w:rPr>
          <w:rFonts w:ascii="仿宋_GB2312" w:hAnsi="宋体" w:eastAsia="仿宋_GB2312" w:cs="宋体"/>
          <w:color w:val="000000"/>
          <w:kern w:val="0"/>
          <w:sz w:val="24"/>
          <w:szCs w:val="24"/>
          <w:lang w:bidi="ar"/>
        </w:rPr>
        <w:t>1</w:t>
      </w:r>
      <w:r>
        <w:rPr>
          <w:rFonts w:hint="eastAsia" w:ascii="仿宋_GB2312" w:hAnsi="宋体" w:eastAsia="仿宋_GB2312" w:cs="宋体"/>
          <w:color w:val="000000"/>
          <w:kern w:val="0"/>
          <w:sz w:val="24"/>
          <w:szCs w:val="24"/>
          <w:lang w:bidi="ar"/>
        </w:rPr>
        <w:t>月，《5G规模化应用“扬帆”行动升级方案》中，提出推动基于5G的智能机器人、智能移动终端、云设备等研发应用，推进5G与智能农机深度融合，提升基于5G的农业传感器、控制器、机器人、无人机等智能化装备研发生产水平。推动人形机器人产业向高端化、智能化方向发展。2</w:t>
      </w:r>
      <w:r>
        <w:rPr>
          <w:rFonts w:ascii="仿宋_GB2312" w:hAnsi="宋体" w:eastAsia="仿宋_GB2312" w:cs="宋体"/>
          <w:color w:val="000000"/>
          <w:kern w:val="0"/>
          <w:sz w:val="24"/>
          <w:szCs w:val="24"/>
          <w:lang w:bidi="ar"/>
        </w:rPr>
        <w:t>024</w:t>
      </w:r>
      <w:r>
        <w:rPr>
          <w:rFonts w:hint="eastAsia" w:ascii="仿宋_GB2312" w:hAnsi="宋体" w:eastAsia="仿宋_GB2312" w:cs="宋体"/>
          <w:color w:val="000000"/>
          <w:kern w:val="0"/>
          <w:sz w:val="24"/>
          <w:szCs w:val="24"/>
          <w:lang w:bidi="ar"/>
        </w:rPr>
        <w:t>年1月，工信部等七部门联合出台了《关于推动未来产业创新发展的实施意见》，重点指出打造标志性产品要求做强未来高端装备，人形机器人要求突破高转矩密度伺服电机、高动态运动规划与控制、仿生感知与认知、智能灵巧手、电子皮肤等核心技术重点推进智能制造、家庭服务、特殊环境作业等领域产品的研制及应用。可以看出，以人形机器人为代表的智能机器人行业也已经成为深圳市、广东省乃至全国的重点发展领域和重点工作任务。</w:t>
      </w:r>
    </w:p>
    <w:p w14:paraId="4625E2EE">
      <w:pPr>
        <w:widowControl/>
        <w:spacing w:line="360" w:lineRule="auto"/>
        <w:ind w:firstLine="480" w:firstLineChars="200"/>
        <w:rPr>
          <w:rFonts w:ascii="仿宋_GB2312" w:hAnsi="宋体" w:eastAsia="仿宋_GB2312" w:cs="宋体"/>
          <w:color w:val="000000"/>
          <w:kern w:val="0"/>
          <w:sz w:val="24"/>
          <w:szCs w:val="24"/>
          <w:lang w:bidi="ar"/>
        </w:rPr>
      </w:pPr>
      <w:r>
        <w:rPr>
          <w:rFonts w:hint="eastAsia" w:ascii="仿宋_GB2312" w:hAnsi="宋体" w:eastAsia="仿宋_GB2312" w:cs="宋体"/>
          <w:color w:val="000000"/>
          <w:kern w:val="0"/>
          <w:sz w:val="24"/>
          <w:szCs w:val="24"/>
          <w:lang w:bidi="ar"/>
        </w:rPr>
        <w:t>人形机器人作为具有类人形态、功能的智能机器人，与传统机器人相比具有更强的适应性和通用性。人形机器人是国际公认的机器人技术竞争制高点，国内外的头部科技公司，如特斯拉、亚马逊和小米等已经开始研发产品。预计到2028年，全球人形机器人在服务机器人中的普及率将达到3.5%，市场规模超过20亿美元。未来人形机器人将成为重大产业之一，具有广阔的市场和巨大的经济和社会效应。然而，目前还面临着通用智能难、研究支撑平台和数据缺失、软硬件要求高、系统集成难等多方面挑战。</w:t>
      </w:r>
    </w:p>
    <w:p w14:paraId="367F9F5A">
      <w:pPr>
        <w:widowControl/>
        <w:spacing w:line="360" w:lineRule="auto"/>
        <w:ind w:firstLine="480" w:firstLineChars="200"/>
        <w:rPr>
          <w:rFonts w:ascii="仿宋_GB2312" w:hAnsi="宋体" w:eastAsia="仿宋_GB2312" w:cs="宋体"/>
          <w:color w:val="000000"/>
          <w:kern w:val="0"/>
          <w:sz w:val="24"/>
          <w:szCs w:val="24"/>
          <w:lang w:bidi="ar"/>
        </w:rPr>
      </w:pPr>
      <w:r>
        <w:rPr>
          <w:rFonts w:hint="eastAsia" w:ascii="仿宋_GB2312" w:hAnsi="宋体" w:eastAsia="仿宋_GB2312" w:cs="宋体"/>
          <w:color w:val="000000"/>
          <w:kern w:val="0"/>
          <w:sz w:val="24"/>
          <w:szCs w:val="24"/>
          <w:lang w:bidi="ar"/>
        </w:rPr>
        <w:t>国内缺乏具身智能研发过程中所需数据采集相关的标准，各行业环境</w:t>
      </w:r>
      <w:r>
        <w:rPr>
          <w:rFonts w:ascii="仿宋_GB2312" w:hAnsi="宋体" w:eastAsia="仿宋_GB2312" w:cs="宋体"/>
          <w:color w:val="000000"/>
          <w:kern w:val="0"/>
          <w:sz w:val="24"/>
          <w:szCs w:val="24"/>
          <w:lang w:bidi="ar"/>
        </w:rPr>
        <w:t>/</w:t>
      </w:r>
      <w:r>
        <w:rPr>
          <w:rFonts w:hint="eastAsia" w:ascii="仿宋_GB2312" w:hAnsi="宋体" w:eastAsia="仿宋_GB2312" w:cs="宋体"/>
          <w:color w:val="000000"/>
          <w:kern w:val="0"/>
          <w:sz w:val="24"/>
          <w:szCs w:val="24"/>
          <w:lang w:bidi="ar"/>
        </w:rPr>
        <w:t>场景数据没有互联互通，因此存在数据可利用率低、更新效率慢等问题。如何聚焦重点、整合优势、补足短板、规划布局，加快人形机器人技术和产业发展、带动整体生态发展成为重要课题。人形机器人应用环境数据采集标准的制定将促进人形机器人的系统研发，推动整体规划布局走向产品成熟化、产业生态化，赋能机器人行业健康有序的发展。</w:t>
      </w:r>
    </w:p>
    <w:p w14:paraId="709C29B8">
      <w:pPr>
        <w:widowControl/>
        <w:spacing w:line="360" w:lineRule="auto"/>
        <w:jc w:val="left"/>
        <w:outlineLvl w:val="0"/>
        <w:rPr>
          <w:rFonts w:ascii="黑体" w:hAnsi="黑体" w:eastAsia="黑体" w:cs="宋体"/>
          <w:color w:val="000000"/>
          <w:kern w:val="0"/>
          <w:sz w:val="28"/>
          <w:szCs w:val="28"/>
          <w:lang w:bidi="ar"/>
        </w:rPr>
      </w:pPr>
      <w:r>
        <w:rPr>
          <w:rFonts w:hint="eastAsia" w:ascii="黑体" w:hAnsi="黑体" w:eastAsia="黑体" w:cs="宋体"/>
          <w:color w:val="000000"/>
          <w:kern w:val="0"/>
          <w:sz w:val="28"/>
          <w:szCs w:val="28"/>
          <w:lang w:bidi="ar"/>
        </w:rPr>
        <w:t>二、工作简况</w:t>
      </w:r>
    </w:p>
    <w:p w14:paraId="5AFEF3AF">
      <w:pPr>
        <w:widowControl/>
        <w:spacing w:line="360" w:lineRule="auto"/>
        <w:jc w:val="left"/>
        <w:outlineLvl w:val="1"/>
        <w:rPr>
          <w:rFonts w:ascii="仿宋_GB2312" w:hAnsi="宋体" w:eastAsia="仿宋_GB2312" w:cs="宋体"/>
          <w:b/>
          <w:bCs/>
          <w:color w:val="000000"/>
          <w:kern w:val="0"/>
          <w:sz w:val="28"/>
          <w:szCs w:val="28"/>
          <w:lang w:bidi="ar"/>
        </w:rPr>
      </w:pPr>
      <w:r>
        <w:rPr>
          <w:rFonts w:ascii="仿宋_GB2312" w:hAnsi="宋体" w:eastAsia="仿宋_GB2312" w:cs="宋体"/>
          <w:b/>
          <w:bCs/>
          <w:color w:val="000000"/>
          <w:kern w:val="0"/>
          <w:sz w:val="28"/>
          <w:szCs w:val="28"/>
          <w:lang w:bidi="ar"/>
        </w:rPr>
        <w:t>1</w:t>
      </w:r>
      <w:r>
        <w:rPr>
          <w:rFonts w:hint="eastAsia" w:ascii="仿宋_GB2312" w:hAnsi="宋体" w:eastAsia="仿宋_GB2312" w:cs="宋体"/>
          <w:b/>
          <w:bCs/>
          <w:color w:val="000000"/>
          <w:kern w:val="0"/>
          <w:sz w:val="28"/>
          <w:szCs w:val="28"/>
          <w:lang w:bidi="ar"/>
        </w:rPr>
        <w:t>.任务来源</w:t>
      </w:r>
    </w:p>
    <w:p w14:paraId="13336521">
      <w:pPr>
        <w:widowControl/>
        <w:spacing w:line="360" w:lineRule="auto"/>
        <w:ind w:firstLine="480" w:firstLineChars="200"/>
        <w:rPr>
          <w:rFonts w:ascii="仿宋_GB2312" w:hAnsi="宋体" w:eastAsia="仿宋_GB2312" w:cs="宋体"/>
          <w:color w:val="000000"/>
          <w:kern w:val="0"/>
          <w:sz w:val="24"/>
          <w:szCs w:val="24"/>
          <w:lang w:bidi="ar"/>
        </w:rPr>
      </w:pPr>
      <w:r>
        <w:rPr>
          <w:rFonts w:hint="eastAsia" w:ascii="仿宋_GB2312" w:hAnsi="宋体" w:eastAsia="仿宋_GB2312" w:cs="宋体"/>
          <w:color w:val="000000"/>
          <w:kern w:val="0"/>
          <w:sz w:val="24"/>
          <w:szCs w:val="24"/>
          <w:lang w:bidi="ar"/>
        </w:rPr>
        <w:t>本标准由深圳市市场监督管理局于202</w:t>
      </w:r>
      <w:r>
        <w:rPr>
          <w:rFonts w:ascii="仿宋_GB2312" w:hAnsi="宋体" w:eastAsia="仿宋_GB2312" w:cs="宋体"/>
          <w:color w:val="000000"/>
          <w:kern w:val="0"/>
          <w:sz w:val="24"/>
          <w:szCs w:val="24"/>
          <w:lang w:bidi="ar"/>
        </w:rPr>
        <w:t>4</w:t>
      </w:r>
      <w:r>
        <w:rPr>
          <w:rFonts w:hint="eastAsia" w:ascii="仿宋_GB2312" w:hAnsi="宋体" w:eastAsia="仿宋_GB2312" w:cs="宋体"/>
          <w:color w:val="000000"/>
          <w:kern w:val="0"/>
          <w:sz w:val="24"/>
          <w:szCs w:val="24"/>
          <w:lang w:bidi="ar"/>
        </w:rPr>
        <w:t>年</w:t>
      </w:r>
      <w:r>
        <w:rPr>
          <w:rFonts w:ascii="仿宋_GB2312" w:hAnsi="宋体" w:eastAsia="仿宋_GB2312" w:cs="宋体"/>
          <w:color w:val="000000"/>
          <w:kern w:val="0"/>
          <w:sz w:val="24"/>
          <w:szCs w:val="24"/>
          <w:lang w:bidi="ar"/>
        </w:rPr>
        <w:t>7</w:t>
      </w:r>
      <w:r>
        <w:rPr>
          <w:rFonts w:hint="eastAsia" w:ascii="仿宋_GB2312" w:hAnsi="宋体" w:eastAsia="仿宋_GB2312" w:cs="宋体"/>
          <w:color w:val="000000"/>
          <w:kern w:val="0"/>
          <w:sz w:val="24"/>
          <w:szCs w:val="24"/>
          <w:lang w:bidi="ar"/>
        </w:rPr>
        <w:t>月正式批准立项，由深圳市人工智能与机器人研究院提出，腾讯科技股份有限公司、深圳国创具身智能机器人有限公司、松应科技（深圳）有限公司、河海大学人工智能与自动化学院、工业和信息化部电子第五研究所、诺亦腾广东电网华为云计算技术有限公司、深圳赛西信息技术有限公司、深圳兆威机电股份有限公司、帕西尼感知科技（深圳）有限公司、深圳市地铁集团有限公司负责起草。</w:t>
      </w:r>
    </w:p>
    <w:p w14:paraId="35BB5B43">
      <w:pPr>
        <w:widowControl/>
        <w:spacing w:line="360" w:lineRule="auto"/>
        <w:jc w:val="left"/>
        <w:outlineLvl w:val="1"/>
        <w:rPr>
          <w:rFonts w:ascii="仿宋_GB2312" w:hAnsi="宋体" w:eastAsia="仿宋_GB2312" w:cs="宋体"/>
          <w:b/>
          <w:bCs/>
          <w:color w:val="000000"/>
          <w:kern w:val="0"/>
          <w:sz w:val="28"/>
          <w:szCs w:val="28"/>
          <w:lang w:bidi="ar"/>
        </w:rPr>
      </w:pPr>
      <w:r>
        <w:rPr>
          <w:rFonts w:ascii="仿宋_GB2312" w:hAnsi="宋体" w:eastAsia="仿宋_GB2312" w:cs="宋体"/>
          <w:b/>
          <w:bCs/>
          <w:color w:val="000000"/>
          <w:kern w:val="0"/>
          <w:sz w:val="28"/>
          <w:szCs w:val="28"/>
          <w:lang w:bidi="ar"/>
        </w:rPr>
        <w:t>2.</w:t>
      </w:r>
      <w:r>
        <w:rPr>
          <w:rFonts w:hint="eastAsia" w:ascii="仿宋_GB2312" w:hAnsi="宋体" w:eastAsia="仿宋_GB2312" w:cs="宋体"/>
          <w:b/>
          <w:bCs/>
          <w:color w:val="000000"/>
          <w:kern w:val="0"/>
          <w:sz w:val="28"/>
          <w:szCs w:val="28"/>
          <w:lang w:bidi="ar"/>
        </w:rPr>
        <w:t>主要工作过程</w:t>
      </w:r>
    </w:p>
    <w:p w14:paraId="6FA8DC9F">
      <w:pPr>
        <w:widowControl/>
        <w:spacing w:line="360" w:lineRule="auto"/>
        <w:ind w:firstLine="480" w:firstLineChars="200"/>
        <w:jc w:val="left"/>
        <w:rPr>
          <w:rFonts w:ascii="仿宋_GB2312" w:hAnsi="宋体" w:eastAsia="仿宋_GB2312" w:cs="宋体"/>
          <w:color w:val="000000"/>
          <w:kern w:val="0"/>
          <w:sz w:val="24"/>
          <w:szCs w:val="24"/>
          <w:lang w:bidi="ar"/>
        </w:rPr>
      </w:pPr>
      <w:r>
        <w:rPr>
          <w:rFonts w:hint="eastAsia" w:ascii="仿宋_GB2312" w:hAnsi="宋体" w:eastAsia="仿宋_GB2312" w:cs="宋体"/>
          <w:color w:val="000000"/>
          <w:kern w:val="0"/>
          <w:sz w:val="24"/>
          <w:szCs w:val="24"/>
          <w:lang w:bidi="ar"/>
        </w:rPr>
        <w:t>（1）预研阶段</w:t>
      </w:r>
    </w:p>
    <w:p w14:paraId="3C24C44F">
      <w:pPr>
        <w:widowControl/>
        <w:spacing w:line="360" w:lineRule="auto"/>
        <w:ind w:firstLine="480" w:firstLineChars="200"/>
        <w:rPr>
          <w:rFonts w:ascii="仿宋_GB2312" w:hAnsi="宋体" w:eastAsia="仿宋_GB2312" w:cs="宋体"/>
          <w:color w:val="000000"/>
          <w:kern w:val="0"/>
          <w:sz w:val="24"/>
          <w:szCs w:val="24"/>
          <w:lang w:bidi="ar"/>
        </w:rPr>
      </w:pPr>
      <w:r>
        <w:rPr>
          <w:rFonts w:hint="eastAsia" w:ascii="仿宋_GB2312" w:hAnsi="宋体" w:eastAsia="仿宋_GB2312" w:cs="宋体"/>
          <w:color w:val="000000"/>
          <w:kern w:val="0"/>
          <w:sz w:val="24"/>
          <w:szCs w:val="24"/>
          <w:lang w:bidi="ar"/>
        </w:rPr>
        <w:t>项目预研阶段，深圳市人工智能与机器人研究院组织成立了标准编制组，落实了标准主要内容、涉及范围、基本原则、时间节点等工作。通过收集、整理相关技术资料，对机器人数据采集、数据处理的国内外相关现状展开调查研究并梳理问题，为标准制订提供技术参考和支撑</w:t>
      </w:r>
      <w:r>
        <w:rPr>
          <w:rFonts w:hint="eastAsia" w:ascii="仿宋_GB2312" w:hAnsi="宋体" w:eastAsia="仿宋_GB2312" w:cs="宋体"/>
          <w:kern w:val="0"/>
          <w:sz w:val="24"/>
          <w:szCs w:val="24"/>
          <w:lang w:bidi="ar"/>
        </w:rPr>
        <w:t>，并编制标准立项申报材料，申请立项。</w:t>
      </w:r>
    </w:p>
    <w:p w14:paraId="698BF0F9">
      <w:pPr>
        <w:widowControl/>
        <w:spacing w:line="360" w:lineRule="auto"/>
        <w:ind w:firstLine="480" w:firstLineChars="200"/>
        <w:jc w:val="left"/>
        <w:rPr>
          <w:rFonts w:ascii="仿宋_GB2312" w:hAnsi="宋体" w:eastAsia="仿宋_GB2312" w:cs="宋体"/>
          <w:color w:val="000000"/>
          <w:kern w:val="0"/>
          <w:sz w:val="24"/>
          <w:szCs w:val="24"/>
          <w:lang w:bidi="ar"/>
        </w:rPr>
      </w:pPr>
      <w:r>
        <w:rPr>
          <w:rFonts w:hint="eastAsia" w:ascii="仿宋_GB2312" w:hAnsi="宋体" w:eastAsia="仿宋_GB2312" w:cs="宋体"/>
          <w:color w:val="000000"/>
          <w:kern w:val="0"/>
          <w:sz w:val="24"/>
          <w:szCs w:val="24"/>
          <w:lang w:bidi="ar"/>
        </w:rPr>
        <w:t>（2）立项阶段</w:t>
      </w:r>
    </w:p>
    <w:p w14:paraId="38A87E56">
      <w:pPr>
        <w:widowControl/>
        <w:spacing w:line="360" w:lineRule="auto"/>
        <w:ind w:firstLine="480" w:firstLineChars="200"/>
        <w:rPr>
          <w:rFonts w:ascii="仿宋_GB2312" w:hAnsi="宋体" w:eastAsia="仿宋_GB2312" w:cs="宋体"/>
          <w:color w:val="000000"/>
          <w:kern w:val="0"/>
          <w:sz w:val="24"/>
          <w:szCs w:val="24"/>
          <w:lang w:bidi="ar"/>
        </w:rPr>
      </w:pPr>
      <w:r>
        <w:rPr>
          <w:rFonts w:hint="eastAsia" w:ascii="仿宋_GB2312" w:hAnsi="宋体" w:eastAsia="仿宋_GB2312" w:cs="宋体"/>
          <w:color w:val="000000"/>
          <w:kern w:val="0"/>
          <w:sz w:val="24"/>
          <w:szCs w:val="24"/>
          <w:lang w:bidi="ar"/>
        </w:rPr>
        <w:t>202</w:t>
      </w:r>
      <w:r>
        <w:rPr>
          <w:rFonts w:ascii="仿宋_GB2312" w:hAnsi="宋体" w:eastAsia="仿宋_GB2312" w:cs="宋体"/>
          <w:color w:val="000000"/>
          <w:kern w:val="0"/>
          <w:sz w:val="24"/>
          <w:szCs w:val="24"/>
          <w:lang w:bidi="ar"/>
        </w:rPr>
        <w:t>4</w:t>
      </w:r>
      <w:r>
        <w:rPr>
          <w:rFonts w:hint="eastAsia" w:ascii="仿宋_GB2312" w:hAnsi="宋体" w:eastAsia="仿宋_GB2312" w:cs="宋体"/>
          <w:color w:val="000000"/>
          <w:kern w:val="0"/>
          <w:sz w:val="24"/>
          <w:szCs w:val="24"/>
          <w:lang w:bidi="ar"/>
        </w:rPr>
        <w:t>年</w:t>
      </w:r>
      <w:r>
        <w:rPr>
          <w:rFonts w:ascii="仿宋_GB2312" w:hAnsi="宋体" w:eastAsia="仿宋_GB2312" w:cs="宋体"/>
          <w:color w:val="000000"/>
          <w:kern w:val="0"/>
          <w:sz w:val="24"/>
          <w:szCs w:val="24"/>
          <w:lang w:bidi="ar"/>
        </w:rPr>
        <w:t>3</w:t>
      </w:r>
      <w:r>
        <w:rPr>
          <w:rFonts w:hint="eastAsia" w:ascii="仿宋_GB2312" w:hAnsi="宋体" w:eastAsia="仿宋_GB2312" w:cs="宋体"/>
          <w:color w:val="000000"/>
          <w:kern w:val="0"/>
          <w:sz w:val="24"/>
          <w:szCs w:val="24"/>
          <w:lang w:bidi="ar"/>
        </w:rPr>
        <w:t>月6日，市市场监管局、市工业和信息化局组织专家对《人形机器人应用环境数据采集规范》深圳市地方标准进行立项评审，经专家组评审，该地方标准符合立项条件，批准立项。</w:t>
      </w:r>
    </w:p>
    <w:p w14:paraId="33038914">
      <w:pPr>
        <w:widowControl/>
        <w:spacing w:line="360" w:lineRule="auto"/>
        <w:ind w:firstLine="480" w:firstLineChars="200"/>
        <w:jc w:val="left"/>
        <w:rPr>
          <w:rFonts w:ascii="仿宋_GB2312" w:hAnsi="宋体" w:eastAsia="仿宋_GB2312" w:cs="宋体"/>
          <w:color w:val="000000"/>
          <w:kern w:val="0"/>
          <w:sz w:val="24"/>
          <w:szCs w:val="24"/>
          <w:lang w:bidi="ar"/>
        </w:rPr>
      </w:pPr>
      <w:r>
        <w:rPr>
          <w:rFonts w:hint="eastAsia" w:ascii="仿宋_GB2312" w:hAnsi="宋体" w:eastAsia="仿宋_GB2312" w:cs="宋体"/>
          <w:color w:val="000000"/>
          <w:kern w:val="0"/>
          <w:sz w:val="24"/>
          <w:szCs w:val="24"/>
          <w:lang w:bidi="ar"/>
        </w:rPr>
        <w:t>（3）起草阶段</w:t>
      </w:r>
    </w:p>
    <w:p w14:paraId="29AE83F5">
      <w:pPr>
        <w:widowControl/>
        <w:spacing w:line="360" w:lineRule="auto"/>
        <w:ind w:firstLine="480" w:firstLineChars="200"/>
        <w:rPr>
          <w:rFonts w:ascii="仿宋_GB2312" w:hAnsi="宋体" w:eastAsia="仿宋_GB2312" w:cs="宋体"/>
          <w:color w:val="000000"/>
          <w:kern w:val="0"/>
          <w:sz w:val="24"/>
          <w:szCs w:val="24"/>
          <w:lang w:bidi="ar"/>
        </w:rPr>
      </w:pPr>
      <w:r>
        <w:rPr>
          <w:rFonts w:hint="eastAsia" w:ascii="仿宋_GB2312" w:hAnsi="宋体" w:eastAsia="仿宋_GB2312" w:cs="宋体"/>
          <w:color w:val="000000"/>
          <w:kern w:val="0"/>
          <w:sz w:val="24"/>
          <w:szCs w:val="24"/>
          <w:lang w:bidi="ar"/>
        </w:rPr>
        <w:t>202</w:t>
      </w:r>
      <w:r>
        <w:rPr>
          <w:rFonts w:ascii="仿宋_GB2312" w:hAnsi="宋体" w:eastAsia="仿宋_GB2312" w:cs="宋体"/>
          <w:color w:val="000000"/>
          <w:kern w:val="0"/>
          <w:sz w:val="24"/>
          <w:szCs w:val="24"/>
          <w:lang w:bidi="ar"/>
        </w:rPr>
        <w:t>5</w:t>
      </w:r>
      <w:r>
        <w:rPr>
          <w:rFonts w:hint="eastAsia" w:ascii="仿宋_GB2312" w:hAnsi="宋体" w:eastAsia="仿宋_GB2312" w:cs="宋体"/>
          <w:color w:val="000000"/>
          <w:kern w:val="0"/>
          <w:sz w:val="24"/>
          <w:szCs w:val="24"/>
          <w:lang w:bidi="ar"/>
        </w:rPr>
        <w:t>年1</w:t>
      </w:r>
      <w:r>
        <w:rPr>
          <w:rFonts w:ascii="仿宋_GB2312" w:hAnsi="宋体" w:eastAsia="仿宋_GB2312" w:cs="宋体"/>
          <w:color w:val="000000"/>
          <w:kern w:val="0"/>
          <w:sz w:val="24"/>
          <w:szCs w:val="24"/>
          <w:lang w:bidi="ar"/>
        </w:rPr>
        <w:t>2</w:t>
      </w:r>
      <w:r>
        <w:rPr>
          <w:rFonts w:hint="eastAsia" w:ascii="仿宋_GB2312" w:hAnsi="宋体" w:eastAsia="仿宋_GB2312" w:cs="宋体"/>
          <w:color w:val="000000"/>
          <w:kern w:val="0"/>
          <w:sz w:val="24"/>
          <w:szCs w:val="24"/>
          <w:lang w:bidi="ar"/>
        </w:rPr>
        <w:t>月至2024年</w:t>
      </w:r>
      <w:r>
        <w:rPr>
          <w:rFonts w:ascii="仿宋_GB2312" w:hAnsi="宋体" w:eastAsia="仿宋_GB2312" w:cs="宋体"/>
          <w:color w:val="000000"/>
          <w:kern w:val="0"/>
          <w:sz w:val="24"/>
          <w:szCs w:val="24"/>
          <w:lang w:bidi="ar"/>
        </w:rPr>
        <w:t>6</w:t>
      </w:r>
      <w:r>
        <w:rPr>
          <w:rFonts w:hint="eastAsia" w:ascii="仿宋_GB2312" w:hAnsi="宋体" w:eastAsia="仿宋_GB2312" w:cs="宋体"/>
          <w:color w:val="000000"/>
          <w:kern w:val="0"/>
          <w:sz w:val="24"/>
          <w:szCs w:val="24"/>
          <w:lang w:bidi="ar"/>
        </w:rPr>
        <w:t>月，标准编制小组快速推进项目研究、加快项目执行进度，为实现预期目标，由深圳市人工智能与机器人研究院组织，采用线下、线上结合方式召开《人形机器人应用环境数据采集规范》标准启动会及多次标准讨论会，确定标准草案分工，共同对各章节内容进行补充完善。腾讯科技股份有限公司、深圳国创具身智能机器人有限公司、松应科技（深圳）有限公司、河海大学人工智能与自动化学院、工业和信息化部电子第五研究所、诺亦腾广东电网华为云计算技术有限公司、深圳赛西信息技术有限公司、深圳兆威机电股份有限公司、帕西尼感知科技（深圳）有限公司等单位参与了会议讨论，并对标准提出修改意见。标准编制小组根据各专家提出的意见进行多次整理并修改确定标准讨论稿，在进一步完善以及全文复核后，形成标准征求意见稿。</w:t>
      </w:r>
    </w:p>
    <w:p w14:paraId="2709109E">
      <w:pPr>
        <w:widowControl/>
        <w:spacing w:line="360" w:lineRule="auto"/>
        <w:ind w:firstLine="480" w:firstLineChars="200"/>
        <w:jc w:val="left"/>
        <w:rPr>
          <w:rFonts w:ascii="仿宋_GB2312" w:hAnsi="宋体" w:eastAsia="仿宋_GB2312" w:cs="宋体"/>
          <w:color w:val="000000"/>
          <w:kern w:val="0"/>
          <w:sz w:val="24"/>
          <w:szCs w:val="24"/>
          <w:lang w:bidi="ar"/>
        </w:rPr>
      </w:pPr>
      <w:r>
        <w:rPr>
          <w:rFonts w:hint="eastAsia" w:ascii="仿宋_GB2312" w:hAnsi="宋体" w:eastAsia="仿宋_GB2312" w:cs="宋体"/>
          <w:color w:val="000000"/>
          <w:kern w:val="0"/>
          <w:sz w:val="24"/>
          <w:szCs w:val="24"/>
          <w:lang w:bidi="ar"/>
        </w:rPr>
        <w:t>（4）征求意见阶段</w:t>
      </w:r>
    </w:p>
    <w:p w14:paraId="21CF433C">
      <w:pPr>
        <w:widowControl/>
        <w:spacing w:line="360" w:lineRule="auto"/>
        <w:ind w:firstLine="480" w:firstLineChars="200"/>
        <w:rPr>
          <w:rFonts w:ascii="仿宋_GB2312" w:hAnsi="宋体" w:eastAsia="仿宋_GB2312" w:cs="宋体"/>
          <w:color w:val="000000"/>
          <w:kern w:val="0"/>
          <w:sz w:val="24"/>
          <w:szCs w:val="24"/>
          <w:lang w:bidi="ar"/>
        </w:rPr>
      </w:pPr>
      <w:r>
        <w:rPr>
          <w:rFonts w:hint="eastAsia" w:ascii="仿宋_GB2312" w:hAnsi="宋体" w:eastAsia="仿宋_GB2312" w:cs="宋体"/>
          <w:color w:val="000000"/>
          <w:kern w:val="0"/>
          <w:sz w:val="24"/>
          <w:szCs w:val="24"/>
          <w:lang w:bidi="ar"/>
        </w:rPr>
        <w:t>202</w:t>
      </w:r>
      <w:r>
        <w:rPr>
          <w:rFonts w:ascii="仿宋_GB2312" w:hAnsi="宋体" w:eastAsia="仿宋_GB2312" w:cs="宋体"/>
          <w:color w:val="000000"/>
          <w:kern w:val="0"/>
          <w:sz w:val="24"/>
          <w:szCs w:val="24"/>
          <w:lang w:bidi="ar"/>
        </w:rPr>
        <w:t>5</w:t>
      </w:r>
      <w:r>
        <w:rPr>
          <w:rFonts w:hint="eastAsia" w:ascii="仿宋_GB2312" w:hAnsi="宋体" w:eastAsia="仿宋_GB2312" w:cs="宋体"/>
          <w:color w:val="000000"/>
          <w:kern w:val="0"/>
          <w:sz w:val="24"/>
          <w:szCs w:val="24"/>
          <w:lang w:bidi="ar"/>
        </w:rPr>
        <w:t>年</w:t>
      </w:r>
      <w:r>
        <w:rPr>
          <w:rFonts w:ascii="仿宋_GB2312" w:hAnsi="宋体" w:eastAsia="仿宋_GB2312" w:cs="宋体"/>
          <w:color w:val="000000"/>
          <w:kern w:val="0"/>
          <w:sz w:val="24"/>
          <w:szCs w:val="24"/>
          <w:lang w:bidi="ar"/>
        </w:rPr>
        <w:t>6</w:t>
      </w:r>
      <w:r>
        <w:rPr>
          <w:rFonts w:hint="eastAsia" w:ascii="仿宋_GB2312" w:hAnsi="宋体" w:eastAsia="仿宋_GB2312" w:cs="宋体"/>
          <w:color w:val="000000"/>
          <w:kern w:val="0"/>
          <w:sz w:val="24"/>
          <w:szCs w:val="24"/>
          <w:lang w:bidi="ar"/>
        </w:rPr>
        <w:t>月至</w:t>
      </w:r>
      <w:r>
        <w:rPr>
          <w:rFonts w:ascii="仿宋_GB2312" w:hAnsi="宋体" w:eastAsia="仿宋_GB2312" w:cs="宋体"/>
          <w:color w:val="000000"/>
          <w:kern w:val="0"/>
          <w:sz w:val="24"/>
          <w:szCs w:val="24"/>
          <w:lang w:bidi="ar"/>
        </w:rPr>
        <w:t>7</w:t>
      </w:r>
      <w:r>
        <w:rPr>
          <w:rFonts w:hint="eastAsia" w:ascii="仿宋_GB2312" w:hAnsi="宋体" w:eastAsia="仿宋_GB2312" w:cs="宋体"/>
          <w:color w:val="000000"/>
          <w:kern w:val="0"/>
          <w:sz w:val="24"/>
          <w:szCs w:val="24"/>
          <w:lang w:bidi="ar"/>
        </w:rPr>
        <w:t>月，规范起草单位充分讨论并修改完善初稿，形成《人形机器人应用环境数据采集规范（征求意见稿）》，面向市、各区有关单位公开征集意见。</w:t>
      </w:r>
    </w:p>
    <w:p w14:paraId="5FA3D7A8">
      <w:pPr>
        <w:widowControl/>
        <w:spacing w:line="360" w:lineRule="auto"/>
        <w:jc w:val="left"/>
        <w:outlineLvl w:val="0"/>
        <w:rPr>
          <w:rFonts w:ascii="黑体" w:hAnsi="黑体" w:eastAsia="黑体" w:cs="宋体"/>
          <w:color w:val="000000"/>
          <w:kern w:val="0"/>
          <w:sz w:val="28"/>
          <w:szCs w:val="28"/>
          <w:lang w:bidi="ar"/>
        </w:rPr>
      </w:pPr>
      <w:r>
        <w:rPr>
          <w:rFonts w:hint="eastAsia" w:ascii="黑体" w:hAnsi="黑体" w:eastAsia="黑体" w:cs="宋体"/>
          <w:color w:val="000000"/>
          <w:kern w:val="0"/>
          <w:sz w:val="28"/>
          <w:szCs w:val="28"/>
          <w:lang w:bidi="ar"/>
        </w:rPr>
        <w:t>三、标准编制原则和标准主要内容</w:t>
      </w:r>
    </w:p>
    <w:p w14:paraId="2B954084">
      <w:pPr>
        <w:widowControl/>
        <w:spacing w:line="360" w:lineRule="auto"/>
        <w:jc w:val="left"/>
        <w:outlineLvl w:val="1"/>
        <w:rPr>
          <w:rFonts w:ascii="仿宋_GB2312" w:hAnsi="宋体" w:eastAsia="仿宋_GB2312" w:cs="宋体"/>
          <w:b/>
          <w:bCs/>
          <w:color w:val="000000"/>
          <w:kern w:val="0"/>
          <w:sz w:val="28"/>
          <w:szCs w:val="28"/>
          <w:lang w:bidi="ar"/>
        </w:rPr>
      </w:pPr>
      <w:r>
        <w:rPr>
          <w:rFonts w:hint="eastAsia" w:ascii="仿宋_GB2312" w:hAnsi="宋体" w:eastAsia="仿宋_GB2312" w:cs="宋体"/>
          <w:b/>
          <w:bCs/>
          <w:color w:val="000000"/>
          <w:kern w:val="0"/>
          <w:sz w:val="28"/>
          <w:szCs w:val="28"/>
          <w:lang w:bidi="ar"/>
        </w:rPr>
        <w:t>1</w:t>
      </w:r>
      <w:r>
        <w:rPr>
          <w:rFonts w:ascii="仿宋_GB2312" w:hAnsi="宋体" w:eastAsia="仿宋_GB2312" w:cs="宋体"/>
          <w:b/>
          <w:bCs/>
          <w:color w:val="000000"/>
          <w:kern w:val="0"/>
          <w:sz w:val="28"/>
          <w:szCs w:val="28"/>
          <w:lang w:bidi="ar"/>
        </w:rPr>
        <w:t>.</w:t>
      </w:r>
      <w:r>
        <w:rPr>
          <w:rFonts w:hint="eastAsia" w:ascii="仿宋_GB2312" w:hAnsi="宋体" w:eastAsia="仿宋_GB2312" w:cs="宋体"/>
          <w:b/>
          <w:bCs/>
          <w:color w:val="000000"/>
          <w:kern w:val="0"/>
          <w:sz w:val="28"/>
          <w:szCs w:val="28"/>
          <w:lang w:bidi="ar"/>
        </w:rPr>
        <w:t>编制原则</w:t>
      </w:r>
    </w:p>
    <w:p w14:paraId="17D8E4CB">
      <w:pPr>
        <w:pStyle w:val="10"/>
        <w:spacing w:line="360" w:lineRule="auto"/>
        <w:ind w:firstLine="480"/>
        <w:rPr>
          <w:rFonts w:hint="default" w:ascii="仿宋_GB2312" w:hAnsi="宋体" w:eastAsia="仿宋_GB2312" w:cs="宋体"/>
          <w:color w:val="000000"/>
          <w:sz w:val="24"/>
          <w:szCs w:val="24"/>
          <w:lang w:bidi="ar"/>
        </w:rPr>
      </w:pPr>
      <w:r>
        <w:rPr>
          <w:rFonts w:ascii="仿宋_GB2312" w:hAnsi="宋体" w:eastAsia="仿宋_GB2312" w:cs="宋体"/>
          <w:color w:val="000000"/>
          <w:sz w:val="24"/>
          <w:szCs w:val="24"/>
          <w:lang w:bidi="ar"/>
        </w:rPr>
        <w:t>本标准严格遵照GB/T 1.1—2020《标准化工作导则 第1部分：标准化文件的结构和起草规则》的有关规定编写。</w:t>
      </w:r>
    </w:p>
    <w:p w14:paraId="76CDF53E">
      <w:pPr>
        <w:widowControl/>
        <w:spacing w:line="360" w:lineRule="auto"/>
        <w:jc w:val="left"/>
        <w:outlineLvl w:val="1"/>
        <w:rPr>
          <w:rFonts w:ascii="仿宋_GB2312" w:hAnsi="宋体" w:eastAsia="仿宋_GB2312" w:cs="宋体"/>
          <w:b/>
          <w:bCs/>
          <w:color w:val="000000"/>
          <w:kern w:val="0"/>
          <w:sz w:val="28"/>
          <w:szCs w:val="28"/>
          <w:lang w:bidi="ar"/>
        </w:rPr>
      </w:pPr>
      <w:r>
        <w:rPr>
          <w:rFonts w:hint="eastAsia" w:ascii="仿宋_GB2312" w:hAnsi="宋体" w:eastAsia="仿宋_GB2312" w:cs="宋体"/>
          <w:b/>
          <w:bCs/>
          <w:color w:val="000000"/>
          <w:kern w:val="0"/>
          <w:sz w:val="28"/>
          <w:szCs w:val="28"/>
          <w:lang w:bidi="ar"/>
        </w:rPr>
        <w:t>2</w:t>
      </w:r>
      <w:r>
        <w:rPr>
          <w:rFonts w:ascii="仿宋_GB2312" w:hAnsi="宋体" w:eastAsia="仿宋_GB2312" w:cs="宋体"/>
          <w:b/>
          <w:bCs/>
          <w:color w:val="000000"/>
          <w:kern w:val="0"/>
          <w:sz w:val="28"/>
          <w:szCs w:val="28"/>
          <w:lang w:bidi="ar"/>
        </w:rPr>
        <w:t>.</w:t>
      </w:r>
      <w:r>
        <w:rPr>
          <w:rFonts w:hint="eastAsia" w:ascii="仿宋_GB2312" w:hAnsi="宋体" w:eastAsia="仿宋_GB2312" w:cs="宋体"/>
          <w:b/>
          <w:bCs/>
          <w:color w:val="000000"/>
          <w:kern w:val="0"/>
          <w:sz w:val="28"/>
          <w:szCs w:val="28"/>
          <w:lang w:bidi="ar"/>
        </w:rPr>
        <w:t>标准主要内容</w:t>
      </w:r>
    </w:p>
    <w:p w14:paraId="56463FE3">
      <w:pPr>
        <w:adjustRightInd w:val="0"/>
        <w:snapToGrid w:val="0"/>
        <w:spacing w:before="156" w:beforeLines="50" w:after="156" w:afterLines="50"/>
        <w:rPr>
          <w:rFonts w:ascii="仿宋_GB2312" w:hAnsi="宋体" w:eastAsia="仿宋_GB2312" w:cs="宋体"/>
          <w:color w:val="000000"/>
          <w:kern w:val="0"/>
          <w:sz w:val="24"/>
          <w:szCs w:val="24"/>
          <w:lang w:bidi="ar"/>
        </w:rPr>
      </w:pPr>
      <w:r>
        <w:rPr>
          <w:rFonts w:hint="eastAsia" w:ascii="仿宋_GB2312" w:hAnsi="宋体" w:eastAsia="仿宋_GB2312" w:cs="宋体"/>
          <w:color w:val="000000"/>
          <w:kern w:val="0"/>
          <w:sz w:val="24"/>
          <w:szCs w:val="24"/>
          <w:lang w:bidi="ar"/>
        </w:rPr>
        <w:t>本标准主要分为</w:t>
      </w:r>
      <w:r>
        <w:rPr>
          <w:rFonts w:ascii="仿宋_GB2312" w:hAnsi="宋体" w:eastAsia="仿宋_GB2312" w:cs="宋体"/>
          <w:color w:val="000000"/>
          <w:kern w:val="0"/>
          <w:sz w:val="24"/>
          <w:szCs w:val="24"/>
          <w:lang w:bidi="ar"/>
        </w:rPr>
        <w:t>7</w:t>
      </w:r>
      <w:r>
        <w:rPr>
          <w:rFonts w:hint="eastAsia" w:ascii="仿宋_GB2312" w:hAnsi="宋体" w:eastAsia="仿宋_GB2312" w:cs="宋体"/>
          <w:color w:val="000000"/>
          <w:kern w:val="0"/>
          <w:sz w:val="24"/>
          <w:szCs w:val="24"/>
          <w:lang w:bidi="ar"/>
        </w:rPr>
        <w:t>章，标准结构如下：</w:t>
      </w:r>
    </w:p>
    <w:p w14:paraId="600DC4C0">
      <w:pPr>
        <w:pStyle w:val="13"/>
        <w:numPr>
          <w:ilvl w:val="0"/>
          <w:numId w:val="1"/>
        </w:numPr>
        <w:adjustRightInd w:val="0"/>
        <w:snapToGrid w:val="0"/>
        <w:spacing w:before="156" w:beforeLines="50" w:after="156" w:afterLines="50"/>
        <w:ind w:firstLineChars="0"/>
        <w:rPr>
          <w:rFonts w:ascii="仿宋_GB2312" w:hAnsi="宋体" w:eastAsia="仿宋_GB2312" w:cs="宋体"/>
          <w:color w:val="000000"/>
          <w:kern w:val="0"/>
          <w:sz w:val="24"/>
          <w:szCs w:val="24"/>
          <w:lang w:bidi="ar"/>
        </w:rPr>
      </w:pPr>
      <w:r>
        <w:rPr>
          <w:rFonts w:hint="eastAsia" w:ascii="仿宋_GB2312" w:hAnsi="宋体" w:eastAsia="仿宋_GB2312" w:cs="宋体"/>
          <w:color w:val="000000"/>
          <w:kern w:val="0"/>
          <w:sz w:val="24"/>
          <w:szCs w:val="24"/>
          <w:lang w:bidi="ar"/>
        </w:rPr>
        <w:t>范围</w:t>
      </w:r>
    </w:p>
    <w:p w14:paraId="0263E8FC">
      <w:pPr>
        <w:pStyle w:val="13"/>
        <w:adjustRightInd w:val="0"/>
        <w:snapToGrid w:val="0"/>
        <w:spacing w:line="360" w:lineRule="auto"/>
        <w:ind w:firstLine="480"/>
        <w:rPr>
          <w:rFonts w:ascii="仿宋_GB2312" w:hAnsi="宋体" w:eastAsia="仿宋_GB2312" w:cs="宋体"/>
          <w:color w:val="000000"/>
          <w:kern w:val="0"/>
          <w:sz w:val="24"/>
          <w:szCs w:val="24"/>
          <w:lang w:bidi="ar"/>
        </w:rPr>
      </w:pPr>
      <w:r>
        <w:rPr>
          <w:rFonts w:hint="eastAsia" w:ascii="仿宋_GB2312" w:hAnsi="宋体" w:eastAsia="仿宋_GB2312" w:cs="宋体"/>
          <w:color w:val="000000"/>
          <w:kern w:val="0"/>
          <w:sz w:val="24"/>
          <w:szCs w:val="24"/>
          <w:lang w:bidi="ar"/>
        </w:rPr>
        <w:t>本文件规定了人形机器人应用环境数据采集模型、数据类型、数据要求、数据接口要求、数据采集质量控制与安全控制要求。</w:t>
      </w:r>
    </w:p>
    <w:p w14:paraId="683FBFC0">
      <w:pPr>
        <w:pStyle w:val="13"/>
        <w:adjustRightInd w:val="0"/>
        <w:snapToGrid w:val="0"/>
        <w:spacing w:line="360" w:lineRule="auto"/>
        <w:ind w:firstLineChars="0"/>
        <w:rPr>
          <w:rFonts w:ascii="仿宋_GB2312" w:hAnsi="宋体" w:eastAsia="仿宋_GB2312" w:cs="宋体"/>
          <w:color w:val="000000"/>
          <w:kern w:val="0"/>
          <w:sz w:val="24"/>
          <w:szCs w:val="24"/>
          <w:lang w:bidi="ar"/>
        </w:rPr>
      </w:pPr>
      <w:r>
        <w:rPr>
          <w:rFonts w:hint="eastAsia" w:ascii="仿宋_GB2312" w:hAnsi="宋体" w:eastAsia="仿宋_GB2312" w:cs="宋体"/>
          <w:color w:val="000000"/>
          <w:kern w:val="0"/>
          <w:sz w:val="24"/>
          <w:szCs w:val="24"/>
          <w:lang w:bidi="ar"/>
        </w:rPr>
        <w:t>本文件适用于人形机器人系统研发实际应用环境数据的体系规划、设计和建设。</w:t>
      </w:r>
    </w:p>
    <w:p w14:paraId="0B41D910">
      <w:pPr>
        <w:pStyle w:val="13"/>
        <w:numPr>
          <w:ilvl w:val="0"/>
          <w:numId w:val="1"/>
        </w:numPr>
        <w:adjustRightInd w:val="0"/>
        <w:snapToGrid w:val="0"/>
        <w:spacing w:line="360" w:lineRule="auto"/>
        <w:ind w:firstLineChars="0"/>
        <w:rPr>
          <w:rFonts w:ascii="仿宋_GB2312" w:hAnsi="宋体" w:eastAsia="仿宋_GB2312" w:cs="宋体"/>
          <w:color w:val="000000"/>
          <w:kern w:val="0"/>
          <w:sz w:val="24"/>
          <w:szCs w:val="24"/>
          <w:lang w:bidi="ar"/>
        </w:rPr>
      </w:pPr>
      <w:r>
        <w:rPr>
          <w:rFonts w:hint="eastAsia" w:ascii="仿宋_GB2312" w:hAnsi="宋体" w:eastAsia="仿宋_GB2312" w:cs="宋体"/>
          <w:color w:val="000000"/>
          <w:kern w:val="0"/>
          <w:sz w:val="24"/>
          <w:szCs w:val="24"/>
          <w:lang w:bidi="ar"/>
        </w:rPr>
        <w:t>规范性引用文件</w:t>
      </w:r>
    </w:p>
    <w:p w14:paraId="78FCA123">
      <w:pPr>
        <w:pStyle w:val="13"/>
        <w:adjustRightInd w:val="0"/>
        <w:snapToGrid w:val="0"/>
        <w:spacing w:line="360" w:lineRule="auto"/>
        <w:ind w:left="420" w:firstLine="0" w:firstLineChars="0"/>
        <w:rPr>
          <w:rFonts w:ascii="仿宋_GB2312" w:hAnsi="宋体" w:eastAsia="仿宋_GB2312" w:cs="宋体"/>
          <w:color w:val="000000"/>
          <w:kern w:val="0"/>
          <w:sz w:val="24"/>
          <w:szCs w:val="24"/>
          <w:lang w:bidi="ar"/>
        </w:rPr>
      </w:pPr>
      <w:r>
        <w:rPr>
          <w:rFonts w:hint="eastAsia" w:ascii="仿宋_GB2312" w:hAnsi="宋体" w:eastAsia="仿宋_GB2312" w:cs="宋体"/>
          <w:color w:val="000000"/>
          <w:kern w:val="0"/>
          <w:sz w:val="24"/>
          <w:szCs w:val="24"/>
          <w:lang w:bidi="ar"/>
        </w:rPr>
        <w:t>本章给出了本文件所引用的标准。</w:t>
      </w:r>
    </w:p>
    <w:p w14:paraId="7830F015">
      <w:pPr>
        <w:pStyle w:val="13"/>
        <w:numPr>
          <w:ilvl w:val="0"/>
          <w:numId w:val="1"/>
        </w:numPr>
        <w:adjustRightInd w:val="0"/>
        <w:snapToGrid w:val="0"/>
        <w:spacing w:line="360" w:lineRule="auto"/>
        <w:ind w:firstLineChars="0"/>
        <w:rPr>
          <w:rFonts w:ascii="仿宋_GB2312" w:hAnsi="宋体" w:eastAsia="仿宋_GB2312" w:cs="宋体"/>
          <w:color w:val="000000"/>
          <w:kern w:val="0"/>
          <w:sz w:val="24"/>
          <w:szCs w:val="24"/>
          <w:lang w:bidi="ar"/>
        </w:rPr>
      </w:pPr>
      <w:r>
        <w:rPr>
          <w:rFonts w:hint="eastAsia" w:ascii="仿宋_GB2312" w:hAnsi="宋体" w:eastAsia="仿宋_GB2312" w:cs="宋体"/>
          <w:color w:val="000000"/>
          <w:kern w:val="0"/>
          <w:sz w:val="24"/>
          <w:szCs w:val="24"/>
          <w:lang w:bidi="ar"/>
        </w:rPr>
        <w:t>术语与定义</w:t>
      </w:r>
    </w:p>
    <w:p w14:paraId="23205443">
      <w:pPr>
        <w:pStyle w:val="13"/>
        <w:adjustRightInd w:val="0"/>
        <w:snapToGrid w:val="0"/>
        <w:spacing w:line="360" w:lineRule="auto"/>
        <w:ind w:firstLine="480"/>
        <w:rPr>
          <w:rFonts w:ascii="仿宋_GB2312" w:hAnsi="宋体" w:eastAsia="仿宋_GB2312" w:cs="宋体"/>
          <w:color w:val="000000"/>
          <w:kern w:val="0"/>
          <w:sz w:val="24"/>
          <w:szCs w:val="24"/>
          <w:lang w:bidi="ar"/>
        </w:rPr>
      </w:pPr>
      <w:r>
        <w:rPr>
          <w:rFonts w:hint="eastAsia" w:ascii="仿宋_GB2312" w:hAnsi="宋体" w:eastAsia="仿宋_GB2312" w:cs="宋体"/>
          <w:color w:val="000000"/>
          <w:kern w:val="0"/>
          <w:sz w:val="24"/>
          <w:szCs w:val="24"/>
          <w:lang w:bidi="ar"/>
        </w:rPr>
        <w:t>本标准涉及的相关术语，参考已发布的国行标，并根据其在本标准中特指的含义和内容对其进行定义。</w:t>
      </w:r>
    </w:p>
    <w:p w14:paraId="14256C1B">
      <w:pPr>
        <w:pStyle w:val="13"/>
        <w:numPr>
          <w:ilvl w:val="0"/>
          <w:numId w:val="1"/>
        </w:numPr>
        <w:adjustRightInd w:val="0"/>
        <w:snapToGrid w:val="0"/>
        <w:spacing w:line="360" w:lineRule="auto"/>
        <w:ind w:firstLineChars="0"/>
        <w:rPr>
          <w:rFonts w:ascii="仿宋_GB2312" w:hAnsi="宋体" w:eastAsia="仿宋_GB2312" w:cs="宋体"/>
          <w:color w:val="000000"/>
          <w:kern w:val="0"/>
          <w:sz w:val="24"/>
          <w:szCs w:val="24"/>
          <w:lang w:bidi="ar"/>
        </w:rPr>
      </w:pPr>
      <w:r>
        <w:rPr>
          <w:rFonts w:hint="eastAsia" w:ascii="仿宋_GB2312" w:hAnsi="宋体" w:eastAsia="仿宋_GB2312" w:cs="宋体"/>
          <w:color w:val="000000"/>
          <w:kern w:val="0"/>
          <w:sz w:val="24"/>
          <w:szCs w:val="24"/>
          <w:lang w:bidi="ar"/>
        </w:rPr>
        <w:t>数据采集模型</w:t>
      </w:r>
    </w:p>
    <w:p w14:paraId="08775B74">
      <w:pPr>
        <w:pStyle w:val="13"/>
        <w:adjustRightInd w:val="0"/>
        <w:snapToGrid w:val="0"/>
        <w:spacing w:line="360" w:lineRule="auto"/>
        <w:ind w:left="420" w:firstLine="0" w:firstLineChars="0"/>
        <w:rPr>
          <w:rFonts w:ascii="仿宋_GB2312" w:hAnsi="宋体" w:eastAsia="仿宋_GB2312" w:cs="宋体"/>
          <w:color w:val="000000"/>
          <w:kern w:val="0"/>
          <w:sz w:val="24"/>
          <w:szCs w:val="24"/>
          <w:lang w:bidi="ar"/>
        </w:rPr>
      </w:pPr>
      <w:r>
        <w:rPr>
          <w:rFonts w:hint="eastAsia" w:ascii="仿宋_GB2312" w:hAnsi="宋体" w:eastAsia="仿宋_GB2312" w:cs="宋体"/>
          <w:color w:val="000000"/>
          <w:kern w:val="0"/>
          <w:sz w:val="24"/>
          <w:szCs w:val="24"/>
          <w:lang w:bidi="ar"/>
        </w:rPr>
        <w:t>本章利用模型图明确了人形机器人数据采集方法、处理方式及应用环境。</w:t>
      </w:r>
    </w:p>
    <w:p w14:paraId="09C9AD7F">
      <w:pPr>
        <w:pStyle w:val="13"/>
        <w:numPr>
          <w:ilvl w:val="0"/>
          <w:numId w:val="1"/>
        </w:numPr>
        <w:adjustRightInd w:val="0"/>
        <w:snapToGrid w:val="0"/>
        <w:spacing w:line="360" w:lineRule="auto"/>
        <w:ind w:firstLineChars="0"/>
        <w:rPr>
          <w:rFonts w:ascii="仿宋_GB2312" w:hAnsi="宋体" w:eastAsia="仿宋_GB2312" w:cs="宋体"/>
          <w:color w:val="000000"/>
          <w:kern w:val="0"/>
          <w:sz w:val="24"/>
          <w:szCs w:val="24"/>
          <w:lang w:bidi="ar"/>
        </w:rPr>
      </w:pPr>
      <w:r>
        <w:rPr>
          <w:rFonts w:hint="eastAsia" w:ascii="仿宋_GB2312" w:hAnsi="宋体" w:eastAsia="仿宋_GB2312" w:cs="宋体"/>
          <w:color w:val="000000"/>
          <w:kern w:val="0"/>
          <w:sz w:val="24"/>
          <w:szCs w:val="24"/>
          <w:lang w:bidi="ar"/>
        </w:rPr>
        <w:t>数据类型</w:t>
      </w:r>
    </w:p>
    <w:p w14:paraId="65FC3480">
      <w:pPr>
        <w:pStyle w:val="13"/>
        <w:adjustRightInd w:val="0"/>
        <w:snapToGrid w:val="0"/>
        <w:spacing w:line="360" w:lineRule="auto"/>
        <w:ind w:left="420" w:firstLine="0" w:firstLineChars="0"/>
        <w:rPr>
          <w:rFonts w:ascii="仿宋_GB2312" w:hAnsi="宋体" w:eastAsia="仿宋_GB2312" w:cs="宋体"/>
          <w:color w:val="000000"/>
          <w:kern w:val="0"/>
          <w:sz w:val="24"/>
          <w:szCs w:val="24"/>
          <w:lang w:bidi="ar"/>
        </w:rPr>
      </w:pPr>
      <w:r>
        <w:rPr>
          <w:rFonts w:hint="eastAsia" w:ascii="仿宋_GB2312" w:hAnsi="宋体" w:eastAsia="仿宋_GB2312" w:cs="宋体"/>
          <w:color w:val="000000"/>
          <w:kern w:val="0"/>
          <w:sz w:val="24"/>
          <w:szCs w:val="24"/>
          <w:lang w:bidi="ar"/>
        </w:rPr>
        <w:t>本章对人形机器人采集数据类型按照数据来源进行了划分。</w:t>
      </w:r>
    </w:p>
    <w:p w14:paraId="443C2799">
      <w:pPr>
        <w:pStyle w:val="13"/>
        <w:numPr>
          <w:ilvl w:val="0"/>
          <w:numId w:val="1"/>
        </w:numPr>
        <w:adjustRightInd w:val="0"/>
        <w:snapToGrid w:val="0"/>
        <w:spacing w:line="360" w:lineRule="auto"/>
        <w:ind w:firstLineChars="0"/>
        <w:rPr>
          <w:rFonts w:ascii="仿宋_GB2312" w:hAnsi="宋体" w:eastAsia="仿宋_GB2312" w:cs="宋体"/>
          <w:color w:val="000000"/>
          <w:kern w:val="0"/>
          <w:sz w:val="24"/>
          <w:szCs w:val="24"/>
          <w:lang w:bidi="ar"/>
        </w:rPr>
      </w:pPr>
      <w:r>
        <w:rPr>
          <w:rFonts w:hint="eastAsia" w:ascii="仿宋_GB2312" w:hAnsi="宋体" w:eastAsia="仿宋_GB2312" w:cs="宋体"/>
          <w:color w:val="000000"/>
          <w:kern w:val="0"/>
          <w:sz w:val="24"/>
          <w:szCs w:val="24"/>
          <w:lang w:bidi="ar"/>
        </w:rPr>
        <w:t>数据要求</w:t>
      </w:r>
    </w:p>
    <w:p w14:paraId="1776F7A8">
      <w:pPr>
        <w:pStyle w:val="13"/>
        <w:adjustRightInd w:val="0"/>
        <w:snapToGrid w:val="0"/>
        <w:spacing w:line="360" w:lineRule="auto"/>
        <w:ind w:firstLine="480"/>
        <w:rPr>
          <w:rFonts w:ascii="仿宋_GB2312" w:hAnsi="宋体" w:eastAsia="仿宋_GB2312" w:cs="宋体"/>
          <w:color w:val="000000"/>
          <w:kern w:val="0"/>
          <w:sz w:val="24"/>
          <w:szCs w:val="24"/>
          <w:lang w:bidi="ar"/>
        </w:rPr>
      </w:pPr>
      <w:r>
        <w:rPr>
          <w:rFonts w:hint="eastAsia" w:ascii="仿宋_GB2312" w:hAnsi="宋体" w:eastAsia="仿宋_GB2312" w:cs="宋体"/>
          <w:color w:val="000000"/>
          <w:kern w:val="0"/>
          <w:sz w:val="24"/>
          <w:szCs w:val="24"/>
          <w:lang w:bidi="ar"/>
        </w:rPr>
        <w:t>本章对人形机器人中传感器数据、执行器数据、应用程序中间结果数据、参数数据和配置数据的内容和格式提出了要求。</w:t>
      </w:r>
    </w:p>
    <w:p w14:paraId="3A55076D">
      <w:pPr>
        <w:pStyle w:val="13"/>
        <w:numPr>
          <w:ilvl w:val="0"/>
          <w:numId w:val="1"/>
        </w:numPr>
        <w:adjustRightInd w:val="0"/>
        <w:snapToGrid w:val="0"/>
        <w:spacing w:line="360" w:lineRule="auto"/>
        <w:ind w:firstLineChars="0"/>
        <w:rPr>
          <w:rFonts w:ascii="仿宋_GB2312" w:hAnsi="宋体" w:eastAsia="仿宋_GB2312" w:cs="宋体"/>
          <w:color w:val="000000"/>
          <w:kern w:val="0"/>
          <w:sz w:val="24"/>
          <w:szCs w:val="24"/>
          <w:lang w:bidi="ar"/>
        </w:rPr>
      </w:pPr>
      <w:r>
        <w:rPr>
          <w:rFonts w:hint="eastAsia" w:ascii="仿宋_GB2312" w:hAnsi="宋体" w:eastAsia="仿宋_GB2312" w:cs="宋体"/>
          <w:color w:val="000000"/>
          <w:kern w:val="0"/>
          <w:sz w:val="24"/>
          <w:szCs w:val="24"/>
          <w:lang w:bidi="ar"/>
        </w:rPr>
        <w:t>数据接口要求</w:t>
      </w:r>
    </w:p>
    <w:p w14:paraId="4A07A3C0">
      <w:pPr>
        <w:pStyle w:val="13"/>
        <w:adjustRightInd w:val="0"/>
        <w:snapToGrid w:val="0"/>
        <w:spacing w:line="360" w:lineRule="auto"/>
        <w:ind w:firstLine="480"/>
        <w:rPr>
          <w:rFonts w:ascii="仿宋_GB2312" w:hAnsi="宋体" w:eastAsia="仿宋_GB2312" w:cs="宋体"/>
          <w:color w:val="000000"/>
          <w:kern w:val="0"/>
          <w:sz w:val="24"/>
          <w:szCs w:val="24"/>
          <w:lang w:bidi="ar"/>
        </w:rPr>
      </w:pPr>
      <w:r>
        <w:rPr>
          <w:rFonts w:hint="eastAsia" w:ascii="仿宋_GB2312" w:hAnsi="宋体" w:eastAsia="仿宋_GB2312" w:cs="宋体"/>
          <w:color w:val="000000"/>
          <w:kern w:val="0"/>
          <w:sz w:val="24"/>
          <w:szCs w:val="24"/>
          <w:lang w:bidi="ar"/>
        </w:rPr>
        <w:t>本章节明确了采集数据的通信协议、传输带宽及可靠性要求。</w:t>
      </w:r>
    </w:p>
    <w:p w14:paraId="609F6D17">
      <w:pPr>
        <w:pStyle w:val="13"/>
        <w:numPr>
          <w:ilvl w:val="0"/>
          <w:numId w:val="1"/>
        </w:numPr>
        <w:adjustRightInd w:val="0"/>
        <w:snapToGrid w:val="0"/>
        <w:spacing w:line="360" w:lineRule="auto"/>
        <w:ind w:firstLineChars="0"/>
        <w:rPr>
          <w:rFonts w:ascii="仿宋_GB2312" w:hAnsi="宋体" w:eastAsia="仿宋_GB2312" w:cs="宋体"/>
          <w:color w:val="000000"/>
          <w:kern w:val="0"/>
          <w:sz w:val="24"/>
          <w:szCs w:val="24"/>
          <w:lang w:bidi="ar"/>
        </w:rPr>
      </w:pPr>
      <w:r>
        <w:rPr>
          <w:rFonts w:hint="eastAsia" w:ascii="仿宋_GB2312" w:hAnsi="宋体" w:eastAsia="仿宋_GB2312" w:cs="宋体"/>
          <w:color w:val="000000"/>
          <w:kern w:val="0"/>
          <w:sz w:val="24"/>
          <w:szCs w:val="24"/>
          <w:lang w:bidi="ar"/>
        </w:rPr>
        <w:t>数据采集质量控制与安全控制要求</w:t>
      </w:r>
    </w:p>
    <w:p w14:paraId="0B8E804F">
      <w:pPr>
        <w:pStyle w:val="13"/>
        <w:adjustRightInd w:val="0"/>
        <w:snapToGrid w:val="0"/>
        <w:spacing w:line="360" w:lineRule="auto"/>
        <w:ind w:left="420" w:firstLine="0" w:firstLineChars="0"/>
        <w:rPr>
          <w:rFonts w:ascii="仿宋_GB2312" w:hAnsi="宋体" w:eastAsia="仿宋_GB2312" w:cs="宋体"/>
          <w:color w:val="000000"/>
          <w:kern w:val="0"/>
          <w:sz w:val="24"/>
          <w:szCs w:val="24"/>
          <w:lang w:bidi="ar"/>
        </w:rPr>
      </w:pPr>
      <w:r>
        <w:rPr>
          <w:rFonts w:hint="eastAsia" w:ascii="仿宋_GB2312" w:hAnsi="宋体" w:eastAsia="仿宋_GB2312" w:cs="宋体"/>
          <w:color w:val="000000"/>
          <w:kern w:val="0"/>
          <w:sz w:val="24"/>
          <w:szCs w:val="24"/>
          <w:lang w:bidi="ar"/>
        </w:rPr>
        <w:t>本章规定了全过程中的数据采集质量控制和数据安全控制要求。</w:t>
      </w:r>
    </w:p>
    <w:p w14:paraId="5A781C6B">
      <w:pPr>
        <w:pStyle w:val="13"/>
        <w:numPr>
          <w:ilvl w:val="0"/>
          <w:numId w:val="1"/>
        </w:numPr>
        <w:adjustRightInd w:val="0"/>
        <w:snapToGrid w:val="0"/>
        <w:spacing w:line="360" w:lineRule="auto"/>
        <w:ind w:firstLineChars="0"/>
        <w:rPr>
          <w:rFonts w:ascii="仿宋_GB2312" w:hAnsi="宋体" w:eastAsia="仿宋_GB2312" w:cs="宋体"/>
          <w:color w:val="000000"/>
          <w:kern w:val="0"/>
          <w:sz w:val="24"/>
          <w:szCs w:val="24"/>
          <w:lang w:bidi="ar"/>
        </w:rPr>
      </w:pPr>
      <w:r>
        <w:rPr>
          <w:rFonts w:ascii="仿宋_GB2312" w:hAnsi="宋体" w:eastAsia="仿宋_GB2312" w:cs="宋体"/>
          <w:color w:val="000000"/>
          <w:kern w:val="0"/>
          <w:sz w:val="24"/>
          <w:szCs w:val="24"/>
          <w:lang w:bidi="ar"/>
        </w:rPr>
        <w:t>参考文献是本标准起草所参考的相关资料。</w:t>
      </w:r>
    </w:p>
    <w:p w14:paraId="4CE72410">
      <w:pPr>
        <w:widowControl/>
        <w:spacing w:line="360" w:lineRule="auto"/>
        <w:jc w:val="left"/>
        <w:outlineLvl w:val="0"/>
        <w:rPr>
          <w:rFonts w:ascii="黑体" w:hAnsi="黑体" w:eastAsia="黑体" w:cs="宋体"/>
          <w:color w:val="000000"/>
          <w:kern w:val="0"/>
          <w:sz w:val="28"/>
          <w:szCs w:val="28"/>
          <w:lang w:bidi="ar"/>
        </w:rPr>
      </w:pPr>
      <w:r>
        <w:rPr>
          <w:rFonts w:hint="eastAsia" w:ascii="黑体" w:hAnsi="黑体" w:eastAsia="黑体" w:cs="宋体"/>
          <w:color w:val="000000"/>
          <w:kern w:val="0"/>
          <w:sz w:val="28"/>
          <w:szCs w:val="28"/>
          <w:lang w:bidi="ar"/>
        </w:rPr>
        <w:t>三、与国内外同类标准现状</w:t>
      </w:r>
    </w:p>
    <w:p w14:paraId="1AEDB4A0">
      <w:pPr>
        <w:pStyle w:val="10"/>
        <w:spacing w:line="360" w:lineRule="auto"/>
        <w:ind w:firstLine="480"/>
        <w:rPr>
          <w:rFonts w:hint="default" w:ascii="仿宋_GB2312" w:hAnsi="宋体" w:eastAsia="仿宋_GB2312" w:cs="宋体"/>
          <w:color w:val="000000"/>
          <w:sz w:val="24"/>
          <w:szCs w:val="24"/>
          <w:lang w:bidi="ar"/>
        </w:rPr>
      </w:pPr>
      <w:r>
        <w:rPr>
          <w:rFonts w:ascii="仿宋_GB2312" w:hAnsi="宋体" w:eastAsia="仿宋_GB2312" w:cs="宋体"/>
          <w:color w:val="000000"/>
          <w:sz w:val="24"/>
          <w:szCs w:val="24"/>
          <w:lang w:bidi="ar"/>
        </w:rPr>
        <w:t>国内外没有发布关于人形机器人的环境数据采集的相关标准。</w:t>
      </w:r>
    </w:p>
    <w:p w14:paraId="4DA23575">
      <w:pPr>
        <w:pStyle w:val="10"/>
        <w:spacing w:line="360" w:lineRule="auto"/>
        <w:ind w:firstLine="480"/>
        <w:rPr>
          <w:rFonts w:hint="default" w:ascii="仿宋_GB2312" w:hAnsi="宋体" w:eastAsia="仿宋_GB2312" w:cs="宋体"/>
          <w:color w:val="000000"/>
          <w:sz w:val="24"/>
          <w:szCs w:val="24"/>
          <w:lang w:bidi="ar"/>
        </w:rPr>
      </w:pPr>
      <w:r>
        <w:rPr>
          <w:rFonts w:ascii="仿宋_GB2312" w:hAnsi="宋体" w:eastAsia="仿宋_GB2312" w:cs="宋体"/>
          <w:color w:val="000000"/>
          <w:sz w:val="24"/>
          <w:szCs w:val="24"/>
          <w:lang w:bidi="ar"/>
        </w:rPr>
        <w:t>国际标准情况：ISO/IEC 8183：2023 Information technology - Artificial intelligence - Data life cycle framework该标准定义了整个AI系统生命周期中数据处理的阶段及相关行动，包括获取、创建、开发、部署、维护和退役。但没有对具体数据采集过程要求进行规定；ISO/IEC 5259-2：202</w:t>
      </w:r>
      <w:r>
        <w:rPr>
          <w:rFonts w:hint="default" w:ascii="仿宋_GB2312" w:hAnsi="宋体" w:eastAsia="仿宋_GB2312" w:cs="宋体"/>
          <w:color w:val="000000"/>
          <w:sz w:val="24"/>
          <w:szCs w:val="24"/>
          <w:lang w:bidi="ar"/>
        </w:rPr>
        <w:t>4</w:t>
      </w:r>
      <w:r>
        <w:rPr>
          <w:rFonts w:ascii="仿宋_GB2312" w:hAnsi="宋体" w:eastAsia="仿宋_GB2312" w:cs="宋体"/>
          <w:color w:val="000000"/>
          <w:sz w:val="24"/>
          <w:szCs w:val="24"/>
          <w:lang w:bidi="ar"/>
        </w:rPr>
        <w:t xml:space="preserve"> Artificial intelligence - Data quality for analytics and machine learning (ML) - Part 2: Data quality measures该标准规定了数据质量模型、数据质量度量以及在分析和机器学习（ML）背景下报告数据质量的指南。</w:t>
      </w:r>
    </w:p>
    <w:p w14:paraId="2031C9A9">
      <w:pPr>
        <w:pStyle w:val="10"/>
        <w:spacing w:line="360" w:lineRule="auto"/>
        <w:ind w:firstLine="480"/>
        <w:rPr>
          <w:rFonts w:hint="default" w:ascii="仿宋_GB2312" w:hAnsi="宋体" w:eastAsia="仿宋_GB2312" w:cs="宋体"/>
          <w:color w:val="000000"/>
          <w:sz w:val="24"/>
          <w:szCs w:val="24"/>
          <w:lang w:bidi="ar"/>
        </w:rPr>
      </w:pPr>
      <w:r>
        <w:rPr>
          <w:rFonts w:ascii="仿宋_GB2312" w:hAnsi="宋体" w:eastAsia="仿宋_GB2312" w:cs="宋体"/>
          <w:color w:val="000000"/>
          <w:sz w:val="24"/>
          <w:szCs w:val="24"/>
          <w:lang w:bidi="ar"/>
        </w:rPr>
        <w:t>我国发布的数据采集和数据接口相关标准，包括：</w:t>
      </w:r>
    </w:p>
    <w:p w14:paraId="2CDCC11F">
      <w:pPr>
        <w:pStyle w:val="10"/>
        <w:spacing w:line="360" w:lineRule="auto"/>
        <w:ind w:firstLine="480"/>
        <w:rPr>
          <w:rFonts w:hint="default" w:ascii="仿宋_GB2312" w:hAnsi="宋体" w:eastAsia="仿宋_GB2312" w:cs="宋体"/>
          <w:color w:val="000000"/>
          <w:sz w:val="24"/>
          <w:szCs w:val="24"/>
          <w:lang w:bidi="ar"/>
        </w:rPr>
      </w:pPr>
      <w:r>
        <w:rPr>
          <w:rFonts w:ascii="仿宋_GB2312" w:hAnsi="宋体" w:eastAsia="仿宋_GB2312" w:cs="宋体"/>
          <w:color w:val="000000"/>
          <w:sz w:val="24"/>
          <w:szCs w:val="24"/>
          <w:lang w:bidi="ar"/>
        </w:rPr>
        <w:t>（1）GB/T 42127-2022《智能制造 工业数据 采集规范》规定了智能制造工业数据采集的通用规范。适用于离散及流程工业企业数据资源的规划及采集。该标准对象为智能制造系统，是智能工厂场景下的实施应用，可提供参考价值。</w:t>
      </w:r>
    </w:p>
    <w:p w14:paraId="19F70B00">
      <w:pPr>
        <w:pStyle w:val="10"/>
        <w:spacing w:line="360" w:lineRule="auto"/>
        <w:ind w:firstLine="480"/>
        <w:rPr>
          <w:rFonts w:hint="default" w:ascii="仿宋_GB2312" w:hAnsi="宋体" w:eastAsia="仿宋_GB2312" w:cs="宋体"/>
          <w:color w:val="000000"/>
          <w:sz w:val="24"/>
          <w:szCs w:val="24"/>
          <w:lang w:bidi="ar"/>
        </w:rPr>
      </w:pPr>
      <w:r>
        <w:rPr>
          <w:rFonts w:ascii="仿宋_GB2312" w:hAnsi="宋体" w:eastAsia="仿宋_GB2312" w:cs="宋体"/>
          <w:color w:val="000000"/>
          <w:sz w:val="24"/>
          <w:szCs w:val="24"/>
          <w:lang w:bidi="ar"/>
        </w:rPr>
        <w:t>（2）GB/T 36625.3-2021《智慧城市 数据融合 第3部分：数据采集规范》规定了智慧城市数据融合过程中数据采集过程、数据采集内容、数据采集技术、数据采集质量控制及数据采集安全控制。适用于智慧城市各系统的规划设计、建设和管理,其他信息化领域的数据采集过程也可参考使用。</w:t>
      </w:r>
    </w:p>
    <w:p w14:paraId="560C95D9">
      <w:pPr>
        <w:pStyle w:val="10"/>
        <w:spacing w:line="360" w:lineRule="auto"/>
        <w:ind w:firstLine="480"/>
        <w:rPr>
          <w:rFonts w:hint="default" w:ascii="仿宋_GB2312" w:hAnsi="宋体" w:eastAsia="仿宋_GB2312" w:cs="宋体"/>
          <w:color w:val="000000"/>
          <w:sz w:val="24"/>
          <w:szCs w:val="24"/>
          <w:lang w:bidi="ar"/>
        </w:rPr>
      </w:pPr>
      <w:r>
        <w:rPr>
          <w:rFonts w:ascii="仿宋_GB2312" w:hAnsi="宋体" w:eastAsia="仿宋_GB2312" w:cs="宋体"/>
          <w:color w:val="000000"/>
          <w:sz w:val="24"/>
          <w:szCs w:val="24"/>
          <w:lang w:bidi="ar"/>
        </w:rPr>
        <w:t>（</w:t>
      </w:r>
      <w:r>
        <w:rPr>
          <w:rFonts w:hint="default" w:ascii="仿宋_GB2312" w:hAnsi="宋体" w:eastAsia="仿宋_GB2312" w:cs="宋体"/>
          <w:color w:val="000000"/>
          <w:sz w:val="24"/>
          <w:szCs w:val="24"/>
          <w:lang w:bidi="ar"/>
        </w:rPr>
        <w:t>3</w:t>
      </w:r>
      <w:r>
        <w:rPr>
          <w:rFonts w:ascii="仿宋_GB2312" w:hAnsi="宋体" w:eastAsia="仿宋_GB2312" w:cs="宋体"/>
          <w:color w:val="000000"/>
          <w:sz w:val="24"/>
          <w:szCs w:val="24"/>
          <w:lang w:bidi="ar"/>
        </w:rPr>
        <w:t>）GB/T 39401-202</w:t>
      </w:r>
      <w:r>
        <w:rPr>
          <w:rFonts w:hint="default" w:ascii="仿宋_GB2312" w:hAnsi="宋体" w:eastAsia="仿宋_GB2312" w:cs="宋体"/>
          <w:color w:val="000000"/>
          <w:sz w:val="24"/>
          <w:szCs w:val="24"/>
          <w:lang w:bidi="ar"/>
        </w:rPr>
        <w:t>0</w:t>
      </w:r>
      <w:r>
        <w:rPr>
          <w:rFonts w:ascii="仿宋_GB2312" w:hAnsi="宋体" w:eastAsia="仿宋_GB2312" w:cs="宋体"/>
          <w:color w:val="000000"/>
          <w:sz w:val="24"/>
          <w:szCs w:val="24"/>
          <w:lang w:bidi="ar"/>
        </w:rPr>
        <w:t>《工业机器人云服务平台数据交换》规定了工业机器人与工业机器人云服务平台数据交换过程中数据集成模型、数据分类、数据描述规范及模型。适用于在运行生命周期内工业机器人与云服务平台之间信息资源交换体系的规划、设计、建设和实施。</w:t>
      </w:r>
    </w:p>
    <w:p w14:paraId="4C203782">
      <w:pPr>
        <w:pStyle w:val="10"/>
        <w:spacing w:line="360" w:lineRule="auto"/>
        <w:ind w:firstLine="480"/>
        <w:rPr>
          <w:rFonts w:hint="default" w:ascii="仿宋_GB2312" w:hAnsi="宋体" w:eastAsia="仿宋_GB2312" w:cs="宋体"/>
          <w:color w:val="000000"/>
          <w:sz w:val="24"/>
          <w:szCs w:val="24"/>
          <w:lang w:bidi="ar"/>
        </w:rPr>
      </w:pPr>
      <w:r>
        <w:rPr>
          <w:rFonts w:ascii="仿宋_GB2312" w:hAnsi="宋体" w:eastAsia="仿宋_GB2312" w:cs="宋体"/>
          <w:color w:val="000000"/>
          <w:sz w:val="24"/>
          <w:szCs w:val="24"/>
          <w:lang w:bidi="ar"/>
        </w:rPr>
        <w:t>（</w:t>
      </w:r>
      <w:r>
        <w:rPr>
          <w:rFonts w:hint="default" w:ascii="仿宋_GB2312" w:hAnsi="宋体" w:eastAsia="仿宋_GB2312" w:cs="宋体"/>
          <w:color w:val="000000"/>
          <w:sz w:val="24"/>
          <w:szCs w:val="24"/>
          <w:lang w:bidi="ar"/>
        </w:rPr>
        <w:t>4</w:t>
      </w:r>
      <w:r>
        <w:rPr>
          <w:rFonts w:ascii="仿宋_GB2312" w:hAnsi="宋体" w:eastAsia="仿宋_GB2312" w:cs="宋体"/>
          <w:color w:val="000000"/>
          <w:sz w:val="24"/>
          <w:szCs w:val="24"/>
          <w:lang w:bidi="ar"/>
        </w:rPr>
        <w:t>）GB/T30269.702-2016《信息技术 传感器网络 第702部分：传感器接口 数据接口》规定了传感器和传感结点的参数编码,以及数据交互规范本部分适用于传感器和传感结点产品的设计、生产、测试、系统集成与应用。</w:t>
      </w:r>
    </w:p>
    <w:p w14:paraId="1CFF440B">
      <w:pPr>
        <w:pStyle w:val="10"/>
        <w:spacing w:line="360" w:lineRule="auto"/>
        <w:ind w:firstLine="480"/>
        <w:rPr>
          <w:rFonts w:hint="default" w:ascii="仿宋_GB2312" w:hAnsi="宋体" w:eastAsia="仿宋_GB2312" w:cs="宋体"/>
          <w:color w:val="000000"/>
          <w:sz w:val="24"/>
          <w:szCs w:val="24"/>
          <w:lang w:bidi="ar"/>
        </w:rPr>
      </w:pPr>
      <w:r>
        <w:rPr>
          <w:rFonts w:ascii="仿宋_GB2312" w:hAnsi="宋体" w:eastAsia="仿宋_GB2312" w:cs="宋体"/>
          <w:color w:val="000000"/>
          <w:sz w:val="24"/>
          <w:szCs w:val="24"/>
          <w:lang w:bidi="ar"/>
        </w:rPr>
        <w:t>同时参考YD/T 4608.1-2023《5G网络测试数据采集统一文件接口技术要求 第1部分：文件基本结构要求》、YD/T 4608.</w:t>
      </w:r>
      <w:r>
        <w:rPr>
          <w:rFonts w:hint="default" w:ascii="仿宋_GB2312" w:hAnsi="宋体" w:eastAsia="仿宋_GB2312" w:cs="宋体"/>
          <w:color w:val="000000"/>
          <w:sz w:val="24"/>
          <w:szCs w:val="24"/>
          <w:lang w:bidi="ar"/>
        </w:rPr>
        <w:t>2</w:t>
      </w:r>
      <w:r>
        <w:rPr>
          <w:rFonts w:ascii="仿宋_GB2312" w:hAnsi="宋体" w:eastAsia="仿宋_GB2312" w:cs="宋体"/>
          <w:color w:val="000000"/>
          <w:sz w:val="24"/>
          <w:szCs w:val="24"/>
          <w:lang w:bidi="ar"/>
        </w:rPr>
        <w:t>-202</w:t>
      </w:r>
      <w:r>
        <w:rPr>
          <w:rFonts w:hint="default" w:ascii="仿宋_GB2312" w:hAnsi="宋体" w:eastAsia="仿宋_GB2312" w:cs="宋体"/>
          <w:color w:val="000000"/>
          <w:sz w:val="24"/>
          <w:szCs w:val="24"/>
          <w:lang w:bidi="ar"/>
        </w:rPr>
        <w:t>4</w:t>
      </w:r>
      <w:r>
        <w:rPr>
          <w:rFonts w:ascii="仿宋_GB2312" w:hAnsi="宋体" w:eastAsia="仿宋_GB2312" w:cs="宋体"/>
          <w:color w:val="000000"/>
          <w:sz w:val="24"/>
          <w:szCs w:val="24"/>
          <w:lang w:bidi="ar"/>
        </w:rPr>
        <w:t>《5G网络测试数据采集统一文件接口技术要求 第</w:t>
      </w:r>
      <w:r>
        <w:rPr>
          <w:rFonts w:hint="default" w:ascii="仿宋_GB2312" w:hAnsi="宋体" w:eastAsia="仿宋_GB2312" w:cs="宋体"/>
          <w:color w:val="000000"/>
          <w:sz w:val="24"/>
          <w:szCs w:val="24"/>
          <w:lang w:bidi="ar"/>
        </w:rPr>
        <w:t>2</w:t>
      </w:r>
      <w:r>
        <w:rPr>
          <w:rFonts w:ascii="仿宋_GB2312" w:hAnsi="宋体" w:eastAsia="仿宋_GB2312" w:cs="宋体"/>
          <w:color w:val="000000"/>
          <w:sz w:val="24"/>
          <w:szCs w:val="24"/>
          <w:lang w:bidi="ar"/>
        </w:rPr>
        <w:t>部分：采集事件要求》、YD/T 4608.</w:t>
      </w:r>
      <w:r>
        <w:rPr>
          <w:rFonts w:hint="default" w:ascii="仿宋_GB2312" w:hAnsi="宋体" w:eastAsia="仿宋_GB2312" w:cs="宋体"/>
          <w:color w:val="000000"/>
          <w:sz w:val="24"/>
          <w:szCs w:val="24"/>
          <w:lang w:bidi="ar"/>
        </w:rPr>
        <w:t>3</w:t>
      </w:r>
      <w:r>
        <w:rPr>
          <w:rFonts w:ascii="仿宋_GB2312" w:hAnsi="宋体" w:eastAsia="仿宋_GB2312" w:cs="宋体"/>
          <w:color w:val="000000"/>
          <w:sz w:val="24"/>
          <w:szCs w:val="24"/>
          <w:lang w:bidi="ar"/>
        </w:rPr>
        <w:t>-202</w:t>
      </w:r>
      <w:r>
        <w:rPr>
          <w:rFonts w:hint="default" w:ascii="仿宋_GB2312" w:hAnsi="宋体" w:eastAsia="仿宋_GB2312" w:cs="宋体"/>
          <w:color w:val="000000"/>
          <w:sz w:val="24"/>
          <w:szCs w:val="24"/>
          <w:lang w:bidi="ar"/>
        </w:rPr>
        <w:t>4</w:t>
      </w:r>
      <w:r>
        <w:rPr>
          <w:rFonts w:ascii="仿宋_GB2312" w:hAnsi="宋体" w:eastAsia="仿宋_GB2312" w:cs="宋体"/>
          <w:color w:val="000000"/>
          <w:sz w:val="24"/>
          <w:szCs w:val="24"/>
          <w:lang w:bidi="ar"/>
        </w:rPr>
        <w:t>《5G网络测试数据采集统一文件接口技术要求 第</w:t>
      </w:r>
      <w:r>
        <w:rPr>
          <w:rFonts w:hint="default" w:ascii="仿宋_GB2312" w:hAnsi="宋体" w:eastAsia="仿宋_GB2312" w:cs="宋体"/>
          <w:color w:val="000000"/>
          <w:sz w:val="24"/>
          <w:szCs w:val="24"/>
          <w:lang w:bidi="ar"/>
        </w:rPr>
        <w:t>3</w:t>
      </w:r>
      <w:r>
        <w:rPr>
          <w:rFonts w:ascii="仿宋_GB2312" w:hAnsi="宋体" w:eastAsia="仿宋_GB2312" w:cs="宋体"/>
          <w:color w:val="000000"/>
          <w:sz w:val="24"/>
          <w:szCs w:val="24"/>
          <w:lang w:bidi="ar"/>
        </w:rPr>
        <w:t>部分：芯片原始帧采集要求》、YD/T 4586-2023《网络安全态势感知 数据采集要求》、YD/T 4848-2024《接入网运维智能化技术要求 数据采集和通用数据模型》、JT/T 1394-2021《航标数据采集规范》、DB31/T 845-2020《新能源汽车公共数据采集技术规范》、DB11/T 2107-2023《供热系统智能化数据采集及通信规范》等，结合人形机器人所应用环境数据采集的实际情况制定本地方标准。</w:t>
      </w:r>
    </w:p>
    <w:p w14:paraId="2360CD0D">
      <w:pPr>
        <w:widowControl/>
        <w:spacing w:line="360" w:lineRule="auto"/>
        <w:jc w:val="left"/>
        <w:outlineLvl w:val="0"/>
        <w:rPr>
          <w:rFonts w:ascii="黑体" w:hAnsi="黑体" w:eastAsia="黑体" w:cs="宋体"/>
          <w:color w:val="000000"/>
          <w:kern w:val="0"/>
          <w:sz w:val="28"/>
          <w:szCs w:val="28"/>
          <w:lang w:bidi="ar"/>
        </w:rPr>
      </w:pPr>
      <w:r>
        <w:rPr>
          <w:rFonts w:hint="eastAsia" w:ascii="黑体" w:hAnsi="黑体" w:eastAsia="黑体" w:cs="宋体"/>
          <w:color w:val="000000"/>
          <w:kern w:val="0"/>
          <w:sz w:val="28"/>
          <w:szCs w:val="28"/>
          <w:lang w:bidi="ar"/>
        </w:rPr>
        <w:t>四、主要内容确定依据</w:t>
      </w:r>
    </w:p>
    <w:p w14:paraId="05FDD002">
      <w:pPr>
        <w:widowControl/>
        <w:spacing w:line="360" w:lineRule="auto"/>
        <w:jc w:val="left"/>
        <w:outlineLvl w:val="1"/>
        <w:rPr>
          <w:rFonts w:ascii="仿宋_GB2312" w:hAnsi="宋体" w:eastAsia="仿宋_GB2312" w:cs="宋体"/>
          <w:b/>
          <w:bCs/>
          <w:color w:val="000000"/>
          <w:kern w:val="0"/>
          <w:sz w:val="28"/>
          <w:szCs w:val="28"/>
          <w:lang w:bidi="ar"/>
        </w:rPr>
      </w:pPr>
      <w:r>
        <w:rPr>
          <w:rFonts w:ascii="仿宋_GB2312" w:hAnsi="宋体" w:eastAsia="仿宋_GB2312" w:cs="宋体"/>
          <w:b/>
          <w:bCs/>
          <w:color w:val="000000"/>
          <w:kern w:val="0"/>
          <w:sz w:val="28"/>
          <w:szCs w:val="28"/>
          <w:lang w:bidi="ar"/>
        </w:rPr>
        <w:t>1.</w:t>
      </w:r>
      <w:r>
        <w:rPr>
          <w:rFonts w:hint="eastAsia" w:ascii="仿宋_GB2312" w:hAnsi="宋体" w:eastAsia="仿宋_GB2312" w:cs="宋体"/>
          <w:b/>
          <w:bCs/>
          <w:color w:val="000000"/>
          <w:kern w:val="0"/>
          <w:sz w:val="28"/>
          <w:szCs w:val="28"/>
          <w:lang w:bidi="ar"/>
        </w:rPr>
        <w:t>数据采集模型</w:t>
      </w:r>
    </w:p>
    <w:p w14:paraId="3BC142FD">
      <w:pPr>
        <w:spacing w:line="360" w:lineRule="auto"/>
        <w:ind w:firstLine="480" w:firstLineChars="200"/>
        <w:rPr>
          <w:rFonts w:ascii="仿宋_GB2312" w:hAnsi="宋体" w:eastAsia="仿宋_GB2312" w:cs="宋体"/>
          <w:color w:val="000000"/>
          <w:kern w:val="0"/>
          <w:sz w:val="24"/>
          <w:szCs w:val="24"/>
          <w:lang w:bidi="ar"/>
        </w:rPr>
      </w:pPr>
      <w:r>
        <w:rPr>
          <w:rFonts w:hint="eastAsia" w:ascii="仿宋_GB2312" w:hAnsi="宋体" w:eastAsia="仿宋_GB2312" w:cs="宋体"/>
          <w:color w:val="000000"/>
          <w:kern w:val="0"/>
          <w:sz w:val="24"/>
          <w:szCs w:val="24"/>
          <w:lang w:bidi="ar"/>
        </w:rPr>
        <w:t>本标准中数据采集类型的设计，主要基于人形机器人实际运行环境及其本体数据生成机制。人形机器人的数据采集行为直接发生于其应用环境中，其核心本体数据源包括各类传感器设备、执行器状态信息以及任务程序运行数据是获取环境交互与本体状态的关键。这些数据最终将服务于人形机器人模型训练、系统开发、系统调试与验证等核心应用场景。此结构设计符合机器人系统分层架构的技术，能够满足全生命周期开发对数据的一致性和可用性要求。</w:t>
      </w:r>
    </w:p>
    <w:p w14:paraId="0633072F">
      <w:pPr>
        <w:widowControl/>
        <w:spacing w:line="360" w:lineRule="auto"/>
        <w:jc w:val="left"/>
        <w:outlineLvl w:val="1"/>
        <w:rPr>
          <w:rFonts w:ascii="仿宋_GB2312" w:hAnsi="宋体" w:eastAsia="仿宋_GB2312" w:cs="宋体"/>
          <w:b/>
          <w:bCs/>
          <w:color w:val="000000"/>
          <w:kern w:val="0"/>
          <w:sz w:val="28"/>
          <w:szCs w:val="28"/>
          <w:lang w:bidi="ar"/>
        </w:rPr>
      </w:pPr>
      <w:r>
        <w:rPr>
          <w:rFonts w:ascii="仿宋_GB2312" w:hAnsi="宋体" w:eastAsia="仿宋_GB2312" w:cs="宋体"/>
          <w:b/>
          <w:bCs/>
          <w:color w:val="000000"/>
          <w:kern w:val="0"/>
          <w:sz w:val="28"/>
          <w:szCs w:val="28"/>
          <w:lang w:bidi="ar"/>
        </w:rPr>
        <w:t>2.</w:t>
      </w:r>
      <w:r>
        <w:rPr>
          <w:rFonts w:hint="eastAsia" w:ascii="仿宋_GB2312" w:hAnsi="宋体" w:eastAsia="仿宋_GB2312" w:cs="宋体"/>
          <w:b/>
          <w:bCs/>
          <w:color w:val="000000"/>
          <w:kern w:val="0"/>
          <w:sz w:val="28"/>
          <w:szCs w:val="28"/>
          <w:lang w:bidi="ar"/>
        </w:rPr>
        <w:t>数据类型</w:t>
      </w:r>
    </w:p>
    <w:p w14:paraId="480269A8">
      <w:pPr>
        <w:spacing w:line="360" w:lineRule="auto"/>
        <w:ind w:firstLine="480" w:firstLineChars="200"/>
        <w:rPr>
          <w:rFonts w:ascii="仿宋_GB2312" w:hAnsi="宋体" w:eastAsia="仿宋_GB2312" w:cs="宋体"/>
          <w:color w:val="000000"/>
          <w:kern w:val="0"/>
          <w:sz w:val="24"/>
          <w:szCs w:val="24"/>
          <w:lang w:bidi="ar"/>
        </w:rPr>
      </w:pPr>
      <w:r>
        <w:rPr>
          <w:rFonts w:hint="eastAsia" w:ascii="仿宋_GB2312" w:hAnsi="宋体" w:eastAsia="仿宋_GB2312" w:cs="宋体"/>
          <w:color w:val="000000"/>
          <w:kern w:val="0"/>
          <w:sz w:val="24"/>
          <w:szCs w:val="24"/>
          <w:lang w:bidi="ar"/>
        </w:rPr>
        <w:t>本标准依据人形机器人系统的核心构成要素（感知、执行、应用）划分数据类型。环境与本体感知数据（摄像头、力传感器等）的分类对应机器人感知外部环境和自身状态的需求，符合系统层级划分原则；执行器工作与反馈数据（电机、减速器等）因其直接关联动作执行精度，需独立采集以满足控制可追溯性要求；应用程序数据（参数、配置、中间结果）源自开发调试全流程的实际需，参数定义本体结构，配置设定工作模式，中间结果支撑算法验证。此分类体系完整覆盖“感知-执行-决策”闭环，确保数据有效支撑模型训练、系统调试等核心应用。</w:t>
      </w:r>
    </w:p>
    <w:p w14:paraId="32611498">
      <w:pPr>
        <w:widowControl/>
        <w:spacing w:line="360" w:lineRule="auto"/>
        <w:jc w:val="left"/>
        <w:outlineLvl w:val="1"/>
        <w:rPr>
          <w:rFonts w:ascii="仿宋_GB2312" w:hAnsi="宋体" w:eastAsia="仿宋_GB2312" w:cs="宋体"/>
          <w:b/>
          <w:bCs/>
          <w:color w:val="000000"/>
          <w:kern w:val="0"/>
          <w:sz w:val="28"/>
          <w:szCs w:val="28"/>
          <w:lang w:bidi="ar"/>
        </w:rPr>
      </w:pPr>
      <w:r>
        <w:rPr>
          <w:rFonts w:ascii="仿宋_GB2312" w:hAnsi="宋体" w:eastAsia="仿宋_GB2312" w:cs="宋体"/>
          <w:b/>
          <w:bCs/>
          <w:color w:val="000000"/>
          <w:kern w:val="0"/>
          <w:sz w:val="28"/>
          <w:szCs w:val="28"/>
          <w:lang w:bidi="ar"/>
        </w:rPr>
        <w:t>3.</w:t>
      </w:r>
      <w:r>
        <w:rPr>
          <w:rFonts w:hint="eastAsia" w:ascii="仿宋_GB2312" w:hAnsi="宋体" w:eastAsia="仿宋_GB2312" w:cs="宋体"/>
          <w:b/>
          <w:bCs/>
          <w:color w:val="000000"/>
          <w:kern w:val="0"/>
          <w:sz w:val="28"/>
          <w:szCs w:val="28"/>
          <w:lang w:bidi="ar"/>
        </w:rPr>
        <w:t>数据要求</w:t>
      </w:r>
    </w:p>
    <w:p w14:paraId="43130F50">
      <w:pPr>
        <w:spacing w:line="360" w:lineRule="auto"/>
        <w:ind w:firstLine="480" w:firstLineChars="200"/>
        <w:rPr>
          <w:rFonts w:ascii="仿宋_GB2312" w:hAnsi="宋体" w:eastAsia="仿宋_GB2312" w:cs="宋体"/>
          <w:color w:val="000000"/>
          <w:kern w:val="0"/>
          <w:sz w:val="24"/>
          <w:szCs w:val="24"/>
          <w:lang w:bidi="ar"/>
        </w:rPr>
      </w:pPr>
      <w:r>
        <w:rPr>
          <w:rFonts w:hint="eastAsia" w:ascii="仿宋_GB2312" w:hAnsi="宋体" w:eastAsia="仿宋_GB2312" w:cs="宋体"/>
          <w:color w:val="000000"/>
          <w:kern w:val="0"/>
          <w:sz w:val="24"/>
          <w:szCs w:val="24"/>
          <w:lang w:bidi="ar"/>
        </w:rPr>
        <w:t>本标准的数据内容与格式要求设计，遵循人形机器人系统全栈数据治理的核心逻辑。内容需满足数据要素的完整性，通过统一纳入时间戳、设备/模块标识与数据本体字段，确保传感器与执行器数据的时空可追溯性，强化应用程序数据的模块溯源能力；参数及配置数据增设版本号与更新时间字段，以便于兼容系统迭代。格式要求基于工程实践，强制同类数据格式一致性并优先采用通用结构化格式，规范时间戳、参数值等关键字段的表达形式，同时引用GB/T 30269.701编码标准保障异构系统互操作性。</w:t>
      </w:r>
    </w:p>
    <w:p w14:paraId="1D258561">
      <w:pPr>
        <w:widowControl/>
        <w:spacing w:line="360" w:lineRule="auto"/>
        <w:jc w:val="left"/>
        <w:outlineLvl w:val="1"/>
        <w:rPr>
          <w:rFonts w:ascii="仿宋_GB2312" w:hAnsi="宋体" w:eastAsia="仿宋_GB2312" w:cs="宋体"/>
          <w:b/>
          <w:bCs/>
          <w:color w:val="000000"/>
          <w:kern w:val="0"/>
          <w:sz w:val="28"/>
          <w:szCs w:val="28"/>
          <w:lang w:bidi="ar"/>
        </w:rPr>
      </w:pPr>
      <w:r>
        <w:rPr>
          <w:rFonts w:ascii="仿宋_GB2312" w:hAnsi="宋体" w:eastAsia="仿宋_GB2312" w:cs="宋体"/>
          <w:b/>
          <w:bCs/>
          <w:color w:val="000000"/>
          <w:kern w:val="0"/>
          <w:sz w:val="28"/>
          <w:szCs w:val="28"/>
          <w:lang w:bidi="ar"/>
        </w:rPr>
        <w:t>4.</w:t>
      </w:r>
      <w:r>
        <w:rPr>
          <w:rFonts w:hint="eastAsia" w:ascii="仿宋_GB2312" w:hAnsi="宋体" w:eastAsia="仿宋_GB2312" w:cs="宋体"/>
          <w:b/>
          <w:bCs/>
          <w:color w:val="000000"/>
          <w:kern w:val="0"/>
          <w:sz w:val="28"/>
          <w:szCs w:val="28"/>
          <w:lang w:bidi="ar"/>
        </w:rPr>
        <w:t>数据接口要求</w:t>
      </w:r>
    </w:p>
    <w:p w14:paraId="27415BEB">
      <w:pPr>
        <w:spacing w:line="360" w:lineRule="auto"/>
        <w:ind w:firstLine="480" w:firstLineChars="200"/>
        <w:rPr>
          <w:rFonts w:ascii="仿宋_GB2312" w:hAnsi="宋体" w:eastAsia="仿宋_GB2312" w:cs="宋体"/>
          <w:color w:val="000000"/>
          <w:kern w:val="0"/>
          <w:sz w:val="24"/>
          <w:szCs w:val="24"/>
          <w:lang w:bidi="ar"/>
        </w:rPr>
      </w:pPr>
      <w:r>
        <w:rPr>
          <w:rFonts w:hint="eastAsia" w:ascii="仿宋_GB2312" w:hAnsi="宋体" w:eastAsia="仿宋_GB2312" w:cs="宋体"/>
          <w:color w:val="000000"/>
          <w:kern w:val="0"/>
          <w:sz w:val="24"/>
          <w:szCs w:val="24"/>
          <w:lang w:bidi="ar"/>
        </w:rPr>
        <w:t>本标准规范数据接口的通信协议、传输带宽及可靠性要求，源于人形机器人多源异构数据采集的实际需求。设计兼容以太网/USB（有线）、Wi-Fi（无线）及CAN（高速串口）等通用传输方式，通过对齐工业标准保障传感器数据、执行器指令、软件中间结果与硬件状态数据的无缝流转。带宽与可靠性指标的设定便于直接响应高频环境感知、实时运动控制等场景的时效性约束，其技术依据参照ROS 2.0 DDS、OPC UA等成熟通信框架的验证结论，确保全链路采集的稳定性与系统可集成性。</w:t>
      </w:r>
    </w:p>
    <w:p w14:paraId="18A7E839">
      <w:pPr>
        <w:widowControl/>
        <w:spacing w:line="360" w:lineRule="auto"/>
        <w:jc w:val="left"/>
        <w:outlineLvl w:val="1"/>
        <w:rPr>
          <w:rFonts w:ascii="仿宋_GB2312" w:hAnsi="宋体" w:eastAsia="仿宋_GB2312" w:cs="宋体"/>
          <w:b/>
          <w:bCs/>
          <w:color w:val="000000"/>
          <w:kern w:val="0"/>
          <w:sz w:val="28"/>
          <w:szCs w:val="28"/>
          <w:lang w:bidi="ar"/>
        </w:rPr>
      </w:pPr>
      <w:r>
        <w:rPr>
          <w:rFonts w:hint="eastAsia" w:ascii="仿宋_GB2312" w:hAnsi="宋体" w:eastAsia="仿宋_GB2312" w:cs="宋体"/>
          <w:b/>
          <w:bCs/>
          <w:color w:val="000000"/>
          <w:kern w:val="0"/>
          <w:sz w:val="28"/>
          <w:szCs w:val="28"/>
          <w:lang w:bidi="ar"/>
        </w:rPr>
        <w:t>5</w:t>
      </w:r>
      <w:r>
        <w:rPr>
          <w:rFonts w:ascii="仿宋_GB2312" w:hAnsi="宋体" w:eastAsia="仿宋_GB2312" w:cs="宋体"/>
          <w:b/>
          <w:bCs/>
          <w:color w:val="000000"/>
          <w:kern w:val="0"/>
          <w:sz w:val="28"/>
          <w:szCs w:val="28"/>
          <w:lang w:bidi="ar"/>
        </w:rPr>
        <w:t>.</w:t>
      </w:r>
      <w:r>
        <w:rPr>
          <w:rFonts w:hint="eastAsia" w:ascii="仿宋_GB2312" w:hAnsi="宋体" w:eastAsia="仿宋_GB2312" w:cs="宋体"/>
          <w:b/>
          <w:bCs/>
          <w:color w:val="000000"/>
          <w:kern w:val="0"/>
          <w:sz w:val="28"/>
          <w:szCs w:val="28"/>
          <w:lang w:bidi="ar"/>
        </w:rPr>
        <w:t>采集质量控制与安全控制要求</w:t>
      </w:r>
    </w:p>
    <w:p w14:paraId="166DCC95">
      <w:pPr>
        <w:spacing w:line="360" w:lineRule="auto"/>
        <w:ind w:firstLine="480" w:firstLineChars="200"/>
        <w:rPr>
          <w:rFonts w:ascii="仿宋_GB2312" w:hAnsi="宋体" w:eastAsia="仿宋_GB2312" w:cs="宋体"/>
          <w:color w:val="000000"/>
          <w:kern w:val="0"/>
          <w:sz w:val="24"/>
          <w:szCs w:val="24"/>
          <w:lang w:bidi="ar"/>
        </w:rPr>
      </w:pPr>
      <w:r>
        <w:rPr>
          <w:rFonts w:hint="eastAsia" w:ascii="仿宋_GB2312" w:hAnsi="宋体" w:eastAsia="仿宋_GB2312" w:cs="宋体"/>
          <w:color w:val="000000"/>
          <w:kern w:val="0"/>
          <w:sz w:val="24"/>
          <w:szCs w:val="24"/>
          <w:lang w:bidi="ar"/>
        </w:rPr>
        <w:t>本标准的数据质量控制要求以GB/T 36344为基础，通过完整性（识别离群值）、准确性（符合模型训练标准）、一致性（符合国家标准相关规定）、时效性（及时更新）、可访问性（保障安全访问）、可追溯性（数据溯源）及信息标注（转换为结构化数据）等七项原则覆盖采集全流程，确保数据可直接用于模型训练与评估。数据安全控制聚焦生物识别数据（含人体图像、声音、指纹等），依据隐私保护核心逻辑：保密性（防未授权访问与意外丢失）、目的限定性（限定合法用途）、数据最小化（禁止过度收集）及存储限制（超期删除或匿名化），形成符合GDPR等国际规范的技术实施方案。</w:t>
      </w:r>
    </w:p>
    <w:p w14:paraId="07E2266D">
      <w:pPr>
        <w:widowControl/>
        <w:spacing w:line="360" w:lineRule="auto"/>
        <w:jc w:val="left"/>
        <w:outlineLvl w:val="0"/>
        <w:rPr>
          <w:rFonts w:ascii="黑体" w:hAnsi="黑体" w:eastAsia="黑体" w:cs="宋体"/>
          <w:color w:val="000000"/>
          <w:kern w:val="0"/>
          <w:sz w:val="28"/>
          <w:szCs w:val="28"/>
          <w:lang w:bidi="ar"/>
        </w:rPr>
      </w:pPr>
      <w:r>
        <w:rPr>
          <w:rFonts w:hint="eastAsia" w:ascii="黑体" w:hAnsi="黑体" w:eastAsia="黑体" w:cs="宋体"/>
          <w:color w:val="000000"/>
          <w:kern w:val="0"/>
          <w:sz w:val="28"/>
          <w:szCs w:val="28"/>
          <w:lang w:bidi="ar"/>
        </w:rPr>
        <w:t>五、标准中涉及专利和知识产权的情况</w:t>
      </w:r>
    </w:p>
    <w:p w14:paraId="09E8E191">
      <w:pPr>
        <w:widowControl/>
        <w:spacing w:line="360" w:lineRule="auto"/>
        <w:ind w:firstLine="480" w:firstLineChars="200"/>
        <w:jc w:val="left"/>
        <w:rPr>
          <w:rFonts w:ascii="仿宋_GB2312" w:hAnsi="宋体" w:eastAsia="仿宋_GB2312" w:cs="宋体"/>
          <w:color w:val="000000"/>
          <w:kern w:val="0"/>
          <w:sz w:val="24"/>
          <w:szCs w:val="24"/>
          <w:lang w:bidi="ar"/>
        </w:rPr>
      </w:pPr>
      <w:bookmarkStart w:id="0" w:name="_Hlk201924904"/>
      <w:r>
        <w:rPr>
          <w:rFonts w:hint="eastAsia" w:ascii="仿宋_GB2312" w:hAnsi="宋体" w:eastAsia="仿宋_GB2312" w:cs="宋体"/>
          <w:color w:val="000000"/>
          <w:kern w:val="0"/>
          <w:sz w:val="24"/>
          <w:szCs w:val="24"/>
          <w:lang w:bidi="ar"/>
        </w:rPr>
        <w:t>本标准不涉及专利和知识产权问题。</w:t>
      </w:r>
    </w:p>
    <w:bookmarkEnd w:id="0"/>
    <w:p w14:paraId="46223378">
      <w:pPr>
        <w:widowControl/>
        <w:spacing w:line="360" w:lineRule="auto"/>
        <w:jc w:val="left"/>
        <w:outlineLvl w:val="0"/>
        <w:rPr>
          <w:rFonts w:ascii="黑体" w:hAnsi="黑体" w:eastAsia="黑体" w:cs="宋体"/>
          <w:color w:val="000000"/>
          <w:kern w:val="0"/>
          <w:sz w:val="28"/>
          <w:szCs w:val="28"/>
          <w:lang w:bidi="ar"/>
        </w:rPr>
      </w:pPr>
      <w:r>
        <w:rPr>
          <w:rFonts w:hint="eastAsia" w:ascii="黑体" w:hAnsi="黑体" w:eastAsia="黑体" w:cs="宋体"/>
          <w:color w:val="000000"/>
          <w:kern w:val="0"/>
          <w:sz w:val="28"/>
          <w:szCs w:val="28"/>
          <w:lang w:bidi="ar"/>
        </w:rPr>
        <w:t>六、预期达到的社会效益</w:t>
      </w:r>
    </w:p>
    <w:p w14:paraId="2D990FE6">
      <w:pPr>
        <w:widowControl/>
        <w:spacing w:line="360" w:lineRule="auto"/>
        <w:ind w:firstLine="480" w:firstLineChars="200"/>
        <w:rPr>
          <w:rFonts w:ascii="仿宋_GB2312" w:hAnsi="宋体" w:eastAsia="仿宋_GB2312" w:cs="宋体"/>
          <w:color w:val="000000"/>
          <w:kern w:val="0"/>
          <w:sz w:val="24"/>
          <w:szCs w:val="24"/>
          <w:lang w:bidi="ar"/>
        </w:rPr>
      </w:pPr>
      <w:r>
        <w:rPr>
          <w:rFonts w:hint="eastAsia" w:ascii="仿宋_GB2312" w:hAnsi="宋体" w:eastAsia="仿宋_GB2312" w:cs="宋体"/>
          <w:color w:val="000000"/>
          <w:kern w:val="0"/>
          <w:sz w:val="24"/>
          <w:szCs w:val="24"/>
          <w:lang w:bidi="ar"/>
        </w:rPr>
        <w:t>本标准的实施具有重要的社会意义，通过统一人形机器人应用环境数据标准、提升数据质量和接口要求，能够为企业降低研发门槛与成本，解决数据采集过程中数据质量参差不齐、数据格式不一致等问题，提高数据的可用性和可信度。提升数据管理和信息安全水平，促进数据共享与流通，促进产业链协同，实现数据价值的最大化。从而推动人形机器人产业化落地和在家庭服务、医疗护理、教育辅导等高价值社会服务领域的广泛应用。</w:t>
      </w:r>
    </w:p>
    <w:p w14:paraId="39CA51DF">
      <w:pPr>
        <w:widowControl/>
        <w:spacing w:line="360" w:lineRule="auto"/>
        <w:jc w:val="left"/>
        <w:outlineLvl w:val="0"/>
        <w:rPr>
          <w:rFonts w:ascii="黑体" w:hAnsi="黑体" w:eastAsia="黑体" w:cs="宋体"/>
          <w:color w:val="000000"/>
          <w:kern w:val="0"/>
          <w:sz w:val="28"/>
          <w:szCs w:val="28"/>
          <w:lang w:bidi="ar"/>
        </w:rPr>
      </w:pPr>
      <w:r>
        <w:rPr>
          <w:rFonts w:hint="eastAsia" w:ascii="黑体" w:hAnsi="黑体" w:eastAsia="黑体" w:cs="宋体"/>
          <w:color w:val="000000"/>
          <w:kern w:val="0"/>
          <w:sz w:val="28"/>
          <w:szCs w:val="28"/>
          <w:lang w:bidi="ar"/>
        </w:rPr>
        <w:t xml:space="preserve">七、与我国有关的现行法律、法规和相关强制性标准的关系 </w:t>
      </w:r>
    </w:p>
    <w:p w14:paraId="21B39C80">
      <w:pPr>
        <w:widowControl/>
        <w:spacing w:line="360" w:lineRule="auto"/>
        <w:ind w:firstLine="480" w:firstLineChars="200"/>
        <w:jc w:val="left"/>
        <w:rPr>
          <w:rFonts w:ascii="仿宋_GB2312" w:hAnsi="宋体" w:eastAsia="仿宋_GB2312" w:cs="宋体"/>
          <w:color w:val="000000"/>
          <w:kern w:val="0"/>
          <w:sz w:val="24"/>
          <w:szCs w:val="24"/>
          <w:lang w:bidi="ar"/>
        </w:rPr>
      </w:pPr>
      <w:r>
        <w:rPr>
          <w:rFonts w:hint="eastAsia" w:ascii="仿宋_GB2312" w:hAnsi="宋体" w:eastAsia="仿宋_GB2312" w:cs="宋体"/>
          <w:color w:val="000000"/>
          <w:kern w:val="0"/>
          <w:sz w:val="24"/>
          <w:szCs w:val="24"/>
          <w:lang w:bidi="ar"/>
        </w:rPr>
        <w:t>本标准与国家现行法律、法规和相关强制性标准相协调配套。</w:t>
      </w:r>
    </w:p>
    <w:p w14:paraId="02878EBB">
      <w:pPr>
        <w:widowControl/>
        <w:spacing w:line="360" w:lineRule="auto"/>
        <w:jc w:val="left"/>
        <w:outlineLvl w:val="0"/>
        <w:rPr>
          <w:rFonts w:ascii="黑体" w:hAnsi="黑体" w:eastAsia="黑体" w:cs="宋体"/>
          <w:color w:val="000000"/>
          <w:kern w:val="0"/>
          <w:sz w:val="28"/>
          <w:szCs w:val="28"/>
          <w:lang w:bidi="ar"/>
        </w:rPr>
      </w:pPr>
      <w:r>
        <w:rPr>
          <w:rFonts w:hint="eastAsia" w:ascii="黑体" w:hAnsi="黑体" w:eastAsia="黑体" w:cs="宋体"/>
          <w:color w:val="000000"/>
          <w:kern w:val="0"/>
          <w:sz w:val="28"/>
          <w:szCs w:val="28"/>
          <w:lang w:bidi="ar"/>
        </w:rPr>
        <w:t>八、重大分歧意见的处理依据和结果</w:t>
      </w:r>
    </w:p>
    <w:p w14:paraId="257B4033">
      <w:pPr>
        <w:widowControl/>
        <w:spacing w:line="360" w:lineRule="auto"/>
        <w:ind w:firstLine="480" w:firstLineChars="200"/>
        <w:rPr>
          <w:rFonts w:ascii="仿宋_GB2312" w:hAnsi="宋体" w:eastAsia="仿宋_GB2312" w:cs="宋体"/>
          <w:color w:val="000000"/>
          <w:kern w:val="0"/>
          <w:sz w:val="24"/>
          <w:szCs w:val="24"/>
          <w:lang w:bidi="ar"/>
        </w:rPr>
      </w:pPr>
      <w:r>
        <w:rPr>
          <w:rFonts w:hint="eastAsia" w:ascii="仿宋_GB2312" w:hAnsi="宋体" w:eastAsia="仿宋_GB2312" w:cs="宋体"/>
          <w:color w:val="000000"/>
          <w:kern w:val="0"/>
          <w:sz w:val="24"/>
          <w:szCs w:val="24"/>
          <w:lang w:bidi="ar"/>
        </w:rPr>
        <w:t>编制组根据起草前确定的编制原则进行了标准起草，标准起草组前期进行了充分的准备和调研，并做了大量调查论证、信息分析工作，标准在主要技术内容上，行业内取得了较为一致的意见，标准起草过程中未发生重大分歧意见。</w:t>
      </w:r>
    </w:p>
    <w:p w14:paraId="2D19AFCA">
      <w:pPr>
        <w:widowControl/>
        <w:spacing w:line="360" w:lineRule="auto"/>
        <w:jc w:val="left"/>
        <w:outlineLvl w:val="0"/>
        <w:rPr>
          <w:rFonts w:ascii="黑体" w:hAnsi="黑体" w:eastAsia="黑体" w:cs="宋体"/>
          <w:color w:val="000000"/>
          <w:kern w:val="0"/>
          <w:sz w:val="28"/>
          <w:szCs w:val="28"/>
          <w:lang w:bidi="ar"/>
        </w:rPr>
      </w:pPr>
      <w:r>
        <w:rPr>
          <w:rFonts w:hint="eastAsia" w:ascii="黑体" w:hAnsi="黑体" w:eastAsia="黑体" w:cs="宋体"/>
          <w:color w:val="000000"/>
          <w:kern w:val="0"/>
          <w:sz w:val="28"/>
          <w:szCs w:val="28"/>
          <w:lang w:bidi="ar"/>
        </w:rPr>
        <w:t>九、实施地方标准的措施建议</w:t>
      </w:r>
    </w:p>
    <w:p w14:paraId="4D7996F3">
      <w:pPr>
        <w:widowControl/>
        <w:spacing w:line="360" w:lineRule="auto"/>
        <w:ind w:firstLine="480" w:firstLineChars="200"/>
        <w:jc w:val="left"/>
        <w:rPr>
          <w:rFonts w:ascii="仿宋_GB2312" w:hAnsi="宋体" w:eastAsia="仿宋_GB2312" w:cs="宋体"/>
          <w:color w:val="000000"/>
          <w:kern w:val="0"/>
          <w:sz w:val="24"/>
          <w:szCs w:val="24"/>
          <w:lang w:bidi="ar"/>
        </w:rPr>
      </w:pPr>
      <w:r>
        <w:rPr>
          <w:rFonts w:hint="eastAsia" w:ascii="仿宋_GB2312" w:hAnsi="宋体" w:eastAsia="仿宋_GB2312" w:cs="宋体"/>
          <w:color w:val="000000"/>
          <w:kern w:val="0"/>
          <w:sz w:val="24"/>
          <w:szCs w:val="24"/>
          <w:lang w:bidi="ar"/>
        </w:rPr>
        <w:t>拟通过开展标准的宣贯、培训和标准实施跟踪检查等方式推动标准实施。</w:t>
      </w:r>
    </w:p>
    <w:p w14:paraId="4CA0B574">
      <w:pPr>
        <w:widowControl/>
        <w:spacing w:line="360" w:lineRule="auto"/>
        <w:jc w:val="left"/>
        <w:outlineLvl w:val="0"/>
        <w:rPr>
          <w:rFonts w:ascii="黑体" w:hAnsi="黑体" w:eastAsia="黑体" w:cs="宋体"/>
          <w:color w:val="000000"/>
          <w:kern w:val="0"/>
          <w:sz w:val="28"/>
          <w:szCs w:val="28"/>
          <w:lang w:bidi="ar"/>
        </w:rPr>
      </w:pPr>
      <w:r>
        <w:rPr>
          <w:rFonts w:hint="eastAsia" w:ascii="黑体" w:hAnsi="黑体" w:eastAsia="黑体" w:cs="宋体"/>
          <w:color w:val="000000"/>
          <w:kern w:val="0"/>
          <w:sz w:val="28"/>
          <w:szCs w:val="28"/>
          <w:lang w:bidi="ar"/>
        </w:rPr>
        <w:t>十、其他需要说明的事项</w:t>
      </w:r>
    </w:p>
    <w:p w14:paraId="4C5E006D">
      <w:pPr>
        <w:widowControl/>
        <w:spacing w:line="360" w:lineRule="auto"/>
        <w:ind w:firstLine="480" w:firstLineChars="200"/>
        <w:jc w:val="left"/>
        <w:rPr>
          <w:rFonts w:ascii="仿宋_GB2312" w:hAnsi="宋体" w:eastAsia="仿宋_GB2312" w:cs="宋体"/>
          <w:color w:val="000000"/>
          <w:kern w:val="0"/>
          <w:sz w:val="24"/>
          <w:szCs w:val="24"/>
          <w:lang w:bidi="ar"/>
        </w:rPr>
      </w:pPr>
      <w:r>
        <w:rPr>
          <w:rFonts w:ascii="仿宋_GB2312" w:hAnsi="宋体" w:eastAsia="仿宋_GB2312" w:cs="宋体"/>
          <w:color w:val="000000"/>
          <w:kern w:val="0"/>
          <w:sz w:val="24"/>
          <w:szCs w:val="24"/>
          <w:lang w:bidi="ar"/>
        </w:rPr>
        <w:t>无。</w:t>
      </w:r>
    </w:p>
    <w:p w14:paraId="4D4334E8">
      <w:pPr>
        <w:pStyle w:val="10"/>
        <w:spacing w:line="360" w:lineRule="auto"/>
        <w:ind w:firstLine="420"/>
        <w:jc w:val="left"/>
        <w:rPr>
          <w:rFonts w:hint="default"/>
        </w:rPr>
      </w:pPr>
    </w:p>
    <w:p w14:paraId="265183EC">
      <w:pPr>
        <w:pStyle w:val="10"/>
        <w:spacing w:line="360" w:lineRule="auto"/>
        <w:ind w:firstLine="420"/>
        <w:jc w:val="left"/>
        <w:rPr>
          <w:rFonts w:hint="default"/>
        </w:rPr>
      </w:pPr>
    </w:p>
    <w:p w14:paraId="203EADD5">
      <w:pPr>
        <w:pStyle w:val="10"/>
        <w:ind w:firstLine="480"/>
        <w:jc w:val="right"/>
        <w:rPr>
          <w:rFonts w:hint="default" w:ascii="仿宋_GB2312" w:hAnsi="宋体" w:eastAsia="仿宋_GB2312" w:cs="宋体"/>
          <w:color w:val="000000"/>
          <w:sz w:val="24"/>
          <w:szCs w:val="24"/>
          <w:lang w:bidi="ar"/>
        </w:rPr>
      </w:pPr>
      <w:r>
        <w:rPr>
          <w:rFonts w:ascii="仿宋_GB2312" w:hAnsi="宋体" w:eastAsia="仿宋_GB2312" w:cs="宋体"/>
          <w:color w:val="000000"/>
          <w:sz w:val="24"/>
          <w:szCs w:val="24"/>
          <w:lang w:bidi="ar"/>
        </w:rPr>
        <w:t>标准</w:t>
      </w:r>
      <w:r>
        <w:rPr>
          <w:rFonts w:hint="default" w:ascii="仿宋_GB2312" w:hAnsi="宋体" w:eastAsia="仿宋_GB2312" w:cs="宋体"/>
          <w:color w:val="000000"/>
          <w:sz w:val="24"/>
          <w:szCs w:val="24"/>
          <w:lang w:bidi="ar"/>
        </w:rPr>
        <w:t>编制小</w:t>
      </w:r>
      <w:r>
        <w:rPr>
          <w:rFonts w:ascii="仿宋_GB2312" w:hAnsi="宋体" w:eastAsia="仿宋_GB2312" w:cs="宋体"/>
          <w:color w:val="000000"/>
          <w:sz w:val="24"/>
          <w:szCs w:val="24"/>
          <w:lang w:bidi="ar"/>
        </w:rPr>
        <w:t>组</w:t>
      </w:r>
    </w:p>
    <w:p w14:paraId="1F9F8798">
      <w:pPr>
        <w:pStyle w:val="10"/>
        <w:spacing w:line="360" w:lineRule="auto"/>
        <w:ind w:firstLine="480"/>
        <w:jc w:val="right"/>
        <w:rPr>
          <w:rFonts w:hint="default" w:ascii="仿宋_GB2312" w:hAnsi="宋体" w:eastAsia="仿宋_GB2312" w:cs="宋体"/>
          <w:color w:val="000000"/>
          <w:sz w:val="24"/>
          <w:szCs w:val="24"/>
          <w:lang w:bidi="ar"/>
        </w:rPr>
      </w:pPr>
      <w:r>
        <w:rPr>
          <w:rFonts w:ascii="仿宋_GB2312" w:hAnsi="宋体" w:eastAsia="仿宋_GB2312" w:cs="宋体"/>
          <w:color w:val="000000"/>
          <w:sz w:val="24"/>
          <w:szCs w:val="24"/>
          <w:lang w:bidi="ar"/>
        </w:rPr>
        <w:t>二</w:t>
      </w:r>
      <w:r>
        <w:rPr>
          <w:rFonts w:ascii="微软雅黑" w:hAnsi="微软雅黑" w:eastAsia="微软雅黑" w:cs="微软雅黑"/>
          <w:color w:val="000000"/>
          <w:sz w:val="24"/>
          <w:szCs w:val="24"/>
          <w:lang w:bidi="ar"/>
        </w:rPr>
        <w:t>〇</w:t>
      </w:r>
      <w:r>
        <w:rPr>
          <w:rFonts w:ascii="仿宋_GB2312" w:hAnsi="宋体" w:eastAsia="仿宋_GB2312" w:cs="宋体"/>
          <w:color w:val="000000"/>
          <w:sz w:val="24"/>
          <w:szCs w:val="24"/>
          <w:lang w:bidi="ar"/>
        </w:rPr>
        <w:t>二五年六月</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2D4D8816-300C-487A-9A53-3B5AF00FA46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embedRegular r:id="rId2" w:fontKey="{6799C26C-D111-4DFF-A0FF-32A233ABF66F}"/>
  </w:font>
  <w:font w:name="华文中宋">
    <w:altName w:val="宋体"/>
    <w:panose1 w:val="02010600040101010101"/>
    <w:charset w:val="86"/>
    <w:family w:val="auto"/>
    <w:pitch w:val="default"/>
    <w:sig w:usb0="00000000" w:usb1="00000000" w:usb2="00000010" w:usb3="00000000" w:csb0="0004009F" w:csb1="00000000"/>
  </w:font>
  <w:font w:name="仿宋">
    <w:panose1 w:val="02010609060101010101"/>
    <w:charset w:val="86"/>
    <w:family w:val="modern"/>
    <w:pitch w:val="default"/>
    <w:sig w:usb0="800002BF" w:usb1="38CF7CFA" w:usb2="00000016" w:usb3="00000000" w:csb0="00040001" w:csb1="00000000"/>
  </w:font>
  <w:font w:name="方正小标宋简体">
    <w:panose1 w:val="02000000000000000000"/>
    <w:charset w:val="86"/>
    <w:family w:val="auto"/>
    <w:pitch w:val="default"/>
    <w:sig w:usb0="00000001" w:usb1="080E0000" w:usb2="00000000" w:usb3="00000000" w:csb0="00040000" w:csb1="00000000"/>
    <w:embedRegular r:id="rId3" w:fontKey="{746CAE04-B482-47DE-9B5F-FFFFD79EF25A}"/>
  </w:font>
  <w:font w:name="微软雅黑">
    <w:panose1 w:val="020B0503020204020204"/>
    <w:charset w:val="86"/>
    <w:family w:val="swiss"/>
    <w:pitch w:val="default"/>
    <w:sig w:usb0="80000287" w:usb1="2ACF3C50" w:usb2="00000016" w:usb3="00000000" w:csb0="0004001F" w:csb1="00000000"/>
    <w:embedRegular r:id="rId4" w:fontKey="{9E6EF7B9-863E-4C13-AC1B-A765A9D11D9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B162F04"/>
    <w:multiLevelType w:val="multilevel"/>
    <w:tmpl w:val="5B162F04"/>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846E6"/>
    <w:rsid w:val="00002446"/>
    <w:rsid w:val="000028EB"/>
    <w:rsid w:val="00006524"/>
    <w:rsid w:val="00017256"/>
    <w:rsid w:val="000710A4"/>
    <w:rsid w:val="000C24FC"/>
    <w:rsid w:val="000F0104"/>
    <w:rsid w:val="00104234"/>
    <w:rsid w:val="0010435F"/>
    <w:rsid w:val="001054EA"/>
    <w:rsid w:val="0012287A"/>
    <w:rsid w:val="00140F22"/>
    <w:rsid w:val="0017401B"/>
    <w:rsid w:val="00174C82"/>
    <w:rsid w:val="001842AA"/>
    <w:rsid w:val="001A794F"/>
    <w:rsid w:val="00204BC6"/>
    <w:rsid w:val="002721BB"/>
    <w:rsid w:val="002A5F9D"/>
    <w:rsid w:val="002B549F"/>
    <w:rsid w:val="002B614E"/>
    <w:rsid w:val="00357F9C"/>
    <w:rsid w:val="00365EED"/>
    <w:rsid w:val="00392995"/>
    <w:rsid w:val="003C3D26"/>
    <w:rsid w:val="003D59CD"/>
    <w:rsid w:val="003F4FCA"/>
    <w:rsid w:val="0044511E"/>
    <w:rsid w:val="004464A6"/>
    <w:rsid w:val="00457774"/>
    <w:rsid w:val="00484727"/>
    <w:rsid w:val="004A5022"/>
    <w:rsid w:val="004F5795"/>
    <w:rsid w:val="00514C2B"/>
    <w:rsid w:val="00534E0A"/>
    <w:rsid w:val="00545924"/>
    <w:rsid w:val="0056176D"/>
    <w:rsid w:val="005A133F"/>
    <w:rsid w:val="005A6279"/>
    <w:rsid w:val="005B5DAE"/>
    <w:rsid w:val="005C1204"/>
    <w:rsid w:val="005D6355"/>
    <w:rsid w:val="005E0011"/>
    <w:rsid w:val="005F2CD7"/>
    <w:rsid w:val="00612495"/>
    <w:rsid w:val="00615E32"/>
    <w:rsid w:val="00625940"/>
    <w:rsid w:val="00626FEB"/>
    <w:rsid w:val="00647A28"/>
    <w:rsid w:val="00653C83"/>
    <w:rsid w:val="006546FD"/>
    <w:rsid w:val="006846E6"/>
    <w:rsid w:val="006C0A16"/>
    <w:rsid w:val="006C1C0C"/>
    <w:rsid w:val="006E0052"/>
    <w:rsid w:val="007807C1"/>
    <w:rsid w:val="00791EA0"/>
    <w:rsid w:val="0079222E"/>
    <w:rsid w:val="007A028A"/>
    <w:rsid w:val="007B0231"/>
    <w:rsid w:val="007B3A47"/>
    <w:rsid w:val="007C6929"/>
    <w:rsid w:val="007E0B3B"/>
    <w:rsid w:val="007E225A"/>
    <w:rsid w:val="00806EC8"/>
    <w:rsid w:val="00836600"/>
    <w:rsid w:val="00850960"/>
    <w:rsid w:val="0089454D"/>
    <w:rsid w:val="00897C3C"/>
    <w:rsid w:val="008A73F2"/>
    <w:rsid w:val="00950F53"/>
    <w:rsid w:val="00973978"/>
    <w:rsid w:val="009A35EE"/>
    <w:rsid w:val="009B5723"/>
    <w:rsid w:val="00A30A98"/>
    <w:rsid w:val="00A31404"/>
    <w:rsid w:val="00A3393D"/>
    <w:rsid w:val="00A471F8"/>
    <w:rsid w:val="00AA36AE"/>
    <w:rsid w:val="00AB63DE"/>
    <w:rsid w:val="00AF4D3E"/>
    <w:rsid w:val="00B02E0F"/>
    <w:rsid w:val="00B261C7"/>
    <w:rsid w:val="00B543F1"/>
    <w:rsid w:val="00B92CF1"/>
    <w:rsid w:val="00BC0A82"/>
    <w:rsid w:val="00BE3909"/>
    <w:rsid w:val="00BE68D1"/>
    <w:rsid w:val="00BF60E4"/>
    <w:rsid w:val="00C27E54"/>
    <w:rsid w:val="00C37FA8"/>
    <w:rsid w:val="00C46ED3"/>
    <w:rsid w:val="00C6331C"/>
    <w:rsid w:val="00C931B9"/>
    <w:rsid w:val="00D15306"/>
    <w:rsid w:val="00D26DB6"/>
    <w:rsid w:val="00D4084C"/>
    <w:rsid w:val="00D81D78"/>
    <w:rsid w:val="00D90CC1"/>
    <w:rsid w:val="00DF4A67"/>
    <w:rsid w:val="00E17A2C"/>
    <w:rsid w:val="00E25AA2"/>
    <w:rsid w:val="00E33E42"/>
    <w:rsid w:val="00E52162"/>
    <w:rsid w:val="00E52224"/>
    <w:rsid w:val="00E65613"/>
    <w:rsid w:val="00E9093D"/>
    <w:rsid w:val="00E93A23"/>
    <w:rsid w:val="00EA06D3"/>
    <w:rsid w:val="00EB78B2"/>
    <w:rsid w:val="00F2302B"/>
    <w:rsid w:val="00F4610A"/>
    <w:rsid w:val="00F55AC4"/>
    <w:rsid w:val="00F659C5"/>
    <w:rsid w:val="0968CA01"/>
    <w:rsid w:val="3C732571"/>
    <w:rsid w:val="3DDFBBEA"/>
    <w:rsid w:val="6B8F4D12"/>
    <w:rsid w:val="6CE45B2B"/>
    <w:rsid w:val="7DADFDDA"/>
    <w:rsid w:val="B2F7AA02"/>
    <w:rsid w:val="BF371BCE"/>
    <w:rsid w:val="EFFE1DA3"/>
    <w:rsid w:val="FE7FDA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6"/>
    <w:uiPriority w:val="0"/>
    <w:pPr>
      <w:jc w:val="left"/>
    </w:pPr>
  </w:style>
  <w:style w:type="paragraph" w:styleId="3">
    <w:name w:val="Balloon Text"/>
    <w:basedOn w:val="1"/>
    <w:link w:val="15"/>
    <w:qFormat/>
    <w:uiPriority w:val="0"/>
    <w:rPr>
      <w:sz w:val="18"/>
      <w:szCs w:val="18"/>
    </w:rPr>
  </w:style>
  <w:style w:type="paragraph" w:styleId="4">
    <w:name w:val="footer"/>
    <w:basedOn w:val="1"/>
    <w:link w:val="11"/>
    <w:qFormat/>
    <w:uiPriority w:val="0"/>
    <w:pPr>
      <w:tabs>
        <w:tab w:val="center" w:pos="4153"/>
        <w:tab w:val="right" w:pos="8306"/>
      </w:tabs>
      <w:snapToGrid w:val="0"/>
      <w:jc w:val="left"/>
    </w:pPr>
    <w:rPr>
      <w:sz w:val="18"/>
    </w:rPr>
  </w:style>
  <w:style w:type="paragraph" w:styleId="5">
    <w:name w:val="header"/>
    <w:basedOn w:val="1"/>
    <w:link w:val="14"/>
    <w:qFormat/>
    <w:uiPriority w:val="0"/>
    <w:pPr>
      <w:pBdr>
        <w:bottom w:val="single" w:color="auto" w:sz="6" w:space="1"/>
      </w:pBdr>
      <w:tabs>
        <w:tab w:val="center" w:pos="4153"/>
        <w:tab w:val="right" w:pos="8306"/>
      </w:tabs>
      <w:snapToGrid w:val="0"/>
      <w:jc w:val="center"/>
    </w:pPr>
    <w:rPr>
      <w:sz w:val="18"/>
      <w:szCs w:val="18"/>
    </w:rPr>
  </w:style>
  <w:style w:type="paragraph" w:styleId="6">
    <w:name w:val="annotation subject"/>
    <w:basedOn w:val="2"/>
    <w:next w:val="2"/>
    <w:link w:val="17"/>
    <w:semiHidden/>
    <w:unhideWhenUsed/>
    <w:qFormat/>
    <w:uiPriority w:val="0"/>
    <w:rPr>
      <w:b/>
      <w:bCs/>
    </w:rPr>
  </w:style>
  <w:style w:type="character" w:styleId="9">
    <w:name w:val="annotation reference"/>
    <w:basedOn w:val="8"/>
    <w:uiPriority w:val="0"/>
    <w:rPr>
      <w:sz w:val="21"/>
      <w:szCs w:val="21"/>
    </w:rPr>
  </w:style>
  <w:style w:type="paragraph" w:customStyle="1" w:styleId="10">
    <w:name w:val="标准文件_段"/>
    <w:basedOn w:val="1"/>
    <w:link w:val="12"/>
    <w:qFormat/>
    <w:uiPriority w:val="0"/>
    <w:pPr>
      <w:widowControl/>
      <w:autoSpaceDE w:val="0"/>
      <w:autoSpaceDN w:val="0"/>
      <w:ind w:firstLine="200" w:firstLineChars="200"/>
    </w:pPr>
    <w:rPr>
      <w:rFonts w:hint="eastAsia" w:ascii="宋体" w:hAnsi="Times New Roman" w:eastAsia="宋体" w:cs="Times New Roman"/>
      <w:kern w:val="0"/>
      <w:szCs w:val="20"/>
    </w:rPr>
  </w:style>
  <w:style w:type="character" w:customStyle="1" w:styleId="11">
    <w:name w:val="页脚 字符"/>
    <w:basedOn w:val="8"/>
    <w:link w:val="4"/>
    <w:qFormat/>
    <w:uiPriority w:val="0"/>
    <w:rPr>
      <w:rFonts w:hint="eastAsia" w:ascii="宋体" w:hAnsi="宋体" w:eastAsia="宋体" w:cs="宋体"/>
      <w:kern w:val="2"/>
      <w:sz w:val="18"/>
      <w:szCs w:val="18"/>
    </w:rPr>
  </w:style>
  <w:style w:type="character" w:customStyle="1" w:styleId="12">
    <w:name w:val="标准文件_段 Char"/>
    <w:basedOn w:val="8"/>
    <w:link w:val="10"/>
    <w:qFormat/>
    <w:uiPriority w:val="0"/>
    <w:rPr>
      <w:rFonts w:hint="eastAsia" w:ascii="宋体" w:hAnsi="Times New Roman" w:eastAsia="宋体" w:cs="宋体"/>
      <w:sz w:val="21"/>
    </w:rPr>
  </w:style>
  <w:style w:type="paragraph" w:customStyle="1" w:styleId="13">
    <w:name w:val="列出段落1"/>
    <w:basedOn w:val="1"/>
    <w:qFormat/>
    <w:uiPriority w:val="34"/>
    <w:pPr>
      <w:ind w:firstLine="420" w:firstLineChars="200"/>
    </w:pPr>
  </w:style>
  <w:style w:type="character" w:customStyle="1" w:styleId="14">
    <w:name w:val="页眉 字符"/>
    <w:basedOn w:val="8"/>
    <w:link w:val="5"/>
    <w:qFormat/>
    <w:uiPriority w:val="0"/>
    <w:rPr>
      <w:rFonts w:asciiTheme="minorHAnsi" w:hAnsiTheme="minorHAnsi" w:eastAsiaTheme="minorEastAsia" w:cstheme="minorBidi"/>
      <w:kern w:val="2"/>
      <w:sz w:val="18"/>
      <w:szCs w:val="18"/>
    </w:rPr>
  </w:style>
  <w:style w:type="character" w:customStyle="1" w:styleId="15">
    <w:name w:val="批注框文本 字符"/>
    <w:basedOn w:val="8"/>
    <w:link w:val="3"/>
    <w:qFormat/>
    <w:uiPriority w:val="0"/>
    <w:rPr>
      <w:rFonts w:asciiTheme="minorHAnsi" w:hAnsiTheme="minorHAnsi" w:eastAsiaTheme="minorEastAsia" w:cstheme="minorBidi"/>
      <w:kern w:val="2"/>
      <w:sz w:val="18"/>
      <w:szCs w:val="18"/>
    </w:rPr>
  </w:style>
  <w:style w:type="character" w:customStyle="1" w:styleId="16">
    <w:name w:val="批注文字 字符"/>
    <w:basedOn w:val="8"/>
    <w:link w:val="2"/>
    <w:uiPriority w:val="0"/>
    <w:rPr>
      <w:rFonts w:asciiTheme="minorHAnsi" w:hAnsiTheme="minorHAnsi" w:eastAsiaTheme="minorEastAsia" w:cstheme="minorBidi"/>
      <w:kern w:val="2"/>
      <w:sz w:val="21"/>
      <w:szCs w:val="22"/>
    </w:rPr>
  </w:style>
  <w:style w:type="character" w:customStyle="1" w:styleId="17">
    <w:name w:val="批注主题 字符"/>
    <w:basedOn w:val="16"/>
    <w:link w:val="6"/>
    <w:semiHidden/>
    <w:uiPriority w:val="0"/>
    <w:rPr>
      <w:rFonts w:asciiTheme="minorHAnsi" w:hAnsiTheme="minorHAnsi" w:eastAsiaTheme="minorEastAsia" w:cstheme="minorBidi"/>
      <w:b/>
      <w:bCs/>
      <w:kern w:val="2"/>
      <w:sz w:val="21"/>
      <w:szCs w:val="22"/>
    </w:rPr>
  </w:style>
  <w:style w:type="paragraph" w:styleId="18">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8</Pages>
  <Words>4793</Words>
  <Characters>5202</Characters>
  <Lines>38</Lines>
  <Paragraphs>10</Paragraphs>
  <TotalTime>83</TotalTime>
  <ScaleCrop>false</ScaleCrop>
  <LinksUpToDate>false</LinksUpToDate>
  <CharactersWithSpaces>5262</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2025-06-20T09:16:00Z</dcterms:created>
  <dc:creator>素言</dc:creator>
  <cp:lastModifiedBy>lulu最爱重口味</cp:lastModifiedBy>
  <dcterms:modified xsi:type="dcterms:W3CDTF">2025-10-14T01:22:11Z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32FDA7EF533E4CCF86C916EDE0DB22FF_11</vt:lpwstr>
  </property>
  <property fmtid="{D5CDD505-2E9C-101B-9397-08002B2CF9AE}" pid="4" name="KSOTemplateDocerSaveRecord">
    <vt:lpwstr>eyJoZGlkIjoiZjg5NzkwMWRjZjBiNzk5YzVmYWFlYWYzZTQ2OTE0Y2YiLCJ1c2VySWQiOiIzMzExNTQxOTkifQ==</vt:lpwstr>
  </property>
</Properties>
</file>