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val="en-US" w:eastAsia="zh-CN"/>
        </w:rPr>
        <w:t>附件5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龙岗区人工智能公共技术服务平台扶持项目申报指南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w:t>
      </w:r>
      <w:r>
        <w:rPr>
          <w:rFonts w:hint="eastAsia" w:ascii="CESI仿宋-GB2312" w:hAnsi="CESI仿宋-GB2312" w:eastAsia="CESI仿宋-GB2312" w:cs="CESI仿宋-GB2312"/>
          <w:color w:val="auto"/>
          <w:sz w:val="30"/>
          <w:szCs w:val="30"/>
          <w:highlight w:val="none"/>
          <w:lang w:eastAsia="zh-CN"/>
        </w:rPr>
        <w:t>干措施》（深龙工信规〔2024〕7号）；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CESI仿宋-GB2312" w:hAnsi="CESI仿宋-GB2312" w:eastAsia="CESI仿宋-GB2312" w:cs="CESI仿宋-GB2312"/>
          <w:color w:val="auto"/>
          <w:sz w:val="30"/>
          <w:szCs w:val="30"/>
          <w:highlight w:val="none"/>
          <w:lang w:eastAsia="zh-CN"/>
        </w:rPr>
        <w:t>（二）</w:t>
      </w:r>
      <w:r>
        <w:rPr>
          <w:rFonts w:hint="eastAsia" w:ascii="仿宋_GB2312" w:hAnsi="仿宋_GB2312" w:eastAsia="仿宋_GB2312" w:cs="仿宋_GB2312"/>
          <w:color w:val="auto"/>
          <w:kern w:val="2"/>
          <w:sz w:val="30"/>
          <w:szCs w:val="30"/>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0"/>
          <w:szCs w:val="30"/>
          <w:highlight w:val="none"/>
          <w:lang w:eastAsia="zh-CN"/>
        </w:rPr>
        <w:t>（深龙工信规〔202</w:t>
      </w:r>
      <w:r>
        <w:rPr>
          <w:rFonts w:hint="eastAsia" w:ascii="CESI仿宋-GB2312" w:hAnsi="CESI仿宋-GB2312" w:eastAsia="CESI仿宋-GB2312" w:cs="CESI仿宋-GB2312"/>
          <w:color w:val="auto"/>
          <w:sz w:val="30"/>
          <w:szCs w:val="30"/>
          <w:highlight w:val="none"/>
          <w:lang w:val="en-US" w:eastAsia="zh-CN"/>
        </w:rPr>
        <w:t>5</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lang w:eastAsia="zh-CN"/>
        </w:rPr>
        <w:t>号</w:t>
      </w:r>
      <w:r>
        <w:rPr>
          <w:rFonts w:hint="eastAsia" w:ascii="仿宋_GB2312" w:hAnsi="仿宋_GB2312" w:eastAsia="仿宋_GB2312" w:cs="仿宋_GB2312"/>
          <w:color w:val="auto"/>
          <w:kern w:val="2"/>
          <w:sz w:val="30"/>
          <w:szCs w:val="30"/>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二、项目扶持范围和标准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（一）扶持范围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rPr>
      </w:pPr>
      <w:r>
        <w:rPr>
          <w:rFonts w:hint="eastAsia" w:ascii="仿宋_GB2312" w:hAnsi="仿宋_GB2312" w:eastAsia="仿宋_GB2312" w:cs="仿宋_GB2312"/>
          <w:color w:val="auto"/>
          <w:sz w:val="32"/>
          <w:szCs w:val="36"/>
          <w:highlight w:val="none"/>
          <w:lang w:eastAsia="zh-CN"/>
        </w:rPr>
        <w:t>支持企业在龙岗区</w:t>
      </w:r>
      <w:r>
        <w:rPr>
          <w:rFonts w:hint="eastAsia" w:ascii="仿宋_GB2312" w:hAnsi="Arial" w:eastAsia="仿宋_GB2312" w:cs="Arial"/>
          <w:color w:val="auto"/>
          <w:sz w:val="32"/>
          <w:szCs w:val="32"/>
          <w:highlight w:val="none"/>
        </w:rPr>
        <w:t>建设人工智能产业基地等人工智能公共技术服务平台，提供人工智能技术开发、大模型测评、测试验证、数据支撑或人才培训等服务</w:t>
      </w:r>
      <w:r>
        <w:rPr>
          <w:rFonts w:hint="eastAsia" w:ascii="仿宋_GB2312" w:hAnsi="仿宋_GB2312" w:eastAsia="仿宋_GB2312" w:cs="仿宋_GB2312"/>
          <w:color w:val="auto"/>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color w:val="auto"/>
          <w:kern w:val="0"/>
          <w:sz w:val="32"/>
          <w:szCs w:val="36"/>
          <w:highlight w:val="none"/>
          <w:lang w:val="en-US" w:eastAsia="zh-CN" w:bidi="ar"/>
        </w:rPr>
      </w:pPr>
      <w:r>
        <w:rPr>
          <w:rFonts w:hint="eastAsia" w:ascii="楷体_GB2312" w:hAnsi="楷体_GB2312" w:eastAsia="楷体_GB2312" w:cs="楷体_GB2312"/>
          <w:b w:val="0"/>
          <w:bCs w:val="0"/>
          <w:color w:val="auto"/>
          <w:kern w:val="0"/>
          <w:sz w:val="32"/>
          <w:szCs w:val="36"/>
          <w:highlight w:val="none"/>
          <w:lang w:val="en-US" w:eastAsia="zh-CN" w:bidi="ar"/>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1.对经深圳市龙岗区人工智能（机器人）署评审认定的</w:t>
      </w:r>
      <w:r>
        <w:rPr>
          <w:rFonts w:hint="eastAsia" w:ascii="仿宋_GB2312" w:hAnsi="Arial" w:eastAsia="仿宋_GB2312" w:cs="Arial"/>
          <w:color w:val="auto"/>
          <w:sz w:val="32"/>
          <w:szCs w:val="32"/>
          <w:highlight w:val="none"/>
        </w:rPr>
        <w:t>人工智能</w:t>
      </w:r>
      <w:r>
        <w:rPr>
          <w:rFonts w:hint="eastAsia" w:ascii="仿宋_GB2312" w:hAnsi="仿宋_GB2312" w:eastAsia="仿宋_GB2312" w:cs="仿宋_GB2312"/>
          <w:color w:val="auto"/>
          <w:sz w:val="32"/>
          <w:szCs w:val="36"/>
          <w:highlight w:val="none"/>
          <w:lang w:val="en-US" w:eastAsia="zh-CN"/>
        </w:rPr>
        <w:t>公共技术服务平台，最高按其项目审定总投入的50%，给予不超过400万元的一次性支持（后续年度不再重复支持）。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Arial" w:eastAsia="仿宋_GB2312" w:cs="Arial"/>
          <w:color w:val="auto"/>
          <w:sz w:val="32"/>
          <w:szCs w:val="32"/>
          <w:highlight w:val="none"/>
          <w:lang w:val="en-US" w:eastAsia="zh-CN"/>
        </w:rPr>
        <w:t>平台须在</w:t>
      </w:r>
      <w:r>
        <w:rPr>
          <w:rFonts w:hint="eastAsia" w:ascii="仿宋_GB2312" w:hAnsi="仿宋_GB2312" w:eastAsia="仿宋_GB2312" w:cs="仿宋_GB2312"/>
          <w:color w:val="auto"/>
          <w:sz w:val="32"/>
          <w:szCs w:val="36"/>
          <w:highlight w:val="none"/>
        </w:rPr>
        <w:t>申报指南发布前</w:t>
      </w:r>
      <w:r>
        <w:rPr>
          <w:rFonts w:hint="eastAsia" w:ascii="仿宋_GB2312" w:hAnsi="仿宋_GB2312" w:eastAsia="仿宋_GB2312" w:cs="仿宋_GB2312"/>
          <w:color w:val="auto"/>
          <w:sz w:val="32"/>
          <w:szCs w:val="36"/>
          <w:highlight w:val="none"/>
          <w:lang w:val="en-US" w:eastAsia="zh-CN"/>
        </w:rPr>
        <w:t>两个周期</w:t>
      </w:r>
      <w:r>
        <w:rPr>
          <w:rFonts w:hint="eastAsia" w:ascii="仿宋_GB2312" w:hAnsi="仿宋_GB2312" w:eastAsia="仿宋_GB2312" w:cs="仿宋_GB2312"/>
          <w:color w:val="auto"/>
          <w:sz w:val="32"/>
          <w:szCs w:val="36"/>
          <w:highlight w:val="none"/>
        </w:rPr>
        <w:t>年度内</w:t>
      </w:r>
      <w:r>
        <w:rPr>
          <w:rFonts w:hint="eastAsia" w:ascii="仿宋_GB2312" w:hAnsi="Arial" w:eastAsia="仿宋_GB2312" w:cs="Arial"/>
          <w:color w:val="auto"/>
          <w:sz w:val="32"/>
          <w:szCs w:val="32"/>
          <w:highlight w:val="none"/>
          <w:lang w:val="en-US" w:eastAsia="zh-CN"/>
        </w:rPr>
        <w:t>开始建设，建设期不超过2年，</w:t>
      </w:r>
      <w:r>
        <w:rPr>
          <w:rFonts w:hint="eastAsia" w:ascii="仿宋_GB2312" w:hAnsi="仿宋_GB2312" w:eastAsia="仿宋_GB2312" w:cs="仿宋_GB2312"/>
          <w:color w:val="auto"/>
          <w:sz w:val="32"/>
          <w:szCs w:val="36"/>
          <w:highlight w:val="none"/>
          <w:lang w:eastAsia="zh-CN"/>
        </w:rPr>
        <w:t>且</w:t>
      </w:r>
      <w:r>
        <w:rPr>
          <w:rFonts w:hint="eastAsia" w:ascii="仿宋_GB2312" w:hAnsi="仿宋_GB2312" w:eastAsia="仿宋_GB2312" w:cs="仿宋_GB2312"/>
          <w:color w:val="auto"/>
          <w:sz w:val="32"/>
          <w:szCs w:val="36"/>
          <w:highlight w:val="none"/>
          <w:lang w:val="en-US" w:eastAsia="zh-CN"/>
        </w:rPr>
        <w:t>平台</w:t>
      </w:r>
      <w:r>
        <w:rPr>
          <w:rFonts w:hint="eastAsia" w:ascii="仿宋_GB2312" w:hAnsi="仿宋_GB2312" w:eastAsia="仿宋_GB2312" w:cs="仿宋_GB2312"/>
          <w:color w:val="auto"/>
          <w:sz w:val="32"/>
          <w:szCs w:val="36"/>
          <w:highlight w:val="none"/>
          <w:lang w:eastAsia="zh-CN"/>
        </w:rPr>
        <w:t>已建设完成</w:t>
      </w:r>
      <w:r>
        <w:rPr>
          <w:rFonts w:hint="eastAsia" w:ascii="仿宋_GB2312" w:hAnsi="Arial" w:eastAsia="仿宋_GB2312" w:cs="Arial"/>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color w:val="auto"/>
          <w:kern w:val="0"/>
          <w:sz w:val="32"/>
          <w:szCs w:val="36"/>
          <w:highlight w:val="none"/>
          <w:lang w:val="en-US" w:eastAsia="zh-CN" w:bidi="ar"/>
        </w:rPr>
      </w:pPr>
      <w:r>
        <w:rPr>
          <w:rFonts w:hint="eastAsia" w:ascii="楷体_GB2312" w:hAnsi="楷体_GB2312" w:eastAsia="楷体_GB2312" w:cs="楷体_GB2312"/>
          <w:b w:val="0"/>
          <w:bCs w:val="0"/>
          <w:color w:val="auto"/>
          <w:kern w:val="0"/>
          <w:sz w:val="32"/>
          <w:szCs w:val="36"/>
          <w:highlight w:val="none"/>
          <w:lang w:val="en-US" w:eastAsia="zh-CN" w:bidi="ar"/>
        </w:rPr>
        <w:t>（三）审核方式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rPr>
        <w:t>评审制。</w:t>
      </w:r>
      <w:r>
        <w:rPr>
          <w:rFonts w:hint="eastAsia" w:ascii="仿宋_GB2312" w:hAnsi="仿宋_GB2312" w:eastAsia="仿宋_GB2312" w:cs="仿宋_GB2312"/>
          <w:color w:val="auto"/>
          <w:sz w:val="32"/>
          <w:szCs w:val="36"/>
          <w:highlight w:val="none"/>
          <w:lang w:val="en-US" w:eastAsia="zh-CN"/>
        </w:rPr>
        <w:t>以第三方专业服务机构评审结果等材料</w:t>
      </w:r>
      <w:r>
        <w:rPr>
          <w:rFonts w:hint="eastAsia" w:ascii="仿宋_GB2312" w:hAnsi="仿宋_GB2312" w:eastAsia="仿宋_GB2312" w:cs="仿宋_GB2312"/>
          <w:color w:val="auto"/>
          <w:sz w:val="32"/>
          <w:szCs w:val="36"/>
          <w:highlight w:val="none"/>
        </w:rPr>
        <w:t>为</w:t>
      </w:r>
      <w:r>
        <w:rPr>
          <w:rFonts w:hint="eastAsia" w:ascii="仿宋_GB2312" w:hAnsi="仿宋_GB2312" w:eastAsia="仿宋_GB2312" w:cs="仿宋_GB2312"/>
          <w:color w:val="auto"/>
          <w:sz w:val="32"/>
          <w:szCs w:val="36"/>
          <w:highlight w:val="none"/>
          <w:lang w:val="en-US" w:eastAsia="zh-CN"/>
        </w:rPr>
        <w:t>参考依据</w:t>
      </w:r>
      <w:r>
        <w:rPr>
          <w:rFonts w:hint="eastAsia" w:ascii="仿宋_GB2312" w:hAnsi="仿宋_GB2312" w:eastAsia="仿宋_GB2312" w:cs="仿宋_GB2312"/>
          <w:color w:val="auto"/>
          <w:sz w:val="32"/>
          <w:szCs w:val="36"/>
          <w:highlight w:val="no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（一）基础申报条件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1.申报单位须为企业，在龙岗区建设人工智能产业基地等人工智能公共技术服务平台，提供人工智能技术开发、大模型测评、测试验证、数据支撑或人才培训等服务。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2.项目须在申报指南发布前两个周期年度内开始建设，建设期不超过2年，且项目已建设完成。</w:t>
      </w:r>
    </w:p>
    <w:p>
      <w:pPr>
        <w:pStyle w:val="15"/>
        <w:keepNext w:val="0"/>
        <w:keepLines w:val="0"/>
        <w:pageBreakBefore w:val="0"/>
        <w:widowControl w:val="0"/>
        <w:kinsoku/>
        <w:wordWrap/>
        <w:overflowPunct/>
        <w:topLinePunct w:val="0"/>
        <w:autoSpaceDN/>
        <w:bidi w:val="0"/>
        <w:adjustRightInd w:val="0"/>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3.项目具有明确的发展规划、功能定位和管理机制，拥有相应的服务设施、专业技术和管理人才队伍，面向人工智能领域提供技术服务，具有公共性、开放性和资源共享性，在所服务领域能够发挥重要支撑作用。</w:t>
      </w:r>
    </w:p>
    <w:p>
      <w:pPr>
        <w:pStyle w:val="2"/>
        <w:ind w:firstLine="640" w:firstLineChars="200"/>
        <w:rPr>
          <w:rFonts w:hint="eastAsia"/>
          <w:color w:val="auto"/>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4.同一申报单位及其关联方原则上每年只能申报合计不超过2个项目。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w:t>
      </w:r>
      <w:r>
        <w:rPr>
          <w:rFonts w:hint="default" w:ascii="仿宋_GB2312" w:hAnsi="仿宋_GB2312" w:eastAsia="仿宋_GB2312" w:cs="仿宋_GB2312"/>
          <w:color w:val="auto"/>
          <w:kern w:val="2"/>
          <w:sz w:val="32"/>
          <w:szCs w:val="36"/>
          <w:highlight w:val="none"/>
          <w:lang w:val="en-US" w:eastAsia="zh-CN" w:bidi="ar-SA"/>
        </w:rPr>
        <w:t>平台建设、运营方案和总结</w:t>
      </w:r>
      <w:r>
        <w:rPr>
          <w:rFonts w:hint="eastAsia" w:ascii="仿宋_GB2312" w:hAnsi="仿宋_GB2312" w:eastAsia="仿宋_GB2312" w:cs="仿宋_GB2312"/>
          <w:color w:val="auto"/>
          <w:kern w:val="2"/>
          <w:sz w:val="32"/>
          <w:szCs w:val="36"/>
          <w:highlight w:val="none"/>
          <w:lang w:val="en-US" w:eastAsia="zh-CN" w:bidi="ar-SA"/>
        </w:rPr>
        <w:t>（验收）</w:t>
      </w:r>
      <w:r>
        <w:rPr>
          <w:rFonts w:hint="default" w:ascii="仿宋_GB2312" w:hAnsi="仿宋_GB2312" w:eastAsia="仿宋_GB2312" w:cs="仿宋_GB2312"/>
          <w:color w:val="auto"/>
          <w:kern w:val="2"/>
          <w:sz w:val="32"/>
          <w:szCs w:val="36"/>
          <w:highlight w:val="none"/>
          <w:lang w:val="en-US" w:eastAsia="zh-CN" w:bidi="ar-SA"/>
        </w:rPr>
        <w:t>报告原件，重点内容包括但不限于平台建设运营情况、功能定位、发展规划、管理制度等</w:t>
      </w:r>
      <w:r>
        <w:rPr>
          <w:rFonts w:hint="eastAsia" w:ascii="仿宋_GB2312" w:hAnsi="仿宋_GB2312" w:eastAsia="仿宋_GB2312" w:cs="仿宋_GB2312"/>
          <w:color w:val="auto"/>
          <w:kern w:val="2"/>
          <w:sz w:val="32"/>
          <w:szCs w:val="36"/>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2.平台的负责人及团队能力、经验的佐证材料（</w:t>
      </w:r>
      <w:r>
        <w:rPr>
          <w:rFonts w:hint="default" w:ascii="仿宋_GB2312" w:hAnsi="仿宋_GB2312" w:eastAsia="仿宋_GB2312" w:cs="仿宋_GB2312"/>
          <w:color w:val="auto"/>
          <w:kern w:val="2"/>
          <w:sz w:val="32"/>
          <w:szCs w:val="36"/>
          <w:highlight w:val="none"/>
          <w:lang w:val="en-US" w:eastAsia="zh-CN" w:bidi="ar-SA"/>
        </w:rPr>
        <w:t>负责人及团队</w:t>
      </w:r>
      <w:r>
        <w:rPr>
          <w:rFonts w:hint="eastAsia" w:ascii="仿宋_GB2312" w:hAnsi="仿宋_GB2312" w:eastAsia="仿宋_GB2312" w:cs="仿宋_GB2312"/>
          <w:color w:val="auto"/>
          <w:kern w:val="2"/>
          <w:sz w:val="32"/>
          <w:szCs w:val="36"/>
          <w:highlight w:val="none"/>
          <w:lang w:val="en-US" w:eastAsia="zh-CN" w:bidi="ar-SA"/>
        </w:rPr>
        <w:t>的</w:t>
      </w:r>
      <w:r>
        <w:rPr>
          <w:rFonts w:hint="default" w:ascii="仿宋_GB2312" w:hAnsi="仿宋_GB2312" w:eastAsia="仿宋_GB2312" w:cs="仿宋_GB2312"/>
          <w:color w:val="auto"/>
          <w:kern w:val="2"/>
          <w:sz w:val="32"/>
          <w:szCs w:val="36"/>
          <w:highlight w:val="none"/>
          <w:lang w:val="en-US" w:eastAsia="zh-CN" w:bidi="ar-SA"/>
        </w:rPr>
        <w:t>学历、职称</w:t>
      </w:r>
      <w:r>
        <w:rPr>
          <w:rFonts w:hint="eastAsia" w:ascii="仿宋_GB2312" w:hAnsi="仿宋_GB2312" w:eastAsia="仿宋_GB2312" w:cs="仿宋_GB2312"/>
          <w:color w:val="auto"/>
          <w:kern w:val="2"/>
          <w:sz w:val="32"/>
          <w:szCs w:val="36"/>
          <w:highlight w:val="none"/>
          <w:lang w:val="en-US" w:eastAsia="zh-CN" w:bidi="ar-SA"/>
        </w:rPr>
        <w:t>、资质证书</w:t>
      </w:r>
      <w:r>
        <w:rPr>
          <w:rFonts w:hint="default" w:ascii="仿宋_GB2312" w:hAnsi="仿宋_GB2312" w:eastAsia="仿宋_GB2312" w:cs="仿宋_GB2312"/>
          <w:color w:val="auto"/>
          <w:kern w:val="2"/>
          <w:sz w:val="32"/>
          <w:szCs w:val="36"/>
          <w:highlight w:val="none"/>
          <w:lang w:val="en-US" w:eastAsia="zh-CN" w:bidi="ar-SA"/>
        </w:rPr>
        <w:t>、</w:t>
      </w:r>
      <w:r>
        <w:rPr>
          <w:rFonts w:hint="eastAsia" w:ascii="仿宋_GB2312" w:hAnsi="仿宋_GB2312" w:eastAsia="仿宋_GB2312" w:cs="仿宋_GB2312"/>
          <w:color w:val="auto"/>
          <w:kern w:val="2"/>
          <w:sz w:val="32"/>
          <w:szCs w:val="36"/>
          <w:highlight w:val="none"/>
          <w:lang w:val="en-US" w:eastAsia="zh-CN" w:bidi="ar-SA"/>
        </w:rPr>
        <w:t>劳动合同、社保缴费明细等相关材料）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w:t>
      </w:r>
      <w:r>
        <w:rPr>
          <w:rFonts w:hint="default" w:ascii="仿宋_GB2312" w:hAnsi="仿宋_GB2312" w:eastAsia="仿宋_GB2312" w:cs="仿宋_GB2312"/>
          <w:color w:val="auto"/>
          <w:kern w:val="2"/>
          <w:sz w:val="32"/>
          <w:szCs w:val="36"/>
          <w:highlight w:val="none"/>
          <w:lang w:val="en-US" w:eastAsia="zh-CN" w:bidi="ar-SA"/>
        </w:rPr>
        <w:t>平台建设总投入</w:t>
      </w:r>
      <w:r>
        <w:rPr>
          <w:rFonts w:hint="eastAsia" w:ascii="仿宋_GB2312" w:hAnsi="仿宋_GB2312" w:eastAsia="仿宋_GB2312" w:cs="仿宋_GB2312"/>
          <w:color w:val="auto"/>
          <w:kern w:val="2"/>
          <w:sz w:val="32"/>
          <w:szCs w:val="36"/>
          <w:highlight w:val="none"/>
          <w:lang w:val="en-US" w:eastAsia="zh-CN" w:bidi="ar-SA"/>
        </w:rPr>
        <w:t>的</w:t>
      </w:r>
      <w:r>
        <w:rPr>
          <w:rFonts w:hint="default" w:ascii="仿宋_GB2312" w:hAnsi="仿宋_GB2312" w:eastAsia="仿宋_GB2312" w:cs="仿宋_GB2312"/>
          <w:color w:val="auto"/>
          <w:kern w:val="2"/>
          <w:sz w:val="32"/>
          <w:szCs w:val="36"/>
          <w:highlight w:val="none"/>
          <w:lang w:val="en-US" w:eastAsia="zh-CN" w:bidi="ar-SA"/>
        </w:rPr>
        <w:t>佐证材料（</w:t>
      </w:r>
      <w:r>
        <w:rPr>
          <w:rFonts w:hint="eastAsia" w:ascii="仿宋_GB2312" w:hAnsi="仿宋_GB2312" w:eastAsia="仿宋_GB2312" w:cs="仿宋_GB2312"/>
          <w:color w:val="auto"/>
          <w:kern w:val="2"/>
          <w:sz w:val="32"/>
          <w:szCs w:val="36"/>
          <w:highlight w:val="none"/>
          <w:lang w:val="en-US" w:eastAsia="zh-CN" w:bidi="ar-SA"/>
        </w:rPr>
        <w:t>如配套</w:t>
      </w:r>
      <w:r>
        <w:rPr>
          <w:rFonts w:hint="default" w:ascii="仿宋_GB2312" w:hAnsi="仿宋_GB2312" w:eastAsia="仿宋_GB2312" w:cs="仿宋_GB2312"/>
          <w:color w:val="auto"/>
          <w:kern w:val="2"/>
          <w:sz w:val="32"/>
          <w:szCs w:val="36"/>
          <w:highlight w:val="none"/>
          <w:lang w:val="en-US" w:eastAsia="zh-CN" w:bidi="ar-SA"/>
        </w:rPr>
        <w:t>设施清单、主要采购合同、费用支出清单、发票、银行付款凭证等）</w:t>
      </w:r>
      <w:r>
        <w:rPr>
          <w:rFonts w:hint="eastAsia" w:ascii="仿宋_GB2312" w:hAnsi="仿宋_GB2312" w:eastAsia="仿宋_GB2312" w:cs="仿宋_GB2312"/>
          <w:color w:val="auto"/>
          <w:kern w:val="2"/>
          <w:sz w:val="32"/>
          <w:szCs w:val="36"/>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4.申报单位在上一年度举办人工智能技术领域相关活动的</w:t>
      </w:r>
      <w:r>
        <w:rPr>
          <w:rFonts w:hint="default" w:ascii="仿宋_GB2312" w:hAnsi="仿宋_GB2312" w:eastAsia="仿宋_GB2312" w:cs="仿宋_GB2312"/>
          <w:color w:val="auto"/>
          <w:kern w:val="2"/>
          <w:sz w:val="32"/>
          <w:szCs w:val="36"/>
          <w:highlight w:val="none"/>
          <w:lang w:val="en-US" w:eastAsia="zh-CN" w:bidi="ar-SA"/>
        </w:rPr>
        <w:t>佐证材料</w:t>
      </w:r>
      <w:r>
        <w:rPr>
          <w:rFonts w:hint="eastAsia" w:ascii="仿宋_GB2312" w:hAnsi="仿宋_GB2312" w:eastAsia="仿宋_GB2312" w:cs="仿宋_GB2312"/>
          <w:color w:val="auto"/>
          <w:kern w:val="2"/>
          <w:sz w:val="32"/>
          <w:szCs w:val="36"/>
          <w:highlight w:val="none"/>
          <w:lang w:val="en-US" w:eastAsia="zh-CN" w:bidi="ar-SA"/>
        </w:rPr>
        <w:t>（包括但不限于媒体报道、网页链接等。若申报单位成立3年以下（不含3年），可选择提供母公司的相关材料）。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5.申报单位在上一年度举办人工智能技术领域相关培训（仅限企业培训）的</w:t>
      </w:r>
      <w:r>
        <w:rPr>
          <w:rFonts w:hint="default" w:ascii="仿宋_GB2312" w:hAnsi="仿宋_GB2312" w:eastAsia="仿宋_GB2312" w:cs="仿宋_GB2312"/>
          <w:color w:val="auto"/>
          <w:kern w:val="2"/>
          <w:sz w:val="32"/>
          <w:szCs w:val="36"/>
          <w:highlight w:val="none"/>
          <w:lang w:val="en-US" w:eastAsia="zh-CN" w:bidi="ar-SA"/>
        </w:rPr>
        <w:t>佐证材料</w:t>
      </w:r>
      <w:r>
        <w:rPr>
          <w:rFonts w:hint="eastAsia" w:ascii="仿宋_GB2312" w:hAnsi="仿宋_GB2312" w:eastAsia="仿宋_GB2312" w:cs="仿宋_GB2312"/>
          <w:color w:val="auto"/>
          <w:kern w:val="2"/>
          <w:sz w:val="32"/>
          <w:szCs w:val="36"/>
          <w:highlight w:val="none"/>
          <w:lang w:val="en-US" w:eastAsia="zh-CN" w:bidi="ar-SA"/>
        </w:rPr>
        <w:t>（包括但不限于人才培训合同等。若申报单位成立3年以下（不含3年），可选择提供母公司的相关材料）。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6.申报单位在人工智能技术领域具有的期刊和发明专利（若申报单位成立3年以下（不含3年），可选择提供母公司的相关材料）。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7.近3年内，申报单位在人工智能技术领域具有的平台建设或运营服务经验的佐证材料（包括但不限于相关合同等。若申报单位成立3年以下（不含3年），可选择提供母公司的相关材料）。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8.平台在技术创新水平、信息安全、服务模式可行性方面的佐证材料。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9.平台提供服务种类（须用于人工智能技术领域）的佐证材料。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10.平台是否有自己的技术论坛，如有，请提供佐证材料。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11.在受理过程中，实施部门认为需要补充的其他材料。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人工智能公共技术服务平台扶持项目”专项扶持】栏目进入申报。企业上传申报资料后，区人工智能（机器人）署将组织线上审核等工作，请企业等待线上审核结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企业在广东政务服务网注册、登录；进入龙岗区人工智能（机器人）署“2025年龙岗区人工智能公共技术服务平台扶持项目”申报页面在线办理申请，上传并提交带水印的申报书，等待后台工作人员审核。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受理时间：2025年9月29日-10月29日，逾期视作放弃申请。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492E"/>
    <w:rsid w:val="02153BB4"/>
    <w:rsid w:val="02337D11"/>
    <w:rsid w:val="06B156A8"/>
    <w:rsid w:val="07520E4F"/>
    <w:rsid w:val="07687C5B"/>
    <w:rsid w:val="09A76BE4"/>
    <w:rsid w:val="09CF6571"/>
    <w:rsid w:val="0AE50463"/>
    <w:rsid w:val="0B022976"/>
    <w:rsid w:val="0DE325EB"/>
    <w:rsid w:val="0E611762"/>
    <w:rsid w:val="0E9911EA"/>
    <w:rsid w:val="0FA36790"/>
    <w:rsid w:val="11BF336F"/>
    <w:rsid w:val="145C42EE"/>
    <w:rsid w:val="19B6E7BF"/>
    <w:rsid w:val="1A7606F3"/>
    <w:rsid w:val="1B5FBF99"/>
    <w:rsid w:val="1BA79CDC"/>
    <w:rsid w:val="1C1551C5"/>
    <w:rsid w:val="1CBE05B7"/>
    <w:rsid w:val="1D883F59"/>
    <w:rsid w:val="1F02489B"/>
    <w:rsid w:val="1F49617B"/>
    <w:rsid w:val="1F6706ED"/>
    <w:rsid w:val="1FEB4DCE"/>
    <w:rsid w:val="1FED819C"/>
    <w:rsid w:val="20FD17BE"/>
    <w:rsid w:val="223034CD"/>
    <w:rsid w:val="25AE503F"/>
    <w:rsid w:val="26864004"/>
    <w:rsid w:val="277D9957"/>
    <w:rsid w:val="27EE6D51"/>
    <w:rsid w:val="28C81C8E"/>
    <w:rsid w:val="2AC33130"/>
    <w:rsid w:val="2B2150E4"/>
    <w:rsid w:val="2F3E2889"/>
    <w:rsid w:val="2F99C37D"/>
    <w:rsid w:val="2FA313B5"/>
    <w:rsid w:val="3491429F"/>
    <w:rsid w:val="35B7777D"/>
    <w:rsid w:val="367D4FF9"/>
    <w:rsid w:val="391C0CF9"/>
    <w:rsid w:val="39E38617"/>
    <w:rsid w:val="3A37147D"/>
    <w:rsid w:val="3AE46A68"/>
    <w:rsid w:val="3B394B9E"/>
    <w:rsid w:val="3B7E465F"/>
    <w:rsid w:val="3B7F5941"/>
    <w:rsid w:val="3BDE13E8"/>
    <w:rsid w:val="3BEBC578"/>
    <w:rsid w:val="3D5D11C3"/>
    <w:rsid w:val="3DFEFDAB"/>
    <w:rsid w:val="3E5A7E64"/>
    <w:rsid w:val="3F3F54AD"/>
    <w:rsid w:val="3F8D54A2"/>
    <w:rsid w:val="3FDEF73E"/>
    <w:rsid w:val="3FFFC3EF"/>
    <w:rsid w:val="43A85162"/>
    <w:rsid w:val="451D6913"/>
    <w:rsid w:val="460C5E7C"/>
    <w:rsid w:val="46483E01"/>
    <w:rsid w:val="480E5EDB"/>
    <w:rsid w:val="481E5DAA"/>
    <w:rsid w:val="48A71E8C"/>
    <w:rsid w:val="49995C78"/>
    <w:rsid w:val="49B74D2D"/>
    <w:rsid w:val="4A0D291F"/>
    <w:rsid w:val="4A7FB923"/>
    <w:rsid w:val="4B9014DF"/>
    <w:rsid w:val="4EBE7F2F"/>
    <w:rsid w:val="509B22D6"/>
    <w:rsid w:val="51002139"/>
    <w:rsid w:val="53A65DF2"/>
    <w:rsid w:val="56DFCFAF"/>
    <w:rsid w:val="56E573BC"/>
    <w:rsid w:val="56F6563D"/>
    <w:rsid w:val="58CA7BFC"/>
    <w:rsid w:val="596F88F7"/>
    <w:rsid w:val="5A2D03CA"/>
    <w:rsid w:val="5A307F33"/>
    <w:rsid w:val="5A4B6B1B"/>
    <w:rsid w:val="5CF43DA1"/>
    <w:rsid w:val="5D79399F"/>
    <w:rsid w:val="5E7B3FEC"/>
    <w:rsid w:val="5E8CF660"/>
    <w:rsid w:val="5EA038B2"/>
    <w:rsid w:val="5EFF07BD"/>
    <w:rsid w:val="5F2A3265"/>
    <w:rsid w:val="5FBE9B08"/>
    <w:rsid w:val="5FFE2E6F"/>
    <w:rsid w:val="5FFE3534"/>
    <w:rsid w:val="5FFFF88F"/>
    <w:rsid w:val="60CA60AB"/>
    <w:rsid w:val="61B72CE8"/>
    <w:rsid w:val="61EA6C19"/>
    <w:rsid w:val="631F74BC"/>
    <w:rsid w:val="633F2F95"/>
    <w:rsid w:val="65515201"/>
    <w:rsid w:val="65FE0EE5"/>
    <w:rsid w:val="66195D1F"/>
    <w:rsid w:val="67AB0BF9"/>
    <w:rsid w:val="68264723"/>
    <w:rsid w:val="683C02AC"/>
    <w:rsid w:val="685A43CD"/>
    <w:rsid w:val="691A3284"/>
    <w:rsid w:val="6A1A3E14"/>
    <w:rsid w:val="6B2F9C3E"/>
    <w:rsid w:val="6B5F2AAA"/>
    <w:rsid w:val="6BE98EE9"/>
    <w:rsid w:val="6C43424C"/>
    <w:rsid w:val="6C8E6D3B"/>
    <w:rsid w:val="6DAD4F9F"/>
    <w:rsid w:val="6EC627BC"/>
    <w:rsid w:val="6F484F7F"/>
    <w:rsid w:val="6FBFDE40"/>
    <w:rsid w:val="6FF7E679"/>
    <w:rsid w:val="71972538"/>
    <w:rsid w:val="71EC078C"/>
    <w:rsid w:val="72F90170"/>
    <w:rsid w:val="72FE7215"/>
    <w:rsid w:val="73355C28"/>
    <w:rsid w:val="736DC0EF"/>
    <w:rsid w:val="73912BEF"/>
    <w:rsid w:val="75CE2CF8"/>
    <w:rsid w:val="76197675"/>
    <w:rsid w:val="76BE9F9C"/>
    <w:rsid w:val="76F5AB6F"/>
    <w:rsid w:val="7775C95F"/>
    <w:rsid w:val="77872C35"/>
    <w:rsid w:val="77FE67C0"/>
    <w:rsid w:val="78D96AAB"/>
    <w:rsid w:val="793B3DA7"/>
    <w:rsid w:val="7956298E"/>
    <w:rsid w:val="79EED6AF"/>
    <w:rsid w:val="7AFB3C69"/>
    <w:rsid w:val="7BBFF3DF"/>
    <w:rsid w:val="7BE17E3C"/>
    <w:rsid w:val="7BFBD8F1"/>
    <w:rsid w:val="7C7EECF1"/>
    <w:rsid w:val="7D8EEADD"/>
    <w:rsid w:val="7DB70215"/>
    <w:rsid w:val="7DBE72CD"/>
    <w:rsid w:val="7EB0669D"/>
    <w:rsid w:val="7EE361AC"/>
    <w:rsid w:val="7EEF8BDC"/>
    <w:rsid w:val="7F34107C"/>
    <w:rsid w:val="7F5D406C"/>
    <w:rsid w:val="7F6892CD"/>
    <w:rsid w:val="7F6BBF37"/>
    <w:rsid w:val="7F7F5E58"/>
    <w:rsid w:val="7FBB9201"/>
    <w:rsid w:val="7FCAE10B"/>
    <w:rsid w:val="7FD5F635"/>
    <w:rsid w:val="7FDF5309"/>
    <w:rsid w:val="8FAFEFEF"/>
    <w:rsid w:val="A1FD947C"/>
    <w:rsid w:val="A3E7464E"/>
    <w:rsid w:val="AD7DD30D"/>
    <w:rsid w:val="AF7B7952"/>
    <w:rsid w:val="AF9F8FCA"/>
    <w:rsid w:val="B7DF0942"/>
    <w:rsid w:val="B7E61BEB"/>
    <w:rsid w:val="BB79A031"/>
    <w:rsid w:val="BE489A38"/>
    <w:rsid w:val="BEFD7B84"/>
    <w:rsid w:val="BFDF3238"/>
    <w:rsid w:val="C2F50BC2"/>
    <w:rsid w:val="C4779D79"/>
    <w:rsid w:val="C6EF96BF"/>
    <w:rsid w:val="CDAFB7F2"/>
    <w:rsid w:val="CFC547A0"/>
    <w:rsid w:val="D97FD55E"/>
    <w:rsid w:val="DCFAAB5D"/>
    <w:rsid w:val="DD0F2569"/>
    <w:rsid w:val="DD9FEC49"/>
    <w:rsid w:val="DDECA757"/>
    <w:rsid w:val="DFB3786F"/>
    <w:rsid w:val="E2FFFB61"/>
    <w:rsid w:val="E7F133D0"/>
    <w:rsid w:val="E7F75C2E"/>
    <w:rsid w:val="EF7F672B"/>
    <w:rsid w:val="EFAF6178"/>
    <w:rsid w:val="EFB5974E"/>
    <w:rsid w:val="EFCEDB15"/>
    <w:rsid w:val="F297A4D4"/>
    <w:rsid w:val="F35F078F"/>
    <w:rsid w:val="F6A18827"/>
    <w:rsid w:val="F6FF0CD2"/>
    <w:rsid w:val="F73BC0E3"/>
    <w:rsid w:val="F74DA2EE"/>
    <w:rsid w:val="F7BF3801"/>
    <w:rsid w:val="F7FBBD65"/>
    <w:rsid w:val="FB4ED248"/>
    <w:rsid w:val="FBB6C733"/>
    <w:rsid w:val="FBF7BB84"/>
    <w:rsid w:val="FCED7A9B"/>
    <w:rsid w:val="FD1752FB"/>
    <w:rsid w:val="FDF7B8B8"/>
    <w:rsid w:val="FEB61958"/>
    <w:rsid w:val="FEBF1651"/>
    <w:rsid w:val="FEDD94D6"/>
    <w:rsid w:val="FEE5CBF6"/>
    <w:rsid w:val="FEFB4F67"/>
    <w:rsid w:val="FF1DD433"/>
    <w:rsid w:val="FF56486A"/>
    <w:rsid w:val="FF7B8CD8"/>
    <w:rsid w:val="FFB7806A"/>
    <w:rsid w:val="FFDFA740"/>
    <w:rsid w:val="FFF4C521"/>
    <w:rsid w:val="FFFD9611"/>
    <w:rsid w:val="FFFF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autoSpaceDE w:val="0"/>
      <w:autoSpaceDN w:val="0"/>
      <w:spacing w:line="600" w:lineRule="exact"/>
      <w:ind w:firstLine="400"/>
      <w:jc w:val="left"/>
      <w:outlineLvl w:val="1"/>
    </w:pPr>
    <w:rPr>
      <w:rFonts w:hint="eastAsia" w:eastAsia="方正楷体_GBK"/>
      <w:kern w:val="0"/>
      <w:sz w:val="34"/>
      <w:szCs w:val="34"/>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38"/>
      <w:jc w:val="left"/>
    </w:pPr>
    <w:rPr>
      <w:rFonts w:ascii="宋体" w:hAnsi="宋体"/>
      <w:kern w:val="0"/>
      <w:sz w:val="24"/>
      <w:lang w:eastAsia="en-US"/>
    </w:rPr>
  </w:style>
  <w:style w:type="paragraph" w:styleId="3">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Normal Indent"/>
    <w:basedOn w:val="1"/>
    <w:next w:val="2"/>
    <w:qFormat/>
    <w:uiPriority w:val="0"/>
    <w:pPr>
      <w:ind w:firstLine="420" w:firstLineChars="200"/>
    </w:pPr>
    <w:rPr>
      <w:rFonts w:ascii="Times New Roman" w:hAnsi="Times New Roman" w:eastAsia="宋体" w:cs="Times New Roman"/>
    </w:rPr>
  </w:style>
  <w:style w:type="paragraph" w:styleId="6">
    <w:name w:val="footer"/>
    <w:basedOn w:val="1"/>
    <w:next w:val="7"/>
    <w:qFormat/>
    <w:uiPriority w:val="0"/>
    <w:pPr>
      <w:snapToGrid w:val="0"/>
      <w:jc w:val="left"/>
    </w:pPr>
    <w:rPr>
      <w:sz w:val="18"/>
      <w:szCs w:val="18"/>
    </w:rPr>
  </w:style>
  <w:style w:type="paragraph" w:customStyle="1" w:styleId="7">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4">
    <w:name w:val="纯文本1"/>
    <w:basedOn w:val="1"/>
    <w:qFormat/>
    <w:uiPriority w:val="0"/>
    <w:rPr>
      <w:rFonts w:ascii="宋体" w:hAnsi="Courier New" w:eastAsia="宋体" w:cs="Courier New"/>
    </w:rPr>
  </w:style>
  <w:style w:type="paragraph" w:customStyle="1" w:styleId="15">
    <w:name w:val="正文_0"/>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6">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11"/>
    <w:basedOn w:val="12"/>
    <w:qFormat/>
    <w:uiPriority w:val="0"/>
    <w:rPr>
      <w:rFonts w:hint="eastAsia" w:ascii="宋体" w:hAnsi="宋体" w:eastAsia="宋体" w:cs="宋体"/>
      <w:color w:val="000000"/>
      <w:sz w:val="22"/>
      <w:szCs w:val="22"/>
      <w:u w:val="none"/>
    </w:rPr>
  </w:style>
  <w:style w:type="character" w:customStyle="1" w:styleId="18">
    <w:name w:val="font01"/>
    <w:basedOn w:val="12"/>
    <w:qFormat/>
    <w:uiPriority w:val="0"/>
    <w:rPr>
      <w:rFonts w:hint="eastAsia" w:ascii="宋体" w:hAnsi="宋体" w:eastAsia="宋体" w:cs="宋体"/>
      <w:color w:val="000000"/>
      <w:sz w:val="22"/>
      <w:szCs w:val="22"/>
      <w:u w:val="single"/>
    </w:rPr>
  </w:style>
  <w:style w:type="paragraph" w:customStyle="1" w:styleId="19">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3448</Words>
  <Characters>3723</Characters>
  <Lines>0</Lines>
  <Paragraphs>0</Paragraphs>
  <TotalTime>0</TotalTime>
  <ScaleCrop>false</ScaleCrop>
  <LinksUpToDate>false</LinksUpToDate>
  <CharactersWithSpaces>3769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2025-06-08T01:45:00Z</dcterms:created>
  <dc:creator>PC</dc:creator>
  <cp:lastModifiedBy>陈珏然</cp:lastModifiedBy>
  <dcterms:modified xsi:type="dcterms:W3CDTF">2025-09-29T11:44:50Z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