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3A63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0" w:firstLineChars="0"/>
        <w:textAlignment w:val="auto"/>
        <w:rPr>
          <w:rFonts w:hint="default" w:ascii="宋体" w:hAnsi="宋体" w:eastAsia="宋体" w:cs="宋体"/>
          <w:b w:val="0"/>
          <w:bCs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  <w:lang w:val="en-US" w:eastAsia="zh-CN"/>
        </w:rPr>
        <w:t>附件3</w:t>
      </w:r>
    </w:p>
    <w:p w14:paraId="1E926C4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0" w:lineRule="atLeast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36"/>
          <w:szCs w:val="36"/>
          <w:lang w:val="en-US" w:eastAsia="zh-CN"/>
        </w:rPr>
        <w:t>名词定义</w:t>
      </w:r>
    </w:p>
    <w:p w14:paraId="0D5F25B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480" w:firstLineChars="200"/>
        <w:jc w:val="both"/>
        <w:textAlignment w:val="auto"/>
        <w:rPr>
          <w:rStyle w:val="10"/>
          <w:rFonts w:hint="eastAsia" w:ascii="宋体" w:hAnsi="宋体" w:eastAsia="宋体" w:cs="宋体"/>
          <w:b w:val="0"/>
          <w:bCs w:val="0"/>
          <w:iCs/>
          <w:color w:val="auto"/>
          <w:spacing w:val="0"/>
          <w:kern w:val="21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 w:val="0"/>
          <w:bCs w:val="0"/>
          <w:iCs/>
          <w:color w:val="auto"/>
          <w:spacing w:val="0"/>
          <w:kern w:val="21"/>
          <w:sz w:val="24"/>
          <w:szCs w:val="24"/>
          <w:lang w:val="en-US" w:eastAsia="zh-CN" w:bidi="ar-SA"/>
        </w:rPr>
        <w:t>参照商务部《</w:t>
      </w:r>
      <w:r>
        <w:rPr>
          <w:rStyle w:val="10"/>
          <w:rFonts w:hint="eastAsia" w:ascii="宋体" w:hAnsi="宋体" w:eastAsia="宋体" w:cs="宋体"/>
          <w:b w:val="0"/>
          <w:bCs w:val="0"/>
          <w:i w:val="0"/>
          <w:iCs/>
          <w:caps w:val="0"/>
          <w:color w:val="auto"/>
          <w:spacing w:val="0"/>
          <w:kern w:val="21"/>
          <w:sz w:val="24"/>
          <w:szCs w:val="24"/>
          <w:lang w:val="en-US" w:eastAsia="zh-CN" w:bidi="ar-SA"/>
        </w:rPr>
        <w:t>商务部关于印发</w:t>
      </w:r>
      <w:r>
        <w:rPr>
          <w:rStyle w:val="10"/>
          <w:rFonts w:hint="eastAsia" w:ascii="宋体" w:hAnsi="宋体" w:eastAsia="宋体" w:cs="宋体"/>
          <w:b w:val="0"/>
          <w:bCs w:val="0"/>
          <w:iCs/>
          <w:color w:val="auto"/>
          <w:spacing w:val="0"/>
          <w:kern w:val="21"/>
          <w:sz w:val="24"/>
          <w:szCs w:val="24"/>
          <w:lang w:val="en-US" w:eastAsia="zh-CN" w:bidi="ar-SA"/>
        </w:rPr>
        <w:t>〈</w:t>
      </w:r>
      <w:r>
        <w:rPr>
          <w:rStyle w:val="10"/>
          <w:rFonts w:hint="eastAsia" w:ascii="宋体" w:hAnsi="宋体" w:eastAsia="宋体" w:cs="宋体"/>
          <w:b w:val="0"/>
          <w:bCs w:val="0"/>
          <w:i w:val="0"/>
          <w:iCs/>
          <w:caps w:val="0"/>
          <w:color w:val="auto"/>
          <w:spacing w:val="0"/>
          <w:kern w:val="21"/>
          <w:sz w:val="24"/>
          <w:szCs w:val="24"/>
          <w:lang w:val="en-US" w:eastAsia="zh-CN" w:bidi="ar-SA"/>
        </w:rPr>
        <w:t>展览业统计调查制度</w:t>
      </w:r>
      <w:r>
        <w:rPr>
          <w:rStyle w:val="10"/>
          <w:rFonts w:hint="eastAsia" w:ascii="宋体" w:hAnsi="宋体" w:eastAsia="宋体" w:cs="宋体"/>
          <w:b w:val="0"/>
          <w:bCs w:val="0"/>
          <w:iCs/>
          <w:color w:val="auto"/>
          <w:spacing w:val="0"/>
          <w:kern w:val="21"/>
          <w:sz w:val="24"/>
          <w:szCs w:val="24"/>
          <w:lang w:val="en-US" w:eastAsia="zh-CN" w:bidi="ar-SA"/>
        </w:rPr>
        <w:t>〉</w:t>
      </w:r>
      <w:r>
        <w:rPr>
          <w:rStyle w:val="10"/>
          <w:rFonts w:hint="eastAsia" w:ascii="宋体" w:hAnsi="宋体" w:eastAsia="宋体" w:cs="宋体"/>
          <w:b w:val="0"/>
          <w:bCs w:val="0"/>
          <w:i w:val="0"/>
          <w:iCs/>
          <w:caps w:val="0"/>
          <w:color w:val="auto"/>
          <w:spacing w:val="0"/>
          <w:kern w:val="21"/>
          <w:sz w:val="24"/>
          <w:szCs w:val="24"/>
          <w:lang w:val="en-US" w:eastAsia="zh-CN" w:bidi="ar-SA"/>
        </w:rPr>
        <w:t>的通知</w:t>
      </w:r>
      <w:r>
        <w:rPr>
          <w:rStyle w:val="10"/>
          <w:rFonts w:hint="eastAsia" w:ascii="宋体" w:hAnsi="宋体" w:eastAsia="宋体" w:cs="宋体"/>
          <w:b w:val="0"/>
          <w:bCs w:val="0"/>
          <w:iCs/>
          <w:color w:val="auto"/>
          <w:spacing w:val="0"/>
          <w:kern w:val="21"/>
          <w:sz w:val="24"/>
          <w:szCs w:val="24"/>
          <w:lang w:val="en-US" w:eastAsia="zh-CN" w:bidi="ar-SA"/>
        </w:rPr>
        <w:t>》（商服贸函〔2022〕48号），以</w:t>
      </w:r>
      <w:r>
        <w:rPr>
          <w:rStyle w:val="10"/>
          <w:rFonts w:hint="eastAsia" w:ascii="宋体" w:hAnsi="宋体" w:eastAsia="宋体" w:cs="宋体"/>
          <w:b w:val="0"/>
          <w:bCs w:val="0"/>
          <w:i w:val="0"/>
          <w:iCs/>
          <w:caps w:val="0"/>
          <w:color w:val="auto"/>
          <w:spacing w:val="0"/>
          <w:kern w:val="21"/>
          <w:sz w:val="24"/>
          <w:szCs w:val="24"/>
          <w:shd w:val="clear" w:color="auto" w:fill="auto"/>
          <w:lang w:val="en-US" w:eastAsia="zh-CN" w:bidi="ar-SA"/>
        </w:rPr>
        <w:t>国家标准《经济贸易展览会术语GB/T</w:t>
      </w:r>
      <w:r>
        <w:rPr>
          <w:rStyle w:val="10"/>
          <w:rFonts w:hint="eastAsia" w:ascii="宋体" w:hAnsi="宋体" w:cs="宋体"/>
          <w:b w:val="0"/>
          <w:bCs w:val="0"/>
          <w:i w:val="0"/>
          <w:iCs/>
          <w:caps w:val="0"/>
          <w:color w:val="auto"/>
          <w:spacing w:val="-52"/>
          <w:kern w:val="21"/>
          <w:sz w:val="24"/>
          <w:szCs w:val="24"/>
          <w:shd w:val="clear" w:color="auto" w:fill="auto"/>
          <w:lang w:val="en-US" w:eastAsia="zh-CN" w:bidi="ar-SA"/>
        </w:rPr>
        <w:t xml:space="preserve"> </w:t>
      </w:r>
      <w:r>
        <w:rPr>
          <w:rStyle w:val="10"/>
          <w:rFonts w:hint="eastAsia" w:ascii="宋体" w:hAnsi="宋体" w:eastAsia="宋体" w:cs="宋体"/>
          <w:b w:val="0"/>
          <w:bCs w:val="0"/>
          <w:i w:val="0"/>
          <w:iCs/>
          <w:caps w:val="0"/>
          <w:color w:val="auto"/>
          <w:spacing w:val="0"/>
          <w:kern w:val="21"/>
          <w:sz w:val="24"/>
          <w:szCs w:val="24"/>
          <w:shd w:val="clear" w:color="auto" w:fill="auto"/>
          <w:lang w:val="en-US" w:eastAsia="zh-CN" w:bidi="ar-SA"/>
        </w:rPr>
        <w:t>26165-2021》</w:t>
      </w:r>
      <w:r>
        <w:rPr>
          <w:rStyle w:val="10"/>
          <w:rFonts w:hint="eastAsia" w:ascii="宋体" w:hAnsi="宋体" w:eastAsia="宋体" w:cs="宋体"/>
          <w:b w:val="0"/>
          <w:bCs w:val="0"/>
          <w:color w:val="auto"/>
          <w:spacing w:val="0"/>
          <w:kern w:val="21"/>
          <w:sz w:val="24"/>
          <w:szCs w:val="24"/>
          <w:lang w:val="en-US" w:eastAsia="zh-CN" w:bidi="ar-SA"/>
        </w:rPr>
        <w:t>作为补充，结合业内实际加以界定。</w:t>
      </w:r>
    </w:p>
    <w:p w14:paraId="596AEA6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96" w:lineRule="atLeast"/>
        <w:ind w:firstLine="480" w:firstLineChars="200"/>
        <w:jc w:val="both"/>
        <w:textAlignment w:val="auto"/>
        <w:rPr>
          <w:rStyle w:val="10"/>
          <w:rFonts w:hint="eastAsia" w:ascii="宋体" w:hAnsi="宋体" w:eastAsia="宋体" w:cs="宋体"/>
          <w:b w:val="0"/>
          <w:bCs w:val="0"/>
          <w:color w:val="auto"/>
          <w:kern w:val="21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 w:val="0"/>
          <w:bCs w:val="0"/>
          <w:color w:val="auto"/>
          <w:kern w:val="21"/>
          <w:sz w:val="24"/>
          <w:szCs w:val="24"/>
          <w:lang w:val="en-US" w:eastAsia="zh-CN" w:bidi="ar-SA"/>
        </w:rPr>
        <w:t>1．展馆：以举办展览活动为主要功能的永久性建筑物，其名称可以是会展中心、展览中心、博览中心、展览馆等。</w:t>
      </w:r>
    </w:p>
    <w:p w14:paraId="69CE27A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96" w:lineRule="atLeast"/>
        <w:ind w:firstLine="480" w:firstLineChars="200"/>
        <w:jc w:val="both"/>
        <w:textAlignment w:val="auto"/>
        <w:rPr>
          <w:rStyle w:val="10"/>
          <w:rFonts w:hint="eastAsia" w:ascii="宋体" w:hAnsi="宋体" w:eastAsia="宋体" w:cs="宋体"/>
          <w:b w:val="0"/>
          <w:bCs w:val="0"/>
          <w:color w:val="auto"/>
          <w:kern w:val="21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 w:val="0"/>
          <w:bCs w:val="0"/>
          <w:color w:val="auto"/>
          <w:kern w:val="21"/>
          <w:sz w:val="24"/>
          <w:szCs w:val="24"/>
          <w:lang w:val="en-US" w:eastAsia="zh-CN" w:bidi="ar-SA"/>
        </w:rPr>
        <w:t>2．展览面积：展览组织单位租赁并实际用于展览活动的场地（含室内外）面积，不包括单独租赁的会议室、办公区、仓储区面积。</w:t>
      </w:r>
    </w:p>
    <w:p w14:paraId="1F07431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96" w:lineRule="atLeast"/>
        <w:ind w:firstLine="480" w:firstLineChars="200"/>
        <w:jc w:val="both"/>
        <w:textAlignment w:val="auto"/>
        <w:rPr>
          <w:rStyle w:val="10"/>
          <w:rFonts w:hint="eastAsia" w:ascii="宋体" w:hAnsi="宋体" w:eastAsia="宋体" w:cs="宋体"/>
          <w:b w:val="0"/>
          <w:bCs w:val="0"/>
          <w:color w:val="auto"/>
          <w:kern w:val="21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 w:val="0"/>
          <w:bCs w:val="0"/>
          <w:color w:val="auto"/>
          <w:kern w:val="21"/>
          <w:sz w:val="24"/>
          <w:szCs w:val="24"/>
          <w:lang w:val="en-US" w:eastAsia="zh-CN" w:bidi="ar-SA"/>
        </w:rPr>
        <w:t>3．展览净面积：参展商根据参展合同有偿使用的展台面积总和，赠送展台、公共区域及主办方展台不在统计之列。</w:t>
      </w:r>
    </w:p>
    <w:p w14:paraId="17CBB5BF">
      <w:pPr>
        <w:pStyle w:val="13"/>
        <w:keepNext w:val="0"/>
        <w:keepLines w:val="0"/>
        <w:pageBreakBefore w:val="0"/>
        <w:shd w:val="clear" w:color="auto" w:fill="auto"/>
        <w:tabs>
          <w:tab w:val="center" w:pos="4201"/>
          <w:tab w:val="right" w:leader="dot" w:pos="92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left="0" w:leftChars="0" w:firstLine="48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color w:val="auto"/>
          <w:kern w:val="21"/>
          <w:sz w:val="24"/>
          <w:szCs w:val="24"/>
        </w:rPr>
      </w:pPr>
      <w:r>
        <w:rPr>
          <w:rStyle w:val="10"/>
          <w:rFonts w:hint="eastAsia" w:ascii="宋体" w:hAnsi="宋体" w:eastAsia="宋体" w:cs="宋体"/>
          <w:b w:val="0"/>
          <w:bCs w:val="0"/>
          <w:color w:val="auto"/>
          <w:kern w:val="21"/>
          <w:sz w:val="24"/>
          <w:szCs w:val="24"/>
          <w:lang w:val="en-US" w:eastAsia="zh-CN"/>
        </w:rPr>
        <w:t>4</w:t>
      </w:r>
      <w:r>
        <w:rPr>
          <w:rStyle w:val="10"/>
          <w:rFonts w:hint="eastAsia" w:ascii="宋体" w:hAnsi="宋体" w:eastAsia="宋体" w:cs="宋体"/>
          <w:b w:val="0"/>
          <w:bCs w:val="0"/>
          <w:color w:val="auto"/>
          <w:kern w:val="21"/>
          <w:sz w:val="24"/>
          <w:szCs w:val="24"/>
          <w:lang w:eastAsia="zh-CN"/>
        </w:rPr>
        <w:t>．</w:t>
      </w:r>
      <w:r>
        <w:rPr>
          <w:rStyle w:val="10"/>
          <w:rFonts w:hint="eastAsia" w:ascii="宋体" w:hAnsi="宋体" w:eastAsia="宋体" w:cs="宋体"/>
          <w:b w:val="0"/>
          <w:bCs w:val="0"/>
          <w:color w:val="auto"/>
          <w:kern w:val="21"/>
          <w:sz w:val="24"/>
          <w:szCs w:val="24"/>
        </w:rPr>
        <w:t>特装展位：由参展商在展览</w:t>
      </w:r>
      <w:r>
        <w:rPr>
          <w:rStyle w:val="10"/>
          <w:rFonts w:hint="eastAsia" w:ascii="宋体" w:hAnsi="宋体" w:eastAsia="宋体" w:cs="宋体"/>
          <w:b w:val="0"/>
          <w:bCs w:val="0"/>
          <w:color w:val="auto"/>
          <w:kern w:val="21"/>
          <w:sz w:val="24"/>
          <w:szCs w:val="24"/>
          <w:lang w:val="en-US" w:eastAsia="zh-CN"/>
        </w:rPr>
        <w:t>光</w:t>
      </w:r>
      <w:r>
        <w:rPr>
          <w:rStyle w:val="10"/>
          <w:rFonts w:hint="eastAsia" w:ascii="宋体" w:hAnsi="宋体" w:eastAsia="宋体" w:cs="宋体"/>
          <w:b w:val="0"/>
          <w:bCs w:val="0"/>
          <w:color w:val="auto"/>
          <w:kern w:val="21"/>
          <w:sz w:val="24"/>
          <w:szCs w:val="24"/>
        </w:rPr>
        <w:t>地上自行设计并搭建的</w:t>
      </w:r>
      <w:r>
        <w:rPr>
          <w:rStyle w:val="10"/>
          <w:rFonts w:hint="eastAsia" w:ascii="宋体" w:hAnsi="宋体" w:eastAsia="宋体" w:cs="宋体"/>
          <w:b w:val="0"/>
          <w:bCs w:val="0"/>
          <w:color w:val="auto"/>
          <w:kern w:val="21"/>
          <w:sz w:val="24"/>
          <w:szCs w:val="24"/>
          <w:lang w:val="en-US" w:eastAsia="zh-CN"/>
        </w:rPr>
        <w:t>特装展台</w:t>
      </w:r>
      <w:r>
        <w:rPr>
          <w:rStyle w:val="10"/>
          <w:rFonts w:hint="eastAsia" w:ascii="宋体" w:hAnsi="宋体" w:eastAsia="宋体" w:cs="宋体"/>
          <w:b w:val="0"/>
          <w:bCs w:val="0"/>
          <w:color w:val="auto"/>
          <w:kern w:val="21"/>
          <w:sz w:val="24"/>
          <w:szCs w:val="24"/>
        </w:rPr>
        <w:t>。</w:t>
      </w:r>
    </w:p>
    <w:p w14:paraId="5A552C0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480" w:firstLineChars="200"/>
        <w:jc w:val="both"/>
        <w:textAlignment w:val="auto"/>
        <w:rPr>
          <w:rStyle w:val="10"/>
          <w:rFonts w:hint="eastAsia" w:ascii="宋体" w:hAnsi="宋体" w:eastAsia="宋体" w:cs="宋体"/>
          <w:b w:val="0"/>
          <w:bCs w:val="0"/>
          <w:color w:val="auto"/>
          <w:kern w:val="21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 w:val="0"/>
          <w:bCs w:val="0"/>
          <w:iCs/>
          <w:color w:val="auto"/>
          <w:kern w:val="21"/>
          <w:sz w:val="24"/>
          <w:szCs w:val="24"/>
          <w:lang w:val="en-US" w:eastAsia="zh-CN" w:bidi="ar-SA"/>
        </w:rPr>
        <w:t>5</w:t>
      </w:r>
      <w:r>
        <w:rPr>
          <w:rStyle w:val="10"/>
          <w:rFonts w:hint="eastAsia" w:ascii="宋体" w:hAnsi="宋体" w:cs="宋体"/>
          <w:b w:val="0"/>
          <w:bCs w:val="0"/>
          <w:iCs/>
          <w:color w:val="auto"/>
          <w:kern w:val="21"/>
          <w:sz w:val="24"/>
          <w:szCs w:val="24"/>
          <w:lang w:val="en-US" w:eastAsia="zh-CN" w:bidi="ar-SA"/>
        </w:rPr>
        <w:t>．</w:t>
      </w:r>
      <w:r>
        <w:rPr>
          <w:rStyle w:val="10"/>
          <w:rFonts w:hint="eastAsia" w:ascii="宋体" w:hAnsi="宋体" w:eastAsia="宋体" w:cs="宋体"/>
          <w:b w:val="0"/>
          <w:bCs w:val="0"/>
          <w:iCs/>
          <w:color w:val="auto"/>
          <w:kern w:val="21"/>
          <w:sz w:val="24"/>
          <w:szCs w:val="24"/>
          <w:lang w:val="en-US" w:eastAsia="zh-CN" w:bidi="ar-SA"/>
        </w:rPr>
        <w:t>光地：</w:t>
      </w:r>
      <w:r>
        <w:rPr>
          <w:rStyle w:val="10"/>
          <w:rFonts w:hint="eastAsia" w:ascii="宋体" w:hAnsi="宋体" w:eastAsia="宋体" w:cs="宋体"/>
          <w:b w:val="0"/>
          <w:bCs w:val="0"/>
          <w:color w:val="auto"/>
          <w:kern w:val="21"/>
          <w:sz w:val="24"/>
          <w:szCs w:val="24"/>
          <w:lang w:val="en-US" w:eastAsia="zh-CN" w:bidi="ar-SA"/>
        </w:rPr>
        <w:t>用于搭建特装展台的展览空地。</w:t>
      </w:r>
    </w:p>
    <w:p w14:paraId="43BF222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480" w:firstLineChars="200"/>
        <w:jc w:val="both"/>
        <w:textAlignment w:val="auto"/>
        <w:rPr>
          <w:rStyle w:val="10"/>
          <w:rFonts w:hint="eastAsia" w:ascii="宋体" w:hAnsi="宋体" w:eastAsia="宋体" w:cs="宋体"/>
          <w:b w:val="0"/>
          <w:bCs w:val="0"/>
          <w:iCs/>
          <w:color w:val="auto"/>
          <w:kern w:val="21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 w:val="0"/>
          <w:bCs w:val="0"/>
          <w:iCs/>
          <w:color w:val="auto"/>
          <w:kern w:val="21"/>
          <w:sz w:val="24"/>
          <w:szCs w:val="24"/>
          <w:lang w:val="en-US" w:eastAsia="zh-CN" w:bidi="ar-SA"/>
        </w:rPr>
        <w:t>6</w:t>
      </w:r>
      <w:r>
        <w:rPr>
          <w:rStyle w:val="10"/>
          <w:rFonts w:hint="eastAsia" w:ascii="宋体" w:hAnsi="宋体" w:cs="宋体"/>
          <w:b w:val="0"/>
          <w:bCs w:val="0"/>
          <w:iCs/>
          <w:color w:val="auto"/>
          <w:kern w:val="21"/>
          <w:sz w:val="24"/>
          <w:szCs w:val="24"/>
          <w:lang w:val="en-US" w:eastAsia="zh-CN" w:bidi="ar-SA"/>
        </w:rPr>
        <w:t>．</w:t>
      </w:r>
      <w:r>
        <w:rPr>
          <w:rStyle w:val="10"/>
          <w:rFonts w:hint="eastAsia" w:ascii="宋体" w:hAnsi="宋体" w:eastAsia="宋体" w:cs="宋体"/>
          <w:b w:val="0"/>
          <w:bCs w:val="0"/>
          <w:iCs/>
          <w:color w:val="auto"/>
          <w:kern w:val="21"/>
          <w:sz w:val="24"/>
          <w:szCs w:val="24"/>
          <w:lang w:val="en-US" w:eastAsia="zh-CN" w:bidi="ar-SA"/>
        </w:rPr>
        <w:t>参展商：签定参展合同，履行合同义务，拥有展台使用权，展示产品、技术和服务的组织。</w:t>
      </w:r>
    </w:p>
    <w:p w14:paraId="5E8706F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96" w:lineRule="atLeast"/>
        <w:ind w:firstLine="480" w:firstLineChars="200"/>
        <w:jc w:val="both"/>
        <w:textAlignment w:val="auto"/>
        <w:rPr>
          <w:rStyle w:val="10"/>
          <w:rFonts w:hint="eastAsia" w:ascii="宋体" w:hAnsi="宋体" w:eastAsia="宋体" w:cs="宋体"/>
          <w:b w:val="0"/>
          <w:bCs w:val="0"/>
          <w:color w:val="auto"/>
          <w:kern w:val="21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 w:val="0"/>
          <w:bCs w:val="0"/>
          <w:color w:val="auto"/>
          <w:kern w:val="21"/>
          <w:sz w:val="24"/>
          <w:szCs w:val="24"/>
          <w:lang w:val="en-US" w:eastAsia="zh-CN" w:bidi="ar-SA"/>
        </w:rPr>
        <w:t>7．国际参展商：注册地在中华人民共和国境外的参展单位。</w:t>
      </w:r>
    </w:p>
    <w:p w14:paraId="59907E4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480" w:firstLineChars="200"/>
        <w:jc w:val="both"/>
        <w:textAlignment w:val="auto"/>
        <w:rPr>
          <w:rStyle w:val="10"/>
          <w:rFonts w:hint="eastAsia" w:ascii="宋体" w:hAnsi="宋体" w:eastAsia="宋体" w:cs="宋体"/>
          <w:b w:val="0"/>
          <w:bCs w:val="0"/>
          <w:iCs/>
          <w:color w:val="auto"/>
          <w:kern w:val="21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 w:val="0"/>
          <w:bCs w:val="0"/>
          <w:iCs/>
          <w:color w:val="auto"/>
          <w:kern w:val="21"/>
          <w:sz w:val="24"/>
          <w:szCs w:val="24"/>
          <w:lang w:val="en-US" w:eastAsia="zh-CN" w:bidi="ar-SA"/>
        </w:rPr>
        <w:t>8</w:t>
      </w:r>
      <w:r>
        <w:rPr>
          <w:rStyle w:val="10"/>
          <w:rFonts w:hint="eastAsia" w:ascii="宋体" w:hAnsi="宋体" w:cs="宋体"/>
          <w:b w:val="0"/>
          <w:bCs w:val="0"/>
          <w:iCs/>
          <w:color w:val="auto"/>
          <w:kern w:val="21"/>
          <w:sz w:val="24"/>
          <w:szCs w:val="24"/>
          <w:lang w:val="en-US" w:eastAsia="zh-CN" w:bidi="ar-SA"/>
        </w:rPr>
        <w:t>．</w:t>
      </w:r>
      <w:r>
        <w:rPr>
          <w:rStyle w:val="10"/>
          <w:rFonts w:hint="eastAsia" w:ascii="宋体" w:hAnsi="宋体" w:eastAsia="宋体" w:cs="宋体"/>
          <w:b w:val="0"/>
          <w:bCs w:val="0"/>
          <w:iCs/>
          <w:color w:val="auto"/>
          <w:kern w:val="21"/>
          <w:sz w:val="24"/>
          <w:szCs w:val="24"/>
          <w:lang w:val="en-US" w:eastAsia="zh-CN" w:bidi="ar-SA"/>
        </w:rPr>
        <w:t>观众：展览会展出期间，参观展览会的人员，不包括主办单位、场馆方、参展商和服务商工作人员。</w:t>
      </w:r>
    </w:p>
    <w:p w14:paraId="083775F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480" w:firstLineChars="200"/>
        <w:jc w:val="both"/>
        <w:textAlignment w:val="auto"/>
        <w:rPr>
          <w:rStyle w:val="10"/>
          <w:rFonts w:hint="eastAsia" w:ascii="宋体" w:hAnsi="宋体" w:eastAsia="宋体" w:cs="宋体"/>
          <w:b w:val="0"/>
          <w:bCs w:val="0"/>
          <w:iCs/>
          <w:color w:val="auto"/>
          <w:kern w:val="21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 w:val="0"/>
          <w:bCs w:val="0"/>
          <w:iCs/>
          <w:color w:val="auto"/>
          <w:kern w:val="21"/>
          <w:sz w:val="24"/>
          <w:szCs w:val="24"/>
          <w:lang w:val="en-US" w:eastAsia="zh-CN" w:bidi="ar-SA"/>
        </w:rPr>
        <w:t>9</w:t>
      </w:r>
      <w:r>
        <w:rPr>
          <w:rStyle w:val="10"/>
          <w:rFonts w:hint="eastAsia" w:ascii="宋体" w:hAnsi="宋体" w:cs="宋体"/>
          <w:b w:val="0"/>
          <w:bCs w:val="0"/>
          <w:iCs/>
          <w:color w:val="auto"/>
          <w:kern w:val="21"/>
          <w:sz w:val="24"/>
          <w:szCs w:val="24"/>
          <w:lang w:val="en-US" w:eastAsia="zh-CN" w:bidi="ar-SA"/>
        </w:rPr>
        <w:t>．</w:t>
      </w:r>
      <w:r>
        <w:rPr>
          <w:rStyle w:val="10"/>
          <w:rFonts w:hint="eastAsia" w:ascii="宋体" w:hAnsi="宋体" w:eastAsia="宋体" w:cs="宋体"/>
          <w:b w:val="0"/>
          <w:bCs w:val="0"/>
          <w:iCs/>
          <w:color w:val="auto"/>
          <w:kern w:val="21"/>
          <w:sz w:val="24"/>
          <w:szCs w:val="24"/>
          <w:lang w:val="en-US" w:eastAsia="zh-CN" w:bidi="ar-SA"/>
        </w:rPr>
        <w:t>国际观众：登记有效通讯地址或身份证件为中国境外的入场观众。</w:t>
      </w:r>
    </w:p>
    <w:p w14:paraId="2CA07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 w:val="0"/>
          <w:bCs w:val="0"/>
          <w:iCs/>
          <w:color w:val="auto"/>
          <w:kern w:val="21"/>
          <w:sz w:val="24"/>
          <w:szCs w:val="24"/>
          <w:lang w:val="en-US" w:eastAsia="zh-CN" w:bidi="ar-SA"/>
        </w:rPr>
        <w:t>10</w:t>
      </w:r>
      <w:r>
        <w:rPr>
          <w:rStyle w:val="10"/>
          <w:rFonts w:hint="eastAsia" w:ascii="宋体" w:hAnsi="宋体" w:cs="宋体"/>
          <w:b w:val="0"/>
          <w:bCs w:val="0"/>
          <w:iCs/>
          <w:color w:val="auto"/>
          <w:kern w:val="21"/>
          <w:sz w:val="24"/>
          <w:szCs w:val="24"/>
          <w:lang w:val="en-US" w:eastAsia="zh-CN" w:bidi="ar-SA"/>
        </w:rPr>
        <w:t>．</w:t>
      </w:r>
      <w:r>
        <w:rPr>
          <w:rStyle w:val="10"/>
          <w:rFonts w:hint="eastAsia" w:ascii="宋体" w:hAnsi="宋体" w:eastAsia="宋体" w:cs="宋体"/>
          <w:b w:val="0"/>
          <w:bCs w:val="0"/>
          <w:iCs/>
          <w:color w:val="auto"/>
          <w:kern w:val="21"/>
          <w:sz w:val="24"/>
          <w:szCs w:val="24"/>
          <w:lang w:val="en-US" w:eastAsia="zh-CN" w:bidi="ar-SA"/>
        </w:rPr>
        <w:t>展会结构垃圾：在展会搭建和拆除过程中产生的废弃物，包括但不限于废旧展台、展板、搭建材料等。</w:t>
      </w:r>
    </w:p>
    <w:p w14:paraId="7C481D8C">
      <w:bookmarkStart w:id="0" w:name="_GoBack"/>
      <w:bookmarkEnd w:id="0"/>
    </w:p>
    <w:sectPr>
      <w:headerReference r:id="rId3" w:type="default"/>
      <w:footerReference r:id="rId4" w:type="default"/>
      <w:footnotePr>
        <w:numFmt w:val="decimal"/>
      </w:footnotePr>
      <w:pgSz w:w="11906" w:h="16838"/>
      <w:pgMar w:top="2268" w:right="1417" w:bottom="2268" w:left="1587" w:header="1417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5048A"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30771D">
                          <w:pPr>
                            <w:pStyle w:val="7"/>
                            <w:rPr>
                              <w:rStyle w:val="11"/>
                              <w:rFonts w:ascii="Times New Roman" w:hAnsi="Times New Roman"/>
                            </w:rPr>
                          </w:pPr>
                          <w:r>
                            <w:rPr>
                              <w:rStyle w:val="11"/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1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Times New Roman" w:hAnsi="Times New Roman"/>
                            </w:rPr>
                            <w:t>26</w:t>
                          </w:r>
                          <w:r>
                            <w:rPr>
                              <w:rStyle w:val="11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30771D">
                    <w:pPr>
                      <w:pStyle w:val="7"/>
                      <w:rPr>
                        <w:rStyle w:val="11"/>
                        <w:rFonts w:ascii="Times New Roman" w:hAnsi="Times New Roman"/>
                      </w:rPr>
                    </w:pPr>
                    <w:r>
                      <w:rPr>
                        <w:rStyle w:val="11"/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Style w:val="11"/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Style w:val="11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Style w:val="11"/>
                        <w:rFonts w:ascii="Times New Roman" w:hAnsi="Times New Roman"/>
                      </w:rPr>
                      <w:t>26</w:t>
                    </w:r>
                    <w:r>
                      <w:rPr>
                        <w:rStyle w:val="11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6B985">
    <w:pPr>
      <w:pStyle w:val="8"/>
      <w:jc w:val="distribute"/>
    </w:pPr>
    <w:r>
      <w:rPr>
        <w:rFonts w:hint="eastAsia" w:ascii="宋体" w:hAnsi="宋体"/>
      </w:rPr>
      <w:t xml:space="preserve">深圳市人民政府公报                           </w:t>
    </w:r>
    <w:r>
      <w:rPr>
        <w:rFonts w:hint="eastAsia" w:ascii="宋体" w:hAnsi="宋体"/>
        <w:lang w:val="en-US" w:eastAsia="zh-CN"/>
      </w:rPr>
      <w:t xml:space="preserve">  </w:t>
    </w:r>
    <w:r>
      <w:rPr>
        <w:rFonts w:hint="eastAsia" w:ascii="宋体" w:hAnsi="宋体"/>
      </w:rPr>
      <w:t xml:space="preserve">                                  202</w:t>
    </w:r>
    <w:r>
      <w:rPr>
        <w:rFonts w:hint="eastAsia" w:ascii="宋体" w:hAnsi="宋体"/>
        <w:lang w:val="en-US" w:eastAsia="zh-CN"/>
      </w:rPr>
      <w:t>5</w:t>
    </w:r>
    <w:r>
      <w:rPr>
        <w:rFonts w:hint="eastAsia" w:ascii="宋体" w:hAnsi="宋体"/>
      </w:rPr>
      <w:t>年第</w:t>
    </w:r>
    <w:r>
      <w:rPr>
        <w:rFonts w:hint="eastAsia" w:ascii="宋体" w:hAnsi="宋体"/>
        <w:lang w:val="en-US" w:eastAsia="zh-CN"/>
      </w:rPr>
      <w:t>29</w:t>
    </w:r>
    <w:r>
      <w:rPr>
        <w:rFonts w:hint="eastAsia" w:ascii="宋体" w:hAnsi="宋体"/>
      </w:rPr>
      <w:t>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E150B"/>
    <w:rsid w:val="298E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4"/>
    <w:qFormat/>
    <w:uiPriority w:val="0"/>
    <w:pPr>
      <w:spacing w:line="400" w:lineRule="atLeast"/>
      <w:ind w:firstLine="480" w:firstLineChars="200"/>
      <w:outlineLvl w:val="0"/>
    </w:pPr>
    <w:rPr>
      <w:rFonts w:ascii="黑体" w:hAnsi="宋体" w:eastAsia="黑体"/>
      <w:bCs/>
      <w:kern w:val="44"/>
      <w:sz w:val="24"/>
      <w:szCs w:val="2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uiPriority w:val="0"/>
    <w:pPr>
      <w:widowControl w:val="0"/>
      <w:tabs>
        <w:tab w:val="left" w:pos="426"/>
      </w:tabs>
      <w:spacing w:line="56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4">
    <w:name w:val="正文_0_0"/>
    <w:next w:val="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next w:val="6"/>
    <w:qFormat/>
    <w:uiPriority w:val="0"/>
    <w:pPr>
      <w:ind w:firstLine="420" w:firstLineChars="200"/>
    </w:pPr>
  </w:style>
  <w:style w:type="paragraph" w:customStyle="1" w:styleId="6">
    <w:name w:val="页脚_0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uiPriority w:val="0"/>
  </w:style>
  <w:style w:type="paragraph" w:customStyle="1" w:styleId="12">
    <w:name w:val="Char Char1 Char Char Char Char Char Char"/>
    <w:basedOn w:val="1"/>
    <w:qFormat/>
    <w:uiPriority w:val="0"/>
    <w:pPr>
      <w:widowControl/>
      <w:adjustRightInd w:val="0"/>
      <w:snapToGrid w:val="0"/>
      <w:spacing w:beforeLines="25" w:line="240" w:lineRule="exact"/>
      <w:ind w:firstLine="560" w:firstLineChars="192"/>
      <w:jc w:val="left"/>
    </w:pPr>
    <w:rPr>
      <w:rFonts w:ascii="宋体" w:hAnsi="宋体" w:eastAsia="仿宋_GB2312"/>
      <w:kern w:val="0"/>
      <w:sz w:val="28"/>
      <w:szCs w:val="28"/>
      <w:lang w:eastAsia="en-US"/>
    </w:rPr>
  </w:style>
  <w:style w:type="paragraph" w:customStyle="1" w:styleId="13">
    <w:name w:val="段"/>
    <w:uiPriority w:val="0"/>
    <w:pPr>
      <w:autoSpaceDE w:val="0"/>
      <w:autoSpaceDN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2025-09-24T08:29:00Z</dcterms:created>
  <dc:creator>朴灿灿1405689278</dc:creator>
  <cp:lastModifiedBy>朴灿灿1405689278</cp:lastModifiedBy>
  <dcterms:modified xsi:type="dcterms:W3CDTF">2025-09-24T08:29:32Z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04CB2B0291D3432B94803B01E44B0E3F_11</vt:lpwstr>
  </property>
  <property fmtid="{D5CDD505-2E9C-101B-9397-08002B2CF9AE}" pid="4" name="KSOTemplateDocerSaveRecord">
    <vt:lpwstr>eyJoZGlkIjoiNWY2NjY3ZTM1ODM5YTdiNGYyN2Y5YjdmOGEzYzBkZTIiLCJ1c2VySWQiOiIxODgwMTgwNiJ9</vt:lpwstr>
  </property>
</Properties>
</file>