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DED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  <w:t>附件2</w:t>
      </w:r>
    </w:p>
    <w:p w14:paraId="5EB720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  <w:t>深圳市新锐品牌展会认定指标</w:t>
      </w:r>
    </w:p>
    <w:tbl>
      <w:tblPr>
        <w:tblStyle w:val="5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07"/>
        <w:gridCol w:w="1477"/>
        <w:gridCol w:w="4692"/>
        <w:gridCol w:w="605"/>
      </w:tblGrid>
      <w:tr w14:paraId="448B3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 w14:paraId="1930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69E0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权重系数</w:t>
            </w:r>
          </w:p>
        </w:tc>
        <w:tc>
          <w:tcPr>
            <w:tcW w:w="882" w:type="pct"/>
            <w:tcBorders>
              <w:tl2br w:val="nil"/>
              <w:tr2bl w:val="nil"/>
            </w:tcBorders>
            <w:noWrap/>
            <w:vAlign w:val="center"/>
          </w:tcPr>
          <w:p w14:paraId="0BDD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评分指标细项</w:t>
            </w:r>
          </w:p>
        </w:tc>
        <w:tc>
          <w:tcPr>
            <w:tcW w:w="2803" w:type="pct"/>
            <w:tcBorders>
              <w:tl2br w:val="nil"/>
              <w:tr2bl w:val="nil"/>
            </w:tcBorders>
            <w:noWrap w:val="0"/>
            <w:vAlign w:val="center"/>
          </w:tcPr>
          <w:p w14:paraId="6C85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361" w:type="pct"/>
            <w:tcBorders>
              <w:tl2br w:val="nil"/>
              <w:tr2bl w:val="nil"/>
            </w:tcBorders>
            <w:noWrap/>
            <w:vAlign w:val="center"/>
          </w:tcPr>
          <w:p w14:paraId="67C8E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分值</w:t>
            </w:r>
          </w:p>
        </w:tc>
      </w:tr>
      <w:tr w14:paraId="1A2BE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2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规</w:t>
            </w:r>
          </w:p>
          <w:p w14:paraId="7C5A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模</w:t>
            </w:r>
          </w:p>
          <w:p w14:paraId="52A4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化</w:t>
            </w:r>
          </w:p>
          <w:p w14:paraId="323C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发</w:t>
            </w:r>
          </w:p>
          <w:p w14:paraId="0A57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F3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0.3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71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展览面积增长率</w:t>
            </w:r>
          </w:p>
        </w:tc>
        <w:tc>
          <w:tcPr>
            <w:tcW w:w="28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7E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按展览面积增幅从高至低排序，第一名得50分，最后一名不得分，中间等比例打分。参评届数展览面积未达2万平方米的，或对比上届在深举办面积增长未达20%的，不予认定。增幅为0或负数不计分。</w:t>
            </w:r>
          </w:p>
        </w:tc>
        <w:tc>
          <w:tcPr>
            <w:tcW w:w="3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2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65AED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4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5E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E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参展商增长率</w:t>
            </w:r>
          </w:p>
        </w:tc>
        <w:tc>
          <w:tcPr>
            <w:tcW w:w="28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B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按签约参展单位家数增幅从高至低排序，第一名得30分，最后一名不得分，中间等比例打分。增幅为0或负数不计分。</w:t>
            </w:r>
          </w:p>
        </w:tc>
        <w:tc>
          <w:tcPr>
            <w:tcW w:w="36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F9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</w:tr>
    </w:tbl>
    <w:p w14:paraId="3BD7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5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07"/>
        <w:gridCol w:w="1536"/>
        <w:gridCol w:w="4702"/>
        <w:gridCol w:w="536"/>
      </w:tblGrid>
      <w:tr w14:paraId="52694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 w14:paraId="722B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6147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权重系数</w:t>
            </w:r>
          </w:p>
        </w:tc>
        <w:tc>
          <w:tcPr>
            <w:tcW w:w="917" w:type="pct"/>
            <w:tcBorders>
              <w:tl2br w:val="nil"/>
              <w:tr2bl w:val="nil"/>
            </w:tcBorders>
            <w:noWrap/>
            <w:vAlign w:val="center"/>
          </w:tcPr>
          <w:p w14:paraId="47DC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评分指标细项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noWrap w:val="0"/>
            <w:vAlign w:val="center"/>
          </w:tcPr>
          <w:p w14:paraId="6637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14:paraId="3EC57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分值</w:t>
            </w:r>
          </w:p>
        </w:tc>
      </w:tr>
      <w:tr w14:paraId="0484A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7A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规</w:t>
            </w:r>
          </w:p>
          <w:p w14:paraId="1086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模</w:t>
            </w:r>
          </w:p>
          <w:p w14:paraId="78A9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化</w:t>
            </w:r>
          </w:p>
          <w:p w14:paraId="2EAA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发</w:t>
            </w:r>
          </w:p>
          <w:p w14:paraId="6584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BD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0.3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观众增长率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B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按入场观众人数增幅从高至低排序，第一名得20分，最后一名不得分，中间等比例打分。增幅为0或负数不计分。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4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</w:tr>
      <w:tr w14:paraId="376DF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D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专</w:t>
            </w:r>
          </w:p>
          <w:p w14:paraId="5478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业</w:t>
            </w:r>
          </w:p>
          <w:p w14:paraId="429E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化</w:t>
            </w:r>
          </w:p>
          <w:p w14:paraId="75EA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发</w:t>
            </w:r>
          </w:p>
          <w:p w14:paraId="6975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1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0.3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D1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产业影响力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F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参评届数展会入选中国会展经济研究会《中国展览数据统计报告》中的《全国展览分一类行业展览面积前3名项目》得25分；入选《全国展览分二类行业展览面积前3名项目》或入选深圳市展会分类评级《BEST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＋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产业展会》，得15分。同时符合多项得分条件的，分值取高计算，不重复累加。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EC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36E3F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E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BA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5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同期活动增长率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4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按同期活动场数增幅从高至低排序，第一名得25分，最后一名不得分，中间等比例打分。增幅为0或负数不计分。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C7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6BF84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C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4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57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特装展位面积增长率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7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按特装展位总面积增幅从高至低排序，第一名得25分，最后一名不得分，中间等比例打分。特装展位指展商在展览光地上自行设计并搭建的特装展台。增幅为0或负数不计分。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BF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3E5CF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8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1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E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重点参展商比重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F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重点参展商指世界500强企业、中国500强企业、“专精特新”小巨人企业、“隐形冠军”企业、制造业单项冠军企业、“独角兽”企业。重点参展商数量÷参展商总数量，计算重点参展商比重，按从高至低排序，第一名得25分，最后一名不得分，中间等比例打分。可包括其母公司、全资子公司、控股公司，不包括非控股合资企业、品牌代理、品牌经销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5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</w:tr>
      <w:tr w14:paraId="2C5D7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36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</w:t>
            </w:r>
          </w:p>
          <w:p w14:paraId="0513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际</w:t>
            </w:r>
          </w:p>
          <w:p w14:paraId="5617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化</w:t>
            </w:r>
          </w:p>
          <w:p w14:paraId="517F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发</w:t>
            </w:r>
          </w:p>
          <w:p w14:paraId="3573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D30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0.2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73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国际展商增长率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8C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国际展商指注册地在中国境外的参展单位（下同）。按国际展商家数增幅从高至低排序，第一名得50分，最后一名不得分，中间等比例打分。增幅为0或负数不计分。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9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58455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0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C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B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1"/>
                <w:sz w:val="21"/>
                <w:szCs w:val="21"/>
                <w:u w:val="none"/>
                <w:lang w:val="en-US" w:eastAsia="zh-CN" w:bidi="ar-SA"/>
              </w:rPr>
              <w:t>参展国家（地区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62"/>
                <w:kern w:val="21"/>
                <w:sz w:val="21"/>
                <w:szCs w:val="21"/>
                <w:u w:val="none"/>
                <w:lang w:val="en-US" w:eastAsia="zh-CN" w:bidi="ar-SA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3A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国际展商所代表的国家（地区）数量。按国家（地区）数量增幅从高至低排序，第一名得50分，最后一名不得分，中间等比例打分。参展国家（地区）数量3个以下的，本项不得分。增幅为0或负数不计分。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A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2D68B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8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经</w:t>
            </w:r>
          </w:p>
          <w:p w14:paraId="640C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营</w:t>
            </w:r>
          </w:p>
          <w:p w14:paraId="569C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发</w:t>
            </w:r>
          </w:p>
          <w:p w14:paraId="0690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0.1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D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展位销售总收入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1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按展位销售总收入增幅从高至低排序，第一名得50分，最后一名不得分，中间等比例打分。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4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479A2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0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C2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展会门票销售收入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2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按展会门票及观众入场证件销售总收入增幅从高至低排序，第一名为50分，最后一名不得分，中间等比例打分。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11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05BD1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9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  <w:p w14:paraId="76F0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</w:t>
            </w:r>
          </w:p>
          <w:p w14:paraId="7C74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组</w:t>
            </w:r>
          </w:p>
          <w:p w14:paraId="49B4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织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9E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0.1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B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绿色低碳发展</w:t>
            </w:r>
          </w:p>
        </w:tc>
        <w:tc>
          <w:tcPr>
            <w:tcW w:w="28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E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beforeLines="13" w:after="42" w:afterLines="13" w:line="26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以末端规范处置作为切入点，推动展会绿色、低碳化发展。根据展会产生结构垃圾量（清运量），从低至高排序，产生垃圾量最低的得50分，产生垃圾量最高的不得分，中间等比例打分。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0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</w:tbl>
    <w:p w14:paraId="78C1B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5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07"/>
        <w:gridCol w:w="1294"/>
        <w:gridCol w:w="4980"/>
        <w:gridCol w:w="500"/>
      </w:tblGrid>
      <w:tr w14:paraId="3418C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 w14:paraId="4AD3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1122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权重系数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 w14:paraId="2CE1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评分指标细项</w:t>
            </w:r>
          </w:p>
        </w:tc>
        <w:tc>
          <w:tcPr>
            <w:tcW w:w="2975" w:type="pct"/>
            <w:tcBorders>
              <w:tl2br w:val="nil"/>
              <w:tr2bl w:val="nil"/>
            </w:tcBorders>
            <w:noWrap w:val="0"/>
            <w:vAlign w:val="center"/>
          </w:tcPr>
          <w:p w14:paraId="51C4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298" w:type="pct"/>
            <w:tcBorders>
              <w:tl2br w:val="nil"/>
              <w:tr2bl w:val="nil"/>
            </w:tcBorders>
            <w:noWrap/>
            <w:vAlign w:val="center"/>
          </w:tcPr>
          <w:p w14:paraId="3AC8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分值</w:t>
            </w:r>
          </w:p>
        </w:tc>
      </w:tr>
      <w:tr w14:paraId="095FF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6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</w:t>
            </w:r>
          </w:p>
          <w:p w14:paraId="05CE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会</w:t>
            </w:r>
          </w:p>
          <w:p w14:paraId="029F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组</w:t>
            </w:r>
          </w:p>
          <w:p w14:paraId="1DB4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织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1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0.1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8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展会满意度</w:t>
            </w:r>
          </w:p>
        </w:tc>
        <w:tc>
          <w:tcPr>
            <w:tcW w:w="29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CB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被投诉举报的总次数。存在5单及以上被不同主体投诉且为主办方责任的，减25分，每增加1单减5分，本项最高50分，减完为止。注：（1）被相同主体通过不同渠道多次投诉的，视为1单投诉；（2）被投诉记录未达5次的，本项不扣分。存在被有关部门通报存在重大舆情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62"/>
                <w:kern w:val="21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或本项累计扣减达50分的，不予认定。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11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</w:tr>
      <w:tr w14:paraId="21FF5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72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 w:line="300" w:lineRule="exact"/>
              <w:ind w:left="-63" w:leftChars="-30" w:right="-63" w:rightChars="-30"/>
              <w:jc w:val="both"/>
              <w:textAlignment w:val="center"/>
              <w:rPr>
                <w:rStyle w:val="6"/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21"/>
                <w:sz w:val="21"/>
                <w:szCs w:val="21"/>
                <w:u w:val="none"/>
                <w:lang w:val="en-US" w:eastAsia="zh-CN" w:bidi="ar-SA"/>
              </w:rPr>
              <w:t>统计说明：增幅统计口径为展会参评届数对比上届在深举办的增长情况。</w:t>
            </w:r>
          </w:p>
        </w:tc>
      </w:tr>
    </w:tbl>
    <w:p w14:paraId="7D6411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216FF"/>
    <w:rsid w:val="0FC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spacing w:line="400" w:lineRule="atLeast"/>
      <w:ind w:firstLine="480" w:firstLineChars="200"/>
      <w:outlineLvl w:val="0"/>
    </w:pPr>
    <w:rPr>
      <w:rFonts w:ascii="黑体" w:hAnsi="宋体" w:eastAsia="黑体"/>
      <w:bCs/>
      <w:kern w:val="44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tabs>
        <w:tab w:val="left" w:pos="426"/>
      </w:tabs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4">
    <w:name w:val="正文_0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Char Char1 Char Char Char Char Char Char"/>
    <w:basedOn w:val="1"/>
    <w:qFormat/>
    <w:uiPriority w:val="0"/>
    <w:pPr>
      <w:widowControl/>
      <w:adjustRightInd w:val="0"/>
      <w:snapToGrid w:val="0"/>
      <w:spacing w:beforeLines="25" w:line="240" w:lineRule="exact"/>
      <w:ind w:firstLine="560" w:firstLineChars="192"/>
      <w:jc w:val="left"/>
    </w:pPr>
    <w:rPr>
      <w:rFonts w:ascii="宋体" w:hAnsi="宋体"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2025-09-24T08:28:00Z</dcterms:created>
  <dc:creator>朴灿灿1405689278</dc:creator>
  <cp:lastModifiedBy>朴灿灿1405689278</cp:lastModifiedBy>
  <dcterms:modified xsi:type="dcterms:W3CDTF">2025-09-24T08:28:54Z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C5228FF6B757449CB116AD768CA08A83_11</vt:lpwstr>
  </property>
  <property fmtid="{D5CDD505-2E9C-101B-9397-08002B2CF9AE}" pid="4" name="KSOTemplateDocerSaveRecord">
    <vt:lpwstr>eyJoZGlkIjoiNWY2NjY3ZTM1ODM5YTdiNGYyN2Y5YjdmOGEzYzBkZTIiLCJ1c2VySWQiOiIxODgwMTgwNiJ9</vt:lpwstr>
  </property>
</Properties>
</file>