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7"/>
        <w:ind w:firstLine="420"/>
        <w:rPr>
          <w:rFonts w:ascii="宋体" w:hAnsi="宋体" w:cs="宋体"/>
        </w:rPr>
      </w:pPr>
    </w:p>
    <w:p>
      <w:pPr>
        <w:pStyle w:val="27"/>
        <w:ind w:firstLine="420"/>
        <w:rPr>
          <w:rFonts w:ascii="宋体" w:hAnsi="宋体" w:cs="宋体"/>
        </w:rPr>
      </w:pPr>
    </w:p>
    <w:p>
      <w:pPr>
        <w:rPr>
          <w:rFonts w:ascii="宋体" w:hAnsi="宋体" w:cs="宋体"/>
          <w:b/>
          <w:sz w:val="44"/>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招标编号：QH2025108</w:t>
      </w:r>
    </w:p>
    <w:p>
      <w:pPr>
        <w:pStyle w:val="27"/>
        <w:ind w:firstLine="420"/>
        <w:rPr>
          <w:rFonts w:ascii="宋体" w:hAnsi="宋体" w:cs="宋体"/>
        </w:rPr>
      </w:pPr>
    </w:p>
    <w:p>
      <w:pPr>
        <w:pStyle w:val="27"/>
        <w:ind w:firstLine="420"/>
        <w:rPr>
          <w:rFonts w:ascii="宋体" w:hAnsi="宋体" w:cs="宋体"/>
        </w:rPr>
      </w:pPr>
    </w:p>
    <w:p>
      <w:pPr>
        <w:pStyle w:val="27"/>
        <w:ind w:firstLine="420"/>
        <w:rPr>
          <w:rFonts w:ascii="宋体" w:hAnsi="宋体" w:cs="宋体"/>
        </w:rPr>
      </w:pPr>
    </w:p>
    <w:p>
      <w:pPr>
        <w:ind w:left="2304" w:leftChars="247" w:right="-319" w:rightChars="-152" w:hanging="1785" w:hangingChars="494"/>
        <w:rPr>
          <w:rFonts w:hint="eastAsia" w:ascii="宋体" w:hAnsi="宋体" w:eastAsia="宋体" w:cs="宋体"/>
          <w:b/>
          <w:sz w:val="36"/>
          <w:szCs w:val="36"/>
          <w:lang w:eastAsia="zh-CN"/>
        </w:rPr>
      </w:pPr>
      <w:r>
        <w:rPr>
          <w:rFonts w:hint="eastAsia" w:ascii="宋体" w:hAnsi="宋体" w:cs="宋体"/>
          <w:b/>
          <w:sz w:val="36"/>
          <w:szCs w:val="36"/>
        </w:rPr>
        <w:t>招标项目：</w:t>
      </w:r>
      <w:r>
        <w:rPr>
          <w:rFonts w:hint="eastAsia" w:ascii="宋体" w:hAnsi="宋体" w:cs="宋体"/>
          <w:b/>
          <w:sz w:val="36"/>
          <w:szCs w:val="36"/>
          <w:lang w:eastAsia="zh-CN"/>
        </w:rPr>
        <w:t>高度开放条件下的廉洁建设研究（三次招标）</w:t>
      </w:r>
    </w:p>
    <w:p>
      <w:pPr>
        <w:ind w:firstLine="3264" w:firstLineChars="739"/>
        <w:rPr>
          <w:rFonts w:ascii="宋体" w:hAnsi="宋体" w:cs="宋体"/>
          <w:b/>
          <w:sz w:val="44"/>
        </w:rPr>
      </w:pPr>
    </w:p>
    <w:p>
      <w:pPr>
        <w:ind w:left="1260" w:leftChars="600" w:firstLine="1855" w:firstLineChars="420"/>
        <w:rPr>
          <w:rFonts w:ascii="宋体" w:hAnsi="宋体" w:cs="宋体"/>
          <w:b/>
          <w:sz w:val="44"/>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9</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ind w:firstLine="480" w:firstLineChars="200"/>
        <w:rPr>
          <w:rFonts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b/>
                <w:bCs/>
                <w:sz w:val="24"/>
              </w:rPr>
            </w:pPr>
            <w:r>
              <w:rPr>
                <w:rFonts w:hint="eastAsia" w:ascii="宋体" w:hAnsi="宋体" w:cs="宋体"/>
                <w:b/>
                <w:bCs/>
                <w:sz w:val="24"/>
              </w:rPr>
              <w:t>序号</w:t>
            </w:r>
          </w:p>
        </w:tc>
        <w:tc>
          <w:tcPr>
            <w:tcW w:w="4482" w:type="pct"/>
            <w:vAlign w:val="center"/>
          </w:tcPr>
          <w:p>
            <w:pPr>
              <w:jc w:val="center"/>
              <w:rPr>
                <w:rFonts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1</w:t>
            </w:r>
          </w:p>
        </w:tc>
        <w:tc>
          <w:tcPr>
            <w:tcW w:w="4482" w:type="pct"/>
            <w:vAlign w:val="center"/>
          </w:tcPr>
          <w:p>
            <w:pPr>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2</w:t>
            </w:r>
          </w:p>
        </w:tc>
        <w:tc>
          <w:tcPr>
            <w:tcW w:w="4482" w:type="pct"/>
            <w:vAlign w:val="center"/>
          </w:tcPr>
          <w:p>
            <w:pPr>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3</w:t>
            </w:r>
          </w:p>
        </w:tc>
        <w:tc>
          <w:tcPr>
            <w:tcW w:w="4482" w:type="pct"/>
            <w:vAlign w:val="center"/>
          </w:tcPr>
          <w:p>
            <w:pPr>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4</w:t>
            </w:r>
          </w:p>
        </w:tc>
        <w:tc>
          <w:tcPr>
            <w:tcW w:w="4482" w:type="pct"/>
            <w:vAlign w:val="center"/>
          </w:tcPr>
          <w:p>
            <w:pPr>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5</w:t>
            </w:r>
          </w:p>
        </w:tc>
        <w:tc>
          <w:tcPr>
            <w:tcW w:w="4482" w:type="pct"/>
            <w:vAlign w:val="center"/>
          </w:tcPr>
          <w:p>
            <w:pPr>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left="239" w:leftChars="114" w:firstLine="241" w:firstLineChars="100"/>
        <w:jc w:val="left"/>
        <w:rPr>
          <w:rFonts w:ascii="宋体" w:hAnsi="宋体" w:cs="宋体"/>
          <w:sz w:val="24"/>
        </w:rPr>
      </w:pPr>
      <w:r>
        <w:rPr>
          <w:rStyle w:val="23"/>
          <w:rFonts w:hint="eastAsia" w:ascii="宋体" w:hAnsi="宋体" w:cs="宋体"/>
          <w:sz w:val="24"/>
        </w:rPr>
        <w:t>第五十七条</w:t>
      </w:r>
      <w:r>
        <w:rPr>
          <w:rFonts w:hint="eastAsia" w:ascii="宋体" w:hAnsi="宋体" w:cs="宋体"/>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fill="FFFFFF"/>
        <w:spacing w:before="0" w:beforeAutospacing="0" w:after="0" w:afterAutospacing="0" w:line="360" w:lineRule="auto"/>
        <w:ind w:firstLine="480" w:firstLineChars="200"/>
      </w:pPr>
      <w:bookmarkStart w:id="1" w:name="_Toc2750"/>
      <w:r>
        <w:rPr>
          <w:rFonts w:hint="eastAsia"/>
        </w:rPr>
        <w:t>（一）在采购活动中应当回避而未回避的；</w:t>
      </w:r>
      <w:bookmarkEnd w:id="1"/>
    </w:p>
    <w:p>
      <w:pPr>
        <w:pStyle w:val="16"/>
        <w:shd w:val="clear" w:color="auto" w:fill="FFFFFF"/>
        <w:spacing w:before="0" w:beforeAutospacing="0" w:after="0" w:afterAutospacing="0" w:line="360" w:lineRule="auto"/>
        <w:ind w:firstLine="480" w:firstLineChars="200"/>
      </w:pPr>
      <w:r>
        <w:rPr>
          <w:rFonts w:hint="eastAsia"/>
        </w:rPr>
        <w:t>（二）未按照本条例规定签订、履行采购合同，造成严重后果的；</w:t>
      </w:r>
    </w:p>
    <w:p>
      <w:pPr>
        <w:pStyle w:val="16"/>
        <w:shd w:val="clear" w:color="auto" w:fill="FFFFFF"/>
        <w:spacing w:before="0" w:beforeAutospacing="0" w:after="0" w:afterAutospacing="0" w:line="360" w:lineRule="auto"/>
        <w:ind w:firstLine="480" w:firstLineChars="200"/>
      </w:pPr>
      <w:r>
        <w:rPr>
          <w:rFonts w:hint="eastAsia"/>
        </w:rPr>
        <w:t>（三）隐瞒真实情况，提供虚假资料的；</w:t>
      </w:r>
    </w:p>
    <w:p>
      <w:pPr>
        <w:pStyle w:val="16"/>
        <w:shd w:val="clear" w:color="auto" w:fill="FFFFFF"/>
        <w:spacing w:before="0" w:beforeAutospacing="0" w:after="0" w:afterAutospacing="0" w:line="360" w:lineRule="auto"/>
        <w:ind w:firstLine="480" w:firstLineChars="200"/>
      </w:pPr>
      <w:r>
        <w:rPr>
          <w:rFonts w:hint="eastAsia"/>
        </w:rPr>
        <w:t>（四）以非法手段排斥其他供应商参与竞争的；</w:t>
      </w:r>
    </w:p>
    <w:p>
      <w:pPr>
        <w:pStyle w:val="16"/>
        <w:shd w:val="clear" w:color="auto" w:fill="FFFFFF"/>
        <w:spacing w:before="0" w:beforeAutospacing="0" w:after="0" w:afterAutospacing="0" w:line="360" w:lineRule="auto"/>
        <w:ind w:firstLine="480" w:firstLineChars="200"/>
      </w:pPr>
      <w:r>
        <w:rPr>
          <w:rFonts w:hint="eastAsia"/>
        </w:rPr>
        <w:t>（五）与其他采购参加人串通投标的；</w:t>
      </w:r>
    </w:p>
    <w:p>
      <w:pPr>
        <w:pStyle w:val="16"/>
        <w:shd w:val="clear" w:color="auto" w:fill="FFFFFF"/>
        <w:spacing w:before="0" w:beforeAutospacing="0" w:after="0" w:afterAutospacing="0" w:line="360" w:lineRule="auto"/>
        <w:ind w:firstLine="480" w:firstLineChars="200"/>
      </w:pPr>
      <w:r>
        <w:rPr>
          <w:rFonts w:hint="eastAsia"/>
        </w:rPr>
        <w:t>（六）恶意投诉的；</w:t>
      </w:r>
    </w:p>
    <w:p>
      <w:pPr>
        <w:pStyle w:val="16"/>
        <w:shd w:val="clear" w:color="auto" w:fill="FFFFFF"/>
        <w:spacing w:before="0" w:beforeAutospacing="0" w:after="0" w:afterAutospacing="0" w:line="360" w:lineRule="auto"/>
        <w:ind w:firstLine="480" w:firstLineChars="200"/>
      </w:pPr>
      <w:r>
        <w:rPr>
          <w:rFonts w:hint="eastAsia"/>
        </w:rPr>
        <w:t>（七）向采购项目相关人行贿或者提供其他不当利益的；</w:t>
      </w:r>
    </w:p>
    <w:p>
      <w:pPr>
        <w:pStyle w:val="16"/>
        <w:shd w:val="clear" w:color="auto" w:fill="FFFFFF"/>
        <w:spacing w:before="0" w:beforeAutospacing="0" w:after="0" w:afterAutospacing="0" w:line="360" w:lineRule="auto"/>
        <w:ind w:firstLine="480" w:firstLineChars="200"/>
      </w:pPr>
      <w:r>
        <w:rPr>
          <w:rFonts w:hint="eastAsia"/>
        </w:rPr>
        <w:t>（八）阻碍、抗拒主管部门监督检查的；</w:t>
      </w:r>
    </w:p>
    <w:p>
      <w:pPr>
        <w:pStyle w:val="16"/>
        <w:shd w:val="clear" w:color="auto" w:fill="FFFFFF"/>
        <w:spacing w:before="0" w:beforeAutospacing="0" w:after="0" w:afterAutospacing="0" w:line="360" w:lineRule="auto"/>
        <w:ind w:firstLine="480" w:firstLineChars="200"/>
      </w:pPr>
      <w:r>
        <w:rPr>
          <w:rFonts w:hint="eastAsia"/>
        </w:rPr>
        <w:t>（九）其他违反本条例规定的行为。</w:t>
      </w:r>
    </w:p>
    <w:p>
      <w:pPr>
        <w:autoSpaceDE w:val="0"/>
        <w:autoSpaceDN w:val="0"/>
        <w:adjustRightInd w:val="0"/>
        <w:spacing w:line="360" w:lineRule="auto"/>
        <w:ind w:firstLine="360" w:firstLineChars="150"/>
        <w:jc w:val="left"/>
        <w:rPr>
          <w:rFonts w:ascii="宋体" w:hAnsi="宋体" w:cs="宋体"/>
          <w:kern w:val="0"/>
          <w:sz w:val="24"/>
        </w:rPr>
      </w:pPr>
    </w:p>
    <w:p>
      <w:pPr>
        <w:autoSpaceDE w:val="0"/>
        <w:autoSpaceDN w:val="0"/>
        <w:adjustRightInd w:val="0"/>
        <w:spacing w:line="360" w:lineRule="auto"/>
        <w:jc w:val="center"/>
        <w:rPr>
          <w:rFonts w:ascii="宋体" w:hAnsi="宋体" w:cs="宋体"/>
          <w:b/>
          <w:kern w:val="0"/>
          <w:sz w:val="24"/>
        </w:rPr>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spacing w:line="360" w:lineRule="auto"/>
        <w:ind w:firstLine="480" w:firstLineChars="200"/>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ascii="宋体" w:hAnsi="宋体" w:cs="宋体"/>
          <w:sz w:val="24"/>
        </w:rPr>
      </w:pPr>
      <w:bookmarkStart w:id="3" w:name="_Toc31089"/>
      <w:r>
        <w:rPr>
          <w:rFonts w:hint="eastAsia" w:ascii="宋体" w:hAnsi="宋体" w:cs="宋体"/>
          <w:sz w:val="24"/>
        </w:rPr>
        <w:t>（七）主管部门依照法律、法规认定的其他情形。</w:t>
      </w:r>
      <w:bookmarkEnd w:id="3"/>
    </w:p>
    <w:p>
      <w:pPr>
        <w:keepLines/>
        <w:spacing w:line="360" w:lineRule="auto"/>
        <w:ind w:firstLine="482" w:firstLineChars="200"/>
        <w:rPr>
          <w:rFonts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ascii="宋体" w:hAnsi="宋体" w:cs="宋体"/>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ascii="宋体" w:hAnsi="宋体" w:cs="宋体"/>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ascii="宋体" w:hAnsi="宋体" w:cs="宋体"/>
          <w:sz w:val="24"/>
        </w:rPr>
      </w:pPr>
      <w:r>
        <w:rPr>
          <w:rFonts w:hint="eastAsia" w:ascii="宋体" w:hAnsi="宋体" w:cs="宋体"/>
          <w:b/>
          <w:kern w:val="0"/>
          <w:sz w:val="24"/>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pStyle w:val="2"/>
        <w:tabs>
          <w:tab w:val="left" w:pos="562"/>
          <w:tab w:val="left" w:pos="3372"/>
          <w:tab w:val="left" w:pos="3653"/>
        </w:tabs>
        <w:spacing w:line="360" w:lineRule="auto"/>
        <w:ind w:firstLine="482" w:firstLineChars="200"/>
        <w:rPr>
          <w:rFonts w:ascii="宋体" w:hAnsi="宋体" w:cs="宋体"/>
          <w:b/>
          <w:bCs/>
        </w:rPr>
      </w:pPr>
      <w:r>
        <w:rPr>
          <w:rFonts w:hint="eastAsia" w:ascii="宋体" w:hAnsi="宋体" w:cs="宋体"/>
          <w:b/>
          <w:bCs/>
        </w:rPr>
        <w:t>强化政府采购异常低价审查：</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试点地区采购人应当在采购文件中明确异常低价投标（响应）审查的有关内容，主要包括：</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ascii="宋体" w:hAnsi="宋体" w:cs="宋体"/>
          <w:b/>
          <w:bCs/>
          <w:sz w:val="36"/>
          <w:szCs w:val="36"/>
          <w:lang w:val="zh-CN"/>
        </w:rPr>
      </w:pPr>
      <w:bookmarkStart w:id="6" w:name="_Toc20808"/>
      <w:r>
        <w:rPr>
          <w:rFonts w:hint="eastAsia" w:ascii="宋体" w:hAnsi="宋体" w:cs="宋体"/>
          <w:b/>
          <w:bCs/>
          <w:sz w:val="36"/>
          <w:szCs w:val="36"/>
          <w:lang w:val="zh-CN"/>
        </w:rPr>
        <w:t>目录</w:t>
      </w:r>
      <w:bookmarkEnd w:id="0"/>
      <w:bookmarkEnd w:id="6"/>
    </w:p>
    <w:p>
      <w:pPr>
        <w:pStyle w:val="14"/>
        <w:tabs>
          <w:tab w:val="right" w:leader="dot" w:pos="8306"/>
        </w:tabs>
        <w:spacing w:line="480" w:lineRule="auto"/>
        <w:rPr>
          <w:b/>
          <w:bCs/>
          <w:sz w:val="24"/>
          <w:szCs w:val="32"/>
        </w:rPr>
      </w:pPr>
    </w:p>
    <w:p>
      <w:pPr>
        <w:pStyle w:val="14"/>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6</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10</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13</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15</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end"/>
      </w:r>
      <w:r>
        <w:rPr>
          <w:rFonts w:hint="eastAsia"/>
          <w:b/>
          <w:bCs/>
          <w:sz w:val="24"/>
        </w:rPr>
        <w:t>26</w:t>
      </w:r>
    </w:p>
    <w:p>
      <w:pPr>
        <w:pStyle w:val="14"/>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end"/>
      </w:r>
      <w:r>
        <w:rPr>
          <w:rFonts w:hint="eastAsia"/>
          <w:b/>
          <w:bCs/>
          <w:sz w:val="24"/>
        </w:rPr>
        <w:t>32</w:t>
      </w:r>
    </w:p>
    <w:p>
      <w:pPr>
        <w:pStyle w:val="14"/>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end"/>
      </w:r>
      <w:r>
        <w:rPr>
          <w:rFonts w:hint="eastAsia"/>
          <w:b/>
          <w:bCs/>
          <w:sz w:val="24"/>
        </w:rPr>
        <w:t>38</w:t>
      </w:r>
    </w:p>
    <w:p>
      <w:pPr>
        <w:pStyle w:val="14"/>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end"/>
      </w:r>
      <w:r>
        <w:rPr>
          <w:rFonts w:hint="eastAsia"/>
          <w:b/>
          <w:bCs/>
          <w:sz w:val="24"/>
        </w:rPr>
        <w:t>57</w:t>
      </w:r>
    </w:p>
    <w:p>
      <w:pPr>
        <w:pStyle w:val="14"/>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17273"/>
      <w:r>
        <w:rPr>
          <w:rFonts w:hint="eastAsia" w:ascii="宋体" w:hAnsi="宋体" w:cs="宋体"/>
          <w:b/>
          <w:bCs/>
          <w:sz w:val="24"/>
        </w:rPr>
        <w:t>招标邀请书（招标公告）</w:t>
      </w:r>
      <w:bookmarkEnd w:id="7"/>
    </w:p>
    <w:p>
      <w:pPr>
        <w:spacing w:line="360" w:lineRule="auto"/>
        <w:ind w:firstLine="480" w:firstLineChars="200"/>
        <w:jc w:val="right"/>
        <w:rPr>
          <w:rFonts w:ascii="宋体" w:hAnsi="宋体" w:cs="宋体"/>
          <w:sz w:val="24"/>
        </w:rPr>
      </w:pPr>
      <w:r>
        <w:rPr>
          <w:rFonts w:hint="eastAsia" w:ascii="宋体" w:hAnsi="宋体" w:cs="宋体"/>
          <w:sz w:val="24"/>
        </w:rPr>
        <w:t>文件编码：0722-2025FE6372SZF-1</w:t>
      </w:r>
    </w:p>
    <w:p>
      <w:pPr>
        <w:spacing w:line="360" w:lineRule="auto"/>
        <w:ind w:firstLine="480" w:firstLineChars="200"/>
        <w:jc w:val="left"/>
        <w:rPr>
          <w:rFonts w:ascii="宋体" w:hAnsi="宋体" w:cs="宋体"/>
          <w:sz w:val="24"/>
        </w:rPr>
      </w:pPr>
      <w:r>
        <w:rPr>
          <w:rFonts w:hint="eastAsia" w:ascii="宋体" w:hAnsi="宋体" w:cs="宋体"/>
          <w:sz w:val="24"/>
        </w:rPr>
        <w:t>中国远东国际招标有限公司（以下简称采购代理机构）受深圳市前海深港现代服务业合作区管理局委托就</w:t>
      </w:r>
      <w:r>
        <w:rPr>
          <w:rFonts w:hint="eastAsia" w:ascii="宋体" w:hAnsi="宋体" w:cs="宋体"/>
          <w:sz w:val="24"/>
          <w:u w:val="single"/>
          <w:lang w:eastAsia="zh-CN"/>
        </w:rPr>
        <w:t>高度开放条件下的廉洁建设研究（三次招标）</w:t>
      </w:r>
      <w:r>
        <w:rPr>
          <w:rFonts w:hint="eastAsia" w:ascii="宋体" w:hAnsi="宋体" w:cs="宋体"/>
          <w:sz w:val="24"/>
        </w:rPr>
        <w:t>（招标编号：</w:t>
      </w:r>
      <w:r>
        <w:rPr>
          <w:rFonts w:hint="eastAsia" w:ascii="宋体" w:hAnsi="宋体" w:cs="宋体"/>
          <w:sz w:val="24"/>
          <w:u w:val="single"/>
        </w:rPr>
        <w:t>QH2025108</w:t>
      </w:r>
      <w:r>
        <w:rPr>
          <w:rFonts w:hint="eastAsia" w:ascii="宋体" w:hAnsi="宋体" w:cs="宋体"/>
          <w:sz w:val="24"/>
        </w:rPr>
        <w:t>）采用简易招标方式采购，欢迎符合投标人资格要求的专业供应商积极参加投标。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招标编号</w:t>
            </w:r>
          </w:p>
        </w:tc>
        <w:tc>
          <w:tcPr>
            <w:tcW w:w="7015" w:type="dxa"/>
            <w:vAlign w:val="center"/>
          </w:tcPr>
          <w:p>
            <w:pPr>
              <w:spacing w:line="360" w:lineRule="auto"/>
              <w:rPr>
                <w:rFonts w:ascii="宋体" w:hAnsi="宋体" w:cs="宋体"/>
                <w:sz w:val="24"/>
              </w:rPr>
            </w:pPr>
            <w:r>
              <w:rPr>
                <w:rFonts w:hint="eastAsia" w:ascii="宋体" w:hAnsi="宋体" w:cs="宋体"/>
                <w:sz w:val="24"/>
                <w:u w:val="single"/>
              </w:rPr>
              <w:t>QH2025108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高度开放条件下的廉洁建设研究（三次招标）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pPr>
            <w:r>
              <w:rPr>
                <w:rFonts w:hint="eastAsia" w:ascii="宋体" w:hAnsi="宋体" w:cs="宋体"/>
                <w:sz w:val="24"/>
              </w:rPr>
              <w:t xml:space="preserve">  </w:t>
            </w:r>
            <w:bookmarkStart w:id="8" w:name="OLE_LINK3"/>
            <w:r>
              <w:rPr>
                <w:rFonts w:hint="eastAsia" w:ascii="宋体" w:hAnsi="宋体" w:cs="宋体"/>
                <w:sz w:val="24"/>
              </w:rPr>
              <w:t xml:space="preserve"> </w:t>
            </w:r>
            <w:bookmarkEnd w:id="8"/>
            <w:r>
              <w:rPr>
                <w:rFonts w:hint="eastAsia" w:ascii="宋体" w:hAnsi="宋体" w:cs="宋体"/>
                <w:sz w:val="24"/>
              </w:rPr>
              <w:t>本项目委托第三方机构开展研究，内容包括：一是新形势下深港廉政机制协同和跨境廉洁治理的思路和举措；二是自贸试验区廉洁建设工作的思路和举措；三是法定机构廉政监督的思路和举措；四是外籍公职人员廉政教育监督的思路和举措；五是国企、民企、港企、外企廉洁合规治理的思路和举措。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vAlign w:val="center"/>
          </w:tcPr>
          <w:p>
            <w:pPr>
              <w:spacing w:line="360" w:lineRule="auto"/>
              <w:rPr>
                <w:rFonts w:ascii="宋体" w:hAnsi="宋体" w:cs="宋体"/>
                <w:sz w:val="24"/>
              </w:rPr>
            </w:pPr>
            <w:r>
              <w:rPr>
                <w:rFonts w:hint="eastAsia" w:ascii="宋体" w:hAnsi="宋体" w:cs="宋体"/>
                <w:sz w:val="24"/>
              </w:rPr>
              <w:t>¥220,000.00（人民币贰拾贰万元整）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rPr>
              <w:t>2025年</w:t>
            </w:r>
            <w:r>
              <w:rPr>
                <w:rFonts w:hint="eastAsia" w:ascii="宋体" w:hAnsi="宋体" w:cs="宋体"/>
                <w:b/>
                <w:bCs/>
                <w:kern w:val="0"/>
                <w:sz w:val="24"/>
                <w:lang w:val="en-US" w:eastAsia="zh-CN"/>
              </w:rPr>
              <w:t>9</w:t>
            </w:r>
            <w:r>
              <w:rPr>
                <w:rFonts w:hint="eastAsia" w:ascii="宋体" w:hAnsi="宋体" w:cs="宋体"/>
                <w:b/>
                <w:bCs/>
                <w:kern w:val="0"/>
                <w:sz w:val="24"/>
              </w:rPr>
              <w:t>月</w:t>
            </w:r>
            <w:r>
              <w:rPr>
                <w:rFonts w:hint="eastAsia" w:ascii="宋体" w:hAnsi="宋体" w:cs="宋体"/>
                <w:b/>
                <w:bCs/>
                <w:kern w:val="0"/>
                <w:sz w:val="24"/>
                <w:lang w:val="en-US" w:eastAsia="zh-CN"/>
              </w:rPr>
              <w:t>24</w:t>
            </w:r>
            <w:r>
              <w:rPr>
                <w:rFonts w:hint="eastAsia" w:ascii="宋体" w:hAnsi="宋体" w:cs="宋体"/>
                <w:b/>
                <w:bCs/>
                <w:kern w:val="0"/>
                <w:sz w:val="24"/>
              </w:rPr>
              <w:t>日1</w:t>
            </w:r>
            <w:r>
              <w:rPr>
                <w:rFonts w:hint="eastAsia" w:ascii="宋体" w:hAnsi="宋体" w:cs="宋体"/>
                <w:b/>
                <w:bCs/>
                <w:kern w:val="0"/>
                <w:sz w:val="24"/>
                <w:lang w:val="en-US" w:eastAsia="zh-CN"/>
              </w:rPr>
              <w:t>4</w:t>
            </w:r>
            <w:r>
              <w:rPr>
                <w:rFonts w:hint="eastAsia" w:ascii="宋体" w:hAnsi="宋体" w:cs="宋体"/>
                <w:b/>
                <w:bCs/>
                <w:kern w:val="0"/>
                <w:sz w:val="24"/>
              </w:rPr>
              <w:t>：</w:t>
            </w:r>
            <w:r>
              <w:rPr>
                <w:rFonts w:hint="eastAsia" w:ascii="宋体" w:hAnsi="宋体" w:cs="宋体"/>
                <w:b/>
                <w:bCs/>
                <w:kern w:val="0"/>
                <w:sz w:val="24"/>
                <w:lang w:val="en-US" w:eastAsia="zh-CN"/>
              </w:rPr>
              <w:t>3</w:t>
            </w:r>
            <w:r>
              <w:rPr>
                <w:rFonts w:hint="eastAsia" w:ascii="宋体" w:hAnsi="宋体" w:cs="宋体"/>
                <w:b/>
                <w:bCs/>
                <w:kern w:val="0"/>
                <w:sz w:val="24"/>
              </w:rPr>
              <w:t>0时（北京时间）</w:t>
            </w:r>
            <w:r>
              <w:rPr>
                <w:rFonts w:hint="eastAsia" w:ascii="宋体" w:hAnsi="宋体" w:cs="宋体"/>
                <w:kern w:val="0"/>
                <w:sz w:val="24"/>
              </w:rPr>
              <w:t>前送达（现场递交或邮寄）至深圳市南山区前海深港合作区桂湾五路123号前海管理局前海大厦T1栋</w:t>
            </w:r>
            <w:r>
              <w:rPr>
                <w:rFonts w:ascii="宋体" w:hAnsi="宋体" w:cs="宋体"/>
                <w:color w:val="000000"/>
                <w:kern w:val="0"/>
                <w:sz w:val="24"/>
              </w:rPr>
              <w:t>1906</w:t>
            </w:r>
            <w:r>
              <w:rPr>
                <w:rFonts w:hint="eastAsia" w:ascii="宋体" w:hAnsi="宋体" w:cs="宋体"/>
                <w:kern w:val="0"/>
                <w:sz w:val="24"/>
              </w:rPr>
              <w:t>室</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联  系  人：</w:t>
            </w:r>
            <w:r>
              <w:rPr>
                <w:rFonts w:hint="eastAsia" w:ascii="宋体" w:hAnsi="宋体" w:cs="宋体"/>
                <w:color w:val="000000"/>
                <w:kern w:val="0"/>
                <w:sz w:val="24"/>
              </w:rPr>
              <w:t>赵先生</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电      话：</w:t>
            </w:r>
            <w:r>
              <w:rPr>
                <w:rFonts w:ascii="宋体" w:hAnsi="宋体" w:cs="宋体"/>
                <w:color w:val="000000"/>
                <w:kern w:val="0"/>
                <w:sz w:val="24"/>
              </w:rPr>
              <w:t>0755-88105515</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rPr>
              <w:t>（由投标人提供《供应商基本情况表》并加盖公章，同时提供投标人的社保缴纳证明材料及股权关系证明材料，格式见-投标文件格式）；</w:t>
            </w:r>
          </w:p>
          <w:p>
            <w:pPr>
              <w:numPr>
                <w:ilvl w:val="0"/>
                <w:numId w:val="2"/>
              </w:numPr>
              <w:spacing w:line="360" w:lineRule="auto"/>
              <w:rPr>
                <w:rFonts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其他未列明行业。</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sz w:val="24"/>
              </w:rPr>
            </w:pPr>
            <w:bookmarkStart w:id="9" w:name="OLE_LINK5"/>
            <w:r>
              <w:rPr>
                <w:rFonts w:hint="eastAsia" w:ascii="宋体" w:hAnsi="宋体" w:cs="宋体"/>
                <w:sz w:val="24"/>
              </w:rPr>
              <w:t>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投标人的报价不可高于预算（限价），否则投标人的投标文件视同无效。项目服务费包括但不限于专家咨询费、研究人员劳务费、调研费、资料费、印刷费、座谈交流费、税费等为完成咨询服务研究所需的费用。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的合同金额，合同期限内不做调整金额。</w:t>
            </w:r>
          </w:p>
          <w:bookmarkEnd w:id="9"/>
          <w:p>
            <w:pPr>
              <w:numPr>
                <w:ilvl w:val="0"/>
                <w:numId w:val="3"/>
              </w:numPr>
              <w:spacing w:line="360" w:lineRule="auto"/>
              <w:rPr>
                <w:rFonts w:ascii="宋体" w:hAnsi="宋体" w:cs="宋体"/>
                <w:sz w:val="24"/>
              </w:rPr>
            </w:pPr>
            <w:r>
              <w:rPr>
                <w:rFonts w:hint="eastAsia" w:ascii="宋体" w:hAnsi="宋体" w:cs="宋体"/>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1.采购人信息</w:t>
            </w:r>
          </w:p>
          <w:p>
            <w:pPr>
              <w:spacing w:line="360" w:lineRule="auto"/>
              <w:rPr>
                <w:rFonts w:ascii="宋体" w:hAnsi="宋体" w:cs="宋体"/>
                <w:kern w:val="0"/>
                <w:sz w:val="24"/>
              </w:rPr>
            </w:pPr>
            <w:bookmarkStart w:id="10" w:name="_Toc28359086"/>
            <w:bookmarkStart w:id="11" w:name="_Toc28359009"/>
            <w:r>
              <w:rPr>
                <w:rFonts w:hint="eastAsia" w:ascii="宋体" w:hAnsi="宋体" w:cs="宋体"/>
                <w:kern w:val="0"/>
                <w:sz w:val="24"/>
              </w:rPr>
              <w:t>名  称：深圳市前海深港现代服务业合作区管理局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地  址：深圳市南山区前海深港合作区桂湾五路123号前海管理局前海大厦T1栋</w:t>
            </w:r>
          </w:p>
          <w:p>
            <w:pPr>
              <w:spacing w:line="360" w:lineRule="auto"/>
              <w:rPr>
                <w:rFonts w:ascii="宋体" w:hAnsi="宋体" w:cs="宋体"/>
                <w:kern w:val="0"/>
                <w:sz w:val="24"/>
              </w:rPr>
            </w:pPr>
            <w:r>
              <w:rPr>
                <w:rFonts w:hint="eastAsia" w:ascii="宋体" w:hAnsi="宋体" w:cs="宋体"/>
                <w:kern w:val="0"/>
                <w:sz w:val="24"/>
              </w:rPr>
              <w:t>联系人：</w:t>
            </w:r>
            <w:r>
              <w:rPr>
                <w:rFonts w:hint="eastAsia" w:ascii="宋体" w:hAnsi="宋体" w:cs="宋体"/>
                <w:color w:val="000000"/>
                <w:kern w:val="0"/>
                <w:sz w:val="24"/>
              </w:rPr>
              <w:t>赵先生</w:t>
            </w:r>
          </w:p>
          <w:p>
            <w:pPr>
              <w:spacing w:line="360" w:lineRule="auto"/>
              <w:rPr>
                <w:rFonts w:ascii="宋体" w:hAnsi="宋体" w:cs="宋体"/>
                <w:kern w:val="0"/>
                <w:sz w:val="24"/>
              </w:rPr>
            </w:pPr>
            <w:r>
              <w:rPr>
                <w:rFonts w:hint="eastAsia" w:ascii="宋体" w:hAnsi="宋体" w:cs="宋体"/>
                <w:kern w:val="0"/>
                <w:sz w:val="24"/>
              </w:rPr>
              <w:t>电  话：</w:t>
            </w:r>
            <w:r>
              <w:rPr>
                <w:rFonts w:ascii="宋体" w:hAnsi="宋体" w:cs="宋体"/>
                <w:kern w:val="0"/>
                <w:sz w:val="24"/>
              </w:rPr>
              <w:t>0755-88105515</w:t>
            </w:r>
          </w:p>
          <w:p>
            <w:pPr>
              <w:spacing w:line="360" w:lineRule="auto"/>
              <w:rPr>
                <w:rFonts w:ascii="宋体" w:hAnsi="宋体" w:cs="宋体"/>
                <w:kern w:val="0"/>
                <w:sz w:val="24"/>
              </w:rPr>
            </w:pPr>
            <w:r>
              <w:rPr>
                <w:rFonts w:hint="eastAsia" w:ascii="宋体" w:hAnsi="宋体" w:cs="宋体"/>
                <w:kern w:val="0"/>
                <w:sz w:val="24"/>
              </w:rPr>
              <w:t>2.采购代理机构信息</w:t>
            </w:r>
            <w:bookmarkEnd w:id="10"/>
            <w:bookmarkEnd w:id="11"/>
          </w:p>
          <w:p>
            <w:pPr>
              <w:spacing w:line="360" w:lineRule="auto"/>
              <w:rPr>
                <w:rFonts w:ascii="宋体" w:hAnsi="宋体" w:cs="宋体"/>
                <w:kern w:val="0"/>
                <w:sz w:val="24"/>
              </w:rPr>
            </w:pPr>
            <w:bookmarkStart w:id="12" w:name="_Toc28359010"/>
            <w:bookmarkStart w:id="13" w:name="_Toc28359087"/>
            <w:r>
              <w:rPr>
                <w:rFonts w:hint="eastAsia" w:ascii="宋体" w:hAnsi="宋体" w:cs="宋体"/>
                <w:kern w:val="0"/>
                <w:sz w:val="24"/>
              </w:rPr>
              <w:t>名  称：中国远东国际招标有限公司</w:t>
            </w:r>
          </w:p>
          <w:p>
            <w:pPr>
              <w:spacing w:line="360" w:lineRule="auto"/>
              <w:rPr>
                <w:rFonts w:ascii="宋体" w:hAnsi="宋体" w:cs="宋体"/>
                <w:kern w:val="0"/>
                <w:sz w:val="24"/>
              </w:rPr>
            </w:pPr>
            <w:r>
              <w:rPr>
                <w:rFonts w:hint="eastAsia" w:ascii="宋体" w:hAnsi="宋体" w:cs="宋体"/>
                <w:kern w:val="0"/>
                <w:sz w:val="24"/>
              </w:rPr>
              <w:t>地  址：深圳市福田区上步南路1001号锦峰大厦22楼</w:t>
            </w:r>
          </w:p>
          <w:p>
            <w:pPr>
              <w:spacing w:line="360" w:lineRule="auto"/>
              <w:rPr>
                <w:rFonts w:ascii="宋体" w:hAnsi="宋体" w:cs="宋体"/>
                <w:kern w:val="0"/>
                <w:sz w:val="24"/>
              </w:rPr>
            </w:pPr>
            <w:r>
              <w:rPr>
                <w:rFonts w:hint="eastAsia" w:ascii="宋体" w:hAnsi="宋体" w:cs="宋体"/>
                <w:kern w:val="0"/>
                <w:sz w:val="24"/>
              </w:rPr>
              <w:t>联系人：凌女士、伍先生</w:t>
            </w:r>
          </w:p>
          <w:p>
            <w:pPr>
              <w:spacing w:line="360" w:lineRule="auto"/>
              <w:rPr>
                <w:rFonts w:ascii="宋体" w:hAnsi="宋体" w:cs="宋体"/>
                <w:kern w:val="0"/>
                <w:sz w:val="24"/>
              </w:rPr>
            </w:pPr>
            <w:r>
              <w:rPr>
                <w:rFonts w:hint="eastAsia" w:ascii="宋体" w:hAnsi="宋体" w:cs="宋体"/>
                <w:kern w:val="0"/>
                <w:sz w:val="24"/>
              </w:rPr>
              <w:t>电  话：0755-82078919、82077364转108</w:t>
            </w:r>
          </w:p>
          <w:p>
            <w:pPr>
              <w:spacing w:line="360" w:lineRule="auto"/>
              <w:rPr>
                <w:rFonts w:ascii="宋体" w:hAnsi="宋体" w:cs="宋体"/>
                <w:kern w:val="0"/>
                <w:sz w:val="24"/>
              </w:rPr>
            </w:pPr>
            <w:r>
              <w:rPr>
                <w:rFonts w:hint="eastAsia" w:ascii="宋体" w:hAnsi="宋体" w:cs="宋体"/>
                <w:kern w:val="0"/>
                <w:sz w:val="24"/>
              </w:rPr>
              <w:t>传  真：0755-82077519</w:t>
            </w:r>
          </w:p>
          <w:p>
            <w:pPr>
              <w:spacing w:line="360" w:lineRule="auto"/>
              <w:rPr>
                <w:rFonts w:ascii="宋体" w:hAnsi="宋体" w:cs="宋体"/>
                <w:kern w:val="0"/>
                <w:sz w:val="24"/>
              </w:rPr>
            </w:pPr>
            <w:r>
              <w:rPr>
                <w:rFonts w:hint="eastAsia" w:ascii="宋体" w:hAnsi="宋体" w:cs="宋体"/>
                <w:kern w:val="0"/>
                <w:sz w:val="24"/>
              </w:rPr>
              <w:t>3.项目联系方式</w:t>
            </w:r>
            <w:bookmarkEnd w:id="12"/>
            <w:bookmarkEnd w:id="13"/>
          </w:p>
          <w:p>
            <w:pPr>
              <w:spacing w:line="360" w:lineRule="auto"/>
              <w:rPr>
                <w:rFonts w:ascii="宋体" w:hAnsi="宋体" w:cs="宋体"/>
                <w:kern w:val="0"/>
                <w:sz w:val="24"/>
              </w:rPr>
            </w:pPr>
            <w:r>
              <w:rPr>
                <w:rFonts w:hint="eastAsia" w:ascii="宋体" w:hAnsi="宋体" w:cs="宋体"/>
                <w:kern w:val="0"/>
                <w:sz w:val="24"/>
              </w:rPr>
              <w:t>项目联系人：凌女士、伍先生</w:t>
            </w:r>
          </w:p>
          <w:p>
            <w:pPr>
              <w:spacing w:line="360" w:lineRule="auto"/>
              <w:rPr>
                <w:rFonts w:ascii="宋体" w:hAnsi="宋体" w:cs="宋体"/>
                <w:kern w:val="0"/>
                <w:sz w:val="24"/>
              </w:rPr>
            </w:pPr>
            <w:r>
              <w:rPr>
                <w:rFonts w:hint="eastAsia" w:ascii="宋体" w:hAnsi="宋体" w:cs="宋体"/>
                <w:kern w:val="0"/>
                <w:sz w:val="24"/>
              </w:rPr>
              <w:t>电　话：0755-82078919、82077364转108</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中国远东国际招标有限公司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4" w:name="_Toc10214"/>
      <w:r>
        <w:rPr>
          <w:rFonts w:hint="eastAsia" w:ascii="宋体" w:hAnsi="宋体" w:cs="宋体"/>
          <w:b/>
          <w:bCs/>
          <w:sz w:val="24"/>
        </w:rPr>
        <w:t>投标须知</w:t>
      </w:r>
      <w:bookmarkEnd w:id="14"/>
    </w:p>
    <w:p>
      <w:pPr>
        <w:spacing w:line="360" w:lineRule="auto"/>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lang w:eastAsia="zh-CN"/>
        </w:rPr>
        <w:t>高度开放条件下的廉洁建设研究（三次招标）</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ascii="宋体" w:hAnsi="宋体" w:cs="宋体"/>
          <w:b/>
          <w:bCs/>
          <w:sz w:val="24"/>
        </w:rPr>
      </w:pPr>
      <w:r>
        <w:rPr>
          <w:rFonts w:hint="eastAsia" w:ascii="宋体" w:hAnsi="宋体" w:cs="宋体"/>
          <w:b/>
          <w:bCs/>
          <w:sz w:val="24"/>
        </w:rPr>
        <w:t>2.1、本次采购公开征集供应商，报名且符合招标文件初审的供应商满足3家或3家以上的，采用综合评分法的方式进行。</w:t>
      </w:r>
      <w:r>
        <w:rPr>
          <w:rFonts w:hint="eastAsia" w:ascii="宋体" w:hAnsi="宋体" w:cs="宋体"/>
          <w:b/>
          <w:bCs/>
          <w:sz w:val="24"/>
          <w:u w:val="single"/>
        </w:rPr>
        <w:t>报名且符合招标文件初审的供应商不足3家而导致招标失败的，应重新组织简易招标(公开征集)或转为其他采购方式采购。</w:t>
      </w:r>
    </w:p>
    <w:p>
      <w:pPr>
        <w:spacing w:line="360" w:lineRule="auto"/>
        <w:rPr>
          <w:rFonts w:ascii="宋体" w:hAnsi="宋体" w:cs="宋体"/>
          <w:b/>
          <w:bCs/>
          <w:sz w:val="24"/>
        </w:rPr>
      </w:pPr>
      <w:r>
        <w:rPr>
          <w:rFonts w:hint="eastAsia" w:ascii="宋体" w:hAnsi="宋体" w:cs="宋体"/>
          <w:b/>
          <w:bCs/>
          <w:sz w:val="24"/>
        </w:rPr>
        <w:t>2.2、对于重新组织简易招标(公开征集)，仍出现有效投标供应商不足3家的情形，按以下流程执行：</w:t>
      </w:r>
    </w:p>
    <w:p>
      <w:pPr>
        <w:spacing w:line="360" w:lineRule="auto"/>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rPr>
          <w:rFonts w:ascii="宋体" w:hAnsi="宋体" w:cs="宋体"/>
          <w:sz w:val="24"/>
        </w:rPr>
      </w:pPr>
      <w:r>
        <w:rPr>
          <w:rFonts w:hint="eastAsia" w:ascii="宋体" w:hAnsi="宋体" w:cs="宋体"/>
          <w:b/>
          <w:bCs/>
          <w:sz w:val="24"/>
        </w:rPr>
        <w:t>b.如参与投标且符合招标文件要求的供应商仅有1家，评审委员会应与投标供应商进行谈判，</w:t>
      </w:r>
      <w:r>
        <w:rPr>
          <w:rFonts w:hint="eastAsia" w:ascii="宋体" w:hAnsi="宋体" w:cs="宋体"/>
          <w:b/>
          <w:bCs/>
          <w:sz w:val="24"/>
          <w:u w:val="single"/>
        </w:rPr>
        <w:t>原则上成交价不超过最初报价的95%。</w:t>
      </w:r>
    </w:p>
    <w:p>
      <w:pPr>
        <w:spacing w:line="360" w:lineRule="auto"/>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w:t>
      </w:r>
      <w:bookmarkStart w:id="15" w:name="OLE_LINK6"/>
      <w:r>
        <w:rPr>
          <w:rFonts w:hint="eastAsia" w:ascii="宋体" w:hAnsi="宋体" w:cs="宋体"/>
          <w:b/>
          <w:sz w:val="24"/>
        </w:rPr>
        <w:t>1份电子文档：PDF格式的正本投标文件扫描件、与正本一致的word文档格式的投标文件</w:t>
      </w:r>
      <w:bookmarkEnd w:id="15"/>
      <w:r>
        <w:rPr>
          <w:rFonts w:hint="eastAsia" w:ascii="宋体" w:hAnsi="宋体" w:cs="宋体"/>
          <w:b/>
          <w:bCs/>
          <w:sz w:val="24"/>
        </w:rPr>
        <w:t>）</w:t>
      </w:r>
      <w:r>
        <w:rPr>
          <w:rFonts w:hint="eastAsia" w:ascii="宋体" w:hAnsi="宋体" w:cs="宋体"/>
          <w:sz w:val="24"/>
        </w:rPr>
        <w:t>完备的资料进行投标。</w:t>
      </w:r>
    </w:p>
    <w:p>
      <w:pPr>
        <w:spacing w:line="360" w:lineRule="auto"/>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技术部分。</w:t>
      </w:r>
    </w:p>
    <w:p>
      <w:pPr>
        <w:snapToGrid w:val="0"/>
        <w:spacing w:line="360" w:lineRule="auto"/>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360" w:lineRule="auto"/>
        <w:ind w:firstLine="360" w:firstLineChars="150"/>
        <w:rPr>
          <w:rFonts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ascii="宋体" w:hAnsi="宋体" w:cs="宋体"/>
          <w:sz w:val="24"/>
        </w:rPr>
      </w:pPr>
      <w:r>
        <w:rPr>
          <w:rFonts w:hint="eastAsia" w:ascii="宋体" w:hAnsi="宋体" w:cs="宋体"/>
          <w:sz w:val="24"/>
        </w:rPr>
        <w:t>（2）原则上成交价不超过最初报价的95%。</w:t>
      </w:r>
    </w:p>
    <w:p>
      <w:pPr>
        <w:snapToGrid w:val="0"/>
        <w:spacing w:line="360" w:lineRule="auto"/>
        <w:rPr>
          <w:rFonts w:ascii="宋体" w:hAnsi="宋体" w:cs="宋体"/>
          <w:sz w:val="24"/>
        </w:rPr>
      </w:pPr>
      <w:r>
        <w:rPr>
          <w:rFonts w:hint="eastAsia" w:ascii="宋体" w:hAnsi="宋体" w:cs="宋体"/>
          <w:sz w:val="24"/>
        </w:rPr>
        <w:t>14、所有的评审/谈判内容都必须保密。</w:t>
      </w:r>
    </w:p>
    <w:p>
      <w:pPr>
        <w:snapToGrid w:val="0"/>
        <w:spacing w:line="360" w:lineRule="auto"/>
        <w:rPr>
          <w:rFonts w:ascii="宋体" w:hAnsi="宋体" w:cs="宋体"/>
          <w:sz w:val="24"/>
        </w:rPr>
      </w:pPr>
      <w:r>
        <w:rPr>
          <w:rFonts w:hint="eastAsia" w:ascii="宋体" w:hAnsi="宋体" w:cs="宋体"/>
          <w:sz w:val="24"/>
        </w:rPr>
        <w:t>15、招标代理服务收费：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80%按差额定率累进法进行计费，由中标人支付，若以上计算金额小于3000元，则按3000元收取。</w:t>
      </w:r>
    </w:p>
    <w:p>
      <w:pPr>
        <w:snapToGrid w:val="0"/>
        <w:spacing w:line="360" w:lineRule="auto"/>
        <w:ind w:firstLine="360" w:firstLineChars="150"/>
        <w:rPr>
          <w:rFonts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开户名称：中国远东国际招标有限公司深圳分公司</w:t>
      </w:r>
    </w:p>
    <w:p>
      <w:pPr>
        <w:spacing w:line="360" w:lineRule="auto"/>
        <w:rPr>
          <w:rFonts w:ascii="宋体" w:hAnsi="宋体" w:cs="宋体"/>
          <w:sz w:val="24"/>
        </w:rPr>
      </w:pPr>
      <w:r>
        <w:rPr>
          <w:rFonts w:hint="eastAsia" w:ascii="宋体" w:hAnsi="宋体" w:cs="宋体"/>
          <w:sz w:val="24"/>
        </w:rPr>
        <w:t>银行账号：11013651025501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16" w:name="_Toc20176"/>
      <w:r>
        <w:rPr>
          <w:rFonts w:hint="eastAsia" w:ascii="宋体" w:hAnsi="宋体" w:cs="宋体"/>
          <w:b/>
          <w:bCs/>
          <w:sz w:val="24"/>
        </w:rPr>
        <w:t>评标程序</w:t>
      </w:r>
      <w:bookmarkEnd w:id="16"/>
    </w:p>
    <w:p>
      <w:pPr>
        <w:spacing w:line="360" w:lineRule="auto"/>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ascii="宋体" w:hAnsi="宋体" w:cs="宋体"/>
          <w:sz w:val="24"/>
        </w:rPr>
      </w:pPr>
      <w:r>
        <w:rPr>
          <w:rFonts w:hint="eastAsia" w:ascii="宋体" w:hAnsi="宋体" w:cs="宋体"/>
          <w:sz w:val="24"/>
        </w:rPr>
        <w:t>三、会议主持人：中国远东国际招标有限公司工作人员 。</w:t>
      </w:r>
    </w:p>
    <w:p>
      <w:pPr>
        <w:spacing w:line="360" w:lineRule="auto"/>
        <w:rPr>
          <w:rFonts w:ascii="宋体" w:hAnsi="宋体" w:cs="宋体"/>
          <w:sz w:val="24"/>
        </w:rPr>
      </w:pPr>
      <w:r>
        <w:rPr>
          <w:rFonts w:hint="eastAsia" w:ascii="宋体" w:hAnsi="宋体" w:cs="宋体"/>
          <w:sz w:val="24"/>
        </w:rPr>
        <w:t>四、开标时间：2025年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w:t>
      </w:r>
    </w:p>
    <w:p>
      <w:pPr>
        <w:spacing w:line="360" w:lineRule="auto"/>
        <w:rPr>
          <w:rFonts w:ascii="宋体" w:hAnsi="宋体" w:cs="宋体"/>
          <w:sz w:val="24"/>
        </w:rPr>
      </w:pPr>
      <w:r>
        <w:rPr>
          <w:rFonts w:hint="eastAsia" w:ascii="宋体" w:hAnsi="宋体" w:cs="宋体"/>
          <w:sz w:val="24"/>
        </w:rPr>
        <w:t>五、会议开始：2025年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0时（北京时间）由会议主持人宣布定标会议开始。</w:t>
      </w:r>
    </w:p>
    <w:p>
      <w:pPr>
        <w:spacing w:line="360" w:lineRule="auto"/>
        <w:rPr>
          <w:rFonts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ascii="宋体" w:hAnsi="宋体" w:cs="宋体"/>
          <w:sz w:val="24"/>
        </w:rPr>
      </w:pPr>
      <w:r>
        <w:rPr>
          <w:rFonts w:hint="eastAsia" w:ascii="宋体" w:hAnsi="宋体" w:cs="宋体"/>
          <w:sz w:val="24"/>
        </w:rPr>
        <w:t>九、评审委员会按以下工作程序进行：</w:t>
      </w:r>
    </w:p>
    <w:p>
      <w:pPr>
        <w:spacing w:line="360" w:lineRule="auto"/>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rPr>
          <w:rFonts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360" w:lineRule="auto"/>
        <w:rPr>
          <w:rFonts w:ascii="宋体" w:hAnsi="宋体" w:cs="宋体"/>
          <w:sz w:val="24"/>
        </w:rPr>
      </w:pPr>
      <w:r>
        <w:rPr>
          <w:rFonts w:hint="eastAsia" w:ascii="宋体" w:hAnsi="宋体" w:cs="宋体"/>
          <w:sz w:val="24"/>
        </w:rPr>
        <w:t>5.1 供应商在谈判时由项目负责人与评审委员会进行谈判；</w:t>
      </w:r>
    </w:p>
    <w:p>
      <w:pPr>
        <w:spacing w:line="360" w:lineRule="auto"/>
        <w:rPr>
          <w:rFonts w:ascii="宋体" w:hAnsi="宋体" w:cs="宋体"/>
          <w:sz w:val="24"/>
        </w:rPr>
      </w:pPr>
      <w:r>
        <w:rPr>
          <w:rFonts w:hint="eastAsia" w:ascii="宋体" w:hAnsi="宋体" w:cs="宋体"/>
          <w:sz w:val="24"/>
        </w:rPr>
        <w:t>5.2 原则上成交价不超过最初报价的95%。</w:t>
      </w:r>
    </w:p>
    <w:p>
      <w:pPr>
        <w:spacing w:line="360" w:lineRule="auto"/>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2"/>
        <w:rPr>
          <w:rFonts w:ascii="宋体" w:hAnsi="宋体" w:cs="宋体"/>
        </w:rPr>
      </w:pPr>
      <w:r>
        <w:rPr>
          <w:rFonts w:hint="eastAsia"/>
        </w:rPr>
        <w:br w:type="page"/>
      </w:r>
    </w:p>
    <w:p>
      <w:pPr>
        <w:numPr>
          <w:ilvl w:val="0"/>
          <w:numId w:val="1"/>
        </w:numPr>
        <w:spacing w:line="360" w:lineRule="auto"/>
        <w:jc w:val="center"/>
        <w:outlineLvl w:val="0"/>
        <w:rPr>
          <w:rFonts w:ascii="宋体" w:hAnsi="宋体" w:cs="宋体"/>
          <w:b/>
          <w:bCs/>
          <w:sz w:val="24"/>
        </w:rPr>
      </w:pPr>
      <w:bookmarkStart w:id="17" w:name="_Toc3567"/>
      <w:r>
        <w:rPr>
          <w:rFonts w:hint="eastAsia" w:ascii="宋体" w:hAnsi="宋体" w:cs="宋体"/>
          <w:b/>
          <w:bCs/>
          <w:sz w:val="24"/>
        </w:rPr>
        <w:t>合同格式及合同条款</w:t>
      </w:r>
      <w:bookmarkEnd w:id="17"/>
    </w:p>
    <w:p>
      <w:pPr>
        <w:spacing w:line="360" w:lineRule="auto"/>
        <w:ind w:firstLine="470" w:firstLineChars="196"/>
        <w:jc w:val="center"/>
        <w:rPr>
          <w:rFonts w:ascii="宋体" w:hAnsi="宋体" w:cs="宋体"/>
          <w:sz w:val="24"/>
        </w:rPr>
      </w:pPr>
      <w:bookmarkStart w:id="18" w:name="_Toc101074886"/>
      <w:bookmarkStart w:id="19" w:name="_Toc100052414"/>
      <w:bookmarkStart w:id="20" w:name="_Toc73521592"/>
      <w:bookmarkStart w:id="21" w:name="_Toc73518163"/>
      <w:bookmarkStart w:id="22" w:name="_Toc73521680"/>
      <w:bookmarkStart w:id="23" w:name="_Toc84303603"/>
      <w:bookmarkStart w:id="24" w:name="_Toc73517685"/>
    </w:p>
    <w:bookmarkEnd w:id="18"/>
    <w:bookmarkEnd w:id="19"/>
    <w:bookmarkEnd w:id="20"/>
    <w:bookmarkEnd w:id="21"/>
    <w:bookmarkEnd w:id="22"/>
    <w:bookmarkEnd w:id="23"/>
    <w:bookmarkEnd w:id="24"/>
    <w:p>
      <w:pPr>
        <w:pStyle w:val="27"/>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27"/>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27"/>
        <w:spacing w:line="360" w:lineRule="auto"/>
        <w:ind w:left="1470" w:right="1470" w:firstLine="482"/>
        <w:jc w:val="center"/>
        <w:rPr>
          <w:rFonts w:ascii="宋体" w:hAnsi="宋体" w:cs="宋体"/>
          <w:b/>
          <w:sz w:val="24"/>
          <w:szCs w:val="24"/>
        </w:rPr>
      </w:pP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ascii="宋体" w:hAnsi="宋体" w:cs="宋体"/>
          <w:b/>
          <w:sz w:val="32"/>
          <w:szCs w:val="32"/>
        </w:rPr>
      </w:pPr>
      <w:r>
        <w:rPr>
          <w:rFonts w:hint="eastAsia" w:ascii="宋体" w:hAnsi="宋体" w:cs="宋体"/>
          <w:b/>
          <w:sz w:val="32"/>
          <w:szCs w:val="32"/>
        </w:rPr>
        <w:t>高度开放条件下的廉洁建设研究</w:t>
      </w:r>
    </w:p>
    <w:p>
      <w:pPr>
        <w:spacing w:line="360" w:lineRule="auto"/>
        <w:jc w:val="center"/>
        <w:outlineLvl w:val="1"/>
        <w:rPr>
          <w:rFonts w:ascii="宋体" w:hAnsi="宋体" w:cs="宋体"/>
          <w:b/>
          <w:sz w:val="32"/>
          <w:szCs w:val="32"/>
        </w:rPr>
      </w:pPr>
      <w:r>
        <w:rPr>
          <w:rFonts w:hint="eastAsia" w:ascii="宋体" w:hAnsi="宋体" w:cs="宋体"/>
          <w:b/>
          <w:sz w:val="32"/>
          <w:szCs w:val="32"/>
        </w:rPr>
        <w:t>委托合同</w:t>
      </w:r>
    </w:p>
    <w:p>
      <w:pPr>
        <w:spacing w:line="360" w:lineRule="auto"/>
        <w:rPr>
          <w:rFonts w:ascii="宋体" w:hAnsi="宋体" w:cs="宋体"/>
          <w:sz w:val="24"/>
        </w:rPr>
      </w:pPr>
      <w:r>
        <w:rPr>
          <w:rFonts w:hint="eastAsia" w:ascii="宋体" w:hAnsi="宋体" w:cs="宋体"/>
          <w:sz w:val="24"/>
        </w:rPr>
        <w:t xml:space="preserve"> </w:t>
      </w:r>
    </w:p>
    <w:p>
      <w:pPr>
        <w:pStyle w:val="27"/>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pStyle w:val="27"/>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720" w:firstLineChars="3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：高度开放条件下的廉洁建设研究</w:t>
      </w:r>
    </w:p>
    <w:p>
      <w:pPr>
        <w:spacing w:line="360" w:lineRule="auto"/>
        <w:ind w:firstLine="720" w:firstLineChars="3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720" w:firstLineChars="3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二〇二五年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sz w:val="24"/>
          <w:u w:val="single"/>
        </w:rPr>
        <w:t>******</w:t>
      </w:r>
      <w:r>
        <w:rPr>
          <w:rFonts w:hint="eastAsia" w:ascii="宋体" w:hAnsi="宋体" w:cs="宋体"/>
          <w:sz w:val="24"/>
        </w:rPr>
        <w:t>】招标项目的中标结果，由【***】单位（以下简称乙方）为中标人。按照《中华人民共和国民法典》和《深圳经济特区政府采购条例》，经甲乙双方协商，就甲方委托</w:t>
      </w:r>
      <w:r>
        <w:rPr>
          <w:rFonts w:hint="eastAsia" w:ascii="宋体" w:hAnsi="宋体" w:cs="宋体"/>
          <w:b/>
          <w:bCs/>
          <w:sz w:val="24"/>
          <w:u w:val="single"/>
        </w:rPr>
        <w:t>乙方开展</w:t>
      </w:r>
      <w:r>
        <w:rPr>
          <w:rFonts w:hint="eastAsia" w:ascii="宋体" w:hAnsi="宋体" w:cs="宋体"/>
          <w:sz w:val="24"/>
          <w:u w:val="single"/>
        </w:rPr>
        <w:t>高度开放条件下的廉洁建设研究</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第一条 项目内容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项目名称：高度开放条件下的廉洁建设研究</w:t>
      </w:r>
    </w:p>
    <w:p>
      <w:pPr>
        <w:widowControl/>
        <w:tabs>
          <w:tab w:val="left" w:pos="720"/>
        </w:tabs>
        <w:spacing w:line="360" w:lineRule="auto"/>
        <w:ind w:firstLine="480"/>
        <w:jc w:val="left"/>
        <w:outlineLvl w:val="1"/>
        <w:rPr>
          <w:rFonts w:ascii="宋体" w:hAnsi="宋体" w:cs="宋体"/>
          <w:b/>
          <w:sz w:val="24"/>
        </w:rPr>
      </w:pPr>
      <w:r>
        <w:rPr>
          <w:rFonts w:hint="eastAsia" w:ascii="宋体" w:hAnsi="宋体" w:cs="宋体"/>
          <w:b/>
          <w:sz w:val="24"/>
        </w:rPr>
        <w:t>1.研究内容</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1.1.新形势下深港廉政机制协同和跨境廉洁治理的思路和举措。在现有政策框架下，探索深港廉政机制协同的可行性路径及具体举措，依托前海深港合作战略平台，重点构建针对前海港籍公职人员及在港前海国企的廉政教育监督制度机制，提升廉洁建设的覆盖广度与实践效能。</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1.2.自贸试验区廉洁建设工作的思路和举措。聚焦自贸区贸易、投资、金融、营商环境等领域改革发展任务，结合自贸区跨境人流、物流、资金流、数据流活跃等特点，针对发展建设中面临的新情况、新问题，探索数字赋能监督、区域协同监督、跨境治理监督的廉洁治理新路径，打造可复制、可推广的全国自贸区廉洁治理样板。</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1.3.法定机构廉政监督的思路和举措。针对前海法定机构特殊管理体制下，人员流动性相对较大、自由化程度相对较高，权力集中、资金密集、资源富集等廉政风险相对突出的特点，提出进一步强化法定机构廉政监督的思路和举措。</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1.4.外籍公职人员廉政教育监督的思路和举措。加强对跨境企业、重点人群的廉政教育，创新探索针对外籍公职人员廉洁教育的方式方法。</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1.5.国企、民企、港企、外企廉洁合规治理的思路和举措。落实中央民营企业座谈会精神，发挥前海企业廉洁促进与合规治理联合会社会组织职能作用，探索推进国企、民企、港企、外企等廉洁合规建设的路径、方式，促进企业合规建设和廉洁风险防控，推动前海企业共建廉洁营商环境。</w:t>
      </w:r>
    </w:p>
    <w:p>
      <w:pPr>
        <w:pStyle w:val="28"/>
        <w:tabs>
          <w:tab w:val="left" w:pos="720"/>
        </w:tabs>
        <w:autoSpaceDE w:val="0"/>
        <w:autoSpaceDN w:val="0"/>
        <w:adjustRightInd w:val="0"/>
        <w:spacing w:line="360" w:lineRule="auto"/>
        <w:ind w:right="17" w:firstLine="482"/>
        <w:jc w:val="left"/>
        <w:outlineLvl w:val="1"/>
        <w:rPr>
          <w:b/>
          <w:bCs/>
          <w:sz w:val="24"/>
        </w:rPr>
      </w:pPr>
      <w:bookmarkStart w:id="25" w:name="OLE_LINK21"/>
      <w:r>
        <w:rPr>
          <w:rFonts w:hint="eastAsia"/>
          <w:b/>
          <w:bCs/>
          <w:sz w:val="24"/>
        </w:rPr>
        <w:t>2.</w:t>
      </w:r>
      <w:r>
        <w:rPr>
          <w:b/>
          <w:bCs/>
          <w:sz w:val="24"/>
        </w:rPr>
        <w:t>项目</w:t>
      </w:r>
      <w:r>
        <w:rPr>
          <w:rFonts w:hint="eastAsia"/>
          <w:b/>
          <w:bCs/>
          <w:sz w:val="24"/>
        </w:rPr>
        <w:t>成果</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形成核心研究成果《高度开放条件下的廉洁建设研究报告》，系统分析现状、挑战，提出兼具前瞻性、可操作性的政策建议与实施路径，为前海合作区深化廉洁建设、打造新时代廉洁治理标杆提供决策参考和实践指引。</w:t>
      </w:r>
    </w:p>
    <w:bookmarkEnd w:id="25"/>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第二条  服务期限、服务地点、工作进度及阶段成果要求</w:t>
      </w:r>
    </w:p>
    <w:p>
      <w:pPr>
        <w:widowControl/>
        <w:spacing w:line="360" w:lineRule="auto"/>
        <w:ind w:firstLine="480" w:firstLineChars="200"/>
        <w:rPr>
          <w:rFonts w:ascii="宋体" w:hAnsi="宋体" w:cs="宋体"/>
          <w:sz w:val="24"/>
        </w:rPr>
      </w:pPr>
      <w:r>
        <w:rPr>
          <w:rFonts w:hint="eastAsia" w:ascii="宋体" w:hAnsi="宋体" w:cs="宋体"/>
          <w:sz w:val="24"/>
        </w:rPr>
        <w:t>1、服务期限：</w:t>
      </w:r>
    </w:p>
    <w:p>
      <w:pPr>
        <w:widowControl/>
        <w:spacing w:line="360" w:lineRule="auto"/>
        <w:ind w:firstLine="480" w:firstLineChars="200"/>
        <w:rPr>
          <w:rFonts w:ascii="宋体" w:hAnsi="宋体" w:cs="宋体"/>
          <w:b/>
          <w:bCs/>
          <w:kern w:val="0"/>
          <w:sz w:val="24"/>
        </w:rPr>
      </w:pPr>
      <w:r>
        <w:rPr>
          <w:rFonts w:hint="eastAsia" w:ascii="宋体" w:hAnsi="宋体" w:cs="宋体"/>
          <w:sz w:val="24"/>
        </w:rPr>
        <w:t>自签订合同之日起至2025年12月15日。</w:t>
      </w:r>
    </w:p>
    <w:p>
      <w:pPr>
        <w:spacing w:line="360" w:lineRule="auto"/>
        <w:ind w:firstLine="480" w:firstLineChars="200"/>
        <w:rPr>
          <w:rFonts w:ascii="宋体" w:hAnsi="宋体" w:cs="宋体"/>
          <w:sz w:val="24"/>
        </w:rPr>
      </w:pPr>
      <w:r>
        <w:rPr>
          <w:rFonts w:hint="eastAsia" w:ascii="宋体" w:hAnsi="宋体" w:cs="宋体"/>
          <w:sz w:val="24"/>
        </w:rPr>
        <w:t>2、服务地点</w:t>
      </w:r>
    </w:p>
    <w:p>
      <w:pPr>
        <w:spacing w:line="360" w:lineRule="auto"/>
        <w:ind w:firstLine="480" w:firstLineChars="200"/>
        <w:rPr>
          <w:rFonts w:ascii="宋体" w:hAnsi="宋体" w:cs="宋体"/>
          <w:sz w:val="24"/>
        </w:rPr>
      </w:pPr>
      <w:r>
        <w:rPr>
          <w:rFonts w:hint="eastAsia" w:ascii="宋体" w:hAnsi="宋体" w:cs="宋体"/>
          <w:sz w:val="24"/>
        </w:rPr>
        <w:t>甲方指定地点。</w:t>
      </w:r>
    </w:p>
    <w:p>
      <w:pPr>
        <w:spacing w:line="360" w:lineRule="auto"/>
        <w:ind w:firstLine="480" w:firstLineChars="200"/>
        <w:rPr>
          <w:rFonts w:ascii="宋体" w:hAnsi="宋体" w:cs="宋体"/>
          <w:sz w:val="24"/>
        </w:rPr>
      </w:pPr>
      <w:r>
        <w:rPr>
          <w:rFonts w:hint="eastAsia" w:ascii="宋体" w:hAnsi="宋体" w:cs="宋体"/>
          <w:sz w:val="24"/>
        </w:rPr>
        <w:t>3、工作进度及阶段成果要求：</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（一）确定研究思路及报告框架：自签订合同2个星期内，在广泛收集材料、初步调研的基础上，确定项目研究思路及报告框架。</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（二）形成研究报告（初稿）：自签订合同2个月内，形成研究报告初稿。</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（三）形成研究报告（送审稿）：自签订合同3个月内，形成研究报告送审稿，组织召开专家评审会，并根据专家评审意见对报告进一步深化修改完善形成最终稿。</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第三条  项目资料归属</w:t>
      </w:r>
    </w:p>
    <w:p>
      <w:pPr>
        <w:spacing w:line="360" w:lineRule="auto"/>
        <w:ind w:firstLine="480" w:firstLineChars="200"/>
        <w:rPr>
          <w:rFonts w:ascii="宋体" w:hAnsi="宋体" w:cs="宋体"/>
          <w:color w:val="000000"/>
          <w:sz w:val="24"/>
        </w:rPr>
      </w:pPr>
      <w:r>
        <w:rPr>
          <w:rFonts w:hint="eastAsia" w:ascii="宋体" w:hAnsi="宋体" w:cs="宋体"/>
          <w:color w:val="000000"/>
          <w:sz w:val="24"/>
        </w:rPr>
        <w:t>1、所有提交给甲方的项目文件及相关资料的</w:t>
      </w:r>
      <w:r>
        <w:rPr>
          <w:rFonts w:ascii="宋体" w:hAnsi="宋体" w:cs="宋体"/>
          <w:color w:val="000000"/>
          <w:sz w:val="24"/>
        </w:rPr>
        <w:t>阶段性成果及</w:t>
      </w:r>
      <w:r>
        <w:rPr>
          <w:rFonts w:hint="eastAsia" w:ascii="宋体" w:hAnsi="宋体" w:cs="宋体"/>
          <w:color w:val="000000"/>
          <w:sz w:val="24"/>
        </w:rPr>
        <w:t>最后文本，包括为履行服务范围所编制的计划和证明资料等，都属于甲方</w:t>
      </w:r>
      <w:r>
        <w:rPr>
          <w:rFonts w:ascii="宋体" w:hAnsi="宋体" w:cs="宋体"/>
          <w:color w:val="000000"/>
          <w:sz w:val="24"/>
        </w:rPr>
        <w:t>所有</w:t>
      </w:r>
      <w:r>
        <w:rPr>
          <w:rFonts w:hint="eastAsia" w:ascii="宋体" w:hAnsi="宋体" w:cs="宋体"/>
          <w:color w:val="000000"/>
          <w:sz w:val="24"/>
        </w:rPr>
        <w:t>，乙方在提交给甲方之前应将上述资料进行整理归类和编制索引。</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第四条  甲方的义务</w:t>
      </w:r>
    </w:p>
    <w:p>
      <w:pPr>
        <w:spacing w:line="46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、向乙方提供与本项目服务工作有关的资料。</w:t>
      </w:r>
    </w:p>
    <w:p>
      <w:pPr>
        <w:spacing w:line="46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、负责组织对项目成果的</w:t>
      </w:r>
      <w:r>
        <w:rPr>
          <w:rFonts w:ascii="宋体" w:hAnsi="宋体" w:cs="宋体"/>
          <w:color w:val="000000"/>
          <w:sz w:val="24"/>
        </w:rPr>
        <w:t>验收</w:t>
      </w:r>
      <w:r>
        <w:rPr>
          <w:rFonts w:hint="eastAsia" w:ascii="宋体" w:hAnsi="宋体" w:cs="宋体"/>
          <w:color w:val="000000"/>
          <w:sz w:val="24"/>
        </w:rPr>
        <w:t>。</w:t>
      </w:r>
    </w:p>
    <w:p>
      <w:pPr>
        <w:spacing w:line="46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、根据合同的条款按时支付合同价款。</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第五条 乙方的义务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１、应按照【</w:t>
      </w:r>
      <w:r>
        <w:rPr>
          <w:rFonts w:hint="eastAsia" w:ascii="宋体" w:hAnsi="宋体" w:cs="宋体"/>
          <w:color w:val="000000"/>
          <w:sz w:val="24"/>
          <w:u w:val="single"/>
          <w:lang w:eastAsia="zh-CN"/>
        </w:rPr>
        <w:t>QH2025108</w:t>
      </w:r>
      <w:r>
        <w:rPr>
          <w:rFonts w:hint="eastAsia" w:ascii="宋体" w:hAnsi="宋体" w:cs="宋体"/>
          <w:color w:val="000000"/>
          <w:sz w:val="24"/>
        </w:rPr>
        <w:t>】号招标文件、乙方投标文件以及本合同的要求按期完成本项目服务工作。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2、在履行合同期间或合同规定期限内，不得泄露与本合同规定业务会议有关的保密资料。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4、对甲方提出的合理的额外服务，不应予以拒绝。</w:t>
      </w:r>
    </w:p>
    <w:p>
      <w:pPr>
        <w:spacing w:line="360" w:lineRule="auto"/>
        <w:ind w:firstLine="480" w:firstLineChars="200"/>
        <w:rPr>
          <w:rFonts w:ascii="宋体" w:hAnsi="宋体" w:cs="宋体"/>
          <w:color w:val="000000"/>
          <w:sz w:val="24"/>
        </w:rPr>
      </w:pPr>
      <w:r>
        <w:rPr>
          <w:rFonts w:hint="eastAsia" w:ascii="宋体" w:hAnsi="宋体" w:cs="宋体"/>
          <w:color w:val="000000"/>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color w:val="000000"/>
          <w:sz w:val="24"/>
          <w:lang w:eastAsia="zh-CN"/>
        </w:rPr>
        <w:t>账</w:t>
      </w:r>
      <w:r>
        <w:rPr>
          <w:rFonts w:hint="eastAsia" w:ascii="宋体" w:hAnsi="宋体" w:cs="宋体"/>
          <w:color w:val="000000"/>
          <w:sz w:val="24"/>
        </w:rPr>
        <w:t>资料交给甲方。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ascii="宋体" w:hAnsi="宋体" w:cs="宋体"/>
          <w:color w:val="000000"/>
          <w:sz w:val="24"/>
        </w:rPr>
      </w:pPr>
      <w:r>
        <w:rPr>
          <w:rFonts w:hint="eastAsia" w:ascii="宋体" w:hAnsi="宋体" w:cs="宋体"/>
          <w:color w:val="000000"/>
          <w:sz w:val="24"/>
        </w:rPr>
        <w:t>7、乙方应独立完成本项目。未经甲方书面在先同意，乙方不得向任何第三方全部或部分转让本项目。</w:t>
      </w:r>
    </w:p>
    <w:p>
      <w:pPr>
        <w:spacing w:line="360" w:lineRule="auto"/>
        <w:ind w:firstLine="480" w:firstLineChars="200"/>
        <w:rPr>
          <w:rFonts w:ascii="宋体" w:hAnsi="宋体" w:cs="宋体"/>
          <w:color w:val="000000"/>
          <w:sz w:val="24"/>
        </w:rPr>
      </w:pPr>
      <w:r>
        <w:rPr>
          <w:rFonts w:hint="eastAsia" w:ascii="宋体" w:hAnsi="宋体" w:cs="宋体"/>
          <w:color w:val="000000"/>
          <w:sz w:val="24"/>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9、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ascii="宋体" w:hAnsi="宋体" w:cs="宋体"/>
          <w:color w:val="000000"/>
          <w:sz w:val="24"/>
        </w:rPr>
      </w:pPr>
      <w:r>
        <w:rPr>
          <w:rFonts w:hint="eastAsia" w:ascii="宋体" w:hAnsi="宋体" w:cs="宋体"/>
          <w:color w:val="000000"/>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color w:val="000000"/>
          <w:sz w:val="24"/>
        </w:rPr>
      </w:pPr>
      <w:r>
        <w:rPr>
          <w:rFonts w:hint="eastAsia" w:ascii="宋体" w:hAnsi="宋体" w:cs="宋体"/>
          <w:color w:val="000000"/>
          <w:sz w:val="24"/>
        </w:rPr>
        <w:t>12、乙方在完成本项目过程中，不得损害其他任何第三方的知识产权等合法权益，否则由此造成的相关责任应当由乙方自行承担，与甲方无关。</w:t>
      </w:r>
    </w:p>
    <w:p>
      <w:pPr>
        <w:spacing w:line="460" w:lineRule="exact"/>
        <w:ind w:firstLine="480" w:firstLineChars="200"/>
      </w:pPr>
      <w:r>
        <w:rPr>
          <w:rFonts w:hint="eastAsia" w:ascii="宋体" w:hAnsi="宋体" w:cs="宋体"/>
          <w:color w:val="000000"/>
          <w:sz w:val="24"/>
        </w:rPr>
        <w:t>13、乙方就本协议项下全部义务无条件对甲方承担连带责任。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14、乙方指定项目联系人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乙方： </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姓名： </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联系方式： </w:t>
      </w:r>
    </w:p>
    <w:p>
      <w:pPr>
        <w:spacing w:line="360" w:lineRule="auto"/>
        <w:ind w:firstLine="480" w:firstLineChars="200"/>
        <w:rPr>
          <w:color w:val="000000"/>
        </w:rPr>
      </w:pPr>
      <w:r>
        <w:rPr>
          <w:rFonts w:hint="eastAsia" w:ascii="宋体" w:hAnsi="宋体" w:cs="宋体"/>
          <w:color w:val="000000"/>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第六条  甲方的权利</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1、甲方对项目过程的决策、控制、实施等环节实行全面管理，协调和监督研究工作开展，控制工作过程，进行成果验收。</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2、甲方有权向乙方询问项目工作进展及相关情况，并要求乙方在指定时间内做出答复。</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3、甲方有权对乙方提交的阶段性成果、最终成果送审稿等相关工作文件进行审核并提出修改意见。</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4、</w:t>
      </w:r>
      <w:bookmarkStart w:id="26" w:name="OLE_LINK30"/>
      <w:r>
        <w:rPr>
          <w:rFonts w:hint="eastAsia" w:hAnsi="宋体" w:cs="宋体"/>
          <w:color w:val="000000"/>
          <w:sz w:val="24"/>
        </w:rPr>
        <w:t>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bookmarkEnd w:id="26"/>
    </w:p>
    <w:p>
      <w:pPr>
        <w:pStyle w:val="9"/>
        <w:snapToGrid w:val="0"/>
        <w:spacing w:line="360" w:lineRule="auto"/>
        <w:ind w:firstLine="420" w:firstLineChars="175"/>
        <w:rPr>
          <w:rFonts w:hAnsi="宋体" w:cs="宋体"/>
          <w:color w:val="000000"/>
          <w:sz w:val="24"/>
        </w:rPr>
      </w:pPr>
      <w:r>
        <w:rPr>
          <w:rFonts w:hint="eastAsia" w:hAnsi="宋体" w:cs="宋体"/>
          <w:color w:val="000000"/>
          <w:sz w:val="24"/>
        </w:rPr>
        <w:t>5、甲方对乙方在委托权限范围内完成委托事项有指导、监督权利。</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6、甲方有权要求乙方全面履行合同。甲方不接受部分履行，如本合同项下部分成果文件未能按时交付则视为整体延误。</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7、如乙方所提供的项目成果不符合本合同的要求，甲方有权要求乙方重新执行相应的工作服务，由此产生的全部费用由乙方自行承担，同时，甲方的付款时间相应顺延。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第七条  乙方的权利</w:t>
      </w:r>
    </w:p>
    <w:p>
      <w:pPr>
        <w:spacing w:line="360" w:lineRule="auto"/>
        <w:ind w:firstLine="480" w:firstLineChars="200"/>
        <w:rPr>
          <w:rFonts w:ascii="宋体" w:hAnsi="宋体" w:cs="宋体"/>
          <w:color w:val="000000"/>
          <w:sz w:val="24"/>
        </w:rPr>
      </w:pPr>
      <w:r>
        <w:rPr>
          <w:rFonts w:hint="eastAsia" w:ascii="宋体" w:hAnsi="宋体" w:cs="宋体"/>
          <w:color w:val="000000"/>
          <w:sz w:val="24"/>
        </w:rPr>
        <w:t>1、乙方在本项目服务过程中，如甲方提供的资料不明确时可向甲方提出书面报告。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2、乙方在本项目服务过程中，有权要求甲方就本服务业务有关的问题予以协调和支持。</w:t>
      </w:r>
    </w:p>
    <w:p>
      <w:pPr>
        <w:spacing w:line="360" w:lineRule="auto"/>
        <w:ind w:firstLine="480" w:firstLineChars="200"/>
        <w:rPr>
          <w:rFonts w:ascii="宋体" w:hAnsi="宋体" w:cs="宋体"/>
          <w:color w:val="000000"/>
          <w:sz w:val="24"/>
        </w:rPr>
      </w:pPr>
      <w:r>
        <w:rPr>
          <w:rFonts w:hint="eastAsia" w:ascii="宋体" w:hAnsi="宋体" w:cs="宋体"/>
          <w:color w:val="000000"/>
          <w:sz w:val="24"/>
        </w:rPr>
        <w:t>3、根据合同约定收取相应的合同价款。</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第八条  人员要求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拟任</w:t>
            </w:r>
            <w:r>
              <w:rPr>
                <w:rFonts w:ascii="宋体" w:hAnsi="宋体" w:cs="宋体"/>
                <w:color w:val="000000"/>
                <w:sz w:val="24"/>
              </w:rPr>
              <w:t>团队</w:t>
            </w:r>
            <w:r>
              <w:rPr>
                <w:rFonts w:hint="eastAsia" w:ascii="宋体" w:hAnsi="宋体" w:cs="宋体"/>
                <w:color w:val="00000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r>
    </w:tbl>
    <w:p>
      <w:pPr>
        <w:spacing w:line="360" w:lineRule="auto"/>
        <w:ind w:firstLine="480" w:firstLineChars="200"/>
        <w:rPr>
          <w:rFonts w:ascii="宋体" w:hAnsi="宋体" w:cs="宋体"/>
          <w:color w:val="000000"/>
          <w:sz w:val="24"/>
        </w:rPr>
      </w:pPr>
      <w:r>
        <w:rPr>
          <w:rFonts w:hint="eastAsia" w:ascii="宋体" w:hAnsi="宋体" w:cs="宋体"/>
          <w:color w:val="000000"/>
          <w:sz w:val="24"/>
        </w:rPr>
        <w:t>1、参加本项目的人员必须具有国家和有关部门规定的相应资质。</w:t>
      </w:r>
    </w:p>
    <w:p>
      <w:pPr>
        <w:spacing w:line="360" w:lineRule="auto"/>
        <w:ind w:firstLine="480" w:firstLineChars="200"/>
        <w:rPr>
          <w:rFonts w:ascii="宋体" w:hAnsi="宋体" w:cs="宋体"/>
          <w:color w:val="000000"/>
          <w:sz w:val="24"/>
        </w:rPr>
      </w:pPr>
      <w:r>
        <w:rPr>
          <w:rFonts w:hint="eastAsia" w:ascii="宋体" w:hAnsi="宋体" w:cs="宋体"/>
          <w:color w:val="000000"/>
          <w:sz w:val="24"/>
        </w:rPr>
        <w:t>2、参加本项目的人员配置必须与合同中的项目成员组成一致，若需调整需经甲方</w:t>
      </w:r>
      <w:r>
        <w:rPr>
          <w:rFonts w:ascii="宋体" w:hAnsi="宋体" w:cs="宋体"/>
          <w:color w:val="000000"/>
          <w:sz w:val="24"/>
        </w:rPr>
        <w:t>书面</w:t>
      </w:r>
      <w:r>
        <w:rPr>
          <w:rFonts w:hint="eastAsia" w:ascii="宋体" w:hAnsi="宋体" w:cs="宋体"/>
          <w:color w:val="000000"/>
          <w:sz w:val="24"/>
        </w:rPr>
        <w:t>同意后，方可变更。</w:t>
      </w:r>
    </w:p>
    <w:p>
      <w:pPr>
        <w:spacing w:line="360" w:lineRule="auto"/>
        <w:ind w:firstLine="480" w:firstLineChars="200"/>
        <w:rPr>
          <w:rFonts w:ascii="宋体" w:hAnsi="宋体" w:cs="宋体"/>
          <w:color w:val="000000"/>
          <w:sz w:val="24"/>
        </w:rPr>
      </w:pPr>
      <w:r>
        <w:rPr>
          <w:rFonts w:hint="eastAsia" w:ascii="宋体" w:hAnsi="宋体" w:cs="宋体"/>
          <w:color w:val="000000"/>
          <w:sz w:val="24"/>
        </w:rPr>
        <w:t>3、必须以乙方直属人员</w:t>
      </w:r>
      <w:r>
        <w:rPr>
          <w:rFonts w:ascii="宋体" w:hAnsi="宋体" w:cs="宋体"/>
          <w:color w:val="000000"/>
          <w:sz w:val="24"/>
        </w:rPr>
        <w:t>（直属人员指</w:t>
      </w:r>
      <w:r>
        <w:rPr>
          <w:rFonts w:hint="eastAsia" w:ascii="宋体" w:hAnsi="宋体" w:cs="宋体"/>
          <w:color w:val="000000"/>
          <w:sz w:val="24"/>
        </w:rPr>
        <w:t>劳动合同、社会保险等劳动关系</w:t>
      </w:r>
      <w:r>
        <w:rPr>
          <w:rFonts w:ascii="宋体" w:hAnsi="宋体" w:cs="宋体"/>
          <w:color w:val="000000"/>
          <w:sz w:val="24"/>
        </w:rPr>
        <w:t>在乙方的人员）</w:t>
      </w:r>
      <w:r>
        <w:rPr>
          <w:rFonts w:hint="eastAsia" w:ascii="宋体" w:hAnsi="宋体" w:cs="宋体"/>
          <w:color w:val="000000"/>
          <w:sz w:val="24"/>
        </w:rPr>
        <w:t>参与本项目服务，不得使用挂靠队伍。</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第九条 成果权属与知识产权</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确定，甲方有权利用乙方按照本合同约定提供的研究开发成果（如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第十条  保密条款</w:t>
      </w:r>
    </w:p>
    <w:p>
      <w:pPr>
        <w:widowControl/>
        <w:spacing w:line="360" w:lineRule="auto"/>
        <w:ind w:firstLine="480" w:firstLineChars="200"/>
        <w:rPr>
          <w:rFonts w:ascii="宋体" w:hAnsi="宋体" w:cs="宋体"/>
          <w:color w:val="000000"/>
          <w:sz w:val="24"/>
        </w:rPr>
      </w:pPr>
      <w:bookmarkStart w:id="27" w:name="_Toc216520223"/>
      <w:r>
        <w:rPr>
          <w:rFonts w:hint="eastAsia" w:ascii="宋体" w:hAnsi="宋体" w:cs="宋体"/>
          <w:color w:val="000000"/>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7"/>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color w:val="000000"/>
          <w:sz w:val="24"/>
          <w:lang w:eastAsia="zh-CN"/>
        </w:rPr>
        <w:t>，</w:t>
      </w:r>
      <w:r>
        <w:rPr>
          <w:rFonts w:hint="eastAsia" w:ascii="宋体" w:hAnsi="宋体" w:cs="宋体"/>
          <w:color w:val="000000"/>
          <w:sz w:val="24"/>
        </w:rPr>
        <w:t>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4、乙方实施项目的程序应符合国家安全、保密的有关规定和标准。</w:t>
      </w:r>
    </w:p>
    <w:p>
      <w:pPr>
        <w:widowControl/>
        <w:spacing w:line="360" w:lineRule="auto"/>
        <w:ind w:firstLine="480" w:firstLineChars="200"/>
        <w:rPr>
          <w:rFonts w:ascii="宋体" w:hAnsi="宋体" w:cs="宋体"/>
          <w:color w:val="000000"/>
          <w:sz w:val="24"/>
        </w:rPr>
      </w:pPr>
      <w:bookmarkStart w:id="28" w:name="_Toc216520224"/>
      <w:r>
        <w:rPr>
          <w:rFonts w:hint="eastAsia" w:ascii="宋体" w:hAnsi="宋体" w:cs="宋体"/>
          <w:color w:val="000000"/>
          <w:sz w:val="24"/>
        </w:rPr>
        <w:t>5</w:t>
      </w:r>
      <w:bookmarkEnd w:id="28"/>
      <w:bookmarkStart w:id="29" w:name="_Toc216520226"/>
      <w:r>
        <w:rPr>
          <w:rFonts w:hint="eastAsia" w:ascii="宋体" w:hAnsi="宋体" w:cs="宋体"/>
          <w:color w:val="000000"/>
          <w:sz w:val="24"/>
        </w:rPr>
        <w:t>、上述保密义务不适用以下情况：</w:t>
      </w:r>
      <w:bookmarkEnd w:id="29"/>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（1）获取的信息已被合法公开；</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（2）获得信息拥有方书面许可并在该许可范围内披露；</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（3）国家法律、法规规定的情形。</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color w:val="000000"/>
          <w:sz w:val="24"/>
        </w:rPr>
      </w:pPr>
      <w:r>
        <w:rPr>
          <w:rFonts w:hint="eastAsia" w:ascii="宋体" w:hAnsi="宋体" w:cs="宋体"/>
          <w:color w:val="000000"/>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color w:val="000000"/>
          <w:sz w:val="24"/>
        </w:rPr>
      </w:pPr>
      <w:bookmarkStart w:id="30" w:name="OLE_LINK2"/>
      <w:r>
        <w:rPr>
          <w:rFonts w:hint="eastAsia" w:ascii="宋体" w:hAnsi="宋体" w:cs="宋体"/>
          <w:b/>
          <w:bCs/>
          <w:color w:val="000000"/>
          <w:sz w:val="24"/>
        </w:rPr>
        <w:t xml:space="preserve">第十一条  验收方式     </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hint="eastAsia" w:ascii="宋体" w:hAnsi="宋体"/>
          <w:bCs/>
          <w:color w:val="000000"/>
          <w:sz w:val="24"/>
        </w:rPr>
        <w:t>1、乙方提供的服务内容应获得甲方组织的成果验收，具体流程如下：</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hint="eastAsia" w:ascii="宋体" w:hAnsi="宋体"/>
          <w:bCs/>
          <w:color w:val="000000"/>
          <w:sz w:val="24"/>
        </w:rPr>
        <w:t>（1）查重：乙方向甲方提交课题研究报告，同步提供第三方查重系统对课题成果内容查重报告，重复率不得超过20%。</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hint="eastAsia" w:ascii="宋体" w:hAnsi="宋体"/>
          <w:bCs/>
          <w:color w:val="000000"/>
          <w:sz w:val="24"/>
        </w:rPr>
        <w:t>（2）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并按本合同第十七条追究违约责任。</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ascii="宋体" w:hAnsi="宋体"/>
          <w:bCs/>
          <w:color w:val="000000"/>
          <w:sz w:val="24"/>
        </w:rPr>
        <w:t>2</w:t>
      </w:r>
      <w:r>
        <w:rPr>
          <w:rFonts w:hint="eastAsia" w:ascii="宋体" w:hAnsi="宋体"/>
          <w:bCs/>
          <w:color w:val="000000"/>
          <w:sz w:val="24"/>
        </w:rPr>
        <w:t>、项目最终成果验收合格的标志为：通过甲方组织的专家评审和结题会审查并同意结题。</w:t>
      </w:r>
    </w:p>
    <w:bookmarkEnd w:id="30"/>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第十二条  项目服务费用及付款方式</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 xml:space="preserve">1、合同价款：合同总价为 </w:t>
      </w:r>
      <w:r>
        <w:rPr>
          <w:rFonts w:hint="eastAsia" w:ascii="宋体" w:hAnsi="宋体" w:cs="宋体"/>
          <w:color w:val="000000"/>
          <w:sz w:val="24"/>
          <w:u w:val="single"/>
        </w:rPr>
        <w:t>****</w:t>
      </w:r>
      <w:r>
        <w:rPr>
          <w:rFonts w:hint="eastAsia" w:ascii="宋体" w:hAnsi="宋体" w:cs="宋体"/>
          <w:color w:val="000000"/>
          <w:sz w:val="24"/>
        </w:rPr>
        <w:t xml:space="preserve"> （含税）。本项目服务费包括但不限于专家咨询费、研究人员劳务费、调研费、资料费、印刷费、座谈交流费、税费等为</w:t>
      </w:r>
      <w:r>
        <w:rPr>
          <w:rFonts w:hint="eastAsia" w:ascii="宋体" w:hAnsi="宋体" w:cs="宋体"/>
          <w:sz w:val="24"/>
        </w:rPr>
        <w:t>完成咨询服务研究所需的费用</w:t>
      </w:r>
      <w:r>
        <w:rPr>
          <w:rFonts w:hint="eastAsia" w:ascii="宋体" w:hAnsi="宋体" w:cs="宋体"/>
          <w:sz w:val="24"/>
          <w:lang w:val="zh-CN"/>
        </w:rPr>
        <w:t>。</w:t>
      </w:r>
      <w:r>
        <w:rPr>
          <w:rFonts w:hint="eastAsia" w:ascii="宋体" w:hAnsi="宋体" w:cs="宋体"/>
          <w:sz w:val="24"/>
        </w:rPr>
        <w:t>在合同实施期间，除另签补充合同外，甲方不接受乙方以任何理由、任何名目提出增加费用的要求。</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2、合同价款由甲方分2期支付至乙方指定银行账户：</w:t>
      </w:r>
    </w:p>
    <w:p>
      <w:pPr>
        <w:pStyle w:val="2"/>
        <w:spacing w:after="0" w:line="360" w:lineRule="auto"/>
        <w:ind w:firstLine="480" w:firstLineChars="200"/>
        <w:rPr>
          <w:rFonts w:ascii="宋体" w:hAnsi="宋体" w:cs="宋体"/>
          <w:color w:val="000000"/>
        </w:rPr>
      </w:pPr>
      <w:r>
        <w:rPr>
          <w:rFonts w:hint="eastAsia" w:ascii="宋体" w:hAnsi="宋体" w:cs="宋体"/>
          <w:color w:val="000000"/>
        </w:rPr>
        <w:t>（1）第一期：自本项目合同签订之日起15个工作日内，根据乙方提出的付款申请，甲方向乙方支付合同总价款的</w:t>
      </w:r>
      <w:r>
        <w:rPr>
          <w:rFonts w:ascii="宋体" w:hAnsi="宋体" w:cs="宋体"/>
          <w:color w:val="000000"/>
        </w:rPr>
        <w:t>5</w:t>
      </w:r>
      <w:r>
        <w:rPr>
          <w:rFonts w:hint="eastAsia" w:ascii="宋体" w:hAnsi="宋体" w:cs="宋体"/>
          <w:color w:val="000000"/>
        </w:rPr>
        <w:t>0%；</w:t>
      </w:r>
      <w:r>
        <w:rPr>
          <w:rFonts w:ascii="宋体" w:hAnsi="宋体" w:cs="宋体"/>
          <w:color w:val="000000"/>
        </w:rPr>
        <w:t>即人民币</w:t>
      </w:r>
      <w:r>
        <w:rPr>
          <w:rFonts w:ascii="宋体" w:hAnsi="宋体" w:cs="宋体"/>
          <w:color w:val="000000"/>
          <w:u w:val="single"/>
        </w:rPr>
        <w:t xml:space="preserve">  </w:t>
      </w:r>
      <w:r>
        <w:rPr>
          <w:rFonts w:ascii="宋体" w:hAnsi="宋体" w:cs="宋体"/>
          <w:color w:val="000000"/>
        </w:rPr>
        <w:t>整（</w:t>
      </w:r>
      <w:r>
        <w:rPr>
          <w:rFonts w:hint="eastAsia" w:ascii="宋体" w:hAnsi="宋体" w:cs="宋体"/>
          <w:color w:val="000000"/>
        </w:rPr>
        <w:t>¥  元</w:t>
      </w:r>
      <w:r>
        <w:rPr>
          <w:rFonts w:ascii="宋体" w:hAnsi="宋体" w:cs="宋体"/>
          <w:color w:val="000000"/>
        </w:rPr>
        <w:t>）</w:t>
      </w:r>
    </w:p>
    <w:p>
      <w:pPr>
        <w:pStyle w:val="2"/>
        <w:spacing w:after="0" w:line="360" w:lineRule="auto"/>
        <w:ind w:firstLine="480" w:firstLineChars="200"/>
        <w:rPr>
          <w:rFonts w:ascii="宋体" w:hAnsi="宋体" w:cs="宋体"/>
          <w:color w:val="000000"/>
        </w:rPr>
      </w:pPr>
      <w:r>
        <w:rPr>
          <w:rFonts w:hint="eastAsia" w:ascii="宋体" w:hAnsi="宋体" w:cs="宋体"/>
          <w:color w:val="000000"/>
        </w:rPr>
        <w:t>（2）第二期：项目通过甲方验收工作，且验收合格，甲方向乙方支付项目合同总价款的</w:t>
      </w:r>
      <w:r>
        <w:rPr>
          <w:rFonts w:ascii="宋体" w:hAnsi="宋体" w:cs="宋体"/>
          <w:color w:val="000000"/>
        </w:rPr>
        <w:t>5</w:t>
      </w:r>
      <w:r>
        <w:rPr>
          <w:rFonts w:hint="eastAsia" w:ascii="宋体" w:hAnsi="宋体" w:cs="宋体"/>
          <w:color w:val="000000"/>
        </w:rPr>
        <w:t>0%；</w:t>
      </w:r>
      <w:r>
        <w:rPr>
          <w:rFonts w:ascii="宋体" w:hAnsi="宋体" w:cs="宋体"/>
          <w:color w:val="000000"/>
        </w:rPr>
        <w:t>即人民币</w:t>
      </w:r>
      <w:r>
        <w:rPr>
          <w:rFonts w:ascii="宋体" w:hAnsi="宋体" w:cs="宋体"/>
          <w:color w:val="000000"/>
          <w:u w:val="single"/>
        </w:rPr>
        <w:t xml:space="preserve">  </w:t>
      </w:r>
      <w:r>
        <w:rPr>
          <w:rFonts w:ascii="宋体" w:hAnsi="宋体" w:cs="宋体"/>
          <w:color w:val="000000"/>
        </w:rPr>
        <w:t>整（</w:t>
      </w:r>
      <w:r>
        <w:rPr>
          <w:rFonts w:hint="eastAsia" w:ascii="宋体" w:hAnsi="宋体" w:cs="宋体"/>
          <w:color w:val="000000"/>
        </w:rPr>
        <w:t>¥  元</w:t>
      </w:r>
      <w:r>
        <w:rPr>
          <w:rFonts w:ascii="宋体" w:hAnsi="宋体" w:cs="宋体"/>
          <w:color w:val="000000"/>
        </w:rPr>
        <w:t>）</w:t>
      </w:r>
    </w:p>
    <w:p>
      <w:pPr>
        <w:pStyle w:val="2"/>
        <w:spacing w:after="0" w:line="360" w:lineRule="auto"/>
        <w:ind w:firstLine="480" w:firstLineChars="200"/>
        <w:rPr>
          <w:rFonts w:ascii="宋体" w:hAnsi="宋体" w:cs="宋体"/>
          <w:color w:val="000000"/>
        </w:rPr>
      </w:pPr>
      <w:r>
        <w:rPr>
          <w:rFonts w:hint="eastAsia" w:ascii="宋体" w:hAnsi="宋体" w:cs="宋体"/>
          <w:color w:val="000000"/>
        </w:rPr>
        <w:t>（3）上述每期款项均在满足付款条件，通过甲方审查批准</w:t>
      </w:r>
      <w:r>
        <w:rPr>
          <w:rFonts w:ascii="宋体" w:hAnsi="宋体" w:cs="宋体"/>
          <w:color w:val="000000"/>
        </w:rPr>
        <w:t>，</w:t>
      </w:r>
      <w:r>
        <w:rPr>
          <w:rFonts w:hint="eastAsia" w:ascii="宋体" w:hAnsi="宋体" w:cs="宋体"/>
          <w:color w:val="000000"/>
        </w:rPr>
        <w:t>且甲方收到乙方开具的载明相应金额的合格发票后15个工作日内付至乙方指定银行账户。如未及时收到发票，则甲方相应付款时间顺延。若因甲方付款审批影响支付进度，请乙方予以谅解，并不得就此向甲方索赔。甲方有权在支付价款时扣除乙方按照本协议应承担的违约金和赔偿金。</w:t>
      </w:r>
    </w:p>
    <w:p>
      <w:pPr>
        <w:pStyle w:val="2"/>
        <w:spacing w:after="0" w:line="360" w:lineRule="auto"/>
        <w:ind w:firstLine="480" w:firstLineChars="200"/>
        <w:rPr>
          <w:rFonts w:ascii="宋体" w:hAnsi="宋体" w:cs="宋体"/>
          <w:color w:val="000000"/>
        </w:rPr>
      </w:pPr>
      <w:r>
        <w:rPr>
          <w:rFonts w:hint="eastAsia" w:ascii="宋体" w:hAnsi="宋体" w:cs="宋体"/>
          <w:color w:val="000000"/>
        </w:rPr>
        <w:t>3、乙方银行账户信息：</w:t>
      </w:r>
    </w:p>
    <w:p>
      <w:pPr>
        <w:pStyle w:val="2"/>
        <w:spacing w:after="0" w:line="360" w:lineRule="auto"/>
        <w:ind w:firstLine="480" w:firstLineChars="200"/>
        <w:rPr>
          <w:rFonts w:ascii="宋体" w:hAnsi="宋体" w:cs="宋体"/>
          <w:color w:val="000000"/>
        </w:rPr>
      </w:pPr>
      <w:r>
        <w:rPr>
          <w:rFonts w:hint="eastAsia" w:ascii="宋体" w:hAnsi="宋体" w:cs="宋体"/>
          <w:color w:val="000000"/>
        </w:rPr>
        <w:t xml:space="preserve">开户银行： </w:t>
      </w:r>
    </w:p>
    <w:p>
      <w:pPr>
        <w:pStyle w:val="2"/>
        <w:spacing w:after="0" w:line="360" w:lineRule="auto"/>
        <w:ind w:firstLine="480" w:firstLineChars="200"/>
        <w:rPr>
          <w:rFonts w:ascii="宋体" w:hAnsi="宋体" w:cs="宋体"/>
          <w:color w:val="000000"/>
        </w:rPr>
      </w:pPr>
      <w:r>
        <w:rPr>
          <w:rFonts w:hint="eastAsia" w:ascii="宋体" w:hAnsi="宋体" w:cs="宋体"/>
          <w:color w:val="000000"/>
        </w:rPr>
        <w:t>户名：</w:t>
      </w:r>
    </w:p>
    <w:p>
      <w:pPr>
        <w:pStyle w:val="2"/>
        <w:spacing w:after="0" w:line="360" w:lineRule="auto"/>
        <w:ind w:firstLine="480" w:firstLineChars="200"/>
        <w:rPr>
          <w:rFonts w:ascii="宋体" w:hAnsi="宋体" w:cs="宋体"/>
          <w:color w:val="000000"/>
        </w:rPr>
      </w:pPr>
      <w:r>
        <w:rPr>
          <w:rFonts w:hint="eastAsia" w:ascii="宋体" w:hAnsi="宋体" w:cs="宋体"/>
          <w:color w:val="000000"/>
        </w:rPr>
        <w:t>账号：</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第十三条 合同提前终止</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1、双方协商同意提前终止本合同的，按双方协商约定的方式进行清算执行。</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3、有下列情形之一的，本合同自甲方向乙方发出书面通知之日起终止：</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（1）</w:t>
      </w:r>
      <w:r>
        <w:rPr>
          <w:rFonts w:hint="eastAsia" w:ascii="宋体" w:hAnsi="宋体" w:cs="宋体"/>
          <w:color w:val="000000"/>
          <w:sz w:val="24"/>
          <w:szCs w:val="24"/>
        </w:rPr>
        <w:t>甲方的职能发生转变，不再具有委托职能。</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（2）</w:t>
      </w:r>
      <w:r>
        <w:rPr>
          <w:rFonts w:hint="eastAsia" w:ascii="宋体" w:hAnsi="宋体" w:cs="宋体"/>
          <w:color w:val="000000"/>
          <w:sz w:val="24"/>
          <w:szCs w:val="24"/>
        </w:rPr>
        <w:t>本合同签订时适用的法律法规或政策发生变化，且对本合同的继续履行造成重大影响。</w:t>
      </w:r>
    </w:p>
    <w:p>
      <w:pPr>
        <w:pStyle w:val="27"/>
        <w:spacing w:line="360" w:lineRule="auto"/>
        <w:ind w:firstLine="480"/>
        <w:rPr>
          <w:rFonts w:ascii="宋体" w:hAnsi="宋体" w:cs="宋体"/>
          <w:color w:val="000000"/>
          <w:sz w:val="24"/>
        </w:rPr>
      </w:pPr>
      <w:r>
        <w:rPr>
          <w:rFonts w:hint="eastAsia" w:ascii="宋体" w:hAnsi="宋体" w:cs="宋体"/>
          <w:color w:val="000000"/>
          <w:sz w:val="24"/>
        </w:rPr>
        <w:t>（3）该项目因故临时取消。</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发生以上情形，甲方已向乙方支付的款项不退还，尚未支付的款项不再支付，同时乙方应向甲方提交在合同终止日前完成的所有项目文件和相关资料。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4、如发生不可抗力或其他超出合同双方控制的事件，致使一方无法履行合同，本合同解除。</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（1）</w:t>
      </w:r>
      <w:r>
        <w:rPr>
          <w:rFonts w:hint="eastAsia" w:ascii="宋体" w:hAnsi="宋体" w:cs="宋体"/>
          <w:color w:val="000000"/>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（2）</w:t>
      </w:r>
      <w:r>
        <w:rPr>
          <w:rFonts w:hint="eastAsia" w:ascii="宋体" w:hAnsi="宋体" w:cs="宋体"/>
          <w:color w:val="000000"/>
          <w:sz w:val="24"/>
          <w:szCs w:val="24"/>
        </w:rPr>
        <w:t>发生不可抗力，甲乙双方承担各自的损失。由于其中一方迟延履行合同义务后发生不可抗力的，其违约责任不能免除。</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（3）</w:t>
      </w:r>
      <w:r>
        <w:rPr>
          <w:rFonts w:hint="eastAsia" w:ascii="宋体" w:hAnsi="宋体" w:cs="宋体"/>
          <w:color w:val="000000"/>
          <w:sz w:val="24"/>
          <w:szCs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第十四条  争议解决办法</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因本合同的履行发生的或与本合同有关的争议或纠纷，由甲乙双方协商解决。协商不成的，任意一方有权向深圳前海合作区人民法院提起诉讼。</w:t>
      </w:r>
    </w:p>
    <w:p>
      <w:pPr>
        <w:numPr>
          <w:ilvl w:val="0"/>
          <w:numId w:val="5"/>
        </w:numPr>
        <w:spacing w:line="360" w:lineRule="auto"/>
        <w:ind w:firstLine="482" w:firstLineChars="200"/>
        <w:rPr>
          <w:rFonts w:ascii="宋体" w:hAnsi="宋体" w:cs="宋体"/>
          <w:b/>
          <w:bCs/>
          <w:color w:val="000000"/>
          <w:sz w:val="24"/>
        </w:rPr>
      </w:pPr>
      <w:r>
        <w:rPr>
          <w:rFonts w:hint="eastAsia" w:ascii="宋体" w:hAnsi="宋体" w:cs="宋体"/>
          <w:b/>
          <w:bCs/>
          <w:color w:val="000000"/>
          <w:sz w:val="24"/>
        </w:rPr>
        <w:t xml:space="preserve"> 项目变更</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1、本合同履行过程中的需求变更和进度调整，以甲乙双方达成一致的书面文件为准。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4、在合同所约定的工作范畴内的服务，本合同价格不予变更。</w:t>
      </w:r>
    </w:p>
    <w:p>
      <w:pPr>
        <w:numPr>
          <w:ilvl w:val="0"/>
          <w:numId w:val="5"/>
        </w:numPr>
        <w:spacing w:line="360" w:lineRule="auto"/>
        <w:ind w:firstLine="482" w:firstLineChars="200"/>
        <w:rPr>
          <w:rFonts w:ascii="宋体" w:hAnsi="宋体" w:cs="宋体"/>
          <w:b/>
          <w:bCs/>
          <w:color w:val="000000"/>
          <w:sz w:val="24"/>
        </w:rPr>
      </w:pPr>
      <w:r>
        <w:rPr>
          <w:rFonts w:hint="eastAsia" w:ascii="宋体" w:hAnsi="宋体" w:cs="宋体"/>
          <w:b/>
          <w:bCs/>
          <w:color w:val="000000"/>
          <w:sz w:val="24"/>
        </w:rPr>
        <w:t>风险责任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乙方应完</w:t>
      </w:r>
      <w:r>
        <w:rPr>
          <w:rFonts w:hint="eastAsia" w:ascii="宋体" w:hAnsi="宋体" w:cs="宋体"/>
          <w:color w:val="000000"/>
          <w:sz w:val="24"/>
          <w:highlight w:val="none"/>
        </w:rPr>
        <w:t>全地按照【</w:t>
      </w:r>
      <w:r>
        <w:rPr>
          <w:rFonts w:hint="eastAsia" w:ascii="宋体" w:hAnsi="宋体" w:cs="宋体"/>
          <w:color w:val="000000"/>
          <w:sz w:val="24"/>
          <w:highlight w:val="none"/>
          <w:lang w:eastAsia="zh-CN"/>
        </w:rPr>
        <w:t>QH2025108</w:t>
      </w:r>
      <w:r>
        <w:rPr>
          <w:rFonts w:hint="eastAsia" w:ascii="宋体" w:hAnsi="宋体" w:cs="宋体"/>
          <w:color w:val="000000"/>
          <w:sz w:val="24"/>
          <w:highlight w:val="none"/>
        </w:rPr>
        <w:t>】号招标文件的要求和乙方投标文件的承诺完成本项目，出于自身财务、技术、人力等原因导致项目失败的，应承担全部责任。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第十七条  违约责任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2、本项目项下的工作内容不可分割，任一文件的迟延交付均视为整个项目的迟延交付。</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3、本合同履行期间，发生下述情形时，甲方有权解除本合同，乙方除应退还甲方已支付的全部款项外</w:t>
      </w:r>
      <w:r>
        <w:rPr>
          <w:rFonts w:hint="eastAsia" w:ascii="宋体" w:hAnsi="宋体" w:cs="宋体"/>
          <w:color w:val="000000"/>
          <w:sz w:val="24"/>
          <w:lang w:eastAsia="zh-CN"/>
        </w:rPr>
        <w:t>，</w:t>
      </w:r>
      <w:r>
        <w:rPr>
          <w:rFonts w:hint="eastAsia" w:ascii="宋体" w:hAnsi="宋体" w:cs="宋体"/>
          <w:color w:val="000000"/>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（1）因乙方原因，未能按合同约定的日期(含协商延缓的日期)</w:t>
      </w:r>
      <w:bookmarkStart w:id="31" w:name="OLE_LINK32"/>
      <w:r>
        <w:rPr>
          <w:rFonts w:hint="eastAsia" w:ascii="宋体" w:hAnsi="宋体" w:cs="宋体"/>
          <w:color w:val="000000"/>
          <w:sz w:val="24"/>
        </w:rPr>
        <w:t>提交工作成果，延误时间超过30个工作日</w:t>
      </w:r>
      <w:bookmarkEnd w:id="31"/>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（2）因乙方工作的错误或遗漏造成项目质量不达标，工作成果质量低劣，不能满足甲方工作需要和要求，且乙方未按甲方要求采取及时有效的补救措施的；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（3）乙方虽如期提交最终成果，但连续二次未能通过甲方验收的；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（7）乙方明确表示或者以自己的行为表明不履行本合同的。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pPr>
      <w:r>
        <w:rPr>
          <w:rFonts w:hint="eastAsia" w:ascii="宋体" w:hAnsi="宋体" w:cs="宋体"/>
          <w:color w:val="000000"/>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w:t>
      </w:r>
      <w:r>
        <w:rPr>
          <w:rFonts w:hint="eastAsia" w:ascii="宋体" w:hAnsi="宋体" w:cs="宋体"/>
          <w:sz w:val="24"/>
        </w:rPr>
        <w:t>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6、乙方无正当理由解除合同的，应向甲方支付合同总额20%的违约金。</w:t>
      </w:r>
    </w:p>
    <w:p>
      <w:pPr>
        <w:spacing w:line="360" w:lineRule="auto"/>
        <w:ind w:firstLine="480" w:firstLineChars="200"/>
        <w:rPr>
          <w:rFonts w:ascii="宋体" w:hAnsi="宋体" w:cs="宋体"/>
          <w:sz w:val="24"/>
        </w:rPr>
      </w:pPr>
      <w:r>
        <w:rPr>
          <w:rFonts w:hint="eastAsia" w:ascii="宋体" w:hAnsi="宋体" w:cs="宋体"/>
          <w:sz w:val="24"/>
        </w:rPr>
        <w:t>7、本合同未约定违约责任的，违约方应按照《中华人民共和国民法典》有关条款的规定承担违约责任。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第十八条  其他</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（1）合同书及补充协议；</w:t>
      </w:r>
    </w:p>
    <w:p>
      <w:pPr>
        <w:spacing w:line="360" w:lineRule="auto"/>
        <w:ind w:firstLine="480" w:firstLineChars="200"/>
        <w:rPr>
          <w:rFonts w:ascii="宋体" w:hAnsi="宋体" w:cs="宋体"/>
          <w:color w:val="000000"/>
          <w:sz w:val="24"/>
        </w:rPr>
      </w:pPr>
      <w:r>
        <w:rPr>
          <w:rFonts w:hint="eastAsia" w:ascii="宋体" w:hAnsi="宋体" w:cs="宋体"/>
          <w:color w:val="000000"/>
          <w:sz w:val="24"/>
        </w:rPr>
        <w:t>（2）中标通知书；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（3）招标文件（编号：    ）及其澄清、补正公告；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3、本合同各条标题仅为提示之用，应以条文内容确定各方的权利义务。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4、本合同未尽事宜，由双方协商签订补充协议进行约定。补充协议应以书面形式作成，经双方法定代表人或其授权代表签字、盖章后与本合同具有同等法律效力。</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5、本合同约定的权利和义务不因合同双方发生收购、兼并、重组、分立而发生变化。如果发生上述情形，则本合同约定的权利和义务随之转移至收购、兼并、重组或分立后成立的单位。</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7、如果本合同的任何条款在任何时候变成不合法、无效或不可强制执行而不从根本上影响本合同的效力时，本合同的其他条款不受影响。</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9、任何一方未经另一方同意不得向任何第三方透露本合同的签订及其内容。甲方向其关联公司透露前述内容的，不受此限。</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12、本合同一式六份，甲、乙方各执三份，均具有同等法律效力。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（以下无正文，为签章栏）</w:t>
      </w:r>
    </w:p>
    <w:p>
      <w:pPr>
        <w:widowControl/>
        <w:spacing w:line="360" w:lineRule="auto"/>
        <w:jc w:val="lef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（本页为签章页）</w:t>
      </w: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ind w:firstLine="200"/>
        <w:rPr>
          <w:rFonts w:ascii="宋体" w:hAnsi="宋体" w:cs="宋体"/>
          <w:color w:val="000000"/>
          <w:sz w:val="24"/>
        </w:rPr>
      </w:pPr>
    </w:p>
    <w:p>
      <w:pPr>
        <w:adjustRightInd w:val="0"/>
        <w:snapToGrid w:val="0"/>
        <w:spacing w:line="360" w:lineRule="auto"/>
        <w:ind w:left="8312" w:hanging="8312" w:hangingChars="3450"/>
        <w:rPr>
          <w:rFonts w:ascii="宋体" w:hAnsi="宋体" w:cs="宋体"/>
          <w:b/>
          <w:color w:val="000000"/>
          <w:sz w:val="24"/>
        </w:rPr>
      </w:pPr>
      <w:r>
        <w:rPr>
          <w:rFonts w:hint="eastAsia" w:ascii="宋体" w:hAnsi="宋体" w:cs="宋体"/>
          <w:b/>
          <w:color w:val="000000"/>
          <w:sz w:val="24"/>
        </w:rPr>
        <w:t>甲方名称：                                 乙方名称：</w:t>
      </w:r>
    </w:p>
    <w:p>
      <w:pPr>
        <w:adjustRightInd w:val="0"/>
        <w:snapToGrid w:val="0"/>
        <w:spacing w:line="360" w:lineRule="auto"/>
        <w:rPr>
          <w:rFonts w:ascii="宋体" w:hAnsi="宋体" w:cs="宋体"/>
          <w:color w:val="000000"/>
          <w:sz w:val="24"/>
        </w:rPr>
      </w:pPr>
      <w:r>
        <w:rPr>
          <w:rFonts w:hint="eastAsia" w:ascii="宋体" w:hAnsi="宋体" w:cs="宋体"/>
          <w:color w:val="000000"/>
          <w:sz w:val="24"/>
        </w:rPr>
        <w:t>深圳市前海深港现代服务业合作区管理局</w:t>
      </w:r>
      <w:r>
        <w:rPr>
          <w:rFonts w:hint="eastAsia" w:ascii="宋体" w:hAnsi="宋体" w:cs="宋体"/>
          <w:color w:val="000000"/>
          <w:sz w:val="24"/>
        </w:rPr>
        <w:tab/>
      </w:r>
      <w:r>
        <w:rPr>
          <w:rFonts w:hint="eastAsia" w:ascii="宋体" w:hAnsi="宋体" w:cs="宋体"/>
          <w:color w:val="000000"/>
          <w:sz w:val="24"/>
        </w:rPr>
        <w:t xml:space="preserve">     </w:t>
      </w:r>
    </w:p>
    <w:p>
      <w:pPr>
        <w:adjustRightInd w:val="0"/>
        <w:snapToGrid w:val="0"/>
        <w:spacing w:line="360" w:lineRule="auto"/>
        <w:ind w:firstLine="200"/>
        <w:rPr>
          <w:rFonts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（盖章）</w:t>
      </w:r>
    </w:p>
    <w:p>
      <w:pPr>
        <w:adjustRightInd w:val="0"/>
        <w:snapToGrid w:val="0"/>
        <w:spacing w:line="360" w:lineRule="auto"/>
        <w:ind w:firstLine="200"/>
        <w:rPr>
          <w:rFonts w:ascii="宋体" w:hAnsi="宋体" w:cs="宋体"/>
          <w:color w:val="000000"/>
          <w:sz w:val="24"/>
        </w:rPr>
      </w:pPr>
    </w:p>
    <w:p>
      <w:pPr>
        <w:adjustRightInd w:val="0"/>
        <w:snapToGrid w:val="0"/>
        <w:spacing w:line="360" w:lineRule="auto"/>
        <w:rPr>
          <w:rFonts w:ascii="宋体" w:hAnsi="宋体" w:cs="宋体"/>
          <w:color w:val="000000"/>
          <w:sz w:val="24"/>
        </w:rPr>
      </w:pPr>
      <w:r>
        <w:rPr>
          <w:rFonts w:hint="eastAsia" w:ascii="宋体" w:hAnsi="宋体" w:cs="宋体"/>
          <w:color w:val="000000"/>
          <w:sz w:val="24"/>
        </w:rPr>
        <w:t xml:space="preserve">法定代表人或授权代表：（签字）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法定代表人或授权代表：（签字）</w:t>
      </w:r>
    </w:p>
    <w:p>
      <w:pPr>
        <w:widowControl/>
        <w:adjustRightInd w:val="0"/>
        <w:snapToGrid w:val="0"/>
        <w:spacing w:line="360" w:lineRule="auto"/>
        <w:ind w:firstLine="200"/>
        <w:jc w:val="left"/>
        <w:rPr>
          <w:rFonts w:ascii="宋体" w:hAnsi="宋体" w:cs="宋体"/>
          <w:color w:val="000000"/>
          <w:sz w:val="24"/>
        </w:rPr>
      </w:pPr>
    </w:p>
    <w:p>
      <w:pPr>
        <w:adjustRightInd w:val="0"/>
        <w:snapToGrid w:val="0"/>
        <w:spacing w:line="360" w:lineRule="auto"/>
        <w:rPr>
          <w:rFonts w:ascii="宋体" w:hAnsi="宋体" w:cs="宋体"/>
          <w:color w:val="000000"/>
          <w:sz w:val="24"/>
        </w:rPr>
      </w:pPr>
      <w:r>
        <w:rPr>
          <w:rFonts w:hint="eastAsia" w:ascii="宋体" w:hAnsi="宋体" w:cs="宋体"/>
          <w:color w:val="000000"/>
          <w:sz w:val="24"/>
        </w:rPr>
        <w:t>日期：                                       日期：</w:t>
      </w:r>
    </w:p>
    <w:p>
      <w:pPr>
        <w:adjustRightInd w:val="0"/>
        <w:snapToGrid w:val="0"/>
        <w:spacing w:line="360" w:lineRule="auto"/>
        <w:ind w:firstLine="720" w:firstLineChars="300"/>
        <w:rPr>
          <w:rFonts w:ascii="宋体" w:hAnsi="宋体" w:cs="宋体"/>
          <w:color w:val="000000"/>
          <w:sz w:val="24"/>
        </w:rPr>
      </w:pP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b/>
          <w:bCs/>
          <w:color w:val="000000"/>
          <w:szCs w:val="21"/>
        </w:rPr>
        <w:t>注：本合同样本仅供参考，具体条款内容采购人和中标人按前海管理局合同样本签订。实际合同样本不改变本招标文件的实质条件</w:t>
      </w:r>
      <w:r>
        <w:rPr>
          <w:rFonts w:hint="eastAsia" w:ascii="宋体" w:hAnsi="宋体" w:cs="宋体"/>
          <w:b/>
          <w:bCs/>
          <w:sz w:val="24"/>
        </w:rPr>
        <w:t>。</w:t>
      </w:r>
    </w:p>
    <w:p>
      <w:pPr>
        <w:snapToGrid w:val="0"/>
        <w:spacing w:line="360" w:lineRule="auto"/>
        <w:rPr>
          <w:rFonts w:ascii="宋体" w:hAnsi="宋体" w:cs="宋体"/>
          <w:sz w:val="24"/>
        </w:rPr>
      </w:pPr>
    </w:p>
    <w:p>
      <w:pPr>
        <w:pStyle w:val="2"/>
        <w:rPr>
          <w:rFonts w:ascii="宋体" w:hAnsi="宋体" w:cs="宋体"/>
        </w:rPr>
      </w:pPr>
    </w:p>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2" w:name="_Toc25518"/>
      <w:r>
        <w:rPr>
          <w:rFonts w:hint="eastAsia" w:ascii="宋体" w:hAnsi="宋体" w:cs="宋体"/>
          <w:b/>
          <w:bCs/>
          <w:sz w:val="24"/>
        </w:rPr>
        <w:t>用户需求书</w:t>
      </w:r>
      <w:bookmarkEnd w:id="32"/>
    </w:p>
    <w:p>
      <w:pPr>
        <w:pStyle w:val="28"/>
        <w:tabs>
          <w:tab w:val="left" w:pos="720"/>
        </w:tabs>
        <w:autoSpaceDE w:val="0"/>
        <w:autoSpaceDN w:val="0"/>
        <w:adjustRightInd w:val="0"/>
        <w:spacing w:line="360" w:lineRule="auto"/>
        <w:ind w:right="17" w:firstLine="482"/>
        <w:jc w:val="left"/>
        <w:outlineLvl w:val="1"/>
        <w:rPr>
          <w:rFonts w:ascii="宋体" w:hAnsi="宋体" w:cs="宋体"/>
          <w:b/>
          <w:sz w:val="24"/>
        </w:rPr>
      </w:pPr>
      <w:bookmarkStart w:id="33" w:name="_Toc11045"/>
      <w:bookmarkStart w:id="34" w:name="_Toc23726"/>
      <w:r>
        <w:rPr>
          <w:rFonts w:hint="eastAsia" w:ascii="宋体" w:hAnsi="宋体" w:cs="宋体"/>
          <w:b/>
          <w:sz w:val="24"/>
        </w:rPr>
        <w:t>说明：本章“用户需求书”的全部内容为本项目正常开展的基本要求，投标人必须完全响应，否则将导致投标无效。</w:t>
      </w:r>
    </w:p>
    <w:bookmarkEnd w:id="33"/>
    <w:bookmarkEnd w:id="34"/>
    <w:p>
      <w:pPr>
        <w:pStyle w:val="28"/>
        <w:tabs>
          <w:tab w:val="left" w:pos="720"/>
        </w:tabs>
        <w:autoSpaceDE w:val="0"/>
        <w:autoSpaceDN w:val="0"/>
        <w:adjustRightInd w:val="0"/>
        <w:spacing w:line="360" w:lineRule="auto"/>
        <w:ind w:right="17" w:firstLine="482"/>
        <w:jc w:val="left"/>
        <w:outlineLvl w:val="1"/>
        <w:rPr>
          <w:rFonts w:ascii="宋体" w:hAnsi="宋体" w:cs="宋体"/>
          <w:b/>
          <w:sz w:val="24"/>
        </w:rPr>
      </w:pPr>
      <w:bookmarkStart w:id="35" w:name="OLE_LINK1"/>
      <w:r>
        <w:rPr>
          <w:rFonts w:hint="eastAsia" w:ascii="宋体" w:hAnsi="宋体" w:cs="宋体"/>
          <w:b/>
          <w:sz w:val="24"/>
        </w:rPr>
        <w:t>一、</w:t>
      </w:r>
      <w:bookmarkStart w:id="36" w:name="_Toc51746099"/>
      <w:r>
        <w:rPr>
          <w:rFonts w:hint="eastAsia" w:ascii="宋体" w:hAnsi="宋体" w:cs="宋体"/>
          <w:b/>
          <w:sz w:val="24"/>
          <w:lang w:val="zh-CN"/>
        </w:rPr>
        <w:t>项目</w:t>
      </w:r>
      <w:r>
        <w:rPr>
          <w:rFonts w:hint="eastAsia" w:ascii="宋体" w:hAnsi="宋体" w:cs="宋体"/>
          <w:b/>
          <w:sz w:val="24"/>
        </w:rPr>
        <w:t>背景</w:t>
      </w:r>
    </w:p>
    <w:bookmarkEnd w:id="36"/>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党的二十届三中全会通过《中共中央关于进一步全面深化改革 推进中国式现代化的决定》，强调要“完善一体推进不敢腐、不能腐、不想腐工作机制，着力铲除腐败滋生的土壤和条件。深化整治权力集中、资金密集、资源富集领域腐败，严肃查处政商勾连破坏政治生态和经济发展环境问题，丰富防治新型腐败和隐性腐败的有效办法”。《前海规划》要求，“坚定不移推动全面从严治党向纵深发展，推进廉洁前海建设，强化重点领域廉政风险防控，营造风清气正的良好政治生态”。</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前海是新时代改革开放的前沿阵地，廉洁是前海改革发展的基石。在高度开放条件下，前海重点领域、关键环节面临着诸多廉洁风险点，亟需通过专项研究，系统借鉴国内外先进经验和做法，以改革创新精神推进前海廉洁建设，打造新时代廉洁治理的高地和样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二、研究内容</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一）新形势下深港廉政机制协同和跨境廉洁治理的思路和举措。在现有政策框架下，探索深港廉政机制协同的可行性路径及具体举措，依托前海深港合作战略平台，重点构建针对前海港籍公职人员及在港前海国企的廉政教育监督制度机制，提升廉洁建设的覆盖广度与实践效能。</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二）自贸试验区廉洁建设工作的思路和举措。聚焦自贸区贸易、投资、金融、营商环境等领域改革发展任务，结合自贸区跨境人流、物流、资金流、数据流活跃等特点，针对发展建设中面临的新情况、新问题，探索数字赋能监督、区域协同监督、跨境治理监督的廉洁治理新路径，打造可复制、可推广的全国自贸区廉洁治理样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三）法定机构廉政监督的思路和举措。针对前海法定机构特殊管理体制下，人员流动性相对较大、自由化程度相对较高，权力集中、资金密集、资源富集等廉政风险相对突出的特点，提出进一步强化法定机构廉政监督的思路和举措。</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（四）外籍公职人员廉政教育监督的思路和举措。加强对跨境企业、重点人群的廉政教育，创新探索针对外籍公职人员廉洁教育的方式方法。</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sz w:val="24"/>
        </w:rPr>
        <w:t>（五）国企、民企、港企、外企廉洁合规治理的思路和举措。落实中央民营企业座谈会精神，发挥前海企业廉洁促进与合规治理联合会社会组织职能作用，探索推进国企、民企、港企、外企等廉洁合规建设的路径、方式，促进企业合规建设和廉洁风险防控，推动前海企业共建廉洁营商环境。</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三、项目进度及阶段成果要求</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bCs/>
          <w:sz w:val="24"/>
        </w:rPr>
        <w:t>（一）确定研究思路及报告框架：自签订合同2个星期内，在广泛收集材料、初步调研的基础上，确定项目研究思路及报告框架。</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（二）形成研究报告（初稿）：自签订合同2个月内，形成研究报告初稿。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bCs/>
          <w:sz w:val="24"/>
        </w:rPr>
        <w:t>（三）形成研究报告（送审稿）：自签订合同3个月内，形成研究报告送审稿，组织召开专家评审会，并根据专家评审意见对报告进一步深化修改完善形成最终稿。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b/>
          <w:bCs/>
          <w:sz w:val="24"/>
        </w:rPr>
      </w:pPr>
      <w:r>
        <w:rPr>
          <w:rFonts w:hint="eastAsia"/>
          <w:b/>
          <w:bCs/>
          <w:sz w:val="24"/>
        </w:rPr>
        <w:t>四、工作成果</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sz w:val="24"/>
        </w:rPr>
        <w:t>形成核心研究成果《高度开放条件下的廉洁建设研究报告》，系统分析现状、挑战，提出兼具前瞻性、可操作性的政策建议与实施路径，为前海合作区深化廉洁建设、打造新时代廉洁治理标杆提供决策参考和实践指引。</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五、</w:t>
      </w:r>
      <w:r>
        <w:rPr>
          <w:rFonts w:hint="eastAsia" w:ascii="宋体" w:hAnsi="宋体" w:cs="宋体"/>
          <w:b/>
          <w:bCs/>
          <w:kern w:val="0"/>
          <w:sz w:val="24"/>
        </w:rPr>
        <w:t>验收方式</w:t>
      </w:r>
      <w:bookmarkEnd w:id="35"/>
      <w:r>
        <w:rPr>
          <w:rFonts w:hint="eastAsia" w:ascii="宋体" w:hAnsi="宋体" w:cs="宋体"/>
          <w:b/>
          <w:bCs/>
          <w:sz w:val="24"/>
        </w:rPr>
        <w:t xml:space="preserve"> </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中标人提供的服务内容应获得采购人组织的成果验收，具体流程如下：</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（一）查重：中标人向采购人提交课题研究报告，同步提供第三方查重系统对课题成果内容查重报告，重复率不得超过20%。</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二）专家评审：课题研究报告通过查重后，采购人组织外部专家进行评审，评审采用专家评审会或专家匿名评审方式开展。评审通过的，中标人应结合评审意见对课题研究报告进行修改完善，并将最终成果提交采购人进行验收。未通过评审的，中标人应继续开展研究，并于两个月内提请采购人再次组织评审。再次评审不通过的，课题提前终止，并追究违约责任。</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bCs/>
          <w:sz w:val="24"/>
        </w:rPr>
        <w:t>（三）项目最终成果验收合格的标志为：通过采购人组织的专家评审和结题会审查并同意结题。</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六、商务要求</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bCs/>
          <w:kern w:val="0"/>
          <w:sz w:val="24"/>
        </w:rPr>
        <w:t>（一）服务期限</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sz w:val="24"/>
        </w:rPr>
        <w:t>自签订合同之日起至2025年12月15日。</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bCs/>
          <w:kern w:val="0"/>
          <w:sz w:val="24"/>
        </w:rPr>
        <w:t>（二）服务地点</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Cs/>
          <w:sz w:val="24"/>
        </w:rPr>
        <w:t>采购人指定地点。</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投标人的报价不可高于预算（限价），否则投标人的投标文件视同无效。本项目服务费应包括服务成本、法定税费和企业的利润，项目服务费包括但不限于专家咨询费、研究人员劳务费、调研费、资料费、印刷费、座谈交流费、税费等为完成咨询服务研究所需的费用。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的合同金额，合同期限内不做调整金额。</w:t>
      </w:r>
    </w:p>
    <w:p>
      <w:pPr>
        <w:widowControl/>
        <w:spacing w:line="360" w:lineRule="auto"/>
        <w:ind w:firstLine="480" w:firstLineChars="200"/>
        <w:rPr>
          <w:rFonts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ascii="宋体" w:hAnsi="宋体" w:cs="宋体"/>
          <w:sz w:val="24"/>
        </w:rPr>
      </w:pPr>
      <w:r>
        <w:rPr>
          <w:rFonts w:hint="eastAsia" w:ascii="宋体" w:hAnsi="宋体" w:cs="宋体"/>
          <w:sz w:val="24"/>
        </w:rPr>
        <w:t>合同价款由采购人分2期支付至中标人指定银行账户：</w:t>
      </w:r>
    </w:p>
    <w:p>
      <w:pPr>
        <w:widowControl/>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第一期：自本项目合同签订之日起15个工作日内，根据中标人提出的付款申请，采购人向中标人支付合同总价款的50%；</w:t>
      </w:r>
    </w:p>
    <w:p>
      <w:pPr>
        <w:widowControl/>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第二期：项目通过采购人验收工作，且验收合格，采购人向中标人支付项目合同总价款的50%；</w:t>
      </w:r>
    </w:p>
    <w:p>
      <w:pPr>
        <w:widowControl/>
        <w:spacing w:line="360" w:lineRule="auto"/>
        <w:ind w:firstLine="480" w:firstLineChars="200"/>
      </w:pPr>
      <w:r>
        <w:rPr>
          <w:rFonts w:hint="eastAsia" w:ascii="宋体" w:hAnsi="宋体" w:cs="宋体"/>
          <w:sz w:val="24"/>
        </w:rPr>
        <w:t>3</w:t>
      </w:r>
      <w:r>
        <w:rPr>
          <w:rFonts w:ascii="宋体" w:hAnsi="宋体" w:cs="宋体"/>
          <w:sz w:val="24"/>
        </w:rPr>
        <w:t>.</w:t>
      </w:r>
      <w:r>
        <w:rPr>
          <w:rFonts w:hint="eastAsia" w:ascii="宋体" w:hAnsi="宋体" w:cs="宋体"/>
          <w:sz w:val="24"/>
        </w:rPr>
        <w:t>上述每期款项均在满足付款条件，通过采购人审查批准，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采购人有权在支付价款时扣除中标人按照本协议应承担的违约金和赔偿金。</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（五）成果权属与知识产权</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（六）</w:t>
      </w:r>
      <w:r>
        <w:rPr>
          <w:rFonts w:hint="eastAsia" w:ascii="宋体" w:hAnsi="宋体" w:cs="宋体"/>
          <w:b/>
          <w:bCs/>
          <w:color w:val="000000"/>
          <w:sz w:val="24"/>
        </w:rPr>
        <w:t>保密条款</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3.中标人须以保密方式处理在编制本项目成果文件过程中自采购人、采购人工作人员或采购人关联机构获得的相关信息、资料、图纸、数据等，或由采购人在履行本合同过程中明确指明为秘密的任何信息</w:t>
      </w:r>
      <w:r>
        <w:rPr>
          <w:rFonts w:hint="eastAsia" w:ascii="宋体" w:hAnsi="宋体" w:cs="宋体"/>
          <w:color w:val="000000"/>
          <w:sz w:val="24"/>
          <w:lang w:eastAsia="zh-CN"/>
        </w:rPr>
        <w:t>，</w:t>
      </w:r>
      <w:r>
        <w:rPr>
          <w:rFonts w:hint="eastAsia" w:ascii="宋体" w:hAnsi="宋体" w:cs="宋体"/>
          <w:color w:val="000000"/>
          <w:sz w:val="24"/>
        </w:rPr>
        <w:t>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4.中标人实施项目的程序应符合国家安全、保密的有关规定和标准。</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5.上述保密义务不适用以下情况：</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（1）获取的信息已被合法公开；</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（2）获得信息拥有方书面许可并在该许可范围内披露；</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（3）国家法律、法规规定的情形。</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（七）</w:t>
      </w:r>
      <w:r>
        <w:rPr>
          <w:rFonts w:hint="eastAsia" w:ascii="宋体" w:hAnsi="宋体" w:cs="宋体"/>
          <w:b/>
          <w:bCs/>
          <w:color w:val="000000"/>
          <w:sz w:val="24"/>
        </w:rPr>
        <w:t>违约责任</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2.本项目下的工作内容不可分割，任一文件的迟延交付均视为整个项目的迟延交付。</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3.本项目履行期间，发生下述情形时，采购人有权解除本项目合同，中标人除应退还采购人已支付的全部款项外</w:t>
      </w:r>
      <w:r>
        <w:rPr>
          <w:rFonts w:hint="eastAsia" w:ascii="宋体" w:hAnsi="宋体" w:cs="宋体"/>
          <w:color w:val="000000"/>
          <w:sz w:val="24"/>
          <w:lang w:eastAsia="zh-CN"/>
        </w:rPr>
        <w:t>，</w:t>
      </w:r>
      <w:r>
        <w:rPr>
          <w:rFonts w:hint="eastAsia" w:ascii="宋体" w:hAnsi="宋体" w:cs="宋体"/>
          <w:color w:val="000000"/>
          <w:sz w:val="24"/>
        </w:rPr>
        <w:t>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（1）因中标人原因，未能按合同约定的日期(含协商延缓的日期)提交工作成果，延误时间超过30个工作日；</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（2）因中标人工作的错误或遗漏造成项目质量不达标，工作成果质量低劣，不能满足采购分工作需要和要求；</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（3）中标人虽如期提交最终成果，但连续二次未能通过采购人验收的；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（7）中标人明确表示或者以自己的行为表明不履行本合同的。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6.中标人无正当理由解除合同的，应向采购人支付合同总额20%的违约金。</w:t>
      </w:r>
    </w:p>
    <w:p>
      <w:pPr>
        <w:widowControl/>
        <w:spacing w:line="360" w:lineRule="auto"/>
        <w:ind w:firstLine="480" w:firstLineChars="200"/>
        <w:jc w:val="left"/>
        <w:rPr>
          <w:rFonts w:ascii="宋体" w:hAnsi="宋体" w:cs="宋体"/>
          <w:sz w:val="24"/>
        </w:rPr>
      </w:pPr>
      <w:r>
        <w:rPr>
          <w:rFonts w:hint="eastAsia" w:ascii="宋体" w:hAnsi="宋体" w:cs="宋体"/>
          <w:color w:val="000000"/>
          <w:sz w:val="24"/>
        </w:rPr>
        <w:t>7.本合同未约定违约责任的，违约方应按照《中华人民共和国民法典》有关条款的规定承担违约责任。</w:t>
      </w:r>
      <w:r>
        <w:rPr>
          <w:rFonts w:hint="eastAsia" w:ascii="宋体" w:hAnsi="宋体" w:cs="宋体"/>
          <w:sz w:val="24"/>
        </w:rPr>
        <w:br w:type="page"/>
      </w:r>
    </w:p>
    <w:p>
      <w:pPr>
        <w:widowControl/>
        <w:spacing w:line="360" w:lineRule="auto"/>
        <w:ind w:firstLine="482" w:firstLineChars="200"/>
        <w:jc w:val="center"/>
        <w:outlineLvl w:val="0"/>
        <w:rPr>
          <w:rFonts w:ascii="宋体" w:cs="宋体"/>
          <w:b/>
          <w:bCs/>
          <w:sz w:val="24"/>
        </w:rPr>
      </w:pPr>
      <w:bookmarkStart w:id="37" w:name="_Toc23822"/>
      <w:r>
        <w:rPr>
          <w:rFonts w:hint="eastAsia" w:ascii="宋体" w:cs="宋体"/>
          <w:b/>
          <w:bCs/>
          <w:sz w:val="24"/>
        </w:rPr>
        <w:t>第六章 投标文件初审及招标项目评分表</w:t>
      </w:r>
      <w:bookmarkEnd w:id="37"/>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w:t>
            </w:r>
          </w:p>
        </w:tc>
        <w:tc>
          <w:tcPr>
            <w:tcW w:w="7108" w:type="dxa"/>
          </w:tcPr>
          <w:p>
            <w:pPr>
              <w:spacing w:line="360" w:lineRule="auto"/>
              <w:rPr>
                <w:rFonts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2</w:t>
            </w:r>
          </w:p>
        </w:tc>
        <w:tc>
          <w:tcPr>
            <w:tcW w:w="7108" w:type="dxa"/>
            <w:vAlign w:val="center"/>
          </w:tcPr>
          <w:p>
            <w:pPr>
              <w:spacing w:line="360" w:lineRule="auto"/>
              <w:rPr>
                <w:rFonts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3</w:t>
            </w:r>
          </w:p>
        </w:tc>
        <w:tc>
          <w:tcPr>
            <w:tcW w:w="7108" w:type="dxa"/>
            <w:vAlign w:val="center"/>
          </w:tcPr>
          <w:p>
            <w:pPr>
              <w:spacing w:line="360" w:lineRule="auto"/>
              <w:rPr>
                <w:rFonts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4</w:t>
            </w:r>
          </w:p>
        </w:tc>
        <w:tc>
          <w:tcPr>
            <w:tcW w:w="7108" w:type="dxa"/>
            <w:vAlign w:val="center"/>
          </w:tcPr>
          <w:p>
            <w:pPr>
              <w:spacing w:line="360" w:lineRule="auto"/>
              <w:rPr>
                <w:rFonts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5</w:t>
            </w:r>
          </w:p>
        </w:tc>
        <w:tc>
          <w:tcPr>
            <w:tcW w:w="7108" w:type="dxa"/>
            <w:vAlign w:val="center"/>
          </w:tcPr>
          <w:p>
            <w:pPr>
              <w:spacing w:line="360" w:lineRule="auto"/>
              <w:rPr>
                <w:rFonts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6</w:t>
            </w:r>
          </w:p>
        </w:tc>
        <w:tc>
          <w:tcPr>
            <w:tcW w:w="7108" w:type="dxa"/>
            <w:vAlign w:val="center"/>
          </w:tcPr>
          <w:p>
            <w:pPr>
              <w:spacing w:line="360" w:lineRule="auto"/>
              <w:rPr>
                <w:rFonts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7</w:t>
            </w:r>
          </w:p>
        </w:tc>
        <w:tc>
          <w:tcPr>
            <w:tcW w:w="7108" w:type="dxa"/>
            <w:vAlign w:val="center"/>
          </w:tcPr>
          <w:p>
            <w:pPr>
              <w:spacing w:line="360" w:lineRule="auto"/>
              <w:rPr>
                <w:rFonts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8</w:t>
            </w:r>
          </w:p>
        </w:tc>
        <w:tc>
          <w:tcPr>
            <w:tcW w:w="7108" w:type="dxa"/>
            <w:vAlign w:val="center"/>
          </w:tcPr>
          <w:p>
            <w:pPr>
              <w:spacing w:line="360" w:lineRule="auto"/>
              <w:rPr>
                <w:rFonts w:ascii="宋体" w:hAnsi="宋体" w:cs="宋体"/>
                <w:sz w:val="24"/>
              </w:rPr>
            </w:pPr>
            <w:r>
              <w:rPr>
                <w:rFonts w:hint="eastAsia" w:ascii="宋体" w:hAnsi="宋体" w:cs="宋体"/>
                <w:sz w:val="24"/>
              </w:rPr>
              <w:t>报价合理性审查</w:t>
            </w:r>
          </w:p>
          <w:p>
            <w:pPr>
              <w:spacing w:line="360" w:lineRule="auto"/>
              <w:rPr>
                <w:rFonts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ascii="宋体" w:hAnsi="宋体" w:cs="宋体"/>
                <w:sz w:val="24"/>
              </w:rPr>
            </w:pPr>
            <w:r>
              <w:rPr>
                <w:rFonts w:hint="eastAsia" w:ascii="宋体" w:hAnsi="宋体" w:cs="宋体"/>
                <w:sz w:val="24"/>
              </w:rPr>
              <w:t>（三）投标（响应）报价低于采购项目最高限价45%的，即投标（响应）报价&lt;采购项目最高限价×45%；</w:t>
            </w:r>
          </w:p>
          <w:p>
            <w:pPr>
              <w:spacing w:line="360" w:lineRule="auto"/>
              <w:rPr>
                <w:rFonts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360" w:lineRule="auto"/>
              <w:rPr>
                <w:rFonts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9</w:t>
            </w:r>
          </w:p>
        </w:tc>
        <w:tc>
          <w:tcPr>
            <w:tcW w:w="7108" w:type="dxa"/>
            <w:vAlign w:val="center"/>
          </w:tcPr>
          <w:p>
            <w:pPr>
              <w:spacing w:line="360" w:lineRule="auto"/>
              <w:rPr>
                <w:rFonts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10</w:t>
            </w:r>
          </w:p>
        </w:tc>
        <w:tc>
          <w:tcPr>
            <w:tcW w:w="7108" w:type="dxa"/>
            <w:vAlign w:val="center"/>
          </w:tcPr>
          <w:p>
            <w:pPr>
              <w:spacing w:line="360" w:lineRule="auto"/>
              <w:rPr>
                <w:rFonts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11</w:t>
            </w:r>
          </w:p>
        </w:tc>
        <w:tc>
          <w:tcPr>
            <w:tcW w:w="7108" w:type="dxa"/>
            <w:vAlign w:val="center"/>
          </w:tcPr>
          <w:p>
            <w:pPr>
              <w:spacing w:line="360" w:lineRule="auto"/>
              <w:rPr>
                <w:rFonts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12</w:t>
            </w:r>
          </w:p>
        </w:tc>
        <w:tc>
          <w:tcPr>
            <w:tcW w:w="7108" w:type="dxa"/>
            <w:vAlign w:val="center"/>
          </w:tcPr>
          <w:p>
            <w:pPr>
              <w:spacing w:line="360" w:lineRule="auto"/>
              <w:rPr>
                <w:rFonts w:ascii="宋体" w:hAnsi="宋体" w:cs="宋体"/>
                <w:sz w:val="24"/>
              </w:rPr>
            </w:pPr>
            <w:r>
              <w:rPr>
                <w:rFonts w:hint="eastAsia" w:ascii="宋体" w:hAnsi="宋体" w:cs="宋体"/>
                <w:sz w:val="24"/>
              </w:rPr>
              <w:t>未出现法律、法规规定的其他情形</w:t>
            </w:r>
          </w:p>
        </w:tc>
      </w:tr>
    </w:tbl>
    <w:p>
      <w:pPr>
        <w:spacing w:line="360" w:lineRule="auto"/>
        <w:jc w:val="center"/>
        <w:rPr>
          <w:rFonts w:ascii="宋体" w:hAnsi="宋体"/>
          <w:color w:val="000000"/>
          <w:sz w:val="24"/>
        </w:rPr>
      </w:pPr>
      <w:r>
        <w:rPr>
          <w:rFonts w:hint="eastAsia" w:ascii="宋体" w:hAnsi="宋体" w:cs="宋体"/>
          <w:b/>
          <w:bCs/>
          <w:sz w:val="24"/>
        </w:rPr>
        <w:br w:type="page"/>
      </w:r>
      <w:r>
        <w:rPr>
          <w:rFonts w:hint="eastAsia" w:ascii="宋体" w:hAnsi="宋体"/>
          <w:b/>
          <w:bCs/>
          <w:color w:val="000000"/>
          <w:sz w:val="24"/>
        </w:rPr>
        <w:t>招标项目评分表</w:t>
      </w:r>
    </w:p>
    <w:p>
      <w:pPr>
        <w:spacing w:line="360" w:lineRule="auto"/>
        <w:ind w:right="-420" w:rightChars="-200"/>
        <w:rPr>
          <w:rFonts w:ascii="宋体" w:hAnsi="宋体"/>
          <w:color w:val="000000"/>
          <w:sz w:val="24"/>
        </w:rPr>
      </w:pPr>
      <w:r>
        <w:rPr>
          <w:rFonts w:hint="eastAsia" w:ascii="宋体" w:hAnsi="宋体"/>
          <w:color w:val="000000"/>
          <w:sz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850"/>
        <w:gridCol w:w="5225"/>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tcBorders>
              <w:top w:val="single" w:color="auto" w:sz="12" w:space="0"/>
              <w:left w:val="single" w:color="auto" w:sz="12" w:space="0"/>
              <w:bottom w:val="single" w:color="auto" w:sz="6" w:space="0"/>
              <w:right w:val="single" w:color="auto" w:sz="12" w:space="0"/>
            </w:tcBorders>
            <w:shd w:val="clear" w:color="auto" w:fill="D9D9D9"/>
            <w:vAlign w:val="center"/>
          </w:tcPr>
          <w:p>
            <w:pPr>
              <w:autoSpaceDE w:val="0"/>
              <w:autoSpaceDN w:val="0"/>
              <w:adjustRightInd w:val="0"/>
              <w:spacing w:line="360" w:lineRule="auto"/>
              <w:jc w:val="center"/>
              <w:rPr>
                <w:rFonts w:ascii="宋体" w:hAnsi="宋体"/>
                <w:b/>
                <w:color w:val="000000"/>
                <w:sz w:val="24"/>
              </w:rPr>
            </w:pPr>
            <w:r>
              <w:rPr>
                <w:rFonts w:hint="eastAsia" w:ascii="宋体" w:hAnsi="宋体"/>
                <w:b/>
                <w:color w:val="000000"/>
                <w:sz w:val="24"/>
              </w:rPr>
              <w:t>一、价格部分（10分）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序号</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内容</w:t>
            </w:r>
          </w:p>
        </w:tc>
        <w:tc>
          <w:tcPr>
            <w:tcW w:w="52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评分规则</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分值</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b/>
                <w:color w:val="000000"/>
                <w:sz w:val="24"/>
              </w:rPr>
              <w:t>投标报价</w:t>
            </w:r>
          </w:p>
        </w:tc>
        <w:tc>
          <w:tcPr>
            <w:tcW w:w="5225" w:type="dxa"/>
            <w:tcBorders>
              <w:top w:val="single" w:color="auto" w:sz="6" w:space="0"/>
              <w:left w:val="single" w:color="auto" w:sz="6" w:space="0"/>
              <w:bottom w:val="single" w:color="auto" w:sz="6" w:space="0"/>
              <w:right w:val="single" w:color="auto" w:sz="6" w:space="0"/>
            </w:tcBorders>
            <w:vAlign w:val="center"/>
          </w:tcPr>
          <w:p>
            <w:pPr>
              <w:pStyle w:val="7"/>
              <w:spacing w:line="360" w:lineRule="auto"/>
              <w:rPr>
                <w:rFonts w:ascii="宋体" w:hAnsi="宋体"/>
                <w:color w:val="000000"/>
                <w:sz w:val="24"/>
              </w:rPr>
            </w:pPr>
            <w:r>
              <w:rPr>
                <w:rFonts w:hint="eastAsia" w:ascii="宋体" w:hAnsi="宋体"/>
                <w:color w:val="000000"/>
                <w:sz w:val="24"/>
              </w:rPr>
              <w:t xml:space="preserve">采用低价优先法计算，即满足招标文件要求且投标价格最低的投标报价为评标基准价，其价格分为满分。其他投标人的价格分统一按照下列公式计算： </w:t>
            </w:r>
          </w:p>
          <w:p>
            <w:pPr>
              <w:pStyle w:val="7"/>
              <w:spacing w:line="360" w:lineRule="auto"/>
              <w:rPr>
                <w:rFonts w:ascii="宋体" w:hAnsi="宋体"/>
                <w:color w:val="000000"/>
                <w:sz w:val="24"/>
              </w:rPr>
            </w:pPr>
            <w:r>
              <w:rPr>
                <w:rFonts w:hint="eastAsia" w:ascii="宋体" w:hAnsi="宋体"/>
                <w:color w:val="000000"/>
                <w:sz w:val="24"/>
              </w:rPr>
              <w:t>投标报价得分=(评标基准价／投标报价)×</w:t>
            </w:r>
            <w:r>
              <w:rPr>
                <w:rFonts w:hint="eastAsia" w:ascii="宋体" w:hAnsi="宋体"/>
                <w:b/>
                <w:bCs/>
                <w:color w:val="000000"/>
                <w:sz w:val="24"/>
              </w:rPr>
              <w:t>10</w:t>
            </w:r>
          </w:p>
          <w:p>
            <w:pPr>
              <w:numPr>
                <w:ilvl w:val="0"/>
                <w:numId w:val="6"/>
              </w:numPr>
              <w:spacing w:line="360" w:lineRule="auto"/>
              <w:ind w:left="250" w:hanging="249" w:hangingChars="104"/>
              <w:jc w:val="left"/>
              <w:rPr>
                <w:rFonts w:ascii="宋体" w:hAnsi="宋体"/>
                <w:bCs/>
                <w:color w:val="000000"/>
                <w:sz w:val="24"/>
              </w:rPr>
            </w:pPr>
            <w:r>
              <w:rPr>
                <w:rFonts w:hint="eastAsia" w:ascii="宋体" w:hAnsi="宋体"/>
                <w:bCs/>
                <w:color w:val="000000"/>
                <w:sz w:val="24"/>
              </w:rPr>
              <w:t>价格评分仅限于有效投标人，</w:t>
            </w:r>
            <w:r>
              <w:rPr>
                <w:rFonts w:hint="eastAsia" w:ascii="宋体" w:hAnsi="宋体"/>
                <w:color w:val="000000"/>
                <w:sz w:val="24"/>
              </w:rPr>
              <w:t>当价格分&lt;0时，取0。</w:t>
            </w:r>
          </w:p>
          <w:p>
            <w:pPr>
              <w:numPr>
                <w:ilvl w:val="0"/>
                <w:numId w:val="6"/>
              </w:numPr>
              <w:spacing w:line="360" w:lineRule="auto"/>
              <w:ind w:left="9" w:hanging="9"/>
              <w:jc w:val="left"/>
              <w:rPr>
                <w:rFonts w:ascii="宋体" w:hAnsi="宋体"/>
                <w:b/>
                <w:color w:val="000000"/>
                <w:sz w:val="24"/>
              </w:rPr>
            </w:pPr>
            <w:r>
              <w:rPr>
                <w:rFonts w:hint="eastAsia" w:ascii="宋体" w:hAnsi="宋体"/>
                <w:bCs/>
                <w:color w:val="000000"/>
                <w:sz w:val="24"/>
              </w:rPr>
              <w:t>根据财库〔2020〕46号、财库〔2014〕68号及财库〔2017〕141号及（深财购〔2022〕31号）文件规定：</w:t>
            </w:r>
            <w:r>
              <w:rPr>
                <w:rFonts w:hint="eastAsia" w:ascii="宋体" w:hAnsi="宋体"/>
                <w:b/>
                <w:color w:val="000000"/>
                <w:sz w:val="24"/>
              </w:rPr>
              <w:t>本项目非专门面向中小企业的项目，对小型和微型企业、监狱企业或残疾人福利性企业产品的价格给予10%的扣除，用扣除后的价格即为“经评审合格的投标报价”参与价格评审。</w:t>
            </w:r>
          </w:p>
          <w:p>
            <w:pPr>
              <w:pStyle w:val="7"/>
              <w:spacing w:line="360" w:lineRule="auto"/>
              <w:rPr>
                <w:rFonts w:ascii="宋体" w:hAnsi="宋体"/>
                <w:color w:val="000000"/>
                <w:sz w:val="24"/>
              </w:rPr>
            </w:pPr>
            <w:r>
              <w:rPr>
                <w:rFonts w:hint="eastAsia" w:ascii="宋体" w:hAnsi="宋体"/>
                <w:bCs/>
                <w:color w:val="000000"/>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tcBorders>
              <w:top w:val="single" w:color="auto" w:sz="6" w:space="0"/>
              <w:left w:val="single" w:color="auto" w:sz="12" w:space="0"/>
              <w:bottom w:val="single" w:color="auto" w:sz="6" w:space="0"/>
              <w:right w:val="single" w:color="auto" w:sz="12" w:space="0"/>
            </w:tcBorders>
            <w:shd w:val="clear" w:color="auto" w:fill="D9D9D9"/>
            <w:vAlign w:val="center"/>
          </w:tcPr>
          <w:p>
            <w:pPr>
              <w:autoSpaceDE w:val="0"/>
              <w:autoSpaceDN w:val="0"/>
              <w:adjustRightInd w:val="0"/>
              <w:spacing w:line="360" w:lineRule="auto"/>
              <w:jc w:val="center"/>
              <w:rPr>
                <w:rFonts w:ascii="宋体" w:hAnsi="宋体"/>
                <w:b/>
                <w:color w:val="000000"/>
                <w:sz w:val="24"/>
              </w:rPr>
            </w:pPr>
            <w:r>
              <w:rPr>
                <w:rFonts w:hint="eastAsia" w:ascii="宋体" w:hAnsi="宋体"/>
                <w:b/>
                <w:color w:val="000000"/>
                <w:sz w:val="24"/>
              </w:rPr>
              <w:t>二、技术部分（60分）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序号</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内容</w:t>
            </w:r>
          </w:p>
        </w:tc>
        <w:tc>
          <w:tcPr>
            <w:tcW w:w="52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评分规则</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分值</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项目实施方案</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kern w:val="2"/>
              </w:rPr>
              <w:t>（一）评审内容：</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根据投标文件里对项目实施计划</w:t>
            </w:r>
            <w:r>
              <w:rPr>
                <w:rFonts w:hint="eastAsia" w:cs="Times New Roman"/>
                <w:color w:val="000000"/>
              </w:rPr>
              <w:t>、实施内容、交付成果</w:t>
            </w:r>
            <w:r>
              <w:rPr>
                <w:rFonts w:hint="eastAsia" w:cs="Times New Roman"/>
                <w:color w:val="000000"/>
                <w:kern w:val="2"/>
              </w:rPr>
              <w:t>情况进行评分：</w:t>
            </w:r>
          </w:p>
          <w:p>
            <w:pPr>
              <w:pStyle w:val="34"/>
              <w:widowControl/>
              <w:spacing w:line="360" w:lineRule="auto"/>
              <w:ind w:firstLine="0" w:firstLineChars="0"/>
              <w:rPr>
                <w:rFonts w:ascii="宋体" w:hAnsi="宋体"/>
                <w:color w:val="000000"/>
                <w:sz w:val="24"/>
              </w:rPr>
            </w:pPr>
            <w:r>
              <w:rPr>
                <w:rFonts w:hint="eastAsia"/>
                <w:color w:val="000000"/>
              </w:rPr>
              <w:t>1.</w:t>
            </w:r>
            <w:r>
              <w:rPr>
                <w:rFonts w:hint="eastAsia" w:ascii="宋体" w:hAnsi="宋体"/>
                <w:color w:val="000000"/>
                <w:sz w:val="24"/>
              </w:rPr>
              <w:t>项目实施计划；</w:t>
            </w:r>
          </w:p>
          <w:p>
            <w:pPr>
              <w:pStyle w:val="34"/>
              <w:widowControl/>
              <w:spacing w:line="360" w:lineRule="auto"/>
              <w:ind w:firstLine="0" w:firstLineChars="0"/>
              <w:rPr>
                <w:rFonts w:ascii="宋体" w:hAnsi="宋体"/>
                <w:color w:val="000000"/>
                <w:sz w:val="24"/>
              </w:rPr>
            </w:pPr>
            <w:r>
              <w:rPr>
                <w:rFonts w:hint="eastAsia" w:ascii="宋体" w:hAnsi="宋体"/>
                <w:color w:val="000000"/>
                <w:sz w:val="24"/>
              </w:rPr>
              <w:t>2.项目实施内容；</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rPr>
              <w:t>3.项目成果交付</w:t>
            </w:r>
            <w:r>
              <w:rPr>
                <w:rFonts w:hint="eastAsia" w:cs="Times New Roman"/>
                <w:color w:val="000000"/>
                <w:kern w:val="2"/>
              </w:rPr>
              <w:t>。</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满足三点得6分，满足任意两点得4分，满足任意一点得2分，均未满足不得分。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在此基础上，专家根据各供应商的具体响应内容进一步评审：</w:t>
            </w:r>
          </w:p>
          <w:p>
            <w:pPr>
              <w:pStyle w:val="16"/>
              <w:widowControl w:val="0"/>
              <w:spacing w:before="0" w:beforeAutospacing="0" w:after="0" w:afterAutospacing="0" w:line="360" w:lineRule="auto"/>
              <w:rPr>
                <w:rFonts w:cs="Times New Roman"/>
                <w:color w:val="000000"/>
              </w:rPr>
            </w:pPr>
            <w:r>
              <w:rPr>
                <w:rFonts w:hint="eastAsia" w:cs="Times New Roman"/>
                <w:color w:val="000000"/>
              </w:rPr>
              <w:t>优：实施方案内容具体、内容针对性强、内容科学合理、内容可操作性强；</w:t>
            </w:r>
          </w:p>
          <w:p>
            <w:pPr>
              <w:pStyle w:val="16"/>
              <w:widowControl w:val="0"/>
              <w:spacing w:before="0" w:beforeAutospacing="0" w:after="0" w:afterAutospacing="0" w:line="360" w:lineRule="auto"/>
              <w:rPr>
                <w:rFonts w:cs="Times New Roman"/>
                <w:color w:val="000000"/>
              </w:rPr>
            </w:pPr>
            <w:r>
              <w:rPr>
                <w:rFonts w:hint="eastAsia" w:cs="Times New Roman"/>
                <w:color w:val="000000"/>
              </w:rPr>
              <w:t>良：实施方案内容较具体、内容针对性较强、内容较科学合理、内容可操作性较强；</w:t>
            </w:r>
          </w:p>
          <w:p>
            <w:pPr>
              <w:pStyle w:val="16"/>
              <w:widowControl w:val="0"/>
              <w:spacing w:before="0" w:beforeAutospacing="0" w:after="0" w:afterAutospacing="0" w:line="360" w:lineRule="auto"/>
              <w:rPr>
                <w:rFonts w:cs="Times New Roman"/>
                <w:color w:val="000000"/>
              </w:rPr>
            </w:pPr>
            <w:r>
              <w:rPr>
                <w:rFonts w:hint="eastAsia" w:cs="Times New Roman"/>
                <w:color w:val="000000"/>
              </w:rPr>
              <w:t>中：实施方案内容具体性一般、内容针对性一般、内容科学合理性一般、内容可操作性一般；</w:t>
            </w:r>
          </w:p>
          <w:p>
            <w:pPr>
              <w:pStyle w:val="16"/>
              <w:widowControl w:val="0"/>
              <w:spacing w:before="0" w:beforeAutospacing="0" w:after="0" w:afterAutospacing="0" w:line="360" w:lineRule="auto"/>
              <w:rPr>
                <w:rFonts w:cs="Times New Roman"/>
                <w:color w:val="000000"/>
              </w:rPr>
            </w:pPr>
            <w:r>
              <w:rPr>
                <w:rFonts w:hint="eastAsia" w:cs="Times New Roman"/>
                <w:color w:val="000000"/>
              </w:rPr>
              <w:t>差：实施方案内容具体性差、内容针对性差、内容科学合理性差、内容可操作性差。</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评审为优加4分；评审为良加3分；评审为中加2分；评审为差不加分。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对工作任务及工作目标的理解</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kern w:val="2"/>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根据投标文件里对工作任务及工作目标的理解情况进行评分：</w:t>
            </w:r>
          </w:p>
          <w:p>
            <w:pPr>
              <w:pStyle w:val="16"/>
              <w:widowControl w:val="0"/>
              <w:spacing w:before="0" w:beforeAutospacing="0" w:after="0" w:afterAutospacing="0" w:line="360" w:lineRule="auto"/>
              <w:rPr>
                <w:rFonts w:cs="Times New Roman"/>
                <w:color w:val="000000"/>
              </w:rPr>
            </w:pPr>
            <w:r>
              <w:rPr>
                <w:rFonts w:hint="eastAsia" w:cs="Times New Roman"/>
                <w:color w:val="000000"/>
              </w:rPr>
              <w:t>1、工作任务的理解；</w:t>
            </w:r>
          </w:p>
          <w:p>
            <w:pPr>
              <w:pStyle w:val="16"/>
              <w:widowControl w:val="0"/>
              <w:spacing w:before="0" w:beforeAutospacing="0" w:after="0" w:afterAutospacing="0" w:line="360" w:lineRule="auto"/>
              <w:rPr>
                <w:rFonts w:cs="Times New Roman"/>
                <w:color w:val="000000"/>
              </w:rPr>
            </w:pPr>
            <w:r>
              <w:rPr>
                <w:rFonts w:hint="eastAsia" w:cs="Times New Roman"/>
                <w:color w:val="000000"/>
              </w:rPr>
              <w:t>2、工作目标的理解。</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 xml:space="preserve">（二）评审标准： </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满足两点得5分，满足任意一点得2.5分，均未满足不得分。 </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在此基础上，专家根据各供应商的具体响应内容进一步评审： </w:t>
            </w:r>
          </w:p>
          <w:p>
            <w:pPr>
              <w:pStyle w:val="16"/>
              <w:widowControl w:val="0"/>
              <w:spacing w:before="0" w:beforeAutospacing="0" w:after="0" w:afterAutospacing="0" w:line="360" w:lineRule="auto"/>
              <w:rPr>
                <w:rFonts w:cs="Times New Roman"/>
                <w:color w:val="000000"/>
              </w:rPr>
            </w:pPr>
            <w:r>
              <w:rPr>
                <w:rFonts w:hint="eastAsia" w:cs="Times New Roman"/>
                <w:color w:val="000000"/>
              </w:rPr>
              <w:t>优：对工作任务及工作目标的理解准确全面、深刻；</w:t>
            </w:r>
          </w:p>
          <w:p>
            <w:pPr>
              <w:pStyle w:val="16"/>
              <w:widowControl w:val="0"/>
              <w:spacing w:before="0" w:beforeAutospacing="0" w:after="0" w:afterAutospacing="0" w:line="360" w:lineRule="auto"/>
              <w:rPr>
                <w:rFonts w:cs="Times New Roman"/>
                <w:color w:val="000000"/>
              </w:rPr>
            </w:pPr>
            <w:r>
              <w:rPr>
                <w:rFonts w:hint="eastAsia" w:cs="Times New Roman"/>
                <w:color w:val="000000"/>
              </w:rPr>
              <w:t>良：对工作任务及工作目标的理解较准确全面、深刻；</w:t>
            </w:r>
          </w:p>
          <w:p>
            <w:pPr>
              <w:pStyle w:val="16"/>
              <w:widowControl w:val="0"/>
              <w:spacing w:before="0" w:beforeAutospacing="0" w:after="0" w:afterAutospacing="0" w:line="360" w:lineRule="auto"/>
              <w:rPr>
                <w:rFonts w:cs="Times New Roman"/>
                <w:color w:val="000000"/>
              </w:rPr>
            </w:pPr>
            <w:r>
              <w:rPr>
                <w:rFonts w:hint="eastAsia" w:cs="Times New Roman"/>
                <w:color w:val="000000"/>
              </w:rPr>
              <w:t>中：对工作任务及工作目标的理解基本准确；</w:t>
            </w:r>
          </w:p>
          <w:p>
            <w:pPr>
              <w:pStyle w:val="16"/>
              <w:widowControl w:val="0"/>
              <w:spacing w:before="0" w:beforeAutospacing="0" w:after="0" w:afterAutospacing="0" w:line="360" w:lineRule="auto"/>
              <w:rPr>
                <w:rFonts w:cs="Times New Roman"/>
                <w:color w:val="000000"/>
              </w:rPr>
            </w:pPr>
            <w:r>
              <w:rPr>
                <w:rFonts w:hint="eastAsia" w:cs="Times New Roman"/>
                <w:color w:val="000000"/>
              </w:rPr>
              <w:t>差：对工作任务及工作目标的理解不准确。</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评审为优的加5分；评审为良的加2分；评审为中的加1分；评审为差的不加分。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研究方法及思路</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根据招标文件的需求编制研究方法及思路方案。包含但不限于以下内容：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1.研究方法；</w:t>
            </w:r>
          </w:p>
          <w:p>
            <w:pPr>
              <w:pStyle w:val="16"/>
              <w:widowControl w:val="0"/>
              <w:spacing w:before="0" w:beforeAutospacing="0" w:after="0" w:afterAutospacing="0" w:line="360" w:lineRule="auto"/>
              <w:rPr>
                <w:rFonts w:cs="Times New Roman"/>
                <w:color w:val="000000"/>
              </w:rPr>
            </w:pPr>
            <w:r>
              <w:rPr>
                <w:rFonts w:hint="eastAsia" w:cs="Times New Roman"/>
                <w:color w:val="000000"/>
              </w:rPr>
              <w:t>2.研究思路。</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满足两点得6分，满足任意一点得3分，均未满足不得分。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在此基础上，专家根据各供应商的具体响应内容进一步评审； </w:t>
            </w:r>
          </w:p>
          <w:p>
            <w:pPr>
              <w:pStyle w:val="16"/>
              <w:widowControl w:val="0"/>
              <w:spacing w:before="0" w:beforeAutospacing="0" w:after="0" w:afterAutospacing="0" w:line="360" w:lineRule="auto"/>
              <w:rPr>
                <w:rFonts w:cs="Times New Roman"/>
                <w:color w:val="000000"/>
              </w:rPr>
            </w:pPr>
            <w:r>
              <w:rPr>
                <w:rFonts w:hint="eastAsia" w:cs="Times New Roman"/>
                <w:color w:val="000000"/>
              </w:rPr>
              <w:t>优：研究方法及思路可行和合理的；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良：研究方法及思路较可行和合理的；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中：研究方法及思路基本可行和合理的；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差：研究方法及思路不合理的。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评审为优的加6分；评审为良的加3分；评审为中的加1分；评审为差的不加分。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12</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4</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进度计划</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根据招标文件的需求编制进度计划。包含但不限于以下内容：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1.进度计划安排；</w:t>
            </w:r>
          </w:p>
          <w:p>
            <w:pPr>
              <w:pStyle w:val="16"/>
              <w:widowControl w:val="0"/>
              <w:spacing w:before="0" w:beforeAutospacing="0" w:after="0" w:afterAutospacing="0" w:line="360" w:lineRule="auto"/>
              <w:rPr>
                <w:rFonts w:cs="Times New Roman"/>
                <w:color w:val="000000"/>
              </w:rPr>
            </w:pPr>
            <w:r>
              <w:rPr>
                <w:rFonts w:hint="eastAsia" w:cs="Times New Roman"/>
                <w:color w:val="000000"/>
              </w:rPr>
              <w:t>2.人员安排。</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满足两点得4分，满足任意一点得2分，均未满足不得分。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在此基础上，专家根据各供应商的具体响应内容进一步评审； </w:t>
            </w:r>
          </w:p>
          <w:p>
            <w:pPr>
              <w:pStyle w:val="16"/>
              <w:widowControl w:val="0"/>
              <w:spacing w:before="0" w:beforeAutospacing="0" w:after="0" w:afterAutospacing="0" w:line="360" w:lineRule="auto"/>
              <w:rPr>
                <w:rFonts w:cs="Times New Roman"/>
                <w:color w:val="000000"/>
              </w:rPr>
            </w:pPr>
            <w:r>
              <w:rPr>
                <w:rFonts w:hint="eastAsia" w:cs="Times New Roman"/>
                <w:color w:val="000000"/>
              </w:rPr>
              <w:t>优：整体编制时间科学、合理，符合编制规律，人员安排合理，分步实施、急用先行，能够符合采购人的需求；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良：方案整体编制时间合理，人员安排合理，能满足采购人的需求；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中：方案整体编制时间一般，人员安排基本合理，能基本满足采购人的需求；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差：方案整体编制时间不合理，人员安排不合理，尚未解决采购人的需求。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评审为优的加4分；评审为良的加2分；评审为中的加1分；评审为差不加分。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8</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5</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项目难点重点分析及相关的合理化建议</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kern w:val="2"/>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根据招标文件的需求对项目难点重点分析，并提出应对措施及合理化建议。包含但不限于以下内容：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1.对项目中重点难点分析；</w:t>
            </w:r>
          </w:p>
          <w:p>
            <w:pPr>
              <w:pStyle w:val="16"/>
              <w:widowControl w:val="0"/>
              <w:spacing w:before="0" w:beforeAutospacing="0" w:after="0" w:afterAutospacing="0" w:line="360" w:lineRule="auto"/>
              <w:rPr>
                <w:rFonts w:cs="Times New Roman"/>
                <w:color w:val="000000"/>
              </w:rPr>
            </w:pPr>
            <w:r>
              <w:rPr>
                <w:rFonts w:hint="eastAsia" w:cs="Times New Roman"/>
                <w:color w:val="000000"/>
              </w:rPr>
              <w:t>2.对项目中重点难点的应对措施；</w:t>
            </w:r>
          </w:p>
          <w:p>
            <w:pPr>
              <w:pStyle w:val="16"/>
              <w:widowControl w:val="0"/>
              <w:spacing w:before="0" w:beforeAutospacing="0" w:after="0" w:afterAutospacing="0" w:line="360" w:lineRule="auto"/>
              <w:rPr>
                <w:rFonts w:cs="Times New Roman"/>
                <w:color w:val="000000"/>
              </w:rPr>
            </w:pPr>
            <w:r>
              <w:rPr>
                <w:rFonts w:hint="eastAsia" w:cs="Times New Roman"/>
                <w:color w:val="000000"/>
              </w:rPr>
              <w:t>3.对项目中重点难点问题提出的合理化建议。</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满足三点得12分，满足任意两点得8分，满足任意一点得4分，均未满足不得分。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在此基础上，专家根据各供应商的具体响应内容进一步评审：</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评审为优(项目重难点分析、应对措施及合理化建议内容全面具体、针对性强、可操作性强）的加8分；</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评审为良(项目重难点分析、应对措施及合理化建议内容较全面、针对性较强、可操作性较强）的加5分；</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评审为中（项目重难点分析、应对措施及合理化建议内容较完整性、针对性、可操作性均一般）的加2分；</w:t>
            </w:r>
          </w:p>
          <w:p>
            <w:pPr>
              <w:pStyle w:val="16"/>
              <w:widowControl w:val="0"/>
              <w:spacing w:before="0" w:beforeAutospacing="0" w:after="0" w:afterAutospacing="0" w:line="360" w:lineRule="auto"/>
              <w:rPr>
                <w:rFonts w:cs="Times New Roman"/>
                <w:color w:val="000000"/>
              </w:rPr>
            </w:pPr>
            <w:r>
              <w:rPr>
                <w:rFonts w:hint="eastAsia" w:cs="Times New Roman"/>
                <w:color w:val="000000"/>
              </w:rPr>
              <w:t>评价为差（项目重难点分析、应对措施及合理化建议内容不完整、针对性和可操作性较弱）不加分。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tcBorders>
              <w:top w:val="single" w:color="auto" w:sz="6" w:space="0"/>
              <w:left w:val="single" w:color="auto" w:sz="12" w:space="0"/>
              <w:bottom w:val="single" w:color="auto" w:sz="6" w:space="0"/>
              <w:right w:val="single" w:color="auto" w:sz="12" w:space="0"/>
            </w:tcBorders>
            <w:shd w:val="clear" w:color="auto" w:fill="D9D9D9"/>
            <w:vAlign w:val="center"/>
          </w:tcPr>
          <w:p>
            <w:pPr>
              <w:autoSpaceDE w:val="0"/>
              <w:autoSpaceDN w:val="0"/>
              <w:adjustRightInd w:val="0"/>
              <w:spacing w:line="360" w:lineRule="auto"/>
              <w:jc w:val="center"/>
              <w:rPr>
                <w:rFonts w:ascii="宋体" w:hAnsi="宋体"/>
                <w:b/>
                <w:color w:val="000000"/>
                <w:sz w:val="24"/>
              </w:rPr>
            </w:pPr>
            <w:r>
              <w:rPr>
                <w:rFonts w:hint="eastAsia" w:ascii="宋体" w:hAnsi="宋体"/>
                <w:b/>
                <w:color w:val="000000"/>
                <w:sz w:val="24"/>
              </w:rPr>
              <w:t>三、商务部分（30分）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序号</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内容</w:t>
            </w:r>
          </w:p>
        </w:tc>
        <w:tc>
          <w:tcPr>
            <w:tcW w:w="52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评分规则</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分值</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同类项目业绩情况</w:t>
            </w:r>
          </w:p>
        </w:tc>
        <w:tc>
          <w:tcPr>
            <w:tcW w:w="5225" w:type="dxa"/>
            <w:tcBorders>
              <w:top w:val="single" w:color="auto" w:sz="6" w:space="0"/>
              <w:left w:val="single" w:color="auto" w:sz="6" w:space="0"/>
              <w:bottom w:val="single" w:color="auto" w:sz="6" w:space="0"/>
              <w:right w:val="single" w:color="auto" w:sz="6" w:space="0"/>
            </w:tcBorders>
          </w:tcPr>
          <w:p>
            <w:pPr>
              <w:pStyle w:val="16"/>
              <w:widowControl w:val="0"/>
              <w:spacing w:before="0" w:beforeAutospacing="0" w:after="0" w:afterAutospacing="0" w:line="360" w:lineRule="auto"/>
              <w:rPr>
                <w:rFonts w:cs="Times New Roman"/>
                <w:color w:val="000000"/>
              </w:rPr>
            </w:pPr>
            <w:r>
              <w:rPr>
                <w:rFonts w:hint="eastAsia" w:cs="Times New Roman"/>
                <w:color w:val="000000"/>
              </w:rPr>
              <w:t>（一）评分内容：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2022年1月1日起至本项目投标截止之日（以合同签订时间为准），投标人具有同类项目经验的，每提供1个得3分，此项最高得12分。</w:t>
            </w:r>
          </w:p>
          <w:p>
            <w:pPr>
              <w:pStyle w:val="16"/>
              <w:widowControl w:val="0"/>
              <w:spacing w:before="0" w:beforeAutospacing="0" w:after="0" w:afterAutospacing="0" w:line="360" w:lineRule="auto"/>
              <w:rPr>
                <w:rFonts w:cs="Times New Roman"/>
                <w:color w:val="000000"/>
              </w:rPr>
            </w:pPr>
            <w:r>
              <w:rPr>
                <w:rFonts w:hint="eastAsia" w:cs="Times New Roman"/>
                <w:color w:val="000000"/>
              </w:rPr>
              <w:t>同一项目续签不重复计分。</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1.提供合同关键信息（包括但不限于合同封面、合作内容、双方盖章页等）作为得分依据。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2.通过合同关键信息无法判断是否得分的，也可以提供能证明得分的其它证明资料，如项目报告、会议纪要或合同甲方出具的加盖合同甲方公章的证明文件等。</w:t>
            </w:r>
          </w:p>
          <w:p>
            <w:pPr>
              <w:pStyle w:val="16"/>
              <w:widowControl w:val="0"/>
              <w:spacing w:before="0" w:beforeAutospacing="0" w:after="0" w:afterAutospacing="0" w:line="360" w:lineRule="auto"/>
              <w:rPr>
                <w:rFonts w:cs="Times New Roman"/>
                <w:color w:val="000000"/>
              </w:rPr>
            </w:pPr>
            <w:r>
              <w:rPr>
                <w:rFonts w:hint="eastAsia" w:cs="Times New Roman"/>
                <w:color w:val="000000"/>
              </w:rPr>
              <w:t>3.以上资料均要求提供复印件或扫描件并加盖公章，原件备查，评分中出现无证明资料或专家无法凭所提供资料判断是否得分的情况，一律作不得分处理。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12</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研究服务团队成员情况（含项目负责人）</w:t>
            </w:r>
          </w:p>
        </w:tc>
        <w:tc>
          <w:tcPr>
            <w:tcW w:w="5225" w:type="dxa"/>
            <w:tcBorders>
              <w:top w:val="single" w:color="auto" w:sz="6" w:space="0"/>
              <w:left w:val="single" w:color="auto" w:sz="6" w:space="0"/>
              <w:bottom w:val="single" w:color="auto" w:sz="6" w:space="0"/>
              <w:right w:val="single" w:color="auto" w:sz="6" w:space="0"/>
            </w:tcBorders>
          </w:tcPr>
          <w:p>
            <w:pPr>
              <w:pStyle w:val="16"/>
              <w:widowControl w:val="0"/>
              <w:spacing w:before="0" w:beforeAutospacing="0" w:after="0" w:afterAutospacing="0" w:line="360" w:lineRule="auto"/>
              <w:rPr>
                <w:rFonts w:cs="Times New Roman"/>
                <w:color w:val="000000"/>
              </w:rPr>
            </w:pPr>
            <w:r>
              <w:rPr>
                <w:rFonts w:hint="eastAsia" w:cs="Times New Roman"/>
                <w:color w:val="000000"/>
              </w:rPr>
              <w:t>（一）评分内容：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为本项目拟派的投标人服务团队成员</w:t>
            </w:r>
            <w:r>
              <w:rPr>
                <w:rFonts w:hint="eastAsia"/>
                <w:color w:val="000000"/>
              </w:rPr>
              <w:t>（含项目负责人）</w:t>
            </w:r>
            <w:r>
              <w:rPr>
                <w:rFonts w:hint="eastAsia" w:cs="Times New Roman"/>
                <w:color w:val="000000"/>
              </w:rPr>
              <w:t>不少于4人，否则本项不得分，在此基础上：每提供1个具备硕士研究生或以上学历的人员得2分，此项最高得8分。</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1.提供投标人为全部服务团队成员缴纳的近三个月任意一个月的社保证明复印件加盖公章，未提供或提供不齐全或无法分辨的不得分。如供应商为新成立企业且成立时间不足一个月的可提供加盖公章的情况说明亦视为符合。本项目不接受退休返聘人员。</w:t>
            </w:r>
          </w:p>
          <w:p>
            <w:pPr>
              <w:pStyle w:val="16"/>
              <w:widowControl w:val="0"/>
              <w:spacing w:before="0" w:beforeAutospacing="0" w:after="0" w:afterAutospacing="0" w:line="360" w:lineRule="auto"/>
              <w:rPr>
                <w:rFonts w:cs="Times New Roman"/>
                <w:color w:val="000000"/>
              </w:rPr>
            </w:pPr>
            <w:r>
              <w:rPr>
                <w:rFonts w:hint="eastAsia" w:cs="Times New Roman"/>
                <w:color w:val="000000"/>
              </w:rPr>
              <w:t>2.学历证明提供毕业证书以及学信网查询记录截图复印件加盖公章，原件备查，对于较早颁发的学历证书，学信网无法查询的求提供其他佐证材料（如毕业院校、人社部门等颁发机构或监管机构等单位出具的证明）。（若为境外留学学历，无需提供学信网查询记录，需提供教育部留学服务中心出具的学历学位认证书）。评分中出现无证明资料或专家无法凭所提供资料判断是否得分的情况，一律作不得分处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8</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服务响应时间</w:t>
            </w:r>
          </w:p>
        </w:tc>
        <w:tc>
          <w:tcPr>
            <w:tcW w:w="5225" w:type="dxa"/>
            <w:tcBorders>
              <w:top w:val="single" w:color="auto" w:sz="6" w:space="0"/>
              <w:left w:val="single" w:color="auto" w:sz="6" w:space="0"/>
              <w:bottom w:val="single" w:color="auto" w:sz="6" w:space="0"/>
              <w:right w:val="single" w:color="auto" w:sz="6" w:space="0"/>
            </w:tcBorders>
          </w:tcPr>
          <w:p>
            <w:pPr>
              <w:pStyle w:val="16"/>
              <w:widowControl w:val="0"/>
              <w:spacing w:before="0" w:beforeAutospacing="0" w:after="0" w:afterAutospacing="0" w:line="360" w:lineRule="auto"/>
              <w:rPr>
                <w:rFonts w:cs="Times New Roman"/>
                <w:color w:val="000000"/>
              </w:rPr>
            </w:pPr>
            <w:r>
              <w:rPr>
                <w:rFonts w:hint="eastAsia" w:cs="Times New Roman"/>
                <w:color w:val="000000"/>
              </w:rPr>
              <w:t>（一）评分内容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投标人承诺对采购人服务的响应时间为24小时(含)内，得5分，对采购人服务的响应时间为24小时（不含）以上48小时(含)内，得3分，对采购人服务的响应时间为48小时(不含)以上，不得分。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投标人需提供服务响应承诺函（格式自拟）加盖公章，未提供或未按要求提供不得分。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5</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4</w:t>
            </w:r>
          </w:p>
        </w:tc>
        <w:tc>
          <w:tcPr>
            <w:tcW w:w="18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诚信声明与承诺</w:t>
            </w:r>
          </w:p>
        </w:tc>
        <w:tc>
          <w:tcPr>
            <w:tcW w:w="5225" w:type="dxa"/>
            <w:tcBorders>
              <w:top w:val="single" w:color="auto" w:sz="6" w:space="0"/>
              <w:left w:val="single" w:color="auto" w:sz="6" w:space="0"/>
              <w:bottom w:val="single" w:color="auto" w:sz="12" w:space="0"/>
              <w:right w:val="single" w:color="auto" w:sz="6" w:space="0"/>
            </w:tcBorders>
          </w:tcPr>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（一）评分内容：</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（二）评分依据：</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1、投标人提供诚信声明与承诺加盖公章；</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2、采购代理机构通过信用信息查询渠道，包括“信用中国”（www.creditchina.gov.cn）、“中国政府采购网”（www.ccgp.gov.cn）、“深圳市政府采购监管网”（http://zfcg.sz.gov.cn）以及市、区财政部门认定的其他渠道查询供应商信用信息。</w:t>
            </w:r>
          </w:p>
        </w:tc>
        <w:tc>
          <w:tcPr>
            <w:tcW w:w="86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5</w:t>
            </w:r>
          </w:p>
        </w:tc>
        <w:tc>
          <w:tcPr>
            <w:tcW w:w="1120"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bl>
    <w:p>
      <w:pPr>
        <w:spacing w:line="360" w:lineRule="auto"/>
        <w:jc w:val="center"/>
        <w:sectPr>
          <w:pgSz w:w="11906" w:h="16838"/>
          <w:pgMar w:top="850" w:right="1803" w:bottom="709" w:left="1803" w:header="851" w:footer="992" w:gutter="0"/>
          <w:cols w:space="720" w:num="1"/>
          <w:docGrid w:type="lines" w:linePitch="319" w:charSpace="0"/>
        </w:sectPr>
      </w:pPr>
      <w:r>
        <w:t xml:space="preserve"> </w:t>
      </w:r>
    </w:p>
    <w:p>
      <w:pPr>
        <w:spacing w:line="360" w:lineRule="auto"/>
        <w:jc w:val="center"/>
        <w:outlineLvl w:val="0"/>
        <w:rPr>
          <w:rFonts w:ascii="宋体" w:hAnsi="宋体" w:cs="宋体"/>
          <w:b/>
          <w:bCs/>
          <w:sz w:val="24"/>
        </w:rPr>
      </w:pPr>
      <w:bookmarkStart w:id="38" w:name="_Toc9548"/>
      <w:bookmarkStart w:id="39" w:name="_Hlk28269117"/>
      <w:r>
        <w:rPr>
          <w:rFonts w:hint="eastAsia" w:ascii="宋体" w:hAnsi="宋体" w:cs="宋体"/>
          <w:b/>
          <w:bCs/>
          <w:sz w:val="24"/>
        </w:rPr>
        <w:t>第七章 附件（投标文件格式）</w:t>
      </w:r>
      <w:bookmarkEnd w:id="38"/>
    </w:p>
    <w:p>
      <w:pPr>
        <w:keepNext/>
        <w:keepLines/>
        <w:spacing w:before="260" w:after="260" w:line="440" w:lineRule="exact"/>
        <w:jc w:val="center"/>
        <w:outlineLvl w:val="1"/>
        <w:rPr>
          <w:rFonts w:ascii="宋体" w:hAnsi="宋体" w:cs="宋体"/>
          <w:b/>
          <w:bCs/>
          <w:sz w:val="24"/>
        </w:rPr>
      </w:pPr>
      <w:bookmarkStart w:id="40" w:name="_Toc19494"/>
      <w:bookmarkStart w:id="41" w:name="_Toc5116"/>
      <w:bookmarkStart w:id="42" w:name="_Toc31827"/>
      <w:bookmarkStart w:id="43" w:name="_Toc6548"/>
      <w:r>
        <w:rPr>
          <w:rFonts w:hint="eastAsia" w:ascii="宋体" w:hAnsi="宋体" w:cs="宋体"/>
          <w:b/>
          <w:bCs/>
          <w:sz w:val="24"/>
        </w:rPr>
        <w:t>1、投标文件密封袋/封面参考</w:t>
      </w:r>
      <w:bookmarkEnd w:id="40"/>
      <w:bookmarkEnd w:id="41"/>
      <w:bookmarkEnd w:id="42"/>
      <w:bookmarkEnd w:id="43"/>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jc w:val="center"/>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
            <w:pPr>
              <w:pStyle w:val="2"/>
              <w:tabs>
                <w:tab w:val="left" w:pos="562"/>
                <w:tab w:val="left" w:pos="3372"/>
                <w:tab w:val="left" w:pos="3653"/>
              </w:tabs>
              <w:spacing w:line="400" w:lineRule="exact"/>
              <w:ind w:firstLine="900" w:firstLineChars="320"/>
              <w:rPr>
                <w:rFonts w:ascii="仿宋_GB2312" w:eastAsia="仿宋_GB2312"/>
                <w:b/>
                <w:sz w:val="28"/>
                <w:szCs w:val="28"/>
              </w:rPr>
            </w:pP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2"/>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spacing w:before="100" w:beforeAutospacing="1" w:after="100" w:afterAutospacing="1"/>
        <w:jc w:val="center"/>
        <w:outlineLvl w:val="1"/>
        <w:rPr>
          <w:rFonts w:ascii="宋体" w:hAnsi="宋体" w:cs="宋体"/>
          <w:b/>
          <w:sz w:val="24"/>
        </w:rPr>
      </w:pPr>
      <w:bookmarkStart w:id="44" w:name="_Toc16724"/>
      <w:r>
        <w:rPr>
          <w:rFonts w:hint="eastAsia" w:ascii="宋体" w:hAnsi="宋体" w:cs="宋体"/>
          <w:b/>
          <w:sz w:val="24"/>
        </w:rPr>
        <w:t>2、投标文件—目录</w:t>
      </w:r>
      <w:bookmarkEnd w:id="44"/>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7"/>
        </w:numPr>
        <w:tabs>
          <w:tab w:val="left" w:pos="640"/>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7"/>
        </w:numPr>
        <w:tabs>
          <w:tab w:val="left" w:pos="640"/>
          <w:tab w:val="clear" w:pos="425"/>
        </w:tabs>
        <w:spacing w:line="360" w:lineRule="auto"/>
        <w:ind w:left="625" w:hanging="625"/>
        <w:rPr>
          <w:rFonts w:ascii="宋体" w:hAnsi="宋体" w:cs="宋体"/>
          <w:sz w:val="24"/>
        </w:rPr>
      </w:pPr>
      <w:r>
        <w:rPr>
          <w:rFonts w:hint="eastAsia" w:ascii="宋体" w:hAnsi="宋体" w:cs="宋体"/>
          <w:sz w:val="24"/>
        </w:rPr>
        <w:t>分类报价明细表；</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8"/>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法人代表证明书及身份证明；</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法定代表人授权书及身份证明；</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招标代理服务费承诺书；</w:t>
      </w:r>
    </w:p>
    <w:p>
      <w:pPr>
        <w:numPr>
          <w:ilvl w:val="0"/>
          <w:numId w:val="8"/>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投标人简介；</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同类项目业绩情况；</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研究服务团队成员情况（</w:t>
      </w:r>
      <w:r>
        <w:rPr>
          <w:rFonts w:hint="eastAsia" w:ascii="宋体" w:hAnsi="宋体" w:cs="宋体"/>
          <w:sz w:val="24"/>
        </w:rPr>
        <w:t>含项目负责人</w:t>
      </w:r>
      <w:r>
        <w:rPr>
          <w:rFonts w:hint="eastAsia" w:ascii="宋体" w:hAnsi="宋体" w:cs="宋体"/>
          <w:sz w:val="24"/>
          <w:lang w:val="fr-CH"/>
        </w:rPr>
        <w:t>）；</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服务响应时间；</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诚信声明与承诺；</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政府采购违法行为风险知悉确认书；</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供应商基本情况表、社保证明及股权关系证明；</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9"/>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9"/>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项目实施方案；</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对工作任务及工作目标的理解；</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研究方法及思路；</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进度计划；</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项目难点重点分析及相关的合理化建议；</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投标人认为有必要提供的其他材料。</w:t>
      </w:r>
    </w:p>
    <w:p>
      <w:pPr>
        <w:tabs>
          <w:tab w:val="left" w:pos="425"/>
          <w:tab w:val="left" w:pos="640"/>
          <w:tab w:val="left" w:pos="1260"/>
          <w:tab w:val="left" w:pos="1418"/>
        </w:tabs>
        <w:spacing w:line="360" w:lineRule="auto"/>
        <w:ind w:left="845" w:right="-420" w:rightChars="-200"/>
        <w:rPr>
          <w:rFonts w:ascii="宋体" w:hAnsi="宋体" w:cs="宋体"/>
          <w:sz w:val="24"/>
          <w:lang w:val="fr-CH"/>
        </w:rPr>
      </w:pPr>
    </w:p>
    <w:p>
      <w:pPr>
        <w:pStyle w:val="2"/>
      </w:pP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0"/>
        </w:numPr>
        <w:tabs>
          <w:tab w:val="left" w:pos="640"/>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5" w:hRule="atLeast"/>
        </w:trPr>
        <w:tc>
          <w:tcPr>
            <w:tcW w:w="3484"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u w:val="single"/>
              </w:rPr>
            </w:pPr>
          </w:p>
        </w:tc>
        <w:tc>
          <w:tcPr>
            <w:tcW w:w="2896" w:type="dxa"/>
            <w:vAlign w:val="center"/>
          </w:tcPr>
          <w:p>
            <w:pPr>
              <w:spacing w:line="360" w:lineRule="auto"/>
              <w:jc w:val="center"/>
              <w:rPr>
                <w:rFonts w:ascii="宋体" w:hAnsi="宋体" w:cs="宋体"/>
                <w:sz w:val="24"/>
                <w:u w:val="single"/>
              </w:rPr>
            </w:pPr>
          </w:p>
        </w:tc>
        <w:tc>
          <w:tcPr>
            <w:tcW w:w="131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pPr>
    </w:p>
    <w:p>
      <w:pPr>
        <w:numPr>
          <w:ilvl w:val="0"/>
          <w:numId w:val="10"/>
        </w:numPr>
        <w:tabs>
          <w:tab w:val="left" w:pos="640"/>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序号</w:t>
            </w:r>
          </w:p>
        </w:tc>
        <w:tc>
          <w:tcPr>
            <w:tcW w:w="2212" w:type="dxa"/>
            <w:vAlign w:val="center"/>
          </w:tcPr>
          <w:p>
            <w:pPr>
              <w:pStyle w:val="9"/>
              <w:spacing w:line="360" w:lineRule="auto"/>
              <w:jc w:val="center"/>
              <w:rPr>
                <w:rFonts w:hAnsi="宋体" w:cs="宋体"/>
                <w:sz w:val="24"/>
              </w:rPr>
            </w:pPr>
            <w:r>
              <w:rPr>
                <w:rFonts w:hint="eastAsia" w:hAnsi="宋体" w:cs="宋体"/>
                <w:sz w:val="24"/>
              </w:rPr>
              <w:t>项目名称、内容</w:t>
            </w:r>
          </w:p>
        </w:tc>
        <w:tc>
          <w:tcPr>
            <w:tcW w:w="720" w:type="dxa"/>
            <w:vAlign w:val="center"/>
          </w:tcPr>
          <w:p>
            <w:pPr>
              <w:pStyle w:val="9"/>
              <w:spacing w:line="360" w:lineRule="auto"/>
              <w:jc w:val="center"/>
              <w:rPr>
                <w:rFonts w:hAnsi="宋体" w:cs="宋体"/>
                <w:sz w:val="24"/>
              </w:rPr>
            </w:pPr>
            <w:r>
              <w:rPr>
                <w:rFonts w:hint="eastAsia" w:hAnsi="宋体" w:cs="宋体"/>
                <w:sz w:val="24"/>
              </w:rPr>
              <w:t>单位</w:t>
            </w:r>
          </w:p>
        </w:tc>
        <w:tc>
          <w:tcPr>
            <w:tcW w:w="1800" w:type="dxa"/>
            <w:vAlign w:val="center"/>
          </w:tcPr>
          <w:p>
            <w:pPr>
              <w:pStyle w:val="9"/>
              <w:spacing w:line="360" w:lineRule="auto"/>
              <w:jc w:val="center"/>
              <w:rPr>
                <w:rFonts w:hAnsi="宋体" w:cs="宋体"/>
                <w:sz w:val="24"/>
              </w:rPr>
            </w:pPr>
            <w:r>
              <w:rPr>
                <w:rFonts w:hint="eastAsia" w:hAnsi="宋体" w:cs="宋体"/>
                <w:sz w:val="24"/>
              </w:rPr>
              <w:t>数量（工作量）</w:t>
            </w:r>
          </w:p>
        </w:tc>
        <w:tc>
          <w:tcPr>
            <w:tcW w:w="1620" w:type="dxa"/>
            <w:vAlign w:val="center"/>
          </w:tcPr>
          <w:p>
            <w:pPr>
              <w:pStyle w:val="9"/>
              <w:spacing w:line="360" w:lineRule="auto"/>
              <w:jc w:val="center"/>
              <w:rPr>
                <w:rFonts w:hAnsi="宋体" w:cs="宋体"/>
                <w:sz w:val="24"/>
              </w:rPr>
            </w:pPr>
            <w:r>
              <w:rPr>
                <w:rFonts w:hint="eastAsia" w:hAnsi="宋体" w:cs="宋体"/>
                <w:sz w:val="24"/>
              </w:rPr>
              <w:t>单价</w:t>
            </w:r>
          </w:p>
        </w:tc>
        <w:tc>
          <w:tcPr>
            <w:tcW w:w="1620" w:type="dxa"/>
            <w:vAlign w:val="center"/>
          </w:tcPr>
          <w:p>
            <w:pPr>
              <w:pStyle w:val="9"/>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1</w:t>
            </w:r>
          </w:p>
        </w:tc>
        <w:tc>
          <w:tcPr>
            <w:tcW w:w="2212" w:type="dxa"/>
            <w:vAlign w:val="center"/>
          </w:tcPr>
          <w:p>
            <w:pPr>
              <w:pStyle w:val="9"/>
              <w:spacing w:line="360" w:lineRule="auto"/>
              <w:jc w:val="center"/>
              <w:rPr>
                <w:rFonts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w:t>
            </w:r>
          </w:p>
        </w:tc>
        <w:tc>
          <w:tcPr>
            <w:tcW w:w="2212" w:type="dxa"/>
            <w:vAlign w:val="center"/>
          </w:tcPr>
          <w:p>
            <w:pPr>
              <w:pStyle w:val="9"/>
              <w:spacing w:line="360" w:lineRule="auto"/>
              <w:jc w:val="center"/>
              <w:rPr>
                <w:rFonts w:hAnsi="宋体" w:cs="宋体"/>
                <w:sz w:val="24"/>
              </w:rPr>
            </w:pPr>
            <w:r>
              <w:rPr>
                <w:rFonts w:hint="eastAsia" w:hAnsi="宋体" w:cs="宋体"/>
                <w:sz w:val="24"/>
              </w:rPr>
              <w:t>…</w:t>
            </w: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9"/>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1"/>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spacing w:line="360" w:lineRule="auto"/>
        <w:jc w:val="center"/>
        <w:rPr>
          <w:rFonts w:ascii="宋体" w:hAnsi="宋体" w:cs="宋体"/>
          <w:b/>
          <w:bCs/>
          <w:sz w:val="24"/>
        </w:rPr>
      </w:pPr>
      <w:r>
        <w:rPr>
          <w:rFonts w:hint="eastAsia" w:ascii="宋体" w:hAnsi="宋体" w:cs="宋体"/>
          <w:b/>
          <w:bCs/>
          <w:sz w:val="24"/>
        </w:rPr>
        <w:t>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pP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2"/>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2"/>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2"/>
        </w:numPr>
        <w:spacing w:line="360" w:lineRule="auto"/>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本项目的报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bookmarkStart w:id="51" w:name="_GoBack"/>
      <w:bookmarkEnd w:id="51"/>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9"/>
              <w:spacing w:line="360" w:lineRule="auto"/>
              <w:rPr>
                <w:rFonts w:ascii="Arial Narrow" w:hAnsi="Arial Narrow"/>
                <w:b/>
                <w:bCs/>
                <w:szCs w:val="21"/>
              </w:rPr>
            </w:pPr>
          </w:p>
        </w:tc>
        <w:tc>
          <w:tcPr>
            <w:tcW w:w="4240" w:type="dxa"/>
          </w:tcPr>
          <w:p>
            <w:pPr>
              <w:pStyle w:val="9"/>
              <w:spacing w:line="360" w:lineRule="auto"/>
              <w:rPr>
                <w:rFonts w:ascii="Arial Narrow" w:hAnsi="Arial Narrow"/>
                <w:b/>
                <w:bCs/>
                <w:szCs w:val="21"/>
              </w:rPr>
            </w:pPr>
          </w:p>
        </w:tc>
      </w:tr>
    </w:tbl>
    <w:p>
      <w:pPr>
        <w:tabs>
          <w:tab w:val="left" w:pos="640"/>
          <w:tab w:val="left" w:pos="1260"/>
          <w:tab w:val="left" w:pos="1418"/>
        </w:tabs>
        <w:spacing w:line="360" w:lineRule="auto"/>
        <w:rPr>
          <w:szCs w:val="21"/>
          <w:lang w:val="fr-CH"/>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9"/>
        <w:spacing w:line="360" w:lineRule="auto"/>
        <w:jc w:val="center"/>
        <w:rPr>
          <w:rFonts w:hAnsi="宋体" w:cs="宋体"/>
          <w:b/>
          <w:sz w:val="24"/>
        </w:rPr>
      </w:pPr>
    </w:p>
    <w:p>
      <w:pPr>
        <w:pStyle w:val="9"/>
        <w:spacing w:line="360" w:lineRule="auto"/>
        <w:jc w:val="center"/>
        <w:rPr>
          <w:rFonts w:hAnsi="宋体" w:cs="宋体"/>
          <w:b/>
          <w:sz w:val="24"/>
        </w:rPr>
      </w:pPr>
      <w:r>
        <w:rPr>
          <w:rFonts w:hint="eastAsia" w:hAnsi="宋体" w:cs="宋体"/>
          <w:b/>
          <w:sz w:val="24"/>
        </w:rPr>
        <w:t>法定代表人授权书</w:t>
      </w:r>
    </w:p>
    <w:p>
      <w:pPr>
        <w:pStyle w:val="9"/>
        <w:spacing w:line="360" w:lineRule="auto"/>
        <w:rPr>
          <w:rFonts w:hAnsi="宋体" w:cs="宋体"/>
          <w:sz w:val="24"/>
        </w:rPr>
      </w:pPr>
    </w:p>
    <w:p>
      <w:pPr>
        <w:pStyle w:val="9"/>
        <w:spacing w:line="360" w:lineRule="auto"/>
        <w:rPr>
          <w:rFonts w:hAnsi="宋体" w:cs="宋体"/>
          <w:sz w:val="24"/>
        </w:rPr>
      </w:pPr>
      <w:r>
        <w:rPr>
          <w:rFonts w:hint="eastAsia" w:hAnsi="宋体" w:cs="宋体"/>
          <w:b/>
          <w:sz w:val="24"/>
        </w:rPr>
        <w:t>深圳市前海深港现代服务业合作区管理局：</w:t>
      </w:r>
    </w:p>
    <w:p>
      <w:pPr>
        <w:pStyle w:val="9"/>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9"/>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szCs w:val="21"/>
              </w:rPr>
            </w:pPr>
          </w:p>
        </w:tc>
        <w:tc>
          <w:tcPr>
            <w:tcW w:w="4677" w:type="dxa"/>
          </w:tcPr>
          <w:p>
            <w:pPr>
              <w:pStyle w:val="9"/>
              <w:spacing w:line="360" w:lineRule="auto"/>
              <w:rPr>
                <w:rFonts w:ascii="Arial Narrow" w:hAnsi="Arial Narrow"/>
                <w:b/>
                <w:bCs/>
                <w:szCs w:val="21"/>
              </w:rPr>
            </w:pPr>
          </w:p>
        </w:tc>
      </w:tr>
    </w:tbl>
    <w:p>
      <w:pPr>
        <w:tabs>
          <w:tab w:val="left" w:pos="640"/>
          <w:tab w:val="left" w:pos="1260"/>
          <w:tab w:val="left" w:pos="1418"/>
        </w:tabs>
        <w:spacing w:line="360" w:lineRule="auto"/>
        <w:rPr>
          <w:rFonts w:ascii="宋体" w:hAnsi="宋体" w:cs="宋体"/>
          <w:sz w:val="24"/>
          <w:lang w:val="fr-CH"/>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4"/>
          <w:lang w:val="fr-CH"/>
        </w:rPr>
        <w:br w:type="page"/>
      </w:r>
    </w:p>
    <w:p>
      <w:pPr>
        <w:numPr>
          <w:ilvl w:val="0"/>
          <w:numId w:val="11"/>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致：中国远东国际招标有限公司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pStyle w:val="2"/>
        <w:rPr>
          <w:lang w:val="fr-CH"/>
        </w:rPr>
      </w:pPr>
    </w:p>
    <w:p>
      <w:pPr>
        <w:tabs>
          <w:tab w:val="left" w:pos="640"/>
          <w:tab w:val="left" w:pos="1260"/>
          <w:tab w:val="left" w:pos="1418"/>
        </w:tabs>
        <w:spacing w:line="360" w:lineRule="auto"/>
        <w:rPr>
          <w:rFonts w:ascii="宋体" w:hAnsi="宋体" w:cs="宋体"/>
          <w:sz w:val="24"/>
          <w:lang w:val="fr-CH"/>
        </w:rPr>
      </w:pPr>
    </w:p>
    <w:p>
      <w:pPr>
        <w:numPr>
          <w:ilvl w:val="0"/>
          <w:numId w:val="1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9"/>
        <w:spacing w:line="360" w:lineRule="auto"/>
        <w:jc w:val="center"/>
        <w:rPr>
          <w:rFonts w:hAnsi="宋体" w:cs="宋体"/>
          <w:b/>
          <w:bCs/>
          <w:sz w:val="24"/>
        </w:rPr>
      </w:pPr>
      <w:r>
        <w:rPr>
          <w:rFonts w:hint="eastAsia" w:hAnsi="宋体" w:cs="宋体"/>
          <w:b/>
          <w:bCs/>
          <w:sz w:val="24"/>
        </w:rPr>
        <w:t>供应商基本情况一览表</w:t>
      </w:r>
    </w:p>
    <w:p>
      <w:pPr>
        <w:pStyle w:val="9"/>
        <w:spacing w:line="360" w:lineRule="auto"/>
        <w:ind w:firstLine="420"/>
        <w:rPr>
          <w:rFonts w:hAnsi="宋体" w:cs="宋体"/>
          <w:sz w:val="24"/>
        </w:rPr>
      </w:pPr>
      <w:r>
        <w:rPr>
          <w:rFonts w:hint="eastAsia" w:hAnsi="宋体" w:cs="宋体"/>
          <w:sz w:val="24"/>
        </w:rPr>
        <w:t>1．名称及概况：</w:t>
      </w:r>
    </w:p>
    <w:p>
      <w:pPr>
        <w:pStyle w:val="9"/>
        <w:spacing w:line="360" w:lineRule="auto"/>
        <w:ind w:firstLine="420"/>
        <w:rPr>
          <w:rFonts w:hAnsi="宋体" w:cs="宋体"/>
          <w:sz w:val="24"/>
        </w:rPr>
      </w:pPr>
      <w:r>
        <w:rPr>
          <w:rFonts w:hint="eastAsia" w:hAnsi="宋体" w:cs="宋体"/>
          <w:sz w:val="24"/>
        </w:rPr>
        <w:t>（1）供应商名称：_______________________________________</w:t>
      </w:r>
    </w:p>
    <w:p>
      <w:pPr>
        <w:pStyle w:val="9"/>
        <w:spacing w:line="360" w:lineRule="auto"/>
        <w:ind w:firstLine="420"/>
        <w:rPr>
          <w:rFonts w:hAnsi="宋体" w:cs="宋体"/>
          <w:sz w:val="24"/>
        </w:rPr>
      </w:pPr>
      <w:r>
        <w:rPr>
          <w:rFonts w:hint="eastAsia" w:hAnsi="宋体" w:cs="宋体"/>
          <w:sz w:val="24"/>
        </w:rPr>
        <w:t>（2）地址：______________________________________________</w:t>
      </w:r>
    </w:p>
    <w:p>
      <w:pPr>
        <w:pStyle w:val="9"/>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9"/>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9"/>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9"/>
        <w:spacing w:line="360" w:lineRule="auto"/>
        <w:ind w:firstLine="420"/>
        <w:rPr>
          <w:rFonts w:hAnsi="宋体" w:cs="宋体"/>
          <w:sz w:val="24"/>
        </w:rPr>
      </w:pPr>
      <w:r>
        <w:rPr>
          <w:rFonts w:hint="eastAsia" w:hAnsi="宋体" w:cs="宋体"/>
          <w:sz w:val="24"/>
        </w:rPr>
        <w:t>（3）成立和／或注册日期：_________________________________</w:t>
      </w:r>
    </w:p>
    <w:p>
      <w:pPr>
        <w:pStyle w:val="9"/>
        <w:spacing w:line="360" w:lineRule="auto"/>
        <w:ind w:firstLine="420"/>
        <w:rPr>
          <w:rFonts w:hAnsi="宋体" w:cs="宋体"/>
          <w:sz w:val="24"/>
        </w:rPr>
      </w:pPr>
      <w:r>
        <w:rPr>
          <w:rFonts w:hint="eastAsia" w:hAnsi="宋体" w:cs="宋体"/>
          <w:sz w:val="24"/>
        </w:rPr>
        <w:t>（4）法人代表：___________________________________________</w:t>
      </w:r>
    </w:p>
    <w:p>
      <w:pPr>
        <w:pStyle w:val="9"/>
        <w:spacing w:line="360" w:lineRule="auto"/>
        <w:ind w:firstLine="420"/>
        <w:rPr>
          <w:rFonts w:hAnsi="宋体" w:cs="宋体"/>
          <w:sz w:val="24"/>
        </w:rPr>
      </w:pPr>
      <w:r>
        <w:rPr>
          <w:rFonts w:hint="eastAsia" w:hAnsi="宋体" w:cs="宋体"/>
          <w:sz w:val="24"/>
        </w:rPr>
        <w:t>（5）开户银行：___________________________________________</w:t>
      </w:r>
    </w:p>
    <w:p>
      <w:pPr>
        <w:pStyle w:val="9"/>
        <w:spacing w:line="360" w:lineRule="auto"/>
        <w:ind w:firstLine="420"/>
        <w:rPr>
          <w:rFonts w:hAnsi="宋体" w:cs="宋体"/>
          <w:sz w:val="24"/>
        </w:rPr>
      </w:pPr>
      <w:r>
        <w:rPr>
          <w:rFonts w:hint="eastAsia" w:hAnsi="宋体" w:cs="宋体"/>
          <w:sz w:val="24"/>
        </w:rPr>
        <w:t>（6）开户账号：___________________________________________</w:t>
      </w:r>
    </w:p>
    <w:p>
      <w:pPr>
        <w:pStyle w:val="9"/>
        <w:spacing w:line="360" w:lineRule="auto"/>
        <w:ind w:firstLine="420"/>
        <w:rPr>
          <w:rFonts w:hAnsi="宋体" w:cs="宋体"/>
          <w:sz w:val="24"/>
        </w:rPr>
      </w:pPr>
      <w:r>
        <w:rPr>
          <w:rFonts w:hint="eastAsia" w:hAnsi="宋体" w:cs="宋体"/>
          <w:sz w:val="24"/>
        </w:rPr>
        <w:t>（7）注册资金：___________________________________________</w:t>
      </w:r>
    </w:p>
    <w:p>
      <w:pPr>
        <w:pStyle w:val="9"/>
        <w:spacing w:line="360" w:lineRule="auto"/>
        <w:ind w:firstLine="420"/>
        <w:rPr>
          <w:rFonts w:hAnsi="宋体" w:cs="宋体"/>
          <w:sz w:val="24"/>
        </w:rPr>
      </w:pPr>
      <w:r>
        <w:rPr>
          <w:rFonts w:hint="eastAsia" w:hAnsi="宋体" w:cs="宋体"/>
          <w:sz w:val="24"/>
        </w:rPr>
        <w:t>（8）近两年财务基本情况</w:t>
      </w:r>
    </w:p>
    <w:p>
      <w:pPr>
        <w:pStyle w:val="9"/>
        <w:spacing w:line="360" w:lineRule="auto"/>
        <w:ind w:firstLine="420"/>
        <w:rPr>
          <w:rFonts w:hAnsi="宋体" w:cs="宋体"/>
          <w:sz w:val="24"/>
        </w:rPr>
      </w:pPr>
      <w:r>
        <w:rPr>
          <w:rFonts w:hint="eastAsia" w:hAnsi="宋体" w:cs="宋体"/>
          <w:sz w:val="24"/>
        </w:rPr>
        <w:t xml:space="preserve">    ①货币资金期末数：_____________________________________</w:t>
      </w:r>
    </w:p>
    <w:p>
      <w:pPr>
        <w:pStyle w:val="9"/>
        <w:spacing w:line="360" w:lineRule="auto"/>
        <w:ind w:firstLine="420"/>
        <w:rPr>
          <w:rFonts w:hAnsi="宋体" w:cs="宋体"/>
          <w:sz w:val="24"/>
        </w:rPr>
      </w:pPr>
      <w:r>
        <w:rPr>
          <w:rFonts w:hint="eastAsia" w:hAnsi="宋体" w:cs="宋体"/>
          <w:sz w:val="24"/>
        </w:rPr>
        <w:t xml:space="preserve">    ③年营业总额（值）：___________________________________</w:t>
      </w:r>
    </w:p>
    <w:p>
      <w:pPr>
        <w:pStyle w:val="9"/>
        <w:spacing w:line="360" w:lineRule="auto"/>
        <w:ind w:firstLine="420"/>
        <w:rPr>
          <w:rFonts w:hAnsi="宋体" w:cs="宋体"/>
          <w:sz w:val="24"/>
        </w:rPr>
      </w:pPr>
      <w:r>
        <w:rPr>
          <w:rFonts w:hint="eastAsia" w:hAnsi="宋体" w:cs="宋体"/>
          <w:sz w:val="24"/>
        </w:rPr>
        <w:t xml:space="preserve">    ③资产负债率：_________________________________________</w:t>
      </w:r>
    </w:p>
    <w:p>
      <w:pPr>
        <w:pStyle w:val="9"/>
        <w:spacing w:line="360" w:lineRule="auto"/>
        <w:ind w:firstLine="420"/>
        <w:rPr>
          <w:rFonts w:hAnsi="宋体" w:cs="宋体"/>
          <w:sz w:val="24"/>
        </w:rPr>
      </w:pPr>
      <w:r>
        <w:rPr>
          <w:rFonts w:hint="eastAsia" w:hAnsi="宋体" w:cs="宋体"/>
          <w:sz w:val="24"/>
        </w:rPr>
        <w:t xml:space="preserve">    ④销售利润率：_________________________________________</w:t>
      </w:r>
    </w:p>
    <w:p>
      <w:pPr>
        <w:pStyle w:val="9"/>
        <w:spacing w:line="360" w:lineRule="auto"/>
        <w:ind w:firstLine="420"/>
        <w:rPr>
          <w:rFonts w:hAnsi="宋体" w:cs="宋体"/>
          <w:sz w:val="24"/>
        </w:rPr>
      </w:pPr>
      <w:r>
        <w:rPr>
          <w:rFonts w:hint="eastAsia" w:hAnsi="宋体" w:cs="宋体"/>
          <w:sz w:val="24"/>
        </w:rPr>
        <w:t xml:space="preserve">    ⑤资本收益率：_________________________________________</w:t>
      </w:r>
    </w:p>
    <w:p>
      <w:pPr>
        <w:pStyle w:val="9"/>
        <w:spacing w:line="360" w:lineRule="auto"/>
        <w:ind w:firstLine="420"/>
        <w:rPr>
          <w:rFonts w:hAnsi="宋体" w:cs="宋体"/>
          <w:sz w:val="24"/>
        </w:rPr>
      </w:pPr>
      <w:r>
        <w:rPr>
          <w:rFonts w:hint="eastAsia" w:hAnsi="宋体" w:cs="宋体"/>
          <w:sz w:val="24"/>
        </w:rPr>
        <w:t>（9）项目主要联系人（姓名、职务、通讯）：</w:t>
      </w:r>
    </w:p>
    <w:p>
      <w:pPr>
        <w:pStyle w:val="9"/>
        <w:spacing w:line="360" w:lineRule="auto"/>
        <w:rPr>
          <w:rFonts w:hAnsi="宋体" w:cs="宋体"/>
          <w:sz w:val="24"/>
        </w:rPr>
      </w:pPr>
      <w:r>
        <w:rPr>
          <w:rFonts w:hint="eastAsia" w:hAnsi="宋体" w:cs="宋体"/>
          <w:sz w:val="24"/>
        </w:rPr>
        <w:t>_____________________________________________________________________</w:t>
      </w:r>
    </w:p>
    <w:p>
      <w:pPr>
        <w:pStyle w:val="9"/>
        <w:spacing w:line="360" w:lineRule="auto"/>
        <w:ind w:firstLine="420"/>
        <w:rPr>
          <w:rFonts w:hAnsi="宋体" w:cs="宋体"/>
          <w:sz w:val="24"/>
        </w:rPr>
      </w:pPr>
      <w:r>
        <w:rPr>
          <w:rFonts w:hint="eastAsia" w:hAnsi="宋体" w:cs="宋体"/>
          <w:sz w:val="24"/>
        </w:rPr>
        <w:t>（10）公司概况；</w:t>
      </w:r>
    </w:p>
    <w:p>
      <w:pPr>
        <w:pStyle w:val="9"/>
        <w:spacing w:line="360" w:lineRule="auto"/>
        <w:ind w:firstLine="420"/>
        <w:rPr>
          <w:rFonts w:hAnsi="宋体" w:cs="宋体"/>
          <w:sz w:val="24"/>
        </w:rPr>
      </w:pPr>
      <w:r>
        <w:rPr>
          <w:rFonts w:hint="eastAsia" w:hAnsi="宋体" w:cs="宋体"/>
          <w:sz w:val="24"/>
        </w:rPr>
        <w:t>（11）公司组织机构；</w:t>
      </w:r>
    </w:p>
    <w:p>
      <w:pPr>
        <w:pStyle w:val="9"/>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2"/>
        <w:rPr>
          <w:lang w:val="fr-CH"/>
        </w:rPr>
      </w:pPr>
    </w:p>
    <w:p>
      <w:pPr>
        <w:tabs>
          <w:tab w:val="left" w:pos="640"/>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1"/>
        </w:numPr>
        <w:tabs>
          <w:tab w:val="left" w:pos="640"/>
        </w:tabs>
        <w:spacing w:line="360" w:lineRule="auto"/>
        <w:ind w:left="845" w:hanging="845"/>
        <w:rPr>
          <w:rFonts w:ascii="宋体" w:hAnsi="宋体" w:cs="宋体"/>
          <w:sz w:val="24"/>
        </w:rPr>
      </w:pPr>
      <w:r>
        <w:rPr>
          <w:rFonts w:hint="eastAsia" w:ascii="宋体" w:hAnsi="宋体" w:cs="宋体"/>
          <w:sz w:val="24"/>
        </w:rPr>
        <w:t>同类项目业绩情况；</w:t>
      </w:r>
    </w:p>
    <w:p>
      <w:pPr>
        <w:numPr>
          <w:ilvl w:val="0"/>
          <w:numId w:val="11"/>
        </w:numPr>
        <w:tabs>
          <w:tab w:val="left" w:pos="640"/>
        </w:tabs>
        <w:spacing w:line="360" w:lineRule="auto"/>
        <w:ind w:left="845" w:hanging="845"/>
        <w:rPr>
          <w:rFonts w:ascii="宋体" w:hAnsi="宋体" w:cs="宋体"/>
          <w:sz w:val="24"/>
        </w:rPr>
      </w:pPr>
      <w:r>
        <w:rPr>
          <w:rFonts w:hint="eastAsia" w:ascii="宋体" w:hAnsi="宋体" w:cs="宋体"/>
          <w:sz w:val="24"/>
        </w:rPr>
        <w:t>研究服务团队成员情况（含项目负责人）；</w:t>
      </w:r>
    </w:p>
    <w:p>
      <w:pPr>
        <w:numPr>
          <w:ilvl w:val="0"/>
          <w:numId w:val="11"/>
        </w:numPr>
        <w:tabs>
          <w:tab w:val="left" w:pos="640"/>
        </w:tabs>
        <w:spacing w:line="360" w:lineRule="auto"/>
        <w:ind w:left="845" w:hanging="845"/>
        <w:rPr>
          <w:rFonts w:ascii="宋体" w:hAnsi="宋体" w:cs="宋体"/>
          <w:sz w:val="24"/>
        </w:rPr>
      </w:pPr>
      <w:r>
        <w:rPr>
          <w:rFonts w:hint="eastAsia" w:ascii="宋体" w:hAnsi="宋体" w:cs="宋体"/>
          <w:sz w:val="24"/>
        </w:rPr>
        <w:t>服务响应时间；</w:t>
      </w:r>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1"/>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ascii="宋体" w:hAnsi="宋体" w:cs="宋体"/>
          <w:b/>
          <w:bCs/>
          <w:sz w:val="24"/>
        </w:rPr>
      </w:pPr>
      <w:r>
        <w:rPr>
          <w:rFonts w:hint="eastAsia" w:ascii="宋体" w:hAnsi="宋体" w:cs="宋体"/>
          <w:b/>
          <w:bCs/>
          <w:sz w:val="24"/>
        </w:rPr>
        <w:t>诚信声明与承诺</w:t>
      </w:r>
    </w:p>
    <w:p>
      <w:pPr>
        <w:spacing w:line="360" w:lineRule="auto"/>
        <w:rPr>
          <w:rFonts w:ascii="宋体" w:hAnsi="宋体" w:cs="宋体"/>
          <w:b/>
          <w:bCs/>
          <w:sz w:val="24"/>
        </w:rPr>
      </w:pPr>
      <w:r>
        <w:rPr>
          <w:rFonts w:hint="eastAsia" w:ascii="宋体" w:hAnsi="宋体" w:cs="宋体"/>
          <w:b/>
          <w:bCs/>
          <w:sz w:val="24"/>
        </w:rPr>
        <w:t>中国远东国际招标有限公司：</w:t>
      </w:r>
    </w:p>
    <w:p>
      <w:pPr>
        <w:spacing w:line="360" w:lineRule="auto"/>
        <w:ind w:firstLine="360" w:firstLineChars="150"/>
        <w:jc w:val="left"/>
        <w:rPr>
          <w:rFonts w:ascii="宋体" w:hAnsi="宋体" w:cs="宋体"/>
          <w:sz w:val="24"/>
        </w:rPr>
      </w:pPr>
      <w:r>
        <w:rPr>
          <w:rFonts w:hint="eastAsia" w:ascii="宋体" w:hAnsi="宋体" w:cs="宋体"/>
          <w:sz w:val="24"/>
        </w:rPr>
        <w:t>我公司（单位）参与贵代理机构组织的项目（项目编号：）投标，现就诚信作如下声明与承诺：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9"/>
        <w:spacing w:line="360" w:lineRule="auto"/>
        <w:jc w:val="left"/>
        <w:rPr>
          <w:rFonts w:hAnsi="宋体" w:cs="宋体"/>
          <w:sz w:val="24"/>
        </w:rPr>
      </w:pPr>
    </w:p>
    <w:p>
      <w:pPr>
        <w:pStyle w:val="9"/>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rPr>
          <w:lang w:val="fr-CH"/>
        </w:rPr>
      </w:pP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360" w:lineRule="auto"/>
        <w:ind w:left="420"/>
        <w:jc w:val="center"/>
        <w:outlineLvl w:val="3"/>
        <w:rPr>
          <w:rFonts w:ascii="宋体"/>
          <w:b/>
          <w:sz w:val="24"/>
        </w:rPr>
      </w:pPr>
      <w:r>
        <w:rPr>
          <w:rFonts w:hint="eastAsia" w:ascii="宋体"/>
          <w:b/>
          <w:sz w:val="24"/>
        </w:rPr>
        <w:t>政府采购违法行为风险知悉确认书</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b/>
                <w:bCs/>
                <w:sz w:val="24"/>
              </w:rPr>
            </w:pPr>
            <w:r>
              <w:rPr>
                <w:rFonts w:hint="eastAsia" w:ascii="宋体" w:hAnsi="宋体" w:cs="宋体"/>
                <w:b/>
                <w:bCs/>
                <w:sz w:val="24"/>
              </w:rPr>
              <w:t>序号</w:t>
            </w:r>
          </w:p>
        </w:tc>
        <w:tc>
          <w:tcPr>
            <w:tcW w:w="7607" w:type="dxa"/>
            <w:vAlign w:val="center"/>
          </w:tcPr>
          <w:p>
            <w:pPr>
              <w:jc w:val="center"/>
              <w:rPr>
                <w:rFonts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1</w:t>
            </w:r>
          </w:p>
        </w:tc>
        <w:tc>
          <w:tcPr>
            <w:tcW w:w="7607" w:type="dxa"/>
            <w:vAlign w:val="center"/>
          </w:tcPr>
          <w:p>
            <w:pPr>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2</w:t>
            </w:r>
          </w:p>
        </w:tc>
        <w:tc>
          <w:tcPr>
            <w:tcW w:w="7607" w:type="dxa"/>
            <w:vAlign w:val="center"/>
          </w:tcPr>
          <w:p>
            <w:pPr>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3</w:t>
            </w:r>
          </w:p>
        </w:tc>
        <w:tc>
          <w:tcPr>
            <w:tcW w:w="7607" w:type="dxa"/>
            <w:vAlign w:val="center"/>
          </w:tcPr>
          <w:p>
            <w:pPr>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4</w:t>
            </w:r>
          </w:p>
        </w:tc>
        <w:tc>
          <w:tcPr>
            <w:tcW w:w="7607" w:type="dxa"/>
            <w:vAlign w:val="center"/>
          </w:tcPr>
          <w:p>
            <w:pPr>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5</w:t>
            </w:r>
          </w:p>
        </w:tc>
        <w:tc>
          <w:tcPr>
            <w:tcW w:w="7607" w:type="dxa"/>
            <w:vAlign w:val="center"/>
          </w:tcPr>
          <w:p>
            <w:pPr>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3840" w:firstLineChars="1600"/>
        <w:jc w:val="left"/>
        <w:rPr>
          <w:rFonts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ascii="宋体" w:hAnsi="宋体" w:cs="仿宋_GB2312"/>
          <w:kern w:val="0"/>
          <w:sz w:val="24"/>
        </w:rPr>
      </w:pPr>
      <w:r>
        <w:rPr>
          <w:rFonts w:hint="eastAsia" w:ascii="宋体" w:hAnsi="宋体" w:cs="仿宋_GB2312"/>
          <w:kern w:val="0"/>
          <w:sz w:val="24"/>
        </w:rPr>
        <w:t>知悉人（公章）：</w:t>
      </w:r>
    </w:p>
    <w:p>
      <w:pPr>
        <w:spacing w:line="360" w:lineRule="auto"/>
        <w:jc w:val="right"/>
        <w:rPr>
          <w:rFonts w:ascii="宋体" w:hAnsi="宋体" w:cs="宋体"/>
          <w:sz w:val="24"/>
        </w:rPr>
      </w:pPr>
      <w:r>
        <w:rPr>
          <w:rFonts w:hint="eastAsia" w:ascii="宋体" w:hAnsi="宋体" w:cs="仿宋_GB2312"/>
          <w:kern w:val="0"/>
          <w:sz w:val="24"/>
        </w:rPr>
        <w:t>日期： 202  年   月   日</w:t>
      </w:r>
      <w:r>
        <w:rPr>
          <w:rFonts w:hint="eastAsia" w:ascii="宋体" w:hAnsi="宋体" w:cs="宋体"/>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p>
    <w:p>
      <w:pPr>
        <w:keepNext/>
        <w:keepLines/>
        <w:jc w:val="center"/>
        <w:outlineLvl w:val="4"/>
        <w:rPr>
          <w:rFonts w:ascii="宋体" w:hAnsi="宋体" w:cs="宋体"/>
          <w:bCs/>
          <w:kern w:val="44"/>
          <w:sz w:val="24"/>
        </w:rPr>
      </w:pPr>
      <w:r>
        <w:rPr>
          <w:rFonts w:hint="eastAsia" w:ascii="宋体" w:hAnsi="宋体" w:cs="宋体"/>
          <w:b/>
          <w:bCs/>
          <w:sz w:val="24"/>
        </w:rPr>
        <w:t>①中小企业声明函（工程、服务）</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w:t>
      </w:r>
    </w:p>
    <w:p>
      <w:pPr>
        <w:widowControl/>
        <w:ind w:firstLine="480" w:firstLineChars="200"/>
        <w:textAlignment w:val="baseline"/>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sz w:val="24"/>
        </w:rPr>
      </w:pPr>
      <w:r>
        <w:rPr>
          <w:rFonts w:hint="eastAsia" w:ascii="宋体" w:hAnsi="宋体" w:cs="宋体"/>
          <w:sz w:val="24"/>
        </w:rPr>
        <w:t>本企业对上述声明内容的真实性负责。如有虚假，将依法承担相应责任。</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企业名称（盖章）</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日期：</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p>
    <w:p>
      <w:pPr>
        <w:jc w:val="left"/>
        <w:rPr>
          <w:rFonts w:ascii="宋体" w:hAnsi="宋体" w:cs="宋体"/>
          <w:b/>
          <w:bCs/>
          <w:sz w:val="24"/>
        </w:rPr>
      </w:pPr>
      <w:r>
        <w:rPr>
          <w:rFonts w:hint="eastAsia" w:ascii="宋体" w:hAnsi="宋体" w:cs="宋体"/>
          <w:b/>
          <w:bCs/>
          <w:sz w:val="24"/>
        </w:rPr>
        <w:t>注意事项：</w:t>
      </w:r>
    </w:p>
    <w:p>
      <w:pPr>
        <w:ind w:firstLine="482" w:firstLineChars="200"/>
        <w:jc w:val="left"/>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ind w:firstLine="482" w:firstLineChars="200"/>
        <w:jc w:val="left"/>
        <w:rPr>
          <w:rFonts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ind w:firstLine="480" w:firstLineChars="200"/>
        <w:rPr>
          <w:rFonts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rPr>
          <w:rFonts w:ascii="宋体" w:hAnsi="宋体" w:cs="宋体"/>
          <w:sz w:val="24"/>
        </w:rPr>
      </w:pPr>
    </w:p>
    <w:p>
      <w:pPr>
        <w:ind w:firstLine="480" w:firstLineChars="200"/>
        <w:rPr>
          <w:rFonts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620" w:lineRule="exact"/>
        <w:ind w:firstLine="480" w:firstLineChars="200"/>
        <w:rPr>
          <w:rFonts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ascii="宋体" w:hAnsi="宋体" w:cs="宋体"/>
          <w:spacing w:val="6"/>
          <w:sz w:val="24"/>
        </w:rPr>
      </w:pPr>
    </w:p>
    <w:p>
      <w:pPr>
        <w:spacing w:line="620" w:lineRule="exact"/>
        <w:ind w:firstLine="504" w:firstLineChars="200"/>
        <w:rPr>
          <w:rFonts w:ascii="宋体" w:hAnsi="宋体" w:cs="宋体"/>
          <w:spacing w:val="6"/>
          <w:sz w:val="24"/>
        </w:rPr>
      </w:pPr>
    </w:p>
    <w:p>
      <w:pPr>
        <w:tabs>
          <w:tab w:val="left" w:pos="4860"/>
        </w:tabs>
        <w:spacing w:line="62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29"/>
          <w:rFonts w:ascii="宋体" w:hAnsi="宋体" w:cs="宋体"/>
          <w:sz w:val="24"/>
        </w:rPr>
      </w:pPr>
      <w:r>
        <w:rPr>
          <w:rFonts w:hint="eastAsia" w:ascii="宋体" w:hAnsi="宋体" w:cs="宋体"/>
          <w:spacing w:val="6"/>
          <w:sz w:val="24"/>
        </w:rPr>
        <w:t xml:space="preserve">                        日  期：</w:t>
      </w:r>
    </w:p>
    <w:p>
      <w:pPr>
        <w:snapToGrid w:val="0"/>
        <w:spacing w:line="360" w:lineRule="auto"/>
        <w:ind w:firstLine="480" w:firstLineChars="200"/>
        <w:jc w:val="left"/>
        <w:textAlignment w:val="baseline"/>
        <w:rPr>
          <w:rStyle w:val="29"/>
          <w:rFonts w:ascii="宋体" w:hAnsi="宋体" w:cs="宋体"/>
          <w:sz w:val="24"/>
        </w:rPr>
      </w:pPr>
    </w:p>
    <w:p>
      <w:pPr>
        <w:snapToGrid w:val="0"/>
        <w:spacing w:line="360" w:lineRule="auto"/>
        <w:ind w:firstLine="482" w:firstLineChars="200"/>
        <w:jc w:val="left"/>
        <w:textAlignment w:val="baseline"/>
        <w:rPr>
          <w:rStyle w:val="29"/>
          <w:rFonts w:ascii="宋体" w:hAnsi="宋体" w:cs="宋体"/>
          <w:b/>
          <w:sz w:val="24"/>
        </w:rPr>
      </w:pPr>
      <w:r>
        <w:rPr>
          <w:rStyle w:val="29"/>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9"/>
          <w:rFonts w:ascii="宋体" w:hAnsi="宋体" w:cs="宋体"/>
          <w:b/>
          <w:sz w:val="24"/>
        </w:rPr>
      </w:pPr>
      <w:r>
        <w:rPr>
          <w:rStyle w:val="29"/>
          <w:rFonts w:hint="eastAsia" w:ascii="宋体" w:hAnsi="宋体" w:cs="宋体"/>
          <w:b/>
          <w:sz w:val="24"/>
        </w:rPr>
        <w:br w:type="page"/>
      </w:r>
      <w:r>
        <w:rPr>
          <w:rStyle w:val="29"/>
          <w:rFonts w:hint="eastAsia" w:ascii="宋体" w:hAnsi="宋体" w:cs="宋体"/>
          <w:b/>
          <w:sz w:val="24"/>
        </w:rPr>
        <w:t>③监狱企业声明函</w:t>
      </w:r>
    </w:p>
    <w:p>
      <w:pPr>
        <w:snapToGrid w:val="0"/>
        <w:spacing w:line="620" w:lineRule="exact"/>
        <w:ind w:firstLine="504" w:firstLineChars="200"/>
        <w:textAlignment w:val="baseline"/>
        <w:rPr>
          <w:rStyle w:val="29"/>
          <w:rFonts w:ascii="宋体" w:hAnsi="宋体" w:cs="宋体"/>
          <w:spacing w:val="6"/>
          <w:sz w:val="24"/>
        </w:rPr>
      </w:pPr>
      <w:r>
        <w:rPr>
          <w:rStyle w:val="29"/>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29"/>
          <w:rFonts w:hint="eastAsia" w:ascii="宋体" w:hAnsi="宋体" w:cs="宋体"/>
          <w:spacing w:val="6"/>
          <w:sz w:val="24"/>
          <w:u w:val="single"/>
        </w:rPr>
        <w:t xml:space="preserve"> （采购单位名称） </w:t>
      </w:r>
      <w:r>
        <w:rPr>
          <w:rStyle w:val="29"/>
          <w:rFonts w:hint="eastAsia" w:ascii="宋体" w:hAnsi="宋体" w:cs="宋体"/>
          <w:spacing w:val="6"/>
          <w:sz w:val="24"/>
        </w:rPr>
        <w:t>单位的</w:t>
      </w:r>
      <w:r>
        <w:rPr>
          <w:rStyle w:val="29"/>
          <w:rFonts w:hint="eastAsia" w:ascii="宋体" w:hAnsi="宋体" w:cs="宋体"/>
          <w:spacing w:val="6"/>
          <w:sz w:val="24"/>
          <w:u w:val="single"/>
        </w:rPr>
        <w:t xml:space="preserve"> （采购项目名称） </w:t>
      </w:r>
      <w:r>
        <w:rPr>
          <w:rStyle w:val="29"/>
          <w:rFonts w:hint="eastAsia" w:ascii="宋体" w:hAnsi="宋体" w:cs="宋体"/>
          <w:spacing w:val="6"/>
          <w:sz w:val="24"/>
        </w:rPr>
        <w:t>项目采购</w:t>
      </w:r>
      <w:r>
        <w:rPr>
          <w:rStyle w:val="29"/>
          <w:rFonts w:hint="eastAsia" w:ascii="宋体" w:hAnsi="宋体" w:cs="宋体"/>
          <w:kern w:val="0"/>
          <w:sz w:val="24"/>
        </w:rPr>
        <w:t>活动，并提供：□本单位制造的货物；□由本单位承担的工程、提供服务；□提供其他监狱企业制造的货物（承诺人在□处打√）</w:t>
      </w:r>
      <w:r>
        <w:rPr>
          <w:rStyle w:val="29"/>
          <w:rFonts w:hint="eastAsia" w:ascii="宋体" w:hAnsi="宋体" w:cs="宋体"/>
          <w:spacing w:val="6"/>
          <w:sz w:val="24"/>
        </w:rPr>
        <w:t>。</w:t>
      </w:r>
      <w:r>
        <w:rPr>
          <w:rStyle w:val="29"/>
          <w:rFonts w:hint="eastAsia" w:ascii="宋体" w:hAnsi="宋体" w:cs="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29"/>
          <w:rFonts w:ascii="宋体" w:hAnsi="宋体" w:cs="宋体"/>
          <w:spacing w:val="6"/>
          <w:sz w:val="24"/>
        </w:rPr>
      </w:pPr>
      <w:r>
        <w:rPr>
          <w:rStyle w:val="29"/>
          <w:rFonts w:hint="eastAsia" w:ascii="宋体" w:hAnsi="宋体" w:cs="宋体"/>
          <w:spacing w:val="6"/>
          <w:sz w:val="24"/>
        </w:rPr>
        <w:t>本单位对上述声明的真实性负责。如有虚假，将依法承担相应责任。</w:t>
      </w:r>
    </w:p>
    <w:p>
      <w:pPr>
        <w:snapToGrid w:val="0"/>
        <w:spacing w:line="620" w:lineRule="exact"/>
        <w:ind w:firstLine="504" w:firstLineChars="200"/>
        <w:textAlignment w:val="baseline"/>
        <w:rPr>
          <w:rStyle w:val="29"/>
          <w:rFonts w:ascii="宋体" w:hAnsi="宋体" w:cs="宋体"/>
          <w:spacing w:val="6"/>
          <w:sz w:val="24"/>
        </w:rPr>
      </w:pPr>
      <w:r>
        <w:rPr>
          <w:rStyle w:val="29"/>
          <w:rFonts w:hint="eastAsia" w:ascii="宋体" w:hAnsi="宋体" w:cs="宋体"/>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29"/>
          <w:rFonts w:ascii="宋体" w:hAnsi="宋体" w:cs="宋体"/>
          <w:spacing w:val="6"/>
          <w:sz w:val="24"/>
        </w:rPr>
      </w:pPr>
    </w:p>
    <w:p>
      <w:pPr>
        <w:snapToGrid w:val="0"/>
        <w:spacing w:line="620" w:lineRule="exact"/>
        <w:ind w:firstLine="504" w:firstLineChars="200"/>
        <w:textAlignment w:val="baseline"/>
        <w:rPr>
          <w:rStyle w:val="29"/>
          <w:rFonts w:ascii="宋体" w:hAnsi="宋体" w:cs="宋体"/>
          <w:spacing w:val="6"/>
          <w:sz w:val="24"/>
        </w:rPr>
      </w:pPr>
    </w:p>
    <w:p>
      <w:pPr>
        <w:tabs>
          <w:tab w:val="left" w:pos="4860"/>
        </w:tabs>
        <w:snapToGrid w:val="0"/>
        <w:spacing w:line="620" w:lineRule="exact"/>
        <w:ind w:right="1560" w:firstLine="504" w:firstLineChars="200"/>
        <w:jc w:val="center"/>
        <w:textAlignment w:val="baseline"/>
        <w:rPr>
          <w:rStyle w:val="29"/>
          <w:rFonts w:ascii="宋体" w:hAnsi="宋体" w:cs="宋体"/>
          <w:spacing w:val="6"/>
          <w:sz w:val="24"/>
        </w:rPr>
      </w:pPr>
      <w:r>
        <w:rPr>
          <w:rStyle w:val="29"/>
          <w:rFonts w:hint="eastAsia" w:ascii="宋体" w:hAnsi="宋体" w:cs="宋体"/>
          <w:spacing w:val="6"/>
          <w:sz w:val="24"/>
        </w:rPr>
        <w:t xml:space="preserve">               单位名称（盖章）：</w:t>
      </w:r>
    </w:p>
    <w:p>
      <w:pPr>
        <w:tabs>
          <w:tab w:val="left" w:pos="640"/>
          <w:tab w:val="left" w:pos="840"/>
          <w:tab w:val="left" w:pos="1260"/>
          <w:tab w:val="left" w:pos="1418"/>
        </w:tabs>
        <w:spacing w:line="360" w:lineRule="auto"/>
        <w:rPr>
          <w:rFonts w:ascii="宋体" w:hAnsi="宋体" w:cs="宋体"/>
          <w:spacing w:val="6"/>
          <w:sz w:val="24"/>
        </w:rPr>
      </w:pPr>
      <w:r>
        <w:rPr>
          <w:rStyle w:val="29"/>
          <w:rFonts w:hint="eastAsia" w:ascii="宋体" w:hAnsi="宋体" w:cs="宋体"/>
          <w:spacing w:val="6"/>
          <w:sz w:val="24"/>
        </w:rPr>
        <w:t xml:space="preserve">                          日  期</w:t>
      </w:r>
      <w:r>
        <w:rPr>
          <w:rFonts w:hint="eastAsia" w:ascii="宋体" w:hAnsi="宋体" w:cs="宋体"/>
          <w:spacing w:val="6"/>
          <w:sz w:val="24"/>
        </w:rPr>
        <w:t>：</w:t>
      </w:r>
    </w:p>
    <w:p>
      <w:r>
        <w:rPr>
          <w:rFonts w:hint="eastAsia" w:ascii="宋体" w:hAnsi="宋体" w:cs="宋体"/>
          <w:spacing w:val="6"/>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b/>
          <w:bCs/>
          <w:sz w:val="24"/>
        </w:rPr>
      </w:pPr>
      <w:r>
        <w:rPr>
          <w:rFonts w:hint="eastAsia" w:ascii="宋体" w:hAnsi="宋体" w:cs="宋体"/>
          <w:b/>
          <w:bCs/>
          <w:sz w:val="24"/>
        </w:rPr>
        <w:t>供应商基本情况表、社保证明及股权关系证明</w:t>
      </w:r>
    </w:p>
    <w:p>
      <w:pPr>
        <w:snapToGrid w:val="0"/>
        <w:rPr>
          <w:rFonts w:ascii="宋体" w:hAnsi="宋体" w:cs="宋体"/>
          <w:b/>
          <w:sz w:val="24"/>
          <w:highlight w:val="yellow"/>
        </w:rPr>
      </w:pPr>
      <w:r>
        <w:rPr>
          <w:rFonts w:hint="eastAsia" w:ascii="宋体" w:hAnsi="宋体" w:cs="宋体"/>
          <w:b/>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ascii="宋体" w:hAnsi="宋体" w:cs="宋体"/>
          <w:b/>
          <w:sz w:val="24"/>
        </w:rPr>
      </w:pPr>
    </w:p>
    <w:p>
      <w:pPr>
        <w:snapToGrid w:val="0"/>
        <w:rPr>
          <w:rFonts w:ascii="宋体" w:hAnsi="宋体" w:cs="宋体"/>
          <w:b/>
          <w:sz w:val="28"/>
          <w:szCs w:val="28"/>
        </w:rPr>
      </w:pPr>
      <w:r>
        <w:rPr>
          <w:rFonts w:hint="eastAsia" w:ascii="宋体" w:hAnsi="宋体" w:cs="宋体"/>
          <w:b/>
          <w:sz w:val="28"/>
          <w:szCs w:val="28"/>
        </w:rPr>
        <w:t>1.《供应商基本情况表》</w:t>
      </w:r>
    </w:p>
    <w:p>
      <w:pPr>
        <w:adjustRightInd w:val="0"/>
        <w:snapToGrid w:val="0"/>
        <w:jc w:val="left"/>
        <w:rPr>
          <w:rFonts w:ascii="宋体" w:hAnsi="宋体" w:cs="宋体"/>
          <w:sz w:val="24"/>
        </w:rPr>
      </w:pPr>
      <w:r>
        <w:rPr>
          <w:rFonts w:hint="eastAsia" w:ascii="宋体" w:hAnsi="宋体" w:cs="宋体"/>
          <w:sz w:val="24"/>
        </w:rPr>
        <w:t>填表单位（</w:t>
      </w:r>
      <w:r>
        <w:rPr>
          <w:rFonts w:hint="eastAsia" w:ascii="宋体" w:hAnsi="宋体" w:cs="宋体"/>
          <w:b/>
          <w:bCs/>
          <w:sz w:val="24"/>
        </w:rPr>
        <w:t>加盖单位公章，必填项</w:t>
      </w:r>
      <w:r>
        <w:rPr>
          <w:rFonts w:hint="eastAsia" w:ascii="宋体" w:hAnsi="宋体" w:cs="宋体"/>
          <w:sz w:val="24"/>
        </w:rPr>
        <w:t>）：</w:t>
      </w:r>
    </w:p>
    <w:p>
      <w:pPr>
        <w:adjustRightInd w:val="0"/>
        <w:snapToGrid w:val="0"/>
        <w:jc w:val="left"/>
        <w:rPr>
          <w:rFonts w:ascii="宋体" w:hAnsi="宋体" w:cs="宋体"/>
          <w:sz w:val="24"/>
        </w:rPr>
      </w:pPr>
      <w:r>
        <w:rPr>
          <w:rFonts w:hint="eastAsia" w:ascii="宋体" w:hAnsi="宋体" w:cs="宋体"/>
          <w:sz w:val="24"/>
        </w:rPr>
        <w:t>填表日期（</w:t>
      </w:r>
      <w:r>
        <w:rPr>
          <w:rFonts w:hint="eastAsia" w:ascii="宋体" w:hAnsi="宋体" w:cs="宋体"/>
          <w:b/>
          <w:bCs/>
          <w:sz w:val="24"/>
        </w:rPr>
        <w:t>必填项</w:t>
      </w:r>
      <w:r>
        <w:rPr>
          <w:rFonts w:hint="eastAsia" w:ascii="宋体" w:hAnsi="宋体" w:cs="宋体"/>
          <w:sz w:val="24"/>
        </w:rPr>
        <w:t>）：        年     月      日</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ascii="宋体" w:hAnsi="宋体" w:cs="宋体"/>
                <w:bCs/>
                <w:sz w:val="24"/>
              </w:rPr>
            </w:pPr>
            <w:r>
              <w:rPr>
                <w:rFonts w:hint="eastAsia" w:ascii="宋体" w:hAnsi="宋体" w:cs="宋体"/>
                <w:bCs/>
                <w:sz w:val="24"/>
              </w:rPr>
              <w:t>采购人</w:t>
            </w:r>
          </w:p>
        </w:tc>
        <w:tc>
          <w:tcPr>
            <w:tcW w:w="1406" w:type="pct"/>
            <w:gridSpan w:val="2"/>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r>
              <w:rPr>
                <w:rFonts w:hint="eastAsia" w:ascii="宋体" w:hAnsi="宋体" w:cs="宋体"/>
                <w:bCs/>
                <w:sz w:val="24"/>
              </w:rPr>
              <w:t>项目名称</w:t>
            </w:r>
          </w:p>
        </w:tc>
        <w:tc>
          <w:tcPr>
            <w:tcW w:w="1656" w:type="pct"/>
            <w:gridSpan w:val="2"/>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ascii="宋体" w:hAnsi="宋体" w:cs="宋体"/>
                <w:bCs/>
                <w:sz w:val="24"/>
              </w:rPr>
            </w:pPr>
            <w:r>
              <w:rPr>
                <w:rFonts w:hint="eastAsia" w:ascii="宋体" w:hAnsi="宋体" w:cs="宋体"/>
                <w:bCs/>
                <w:sz w:val="24"/>
              </w:rPr>
              <w:t>投标（响应）供应商</w:t>
            </w:r>
          </w:p>
        </w:tc>
        <w:tc>
          <w:tcPr>
            <w:tcW w:w="1406" w:type="pct"/>
            <w:gridSpan w:val="2"/>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r>
              <w:rPr>
                <w:rFonts w:hint="eastAsia" w:ascii="宋体" w:hAnsi="宋体" w:cs="宋体"/>
                <w:bCs/>
                <w:sz w:val="24"/>
              </w:rPr>
              <w:t>供应商统一社会信用代码</w:t>
            </w:r>
          </w:p>
        </w:tc>
        <w:tc>
          <w:tcPr>
            <w:tcW w:w="1656" w:type="pct"/>
            <w:gridSpan w:val="2"/>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ascii="宋体" w:hAnsi="宋体" w:cs="宋体"/>
                <w:b/>
                <w:sz w:val="24"/>
              </w:rPr>
            </w:pPr>
            <w:r>
              <w:rPr>
                <w:rFonts w:hint="eastAsia" w:ascii="宋体" w:hAnsi="宋体" w:cs="宋体"/>
                <w:b/>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序号</w:t>
            </w:r>
          </w:p>
        </w:tc>
        <w:tc>
          <w:tcPr>
            <w:tcW w:w="1223" w:type="pct"/>
            <w:gridSpan w:val="2"/>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职务</w:t>
            </w:r>
          </w:p>
        </w:tc>
        <w:tc>
          <w:tcPr>
            <w:tcW w:w="543"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姓名</w:t>
            </w:r>
          </w:p>
        </w:tc>
        <w:tc>
          <w:tcPr>
            <w:tcW w:w="1188" w:type="pct"/>
            <w:gridSpan w:val="2"/>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身份证号码</w:t>
            </w:r>
          </w:p>
        </w:tc>
        <w:tc>
          <w:tcPr>
            <w:tcW w:w="821"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劳动合同</w:t>
            </w:r>
          </w:p>
          <w:p>
            <w:pPr>
              <w:widowControl/>
              <w:snapToGrid w:val="0"/>
              <w:jc w:val="center"/>
              <w:rPr>
                <w:rFonts w:ascii="宋体" w:hAnsi="宋体" w:cs="宋体"/>
                <w:bCs/>
                <w:sz w:val="24"/>
              </w:rPr>
            </w:pPr>
            <w:r>
              <w:rPr>
                <w:rFonts w:hint="eastAsia" w:ascii="宋体" w:hAnsi="宋体" w:cs="宋体"/>
                <w:bCs/>
                <w:sz w:val="24"/>
              </w:rPr>
              <w:t>关系单位</w:t>
            </w:r>
          </w:p>
        </w:tc>
        <w:tc>
          <w:tcPr>
            <w:tcW w:w="835"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缴纳社会</w:t>
            </w:r>
          </w:p>
          <w:p>
            <w:pPr>
              <w:widowControl/>
              <w:snapToGrid w:val="0"/>
              <w:jc w:val="center"/>
              <w:rPr>
                <w:rFonts w:ascii="宋体" w:hAnsi="宋体" w:cs="宋体"/>
                <w:bCs/>
                <w:sz w:val="24"/>
              </w:rPr>
            </w:pPr>
            <w:r>
              <w:rPr>
                <w:rFonts w:hint="eastAsia" w:ascii="宋体" w:hAnsi="宋体" w:cs="宋体"/>
                <w:bCs/>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3</w:t>
            </w:r>
          </w:p>
        </w:tc>
        <w:tc>
          <w:tcPr>
            <w:tcW w:w="1223" w:type="pct"/>
            <w:gridSpan w:val="2"/>
            <w:tcBorders>
              <w:top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项目负责人（如有）</w:t>
            </w:r>
          </w:p>
        </w:tc>
        <w:tc>
          <w:tcPr>
            <w:tcW w:w="543" w:type="pct"/>
            <w:tcBorders>
              <w:top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ascii="宋体" w:hAnsi="宋体" w:cs="宋体"/>
                <w:bCs/>
                <w:sz w:val="24"/>
              </w:rPr>
            </w:pPr>
            <w:r>
              <w:rPr>
                <w:rFonts w:hint="eastAsia" w:ascii="宋体" w:hAnsi="宋体" w:cs="宋体"/>
                <w:bCs/>
                <w:sz w:val="24"/>
              </w:rPr>
              <w:t>4</w:t>
            </w:r>
          </w:p>
        </w:tc>
        <w:tc>
          <w:tcPr>
            <w:tcW w:w="1223" w:type="pct"/>
            <w:gridSpan w:val="2"/>
            <w:vAlign w:val="center"/>
          </w:tcPr>
          <w:p>
            <w:pPr>
              <w:widowControl/>
              <w:snapToGrid w:val="0"/>
              <w:jc w:val="center"/>
              <w:rPr>
                <w:rFonts w:ascii="宋体" w:hAnsi="宋体" w:cs="宋体"/>
                <w:bCs/>
                <w:sz w:val="24"/>
              </w:rPr>
            </w:pPr>
            <w:r>
              <w:rPr>
                <w:rFonts w:hint="eastAsia" w:ascii="宋体" w:hAnsi="宋体" w:cs="宋体"/>
                <w:bCs/>
                <w:sz w:val="24"/>
              </w:rPr>
              <w:t>主要技术人员（如有）</w:t>
            </w:r>
          </w:p>
        </w:tc>
        <w:tc>
          <w:tcPr>
            <w:tcW w:w="543" w:type="pct"/>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p>
        </w:tc>
        <w:tc>
          <w:tcPr>
            <w:tcW w:w="821" w:type="pct"/>
            <w:vAlign w:val="center"/>
          </w:tcPr>
          <w:p>
            <w:pPr>
              <w:widowControl/>
              <w:snapToGrid w:val="0"/>
              <w:jc w:val="center"/>
              <w:rPr>
                <w:rFonts w:ascii="宋体" w:hAnsi="宋体" w:cs="宋体"/>
                <w:bCs/>
                <w:sz w:val="24"/>
              </w:rPr>
            </w:pPr>
          </w:p>
        </w:tc>
        <w:tc>
          <w:tcPr>
            <w:tcW w:w="835" w:type="pct"/>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ascii="宋体" w:hAnsi="宋体" w:cs="宋体"/>
                <w:bCs/>
                <w:sz w:val="24"/>
              </w:rPr>
            </w:pPr>
            <w:r>
              <w:rPr>
                <w:rFonts w:hint="eastAsia" w:ascii="宋体" w:hAnsi="宋体" w:cs="宋体"/>
                <w:bCs/>
                <w:sz w:val="24"/>
              </w:rPr>
              <w:t>5</w:t>
            </w:r>
          </w:p>
        </w:tc>
        <w:tc>
          <w:tcPr>
            <w:tcW w:w="1223" w:type="pct"/>
            <w:gridSpan w:val="2"/>
            <w:vAlign w:val="center"/>
          </w:tcPr>
          <w:p>
            <w:pPr>
              <w:widowControl/>
              <w:snapToGrid w:val="0"/>
              <w:jc w:val="center"/>
              <w:rPr>
                <w:rFonts w:ascii="宋体" w:hAnsi="宋体" w:cs="宋体"/>
                <w:bCs/>
                <w:sz w:val="24"/>
              </w:rPr>
            </w:pPr>
            <w:r>
              <w:rPr>
                <w:rFonts w:hint="eastAsia" w:ascii="宋体" w:hAnsi="宋体" w:cs="宋体"/>
                <w:b/>
                <w:sz w:val="24"/>
              </w:rPr>
              <w:t>投标文件编制人员（必填项）</w:t>
            </w:r>
          </w:p>
        </w:tc>
        <w:tc>
          <w:tcPr>
            <w:tcW w:w="543" w:type="pct"/>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p>
        </w:tc>
        <w:tc>
          <w:tcPr>
            <w:tcW w:w="821" w:type="pct"/>
            <w:vAlign w:val="center"/>
          </w:tcPr>
          <w:p>
            <w:pPr>
              <w:widowControl/>
              <w:snapToGrid w:val="0"/>
              <w:jc w:val="center"/>
              <w:rPr>
                <w:rFonts w:ascii="宋体" w:hAnsi="宋体" w:cs="宋体"/>
                <w:bCs/>
                <w:sz w:val="24"/>
              </w:rPr>
            </w:pPr>
          </w:p>
        </w:tc>
        <w:tc>
          <w:tcPr>
            <w:tcW w:w="835" w:type="pct"/>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ascii="宋体" w:hAnsi="宋体" w:cs="宋体"/>
                <w:b/>
                <w:sz w:val="24"/>
              </w:rPr>
            </w:pPr>
            <w:r>
              <w:rPr>
                <w:rFonts w:hint="eastAsia" w:ascii="宋体" w:hAnsi="宋体" w:cs="宋体"/>
                <w:b/>
                <w:sz w:val="24"/>
              </w:rPr>
              <w:t>说明：1.同一职务有多人担任（如主要技术人员），应分行填写。</w:t>
            </w:r>
          </w:p>
          <w:p>
            <w:pPr>
              <w:pStyle w:val="6"/>
              <w:ind w:firstLine="723" w:firstLineChars="300"/>
              <w:rPr>
                <w:rFonts w:ascii="宋体" w:hAnsi="宋体" w:cs="宋体"/>
                <w:b/>
                <w:sz w:val="24"/>
                <w:szCs w:val="24"/>
              </w:rPr>
            </w:pPr>
            <w:r>
              <w:rPr>
                <w:rFonts w:hint="eastAsia" w:ascii="宋体" w:hAnsi="宋体" w:cs="宋体"/>
                <w:b/>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ascii="宋体" w:hAnsi="宋体" w:cs="宋体"/>
                <w:b/>
                <w:sz w:val="24"/>
              </w:rPr>
            </w:pPr>
            <w:r>
              <w:rPr>
                <w:rFonts w:hint="eastAsia" w:ascii="宋体" w:hAnsi="宋体" w:cs="宋体"/>
                <w:b/>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rPr>
            </w:pPr>
            <w:r>
              <w:rPr>
                <w:rFonts w:hint="eastAsia" w:ascii="宋体" w:hAnsi="宋体" w:cs="宋体"/>
                <w:bCs/>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ascii="宋体" w:hAnsi="宋体" w:cs="宋体"/>
                <w:bCs/>
                <w:sz w:val="24"/>
              </w:rPr>
            </w:pPr>
            <w:r>
              <w:rPr>
                <w:rFonts w:hint="eastAsia" w:ascii="宋体" w:hAnsi="宋体" w:cs="宋体"/>
                <w:bCs/>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rPr>
            </w:pPr>
            <w:r>
              <w:rPr>
                <w:rFonts w:hint="eastAsia" w:ascii="宋体" w:hAnsi="宋体" w:cs="宋体"/>
                <w:bCs/>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
                <w:sz w:val="24"/>
              </w:rPr>
            </w:pPr>
            <w:r>
              <w:rPr>
                <w:rFonts w:hint="eastAsia" w:ascii="宋体" w:hAnsi="宋体" w:cs="宋体"/>
                <w:b/>
                <w:sz w:val="24"/>
              </w:rPr>
              <w:t>说明：</w:t>
            </w:r>
          </w:p>
          <w:p>
            <w:pPr>
              <w:widowControl/>
              <w:snapToGrid w:val="0"/>
              <w:rPr>
                <w:rFonts w:ascii="宋体" w:hAnsi="宋体" w:cs="宋体"/>
                <w:b/>
                <w:sz w:val="24"/>
              </w:rPr>
            </w:pPr>
            <w:r>
              <w:rPr>
                <w:rFonts w:hint="eastAsia" w:ascii="宋体" w:hAnsi="宋体" w:cs="宋体"/>
                <w:b/>
                <w:sz w:val="24"/>
              </w:rPr>
              <w:t>1.同一关联关系类型有多个主体的，应分行填写。</w:t>
            </w:r>
          </w:p>
          <w:p>
            <w:pPr>
              <w:pStyle w:val="6"/>
              <w:ind w:firstLine="0" w:firstLineChars="0"/>
              <w:rPr>
                <w:rFonts w:ascii="宋体" w:hAnsi="宋体" w:cs="宋体"/>
                <w:sz w:val="24"/>
                <w:szCs w:val="24"/>
              </w:rPr>
            </w:pPr>
            <w:r>
              <w:rPr>
                <w:rFonts w:hint="eastAsia" w:ascii="宋体" w:hAnsi="宋体" w:cs="宋体"/>
                <w:b/>
                <w:sz w:val="24"/>
                <w:szCs w:val="24"/>
              </w:rPr>
              <w:t>2.上述规定的控股、管理关系仅限于直接控股、直接管理关系，不包括间接的控股或管理关系。</w:t>
            </w:r>
          </w:p>
        </w:tc>
      </w:tr>
    </w:tbl>
    <w:p>
      <w:pPr>
        <w:snapToGrid w:val="0"/>
        <w:rPr>
          <w:rFonts w:ascii="宋体" w:hAnsi="宋体" w:cs="宋体"/>
          <w:b/>
          <w:sz w:val="24"/>
        </w:rPr>
      </w:pPr>
      <w:r>
        <w:rPr>
          <w:rFonts w:hint="eastAsia" w:ascii="宋体" w:hAnsi="宋体" w:cs="宋体"/>
          <w:b/>
          <w:sz w:val="24"/>
        </w:rPr>
        <w:t>备注：注明“必填项”的必须填写；未注明“必填项”的，如供应商未填写则视为未安排（或无）。</w:t>
      </w:r>
    </w:p>
    <w:p>
      <w:pPr>
        <w:widowControl/>
        <w:snapToGrid w:val="0"/>
        <w:rPr>
          <w:rFonts w:ascii="宋体" w:hAnsi="宋体" w:cs="宋体"/>
          <w:b/>
          <w:sz w:val="24"/>
        </w:rPr>
      </w:pPr>
    </w:p>
    <w:p>
      <w:pPr>
        <w:snapToGrid w:val="0"/>
        <w:rPr>
          <w:rFonts w:ascii="宋体" w:hAnsi="宋体" w:cs="宋体"/>
          <w:b/>
          <w:sz w:val="28"/>
          <w:szCs w:val="28"/>
        </w:rPr>
      </w:pPr>
      <w:r>
        <w:rPr>
          <w:rFonts w:hint="eastAsia" w:ascii="宋体" w:hAnsi="宋体" w:cs="宋体"/>
          <w:b/>
          <w:sz w:val="28"/>
          <w:szCs w:val="28"/>
        </w:rPr>
        <w:t>2.社保</w:t>
      </w:r>
      <w:bookmarkStart w:id="45" w:name="OLE_LINK9"/>
      <w:r>
        <w:rPr>
          <w:rFonts w:hint="eastAsia" w:ascii="宋体" w:hAnsi="宋体" w:cs="宋体"/>
          <w:b/>
          <w:sz w:val="28"/>
          <w:szCs w:val="28"/>
        </w:rPr>
        <w:t>证明</w:t>
      </w:r>
      <w:bookmarkEnd w:id="45"/>
      <w:r>
        <w:rPr>
          <w:rFonts w:hint="eastAsia" w:ascii="宋体" w:hAnsi="宋体" w:cs="宋体"/>
          <w:b/>
          <w:sz w:val="28"/>
          <w:szCs w:val="28"/>
        </w:rPr>
        <w:t>材料：</w:t>
      </w:r>
    </w:p>
    <w:p>
      <w:pPr>
        <w:widowControl/>
        <w:snapToGrid w:val="0"/>
        <w:rPr>
          <w:rFonts w:ascii="宋体" w:hAnsi="宋体" w:cs="宋体"/>
          <w:bCs/>
          <w:sz w:val="24"/>
        </w:rPr>
      </w:pPr>
      <w:r>
        <w:rPr>
          <w:rFonts w:hint="eastAsia" w:ascii="宋体" w:hAnsi="宋体" w:cs="宋体"/>
          <w:bCs/>
          <w:sz w:val="24"/>
        </w:rPr>
        <w:t>（1）法定代表人/单位负责人/主要经营负责人</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（2）投标授权代表人</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（3）项目负责人（如本项目未安排，可不提供）</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（4）主要技术人员（如本项目未安排，可不提供）</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numPr>
          <w:ilvl w:val="0"/>
          <w:numId w:val="13"/>
        </w:numPr>
        <w:snapToGrid w:val="0"/>
        <w:rPr>
          <w:rFonts w:ascii="宋体" w:hAnsi="宋体" w:cs="宋体"/>
          <w:bCs/>
          <w:sz w:val="24"/>
        </w:rPr>
      </w:pPr>
      <w:r>
        <w:rPr>
          <w:rFonts w:hint="eastAsia" w:ascii="宋体" w:hAnsi="宋体" w:cs="宋体"/>
          <w:bCs/>
          <w:sz w:val="24"/>
        </w:rPr>
        <w:t>投标文件编制人员</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sz w:val="24"/>
          <w:szCs w:val="24"/>
        </w:rPr>
      </w:pPr>
    </w:p>
    <w:p>
      <w:pPr>
        <w:widowControl/>
        <w:snapToGrid w:val="0"/>
        <w:rPr>
          <w:rFonts w:ascii="宋体" w:hAnsi="宋体" w:cs="宋体"/>
          <w:bCs/>
          <w:sz w:val="24"/>
        </w:rPr>
      </w:pPr>
      <w:r>
        <w:rPr>
          <w:rFonts w:hint="eastAsia" w:ascii="宋体" w:hAnsi="宋体" w:cs="宋体"/>
          <w:bCs/>
          <w:sz w:val="24"/>
        </w:rPr>
        <w:t>注：</w:t>
      </w:r>
    </w:p>
    <w:p>
      <w:pPr>
        <w:widowControl/>
        <w:snapToGrid w:val="0"/>
        <w:rPr>
          <w:rFonts w:ascii="宋体" w:hAnsi="宋体" w:cs="宋体"/>
          <w:bCs/>
          <w:sz w:val="24"/>
        </w:rPr>
      </w:pPr>
      <w:r>
        <w:rPr>
          <w:rFonts w:hint="eastAsia" w:ascii="宋体" w:hAnsi="宋体" w:cs="宋体"/>
          <w:bCs/>
          <w:sz w:val="24"/>
        </w:rPr>
        <w:t>1.如开标前近一个月的社保材料因社保部门原因暂时无法取得，则可以往前顺延一个月。其中项目负责人及主要技术人员社保证明须由供应商缴纳。</w:t>
      </w:r>
    </w:p>
    <w:p>
      <w:pPr>
        <w:widowControl/>
        <w:snapToGrid w:val="0"/>
        <w:rPr>
          <w:rFonts w:ascii="宋体" w:hAnsi="宋体" w:cs="宋体"/>
          <w:bCs/>
          <w:sz w:val="24"/>
        </w:rPr>
      </w:pPr>
      <w:r>
        <w:rPr>
          <w:rFonts w:hint="eastAsia" w:ascii="宋体" w:hAnsi="宋体" w:cs="宋体"/>
          <w:bCs/>
          <w:sz w:val="24"/>
        </w:rPr>
        <w:t>2.供应商的项目投标授权代表人与法定代表人为同一人的，则须提供法定代表人的社保证明；本项目未安排项目负责人的，则无须提供项目负责人的社保证明。</w:t>
      </w:r>
    </w:p>
    <w:p>
      <w:pPr>
        <w:widowControl/>
        <w:snapToGrid w:val="0"/>
        <w:rPr>
          <w:rFonts w:ascii="宋体" w:hAnsi="宋体" w:cs="宋体"/>
          <w:bCs/>
          <w:sz w:val="24"/>
        </w:rPr>
      </w:pPr>
      <w:r>
        <w:rPr>
          <w:rFonts w:hint="eastAsia" w:ascii="宋体" w:hAnsi="宋体" w:cs="宋体"/>
          <w:bCs/>
          <w:sz w:val="24"/>
        </w:rPr>
        <w:t>3.如无法按上述要求提供人员社会保险证明材料的，提交以下材料亦视为符合：</w:t>
      </w:r>
    </w:p>
    <w:p>
      <w:pPr>
        <w:widowControl/>
        <w:snapToGrid w:val="0"/>
        <w:rPr>
          <w:rFonts w:ascii="宋体" w:hAnsi="宋体" w:cs="宋体"/>
          <w:bCs/>
          <w:sz w:val="24"/>
        </w:rPr>
      </w:pPr>
      <w:r>
        <w:rPr>
          <w:rFonts w:hint="eastAsia" w:ascii="宋体" w:hAnsi="宋体" w:cs="宋体"/>
          <w:bCs/>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ascii="宋体" w:hAnsi="宋体" w:cs="宋体"/>
          <w:b/>
          <w:sz w:val="28"/>
          <w:szCs w:val="28"/>
        </w:rPr>
      </w:pPr>
    </w:p>
    <w:p>
      <w:pPr>
        <w:snapToGrid w:val="0"/>
        <w:rPr>
          <w:rFonts w:ascii="宋体" w:hAnsi="宋体" w:cs="宋体"/>
          <w:b/>
          <w:sz w:val="28"/>
          <w:szCs w:val="28"/>
        </w:rPr>
      </w:pPr>
      <w:r>
        <w:rPr>
          <w:rFonts w:hint="eastAsia" w:ascii="宋体" w:hAnsi="宋体" w:cs="宋体"/>
          <w:b/>
          <w:sz w:val="28"/>
          <w:szCs w:val="28"/>
        </w:rPr>
        <w:t>3.</w:t>
      </w:r>
      <w:bookmarkStart w:id="46" w:name="OLE_LINK10"/>
      <w:r>
        <w:rPr>
          <w:rFonts w:hint="eastAsia" w:ascii="宋体" w:hAnsi="宋体" w:cs="宋体"/>
          <w:b/>
          <w:sz w:val="28"/>
          <w:szCs w:val="28"/>
        </w:rPr>
        <w:t>股权关系证明</w:t>
      </w:r>
      <w:bookmarkEnd w:id="46"/>
      <w:r>
        <w:rPr>
          <w:rFonts w:hint="eastAsia" w:ascii="宋体" w:hAnsi="宋体" w:cs="宋体"/>
          <w:b/>
          <w:sz w:val="28"/>
          <w:szCs w:val="28"/>
        </w:rPr>
        <w:t>材料：</w:t>
      </w:r>
    </w:p>
    <w:p>
      <w:pPr>
        <w:widowControl/>
        <w:snapToGrid w:val="0"/>
        <w:rPr>
          <w:rFonts w:ascii="宋体" w:hAnsi="宋体" w:cs="宋体"/>
          <w:b/>
          <w:sz w:val="24"/>
        </w:rPr>
      </w:pPr>
      <w:r>
        <w:rPr>
          <w:rFonts w:hint="eastAsia" w:ascii="宋体" w:hAnsi="宋体" w:cs="宋体"/>
          <w:b/>
          <w:sz w:val="24"/>
        </w:rPr>
        <w:t>（1）股权（或管理）关系证明材料：</w:t>
      </w:r>
    </w:p>
    <w:p>
      <w:pPr>
        <w:widowControl/>
        <w:snapToGrid w:val="0"/>
        <w:rPr>
          <w:rFonts w:ascii="宋体" w:hAnsi="宋体" w:cs="宋体"/>
          <w:bCs/>
          <w:sz w:val="24"/>
        </w:rPr>
      </w:pPr>
      <w:r>
        <w:rPr>
          <w:rFonts w:hint="eastAsia" w:ascii="宋体" w:hAnsi="宋体" w:cs="宋体"/>
          <w:bCs/>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ascii="宋体" w:hAnsi="宋体" w:cs="宋体"/>
          <w:sz w:val="24"/>
        </w:rPr>
      </w:pPr>
    </w:p>
    <w:p>
      <w:pPr>
        <w:widowControl/>
        <w:snapToGrid w:val="0"/>
        <w:jc w:val="left"/>
        <w:rPr>
          <w:rFonts w:ascii="宋体" w:hAnsi="宋体" w:cs="宋体"/>
          <w:b/>
          <w:sz w:val="24"/>
        </w:rPr>
      </w:pPr>
      <w:r>
        <w:rPr>
          <w:rFonts w:hint="eastAsia" w:ascii="宋体" w:hAnsi="宋体" w:cs="宋体"/>
          <w:b/>
          <w:sz w:val="24"/>
        </w:rPr>
        <w:t>（2）股权关系情况承诺函</w:t>
      </w:r>
    </w:p>
    <w:p>
      <w:pPr>
        <w:widowControl/>
        <w:snapToGrid w:val="0"/>
        <w:ind w:firstLine="482" w:firstLineChars="200"/>
        <w:jc w:val="center"/>
        <w:rPr>
          <w:rFonts w:ascii="宋体" w:hAnsi="宋体" w:cs="宋体"/>
          <w:bCs/>
          <w:sz w:val="24"/>
        </w:rPr>
      </w:pPr>
      <w:r>
        <w:rPr>
          <w:rFonts w:hint="eastAsia" w:ascii="宋体" w:hAnsi="宋体" w:cs="宋体"/>
          <w:b/>
          <w:sz w:val="24"/>
        </w:rPr>
        <w:t>《股权关系情况承诺函》</w:t>
      </w:r>
    </w:p>
    <w:p>
      <w:pPr>
        <w:widowControl/>
        <w:snapToGrid w:val="0"/>
        <w:ind w:firstLine="480" w:firstLineChars="200"/>
        <w:rPr>
          <w:rFonts w:ascii="宋体" w:hAnsi="宋体" w:cs="宋体"/>
          <w:bCs/>
          <w:sz w:val="24"/>
        </w:rPr>
      </w:pPr>
      <w:r>
        <w:rPr>
          <w:rFonts w:hint="eastAsia" w:ascii="宋体" w:hAnsi="宋体" w:cs="宋体"/>
          <w:bCs/>
          <w:sz w:val="24"/>
        </w:rPr>
        <w:t>我公司申请参加</w:t>
      </w:r>
      <w:r>
        <w:rPr>
          <w:rFonts w:hint="eastAsia" w:ascii="宋体" w:hAnsi="宋体" w:cs="宋体"/>
          <w:bCs/>
          <w:sz w:val="24"/>
          <w:u w:val="single"/>
        </w:rPr>
        <w:t xml:space="preserve">            </w:t>
      </w:r>
      <w:r>
        <w:rPr>
          <w:rFonts w:hint="eastAsia" w:ascii="宋体" w:hAnsi="宋体" w:cs="宋体"/>
          <w:bCs/>
          <w:sz w:val="24"/>
        </w:rPr>
        <w:t>项目（项目编号为</w:t>
      </w:r>
      <w:r>
        <w:rPr>
          <w:rFonts w:hint="eastAsia" w:ascii="宋体" w:hAnsi="宋体" w:cs="宋体"/>
          <w:bCs/>
          <w:sz w:val="24"/>
          <w:u w:val="single"/>
        </w:rPr>
        <w:t xml:space="preserve">         </w:t>
      </w:r>
      <w:r>
        <w:rPr>
          <w:rFonts w:hint="eastAsia" w:ascii="宋体" w:hAnsi="宋体" w:cs="宋体"/>
          <w:bCs/>
          <w:sz w:val="24"/>
        </w:rPr>
        <w:t>）的投标，并作出如下承诺：</w:t>
      </w:r>
    </w:p>
    <w:p>
      <w:pPr>
        <w:widowControl/>
        <w:snapToGrid w:val="0"/>
        <w:rPr>
          <w:rFonts w:ascii="宋体" w:hAnsi="宋体" w:cs="宋体"/>
          <w:bCs/>
          <w:sz w:val="24"/>
        </w:rPr>
      </w:pPr>
      <w:r>
        <w:rPr>
          <w:rFonts w:hint="eastAsia" w:ascii="宋体" w:hAnsi="宋体" w:cs="宋体"/>
          <w:bCs/>
          <w:sz w:val="24"/>
        </w:rPr>
        <w:t>我公司承诺所填的股权关系情况真实、准确、完整。</w:t>
      </w:r>
    </w:p>
    <w:p>
      <w:pPr>
        <w:widowControl/>
        <w:snapToGrid w:val="0"/>
        <w:rPr>
          <w:rFonts w:ascii="宋体" w:hAnsi="宋体" w:cs="宋体"/>
          <w:bCs/>
          <w:sz w:val="24"/>
        </w:rPr>
      </w:pPr>
      <w:r>
        <w:rPr>
          <w:rFonts w:hint="eastAsia" w:ascii="宋体" w:hAnsi="宋体" w:cs="宋体"/>
          <w:bCs/>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ascii="宋体" w:hAnsi="宋体" w:cs="宋体"/>
          <w:bCs/>
          <w:sz w:val="24"/>
        </w:rPr>
      </w:pPr>
      <w:r>
        <w:rPr>
          <w:rFonts w:hint="eastAsia" w:ascii="宋体" w:hAnsi="宋体" w:cs="宋体"/>
          <w:bCs/>
          <w:sz w:val="24"/>
        </w:rPr>
        <w:t>特此承诺！</w:t>
      </w:r>
    </w:p>
    <w:p>
      <w:pPr>
        <w:widowControl/>
        <w:snapToGrid w:val="0"/>
        <w:rPr>
          <w:rFonts w:ascii="宋体" w:hAnsi="宋体" w:cs="宋体"/>
          <w:bCs/>
          <w:sz w:val="24"/>
        </w:rPr>
      </w:pPr>
    </w:p>
    <w:p>
      <w:pPr>
        <w:widowControl/>
        <w:snapToGrid w:val="0"/>
        <w:rPr>
          <w:rFonts w:ascii="宋体" w:hAnsi="宋体" w:cs="宋体"/>
          <w:bCs/>
          <w:sz w:val="24"/>
        </w:rPr>
      </w:pPr>
      <w:r>
        <w:rPr>
          <w:rFonts w:hint="eastAsia" w:ascii="宋体" w:hAnsi="宋体" w:cs="宋体"/>
          <w:bCs/>
          <w:sz w:val="24"/>
        </w:rPr>
        <w:t xml:space="preserve">                                供应商名称（加盖公章</w:t>
      </w:r>
      <w:r>
        <w:rPr>
          <w:rFonts w:hint="eastAsia" w:ascii="宋体" w:hAnsi="宋体" w:cs="宋体"/>
          <w:bCs/>
          <w:sz w:val="24"/>
        </w:rPr>
        <w:tab/>
      </w:r>
      <w:r>
        <w:rPr>
          <w:rFonts w:hint="eastAsia" w:ascii="宋体" w:hAnsi="宋体" w:cs="宋体"/>
          <w:bCs/>
          <w:sz w:val="24"/>
        </w:rPr>
        <w:t xml:space="preserve">）： </w:t>
      </w:r>
    </w:p>
    <w:p>
      <w:pPr>
        <w:widowControl/>
        <w:snapToGrid w:val="0"/>
        <w:ind w:firstLine="3840" w:firstLineChars="1600"/>
        <w:rPr>
          <w:rFonts w:ascii="宋体" w:hAnsi="宋体" w:cs="宋体"/>
          <w:bCs/>
          <w:sz w:val="24"/>
        </w:rPr>
      </w:pPr>
      <w:r>
        <w:rPr>
          <w:rFonts w:hint="eastAsia" w:ascii="宋体" w:hAnsi="宋体" w:cs="宋体"/>
          <w:bCs/>
          <w:sz w:val="24"/>
        </w:rPr>
        <w:t>日  期：       年    月   日</w:t>
      </w:r>
    </w:p>
    <w:p>
      <w:pPr>
        <w:widowControl/>
        <w:snapToGrid w:val="0"/>
        <w:rPr>
          <w:rFonts w:ascii="宋体" w:hAnsi="宋体" w:cs="宋体"/>
          <w:bCs/>
          <w:sz w:val="24"/>
        </w:rPr>
      </w:pPr>
    </w:p>
    <w:p>
      <w:pPr>
        <w:tabs>
          <w:tab w:val="left" w:pos="640"/>
          <w:tab w:val="left" w:pos="840"/>
          <w:tab w:val="left" w:pos="1260"/>
          <w:tab w:val="left" w:pos="1418"/>
        </w:tabs>
        <w:spacing w:line="360" w:lineRule="auto"/>
        <w:rPr>
          <w:rFonts w:ascii="宋体" w:hAnsi="宋体" w:cs="宋体"/>
          <w:bCs/>
          <w:sz w:val="24"/>
        </w:rPr>
      </w:pPr>
      <w:r>
        <w:rPr>
          <w:rFonts w:hint="eastAsia" w:ascii="宋体" w:hAnsi="宋体" w:cs="宋体"/>
          <w:bCs/>
          <w:sz w:val="24"/>
        </w:rPr>
        <w:t>注：代理机构将于截标当日同步通过上述网站进行查询，查询结果与供应商填报信息不一致的，以代理机构于截标当日的查询结果为准。</w:t>
      </w:r>
    </w:p>
    <w:p>
      <w:pPr>
        <w:rPr>
          <w:rFonts w:ascii="宋体" w:hAnsi="宋体" w:cs="宋体"/>
          <w:bCs/>
          <w:sz w:val="24"/>
        </w:rPr>
      </w:pPr>
      <w:r>
        <w:rPr>
          <w:rFonts w:hint="eastAsia" w:ascii="宋体" w:hAnsi="宋体" w:cs="宋体"/>
          <w:bCs/>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052"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2106" w:type="dxa"/>
            <w:vAlign w:val="center"/>
          </w:tcPr>
          <w:p>
            <w:pPr>
              <w:spacing w:line="360" w:lineRule="auto"/>
              <w:jc w:val="center"/>
              <w:rPr>
                <w:rFonts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2106"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rPr>
          <w:lang w:val="fr-CH"/>
        </w:rPr>
      </w:pP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项目实施方案；</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对工作任务及工作目标的理解；</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研究方法及思路；</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进度计划；</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项目难点重点分析及相关的合理化建议；</w:t>
      </w: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39"/>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47" w:name="_Toc742"/>
      <w:bookmarkStart w:id="48" w:name="_Toc6251"/>
      <w:r>
        <w:rPr>
          <w:rFonts w:hint="eastAsia" w:ascii="宋体" w:hAnsi="宋体" w:cs="宋体"/>
          <w:b/>
          <w:bCs/>
          <w:sz w:val="24"/>
        </w:rPr>
        <w:t>附件：相关政策</w:t>
      </w:r>
      <w:bookmarkEnd w:id="47"/>
      <w:bookmarkEnd w:id="48"/>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rPr>
          <w:rFonts w:ascii="宋体" w:hAnsi="宋体" w:cs="宋体"/>
        </w:rPr>
      </w:pPr>
    </w:p>
    <w:p>
      <w:pPr>
        <w:widowControl/>
        <w:shd w:val="clear" w:color="auto" w:fill="FFFFFF"/>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ascii="宋体" w:hAnsi="宋体" w:cs="宋体"/>
          <w:kern w:val="0"/>
          <w:sz w:val="24"/>
        </w:rPr>
      </w:pPr>
      <w:r>
        <w:rPr>
          <w:rFonts w:hint="eastAsia" w:ascii="宋体" w:hAnsi="宋体" w:cs="宋体"/>
          <w:kern w:val="0"/>
          <w:sz w:val="24"/>
        </w:rPr>
        <w:t>财  政  部</w:t>
      </w:r>
    </w:p>
    <w:p>
      <w:pPr>
        <w:widowControl/>
        <w:shd w:val="clear" w:color="auto" w:fill="FFFFFF"/>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ascii="宋体" w:hAnsi="宋体" w:cs="宋体"/>
        </w:rPr>
      </w:pPr>
    </w:p>
    <w:p>
      <w:pPr>
        <w:pStyle w:val="2"/>
        <w:tabs>
          <w:tab w:val="left" w:pos="562"/>
          <w:tab w:val="left" w:pos="3372"/>
          <w:tab w:val="left" w:pos="3653"/>
        </w:tabs>
        <w:ind w:firstLine="480" w:firstLineChars="200"/>
        <w:outlineLvl w:val="0"/>
        <w:rPr>
          <w:rFonts w:ascii="宋体" w:hAnsi="宋体" w:cs="宋体"/>
          <w:kern w:val="0"/>
        </w:rPr>
      </w:pPr>
      <w:r>
        <w:rPr>
          <w:rFonts w:hint="eastAsia" w:ascii="宋体" w:hAnsi="宋体" w:cs="宋体"/>
          <w:kern w:val="0"/>
        </w:rPr>
        <w:t>附：1.中小企业声明函</w:t>
      </w:r>
    </w:p>
    <w:p>
      <w:pPr>
        <w:pStyle w:val="2"/>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2"/>
        <w:tabs>
          <w:tab w:val="left" w:pos="562"/>
          <w:tab w:val="left" w:pos="3372"/>
          <w:tab w:val="left" w:pos="3653"/>
        </w:tabs>
        <w:spacing w:before="30"/>
        <w:outlineLvl w:val="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2"/>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spacing w:val="-2"/>
        </w:rPr>
      </w:pP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注意事项：</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spacing w:val="-2"/>
        </w:rPr>
      </w:pPr>
    </w:p>
    <w:p>
      <w:pPr>
        <w:pStyle w:val="2"/>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2"/>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2"/>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20"/>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jc w:val="center"/>
              <w:rPr>
                <w:b/>
                <w:sz w:val="24"/>
                <w:szCs w:val="24"/>
              </w:rPr>
            </w:pPr>
            <w:r>
              <w:rPr>
                <w:rFonts w:hint="eastAsia"/>
                <w:b/>
                <w:sz w:val="24"/>
                <w:szCs w:val="24"/>
              </w:rPr>
              <w:t>序号</w:t>
            </w:r>
          </w:p>
        </w:tc>
        <w:tc>
          <w:tcPr>
            <w:tcW w:w="1866" w:type="dxa"/>
            <w:vAlign w:val="center"/>
          </w:tcPr>
          <w:p>
            <w:pPr>
              <w:pStyle w:val="30"/>
              <w:jc w:val="center"/>
              <w:rPr>
                <w:b/>
                <w:sz w:val="24"/>
                <w:szCs w:val="24"/>
              </w:rPr>
            </w:pPr>
            <w:r>
              <w:rPr>
                <w:rFonts w:hint="eastAsia"/>
                <w:b/>
                <w:sz w:val="24"/>
                <w:szCs w:val="24"/>
              </w:rPr>
              <w:t>项目名称</w:t>
            </w:r>
          </w:p>
        </w:tc>
        <w:tc>
          <w:tcPr>
            <w:tcW w:w="2010" w:type="dxa"/>
            <w:vAlign w:val="center"/>
          </w:tcPr>
          <w:p>
            <w:pPr>
              <w:pStyle w:val="30"/>
              <w:jc w:val="center"/>
              <w:rPr>
                <w:b/>
                <w:sz w:val="24"/>
                <w:szCs w:val="24"/>
              </w:rPr>
            </w:pPr>
            <w:r>
              <w:rPr>
                <w:rFonts w:hint="eastAsia"/>
                <w:b/>
                <w:sz w:val="24"/>
                <w:szCs w:val="24"/>
              </w:rPr>
              <w:t>预留选项</w:t>
            </w:r>
          </w:p>
        </w:tc>
        <w:tc>
          <w:tcPr>
            <w:tcW w:w="2296" w:type="dxa"/>
            <w:vAlign w:val="center"/>
          </w:tcPr>
          <w:p>
            <w:pPr>
              <w:pStyle w:val="30"/>
              <w:jc w:val="center"/>
              <w:rPr>
                <w:b/>
                <w:sz w:val="24"/>
                <w:szCs w:val="24"/>
              </w:rPr>
            </w:pPr>
            <w:r>
              <w:rPr>
                <w:rFonts w:hint="eastAsia"/>
                <w:b/>
                <w:sz w:val="24"/>
                <w:szCs w:val="24"/>
              </w:rPr>
              <w:t>面向中小企业采购金额</w:t>
            </w:r>
          </w:p>
        </w:tc>
        <w:tc>
          <w:tcPr>
            <w:tcW w:w="1784" w:type="dxa"/>
            <w:vAlign w:val="center"/>
          </w:tcPr>
          <w:p>
            <w:pPr>
              <w:pStyle w:val="30"/>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jc w:val="center"/>
              <w:rPr>
                <w:sz w:val="24"/>
                <w:szCs w:val="24"/>
              </w:rPr>
            </w:pPr>
          </w:p>
        </w:tc>
        <w:tc>
          <w:tcPr>
            <w:tcW w:w="1866" w:type="dxa"/>
            <w:tcBorders>
              <w:bottom w:val="nil"/>
            </w:tcBorders>
            <w:vAlign w:val="center"/>
          </w:tcPr>
          <w:p>
            <w:pPr>
              <w:pStyle w:val="30"/>
              <w:jc w:val="center"/>
              <w:rPr>
                <w:sz w:val="24"/>
                <w:szCs w:val="24"/>
              </w:rPr>
            </w:pPr>
          </w:p>
        </w:tc>
        <w:tc>
          <w:tcPr>
            <w:tcW w:w="2010" w:type="dxa"/>
            <w:tcBorders>
              <w:bottom w:val="nil"/>
            </w:tcBorders>
            <w:vAlign w:val="center"/>
          </w:tcPr>
          <w:p>
            <w:pPr>
              <w:pStyle w:val="30"/>
              <w:jc w:val="center"/>
              <w:rPr>
                <w:sz w:val="24"/>
                <w:szCs w:val="24"/>
              </w:rPr>
            </w:pPr>
            <w:r>
              <w:rPr>
                <w:rFonts w:hint="eastAsia"/>
                <w:sz w:val="24"/>
                <w:szCs w:val="24"/>
              </w:rPr>
              <w:t>（填写“采购项</w:t>
            </w:r>
          </w:p>
        </w:tc>
        <w:tc>
          <w:tcPr>
            <w:tcW w:w="2296" w:type="dxa"/>
            <w:tcBorders>
              <w:bottom w:val="nil"/>
            </w:tcBorders>
            <w:vAlign w:val="center"/>
          </w:tcPr>
          <w:p>
            <w:pPr>
              <w:pStyle w:val="30"/>
              <w:jc w:val="center"/>
              <w:rPr>
                <w:sz w:val="24"/>
                <w:szCs w:val="24"/>
              </w:rPr>
            </w:pPr>
          </w:p>
        </w:tc>
        <w:tc>
          <w:tcPr>
            <w:tcW w:w="1784" w:type="dxa"/>
            <w:vMerge w:val="restart"/>
            <w:vAlign w:val="center"/>
          </w:tcPr>
          <w:p>
            <w:pPr>
              <w:pStyle w:val="30"/>
              <w:jc w:val="center"/>
              <w:rPr>
                <w:sz w:val="24"/>
                <w:szCs w:val="24"/>
              </w:rPr>
            </w:pPr>
          </w:p>
          <w:p>
            <w:pPr>
              <w:pStyle w:val="30"/>
              <w:jc w:val="center"/>
              <w:rPr>
                <w:sz w:val="24"/>
                <w:szCs w:val="24"/>
              </w:rPr>
            </w:pPr>
          </w:p>
          <w:p>
            <w:pPr>
              <w:pStyle w:val="30"/>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目整体预留”、</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“设置专门采购</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（填写集中采</w:t>
            </w:r>
          </w:p>
        </w:tc>
        <w:tc>
          <w:tcPr>
            <w:tcW w:w="2010" w:type="dxa"/>
            <w:tcBorders>
              <w:top w:val="nil"/>
              <w:bottom w:val="nil"/>
            </w:tcBorders>
            <w:vAlign w:val="center"/>
          </w:tcPr>
          <w:p>
            <w:pPr>
              <w:pStyle w:val="30"/>
              <w:jc w:val="center"/>
              <w:rPr>
                <w:sz w:val="24"/>
                <w:szCs w:val="24"/>
              </w:rPr>
            </w:pPr>
            <w:r>
              <w:rPr>
                <w:rFonts w:hint="eastAsia"/>
                <w:sz w:val="24"/>
                <w:szCs w:val="24"/>
              </w:rPr>
              <w:t>包”、“要求以</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购目录以内或</w:t>
            </w:r>
          </w:p>
        </w:tc>
        <w:tc>
          <w:tcPr>
            <w:tcW w:w="2010" w:type="dxa"/>
            <w:tcBorders>
              <w:top w:val="nil"/>
              <w:bottom w:val="nil"/>
            </w:tcBorders>
            <w:vAlign w:val="center"/>
          </w:tcPr>
          <w:p>
            <w:pPr>
              <w:pStyle w:val="30"/>
              <w:jc w:val="center"/>
              <w:rPr>
                <w:sz w:val="24"/>
                <w:szCs w:val="24"/>
              </w:rPr>
            </w:pPr>
            <w:r>
              <w:rPr>
                <w:rFonts w:hint="eastAsia"/>
                <w:sz w:val="24"/>
                <w:szCs w:val="24"/>
              </w:rPr>
              <w:t>联合体形式参</w:t>
            </w:r>
          </w:p>
        </w:tc>
        <w:tc>
          <w:tcPr>
            <w:tcW w:w="2296" w:type="dxa"/>
            <w:tcBorders>
              <w:top w:val="nil"/>
              <w:bottom w:val="nil"/>
            </w:tcBorders>
            <w:vAlign w:val="center"/>
          </w:tcPr>
          <w:p>
            <w:pPr>
              <w:pStyle w:val="30"/>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者采购限额标</w:t>
            </w:r>
          </w:p>
        </w:tc>
        <w:tc>
          <w:tcPr>
            <w:tcW w:w="2010" w:type="dxa"/>
            <w:tcBorders>
              <w:top w:val="nil"/>
              <w:bottom w:val="nil"/>
            </w:tcBorders>
            <w:vAlign w:val="center"/>
          </w:tcPr>
          <w:p>
            <w:pPr>
              <w:pStyle w:val="30"/>
              <w:jc w:val="center"/>
              <w:rPr>
                <w:sz w:val="24"/>
                <w:szCs w:val="24"/>
              </w:rPr>
            </w:pPr>
            <w:r>
              <w:rPr>
                <w:rFonts w:hint="eastAsia"/>
                <w:sz w:val="24"/>
                <w:szCs w:val="24"/>
              </w:rPr>
              <w:t>加”或者“要求</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30"/>
              <w:jc w:val="center"/>
              <w:rPr>
                <w:sz w:val="24"/>
                <w:szCs w:val="24"/>
              </w:rPr>
            </w:pPr>
            <w:r>
              <w:rPr>
                <w:rFonts w:hint="eastAsia"/>
                <w:sz w:val="24"/>
                <w:szCs w:val="24"/>
              </w:rPr>
              <w:t>合同分包”，除</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“采购项目全部</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预留”外，还应</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当填写预留给中</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30"/>
              <w:jc w:val="center"/>
              <w:rPr>
                <w:sz w:val="24"/>
                <w:szCs w:val="24"/>
              </w:rPr>
            </w:pPr>
          </w:p>
        </w:tc>
        <w:tc>
          <w:tcPr>
            <w:tcW w:w="2010" w:type="dxa"/>
            <w:tcBorders>
              <w:top w:val="nil"/>
            </w:tcBorders>
            <w:vAlign w:val="center"/>
          </w:tcPr>
          <w:p>
            <w:pPr>
              <w:pStyle w:val="30"/>
              <w:jc w:val="center"/>
              <w:rPr>
                <w:sz w:val="24"/>
                <w:szCs w:val="24"/>
              </w:rPr>
            </w:pPr>
            <w:r>
              <w:rPr>
                <w:rFonts w:hint="eastAsia"/>
                <w:sz w:val="24"/>
                <w:szCs w:val="24"/>
              </w:rPr>
              <w:t>小企业的比例）</w:t>
            </w:r>
          </w:p>
        </w:tc>
        <w:tc>
          <w:tcPr>
            <w:tcW w:w="2296" w:type="dxa"/>
            <w:tcBorders>
              <w:top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jc w:val="center"/>
              <w:rPr>
                <w:sz w:val="24"/>
                <w:szCs w:val="24"/>
              </w:rPr>
            </w:pPr>
            <w:r>
              <w:rPr>
                <w:rFonts w:hint="eastAsia"/>
                <w:sz w:val="24"/>
                <w:szCs w:val="24"/>
              </w:rPr>
              <w:t>……</w:t>
            </w:r>
          </w:p>
        </w:tc>
        <w:tc>
          <w:tcPr>
            <w:tcW w:w="1866" w:type="dxa"/>
            <w:vAlign w:val="center"/>
          </w:tcPr>
          <w:p>
            <w:pPr>
              <w:pStyle w:val="30"/>
              <w:jc w:val="center"/>
              <w:rPr>
                <w:sz w:val="24"/>
                <w:szCs w:val="24"/>
              </w:rPr>
            </w:pPr>
            <w:r>
              <w:rPr>
                <w:rFonts w:hint="eastAsia"/>
                <w:sz w:val="24"/>
                <w:szCs w:val="24"/>
              </w:rPr>
              <w:t>……</w:t>
            </w:r>
          </w:p>
        </w:tc>
        <w:tc>
          <w:tcPr>
            <w:tcW w:w="2010" w:type="dxa"/>
            <w:vAlign w:val="center"/>
          </w:tcPr>
          <w:p>
            <w:pPr>
              <w:pStyle w:val="30"/>
              <w:jc w:val="center"/>
              <w:rPr>
                <w:sz w:val="24"/>
                <w:szCs w:val="24"/>
              </w:rPr>
            </w:pPr>
            <w:r>
              <w:rPr>
                <w:rFonts w:hint="eastAsia"/>
                <w:sz w:val="24"/>
                <w:szCs w:val="24"/>
              </w:rPr>
              <w:t>……</w:t>
            </w:r>
          </w:p>
        </w:tc>
        <w:tc>
          <w:tcPr>
            <w:tcW w:w="2296" w:type="dxa"/>
            <w:vAlign w:val="center"/>
          </w:tcPr>
          <w:p>
            <w:pPr>
              <w:pStyle w:val="30"/>
              <w:jc w:val="center"/>
              <w:rPr>
                <w:sz w:val="24"/>
                <w:szCs w:val="24"/>
              </w:rPr>
            </w:pPr>
            <w:r>
              <w:rPr>
                <w:rFonts w:hint="eastAsia"/>
                <w:sz w:val="24"/>
                <w:szCs w:val="24"/>
              </w:rPr>
              <w:t>……</w:t>
            </w:r>
          </w:p>
        </w:tc>
        <w:tc>
          <w:tcPr>
            <w:tcW w:w="1784" w:type="dxa"/>
            <w:vAlign w:val="center"/>
          </w:tcPr>
          <w:p>
            <w:pPr>
              <w:pStyle w:val="30"/>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2"/>
        <w:tabs>
          <w:tab w:val="left" w:pos="562"/>
          <w:tab w:val="left" w:pos="3372"/>
          <w:tab w:val="left" w:pos="3653"/>
        </w:tabs>
        <w:rPr>
          <w:rFonts w:ascii="宋体" w:hAnsi="宋体" w:cs="宋体"/>
        </w:rPr>
      </w:pPr>
    </w:p>
    <w:p>
      <w:pPr>
        <w:pStyle w:val="17"/>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7"/>
        <w:jc w:val="both"/>
        <w:outlineLvl w:val="9"/>
        <w:rPr>
          <w:rFonts w:ascii="宋体" w:hAnsi="宋体" w:eastAsia="宋体" w:cs="宋体"/>
          <w:sz w:val="24"/>
          <w:szCs w:val="24"/>
        </w:rPr>
      </w:pPr>
    </w:p>
    <w:p>
      <w:pPr>
        <w:pStyle w:val="17"/>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ascii="宋体" w:hAnsi="宋体" w:cs="宋体"/>
          <w:b/>
          <w:bCs/>
          <w:kern w:val="0"/>
          <w:sz w:val="24"/>
        </w:rPr>
      </w:pPr>
    </w:p>
    <w:p>
      <w:pPr>
        <w:widowControl/>
        <w:shd w:val="clear" w:color="auto" w:fill="FFFFFF"/>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ascii="宋体" w:hAnsi="宋体" w:cs="宋体"/>
        </w:rPr>
      </w:pPr>
    </w:p>
    <w:p>
      <w:pPr>
        <w:pStyle w:val="17"/>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ascii="宋体" w:hAnsi="宋体" w:cs="宋体"/>
          <w:bCs/>
          <w:sz w:val="24"/>
        </w:rPr>
      </w:pPr>
    </w:p>
    <w:p>
      <w:pPr>
        <w:shd w:val="clear" w:color="auto" w:fill="FFFFFF"/>
        <w:rPr>
          <w:rFonts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jc w:val="center"/>
      </w:pPr>
      <w:r>
        <w:rPr>
          <w:rFonts w:hint="eastAsia"/>
        </w:rPr>
        <w:t>　　</w:t>
      </w:r>
      <w:bookmarkStart w:id="49" w:name="sendNo"/>
      <w:r>
        <w:rPr>
          <w:rFonts w:hint="eastAsia"/>
        </w:rPr>
        <w:t>财库〔</w:t>
      </w:r>
      <w:bookmarkEnd w:id="49"/>
      <w:r>
        <w:rPr>
          <w:rFonts w:hint="eastAsia"/>
        </w:rPr>
        <w:t>2017〕141号</w:t>
      </w:r>
    </w:p>
    <w:p>
      <w:pPr>
        <w:pStyle w:val="16"/>
        <w:shd w:val="clear" w:color="auto" w:fill="FFFFFF"/>
        <w:spacing w:before="0" w:beforeAutospacing="0" w:after="0" w:afterAutospacing="0"/>
        <w:ind w:firstLine="480" w:firstLineChars="200"/>
      </w:pPr>
      <w:bookmarkStart w:id="50"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0"/>
      <w:r>
        <w:rPr>
          <w:rFonts w:hint="eastAsia"/>
        </w:rPr>
        <w:t>：</w:t>
      </w:r>
    </w:p>
    <w:p>
      <w:pPr>
        <w:pStyle w:val="16"/>
        <w:shd w:val="clear" w:color="auto" w:fill="FFFFFF"/>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ind w:firstLine="480" w:firstLineChars="200"/>
      </w:pPr>
      <w:r>
        <w:rPr>
          <w:rFonts w:hint="eastAsia"/>
        </w:rPr>
        <w:t>一、享受政府采购支持政策的残疾人福利性单位应当同时满足以下条件：</w:t>
      </w:r>
    </w:p>
    <w:p>
      <w:pPr>
        <w:pStyle w:val="16"/>
        <w:shd w:val="clear" w:color="auto" w:fill="FFFFFF"/>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ind w:firstLine="480" w:firstLineChars="200"/>
      </w:pPr>
      <w:r>
        <w:rPr>
          <w:rFonts w:hint="eastAsia"/>
        </w:rPr>
        <w:t>（二）依法与安置的每位残疾人签订了一年以上（含一年）的劳动合同或服务协议；</w:t>
      </w:r>
    </w:p>
    <w:p>
      <w:pPr>
        <w:pStyle w:val="16"/>
        <w:shd w:val="clear" w:color="auto" w:fill="FFFFFF"/>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560" w:lineRule="exact"/>
        <w:ind w:firstLine="480" w:firstLineChars="200"/>
      </w:pPr>
      <w:r>
        <w:rPr>
          <w:rFonts w:hint="eastAsia"/>
        </w:rPr>
        <w:t>七、本通知自2017年10月1日起执行。</w:t>
      </w:r>
    </w:p>
    <w:p>
      <w:pPr>
        <w:pStyle w:val="16"/>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16"/>
        <w:shd w:val="clear" w:color="auto" w:fill="FFFFFF"/>
        <w:spacing w:before="0" w:beforeAutospacing="0" w:after="0" w:afterAutospacing="0" w:line="560" w:lineRule="exact"/>
        <w:ind w:firstLine="480" w:firstLineChars="200"/>
        <w:jc w:val="right"/>
      </w:pPr>
      <w:r>
        <w:rPr>
          <w:rFonts w:hint="eastAsia"/>
        </w:rPr>
        <w:t>2017年8月22日</w:t>
      </w:r>
    </w:p>
    <w:p>
      <w:pPr>
        <w:pStyle w:val="31"/>
        <w:shd w:val="clear" w:color="auto" w:fill="FFFFFF"/>
        <w:spacing w:before="0" w:beforeAutospacing="0" w:after="0" w:afterAutospacing="0" w:line="560" w:lineRule="exact"/>
        <w:jc w:val="both"/>
      </w:pPr>
      <w:r>
        <w:rPr>
          <w:rFonts w:hint="eastAsia"/>
        </w:rPr>
        <w:t>附件：</w:t>
      </w:r>
    </w:p>
    <w:p>
      <w:pPr>
        <w:pStyle w:val="31"/>
        <w:shd w:val="clear" w:color="auto" w:fill="FFFFFF"/>
        <w:spacing w:before="0" w:beforeAutospacing="0" w:after="0" w:afterAutospacing="0" w:line="560" w:lineRule="exact"/>
        <w:ind w:firstLine="482" w:firstLineChars="200"/>
        <w:jc w:val="center"/>
      </w:pPr>
      <w:r>
        <w:rPr>
          <w:rStyle w:val="32"/>
          <w:rFonts w:hint="eastAsia"/>
          <w:b/>
          <w:bCs/>
        </w:rPr>
        <w:t>残疾人福利性单位声明函</w:t>
      </w:r>
    </w:p>
    <w:p>
      <w:pPr>
        <w:pStyle w:val="31"/>
        <w:shd w:val="clear" w:color="auto" w:fill="FFFFFF"/>
        <w:spacing w:before="0" w:beforeAutospacing="0" w:after="0" w:afterAutospacing="0" w:line="560" w:lineRule="exact"/>
        <w:ind w:firstLine="480" w:firstLineChars="200"/>
        <w:jc w:val="both"/>
      </w:pPr>
      <w:r>
        <w:rPr>
          <w:rStyle w:val="32"/>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560" w:lineRule="exact"/>
        <w:ind w:firstLine="480" w:firstLineChars="200"/>
        <w:jc w:val="both"/>
      </w:pPr>
      <w:r>
        <w:rPr>
          <w:rStyle w:val="32"/>
          <w:rFonts w:hint="eastAsia"/>
        </w:rPr>
        <w:t>本单位对上述声明的真实性负责。如有虚假，将依法承担相应责任。</w:t>
      </w:r>
    </w:p>
    <w:p>
      <w:pPr>
        <w:pStyle w:val="31"/>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560" w:lineRule="exact"/>
        <w:ind w:right="2100" w:rightChars="1000"/>
        <w:jc w:val="right"/>
      </w:pPr>
      <w:r>
        <w:rPr>
          <w:rStyle w:val="32"/>
          <w:rFonts w:hint="eastAsia"/>
        </w:rPr>
        <w:t>单位名称（盖章）：</w:t>
      </w:r>
    </w:p>
    <w:p>
      <w:pPr>
        <w:pStyle w:val="31"/>
        <w:shd w:val="clear" w:color="auto" w:fill="FFFFFF"/>
        <w:spacing w:before="0" w:beforeAutospacing="0" w:after="0" w:afterAutospacing="0" w:line="560" w:lineRule="exact"/>
        <w:ind w:right="2100" w:rightChars="1000"/>
        <w:jc w:val="right"/>
        <w:rPr>
          <w:lang w:val="fr-CH"/>
        </w:rPr>
      </w:pPr>
      <w:r>
        <w:rPr>
          <w:rStyle w:val="32"/>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05425563"/>
    <w:multiLevelType w:val="multilevel"/>
    <w:tmpl w:val="05425563"/>
    <w:lvl w:ilvl="0" w:tentative="0">
      <w:start w:val="1"/>
      <w:numFmt w:val="decimal"/>
      <w:lvlText w:val="%1."/>
      <w:lvlJc w:val="left"/>
      <w:pPr>
        <w:ind w:left="422" w:hanging="420"/>
      </w:pPr>
      <w:rPr>
        <w:rFonts w:hint="default" w:ascii="Times New Roman" w:hAnsi="Times New Roman" w:cs="Times New Roman"/>
      </w:rPr>
    </w:lvl>
    <w:lvl w:ilvl="1" w:tentative="0">
      <w:start w:val="1"/>
      <w:numFmt w:val="lowerLetter"/>
      <w:lvlText w:val="%2)"/>
      <w:lvlJc w:val="left"/>
      <w:pPr>
        <w:ind w:left="842" w:hanging="420"/>
      </w:pPr>
      <w:rPr>
        <w:rFonts w:hint="default" w:ascii="Times New Roman" w:hAnsi="Times New Roman" w:cs="Times New Roman"/>
      </w:rPr>
    </w:lvl>
    <w:lvl w:ilvl="2" w:tentative="0">
      <w:start w:val="1"/>
      <w:numFmt w:val="lowerRoman"/>
      <w:lvlText w:val="%3."/>
      <w:lvlJc w:val="right"/>
      <w:pPr>
        <w:ind w:left="1262" w:hanging="420"/>
      </w:pPr>
      <w:rPr>
        <w:rFonts w:hint="default" w:ascii="Times New Roman" w:hAnsi="Times New Roman" w:cs="Times New Roman"/>
      </w:rPr>
    </w:lvl>
    <w:lvl w:ilvl="3" w:tentative="0">
      <w:start w:val="1"/>
      <w:numFmt w:val="decimal"/>
      <w:lvlText w:val="%4."/>
      <w:lvlJc w:val="left"/>
      <w:pPr>
        <w:ind w:left="1682" w:hanging="420"/>
      </w:pPr>
      <w:rPr>
        <w:rFonts w:hint="default" w:ascii="Times New Roman" w:hAnsi="Times New Roman" w:cs="Times New Roman"/>
      </w:rPr>
    </w:lvl>
    <w:lvl w:ilvl="4" w:tentative="0">
      <w:start w:val="1"/>
      <w:numFmt w:val="lowerLetter"/>
      <w:lvlText w:val="%5)"/>
      <w:lvlJc w:val="left"/>
      <w:pPr>
        <w:ind w:left="2102" w:hanging="420"/>
      </w:pPr>
      <w:rPr>
        <w:rFonts w:hint="default" w:ascii="Times New Roman" w:hAnsi="Times New Roman" w:cs="Times New Roman"/>
      </w:rPr>
    </w:lvl>
    <w:lvl w:ilvl="5" w:tentative="0">
      <w:start w:val="1"/>
      <w:numFmt w:val="lowerRoman"/>
      <w:lvlText w:val="%6."/>
      <w:lvlJc w:val="right"/>
      <w:pPr>
        <w:ind w:left="2522" w:hanging="420"/>
      </w:pPr>
      <w:rPr>
        <w:rFonts w:hint="default" w:ascii="Times New Roman" w:hAnsi="Times New Roman" w:cs="Times New Roman"/>
      </w:rPr>
    </w:lvl>
    <w:lvl w:ilvl="6" w:tentative="0">
      <w:start w:val="1"/>
      <w:numFmt w:val="decimal"/>
      <w:lvlText w:val="%7."/>
      <w:lvlJc w:val="left"/>
      <w:pPr>
        <w:ind w:left="2942" w:hanging="420"/>
      </w:pPr>
      <w:rPr>
        <w:rFonts w:hint="default" w:ascii="Times New Roman" w:hAnsi="Times New Roman" w:cs="Times New Roman"/>
      </w:rPr>
    </w:lvl>
    <w:lvl w:ilvl="7" w:tentative="0">
      <w:start w:val="1"/>
      <w:numFmt w:val="lowerLetter"/>
      <w:lvlText w:val="%8)"/>
      <w:lvlJc w:val="left"/>
      <w:pPr>
        <w:ind w:left="3362" w:hanging="420"/>
      </w:pPr>
      <w:rPr>
        <w:rFonts w:hint="default" w:ascii="Times New Roman" w:hAnsi="Times New Roman" w:cs="Times New Roman"/>
      </w:rPr>
    </w:lvl>
    <w:lvl w:ilvl="8" w:tentative="0">
      <w:start w:val="1"/>
      <w:numFmt w:val="lowerRoman"/>
      <w:lvlText w:val="%9."/>
      <w:lvlJc w:val="right"/>
      <w:pPr>
        <w:ind w:left="3782" w:hanging="420"/>
      </w:pPr>
      <w:rPr>
        <w:rFonts w:hint="default" w:ascii="Times New Roman" w:hAnsi="Times New Roman" w:cs="Times New Roman"/>
      </w:rPr>
    </w:lvl>
  </w:abstractNum>
  <w:abstractNum w:abstractNumId="8">
    <w:nsid w:val="200A2FAF"/>
    <w:multiLevelType w:val="singleLevel"/>
    <w:tmpl w:val="200A2FAF"/>
    <w:lvl w:ilvl="0" w:tentative="0">
      <w:start w:val="5"/>
      <w:numFmt w:val="decimal"/>
      <w:suff w:val="nothing"/>
      <w:lvlText w:val="（%1）"/>
      <w:lvlJc w:val="left"/>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520A9610"/>
    <w:multiLevelType w:val="singleLevel"/>
    <w:tmpl w:val="520A9610"/>
    <w:lvl w:ilvl="0" w:tentative="0">
      <w:start w:val="15"/>
      <w:numFmt w:val="chineseCounting"/>
      <w:suff w:val="space"/>
      <w:lvlText w:val="第%1条"/>
      <w:lvlJc w:val="left"/>
      <w:rPr>
        <w:rFonts w:hint="eastAsia"/>
      </w:r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 w:numId="10">
    <w:abstractNumId w:val="0"/>
  </w:num>
  <w:num w:numId="11">
    <w:abstractNumId w:val="6"/>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002D9F"/>
    <w:rsid w:val="00004FE6"/>
    <w:rsid w:val="00054471"/>
    <w:rsid w:val="00067D0C"/>
    <w:rsid w:val="000C38FB"/>
    <w:rsid w:val="0010051B"/>
    <w:rsid w:val="00121EF1"/>
    <w:rsid w:val="00152384"/>
    <w:rsid w:val="001C60B0"/>
    <w:rsid w:val="001F02F6"/>
    <w:rsid w:val="001F454F"/>
    <w:rsid w:val="0033498E"/>
    <w:rsid w:val="003A4DB8"/>
    <w:rsid w:val="004D3AB2"/>
    <w:rsid w:val="005554A8"/>
    <w:rsid w:val="00645664"/>
    <w:rsid w:val="00740C17"/>
    <w:rsid w:val="007564F9"/>
    <w:rsid w:val="00771B68"/>
    <w:rsid w:val="0089189B"/>
    <w:rsid w:val="00C93875"/>
    <w:rsid w:val="00D46A5A"/>
    <w:rsid w:val="00D62CC9"/>
    <w:rsid w:val="00E021D7"/>
    <w:rsid w:val="00E11800"/>
    <w:rsid w:val="00E213DD"/>
    <w:rsid w:val="00E3443F"/>
    <w:rsid w:val="00E747E3"/>
    <w:rsid w:val="00EF0EC3"/>
    <w:rsid w:val="00F16606"/>
    <w:rsid w:val="00F46D15"/>
    <w:rsid w:val="00F72CA9"/>
    <w:rsid w:val="00FB64E2"/>
    <w:rsid w:val="00FF40AC"/>
    <w:rsid w:val="01145951"/>
    <w:rsid w:val="01211AD4"/>
    <w:rsid w:val="012515C4"/>
    <w:rsid w:val="012D0479"/>
    <w:rsid w:val="0157618B"/>
    <w:rsid w:val="0192652E"/>
    <w:rsid w:val="01B446F6"/>
    <w:rsid w:val="01EF572E"/>
    <w:rsid w:val="020411DA"/>
    <w:rsid w:val="020442FF"/>
    <w:rsid w:val="020E3E06"/>
    <w:rsid w:val="02230AEF"/>
    <w:rsid w:val="02477318"/>
    <w:rsid w:val="02A80FA1"/>
    <w:rsid w:val="02B81FC4"/>
    <w:rsid w:val="032F4898"/>
    <w:rsid w:val="036839EA"/>
    <w:rsid w:val="036D7252"/>
    <w:rsid w:val="037800D1"/>
    <w:rsid w:val="037C7496"/>
    <w:rsid w:val="038D16A3"/>
    <w:rsid w:val="03B24C65"/>
    <w:rsid w:val="03B54992"/>
    <w:rsid w:val="03BB1D6C"/>
    <w:rsid w:val="03E5503B"/>
    <w:rsid w:val="03FF0592"/>
    <w:rsid w:val="03FF56E1"/>
    <w:rsid w:val="040C3CF2"/>
    <w:rsid w:val="044E26AD"/>
    <w:rsid w:val="04972A57"/>
    <w:rsid w:val="049A4077"/>
    <w:rsid w:val="04A919F3"/>
    <w:rsid w:val="04AC3B33"/>
    <w:rsid w:val="04D035F5"/>
    <w:rsid w:val="04D255BF"/>
    <w:rsid w:val="04E15802"/>
    <w:rsid w:val="050D4546"/>
    <w:rsid w:val="05525F81"/>
    <w:rsid w:val="05CA5EFC"/>
    <w:rsid w:val="05D438B9"/>
    <w:rsid w:val="05F15671"/>
    <w:rsid w:val="05F652DD"/>
    <w:rsid w:val="05F94DCD"/>
    <w:rsid w:val="060A7F0C"/>
    <w:rsid w:val="06416BB8"/>
    <w:rsid w:val="06456265"/>
    <w:rsid w:val="06CE1F71"/>
    <w:rsid w:val="06E415DA"/>
    <w:rsid w:val="07000B16"/>
    <w:rsid w:val="07200C9D"/>
    <w:rsid w:val="073A5410"/>
    <w:rsid w:val="0754675F"/>
    <w:rsid w:val="07617018"/>
    <w:rsid w:val="076B39F3"/>
    <w:rsid w:val="07B0770E"/>
    <w:rsid w:val="080A5070"/>
    <w:rsid w:val="084F5179"/>
    <w:rsid w:val="086E0768"/>
    <w:rsid w:val="08AE6343"/>
    <w:rsid w:val="08AF2F0D"/>
    <w:rsid w:val="08D062B5"/>
    <w:rsid w:val="08EF6AC2"/>
    <w:rsid w:val="09185F2E"/>
    <w:rsid w:val="097815DF"/>
    <w:rsid w:val="098E31D7"/>
    <w:rsid w:val="09C149B3"/>
    <w:rsid w:val="09D57431"/>
    <w:rsid w:val="09D9508C"/>
    <w:rsid w:val="09E75EDE"/>
    <w:rsid w:val="09F47D86"/>
    <w:rsid w:val="09F90D53"/>
    <w:rsid w:val="0A3D797F"/>
    <w:rsid w:val="0A3E54A5"/>
    <w:rsid w:val="0A570314"/>
    <w:rsid w:val="0A7F6940"/>
    <w:rsid w:val="0B1D330C"/>
    <w:rsid w:val="0B8C2289"/>
    <w:rsid w:val="0BA12829"/>
    <w:rsid w:val="0BCB720C"/>
    <w:rsid w:val="0BE85AA6"/>
    <w:rsid w:val="0C23344D"/>
    <w:rsid w:val="0C2506CA"/>
    <w:rsid w:val="0C393981"/>
    <w:rsid w:val="0C3B7EEE"/>
    <w:rsid w:val="0CA03970"/>
    <w:rsid w:val="0D0B2017"/>
    <w:rsid w:val="0D5D3E94"/>
    <w:rsid w:val="0D907DC5"/>
    <w:rsid w:val="0D9F44AC"/>
    <w:rsid w:val="0DAC6849"/>
    <w:rsid w:val="0DCF21C8"/>
    <w:rsid w:val="0DDA54E4"/>
    <w:rsid w:val="0DFE5677"/>
    <w:rsid w:val="0E19425F"/>
    <w:rsid w:val="0E2624D8"/>
    <w:rsid w:val="0E4219DB"/>
    <w:rsid w:val="0E5434E9"/>
    <w:rsid w:val="0ED35847"/>
    <w:rsid w:val="0F072309"/>
    <w:rsid w:val="0F4B669A"/>
    <w:rsid w:val="0F6B6D3C"/>
    <w:rsid w:val="0F851480"/>
    <w:rsid w:val="0FA1450C"/>
    <w:rsid w:val="0FDC3796"/>
    <w:rsid w:val="0FF74205"/>
    <w:rsid w:val="1008458B"/>
    <w:rsid w:val="100D4B83"/>
    <w:rsid w:val="106D0892"/>
    <w:rsid w:val="108F25B6"/>
    <w:rsid w:val="10947BCD"/>
    <w:rsid w:val="110E6769"/>
    <w:rsid w:val="112718EB"/>
    <w:rsid w:val="11286567"/>
    <w:rsid w:val="1131366D"/>
    <w:rsid w:val="11AC7198"/>
    <w:rsid w:val="11B22B48"/>
    <w:rsid w:val="11E20D72"/>
    <w:rsid w:val="12046F80"/>
    <w:rsid w:val="124318AA"/>
    <w:rsid w:val="12631F4C"/>
    <w:rsid w:val="129C720C"/>
    <w:rsid w:val="136071FB"/>
    <w:rsid w:val="137B7981"/>
    <w:rsid w:val="138959E3"/>
    <w:rsid w:val="138F7287"/>
    <w:rsid w:val="139B1132"/>
    <w:rsid w:val="139B74C4"/>
    <w:rsid w:val="13E87CB7"/>
    <w:rsid w:val="141317F7"/>
    <w:rsid w:val="145533A6"/>
    <w:rsid w:val="14740441"/>
    <w:rsid w:val="148443FC"/>
    <w:rsid w:val="149F2FE4"/>
    <w:rsid w:val="14A423A8"/>
    <w:rsid w:val="153100AC"/>
    <w:rsid w:val="15312179"/>
    <w:rsid w:val="154F67B8"/>
    <w:rsid w:val="158A77F0"/>
    <w:rsid w:val="158D6BDD"/>
    <w:rsid w:val="15E92BC7"/>
    <w:rsid w:val="15FD3709"/>
    <w:rsid w:val="16157A01"/>
    <w:rsid w:val="162F5D47"/>
    <w:rsid w:val="16685D83"/>
    <w:rsid w:val="167A7865"/>
    <w:rsid w:val="168B1A72"/>
    <w:rsid w:val="16BB4CCF"/>
    <w:rsid w:val="16C32C88"/>
    <w:rsid w:val="16C358AF"/>
    <w:rsid w:val="16D637FC"/>
    <w:rsid w:val="16DB1EC6"/>
    <w:rsid w:val="16F76FA7"/>
    <w:rsid w:val="1706559C"/>
    <w:rsid w:val="172A3039"/>
    <w:rsid w:val="172F064F"/>
    <w:rsid w:val="173506A7"/>
    <w:rsid w:val="1763654B"/>
    <w:rsid w:val="1773288D"/>
    <w:rsid w:val="178D1D96"/>
    <w:rsid w:val="17966920"/>
    <w:rsid w:val="180B1483"/>
    <w:rsid w:val="183459BE"/>
    <w:rsid w:val="183D7B1A"/>
    <w:rsid w:val="184F3D45"/>
    <w:rsid w:val="18BE7B6B"/>
    <w:rsid w:val="18E37943"/>
    <w:rsid w:val="191C4C03"/>
    <w:rsid w:val="194D3428"/>
    <w:rsid w:val="19502AFF"/>
    <w:rsid w:val="195B397D"/>
    <w:rsid w:val="19946E8F"/>
    <w:rsid w:val="199E39C2"/>
    <w:rsid w:val="19A8293B"/>
    <w:rsid w:val="19B4308D"/>
    <w:rsid w:val="19EF40C6"/>
    <w:rsid w:val="1A332204"/>
    <w:rsid w:val="1A7F3E24"/>
    <w:rsid w:val="1AC217DA"/>
    <w:rsid w:val="1AFE2C2B"/>
    <w:rsid w:val="1B1F09DB"/>
    <w:rsid w:val="1B6F1962"/>
    <w:rsid w:val="1B982FF3"/>
    <w:rsid w:val="1BD971F4"/>
    <w:rsid w:val="1C0F2CE1"/>
    <w:rsid w:val="1C224C26"/>
    <w:rsid w:val="1CA8197B"/>
    <w:rsid w:val="1D4C4673"/>
    <w:rsid w:val="1D864D41"/>
    <w:rsid w:val="1DC64109"/>
    <w:rsid w:val="1DD821DB"/>
    <w:rsid w:val="1DD84EE2"/>
    <w:rsid w:val="1DEA52D0"/>
    <w:rsid w:val="1E2702D2"/>
    <w:rsid w:val="1EC575F3"/>
    <w:rsid w:val="1EE00481"/>
    <w:rsid w:val="1F126AC2"/>
    <w:rsid w:val="1F515A39"/>
    <w:rsid w:val="1F754A6A"/>
    <w:rsid w:val="1F7C63FB"/>
    <w:rsid w:val="1F9803AC"/>
    <w:rsid w:val="1FB45B95"/>
    <w:rsid w:val="203D01A7"/>
    <w:rsid w:val="209F2A54"/>
    <w:rsid w:val="20D73ACA"/>
    <w:rsid w:val="20FD1BD4"/>
    <w:rsid w:val="20FD356C"/>
    <w:rsid w:val="211B1C44"/>
    <w:rsid w:val="21671CF6"/>
    <w:rsid w:val="218E0668"/>
    <w:rsid w:val="21B856E5"/>
    <w:rsid w:val="21CF64B9"/>
    <w:rsid w:val="21E93AF0"/>
    <w:rsid w:val="21ED1832"/>
    <w:rsid w:val="21F907FB"/>
    <w:rsid w:val="227B6E3E"/>
    <w:rsid w:val="228D764F"/>
    <w:rsid w:val="22910410"/>
    <w:rsid w:val="229C6DE9"/>
    <w:rsid w:val="22D64075"/>
    <w:rsid w:val="22E76282"/>
    <w:rsid w:val="231150AD"/>
    <w:rsid w:val="2318651F"/>
    <w:rsid w:val="2349026B"/>
    <w:rsid w:val="23BD5235"/>
    <w:rsid w:val="23C465C3"/>
    <w:rsid w:val="23CD1D77"/>
    <w:rsid w:val="240E783E"/>
    <w:rsid w:val="24281889"/>
    <w:rsid w:val="24577437"/>
    <w:rsid w:val="24961D0D"/>
    <w:rsid w:val="24B403E6"/>
    <w:rsid w:val="24C90A33"/>
    <w:rsid w:val="24F074D1"/>
    <w:rsid w:val="25022231"/>
    <w:rsid w:val="251A3303"/>
    <w:rsid w:val="2547125A"/>
    <w:rsid w:val="25545725"/>
    <w:rsid w:val="25710085"/>
    <w:rsid w:val="2593449F"/>
    <w:rsid w:val="259F4C9D"/>
    <w:rsid w:val="25A61BE5"/>
    <w:rsid w:val="25CA1509"/>
    <w:rsid w:val="25EC437E"/>
    <w:rsid w:val="260450DB"/>
    <w:rsid w:val="265C16F9"/>
    <w:rsid w:val="26BE19EF"/>
    <w:rsid w:val="26E054C2"/>
    <w:rsid w:val="270645C5"/>
    <w:rsid w:val="2707406D"/>
    <w:rsid w:val="27174C5C"/>
    <w:rsid w:val="27191DB9"/>
    <w:rsid w:val="275639D6"/>
    <w:rsid w:val="2781787A"/>
    <w:rsid w:val="27CE5C62"/>
    <w:rsid w:val="2801136F"/>
    <w:rsid w:val="28355CE1"/>
    <w:rsid w:val="28440A5B"/>
    <w:rsid w:val="284C045D"/>
    <w:rsid w:val="28846049"/>
    <w:rsid w:val="28A721D0"/>
    <w:rsid w:val="28DC7F0B"/>
    <w:rsid w:val="28E31299"/>
    <w:rsid w:val="292A6AA4"/>
    <w:rsid w:val="29540304"/>
    <w:rsid w:val="299D779B"/>
    <w:rsid w:val="29A5570A"/>
    <w:rsid w:val="29A63C37"/>
    <w:rsid w:val="29A94BD5"/>
    <w:rsid w:val="29C11056"/>
    <w:rsid w:val="29D62BAC"/>
    <w:rsid w:val="2A900FAD"/>
    <w:rsid w:val="2AA119FC"/>
    <w:rsid w:val="2AFC0D9C"/>
    <w:rsid w:val="2B794137"/>
    <w:rsid w:val="2B7F70A5"/>
    <w:rsid w:val="2BBF0C1C"/>
    <w:rsid w:val="2BFA5278"/>
    <w:rsid w:val="2C17011F"/>
    <w:rsid w:val="2C2B3086"/>
    <w:rsid w:val="2C387B4E"/>
    <w:rsid w:val="2C525562"/>
    <w:rsid w:val="2C610E53"/>
    <w:rsid w:val="2C714E0E"/>
    <w:rsid w:val="2C755D0D"/>
    <w:rsid w:val="2C7F577D"/>
    <w:rsid w:val="2CA13945"/>
    <w:rsid w:val="2CAC2A7B"/>
    <w:rsid w:val="2CC24314"/>
    <w:rsid w:val="2CDD07AF"/>
    <w:rsid w:val="2CF90D9F"/>
    <w:rsid w:val="2D44212D"/>
    <w:rsid w:val="2D9B2143"/>
    <w:rsid w:val="2D9E319D"/>
    <w:rsid w:val="2DB86843"/>
    <w:rsid w:val="2DE57862"/>
    <w:rsid w:val="2DFE6E37"/>
    <w:rsid w:val="2E1741F6"/>
    <w:rsid w:val="2E36630F"/>
    <w:rsid w:val="2EB9052E"/>
    <w:rsid w:val="2ED31DB0"/>
    <w:rsid w:val="2EDD0C2B"/>
    <w:rsid w:val="2EF53AD4"/>
    <w:rsid w:val="2F3445FD"/>
    <w:rsid w:val="2F57653D"/>
    <w:rsid w:val="2F6B1FE9"/>
    <w:rsid w:val="2F762E67"/>
    <w:rsid w:val="30413E8E"/>
    <w:rsid w:val="3075313F"/>
    <w:rsid w:val="30C1718D"/>
    <w:rsid w:val="30F45B82"/>
    <w:rsid w:val="30FA3624"/>
    <w:rsid w:val="310426F5"/>
    <w:rsid w:val="312D57A8"/>
    <w:rsid w:val="312E5FEB"/>
    <w:rsid w:val="31A6555A"/>
    <w:rsid w:val="31C76D4C"/>
    <w:rsid w:val="31D356B0"/>
    <w:rsid w:val="31E00A6C"/>
    <w:rsid w:val="32463916"/>
    <w:rsid w:val="324A23F5"/>
    <w:rsid w:val="326276D3"/>
    <w:rsid w:val="32851613"/>
    <w:rsid w:val="32954E27"/>
    <w:rsid w:val="32BF7DFB"/>
    <w:rsid w:val="32C97752"/>
    <w:rsid w:val="32CE2FBA"/>
    <w:rsid w:val="33323549"/>
    <w:rsid w:val="33751688"/>
    <w:rsid w:val="339C4E66"/>
    <w:rsid w:val="33D97E69"/>
    <w:rsid w:val="34207846"/>
    <w:rsid w:val="3434236D"/>
    <w:rsid w:val="3490195C"/>
    <w:rsid w:val="34916467"/>
    <w:rsid w:val="349A75F8"/>
    <w:rsid w:val="34C46423"/>
    <w:rsid w:val="34EB7E53"/>
    <w:rsid w:val="35156C7E"/>
    <w:rsid w:val="35213875"/>
    <w:rsid w:val="353A66E5"/>
    <w:rsid w:val="353F5AA9"/>
    <w:rsid w:val="35586B6B"/>
    <w:rsid w:val="356A4742"/>
    <w:rsid w:val="35A3428A"/>
    <w:rsid w:val="35BE328B"/>
    <w:rsid w:val="35C30A55"/>
    <w:rsid w:val="35C661CB"/>
    <w:rsid w:val="35D07049"/>
    <w:rsid w:val="35E11256"/>
    <w:rsid w:val="35F74A58"/>
    <w:rsid w:val="35FE5964"/>
    <w:rsid w:val="36034D29"/>
    <w:rsid w:val="365E5169"/>
    <w:rsid w:val="367B6FB5"/>
    <w:rsid w:val="369066FC"/>
    <w:rsid w:val="369334DC"/>
    <w:rsid w:val="36AC7588"/>
    <w:rsid w:val="36D33C63"/>
    <w:rsid w:val="36F318CB"/>
    <w:rsid w:val="37023232"/>
    <w:rsid w:val="375E2A17"/>
    <w:rsid w:val="377744E3"/>
    <w:rsid w:val="379E11AD"/>
    <w:rsid w:val="37AB1B1C"/>
    <w:rsid w:val="37F708BD"/>
    <w:rsid w:val="38082ACA"/>
    <w:rsid w:val="38314519"/>
    <w:rsid w:val="38336D98"/>
    <w:rsid w:val="386C3059"/>
    <w:rsid w:val="387542FC"/>
    <w:rsid w:val="3891486E"/>
    <w:rsid w:val="38C70290"/>
    <w:rsid w:val="38E60960"/>
    <w:rsid w:val="38F512A1"/>
    <w:rsid w:val="393A7292"/>
    <w:rsid w:val="39406294"/>
    <w:rsid w:val="394A3E0E"/>
    <w:rsid w:val="394B1EE3"/>
    <w:rsid w:val="396B1563"/>
    <w:rsid w:val="396E1053"/>
    <w:rsid w:val="399E4739"/>
    <w:rsid w:val="3A257964"/>
    <w:rsid w:val="3A3A5061"/>
    <w:rsid w:val="3A3C6A5B"/>
    <w:rsid w:val="3A402444"/>
    <w:rsid w:val="3A4678DA"/>
    <w:rsid w:val="3A4727AD"/>
    <w:rsid w:val="3A555D6F"/>
    <w:rsid w:val="3A571AE7"/>
    <w:rsid w:val="3A8D375B"/>
    <w:rsid w:val="3AAA60BB"/>
    <w:rsid w:val="3AD84A09"/>
    <w:rsid w:val="3ADC1DC5"/>
    <w:rsid w:val="3B0D21A6"/>
    <w:rsid w:val="3B247C1B"/>
    <w:rsid w:val="3B2A61EB"/>
    <w:rsid w:val="3B7A5A8D"/>
    <w:rsid w:val="3B903503"/>
    <w:rsid w:val="3BA05290"/>
    <w:rsid w:val="3C2459F9"/>
    <w:rsid w:val="3C4B567C"/>
    <w:rsid w:val="3C6C6886"/>
    <w:rsid w:val="3C942B7F"/>
    <w:rsid w:val="3C9613C2"/>
    <w:rsid w:val="3CAB3899"/>
    <w:rsid w:val="3CE75344"/>
    <w:rsid w:val="3CF03B2D"/>
    <w:rsid w:val="3CF76527"/>
    <w:rsid w:val="3D463DBE"/>
    <w:rsid w:val="3D4B05F7"/>
    <w:rsid w:val="3D536F54"/>
    <w:rsid w:val="3D8F1598"/>
    <w:rsid w:val="3D934BE4"/>
    <w:rsid w:val="3D995F73"/>
    <w:rsid w:val="3DE2791A"/>
    <w:rsid w:val="3DFD7B27"/>
    <w:rsid w:val="3E263CAA"/>
    <w:rsid w:val="3E396CAE"/>
    <w:rsid w:val="3E506F79"/>
    <w:rsid w:val="3E78202C"/>
    <w:rsid w:val="3EA62247"/>
    <w:rsid w:val="3EC82FB3"/>
    <w:rsid w:val="3F067638"/>
    <w:rsid w:val="3F0F473E"/>
    <w:rsid w:val="3F6251B6"/>
    <w:rsid w:val="3FB65AD9"/>
    <w:rsid w:val="3FC3481B"/>
    <w:rsid w:val="3FE05723"/>
    <w:rsid w:val="40185875"/>
    <w:rsid w:val="40452C81"/>
    <w:rsid w:val="40E81E98"/>
    <w:rsid w:val="41151DB4"/>
    <w:rsid w:val="41FF4F3E"/>
    <w:rsid w:val="42022339"/>
    <w:rsid w:val="42312C1E"/>
    <w:rsid w:val="42925DB2"/>
    <w:rsid w:val="42EB4309"/>
    <w:rsid w:val="435C016E"/>
    <w:rsid w:val="437159C8"/>
    <w:rsid w:val="43AE09CA"/>
    <w:rsid w:val="445826D6"/>
    <w:rsid w:val="44703ED1"/>
    <w:rsid w:val="448917EC"/>
    <w:rsid w:val="44C1472D"/>
    <w:rsid w:val="44CD30D2"/>
    <w:rsid w:val="44D3620E"/>
    <w:rsid w:val="450D39DC"/>
    <w:rsid w:val="452F78E8"/>
    <w:rsid w:val="457E2E70"/>
    <w:rsid w:val="45A656D1"/>
    <w:rsid w:val="45A8769B"/>
    <w:rsid w:val="46032B23"/>
    <w:rsid w:val="4622468B"/>
    <w:rsid w:val="46B81CA9"/>
    <w:rsid w:val="46D52CF0"/>
    <w:rsid w:val="46E62229"/>
    <w:rsid w:val="46FA3F26"/>
    <w:rsid w:val="470C6541"/>
    <w:rsid w:val="47266AC9"/>
    <w:rsid w:val="47C84024"/>
    <w:rsid w:val="47C9114D"/>
    <w:rsid w:val="47F40975"/>
    <w:rsid w:val="48054931"/>
    <w:rsid w:val="483B0352"/>
    <w:rsid w:val="486758C4"/>
    <w:rsid w:val="487C41DD"/>
    <w:rsid w:val="48931F3C"/>
    <w:rsid w:val="495B760C"/>
    <w:rsid w:val="49677321"/>
    <w:rsid w:val="4974292D"/>
    <w:rsid w:val="498B5C77"/>
    <w:rsid w:val="49B27967"/>
    <w:rsid w:val="49DF0B35"/>
    <w:rsid w:val="4A0D488A"/>
    <w:rsid w:val="4A2A75AB"/>
    <w:rsid w:val="4A7638C4"/>
    <w:rsid w:val="4A9511DA"/>
    <w:rsid w:val="4AC705C3"/>
    <w:rsid w:val="4ACF1226"/>
    <w:rsid w:val="4AD4683C"/>
    <w:rsid w:val="4ADF3B5F"/>
    <w:rsid w:val="4AF54F29"/>
    <w:rsid w:val="4B007631"/>
    <w:rsid w:val="4B232DA2"/>
    <w:rsid w:val="4B5670C1"/>
    <w:rsid w:val="4BAF3531"/>
    <w:rsid w:val="4BCD6803"/>
    <w:rsid w:val="4C1E1B11"/>
    <w:rsid w:val="4C63431C"/>
    <w:rsid w:val="4C637F6F"/>
    <w:rsid w:val="4C7D7357"/>
    <w:rsid w:val="4C891FD4"/>
    <w:rsid w:val="4CA010CC"/>
    <w:rsid w:val="4D1D67F6"/>
    <w:rsid w:val="4D562C80"/>
    <w:rsid w:val="4D7560B4"/>
    <w:rsid w:val="4D77225E"/>
    <w:rsid w:val="4D930C30"/>
    <w:rsid w:val="4D9E721C"/>
    <w:rsid w:val="4DAB1AD6"/>
    <w:rsid w:val="4E551F29"/>
    <w:rsid w:val="4F561F16"/>
    <w:rsid w:val="4F585C8E"/>
    <w:rsid w:val="4F6208BA"/>
    <w:rsid w:val="4F7A5C04"/>
    <w:rsid w:val="4F8C3B89"/>
    <w:rsid w:val="4F936CC6"/>
    <w:rsid w:val="4F9812E6"/>
    <w:rsid w:val="4FB60099"/>
    <w:rsid w:val="4FE6773D"/>
    <w:rsid w:val="50130821"/>
    <w:rsid w:val="50137E07"/>
    <w:rsid w:val="501D6F9B"/>
    <w:rsid w:val="50402E5B"/>
    <w:rsid w:val="509314F5"/>
    <w:rsid w:val="50B45146"/>
    <w:rsid w:val="50B91612"/>
    <w:rsid w:val="50EC7FE3"/>
    <w:rsid w:val="51037E7B"/>
    <w:rsid w:val="511676E7"/>
    <w:rsid w:val="51625CF9"/>
    <w:rsid w:val="51890380"/>
    <w:rsid w:val="51932FAD"/>
    <w:rsid w:val="51D3784E"/>
    <w:rsid w:val="522602C5"/>
    <w:rsid w:val="523227C6"/>
    <w:rsid w:val="52376968"/>
    <w:rsid w:val="5242289E"/>
    <w:rsid w:val="5268268C"/>
    <w:rsid w:val="52754DA9"/>
    <w:rsid w:val="52B551A5"/>
    <w:rsid w:val="52BB0A0D"/>
    <w:rsid w:val="52DE1FCB"/>
    <w:rsid w:val="532A1B08"/>
    <w:rsid w:val="536852EA"/>
    <w:rsid w:val="536F6BF3"/>
    <w:rsid w:val="5386726D"/>
    <w:rsid w:val="538961A4"/>
    <w:rsid w:val="53A45945"/>
    <w:rsid w:val="53A6324B"/>
    <w:rsid w:val="53CB1124"/>
    <w:rsid w:val="54297BF9"/>
    <w:rsid w:val="544B176B"/>
    <w:rsid w:val="54925C17"/>
    <w:rsid w:val="549F7EBB"/>
    <w:rsid w:val="54BB7C66"/>
    <w:rsid w:val="55264138"/>
    <w:rsid w:val="558E065B"/>
    <w:rsid w:val="558E2409"/>
    <w:rsid w:val="55B160F8"/>
    <w:rsid w:val="55E71B19"/>
    <w:rsid w:val="560721BC"/>
    <w:rsid w:val="56E12A0D"/>
    <w:rsid w:val="56E322E1"/>
    <w:rsid w:val="56EE0C86"/>
    <w:rsid w:val="56F02C50"/>
    <w:rsid w:val="572B18A4"/>
    <w:rsid w:val="576176AA"/>
    <w:rsid w:val="57822B16"/>
    <w:rsid w:val="579B7990"/>
    <w:rsid w:val="57A53A3A"/>
    <w:rsid w:val="58191461"/>
    <w:rsid w:val="581E3FA7"/>
    <w:rsid w:val="583D33C0"/>
    <w:rsid w:val="58CF0836"/>
    <w:rsid w:val="58D17250"/>
    <w:rsid w:val="58F5454D"/>
    <w:rsid w:val="58F76517"/>
    <w:rsid w:val="590B5B1F"/>
    <w:rsid w:val="590D1897"/>
    <w:rsid w:val="591946E0"/>
    <w:rsid w:val="591E1BC3"/>
    <w:rsid w:val="5967369D"/>
    <w:rsid w:val="59691FED"/>
    <w:rsid w:val="597162CA"/>
    <w:rsid w:val="597638E0"/>
    <w:rsid w:val="59801327"/>
    <w:rsid w:val="59BD32BD"/>
    <w:rsid w:val="59D46859"/>
    <w:rsid w:val="5A094F9B"/>
    <w:rsid w:val="5A276988"/>
    <w:rsid w:val="5A981634"/>
    <w:rsid w:val="5AB75FC4"/>
    <w:rsid w:val="5AD54636"/>
    <w:rsid w:val="5AF26F96"/>
    <w:rsid w:val="5B977B3E"/>
    <w:rsid w:val="5B9E0ECC"/>
    <w:rsid w:val="5BE32D83"/>
    <w:rsid w:val="5BFE62CB"/>
    <w:rsid w:val="5C2C4F2D"/>
    <w:rsid w:val="5C5679F9"/>
    <w:rsid w:val="5C7120A1"/>
    <w:rsid w:val="5C797243"/>
    <w:rsid w:val="5C806824"/>
    <w:rsid w:val="5CB52971"/>
    <w:rsid w:val="5CFD7E74"/>
    <w:rsid w:val="5D63417B"/>
    <w:rsid w:val="5D775E79"/>
    <w:rsid w:val="5D8B36D2"/>
    <w:rsid w:val="5D8F4F70"/>
    <w:rsid w:val="5DAF116F"/>
    <w:rsid w:val="5DB30B4D"/>
    <w:rsid w:val="5DD30284"/>
    <w:rsid w:val="5E162F9C"/>
    <w:rsid w:val="5E5B30A5"/>
    <w:rsid w:val="5E8545C5"/>
    <w:rsid w:val="5EBB0BAD"/>
    <w:rsid w:val="5EC7698C"/>
    <w:rsid w:val="5EE70977"/>
    <w:rsid w:val="5F17346F"/>
    <w:rsid w:val="5FD217D5"/>
    <w:rsid w:val="602045A6"/>
    <w:rsid w:val="602C2605"/>
    <w:rsid w:val="608B78E2"/>
    <w:rsid w:val="609B1E7E"/>
    <w:rsid w:val="60B85F03"/>
    <w:rsid w:val="60DC361E"/>
    <w:rsid w:val="613227E3"/>
    <w:rsid w:val="613B24C6"/>
    <w:rsid w:val="614C4F26"/>
    <w:rsid w:val="615564D1"/>
    <w:rsid w:val="616933C9"/>
    <w:rsid w:val="61A15272"/>
    <w:rsid w:val="61B74A96"/>
    <w:rsid w:val="61C4171F"/>
    <w:rsid w:val="61F93300"/>
    <w:rsid w:val="6205284E"/>
    <w:rsid w:val="621D48D8"/>
    <w:rsid w:val="624A77E6"/>
    <w:rsid w:val="62854B94"/>
    <w:rsid w:val="631E435E"/>
    <w:rsid w:val="63213CF4"/>
    <w:rsid w:val="633345F0"/>
    <w:rsid w:val="63514A76"/>
    <w:rsid w:val="63AC7EFE"/>
    <w:rsid w:val="63D86F45"/>
    <w:rsid w:val="644606A8"/>
    <w:rsid w:val="6450412D"/>
    <w:rsid w:val="64CA053B"/>
    <w:rsid w:val="64CA31F0"/>
    <w:rsid w:val="64D771FD"/>
    <w:rsid w:val="64DA367B"/>
    <w:rsid w:val="64DD4813"/>
    <w:rsid w:val="64E14962"/>
    <w:rsid w:val="64F61D79"/>
    <w:rsid w:val="65282833"/>
    <w:rsid w:val="652E26F9"/>
    <w:rsid w:val="65366619"/>
    <w:rsid w:val="65416DD3"/>
    <w:rsid w:val="65727C4B"/>
    <w:rsid w:val="658554FB"/>
    <w:rsid w:val="658B6DC7"/>
    <w:rsid w:val="659F7D1B"/>
    <w:rsid w:val="65AA3925"/>
    <w:rsid w:val="65E676F8"/>
    <w:rsid w:val="660B3602"/>
    <w:rsid w:val="662A7F2C"/>
    <w:rsid w:val="662D5327"/>
    <w:rsid w:val="66575889"/>
    <w:rsid w:val="667C62AE"/>
    <w:rsid w:val="668F2A3A"/>
    <w:rsid w:val="66A23F66"/>
    <w:rsid w:val="66AD4998"/>
    <w:rsid w:val="66BA7997"/>
    <w:rsid w:val="66E14363"/>
    <w:rsid w:val="676A395C"/>
    <w:rsid w:val="67713939"/>
    <w:rsid w:val="67915D89"/>
    <w:rsid w:val="67CD5013"/>
    <w:rsid w:val="67DD2D7C"/>
    <w:rsid w:val="68662D72"/>
    <w:rsid w:val="68A33BCF"/>
    <w:rsid w:val="68B61551"/>
    <w:rsid w:val="69AB16B7"/>
    <w:rsid w:val="69D837FB"/>
    <w:rsid w:val="69FF3DA6"/>
    <w:rsid w:val="6A0A597F"/>
    <w:rsid w:val="6A250690"/>
    <w:rsid w:val="6A5938E3"/>
    <w:rsid w:val="6A9516EC"/>
    <w:rsid w:val="6AA803E7"/>
    <w:rsid w:val="6AE90161"/>
    <w:rsid w:val="6B2947D1"/>
    <w:rsid w:val="6BB87D88"/>
    <w:rsid w:val="6BE26BB3"/>
    <w:rsid w:val="6BFF0DBE"/>
    <w:rsid w:val="6C0A54C0"/>
    <w:rsid w:val="6C7C2B64"/>
    <w:rsid w:val="6CF50B68"/>
    <w:rsid w:val="6D0D3798"/>
    <w:rsid w:val="6D360A56"/>
    <w:rsid w:val="6D3844C7"/>
    <w:rsid w:val="6D746AAD"/>
    <w:rsid w:val="6DA46816"/>
    <w:rsid w:val="6DA5433C"/>
    <w:rsid w:val="6E0252EB"/>
    <w:rsid w:val="6E0A1704"/>
    <w:rsid w:val="6E277B45"/>
    <w:rsid w:val="6E315BD0"/>
    <w:rsid w:val="6E3631E6"/>
    <w:rsid w:val="6E495542"/>
    <w:rsid w:val="6E70494A"/>
    <w:rsid w:val="6E734556"/>
    <w:rsid w:val="6E7855AD"/>
    <w:rsid w:val="6E7D42EE"/>
    <w:rsid w:val="6ECD3B4B"/>
    <w:rsid w:val="6ED26B2E"/>
    <w:rsid w:val="6EF70BC7"/>
    <w:rsid w:val="6F062BB9"/>
    <w:rsid w:val="6F6C6B68"/>
    <w:rsid w:val="6F751AEC"/>
    <w:rsid w:val="6F7B1AEF"/>
    <w:rsid w:val="6F8C57B4"/>
    <w:rsid w:val="6F997ED1"/>
    <w:rsid w:val="702D463D"/>
    <w:rsid w:val="703025E3"/>
    <w:rsid w:val="703379DD"/>
    <w:rsid w:val="709A7A5C"/>
    <w:rsid w:val="70A64653"/>
    <w:rsid w:val="70B52AE8"/>
    <w:rsid w:val="70BC3E77"/>
    <w:rsid w:val="70F3716D"/>
    <w:rsid w:val="711C7DEE"/>
    <w:rsid w:val="71217372"/>
    <w:rsid w:val="715A543E"/>
    <w:rsid w:val="71A87053"/>
    <w:rsid w:val="71B132B0"/>
    <w:rsid w:val="71CA611F"/>
    <w:rsid w:val="71CB5851"/>
    <w:rsid w:val="72101EA0"/>
    <w:rsid w:val="724F1FEB"/>
    <w:rsid w:val="725F2E5A"/>
    <w:rsid w:val="72757DB1"/>
    <w:rsid w:val="72AE77EF"/>
    <w:rsid w:val="72B017B9"/>
    <w:rsid w:val="72BB1F0C"/>
    <w:rsid w:val="72D1172F"/>
    <w:rsid w:val="72F316A6"/>
    <w:rsid w:val="73020FF3"/>
    <w:rsid w:val="739048A5"/>
    <w:rsid w:val="73B862A1"/>
    <w:rsid w:val="745F28C4"/>
    <w:rsid w:val="747C78F7"/>
    <w:rsid w:val="747F7695"/>
    <w:rsid w:val="7483115A"/>
    <w:rsid w:val="74CE5F27"/>
    <w:rsid w:val="74DF6386"/>
    <w:rsid w:val="750E6C6B"/>
    <w:rsid w:val="751A73BE"/>
    <w:rsid w:val="756E14B8"/>
    <w:rsid w:val="75864A53"/>
    <w:rsid w:val="75894508"/>
    <w:rsid w:val="75CF06D9"/>
    <w:rsid w:val="75D1787A"/>
    <w:rsid w:val="76045978"/>
    <w:rsid w:val="760F4A49"/>
    <w:rsid w:val="76133B2A"/>
    <w:rsid w:val="76530DD9"/>
    <w:rsid w:val="767A350B"/>
    <w:rsid w:val="76A644C4"/>
    <w:rsid w:val="76A77C3C"/>
    <w:rsid w:val="77F205C7"/>
    <w:rsid w:val="78120820"/>
    <w:rsid w:val="78126A72"/>
    <w:rsid w:val="781400F4"/>
    <w:rsid w:val="78144598"/>
    <w:rsid w:val="783B1B25"/>
    <w:rsid w:val="783E6762"/>
    <w:rsid w:val="785610A2"/>
    <w:rsid w:val="78615304"/>
    <w:rsid w:val="78D76F87"/>
    <w:rsid w:val="79226841"/>
    <w:rsid w:val="794B223C"/>
    <w:rsid w:val="794C38BE"/>
    <w:rsid w:val="796A42FA"/>
    <w:rsid w:val="79752E15"/>
    <w:rsid w:val="7999158E"/>
    <w:rsid w:val="79D51B05"/>
    <w:rsid w:val="7A08012D"/>
    <w:rsid w:val="7A0F3269"/>
    <w:rsid w:val="7A41719B"/>
    <w:rsid w:val="7A644541"/>
    <w:rsid w:val="7A856043"/>
    <w:rsid w:val="7AA716F4"/>
    <w:rsid w:val="7B000A80"/>
    <w:rsid w:val="7B475882"/>
    <w:rsid w:val="7B7F6999"/>
    <w:rsid w:val="7B8B5094"/>
    <w:rsid w:val="7B8E2477"/>
    <w:rsid w:val="7BB4552D"/>
    <w:rsid w:val="7BC167E5"/>
    <w:rsid w:val="7C5238E1"/>
    <w:rsid w:val="7C547659"/>
    <w:rsid w:val="7C972F41"/>
    <w:rsid w:val="7CE7399F"/>
    <w:rsid w:val="7D226E2B"/>
    <w:rsid w:val="7D6F3C42"/>
    <w:rsid w:val="7D781125"/>
    <w:rsid w:val="7D8628FA"/>
    <w:rsid w:val="7D943A85"/>
    <w:rsid w:val="7DAF266D"/>
    <w:rsid w:val="7DC77AC8"/>
    <w:rsid w:val="7DE42E8D"/>
    <w:rsid w:val="7DF12C86"/>
    <w:rsid w:val="7E0712F2"/>
    <w:rsid w:val="7E292420"/>
    <w:rsid w:val="7EA877E8"/>
    <w:rsid w:val="7EAA7A04"/>
    <w:rsid w:val="7EC42148"/>
    <w:rsid w:val="7EE33B7E"/>
    <w:rsid w:val="7EEF3F71"/>
    <w:rsid w:val="7F01339C"/>
    <w:rsid w:val="7F160BF6"/>
    <w:rsid w:val="7F364DF4"/>
    <w:rsid w:val="7F5E66D4"/>
    <w:rsid w:val="7FA2248A"/>
    <w:rsid w:val="7FDD39B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6"/>
    <w:basedOn w:val="1"/>
    <w:next w:val="1"/>
    <w:qFormat/>
    <w:uiPriority w:val="0"/>
    <w:pPr>
      <w:spacing w:before="60" w:after="60" w:line="360" w:lineRule="auto"/>
      <w:outlineLvl w:val="5"/>
    </w:pPr>
    <w:rPr>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 w:type="paragraph" w:styleId="6">
    <w:name w:val="Normal Indent"/>
    <w:basedOn w:val="1"/>
    <w:qFormat/>
    <w:uiPriority w:val="0"/>
    <w:pPr>
      <w:ind w:firstLine="420" w:firstLineChars="200"/>
    </w:pPr>
    <w:rPr>
      <w:szCs w:val="20"/>
    </w:rPr>
  </w:style>
  <w:style w:type="paragraph" w:styleId="7">
    <w:name w:val="annotation text"/>
    <w:basedOn w:val="1"/>
    <w:link w:val="37"/>
    <w:unhideWhenUsed/>
    <w:qFormat/>
    <w:uiPriority w:val="99"/>
    <w:pPr>
      <w:jc w:val="left"/>
    </w:pPr>
    <w:rPr>
      <w:kern w:val="0"/>
      <w:sz w:val="20"/>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Balloon Text"/>
    <w:basedOn w:val="1"/>
    <w:link w:val="42"/>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link w:val="36"/>
    <w:qFormat/>
    <w:uiPriority w:val="0"/>
    <w:pP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Body Text 2"/>
    <w:basedOn w:val="1"/>
    <w:qFormat/>
    <w:uiPriority w:val="99"/>
    <w:pPr>
      <w:spacing w:before="240"/>
    </w:pPr>
    <w:rPr>
      <w:rFonts w:ascii="Calibri" w:hAnsi="Calibri"/>
      <w:color w:val="FF000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7"/>
    <w:next w:val="7"/>
    <w:link w:val="38"/>
    <w:qFormat/>
    <w:uiPriority w:val="0"/>
    <w:rPr>
      <w:b/>
      <w:bCs/>
      <w:kern w:val="2"/>
      <w:sz w:val="21"/>
    </w:rPr>
  </w:style>
  <w:style w:type="paragraph" w:styleId="19">
    <w:name w:val="Body Text First Indent"/>
    <w:basedOn w:val="2"/>
    <w:qFormat/>
    <w:uiPriority w:val="0"/>
    <w:pPr>
      <w:snapToGrid w:val="0"/>
      <w:spacing w:line="560" w:lineRule="exact"/>
      <w:ind w:firstLine="200" w:firstLineChars="200"/>
    </w:pPr>
    <w:rPr>
      <w:rFonts w:ascii="仿宋" w:hAnsi="仿宋" w:cs="仿宋"/>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rPr>
  </w:style>
  <w:style w:type="character" w:styleId="24">
    <w:name w:val="page number"/>
    <w:qFormat/>
    <w:uiPriority w:val="0"/>
  </w:style>
  <w:style w:type="character" w:styleId="25">
    <w:name w:val="annotation reference"/>
    <w:basedOn w:val="22"/>
    <w:qFormat/>
    <w:uiPriority w:val="0"/>
    <w:rPr>
      <w:sz w:val="21"/>
      <w:szCs w:val="21"/>
    </w:r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8">
    <w:name w:val="List Paragraph"/>
    <w:basedOn w:val="1"/>
    <w:qFormat/>
    <w:uiPriority w:val="34"/>
    <w:pPr>
      <w:ind w:firstLine="420" w:firstLineChars="200"/>
    </w:pPr>
  </w:style>
  <w:style w:type="character" w:customStyle="1" w:styleId="29">
    <w:name w:val="NormalCharacter"/>
    <w:qFormat/>
    <w:uiPriority w:val="0"/>
    <w:rPr>
      <w:kern w:val="2"/>
      <w:sz w:val="21"/>
      <w:szCs w:val="24"/>
      <w:lang w:val="en-US" w:eastAsia="zh-CN" w:bidi="ar-SA"/>
    </w:r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paragraph" w:customStyle="1" w:styleId="33">
    <w:name w:val="正文格式"/>
    <w:basedOn w:val="8"/>
    <w:qFormat/>
    <w:uiPriority w:val="99"/>
    <w:pPr>
      <w:spacing w:after="0" w:line="360" w:lineRule="auto"/>
      <w:ind w:left="0" w:leftChars="0" w:firstLine="600"/>
    </w:pPr>
    <w:rPr>
      <w:rFonts w:eastAsia="仿宋_GB2312"/>
      <w:sz w:val="30"/>
      <w:szCs w:val="30"/>
    </w:rPr>
  </w:style>
  <w:style w:type="paragraph" w:customStyle="1" w:styleId="34">
    <w:name w:val="msolistparagraph"/>
    <w:basedOn w:val="1"/>
    <w:qFormat/>
    <w:uiPriority w:val="0"/>
    <w:pPr>
      <w:ind w:firstLine="420" w:firstLineChars="200"/>
    </w:pPr>
  </w:style>
  <w:style w:type="paragraph" w:customStyle="1" w:styleId="3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6">
    <w:name w:val="页眉 Char"/>
    <w:basedOn w:val="22"/>
    <w:link w:val="13"/>
    <w:qFormat/>
    <w:uiPriority w:val="0"/>
    <w:rPr>
      <w:kern w:val="2"/>
      <w:sz w:val="18"/>
      <w:szCs w:val="18"/>
    </w:rPr>
  </w:style>
  <w:style w:type="character" w:customStyle="1" w:styleId="37">
    <w:name w:val="批注文字 Char"/>
    <w:basedOn w:val="22"/>
    <w:link w:val="7"/>
    <w:qFormat/>
    <w:uiPriority w:val="99"/>
    <w:rPr>
      <w:szCs w:val="24"/>
    </w:rPr>
  </w:style>
  <w:style w:type="character" w:customStyle="1" w:styleId="38">
    <w:name w:val="批注主题 Char"/>
    <w:basedOn w:val="37"/>
    <w:link w:val="18"/>
    <w:qFormat/>
    <w:uiPriority w:val="0"/>
    <w:rPr>
      <w:b/>
      <w:bCs/>
      <w:kern w:val="2"/>
      <w:sz w:val="21"/>
      <w:szCs w:val="24"/>
    </w:rPr>
  </w:style>
  <w:style w:type="paragraph" w:customStyle="1" w:styleId="39">
    <w:name w:val="9前海 正文"/>
    <w:basedOn w:val="40"/>
    <w:qFormat/>
    <w:uiPriority w:val="0"/>
    <w:pPr>
      <w:ind w:firstLine="640"/>
    </w:pPr>
    <w:rPr>
      <w:rFonts w:ascii="仿宋_GB2312" w:eastAsia="仿宋_GB2312"/>
    </w:rPr>
  </w:style>
  <w:style w:type="paragraph" w:customStyle="1" w:styleId="40">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1">
    <w:name w:val="列出段落2"/>
    <w:basedOn w:val="1"/>
    <w:qFormat/>
    <w:uiPriority w:val="34"/>
    <w:pPr>
      <w:ind w:firstLine="420" w:firstLineChars="200"/>
    </w:pPr>
  </w:style>
  <w:style w:type="character" w:customStyle="1" w:styleId="42">
    <w:name w:val="批注框文本 Char"/>
    <w:basedOn w:val="22"/>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20893</Words>
  <Characters>21482</Characters>
  <Lines>410</Lines>
  <Paragraphs>115</Paragraphs>
  <TotalTime>2</TotalTime>
  <ScaleCrop>false</ScaleCrop>
  <LinksUpToDate>false</LinksUpToDate>
  <CharactersWithSpaces>21848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黎俊</dc:creator>
  <cp:lastModifiedBy>黎俊</cp:lastModifiedBy>
  <dcterms:modified xsi:type="dcterms:W3CDTF">2025-09-18T09:39:31Z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eyJoZGlkIjoiMmVhYjIwYTFkMDUyN2RmOGI2OTNiMWRjYmY5MjBlYTUiLCJ1c2VySWQiOiIzOTQyODIxNTkifQ==</vt:lpwstr>
  </property>
  <property fmtid="{D5CDD505-2E9C-101B-9397-08002B2CF9AE}" pid="4" name="ICV">
    <vt:lpwstr>8EF8677268FB498FA56E6BE463345B62</vt:lpwstr>
  </property>
</Properties>
</file>