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4"/>
        <w:ind w:firstLine="420"/>
        <w:rPr>
          <w:rFonts w:hint="eastAsia" w:ascii="宋体" w:hAnsi="宋体" w:cs="宋体"/>
          <w:color w:val="auto"/>
        </w:rPr>
      </w:pPr>
    </w:p>
    <w:p>
      <w:pPr>
        <w:pStyle w:val="24"/>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招标编号：</w:t>
      </w:r>
      <w:r>
        <w:rPr>
          <w:rFonts w:hint="eastAsia" w:ascii="宋体" w:hAnsi="宋体" w:cs="宋体"/>
          <w:b/>
          <w:color w:val="auto"/>
          <w:sz w:val="36"/>
          <w:szCs w:val="36"/>
          <w:lang w:eastAsia="zh-CN"/>
        </w:rPr>
        <w:t>QH2025099</w:t>
      </w:r>
    </w:p>
    <w:p>
      <w:pPr>
        <w:pStyle w:val="24"/>
        <w:ind w:firstLine="420"/>
        <w:rPr>
          <w:rFonts w:hint="eastAsia" w:ascii="宋体" w:hAnsi="宋体" w:cs="宋体"/>
          <w:color w:val="auto"/>
        </w:rPr>
      </w:pPr>
    </w:p>
    <w:p>
      <w:pPr>
        <w:pStyle w:val="24"/>
        <w:ind w:firstLine="420"/>
        <w:rPr>
          <w:rFonts w:hint="eastAsia" w:ascii="宋体" w:hAnsi="宋体" w:cs="宋体"/>
          <w:color w:val="auto"/>
        </w:rPr>
      </w:pPr>
    </w:p>
    <w:p>
      <w:pPr>
        <w:pStyle w:val="24"/>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前海管理局国资国企“十五五”战略规划咨询服务</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2025年</w:t>
      </w:r>
      <w:r>
        <w:rPr>
          <w:rFonts w:hint="eastAsia" w:ascii="宋体" w:hAnsi="宋体" w:cs="宋体"/>
          <w:b/>
          <w:bCs/>
          <w:color w:val="auto"/>
          <w:sz w:val="36"/>
          <w:szCs w:val="36"/>
          <w:lang w:val="en-US" w:eastAsia="zh-CN"/>
        </w:rPr>
        <w:t>9</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ind w:firstLine="480" w:firstLineChars="200"/>
        <w:rPr>
          <w:rFonts w:hint="eastAsia" w:ascii="宋体" w:hAnsi="宋体" w:cs="宋体"/>
          <w:color w:val="auto"/>
          <w:sz w:val="24"/>
        </w:rPr>
      </w:pPr>
      <w:r>
        <w:rPr>
          <w:rFonts w:hint="eastAsia" w:ascii="宋体" w:hAnsi="宋体" w:cs="宋体"/>
          <w:color w:val="auto"/>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4482" w:type="pct"/>
            <w:vAlign w:val="center"/>
          </w:tcPr>
          <w:p>
            <w:pPr>
              <w:jc w:val="center"/>
              <w:rPr>
                <w:rFonts w:hint="eastAsia" w:ascii="宋体" w:hAnsi="宋体" w:cs="宋体"/>
                <w:b/>
                <w:bCs/>
                <w:color w:val="auto"/>
                <w:sz w:val="24"/>
              </w:rPr>
            </w:pPr>
            <w:r>
              <w:rPr>
                <w:rFonts w:hint="eastAsia" w:ascii="宋体" w:hAnsi="宋体" w:cs="宋体"/>
                <w:b/>
                <w:bCs/>
                <w:color w:val="auto"/>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与其他投标供应商的法定代表人、主要经营负责人、投标授权代表人、项目负责人、主要技术人员为</w:t>
            </w:r>
            <w:r>
              <w:rPr>
                <w:rFonts w:hint="eastAsia" w:ascii="宋体" w:hAnsi="宋体" w:cs="宋体"/>
                <w:b/>
                <w:bCs/>
                <w:color w:val="auto"/>
                <w:sz w:val="24"/>
              </w:rPr>
              <w:t>同一人、属同一单位或者在同一单位缴纳社会保险</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参与本项目政府采购活动时，与其他投标供应商存在单位负责人为</w:t>
            </w:r>
            <w:r>
              <w:rPr>
                <w:rFonts w:hint="eastAsia" w:ascii="宋体" w:hAnsi="宋体" w:cs="宋体"/>
                <w:b/>
                <w:bCs/>
                <w:color w:val="auto"/>
                <w:sz w:val="24"/>
              </w:rPr>
              <w:t>同一人或直接控股、管理关系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与其他投标供应商的投标文件或部分投标文件</w:t>
            </w:r>
            <w:r>
              <w:rPr>
                <w:rFonts w:hint="eastAsia" w:ascii="宋体" w:hAnsi="宋体" w:cs="宋体"/>
                <w:b/>
                <w:bCs/>
                <w:color w:val="auto"/>
                <w:sz w:val="24"/>
              </w:rPr>
              <w:t>相互混装或存在非正常一致</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与其他投标供应商的投标文件由</w:t>
            </w:r>
            <w:r>
              <w:rPr>
                <w:rFonts w:hint="eastAsia" w:ascii="宋体" w:hAnsi="宋体" w:cs="宋体"/>
                <w:b/>
                <w:bCs/>
                <w:color w:val="auto"/>
                <w:sz w:val="24"/>
              </w:rPr>
              <w:t>同一单位或者同一人编制</w:t>
            </w:r>
            <w:r>
              <w:rPr>
                <w:rFonts w:hint="eastAsia" w:ascii="宋体" w:hAnsi="宋体" w:cs="宋体"/>
                <w:color w:val="auto"/>
                <w:sz w:val="24"/>
              </w:rPr>
              <w:t>，或者使用</w:t>
            </w:r>
            <w:r>
              <w:rPr>
                <w:rFonts w:hint="eastAsia" w:ascii="宋体" w:hAnsi="宋体" w:cs="宋体"/>
                <w:b/>
                <w:bCs/>
                <w:color w:val="auto"/>
                <w:sz w:val="24"/>
              </w:rPr>
              <w:t>同一设备编制</w:t>
            </w:r>
            <w:r>
              <w:rPr>
                <w:rFonts w:hint="eastAsia" w:ascii="宋体" w:hAnsi="宋体" w:cs="宋体"/>
                <w:color w:val="auto"/>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提供</w:t>
            </w:r>
            <w:r>
              <w:rPr>
                <w:rFonts w:hint="eastAsia" w:ascii="宋体" w:hAnsi="宋体" w:cs="宋体"/>
                <w:b/>
                <w:bCs/>
                <w:color w:val="auto"/>
                <w:sz w:val="24"/>
              </w:rPr>
              <w:t>未经出具机构核实</w:t>
            </w:r>
            <w:r>
              <w:rPr>
                <w:rFonts w:hint="eastAsia" w:ascii="宋体" w:hAnsi="宋体" w:cs="宋体"/>
                <w:color w:val="auto"/>
                <w:sz w:val="24"/>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auto"/>
          <w:sz w:val="24"/>
        </w:rPr>
      </w:pPr>
      <w:r>
        <w:rPr>
          <w:rStyle w:val="20"/>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3"/>
        <w:shd w:val="clear" w:color="auto" w:fill="FFFFFF"/>
        <w:spacing w:before="0" w:beforeAutospacing="0" w:after="0" w:afterAutospacing="0" w:line="360" w:lineRule="auto"/>
        <w:ind w:firstLine="480" w:firstLineChars="200"/>
        <w:rPr>
          <w:rFonts w:hint="eastAsia"/>
          <w:color w:val="auto"/>
        </w:rPr>
      </w:pPr>
      <w:bookmarkStart w:id="1" w:name="_Toc2750"/>
      <w:r>
        <w:rPr>
          <w:rFonts w:hint="eastAsia"/>
          <w:color w:val="auto"/>
        </w:rPr>
        <w:t>（一）在采购活动中应当回避而未回避的；</w:t>
      </w:r>
      <w:bookmarkEnd w:id="1"/>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（二）未按照本条例规定签订、履行采购合同，造成严重后果的；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（三）隐瞒真实情况，提供虚假资料的；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（四）以非法手段排斥其他供应商参与竞争的；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（五）与其他采购参加人串通投标的；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（六）恶意投诉的；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（七）向采购项目相关人行贿或者提供其他不当利益的；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（八）阻碍、抗拒主管部门监督检查的；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auto"/>
          <w:kern w:val="0"/>
          <w:sz w:val="24"/>
        </w:rPr>
      </w:pPr>
    </w:p>
    <w:p>
      <w:pPr>
        <w:autoSpaceDE w:val="0"/>
        <w:autoSpaceDN w:val="0"/>
        <w:adjustRightInd w:val="0"/>
        <w:spacing w:line="360" w:lineRule="auto"/>
        <w:jc w:val="center"/>
        <w:rPr>
          <w:rFonts w:hint="eastAsia" w:ascii="宋体" w:hAnsi="宋体" w:cs="宋体"/>
          <w:b/>
          <w:color w:val="auto"/>
          <w:kern w:val="0"/>
          <w:sz w:val="24"/>
        </w:rPr>
      </w:pP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360" w:lineRule="auto"/>
        <w:ind w:firstLine="480" w:firstLineChars="200"/>
        <w:rPr>
          <w:rFonts w:hint="eastAsia"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（四）投标保证金不是从投标供应商基本账户转出的；</w:t>
      </w:r>
    </w:p>
    <w:p>
      <w:pPr>
        <w:keepLines/>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（五）其他隐瞒真实情况、提供虚假资料的行为。</w:t>
      </w:r>
    </w:p>
    <w:p>
      <w:pPr>
        <w:keepLines/>
        <w:spacing w:line="360" w:lineRule="auto"/>
        <w:ind w:firstLine="480" w:firstLineChars="200"/>
        <w:jc w:val="left"/>
        <w:rPr>
          <w:rFonts w:hint="eastAsia" w:ascii="宋体" w:hAnsi="宋体" w:cs="宋体"/>
          <w:color w:val="auto"/>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360" w:lineRule="auto"/>
        <w:ind w:firstLine="482" w:firstLineChars="200"/>
        <w:jc w:val="left"/>
        <w:rPr>
          <w:rFonts w:hint="eastAsia"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auto"/>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color w:val="auto"/>
        </w:rPr>
      </w:pPr>
      <w:r>
        <w:rPr>
          <w:rFonts w:hint="eastAsia" w:ascii="宋体" w:hAnsi="宋体" w:cs="宋体"/>
          <w:b/>
          <w:bCs/>
          <w:color w:val="auto"/>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auto"/>
          <w:sz w:val="36"/>
          <w:szCs w:val="36"/>
          <w:lang w:val="zh-CN"/>
        </w:rPr>
      </w:pPr>
      <w:bookmarkStart w:id="6" w:name="_Toc20808"/>
      <w:r>
        <w:rPr>
          <w:rFonts w:hint="eastAsia" w:ascii="宋体" w:hAnsi="宋体" w:cs="宋体"/>
          <w:b/>
          <w:bCs/>
          <w:color w:val="auto"/>
          <w:sz w:val="36"/>
          <w:szCs w:val="36"/>
          <w:lang w:val="zh-CN"/>
        </w:rPr>
        <w:t>目录</w:t>
      </w:r>
      <w:bookmarkEnd w:id="0"/>
      <w:bookmarkEnd w:id="6"/>
    </w:p>
    <w:p>
      <w:pPr>
        <w:pStyle w:val="11"/>
        <w:tabs>
          <w:tab w:val="right" w:leader="dot" w:pos="8306"/>
        </w:tabs>
        <w:spacing w:line="480" w:lineRule="auto"/>
        <w:rPr>
          <w:b/>
          <w:bCs/>
          <w:color w:val="auto"/>
          <w:sz w:val="24"/>
          <w:szCs w:val="32"/>
        </w:rPr>
      </w:pPr>
    </w:p>
    <w:p>
      <w:pPr>
        <w:pStyle w:val="11"/>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"_Toc17273" </w:instrText>
      </w:r>
      <w:r>
        <w:rPr>
          <w:color w:val="auto"/>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6</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"_Toc10214" </w:instrText>
      </w:r>
      <w:r>
        <w:rPr>
          <w:color w:val="auto"/>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10</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"_Toc20176" </w:instrText>
      </w:r>
      <w:r>
        <w:rPr>
          <w:color w:val="auto"/>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13</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"_Toc3567" </w:instrText>
      </w:r>
      <w:r>
        <w:rPr>
          <w:color w:val="auto"/>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15</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"_Toc25518" </w:instrText>
      </w:r>
      <w:r>
        <w:rPr>
          <w:color w:val="auto"/>
        </w:rPr>
        <w:fldChar w:fldCharType="separate"/>
      </w:r>
      <w:r>
        <w:rPr>
          <w:rFonts w:hint="eastAsia" w:ascii="宋体" w:hAnsi="宋体" w:cs="宋体"/>
          <w:b/>
          <w:bCs/>
          <w:color w:val="auto"/>
          <w:sz w:val="24"/>
        </w:rPr>
        <w:t>第五章 用户需求书</w:t>
      </w:r>
      <w:r>
        <w:rPr>
          <w:b/>
          <w:bCs/>
          <w:color w:val="auto"/>
          <w:sz w:val="24"/>
        </w:rPr>
        <w:tab/>
      </w:r>
      <w:r>
        <w:rPr>
          <w:b/>
          <w:bCs/>
          <w:color w:val="auto"/>
          <w:sz w:val="24"/>
        </w:rPr>
        <w:fldChar w:fldCharType="end"/>
      </w:r>
      <w:r>
        <w:rPr>
          <w:rFonts w:hint="eastAsia"/>
          <w:b/>
          <w:bCs/>
          <w:color w:val="auto"/>
          <w:sz w:val="24"/>
        </w:rPr>
        <w:t>26</w:t>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"_Toc23822" </w:instrText>
      </w:r>
      <w:r>
        <w:rPr>
          <w:color w:val="auto"/>
        </w:rPr>
        <w:fldChar w:fldCharType="separate"/>
      </w:r>
      <w:r>
        <w:rPr>
          <w:rFonts w:hint="eastAsia" w:ascii="宋体" w:cs="宋体"/>
          <w:b/>
          <w:bCs/>
          <w:color w:val="auto"/>
          <w:sz w:val="24"/>
        </w:rPr>
        <w:t>第六章 投标文件初审及招标项目评分表</w:t>
      </w:r>
      <w:r>
        <w:rPr>
          <w:b/>
          <w:bCs/>
          <w:color w:val="auto"/>
          <w:sz w:val="24"/>
        </w:rPr>
        <w:tab/>
      </w:r>
      <w:r>
        <w:rPr>
          <w:b/>
          <w:bCs/>
          <w:color w:val="auto"/>
          <w:sz w:val="24"/>
        </w:rPr>
        <w:fldChar w:fldCharType="end"/>
      </w:r>
      <w:r>
        <w:rPr>
          <w:rFonts w:hint="eastAsia"/>
          <w:b/>
          <w:bCs/>
          <w:color w:val="auto"/>
          <w:sz w:val="24"/>
        </w:rPr>
        <w:t>32</w:t>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"_Toc9548" </w:instrText>
      </w:r>
      <w:r>
        <w:rPr>
          <w:color w:val="auto"/>
        </w:rPr>
        <w:fldChar w:fldCharType="separate"/>
      </w:r>
      <w:r>
        <w:rPr>
          <w:rFonts w:hint="eastAsia" w:ascii="宋体" w:hAnsi="宋体" w:cs="宋体"/>
          <w:b/>
          <w:bCs/>
          <w:color w:val="auto"/>
          <w:sz w:val="24"/>
        </w:rPr>
        <w:t>第七章 附件（投标文件格式）</w:t>
      </w:r>
      <w:r>
        <w:rPr>
          <w:b/>
          <w:bCs/>
          <w:color w:val="auto"/>
          <w:sz w:val="24"/>
        </w:rPr>
        <w:tab/>
      </w:r>
      <w:r>
        <w:rPr>
          <w:b/>
          <w:bCs/>
          <w:color w:val="auto"/>
          <w:sz w:val="24"/>
        </w:rPr>
        <w:fldChar w:fldCharType="end"/>
      </w:r>
      <w:r>
        <w:rPr>
          <w:rFonts w:hint="eastAsia"/>
          <w:b/>
          <w:bCs/>
          <w:color w:val="auto"/>
          <w:sz w:val="24"/>
        </w:rPr>
        <w:t>38</w:t>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"_Toc742" </w:instrText>
      </w:r>
      <w:r>
        <w:rPr>
          <w:color w:val="auto"/>
        </w:rPr>
        <w:fldChar w:fldCharType="separate"/>
      </w:r>
      <w:r>
        <w:rPr>
          <w:rFonts w:hint="eastAsia" w:ascii="宋体" w:hAnsi="宋体" w:cs="宋体"/>
          <w:b/>
          <w:bCs/>
          <w:color w:val="auto"/>
          <w:sz w:val="24"/>
        </w:rPr>
        <w:t>附件：相关政策</w:t>
      </w:r>
      <w:r>
        <w:rPr>
          <w:b/>
          <w:bCs/>
          <w:color w:val="auto"/>
          <w:sz w:val="24"/>
        </w:rPr>
        <w:tab/>
      </w:r>
      <w:r>
        <w:rPr>
          <w:b/>
          <w:bCs/>
          <w:color w:val="auto"/>
          <w:sz w:val="24"/>
        </w:rPr>
        <w:fldChar w:fldCharType="end"/>
      </w:r>
      <w:r>
        <w:rPr>
          <w:rFonts w:hint="eastAsia"/>
          <w:b/>
          <w:bCs/>
          <w:color w:val="auto"/>
          <w:sz w:val="24"/>
        </w:rPr>
        <w:t>57</w:t>
      </w:r>
    </w:p>
    <w:p>
      <w:pPr>
        <w:pStyle w:val="11"/>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7" w:name="_Toc17273"/>
      <w:r>
        <w:rPr>
          <w:rFonts w:hint="eastAsia" w:ascii="宋体" w:hAnsi="宋体" w:cs="宋体"/>
          <w:b/>
          <w:bCs/>
          <w:color w:val="auto"/>
          <w:sz w:val="24"/>
        </w:rPr>
        <w:t>招标邀请书（招标公告）</w:t>
      </w:r>
      <w:bookmarkEnd w:id="7"/>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文件编码：0722-2025FE6</w:t>
      </w:r>
      <w:r>
        <w:rPr>
          <w:rFonts w:hint="eastAsia" w:ascii="宋体" w:hAnsi="宋体" w:cs="宋体"/>
          <w:color w:val="auto"/>
          <w:sz w:val="24"/>
          <w:highlight w:val="none"/>
          <w:lang w:val="en-US" w:eastAsia="zh-CN"/>
        </w:rPr>
        <w:t>317</w:t>
      </w:r>
      <w:r>
        <w:rPr>
          <w:rFonts w:hint="eastAsia" w:ascii="宋体" w:hAnsi="宋体" w:cs="宋体"/>
          <w:color w:val="auto"/>
          <w:sz w:val="24"/>
          <w:highlight w:val="none"/>
        </w:rPr>
        <w:t>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前海管理局国资国企“十五五”战略规划咨询服务</w:t>
      </w:r>
      <w:r>
        <w:rPr>
          <w:rFonts w:hint="eastAsia" w:ascii="宋体" w:hAnsi="宋体" w:cs="宋体"/>
          <w:color w:val="auto"/>
          <w:sz w:val="24"/>
        </w:rPr>
        <w:t>（招标编号：</w:t>
      </w:r>
      <w:r>
        <w:rPr>
          <w:rFonts w:hint="eastAsia" w:ascii="宋体" w:hAnsi="宋体" w:cs="宋体"/>
          <w:color w:val="auto"/>
          <w:sz w:val="24"/>
          <w:u w:val="single"/>
          <w:lang w:eastAsia="zh-CN"/>
        </w:rPr>
        <w:t>QH2025099</w:t>
      </w:r>
      <w:r>
        <w:rPr>
          <w:rFonts w:hint="eastAsia" w:ascii="宋体" w:hAnsi="宋体" w:cs="宋体"/>
          <w:color w:val="auto"/>
          <w:sz w:val="24"/>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QH2025099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前海管理局国资国企“十五五”战略规划咨询服务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vAlign w:val="center"/>
          </w:tcPr>
          <w:p>
            <w:pPr>
              <w:spacing w:line="360" w:lineRule="auto"/>
              <w:rPr>
                <w:color w:val="auto"/>
              </w:rPr>
            </w:pPr>
            <w:r>
              <w:rPr>
                <w:rFonts w:hint="eastAsia" w:ascii="宋体" w:hAnsi="宋体" w:cs="宋体"/>
                <w:color w:val="auto"/>
                <w:sz w:val="24"/>
              </w:rPr>
              <w:t xml:space="preserve">  </w:t>
            </w:r>
            <w:bookmarkStart w:id="8" w:name="OLE_LINK3"/>
            <w:r>
              <w:rPr>
                <w:rFonts w:hint="eastAsia" w:ascii="宋体" w:hAnsi="宋体" w:cs="宋体"/>
                <w:color w:val="auto"/>
                <w:sz w:val="24"/>
                <w:lang w:val="en-US" w:eastAsia="zh-CN"/>
              </w:rPr>
              <w:t xml:space="preserve"> 为了前海国资国企在“十五五”期间的发展方向与目标提供科学和前瞻性的规划，前海财政中心拟启动前海国资国企“十五五”战略规划研究及制定工作，“十五五”期间，前海管理局国资国企需实现从规模扩张到质量效益的跨越，成为支撑前海高质量发展的核心力量。本项目将通过政策文献、案例研究、实际调研、深入访谈、理论分析和专家咨询等方式制定前海国资国企“十五五”期间战略发展规划，明确前海国资国企的战略目标，确定未来重点任务、明晰实施路径、制定工作计划。重点内容包括：进一步明晰局属国资国企功能定位；优化国资布局结构；提升国资国企在科技创新、产业引领、公共服务等领域的支撑保障作用；高质量完成国企改革深化提升行动；强化市区国资国企协同联动；推动国资国企增强核心功能与提升核心竞争力</w:t>
            </w:r>
            <w:r>
              <w:rPr>
                <w:rFonts w:hint="eastAsia" w:ascii="宋体" w:hAnsi="宋体" w:cs="宋体"/>
                <w:color w:val="auto"/>
                <w:sz w:val="24"/>
              </w:rPr>
              <w:t>。</w:t>
            </w:r>
            <w:bookmarkEnd w:id="8"/>
            <w:r>
              <w:rPr>
                <w:rFonts w:hint="eastAsia" w:ascii="宋体" w:hAnsi="宋体" w:cs="宋体"/>
                <w:color w:val="auto"/>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45</w:t>
            </w:r>
            <w:r>
              <w:rPr>
                <w:rFonts w:hint="eastAsia" w:ascii="宋体" w:hAnsi="宋体" w:cs="宋体"/>
                <w:color w:val="auto"/>
                <w:sz w:val="24"/>
                <w:lang w:eastAsia="zh-CN"/>
              </w:rPr>
              <w:t>0,000.00（人民币</w:t>
            </w:r>
            <w:r>
              <w:rPr>
                <w:rFonts w:hint="eastAsia" w:ascii="宋体" w:hAnsi="宋体" w:cs="宋体"/>
                <w:color w:val="auto"/>
                <w:sz w:val="24"/>
                <w:lang w:val="en-US" w:eastAsia="zh-CN"/>
              </w:rPr>
              <w:t>肆拾伍万</w:t>
            </w:r>
            <w:r>
              <w:rPr>
                <w:rFonts w:hint="eastAsia" w:ascii="宋体" w:hAnsi="宋体" w:cs="宋体"/>
                <w:color w:val="auto"/>
                <w:sz w:val="24"/>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vAlign w:val="center"/>
          </w:tcPr>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rPr>
              <w:t>将投标文件密封并在</w:t>
            </w:r>
            <w:r>
              <w:rPr>
                <w:rFonts w:hint="eastAsia" w:ascii="宋体" w:hAnsi="宋体" w:cs="宋体"/>
                <w:b/>
                <w:bCs/>
                <w:color w:val="auto"/>
                <w:kern w:val="0"/>
                <w:sz w:val="24"/>
              </w:rPr>
              <w:t>2025年</w:t>
            </w:r>
            <w:r>
              <w:rPr>
                <w:rFonts w:hint="eastAsia" w:ascii="宋体" w:hAnsi="宋体" w:cs="宋体"/>
                <w:b/>
                <w:bCs/>
                <w:color w:val="auto"/>
                <w:kern w:val="0"/>
                <w:sz w:val="24"/>
                <w:lang w:val="en-US" w:eastAsia="zh-CN"/>
              </w:rPr>
              <w:t>9</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26</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上</w:t>
            </w:r>
            <w:r>
              <w:rPr>
                <w:rFonts w:hint="eastAsia" w:ascii="宋体" w:hAnsi="宋体" w:cs="宋体"/>
                <w:b/>
                <w:bCs/>
                <w:color w:val="auto"/>
                <w:kern w:val="0"/>
                <w:sz w:val="24"/>
              </w:rPr>
              <w:t>午</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0</w:t>
            </w:r>
            <w:r>
              <w:rPr>
                <w:rFonts w:hint="eastAsia" w:ascii="宋体" w:hAnsi="宋体" w:cs="宋体"/>
                <w:b/>
                <w:bCs/>
                <w:color w:val="auto"/>
                <w:kern w:val="0"/>
                <w:sz w:val="24"/>
              </w:rPr>
              <w:t>0时（北京时间）</w:t>
            </w:r>
            <w:r>
              <w:rPr>
                <w:rFonts w:hint="eastAsia" w:ascii="宋体" w:hAnsi="宋体" w:cs="宋体"/>
                <w:color w:val="auto"/>
                <w:kern w:val="0"/>
                <w:sz w:val="24"/>
              </w:rPr>
              <w:t>前送达（现场递交或邮寄）至深圳市南山区前海深港合作区桂湾</w:t>
            </w:r>
            <w:r>
              <w:rPr>
                <w:rFonts w:hint="eastAsia" w:ascii="宋体" w:hAnsi="宋体" w:cs="宋体"/>
                <w:color w:val="auto"/>
                <w:kern w:val="0"/>
                <w:sz w:val="24"/>
                <w:highlight w:val="none"/>
              </w:rPr>
              <w:t>五路123号前海管理局前海大厦T1栋</w:t>
            </w:r>
            <w:r>
              <w:rPr>
                <w:rFonts w:hint="eastAsia" w:ascii="宋体" w:hAnsi="宋体" w:cs="宋体"/>
                <w:color w:val="auto"/>
                <w:kern w:val="0"/>
                <w:sz w:val="24"/>
                <w:highlight w:val="none"/>
                <w:lang w:val="en-US" w:eastAsia="zh-CN"/>
              </w:rPr>
              <w:t>2516</w:t>
            </w:r>
            <w:r>
              <w:rPr>
                <w:rFonts w:hint="eastAsia" w:ascii="宋体" w:hAnsi="宋体" w:cs="宋体"/>
                <w:color w:val="auto"/>
                <w:kern w:val="0"/>
                <w:sz w:val="24"/>
                <w:highlight w:val="none"/>
              </w:rPr>
              <w:t>室</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人：王先生</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18503002462</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highlight w:val="none"/>
              </w:rPr>
              <w:t>注：如需现场谈判，投标人</w:t>
            </w:r>
            <w:r>
              <w:rPr>
                <w:rFonts w:hint="eastAsia" w:ascii="宋体" w:hAnsi="宋体" w:cs="宋体"/>
                <w:color w:val="auto"/>
                <w:kern w:val="0"/>
                <w:sz w:val="24"/>
              </w:rPr>
              <w:t>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在中华人民共和国境内注册的具有独立法人资格或具有独立承担民事责任的能力的其他组织</w:t>
            </w:r>
            <w:r>
              <w:rPr>
                <w:rFonts w:hint="eastAsia" w:ascii="宋体" w:hAnsi="宋体" w:cs="宋体"/>
                <w:b/>
                <w:bCs/>
                <w:color w:val="auto"/>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为此项目提供整体设计、规范编制或者项目管理、监理、检测等服务的供应商，不得再参加此项目的其他招标采购活动</w:t>
            </w:r>
            <w:r>
              <w:rPr>
                <w:rFonts w:hint="eastAsia" w:ascii="宋体" w:hAnsi="宋体" w:cs="宋体"/>
                <w:b/>
                <w:bCs/>
                <w:color w:val="auto"/>
                <w:kern w:val="0"/>
                <w:sz w:val="24"/>
              </w:rPr>
              <w:t>（由投标人在《政府采购投标及履约承诺函》中作出声明）；</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u w:val="single"/>
              </w:rPr>
              <w:t>其他未列明行业。</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vAlign w:val="center"/>
          </w:tcPr>
          <w:p>
            <w:pPr>
              <w:numPr>
                <w:ilvl w:val="0"/>
                <w:numId w:val="3"/>
              </w:numPr>
              <w:spacing w:line="360" w:lineRule="auto"/>
              <w:rPr>
                <w:rFonts w:hint="eastAsia" w:ascii="宋体" w:hAnsi="宋体" w:cs="宋体"/>
                <w:color w:val="auto"/>
                <w:sz w:val="24"/>
              </w:rPr>
            </w:pPr>
            <w:bookmarkStart w:id="9" w:name="OLE_LINK5"/>
            <w:r>
              <w:rPr>
                <w:rFonts w:hint="eastAsia" w:ascii="宋体" w:hAnsi="宋体" w:cs="宋体"/>
                <w:color w:val="auto"/>
                <w:sz w:val="24"/>
                <w:lang w:eastAsia="zh-CN"/>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签订的合同金额，合同期限内不做调整同金额，合同期限内不做调整</w:t>
            </w:r>
            <w:r>
              <w:rPr>
                <w:rFonts w:hint="eastAsia" w:ascii="宋体" w:hAnsi="宋体" w:cs="宋体"/>
                <w:color w:val="auto"/>
                <w:sz w:val="24"/>
              </w:rPr>
              <w:t>。</w:t>
            </w:r>
          </w:p>
          <w:bookmarkEnd w:id="9"/>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1.采购人信息</w:t>
            </w:r>
          </w:p>
          <w:p>
            <w:pPr>
              <w:spacing w:line="360" w:lineRule="auto"/>
              <w:rPr>
                <w:rFonts w:hint="eastAsia" w:ascii="宋体" w:hAnsi="宋体" w:cs="宋体"/>
                <w:color w:val="auto"/>
                <w:kern w:val="0"/>
                <w:sz w:val="24"/>
              </w:rPr>
            </w:pPr>
            <w:bookmarkStart w:id="10" w:name="_Toc28359086"/>
            <w:bookmarkStart w:id="11" w:name="_Toc28359009"/>
            <w:r>
              <w:rPr>
                <w:rFonts w:hint="eastAsia" w:ascii="宋体" w:hAnsi="宋体" w:cs="宋体"/>
                <w:color w:val="auto"/>
                <w:kern w:val="0"/>
                <w:sz w:val="24"/>
              </w:rPr>
              <w:t>名  称：深圳市前海深港现代服务业合作区管理局</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地  址：深圳市南山区前海深港合作区桂湾五路123号前海管理局前海</w:t>
            </w:r>
            <w:r>
              <w:rPr>
                <w:rFonts w:hint="eastAsia" w:ascii="宋体" w:hAnsi="宋体" w:cs="宋体"/>
                <w:color w:val="auto"/>
                <w:kern w:val="0"/>
                <w:sz w:val="24"/>
                <w:highlight w:val="none"/>
              </w:rPr>
              <w:t>大厦T1栋</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联系人：王先生</w:t>
            </w:r>
          </w:p>
          <w:p>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18503002462</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0"/>
            <w:bookmarkEnd w:id="11"/>
          </w:p>
          <w:p>
            <w:pPr>
              <w:spacing w:line="360" w:lineRule="auto"/>
              <w:rPr>
                <w:rFonts w:hint="eastAsia" w:ascii="宋体" w:hAnsi="宋体" w:cs="宋体"/>
                <w:color w:val="auto"/>
                <w:kern w:val="0"/>
                <w:sz w:val="24"/>
                <w:highlight w:val="none"/>
              </w:rPr>
            </w:pPr>
            <w:bookmarkStart w:id="12" w:name="_Toc28359010"/>
            <w:bookmarkStart w:id="13" w:name="_Toc28359087"/>
            <w:r>
              <w:rPr>
                <w:rFonts w:hint="eastAsia" w:ascii="宋体" w:hAnsi="宋体" w:cs="宋体"/>
                <w:color w:val="auto"/>
                <w:kern w:val="0"/>
                <w:sz w:val="24"/>
                <w:highlight w:val="none"/>
              </w:rPr>
              <w:t>名  称：中国远东国际招标有限公司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highlight w:val="none"/>
              </w:rPr>
              <w:t>地  址：深圳市</w:t>
            </w:r>
            <w:r>
              <w:rPr>
                <w:rFonts w:hint="eastAsia" w:ascii="宋体" w:hAnsi="宋体" w:cs="宋体"/>
                <w:color w:val="auto"/>
                <w:kern w:val="0"/>
                <w:sz w:val="24"/>
              </w:rPr>
              <w:t>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联系人：凌女士、伍先生</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话：0755-82078919、82077364转108</w:t>
            </w:r>
          </w:p>
          <w:p>
            <w:pPr>
              <w:spacing w:line="360" w:lineRule="auto"/>
              <w:rPr>
                <w:rFonts w:hint="eastAsia" w:ascii="宋体" w:hAnsi="宋体" w:cs="宋体"/>
                <w:color w:val="auto"/>
                <w:kern w:val="0"/>
                <w:sz w:val="24"/>
              </w:rPr>
            </w:pPr>
            <w:r>
              <w:rPr>
                <w:rFonts w:hint="eastAsia" w:ascii="宋体" w:hAnsi="宋体" w:cs="宋体"/>
                <w:color w:val="auto"/>
                <w:kern w:val="0"/>
                <w:sz w:val="24"/>
              </w:rPr>
              <w:t>传  真：0755-82077519</w:t>
            </w:r>
          </w:p>
          <w:p>
            <w:pPr>
              <w:spacing w:line="360" w:lineRule="auto"/>
              <w:rPr>
                <w:rFonts w:hint="eastAsia" w:ascii="宋体" w:hAnsi="宋体" w:cs="宋体"/>
                <w:color w:val="auto"/>
                <w:kern w:val="0"/>
                <w:sz w:val="24"/>
              </w:rPr>
            </w:pPr>
            <w:r>
              <w:rPr>
                <w:rFonts w:hint="eastAsia" w:ascii="宋体" w:hAnsi="宋体" w:cs="宋体"/>
                <w:color w:val="auto"/>
                <w:kern w:val="0"/>
                <w:sz w:val="24"/>
              </w:rPr>
              <w:t>3.项目联系方式</w:t>
            </w:r>
            <w:bookmarkEnd w:id="12"/>
            <w:bookmarkEnd w:id="13"/>
          </w:p>
          <w:p>
            <w:pPr>
              <w:spacing w:line="360" w:lineRule="auto"/>
              <w:rPr>
                <w:rFonts w:hint="eastAsia" w:ascii="宋体" w:hAnsi="宋体" w:cs="宋体"/>
                <w:color w:val="auto"/>
                <w:kern w:val="0"/>
                <w:sz w:val="24"/>
              </w:rPr>
            </w:pPr>
            <w:r>
              <w:rPr>
                <w:rFonts w:hint="eastAsia" w:ascii="宋体" w:hAnsi="宋体" w:cs="宋体"/>
                <w:color w:val="auto"/>
                <w:kern w:val="0"/>
                <w:sz w:val="24"/>
              </w:rPr>
              <w:t>项目联系人：凌女士、伍先生</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话：0755-82078919、82077364转108</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2025年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4" w:name="_Toc10214"/>
      <w:r>
        <w:rPr>
          <w:rFonts w:hint="eastAsia" w:ascii="宋体" w:hAnsi="宋体" w:cs="宋体"/>
          <w:b/>
          <w:bCs/>
          <w:color w:val="auto"/>
          <w:sz w:val="24"/>
        </w:rPr>
        <w:t>投标须知</w:t>
      </w:r>
      <w:bookmarkEnd w:id="14"/>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前海管理局国资国企“十五五”战略规划咨询服务</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auto"/>
          <w:sz w:val="24"/>
        </w:rPr>
      </w:pPr>
      <w:r>
        <w:rPr>
          <w:rFonts w:hint="eastAsia" w:ascii="宋体" w:hAnsi="宋体" w:cs="宋体"/>
          <w:b/>
          <w:bCs/>
          <w:color w:val="auto"/>
          <w:sz w:val="24"/>
        </w:rPr>
        <w:t>2.1、本次采购公开征集供应商，报名且符合招标文件初审的供应商满足3家或3家以上的，采用综合评分法的方式进行。</w:t>
      </w:r>
      <w:r>
        <w:rPr>
          <w:rFonts w:hint="eastAsia" w:ascii="宋体" w:hAnsi="宋体" w:cs="宋体"/>
          <w:b/>
          <w:bCs/>
          <w:color w:val="auto"/>
          <w:sz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auto"/>
          <w:sz w:val="24"/>
        </w:rPr>
      </w:pPr>
      <w:r>
        <w:rPr>
          <w:rFonts w:hint="eastAsia" w:ascii="宋体" w:hAnsi="宋体" w:cs="宋体"/>
          <w:b/>
          <w:bCs/>
          <w:color w:val="auto"/>
          <w:sz w:val="24"/>
        </w:rPr>
        <w:t>2.2、对于重新组织简易招标(公开征集)，仍出现有效投标供应商不足3家的情形，按以下流程执行：</w:t>
      </w:r>
    </w:p>
    <w:p>
      <w:pPr>
        <w:spacing w:line="360" w:lineRule="auto"/>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rPr>
          <w:rFonts w:hint="eastAsia" w:ascii="宋体" w:hAnsi="宋体" w:cs="宋体"/>
          <w:color w:val="auto"/>
          <w:sz w:val="24"/>
        </w:rPr>
      </w:pPr>
      <w:r>
        <w:rPr>
          <w:rFonts w:hint="eastAsia" w:ascii="宋体" w:hAnsi="宋体" w:cs="宋体"/>
          <w:b/>
          <w:bCs/>
          <w:color w:val="auto"/>
          <w:sz w:val="24"/>
        </w:rPr>
        <w:t>b.如参与投标且符合招标文件要求的供应商仅有1家，评审委员会应与投标供应商进行谈判，</w:t>
      </w:r>
      <w:r>
        <w:rPr>
          <w:rFonts w:hint="eastAsia" w:ascii="宋体" w:hAnsi="宋体" w:cs="宋体"/>
          <w:b/>
          <w:bCs/>
          <w:color w:val="auto"/>
          <w:sz w:val="24"/>
          <w:u w:val="single"/>
        </w:rPr>
        <w:t>原则上成交价不超过最初报价的95%。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w:t>
      </w:r>
      <w:bookmarkStart w:id="15" w:name="OLE_LINK6"/>
      <w:r>
        <w:rPr>
          <w:rFonts w:hint="eastAsia" w:ascii="宋体" w:hAnsi="宋体" w:cs="宋体"/>
          <w:b/>
          <w:color w:val="auto"/>
          <w:sz w:val="24"/>
        </w:rPr>
        <w:t>1份电子文档：PDF格式的正本投标文件扫描件、与正本一致的word文档格式的投标文件</w:t>
      </w:r>
      <w:bookmarkEnd w:id="15"/>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（2）原则上成交价不超过最初报价的95%。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以《深圳市财政委员会关于规范深圳市社会采购代理机构管理有关事项的补充通知》（深财购〔2018〕27号）代理费用参考标准的80%按差额定率累进法进行计费，</w:t>
      </w:r>
      <w:r>
        <w:rPr>
          <w:rFonts w:hint="eastAsia" w:ascii="宋体" w:hAnsi="宋体" w:cs="宋体"/>
          <w:color w:val="auto"/>
          <w:sz w:val="24"/>
          <w:lang w:val="en-US" w:eastAsia="zh-CN"/>
        </w:rPr>
        <w:t>由中标人支付，</w:t>
      </w:r>
      <w:r>
        <w:rPr>
          <w:rFonts w:hint="eastAsia" w:ascii="宋体" w:hAnsi="宋体" w:cs="宋体"/>
          <w:color w:val="auto"/>
          <w:sz w:val="24"/>
        </w:rPr>
        <w:t>若以上计算金额小于3000元，则按3000元收取。</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hint="eastAsia" w:ascii="宋体" w:hAnsi="宋体" w:cs="宋体"/>
          <w:color w:val="auto"/>
          <w:sz w:val="24"/>
        </w:rPr>
      </w:pPr>
      <w:r>
        <w:rPr>
          <w:rFonts w:hint="eastAsia" w:ascii="宋体" w:hAnsi="宋体" w:cs="宋体"/>
          <w:color w:val="auto"/>
          <w:sz w:val="24"/>
        </w:rPr>
        <w:t>开户名称：中国远东国际招标有限公司深圳分公司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银行账号：11013651025501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16" w:name="_Toc20176"/>
      <w:r>
        <w:rPr>
          <w:rFonts w:hint="eastAsia" w:ascii="宋体" w:hAnsi="宋体" w:cs="宋体"/>
          <w:b/>
          <w:bCs/>
          <w:color w:val="auto"/>
          <w:sz w:val="24"/>
        </w:rPr>
        <w:t>评标程序</w:t>
      </w:r>
      <w:bookmarkEnd w:id="16"/>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四、开标时间：2025年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五、会议开始：2025年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spacing w:line="360" w:lineRule="auto"/>
        <w:rPr>
          <w:rFonts w:hint="eastAsia" w:ascii="宋体" w:hAnsi="宋体" w:cs="宋体"/>
          <w:color w:val="auto"/>
          <w:sz w:val="24"/>
        </w:rPr>
      </w:pPr>
      <w:r>
        <w:rPr>
          <w:rFonts w:hint="eastAsia" w:ascii="宋体" w:hAnsi="宋体" w:cs="宋体"/>
          <w:color w:val="auto"/>
          <w:sz w:val="24"/>
        </w:rPr>
        <w:t>5、采用谈判的情况：参与投标且符合招标文件要求的供应商仅有一家，评审委员会将与投标供应商进行谈判。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原则上成交价不超过最初报价的95%。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w:t>
      </w:r>
      <w:r>
        <w:rPr>
          <w:rFonts w:ascii="宋体" w:hAnsi="宋体" w:cs="宋体"/>
          <w:color w:val="auto"/>
          <w:sz w:val="24"/>
        </w:rPr>
        <w:t>0</w:t>
      </w:r>
      <w:r>
        <w:rPr>
          <w:rFonts w:hint="eastAsia" w:ascii="宋体" w:hAnsi="宋体" w:cs="宋体"/>
          <w:color w:val="auto"/>
          <w:sz w:val="24"/>
        </w:rPr>
        <w:t>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2"/>
        <w:rPr>
          <w:rFonts w:hint="eastAsia" w:ascii="宋体" w:hAnsi="宋体" w:cs="宋体"/>
          <w:color w:val="auto"/>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bookmarkStart w:id="17" w:name="_Toc3567"/>
      <w:r>
        <w:rPr>
          <w:rFonts w:hint="eastAsia" w:ascii="宋体" w:hAnsi="宋体" w:cs="宋体"/>
          <w:b/>
          <w:bCs/>
          <w:color w:val="auto"/>
          <w:sz w:val="24"/>
        </w:rPr>
        <w:t>合同格式及合同条款</w:t>
      </w:r>
      <w:bookmarkEnd w:id="17"/>
    </w:p>
    <w:p>
      <w:pPr>
        <w:spacing w:line="360" w:lineRule="auto"/>
        <w:ind w:firstLine="470" w:firstLineChars="196"/>
        <w:jc w:val="center"/>
        <w:rPr>
          <w:rFonts w:hint="eastAsia" w:ascii="宋体" w:hAnsi="宋体" w:cs="宋体"/>
          <w:color w:val="auto"/>
          <w:sz w:val="24"/>
        </w:rPr>
      </w:pPr>
      <w:bookmarkStart w:id="18" w:name="_Toc101074886"/>
      <w:bookmarkStart w:id="19" w:name="_Toc84303603"/>
      <w:bookmarkStart w:id="20" w:name="_Toc73521680"/>
      <w:bookmarkStart w:id="21" w:name="_Toc73521592"/>
      <w:bookmarkStart w:id="22" w:name="_Toc100052414"/>
      <w:bookmarkStart w:id="23" w:name="_Toc73517685"/>
      <w:bookmarkStart w:id="24" w:name="_Toc73518163"/>
    </w:p>
    <w:bookmarkEnd w:id="18"/>
    <w:bookmarkEnd w:id="19"/>
    <w:bookmarkEnd w:id="20"/>
    <w:bookmarkEnd w:id="21"/>
    <w:bookmarkEnd w:id="22"/>
    <w:bookmarkEnd w:id="23"/>
    <w:bookmarkEnd w:id="24"/>
    <w:p>
      <w:pPr>
        <w:pStyle w:val="24"/>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4"/>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4"/>
        <w:spacing w:line="360" w:lineRule="auto"/>
        <w:ind w:left="1470" w:right="1470" w:firstLine="482"/>
        <w:jc w:val="center"/>
        <w:rPr>
          <w:rFonts w:hint="eastAsia" w:ascii="宋体" w:hAnsi="宋体" w:cs="宋体"/>
          <w:b/>
          <w:color w:val="auto"/>
          <w:sz w:val="24"/>
          <w:szCs w:val="24"/>
        </w:rPr>
      </w:pPr>
    </w:p>
    <w:p>
      <w:pPr>
        <w:pStyle w:val="24"/>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4"/>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outlineLvl w:val="1"/>
        <w:rPr>
          <w:rFonts w:hint="eastAsia" w:ascii="宋体" w:hAnsi="宋体" w:cs="宋体"/>
          <w:b/>
          <w:color w:val="auto"/>
          <w:sz w:val="32"/>
          <w:szCs w:val="32"/>
        </w:rPr>
      </w:pPr>
      <w:r>
        <w:rPr>
          <w:rFonts w:hint="eastAsia" w:ascii="宋体" w:hAnsi="宋体" w:cs="宋体"/>
          <w:b/>
          <w:color w:val="auto"/>
          <w:sz w:val="32"/>
          <w:szCs w:val="32"/>
          <w:lang w:eastAsia="zh-CN"/>
        </w:rPr>
        <w:t>前海管理局国资国企“十五五”战略规划咨询服务</w:t>
      </w:r>
      <w:r>
        <w:rPr>
          <w:rFonts w:hint="eastAsia" w:ascii="宋体" w:hAnsi="宋体" w:cs="宋体"/>
          <w:b/>
          <w:color w:val="auto"/>
          <w:sz w:val="32"/>
          <w:szCs w:val="32"/>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4"/>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4"/>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720" w:firstLineChars="300"/>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u w:val="single"/>
        </w:rPr>
        <w:t>：</w:t>
      </w:r>
      <w:r>
        <w:rPr>
          <w:rFonts w:hint="eastAsia" w:ascii="宋体" w:hAnsi="宋体" w:cs="宋体"/>
          <w:color w:val="auto"/>
          <w:sz w:val="24"/>
          <w:u w:val="single"/>
          <w:lang w:eastAsia="zh-CN"/>
        </w:rPr>
        <w:t>前海管理局国资国企“十五五”战略规划咨询服务</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二〇二五年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u w:val="single"/>
          <w:lang w:eastAsia="zh-CN"/>
        </w:rPr>
        <w:t>QH2025099</w:t>
      </w:r>
      <w:r>
        <w:rPr>
          <w:rFonts w:hint="eastAsia" w:ascii="宋体" w:hAnsi="宋体" w:cs="宋体"/>
          <w:color w:val="auto"/>
          <w:sz w:val="24"/>
        </w:rPr>
        <w:t>】招标项目的中标结果，由【***】单位（以下简称乙方）为中标人。按照《中华人民共和国民法典》和《深圳经济特区政府采购条例》，经甲乙双方协商，就甲方委托</w:t>
      </w:r>
      <w:r>
        <w:rPr>
          <w:rFonts w:hint="eastAsia" w:ascii="宋体" w:hAnsi="宋体" w:cs="宋体"/>
          <w:b/>
          <w:bCs/>
          <w:color w:val="auto"/>
          <w:sz w:val="24"/>
          <w:u w:val="single"/>
        </w:rPr>
        <w:t>乙方开展</w:t>
      </w:r>
      <w:r>
        <w:rPr>
          <w:rFonts w:hint="eastAsia" w:ascii="宋体" w:hAnsi="宋体" w:cs="宋体"/>
          <w:color w:val="auto"/>
          <w:sz w:val="24"/>
          <w:u w:val="single"/>
          <w:lang w:eastAsia="zh-CN"/>
        </w:rPr>
        <w:t>前海管理局国资国企“十五五”战略规划咨询服务</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、项目名称：</w:t>
      </w:r>
      <w:r>
        <w:rPr>
          <w:rFonts w:hint="eastAsia" w:ascii="宋体" w:hAnsi="宋体" w:cs="宋体"/>
          <w:color w:val="auto"/>
          <w:sz w:val="24"/>
          <w:lang w:eastAsia="zh-CN"/>
        </w:rPr>
        <w:t>前海管理局国资国企“十五五”战略规划咨询服务</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color w:val="auto"/>
          <w:sz w:val="24"/>
        </w:rPr>
      </w:pPr>
      <w:r>
        <w:rPr>
          <w:rFonts w:hint="eastAsia" w:ascii="宋体" w:hAnsi="宋体" w:cs="宋体"/>
          <w:bCs/>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服务</w:t>
      </w:r>
      <w:r>
        <w:rPr>
          <w:rFonts w:hint="eastAsia" w:ascii="宋体" w:hAnsi="宋体" w:cs="宋体"/>
          <w:color w:val="auto"/>
          <w:sz w:val="24"/>
        </w:rPr>
        <w:t>内容</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本项目将通过政策文献、案例研究、实际调研、深入访谈、理论分析和专家咨询等方式制定前海管理局国资国企“十五五”战略规划，明确战略目标，确定未来重点任务、明晰实施路径、制定工作计划</w:t>
      </w:r>
      <w:r>
        <w:rPr>
          <w:rFonts w:hint="eastAsia" w:ascii="宋体" w:hAnsi="宋体" w:cs="宋体"/>
          <w:bCs/>
          <w:color w:val="auto"/>
          <w:sz w:val="24"/>
        </w:rPr>
        <w:t>，最终形成《前海管理局国资国企“十五五”战略规划》报告</w:t>
      </w:r>
      <w:r>
        <w:rPr>
          <w:rFonts w:hint="eastAsia" w:ascii="宋体" w:hAnsi="宋体" w:cs="宋体"/>
          <w:bCs/>
          <w:color w:val="auto"/>
          <w:sz w:val="24"/>
          <w:lang w:val="en-US" w:eastAsia="zh-CN"/>
        </w:rPr>
        <w:t>。包括：</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1.战略环境分析。研判分析甲方所处经济环境、政策环境、社会环境和科技环境，包括宏观经济、区域产业环境、重点政策导向、社会和文化环境、科学技术发展水平和发展趋势等。</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2.内部资源及案例分析。明确招标人发展现状与基础，选取同级别、可借鉴的机构，引入行业最佳实践，对招标人重点发展领域提供借鉴意义。聚集服务前海大局，结合前海国资国企布局及国资监管规定，系统梳理甲方基础与优势，分析短板与不足，找准解决途径的着力点。</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3.拟定总体战略目标。从前海战略、甲方定位、大湾区建设等多层次、多视角角度，结合最新政策，对标行业领先实践，凸显区域产业联动效应，提出“十五五”总体战略发展思路、目标和原则，规划实施时序安排，构建短、中、长期定性和定量的战略目标、业务指标及行动计划。</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4.明晰战略实施路径。基于甲方诉求，对标典型案例，优化资源配置，输出招标人重点布局策略与举措，并细化目标、内容。以全球化视野、结合趋势，发掘前海国有资产整合、增质增值、做大做强的举措和增长路径。</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5.建立战略支撑体系。按照深化国资国企改革的要求，提出甲方在内部管理、风险管控、人力资源、制度体系、激励约束等方面的长效机制，建立战略支撑体系。将战略制定阶段所确定的意图性战略转化为具体的组织行动，保障战略实现预定目标。</w:t>
      </w:r>
    </w:p>
    <w:p>
      <w:pPr>
        <w:spacing w:line="360" w:lineRule="auto"/>
        <w:ind w:firstLine="480" w:firstLineChars="200"/>
        <w:outlineLvl w:val="1"/>
        <w:rPr>
          <w:rFonts w:hint="eastAsia" w:ascii="宋体" w:hAnsi="宋体" w:cs="宋体"/>
          <w:b/>
          <w:bCs/>
          <w:color w:val="auto"/>
          <w:sz w:val="24"/>
        </w:rPr>
      </w:pPr>
      <w:r>
        <w:rPr>
          <w:rFonts w:hint="eastAsia" w:ascii="宋体" w:hAnsi="宋体" w:cs="宋体"/>
          <w:bCs/>
          <w:color w:val="auto"/>
          <w:sz w:val="24"/>
          <w:lang w:val="en-US" w:eastAsia="zh-CN"/>
        </w:rPr>
        <w:t>6.研判战略保障机制。提供战略规划的资源保障建议，针对战略规划在具体实施过程中可能面临的问题，从风险管理角度提出全方位、系统性、可操作的措施建议，推动甲方提升风险分析研判能力、升级风险管理体系、丰富风险管控工具，为做大做强做优国有资本提供坚实保障、为甲方落实战略发展目标保驾护航。</w:t>
      </w:r>
    </w:p>
    <w:p>
      <w:pPr>
        <w:spacing w:line="360" w:lineRule="auto"/>
        <w:ind w:firstLine="482" w:firstLineChars="200"/>
        <w:outlineLvl w:val="1"/>
        <w:rPr>
          <w:rFonts w:hint="default" w:ascii="宋体" w:hAnsi="宋体" w:eastAsia="宋体" w:cs="宋体"/>
          <w:b/>
          <w:bCs/>
          <w:color w:val="auto"/>
          <w:sz w:val="24"/>
          <w:lang w:val="en-US" w:eastAsia="zh-CN"/>
        </w:rPr>
      </w:pPr>
      <w:r>
        <w:rPr>
          <w:rFonts w:hint="eastAsia" w:ascii="宋体" w:hAnsi="宋体" w:cs="宋体"/>
          <w:b/>
          <w:bCs/>
          <w:color w:val="auto"/>
          <w:sz w:val="24"/>
        </w:rPr>
        <w:t>第二条  服务期限</w:t>
      </w:r>
      <w:r>
        <w:rPr>
          <w:rFonts w:hint="eastAsia" w:ascii="宋体" w:hAnsi="宋体" w:cs="宋体"/>
          <w:b/>
          <w:bCs/>
          <w:color w:val="auto"/>
          <w:sz w:val="24"/>
          <w:lang w:val="en-US" w:eastAsia="zh-CN"/>
        </w:rPr>
        <w:t>、服务地点及后续服务要求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1、服务期限：</w:t>
      </w:r>
      <w:r>
        <w:rPr>
          <w:rFonts w:hint="eastAsia" w:ascii="宋体" w:hAnsi="宋体" w:cs="宋体"/>
          <w:color w:val="auto"/>
          <w:sz w:val="24"/>
          <w:lang w:eastAsia="zh-CN"/>
        </w:rPr>
        <w:t>合同签订之日起，6个月内完成本项目服务。</w:t>
      </w:r>
    </w:p>
    <w:p>
      <w:pPr>
        <w:widowControl/>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2、服务地点：甲方指定地点</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3、后续服务要求</w:t>
      </w:r>
    </w:p>
    <w:p>
      <w:pPr>
        <w:widowControl/>
        <w:spacing w:line="360" w:lineRule="auto"/>
        <w:ind w:firstLine="480" w:firstLineChars="200"/>
        <w:rPr>
          <w:rFonts w:hint="eastAsia" w:ascii="宋体" w:hAnsi="宋体" w:cs="宋体"/>
          <w:bCs/>
          <w:color w:val="auto"/>
          <w:sz w:val="24"/>
          <w:lang w:val="en-US" w:eastAsia="zh-CN"/>
        </w:rPr>
      </w:pPr>
      <w:r>
        <w:rPr>
          <w:rFonts w:hint="eastAsia" w:ascii="宋体" w:hAnsi="宋体" w:cs="宋体"/>
          <w:color w:val="auto"/>
          <w:sz w:val="24"/>
          <w:lang w:val="en-US" w:eastAsia="zh-CN"/>
        </w:rPr>
        <w:t>3.1、</w:t>
      </w:r>
      <w:r>
        <w:rPr>
          <w:rFonts w:hint="eastAsia" w:ascii="宋体" w:hAnsi="宋体" w:cs="宋体"/>
          <w:bCs/>
          <w:color w:val="auto"/>
          <w:sz w:val="24"/>
          <w:lang w:val="en-US" w:eastAsia="zh-CN"/>
        </w:rPr>
        <w:t>后续服务内容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后期成果咨询、答疑、检查等服务。</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3.2</w:t>
      </w:r>
      <w:r>
        <w:rPr>
          <w:rFonts w:hint="eastAsia" w:ascii="宋体" w:hAnsi="宋体" w:cs="宋体"/>
          <w:color w:val="auto"/>
          <w:sz w:val="24"/>
          <w:lang w:val="en-US" w:eastAsia="zh-CN"/>
        </w:rPr>
        <w:t>、</w:t>
      </w:r>
      <w:r>
        <w:rPr>
          <w:rFonts w:hint="eastAsia" w:ascii="宋体" w:hAnsi="宋体" w:cs="宋体"/>
          <w:bCs/>
          <w:color w:val="auto"/>
          <w:sz w:val="24"/>
          <w:lang w:val="en-US" w:eastAsia="zh-CN"/>
        </w:rPr>
        <w:t>后续服务要求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（1）乙方提供详细的后续服务承诺书；</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（2）乙方安排专人负责后续技术支持，并提供其联系手机、电话、微信、Email；如人员需要调整应及时通知甲方；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（3）按甲方要求完成后续服务。</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3.3、后续服务期限</w:t>
      </w:r>
    </w:p>
    <w:p>
      <w:pPr>
        <w:spacing w:line="360" w:lineRule="auto"/>
        <w:ind w:firstLine="480" w:firstLineChars="200"/>
        <w:outlineLvl w:val="1"/>
        <w:rPr>
          <w:rFonts w:hint="eastAsia" w:ascii="宋体" w:hAnsi="宋体" w:cs="宋体"/>
          <w:b/>
          <w:bCs/>
          <w:color w:val="auto"/>
          <w:sz w:val="24"/>
        </w:rPr>
      </w:pPr>
      <w:r>
        <w:rPr>
          <w:rFonts w:hint="eastAsia" w:ascii="宋体" w:hAnsi="宋体" w:cs="宋体"/>
          <w:bCs/>
          <w:color w:val="auto"/>
          <w:sz w:val="24"/>
          <w:lang w:val="en-US" w:eastAsia="zh-CN"/>
        </w:rPr>
        <w:t>乙方提交的本项目最终成果通过甲方审查验收之日起3个月为本合同后续服务期。服务期内乙方应向甲方提供后续的专业技术支持与咨询服务。</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第四条  甲方的义务</w:t>
      </w:r>
    </w:p>
    <w:p>
      <w:pPr>
        <w:spacing w:line="460" w:lineRule="exact"/>
        <w:ind w:firstLine="480" w:firstLineChars="200"/>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、向乙方提供与本项目服务工作有关的资料。</w:t>
      </w:r>
    </w:p>
    <w:p>
      <w:pPr>
        <w:spacing w:line="460" w:lineRule="exact"/>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、负责组织对项目成果的</w:t>
      </w:r>
      <w:r>
        <w:rPr>
          <w:rFonts w:ascii="宋体" w:hAnsi="宋体" w:cs="宋体"/>
          <w:color w:val="auto"/>
          <w:sz w:val="24"/>
        </w:rPr>
        <w:t>验收</w:t>
      </w:r>
      <w:r>
        <w:rPr>
          <w:rFonts w:hint="eastAsia" w:ascii="宋体" w:hAnsi="宋体" w:cs="宋体"/>
          <w:color w:val="auto"/>
          <w:sz w:val="24"/>
        </w:rPr>
        <w:t>。</w:t>
      </w:r>
    </w:p>
    <w:p>
      <w:pPr>
        <w:spacing w:line="460" w:lineRule="exact"/>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、根据合同的条款按时支付合同价款。</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第五条 乙方的义务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１、应按照【</w:t>
      </w:r>
      <w:r>
        <w:rPr>
          <w:rFonts w:hint="eastAsia" w:ascii="宋体" w:hAnsi="宋体" w:cs="宋体"/>
          <w:color w:val="auto"/>
          <w:sz w:val="24"/>
          <w:lang w:eastAsia="zh-CN"/>
        </w:rPr>
        <w:t>QH2025099</w:t>
      </w:r>
      <w:r>
        <w:rPr>
          <w:rFonts w:hint="eastAsia" w:ascii="宋体" w:hAnsi="宋体" w:cs="宋体"/>
          <w:color w:val="auto"/>
          <w:sz w:val="24"/>
        </w:rPr>
        <w:t>】号招标文件、乙方投标文件以及本合同的要求按期完成本项目服务工作。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2、在履行合同期间或合同规定期限内，不得泄露与本合同规定业务活动有关的保密资料。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4、对甲方提出的合理的额外服务，不应予以拒绝。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auto"/>
          <w:sz w:val="24"/>
          <w:lang w:eastAsia="zh-CN"/>
        </w:rPr>
        <w:t>账</w:t>
      </w:r>
      <w:r>
        <w:rPr>
          <w:rFonts w:hint="eastAsia" w:ascii="宋体" w:hAnsi="宋体" w:cs="宋体"/>
          <w:color w:val="auto"/>
          <w:sz w:val="24"/>
        </w:rPr>
        <w:t>资料交给甲方。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姓名：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联系方式： </w:t>
      </w:r>
    </w:p>
    <w:p>
      <w:pPr>
        <w:spacing w:line="360" w:lineRule="auto"/>
        <w:ind w:firstLine="480" w:firstLineChars="200"/>
        <w:rPr>
          <w:color w:val="auto"/>
        </w:rPr>
      </w:pPr>
      <w:r>
        <w:rPr>
          <w:rFonts w:hint="eastAsia" w:ascii="宋体" w:hAnsi="宋体" w:cs="宋体"/>
          <w:color w:val="auto"/>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第六条  甲方的权利</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2、检查乙方人员到位情况，如因人力、能力不足致使工作不能按计划完成时，有权要求乙方增加或替换相应的技术人员，直至甲方认可，乙方不得拒绝。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5、甲方对乙方在委托权限范围内完成委托事项有指导、监督权利。</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第七条  乙方的权利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1、乙方在本项目服务过程中，如甲方提供的资料不明确时可向甲方提出书面报告。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2、乙方在本项目服务过程中，有权要求甲方就本服务业务有关的问题予以协调和支持。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3、乙方在本项目服务过程中，有到现场勘察并要求甲方协调的权利。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4、根据合同约定收取相应的合同价款。</w:t>
      </w:r>
    </w:p>
    <w:p>
      <w:pPr>
        <w:spacing w:line="460" w:lineRule="exact"/>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、乙方就本协议项下全部义务无条件对甲方承担连带责任。</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第八条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17"/>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1、参加本项目的人员必须具有国家和有关部门规定的相应资质。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2、参加本项目的人员配置必须与合同中的项目成员组成一致，若需调整需经甲方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cs="宋体"/>
          <w:color w:val="auto"/>
          <w:sz w:val="24"/>
        </w:rPr>
        <w:t>、</w:t>
      </w:r>
      <w:r>
        <w:rPr>
          <w:rFonts w:hint="default" w:ascii="宋体" w:hAnsi="宋体" w:eastAsia="宋体" w:cs="宋体"/>
          <w:color w:val="auto"/>
          <w:sz w:val="24"/>
          <w:lang w:val="en-US" w:eastAsia="zh-CN"/>
        </w:rPr>
        <w:t>项目组成员不少于</w:t>
      </w:r>
      <w:r>
        <w:rPr>
          <w:rFonts w:hint="eastAsia" w:ascii="宋体" w:hAnsi="宋体" w:cs="宋体"/>
          <w:color w:val="auto"/>
          <w:sz w:val="24"/>
          <w:lang w:val="en-US" w:eastAsia="zh-CN"/>
        </w:rPr>
        <w:t>5</w:t>
      </w:r>
      <w:r>
        <w:rPr>
          <w:rFonts w:hint="default" w:ascii="宋体" w:hAnsi="宋体" w:eastAsia="宋体" w:cs="宋体"/>
          <w:color w:val="auto"/>
          <w:sz w:val="24"/>
          <w:lang w:val="en-US" w:eastAsia="zh-CN"/>
        </w:rPr>
        <w:t>人</w:t>
      </w:r>
      <w:r>
        <w:rPr>
          <w:rFonts w:hint="eastAsia" w:ascii="宋体" w:hAnsi="宋体" w:cs="宋体"/>
          <w:color w:val="auto"/>
          <w:sz w:val="24"/>
          <w:lang w:val="en-US" w:eastAsia="zh-CN"/>
        </w:rPr>
        <w:t>（含1名项目负责人）</w:t>
      </w:r>
      <w:r>
        <w:rPr>
          <w:rFonts w:hint="default" w:ascii="宋体" w:hAnsi="宋体" w:eastAsia="宋体" w:cs="宋体"/>
          <w:color w:val="auto"/>
          <w:sz w:val="24"/>
          <w:lang w:val="en-US" w:eastAsia="zh-CN"/>
        </w:rPr>
        <w:t>，及时响应项目服务需求，并按月度开展项目工作汇报</w:t>
      </w:r>
      <w:r>
        <w:rPr>
          <w:rFonts w:hint="eastAsia" w:ascii="宋体" w:hAnsi="宋体" w:eastAsia="宋体" w:cs="宋体"/>
          <w:color w:val="auto"/>
          <w:sz w:val="24"/>
          <w:lang w:val="en-US" w:eastAsia="zh-CN"/>
        </w:rPr>
        <w:t>。</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第九条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1、本项目全部阶段性成果和最终成果的所有权、知识产权以及与之相关的所有权利归</w:t>
      </w:r>
      <w:r>
        <w:rPr>
          <w:rFonts w:hint="eastAsia" w:ascii="宋体" w:hAnsi="宋体" w:cs="宋体"/>
          <w:color w:val="auto"/>
          <w:sz w:val="24"/>
          <w:lang w:val="en-US" w:eastAsia="zh-CN"/>
        </w:rPr>
        <w:t>甲方</w:t>
      </w:r>
      <w:r>
        <w:rPr>
          <w:rFonts w:hint="eastAsia" w:ascii="宋体" w:hAnsi="宋体" w:cs="宋体"/>
          <w:color w:val="auto"/>
          <w:sz w:val="24"/>
        </w:rPr>
        <w:t>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w:t>
      </w:r>
      <w:r>
        <w:rPr>
          <w:rFonts w:hint="eastAsia" w:ascii="宋体" w:hAnsi="宋体" w:cs="宋体"/>
          <w:color w:val="auto"/>
          <w:sz w:val="24"/>
          <w:lang w:val="en-US" w:eastAsia="zh-CN"/>
        </w:rPr>
        <w:t>甲方</w:t>
      </w:r>
      <w:r>
        <w:rPr>
          <w:rFonts w:hint="eastAsia" w:ascii="宋体" w:hAnsi="宋体" w:cs="宋体"/>
          <w:color w:val="auto"/>
          <w:sz w:val="24"/>
        </w:rPr>
        <w:t>有权对</w:t>
      </w:r>
      <w:r>
        <w:rPr>
          <w:rFonts w:hint="eastAsia" w:ascii="宋体" w:hAnsi="宋体" w:cs="宋体"/>
          <w:color w:val="auto"/>
          <w:sz w:val="24"/>
          <w:lang w:val="en-US" w:eastAsia="zh-CN"/>
        </w:rPr>
        <w:t>乙方</w:t>
      </w:r>
      <w:r>
        <w:rPr>
          <w:rFonts w:hint="eastAsia" w:ascii="宋体" w:hAnsi="宋体" w:cs="宋体"/>
          <w:color w:val="auto"/>
          <w:sz w:val="24"/>
        </w:rPr>
        <w:t>按照本合同约定提供的成果进行后续改进。由此产生的具有实质性或创造性技术进步特征的新的技术成果及其权利全部由</w:t>
      </w:r>
      <w:r>
        <w:rPr>
          <w:rFonts w:hint="eastAsia" w:ascii="宋体" w:hAnsi="宋体" w:cs="宋体"/>
          <w:color w:val="auto"/>
          <w:sz w:val="24"/>
          <w:lang w:val="en-US" w:eastAsia="zh-CN"/>
        </w:rPr>
        <w:t>甲方</w:t>
      </w:r>
      <w:r>
        <w:rPr>
          <w:rFonts w:hint="eastAsia" w:ascii="宋体" w:hAnsi="宋体" w:cs="宋体"/>
          <w:color w:val="auto"/>
          <w:sz w:val="24"/>
        </w:rPr>
        <w:t>享有。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乙方</w:t>
      </w:r>
      <w:r>
        <w:rPr>
          <w:rFonts w:hint="eastAsia" w:ascii="宋体" w:hAnsi="宋体" w:cs="宋体"/>
          <w:color w:val="auto"/>
          <w:sz w:val="24"/>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cs="宋体"/>
          <w:color w:val="auto"/>
          <w:sz w:val="24"/>
          <w:lang w:val="en-US" w:eastAsia="zh-CN"/>
        </w:rPr>
        <w:t>乙方</w:t>
      </w:r>
      <w:r>
        <w:rPr>
          <w:rFonts w:hint="eastAsia" w:ascii="宋体" w:hAnsi="宋体" w:cs="宋体"/>
          <w:color w:val="auto"/>
          <w:sz w:val="24"/>
        </w:rPr>
        <w:t>承担。同时，</w:t>
      </w:r>
      <w:r>
        <w:rPr>
          <w:rFonts w:hint="eastAsia" w:ascii="宋体" w:hAnsi="宋体" w:cs="宋体"/>
          <w:color w:val="auto"/>
          <w:sz w:val="24"/>
          <w:lang w:val="en-US" w:eastAsia="zh-CN"/>
        </w:rPr>
        <w:t>甲方</w:t>
      </w:r>
      <w:r>
        <w:rPr>
          <w:rFonts w:hint="eastAsia" w:ascii="宋体" w:hAnsi="宋体" w:cs="宋体"/>
          <w:color w:val="auto"/>
          <w:sz w:val="24"/>
        </w:rPr>
        <w:t>有权要求</w:t>
      </w:r>
      <w:r>
        <w:rPr>
          <w:rFonts w:hint="eastAsia" w:ascii="宋体" w:hAnsi="宋体" w:cs="宋体"/>
          <w:color w:val="auto"/>
          <w:sz w:val="24"/>
          <w:lang w:val="en-US" w:eastAsia="zh-CN"/>
        </w:rPr>
        <w:t>乙方</w:t>
      </w:r>
      <w:r>
        <w:rPr>
          <w:rFonts w:hint="eastAsia" w:ascii="宋体" w:hAnsi="宋体" w:cs="宋体"/>
          <w:color w:val="auto"/>
          <w:sz w:val="24"/>
        </w:rPr>
        <w:t>修改成果至不侵权或解除合同，并保留要求</w:t>
      </w:r>
      <w:r>
        <w:rPr>
          <w:rFonts w:hint="eastAsia" w:ascii="宋体" w:hAnsi="宋体" w:cs="宋体"/>
          <w:color w:val="auto"/>
          <w:sz w:val="24"/>
          <w:lang w:val="en-US" w:eastAsia="zh-CN"/>
        </w:rPr>
        <w:t>乙方</w:t>
      </w:r>
      <w:r>
        <w:rPr>
          <w:rFonts w:hint="eastAsia" w:ascii="宋体" w:hAnsi="宋体" w:cs="宋体"/>
          <w:color w:val="auto"/>
          <w:sz w:val="24"/>
        </w:rPr>
        <w:t>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w:t>
      </w:r>
      <w:r>
        <w:rPr>
          <w:rFonts w:hint="eastAsia" w:ascii="宋体" w:hAnsi="宋体" w:cs="宋体"/>
          <w:color w:val="auto"/>
          <w:sz w:val="24"/>
          <w:lang w:val="en-US" w:eastAsia="zh-CN"/>
        </w:rPr>
        <w:t>甲方</w:t>
      </w:r>
      <w:r>
        <w:rPr>
          <w:rFonts w:hint="eastAsia" w:ascii="宋体" w:hAnsi="宋体" w:cs="宋体"/>
          <w:color w:val="auto"/>
          <w:sz w:val="24"/>
        </w:rPr>
        <w:t>书面在先同意，</w:t>
      </w:r>
      <w:r>
        <w:rPr>
          <w:rFonts w:hint="eastAsia" w:ascii="宋体" w:hAnsi="宋体" w:cs="宋体"/>
          <w:color w:val="auto"/>
          <w:sz w:val="24"/>
          <w:lang w:val="en-US" w:eastAsia="zh-CN"/>
        </w:rPr>
        <w:t>乙方</w:t>
      </w:r>
      <w:r>
        <w:rPr>
          <w:rFonts w:hint="eastAsia" w:ascii="宋体" w:hAnsi="宋体" w:cs="宋体"/>
          <w:color w:val="auto"/>
          <w:sz w:val="24"/>
        </w:rPr>
        <w:t>不得将本项目的阶段性成果和/或最终成果文件及任何数据、资料、软件向任何第三方转让、授权任何第三方使用或用于本合同项目外的其他项目。如发生以上情况，</w:t>
      </w:r>
      <w:r>
        <w:rPr>
          <w:rFonts w:hint="eastAsia" w:ascii="宋体" w:hAnsi="宋体" w:cs="宋体"/>
          <w:color w:val="auto"/>
          <w:sz w:val="24"/>
          <w:lang w:val="en-US" w:eastAsia="zh-CN"/>
        </w:rPr>
        <w:t>乙方</w:t>
      </w:r>
      <w:r>
        <w:rPr>
          <w:rFonts w:hint="eastAsia" w:ascii="宋体" w:hAnsi="宋体" w:cs="宋体"/>
          <w:color w:val="auto"/>
          <w:sz w:val="24"/>
        </w:rPr>
        <w:t>应向</w:t>
      </w:r>
      <w:r>
        <w:rPr>
          <w:rFonts w:hint="eastAsia" w:ascii="宋体" w:hAnsi="宋体" w:cs="宋体"/>
          <w:color w:val="auto"/>
          <w:sz w:val="24"/>
          <w:lang w:val="en-US" w:eastAsia="zh-CN"/>
        </w:rPr>
        <w:t>甲方</w:t>
      </w:r>
      <w:r>
        <w:rPr>
          <w:rFonts w:hint="eastAsia" w:ascii="宋体" w:hAnsi="宋体" w:cs="宋体"/>
          <w:color w:val="auto"/>
          <w:sz w:val="24"/>
        </w:rPr>
        <w:t>支付本合同总价款20%的违约金，如果违约金无法弥补</w:t>
      </w:r>
      <w:r>
        <w:rPr>
          <w:rFonts w:hint="eastAsia" w:ascii="宋体" w:hAnsi="宋体" w:cs="宋体"/>
          <w:color w:val="auto"/>
          <w:sz w:val="24"/>
          <w:lang w:val="en-US" w:eastAsia="zh-CN"/>
        </w:rPr>
        <w:t>甲方</w:t>
      </w:r>
      <w:r>
        <w:rPr>
          <w:rFonts w:hint="eastAsia" w:ascii="宋体" w:hAnsi="宋体" w:cs="宋体"/>
          <w:color w:val="auto"/>
          <w:sz w:val="24"/>
        </w:rPr>
        <w:t>的损失，</w:t>
      </w:r>
      <w:r>
        <w:rPr>
          <w:rFonts w:hint="eastAsia" w:ascii="宋体" w:hAnsi="宋体" w:cs="宋体"/>
          <w:color w:val="auto"/>
          <w:sz w:val="24"/>
          <w:lang w:val="en-US" w:eastAsia="zh-CN"/>
        </w:rPr>
        <w:t>甲方</w:t>
      </w:r>
      <w:r>
        <w:rPr>
          <w:rFonts w:hint="eastAsia" w:ascii="宋体" w:hAnsi="宋体" w:cs="宋体"/>
          <w:color w:val="auto"/>
          <w:sz w:val="24"/>
        </w:rPr>
        <w:t>有权要求</w:t>
      </w:r>
      <w:r>
        <w:rPr>
          <w:rFonts w:hint="eastAsia" w:ascii="宋体" w:hAnsi="宋体" w:cs="宋体"/>
          <w:color w:val="auto"/>
          <w:sz w:val="24"/>
          <w:lang w:val="en-US" w:eastAsia="zh-CN"/>
        </w:rPr>
        <w:t>乙方</w:t>
      </w:r>
      <w:r>
        <w:rPr>
          <w:rFonts w:hint="eastAsia" w:ascii="宋体" w:hAnsi="宋体" w:cs="宋体"/>
          <w:color w:val="auto"/>
          <w:sz w:val="24"/>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乙方</w:t>
      </w:r>
      <w:r>
        <w:rPr>
          <w:rFonts w:hint="eastAsia" w:ascii="宋体" w:hAnsi="宋体" w:cs="宋体"/>
          <w:color w:val="auto"/>
          <w:sz w:val="24"/>
        </w:rPr>
        <w:t>完成本项目的研究人员享有在有关技术成果文件上署名的权利和与</w:t>
      </w:r>
      <w:r>
        <w:rPr>
          <w:rFonts w:hint="eastAsia" w:ascii="宋体" w:hAnsi="宋体" w:cs="宋体"/>
          <w:color w:val="auto"/>
          <w:sz w:val="24"/>
          <w:lang w:val="en-US" w:eastAsia="zh-CN"/>
        </w:rPr>
        <w:t>甲方</w:t>
      </w:r>
      <w:r>
        <w:rPr>
          <w:rFonts w:hint="eastAsia" w:ascii="宋体" w:hAnsi="宋体" w:cs="宋体"/>
          <w:color w:val="auto"/>
          <w:sz w:val="24"/>
        </w:rPr>
        <w:t>共同获得有关荣誉证书、奖励的权利。</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第十条  保密条款</w:t>
      </w:r>
    </w:p>
    <w:p>
      <w:pPr>
        <w:widowControl/>
        <w:spacing w:line="360" w:lineRule="auto"/>
        <w:ind w:firstLine="480" w:firstLineChars="200"/>
        <w:rPr>
          <w:rFonts w:hint="eastAsia" w:ascii="宋体" w:hAnsi="宋体" w:cs="宋体"/>
          <w:color w:val="auto"/>
          <w:sz w:val="24"/>
        </w:rPr>
      </w:pPr>
      <w:bookmarkStart w:id="25"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5"/>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26" w:name="_Toc216520224"/>
      <w:r>
        <w:rPr>
          <w:rFonts w:hint="eastAsia" w:ascii="宋体" w:hAnsi="宋体" w:cs="宋体"/>
          <w:color w:val="auto"/>
          <w:sz w:val="24"/>
        </w:rPr>
        <w:t>5</w:t>
      </w:r>
      <w:bookmarkEnd w:id="26"/>
      <w:bookmarkStart w:id="27" w:name="_Toc216520226"/>
      <w:r>
        <w:rPr>
          <w:rFonts w:hint="eastAsia" w:ascii="宋体" w:hAnsi="宋体" w:cs="宋体"/>
          <w:color w:val="auto"/>
          <w:sz w:val="24"/>
        </w:rPr>
        <w:t>、上述保密义务不适用以下情况：</w:t>
      </w:r>
      <w:bookmarkEnd w:id="27"/>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第十一条  项目服务费用及付款方式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1、合同价款：</w:t>
      </w:r>
      <w:r>
        <w:rPr>
          <w:rFonts w:hint="eastAsia" w:ascii="宋体" w:hAnsi="宋体" w:cs="宋体"/>
          <w:color w:val="auto"/>
          <w:sz w:val="24"/>
          <w:lang w:val="en-US" w:eastAsia="zh-CN"/>
        </w:rPr>
        <w:t>服务包干，</w:t>
      </w:r>
      <w:r>
        <w:rPr>
          <w:rFonts w:hint="eastAsia" w:ascii="宋体" w:hAnsi="宋体" w:cs="宋体"/>
          <w:color w:val="auto"/>
          <w:sz w:val="24"/>
        </w:rPr>
        <w:t xml:space="preserve">合同总价为 </w:t>
      </w:r>
      <w:r>
        <w:rPr>
          <w:rFonts w:hint="eastAsia" w:ascii="宋体" w:hAnsi="宋体" w:cs="宋体"/>
          <w:color w:val="auto"/>
          <w:sz w:val="24"/>
          <w:u w:val="single"/>
        </w:rPr>
        <w:t>****</w:t>
      </w:r>
      <w:r>
        <w:rPr>
          <w:rFonts w:hint="eastAsia" w:ascii="宋体" w:hAnsi="宋体" w:cs="宋体"/>
          <w:color w:val="auto"/>
          <w:sz w:val="24"/>
        </w:rPr>
        <w:t xml:space="preserve"> （含税）。本项目服务费包括服务成本、法定税费和企业的利润，包括但不限于</w:t>
      </w:r>
      <w:r>
        <w:rPr>
          <w:rFonts w:hint="eastAsia" w:ascii="宋体" w:hAnsi="宋体" w:cs="宋体"/>
          <w:color w:val="auto"/>
          <w:sz w:val="24"/>
          <w:lang w:eastAsia="zh-CN"/>
        </w:rPr>
        <w:t>调研费；人员费用及成果制作费；专家咨询费；办公、通讯、交通费用；项目材料统计、分析费用；项目成果文本印刷费用；以各种方式将文件资料发送至</w:t>
      </w:r>
      <w:r>
        <w:rPr>
          <w:rFonts w:hint="eastAsia" w:ascii="宋体" w:hAnsi="宋体" w:cs="宋体"/>
          <w:color w:val="auto"/>
          <w:sz w:val="24"/>
          <w:lang w:val="en-US" w:eastAsia="zh-CN"/>
        </w:rPr>
        <w:t>甲方</w:t>
      </w:r>
      <w:r>
        <w:rPr>
          <w:rFonts w:hint="eastAsia" w:ascii="宋体" w:hAnsi="宋体" w:cs="宋体"/>
          <w:color w:val="auto"/>
          <w:sz w:val="24"/>
          <w:lang w:eastAsia="zh-CN"/>
        </w:rPr>
        <w:t>的费用；差旅费；税费等所有费用</w:t>
      </w:r>
      <w:r>
        <w:rPr>
          <w:rFonts w:hint="eastAsia" w:ascii="宋体" w:hAnsi="宋体" w:cs="宋体"/>
          <w:color w:val="auto"/>
          <w:sz w:val="24"/>
          <w:lang w:val="zh-CN"/>
        </w:rPr>
        <w:t>。</w:t>
      </w:r>
      <w:r>
        <w:rPr>
          <w:rFonts w:hint="eastAsia" w:ascii="宋体" w:hAnsi="宋体" w:cs="宋体"/>
          <w:color w:val="auto"/>
          <w:sz w:val="24"/>
        </w:rPr>
        <w:t>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2、付款方式：</w:t>
      </w:r>
    </w:p>
    <w:p>
      <w:pPr>
        <w:widowControl/>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2.1、</w:t>
      </w:r>
      <w:r>
        <w:rPr>
          <w:rFonts w:hint="eastAsia" w:ascii="宋体" w:hAnsi="宋体" w:cs="宋体"/>
          <w:color w:val="auto"/>
          <w:sz w:val="24"/>
        </w:rPr>
        <w:t>项目资金由甲方分</w:t>
      </w:r>
      <w:r>
        <w:rPr>
          <w:rFonts w:hint="eastAsia" w:ascii="宋体" w:hAnsi="宋体" w:cs="宋体"/>
          <w:color w:val="auto"/>
          <w:sz w:val="24"/>
          <w:lang w:val="en-US" w:eastAsia="zh-CN"/>
        </w:rPr>
        <w:t>2</w:t>
      </w:r>
      <w:r>
        <w:rPr>
          <w:rFonts w:hint="eastAsia" w:ascii="宋体" w:hAnsi="宋体" w:cs="宋体"/>
          <w:color w:val="auto"/>
          <w:sz w:val="24"/>
        </w:rPr>
        <w:t>期支付至乙方指定银行账户</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首期：合同签订生效后，根据乙方的付款申请，向乙方指定银行账户支付合同服务费总金额的50%；即人民币  整（¥  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尾期：提交最终成果且通过</w:t>
      </w:r>
      <w:r>
        <w:rPr>
          <w:rFonts w:hint="eastAsia" w:ascii="宋体" w:hAnsi="宋体" w:cs="宋体"/>
          <w:color w:val="auto"/>
          <w:sz w:val="24"/>
          <w:lang w:val="en-US" w:eastAsia="zh-CN"/>
        </w:rPr>
        <w:t>甲方</w:t>
      </w:r>
      <w:r>
        <w:rPr>
          <w:rFonts w:hint="eastAsia" w:ascii="宋体" w:hAnsi="宋体" w:cs="宋体"/>
          <w:color w:val="auto"/>
          <w:sz w:val="24"/>
        </w:rPr>
        <w:t>对项目服务成果验收后，根据乙方的付款申请，向乙方指定银行账户支付本合同服务费总金额的50%。即人民币  整（¥  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3、乙方银行账户信息：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第十二条 项目最终成果及验收方式</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w:t>
      </w:r>
      <w:r>
        <w:rPr>
          <w:rFonts w:hint="eastAsia" w:ascii="宋体" w:hAnsi="宋体" w:cs="宋体"/>
          <w:color w:val="auto"/>
          <w:sz w:val="24"/>
        </w:rPr>
        <w:t>项目最终成果</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1</w:t>
      </w:r>
      <w:r>
        <w:rPr>
          <w:rFonts w:hint="eastAsia" w:ascii="宋体" w:hAnsi="宋体" w:cs="宋体"/>
          <w:color w:val="auto"/>
          <w:kern w:val="0"/>
          <w:sz w:val="24"/>
        </w:rPr>
        <w:t>、</w:t>
      </w:r>
      <w:r>
        <w:rPr>
          <w:rFonts w:hint="eastAsia" w:ascii="宋体" w:hAnsi="宋体" w:cs="宋体"/>
          <w:color w:val="auto"/>
          <w:sz w:val="24"/>
        </w:rPr>
        <w:t>成果需满足国家颁布的有关法律、法规及政策要求，符合相关的技术规范和标准，且必须通过</w:t>
      </w:r>
      <w:r>
        <w:rPr>
          <w:rFonts w:hint="eastAsia" w:ascii="宋体" w:hAnsi="宋体" w:cs="宋体"/>
          <w:color w:val="auto"/>
          <w:sz w:val="24"/>
          <w:lang w:val="en-US" w:eastAsia="zh-CN"/>
        </w:rPr>
        <w:t>甲方</w:t>
      </w:r>
      <w:r>
        <w:rPr>
          <w:rFonts w:hint="eastAsia" w:ascii="宋体" w:hAnsi="宋体" w:cs="宋体"/>
          <w:color w:val="auto"/>
          <w:sz w:val="24"/>
        </w:rPr>
        <w:t>组织的审查，提交的成果包括：</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2</w:t>
      </w:r>
      <w:r>
        <w:rPr>
          <w:rFonts w:hint="eastAsia" w:ascii="宋体" w:hAnsi="宋体" w:cs="宋体"/>
          <w:color w:val="auto"/>
          <w:kern w:val="0"/>
          <w:sz w:val="24"/>
        </w:rPr>
        <w:t>、</w:t>
      </w:r>
      <w:r>
        <w:rPr>
          <w:rFonts w:hint="eastAsia" w:ascii="宋体" w:hAnsi="宋体" w:cs="宋体"/>
          <w:bCs/>
          <w:color w:val="auto"/>
          <w:sz w:val="24"/>
          <w:lang w:val="en-US" w:eastAsia="zh-CN"/>
        </w:rPr>
        <w:t>完成《前海管理局国资国企“十五五”战略规划》报告</w:t>
      </w:r>
      <w:r>
        <w:rPr>
          <w:rFonts w:hint="eastAsia" w:ascii="宋体" w:hAnsi="宋体" w:cs="宋体"/>
          <w:color w:val="auto"/>
          <w:sz w:val="24"/>
        </w:rPr>
        <w:t>。</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3</w:t>
      </w:r>
      <w:r>
        <w:rPr>
          <w:rFonts w:hint="eastAsia" w:ascii="宋体" w:hAnsi="宋体" w:cs="宋体"/>
          <w:color w:val="auto"/>
          <w:kern w:val="0"/>
          <w:sz w:val="24"/>
        </w:rPr>
        <w:t>、</w:t>
      </w:r>
      <w:r>
        <w:rPr>
          <w:rFonts w:hint="eastAsia" w:ascii="宋体" w:hAnsi="宋体" w:cs="宋体"/>
          <w:color w:val="auto"/>
          <w:sz w:val="24"/>
        </w:rPr>
        <w:t>项目成果以WORD、PPT、纸质三种形式呈现。</w:t>
      </w:r>
    </w:p>
    <w:p>
      <w:pPr>
        <w:widowControl/>
        <w:spacing w:line="360" w:lineRule="auto"/>
        <w:ind w:firstLine="480" w:firstLineChars="200"/>
        <w:jc w:val="left"/>
        <w:outlineLvl w:val="2"/>
        <w:rPr>
          <w:rFonts w:hint="eastAsia" w:ascii="宋体" w:hAnsi="宋体" w:cs="宋体"/>
          <w:color w:val="auto"/>
          <w:sz w:val="24"/>
        </w:rPr>
      </w:pPr>
      <w:bookmarkStart w:id="28" w:name="OLE_LINK8"/>
      <w:r>
        <w:rPr>
          <w:rFonts w:hint="eastAsia" w:ascii="宋体" w:hAnsi="宋体" w:cs="宋体"/>
          <w:color w:val="auto"/>
          <w:sz w:val="24"/>
        </w:rPr>
        <w:t>2</w:t>
      </w:r>
      <w:r>
        <w:rPr>
          <w:rFonts w:hint="eastAsia" w:ascii="宋体" w:hAnsi="宋体" w:cs="宋体"/>
          <w:color w:val="auto"/>
          <w:kern w:val="0"/>
          <w:sz w:val="24"/>
        </w:rPr>
        <w:t>、</w:t>
      </w:r>
      <w:r>
        <w:rPr>
          <w:rFonts w:hint="eastAsia" w:ascii="宋体" w:hAnsi="宋体" w:cs="宋体"/>
          <w:color w:val="auto"/>
          <w:sz w:val="24"/>
        </w:rPr>
        <w:t>验收方式</w:t>
      </w:r>
    </w:p>
    <w:p>
      <w:pPr>
        <w:pStyle w:val="2"/>
        <w:widowControl/>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乙方</w:t>
      </w:r>
      <w:r>
        <w:rPr>
          <w:rFonts w:hint="eastAsia" w:ascii="宋体" w:hAnsi="宋体" w:cs="宋体"/>
          <w:color w:val="auto"/>
          <w:sz w:val="24"/>
        </w:rPr>
        <w:t>提供的服务内容应获得</w:t>
      </w:r>
      <w:r>
        <w:rPr>
          <w:rFonts w:hint="eastAsia" w:ascii="宋体" w:hAnsi="宋体" w:cs="宋体"/>
          <w:color w:val="auto"/>
          <w:sz w:val="24"/>
          <w:lang w:val="en-US" w:eastAsia="zh-CN"/>
        </w:rPr>
        <w:t>甲方</w:t>
      </w:r>
      <w:r>
        <w:rPr>
          <w:rFonts w:hint="eastAsia" w:ascii="宋体" w:hAnsi="宋体" w:cs="宋体"/>
          <w:color w:val="auto"/>
          <w:sz w:val="24"/>
        </w:rPr>
        <w:t>组织的成果验收。</w:t>
      </w:r>
      <w:r>
        <w:rPr>
          <w:rFonts w:hint="eastAsia" w:ascii="宋体" w:hAnsi="宋体" w:cs="宋体"/>
          <w:color w:val="auto"/>
        </w:rPr>
        <w:t>最终成果验收合格的标志为甲方审查通过。</w:t>
      </w:r>
    </w:p>
    <w:bookmarkEnd w:id="28"/>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第十三条 合同提前终止</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（1）</w:t>
      </w:r>
      <w:r>
        <w:rPr>
          <w:rFonts w:hint="eastAsia" w:ascii="宋体" w:hAnsi="宋体" w:cs="宋体"/>
          <w:color w:val="auto"/>
          <w:kern w:val="0"/>
          <w:sz w:val="24"/>
        </w:rPr>
        <w:t>甲方的职能发生转变，不再具有委托职能。</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（2）</w:t>
      </w:r>
      <w:r>
        <w:rPr>
          <w:rFonts w:hint="eastAsia" w:ascii="宋体" w:hAnsi="宋体" w:cs="宋体"/>
          <w:color w:val="auto"/>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（1）</w:t>
      </w:r>
      <w:r>
        <w:rPr>
          <w:rFonts w:hint="eastAsia" w:ascii="宋体" w:hAnsi="宋体" w:cs="宋体"/>
          <w:color w:val="auto"/>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（2）</w:t>
      </w:r>
      <w:r>
        <w:rPr>
          <w:rFonts w:hint="eastAsia" w:ascii="宋体" w:hAnsi="宋体" w:cs="宋体"/>
          <w:color w:val="auto"/>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（3）</w:t>
      </w:r>
      <w:r>
        <w:rPr>
          <w:rFonts w:hint="eastAsia" w:ascii="宋体" w:hAnsi="宋体" w:cs="宋体"/>
          <w:color w:val="auto"/>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第十四条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第十五条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4、在合同所约定的工作范畴内的服务，本合同价格不予变更。</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第十六条 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eastAsia" w:ascii="宋体" w:hAnsi="宋体" w:cs="宋体"/>
          <w:color w:val="auto"/>
          <w:sz w:val="24"/>
          <w:lang w:eastAsia="zh-CN"/>
        </w:rPr>
        <w:t>QH2025099</w:t>
      </w:r>
      <w:r>
        <w:rPr>
          <w:rFonts w:hint="eastAsia" w:ascii="宋体" w:hAnsi="宋体" w:cs="宋体"/>
          <w:color w:val="auto"/>
          <w:sz w:val="24"/>
        </w:rPr>
        <w:t>】号招标文件的要求和乙方投标文件的承诺完成本项目，出于自身财务、技术、人力等原因导致项目失败的，应承担全部责任。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第十七条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3、本合同履行期间，发生下述情形时，甲方有权解除本合同，乙方除应退还甲方已支付的全部款项外</w:t>
      </w:r>
      <w:r>
        <w:rPr>
          <w:rFonts w:hint="eastAsia" w:ascii="宋体" w:hAnsi="宋体" w:cs="宋体"/>
          <w:color w:val="auto"/>
          <w:sz w:val="24"/>
          <w:lang w:eastAsia="zh-CN"/>
        </w:rPr>
        <w:t>，</w:t>
      </w:r>
      <w:r>
        <w:rPr>
          <w:rFonts w:hint="eastAsia" w:ascii="宋体" w:hAnsi="宋体" w:cs="宋体"/>
          <w:color w:val="auto"/>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（1）因乙方原因，未能按合同约定的日期(含协商延缓的日期)确保活动正常举办的；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（3）乙方虽如期提交最终成果，但连续二次未能通过甲方验收的；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6、乙方无正当理由解除合同的，应向甲方支付合同总额20%的违约金。</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第十八条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    ）及其澄清、补正公告；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b/>
          <w:bCs/>
          <w:color w:val="auto"/>
          <w:szCs w:val="21"/>
        </w:rPr>
        <w:t>注：本合同样本仅供参考，具体条款内容采购人和中标人按前海管理局合同样本签订。实际合同样本不改变本招标文件的实质条件</w:t>
      </w:r>
      <w:r>
        <w:rPr>
          <w:rFonts w:hint="eastAsia" w:ascii="宋体" w:hAnsi="宋体" w:cs="宋体"/>
          <w:b/>
          <w:bCs/>
          <w:color w:val="auto"/>
          <w:sz w:val="24"/>
        </w:rPr>
        <w:t>。</w:t>
      </w:r>
    </w:p>
    <w:p>
      <w:pPr>
        <w:snapToGrid w:val="0"/>
        <w:spacing w:line="360" w:lineRule="auto"/>
        <w:rPr>
          <w:rFonts w:hint="eastAsia" w:ascii="宋体" w:hAnsi="宋体" w:cs="宋体"/>
          <w:color w:val="auto"/>
          <w:sz w:val="24"/>
        </w:rPr>
      </w:pPr>
    </w:p>
    <w:p>
      <w:pPr>
        <w:pStyle w:val="2"/>
        <w:rPr>
          <w:rFonts w:hint="eastAsia" w:ascii="宋体" w:hAnsi="宋体" w:cs="宋体"/>
          <w:color w:val="auto"/>
        </w:rPr>
      </w:pPr>
    </w:p>
    <w:p>
      <w:pPr>
        <w:rPr>
          <w:color w:val="auto"/>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29" w:name="_Toc25518"/>
      <w:r>
        <w:rPr>
          <w:rFonts w:hint="eastAsia" w:ascii="宋体" w:hAnsi="宋体" w:cs="宋体"/>
          <w:b/>
          <w:bCs/>
          <w:color w:val="auto"/>
          <w:sz w:val="24"/>
        </w:rPr>
        <w:t>用户需求书</w:t>
      </w:r>
      <w:bookmarkEnd w:id="29"/>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30" w:name="_Toc11045"/>
      <w:bookmarkStart w:id="31" w:name="_Toc23726"/>
      <w:r>
        <w:rPr>
          <w:rFonts w:hint="eastAsia" w:ascii="宋体" w:hAnsi="宋体" w:cs="宋体"/>
          <w:b/>
          <w:color w:val="auto"/>
          <w:sz w:val="24"/>
        </w:rPr>
        <w:t>说明：本章“用户需求书”的全部内容为本项目正常开展的基本要求，投标人必须完全响应，否则将导致投标无效。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一、</w:t>
      </w:r>
      <w:bookmarkEnd w:id="30"/>
      <w:bookmarkEnd w:id="31"/>
      <w:bookmarkStart w:id="32" w:name="_Toc51746099"/>
      <w:r>
        <w:rPr>
          <w:rFonts w:hint="eastAsia" w:ascii="宋体" w:hAnsi="宋体" w:cs="宋体"/>
          <w:b/>
          <w:color w:val="auto"/>
          <w:sz w:val="24"/>
          <w:lang w:val="zh-CN"/>
        </w:rPr>
        <w:t>项目概况</w:t>
      </w:r>
    </w:p>
    <w:bookmarkEnd w:id="32"/>
    <w:p>
      <w:pPr>
        <w:pStyle w:val="2"/>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为了前海国资国企在“十五五”期间的发展方向与目标提供科学和前瞻性的规划，前海财政中心拟启动前海国资国企“十五五”战略规划研究及制定工作，“十五五”期间，前海管理局国资国企需实现从规模扩张到质量效益的跨越，成为支撑前海高质量发展的核心力量。本项目将通过政策文献、案例研究、实际调研、深入访谈、理论分析和专家咨询等方式制定前海国资国企“十五五”期间战略发展规划，明确前海国资国企的战略目标，确定未来重点任务、明晰实施路径、制定工作计划。重点内容包括：进一步明晰局属国资国企功能定位；优化国资布局结构；提升国资国企在科技创新、产业引领、公共服务等领域的支撑保障作用；高质量完成国企改革深化提升行动；强化市区国资国企协同联动；推动国资国企增强核心功能与提升核心竞争力。</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二、服务内容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本项目将通过政策文献、案例研究、实际调研、深入访谈、理论分析和专家咨询等方式制定前海管理局国资国企“十五五”战略规划，明确战略目标，确定未来重点任务、明晰实施路径、制定工作计划，最终形成《前海管理局国资国企“十五五”战略规划》报告。包括：</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战略环境分析。研判分析</w:t>
      </w:r>
      <w:r>
        <w:rPr>
          <w:rFonts w:hint="eastAsia" w:ascii="宋体" w:hAnsi="宋体" w:cs="宋体"/>
          <w:bCs/>
          <w:color w:val="auto"/>
          <w:sz w:val="24"/>
          <w:lang w:eastAsia="zh-CN"/>
        </w:rPr>
        <w:t>采购人</w:t>
      </w:r>
      <w:r>
        <w:rPr>
          <w:rFonts w:hint="eastAsia" w:ascii="宋体" w:hAnsi="宋体" w:cs="宋体"/>
          <w:bCs/>
          <w:color w:val="auto"/>
          <w:sz w:val="24"/>
        </w:rPr>
        <w:t>所处经济环境、政策环境、社会环境和科技环境，包括宏观经济、区域产业环境、重点政策导向、社会和文化环境、科学技术发展水平和发展趋势等。</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内部资源及案例分析。明确</w:t>
      </w:r>
      <w:r>
        <w:rPr>
          <w:rFonts w:hint="eastAsia" w:ascii="宋体" w:hAnsi="宋体" w:cs="宋体"/>
          <w:bCs/>
          <w:color w:val="auto"/>
          <w:sz w:val="24"/>
          <w:lang w:eastAsia="zh-CN"/>
        </w:rPr>
        <w:t>采购人</w:t>
      </w:r>
      <w:r>
        <w:rPr>
          <w:rFonts w:hint="eastAsia" w:ascii="宋体" w:hAnsi="宋体" w:cs="宋体"/>
          <w:bCs/>
          <w:color w:val="auto"/>
          <w:sz w:val="24"/>
        </w:rPr>
        <w:t>发展现状与基础，选取同级别、可借鉴的机构，引入行业最佳实践，对</w:t>
      </w:r>
      <w:r>
        <w:rPr>
          <w:rFonts w:hint="eastAsia" w:ascii="宋体" w:hAnsi="宋体" w:cs="宋体"/>
          <w:bCs/>
          <w:color w:val="auto"/>
          <w:sz w:val="24"/>
          <w:lang w:eastAsia="zh-CN"/>
        </w:rPr>
        <w:t>采购人</w:t>
      </w:r>
      <w:r>
        <w:rPr>
          <w:rFonts w:hint="eastAsia" w:ascii="宋体" w:hAnsi="宋体" w:cs="宋体"/>
          <w:bCs/>
          <w:color w:val="auto"/>
          <w:sz w:val="24"/>
        </w:rPr>
        <w:t>重点发展领域提供借鉴意义。聚集服务前海大局，结合前海国资国企布局及国资监管规定，系统梳理</w:t>
      </w:r>
      <w:r>
        <w:rPr>
          <w:rFonts w:hint="eastAsia" w:ascii="宋体" w:hAnsi="宋体" w:cs="宋体"/>
          <w:bCs/>
          <w:color w:val="auto"/>
          <w:sz w:val="24"/>
          <w:lang w:eastAsia="zh-CN"/>
        </w:rPr>
        <w:t>采购人</w:t>
      </w:r>
      <w:r>
        <w:rPr>
          <w:rFonts w:hint="eastAsia" w:ascii="宋体" w:hAnsi="宋体" w:cs="宋体"/>
          <w:bCs/>
          <w:color w:val="auto"/>
          <w:sz w:val="24"/>
        </w:rPr>
        <w:t>基础与优势，分析短板与不足，找准解决途径的着力点。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拟定总体战略目标。从前海战略、</w:t>
      </w:r>
      <w:r>
        <w:rPr>
          <w:rFonts w:hint="eastAsia" w:ascii="宋体" w:hAnsi="宋体" w:cs="宋体"/>
          <w:bCs/>
          <w:color w:val="auto"/>
          <w:sz w:val="24"/>
          <w:lang w:eastAsia="zh-CN"/>
        </w:rPr>
        <w:t>采购人</w:t>
      </w:r>
      <w:r>
        <w:rPr>
          <w:rFonts w:hint="eastAsia" w:ascii="宋体" w:hAnsi="宋体" w:cs="宋体"/>
          <w:bCs/>
          <w:color w:val="auto"/>
          <w:sz w:val="24"/>
        </w:rPr>
        <w:t>定位、大湾区建设等多层次、多视角角度，结合最新政策，对标行业领先实践，凸显区域产业联动效应，提出“十五五”总体战略发展思路、目标和原则，规划实施时序安排，构建短、中、长期定性和定量的战略目标、业务指标及行动计划。</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明晰战略实施路径。基于</w:t>
      </w:r>
      <w:r>
        <w:rPr>
          <w:rFonts w:hint="eastAsia" w:ascii="宋体" w:hAnsi="宋体" w:cs="宋体"/>
          <w:bCs/>
          <w:color w:val="auto"/>
          <w:sz w:val="24"/>
          <w:lang w:eastAsia="zh-CN"/>
        </w:rPr>
        <w:t>采购人</w:t>
      </w:r>
      <w:r>
        <w:rPr>
          <w:rFonts w:hint="eastAsia" w:ascii="宋体" w:hAnsi="宋体" w:cs="宋体"/>
          <w:bCs/>
          <w:color w:val="auto"/>
          <w:sz w:val="24"/>
        </w:rPr>
        <w:t>诉求，对标典型案例，优化资源配置，输出</w:t>
      </w:r>
      <w:r>
        <w:rPr>
          <w:rFonts w:hint="eastAsia" w:ascii="宋体" w:hAnsi="宋体" w:cs="宋体"/>
          <w:bCs/>
          <w:color w:val="auto"/>
          <w:sz w:val="24"/>
          <w:lang w:eastAsia="zh-CN"/>
        </w:rPr>
        <w:t>采购人</w:t>
      </w:r>
      <w:r>
        <w:rPr>
          <w:rFonts w:hint="eastAsia" w:ascii="宋体" w:hAnsi="宋体" w:cs="宋体"/>
          <w:bCs/>
          <w:color w:val="auto"/>
          <w:sz w:val="24"/>
        </w:rPr>
        <w:t>重点布局策略与举措，并细化目标、内容。以全球化视野、结合趋势，发掘前海国有资产整合、增质增值、做大做强的举措和增长路径。</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建立战略支撑体系。按照深化国资国企改革的要求，提出</w:t>
      </w:r>
      <w:r>
        <w:rPr>
          <w:rFonts w:hint="eastAsia" w:ascii="宋体" w:hAnsi="宋体" w:cs="宋体"/>
          <w:bCs/>
          <w:color w:val="auto"/>
          <w:sz w:val="24"/>
          <w:lang w:eastAsia="zh-CN"/>
        </w:rPr>
        <w:t>采购人</w:t>
      </w:r>
      <w:r>
        <w:rPr>
          <w:rFonts w:hint="eastAsia" w:ascii="宋体" w:hAnsi="宋体" w:cs="宋体"/>
          <w:bCs/>
          <w:color w:val="auto"/>
          <w:sz w:val="24"/>
        </w:rPr>
        <w:t>在内部管理、风险管控、人力资源、制度体系、激励约束等方面的长效机制，建立战略支撑体系。将战略制定阶段所确定的意图性战略转化为具体的组织行动，保障战略实现预定目标。</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研判战略保障机制。提供战略规划的资源保障建议，针对战略规划在具体实施过程中可能面临的问题，从风险管理角度提出全方位、系统性、可操作的措施建议，推动</w:t>
      </w:r>
      <w:r>
        <w:rPr>
          <w:rFonts w:hint="eastAsia" w:ascii="宋体" w:hAnsi="宋体" w:cs="宋体"/>
          <w:bCs/>
          <w:color w:val="auto"/>
          <w:sz w:val="24"/>
          <w:lang w:eastAsia="zh-CN"/>
        </w:rPr>
        <w:t>采购人</w:t>
      </w:r>
      <w:r>
        <w:rPr>
          <w:rFonts w:hint="eastAsia" w:ascii="宋体" w:hAnsi="宋体" w:cs="宋体"/>
          <w:bCs/>
          <w:color w:val="auto"/>
          <w:sz w:val="24"/>
        </w:rPr>
        <w:t>提升风险分析研判能力、升级风险管理体系、丰富风险管控工具，为做大做强做优国有资本提供坚实保障、为</w:t>
      </w:r>
      <w:r>
        <w:rPr>
          <w:rFonts w:hint="eastAsia" w:ascii="宋体" w:hAnsi="宋体" w:cs="宋体"/>
          <w:bCs/>
          <w:color w:val="auto"/>
          <w:sz w:val="24"/>
          <w:lang w:eastAsia="zh-CN"/>
        </w:rPr>
        <w:t>采购人</w:t>
      </w:r>
      <w:r>
        <w:rPr>
          <w:rFonts w:hint="eastAsia" w:ascii="宋体" w:hAnsi="宋体" w:cs="宋体"/>
          <w:bCs/>
          <w:color w:val="auto"/>
          <w:sz w:val="24"/>
        </w:rPr>
        <w:t>落实战略发展目标保驾护航。</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rPr>
        <w:t>三、项目管理</w:t>
      </w:r>
      <w:r>
        <w:rPr>
          <w:rFonts w:hint="eastAsia" w:ascii="宋体" w:hAnsi="宋体" w:cs="宋体"/>
          <w:b/>
          <w:color w:val="auto"/>
          <w:sz w:val="24"/>
          <w:lang w:val="en-US" w:eastAsia="zh-CN"/>
        </w:rPr>
        <w:t>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为确保本项目工作管理规范、实施有力，投标人应成立项目组，按采购人要求完成研究成果。</w:t>
      </w:r>
    </w:p>
    <w:p>
      <w:pPr>
        <w:pStyle w:val="25"/>
        <w:tabs>
          <w:tab w:val="left" w:pos="720"/>
        </w:tabs>
        <w:autoSpaceDE w:val="0"/>
        <w:autoSpaceDN w:val="0"/>
        <w:adjustRightInd w:val="0"/>
        <w:spacing w:line="360" w:lineRule="auto"/>
        <w:ind w:right="17" w:firstLine="482"/>
        <w:jc w:val="left"/>
        <w:outlineLvl w:val="1"/>
        <w:rPr>
          <w:rFonts w:hint="default" w:ascii="宋体" w:hAnsi="宋体" w:cs="宋体"/>
          <w:b/>
          <w:color w:val="auto"/>
          <w:sz w:val="24"/>
          <w:lang w:val="en-US" w:eastAsia="zh-CN"/>
        </w:rPr>
      </w:pPr>
      <w:r>
        <w:rPr>
          <w:rFonts w:hint="eastAsia" w:ascii="宋体" w:hAnsi="宋体" w:cs="宋体"/>
          <w:b/>
          <w:color w:val="auto"/>
          <w:sz w:val="24"/>
          <w:lang w:val="en-US" w:eastAsia="zh-CN"/>
        </w:rPr>
        <w:t>四、人员要求</w:t>
      </w:r>
    </w:p>
    <w:p>
      <w:pPr>
        <w:pStyle w:val="25"/>
        <w:tabs>
          <w:tab w:val="left" w:pos="720"/>
        </w:tabs>
        <w:autoSpaceDE w:val="0"/>
        <w:autoSpaceDN w:val="0"/>
        <w:adjustRightInd w:val="0"/>
        <w:spacing w:line="360" w:lineRule="auto"/>
        <w:ind w:right="17" w:firstLine="480"/>
        <w:jc w:val="left"/>
        <w:rPr>
          <w:rFonts w:hint="default" w:ascii="宋体" w:hAnsi="宋体" w:cs="宋体"/>
          <w:bCs/>
          <w:color w:val="auto"/>
          <w:sz w:val="24"/>
          <w:lang w:val="en-US" w:eastAsia="zh-CN"/>
        </w:rPr>
      </w:pPr>
      <w:r>
        <w:rPr>
          <w:rFonts w:hint="default" w:ascii="宋体" w:hAnsi="宋体" w:cs="宋体"/>
          <w:bCs/>
          <w:color w:val="auto"/>
          <w:sz w:val="24"/>
          <w:lang w:val="en-US" w:eastAsia="zh-CN"/>
        </w:rPr>
        <w:t>项目组成员不少于</w:t>
      </w:r>
      <w:r>
        <w:rPr>
          <w:rFonts w:hint="eastAsia" w:ascii="宋体" w:hAnsi="宋体" w:cs="宋体"/>
          <w:bCs/>
          <w:color w:val="auto"/>
          <w:sz w:val="24"/>
          <w:lang w:val="en-US" w:eastAsia="zh-CN"/>
        </w:rPr>
        <w:t>5</w:t>
      </w:r>
      <w:r>
        <w:rPr>
          <w:rFonts w:hint="default" w:ascii="宋体" w:hAnsi="宋体" w:cs="宋体"/>
          <w:bCs/>
          <w:color w:val="auto"/>
          <w:sz w:val="24"/>
          <w:lang w:val="en-US" w:eastAsia="zh-CN"/>
        </w:rPr>
        <w:t>人</w:t>
      </w:r>
      <w:r>
        <w:rPr>
          <w:rFonts w:hint="eastAsia" w:ascii="宋体" w:hAnsi="宋体" w:cs="宋体"/>
          <w:color w:val="auto"/>
          <w:sz w:val="24"/>
          <w:lang w:val="en-US" w:eastAsia="zh-CN"/>
        </w:rPr>
        <w:t>（含1名项目负责人）</w:t>
      </w:r>
      <w:r>
        <w:rPr>
          <w:rFonts w:hint="default" w:ascii="宋体" w:hAnsi="宋体" w:cs="宋体"/>
          <w:bCs/>
          <w:color w:val="auto"/>
          <w:sz w:val="24"/>
          <w:lang w:val="en-US" w:eastAsia="zh-CN"/>
        </w:rPr>
        <w:t>，及时响应项目服务需求，并按月度开展项目工作汇报</w:t>
      </w:r>
      <w:r>
        <w:rPr>
          <w:rFonts w:hint="eastAsia" w:ascii="宋体" w:hAnsi="宋体" w:cs="宋体"/>
          <w:bCs/>
          <w:color w:val="auto"/>
          <w:sz w:val="24"/>
          <w:lang w:val="en-US" w:eastAsia="zh-CN"/>
        </w:rPr>
        <w:t>。</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项目最终成果及验收方式</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color w:val="auto"/>
          <w:sz w:val="24"/>
        </w:rPr>
      </w:pPr>
      <w:r>
        <w:rPr>
          <w:rFonts w:hint="eastAsia" w:ascii="宋体" w:hAnsi="宋体" w:cs="宋体"/>
          <w:bCs/>
          <w:color w:val="auto"/>
          <w:sz w:val="24"/>
        </w:rPr>
        <w:t>（一）项目最终成果</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1.成果需满足国家颁布的有关法律、法规及政策要求，符合相关的技术规范和标准，且必须通过采购人组织的审查，提交的成果包括：</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2.完成《前海管理局国资国企“十五五”战略规划》报告。</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3.项目成果以WORD、PPT、纸质三种形式呈现。</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（二）验收方式</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中标人提供的服务内容应获得采购人组织的成果验收。最终成果验收合格的标志为甲方审查通过。</w:t>
      </w:r>
    </w:p>
    <w:p>
      <w:pPr>
        <w:pStyle w:val="25"/>
        <w:tabs>
          <w:tab w:val="left" w:pos="720"/>
        </w:tabs>
        <w:autoSpaceDE w:val="0"/>
        <w:autoSpaceDN w:val="0"/>
        <w:adjustRightInd w:val="0"/>
        <w:spacing w:line="360" w:lineRule="auto"/>
        <w:ind w:right="17" w:firstLine="482"/>
        <w:jc w:val="left"/>
        <w:outlineLvl w:val="1"/>
        <w:rPr>
          <w:rFonts w:hint="default" w:ascii="宋体" w:hAnsi="宋体" w:cs="宋体"/>
          <w:b/>
          <w:color w:val="auto"/>
          <w:sz w:val="24"/>
          <w:lang w:val="en-US" w:eastAsia="zh-CN"/>
        </w:rPr>
      </w:pPr>
      <w:r>
        <w:rPr>
          <w:rFonts w:hint="eastAsia" w:ascii="宋体" w:hAnsi="宋体" w:cs="宋体"/>
          <w:b/>
          <w:color w:val="auto"/>
          <w:sz w:val="24"/>
          <w:lang w:val="en-US" w:eastAsia="zh-CN"/>
        </w:rPr>
        <w:t>六、后续服务要求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rPr>
        <w:t>（一）</w:t>
      </w:r>
      <w:r>
        <w:rPr>
          <w:rFonts w:hint="eastAsia" w:ascii="宋体" w:hAnsi="宋体" w:cs="宋体"/>
          <w:bCs/>
          <w:color w:val="auto"/>
          <w:sz w:val="24"/>
          <w:lang w:val="en-US" w:eastAsia="zh-CN"/>
        </w:rPr>
        <w:t>后续服务内容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后期成果咨询、答疑、检查等服务。</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二</w:t>
      </w:r>
      <w:r>
        <w:rPr>
          <w:rFonts w:hint="eastAsia" w:ascii="宋体" w:hAnsi="宋体" w:cs="宋体"/>
          <w:bCs/>
          <w:color w:val="auto"/>
          <w:sz w:val="24"/>
        </w:rPr>
        <w:t>）</w:t>
      </w:r>
      <w:r>
        <w:rPr>
          <w:rFonts w:hint="eastAsia" w:ascii="宋体" w:hAnsi="宋体" w:cs="宋体"/>
          <w:bCs/>
          <w:color w:val="auto"/>
          <w:sz w:val="24"/>
          <w:lang w:val="en-US" w:eastAsia="zh-CN"/>
        </w:rPr>
        <w:t>后续服务要求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1.投标人在投标文件中应提供详细的后续服务承诺书；</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2.投标人安排专人负责售后技术支持，并提供其联系手机、电话、微信、Email；如人员需要调整应及时通知采购人；</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3.按采购人要求完成后续服务。</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三</w:t>
      </w:r>
      <w:r>
        <w:rPr>
          <w:rFonts w:hint="eastAsia" w:ascii="宋体" w:hAnsi="宋体" w:cs="宋体"/>
          <w:bCs/>
          <w:color w:val="auto"/>
          <w:sz w:val="24"/>
        </w:rPr>
        <w:t>）</w:t>
      </w:r>
      <w:r>
        <w:rPr>
          <w:rFonts w:hint="eastAsia" w:ascii="宋体" w:hAnsi="宋体" w:cs="宋体"/>
          <w:bCs/>
          <w:color w:val="auto"/>
          <w:sz w:val="24"/>
          <w:lang w:val="en-US" w:eastAsia="zh-CN"/>
        </w:rPr>
        <w:t>后续服务期限</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Cs/>
          <w:color w:val="auto"/>
          <w:sz w:val="24"/>
          <w:lang w:val="en-US" w:eastAsia="zh-CN"/>
        </w:rPr>
        <w:t>乙方提交的本项目最终成果通过甲方审查验收之日起3个月为本合同后续服务期。服务期内乙方应向甲方提供后续的专业技术支持与咨询服务。</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（一）服务期限</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eastAsia="zh-CN"/>
        </w:rPr>
        <w:t>合同签订之日起，6个月内完成本项目服务。</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auto"/>
          <w:sz w:val="24"/>
        </w:rPr>
      </w:pPr>
      <w:r>
        <w:rPr>
          <w:rFonts w:hint="eastAsia" w:ascii="宋体" w:hAnsi="宋体" w:cs="宋体"/>
          <w:b/>
          <w:bCs/>
          <w:color w:val="auto"/>
          <w:kern w:val="0"/>
          <w:sz w:val="24"/>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rPr>
      </w:pPr>
      <w:r>
        <w:rPr>
          <w:rFonts w:hint="eastAsia" w:ascii="宋体" w:hAnsi="宋体" w:cs="宋体"/>
          <w:bCs/>
          <w:color w:val="auto"/>
          <w:sz w:val="24"/>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（三）报价要求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签订的合同金额，合同期限内不做调整同金额，合同期限内不做调整</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（四）付款方式</w:t>
      </w:r>
    </w:p>
    <w:p>
      <w:pPr>
        <w:widowControl/>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项目资金由采购人分</w:t>
      </w:r>
      <w:r>
        <w:rPr>
          <w:rFonts w:hint="eastAsia" w:ascii="宋体" w:hAnsi="宋体" w:cs="宋体"/>
          <w:color w:val="auto"/>
          <w:sz w:val="24"/>
          <w:lang w:val="en-US" w:eastAsia="zh-CN"/>
        </w:rPr>
        <w:t>2</w:t>
      </w:r>
      <w:r>
        <w:rPr>
          <w:rFonts w:hint="eastAsia" w:ascii="宋体" w:hAnsi="宋体" w:cs="宋体"/>
          <w:color w:val="auto"/>
          <w:sz w:val="24"/>
        </w:rPr>
        <w:t>期支付至中标人指定银行账户</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1.1.首期：合同签订生效后，根据中标人的付款申请，向中标人指定银行账户支付合同服务费总金额的50%；</w:t>
      </w:r>
    </w:p>
    <w:p>
      <w:pPr>
        <w:widowControl/>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color w:val="auto"/>
          <w:sz w:val="24"/>
          <w:szCs w:val="24"/>
          <w:lang w:val="en-US" w:eastAsia="zh-CN"/>
        </w:rPr>
        <w:t>1.2.尾期：提交最终成果且通过采购人对项目服务成果验收后，根据中标人的付款申请，向中标人指定银行账户支付本合同服务费总金额的</w:t>
      </w:r>
      <w:r>
        <w:rPr>
          <w:rFonts w:hint="eastAsia" w:asciiTheme="minorEastAsia" w:hAnsi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lang w:val="en-US" w:eastAsia="zh-CN"/>
        </w:rPr>
        <w:t>%</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（五）成果权属与知识产权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（六）</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（七）</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3.本项目履行期间，发生下述情形时，采购人有权解除本项目合同，中标人除应退还采购人已支付的全部款项外</w:t>
      </w:r>
      <w:r>
        <w:rPr>
          <w:rFonts w:hint="eastAsia" w:ascii="宋体" w:hAnsi="宋体" w:cs="宋体"/>
          <w:color w:val="auto"/>
          <w:sz w:val="24"/>
          <w:lang w:eastAsia="zh-CN"/>
        </w:rPr>
        <w:t>，</w:t>
      </w:r>
      <w:r>
        <w:rPr>
          <w:rFonts w:hint="eastAsia" w:ascii="宋体" w:hAnsi="宋体" w:cs="宋体"/>
          <w:color w:val="auto"/>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（1）因中标人原因，未能按合同约定的日期(含协商延缓的日期)确保活动正常举办的；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6.中标人无正当理由解除合同的，应向采购人支付合同总额20%的违约金。</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br w:type="page"/>
      </w:r>
    </w:p>
    <w:p>
      <w:pPr>
        <w:widowControl/>
        <w:spacing w:line="360" w:lineRule="auto"/>
        <w:ind w:firstLine="482" w:firstLineChars="200"/>
        <w:jc w:val="center"/>
        <w:outlineLvl w:val="0"/>
        <w:rPr>
          <w:rFonts w:ascii="宋体" w:cs="宋体"/>
          <w:b/>
          <w:bCs/>
          <w:color w:val="auto"/>
          <w:sz w:val="24"/>
        </w:rPr>
      </w:pPr>
      <w:bookmarkStart w:id="33" w:name="_Toc23822"/>
      <w:r>
        <w:rPr>
          <w:rFonts w:hint="eastAsia" w:ascii="宋体" w:cs="宋体"/>
          <w:b/>
          <w:bCs/>
          <w:color w:val="auto"/>
          <w:sz w:val="24"/>
        </w:rPr>
        <w:t>第六章 投标文件初审及招标项目评分表</w:t>
      </w:r>
      <w:bookmarkEnd w:id="33"/>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tcPr>
          <w:p>
            <w:pPr>
              <w:spacing w:line="360" w:lineRule="auto"/>
              <w:rPr>
                <w:rFonts w:hint="eastAsia"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vAlign w:val="center"/>
          </w:tcPr>
          <w:p>
            <w:pPr>
              <w:spacing w:line="360" w:lineRule="auto"/>
              <w:rPr>
                <w:rFonts w:hint="eastAsia"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报价合理性审查</w:t>
            </w:r>
          </w:p>
          <w:p>
            <w:pPr>
              <w:spacing w:line="360" w:lineRule="auto"/>
              <w:rPr>
                <w:rFonts w:hint="eastAsia" w:ascii="宋体" w:hAnsi="宋体" w:cs="宋体"/>
                <w:color w:val="auto"/>
                <w:sz w:val="24"/>
              </w:rPr>
            </w:pPr>
            <w:r>
              <w:rPr>
                <w:rFonts w:hint="eastAsia" w:ascii="宋体" w:hAnsi="宋体" w:cs="宋体"/>
                <w:color w:val="auto"/>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auto"/>
                <w:sz w:val="24"/>
              </w:rPr>
            </w:pPr>
            <w:r>
              <w:rPr>
                <w:rFonts w:hint="eastAsia" w:ascii="宋体" w:hAnsi="宋体" w:cs="宋体"/>
                <w:color w:val="auto"/>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auto"/>
                <w:sz w:val="24"/>
              </w:rPr>
            </w:pPr>
            <w:r>
              <w:rPr>
                <w:rFonts w:hint="eastAsia" w:ascii="宋体" w:hAnsi="宋体" w:cs="宋体"/>
                <w:color w:val="auto"/>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auto"/>
                <w:sz w:val="24"/>
              </w:rPr>
            </w:pPr>
            <w:r>
              <w:rPr>
                <w:rFonts w:hint="eastAsia" w:ascii="宋体" w:hAnsi="宋体" w:cs="宋体"/>
                <w:color w:val="auto"/>
                <w:sz w:val="24"/>
              </w:rPr>
              <w:t>（三）投标（响应）报价低于采购项目最高限价45%的，即投标（响应）报价&lt;采购项目最高限价×45%；</w:t>
            </w:r>
          </w:p>
          <w:p>
            <w:pPr>
              <w:spacing w:line="360" w:lineRule="auto"/>
              <w:rPr>
                <w:rFonts w:hint="eastAsia" w:ascii="宋体" w:hAnsi="宋体" w:cs="宋体"/>
                <w:color w:val="auto"/>
                <w:sz w:val="24"/>
              </w:rPr>
            </w:pPr>
            <w:r>
              <w:rPr>
                <w:rFonts w:hint="eastAsia" w:ascii="宋体" w:hAnsi="宋体" w:cs="宋体"/>
                <w:color w:val="auto"/>
                <w:sz w:val="24"/>
              </w:rPr>
              <w:t>（四）其他评审委员会认为供应商报价过低，有可能影响产品质量或者不能诚信履约的情形。</w:t>
            </w:r>
          </w:p>
          <w:p>
            <w:pPr>
              <w:spacing w:line="360" w:lineRule="auto"/>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spacing w:line="360" w:lineRule="auto"/>
              <w:rPr>
                <w:rFonts w:hint="eastAsia"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11</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12</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p>
      <w:pPr>
        <w:tabs>
          <w:tab w:val="left" w:pos="640"/>
          <w:tab w:val="left" w:pos="1260"/>
          <w:tab w:val="left" w:pos="1418"/>
        </w:tabs>
        <w:spacing w:line="360" w:lineRule="auto"/>
        <w:ind w:right="-420" w:rightChars="-200"/>
        <w:rPr>
          <w:rFonts w:hint="eastAsia" w:ascii="宋体" w:hAnsi="宋体" w:cs="宋体"/>
          <w:color w:val="auto"/>
          <w:sz w:val="24"/>
          <w:lang w:val="fr-CH"/>
        </w:rPr>
      </w:pPr>
    </w:p>
    <w:tbl>
      <w:tblPr>
        <w:tblStyle w:val="17"/>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1</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vAlign w:val="center"/>
          </w:tcPr>
          <w:p>
            <w:pPr>
              <w:pStyle w:val="6"/>
              <w:spacing w:line="360" w:lineRule="auto"/>
              <w:rPr>
                <w:rFonts w:hint="eastAsia" w:ascii="宋体" w:hAnsi="宋体" w:cs="宋体"/>
                <w:color w:val="auto"/>
                <w:sz w:val="24"/>
              </w:rPr>
            </w:pPr>
            <w:r>
              <w:rPr>
                <w:rFonts w:hint="eastAsia" w:ascii="宋体" w:hAnsi="宋体" w:cs="宋体"/>
                <w:color w:val="auto"/>
                <w:sz w:val="24"/>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eastAsia="宋体" w:cs="宋体"/>
                <w:color w:val="auto"/>
                <w:sz w:val="24"/>
                <w:lang w:eastAsia="zh-CN"/>
              </w:rPr>
            </w:pPr>
            <w:r>
              <w:rPr>
                <w:rFonts w:hint="eastAsia" w:ascii="宋体" w:hAnsi="宋体" w:cs="宋体"/>
                <w:b/>
                <w:bCs/>
                <w:color w:val="auto"/>
                <w:sz w:val="24"/>
              </w:rPr>
              <w:t>投标报价得分=(评标基准价／投标报价)×1</w:t>
            </w:r>
            <w:r>
              <w:rPr>
                <w:rFonts w:hint="eastAsia" w:ascii="宋体" w:hAnsi="宋体" w:cs="宋体"/>
                <w:b/>
                <w:bCs/>
                <w:color w:val="auto"/>
                <w:sz w:val="24"/>
                <w:lang w:val="en-US" w:eastAsia="zh-CN"/>
              </w:rPr>
              <w:t>0</w:t>
            </w:r>
          </w:p>
          <w:p>
            <w:pPr>
              <w:numPr>
                <w:ilvl w:val="0"/>
                <w:numId w:val="0"/>
              </w:numPr>
              <w:spacing w:line="360" w:lineRule="auto"/>
              <w:ind w:left="249" w:leftChars="0" w:hanging="249" w:hangingChars="104"/>
              <w:jc w:val="left"/>
              <w:rPr>
                <w:rFonts w:hint="eastAsia" w:ascii="宋体" w:hAnsi="宋体" w:cs="宋体"/>
                <w:bCs/>
                <w:color w:val="auto"/>
                <w:sz w:val="24"/>
              </w:rPr>
            </w:pPr>
            <w:r>
              <w:rPr>
                <w:rFonts w:hint="eastAsia" w:ascii="宋体" w:hAnsi="宋体" w:eastAsia="宋体" w:cs="宋体"/>
                <w:bCs/>
                <w:color w:val="auto"/>
                <w:kern w:val="2"/>
                <w:sz w:val="24"/>
                <w:szCs w:val="24"/>
                <w:lang w:val="en-US" w:eastAsia="zh-CN" w:bidi="ar-SA"/>
              </w:rPr>
              <w:t>1.</w:t>
            </w: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0"/>
              </w:numPr>
              <w:spacing w:line="360" w:lineRule="auto"/>
              <w:ind w:left="0" w:leftChars="0" w:hanging="9" w:firstLineChars="0"/>
              <w:jc w:val="left"/>
              <w:rPr>
                <w:rFonts w:hint="eastAsia" w:ascii="宋体" w:hAnsi="宋体" w:cs="宋体"/>
                <w:b/>
                <w:color w:val="auto"/>
                <w:sz w:val="24"/>
              </w:rPr>
            </w:pPr>
            <w:r>
              <w:rPr>
                <w:rFonts w:hint="eastAsia" w:ascii="宋体" w:hAnsi="宋体" w:eastAsia="宋体" w:cs="宋体"/>
                <w:b w:val="0"/>
                <w:bCs/>
                <w:color w:val="auto"/>
                <w:kern w:val="2"/>
                <w:sz w:val="24"/>
                <w:szCs w:val="24"/>
                <w:lang w:val="en-US" w:eastAsia="zh-CN" w:bidi="ar-SA"/>
              </w:rPr>
              <w:t>2.</w:t>
            </w: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auto"/>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rPr>
              <w:t>4</w:t>
            </w:r>
            <w:r>
              <w:rPr>
                <w:rFonts w:hint="eastAsia" w:ascii="宋体" w:hAnsi="宋体" w:cs="宋体"/>
                <w:b/>
                <w:color w:val="auto"/>
                <w:sz w:val="24"/>
                <w:lang w:val="en-US" w:eastAsia="zh-CN"/>
              </w:rPr>
              <w:t>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项目负责人（仅限一人）</w:t>
            </w:r>
          </w:p>
        </w:tc>
        <w:tc>
          <w:tcPr>
            <w:tcW w:w="5907" w:type="dxa"/>
          </w:tcPr>
          <w:p>
            <w:pPr>
              <w:pStyle w:val="6"/>
              <w:spacing w:line="360" w:lineRule="auto"/>
              <w:jc w:val="both"/>
              <w:rPr>
                <w:rFonts w:hint="eastAsia" w:ascii="宋体" w:hAnsi="宋体" w:cs="宋体"/>
                <w:color w:val="auto"/>
                <w:sz w:val="24"/>
              </w:rPr>
            </w:pPr>
            <w:r>
              <w:rPr>
                <w:rFonts w:hint="eastAsia" w:ascii="宋体" w:hAnsi="宋体" w:cs="宋体"/>
                <w:color w:val="auto"/>
                <w:sz w:val="24"/>
              </w:rPr>
              <w:t>（一）评审标准：</w:t>
            </w:r>
          </w:p>
          <w:p>
            <w:pPr>
              <w:pStyle w:val="6"/>
              <w:spacing w:line="360" w:lineRule="auto"/>
              <w:jc w:val="both"/>
              <w:rPr>
                <w:rFonts w:hint="eastAsia" w:ascii="宋体" w:hAnsi="宋体" w:cs="宋体"/>
                <w:color w:val="auto"/>
                <w:sz w:val="24"/>
              </w:rPr>
            </w:pPr>
            <w:r>
              <w:rPr>
                <w:rFonts w:hint="eastAsia" w:ascii="宋体" w:hAnsi="宋体" w:cs="宋体"/>
                <w:color w:val="auto"/>
                <w:sz w:val="24"/>
              </w:rPr>
              <w:t>拟安排的项目负责人须为投标人自有员工（提供社保作为证明材料），否则本项不得分。</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拟派项目负责人</w:t>
            </w:r>
            <w:r>
              <w:rPr>
                <w:rFonts w:hint="eastAsia" w:ascii="宋体" w:hAnsi="宋体" w:cs="宋体"/>
                <w:color w:val="auto"/>
                <w:sz w:val="24"/>
                <w:lang w:val="en-US" w:eastAsia="zh-CN"/>
              </w:rPr>
              <w:t>具有</w:t>
            </w:r>
            <w:r>
              <w:rPr>
                <w:rFonts w:hint="eastAsia" w:ascii="宋体" w:hAnsi="宋体" w:cs="宋体"/>
                <w:color w:val="auto"/>
                <w:sz w:val="24"/>
              </w:rPr>
              <w:t>博士</w:t>
            </w:r>
            <w:r>
              <w:rPr>
                <w:rFonts w:hint="eastAsia" w:ascii="宋体" w:hAnsi="宋体" w:cs="宋体"/>
                <w:color w:val="auto"/>
                <w:sz w:val="24"/>
                <w:lang w:val="en-US" w:eastAsia="zh-CN"/>
              </w:rPr>
              <w:t>学位的</w:t>
            </w:r>
            <w:r>
              <w:rPr>
                <w:rFonts w:hint="eastAsia" w:ascii="宋体" w:hAnsi="宋体" w:cs="宋体"/>
                <w:color w:val="auto"/>
                <w:sz w:val="24"/>
              </w:rPr>
              <w:t>，得4分。</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拟派项目负责人自2022年1月1日至投标截止之日（以合同签订时间为准），以项目负责人身份参与的国资国企战略咨询相关项目业绩，每提供一个业绩得2分；以项目团队成员身份参与的国资国企战略咨询相关项目业绩，每提供一个业绩得1分；本项最高可得6分。</w:t>
            </w:r>
          </w:p>
          <w:p>
            <w:pPr>
              <w:pStyle w:val="6"/>
              <w:spacing w:line="360" w:lineRule="auto"/>
              <w:jc w:val="both"/>
              <w:rPr>
                <w:rFonts w:hint="eastAsia" w:ascii="宋体" w:hAnsi="宋体" w:cs="宋体"/>
                <w:color w:val="auto"/>
                <w:sz w:val="24"/>
              </w:rPr>
            </w:pPr>
            <w:r>
              <w:rPr>
                <w:rFonts w:hint="eastAsia" w:ascii="宋体" w:hAnsi="宋体" w:cs="宋体"/>
                <w:color w:val="auto"/>
                <w:sz w:val="24"/>
              </w:rPr>
              <w:t>（二）证明文件：</w:t>
            </w:r>
          </w:p>
          <w:p>
            <w:pPr>
              <w:pStyle w:val="6"/>
              <w:spacing w:line="360" w:lineRule="auto"/>
              <w:jc w:val="both"/>
              <w:rPr>
                <w:rFonts w:hint="eastAsia" w:ascii="宋体" w:hAnsi="宋体" w:cs="宋体"/>
                <w:color w:val="auto"/>
                <w:sz w:val="24"/>
              </w:rPr>
            </w:pPr>
            <w:r>
              <w:rPr>
                <w:rFonts w:hint="eastAsia" w:ascii="宋体" w:hAnsi="宋体" w:cs="宋体"/>
                <w:color w:val="auto"/>
                <w:sz w:val="24"/>
              </w:rPr>
              <w:t>1.要求提供项目负责人投标日期前三个月内任1个月在同一投标单位缴纳社保证明（网页或窗口打印资料均可，社保证明资料应当至少包含养老保险）及劳动合同。如供应商为新成立企业且成立时间不足1个月可提供加盖公章的情况说明或者证明材料亦视为符合。拟派项目负责人为退休返聘人员</w:t>
            </w:r>
            <w:r>
              <w:rPr>
                <w:rFonts w:hint="eastAsia" w:ascii="宋体" w:hAnsi="宋体" w:cs="宋体"/>
                <w:color w:val="auto"/>
                <w:sz w:val="24"/>
                <w:lang w:eastAsia="zh-CN"/>
              </w:rPr>
              <w:t>，</w:t>
            </w:r>
            <w:r>
              <w:rPr>
                <w:rFonts w:hint="eastAsia" w:ascii="宋体" w:hAnsi="宋体" w:cs="宋体"/>
                <w:color w:val="auto"/>
                <w:sz w:val="24"/>
              </w:rPr>
              <w:t>则须提供相关聘用合同和退休证明</w:t>
            </w:r>
            <w:r>
              <w:rPr>
                <w:rFonts w:hint="eastAsia" w:ascii="宋体" w:hAnsi="宋体" w:cs="宋体"/>
                <w:color w:val="auto"/>
                <w:sz w:val="24"/>
                <w:lang w:eastAsia="zh-CN"/>
              </w:rPr>
              <w:t>，</w:t>
            </w:r>
            <w:r>
              <w:rPr>
                <w:rFonts w:hint="eastAsia" w:ascii="宋体" w:hAnsi="宋体" w:cs="宋体"/>
                <w:color w:val="auto"/>
                <w:sz w:val="24"/>
              </w:rPr>
              <w:t>无需再提供社保证明。</w:t>
            </w:r>
          </w:p>
          <w:p>
            <w:pPr>
              <w:pStyle w:val="6"/>
              <w:spacing w:line="360" w:lineRule="auto"/>
              <w:jc w:val="both"/>
              <w:rPr>
                <w:rFonts w:hint="eastAsia" w:ascii="宋体" w:hAnsi="宋体" w:cs="宋体"/>
                <w:color w:val="auto"/>
                <w:sz w:val="24"/>
              </w:rPr>
            </w:pPr>
            <w:r>
              <w:rPr>
                <w:rFonts w:hint="eastAsia" w:ascii="宋体" w:hAnsi="宋体" w:cs="宋体"/>
                <w:color w:val="auto"/>
                <w:sz w:val="24"/>
              </w:rPr>
              <w:t>2.</w:t>
            </w:r>
            <w:bookmarkStart w:id="34" w:name="OLE_LINK21"/>
            <w:r>
              <w:rPr>
                <w:rFonts w:hint="eastAsia" w:ascii="宋体" w:hAnsi="宋体" w:eastAsia="宋体" w:cs="宋体"/>
                <w:color w:val="auto"/>
                <w:sz w:val="24"/>
                <w:szCs w:val="24"/>
                <w:lang w:val="en-US" w:eastAsia="zh-CN"/>
              </w:rPr>
              <w:t>学</w:t>
            </w:r>
            <w:r>
              <w:rPr>
                <w:rFonts w:hint="eastAsia" w:ascii="宋体" w:hAnsi="宋体" w:cs="宋体"/>
                <w:color w:val="auto"/>
                <w:sz w:val="24"/>
                <w:szCs w:val="24"/>
                <w:lang w:val="en-US" w:eastAsia="zh-CN"/>
              </w:rPr>
              <w:t>位</w:t>
            </w:r>
            <w:r>
              <w:rPr>
                <w:rFonts w:hint="eastAsia" w:ascii="宋体" w:hAnsi="宋体" w:eastAsia="宋体" w:cs="宋体"/>
                <w:color w:val="auto"/>
                <w:sz w:val="24"/>
                <w:szCs w:val="24"/>
                <w:lang w:val="en-US" w:eastAsia="zh-CN"/>
              </w:rPr>
              <w:t>证明：学</w:t>
            </w:r>
            <w:r>
              <w:rPr>
                <w:rFonts w:hint="eastAsia" w:ascii="宋体" w:hAnsi="宋体" w:cs="宋体"/>
                <w:color w:val="auto"/>
                <w:sz w:val="24"/>
                <w:szCs w:val="24"/>
                <w:lang w:val="en-US" w:eastAsia="zh-CN"/>
              </w:rPr>
              <w:t>位</w:t>
            </w:r>
            <w:r>
              <w:rPr>
                <w:rFonts w:hint="eastAsia" w:ascii="宋体" w:hAnsi="宋体" w:eastAsia="宋体" w:cs="宋体"/>
                <w:color w:val="auto"/>
                <w:sz w:val="24"/>
                <w:szCs w:val="24"/>
                <w:lang w:val="en-US" w:eastAsia="zh-CN"/>
              </w:rPr>
              <w:t>证明需提供</w:t>
            </w:r>
            <w:r>
              <w:rPr>
                <w:rFonts w:hint="eastAsia" w:ascii="宋体" w:hAnsi="宋体" w:cs="宋体"/>
                <w:color w:val="auto"/>
                <w:sz w:val="24"/>
                <w:szCs w:val="24"/>
                <w:lang w:val="en-US" w:eastAsia="zh-CN"/>
              </w:rPr>
              <w:t>学位</w:t>
            </w:r>
            <w:r>
              <w:rPr>
                <w:rFonts w:hint="eastAsia" w:ascii="宋体" w:hAnsi="宋体" w:eastAsia="宋体" w:cs="宋体"/>
                <w:color w:val="auto"/>
                <w:sz w:val="24"/>
                <w:szCs w:val="24"/>
                <w:lang w:val="en-US" w:eastAsia="zh-CN"/>
              </w:rPr>
              <w:t>证书复印件</w:t>
            </w:r>
            <w:bookmarkStart w:id="35" w:name="OLE_LINK19"/>
            <w:r>
              <w:rPr>
                <w:rFonts w:hint="eastAsia" w:ascii="宋体" w:hAnsi="宋体" w:eastAsia="宋体" w:cs="宋体"/>
                <w:color w:val="auto"/>
                <w:sz w:val="24"/>
                <w:szCs w:val="24"/>
                <w:lang w:val="en-US" w:eastAsia="zh-CN"/>
              </w:rPr>
              <w:t>及学信网查询截图，原件备查。对于较早颁发的</w:t>
            </w:r>
            <w:r>
              <w:rPr>
                <w:rFonts w:hint="eastAsia" w:ascii="宋体" w:hAnsi="宋体" w:cs="宋体"/>
                <w:color w:val="auto"/>
                <w:sz w:val="24"/>
                <w:szCs w:val="24"/>
                <w:lang w:val="en-US" w:eastAsia="zh-CN"/>
              </w:rPr>
              <w:t>学位</w:t>
            </w:r>
            <w:r>
              <w:rPr>
                <w:rFonts w:hint="eastAsia" w:ascii="宋体" w:hAnsi="宋体" w:eastAsia="宋体" w:cs="宋体"/>
                <w:color w:val="auto"/>
                <w:sz w:val="24"/>
                <w:szCs w:val="24"/>
                <w:lang w:val="en-US" w:eastAsia="zh-CN"/>
              </w:rPr>
              <w:t>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bookmarkEnd w:id="34"/>
            <w:bookmarkEnd w:id="35"/>
            <w:r>
              <w:rPr>
                <w:rFonts w:hint="eastAsia" w:ascii="宋体" w:hAnsi="宋体" w:cs="宋体"/>
                <w:color w:val="auto"/>
                <w:sz w:val="24"/>
              </w:rPr>
              <w:t>。</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同类项目业绩提供合同关键页（包括但不限于合同封面、合作内容、双方盖章页等，需体现人员名称）的复印件或清晰扫描件加盖公章</w:t>
            </w:r>
            <w:r>
              <w:rPr>
                <w:rFonts w:hint="eastAsia" w:ascii="宋体" w:hAnsi="宋体" w:cs="宋体"/>
                <w:color w:val="auto"/>
                <w:sz w:val="24"/>
                <w:lang w:eastAsia="zh-CN"/>
              </w:rPr>
              <w:t>，</w:t>
            </w:r>
            <w:r>
              <w:rPr>
                <w:rFonts w:hint="eastAsia" w:ascii="宋体" w:hAnsi="宋体" w:cs="宋体"/>
                <w:color w:val="auto"/>
                <w:sz w:val="24"/>
              </w:rPr>
              <w:t>通过合同关键信息无法判断是否得分的，还须同时提供合同甲方出具的证明文件，原件备查。</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auto"/>
                <w:sz w:val="24"/>
                <w:lang w:val="en-US" w:eastAsia="zh-CN"/>
              </w:rPr>
            </w:pPr>
            <w:r>
              <w:rPr>
                <w:rFonts w:hint="default" w:ascii="宋体" w:hAnsi="宋体" w:cs="宋体"/>
                <w:color w:val="auto"/>
                <w:kern w:val="0"/>
                <w:sz w:val="24"/>
                <w:lang w:val="en-US" w:eastAsia="zh-CN"/>
              </w:rPr>
              <w:t>10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服务团队成员（不含项目负责人）</w:t>
            </w:r>
          </w:p>
        </w:tc>
        <w:tc>
          <w:tcPr>
            <w:tcW w:w="5907" w:type="dxa"/>
          </w:tcPr>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（一）评审标准：</w:t>
            </w:r>
          </w:p>
          <w:p>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lang w:val="zh-CN"/>
              </w:rPr>
              <w:t>拟安排的项目主要团队成员为投标人自有员工，提供人员清单（格式自拟），以社保为准</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团队成员不少于4人，</w:t>
            </w:r>
            <w:r>
              <w:rPr>
                <w:rFonts w:hint="eastAsia" w:ascii="宋体" w:hAnsi="宋体" w:cs="宋体"/>
                <w:color w:val="auto"/>
                <w:kern w:val="0"/>
                <w:sz w:val="24"/>
                <w:highlight w:val="none"/>
                <w:lang w:val="zh-CN"/>
              </w:rPr>
              <w:t>否则该人员情况不计分。在此基础上，根据项目主要团队成员以下情况进行评分：</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拟安排的项目主要团队成员为</w:t>
            </w:r>
            <w:r>
              <w:rPr>
                <w:rFonts w:hint="eastAsia" w:ascii="宋体" w:hAnsi="宋体" w:cs="宋体"/>
                <w:color w:val="auto"/>
                <w:kern w:val="0"/>
                <w:sz w:val="24"/>
                <w:highlight w:val="none"/>
                <w:lang w:val="en-US" w:eastAsia="zh-CN"/>
              </w:rPr>
              <w:t>博士研究生或</w:t>
            </w:r>
            <w:r>
              <w:rPr>
                <w:rFonts w:hint="eastAsia" w:ascii="宋体" w:hAnsi="宋体" w:cs="宋体"/>
                <w:color w:val="auto"/>
                <w:kern w:val="0"/>
                <w:sz w:val="24"/>
                <w:highlight w:val="none"/>
              </w:rPr>
              <w:t>以上学历，</w:t>
            </w:r>
            <w:r>
              <w:rPr>
                <w:rFonts w:hint="eastAsia" w:ascii="宋体" w:hAnsi="宋体" w:cs="宋体"/>
                <w:color w:val="auto"/>
                <w:kern w:val="0"/>
                <w:sz w:val="24"/>
                <w:highlight w:val="none"/>
                <w:lang w:val="en-US" w:eastAsia="zh-CN"/>
              </w:rPr>
              <w:t>1人得1分，本项最高得5分。</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拟派项目团队成员自202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年1月1日至投标截止之日（以合同签订时间为准），参与过</w:t>
            </w:r>
            <w:r>
              <w:rPr>
                <w:rFonts w:hint="eastAsia" w:ascii="宋体" w:hAnsi="宋体" w:cs="宋体"/>
                <w:color w:val="auto"/>
                <w:sz w:val="24"/>
                <w:highlight w:val="none"/>
                <w:lang w:val="en-US" w:eastAsia="zh-CN"/>
              </w:rPr>
              <w:t>国资国企战略咨询相关</w:t>
            </w:r>
            <w:r>
              <w:rPr>
                <w:rFonts w:hint="eastAsia" w:ascii="宋体" w:hAnsi="宋体" w:cs="宋体"/>
                <w:color w:val="auto"/>
                <w:kern w:val="0"/>
                <w:sz w:val="24"/>
                <w:highlight w:val="none"/>
              </w:rPr>
              <w:t>项目业绩，每人</w:t>
            </w:r>
            <w:r>
              <w:rPr>
                <w:rFonts w:hint="eastAsia" w:ascii="宋体" w:hAnsi="宋体" w:cs="宋体"/>
                <w:color w:val="auto"/>
                <w:kern w:val="0"/>
                <w:sz w:val="24"/>
                <w:highlight w:val="none"/>
                <w:lang w:val="en-US" w:eastAsia="zh-CN"/>
              </w:rPr>
              <w:t>每项</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同一业绩含多名团队成员可同时得分，</w:t>
            </w:r>
            <w:r>
              <w:rPr>
                <w:rFonts w:hint="eastAsia" w:ascii="宋体" w:hAnsi="宋体" w:cs="宋体"/>
                <w:color w:val="auto"/>
                <w:sz w:val="24"/>
                <w:lang w:val="en-US" w:eastAsia="zh-CN"/>
              </w:rPr>
              <w:t>同一人具备多项业绩均可得分，</w:t>
            </w:r>
            <w:r>
              <w:rPr>
                <w:rFonts w:hint="eastAsia" w:ascii="宋体" w:hAnsi="宋体" w:cs="宋体"/>
                <w:color w:val="auto"/>
                <w:kern w:val="0"/>
                <w:sz w:val="24"/>
                <w:highlight w:val="none"/>
              </w:rPr>
              <w:t>本项最高可得10分。</w:t>
            </w:r>
          </w:p>
          <w:p>
            <w:pPr>
              <w:pStyle w:val="6"/>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以上累计满分为</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（二）证明材料：</w:t>
            </w:r>
          </w:p>
          <w:p>
            <w:pPr>
              <w:pStyle w:val="6"/>
              <w:spacing w:line="360" w:lineRule="auto"/>
              <w:jc w:val="both"/>
              <w:rPr>
                <w:rFonts w:hint="eastAsia" w:ascii="宋体" w:hAnsi="宋体" w:cs="宋体"/>
                <w:color w:val="auto"/>
                <w:sz w:val="24"/>
                <w:lang w:val="zh-CN"/>
              </w:rPr>
            </w:pPr>
            <w:r>
              <w:rPr>
                <w:rFonts w:hint="eastAsia" w:ascii="宋体" w:hAnsi="宋体" w:cs="宋体"/>
                <w:color w:val="auto"/>
                <w:sz w:val="24"/>
                <w:lang w:val="zh-CN"/>
              </w:rPr>
              <w:t>1.要求项目</w:t>
            </w:r>
            <w:r>
              <w:rPr>
                <w:rFonts w:hint="eastAsia" w:ascii="宋体" w:hAnsi="宋体" w:cs="宋体"/>
                <w:color w:val="auto"/>
                <w:sz w:val="24"/>
              </w:rPr>
              <w:t>团队成员</w:t>
            </w:r>
            <w:r>
              <w:rPr>
                <w:rFonts w:hint="eastAsia" w:ascii="宋体" w:hAnsi="宋体" w:cs="宋体"/>
                <w:color w:val="auto"/>
                <w:sz w:val="24"/>
                <w:lang w:val="zh-CN"/>
              </w:rPr>
              <w:t>清单（格式自拟）、</w:t>
            </w:r>
            <w:r>
              <w:rPr>
                <w:rFonts w:hint="eastAsia" w:ascii="宋体" w:hAnsi="宋体" w:cs="宋体"/>
                <w:color w:val="auto"/>
                <w:sz w:val="24"/>
              </w:rPr>
              <w:t>通过投标人缴纳的</w:t>
            </w:r>
            <w:r>
              <w:rPr>
                <w:rFonts w:hint="eastAsia" w:ascii="宋体" w:hAnsi="宋体" w:cs="宋体"/>
                <w:color w:val="auto"/>
                <w:sz w:val="24"/>
                <w:lang w:val="zh-CN"/>
              </w:rPr>
              <w:t>投标日期前三个月</w:t>
            </w:r>
            <w:r>
              <w:rPr>
                <w:rFonts w:hint="eastAsia" w:ascii="宋体" w:hAnsi="宋体" w:cs="宋体"/>
                <w:color w:val="auto"/>
                <w:sz w:val="24"/>
              </w:rPr>
              <w:t>内任1个月的</w:t>
            </w:r>
            <w:r>
              <w:rPr>
                <w:rFonts w:hint="eastAsia" w:ascii="宋体" w:hAnsi="宋体" w:cs="宋体"/>
                <w:color w:val="auto"/>
                <w:sz w:val="24"/>
                <w:lang w:val="zh-CN"/>
              </w:rPr>
              <w:t>社保证明（网页或窗口打印资料均可，社保证明资料应当至少包含养老保险）及劳动合同，</w:t>
            </w:r>
            <w:r>
              <w:rPr>
                <w:rFonts w:hint="eastAsia" w:ascii="宋体" w:hAnsi="宋体" w:cs="宋体"/>
                <w:color w:val="auto"/>
                <w:sz w:val="24"/>
              </w:rPr>
              <w:t>作为其为投标人员工的证明依据</w:t>
            </w:r>
            <w:r>
              <w:rPr>
                <w:rFonts w:hint="eastAsia" w:ascii="宋体" w:hAnsi="宋体" w:cs="宋体"/>
                <w:color w:val="auto"/>
                <w:sz w:val="24"/>
                <w:lang w:val="zh-CN"/>
              </w:rPr>
              <w:t>。如供应商为新成立企业且成立时间不足</w:t>
            </w:r>
            <w:r>
              <w:rPr>
                <w:rFonts w:hint="eastAsia" w:ascii="宋体" w:hAnsi="宋体" w:cs="宋体"/>
                <w:color w:val="auto"/>
                <w:sz w:val="24"/>
              </w:rPr>
              <w:t>1</w:t>
            </w:r>
            <w:r>
              <w:rPr>
                <w:rFonts w:hint="eastAsia" w:ascii="宋体" w:hAnsi="宋体" w:cs="宋体"/>
                <w:color w:val="auto"/>
                <w:sz w:val="24"/>
                <w:lang w:val="zh-CN"/>
              </w:rPr>
              <w:t>个月可提供加盖公章的情况说明或者证明材料亦视为符合。拟派项目</w:t>
            </w:r>
            <w:r>
              <w:rPr>
                <w:rFonts w:hint="eastAsia" w:ascii="宋体" w:hAnsi="宋体" w:cs="宋体"/>
                <w:color w:val="auto"/>
                <w:sz w:val="24"/>
              </w:rPr>
              <w:t>团队成员</w:t>
            </w:r>
            <w:r>
              <w:rPr>
                <w:rFonts w:hint="eastAsia" w:ascii="宋体" w:hAnsi="宋体" w:cs="宋体"/>
                <w:color w:val="auto"/>
                <w:sz w:val="24"/>
                <w:lang w:val="zh-CN"/>
              </w:rPr>
              <w:t>为退休返聘人员，则须提供相关聘用合同和退休证明，无需再提供社保证明。</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sz w:val="24"/>
              </w:rPr>
              <w:t>学历证明：学历证明需提供毕业证书复印件及学信网查询截图，原件备查。对于较早颁发的学历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r>
              <w:rPr>
                <w:rFonts w:hint="eastAsia" w:ascii="宋体" w:hAnsi="宋体" w:cs="宋体"/>
                <w:color w:val="auto"/>
                <w:kern w:val="0"/>
                <w:sz w:val="24"/>
                <w:lang w:val="zh-CN"/>
              </w:rPr>
              <w:t>。</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sz w:val="24"/>
                <w:lang w:val="en-US" w:eastAsia="zh-CN"/>
              </w:rPr>
              <w:t>项目业绩提供合同关键页（包括但不限于合同封面、合作内容、双方盖章页等，需体现人员名称）的复印件或清晰扫描件加盖公章，通过合同关键信息无法判断是否得分的，还须同时提供合同甲方出具的证明文件，原件备查。</w:t>
            </w:r>
          </w:p>
          <w:p>
            <w:pPr>
              <w:spacing w:line="360" w:lineRule="auto"/>
              <w:rPr>
                <w:rFonts w:hint="eastAsia" w:ascii="宋体" w:hAnsi="宋体" w:cs="宋体"/>
                <w:color w:val="auto"/>
                <w:sz w:val="24"/>
              </w:rPr>
            </w:pPr>
            <w:r>
              <w:rPr>
                <w:rFonts w:hint="eastAsia" w:ascii="宋体" w:hAnsi="宋体" w:cs="宋体"/>
                <w:color w:val="auto"/>
                <w:kern w:val="0"/>
                <w:sz w:val="24"/>
                <w:lang w:val="en-US" w:eastAsia="zh-CN"/>
              </w:rPr>
              <w:t>4.</w:t>
            </w:r>
            <w:r>
              <w:rPr>
                <w:rFonts w:hint="eastAsia" w:ascii="宋体" w:hAnsi="宋体" w:cs="宋体"/>
                <w:color w:val="auto"/>
                <w:kern w:val="0"/>
                <w:sz w:val="24"/>
                <w:lang w:val="zh-CN"/>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vAlign w:val="center"/>
          </w:tcPr>
          <w:p>
            <w:pPr>
              <w:autoSpaceDE w:val="0"/>
              <w:autoSpaceDN w:val="0"/>
              <w:adjustRightInd w:val="0"/>
              <w:spacing w:line="360" w:lineRule="auto"/>
              <w:jc w:val="center"/>
              <w:rPr>
                <w:rFonts w:hint="eastAsia" w:ascii="宋体" w:hAnsi="宋体" w:cs="宋体"/>
                <w:color w:val="auto"/>
                <w:sz w:val="24"/>
                <w:highlight w:val="yellow"/>
              </w:rPr>
            </w:pPr>
            <w:r>
              <w:rPr>
                <w:rFonts w:hint="eastAsia" w:ascii="宋体" w:hAnsi="宋体" w:cs="宋体"/>
                <w:color w:val="auto"/>
                <w:sz w:val="24"/>
              </w:rPr>
              <w:t>同类项目业绩</w:t>
            </w:r>
          </w:p>
        </w:tc>
        <w:tc>
          <w:tcPr>
            <w:tcW w:w="5907" w:type="dxa"/>
            <w:vAlign w:val="top"/>
          </w:tcPr>
          <w:p>
            <w:pPr>
              <w:pStyle w:val="6"/>
              <w:spacing w:line="360" w:lineRule="auto"/>
              <w:jc w:val="both"/>
              <w:rPr>
                <w:rFonts w:hint="eastAsia" w:ascii="宋体" w:hAnsi="宋体" w:cs="宋体"/>
                <w:color w:val="auto"/>
                <w:sz w:val="24"/>
                <w:lang w:val="zh-CN"/>
              </w:rPr>
            </w:pPr>
            <w:r>
              <w:rPr>
                <w:rFonts w:hint="eastAsia" w:ascii="宋体" w:hAnsi="宋体" w:cs="宋体"/>
                <w:color w:val="auto"/>
                <w:sz w:val="24"/>
                <w:lang w:val="zh-CN"/>
              </w:rPr>
              <w:t>（一）评审标准：</w:t>
            </w:r>
          </w:p>
          <w:p>
            <w:pPr>
              <w:pStyle w:val="6"/>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lang w:val="zh-CN"/>
              </w:rPr>
              <w:t>自202</w:t>
            </w:r>
            <w:r>
              <w:rPr>
                <w:rFonts w:hint="eastAsia" w:ascii="宋体" w:hAnsi="宋体" w:cs="宋体"/>
                <w:color w:val="auto"/>
                <w:sz w:val="24"/>
                <w:lang w:val="en-US" w:eastAsia="zh-CN"/>
              </w:rPr>
              <w:t>2</w:t>
            </w:r>
            <w:r>
              <w:rPr>
                <w:rFonts w:hint="eastAsia" w:ascii="宋体" w:hAnsi="宋体" w:cs="宋体"/>
                <w:color w:val="auto"/>
                <w:sz w:val="24"/>
                <w:lang w:val="zh-CN"/>
              </w:rPr>
              <w:t>年1月</w:t>
            </w:r>
            <w:r>
              <w:rPr>
                <w:rFonts w:hint="eastAsia" w:ascii="宋体" w:hAnsi="宋体" w:cs="宋体"/>
                <w:color w:val="auto"/>
                <w:sz w:val="24"/>
                <w:highlight w:val="none"/>
                <w:lang w:val="zh-CN"/>
              </w:rPr>
              <w:t>1日至投标截止之日（以合同签订时间为准）承接过</w:t>
            </w:r>
            <w:r>
              <w:rPr>
                <w:rFonts w:hint="eastAsia" w:ascii="宋体" w:hAnsi="宋体" w:cs="宋体"/>
                <w:color w:val="auto"/>
                <w:sz w:val="24"/>
                <w:highlight w:val="none"/>
                <w:lang w:val="en-US" w:eastAsia="zh-CN"/>
              </w:rPr>
              <w:t>国资国企战略咨询</w:t>
            </w:r>
            <w:r>
              <w:rPr>
                <w:rFonts w:hint="eastAsia" w:ascii="宋体" w:hAnsi="宋体" w:cs="宋体"/>
                <w:color w:val="auto"/>
                <w:sz w:val="24"/>
                <w:highlight w:val="none"/>
                <w:lang w:val="zh-CN"/>
              </w:rPr>
              <w:t>相关的项目经验的，每提供一个业绩得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分，本项最高可得</w:t>
            </w:r>
            <w:r>
              <w:rPr>
                <w:rFonts w:hint="eastAsia" w:ascii="宋体" w:hAnsi="宋体" w:cs="宋体"/>
                <w:color w:val="auto"/>
                <w:sz w:val="24"/>
                <w:highlight w:val="none"/>
                <w:lang w:val="en-US" w:eastAsia="zh-CN"/>
              </w:rPr>
              <w:t>15分。</w:t>
            </w:r>
          </w:p>
          <w:p>
            <w:pPr>
              <w:pStyle w:val="6"/>
              <w:spacing w:line="360" w:lineRule="auto"/>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（二）证明文件：</w:t>
            </w:r>
          </w:p>
          <w:p>
            <w:pPr>
              <w:pStyle w:val="31"/>
              <w:widowControl/>
              <w:spacing w:line="360" w:lineRule="auto"/>
              <w:ind w:firstLine="0" w:firstLineChars="0"/>
              <w:rPr>
                <w:rFonts w:hint="eastAsia" w:ascii="宋体" w:hAnsi="宋体" w:cs="宋体"/>
                <w:color w:val="auto"/>
                <w:kern w:val="0"/>
                <w:sz w:val="24"/>
                <w:lang w:val="zh-CN"/>
              </w:rPr>
            </w:pPr>
            <w:r>
              <w:rPr>
                <w:rFonts w:hint="eastAsia" w:ascii="宋体" w:hAnsi="宋体" w:cs="宋体"/>
                <w:color w:val="auto"/>
                <w:kern w:val="0"/>
                <w:sz w:val="24"/>
                <w:lang w:val="zh-CN"/>
              </w:rPr>
              <w:t>1.要求提供合同关键信息（包括但不限于合同封面、签订时间页、合作内容、双方盖章页等）。</w:t>
            </w:r>
          </w:p>
          <w:p>
            <w:pPr>
              <w:pStyle w:val="31"/>
              <w:widowControl/>
              <w:spacing w:line="360" w:lineRule="auto"/>
              <w:ind w:firstLine="0" w:firstLineChars="0"/>
              <w:rPr>
                <w:rFonts w:hint="eastAsia" w:ascii="宋体" w:hAnsi="宋体" w:cs="宋体"/>
                <w:color w:val="auto"/>
                <w:kern w:val="0"/>
                <w:sz w:val="24"/>
                <w:lang w:val="zh-CN"/>
              </w:rPr>
            </w:pPr>
            <w:r>
              <w:rPr>
                <w:rFonts w:hint="eastAsia" w:ascii="宋体" w:hAnsi="宋体" w:cs="宋体"/>
                <w:color w:val="auto"/>
                <w:kern w:val="0"/>
                <w:sz w:val="24"/>
                <w:lang w:val="zh-CN"/>
              </w:rPr>
              <w:t>2.通过合同关键信息无法判断是否得分的，还须同时提供能证明得分的其它证明资料，如项目报告或合同甲方出具的证明文件等。</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kern w:val="0"/>
                <w:sz w:val="24"/>
                <w:lang w:val="zh-CN"/>
              </w:rPr>
              <w:t>3.以上资料均要求提供扫描件</w:t>
            </w:r>
            <w:r>
              <w:rPr>
                <w:rFonts w:hint="eastAsia" w:ascii="宋体" w:hAnsi="宋体" w:cs="宋体"/>
                <w:color w:val="auto"/>
                <w:kern w:val="0"/>
                <w:sz w:val="24"/>
              </w:rPr>
              <w:t>加盖公章</w:t>
            </w:r>
            <w:r>
              <w:rPr>
                <w:rFonts w:hint="eastAsia" w:ascii="宋体" w:hAnsi="宋体" w:cs="宋体"/>
                <w:color w:val="auto"/>
                <w:kern w:val="0"/>
                <w:sz w:val="24"/>
                <w:lang w:val="zh-CN"/>
              </w:rPr>
              <w:t>，原件备查。评分中出现无证明资料或专家无法凭所提供资料判断是否得分的情况，一律作不得分处理。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vAlign w:val="center"/>
          </w:tcPr>
          <w:p>
            <w:pPr>
              <w:spacing w:line="360" w:lineRule="auto"/>
              <w:rPr>
                <w:rFonts w:hint="eastAsia" w:ascii="宋体" w:hAnsi="宋体" w:cs="宋体"/>
                <w:color w:val="auto"/>
                <w:sz w:val="24"/>
              </w:rPr>
            </w:pPr>
            <w:r>
              <w:rPr>
                <w:rFonts w:hint="eastAsia" w:ascii="宋体" w:hAnsi="宋体" w:cs="宋体"/>
                <w:color w:val="auto"/>
                <w:sz w:val="24"/>
              </w:rPr>
              <w:t>（一）评分内容：</w:t>
            </w:r>
          </w:p>
          <w:p>
            <w:pPr>
              <w:spacing w:line="360" w:lineRule="auto"/>
              <w:rPr>
                <w:rFonts w:hint="eastAsia" w:ascii="宋体" w:hAnsi="宋体" w:cs="宋体"/>
                <w:color w:val="auto"/>
                <w:sz w:val="24"/>
              </w:rPr>
            </w:pPr>
            <w:r>
              <w:rPr>
                <w:rFonts w:hint="eastAsia" w:ascii="宋体" w:hAnsi="宋体" w:cs="宋体"/>
                <w:color w:val="auto"/>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（二）评分依据</w:t>
            </w:r>
            <w:r>
              <w:rPr>
                <w:rFonts w:hint="eastAsia" w:ascii="宋体" w:hAnsi="宋体" w:cs="宋体"/>
                <w:color w:val="auto"/>
                <w:sz w:val="24"/>
                <w:lang w:eastAsia="zh-CN"/>
              </w:rPr>
              <w:t>：</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w:t>
            </w:r>
            <w:bookmarkStart w:id="49" w:name="_GoBack"/>
            <w:bookmarkEnd w:id="49"/>
            <w:r>
              <w:rPr>
                <w:rFonts w:hint="eastAsia" w:ascii="宋体" w:hAnsi="宋体" w:cs="宋体"/>
                <w:color w:val="auto"/>
                <w:kern w:val="0"/>
                <w:sz w:val="24"/>
                <w:lang w:val="zh-CN"/>
              </w:rPr>
              <w:t>://zfcg.sz.gov.cn）以及市、区财政部门认定的其他渠道查询供应商信用信息</w:t>
            </w:r>
            <w:r>
              <w:rPr>
                <w:rFonts w:hint="eastAsia" w:ascii="宋体" w:hAnsi="宋体" w:cs="宋体"/>
                <w:color w:val="auto"/>
                <w:sz w:val="24"/>
              </w:rPr>
              <w:t>。</w:t>
            </w:r>
          </w:p>
        </w:tc>
        <w:tc>
          <w:tcPr>
            <w:tcW w:w="901"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079" w:type="dxa"/>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项目实施方案</w:t>
            </w:r>
          </w:p>
        </w:tc>
        <w:tc>
          <w:tcPr>
            <w:tcW w:w="5907" w:type="dxa"/>
            <w:vAlign w:val="center"/>
          </w:tcPr>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考察</w:t>
            </w:r>
            <w:r>
              <w:rPr>
                <w:rFonts w:hint="eastAsia" w:ascii="宋体" w:hAnsi="宋体" w:cs="宋体"/>
                <w:color w:val="auto"/>
                <w:sz w:val="24"/>
                <w:lang w:val="zh-CN"/>
              </w:rPr>
              <w:t>投标</w:t>
            </w:r>
            <w:r>
              <w:rPr>
                <w:rFonts w:hint="eastAsia" w:ascii="宋体" w:hAnsi="宋体" w:cs="宋体"/>
                <w:color w:val="auto"/>
                <w:sz w:val="24"/>
              </w:rPr>
              <w:t>人拟采取的项目</w:t>
            </w:r>
            <w:r>
              <w:rPr>
                <w:rFonts w:hint="eastAsia" w:ascii="宋体" w:hAnsi="宋体" w:cs="宋体"/>
                <w:color w:val="auto"/>
                <w:sz w:val="24"/>
                <w:lang w:val="zh-CN"/>
              </w:rPr>
              <w:t>实施方案</w:t>
            </w:r>
            <w:r>
              <w:rPr>
                <w:rFonts w:hint="eastAsia" w:ascii="宋体" w:hAnsi="宋体" w:cs="宋体"/>
                <w:color w:val="auto"/>
                <w:sz w:val="24"/>
              </w:rPr>
              <w:t>，根据投标文件响应情况进行评分，具体内容包括但不限于：</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1.项目实施目标；</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2.项目实施计划；</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3.项目实施内容；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rPr>
              <w:t>4.项目成果交付。</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（二）评审标准：</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以上四</w:t>
            </w:r>
            <w:r>
              <w:rPr>
                <w:rFonts w:hint="eastAsia" w:ascii="宋体" w:hAnsi="宋体" w:cs="宋体"/>
                <w:color w:val="auto"/>
                <w:sz w:val="24"/>
                <w:lang w:val="zh-CN"/>
              </w:rPr>
              <w:t>点得</w:t>
            </w:r>
            <w:r>
              <w:rPr>
                <w:rFonts w:hint="eastAsia" w:ascii="宋体" w:hAnsi="宋体" w:cs="宋体"/>
                <w:color w:val="auto"/>
                <w:sz w:val="24"/>
              </w:rPr>
              <w:t>8</w:t>
            </w:r>
            <w:r>
              <w:rPr>
                <w:rFonts w:hint="eastAsia" w:ascii="宋体" w:hAnsi="宋体" w:cs="宋体"/>
                <w:color w:val="auto"/>
                <w:sz w:val="24"/>
                <w:lang w:val="zh-CN"/>
              </w:rPr>
              <w:t>分，满足</w:t>
            </w:r>
            <w:r>
              <w:rPr>
                <w:rFonts w:hint="eastAsia" w:ascii="宋体" w:hAnsi="宋体" w:cs="宋体"/>
                <w:color w:val="auto"/>
                <w:sz w:val="24"/>
              </w:rPr>
              <w:t>以上任意三</w:t>
            </w:r>
            <w:r>
              <w:rPr>
                <w:rFonts w:hint="eastAsia" w:ascii="宋体" w:hAnsi="宋体" w:cs="宋体"/>
                <w:color w:val="auto"/>
                <w:sz w:val="24"/>
                <w:lang w:val="zh-CN"/>
              </w:rPr>
              <w:t>点得</w:t>
            </w:r>
            <w:r>
              <w:rPr>
                <w:rFonts w:hint="eastAsia" w:ascii="宋体" w:hAnsi="宋体" w:cs="宋体"/>
                <w:color w:val="auto"/>
                <w:sz w:val="24"/>
              </w:rPr>
              <w:t>6</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4</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任意一点得</w:t>
            </w:r>
            <w:r>
              <w:rPr>
                <w:rFonts w:hint="eastAsia" w:ascii="宋体" w:hAnsi="宋体" w:cs="宋体"/>
                <w:color w:val="auto"/>
                <w:sz w:val="24"/>
              </w:rPr>
              <w:t>2</w:t>
            </w:r>
            <w:r>
              <w:rPr>
                <w:rFonts w:hint="eastAsia" w:ascii="宋体" w:hAnsi="宋体" w:cs="宋体"/>
                <w:color w:val="auto"/>
                <w:sz w:val="24"/>
                <w:lang w:val="zh-CN"/>
              </w:rPr>
              <w:t>分，</w:t>
            </w:r>
            <w:r>
              <w:rPr>
                <w:rFonts w:hint="eastAsia" w:ascii="宋体" w:hAnsi="宋体" w:cs="宋体"/>
                <w:color w:val="auto"/>
                <w:sz w:val="24"/>
              </w:rPr>
              <w:t>其他情况</w:t>
            </w:r>
            <w:r>
              <w:rPr>
                <w:rFonts w:hint="eastAsia" w:ascii="宋体" w:hAnsi="宋体" w:cs="宋体"/>
                <w:color w:val="auto"/>
                <w:sz w:val="24"/>
                <w:lang w:val="zh-CN"/>
              </w:rPr>
              <w:t>不得分。在此基础上，专家根据各供应商的具体响应内容进一步评审：</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优：实施方案内容具体、内容针对性强、内容科学合理、内容可操作性强；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良：实施方案内容较具体、内容针对性较强、内容较科学合理、内容可操作性较强；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中：实施方案内容具体性一般、内容针对性一般、内容科学合理性一般、内容可操作性一般；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差：实施方案内容具体性差、内容针对性差、内容科学合理性差、内容可操作性差。</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lang w:val="zh-CN"/>
              </w:rPr>
              <w:t>根据招标文件比较，评价为优</w:t>
            </w:r>
            <w:r>
              <w:rPr>
                <w:rFonts w:hint="eastAsia" w:ascii="宋体" w:hAnsi="宋体" w:cs="宋体"/>
                <w:color w:val="auto"/>
                <w:sz w:val="24"/>
              </w:rPr>
              <w:t>加</w:t>
            </w:r>
            <w:r>
              <w:rPr>
                <w:rFonts w:hint="eastAsia" w:ascii="宋体" w:hAnsi="宋体" w:cs="宋体"/>
                <w:color w:val="auto"/>
                <w:sz w:val="24"/>
                <w:lang w:val="zh-CN"/>
              </w:rPr>
              <w:t>7分；评价为良</w:t>
            </w:r>
            <w:r>
              <w:rPr>
                <w:rFonts w:hint="eastAsia" w:ascii="宋体" w:hAnsi="宋体" w:cs="宋体"/>
                <w:color w:val="auto"/>
                <w:sz w:val="24"/>
              </w:rPr>
              <w:t>加4</w:t>
            </w:r>
            <w:r>
              <w:rPr>
                <w:rFonts w:hint="eastAsia" w:ascii="宋体" w:hAnsi="宋体" w:cs="宋体"/>
                <w:color w:val="auto"/>
                <w:sz w:val="24"/>
                <w:lang w:val="zh-CN"/>
              </w:rPr>
              <w:t>分；评价为中</w:t>
            </w:r>
            <w:r>
              <w:rPr>
                <w:rFonts w:hint="eastAsia" w:ascii="宋体" w:hAnsi="宋体" w:cs="宋体"/>
                <w:color w:val="auto"/>
                <w:sz w:val="24"/>
              </w:rPr>
              <w:t>加2</w:t>
            </w:r>
            <w:r>
              <w:rPr>
                <w:rFonts w:hint="eastAsia" w:ascii="宋体" w:hAnsi="宋体" w:cs="宋体"/>
                <w:color w:val="auto"/>
                <w:sz w:val="24"/>
                <w:lang w:val="zh-CN"/>
              </w:rPr>
              <w:t>分；评价为差</w:t>
            </w:r>
            <w:r>
              <w:rPr>
                <w:rFonts w:hint="eastAsia" w:ascii="宋体" w:hAnsi="宋体" w:cs="宋体"/>
                <w:color w:val="auto"/>
                <w:sz w:val="24"/>
              </w:rPr>
              <w:t>不加</w:t>
            </w:r>
            <w:r>
              <w:rPr>
                <w:rFonts w:hint="eastAsia" w:ascii="宋体" w:hAnsi="宋体" w:cs="宋体"/>
                <w:color w:val="auto"/>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质量保</w:t>
            </w:r>
            <w:r>
              <w:rPr>
                <w:rFonts w:hint="eastAsia" w:ascii="宋体" w:hAnsi="宋体" w:cs="宋体"/>
                <w:color w:val="auto"/>
                <w:sz w:val="24"/>
              </w:rPr>
              <w:t>障</w:t>
            </w:r>
            <w:r>
              <w:rPr>
                <w:rFonts w:hint="eastAsia" w:ascii="宋体" w:hAnsi="宋体" w:cs="宋体"/>
                <w:color w:val="auto"/>
                <w:sz w:val="24"/>
                <w:lang w:val="zh-CN"/>
              </w:rPr>
              <w:t>措施</w:t>
            </w:r>
            <w:r>
              <w:rPr>
                <w:rFonts w:hint="eastAsia" w:ascii="宋体" w:hAnsi="宋体" w:cs="宋体"/>
                <w:color w:val="auto"/>
                <w:sz w:val="24"/>
              </w:rPr>
              <w:t>及方案</w:t>
            </w:r>
          </w:p>
        </w:tc>
        <w:tc>
          <w:tcPr>
            <w:tcW w:w="5907" w:type="dxa"/>
            <w:vAlign w:val="center"/>
          </w:tcPr>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考察投标人保证项目完成质量的保障措施及方案的合理性，是否满足投标要求，根据投标文件的响应情况进行评分，具体内容包括：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阐述</w:t>
            </w:r>
            <w:r>
              <w:rPr>
                <w:rFonts w:hint="eastAsia" w:ascii="宋体" w:hAnsi="宋体" w:cs="宋体"/>
                <w:color w:val="auto"/>
                <w:sz w:val="24"/>
                <w:lang w:val="zh-CN"/>
              </w:rPr>
              <w:t>分阶段项目时间安排与阶段性</w:t>
            </w:r>
            <w:r>
              <w:rPr>
                <w:rFonts w:hint="eastAsia" w:ascii="宋体" w:hAnsi="宋体" w:cs="宋体"/>
                <w:color w:val="auto"/>
                <w:sz w:val="24"/>
              </w:rPr>
              <w:t>项目</w:t>
            </w:r>
            <w:r>
              <w:rPr>
                <w:rFonts w:hint="eastAsia" w:ascii="宋体" w:hAnsi="宋体" w:cs="宋体"/>
                <w:color w:val="auto"/>
                <w:sz w:val="24"/>
                <w:lang w:val="zh-CN"/>
              </w:rPr>
              <w:t>成果；</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2.阐述项目时间管理制度与措施；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3.阐述项目质量管理制度与措施；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4.阐述项目资料、成果安全性保障制度与措施；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二</w:t>
            </w:r>
            <w:r>
              <w:rPr>
                <w:rFonts w:hint="eastAsia" w:ascii="宋体" w:hAnsi="宋体" w:cs="宋体"/>
                <w:color w:val="auto"/>
                <w:sz w:val="24"/>
                <w:lang w:val="zh-CN"/>
              </w:rPr>
              <w:t>）评分标准：</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以上四</w:t>
            </w:r>
            <w:r>
              <w:rPr>
                <w:rFonts w:hint="eastAsia" w:ascii="宋体" w:hAnsi="宋体" w:cs="宋体"/>
                <w:color w:val="auto"/>
                <w:sz w:val="24"/>
                <w:lang w:val="zh-CN"/>
              </w:rPr>
              <w:t>点得</w:t>
            </w:r>
            <w:r>
              <w:rPr>
                <w:rFonts w:hint="eastAsia" w:ascii="宋体" w:hAnsi="宋体" w:cs="宋体"/>
                <w:color w:val="auto"/>
                <w:sz w:val="24"/>
                <w:lang w:val="en-US" w:eastAsia="zh-CN"/>
              </w:rPr>
              <w:t>8</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lang w:val="en-US" w:eastAsia="zh-CN"/>
              </w:rPr>
              <w:t>6</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lang w:val="en-US" w:eastAsia="zh-CN"/>
              </w:rPr>
              <w:t>4</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任意一点得</w:t>
            </w:r>
            <w:r>
              <w:rPr>
                <w:rFonts w:hint="eastAsia" w:ascii="宋体" w:hAnsi="宋体" w:cs="宋体"/>
                <w:color w:val="auto"/>
                <w:sz w:val="24"/>
                <w:lang w:val="en-US" w:eastAsia="zh-CN"/>
              </w:rPr>
              <w:t>2</w:t>
            </w:r>
            <w:r>
              <w:rPr>
                <w:rFonts w:hint="eastAsia" w:ascii="宋体" w:hAnsi="宋体" w:cs="宋体"/>
                <w:color w:val="auto"/>
                <w:sz w:val="24"/>
                <w:lang w:val="zh-CN"/>
              </w:rPr>
              <w:t>分，</w:t>
            </w:r>
            <w:r>
              <w:rPr>
                <w:rFonts w:hint="eastAsia" w:ascii="宋体" w:hAnsi="宋体" w:cs="宋体"/>
                <w:color w:val="auto"/>
                <w:sz w:val="24"/>
              </w:rPr>
              <w:t>其他情况</w:t>
            </w:r>
            <w:r>
              <w:rPr>
                <w:rFonts w:hint="eastAsia" w:ascii="宋体" w:hAnsi="宋体" w:cs="宋体"/>
                <w:color w:val="auto"/>
                <w:sz w:val="24"/>
                <w:lang w:val="zh-CN"/>
              </w:rPr>
              <w:t xml:space="preserve">不得分。在此基础上，专家根据各供应商的具体响应内容进一步评审； </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优：保障措施及方案内容具体、内容针对性强、内容科学合理、内容可操作性强；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良：保障措施及方案内容较具体、内容针对性较强、内容较科学合理、内容可操作性较强；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中：保障措施及方案内容具体性一般、内容针对性一般、内容科学合理性一般、内容可操作性一般；</w:t>
            </w:r>
          </w:p>
          <w:p>
            <w:pPr>
              <w:spacing w:line="360" w:lineRule="auto"/>
              <w:rPr>
                <w:color w:val="auto"/>
              </w:rPr>
            </w:pPr>
            <w:r>
              <w:rPr>
                <w:rFonts w:hint="eastAsia" w:ascii="宋体" w:hAnsi="宋体" w:cs="宋体"/>
                <w:color w:val="auto"/>
                <w:sz w:val="24"/>
                <w:lang w:val="zh-CN"/>
              </w:rPr>
              <w:t>差：保障措施及方案内容具体性差、内容针对性差、内容科学合理性差、内容可操作性差。</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lang w:val="zh-CN"/>
              </w:rPr>
              <w:t>根据招标文件比较，评价为优</w:t>
            </w:r>
            <w:r>
              <w:rPr>
                <w:rFonts w:hint="eastAsia" w:ascii="宋体" w:hAnsi="宋体" w:cs="宋体"/>
                <w:color w:val="auto"/>
                <w:sz w:val="24"/>
              </w:rPr>
              <w:t>加</w:t>
            </w:r>
            <w:r>
              <w:rPr>
                <w:rFonts w:hint="eastAsia" w:ascii="宋体" w:hAnsi="宋体" w:cs="宋体"/>
                <w:color w:val="auto"/>
                <w:sz w:val="24"/>
                <w:lang w:val="en-US" w:eastAsia="zh-CN"/>
              </w:rPr>
              <w:t>7</w:t>
            </w:r>
            <w:r>
              <w:rPr>
                <w:rFonts w:hint="eastAsia" w:ascii="宋体" w:hAnsi="宋体" w:cs="宋体"/>
                <w:color w:val="auto"/>
                <w:sz w:val="24"/>
                <w:lang w:val="zh-CN"/>
              </w:rPr>
              <w:t>分；评价为良</w:t>
            </w:r>
            <w:r>
              <w:rPr>
                <w:rFonts w:hint="eastAsia" w:ascii="宋体" w:hAnsi="宋体" w:cs="宋体"/>
                <w:color w:val="auto"/>
                <w:sz w:val="24"/>
              </w:rPr>
              <w:t>加</w:t>
            </w:r>
            <w:r>
              <w:rPr>
                <w:rFonts w:hint="eastAsia" w:ascii="宋体" w:hAnsi="宋体" w:cs="宋体"/>
                <w:color w:val="auto"/>
                <w:sz w:val="24"/>
                <w:lang w:val="en-US" w:eastAsia="zh-CN"/>
              </w:rPr>
              <w:t>4</w:t>
            </w:r>
            <w:r>
              <w:rPr>
                <w:rFonts w:hint="eastAsia" w:ascii="宋体" w:hAnsi="宋体" w:cs="宋体"/>
                <w:color w:val="auto"/>
                <w:sz w:val="24"/>
                <w:lang w:val="zh-CN"/>
              </w:rPr>
              <w:t>分；评价为中</w:t>
            </w:r>
            <w:r>
              <w:rPr>
                <w:rFonts w:hint="eastAsia" w:ascii="宋体" w:hAnsi="宋体" w:cs="宋体"/>
                <w:color w:val="auto"/>
                <w:sz w:val="24"/>
              </w:rPr>
              <w:t>加</w:t>
            </w:r>
            <w:r>
              <w:rPr>
                <w:rFonts w:hint="eastAsia" w:ascii="宋体" w:hAnsi="宋体" w:cs="宋体"/>
                <w:color w:val="auto"/>
                <w:sz w:val="24"/>
                <w:lang w:val="en-US" w:eastAsia="zh-CN"/>
              </w:rPr>
              <w:t>2</w:t>
            </w:r>
            <w:r>
              <w:rPr>
                <w:rFonts w:hint="eastAsia" w:ascii="宋体" w:hAnsi="宋体" w:cs="宋体"/>
                <w:color w:val="auto"/>
                <w:sz w:val="24"/>
                <w:lang w:val="zh-CN"/>
              </w:rPr>
              <w:t>分；评价为差</w:t>
            </w:r>
            <w:r>
              <w:rPr>
                <w:rFonts w:hint="eastAsia" w:ascii="宋体" w:hAnsi="宋体" w:cs="宋体"/>
                <w:color w:val="auto"/>
                <w:sz w:val="24"/>
              </w:rPr>
              <w:t>不加</w:t>
            </w:r>
            <w:r>
              <w:rPr>
                <w:rFonts w:hint="eastAsia" w:ascii="宋体" w:hAnsi="宋体" w:cs="宋体"/>
                <w:color w:val="auto"/>
                <w:sz w:val="24"/>
                <w:lang w:val="zh-CN"/>
              </w:rPr>
              <w:t>分。</w:t>
            </w:r>
          </w:p>
        </w:tc>
        <w:tc>
          <w:tcPr>
            <w:tcW w:w="901" w:type="dxa"/>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项目重难点分析及相关的合理化建议</w:t>
            </w:r>
          </w:p>
        </w:tc>
        <w:tc>
          <w:tcPr>
            <w:tcW w:w="5907" w:type="dxa"/>
            <w:vAlign w:val="center"/>
          </w:tcPr>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考察投标人对项目的重点、难点分析的准确性，应对的措施及建议是否具备科学合理性情况进行评分，具体内容包括：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1.分析出项目重难点；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2.给出应对处置项目重难点的工作措施；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3.提出解决项目重难点问题的合理化建议。</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 xml:space="preserve">（二）评分标准： </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以上三</w:t>
            </w:r>
            <w:r>
              <w:rPr>
                <w:rFonts w:hint="eastAsia" w:ascii="宋体" w:hAnsi="宋体" w:cs="宋体"/>
                <w:color w:val="auto"/>
                <w:sz w:val="24"/>
                <w:lang w:val="zh-CN"/>
              </w:rPr>
              <w:t>点得</w:t>
            </w:r>
            <w:r>
              <w:rPr>
                <w:rFonts w:hint="eastAsia" w:ascii="宋体" w:hAnsi="宋体" w:cs="宋体"/>
                <w:color w:val="auto"/>
                <w:sz w:val="24"/>
              </w:rPr>
              <w:t>8</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两点得5分，满足以上任意</w:t>
            </w:r>
            <w:r>
              <w:rPr>
                <w:rFonts w:hint="eastAsia" w:ascii="宋体" w:hAnsi="宋体" w:cs="宋体"/>
                <w:color w:val="auto"/>
                <w:sz w:val="24"/>
                <w:lang w:val="zh-CN"/>
              </w:rPr>
              <w:t>一点得</w:t>
            </w:r>
            <w:r>
              <w:rPr>
                <w:rFonts w:hint="eastAsia" w:ascii="宋体" w:hAnsi="宋体" w:cs="宋体"/>
                <w:color w:val="auto"/>
                <w:sz w:val="24"/>
              </w:rPr>
              <w:t>2</w:t>
            </w:r>
            <w:r>
              <w:rPr>
                <w:rFonts w:hint="eastAsia" w:ascii="宋体" w:hAnsi="宋体" w:cs="宋体"/>
                <w:color w:val="auto"/>
                <w:sz w:val="24"/>
                <w:lang w:val="zh-CN"/>
              </w:rPr>
              <w:t>分，</w:t>
            </w:r>
            <w:r>
              <w:rPr>
                <w:rFonts w:hint="eastAsia" w:ascii="宋体" w:hAnsi="宋体" w:cs="宋体"/>
                <w:color w:val="auto"/>
                <w:sz w:val="24"/>
              </w:rPr>
              <w:t>其他情况</w:t>
            </w:r>
            <w:r>
              <w:rPr>
                <w:rFonts w:hint="eastAsia" w:ascii="宋体" w:hAnsi="宋体" w:cs="宋体"/>
                <w:color w:val="auto"/>
                <w:sz w:val="24"/>
                <w:lang w:val="zh-CN"/>
              </w:rPr>
              <w:t xml:space="preserve">不得分。在此基础上，专家根据各供应商的具体响应内容进一步评审： </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优：项目重点难点分析、应对措施及相关的合理化建议具体、内容针对性强、内容科学合理、内容可操作性强；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良：项目重点难点分析、应对措施及相关的合理化建议较具体、内容针对性较强、内容较科学合理、内容可操作性较强；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中：项目重点难点分析、应对措施及相关的合理化建议具体性一般、内容针对性一般、内容科学合理性一般、内容可操作性一般；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差：项目重点难点分析、应对措施及相关的合理化建议具体性差、内容针对性差、内容科学合理性差、内容可操作性差。</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lang w:val="zh-CN"/>
              </w:rPr>
              <w:t>根据招标文件比较，评价为优</w:t>
            </w:r>
            <w:r>
              <w:rPr>
                <w:rFonts w:hint="eastAsia" w:ascii="宋体" w:hAnsi="宋体" w:cs="宋体"/>
                <w:color w:val="auto"/>
                <w:sz w:val="24"/>
              </w:rPr>
              <w:t>加7</w:t>
            </w:r>
            <w:r>
              <w:rPr>
                <w:rFonts w:hint="eastAsia" w:ascii="宋体" w:hAnsi="宋体" w:cs="宋体"/>
                <w:color w:val="auto"/>
                <w:sz w:val="24"/>
                <w:lang w:val="zh-CN"/>
              </w:rPr>
              <w:t>分；评价为良</w:t>
            </w:r>
            <w:r>
              <w:rPr>
                <w:rFonts w:hint="eastAsia" w:ascii="宋体" w:hAnsi="宋体" w:cs="宋体"/>
                <w:color w:val="auto"/>
                <w:sz w:val="24"/>
              </w:rPr>
              <w:t>加4</w:t>
            </w:r>
            <w:r>
              <w:rPr>
                <w:rFonts w:hint="eastAsia" w:ascii="宋体" w:hAnsi="宋体" w:cs="宋体"/>
                <w:color w:val="auto"/>
                <w:sz w:val="24"/>
                <w:lang w:val="zh-CN"/>
              </w:rPr>
              <w:t>分；评价为中</w:t>
            </w:r>
            <w:r>
              <w:rPr>
                <w:rFonts w:hint="eastAsia" w:ascii="宋体" w:hAnsi="宋体" w:cs="宋体"/>
                <w:color w:val="auto"/>
                <w:sz w:val="24"/>
              </w:rPr>
              <w:t>加2</w:t>
            </w:r>
            <w:r>
              <w:rPr>
                <w:rFonts w:hint="eastAsia" w:ascii="宋体" w:hAnsi="宋体" w:cs="宋体"/>
                <w:color w:val="auto"/>
                <w:sz w:val="24"/>
                <w:lang w:val="zh-CN"/>
              </w:rPr>
              <w:t>分；评价为差</w:t>
            </w:r>
            <w:r>
              <w:rPr>
                <w:rFonts w:hint="eastAsia" w:ascii="宋体" w:hAnsi="宋体" w:cs="宋体"/>
                <w:color w:val="auto"/>
                <w:sz w:val="24"/>
              </w:rPr>
              <w:t>不加</w:t>
            </w:r>
            <w:r>
              <w:rPr>
                <w:rFonts w:hint="eastAsia" w:ascii="宋体" w:hAnsi="宋体" w:cs="宋体"/>
                <w:color w:val="auto"/>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1</w:t>
            </w:r>
            <w:r>
              <w:rPr>
                <w:rFonts w:hint="eastAsia" w:ascii="宋体" w:hAnsi="宋体" w:cs="宋体"/>
                <w:color w:val="auto"/>
                <w:sz w:val="24"/>
              </w:rPr>
              <w:t>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pStyle w:val="3"/>
        <w:rPr>
          <w:color w:val="auto"/>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36" w:name="_Toc9548"/>
      <w:bookmarkStart w:id="37" w:name="_Hlk28269117"/>
      <w:r>
        <w:rPr>
          <w:rFonts w:hint="eastAsia" w:ascii="宋体" w:hAnsi="宋体" w:cs="宋体"/>
          <w:b/>
          <w:bCs/>
          <w:color w:val="auto"/>
          <w:sz w:val="24"/>
        </w:rPr>
        <w:t>第七章 附件（投标文件格式）</w:t>
      </w:r>
      <w:bookmarkEnd w:id="36"/>
    </w:p>
    <w:p>
      <w:pPr>
        <w:keepNext/>
        <w:keepLines/>
        <w:spacing w:before="260" w:after="260" w:line="440" w:lineRule="exact"/>
        <w:jc w:val="center"/>
        <w:outlineLvl w:val="1"/>
        <w:rPr>
          <w:rFonts w:hint="eastAsia" w:ascii="宋体" w:hAnsi="宋体" w:cs="宋体"/>
          <w:b/>
          <w:bCs/>
          <w:color w:val="auto"/>
          <w:sz w:val="24"/>
        </w:rPr>
      </w:pPr>
      <w:bookmarkStart w:id="38" w:name="_Toc5116"/>
      <w:bookmarkStart w:id="39" w:name="_Toc31827"/>
      <w:bookmarkStart w:id="40" w:name="_Toc6548"/>
      <w:bookmarkStart w:id="41" w:name="_Toc19494"/>
      <w:r>
        <w:rPr>
          <w:rFonts w:hint="eastAsia" w:ascii="宋体" w:hAnsi="宋体" w:cs="宋体"/>
          <w:b/>
          <w:bCs/>
          <w:color w:val="auto"/>
          <w:sz w:val="24"/>
        </w:rPr>
        <w:t>1、投标文件密封袋/封面参考</w:t>
      </w:r>
      <w:bookmarkEnd w:id="38"/>
      <w:bookmarkEnd w:id="39"/>
      <w:bookmarkEnd w:id="40"/>
      <w:bookmarkEnd w:id="41"/>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auto"/>
                <w:sz w:val="32"/>
              </w:rPr>
            </w:pPr>
          </w:p>
          <w:p>
            <w:pPr>
              <w:pStyle w:val="2"/>
              <w:tabs>
                <w:tab w:val="left" w:pos="562"/>
                <w:tab w:val="left" w:pos="3372"/>
                <w:tab w:val="left" w:pos="3653"/>
              </w:tabs>
              <w:spacing w:line="360" w:lineRule="auto"/>
              <w:jc w:val="center"/>
              <w:rPr>
                <w:rFonts w:ascii="黑体" w:eastAsia="黑体"/>
                <w:b/>
                <w:color w:val="auto"/>
                <w:sz w:val="72"/>
                <w:szCs w:val="72"/>
              </w:rPr>
            </w:pPr>
          </w:p>
          <w:p>
            <w:pPr>
              <w:pStyle w:val="2"/>
              <w:tabs>
                <w:tab w:val="left" w:pos="562"/>
                <w:tab w:val="left" w:pos="3372"/>
                <w:tab w:val="left" w:pos="3653"/>
              </w:tabs>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2"/>
              <w:tabs>
                <w:tab w:val="left" w:pos="562"/>
                <w:tab w:val="left" w:pos="3372"/>
                <w:tab w:val="left" w:pos="3653"/>
              </w:tabs>
              <w:spacing w:line="360" w:lineRule="auto"/>
              <w:jc w:val="center"/>
              <w:rPr>
                <w:rFonts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2"/>
              <w:tabs>
                <w:tab w:val="left" w:pos="562"/>
                <w:tab w:val="left" w:pos="3372"/>
                <w:tab w:val="left" w:pos="3653"/>
              </w:tabs>
              <w:spacing w:line="360" w:lineRule="auto"/>
              <w:rPr>
                <w:rFonts w:ascii="仿宋_GB2312" w:eastAsia="仿宋_GB2312"/>
                <w:b/>
                <w:color w:val="auto"/>
                <w:sz w:val="32"/>
              </w:rPr>
            </w:pPr>
          </w:p>
          <w:p>
            <w:pPr>
              <w:rPr>
                <w:color w:val="auto"/>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rPr>
            </w:pP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42" w:name="_Toc16724"/>
      <w:r>
        <w:rPr>
          <w:rFonts w:hint="eastAsia" w:ascii="宋体" w:hAnsi="宋体" w:cs="宋体"/>
          <w:b/>
          <w:color w:val="auto"/>
          <w:sz w:val="24"/>
        </w:rPr>
        <w:t>2、投标文件—目录</w:t>
      </w:r>
      <w:bookmarkEnd w:id="42"/>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5"/>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5"/>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6"/>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6"/>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项目负责人（仅限一人）；</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服务团队成员（不含项目负责人）；</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同类项目业绩；</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政府采购违法行为风险知悉确认书；</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参与价格扣除的证明文件；</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供应商基本情况表、社保证明及股权关系证明；</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7"/>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质量保障措施及方案；</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项目重难点分析及相关的合理化建议；</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8"/>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auto"/>
                <w:sz w:val="24"/>
                <w:u w:val="single"/>
              </w:rPr>
            </w:pPr>
          </w:p>
        </w:tc>
        <w:tc>
          <w:tcPr>
            <w:tcW w:w="2896" w:type="dxa"/>
            <w:vAlign w:val="center"/>
          </w:tcPr>
          <w:p>
            <w:pPr>
              <w:spacing w:line="360" w:lineRule="auto"/>
              <w:jc w:val="center"/>
              <w:rPr>
                <w:rFonts w:hint="eastAsia" w:ascii="宋体" w:hAnsi="宋体" w:cs="宋体"/>
                <w:color w:val="auto"/>
                <w:sz w:val="24"/>
                <w:u w:val="single"/>
              </w:rPr>
            </w:pPr>
          </w:p>
        </w:tc>
        <w:tc>
          <w:tcPr>
            <w:tcW w:w="1318" w:type="dxa"/>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rPr>
          <w:color w:val="auto"/>
        </w:rPr>
      </w:pPr>
    </w:p>
    <w:p>
      <w:pPr>
        <w:numPr>
          <w:ilvl w:val="0"/>
          <w:numId w:val="8"/>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序号</w:t>
            </w:r>
          </w:p>
        </w:tc>
        <w:tc>
          <w:tcPr>
            <w:tcW w:w="2212" w:type="dxa"/>
            <w:vAlign w:val="center"/>
          </w:tcPr>
          <w:p>
            <w:pPr>
              <w:pStyle w:val="8"/>
              <w:spacing w:line="360" w:lineRule="auto"/>
              <w:jc w:val="center"/>
              <w:rPr>
                <w:rFonts w:hint="eastAsia" w:hAnsi="宋体" w:cs="宋体"/>
                <w:color w:val="auto"/>
                <w:sz w:val="24"/>
              </w:rPr>
            </w:pPr>
            <w:r>
              <w:rPr>
                <w:rFonts w:hint="eastAsia" w:hAnsi="宋体" w:cs="宋体"/>
                <w:color w:val="auto"/>
                <w:sz w:val="24"/>
              </w:rPr>
              <w:t>项目名称、内容</w:t>
            </w:r>
          </w:p>
        </w:tc>
        <w:tc>
          <w:tcPr>
            <w:tcW w:w="720" w:type="dxa"/>
            <w:vAlign w:val="center"/>
          </w:tcPr>
          <w:p>
            <w:pPr>
              <w:pStyle w:val="8"/>
              <w:spacing w:line="360" w:lineRule="auto"/>
              <w:jc w:val="center"/>
              <w:rPr>
                <w:rFonts w:hint="eastAsia" w:hAnsi="宋体" w:cs="宋体"/>
                <w:color w:val="auto"/>
                <w:sz w:val="24"/>
              </w:rPr>
            </w:pPr>
            <w:r>
              <w:rPr>
                <w:rFonts w:hint="eastAsia" w:hAnsi="宋体" w:cs="宋体"/>
                <w:color w:val="auto"/>
                <w:sz w:val="24"/>
              </w:rPr>
              <w:t>单位</w:t>
            </w:r>
          </w:p>
        </w:tc>
        <w:tc>
          <w:tcPr>
            <w:tcW w:w="1800" w:type="dxa"/>
            <w:vAlign w:val="center"/>
          </w:tcPr>
          <w:p>
            <w:pPr>
              <w:pStyle w:val="8"/>
              <w:spacing w:line="360" w:lineRule="auto"/>
              <w:jc w:val="center"/>
              <w:rPr>
                <w:rFonts w:hint="eastAsia" w:hAnsi="宋体" w:cs="宋体"/>
                <w:color w:val="auto"/>
                <w:sz w:val="24"/>
              </w:rPr>
            </w:pPr>
            <w:r>
              <w:rPr>
                <w:rFonts w:hint="eastAsia" w:hAnsi="宋体" w:cs="宋体"/>
                <w:color w:val="auto"/>
                <w:sz w:val="24"/>
              </w:rPr>
              <w:t>数量（工作量）</w:t>
            </w:r>
          </w:p>
        </w:tc>
        <w:tc>
          <w:tcPr>
            <w:tcW w:w="1620" w:type="dxa"/>
            <w:vAlign w:val="center"/>
          </w:tcPr>
          <w:p>
            <w:pPr>
              <w:pStyle w:val="8"/>
              <w:spacing w:line="360" w:lineRule="auto"/>
              <w:jc w:val="center"/>
              <w:rPr>
                <w:rFonts w:hint="eastAsia" w:hAnsi="宋体" w:cs="宋体"/>
                <w:color w:val="auto"/>
                <w:sz w:val="24"/>
              </w:rPr>
            </w:pPr>
            <w:r>
              <w:rPr>
                <w:rFonts w:hint="eastAsia" w:hAnsi="宋体" w:cs="宋体"/>
                <w:color w:val="auto"/>
                <w:sz w:val="24"/>
              </w:rPr>
              <w:t>单价</w:t>
            </w:r>
          </w:p>
        </w:tc>
        <w:tc>
          <w:tcPr>
            <w:tcW w:w="1620" w:type="dxa"/>
            <w:vAlign w:val="center"/>
          </w:tcPr>
          <w:p>
            <w:pPr>
              <w:pStyle w:val="8"/>
              <w:spacing w:line="360" w:lineRule="auto"/>
              <w:jc w:val="center"/>
              <w:rPr>
                <w:rFonts w:hint="eastAsia"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1</w:t>
            </w:r>
          </w:p>
        </w:tc>
        <w:tc>
          <w:tcPr>
            <w:tcW w:w="2212" w:type="dxa"/>
            <w:vAlign w:val="center"/>
          </w:tcPr>
          <w:p>
            <w:pPr>
              <w:pStyle w:val="8"/>
              <w:spacing w:line="360" w:lineRule="auto"/>
              <w:jc w:val="center"/>
              <w:rPr>
                <w:rFonts w:hint="eastAsia"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2</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3</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4</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5</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6</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7</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8</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9</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w:t>
            </w:r>
          </w:p>
        </w:tc>
        <w:tc>
          <w:tcPr>
            <w:tcW w:w="2212" w:type="dxa"/>
            <w:vAlign w:val="center"/>
          </w:tcPr>
          <w:p>
            <w:pPr>
              <w:pStyle w:val="8"/>
              <w:spacing w:line="360" w:lineRule="auto"/>
              <w:jc w:val="center"/>
              <w:rPr>
                <w:rFonts w:hint="eastAsia" w:hAnsi="宋体" w:cs="宋体"/>
                <w:color w:val="auto"/>
                <w:sz w:val="24"/>
              </w:rPr>
            </w:pPr>
            <w:r>
              <w:rPr>
                <w:rFonts w:hint="eastAsia" w:hAnsi="宋体" w:cs="宋体"/>
                <w:color w:val="auto"/>
                <w:sz w:val="24"/>
              </w:rPr>
              <w:t>…</w:t>
            </w: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8"/>
              <w:spacing w:line="360" w:lineRule="auto"/>
              <w:rPr>
                <w:rFonts w:hint="eastAsia" w:hAnsi="宋体" w:cs="宋体"/>
                <w:color w:val="auto"/>
                <w:sz w:val="24"/>
              </w:rPr>
            </w:pPr>
            <w:r>
              <w:rPr>
                <w:rFonts w:hint="eastAsia" w:hAnsi="宋体" w:cs="宋体"/>
                <w:color w:val="auto"/>
                <w:sz w:val="24"/>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hint="eastAsia"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2"/>
        <w:rPr>
          <w:color w:val="auto"/>
        </w:rPr>
      </w:pP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lang w:val="fr-CH"/>
        </w:rPr>
        <w:br w:type="page"/>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0"/>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0"/>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rPr>
        <w:t>。</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2、内容必须填写真实、清楚，涂改无效，不得转让、买卖</w:t>
      </w:r>
      <w:r>
        <w:rPr>
          <w:rFonts w:hint="eastAsia" w:ascii="宋体" w:hAnsi="宋体" w:cs="宋体"/>
          <w:color w:val="auto"/>
          <w:sz w:val="24"/>
          <w:lang w:eastAsia="zh-CN"/>
        </w:rPr>
        <w:t>。</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auto"/>
                <w:szCs w:val="21"/>
              </w:rPr>
            </w:pPr>
          </w:p>
        </w:tc>
        <w:tc>
          <w:tcPr>
            <w:tcW w:w="4240" w:type="dxa"/>
          </w:tcPr>
          <w:p>
            <w:pPr>
              <w:pStyle w:val="8"/>
              <w:spacing w:line="360" w:lineRule="auto"/>
              <w:rPr>
                <w:rFonts w:ascii="Arial Narrow" w:hAnsi="Arial Narrow"/>
                <w:b/>
                <w:bCs/>
                <w:color w:val="auto"/>
                <w:szCs w:val="21"/>
              </w:rPr>
            </w:pPr>
          </w:p>
        </w:tc>
      </w:tr>
    </w:tbl>
    <w:p>
      <w:pPr>
        <w:tabs>
          <w:tab w:val="left" w:pos="640"/>
          <w:tab w:val="left" w:pos="1260"/>
          <w:tab w:val="left" w:pos="1418"/>
        </w:tabs>
        <w:spacing w:line="360" w:lineRule="auto"/>
        <w:rPr>
          <w:color w:val="auto"/>
          <w:szCs w:val="21"/>
          <w:lang w:val="fr-CH"/>
        </w:rPr>
      </w:pPr>
      <w:r>
        <w:rPr>
          <w:rFonts w:hint="eastAsia"/>
          <w:color w:val="auto"/>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8"/>
        <w:spacing w:line="360" w:lineRule="auto"/>
        <w:rPr>
          <w:rFonts w:hint="eastAsia" w:hAnsi="宋体" w:cs="宋体"/>
          <w:color w:val="auto"/>
          <w:sz w:val="24"/>
        </w:rPr>
      </w:pPr>
    </w:p>
    <w:p>
      <w:pPr>
        <w:pStyle w:val="8"/>
        <w:spacing w:line="360" w:lineRule="auto"/>
        <w:rPr>
          <w:rFonts w:hint="eastAsia"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color w:val="auto"/>
                <w:szCs w:val="21"/>
              </w:rPr>
            </w:pPr>
          </w:p>
        </w:tc>
        <w:tc>
          <w:tcPr>
            <w:tcW w:w="4677" w:type="dxa"/>
          </w:tcPr>
          <w:p>
            <w:pPr>
              <w:pStyle w:val="8"/>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color w:val="auto"/>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auto"/>
          <w:sz w:val="24"/>
          <w:lang w:val="fr-CH"/>
        </w:rPr>
        <w:br w:type="page"/>
      </w:r>
    </w:p>
    <w:p>
      <w:pPr>
        <w:numPr>
          <w:ilvl w:val="0"/>
          <w:numId w:val="9"/>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（6）开户账号：___________________________________________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color w:val="auto"/>
          <w:lang w:val="fr-CH"/>
        </w:rPr>
      </w:pPr>
    </w:p>
    <w:p>
      <w:pPr>
        <w:tabs>
          <w:tab w:val="left" w:pos="640"/>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9"/>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项目负责人（仅限一人）；</w:t>
      </w:r>
    </w:p>
    <w:p>
      <w:pPr>
        <w:numPr>
          <w:ilvl w:val="0"/>
          <w:numId w:val="9"/>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服务团队成员（不含项目负责人）；</w:t>
      </w:r>
    </w:p>
    <w:p>
      <w:pPr>
        <w:numPr>
          <w:ilvl w:val="0"/>
          <w:numId w:val="9"/>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同类项目业绩；</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2"/>
        <w:rPr>
          <w:color w:val="auto"/>
          <w:lang w:val="fr-CH"/>
        </w:rPr>
      </w:pP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政府采购违法行为风险知悉确认书</w:t>
      </w:r>
    </w:p>
    <w:p>
      <w:pPr>
        <w:spacing w:line="360" w:lineRule="auto"/>
        <w:ind w:left="420"/>
        <w:jc w:val="center"/>
        <w:outlineLvl w:val="3"/>
        <w:rPr>
          <w:rFonts w:ascii="宋体"/>
          <w:b/>
          <w:color w:val="auto"/>
          <w:sz w:val="24"/>
        </w:rPr>
      </w:pPr>
      <w:r>
        <w:rPr>
          <w:rFonts w:hint="eastAsia" w:ascii="宋体"/>
          <w:b/>
          <w:color w:val="auto"/>
          <w:sz w:val="24"/>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7607" w:type="dxa"/>
            <w:vAlign w:val="center"/>
          </w:tcPr>
          <w:p>
            <w:pPr>
              <w:jc w:val="center"/>
              <w:rPr>
                <w:rFonts w:hint="eastAsia" w:ascii="宋体" w:hAnsi="宋体" w:cs="宋体"/>
                <w:b/>
                <w:bCs/>
                <w:color w:val="auto"/>
                <w:sz w:val="24"/>
              </w:rPr>
            </w:pPr>
            <w:r>
              <w:rPr>
                <w:rFonts w:hint="eastAsia" w:ascii="宋体" w:hAnsi="宋体" w:cs="宋体"/>
                <w:b/>
                <w:bCs/>
                <w:color w:val="auto"/>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与其他投标供应商的法定代表人、主要经营负责人、投标授权代表人、项目负责人、主要技术人员为</w:t>
            </w:r>
            <w:r>
              <w:rPr>
                <w:rFonts w:hint="eastAsia" w:ascii="宋体" w:hAnsi="宋体" w:cs="宋体"/>
                <w:b/>
                <w:bCs/>
                <w:color w:val="auto"/>
                <w:sz w:val="24"/>
              </w:rPr>
              <w:t>同一人、属同一单位或者在同一单位缴纳社会保险</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参与本项目政府采购活动时，与其他投标供应商存在单位负责人为</w:t>
            </w:r>
            <w:r>
              <w:rPr>
                <w:rFonts w:hint="eastAsia" w:ascii="宋体" w:hAnsi="宋体" w:cs="宋体"/>
                <w:b/>
                <w:bCs/>
                <w:color w:val="auto"/>
                <w:sz w:val="24"/>
              </w:rPr>
              <w:t>同一人或直接控股、管理关系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与其他投标供应商的投标文件或部分投标文件</w:t>
            </w:r>
            <w:r>
              <w:rPr>
                <w:rFonts w:hint="eastAsia" w:ascii="宋体" w:hAnsi="宋体" w:cs="宋体"/>
                <w:b/>
                <w:bCs/>
                <w:color w:val="auto"/>
                <w:sz w:val="24"/>
              </w:rPr>
              <w:t>相互混装或存在非正常一致</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与其他投标供应商的投标文件由</w:t>
            </w:r>
            <w:r>
              <w:rPr>
                <w:rFonts w:hint="eastAsia" w:ascii="宋体" w:hAnsi="宋体" w:cs="宋体"/>
                <w:b/>
                <w:bCs/>
                <w:color w:val="auto"/>
                <w:sz w:val="24"/>
              </w:rPr>
              <w:t>同一单位或者同一人编制</w:t>
            </w:r>
            <w:r>
              <w:rPr>
                <w:rFonts w:hint="eastAsia" w:ascii="宋体" w:hAnsi="宋体" w:cs="宋体"/>
                <w:color w:val="auto"/>
                <w:sz w:val="24"/>
              </w:rPr>
              <w:t>，或者使用</w:t>
            </w:r>
            <w:r>
              <w:rPr>
                <w:rFonts w:hint="eastAsia" w:ascii="宋体" w:hAnsi="宋体" w:cs="宋体"/>
                <w:b/>
                <w:bCs/>
                <w:color w:val="auto"/>
                <w:sz w:val="24"/>
              </w:rPr>
              <w:t>同一设备编制</w:t>
            </w:r>
            <w:r>
              <w:rPr>
                <w:rFonts w:hint="eastAsia" w:ascii="宋体" w:hAnsi="宋体" w:cs="宋体"/>
                <w:color w:val="auto"/>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提供</w:t>
            </w:r>
            <w:r>
              <w:rPr>
                <w:rFonts w:hint="eastAsia" w:ascii="宋体" w:hAnsi="宋体" w:cs="宋体"/>
                <w:b/>
                <w:bCs/>
                <w:color w:val="auto"/>
                <w:sz w:val="24"/>
              </w:rPr>
              <w:t>未经出具机构核实</w:t>
            </w:r>
            <w:r>
              <w:rPr>
                <w:rFonts w:hint="eastAsia" w:ascii="宋体" w:hAnsi="宋体" w:cs="宋体"/>
                <w:color w:val="auto"/>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以下文字请投标供应商</w:t>
      </w:r>
      <w:r>
        <w:rPr>
          <w:rFonts w:hint="eastAsia" w:ascii="宋体" w:hAnsi="宋体" w:cs="仿宋_GB2312"/>
          <w:b/>
          <w:bCs/>
          <w:color w:val="auto"/>
          <w:kern w:val="0"/>
          <w:sz w:val="24"/>
        </w:rPr>
        <w:t>抄写并确认</w:t>
      </w:r>
      <w:r>
        <w:rPr>
          <w:rFonts w:hint="eastAsia" w:ascii="宋体" w:hAnsi="宋体" w:cs="仿宋_GB2312"/>
          <w:color w:val="auto"/>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3840" w:firstLineChars="1600"/>
        <w:jc w:val="left"/>
        <w:rPr>
          <w:rFonts w:hint="eastAsia" w:ascii="宋体" w:hAnsi="宋体" w:cs="仿宋_GB2312"/>
          <w:color w:val="auto"/>
          <w:kern w:val="0"/>
          <w:sz w:val="24"/>
          <w:u w:val="single"/>
        </w:rPr>
      </w:pPr>
      <w:r>
        <w:rPr>
          <w:rFonts w:hint="eastAsia" w:ascii="宋体" w:hAnsi="宋体" w:cs="仿宋_GB2312"/>
          <w:color w:val="auto"/>
          <w:kern w:val="0"/>
          <w:sz w:val="24"/>
        </w:rPr>
        <w:t>负责人</w:t>
      </w:r>
      <w:r>
        <w:rPr>
          <w:rFonts w:ascii="宋体" w:hAnsi="宋体" w:cs="仿宋_GB2312"/>
          <w:color w:val="auto"/>
          <w:kern w:val="0"/>
          <w:sz w:val="24"/>
        </w:rPr>
        <w:t>/</w:t>
      </w:r>
      <w:r>
        <w:rPr>
          <w:rFonts w:hint="eastAsia" w:ascii="宋体" w:hAnsi="宋体" w:cs="仿宋_GB2312"/>
          <w:color w:val="auto"/>
          <w:kern w:val="0"/>
          <w:sz w:val="24"/>
        </w:rPr>
        <w:t>投标授权代表签名：</w:t>
      </w:r>
      <w:r>
        <w:rPr>
          <w:rFonts w:hint="eastAsia" w:ascii="宋体" w:hAnsi="宋体" w:cs="仿宋_GB2312"/>
          <w:color w:val="auto"/>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color w:val="auto"/>
          <w:kern w:val="0"/>
          <w:sz w:val="24"/>
        </w:rPr>
      </w:pPr>
      <w:r>
        <w:rPr>
          <w:rFonts w:hint="eastAsia" w:ascii="宋体" w:hAnsi="宋体" w:cs="仿宋_GB2312"/>
          <w:color w:val="auto"/>
          <w:kern w:val="0"/>
          <w:sz w:val="24"/>
        </w:rPr>
        <w:t>知悉人（公章）：</w:t>
      </w:r>
    </w:p>
    <w:p>
      <w:pPr>
        <w:spacing w:line="360" w:lineRule="auto"/>
        <w:jc w:val="right"/>
        <w:rPr>
          <w:rFonts w:hint="eastAsia" w:ascii="宋体" w:hAnsi="宋体" w:cs="宋体"/>
          <w:color w:val="auto"/>
          <w:sz w:val="24"/>
        </w:rPr>
      </w:pPr>
      <w:r>
        <w:rPr>
          <w:rFonts w:hint="eastAsia" w:ascii="宋体" w:hAnsi="宋体" w:cs="仿宋_GB2312"/>
          <w:color w:val="auto"/>
          <w:kern w:val="0"/>
          <w:sz w:val="24"/>
        </w:rPr>
        <w:t>日期： 202  年   月   日</w:t>
      </w:r>
      <w:r>
        <w:rPr>
          <w:rFonts w:hint="eastAsia" w:ascii="宋体" w:hAnsi="宋体" w:cs="宋体"/>
          <w:color w:val="auto"/>
          <w:sz w:val="24"/>
        </w:rPr>
        <w:br w:type="page"/>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参与价格扣除的证明文件</w:t>
      </w:r>
    </w:p>
    <w:p>
      <w:pPr>
        <w:keepNext/>
        <w:keepLines/>
        <w:jc w:val="center"/>
        <w:outlineLvl w:val="4"/>
        <w:rPr>
          <w:rFonts w:hint="eastAsia" w:ascii="宋体" w:hAnsi="宋体" w:cs="宋体"/>
          <w:bCs/>
          <w:color w:val="auto"/>
          <w:kern w:val="44"/>
          <w:sz w:val="24"/>
        </w:rPr>
      </w:pPr>
      <w:r>
        <w:rPr>
          <w:rFonts w:hint="eastAsia" w:ascii="宋体" w:hAnsi="宋体" w:cs="宋体"/>
          <w:b/>
          <w:bCs/>
          <w:color w:val="auto"/>
          <w:sz w:val="24"/>
        </w:rPr>
        <w:t>①中小企业声明函（工程、服务）</w:t>
      </w:r>
    </w:p>
    <w:p>
      <w:pPr>
        <w:widowControl/>
        <w:ind w:firstLine="480" w:firstLineChars="200"/>
        <w:textAlignment w:val="baseline"/>
        <w:rPr>
          <w:rFonts w:hint="eastAsia" w:ascii="宋体" w:hAnsi="宋体" w:cs="宋体"/>
          <w:color w:val="auto"/>
          <w:sz w:val="24"/>
        </w:rPr>
      </w:pP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auto"/>
          <w:sz w:val="24"/>
        </w:rPr>
      </w:pPr>
      <w:r>
        <w:rPr>
          <w:rFonts w:hint="eastAsia" w:ascii="宋体" w:hAnsi="宋体" w:cs="宋体"/>
          <w:b/>
          <w:bCs/>
          <w:color w:val="auto"/>
          <w:sz w:val="24"/>
        </w:rPr>
        <w:t>企业名称（盖章）</w:t>
      </w:r>
    </w:p>
    <w:p>
      <w:pPr>
        <w:widowControl/>
        <w:ind w:firstLine="482" w:firstLineChars="200"/>
        <w:jc w:val="right"/>
        <w:textAlignment w:val="baseline"/>
        <w:rPr>
          <w:rFonts w:hint="eastAsia" w:ascii="宋体" w:hAnsi="宋体" w:cs="宋体"/>
          <w:b/>
          <w:bCs/>
          <w:color w:val="auto"/>
          <w:sz w:val="24"/>
        </w:rPr>
      </w:pPr>
      <w:r>
        <w:rPr>
          <w:rFonts w:hint="eastAsia" w:ascii="宋体" w:hAnsi="宋体" w:cs="宋体"/>
          <w:b/>
          <w:bCs/>
          <w:color w:val="auto"/>
          <w:sz w:val="24"/>
        </w:rPr>
        <w:t>日期：</w:t>
      </w:r>
    </w:p>
    <w:p>
      <w:pPr>
        <w:widowControl/>
        <w:ind w:firstLine="480" w:firstLineChars="200"/>
        <w:textAlignment w:val="baseline"/>
        <w:rPr>
          <w:rFonts w:hint="eastAsia" w:ascii="宋体" w:hAnsi="宋体" w:cs="宋体"/>
          <w:color w:val="auto"/>
          <w:sz w:val="24"/>
        </w:rPr>
      </w:pPr>
    </w:p>
    <w:p>
      <w:pPr>
        <w:widowControl/>
        <w:ind w:firstLine="480" w:firstLineChars="200"/>
        <w:textAlignment w:val="baseline"/>
        <w:rPr>
          <w:rFonts w:hint="eastAsia" w:ascii="宋体" w:hAnsi="宋体" w:cs="宋体"/>
          <w:color w:val="auto"/>
          <w:sz w:val="24"/>
        </w:rPr>
      </w:pPr>
    </w:p>
    <w:p>
      <w:pPr>
        <w:jc w:val="left"/>
        <w:rPr>
          <w:rFonts w:hint="eastAsia" w:ascii="宋体" w:hAnsi="宋体" w:cs="宋体"/>
          <w:b/>
          <w:bCs/>
          <w:color w:val="auto"/>
          <w:sz w:val="24"/>
        </w:rPr>
      </w:pPr>
      <w:r>
        <w:rPr>
          <w:rFonts w:hint="eastAsia" w:ascii="宋体" w:hAnsi="宋体" w:cs="宋体"/>
          <w:b/>
          <w:bCs/>
          <w:color w:val="auto"/>
          <w:sz w:val="24"/>
        </w:rPr>
        <w:t>注意事项：</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4.相关承接/承建企业的所属行业应当与采购标的所属行业（采购文件中明确的行业）相一致。</w:t>
      </w:r>
    </w:p>
    <w:p>
      <w:pPr>
        <w:ind w:firstLine="480" w:firstLineChars="200"/>
        <w:rPr>
          <w:rFonts w:hint="eastAsia" w:ascii="宋体" w:hAnsi="宋体" w:cs="宋体"/>
          <w:b/>
          <w:color w:val="auto"/>
          <w:sz w:val="24"/>
        </w:rPr>
      </w:pPr>
      <w:r>
        <w:rPr>
          <w:rFonts w:hint="eastAsia" w:ascii="宋体" w:hAnsi="宋体" w:cs="宋体"/>
          <w:color w:val="auto"/>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附：中小企业划型标准规定</w:t>
      </w:r>
    </w:p>
    <w:p>
      <w:pPr>
        <w:rPr>
          <w:rFonts w:hint="eastAsia" w:ascii="宋体" w:hAnsi="宋体" w:cs="宋体"/>
          <w:color w:val="auto"/>
          <w:sz w:val="24"/>
        </w:rPr>
      </w:pPr>
    </w:p>
    <w:p>
      <w:pPr>
        <w:ind w:firstLine="480" w:firstLineChars="200"/>
        <w:rPr>
          <w:rFonts w:hint="eastAsia" w:ascii="宋体" w:hAnsi="宋体" w:cs="宋体"/>
          <w:color w:val="auto"/>
          <w:sz w:val="24"/>
        </w:rPr>
      </w:pPr>
      <w:r>
        <w:rPr>
          <w:rFonts w:hint="eastAsia" w:ascii="宋体" w:hAnsi="宋体" w:cs="宋体"/>
          <w:color w:val="auto"/>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②残疾人福利性单位声明函（样表）</w:t>
      </w:r>
    </w:p>
    <w:p>
      <w:pPr>
        <w:spacing w:line="620" w:lineRule="exact"/>
        <w:ind w:firstLine="480" w:firstLineChars="200"/>
        <w:rPr>
          <w:rFonts w:hint="eastAsia" w:ascii="宋体" w:hAnsi="宋体" w:cs="宋体"/>
          <w:color w:val="auto"/>
          <w:spacing w:val="6"/>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rPr>
        <w:t>单位参加</w:t>
      </w:r>
      <w:r>
        <w:rPr>
          <w:rFonts w:hint="eastAsia" w:ascii="宋体" w:hAnsi="宋体" w:cs="宋体"/>
          <w:color w:val="auto"/>
          <w:spacing w:val="6"/>
          <w:sz w:val="24"/>
          <w:u w:val="single"/>
        </w:rPr>
        <w:t xml:space="preserve"> （采购单位名称）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（采购项目名称） </w:t>
      </w:r>
      <w:r>
        <w:rPr>
          <w:rFonts w:hint="eastAsia" w:ascii="宋体" w:hAnsi="宋体" w:cs="宋体"/>
          <w:color w:val="auto"/>
          <w:spacing w:val="6"/>
          <w:sz w:val="24"/>
        </w:rPr>
        <w:t>项目</w:t>
      </w:r>
      <w:r>
        <w:rPr>
          <w:rFonts w:hint="eastAsia" w:ascii="宋体" w:hAnsi="宋体" w:cs="宋体"/>
          <w:color w:val="auto"/>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620" w:lineRule="exact"/>
        <w:ind w:firstLine="504" w:firstLineChars="200"/>
        <w:rPr>
          <w:rFonts w:hint="eastAsia" w:ascii="宋体" w:hAnsi="宋体" w:cs="宋体"/>
          <w:color w:val="auto"/>
          <w:spacing w:val="6"/>
          <w:sz w:val="24"/>
        </w:rPr>
      </w:pPr>
    </w:p>
    <w:p>
      <w:pPr>
        <w:spacing w:line="620" w:lineRule="exact"/>
        <w:ind w:firstLine="504" w:firstLineChars="200"/>
        <w:rPr>
          <w:rFonts w:hint="eastAsia" w:ascii="宋体" w:hAnsi="宋体" w:cs="宋体"/>
          <w:color w:val="auto"/>
          <w:spacing w:val="6"/>
          <w:sz w:val="24"/>
        </w:rPr>
      </w:pPr>
    </w:p>
    <w:p>
      <w:pPr>
        <w:tabs>
          <w:tab w:val="left" w:pos="4860"/>
        </w:tabs>
        <w:spacing w:line="620"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620" w:lineRule="exact"/>
        <w:ind w:right="1560" w:firstLine="504" w:firstLineChars="200"/>
        <w:jc w:val="center"/>
        <w:rPr>
          <w:rStyle w:val="26"/>
          <w:rFonts w:hint="eastAsia" w:ascii="宋体" w:hAnsi="宋体" w:cs="宋体"/>
          <w:color w:val="auto"/>
          <w:sz w:val="24"/>
        </w:rPr>
      </w:pPr>
      <w:r>
        <w:rPr>
          <w:rFonts w:hint="eastAsia" w:ascii="宋体" w:hAnsi="宋体" w:cs="宋体"/>
          <w:color w:val="auto"/>
          <w:spacing w:val="6"/>
          <w:sz w:val="24"/>
        </w:rPr>
        <w:t xml:space="preserve">                        日  期：</w:t>
      </w:r>
    </w:p>
    <w:p>
      <w:pPr>
        <w:snapToGrid w:val="0"/>
        <w:spacing w:line="360" w:lineRule="auto"/>
        <w:ind w:firstLine="480" w:firstLineChars="200"/>
        <w:jc w:val="left"/>
        <w:textAlignment w:val="baseline"/>
        <w:rPr>
          <w:rStyle w:val="26"/>
          <w:rFonts w:hint="eastAsia" w:ascii="宋体" w:hAnsi="宋体" w:cs="宋体"/>
          <w:color w:val="auto"/>
          <w:sz w:val="24"/>
        </w:rPr>
      </w:pPr>
    </w:p>
    <w:p>
      <w:pPr>
        <w:snapToGrid w:val="0"/>
        <w:spacing w:line="360" w:lineRule="auto"/>
        <w:ind w:firstLine="482" w:firstLineChars="200"/>
        <w:jc w:val="left"/>
        <w:textAlignment w:val="baseline"/>
        <w:rPr>
          <w:rStyle w:val="26"/>
          <w:rFonts w:hint="eastAsia" w:ascii="宋体" w:hAnsi="宋体" w:cs="宋体"/>
          <w:b/>
          <w:color w:val="auto"/>
          <w:sz w:val="24"/>
        </w:rPr>
      </w:pPr>
      <w:r>
        <w:rPr>
          <w:rStyle w:val="26"/>
          <w:rFonts w:hint="eastAsia" w:ascii="宋体" w:hAnsi="宋体" w:cs="宋体"/>
          <w:b/>
          <w:color w:val="auto"/>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6"/>
          <w:rFonts w:hint="eastAsia" w:ascii="宋体" w:hAnsi="宋体" w:cs="宋体"/>
          <w:b/>
          <w:color w:val="auto"/>
          <w:sz w:val="24"/>
        </w:rPr>
      </w:pPr>
      <w:r>
        <w:rPr>
          <w:rStyle w:val="26"/>
          <w:rFonts w:hint="eastAsia" w:ascii="宋体" w:hAnsi="宋体" w:cs="宋体"/>
          <w:b/>
          <w:color w:val="auto"/>
          <w:sz w:val="24"/>
        </w:rPr>
        <w:br w:type="page"/>
      </w:r>
      <w:r>
        <w:rPr>
          <w:rStyle w:val="26"/>
          <w:rFonts w:hint="eastAsia" w:ascii="宋体" w:hAnsi="宋体" w:cs="宋体"/>
          <w:b/>
          <w:color w:val="auto"/>
          <w:sz w:val="24"/>
        </w:rPr>
        <w:t>③监狱企业声明函</w:t>
      </w:r>
    </w:p>
    <w:p>
      <w:pPr>
        <w:snapToGrid w:val="0"/>
        <w:spacing w:line="620" w:lineRule="exact"/>
        <w:ind w:firstLine="504" w:firstLineChars="200"/>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本单位郑重声明，根据《财政部司法部关于政府采购支持监狱企业发展有关问题的通知》（财库〔2014〕68号）的规定，本单位为符合条件的监狱企业，且本单位参加</w:t>
      </w:r>
      <w:r>
        <w:rPr>
          <w:rStyle w:val="26"/>
          <w:rFonts w:hint="eastAsia" w:ascii="宋体" w:hAnsi="宋体" w:cs="宋体"/>
          <w:color w:val="auto"/>
          <w:spacing w:val="6"/>
          <w:sz w:val="24"/>
          <w:u w:val="single"/>
        </w:rPr>
        <w:t xml:space="preserve"> （采购单位名称） </w:t>
      </w:r>
      <w:r>
        <w:rPr>
          <w:rStyle w:val="26"/>
          <w:rFonts w:hint="eastAsia" w:ascii="宋体" w:hAnsi="宋体" w:cs="宋体"/>
          <w:color w:val="auto"/>
          <w:spacing w:val="6"/>
          <w:sz w:val="24"/>
        </w:rPr>
        <w:t>单位的</w:t>
      </w:r>
      <w:r>
        <w:rPr>
          <w:rStyle w:val="26"/>
          <w:rFonts w:hint="eastAsia" w:ascii="宋体" w:hAnsi="宋体" w:cs="宋体"/>
          <w:color w:val="auto"/>
          <w:spacing w:val="6"/>
          <w:sz w:val="24"/>
          <w:u w:val="single"/>
        </w:rPr>
        <w:t xml:space="preserve"> （采购项目名称） </w:t>
      </w:r>
      <w:r>
        <w:rPr>
          <w:rStyle w:val="26"/>
          <w:rFonts w:hint="eastAsia" w:ascii="宋体" w:hAnsi="宋体" w:cs="宋体"/>
          <w:color w:val="auto"/>
          <w:spacing w:val="6"/>
          <w:sz w:val="24"/>
        </w:rPr>
        <w:t>项目采购</w:t>
      </w:r>
      <w:r>
        <w:rPr>
          <w:rStyle w:val="26"/>
          <w:rFonts w:hint="eastAsia" w:ascii="宋体" w:hAnsi="宋体" w:cs="宋体"/>
          <w:color w:val="auto"/>
          <w:kern w:val="0"/>
          <w:sz w:val="24"/>
        </w:rPr>
        <w:t>活动，并提供：□本单位制造的货物；□由本单位承担的工程、提供服务；□提供其他监狱企业制造的货物（承诺人在□处打√）</w:t>
      </w:r>
      <w:r>
        <w:rPr>
          <w:rStyle w:val="26"/>
          <w:rFonts w:hint="eastAsia" w:ascii="宋体" w:hAnsi="宋体" w:cs="宋体"/>
          <w:color w:val="auto"/>
          <w:spacing w:val="6"/>
          <w:sz w:val="24"/>
        </w:rPr>
        <w:t>。</w:t>
      </w:r>
      <w:r>
        <w:rPr>
          <w:rStyle w:val="26"/>
          <w:rFonts w:hint="eastAsia" w:ascii="宋体" w:hAnsi="宋体" w:cs="宋体"/>
          <w:color w:val="auto"/>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本单位对上述声明的真实性负责。如有虚假，将依法承担相应责任。</w:t>
      </w:r>
    </w:p>
    <w:p>
      <w:pPr>
        <w:snapToGrid w:val="0"/>
        <w:spacing w:line="620" w:lineRule="exact"/>
        <w:ind w:firstLine="504" w:firstLineChars="200"/>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6"/>
          <w:rFonts w:hint="eastAsia" w:ascii="宋体" w:hAnsi="宋体" w:cs="宋体"/>
          <w:color w:val="auto"/>
          <w:spacing w:val="6"/>
          <w:sz w:val="24"/>
        </w:rPr>
      </w:pPr>
    </w:p>
    <w:p>
      <w:pPr>
        <w:snapToGrid w:val="0"/>
        <w:spacing w:line="620" w:lineRule="exact"/>
        <w:ind w:firstLine="504" w:firstLineChars="200"/>
        <w:textAlignment w:val="baseline"/>
        <w:rPr>
          <w:rStyle w:val="26"/>
          <w:rFonts w:hint="eastAsia" w:ascii="宋体" w:hAnsi="宋体" w:cs="宋体"/>
          <w:color w:val="auto"/>
          <w:spacing w:val="6"/>
          <w:sz w:val="24"/>
        </w:rPr>
      </w:pPr>
    </w:p>
    <w:p>
      <w:pPr>
        <w:tabs>
          <w:tab w:val="left" w:pos="4860"/>
        </w:tabs>
        <w:snapToGrid w:val="0"/>
        <w:spacing w:line="620" w:lineRule="exact"/>
        <w:ind w:right="1560" w:firstLine="504" w:firstLineChars="200"/>
        <w:jc w:val="center"/>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color w:val="auto"/>
          <w:spacing w:val="6"/>
          <w:sz w:val="24"/>
        </w:rPr>
      </w:pPr>
      <w:r>
        <w:rPr>
          <w:rStyle w:val="26"/>
          <w:rFonts w:hint="eastAsia" w:ascii="宋体" w:hAnsi="宋体" w:cs="宋体"/>
          <w:color w:val="auto"/>
          <w:spacing w:val="6"/>
          <w:sz w:val="24"/>
        </w:rPr>
        <w:t xml:space="preserve">                          日  期</w:t>
      </w:r>
      <w:r>
        <w:rPr>
          <w:rFonts w:hint="eastAsia" w:ascii="宋体" w:hAnsi="宋体" w:cs="宋体"/>
          <w:color w:val="auto"/>
          <w:spacing w:val="6"/>
          <w:sz w:val="24"/>
        </w:rPr>
        <w:t>：</w:t>
      </w:r>
    </w:p>
    <w:p>
      <w:pPr>
        <w:rPr>
          <w:color w:val="auto"/>
        </w:rPr>
      </w:pPr>
      <w:r>
        <w:rPr>
          <w:rFonts w:hint="eastAsia" w:ascii="宋体" w:hAnsi="宋体" w:cs="宋体"/>
          <w:color w:val="auto"/>
          <w:spacing w:val="6"/>
          <w:sz w:val="24"/>
        </w:rPr>
        <w:br w:type="page"/>
      </w:r>
    </w:p>
    <w:p>
      <w:pPr>
        <w:numPr>
          <w:ilvl w:val="0"/>
          <w:numId w:val="9"/>
        </w:numPr>
        <w:tabs>
          <w:tab w:val="left" w:pos="640"/>
          <w:tab w:val="left" w:pos="840"/>
          <w:tab w:val="left" w:pos="1260"/>
          <w:tab w:val="left" w:pos="1418"/>
        </w:tabs>
        <w:spacing w:line="360" w:lineRule="auto"/>
        <w:ind w:left="845" w:hanging="845"/>
        <w:rPr>
          <w:rFonts w:hint="eastAsia" w:ascii="宋体" w:hAnsi="宋体" w:cs="宋体"/>
          <w:b/>
          <w:bCs/>
          <w:color w:val="auto"/>
          <w:sz w:val="24"/>
        </w:rPr>
      </w:pPr>
      <w:r>
        <w:rPr>
          <w:rFonts w:hint="eastAsia" w:ascii="宋体" w:hAnsi="宋体" w:cs="宋体"/>
          <w:b/>
          <w:bCs/>
          <w:color w:val="auto"/>
          <w:sz w:val="24"/>
        </w:rPr>
        <w:t>供应商基本情况表、社保证明及股权关系证明</w:t>
      </w:r>
    </w:p>
    <w:p>
      <w:pPr>
        <w:snapToGrid w:val="0"/>
        <w:rPr>
          <w:rFonts w:hint="eastAsia" w:ascii="宋体" w:hAnsi="宋体" w:cs="宋体"/>
          <w:b/>
          <w:color w:val="auto"/>
          <w:sz w:val="24"/>
          <w:highlight w:val="yellow"/>
        </w:rPr>
      </w:pPr>
      <w:r>
        <w:rPr>
          <w:rFonts w:hint="eastAsia" w:ascii="宋体" w:hAnsi="宋体" w:cs="宋体"/>
          <w:b/>
          <w:color w:val="auto"/>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auto"/>
          <w:sz w:val="24"/>
        </w:rPr>
      </w:pPr>
    </w:p>
    <w:p>
      <w:pPr>
        <w:snapToGrid w:val="0"/>
        <w:rPr>
          <w:rFonts w:hint="eastAsia" w:ascii="宋体" w:hAnsi="宋体" w:cs="宋体"/>
          <w:b/>
          <w:color w:val="auto"/>
          <w:sz w:val="28"/>
          <w:szCs w:val="28"/>
        </w:rPr>
      </w:pPr>
      <w:r>
        <w:rPr>
          <w:rFonts w:hint="eastAsia" w:ascii="宋体" w:hAnsi="宋体" w:cs="宋体"/>
          <w:b/>
          <w:color w:val="auto"/>
          <w:sz w:val="28"/>
          <w:szCs w:val="28"/>
        </w:rPr>
        <w:t>1.《供应商基本情况表》</w:t>
      </w:r>
    </w:p>
    <w:p>
      <w:pPr>
        <w:adjustRightInd w:val="0"/>
        <w:snapToGrid w:val="0"/>
        <w:jc w:val="left"/>
        <w:rPr>
          <w:rFonts w:hint="eastAsia" w:ascii="宋体" w:hAnsi="宋体" w:cs="宋体"/>
          <w:color w:val="auto"/>
          <w:sz w:val="24"/>
        </w:rPr>
      </w:pPr>
      <w:r>
        <w:rPr>
          <w:rFonts w:hint="eastAsia" w:ascii="宋体" w:hAnsi="宋体" w:cs="宋体"/>
          <w:color w:val="auto"/>
          <w:sz w:val="24"/>
        </w:rPr>
        <w:t>填表单位（</w:t>
      </w:r>
      <w:r>
        <w:rPr>
          <w:rFonts w:hint="eastAsia" w:ascii="宋体" w:hAnsi="宋体" w:cs="宋体"/>
          <w:b/>
          <w:bCs/>
          <w:color w:val="auto"/>
          <w:sz w:val="24"/>
        </w:rPr>
        <w:t>加盖单位公章，必填项</w:t>
      </w:r>
      <w:r>
        <w:rPr>
          <w:rFonts w:hint="eastAsia" w:ascii="宋体" w:hAnsi="宋体" w:cs="宋体"/>
          <w:color w:val="auto"/>
          <w:sz w:val="24"/>
        </w:rPr>
        <w:t>）：</w:t>
      </w:r>
    </w:p>
    <w:p>
      <w:pPr>
        <w:adjustRightInd w:val="0"/>
        <w:snapToGrid w:val="0"/>
        <w:jc w:val="left"/>
        <w:rPr>
          <w:rFonts w:hint="eastAsia" w:ascii="宋体" w:hAnsi="宋体" w:cs="宋体"/>
          <w:color w:val="auto"/>
          <w:sz w:val="24"/>
        </w:rPr>
      </w:pPr>
      <w:r>
        <w:rPr>
          <w:rFonts w:hint="eastAsia" w:ascii="宋体" w:hAnsi="宋体" w:cs="宋体"/>
          <w:color w:val="auto"/>
          <w:sz w:val="24"/>
        </w:rPr>
        <w:t>填表日期（</w:t>
      </w:r>
      <w:r>
        <w:rPr>
          <w:rFonts w:hint="eastAsia" w:ascii="宋体" w:hAnsi="宋体" w:cs="宋体"/>
          <w:b/>
          <w:bCs/>
          <w:color w:val="auto"/>
          <w:sz w:val="24"/>
        </w:rPr>
        <w:t>必填项</w:t>
      </w:r>
      <w:r>
        <w:rPr>
          <w:rFonts w:hint="eastAsia" w:ascii="宋体" w:hAnsi="宋体" w:cs="宋体"/>
          <w:color w:val="auto"/>
          <w:sz w:val="24"/>
        </w:rPr>
        <w:t>）：        年     月      日</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采购人</w:t>
            </w:r>
          </w:p>
        </w:tc>
        <w:tc>
          <w:tcPr>
            <w:tcW w:w="1406" w:type="pct"/>
            <w:gridSpan w:val="2"/>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项目名称</w:t>
            </w:r>
          </w:p>
        </w:tc>
        <w:tc>
          <w:tcPr>
            <w:tcW w:w="1656" w:type="pct"/>
            <w:gridSpan w:val="2"/>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投标（响应）供应商</w:t>
            </w:r>
          </w:p>
        </w:tc>
        <w:tc>
          <w:tcPr>
            <w:tcW w:w="1406" w:type="pct"/>
            <w:gridSpan w:val="2"/>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供应商统一社会信用代码</w:t>
            </w:r>
          </w:p>
        </w:tc>
        <w:tc>
          <w:tcPr>
            <w:tcW w:w="1656" w:type="pct"/>
            <w:gridSpan w:val="2"/>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auto"/>
                <w:sz w:val="24"/>
              </w:rPr>
            </w:pPr>
            <w:r>
              <w:rPr>
                <w:rFonts w:hint="eastAsia" w:ascii="宋体" w:hAnsi="宋体" w:cs="宋体"/>
                <w:b/>
                <w:color w:val="auto"/>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劳动合同</w:t>
            </w:r>
          </w:p>
          <w:p>
            <w:pPr>
              <w:widowControl/>
              <w:snapToGrid w:val="0"/>
              <w:jc w:val="center"/>
              <w:rPr>
                <w:rFonts w:hint="eastAsia" w:ascii="宋体" w:hAnsi="宋体" w:cs="宋体"/>
                <w:bCs/>
                <w:color w:val="auto"/>
                <w:sz w:val="24"/>
              </w:rPr>
            </w:pPr>
            <w:r>
              <w:rPr>
                <w:rFonts w:hint="eastAsia" w:ascii="宋体" w:hAnsi="宋体" w:cs="宋体"/>
                <w:bCs/>
                <w:color w:val="auto"/>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缴纳社会</w:t>
            </w:r>
          </w:p>
          <w:p>
            <w:pPr>
              <w:widowControl/>
              <w:snapToGrid w:val="0"/>
              <w:jc w:val="center"/>
              <w:rPr>
                <w:rFonts w:hint="eastAsia" w:ascii="宋体" w:hAnsi="宋体" w:cs="宋体"/>
                <w:bCs/>
                <w:color w:val="auto"/>
                <w:sz w:val="24"/>
              </w:rPr>
            </w:pPr>
            <w:r>
              <w:rPr>
                <w:rFonts w:hint="eastAsia" w:ascii="宋体" w:hAnsi="宋体" w:cs="宋体"/>
                <w:bCs/>
                <w:color w:val="auto"/>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4</w:t>
            </w:r>
          </w:p>
        </w:tc>
        <w:tc>
          <w:tcPr>
            <w:tcW w:w="1223"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主要技术人员（如有）</w:t>
            </w:r>
          </w:p>
        </w:tc>
        <w:tc>
          <w:tcPr>
            <w:tcW w:w="543" w:type="pct"/>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p>
        </w:tc>
        <w:tc>
          <w:tcPr>
            <w:tcW w:w="821" w:type="pct"/>
            <w:vAlign w:val="center"/>
          </w:tcPr>
          <w:p>
            <w:pPr>
              <w:widowControl/>
              <w:snapToGrid w:val="0"/>
              <w:jc w:val="center"/>
              <w:rPr>
                <w:rFonts w:hint="eastAsia" w:ascii="宋体" w:hAnsi="宋体" w:cs="宋体"/>
                <w:bCs/>
                <w:color w:val="auto"/>
                <w:sz w:val="24"/>
              </w:rPr>
            </w:pPr>
          </w:p>
        </w:tc>
        <w:tc>
          <w:tcPr>
            <w:tcW w:w="835" w:type="pct"/>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5</w:t>
            </w:r>
          </w:p>
        </w:tc>
        <w:tc>
          <w:tcPr>
            <w:tcW w:w="1223" w:type="pct"/>
            <w:gridSpan w:val="2"/>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投标文件编制人员（必填项）</w:t>
            </w:r>
          </w:p>
        </w:tc>
        <w:tc>
          <w:tcPr>
            <w:tcW w:w="543" w:type="pct"/>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p>
        </w:tc>
        <w:tc>
          <w:tcPr>
            <w:tcW w:w="821" w:type="pct"/>
            <w:vAlign w:val="center"/>
          </w:tcPr>
          <w:p>
            <w:pPr>
              <w:widowControl/>
              <w:snapToGrid w:val="0"/>
              <w:jc w:val="center"/>
              <w:rPr>
                <w:rFonts w:hint="eastAsia" w:ascii="宋体" w:hAnsi="宋体" w:cs="宋体"/>
                <w:bCs/>
                <w:color w:val="auto"/>
                <w:sz w:val="24"/>
              </w:rPr>
            </w:pPr>
          </w:p>
        </w:tc>
        <w:tc>
          <w:tcPr>
            <w:tcW w:w="835" w:type="pct"/>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auto"/>
                <w:sz w:val="24"/>
              </w:rPr>
            </w:pPr>
            <w:r>
              <w:rPr>
                <w:rFonts w:hint="eastAsia" w:ascii="宋体" w:hAnsi="宋体" w:cs="宋体"/>
                <w:b/>
                <w:color w:val="auto"/>
                <w:sz w:val="24"/>
              </w:rPr>
              <w:t>说明：1.同一职务有多人担任（如主要技术人员），应分行填写。</w:t>
            </w:r>
          </w:p>
          <w:p>
            <w:pPr>
              <w:pStyle w:val="5"/>
              <w:ind w:firstLine="723" w:firstLineChars="300"/>
              <w:rPr>
                <w:rFonts w:hint="eastAsia" w:ascii="宋体" w:hAnsi="宋体" w:cs="宋体"/>
                <w:b/>
                <w:color w:val="auto"/>
                <w:sz w:val="24"/>
                <w:szCs w:val="24"/>
              </w:rPr>
            </w:pPr>
            <w:r>
              <w:rPr>
                <w:rFonts w:hint="eastAsia" w:ascii="宋体" w:hAnsi="宋体" w:cs="宋体"/>
                <w:b/>
                <w:color w:val="auto"/>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auto"/>
                <w:sz w:val="24"/>
              </w:rPr>
            </w:pPr>
            <w:r>
              <w:rPr>
                <w:rFonts w:hint="eastAsia" w:ascii="宋体" w:hAnsi="宋体" w:cs="宋体"/>
                <w:b/>
                <w:color w:val="auto"/>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auto"/>
                <w:sz w:val="24"/>
              </w:rPr>
            </w:pPr>
            <w:r>
              <w:rPr>
                <w:rFonts w:hint="eastAsia" w:ascii="宋体" w:hAnsi="宋体" w:cs="宋体"/>
                <w:bCs/>
                <w:color w:val="auto"/>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auto"/>
                <w:sz w:val="24"/>
              </w:rPr>
            </w:pPr>
            <w:r>
              <w:rPr>
                <w:rFonts w:hint="eastAsia" w:ascii="宋体" w:hAnsi="宋体" w:cs="宋体"/>
                <w:bCs/>
                <w:color w:val="auto"/>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auto"/>
                <w:sz w:val="24"/>
              </w:rPr>
            </w:pPr>
            <w:r>
              <w:rPr>
                <w:rFonts w:hint="eastAsia" w:ascii="宋体" w:hAnsi="宋体" w:cs="宋体"/>
                <w:bCs/>
                <w:color w:val="auto"/>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auto"/>
                <w:sz w:val="24"/>
              </w:rPr>
            </w:pPr>
            <w:r>
              <w:rPr>
                <w:rFonts w:hint="eastAsia" w:ascii="宋体" w:hAnsi="宋体" w:cs="宋体"/>
                <w:b/>
                <w:color w:val="auto"/>
                <w:sz w:val="24"/>
              </w:rPr>
              <w:t>说明：</w:t>
            </w:r>
          </w:p>
          <w:p>
            <w:pPr>
              <w:widowControl/>
              <w:snapToGrid w:val="0"/>
              <w:rPr>
                <w:rFonts w:hint="eastAsia" w:ascii="宋体" w:hAnsi="宋体" w:cs="宋体"/>
                <w:b/>
                <w:color w:val="auto"/>
                <w:sz w:val="24"/>
              </w:rPr>
            </w:pPr>
            <w:r>
              <w:rPr>
                <w:rFonts w:hint="eastAsia" w:ascii="宋体" w:hAnsi="宋体" w:cs="宋体"/>
                <w:b/>
                <w:color w:val="auto"/>
                <w:sz w:val="24"/>
              </w:rPr>
              <w:t>1.同一关联关系类型有多个主体的，应分行填写。</w:t>
            </w:r>
          </w:p>
          <w:p>
            <w:pPr>
              <w:pStyle w:val="5"/>
              <w:ind w:firstLine="0" w:firstLineChars="0"/>
              <w:rPr>
                <w:rFonts w:hint="eastAsia" w:ascii="宋体" w:hAnsi="宋体" w:cs="宋体"/>
                <w:color w:val="auto"/>
                <w:sz w:val="24"/>
                <w:szCs w:val="24"/>
              </w:rPr>
            </w:pPr>
            <w:r>
              <w:rPr>
                <w:rFonts w:hint="eastAsia" w:ascii="宋体" w:hAnsi="宋体" w:cs="宋体"/>
                <w:b/>
                <w:color w:val="auto"/>
                <w:sz w:val="24"/>
                <w:szCs w:val="24"/>
              </w:rPr>
              <w:t>2.上述规定的控股、管理关系仅限于直接控股、直接管理关系，不包括间接的控股或管理关系。</w:t>
            </w:r>
          </w:p>
        </w:tc>
      </w:tr>
    </w:tbl>
    <w:p>
      <w:pPr>
        <w:snapToGrid w:val="0"/>
        <w:rPr>
          <w:rFonts w:hint="eastAsia" w:ascii="宋体" w:hAnsi="宋体" w:cs="宋体"/>
          <w:b/>
          <w:color w:val="auto"/>
          <w:sz w:val="24"/>
        </w:rPr>
      </w:pPr>
      <w:r>
        <w:rPr>
          <w:rFonts w:hint="eastAsia" w:ascii="宋体" w:hAnsi="宋体" w:cs="宋体"/>
          <w:b/>
          <w:color w:val="auto"/>
          <w:sz w:val="24"/>
        </w:rPr>
        <w:t>备注：注明“必填项”的必须填写；未注明“必填项”的，如供应商未填写则视为未安排（或无）。</w:t>
      </w:r>
    </w:p>
    <w:p>
      <w:pPr>
        <w:widowControl/>
        <w:snapToGrid w:val="0"/>
        <w:rPr>
          <w:rFonts w:hint="eastAsia" w:ascii="宋体" w:hAnsi="宋体" w:cs="宋体"/>
          <w:b/>
          <w:color w:val="auto"/>
          <w:sz w:val="24"/>
        </w:rPr>
      </w:pPr>
    </w:p>
    <w:p>
      <w:pPr>
        <w:snapToGrid w:val="0"/>
        <w:rPr>
          <w:rFonts w:hint="eastAsia" w:ascii="宋体" w:hAnsi="宋体" w:cs="宋体"/>
          <w:b/>
          <w:color w:val="auto"/>
          <w:sz w:val="28"/>
          <w:szCs w:val="28"/>
        </w:rPr>
      </w:pPr>
      <w:r>
        <w:rPr>
          <w:rFonts w:hint="eastAsia" w:ascii="宋体" w:hAnsi="宋体" w:cs="宋体"/>
          <w:b/>
          <w:color w:val="auto"/>
          <w:sz w:val="28"/>
          <w:szCs w:val="28"/>
        </w:rPr>
        <w:t>2.社保</w:t>
      </w:r>
      <w:bookmarkStart w:id="43" w:name="OLE_LINK9"/>
      <w:r>
        <w:rPr>
          <w:rFonts w:hint="eastAsia" w:ascii="宋体" w:hAnsi="宋体" w:cs="宋体"/>
          <w:b/>
          <w:color w:val="auto"/>
          <w:sz w:val="28"/>
          <w:szCs w:val="28"/>
        </w:rPr>
        <w:t>证明</w:t>
      </w:r>
      <w:bookmarkEnd w:id="43"/>
      <w:r>
        <w:rPr>
          <w:rFonts w:hint="eastAsia" w:ascii="宋体" w:hAnsi="宋体" w:cs="宋体"/>
          <w:b/>
          <w:color w:val="auto"/>
          <w:sz w:val="28"/>
          <w:szCs w:val="28"/>
        </w:rPr>
        <w:t>材料：</w:t>
      </w:r>
    </w:p>
    <w:p>
      <w:pPr>
        <w:widowControl/>
        <w:snapToGrid w:val="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w:t>
      </w:r>
      <w:r>
        <w:rPr>
          <w:rFonts w:hint="eastAsia" w:ascii="宋体" w:hAnsi="宋体" w:cs="宋体"/>
          <w:bCs/>
          <w:color w:val="auto"/>
          <w:sz w:val="24"/>
        </w:rPr>
        <w:t>）投标授权代表人</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2</w:t>
      </w:r>
      <w:r>
        <w:rPr>
          <w:rFonts w:hint="eastAsia" w:ascii="宋体" w:hAnsi="宋体" w:cs="宋体"/>
          <w:bCs/>
          <w:color w:val="auto"/>
          <w:sz w:val="24"/>
        </w:rPr>
        <w:t>）项目负责人（如本项目未安排，可不提供）</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3</w:t>
      </w:r>
      <w:r>
        <w:rPr>
          <w:rFonts w:hint="eastAsia" w:ascii="宋体" w:hAnsi="宋体" w:cs="宋体"/>
          <w:bCs/>
          <w:color w:val="auto"/>
          <w:sz w:val="24"/>
        </w:rPr>
        <w:t>）主要技术人员（如本项目未安排，可不提供）</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bCs/>
          <w:color w:val="auto"/>
          <w:sz w:val="24"/>
          <w:szCs w:val="24"/>
        </w:rPr>
      </w:pPr>
    </w:p>
    <w:p>
      <w:pPr>
        <w:widowControl/>
        <w:numPr>
          <w:ilvl w:val="0"/>
          <w:numId w:val="0"/>
        </w:numPr>
        <w:snapToGrid w:val="0"/>
        <w:rPr>
          <w:rFonts w:hint="eastAsia" w:ascii="宋体" w:hAnsi="宋体" w:cs="宋体"/>
          <w:bCs/>
          <w:color w:val="auto"/>
          <w:sz w:val="24"/>
        </w:rPr>
      </w:pP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sz w:val="24"/>
        </w:rPr>
        <w:t>投标文件编制人员</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注：</w:t>
      </w:r>
    </w:p>
    <w:p>
      <w:pPr>
        <w:widowControl/>
        <w:snapToGrid w:val="0"/>
        <w:rPr>
          <w:rFonts w:hint="eastAsia" w:ascii="宋体" w:hAnsi="宋体" w:cs="宋体"/>
          <w:bCs/>
          <w:color w:val="auto"/>
          <w:sz w:val="24"/>
        </w:rPr>
      </w:pPr>
      <w:r>
        <w:rPr>
          <w:rFonts w:hint="eastAsia" w:ascii="宋体" w:hAnsi="宋体" w:cs="宋体"/>
          <w:bCs/>
          <w:color w:val="auto"/>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.如无法按上述要求提供人员社会保险证明材料的，提交以下材料亦视为符合：</w:t>
      </w:r>
    </w:p>
    <w:p>
      <w:pPr>
        <w:widowControl/>
        <w:snapToGrid w:val="0"/>
        <w:rPr>
          <w:rFonts w:hint="eastAsia" w:ascii="宋体" w:hAnsi="宋体" w:cs="宋体"/>
          <w:bCs/>
          <w:color w:val="auto"/>
          <w:sz w:val="24"/>
        </w:rPr>
      </w:pPr>
      <w:r>
        <w:rPr>
          <w:rFonts w:hint="eastAsia" w:ascii="宋体" w:hAnsi="宋体" w:cs="宋体"/>
          <w:bCs/>
          <w:color w:val="auto"/>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auto"/>
          <w:sz w:val="28"/>
          <w:szCs w:val="28"/>
        </w:rPr>
      </w:pPr>
    </w:p>
    <w:p>
      <w:pPr>
        <w:snapToGrid w:val="0"/>
        <w:rPr>
          <w:rFonts w:hint="eastAsia" w:ascii="宋体" w:hAnsi="宋体" w:cs="宋体"/>
          <w:b/>
          <w:color w:val="auto"/>
          <w:sz w:val="28"/>
          <w:szCs w:val="28"/>
        </w:rPr>
      </w:pPr>
      <w:r>
        <w:rPr>
          <w:rFonts w:hint="eastAsia" w:ascii="宋体" w:hAnsi="宋体" w:cs="宋体"/>
          <w:b/>
          <w:color w:val="auto"/>
          <w:sz w:val="28"/>
          <w:szCs w:val="28"/>
        </w:rPr>
        <w:t>3.</w:t>
      </w:r>
      <w:bookmarkStart w:id="44" w:name="OLE_LINK10"/>
      <w:r>
        <w:rPr>
          <w:rFonts w:hint="eastAsia" w:ascii="宋体" w:hAnsi="宋体" w:cs="宋体"/>
          <w:b/>
          <w:color w:val="auto"/>
          <w:sz w:val="28"/>
          <w:szCs w:val="28"/>
        </w:rPr>
        <w:t>股权关系证明</w:t>
      </w:r>
      <w:bookmarkEnd w:id="44"/>
      <w:r>
        <w:rPr>
          <w:rFonts w:hint="eastAsia" w:ascii="宋体" w:hAnsi="宋体" w:cs="宋体"/>
          <w:b/>
          <w:color w:val="auto"/>
          <w:sz w:val="28"/>
          <w:szCs w:val="28"/>
        </w:rPr>
        <w:t>材料：</w:t>
      </w:r>
    </w:p>
    <w:p>
      <w:pPr>
        <w:widowControl/>
        <w:snapToGrid w:val="0"/>
        <w:rPr>
          <w:rFonts w:hint="eastAsia" w:ascii="宋体" w:hAnsi="宋体" w:cs="宋体"/>
          <w:b/>
          <w:color w:val="auto"/>
          <w:sz w:val="24"/>
        </w:rPr>
      </w:pPr>
      <w:r>
        <w:rPr>
          <w:rFonts w:hint="eastAsia" w:ascii="宋体" w:hAnsi="宋体" w:cs="宋体"/>
          <w:b/>
          <w:color w:val="auto"/>
          <w:sz w:val="24"/>
        </w:rPr>
        <w:t>（1）股权（或管理）关系证明材料：</w:t>
      </w:r>
    </w:p>
    <w:p>
      <w:pPr>
        <w:widowControl/>
        <w:snapToGrid w:val="0"/>
        <w:rPr>
          <w:rFonts w:hint="eastAsia" w:ascii="宋体" w:hAnsi="宋体" w:cs="宋体"/>
          <w:bCs/>
          <w:color w:val="auto"/>
          <w:sz w:val="24"/>
        </w:rPr>
      </w:pPr>
      <w:r>
        <w:rPr>
          <w:rFonts w:hint="eastAsia" w:ascii="宋体" w:hAnsi="宋体" w:cs="宋体"/>
          <w:bCs/>
          <w:color w:val="auto"/>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auto"/>
          <w:sz w:val="24"/>
        </w:rPr>
      </w:pPr>
    </w:p>
    <w:p>
      <w:pPr>
        <w:widowControl/>
        <w:snapToGrid w:val="0"/>
        <w:jc w:val="left"/>
        <w:rPr>
          <w:rFonts w:hint="eastAsia" w:ascii="宋体" w:hAnsi="宋体" w:cs="宋体"/>
          <w:b/>
          <w:color w:val="auto"/>
          <w:sz w:val="24"/>
        </w:rPr>
      </w:pPr>
      <w:r>
        <w:rPr>
          <w:rFonts w:hint="eastAsia" w:ascii="宋体" w:hAnsi="宋体" w:cs="宋体"/>
          <w:b/>
          <w:color w:val="auto"/>
          <w:sz w:val="24"/>
        </w:rPr>
        <w:t>（2）股权关系情况承诺函</w:t>
      </w:r>
    </w:p>
    <w:p>
      <w:pPr>
        <w:widowControl/>
        <w:snapToGrid w:val="0"/>
        <w:ind w:firstLine="482" w:firstLineChars="200"/>
        <w:jc w:val="center"/>
        <w:rPr>
          <w:rFonts w:hint="eastAsia" w:ascii="宋体" w:hAnsi="宋体" w:cs="宋体"/>
          <w:bCs/>
          <w:color w:val="auto"/>
          <w:sz w:val="24"/>
        </w:rPr>
      </w:pPr>
      <w:r>
        <w:rPr>
          <w:rFonts w:hint="eastAsia" w:ascii="宋体" w:hAnsi="宋体" w:cs="宋体"/>
          <w:b/>
          <w:color w:val="auto"/>
          <w:sz w:val="24"/>
        </w:rPr>
        <w:t>《股权关系情况承诺函》</w:t>
      </w:r>
    </w:p>
    <w:p>
      <w:pPr>
        <w:widowControl/>
        <w:snapToGrid w:val="0"/>
        <w:ind w:firstLine="480" w:firstLineChars="200"/>
        <w:rPr>
          <w:rFonts w:hint="eastAsia" w:ascii="宋体" w:hAnsi="宋体" w:cs="宋体"/>
          <w:bCs/>
          <w:color w:val="auto"/>
          <w:sz w:val="24"/>
        </w:rPr>
      </w:pPr>
      <w:r>
        <w:rPr>
          <w:rFonts w:hint="eastAsia" w:ascii="宋体" w:hAnsi="宋体" w:cs="宋体"/>
          <w:bCs/>
          <w:color w:val="auto"/>
          <w:sz w:val="24"/>
        </w:rPr>
        <w:t>我公司申请参加</w:t>
      </w:r>
      <w:r>
        <w:rPr>
          <w:rFonts w:hint="eastAsia" w:ascii="宋体" w:hAnsi="宋体" w:cs="宋体"/>
          <w:bCs/>
          <w:color w:val="auto"/>
          <w:sz w:val="24"/>
          <w:u w:val="single"/>
        </w:rPr>
        <w:t xml:space="preserve">            </w:t>
      </w:r>
      <w:r>
        <w:rPr>
          <w:rFonts w:hint="eastAsia" w:ascii="宋体" w:hAnsi="宋体" w:cs="宋体"/>
          <w:bCs/>
          <w:color w:val="auto"/>
          <w:sz w:val="24"/>
        </w:rPr>
        <w:t>项目（项目编号为</w:t>
      </w:r>
      <w:r>
        <w:rPr>
          <w:rFonts w:hint="eastAsia" w:ascii="宋体" w:hAnsi="宋体" w:cs="宋体"/>
          <w:bCs/>
          <w:color w:val="auto"/>
          <w:sz w:val="24"/>
          <w:u w:val="single"/>
        </w:rPr>
        <w:t xml:space="preserve">         </w:t>
      </w:r>
      <w:r>
        <w:rPr>
          <w:rFonts w:hint="eastAsia" w:ascii="宋体" w:hAnsi="宋体" w:cs="宋体"/>
          <w:bCs/>
          <w:color w:val="auto"/>
          <w:sz w:val="24"/>
        </w:rPr>
        <w:t>）的投标，并作出如下承诺：</w:t>
      </w:r>
    </w:p>
    <w:p>
      <w:pPr>
        <w:widowControl/>
        <w:snapToGrid w:val="0"/>
        <w:rPr>
          <w:rFonts w:hint="eastAsia" w:ascii="宋体" w:hAnsi="宋体" w:cs="宋体"/>
          <w:bCs/>
          <w:color w:val="auto"/>
          <w:sz w:val="24"/>
        </w:rPr>
      </w:pPr>
      <w:r>
        <w:rPr>
          <w:rFonts w:hint="eastAsia" w:ascii="宋体" w:hAnsi="宋体" w:cs="宋体"/>
          <w:bCs/>
          <w:color w:val="auto"/>
          <w:sz w:val="24"/>
        </w:rPr>
        <w:t>我公司承诺所填的股权关系情况真实、准确、完整。</w:t>
      </w:r>
    </w:p>
    <w:p>
      <w:pPr>
        <w:widowControl/>
        <w:snapToGrid w:val="0"/>
        <w:rPr>
          <w:rFonts w:hint="eastAsia" w:ascii="宋体" w:hAnsi="宋体" w:cs="宋体"/>
          <w:bCs/>
          <w:color w:val="auto"/>
          <w:sz w:val="24"/>
        </w:rPr>
      </w:pPr>
      <w:r>
        <w:rPr>
          <w:rFonts w:hint="eastAsia" w:ascii="宋体" w:hAnsi="宋体" w:cs="宋体"/>
          <w:bCs/>
          <w:color w:val="auto"/>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auto"/>
          <w:sz w:val="24"/>
        </w:rPr>
      </w:pPr>
      <w:r>
        <w:rPr>
          <w:rFonts w:hint="eastAsia" w:ascii="宋体" w:hAnsi="宋体" w:cs="宋体"/>
          <w:bCs/>
          <w:color w:val="auto"/>
          <w:sz w:val="24"/>
        </w:rPr>
        <w:t>特此承诺！</w:t>
      </w:r>
    </w:p>
    <w:p>
      <w:pPr>
        <w:widowControl/>
        <w:snapToGrid w:val="0"/>
        <w:rPr>
          <w:rFonts w:hint="eastAsia" w:ascii="宋体" w:hAnsi="宋体" w:cs="宋体"/>
          <w:bCs/>
          <w:color w:val="auto"/>
          <w:sz w:val="24"/>
        </w:rPr>
      </w:pPr>
    </w:p>
    <w:p>
      <w:pPr>
        <w:widowControl/>
        <w:snapToGrid w:val="0"/>
        <w:rPr>
          <w:rFonts w:hint="eastAsia" w:ascii="宋体" w:hAnsi="宋体" w:cs="宋体"/>
          <w:bCs/>
          <w:color w:val="auto"/>
          <w:sz w:val="24"/>
        </w:rPr>
      </w:pPr>
      <w:r>
        <w:rPr>
          <w:rFonts w:hint="eastAsia" w:ascii="宋体" w:hAnsi="宋体" w:cs="宋体"/>
          <w:bCs/>
          <w:color w:val="auto"/>
          <w:sz w:val="24"/>
        </w:rPr>
        <w:t xml:space="preserve">                                供应商名称（加盖公章</w:t>
      </w:r>
      <w:r>
        <w:rPr>
          <w:rFonts w:hint="eastAsia" w:ascii="宋体" w:hAnsi="宋体" w:cs="宋体"/>
          <w:bCs/>
          <w:color w:val="auto"/>
          <w:sz w:val="24"/>
        </w:rPr>
        <w:tab/>
      </w:r>
      <w:r>
        <w:rPr>
          <w:rFonts w:hint="eastAsia" w:ascii="宋体" w:hAnsi="宋体" w:cs="宋体"/>
          <w:bCs/>
          <w:color w:val="auto"/>
          <w:sz w:val="24"/>
        </w:rPr>
        <w:t xml:space="preserve">）： </w:t>
      </w:r>
    </w:p>
    <w:p>
      <w:pPr>
        <w:widowControl/>
        <w:snapToGrid w:val="0"/>
        <w:ind w:firstLine="3840" w:firstLineChars="1600"/>
        <w:rPr>
          <w:rFonts w:hint="eastAsia" w:ascii="宋体" w:hAnsi="宋体" w:cs="宋体"/>
          <w:bCs/>
          <w:color w:val="auto"/>
          <w:sz w:val="24"/>
        </w:rPr>
      </w:pPr>
      <w:r>
        <w:rPr>
          <w:rFonts w:hint="eastAsia" w:ascii="宋体" w:hAnsi="宋体" w:cs="宋体"/>
          <w:bCs/>
          <w:color w:val="auto"/>
          <w:sz w:val="24"/>
        </w:rPr>
        <w:t>日  期：       年    月   日</w:t>
      </w:r>
    </w:p>
    <w:p>
      <w:pPr>
        <w:widowControl/>
        <w:snapToGrid w:val="0"/>
        <w:rPr>
          <w:rFonts w:hint="eastAsia" w:ascii="宋体" w:hAnsi="宋体" w:cs="宋体"/>
          <w:bCs/>
          <w:color w:val="auto"/>
          <w:sz w:val="24"/>
        </w:rPr>
      </w:pPr>
    </w:p>
    <w:p>
      <w:pPr>
        <w:tabs>
          <w:tab w:val="left" w:pos="640"/>
          <w:tab w:val="left" w:pos="840"/>
          <w:tab w:val="left" w:pos="1260"/>
          <w:tab w:val="left" w:pos="1418"/>
        </w:tabs>
        <w:spacing w:line="360" w:lineRule="auto"/>
        <w:rPr>
          <w:rFonts w:hint="eastAsia" w:ascii="宋体" w:hAnsi="宋体" w:cs="宋体"/>
          <w:bCs/>
          <w:color w:val="auto"/>
          <w:sz w:val="24"/>
        </w:rPr>
      </w:pPr>
      <w:r>
        <w:rPr>
          <w:rFonts w:hint="eastAsia" w:ascii="宋体" w:hAnsi="宋体" w:cs="宋体"/>
          <w:bCs/>
          <w:color w:val="auto"/>
          <w:sz w:val="24"/>
        </w:rPr>
        <w:t>注：代理机构将于截标当日同步通过上述网站进行查询，查询结果与供应商填报信息不一致的，以代理机构于截标当日的查询结果为准。</w:t>
      </w:r>
    </w:p>
    <w:p>
      <w:pPr>
        <w:rPr>
          <w:rFonts w:hint="eastAsia" w:ascii="宋体" w:hAnsi="宋体" w:cs="宋体"/>
          <w:bCs/>
          <w:color w:val="auto"/>
          <w:sz w:val="24"/>
        </w:rPr>
      </w:pPr>
      <w:r>
        <w:rPr>
          <w:rFonts w:hint="eastAsia" w:ascii="宋体" w:hAnsi="宋体" w:cs="宋体"/>
          <w:bCs/>
          <w:color w:val="auto"/>
          <w:sz w:val="24"/>
        </w:rPr>
        <w:br w:type="page"/>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052"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2106"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vAlign w:val="center"/>
          </w:tcPr>
          <w:p>
            <w:pPr>
              <w:spacing w:after="78" w:line="360" w:lineRule="auto"/>
              <w:rPr>
                <w:rFonts w:hint="eastAsia" w:ascii="宋体" w:hAnsi="宋体" w:cs="宋体"/>
                <w:bCs/>
                <w:color w:val="auto"/>
                <w:sz w:val="24"/>
              </w:rPr>
            </w:pPr>
            <w:r>
              <w:rPr>
                <w:rFonts w:hint="eastAsia" w:ascii="宋体" w:hAnsi="宋体" w:cs="宋体"/>
                <w:b/>
                <w:color w:val="auto"/>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2106" w:type="dxa"/>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spacing w:line="360" w:lineRule="auto"/>
        <w:rPr>
          <w:color w:val="auto"/>
          <w:lang w:val="fr-CH"/>
        </w:rPr>
      </w:pP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项目实施方案；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质量保障措施及方案；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项目重难点分析及相关的合理化建议；</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37"/>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45" w:name="_Toc742"/>
      <w:bookmarkStart w:id="46" w:name="_Toc6251"/>
      <w:r>
        <w:rPr>
          <w:rFonts w:hint="eastAsia" w:ascii="宋体" w:hAnsi="宋体" w:cs="宋体"/>
          <w:b/>
          <w:bCs/>
          <w:color w:val="auto"/>
          <w:sz w:val="24"/>
        </w:rPr>
        <w:t>附件：相关政策</w:t>
      </w:r>
      <w:bookmarkEnd w:id="45"/>
      <w:bookmarkEnd w:id="46"/>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rPr>
      </w:pPr>
    </w:p>
    <w:p>
      <w:pPr>
        <w:pStyle w:val="2"/>
        <w:tabs>
          <w:tab w:val="left" w:pos="562"/>
          <w:tab w:val="left" w:pos="3372"/>
          <w:tab w:val="left" w:pos="3653"/>
        </w:tabs>
        <w:ind w:firstLine="480" w:firstLineChars="200"/>
        <w:outlineLvl w:val="0"/>
        <w:rPr>
          <w:rFonts w:hint="eastAsia" w:ascii="宋体" w:hAnsi="宋体" w:cs="宋体"/>
          <w:color w:val="auto"/>
          <w:kern w:val="0"/>
        </w:rPr>
      </w:pPr>
      <w:r>
        <w:rPr>
          <w:rFonts w:hint="eastAsia" w:ascii="宋体" w:hAnsi="宋体" w:cs="宋体"/>
          <w:color w:val="auto"/>
          <w:kern w:val="0"/>
        </w:rPr>
        <w:t>附：1.中小企业声明函</w:t>
      </w:r>
    </w:p>
    <w:p>
      <w:pPr>
        <w:pStyle w:val="2"/>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2"/>
        <w:tabs>
          <w:tab w:val="left" w:pos="562"/>
          <w:tab w:val="left" w:pos="3372"/>
          <w:tab w:val="left" w:pos="3653"/>
        </w:tabs>
        <w:jc w:val="center"/>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注意事项：</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rPr>
      </w:pPr>
    </w:p>
    <w:p>
      <w:pPr>
        <w:pStyle w:val="2"/>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2"/>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b/>
                <w:color w:val="auto"/>
                <w:sz w:val="24"/>
                <w:szCs w:val="24"/>
              </w:rPr>
            </w:pPr>
            <w:r>
              <w:rPr>
                <w:rFonts w:hint="eastAsia"/>
                <w:b/>
                <w:color w:val="auto"/>
                <w:sz w:val="24"/>
                <w:szCs w:val="24"/>
              </w:rPr>
              <w:t>序号</w:t>
            </w:r>
          </w:p>
        </w:tc>
        <w:tc>
          <w:tcPr>
            <w:tcW w:w="1866" w:type="dxa"/>
            <w:vAlign w:val="center"/>
          </w:tcPr>
          <w:p>
            <w:pPr>
              <w:pStyle w:val="27"/>
              <w:jc w:val="center"/>
              <w:rPr>
                <w:rFonts w:hint="eastAsia"/>
                <w:b/>
                <w:color w:val="auto"/>
                <w:sz w:val="24"/>
                <w:szCs w:val="24"/>
              </w:rPr>
            </w:pPr>
            <w:r>
              <w:rPr>
                <w:rFonts w:hint="eastAsia"/>
                <w:b/>
                <w:color w:val="auto"/>
                <w:sz w:val="24"/>
                <w:szCs w:val="24"/>
              </w:rPr>
              <w:t>项目名称</w:t>
            </w:r>
          </w:p>
        </w:tc>
        <w:tc>
          <w:tcPr>
            <w:tcW w:w="2010" w:type="dxa"/>
            <w:vAlign w:val="center"/>
          </w:tcPr>
          <w:p>
            <w:pPr>
              <w:pStyle w:val="27"/>
              <w:jc w:val="center"/>
              <w:rPr>
                <w:rFonts w:hint="eastAsia"/>
                <w:b/>
                <w:color w:val="auto"/>
                <w:sz w:val="24"/>
                <w:szCs w:val="24"/>
              </w:rPr>
            </w:pPr>
            <w:r>
              <w:rPr>
                <w:rFonts w:hint="eastAsia"/>
                <w:b/>
                <w:color w:val="auto"/>
                <w:sz w:val="24"/>
                <w:szCs w:val="24"/>
              </w:rPr>
              <w:t>预留选项</w:t>
            </w:r>
          </w:p>
        </w:tc>
        <w:tc>
          <w:tcPr>
            <w:tcW w:w="2296" w:type="dxa"/>
            <w:vAlign w:val="center"/>
          </w:tcPr>
          <w:p>
            <w:pPr>
              <w:pStyle w:val="27"/>
              <w:jc w:val="center"/>
              <w:rPr>
                <w:rFonts w:hint="eastAsia"/>
                <w:b/>
                <w:color w:val="auto"/>
                <w:sz w:val="24"/>
                <w:szCs w:val="24"/>
              </w:rPr>
            </w:pPr>
            <w:r>
              <w:rPr>
                <w:rFonts w:hint="eastAsia"/>
                <w:b/>
                <w:color w:val="auto"/>
                <w:sz w:val="24"/>
                <w:szCs w:val="24"/>
              </w:rPr>
              <w:t>面向中小企业采购金额</w:t>
            </w:r>
          </w:p>
        </w:tc>
        <w:tc>
          <w:tcPr>
            <w:tcW w:w="1784" w:type="dxa"/>
            <w:vAlign w:val="center"/>
          </w:tcPr>
          <w:p>
            <w:pPr>
              <w:pStyle w:val="27"/>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jc w:val="center"/>
              <w:rPr>
                <w:rFonts w:hint="eastAsia"/>
                <w:color w:val="auto"/>
                <w:sz w:val="24"/>
                <w:szCs w:val="24"/>
              </w:rPr>
            </w:pPr>
          </w:p>
        </w:tc>
        <w:tc>
          <w:tcPr>
            <w:tcW w:w="1866" w:type="dxa"/>
            <w:tcBorders>
              <w:bottom w:val="nil"/>
            </w:tcBorders>
            <w:vAlign w:val="center"/>
          </w:tcPr>
          <w:p>
            <w:pPr>
              <w:pStyle w:val="27"/>
              <w:jc w:val="center"/>
              <w:rPr>
                <w:rFonts w:hint="eastAsia"/>
                <w:color w:val="auto"/>
                <w:sz w:val="24"/>
                <w:szCs w:val="24"/>
              </w:rPr>
            </w:pPr>
          </w:p>
        </w:tc>
        <w:tc>
          <w:tcPr>
            <w:tcW w:w="2010" w:type="dxa"/>
            <w:tcBorders>
              <w:bottom w:val="nil"/>
            </w:tcBorders>
            <w:vAlign w:val="center"/>
          </w:tcPr>
          <w:p>
            <w:pPr>
              <w:pStyle w:val="27"/>
              <w:jc w:val="center"/>
              <w:rPr>
                <w:rFonts w:hint="eastAsia"/>
                <w:color w:val="auto"/>
                <w:sz w:val="24"/>
                <w:szCs w:val="24"/>
              </w:rPr>
            </w:pPr>
            <w:r>
              <w:rPr>
                <w:rFonts w:hint="eastAsia"/>
                <w:color w:val="auto"/>
                <w:sz w:val="24"/>
                <w:szCs w:val="24"/>
              </w:rPr>
              <w:t>（填写“采购项</w:t>
            </w:r>
          </w:p>
        </w:tc>
        <w:tc>
          <w:tcPr>
            <w:tcW w:w="2296" w:type="dxa"/>
            <w:tcBorders>
              <w:bottom w:val="nil"/>
            </w:tcBorders>
            <w:vAlign w:val="center"/>
          </w:tcPr>
          <w:p>
            <w:pPr>
              <w:pStyle w:val="27"/>
              <w:jc w:val="center"/>
              <w:rPr>
                <w:rFonts w:hint="eastAsia"/>
                <w:color w:val="auto"/>
                <w:sz w:val="24"/>
                <w:szCs w:val="24"/>
              </w:rPr>
            </w:pPr>
          </w:p>
        </w:tc>
        <w:tc>
          <w:tcPr>
            <w:tcW w:w="1784" w:type="dxa"/>
            <w:vMerge w:val="restart"/>
            <w:vAlign w:val="center"/>
          </w:tcPr>
          <w:p>
            <w:pPr>
              <w:pStyle w:val="27"/>
              <w:jc w:val="center"/>
              <w:rPr>
                <w:rFonts w:hint="eastAsia"/>
                <w:color w:val="auto"/>
                <w:sz w:val="24"/>
                <w:szCs w:val="24"/>
              </w:rPr>
            </w:pPr>
          </w:p>
          <w:p>
            <w:pPr>
              <w:pStyle w:val="27"/>
              <w:jc w:val="center"/>
              <w:rPr>
                <w:rFonts w:hint="eastAsia"/>
                <w:color w:val="auto"/>
                <w:sz w:val="24"/>
                <w:szCs w:val="24"/>
              </w:rPr>
            </w:pPr>
          </w:p>
          <w:p>
            <w:pPr>
              <w:pStyle w:val="27"/>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包”、“要求以</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vAlign w:val="center"/>
          </w:tcPr>
          <w:p>
            <w:pPr>
              <w:pStyle w:val="27"/>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tcBorders>
            <w:vAlign w:val="center"/>
          </w:tcPr>
          <w:p>
            <w:pPr>
              <w:pStyle w:val="27"/>
              <w:jc w:val="center"/>
              <w:rPr>
                <w:rFonts w:hint="eastAsia"/>
                <w:color w:val="auto"/>
                <w:sz w:val="24"/>
                <w:szCs w:val="24"/>
              </w:rPr>
            </w:pPr>
          </w:p>
        </w:tc>
        <w:tc>
          <w:tcPr>
            <w:tcW w:w="2010" w:type="dxa"/>
            <w:tcBorders>
              <w:top w:val="nil"/>
            </w:tcBorders>
            <w:vAlign w:val="center"/>
          </w:tcPr>
          <w:p>
            <w:pPr>
              <w:pStyle w:val="27"/>
              <w:jc w:val="center"/>
              <w:rPr>
                <w:rFonts w:hint="eastAsia"/>
                <w:color w:val="auto"/>
                <w:sz w:val="24"/>
                <w:szCs w:val="24"/>
              </w:rPr>
            </w:pPr>
            <w:r>
              <w:rPr>
                <w:rFonts w:hint="eastAsia"/>
                <w:color w:val="auto"/>
                <w:sz w:val="24"/>
                <w:szCs w:val="24"/>
              </w:rPr>
              <w:t>小企业的比例）</w:t>
            </w:r>
          </w:p>
        </w:tc>
        <w:tc>
          <w:tcPr>
            <w:tcW w:w="2296" w:type="dxa"/>
            <w:tcBorders>
              <w:top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color w:val="auto"/>
                <w:sz w:val="24"/>
                <w:szCs w:val="24"/>
              </w:rPr>
            </w:pPr>
            <w:r>
              <w:rPr>
                <w:rFonts w:hint="eastAsia"/>
                <w:color w:val="auto"/>
                <w:sz w:val="24"/>
                <w:szCs w:val="24"/>
              </w:rPr>
              <w:t>……</w:t>
            </w:r>
          </w:p>
        </w:tc>
        <w:tc>
          <w:tcPr>
            <w:tcW w:w="1866" w:type="dxa"/>
            <w:vAlign w:val="center"/>
          </w:tcPr>
          <w:p>
            <w:pPr>
              <w:pStyle w:val="27"/>
              <w:jc w:val="center"/>
              <w:rPr>
                <w:rFonts w:hint="eastAsia"/>
                <w:color w:val="auto"/>
                <w:sz w:val="24"/>
                <w:szCs w:val="24"/>
              </w:rPr>
            </w:pPr>
            <w:r>
              <w:rPr>
                <w:rFonts w:hint="eastAsia"/>
                <w:color w:val="auto"/>
                <w:sz w:val="24"/>
                <w:szCs w:val="24"/>
              </w:rPr>
              <w:t>……</w:t>
            </w:r>
          </w:p>
        </w:tc>
        <w:tc>
          <w:tcPr>
            <w:tcW w:w="2010" w:type="dxa"/>
            <w:vAlign w:val="center"/>
          </w:tcPr>
          <w:p>
            <w:pPr>
              <w:pStyle w:val="27"/>
              <w:jc w:val="center"/>
              <w:rPr>
                <w:rFonts w:hint="eastAsia"/>
                <w:color w:val="auto"/>
                <w:sz w:val="24"/>
                <w:szCs w:val="24"/>
              </w:rPr>
            </w:pPr>
            <w:r>
              <w:rPr>
                <w:rFonts w:hint="eastAsia"/>
                <w:color w:val="auto"/>
                <w:sz w:val="24"/>
                <w:szCs w:val="24"/>
              </w:rPr>
              <w:t>……</w:t>
            </w:r>
          </w:p>
        </w:tc>
        <w:tc>
          <w:tcPr>
            <w:tcW w:w="2296" w:type="dxa"/>
            <w:vAlign w:val="center"/>
          </w:tcPr>
          <w:p>
            <w:pPr>
              <w:pStyle w:val="27"/>
              <w:jc w:val="center"/>
              <w:rPr>
                <w:rFonts w:hint="eastAsia"/>
                <w:color w:val="auto"/>
                <w:sz w:val="24"/>
                <w:szCs w:val="24"/>
              </w:rPr>
            </w:pPr>
            <w:r>
              <w:rPr>
                <w:rFonts w:hint="eastAsia"/>
                <w:color w:val="auto"/>
                <w:sz w:val="24"/>
                <w:szCs w:val="24"/>
              </w:rPr>
              <w:t>……</w:t>
            </w:r>
          </w:p>
        </w:tc>
        <w:tc>
          <w:tcPr>
            <w:tcW w:w="1784" w:type="dxa"/>
            <w:vAlign w:val="center"/>
          </w:tcPr>
          <w:p>
            <w:pPr>
              <w:pStyle w:val="27"/>
              <w:jc w:val="center"/>
              <w:rPr>
                <w:rFonts w:hint="eastAsia"/>
                <w:color w:val="auto"/>
                <w:sz w:val="24"/>
                <w:szCs w:val="24"/>
              </w:rPr>
            </w:pPr>
            <w:r>
              <w:rPr>
                <w:rFonts w:hint="eastAsia"/>
                <w:color w:val="auto"/>
                <w:sz w:val="24"/>
                <w:szCs w:val="24"/>
              </w:rPr>
              <w:t>……</w:t>
            </w:r>
          </w:p>
        </w:tc>
      </w:tr>
    </w:tbl>
    <w:p>
      <w:pPr>
        <w:pStyle w:val="2"/>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2"/>
        <w:tabs>
          <w:tab w:val="left" w:pos="562"/>
          <w:tab w:val="left" w:pos="3372"/>
          <w:tab w:val="left" w:pos="3653"/>
        </w:tabs>
        <w:rPr>
          <w:rFonts w:hint="eastAsia" w:ascii="宋体" w:hAnsi="宋体" w:cs="宋体"/>
          <w:color w:val="auto"/>
        </w:rPr>
      </w:pPr>
    </w:p>
    <w:p>
      <w:pPr>
        <w:pStyle w:val="14"/>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4"/>
        <w:jc w:val="both"/>
        <w:outlineLvl w:val="9"/>
        <w:rPr>
          <w:rFonts w:hint="eastAsia" w:ascii="宋体" w:hAnsi="宋体" w:eastAsia="宋体" w:cs="宋体"/>
          <w:color w:val="auto"/>
          <w:sz w:val="24"/>
          <w:szCs w:val="24"/>
        </w:rPr>
      </w:pPr>
    </w:p>
    <w:p>
      <w:pPr>
        <w:pStyle w:val="14"/>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rPr>
      </w:pPr>
    </w:p>
    <w:p>
      <w:pPr>
        <w:pStyle w:val="14"/>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3"/>
        <w:shd w:val="clear" w:color="auto" w:fill="FFFFFF"/>
        <w:spacing w:before="0" w:beforeAutospacing="0" w:after="0" w:afterAutospacing="0"/>
        <w:jc w:val="center"/>
        <w:rPr>
          <w:rFonts w:hint="eastAsia"/>
          <w:color w:val="auto"/>
        </w:rPr>
      </w:pPr>
      <w:r>
        <w:rPr>
          <w:rFonts w:hint="eastAsia"/>
          <w:color w:val="auto"/>
        </w:rPr>
        <w:t>　　</w:t>
      </w:r>
      <w:bookmarkStart w:id="47" w:name="sendNo"/>
      <w:r>
        <w:rPr>
          <w:rFonts w:hint="eastAsia"/>
          <w:color w:val="auto"/>
        </w:rPr>
        <w:t>财库〔</w:t>
      </w:r>
      <w:bookmarkEnd w:id="47"/>
      <w:r>
        <w:rPr>
          <w:rFonts w:hint="eastAsia"/>
          <w:color w:val="auto"/>
        </w:rPr>
        <w:t>2017〕141号</w:t>
      </w:r>
    </w:p>
    <w:p>
      <w:pPr>
        <w:pStyle w:val="13"/>
        <w:shd w:val="clear" w:color="auto" w:fill="FFFFFF"/>
        <w:spacing w:before="0" w:beforeAutospacing="0" w:after="0" w:afterAutospacing="0"/>
        <w:ind w:firstLine="480" w:firstLineChars="200"/>
        <w:rPr>
          <w:rFonts w:hint="eastAsia"/>
          <w:color w:val="auto"/>
        </w:rPr>
      </w:pPr>
      <w:bookmarkStart w:id="48"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8"/>
      <w:r>
        <w:rPr>
          <w:rFonts w:hint="eastAsia"/>
          <w:color w:val="auto"/>
        </w:rPr>
        <w:t>：</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28"/>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28"/>
        <w:shd w:val="clear" w:color="auto" w:fill="FFFFFF"/>
        <w:spacing w:before="0" w:beforeAutospacing="0" w:after="0" w:afterAutospacing="0" w:line="560" w:lineRule="exact"/>
        <w:ind w:firstLine="482" w:firstLineChars="200"/>
        <w:jc w:val="center"/>
        <w:rPr>
          <w:rFonts w:hint="eastAsia"/>
          <w:color w:val="auto"/>
        </w:rPr>
      </w:pPr>
      <w:r>
        <w:rPr>
          <w:rStyle w:val="29"/>
          <w:rFonts w:hint="eastAsia"/>
          <w:b/>
          <w:bCs/>
          <w:color w:val="auto"/>
        </w:rPr>
        <w:t>残疾人福利性单位声明函</w:t>
      </w:r>
    </w:p>
    <w:p>
      <w:pPr>
        <w:pStyle w:val="28"/>
        <w:shd w:val="clear" w:color="auto" w:fill="FFFFFF"/>
        <w:spacing w:before="0" w:beforeAutospacing="0" w:after="0" w:afterAutospacing="0" w:line="560" w:lineRule="exact"/>
        <w:ind w:firstLine="480" w:firstLineChars="200"/>
        <w:jc w:val="both"/>
        <w:rPr>
          <w:rFonts w:hint="eastAsia"/>
          <w:color w:val="auto"/>
        </w:rPr>
      </w:pPr>
      <w:r>
        <w:rPr>
          <w:rStyle w:val="29"/>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560" w:lineRule="exact"/>
        <w:ind w:firstLine="480" w:firstLineChars="200"/>
        <w:jc w:val="both"/>
        <w:rPr>
          <w:rFonts w:hint="eastAsia"/>
          <w:color w:val="auto"/>
        </w:rPr>
      </w:pPr>
      <w:r>
        <w:rPr>
          <w:rStyle w:val="29"/>
          <w:rFonts w:hint="eastAsia"/>
          <w:color w:val="auto"/>
        </w:rPr>
        <w:t>本单位对上述声明的真实性负责。如有虚假，将依法承担相应责任。</w:t>
      </w:r>
    </w:p>
    <w:p>
      <w:pPr>
        <w:pStyle w:val="28"/>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560" w:lineRule="exact"/>
        <w:ind w:right="2100" w:rightChars="1000"/>
        <w:jc w:val="right"/>
        <w:rPr>
          <w:rFonts w:hint="eastAsia"/>
          <w:color w:val="auto"/>
        </w:rPr>
      </w:pPr>
      <w:r>
        <w:rPr>
          <w:rStyle w:val="29"/>
          <w:rFonts w:hint="eastAsia"/>
          <w:color w:val="auto"/>
        </w:rPr>
        <w:t>单位名称（盖章）：</w:t>
      </w:r>
    </w:p>
    <w:p>
      <w:pPr>
        <w:pStyle w:val="28"/>
        <w:shd w:val="clear" w:color="auto" w:fill="FFFFFF"/>
        <w:spacing w:before="0" w:beforeAutospacing="0" w:after="0" w:afterAutospacing="0" w:line="560" w:lineRule="exact"/>
        <w:ind w:right="2100" w:rightChars="1000"/>
        <w:jc w:val="right"/>
        <w:rPr>
          <w:rFonts w:hint="eastAsia"/>
          <w:color w:val="auto"/>
          <w:lang w:val="fr-CH"/>
        </w:rPr>
      </w:pPr>
      <w:r>
        <w:rPr>
          <w:rStyle w:val="29"/>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rPr>
          <w:color w:val="auto"/>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8">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9">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0">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0"/>
  </w:num>
  <w:num w:numId="2">
    <w:abstractNumId w:val="4"/>
  </w:num>
  <w:num w:numId="3">
    <w:abstractNumId w:val="2"/>
  </w:num>
  <w:num w:numId="4">
    <w:abstractNumId w:val="7"/>
  </w:num>
  <w:num w:numId="5">
    <w:abstractNumId w:val="3"/>
  </w:num>
  <w:num w:numId="6">
    <w:abstractNumId w:val="5"/>
  </w:num>
  <w:num w:numId="7">
    <w:abstractNumId w:val="1"/>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54471"/>
    <w:rsid w:val="001C60B0"/>
    <w:rsid w:val="00377076"/>
    <w:rsid w:val="003A4DB8"/>
    <w:rsid w:val="0089189B"/>
    <w:rsid w:val="00C93875"/>
    <w:rsid w:val="00D62CC9"/>
    <w:rsid w:val="00E747E3"/>
    <w:rsid w:val="00F46D15"/>
    <w:rsid w:val="00F72CA9"/>
    <w:rsid w:val="00FF40AC"/>
    <w:rsid w:val="01145951"/>
    <w:rsid w:val="012515C4"/>
    <w:rsid w:val="01EF572E"/>
    <w:rsid w:val="020442FF"/>
    <w:rsid w:val="02477318"/>
    <w:rsid w:val="02B81FC4"/>
    <w:rsid w:val="030A6CC4"/>
    <w:rsid w:val="036839EA"/>
    <w:rsid w:val="036D7252"/>
    <w:rsid w:val="037800D1"/>
    <w:rsid w:val="037C7496"/>
    <w:rsid w:val="038D16A3"/>
    <w:rsid w:val="03B24C65"/>
    <w:rsid w:val="03BB1D6C"/>
    <w:rsid w:val="03E5503B"/>
    <w:rsid w:val="03FF0592"/>
    <w:rsid w:val="040C3CF2"/>
    <w:rsid w:val="048605CC"/>
    <w:rsid w:val="04972A57"/>
    <w:rsid w:val="049A4077"/>
    <w:rsid w:val="04AC3B33"/>
    <w:rsid w:val="04C3537C"/>
    <w:rsid w:val="050D4546"/>
    <w:rsid w:val="054D1D7E"/>
    <w:rsid w:val="05525F81"/>
    <w:rsid w:val="05D438B9"/>
    <w:rsid w:val="05F94DCD"/>
    <w:rsid w:val="060A7F0C"/>
    <w:rsid w:val="06416BB8"/>
    <w:rsid w:val="06456265"/>
    <w:rsid w:val="06CE1F71"/>
    <w:rsid w:val="06E415DA"/>
    <w:rsid w:val="07200C9D"/>
    <w:rsid w:val="073F4A62"/>
    <w:rsid w:val="0754675F"/>
    <w:rsid w:val="076B39F3"/>
    <w:rsid w:val="07AA7883"/>
    <w:rsid w:val="080A5070"/>
    <w:rsid w:val="084F5179"/>
    <w:rsid w:val="08AE6343"/>
    <w:rsid w:val="08AF2F0D"/>
    <w:rsid w:val="08DB2D17"/>
    <w:rsid w:val="08EF6AC2"/>
    <w:rsid w:val="09185F2E"/>
    <w:rsid w:val="097815DF"/>
    <w:rsid w:val="098E31D7"/>
    <w:rsid w:val="09D57431"/>
    <w:rsid w:val="09D9508C"/>
    <w:rsid w:val="0A3D797F"/>
    <w:rsid w:val="0A3E54A5"/>
    <w:rsid w:val="0A4B01C2"/>
    <w:rsid w:val="0A546A76"/>
    <w:rsid w:val="0A7F6940"/>
    <w:rsid w:val="0B1D330C"/>
    <w:rsid w:val="0BA12829"/>
    <w:rsid w:val="0BCB720C"/>
    <w:rsid w:val="0BE85AA6"/>
    <w:rsid w:val="0C23344D"/>
    <w:rsid w:val="0C2506CA"/>
    <w:rsid w:val="0C393981"/>
    <w:rsid w:val="0C3B7EEE"/>
    <w:rsid w:val="0CA03970"/>
    <w:rsid w:val="0D0B2017"/>
    <w:rsid w:val="0D5D3E94"/>
    <w:rsid w:val="0D907DC5"/>
    <w:rsid w:val="0D9F44AC"/>
    <w:rsid w:val="0DAC6849"/>
    <w:rsid w:val="0DFE5677"/>
    <w:rsid w:val="0E19425F"/>
    <w:rsid w:val="0E1E7AC7"/>
    <w:rsid w:val="0E2624D8"/>
    <w:rsid w:val="0E4219DB"/>
    <w:rsid w:val="0E663F55"/>
    <w:rsid w:val="0F072309"/>
    <w:rsid w:val="0F363803"/>
    <w:rsid w:val="0F6B6D3C"/>
    <w:rsid w:val="0F851480"/>
    <w:rsid w:val="0FA1450C"/>
    <w:rsid w:val="0FDC3796"/>
    <w:rsid w:val="0FF74205"/>
    <w:rsid w:val="108F25B6"/>
    <w:rsid w:val="10947BCD"/>
    <w:rsid w:val="10F57B36"/>
    <w:rsid w:val="11286567"/>
    <w:rsid w:val="1131366D"/>
    <w:rsid w:val="11AC7198"/>
    <w:rsid w:val="11E20D72"/>
    <w:rsid w:val="124318AA"/>
    <w:rsid w:val="12631F4C"/>
    <w:rsid w:val="129C720C"/>
    <w:rsid w:val="136071FB"/>
    <w:rsid w:val="137B7981"/>
    <w:rsid w:val="138959E3"/>
    <w:rsid w:val="138F7287"/>
    <w:rsid w:val="139B74C4"/>
    <w:rsid w:val="13E87CB7"/>
    <w:rsid w:val="14740441"/>
    <w:rsid w:val="148443FC"/>
    <w:rsid w:val="149F2FE4"/>
    <w:rsid w:val="14A423A8"/>
    <w:rsid w:val="153100AC"/>
    <w:rsid w:val="154F67B8"/>
    <w:rsid w:val="158518A8"/>
    <w:rsid w:val="15E92BC7"/>
    <w:rsid w:val="15FD3709"/>
    <w:rsid w:val="16157A01"/>
    <w:rsid w:val="162F7863"/>
    <w:rsid w:val="167A7865"/>
    <w:rsid w:val="168B1A72"/>
    <w:rsid w:val="16C32C88"/>
    <w:rsid w:val="16C358AF"/>
    <w:rsid w:val="16CB00C0"/>
    <w:rsid w:val="16D637FC"/>
    <w:rsid w:val="16F76FA7"/>
    <w:rsid w:val="172A3039"/>
    <w:rsid w:val="1773288D"/>
    <w:rsid w:val="178D1D96"/>
    <w:rsid w:val="17966920"/>
    <w:rsid w:val="17FA2E24"/>
    <w:rsid w:val="180B1483"/>
    <w:rsid w:val="183459BE"/>
    <w:rsid w:val="183D7B1A"/>
    <w:rsid w:val="184F3D45"/>
    <w:rsid w:val="18BE7B6B"/>
    <w:rsid w:val="18E37943"/>
    <w:rsid w:val="191C4C03"/>
    <w:rsid w:val="194128BC"/>
    <w:rsid w:val="194D3428"/>
    <w:rsid w:val="195B397D"/>
    <w:rsid w:val="19946E8F"/>
    <w:rsid w:val="199E39C2"/>
    <w:rsid w:val="19A8293B"/>
    <w:rsid w:val="19B4308D"/>
    <w:rsid w:val="1A332204"/>
    <w:rsid w:val="1A7F3E24"/>
    <w:rsid w:val="1AB46B31"/>
    <w:rsid w:val="1AC217DA"/>
    <w:rsid w:val="1AFE2C2B"/>
    <w:rsid w:val="1B1F09DB"/>
    <w:rsid w:val="1B982FF3"/>
    <w:rsid w:val="1BD971F4"/>
    <w:rsid w:val="1BDC68CC"/>
    <w:rsid w:val="1C0F2CE1"/>
    <w:rsid w:val="1C224C26"/>
    <w:rsid w:val="1D2B3A80"/>
    <w:rsid w:val="1D864D41"/>
    <w:rsid w:val="1DD84EE2"/>
    <w:rsid w:val="1E0025B4"/>
    <w:rsid w:val="1EC575F3"/>
    <w:rsid w:val="1F30765A"/>
    <w:rsid w:val="1F7C63FB"/>
    <w:rsid w:val="1F9803AC"/>
    <w:rsid w:val="203D01A7"/>
    <w:rsid w:val="209F2A54"/>
    <w:rsid w:val="20D73ACA"/>
    <w:rsid w:val="20EE3329"/>
    <w:rsid w:val="20FD1BD4"/>
    <w:rsid w:val="21513BD0"/>
    <w:rsid w:val="21671CF6"/>
    <w:rsid w:val="218E0668"/>
    <w:rsid w:val="21A02DB6"/>
    <w:rsid w:val="21ED1832"/>
    <w:rsid w:val="228D764F"/>
    <w:rsid w:val="22D623F3"/>
    <w:rsid w:val="22E76282"/>
    <w:rsid w:val="231150AD"/>
    <w:rsid w:val="235B61DD"/>
    <w:rsid w:val="239F0B7F"/>
    <w:rsid w:val="23C465C3"/>
    <w:rsid w:val="23CD1D77"/>
    <w:rsid w:val="24281889"/>
    <w:rsid w:val="24961D0D"/>
    <w:rsid w:val="24B403E6"/>
    <w:rsid w:val="24C90A33"/>
    <w:rsid w:val="251A3303"/>
    <w:rsid w:val="2547125A"/>
    <w:rsid w:val="25545725"/>
    <w:rsid w:val="25710085"/>
    <w:rsid w:val="25CA1509"/>
    <w:rsid w:val="25EC437E"/>
    <w:rsid w:val="260450DB"/>
    <w:rsid w:val="26BE19EF"/>
    <w:rsid w:val="26E054C2"/>
    <w:rsid w:val="270645C5"/>
    <w:rsid w:val="2707406D"/>
    <w:rsid w:val="2781787A"/>
    <w:rsid w:val="27CE5C62"/>
    <w:rsid w:val="28355CE1"/>
    <w:rsid w:val="28440A5B"/>
    <w:rsid w:val="284C045D"/>
    <w:rsid w:val="28846049"/>
    <w:rsid w:val="28E31299"/>
    <w:rsid w:val="29540304"/>
    <w:rsid w:val="298F34E4"/>
    <w:rsid w:val="29A5570A"/>
    <w:rsid w:val="29A63C37"/>
    <w:rsid w:val="29BF3AB4"/>
    <w:rsid w:val="29D137E8"/>
    <w:rsid w:val="29D62BAC"/>
    <w:rsid w:val="2A257690"/>
    <w:rsid w:val="2B794137"/>
    <w:rsid w:val="2B7E174D"/>
    <w:rsid w:val="2B7F70A5"/>
    <w:rsid w:val="2BBF0C1C"/>
    <w:rsid w:val="2BE03317"/>
    <w:rsid w:val="2BFA5278"/>
    <w:rsid w:val="2C17011F"/>
    <w:rsid w:val="2C2B3086"/>
    <w:rsid w:val="2C387B4E"/>
    <w:rsid w:val="2C525562"/>
    <w:rsid w:val="2C610E53"/>
    <w:rsid w:val="2C755D0D"/>
    <w:rsid w:val="2CA13945"/>
    <w:rsid w:val="2CAC2A7B"/>
    <w:rsid w:val="2CC24314"/>
    <w:rsid w:val="2CDD07AF"/>
    <w:rsid w:val="2CF90D9F"/>
    <w:rsid w:val="2D263E4A"/>
    <w:rsid w:val="2D9B2143"/>
    <w:rsid w:val="2D9E319D"/>
    <w:rsid w:val="2DB86843"/>
    <w:rsid w:val="2DE57862"/>
    <w:rsid w:val="2DFE6E37"/>
    <w:rsid w:val="2E00644A"/>
    <w:rsid w:val="2E24482E"/>
    <w:rsid w:val="2E36630F"/>
    <w:rsid w:val="2ED31DB0"/>
    <w:rsid w:val="2F3445FD"/>
    <w:rsid w:val="2F57653D"/>
    <w:rsid w:val="2F5836BB"/>
    <w:rsid w:val="2F6B1FE9"/>
    <w:rsid w:val="2F762E67"/>
    <w:rsid w:val="3075313F"/>
    <w:rsid w:val="30B8125D"/>
    <w:rsid w:val="30BB2AFC"/>
    <w:rsid w:val="312D57A8"/>
    <w:rsid w:val="312E5FEB"/>
    <w:rsid w:val="3152520E"/>
    <w:rsid w:val="31C76D4C"/>
    <w:rsid w:val="31D356B0"/>
    <w:rsid w:val="324A23F5"/>
    <w:rsid w:val="326276D3"/>
    <w:rsid w:val="32851613"/>
    <w:rsid w:val="32954E27"/>
    <w:rsid w:val="32C97752"/>
    <w:rsid w:val="33323549"/>
    <w:rsid w:val="33751688"/>
    <w:rsid w:val="339C4E66"/>
    <w:rsid w:val="34207846"/>
    <w:rsid w:val="34916467"/>
    <w:rsid w:val="349A75F8"/>
    <w:rsid w:val="34C46423"/>
    <w:rsid w:val="34EB7E53"/>
    <w:rsid w:val="35156C7E"/>
    <w:rsid w:val="35213875"/>
    <w:rsid w:val="353A66E5"/>
    <w:rsid w:val="353F5AA9"/>
    <w:rsid w:val="35586B6B"/>
    <w:rsid w:val="35A3428A"/>
    <w:rsid w:val="35BE328B"/>
    <w:rsid w:val="35C661CB"/>
    <w:rsid w:val="35E11256"/>
    <w:rsid w:val="35F74A58"/>
    <w:rsid w:val="35FE5964"/>
    <w:rsid w:val="36034D29"/>
    <w:rsid w:val="365E5169"/>
    <w:rsid w:val="367B6FB5"/>
    <w:rsid w:val="368220F2"/>
    <w:rsid w:val="36AC7588"/>
    <w:rsid w:val="375E2A17"/>
    <w:rsid w:val="376B0DD8"/>
    <w:rsid w:val="377744E3"/>
    <w:rsid w:val="38082ACA"/>
    <w:rsid w:val="38314519"/>
    <w:rsid w:val="38336D98"/>
    <w:rsid w:val="38887767"/>
    <w:rsid w:val="3891486E"/>
    <w:rsid w:val="39406294"/>
    <w:rsid w:val="394A3E0E"/>
    <w:rsid w:val="394B1EE3"/>
    <w:rsid w:val="3A257964"/>
    <w:rsid w:val="3A3A5061"/>
    <w:rsid w:val="3A3C6A5B"/>
    <w:rsid w:val="3A4678DA"/>
    <w:rsid w:val="3A571AE7"/>
    <w:rsid w:val="3A8D375B"/>
    <w:rsid w:val="3AAA60BB"/>
    <w:rsid w:val="3AD84A09"/>
    <w:rsid w:val="3C487939"/>
    <w:rsid w:val="3C4B567C"/>
    <w:rsid w:val="3C6C6886"/>
    <w:rsid w:val="3C942B7F"/>
    <w:rsid w:val="3C9613C2"/>
    <w:rsid w:val="3CAB3899"/>
    <w:rsid w:val="3CE75344"/>
    <w:rsid w:val="3D4B05F7"/>
    <w:rsid w:val="3D536F54"/>
    <w:rsid w:val="3D8F1598"/>
    <w:rsid w:val="3D995F73"/>
    <w:rsid w:val="3D9F50BB"/>
    <w:rsid w:val="3DE2791A"/>
    <w:rsid w:val="3E263CAA"/>
    <w:rsid w:val="3E396CAE"/>
    <w:rsid w:val="3E506F79"/>
    <w:rsid w:val="3E78202C"/>
    <w:rsid w:val="3E7C1B1C"/>
    <w:rsid w:val="3EA62247"/>
    <w:rsid w:val="3F0F473E"/>
    <w:rsid w:val="3F6251B6"/>
    <w:rsid w:val="3FB65AD9"/>
    <w:rsid w:val="3FE05723"/>
    <w:rsid w:val="40452C81"/>
    <w:rsid w:val="40D4055A"/>
    <w:rsid w:val="41151DB4"/>
    <w:rsid w:val="41FF4F3E"/>
    <w:rsid w:val="42312C1E"/>
    <w:rsid w:val="42925DB2"/>
    <w:rsid w:val="42EB4309"/>
    <w:rsid w:val="435C016E"/>
    <w:rsid w:val="437159C8"/>
    <w:rsid w:val="43AE09CA"/>
    <w:rsid w:val="4430537A"/>
    <w:rsid w:val="445826D6"/>
    <w:rsid w:val="448917EC"/>
    <w:rsid w:val="44C1472D"/>
    <w:rsid w:val="44CD30D2"/>
    <w:rsid w:val="44D3620E"/>
    <w:rsid w:val="450D39DC"/>
    <w:rsid w:val="451274EA"/>
    <w:rsid w:val="452F78E8"/>
    <w:rsid w:val="46032B23"/>
    <w:rsid w:val="46B81CA9"/>
    <w:rsid w:val="46C40475"/>
    <w:rsid w:val="470C6541"/>
    <w:rsid w:val="477F61D9"/>
    <w:rsid w:val="47947ED7"/>
    <w:rsid w:val="47C84024"/>
    <w:rsid w:val="48054931"/>
    <w:rsid w:val="483B0352"/>
    <w:rsid w:val="487C41DD"/>
    <w:rsid w:val="48931F3C"/>
    <w:rsid w:val="48E376BD"/>
    <w:rsid w:val="495B760C"/>
    <w:rsid w:val="498B5C77"/>
    <w:rsid w:val="49D50DF0"/>
    <w:rsid w:val="49DF0B35"/>
    <w:rsid w:val="4A0D488A"/>
    <w:rsid w:val="4A2A75AB"/>
    <w:rsid w:val="4AC705C3"/>
    <w:rsid w:val="4ACF1226"/>
    <w:rsid w:val="4B007631"/>
    <w:rsid w:val="4B232DA2"/>
    <w:rsid w:val="4BCD6803"/>
    <w:rsid w:val="4C1E1B11"/>
    <w:rsid w:val="4C63431C"/>
    <w:rsid w:val="4C637F6F"/>
    <w:rsid w:val="4C891FD4"/>
    <w:rsid w:val="4D1D67F6"/>
    <w:rsid w:val="4D562C80"/>
    <w:rsid w:val="4D7560B4"/>
    <w:rsid w:val="4D930C30"/>
    <w:rsid w:val="4D9E721C"/>
    <w:rsid w:val="4DAB1AD6"/>
    <w:rsid w:val="4DB50832"/>
    <w:rsid w:val="4E1753BE"/>
    <w:rsid w:val="4EBC7D13"/>
    <w:rsid w:val="4F561F16"/>
    <w:rsid w:val="4F585C8E"/>
    <w:rsid w:val="4F6208BA"/>
    <w:rsid w:val="4F7A5C04"/>
    <w:rsid w:val="4F8C3B89"/>
    <w:rsid w:val="4F936CC6"/>
    <w:rsid w:val="4F9812E6"/>
    <w:rsid w:val="501D6F9B"/>
    <w:rsid w:val="50402E5B"/>
    <w:rsid w:val="509B758E"/>
    <w:rsid w:val="50B45146"/>
    <w:rsid w:val="51037E7B"/>
    <w:rsid w:val="511676E7"/>
    <w:rsid w:val="51625CF9"/>
    <w:rsid w:val="51890380"/>
    <w:rsid w:val="51932FAD"/>
    <w:rsid w:val="522602C5"/>
    <w:rsid w:val="523227C6"/>
    <w:rsid w:val="52376968"/>
    <w:rsid w:val="5268268C"/>
    <w:rsid w:val="52DE1FCB"/>
    <w:rsid w:val="532A1B08"/>
    <w:rsid w:val="536852EA"/>
    <w:rsid w:val="538961A4"/>
    <w:rsid w:val="538F59F6"/>
    <w:rsid w:val="53A45945"/>
    <w:rsid w:val="53A6324B"/>
    <w:rsid w:val="53D55AFF"/>
    <w:rsid w:val="54021804"/>
    <w:rsid w:val="54297BF9"/>
    <w:rsid w:val="54862998"/>
    <w:rsid w:val="549F7EBB"/>
    <w:rsid w:val="54BB7C66"/>
    <w:rsid w:val="558E2409"/>
    <w:rsid w:val="55B160F8"/>
    <w:rsid w:val="560721BC"/>
    <w:rsid w:val="56E322E1"/>
    <w:rsid w:val="56F02C50"/>
    <w:rsid w:val="576176AA"/>
    <w:rsid w:val="57822B16"/>
    <w:rsid w:val="579B7990"/>
    <w:rsid w:val="57A53A3A"/>
    <w:rsid w:val="57E91B79"/>
    <w:rsid w:val="581E3FA7"/>
    <w:rsid w:val="583D33C0"/>
    <w:rsid w:val="58D17250"/>
    <w:rsid w:val="58F5454D"/>
    <w:rsid w:val="58F55C6B"/>
    <w:rsid w:val="590B5B1F"/>
    <w:rsid w:val="590D1897"/>
    <w:rsid w:val="59691FED"/>
    <w:rsid w:val="597638E0"/>
    <w:rsid w:val="59D46859"/>
    <w:rsid w:val="59EB1550"/>
    <w:rsid w:val="59EC1D37"/>
    <w:rsid w:val="5A0015C8"/>
    <w:rsid w:val="5A276988"/>
    <w:rsid w:val="5A4F7C8D"/>
    <w:rsid w:val="5A981634"/>
    <w:rsid w:val="5B977B3E"/>
    <w:rsid w:val="5BE014E5"/>
    <w:rsid w:val="5C225659"/>
    <w:rsid w:val="5C2C4F2D"/>
    <w:rsid w:val="5C7120A1"/>
    <w:rsid w:val="5C806824"/>
    <w:rsid w:val="5CB52971"/>
    <w:rsid w:val="5D63417B"/>
    <w:rsid w:val="5D8B36D2"/>
    <w:rsid w:val="5D8F4F70"/>
    <w:rsid w:val="5DAF116F"/>
    <w:rsid w:val="5DD30284"/>
    <w:rsid w:val="5DFE20F6"/>
    <w:rsid w:val="5E5B30A5"/>
    <w:rsid w:val="5E8545C5"/>
    <w:rsid w:val="5EC7698C"/>
    <w:rsid w:val="5EE70977"/>
    <w:rsid w:val="602045A6"/>
    <w:rsid w:val="603C75C9"/>
    <w:rsid w:val="608B78E2"/>
    <w:rsid w:val="60B85F03"/>
    <w:rsid w:val="60DC361E"/>
    <w:rsid w:val="613B24C6"/>
    <w:rsid w:val="616933C9"/>
    <w:rsid w:val="61A15272"/>
    <w:rsid w:val="61C4171F"/>
    <w:rsid w:val="61F93300"/>
    <w:rsid w:val="621D48D8"/>
    <w:rsid w:val="624A77E6"/>
    <w:rsid w:val="62854B94"/>
    <w:rsid w:val="631E435E"/>
    <w:rsid w:val="63213CF4"/>
    <w:rsid w:val="63AC7EFE"/>
    <w:rsid w:val="63D86F45"/>
    <w:rsid w:val="6450412D"/>
    <w:rsid w:val="64CA053B"/>
    <w:rsid w:val="64CA31F0"/>
    <w:rsid w:val="64DA367B"/>
    <w:rsid w:val="64DD4813"/>
    <w:rsid w:val="64E14962"/>
    <w:rsid w:val="64F61D79"/>
    <w:rsid w:val="65282833"/>
    <w:rsid w:val="652E26F9"/>
    <w:rsid w:val="65366619"/>
    <w:rsid w:val="65727C4B"/>
    <w:rsid w:val="658554FB"/>
    <w:rsid w:val="658B6DC7"/>
    <w:rsid w:val="659F7D1B"/>
    <w:rsid w:val="65AA3925"/>
    <w:rsid w:val="660B3602"/>
    <w:rsid w:val="667C62AE"/>
    <w:rsid w:val="668F2A3A"/>
    <w:rsid w:val="66A23F66"/>
    <w:rsid w:val="66AD4998"/>
    <w:rsid w:val="66BA7997"/>
    <w:rsid w:val="66E14363"/>
    <w:rsid w:val="676A395C"/>
    <w:rsid w:val="679118E5"/>
    <w:rsid w:val="67CD5013"/>
    <w:rsid w:val="67DD2D7C"/>
    <w:rsid w:val="68662D72"/>
    <w:rsid w:val="68A33BCF"/>
    <w:rsid w:val="69FF3DA6"/>
    <w:rsid w:val="6A0A597F"/>
    <w:rsid w:val="6A250690"/>
    <w:rsid w:val="6A376B8D"/>
    <w:rsid w:val="6A5938E3"/>
    <w:rsid w:val="6A9516EC"/>
    <w:rsid w:val="6AE90161"/>
    <w:rsid w:val="6B2947D1"/>
    <w:rsid w:val="6B543355"/>
    <w:rsid w:val="6BB87D88"/>
    <w:rsid w:val="6BE26BB3"/>
    <w:rsid w:val="6BFF0DBE"/>
    <w:rsid w:val="6C7C2B64"/>
    <w:rsid w:val="6D746AAD"/>
    <w:rsid w:val="6D8F4B19"/>
    <w:rsid w:val="6DA5433C"/>
    <w:rsid w:val="6E315BD0"/>
    <w:rsid w:val="6E3B6A4F"/>
    <w:rsid w:val="6E495542"/>
    <w:rsid w:val="6E70494A"/>
    <w:rsid w:val="6E7855AD"/>
    <w:rsid w:val="6E7D42EE"/>
    <w:rsid w:val="6ECD3B4B"/>
    <w:rsid w:val="6EF70BC7"/>
    <w:rsid w:val="6F062BB9"/>
    <w:rsid w:val="6F7B1AEF"/>
    <w:rsid w:val="6F8C57B4"/>
    <w:rsid w:val="6F997ED1"/>
    <w:rsid w:val="703379DD"/>
    <w:rsid w:val="70447E3C"/>
    <w:rsid w:val="709A7A5C"/>
    <w:rsid w:val="70BC3E77"/>
    <w:rsid w:val="711C7DEE"/>
    <w:rsid w:val="712612F0"/>
    <w:rsid w:val="715A543E"/>
    <w:rsid w:val="71A87053"/>
    <w:rsid w:val="71B132B0"/>
    <w:rsid w:val="71CA611F"/>
    <w:rsid w:val="71CB5851"/>
    <w:rsid w:val="72334B5E"/>
    <w:rsid w:val="724F1FEB"/>
    <w:rsid w:val="72757DB1"/>
    <w:rsid w:val="72AE77EF"/>
    <w:rsid w:val="72BB1F0C"/>
    <w:rsid w:val="72F316A6"/>
    <w:rsid w:val="73020FF3"/>
    <w:rsid w:val="7354255E"/>
    <w:rsid w:val="739048A5"/>
    <w:rsid w:val="73DC1E4E"/>
    <w:rsid w:val="74017DF2"/>
    <w:rsid w:val="740476D4"/>
    <w:rsid w:val="7431692A"/>
    <w:rsid w:val="747F7695"/>
    <w:rsid w:val="7483115A"/>
    <w:rsid w:val="74B11819"/>
    <w:rsid w:val="74CE5F27"/>
    <w:rsid w:val="750E6C6B"/>
    <w:rsid w:val="756E14B8"/>
    <w:rsid w:val="75CF06D9"/>
    <w:rsid w:val="75CF16D8"/>
    <w:rsid w:val="75D1787A"/>
    <w:rsid w:val="76045978"/>
    <w:rsid w:val="76133B2A"/>
    <w:rsid w:val="76530DD9"/>
    <w:rsid w:val="767A350B"/>
    <w:rsid w:val="76A77C3C"/>
    <w:rsid w:val="776C7C79"/>
    <w:rsid w:val="77F205C7"/>
    <w:rsid w:val="78126A72"/>
    <w:rsid w:val="781400F4"/>
    <w:rsid w:val="783E6762"/>
    <w:rsid w:val="785610A2"/>
    <w:rsid w:val="78615304"/>
    <w:rsid w:val="78D76F87"/>
    <w:rsid w:val="79226841"/>
    <w:rsid w:val="794B223C"/>
    <w:rsid w:val="795135CA"/>
    <w:rsid w:val="79752E15"/>
    <w:rsid w:val="7999158E"/>
    <w:rsid w:val="7A08012D"/>
    <w:rsid w:val="7A3C3D4C"/>
    <w:rsid w:val="7A41719B"/>
    <w:rsid w:val="7A4D5B40"/>
    <w:rsid w:val="7A856043"/>
    <w:rsid w:val="7AA716F4"/>
    <w:rsid w:val="7B475882"/>
    <w:rsid w:val="7B8B5094"/>
    <w:rsid w:val="7BB4552D"/>
    <w:rsid w:val="7BBC11CF"/>
    <w:rsid w:val="7BCF12B3"/>
    <w:rsid w:val="7C5238E1"/>
    <w:rsid w:val="7C547659"/>
    <w:rsid w:val="7CE7399F"/>
    <w:rsid w:val="7D8628FA"/>
    <w:rsid w:val="7D943A85"/>
    <w:rsid w:val="7DAF266D"/>
    <w:rsid w:val="7DED3CF7"/>
    <w:rsid w:val="7DFF610B"/>
    <w:rsid w:val="7E1C52B3"/>
    <w:rsid w:val="7E292420"/>
    <w:rsid w:val="7EA877E8"/>
    <w:rsid w:val="7EAA7A04"/>
    <w:rsid w:val="7EC42148"/>
    <w:rsid w:val="7EE33B7E"/>
    <w:rsid w:val="7EEF3F71"/>
    <w:rsid w:val="7F01339C"/>
    <w:rsid w:val="7F160BF6"/>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link w:val="34"/>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link w:val="33"/>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Body Text 2"/>
    <w:basedOn w:val="1"/>
    <w:qFormat/>
    <w:uiPriority w:val="99"/>
    <w:pPr>
      <w:spacing w:before="240"/>
    </w:pPr>
    <w:rPr>
      <w:rFonts w:ascii="Calibri" w:hAnsi="Calibri"/>
      <w:color w:val="FF000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annotation subject"/>
    <w:basedOn w:val="6"/>
    <w:next w:val="6"/>
    <w:link w:val="35"/>
    <w:qFormat/>
    <w:uiPriority w:val="0"/>
    <w:rPr>
      <w:b/>
      <w:bCs/>
      <w:kern w:val="2"/>
      <w:sz w:val="21"/>
    </w:rPr>
  </w:style>
  <w:style w:type="paragraph" w:styleId="16">
    <w:name w:val="Body Text First Indent"/>
    <w:basedOn w:val="2"/>
    <w:qFormat/>
    <w:uiPriority w:val="0"/>
    <w:pPr>
      <w:snapToGrid w:val="0"/>
      <w:spacing w:line="560" w:lineRule="exact"/>
      <w:ind w:firstLine="200" w:firstLineChars="200"/>
    </w:pPr>
    <w:rPr>
      <w:rFonts w:ascii="仿宋" w:hAnsi="仿宋" w:cs="仿宋"/>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styleId="2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5">
    <w:name w:val="List Paragraph"/>
    <w:basedOn w:val="1"/>
    <w:qFormat/>
    <w:uiPriority w:val="34"/>
    <w:pPr>
      <w:ind w:firstLine="420" w:firstLineChars="200"/>
    </w:pPr>
  </w:style>
  <w:style w:type="character" w:customStyle="1" w:styleId="26">
    <w:name w:val="NormalCharacter"/>
    <w:qFormat/>
    <w:uiPriority w:val="0"/>
    <w:rPr>
      <w:kern w:val="2"/>
      <w:sz w:val="21"/>
      <w:szCs w:val="24"/>
      <w:lang w:val="en-US" w:eastAsia="zh-CN" w:bidi="ar-SA"/>
    </w:r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paragraph" w:customStyle="1" w:styleId="30">
    <w:name w:val="正文格式"/>
    <w:basedOn w:val="7"/>
    <w:qFormat/>
    <w:uiPriority w:val="99"/>
    <w:pPr>
      <w:spacing w:after="0" w:line="360" w:lineRule="auto"/>
      <w:ind w:left="0" w:leftChars="0" w:firstLine="600"/>
    </w:pPr>
    <w:rPr>
      <w:rFonts w:eastAsia="仿宋_GB2312"/>
      <w:sz w:val="30"/>
      <w:szCs w:val="30"/>
    </w:rPr>
  </w:style>
  <w:style w:type="paragraph" w:customStyle="1" w:styleId="31">
    <w:name w:val="msolistparagraph"/>
    <w:basedOn w:val="1"/>
    <w:qFormat/>
    <w:uiPriority w:val="0"/>
    <w:pPr>
      <w:ind w:firstLine="420" w:firstLineChars="200"/>
    </w:p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页眉 字符"/>
    <w:basedOn w:val="19"/>
    <w:link w:val="10"/>
    <w:qFormat/>
    <w:uiPriority w:val="0"/>
    <w:rPr>
      <w:kern w:val="2"/>
      <w:sz w:val="18"/>
      <w:szCs w:val="18"/>
    </w:rPr>
  </w:style>
  <w:style w:type="character" w:customStyle="1" w:styleId="34">
    <w:name w:val="批注文字 字符"/>
    <w:basedOn w:val="19"/>
    <w:link w:val="6"/>
    <w:qFormat/>
    <w:uiPriority w:val="0"/>
    <w:rPr>
      <w:szCs w:val="24"/>
    </w:rPr>
  </w:style>
  <w:style w:type="character" w:customStyle="1" w:styleId="35">
    <w:name w:val="批注主题 字符"/>
    <w:basedOn w:val="34"/>
    <w:link w:val="15"/>
    <w:qFormat/>
    <w:uiPriority w:val="0"/>
    <w:rPr>
      <w:b/>
      <w:bCs/>
      <w:kern w:val="2"/>
      <w:sz w:val="21"/>
      <w:szCs w:val="24"/>
    </w:rPr>
  </w:style>
  <w:style w:type="paragraph" w:customStyle="1" w:styleId="36">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30627</Words>
  <Characters>32139</Characters>
  <Lines>412</Lines>
  <Paragraphs>116</Paragraphs>
  <TotalTime>6</TotalTime>
  <ScaleCrop>false</ScaleCrop>
  <LinksUpToDate>false</LinksUpToDate>
  <CharactersWithSpaces>33702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2025-09-16T09:13:02Z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eyJoZGlkIjoiYzQyYWEzODM5ZmQwMmJjYTc3MDA5NTM4MzFlNGQzODAiLCJ1c2VySWQiOiIzMzY3MDEyMjIifQ==</vt:lpwstr>
  </property>
  <property fmtid="{D5CDD505-2E9C-101B-9397-08002B2CF9AE}" pid="4" name="ICV">
    <vt:lpwstr>62A0724592C042D9ABD750C6C7DEB53B_13</vt:lpwstr>
  </property>
</Properties>
</file>