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深圳市跨境电商出口拼箱货物“先查验后装运”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项目遴选方案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深圳跨境电商产业持续高质量发展，在海关总署和深圳海关的大力支持下，我市拟开展跨境电商出口拼箱货物“先查验后装运”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以下简称“先查后装”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试点,现开展公开遴选工作，选择合适试点作业场地（以下简称“试点场地”）和相应的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以下简称“试点企业”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，分别申请“海关监管作业场所”和“海关监管作业场所经营人”资质，加快推动“先查后装”试点工作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顺利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项目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“先查后装”模式下，跨境电商出口货物以“散进整出”的方式在试点场地完成清关和拼箱后，再以物流一体化调拨或跨境快速通关方式转运至深圳关区内的海运、陆运或空运口岸离境出口（具体详见附件1）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该模式旨在解决跨境电商出口货物“先拼箱再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通关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”模式下“一票中控，整车查验”的问题，以信息化、智能化技术支持通关便利化改革，满足出口拼箱货物便捷落货和补货的需要。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highlight w:val="none"/>
        </w:rPr>
      </w:pPr>
      <w:r>
        <w:rPr>
          <w:rFonts w:hint="default" w:ascii="黑体" w:hAnsi="黑体" w:eastAsia="黑体" w:cs="黑体"/>
          <w:sz w:val="32"/>
          <w:highlight w:val="none"/>
        </w:rPr>
        <w:t>二</w:t>
      </w:r>
      <w:r>
        <w:rPr>
          <w:rFonts w:hint="eastAsia" w:ascii="黑体" w:hAnsi="黑体" w:eastAsia="黑体" w:cs="黑体"/>
          <w:sz w:val="32"/>
          <w:highlight w:val="none"/>
        </w:rPr>
        <w:t>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highlight w:val="none"/>
        </w:rPr>
        <w:t>（一）《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海关总署发布关于进一步促进跨境电商出口发展的公告</w:t>
      </w:r>
      <w:r>
        <w:rPr>
          <w:rFonts w:hint="default" w:ascii="仿宋_GB2312" w:hAnsi="仿宋_GB2312" w:eastAsia="仿宋_GB2312" w:cs="仿宋_GB2312"/>
          <w:sz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（海关总署公告2024年第167号）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highlight w:val="none"/>
        </w:rPr>
        <w:t>（二）《深圳市关于推动跨境电子商务高质量发展的实施方案》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（深府办函〔2024〕89号）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default" w:ascii="黑体" w:hAnsi="黑体" w:eastAsia="黑体" w:cs="黑体"/>
          <w:sz w:val="32"/>
          <w:szCs w:val="32"/>
        </w:rPr>
        <w:t>遴选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试点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试点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须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遴选申请时间截止日前满足以下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所有条件：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1.试点企业应为依法登记注册的，并在深圳市实际从事经营活动的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独立法人单位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试点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股权结构应相对集中，应存在持股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比例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超过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单一实际控制人或控股股东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试点企业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或其关联公司在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全国范围内曾经或正在开展跨境仓储物流业务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试点企业可使用自有产权场地或直接向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产权方租赁进行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运营；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试点企业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不得将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卡口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管理、监管信息传输、场内车流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管控、未放行货物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管理等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属于海关监管场所经营人的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主责主业外包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Calibri" w:hAnsi="Calibri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6.试点企业不得通过独家经营、强制绑定、排挤竞争等方式，垄断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货物报关、物流接驳、货物拼箱等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上下游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试点企业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未被国家、省、市有关部门列入严重失信主体名单实施失信惩戒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8.试点企业应通过倒班轮休、应急值守等方式保障试点场地业务操作7x24小时稳定运行。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（二）试点场地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试点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场地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所包含的地块及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建筑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产权关系清晰无争议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应存有单一产权主体或超过50%产权比例的绝对控股方，并出具产权清晰无争议承诺函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占地面积不低于1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万平方米，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能划入海关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监管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作业场所内围网范围内的占地面积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不低于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1万平方米，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建筑面积不低于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万平方米；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试点场地的所有仓库区域层高不低于5.5米，40尺集装箱靠台车位不少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单层建筑申请试点场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优先，多层建筑需使用连续楼层，不得错层申请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4.试点场地需具备扩展至建筑面积不低于5万平方米的条件，且在市商务局会同所在区政府</w:t>
      </w:r>
      <w:r>
        <w:rPr>
          <w:rFonts w:hint="default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前海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大鹏新区管委会，下同</w:t>
      </w:r>
      <w:r>
        <w:rPr>
          <w:rFonts w:hint="default" w:ascii="仿宋_GB2312" w:hAnsi="仿宋_GB2312" w:eastAsia="仿宋_GB2312" w:cs="仿宋_GB2312"/>
          <w:sz w:val="3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提出扩展要求以便承接更多业务时，能够在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0天内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具备向海关申请扩大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海关监管场所围网范围的条件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5.试点场所至少建设“四进四出”八个车辆闸口。车辆进入试点场地的市政道路至少需要单向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车道，驶出试点场地的市政道路至少需要单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2车道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6.试点场地的软硬件综合投入不低于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00万元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7.如试点场地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半径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300米范围内有住宅小区，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妥善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处理周边交通秩序和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噪音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等邻避问题。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四、遴选程序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</w:rPr>
      </w:pPr>
      <w:r>
        <w:rPr>
          <w:rFonts w:hint="default" w:ascii="楷体_GB2312" w:hAnsi="楷体_GB2312" w:eastAsia="楷体_GB2312" w:cs="楷体_GB2312"/>
          <w:sz w:val="32"/>
        </w:rPr>
        <w:t>（一）项目申请</w:t>
      </w:r>
      <w:r>
        <w:rPr>
          <w:rFonts w:hint="eastAsia" w:ascii="楷体_GB2312" w:hAnsi="楷体_GB2312" w:eastAsia="楷体_GB2312" w:cs="楷体_GB2312"/>
          <w:sz w:val="32"/>
        </w:rPr>
        <w:t>（2025年9月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</w:rPr>
        <w:t>日-9月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z w:val="32"/>
        </w:rPr>
        <w:t>日）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面向社会公开遴选，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符合条件的企业可选取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合适场地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申报该项目，向试点场地所在区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政府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</w:rPr>
      </w:pPr>
      <w:r>
        <w:rPr>
          <w:rFonts w:hint="default" w:ascii="楷体_GB2312" w:hAnsi="楷体_GB2312" w:eastAsia="楷体_GB2312" w:cs="楷体_GB2312"/>
          <w:sz w:val="32"/>
        </w:rPr>
        <w:t>（二）各区推荐（2025年9月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19</w:t>
      </w:r>
      <w:r>
        <w:rPr>
          <w:rFonts w:hint="default" w:ascii="楷体_GB2312" w:hAnsi="楷体_GB2312" w:eastAsia="楷体_GB2312" w:cs="楷体_GB2312"/>
          <w:sz w:val="32"/>
        </w:rPr>
        <w:t>日-9月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24</w:t>
      </w:r>
      <w:r>
        <w:rPr>
          <w:rFonts w:hint="default" w:ascii="楷体_GB2312" w:hAnsi="楷体_GB2312" w:eastAsia="楷体_GB2312" w:cs="楷体_GB2312"/>
          <w:sz w:val="32"/>
        </w:rPr>
        <w:t>日）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各区对意向企业提交的项目申报资料进行初审后，由区政府（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前海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管理局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、大鹏新区管委会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）向市商务局推荐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一个项目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楷体_GB2312" w:hAnsi="楷体_GB2312" w:eastAsia="楷体_GB2312" w:cs="楷体_GB2312"/>
          <w:sz w:val="32"/>
        </w:rPr>
        <w:t>三</w:t>
      </w:r>
      <w:r>
        <w:rPr>
          <w:rFonts w:hint="eastAsia" w:ascii="楷体_GB2312" w:hAnsi="楷体_GB2312" w:eastAsia="楷体_GB2312" w:cs="楷体_GB2312"/>
          <w:sz w:val="32"/>
        </w:rPr>
        <w:t>）</w:t>
      </w:r>
      <w:r>
        <w:rPr>
          <w:rFonts w:hint="default" w:ascii="楷体_GB2312" w:hAnsi="楷体_GB2312" w:eastAsia="楷体_GB2312" w:cs="楷体_GB2312"/>
          <w:sz w:val="32"/>
        </w:rPr>
        <w:t>组织评选</w:t>
      </w:r>
      <w:r>
        <w:rPr>
          <w:rFonts w:hint="eastAsia" w:ascii="楷体_GB2312" w:hAnsi="楷体_GB2312" w:eastAsia="楷体_GB2312" w:cs="楷体_GB2312"/>
          <w:sz w:val="32"/>
        </w:rPr>
        <w:t>（2025年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z w:val="32"/>
        </w:rPr>
        <w:t>日-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sz w:val="32"/>
        </w:rPr>
        <w:t>日）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市商务局根据申报资料对每个项目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进行综合量化评分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，综合量化评分最高的申报项目中选。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</w:t>
      </w:r>
      <w:r>
        <w:rPr>
          <w:rFonts w:hint="default" w:ascii="楷体_GB2312" w:hAnsi="楷体_GB2312" w:eastAsia="楷体_GB2312" w:cs="楷体_GB2312"/>
          <w:sz w:val="32"/>
        </w:rPr>
        <w:t>四</w:t>
      </w:r>
      <w:r>
        <w:rPr>
          <w:rFonts w:hint="eastAsia" w:ascii="楷体_GB2312" w:hAnsi="楷体_GB2312" w:eastAsia="楷体_GB2312" w:cs="楷体_GB2312"/>
          <w:sz w:val="32"/>
        </w:rPr>
        <w:t>）</w:t>
      </w:r>
      <w:r>
        <w:rPr>
          <w:rFonts w:hint="default" w:ascii="楷体_GB2312" w:hAnsi="楷体_GB2312" w:eastAsia="楷体_GB2312" w:cs="楷体_GB2312"/>
          <w:sz w:val="32"/>
        </w:rPr>
        <w:t>公</w:t>
      </w:r>
      <w:r>
        <w:rPr>
          <w:rFonts w:hint="eastAsia" w:ascii="楷体_GB2312" w:hAnsi="楷体_GB2312" w:eastAsia="楷体_GB2312" w:cs="楷体_GB2312"/>
          <w:sz w:val="32"/>
        </w:rPr>
        <w:t>布结果</w:t>
      </w:r>
      <w:r>
        <w:rPr>
          <w:rFonts w:hint="default" w:ascii="楷体_GB2312" w:hAnsi="楷体_GB2312" w:eastAsia="楷体_GB2312" w:cs="楷体_GB2312"/>
          <w:sz w:val="32"/>
        </w:rPr>
        <w:t>（2025年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9</w:t>
      </w:r>
      <w:r>
        <w:rPr>
          <w:rFonts w:hint="default" w:ascii="楷体_GB2312" w:hAnsi="楷体_GB2312" w:eastAsia="楷体_GB2312" w:cs="楷体_GB2312"/>
          <w:sz w:val="32"/>
        </w:rPr>
        <w:t>月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30</w:t>
      </w:r>
      <w:r>
        <w:rPr>
          <w:rFonts w:hint="default" w:ascii="楷体_GB2312" w:hAnsi="楷体_GB2312" w:eastAsia="楷体_GB2312" w:cs="楷体_GB2312"/>
          <w:sz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</w:rPr>
        <w:t>公布遴选结果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 w:bidi="ar-SA"/>
        </w:rPr>
        <w:t>五、材料</w:t>
      </w: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eastAsia="zh-CN" w:bidi="ar-SA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（一）</w:t>
      </w:r>
      <w:r>
        <w:rPr>
          <w:rFonts w:hint="default" w:ascii="楷体_GB2312" w:hAnsi="楷体_GB2312" w:eastAsia="楷体_GB2312" w:cs="楷体_GB2312"/>
          <w:sz w:val="32"/>
        </w:rPr>
        <w:t>专项材料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</w:rPr>
      </w:pPr>
      <w:r>
        <w:rPr>
          <w:rFonts w:hint="default" w:ascii="仿宋_GB2312" w:hAnsi="仿宋_GB2312" w:eastAsia="仿宋_GB2312" w:cs="仿宋_GB2312"/>
          <w:sz w:val="32"/>
        </w:rPr>
        <w:t>1.《“先查后装”试点项目申报书（模板）》（附件2）；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《“先查后装”试点项目推荐表》（附件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（二）其他佐证资料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试点企业营业执照复印件（加盖公章）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试点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股权架构佐证材料（商事主体登记证书、财务审计报告、投资证明等）；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试点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或其关联公司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跨境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仓储物流业务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佐证资料，包括但不限于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库租赁合同、产权证书、租金发票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、银行回单或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股权结构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4.试点场地所在地块和地块中建筑的产权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佐证材料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5.试点场地的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红线图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、规划图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建筑施工图和交通位置示意图等能够佐证仓库层高、货车车位数量、进出闸口数量、周边市政道路情况等信息的相关资料。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材料一式两份，按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eastAsia="zh-CN"/>
        </w:rPr>
        <w:t>材料清单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顺序编排，附目录并标注页码，纸质版材料按A4纸规格打印，每页加盖公章后胶装成册，加盖骑缝章；电子版请提供目录索引格式的PDF文档，刻录光盘随纸质材料报送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instrText xml:space="preserve"> HYPERLINK "mailto:5.上述材料请于2025年5月23日下午下班前提交至深圳市福田区福华一路1号大中华国际交易广场12楼1212室，电子版可先行发送至邮箱（dzswc@commerce.sz.gov.cn），邮件名称为\“企业名称+优质集货仓企业申报材料\”。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请有意愿申请的项目所在区政府于2025年9月24日18:00下班前将《</w:t>
      </w:r>
      <w:r>
        <w:rPr>
          <w:rFonts w:hint="default" w:ascii="仿宋_GB2312" w:hAnsi="仿宋_GB2312" w:eastAsia="仿宋_GB2312" w:cs="仿宋_GB2312"/>
          <w:sz w:val="32"/>
        </w:rPr>
        <w:t>“先查后装”试点项目推荐表》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推荐项目的纸质材料交至深圳市福田区福华一路1号大中华国际交易广场西座12楼1212室，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同步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发送至邮箱（dzswc@commerce.sz.gov.cn），邮件名称为“XX区关于推荐XX企业参与试点的申报材料”。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试点企业应对提交佐证材料的真实性、合法性、完整性负责。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68" w:leftChars="305" w:hanging="1328" w:hangingChars="415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1.深圳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跨境电商出口拼箱货物</w:t>
      </w:r>
      <w:r>
        <w:rPr>
          <w:rFonts w:hint="default" w:ascii="仿宋_GB2312" w:hAnsi="仿宋_GB2312" w:eastAsia="仿宋_GB2312" w:cs="仿宋_GB2312"/>
          <w:sz w:val="32"/>
          <w:szCs w:val="32"/>
        </w:rPr>
        <w:t>“先查后装”试点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</w:rPr>
        <w:t>“先查后装”试点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项目申报书（模板）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.</w:t>
      </w:r>
      <w:r>
        <w:rPr>
          <w:rFonts w:hint="default" w:ascii="仿宋_GB2312" w:hAnsi="仿宋_GB2312" w:eastAsia="仿宋_GB2312" w:cs="仿宋_GB2312"/>
          <w:sz w:val="32"/>
        </w:rPr>
        <w:t>“先查后装”试点项目推荐表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56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</w:rPr>
        <w:sectPr>
          <w:footerReference r:id="rId3" w:type="default"/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深圳市跨境电商出口拼箱货物“先查后装”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全面贯彻党中央、国务院关于扩大对外开放和稳外贸的工作部署，</w:t>
      </w:r>
      <w:r>
        <w:rPr>
          <w:rFonts w:hint="default" w:ascii="仿宋_GB2312" w:hAnsi="仿宋_GB2312" w:eastAsia="仿宋_GB2312" w:cs="仿宋_GB2312"/>
          <w:sz w:val="32"/>
          <w:szCs w:val="32"/>
        </w:rPr>
        <w:t>立足深圳跨境电商体量规模大、经营主体多、出口需求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旺盛</w:t>
      </w:r>
      <w:r>
        <w:rPr>
          <w:rFonts w:hint="default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产业优势</w:t>
      </w:r>
      <w:r>
        <w:rPr>
          <w:rFonts w:hint="default" w:ascii="仿宋_GB2312" w:hAnsi="仿宋_GB2312" w:eastAsia="仿宋_GB2312" w:cs="仿宋_GB2312"/>
          <w:sz w:val="32"/>
          <w:szCs w:val="32"/>
        </w:rPr>
        <w:t>，严格按照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海关总署和深圳海关的监管要求申请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跨境电商出口拼箱货物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先查后装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default" w:ascii="仿宋_GB2312" w:hAnsi="仿宋_GB2312" w:eastAsia="仿宋_GB2312" w:cs="仿宋_GB2312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“先查后装”试点监管作业场所（以下简称“试点场所”）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和相应的</w:t>
      </w:r>
      <w:r>
        <w:rPr>
          <w:rFonts w:hint="default" w:ascii="仿宋_GB2312" w:hAnsi="仿宋_GB2312" w:eastAsia="仿宋_GB2312" w:cs="仿宋_GB2312"/>
          <w:sz w:val="32"/>
          <w:szCs w:val="32"/>
        </w:rPr>
        <w:t>经营主体（以下简称“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试点企业</w:t>
      </w:r>
      <w:r>
        <w:rPr>
          <w:rFonts w:hint="default" w:ascii="仿宋_GB2312" w:hAnsi="仿宋_GB2312" w:eastAsia="仿宋_GB2312" w:cs="仿宋_GB2312"/>
          <w:sz w:val="32"/>
          <w:szCs w:val="32"/>
        </w:rPr>
        <w:t>”），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构建全链条信息化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数字化、</w:t>
      </w:r>
      <w:r>
        <w:rPr>
          <w:rFonts w:hint="default" w:ascii="仿宋_GB2312" w:hAnsi="仿宋_GB2312" w:eastAsia="仿宋_GB2312" w:cs="仿宋_GB2312"/>
          <w:sz w:val="32"/>
          <w:szCs w:val="32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default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体系，</w:t>
      </w:r>
      <w:r>
        <w:rPr>
          <w:rFonts w:hint="default" w:ascii="仿宋_GB2312" w:hAnsi="仿宋_GB2312" w:eastAsia="仿宋_GB2312" w:cs="仿宋_GB2312"/>
          <w:sz w:val="32"/>
          <w:szCs w:val="32"/>
        </w:rPr>
        <w:t>为深圳跨境电商出口货物提供“效率更高、服务更优、成本更低”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</w:rPr>
        <w:t>监管服务，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default" w:ascii="仿宋_GB2312" w:hAnsi="仿宋_GB2312" w:eastAsia="仿宋_GB2312" w:cs="仿宋_GB2312"/>
          <w:sz w:val="32"/>
          <w:szCs w:val="32"/>
        </w:rPr>
        <w:t>续推动深圳跨境电商产业高质量发展，力争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可复制可推广的“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深圳经验”。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二、基础条件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（一）场所选址。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在深圳市范围内（不含深汕特别合作区）公开遴选合适的试点场所和相应的试点企业。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（二）货物类型。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以跨境电商B2B出口货物和跨境电商海外仓出口货物先行试点，货物可以选择以9710、9810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（三）物流通关。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跨境电商出口货物先行交付至试点场所，按“先查后装”模式完成清关后，再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转运至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深圳关区内的海运、陆运口岸离境。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业务流程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（一）入场申请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货主企业[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跨境电商集货仓试点企业（以下简称“集货仓企业”）、跨境电商贸易企业（以下简称“卖家”）或跨境电商工贸一体企业（以下简称“工贸企业”）]向试点企业提交入场申请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（二）商品赋码。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货主企业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通过端口录入或与试点企业系统直连的方式，录入货物品类属性、源头物流轨迹等信息，每批次货物均</w:t>
      </w:r>
      <w:r>
        <w:rPr>
          <w:rFonts w:hint="eastAsia" w:ascii="仿宋_GB2312" w:hAnsi="仿宋_GB2312" w:eastAsia="仿宋_GB2312" w:cs="仿宋_GB2312"/>
          <w:sz w:val="32"/>
          <w:szCs w:val="32"/>
        </w:rPr>
        <w:t>生成唯一防伪二维码标签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（三）入场收货。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货主企业将车辆信息和货物信息捆绑，完成入场申报，形成入场信息底账并入场交货。试点企业在货验核、称重和安检无误后，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确认收</w:t>
      </w:r>
      <w:r>
        <w:rPr>
          <w:rFonts w:hint="eastAsia" w:ascii="仿宋_GB2312" w:hAnsi="仿宋_GB2312" w:eastAsia="仿宋_GB2312" w:cs="仿宋_GB2312"/>
          <w:sz w:val="32"/>
          <w:szCs w:val="32"/>
        </w:rPr>
        <w:t>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（四）理货上架。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对于需要上架存储货物，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试点企业结合货主企业需求，按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货物类别、存储要求等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开展理货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将货物与具备RFID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（射频识别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技术，下同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功能的标准化卡板进行技术绑定后上架存储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，以货架为单位实现数字孪生。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）报关运抵。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货主企业委托报关行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依据货物信息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向海关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系统发送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申报舱单和报关单，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系统受理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后发送运抵报告，触发中控查验指令，未中控的放行货物直接进入拼箱环节。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）货物查验。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中控货物由试点企业调拨至查验区交由海关进行查验，查验放行后将货物调拨至放行区参与拼箱。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）拼箱装运。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试点企业按货主企业要求对放行货物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货架或货车）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进行拼箱，确认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货物信息及单证后启运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）施封出闸。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车辆离开试点场所前施加电子关锁，通过智能卡口验放后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转运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前往海运或陆运口岸，并由信息化系统支撑在途监管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）运抵口岸。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货物运抵口岸后解开电子关锁，直接装船离境。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为确保“先查后装”试点顺利开展，</w:t>
      </w:r>
      <w:r>
        <w:rPr>
          <w:rFonts w:hint="default" w:ascii="仿宋_GB2312" w:hAnsi="仿宋_GB2312" w:eastAsia="仿宋_GB2312" w:cs="仿宋_GB2312"/>
          <w:sz w:val="32"/>
          <w:szCs w:val="32"/>
        </w:rPr>
        <w:t>开发辅助监管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default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试点场所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管理系统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（以下简称“运营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系统”）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与海关系统协同联动，共同支撑</w:t>
      </w:r>
      <w:r>
        <w:rPr>
          <w:rFonts w:hint="default" w:ascii="仿宋_GB2312" w:hAnsi="仿宋_GB2312" w:eastAsia="仿宋_GB2312" w:cs="仿宋_GB2312"/>
          <w:sz w:val="32"/>
          <w:szCs w:val="32"/>
        </w:rPr>
        <w:t>跨境电商“先查后装”业务顺利开展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运营管理系统负责业务全流程服务保障。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该系统支撑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试点企业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试点场所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运营管理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承担从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前端揽货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到货物离场的全流程服务保障。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辅助监管系统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配合协助海关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该系统与运营管理系统和海关系统实时互联，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形成覆盖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跨境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电商货物出口全链路的大数据库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并据此开发数字孪生仓库、智能卡口等模块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，配合海关监管。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“先查后装”试点项目申报书（模板）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900" w:lineRule="exact"/>
        <w:jc w:val="center"/>
        <w:outlineLvl w:val="9"/>
        <w:rPr>
          <w:rFonts w:hint="eastAsia" w:ascii="黑体" w:hAnsi="黑体" w:eastAsia="黑体" w:cs="黑体"/>
          <w:bCs/>
          <w:sz w:val="80"/>
          <w:szCs w:val="80"/>
          <w:lang w:val="en-US" w:eastAsia="zh-CN"/>
        </w:rPr>
      </w:pPr>
      <w:r>
        <w:rPr>
          <w:rFonts w:hint="eastAsia" w:ascii="黑体" w:hAnsi="黑体" w:eastAsia="黑体" w:cs="黑体"/>
          <w:bCs/>
          <w:sz w:val="80"/>
          <w:szCs w:val="80"/>
          <w:lang w:eastAsia="zh-CN"/>
        </w:rPr>
        <w:t>深圳市跨境电商</w:t>
      </w:r>
      <w:r>
        <w:rPr>
          <w:rFonts w:hint="eastAsia" w:ascii="黑体" w:hAnsi="黑体" w:eastAsia="黑体" w:cs="黑体"/>
          <w:bCs/>
          <w:sz w:val="80"/>
          <w:szCs w:val="80"/>
          <w:lang w:val="en-US" w:eastAsia="zh-CN"/>
        </w:rPr>
        <w:t>出口拼箱货物“先查后装”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900" w:lineRule="exact"/>
        <w:jc w:val="center"/>
        <w:outlineLvl w:val="9"/>
        <w:rPr>
          <w:rFonts w:hint="eastAsia" w:ascii="黑体" w:hAnsi="黑体" w:eastAsia="黑体" w:cs="黑体"/>
          <w:bCs/>
          <w:sz w:val="80"/>
          <w:szCs w:val="80"/>
          <w:lang w:val="en-US" w:eastAsia="zh-CN"/>
        </w:rPr>
      </w:pPr>
      <w:r>
        <w:rPr>
          <w:rFonts w:hint="eastAsia" w:ascii="黑体" w:hAnsi="黑体" w:eastAsia="黑体" w:cs="黑体"/>
          <w:bCs/>
          <w:sz w:val="80"/>
          <w:szCs w:val="80"/>
          <w:lang w:val="en-US" w:eastAsia="zh-CN"/>
        </w:rPr>
        <w:t>试点项目</w:t>
      </w:r>
    </w:p>
    <w:p>
      <w:pPr>
        <w:keepNext w:val="0"/>
        <w:keepLines w:val="0"/>
        <w:pageBreakBefore w:val="0"/>
        <w:widowControl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bidi w:val="0"/>
        <w:adjustRightInd/>
        <w:snapToGrid/>
        <w:spacing w:line="900" w:lineRule="exact"/>
        <w:jc w:val="both"/>
        <w:rPr>
          <w:rFonts w:hint="eastAsia" w:ascii="黑体" w:hAnsi="黑体" w:eastAsia="黑体" w:cs="黑体"/>
          <w:bCs/>
          <w:color w:val="000000"/>
          <w:kern w:val="2"/>
          <w:sz w:val="36"/>
          <w:szCs w:val="36"/>
          <w:highlight w:val="green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900" w:lineRule="exact"/>
        <w:rPr>
          <w:rFonts w:hint="eastAsia" w:ascii="Calibri" w:hAnsi="Calibri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900" w:lineRule="exact"/>
        <w:jc w:val="center"/>
        <w:rPr>
          <w:rFonts w:ascii="黑体" w:hAnsi="黑体" w:eastAsia="黑体" w:cs="黑体"/>
          <w:bCs/>
          <w:sz w:val="84"/>
          <w:szCs w:val="84"/>
        </w:rPr>
      </w:pPr>
      <w:r>
        <w:rPr>
          <w:rFonts w:hint="eastAsia" w:ascii="黑体" w:hAnsi="黑体" w:eastAsia="黑体" w:cs="黑体"/>
          <w:bCs/>
          <w:sz w:val="84"/>
          <w:szCs w:val="84"/>
          <w:lang w:val="en-US" w:eastAsia="zh-CN"/>
        </w:rPr>
        <w:t>申 报</w:t>
      </w:r>
      <w:r>
        <w:rPr>
          <w:rFonts w:hint="eastAsia" w:ascii="黑体" w:hAnsi="黑体" w:eastAsia="黑体" w:cs="黑体"/>
          <w:bCs/>
          <w:sz w:val="84"/>
          <w:szCs w:val="84"/>
        </w:rPr>
        <w:t xml:space="preserve"> </w:t>
      </w:r>
      <w:r>
        <w:rPr>
          <w:rFonts w:hint="eastAsia" w:ascii="黑体" w:hAnsi="黑体" w:eastAsia="黑体" w:cs="黑体"/>
          <w:bCs/>
          <w:sz w:val="84"/>
          <w:szCs w:val="84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900" w:lineRule="exact"/>
        <w:ind w:right="-36"/>
        <w:textAlignment w:val="bottom"/>
        <w:rPr>
          <w:rFonts w:ascii="黑体" w:hAnsi="黑体" w:eastAsia="黑体" w:cs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562"/>
          <w:tab w:val="left" w:pos="3372"/>
          <w:tab w:val="left" w:pos="3653"/>
        </w:tabs>
        <w:kinsoku/>
        <w:wordWrap/>
        <w:overflowPunct/>
        <w:topLinePunct w:val="0"/>
        <w:bidi w:val="0"/>
        <w:adjustRightInd/>
        <w:snapToGrid/>
        <w:spacing w:line="900" w:lineRule="exact"/>
        <w:jc w:val="both"/>
        <w:rPr>
          <w:rFonts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900" w:lineRule="exact"/>
        <w:ind w:right="-34"/>
        <w:jc w:val="center"/>
        <w:textAlignment w:val="bottom"/>
        <w:outlineLvl w:val="9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 xml:space="preserve"> </w:t>
      </w:r>
      <w:bookmarkStart w:id="0" w:name="_Toc6666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申     报     人</w:t>
      </w:r>
      <w:r>
        <w:rPr>
          <w:rFonts w:hint="eastAsia" w:ascii="黑体" w:hAnsi="黑体" w:eastAsia="黑体" w:cs="黑体"/>
          <w:bCs/>
          <w:sz w:val="36"/>
          <w:szCs w:val="36"/>
        </w:rPr>
        <w:t>：</w:t>
      </w:r>
      <w:bookmarkEnd w:id="0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xxx有限公司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900" w:lineRule="exact"/>
        <w:ind w:right="-34"/>
        <w:jc w:val="center"/>
        <w:textAlignment w:val="bottom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统一社会信用代码</w:t>
      </w:r>
      <w:r>
        <w:rPr>
          <w:rFonts w:hint="eastAsia" w:ascii="黑体" w:hAnsi="黑体" w:eastAsia="黑体" w:cs="黑体"/>
          <w:bCs/>
          <w:sz w:val="36"/>
          <w:szCs w:val="36"/>
        </w:rPr>
        <w:t>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xxxxxxxxxx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900" w:lineRule="exact"/>
        <w:ind w:right="-36" w:firstLine="3600" w:firstLineChars="1000"/>
        <w:jc w:val="both"/>
        <w:textAlignment w:val="bottom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>年</w:t>
      </w:r>
      <w:r>
        <w:rPr>
          <w:rFonts w:hint="default" w:ascii="黑体" w:hAnsi="黑体" w:eastAsia="黑体" w:cs="黑体"/>
          <w:bCs/>
          <w:sz w:val="36"/>
          <w:szCs w:val="36"/>
          <w:lang w:eastAsia="zh-CN"/>
        </w:rPr>
        <w:t>9</w:t>
      </w:r>
      <w:r>
        <w:rPr>
          <w:rFonts w:hint="eastAsia" w:ascii="黑体" w:hAnsi="黑体" w:eastAsia="黑体" w:cs="黑体"/>
          <w:bCs/>
          <w:sz w:val="36"/>
          <w:szCs w:val="36"/>
        </w:rPr>
        <w:t>月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  <w:t>目录</w:t>
      </w:r>
    </w:p>
    <w:p>
      <w:pPr>
        <w:widowControl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1.“先查后装”试点项目申报表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.“先查后装”试点项目申报方案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项目运营承诺书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FFFFFF"/>
          <w:lang w:val="en-US" w:eastAsia="zh-CN"/>
        </w:rPr>
        <w:t>“先查后装”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shd w:val="clear" w:color="auto" w:fill="FFFFFF"/>
          <w:lang w:eastAsia="zh-CN"/>
        </w:rPr>
        <w:t>试点项目申报表</w:t>
      </w:r>
    </w:p>
    <w:p>
      <w:pPr>
        <w:widowControl w:val="0"/>
        <w:spacing w:line="560" w:lineRule="exact"/>
        <w:jc w:val="both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44"/>
        <w:gridCol w:w="862"/>
        <w:gridCol w:w="945"/>
        <w:gridCol w:w="1183"/>
        <w:gridCol w:w="1487"/>
        <w:gridCol w:w="1469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22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法人代表及联系方式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业务联系人及联系方式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14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场地产权关系</w:t>
            </w:r>
          </w:p>
        </w:tc>
        <w:tc>
          <w:tcPr>
            <w:tcW w:w="22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自有产权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租赁物业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占地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建筑面积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仓库区域层高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可拓展建筑面积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试点场地的软硬件投入规模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</w:t>
            </w:r>
          </w:p>
        </w:tc>
        <w:tc>
          <w:tcPr>
            <w:tcW w:w="39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ERP（企业资源管理）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万元；WMS（仓库管理）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商品赋码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万元；数字孪生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万元；智能卡口管控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万元其他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万元；软件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总投入金额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硬件</w:t>
            </w:r>
          </w:p>
        </w:tc>
        <w:tc>
          <w:tcPr>
            <w:tcW w:w="39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智能分拣线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万元；智能货架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万元；作业机器人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hanging="720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超高清摄像头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万元；硬件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总投入金额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同类经验</w:t>
            </w:r>
          </w:p>
        </w:tc>
        <w:tc>
          <w:tcPr>
            <w:tcW w:w="39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股权架构</w:t>
            </w:r>
          </w:p>
        </w:tc>
        <w:tc>
          <w:tcPr>
            <w:tcW w:w="39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企业法人签名并加盖公章：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160" w:hanging="5280" w:hangingChars="22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shd w:val="clear" w:color="auto" w:fill="FFFFFF"/>
          <w:lang w:val="en-US"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88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“先查后装”试点项目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申报方案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一、企业介绍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包括但不限于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以下内容：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企业成立时间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和业务经营范围；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2.企业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股权结构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3.企业近年经营情况（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2025年新成立企业则提供上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的营收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二、场地介绍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仿宋_GB2312" w:cs="Times New Roman"/>
          <w:sz w:val="32"/>
          <w:lang w:eastAsia="zh-CN"/>
        </w:rPr>
      </w:pPr>
      <w:r>
        <w:rPr>
          <w:rFonts w:hint="eastAsia" w:ascii="Calibri" w:hAnsi="Calibri" w:eastAsia="仿宋_GB2312" w:cs="Times New Roman"/>
          <w:sz w:val="32"/>
          <w:lang w:val="en-US" w:eastAsia="zh-CN"/>
        </w:rPr>
        <w:t>包括但不限于</w:t>
      </w:r>
      <w:r>
        <w:rPr>
          <w:rFonts w:hint="default" w:ascii="Calibri" w:hAnsi="Calibri" w:eastAsia="仿宋_GB2312" w:cs="Times New Roman"/>
          <w:sz w:val="32"/>
          <w:lang w:eastAsia="zh-CN"/>
        </w:rPr>
        <w:t>以下内容：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地址、占地面积、建筑面积等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仿宋_GB2312" w:cs="Times New Roman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区位分析（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与</w:t>
      </w:r>
      <w:r>
        <w:rPr>
          <w:rFonts w:hint="default" w:ascii="Calibri" w:hAnsi="Calibri" w:eastAsia="仿宋_GB2312" w:cs="Times New Roman"/>
          <w:sz w:val="32"/>
          <w:lang w:eastAsia="zh-CN"/>
        </w:rPr>
        <w:t>跨境电商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货源地</w:t>
      </w:r>
      <w:r>
        <w:rPr>
          <w:rFonts w:hint="default" w:ascii="Calibri" w:hAnsi="Calibri" w:eastAsia="仿宋_GB2312" w:cs="Times New Roman"/>
          <w:sz w:val="32"/>
          <w:lang w:eastAsia="zh-CN"/>
        </w:rPr>
        <w:t>联动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、海陆空铁口岸接驳，</w:t>
      </w:r>
      <w:r>
        <w:rPr>
          <w:rFonts w:hint="default" w:ascii="Calibri" w:hAnsi="Calibri" w:eastAsia="仿宋_GB2312" w:cs="Times New Roman"/>
          <w:sz w:val="32"/>
          <w:lang w:eastAsia="zh-CN"/>
        </w:rPr>
        <w:t>周边</w:t>
      </w:r>
      <w:r>
        <w:rPr>
          <w:rFonts w:hint="eastAsia" w:ascii="Calibri" w:hAnsi="Calibri" w:eastAsia="仿宋_GB2312" w:cs="Times New Roman"/>
          <w:sz w:val="32"/>
          <w:lang w:val="en-US" w:eastAsia="zh-CN"/>
        </w:rPr>
        <w:t>市政交通等）、产权情况、场地扩展性等内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lang w:eastAsia="zh-CN"/>
        </w:rPr>
        <w:t>实施方案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包括但不限于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以下内容：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lang w:eastAsia="zh-CN"/>
        </w:rPr>
        <w:t>1.任务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（业务量评估、支持阳光化发展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等内容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lang w:eastAsia="zh-CN"/>
        </w:rPr>
        <w:t>2.建设方案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（场地改造、系统架构、硬件配置、货源地、运营模式等内容）</w:t>
      </w:r>
      <w:r>
        <w:rPr>
          <w:rFonts w:hint="default" w:ascii="仿宋_GB2312" w:hAnsi="仿宋_GB2312" w:eastAsia="仿宋_GB2312" w:cs="仿宋_GB2312"/>
          <w:sz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项目成果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（建设标准、行业水平、示范效应等内容）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四、项目重难点分析、应对措施以及合理化建议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lang w:eastAsia="zh-CN"/>
        </w:rPr>
        <w:t>包括但不限于以下内容：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重难点分析。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当前和未来跨境电商货物出口中面临的困难和瓶颈问题；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应对措施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。结合重难点分析阐述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如何发挥“先查后装”试点的作用。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五、同类业绩情况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1.提供自身或关联公司从事跨境仓储物流业务的有关情况；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项目负责人和主要团队成员的履历和同类业绩有关情况。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Calibri" w:hAnsi="Calibri" w:eastAsia="仿宋_GB2312" w:cs="Times New Roman"/>
          <w:sz w:val="32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项目运营承诺书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为做好“先查后装”试点项目申报及候选经营主体运营工作，试点企业及试点场地产权方郑重承诺：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一、试点企业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1.我公司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为申请“先查后装”试点经营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所提交的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相关证明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材料真实有效，若有弄虚作假行为自愿承担由此造成的法律责任，并自愿放弃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“先查后装”试点经营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试点场地的软硬件综合投入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并为后续场地改造、技术设备升级提供充足的资金保障。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3.试点场所运营过程中，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卡口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管理、监管信息传输、场内车流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管控、未放行货物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协助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管理等主责主业不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对外采购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不垄断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货物报关、物流接驳、货物拼箱等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上下游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市场供给。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4.严格做好车辆出入场分流管控，妥善解决噪音邻避问题，不造成居民投诉等问题。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5.在试点场所附近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配备餐饮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休息区等生活区域，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工作人员的日常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6.试点场所应按时按质达到海关验收条件。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二、试点场地产权方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1.试点场地所包含的地块及建筑产权关系清晰无争议。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2.严格履行试点企业与产权方签订的协议内容，不干涉试点企业的经营活动。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试点企业法定代表人：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（签   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试点场地产权方所有股东签字：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eastAsia"/>
          <w:lang w:val="en-US" w:eastAsia="zh-CN"/>
        </w:rPr>
        <w:sectPr>
          <w:pgSz w:w="11906" w:h="16838"/>
          <w:pgMar w:top="1814" w:right="1474" w:bottom="1814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1-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“先查后装”项目试点推荐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58"/>
        <w:gridCol w:w="201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试点场地地址</w:t>
            </w:r>
          </w:p>
        </w:tc>
        <w:tc>
          <w:tcPr>
            <w:tcW w:w="2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占地面积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建筑面积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万元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建设周期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9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年   月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>
      <w:pPr>
        <w:tabs>
          <w:tab w:val="left" w:pos="16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4" w:type="default"/>
      <w:pgSz w:w="11906" w:h="16838"/>
      <w:pgMar w:top="1814" w:right="1474" w:bottom="181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A7FF4"/>
    <w:rsid w:val="210C7AF2"/>
    <w:rsid w:val="37FF66C7"/>
    <w:rsid w:val="3FDF681A"/>
    <w:rsid w:val="5EFC49DB"/>
    <w:rsid w:val="5FD709A5"/>
    <w:rsid w:val="75F71DF6"/>
    <w:rsid w:val="7A9FBA86"/>
    <w:rsid w:val="7DFE72F3"/>
    <w:rsid w:val="97FBF0FF"/>
    <w:rsid w:val="B6F5FA11"/>
    <w:rsid w:val="BFFFE682"/>
    <w:rsid w:val="C2B76ABB"/>
    <w:rsid w:val="DFF3DB78"/>
    <w:rsid w:val="FCFD7170"/>
    <w:rsid w:val="FCFD73C6"/>
    <w:rsid w:val="FE6BEBAD"/>
    <w:rsid w:val="FE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4953</Words>
  <Characters>5146</Characters>
  <Paragraphs>274</Paragraphs>
  <TotalTime>8</TotalTime>
  <ScaleCrop>false</ScaleCrop>
  <LinksUpToDate>false</LinksUpToDate>
  <CharactersWithSpaces>5800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2025-09-14T06:24:00Z</dcterms:created>
  <dc:creator>zhuangziyi</dc:creator>
  <cp:lastModifiedBy>网站运维（陈梓标）</cp:lastModifiedBy>
  <dcterms:modified xsi:type="dcterms:W3CDTF">2025-09-11T08:37:20Z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352B27EB19F955637C26C168274EE81F_43</vt:lpwstr>
  </property>
</Properties>
</file>