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240" w:lineRule="atLeast"/>
        <w:ind w:left="0" w:leftChars="0" w:right="0" w:rightChars="0"/>
        <w:jc w:val="both"/>
        <w:textAlignment w:val="center"/>
        <w:rPr>
          <w:rFonts w:hint="eastAsia" w:ascii="Times New Roman" w:hAnsi="Times New Roman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spacing w:line="560" w:lineRule="exact"/>
        <w:ind w:firstLine="0" w:firstLineChars="0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数字化技能人才培训班课程安排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64" w:type="dxa"/>
          <w:left w:w="128" w:type="dxa"/>
          <w:bottom w:w="64" w:type="dxa"/>
          <w:right w:w="128" w:type="dxa"/>
        </w:tblCellMar>
      </w:tblPr>
      <w:tblGrid>
        <w:gridCol w:w="1036"/>
        <w:gridCol w:w="1243"/>
        <w:gridCol w:w="6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  <w:tblHeader/>
        </w:trPr>
        <w:tc>
          <w:tcPr>
            <w:tcW w:w="6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时间</w:t>
            </w: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66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605" w:type="pct"/>
            <w:vMerge w:val="restart"/>
            <w:shd w:val="clear" w:color="auto" w:fill="auto"/>
            <w:vAlign w:val="center"/>
          </w:tcPr>
          <w:p>
            <w:pPr>
              <w:pStyle w:val="2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第一天</w:t>
            </w: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课程一</w:t>
            </w:r>
          </w:p>
        </w:tc>
        <w:tc>
          <w:tcPr>
            <w:tcW w:w="366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国家及深圳市中小企业数字化转型城市试点政策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</w:trPr>
        <w:tc>
          <w:tcPr>
            <w:tcW w:w="605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课程二</w:t>
            </w:r>
          </w:p>
        </w:tc>
        <w:tc>
          <w:tcPr>
            <w:tcW w:w="366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中小企业数字化转型战略规划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605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课程三</w:t>
            </w:r>
          </w:p>
        </w:tc>
        <w:tc>
          <w:tcPr>
            <w:tcW w:w="366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数字化转型技术应用理论分析（重点围绕研发、生产、供应链环节）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</w:trPr>
        <w:tc>
          <w:tcPr>
            <w:tcW w:w="605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课程四</w:t>
            </w:r>
          </w:p>
        </w:tc>
        <w:tc>
          <w:tcPr>
            <w:tcW w:w="366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数字化转型技术应用理论分析（重点围绕销售、服务、管理环节）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605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2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课程分享</w:t>
            </w:r>
          </w:p>
        </w:tc>
        <w:tc>
          <w:tcPr>
            <w:tcW w:w="366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筑梦湾区，信创未来——科技金融服务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</w:trPr>
        <w:tc>
          <w:tcPr>
            <w:tcW w:w="605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2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66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市级公共服务平台服务流程分享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605" w:type="pct"/>
            <w:vMerge w:val="restart"/>
            <w:shd w:val="clear" w:color="auto" w:fill="auto"/>
            <w:vAlign w:val="center"/>
          </w:tcPr>
          <w:p>
            <w:pPr>
              <w:pStyle w:val="2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第二天</w:t>
            </w: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课程五</w:t>
            </w:r>
          </w:p>
        </w:tc>
        <w:tc>
          <w:tcPr>
            <w:tcW w:w="366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人工智能与制造业数字化转型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</w:trPr>
        <w:tc>
          <w:tcPr>
            <w:tcW w:w="605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课程六</w:t>
            </w:r>
          </w:p>
        </w:tc>
        <w:tc>
          <w:tcPr>
            <w:tcW w:w="366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工业互联网与制造业数字化转型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605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课程七</w:t>
            </w:r>
          </w:p>
        </w:tc>
        <w:tc>
          <w:tcPr>
            <w:tcW w:w="366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中小企业数字化水平评测及案例分享</w:t>
            </w:r>
          </w:p>
        </w:tc>
      </w:tr>
    </w:tbl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240" w:lineRule="atLeast"/>
        <w:ind w:left="0" w:leftChars="0" w:right="0" w:rightChars="0"/>
        <w:jc w:val="right"/>
        <w:textAlignment w:val="center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（具体课程以实际开班为准）</w:t>
      </w: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67B66"/>
    <w:rsid w:val="32467B66"/>
    <w:rsid w:val="33F5788C"/>
    <w:rsid w:val="7C4060C4"/>
    <w:rsid w:val="7E601257"/>
    <w:rsid w:val="DFAD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rFonts w:ascii="Times New Roman" w:hAnsi="Times New Roman" w:eastAsia="仿宋_GB2312"/>
      <w:b/>
      <w:bCs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236</Characters>
  <Lines>0</Lines>
  <Paragraphs>0</Paragraphs>
  <TotalTime>1</TotalTime>
  <ScaleCrop>false</ScaleCrop>
  <LinksUpToDate>false</LinksUpToDate>
  <CharactersWithSpaces>236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2025-09-04T15:58:00Z</dcterms:created>
  <dc:creator>remember </dc:creator>
  <cp:lastModifiedBy>zhaoxin</cp:lastModifiedBy>
  <dcterms:modified xsi:type="dcterms:W3CDTF">2025-09-04T17:35:20Z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7C55482011524BC4AE813CBE6B16DB9A_13</vt:lpwstr>
  </property>
  <property fmtid="{D5CDD505-2E9C-101B-9397-08002B2CF9AE}" pid="4" name="KSOTemplateDocerSaveRecord">
    <vt:lpwstr>eyJoZGlkIjoiMzEwNTM5NzYwMDRjMzkwZTVkZjY2ODkwMGIxNGU0OTUiLCJ1c2VySWQiOiIyMTI4MjY5MzkifQ==</vt:lpwstr>
  </property>
</Properties>
</file>