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2A394">
      <w:pPr>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14:paraId="18B2F8B0">
      <w:pPr>
        <w:spacing w:before="0" w:line="560" w:lineRule="exact"/>
        <w:ind w:right="-130" w:rightChars="-62"/>
        <w:jc w:val="center"/>
        <w:rPr>
          <w:rFonts w:hint="default" w:ascii="Times New Roman" w:hAnsi="Times New Roman" w:eastAsia="黑体" w:cs="Times New Roman"/>
          <w:sz w:val="36"/>
          <w:szCs w:val="36"/>
          <w:vertAlign w:val="baseline"/>
          <w:lang w:val="en-US" w:eastAsia="zh-CN"/>
        </w:rPr>
      </w:pPr>
    </w:p>
    <w:p w14:paraId="3C18BFE4">
      <w:pPr>
        <w:spacing w:before="0" w:line="560" w:lineRule="exact"/>
        <w:ind w:right="-130" w:rightChars="-62"/>
        <w:jc w:val="center"/>
        <w:rPr>
          <w:rFonts w:hint="eastAsia" w:ascii="方正小标宋_GBK" w:hAnsi="方正小标宋_GBK" w:eastAsia="方正小标宋_GBK" w:cs="方正小标宋_GBK"/>
          <w:sz w:val="44"/>
          <w:szCs w:val="44"/>
          <w:vertAlign w:val="baseline"/>
          <w:lang w:val="en-US" w:eastAsia="zh-CN"/>
        </w:rPr>
      </w:pPr>
      <w:r>
        <w:rPr>
          <w:rFonts w:hint="eastAsia" w:ascii="方正小标宋_GBK" w:hAnsi="方正小标宋_GBK" w:eastAsia="方正小标宋_GBK" w:cs="方正小标宋_GBK"/>
          <w:sz w:val="44"/>
          <w:szCs w:val="44"/>
          <w:vertAlign w:val="baseline"/>
          <w:lang w:val="en-US" w:eastAsia="zh-CN"/>
        </w:rPr>
        <w:t>2025年深圳市ESG实践先锋企业典型案例</w:t>
      </w:r>
    </w:p>
    <w:p w14:paraId="53B65AD8">
      <w:pPr>
        <w:spacing w:before="0" w:line="560" w:lineRule="exact"/>
        <w:ind w:right="-130" w:rightChars="-62"/>
        <w:jc w:val="center"/>
        <w:rPr>
          <w:rFonts w:hint="eastAsia" w:ascii="方正小标宋_GBK" w:hAnsi="方正小标宋_GBK" w:eastAsia="方正小标宋_GBK" w:cs="方正小标宋_GBK"/>
          <w:spacing w:val="0"/>
          <w:sz w:val="44"/>
          <w:szCs w:val="44"/>
          <w:lang w:val="en-US" w:eastAsia="zh-CN" w:bidi="zh-TW"/>
        </w:rPr>
      </w:pPr>
      <w:r>
        <w:rPr>
          <w:rFonts w:hint="eastAsia" w:ascii="方正小标宋_GBK" w:hAnsi="方正小标宋_GBK" w:eastAsia="方正小标宋_GBK" w:cs="方正小标宋_GBK"/>
          <w:spacing w:val="0"/>
          <w:sz w:val="44"/>
          <w:szCs w:val="44"/>
          <w:lang w:val="zh-TW" w:eastAsia="zh-TW" w:bidi="zh-TW"/>
        </w:rPr>
        <w:t>编写</w:t>
      </w:r>
      <w:r>
        <w:rPr>
          <w:rFonts w:hint="eastAsia" w:ascii="方正小标宋_GBK" w:hAnsi="方正小标宋_GBK" w:eastAsia="方正小标宋_GBK" w:cs="方正小标宋_GBK"/>
          <w:spacing w:val="0"/>
          <w:sz w:val="44"/>
          <w:szCs w:val="44"/>
          <w:lang w:val="en-US" w:eastAsia="zh-CN" w:bidi="zh-TW"/>
        </w:rPr>
        <w:t>模板</w:t>
      </w:r>
    </w:p>
    <w:p w14:paraId="264A6E89">
      <w:pPr>
        <w:pStyle w:val="6"/>
        <w:numPr>
          <w:ilvl w:val="0"/>
          <w:numId w:val="0"/>
        </w:numPr>
        <w:snapToGrid w:val="0"/>
        <w:ind w:left="0" w:firstLine="0" w:firstLineChars="0"/>
        <w:rPr>
          <w:rFonts w:hint="eastAsia" w:ascii="仿宋" w:hAnsi="仿宋" w:eastAsia="仿宋" w:cs="仿宋"/>
          <w:kern w:val="0"/>
          <w:sz w:val="28"/>
          <w:szCs w:val="28"/>
        </w:rPr>
      </w:pPr>
    </w:p>
    <w:p w14:paraId="17CE874A">
      <w:pPr>
        <w:pStyle w:val="6"/>
        <w:numPr>
          <w:ilvl w:val="0"/>
          <w:numId w:val="0"/>
        </w:numPr>
        <w:snapToGrid w:val="0"/>
        <w:spacing w:line="560" w:lineRule="exact"/>
        <w:ind w:left="0"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要求案例</w:t>
      </w:r>
      <w:r>
        <w:rPr>
          <w:rFonts w:hint="eastAsia" w:ascii="仿宋_GB2312" w:hAnsi="仿宋_GB2312" w:eastAsia="仿宋_GB2312" w:cs="仿宋_GB2312"/>
          <w:kern w:val="0"/>
          <w:sz w:val="28"/>
          <w:szCs w:val="28"/>
          <w:lang w:val="en-US" w:eastAsia="zh-CN"/>
        </w:rPr>
        <w:t>紧扣主题、</w:t>
      </w:r>
      <w:r>
        <w:rPr>
          <w:rFonts w:hint="eastAsia" w:ascii="仿宋_GB2312" w:hAnsi="仿宋_GB2312" w:eastAsia="仿宋_GB2312" w:cs="仿宋_GB2312"/>
          <w:kern w:val="0"/>
          <w:sz w:val="28"/>
          <w:szCs w:val="28"/>
        </w:rPr>
        <w:t>脉络清晰、描述完整，</w:t>
      </w: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000字以内</w:t>
      </w:r>
      <w:r>
        <w:rPr>
          <w:rFonts w:hint="eastAsia" w:ascii="仿宋_GB2312" w:hAnsi="仿宋_GB2312" w:eastAsia="仿宋_GB2312" w:cs="仿宋_GB2312"/>
          <w:kern w:val="0"/>
          <w:sz w:val="28"/>
          <w:szCs w:val="28"/>
          <w:lang w:eastAsia="zh-CN"/>
        </w:rPr>
        <w:t>。）</w:t>
      </w:r>
    </w:p>
    <w:p w14:paraId="17A96B9F">
      <w:pPr>
        <w:numPr>
          <w:ilvl w:val="0"/>
          <w:numId w:val="1"/>
        </w:numPr>
        <w:spacing w:before="0" w:line="560" w:lineRule="exact"/>
        <w:ind w:right="0" w:rightChars="0" w:firstLine="560" w:firstLineChars="200"/>
        <w:jc w:val="left"/>
        <w:rPr>
          <w:rFonts w:hint="eastAsia" w:ascii="黑体" w:hAnsi="黑体" w:eastAsia="黑体" w:cs="黑体"/>
          <w:spacing w:val="0"/>
          <w:sz w:val="28"/>
          <w:szCs w:val="28"/>
          <w:lang w:val="en-US" w:eastAsia="zh-CN" w:bidi="zh-TW"/>
        </w:rPr>
      </w:pPr>
      <w:r>
        <w:rPr>
          <w:rFonts w:hint="eastAsia" w:ascii="黑体" w:hAnsi="黑体" w:eastAsia="黑体" w:cs="黑体"/>
          <w:spacing w:val="0"/>
          <w:sz w:val="28"/>
          <w:szCs w:val="28"/>
          <w:lang w:val="en-US" w:eastAsia="zh-CN" w:bidi="zh-TW"/>
        </w:rPr>
        <w:t>摘要</w:t>
      </w:r>
    </w:p>
    <w:p w14:paraId="0D9F676A">
      <w:pPr>
        <w:pStyle w:val="6"/>
        <w:numPr>
          <w:ilvl w:val="-1"/>
          <w:numId w:val="0"/>
        </w:numPr>
        <w:snapToGrid w:val="0"/>
        <w:spacing w:line="560" w:lineRule="exact"/>
        <w:ind w:left="0" w:leftChars="0"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企业概况</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企业</w:t>
      </w:r>
      <w:r>
        <w:rPr>
          <w:rFonts w:hint="eastAsia" w:ascii="仿宋_GB2312" w:hAnsi="仿宋_GB2312" w:eastAsia="仿宋_GB2312" w:cs="仿宋_GB2312"/>
          <w:kern w:val="0"/>
          <w:sz w:val="28"/>
          <w:szCs w:val="28"/>
        </w:rPr>
        <w:t>ESG</w:t>
      </w:r>
      <w:r>
        <w:rPr>
          <w:rFonts w:hint="eastAsia" w:ascii="仿宋_GB2312" w:hAnsi="仿宋_GB2312" w:eastAsia="仿宋_GB2312" w:cs="仿宋_GB2312"/>
          <w:kern w:val="0"/>
          <w:sz w:val="28"/>
          <w:szCs w:val="28"/>
          <w:lang w:val="en-US" w:eastAsia="zh-CN"/>
        </w:rPr>
        <w:t>实践创新举措及成效，和</w:t>
      </w:r>
      <w:r>
        <w:rPr>
          <w:rFonts w:hint="eastAsia" w:ascii="仿宋_GB2312" w:hAnsi="仿宋_GB2312" w:eastAsia="仿宋_GB2312" w:cs="仿宋_GB2312"/>
          <w:kern w:val="0"/>
          <w:sz w:val="28"/>
          <w:szCs w:val="28"/>
        </w:rPr>
        <w:t>案例概要</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500字以内。</w:t>
      </w:r>
    </w:p>
    <w:p w14:paraId="7C40B1D7">
      <w:pPr>
        <w:numPr>
          <w:ilvl w:val="0"/>
          <w:numId w:val="1"/>
        </w:numPr>
        <w:spacing w:before="0" w:line="560" w:lineRule="exact"/>
        <w:ind w:right="0" w:rightChars="0" w:firstLine="560" w:firstLineChars="200"/>
        <w:jc w:val="left"/>
        <w:rPr>
          <w:rFonts w:hint="eastAsia" w:ascii="黑体" w:hAnsi="黑体" w:eastAsia="黑体" w:cs="黑体"/>
          <w:spacing w:val="0"/>
          <w:sz w:val="28"/>
          <w:szCs w:val="28"/>
          <w:lang w:val="en-US" w:eastAsia="zh-CN" w:bidi="zh-TW"/>
        </w:rPr>
      </w:pPr>
      <w:r>
        <w:rPr>
          <w:rFonts w:hint="eastAsia" w:ascii="黑体" w:hAnsi="黑体" w:eastAsia="黑体" w:cs="黑体"/>
          <w:spacing w:val="0"/>
          <w:sz w:val="28"/>
          <w:szCs w:val="28"/>
          <w:lang w:val="en-US" w:eastAsia="zh-CN" w:bidi="zh-TW"/>
        </w:rPr>
        <w:t>企业可持续治理架构</w:t>
      </w:r>
    </w:p>
    <w:p w14:paraId="01D51F3A">
      <w:pPr>
        <w:numPr>
          <w:ilvl w:val="-1"/>
          <w:numId w:val="0"/>
        </w:numPr>
        <w:spacing w:before="0" w:line="560" w:lineRule="exact"/>
        <w:ind w:right="0" w:rightChars="0" w:firstLine="556" w:firstLineChars="200"/>
        <w:jc w:val="left"/>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企业应建立健全公司治理结构和内部制度，确保公司相关内部机构具备足够的专业能力并有效履行</w:t>
      </w:r>
      <w:r>
        <w:rPr>
          <w:rFonts w:hint="eastAsia" w:ascii="仿宋_GB2312" w:hAnsi="仿宋_GB2312" w:eastAsia="仿宋_GB2312" w:cs="仿宋_GB2312"/>
          <w:b/>
          <w:bCs/>
          <w:spacing w:val="-1"/>
          <w:sz w:val="28"/>
          <w:szCs w:val="28"/>
          <w:lang w:val="en-US" w:eastAsia="zh-CN"/>
        </w:rPr>
        <w:t>可持续发展相关影响、风险和机遇的识别、评估、管理、监督</w:t>
      </w:r>
      <w:r>
        <w:rPr>
          <w:rFonts w:hint="eastAsia" w:ascii="仿宋_GB2312" w:hAnsi="仿宋_GB2312" w:eastAsia="仿宋_GB2312" w:cs="仿宋_GB2312"/>
          <w:spacing w:val="-1"/>
          <w:sz w:val="28"/>
          <w:szCs w:val="28"/>
          <w:lang w:val="en-US" w:eastAsia="zh-CN"/>
        </w:rPr>
        <w:t>等职能。可描述公司可持续发展治理结构，包括人员构成（如董事会、专门委员会等）、职权范围、工作任务及目标、专业技能和能力等，以及相应设置的内部控制制度、监督程序、监督措施及考核情况等。</w:t>
      </w:r>
    </w:p>
    <w:p w14:paraId="42A4B384">
      <w:pPr>
        <w:numPr>
          <w:ilvl w:val="0"/>
          <w:numId w:val="1"/>
        </w:numPr>
        <w:spacing w:before="0" w:line="560" w:lineRule="exact"/>
        <w:ind w:right="0" w:rightChars="0" w:firstLine="560" w:firstLineChars="200"/>
        <w:jc w:val="left"/>
        <w:rPr>
          <w:rFonts w:hint="eastAsia" w:ascii="黑体" w:hAnsi="黑体" w:eastAsia="黑体" w:cs="黑体"/>
          <w:spacing w:val="0"/>
          <w:sz w:val="28"/>
          <w:szCs w:val="28"/>
          <w:lang w:val="en-US" w:eastAsia="zh-CN" w:bidi="zh-TW"/>
        </w:rPr>
      </w:pPr>
      <w:r>
        <w:rPr>
          <w:rFonts w:hint="eastAsia" w:ascii="黑体" w:hAnsi="黑体" w:eastAsia="黑体" w:cs="黑体"/>
          <w:spacing w:val="0"/>
          <w:sz w:val="28"/>
          <w:szCs w:val="28"/>
          <w:lang w:val="en-US" w:eastAsia="zh-CN" w:bidi="zh-TW"/>
        </w:rPr>
        <w:t>案例背景</w:t>
      </w:r>
    </w:p>
    <w:p w14:paraId="1C8F30DE">
      <w:pPr>
        <w:numPr>
          <w:ilvl w:val="-1"/>
          <w:numId w:val="0"/>
        </w:numPr>
        <w:spacing w:before="0" w:line="560" w:lineRule="exact"/>
        <w:ind w:right="0" w:rightChars="0" w:firstLine="556" w:firstLineChars="200"/>
        <w:jc w:val="left"/>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1"/>
          <w:sz w:val="28"/>
          <w:szCs w:val="28"/>
        </w:rPr>
        <w:t>可从低碳可持续</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生态和资源可持续</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产品和创新可持续</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供应链可持续、社会责任可持续</w:t>
      </w:r>
      <w:r>
        <w:rPr>
          <w:rFonts w:hint="eastAsia" w:ascii="仿宋_GB2312" w:hAnsi="仿宋_GB2312" w:eastAsia="仿宋_GB2312" w:cs="仿宋_GB2312"/>
          <w:spacing w:val="11"/>
          <w:sz w:val="28"/>
          <w:szCs w:val="28"/>
        </w:rPr>
        <w:t>等方面描</w:t>
      </w:r>
      <w:r>
        <w:rPr>
          <w:rFonts w:hint="eastAsia" w:ascii="仿宋_GB2312" w:hAnsi="仿宋_GB2312" w:eastAsia="仿宋_GB2312" w:cs="仿宋_GB2312"/>
          <w:spacing w:val="-4"/>
          <w:sz w:val="28"/>
          <w:szCs w:val="28"/>
        </w:rPr>
        <w:t>述</w:t>
      </w:r>
      <w:r>
        <w:rPr>
          <w:rFonts w:hint="eastAsia" w:ascii="仿宋_GB2312" w:hAnsi="仿宋_GB2312" w:eastAsia="仿宋_GB2312" w:cs="仿宋_GB2312"/>
          <w:spacing w:val="-4"/>
          <w:sz w:val="28"/>
          <w:szCs w:val="28"/>
          <w:lang w:val="en-US" w:eastAsia="zh-CN"/>
        </w:rPr>
        <w:t>案例发生的</w:t>
      </w:r>
      <w:r>
        <w:rPr>
          <w:rFonts w:hint="eastAsia" w:ascii="仿宋_GB2312" w:hAnsi="仿宋_GB2312" w:eastAsia="仿宋_GB2312" w:cs="仿宋_GB2312"/>
          <w:b/>
          <w:bCs/>
          <w:spacing w:val="-4"/>
          <w:sz w:val="28"/>
          <w:szCs w:val="28"/>
          <w:lang w:val="en-US" w:eastAsia="zh-CN"/>
        </w:rPr>
        <w:t>背景</w:t>
      </w:r>
      <w:r>
        <w:rPr>
          <w:rFonts w:hint="eastAsia" w:ascii="仿宋_GB2312" w:hAnsi="仿宋_GB2312" w:eastAsia="仿宋_GB2312" w:cs="仿宋_GB2312"/>
          <w:spacing w:val="-4"/>
          <w:sz w:val="28"/>
          <w:szCs w:val="28"/>
          <w:lang w:val="en-US" w:eastAsia="zh-CN"/>
        </w:rPr>
        <w:t>和</w:t>
      </w:r>
      <w:r>
        <w:rPr>
          <w:rFonts w:hint="eastAsia" w:ascii="仿宋_GB2312" w:hAnsi="仿宋_GB2312" w:eastAsia="仿宋_GB2312" w:cs="仿宋_GB2312"/>
          <w:b/>
          <w:bCs/>
          <w:spacing w:val="-4"/>
          <w:sz w:val="28"/>
          <w:szCs w:val="28"/>
          <w:lang w:val="en-US" w:eastAsia="zh-CN"/>
        </w:rPr>
        <w:t>要解决的问题</w:t>
      </w:r>
      <w:r>
        <w:rPr>
          <w:rFonts w:hint="eastAsia" w:ascii="仿宋_GB2312" w:hAnsi="仿宋_GB2312" w:eastAsia="仿宋_GB2312" w:cs="仿宋_GB2312"/>
          <w:spacing w:val="-4"/>
          <w:sz w:val="28"/>
          <w:szCs w:val="28"/>
        </w:rPr>
        <w:t>。</w:t>
      </w:r>
    </w:p>
    <w:p w14:paraId="165EF9AD">
      <w:pPr>
        <w:numPr>
          <w:ilvl w:val="0"/>
          <w:numId w:val="1"/>
        </w:numPr>
        <w:spacing w:before="0" w:line="560" w:lineRule="exact"/>
        <w:ind w:right="0" w:rightChars="0" w:firstLine="544" w:firstLineChars="200"/>
        <w:jc w:val="left"/>
        <w:rPr>
          <w:rFonts w:hint="eastAsia" w:ascii="黑体" w:hAnsi="黑体" w:eastAsia="黑体" w:cs="黑体"/>
          <w:spacing w:val="-4"/>
          <w:sz w:val="28"/>
          <w:szCs w:val="28"/>
          <w:lang w:val="en-US" w:eastAsia="zh-CN"/>
        </w:rPr>
      </w:pPr>
      <w:r>
        <w:rPr>
          <w:rFonts w:hint="eastAsia" w:ascii="黑体" w:hAnsi="黑体" w:eastAsia="黑体" w:cs="黑体"/>
          <w:spacing w:val="-4"/>
          <w:sz w:val="28"/>
          <w:szCs w:val="28"/>
          <w:lang w:val="en-US" w:eastAsia="zh-CN"/>
        </w:rPr>
        <w:t>实践表现</w:t>
      </w:r>
    </w:p>
    <w:p w14:paraId="21CB2045">
      <w:pPr>
        <w:numPr>
          <w:ilvl w:val="-1"/>
          <w:numId w:val="0"/>
        </w:numPr>
        <w:spacing w:before="0" w:line="560" w:lineRule="exact"/>
        <w:ind w:right="0" w:rightChars="0" w:firstLine="552" w:firstLineChars="200"/>
        <w:jc w:val="left"/>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kern w:val="2"/>
          <w:sz w:val="28"/>
          <w:szCs w:val="28"/>
          <w:lang w:val="en-US" w:eastAsia="zh-CN" w:bidi="zh-TW"/>
        </w:rPr>
        <w:t>围绕企业所申报案例主题领域，凝练案例的</w:t>
      </w:r>
      <w:r>
        <w:rPr>
          <w:rFonts w:hint="eastAsia" w:ascii="仿宋_GB2312" w:hAnsi="仿宋_GB2312" w:eastAsia="仿宋_GB2312" w:cs="仿宋_GB2312"/>
          <w:b/>
          <w:bCs/>
          <w:kern w:val="0"/>
          <w:sz w:val="28"/>
          <w:szCs w:val="28"/>
        </w:rPr>
        <w:t>创新性、</w:t>
      </w:r>
      <w:r>
        <w:rPr>
          <w:rFonts w:hint="eastAsia" w:ascii="仿宋_GB2312" w:hAnsi="仿宋_GB2312" w:eastAsia="仿宋_GB2312" w:cs="仿宋_GB2312"/>
          <w:b/>
          <w:bCs/>
          <w:kern w:val="0"/>
          <w:sz w:val="28"/>
          <w:szCs w:val="28"/>
          <w:lang w:val="en-US" w:eastAsia="zh-CN"/>
        </w:rPr>
        <w:t>先进性、示范</w:t>
      </w:r>
      <w:r>
        <w:rPr>
          <w:rFonts w:hint="eastAsia" w:ascii="仿宋_GB2312" w:hAnsi="仿宋_GB2312" w:eastAsia="仿宋_GB2312" w:cs="仿宋_GB2312"/>
          <w:b/>
          <w:bCs/>
          <w:kern w:val="0"/>
          <w:sz w:val="28"/>
          <w:szCs w:val="28"/>
        </w:rPr>
        <w:t>性</w:t>
      </w:r>
      <w:r>
        <w:rPr>
          <w:rFonts w:hint="eastAsia" w:ascii="仿宋_GB2312" w:hAnsi="仿宋_GB2312" w:eastAsia="仿宋_GB2312" w:cs="仿宋_GB2312"/>
          <w:kern w:val="0"/>
          <w:sz w:val="28"/>
          <w:szCs w:val="28"/>
        </w:rPr>
        <w:t>等</w:t>
      </w:r>
      <w:r>
        <w:rPr>
          <w:rFonts w:hint="eastAsia" w:ascii="仿宋_GB2312" w:hAnsi="仿宋_GB2312" w:eastAsia="仿宋_GB2312" w:cs="仿宋_GB2312"/>
          <w:kern w:val="0"/>
          <w:sz w:val="28"/>
          <w:szCs w:val="28"/>
          <w:lang w:val="en-US" w:eastAsia="zh-CN"/>
        </w:rPr>
        <w:t>亮点</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结合</w:t>
      </w:r>
      <w:r>
        <w:rPr>
          <w:rFonts w:hint="eastAsia" w:ascii="仿宋_GB2312" w:hAnsi="仿宋_GB2312" w:eastAsia="仿宋_GB2312" w:cs="仿宋_GB2312"/>
          <w:b/>
          <w:bCs/>
          <w:kern w:val="0"/>
          <w:sz w:val="28"/>
          <w:szCs w:val="28"/>
          <w:lang w:val="en-US" w:eastAsia="zh-CN"/>
        </w:rPr>
        <w:t>定性</w:t>
      </w:r>
      <w:r>
        <w:rPr>
          <w:rFonts w:hint="eastAsia" w:ascii="仿宋_GB2312" w:hAnsi="仿宋_GB2312" w:eastAsia="仿宋_GB2312" w:cs="仿宋_GB2312"/>
          <w:kern w:val="0"/>
          <w:sz w:val="28"/>
          <w:szCs w:val="28"/>
          <w:lang w:val="en-US" w:eastAsia="zh-CN"/>
        </w:rPr>
        <w:t>和</w:t>
      </w:r>
      <w:r>
        <w:rPr>
          <w:rFonts w:hint="eastAsia" w:ascii="仿宋_GB2312" w:hAnsi="仿宋_GB2312" w:eastAsia="仿宋_GB2312" w:cs="仿宋_GB2312"/>
          <w:b/>
          <w:bCs/>
          <w:kern w:val="0"/>
          <w:sz w:val="28"/>
          <w:szCs w:val="28"/>
          <w:lang w:val="en-US" w:eastAsia="zh-CN"/>
        </w:rPr>
        <w:t>定量</w:t>
      </w:r>
      <w:r>
        <w:rPr>
          <w:rFonts w:hint="eastAsia" w:ascii="仿宋_GB2312" w:hAnsi="仿宋_GB2312" w:eastAsia="仿宋_GB2312" w:cs="仿宋_GB2312"/>
          <w:kern w:val="0"/>
          <w:sz w:val="28"/>
          <w:szCs w:val="28"/>
          <w:lang w:val="en-US" w:eastAsia="zh-CN"/>
        </w:rPr>
        <w:t>信息，具体</w:t>
      </w:r>
      <w:r>
        <w:rPr>
          <w:rFonts w:hint="eastAsia" w:ascii="仿宋_GB2312" w:hAnsi="仿宋_GB2312" w:eastAsia="仿宋_GB2312" w:cs="仿宋_GB2312"/>
          <w:spacing w:val="-2"/>
          <w:sz w:val="28"/>
          <w:szCs w:val="28"/>
        </w:rPr>
        <w:t>阐述企业</w:t>
      </w:r>
      <w:r>
        <w:rPr>
          <w:rFonts w:hint="eastAsia" w:ascii="仿宋_GB2312" w:hAnsi="仿宋_GB2312" w:eastAsia="仿宋_GB2312" w:cs="仿宋_GB2312"/>
          <w:spacing w:val="-2"/>
          <w:sz w:val="28"/>
          <w:szCs w:val="28"/>
          <w:lang w:val="en-US" w:eastAsia="zh-CN"/>
        </w:rPr>
        <w:t>在下述方面重点指标上的实践表现：</w:t>
      </w:r>
    </w:p>
    <w:p w14:paraId="5B5DB503">
      <w:pPr>
        <w:numPr>
          <w:ilvl w:val="-1"/>
          <w:numId w:val="0"/>
        </w:numPr>
        <w:spacing w:before="0" w:line="560" w:lineRule="exact"/>
        <w:ind w:right="0" w:rightChars="0" w:firstLine="552" w:firstLineChars="200"/>
        <w:jc w:val="left"/>
        <w:rPr>
          <w:rFonts w:hint="eastAsia" w:ascii="仿宋_GB2312" w:hAnsi="仿宋_GB2312" w:eastAsia="仿宋_GB2312" w:cs="仿宋_GB2312"/>
          <w:b w:val="0"/>
          <w:bCs w:val="0"/>
          <w:spacing w:val="-2"/>
          <w:sz w:val="28"/>
          <w:szCs w:val="28"/>
          <w:lang w:val="en-US" w:eastAsia="zh-CN" w:bidi="zh-TW"/>
        </w:rPr>
      </w:pPr>
      <w:r>
        <w:rPr>
          <w:rFonts w:hint="eastAsia" w:ascii="仿宋_GB2312" w:hAnsi="仿宋_GB2312" w:eastAsia="仿宋_GB2312" w:cs="仿宋_GB2312"/>
          <w:b w:val="0"/>
          <w:bCs w:val="0"/>
          <w:spacing w:val="-2"/>
          <w:sz w:val="28"/>
          <w:szCs w:val="28"/>
          <w:lang w:val="en-US" w:eastAsia="zh-CN" w:bidi="zh-TW"/>
        </w:rPr>
        <w:t>减排目标设定、碳足迹管理、减排举措、绿色产品、绿色建筑/绿色工厂/绿色园区建设等</w:t>
      </w:r>
      <w:r>
        <w:rPr>
          <w:rFonts w:hint="eastAsia" w:ascii="仿宋_GB2312" w:hAnsi="仿宋_GB2312" w:eastAsia="仿宋_GB2312" w:cs="仿宋_GB2312"/>
          <w:b/>
          <w:bCs/>
          <w:spacing w:val="-2"/>
          <w:sz w:val="28"/>
          <w:szCs w:val="28"/>
          <w:lang w:val="en-US" w:eastAsia="zh-CN" w:bidi="zh-TW"/>
        </w:rPr>
        <w:t>低碳可持续</w:t>
      </w:r>
      <w:r>
        <w:rPr>
          <w:rFonts w:hint="eastAsia" w:ascii="仿宋_GB2312" w:hAnsi="仿宋_GB2312" w:eastAsia="仿宋_GB2312" w:cs="仿宋_GB2312"/>
          <w:b w:val="0"/>
          <w:bCs w:val="0"/>
          <w:spacing w:val="-2"/>
          <w:sz w:val="28"/>
          <w:szCs w:val="28"/>
          <w:lang w:val="en-US" w:eastAsia="zh-CN" w:bidi="zh-TW"/>
        </w:rPr>
        <w:t>方面；</w:t>
      </w:r>
    </w:p>
    <w:p w14:paraId="05D88DB1">
      <w:pPr>
        <w:numPr>
          <w:ilvl w:val="-1"/>
          <w:numId w:val="0"/>
        </w:numPr>
        <w:spacing w:before="0" w:line="560" w:lineRule="exact"/>
        <w:ind w:right="0" w:rightChars="0" w:firstLine="552" w:firstLineChars="200"/>
        <w:jc w:val="left"/>
        <w:rPr>
          <w:rFonts w:hint="eastAsia" w:ascii="仿宋_GB2312" w:hAnsi="仿宋_GB2312" w:eastAsia="仿宋_GB2312" w:cs="仿宋_GB2312"/>
          <w:b w:val="0"/>
          <w:bCs w:val="0"/>
          <w:spacing w:val="-2"/>
          <w:sz w:val="28"/>
          <w:szCs w:val="28"/>
          <w:lang w:val="en-US" w:eastAsia="zh-CN" w:bidi="zh-TW"/>
        </w:rPr>
      </w:pPr>
      <w:r>
        <w:rPr>
          <w:rFonts w:hint="eastAsia" w:ascii="仿宋_GB2312" w:hAnsi="仿宋_GB2312" w:eastAsia="仿宋_GB2312" w:cs="仿宋_GB2312"/>
          <w:b w:val="0"/>
          <w:bCs w:val="0"/>
          <w:spacing w:val="-2"/>
          <w:sz w:val="28"/>
          <w:szCs w:val="28"/>
          <w:lang w:val="en-US" w:eastAsia="zh-CN" w:bidi="zh-TW"/>
        </w:rPr>
        <w:t>能源节约、水资源节约、资源循环利用、废弃物处理、环保原材料使用、生物多样性保护、环境管理体系建设、知名环保倡议组织参与等</w:t>
      </w:r>
      <w:r>
        <w:rPr>
          <w:rFonts w:hint="eastAsia" w:ascii="仿宋_GB2312" w:hAnsi="仿宋_GB2312" w:eastAsia="仿宋_GB2312" w:cs="仿宋_GB2312"/>
          <w:b/>
          <w:bCs/>
          <w:spacing w:val="-2"/>
          <w:sz w:val="28"/>
          <w:szCs w:val="28"/>
          <w:lang w:val="en-US" w:eastAsia="zh-CN" w:bidi="zh-TW"/>
        </w:rPr>
        <w:t>生态和资源</w:t>
      </w:r>
      <w:r>
        <w:rPr>
          <w:rFonts w:hint="eastAsia" w:ascii="仿宋_GB2312" w:hAnsi="仿宋_GB2312" w:eastAsia="仿宋_GB2312" w:cs="仿宋_GB2312"/>
          <w:b w:val="0"/>
          <w:bCs w:val="0"/>
          <w:spacing w:val="-2"/>
          <w:sz w:val="28"/>
          <w:szCs w:val="28"/>
          <w:lang w:val="en-US" w:eastAsia="zh-CN" w:bidi="zh-TW"/>
        </w:rPr>
        <w:t>可持续方面；</w:t>
      </w:r>
    </w:p>
    <w:p w14:paraId="4513D697">
      <w:pPr>
        <w:numPr>
          <w:ilvl w:val="-1"/>
          <w:numId w:val="0"/>
        </w:numPr>
        <w:spacing w:before="0" w:line="560" w:lineRule="exact"/>
        <w:ind w:right="0" w:rightChars="0" w:firstLine="552" w:firstLineChars="200"/>
        <w:jc w:val="left"/>
        <w:rPr>
          <w:rFonts w:hint="eastAsia" w:ascii="仿宋_GB2312" w:hAnsi="仿宋_GB2312" w:eastAsia="仿宋_GB2312" w:cs="仿宋_GB2312"/>
          <w:spacing w:val="-2"/>
          <w:kern w:val="2"/>
          <w:sz w:val="28"/>
          <w:szCs w:val="28"/>
          <w:lang w:val="en-US" w:eastAsia="zh-CN" w:bidi="zh-TW"/>
        </w:rPr>
      </w:pPr>
      <w:r>
        <w:rPr>
          <w:rFonts w:hint="eastAsia" w:ascii="仿宋_GB2312" w:hAnsi="仿宋_GB2312" w:eastAsia="仿宋_GB2312" w:cs="仿宋_GB2312"/>
          <w:b w:val="0"/>
          <w:bCs w:val="0"/>
          <w:spacing w:val="-2"/>
          <w:sz w:val="28"/>
          <w:szCs w:val="28"/>
          <w:lang w:val="en-US" w:eastAsia="zh-CN" w:bidi="zh-TW"/>
        </w:rPr>
        <w:t>研发投入、专利授权、参编标准情况、产品质量管理、客户服务与权益、</w:t>
      </w:r>
      <w:r>
        <w:rPr>
          <w:rFonts w:hint="eastAsia" w:ascii="仿宋_GB2312" w:hAnsi="仿宋_GB2312" w:eastAsia="仿宋_GB2312" w:cs="仿宋_GB2312"/>
          <w:b w:val="0"/>
          <w:bCs w:val="0"/>
          <w:spacing w:val="-2"/>
          <w:kern w:val="2"/>
          <w:sz w:val="28"/>
          <w:szCs w:val="28"/>
          <w:lang w:val="en-US" w:eastAsia="zh-CN" w:bidi="zh-TW"/>
        </w:rPr>
        <w:t>数据安全与隐私保护、新产品营业收入占比</w:t>
      </w:r>
      <w:r>
        <w:rPr>
          <w:rFonts w:hint="eastAsia" w:ascii="仿宋_GB2312" w:hAnsi="仿宋_GB2312" w:eastAsia="仿宋_GB2312" w:cs="仿宋_GB2312"/>
          <w:spacing w:val="-2"/>
          <w:kern w:val="2"/>
          <w:sz w:val="28"/>
          <w:szCs w:val="28"/>
          <w:lang w:val="en-US" w:eastAsia="zh-CN" w:bidi="zh-TW"/>
        </w:rPr>
        <w:t>等</w:t>
      </w:r>
      <w:r>
        <w:rPr>
          <w:rFonts w:hint="eastAsia" w:ascii="仿宋_GB2312" w:hAnsi="仿宋_GB2312" w:eastAsia="仿宋_GB2312" w:cs="仿宋_GB2312"/>
          <w:b/>
          <w:bCs/>
          <w:spacing w:val="-2"/>
          <w:kern w:val="2"/>
          <w:sz w:val="28"/>
          <w:szCs w:val="28"/>
          <w:lang w:val="en-US" w:eastAsia="zh-CN" w:bidi="zh-TW"/>
        </w:rPr>
        <w:t>产品和创新</w:t>
      </w:r>
      <w:r>
        <w:rPr>
          <w:rFonts w:hint="eastAsia" w:ascii="仿宋_GB2312" w:hAnsi="仿宋_GB2312" w:eastAsia="仿宋_GB2312" w:cs="仿宋_GB2312"/>
          <w:spacing w:val="-2"/>
          <w:kern w:val="2"/>
          <w:sz w:val="28"/>
          <w:szCs w:val="28"/>
          <w:lang w:val="en-US" w:eastAsia="zh-CN" w:bidi="zh-TW"/>
        </w:rPr>
        <w:t>可持续方面；</w:t>
      </w:r>
    </w:p>
    <w:p w14:paraId="50502770">
      <w:pPr>
        <w:numPr>
          <w:ilvl w:val="-1"/>
          <w:numId w:val="0"/>
        </w:numPr>
        <w:spacing w:before="0" w:line="560" w:lineRule="exact"/>
        <w:ind w:right="0" w:rightChars="0" w:firstLine="552" w:firstLineChars="200"/>
        <w:jc w:val="left"/>
        <w:rPr>
          <w:rFonts w:hint="eastAsia" w:ascii="仿宋_GB2312" w:hAnsi="仿宋_GB2312" w:eastAsia="仿宋_GB2312" w:cs="仿宋_GB2312"/>
          <w:spacing w:val="-2"/>
          <w:kern w:val="2"/>
          <w:sz w:val="28"/>
          <w:szCs w:val="28"/>
          <w:lang w:val="en-US" w:eastAsia="zh-CN" w:bidi="zh-TW"/>
        </w:rPr>
      </w:pPr>
      <w:r>
        <w:rPr>
          <w:rFonts w:hint="eastAsia" w:ascii="仿宋_GB2312" w:hAnsi="仿宋_GB2312" w:eastAsia="仿宋_GB2312" w:cs="仿宋_GB2312"/>
          <w:spacing w:val="-2"/>
          <w:kern w:val="2"/>
          <w:sz w:val="28"/>
          <w:szCs w:val="28"/>
          <w:lang w:val="en-US" w:eastAsia="zh-CN" w:bidi="zh-TW"/>
        </w:rPr>
        <w:t>绿色采购、绿色物流、产品和包装回收、供应商管理、供应链风险管控等</w:t>
      </w:r>
      <w:r>
        <w:rPr>
          <w:rFonts w:hint="eastAsia" w:ascii="仿宋_GB2312" w:hAnsi="仿宋_GB2312" w:eastAsia="仿宋_GB2312" w:cs="仿宋_GB2312"/>
          <w:b/>
          <w:bCs/>
          <w:spacing w:val="-2"/>
          <w:kern w:val="2"/>
          <w:sz w:val="28"/>
          <w:szCs w:val="28"/>
          <w:lang w:val="en-US" w:eastAsia="zh-CN" w:bidi="zh-TW"/>
        </w:rPr>
        <w:t>供应链</w:t>
      </w:r>
      <w:r>
        <w:rPr>
          <w:rFonts w:hint="eastAsia" w:ascii="仿宋_GB2312" w:hAnsi="仿宋_GB2312" w:eastAsia="仿宋_GB2312" w:cs="仿宋_GB2312"/>
          <w:spacing w:val="-2"/>
          <w:kern w:val="2"/>
          <w:sz w:val="28"/>
          <w:szCs w:val="28"/>
          <w:lang w:val="en-US" w:eastAsia="zh-CN" w:bidi="zh-TW"/>
        </w:rPr>
        <w:t>可持续方面；</w:t>
      </w:r>
    </w:p>
    <w:p w14:paraId="43913FA6">
      <w:pPr>
        <w:numPr>
          <w:ilvl w:val="-1"/>
          <w:numId w:val="0"/>
        </w:numPr>
        <w:spacing w:before="0" w:line="560" w:lineRule="exact"/>
        <w:ind w:right="0" w:rightChars="0" w:firstLine="552" w:firstLineChars="200"/>
        <w:jc w:val="left"/>
        <w:rPr>
          <w:rFonts w:hint="eastAsia" w:ascii="仿宋_GB2312" w:hAnsi="仿宋_GB2312" w:eastAsia="仿宋_GB2312" w:cs="仿宋_GB2312"/>
          <w:spacing w:val="-2"/>
          <w:kern w:val="2"/>
          <w:sz w:val="28"/>
          <w:szCs w:val="28"/>
          <w:lang w:val="en-US" w:eastAsia="zh-CN" w:bidi="zh-TW"/>
        </w:rPr>
      </w:pPr>
      <w:r>
        <w:rPr>
          <w:rFonts w:hint="eastAsia" w:ascii="仿宋_GB2312" w:hAnsi="仿宋_GB2312" w:eastAsia="仿宋_GB2312" w:cs="仿宋_GB2312"/>
          <w:spacing w:val="-2"/>
          <w:sz w:val="28"/>
          <w:szCs w:val="28"/>
        </w:rPr>
        <w:t>乡村振兴、教育普惠、弱势帮扶、赈灾救助、</w:t>
      </w:r>
      <w:r>
        <w:rPr>
          <w:rFonts w:hint="eastAsia" w:ascii="仿宋_GB2312" w:hAnsi="仿宋_GB2312" w:eastAsia="仿宋_GB2312" w:cs="仿宋_GB2312"/>
          <w:spacing w:val="-2"/>
          <w:sz w:val="28"/>
          <w:szCs w:val="28"/>
          <w:lang w:val="en-US" w:eastAsia="zh-CN"/>
        </w:rPr>
        <w:t>公益慈善、员工发展、员工管理等</w:t>
      </w:r>
      <w:r>
        <w:rPr>
          <w:rFonts w:hint="eastAsia" w:ascii="仿宋_GB2312" w:hAnsi="仿宋_GB2312" w:eastAsia="仿宋_GB2312" w:cs="仿宋_GB2312"/>
          <w:b/>
          <w:bCs/>
          <w:spacing w:val="-2"/>
          <w:sz w:val="28"/>
          <w:szCs w:val="28"/>
          <w:lang w:val="en-US" w:eastAsia="zh-CN"/>
        </w:rPr>
        <w:t>社会责任</w:t>
      </w:r>
      <w:r>
        <w:rPr>
          <w:rFonts w:hint="eastAsia" w:ascii="仿宋_GB2312" w:hAnsi="仿宋_GB2312" w:eastAsia="仿宋_GB2312" w:cs="仿宋_GB2312"/>
          <w:spacing w:val="-2"/>
          <w:sz w:val="28"/>
          <w:szCs w:val="28"/>
          <w:lang w:val="en-US" w:eastAsia="zh-CN"/>
        </w:rPr>
        <w:t>可持续方面。</w:t>
      </w:r>
    </w:p>
    <w:p w14:paraId="1D475471">
      <w:pPr>
        <w:numPr>
          <w:ilvl w:val="0"/>
          <w:numId w:val="1"/>
        </w:numPr>
        <w:spacing w:before="0" w:line="560" w:lineRule="exact"/>
        <w:ind w:right="0" w:rightChars="0" w:firstLine="556" w:firstLineChars="200"/>
        <w:jc w:val="left"/>
        <w:rPr>
          <w:rFonts w:hint="eastAsia" w:ascii="黑体" w:hAnsi="黑体" w:eastAsia="黑体" w:cs="黑体"/>
          <w:spacing w:val="-1"/>
          <w:sz w:val="28"/>
          <w:szCs w:val="28"/>
          <w:lang w:val="en-US" w:eastAsia="zh-CN"/>
        </w:rPr>
      </w:pPr>
      <w:r>
        <w:rPr>
          <w:rFonts w:hint="eastAsia" w:ascii="黑体" w:hAnsi="黑体" w:eastAsia="黑体" w:cs="黑体"/>
          <w:spacing w:val="-1"/>
          <w:sz w:val="28"/>
          <w:szCs w:val="28"/>
          <w:lang w:val="en-US" w:eastAsia="zh-CN"/>
        </w:rPr>
        <w:t>展望</w:t>
      </w:r>
    </w:p>
    <w:p w14:paraId="4649BBA8">
      <w:pPr>
        <w:numPr>
          <w:ilvl w:val="0"/>
          <w:numId w:val="0"/>
        </w:numPr>
        <w:spacing w:line="560" w:lineRule="exact"/>
        <w:ind w:firstLine="552" w:firstLineChars="200"/>
        <w:jc w:val="left"/>
        <w:rPr>
          <w:rFonts w:hint="eastAsia" w:ascii="仿宋_GB2312" w:hAnsi="仿宋_GB2312" w:eastAsia="仿宋_GB2312" w:cs="仿宋_GB2312"/>
          <w:spacing w:val="-2"/>
          <w:sz w:val="28"/>
          <w:szCs w:val="28"/>
          <w:lang w:eastAsia="zh-CN"/>
        </w:rPr>
      </w:pPr>
      <w:r>
        <w:rPr>
          <w:rFonts w:hint="eastAsia" w:ascii="仿宋_GB2312" w:hAnsi="仿宋_GB2312" w:eastAsia="仿宋_GB2312" w:cs="仿宋_GB2312"/>
          <w:spacing w:val="-2"/>
          <w:sz w:val="28"/>
          <w:szCs w:val="28"/>
        </w:rPr>
        <w:t>总结</w:t>
      </w:r>
      <w:r>
        <w:rPr>
          <w:rFonts w:hint="eastAsia" w:ascii="仿宋_GB2312" w:hAnsi="仿宋_GB2312" w:eastAsia="仿宋_GB2312" w:cs="仿宋_GB2312"/>
          <w:b/>
          <w:bCs/>
          <w:spacing w:val="-2"/>
          <w:sz w:val="28"/>
          <w:szCs w:val="28"/>
        </w:rPr>
        <w:t>项目经验</w:t>
      </w:r>
      <w:r>
        <w:rPr>
          <w:rFonts w:hint="eastAsia" w:ascii="仿宋_GB2312" w:hAnsi="仿宋_GB2312" w:eastAsia="仿宋_GB2312" w:cs="仿宋_GB2312"/>
          <w:spacing w:val="-2"/>
          <w:sz w:val="28"/>
          <w:szCs w:val="28"/>
        </w:rPr>
        <w:t>，阐述未来计划</w:t>
      </w:r>
      <w:r>
        <w:rPr>
          <w:rFonts w:hint="eastAsia" w:ascii="仿宋_GB2312" w:hAnsi="仿宋_GB2312" w:eastAsia="仿宋_GB2312" w:cs="仿宋_GB2312"/>
          <w:spacing w:val="-2"/>
          <w:sz w:val="28"/>
          <w:szCs w:val="28"/>
          <w:lang w:eastAsia="zh-CN"/>
        </w:rPr>
        <w:t>。</w:t>
      </w:r>
    </w:p>
    <w:p w14:paraId="008EAF15">
      <w:pPr>
        <w:numPr>
          <w:ilvl w:val="0"/>
          <w:numId w:val="0"/>
        </w:numPr>
        <w:spacing w:line="560" w:lineRule="exact"/>
        <w:ind w:firstLine="552" w:firstLineChars="200"/>
        <w:jc w:val="left"/>
        <w:rPr>
          <w:rFonts w:hint="eastAsia" w:ascii="仿宋_GB2312" w:hAnsi="仿宋_GB2312" w:eastAsia="仿宋_GB2312" w:cs="仿宋_GB2312"/>
          <w:spacing w:val="-2"/>
          <w:sz w:val="28"/>
          <w:szCs w:val="28"/>
          <w:lang w:eastAsia="zh-CN"/>
        </w:rPr>
      </w:pPr>
    </w:p>
    <w:p w14:paraId="5427148D">
      <w:pPr>
        <w:numPr>
          <w:ilvl w:val="0"/>
          <w:numId w:val="0"/>
        </w:numPr>
        <w:spacing w:line="560" w:lineRule="exact"/>
        <w:ind w:firstLine="552" w:firstLineChars="200"/>
        <w:jc w:val="left"/>
        <w:rPr>
          <w:rFonts w:hint="default" w:ascii="仿宋_GB2312" w:hAnsi="仿宋_GB2312" w:eastAsia="仿宋_GB2312" w:cs="仿宋_GB2312"/>
          <w:spacing w:val="-2"/>
          <w:sz w:val="28"/>
          <w:szCs w:val="28"/>
          <w:lang w:val="en-US" w:eastAsia="zh-CN"/>
        </w:rPr>
      </w:pPr>
      <w:r>
        <w:rPr>
          <w:rFonts w:hint="default" w:ascii="仿宋_GB2312" w:hAnsi="仿宋_GB2312" w:eastAsia="仿宋_GB2312" w:cs="仿宋_GB2312"/>
          <w:spacing w:val="-2"/>
          <w:sz w:val="28"/>
          <w:szCs w:val="28"/>
          <w:lang w:eastAsia="zh-CN"/>
        </w:rPr>
        <w:t>附件：</w:t>
      </w:r>
      <w:r>
        <w:rPr>
          <w:rFonts w:hint="default" w:ascii="仿宋_GB2312" w:hAnsi="仿宋_GB2312" w:eastAsia="仿宋_GB2312" w:cs="仿宋_GB2312"/>
          <w:spacing w:val="-2"/>
          <w:sz w:val="28"/>
          <w:szCs w:val="28"/>
          <w:lang w:val="en-US" w:eastAsia="zh-CN"/>
        </w:rPr>
        <w:t>深圳市ESG实践先锋企业</w:t>
      </w:r>
      <w:r>
        <w:rPr>
          <w:rFonts w:hint="eastAsia" w:ascii="仿宋_GB2312" w:hAnsi="仿宋_GB2312" w:eastAsia="仿宋_GB2312" w:cs="仿宋_GB2312"/>
          <w:spacing w:val="-2"/>
          <w:sz w:val="28"/>
          <w:szCs w:val="28"/>
          <w:lang w:val="en-US" w:eastAsia="zh-CN"/>
        </w:rPr>
        <w:t>典型案例参考</w:t>
      </w:r>
      <w:r>
        <w:rPr>
          <w:rFonts w:hint="default" w:ascii="仿宋_GB2312" w:hAnsi="仿宋_GB2312" w:eastAsia="仿宋_GB2312" w:cs="仿宋_GB2312"/>
          <w:spacing w:val="-2"/>
          <w:sz w:val="28"/>
          <w:szCs w:val="28"/>
          <w:lang w:val="en-US" w:eastAsia="zh-CN"/>
        </w:rPr>
        <w:t>指标</w:t>
      </w:r>
    </w:p>
    <w:p w14:paraId="0E7BFB15">
      <w:pPr>
        <w:rPr>
          <w:rFonts w:hint="default" w:ascii="仿宋_GB2312" w:hAnsi="仿宋_GB2312" w:eastAsia="仿宋_GB2312" w:cs="仿宋_GB2312"/>
          <w:spacing w:val="-2"/>
          <w:sz w:val="28"/>
          <w:szCs w:val="28"/>
          <w:lang w:val="en-US" w:eastAsia="zh-CN"/>
        </w:rPr>
      </w:pPr>
      <w:r>
        <w:rPr>
          <w:rFonts w:hint="default" w:ascii="仿宋_GB2312" w:hAnsi="仿宋_GB2312" w:eastAsia="仿宋_GB2312" w:cs="仿宋_GB2312"/>
          <w:spacing w:val="-2"/>
          <w:sz w:val="28"/>
          <w:szCs w:val="28"/>
          <w:lang w:val="en-US" w:eastAsia="zh-CN"/>
        </w:rPr>
        <w:br w:type="page"/>
      </w:r>
    </w:p>
    <w:p w14:paraId="00DBE714">
      <w:pPr>
        <w:widowControl/>
        <w:spacing w:line="560" w:lineRule="exact"/>
        <w:jc w:val="center"/>
        <w:rPr>
          <w:rFonts w:hint="default" w:ascii="Times New Roman" w:hAnsi="Times New Roman" w:eastAsia="黑体" w:cs="Times New Roman"/>
          <w:sz w:val="40"/>
          <w:szCs w:val="40"/>
          <w:vertAlign w:val="baseline"/>
          <w:lang w:val="en-US" w:eastAsia="zh-CN"/>
        </w:rPr>
      </w:pPr>
    </w:p>
    <w:p w14:paraId="21DD4CD6">
      <w:pPr>
        <w:widowControl/>
        <w:spacing w:line="560" w:lineRule="exact"/>
        <w:jc w:val="center"/>
        <w:rPr>
          <w:rFonts w:hint="eastAsia" w:ascii="宋体" w:hAnsi="宋体" w:eastAsia="宋体" w:cs="宋体"/>
          <w:i w:val="0"/>
          <w:iCs w:val="0"/>
          <w:color w:val="000000"/>
          <w:kern w:val="0"/>
          <w:sz w:val="24"/>
          <w:szCs w:val="24"/>
          <w:u w:val="none"/>
          <w:lang w:val="en-US" w:eastAsia="zh-CN" w:bidi="ar"/>
        </w:rPr>
      </w:pPr>
      <w:r>
        <w:rPr>
          <w:rFonts w:hint="default" w:ascii="Times New Roman" w:hAnsi="Times New Roman" w:eastAsia="黑体" w:cs="Times New Roman"/>
          <w:sz w:val="40"/>
          <w:szCs w:val="40"/>
          <w:vertAlign w:val="baseline"/>
          <w:lang w:val="en-US" w:eastAsia="zh-CN"/>
        </w:rPr>
        <w:t>深圳市ESG实践先锋企业</w:t>
      </w:r>
      <w:r>
        <w:rPr>
          <w:rFonts w:hint="eastAsia" w:ascii="Times New Roman" w:hAnsi="Times New Roman" w:eastAsia="黑体" w:cs="Times New Roman"/>
          <w:sz w:val="40"/>
          <w:szCs w:val="40"/>
          <w:vertAlign w:val="baseline"/>
          <w:lang w:val="en-US" w:eastAsia="zh-CN"/>
        </w:rPr>
        <w:t>典型案例参考</w:t>
      </w:r>
      <w:r>
        <w:rPr>
          <w:rFonts w:hint="default" w:ascii="Times New Roman" w:hAnsi="Times New Roman" w:eastAsia="黑体" w:cs="Times New Roman"/>
          <w:sz w:val="40"/>
          <w:szCs w:val="40"/>
          <w:vertAlign w:val="baseline"/>
          <w:lang w:val="en-US" w:eastAsia="zh-CN"/>
        </w:rPr>
        <w:t>指标</w:t>
      </w:r>
    </w:p>
    <w:p w14:paraId="2937C4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（填报所申报主题领域相应数值）</w:t>
      </w:r>
    </w:p>
    <w:p w14:paraId="05217F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bl>
      <w:tblPr>
        <w:tblStyle w:val="3"/>
        <w:tblW w:w="8524"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2741"/>
        <w:gridCol w:w="2322"/>
        <w:gridCol w:w="1805"/>
      </w:tblGrid>
      <w:tr w14:paraId="4C6B1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38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议题</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CF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2A1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BAF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2024年度数值</w:t>
            </w:r>
          </w:p>
        </w:tc>
      </w:tr>
      <w:tr w14:paraId="41484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E5E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59D725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低碳可持续</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46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温室气体排放总量</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3E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吨二氧化碳当量</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7D94">
            <w:pPr>
              <w:jc w:val="center"/>
              <w:rPr>
                <w:rFonts w:hint="eastAsia" w:ascii="宋体" w:hAnsi="宋体" w:eastAsia="宋体" w:cs="宋体"/>
                <w:i w:val="0"/>
                <w:iCs w:val="0"/>
                <w:color w:val="000000"/>
                <w:sz w:val="24"/>
                <w:szCs w:val="24"/>
                <w:u w:val="none"/>
              </w:rPr>
            </w:pPr>
          </w:p>
        </w:tc>
      </w:tr>
      <w:tr w14:paraId="24AF4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5B8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21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温室气体排放强度</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EB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吨二氧化碳当量/万元</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A62A">
            <w:pPr>
              <w:jc w:val="center"/>
              <w:rPr>
                <w:rFonts w:hint="eastAsia" w:ascii="宋体" w:hAnsi="宋体" w:eastAsia="宋体" w:cs="宋体"/>
                <w:i w:val="0"/>
                <w:iCs w:val="0"/>
                <w:color w:val="000000"/>
                <w:sz w:val="24"/>
                <w:szCs w:val="24"/>
                <w:u w:val="none"/>
              </w:rPr>
            </w:pPr>
          </w:p>
        </w:tc>
      </w:tr>
      <w:tr w14:paraId="0EE43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66C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7B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年度温室气体减排量</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AE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吨二氧化碳当量</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7F0F">
            <w:pPr>
              <w:jc w:val="center"/>
              <w:rPr>
                <w:rFonts w:hint="eastAsia" w:ascii="宋体" w:hAnsi="宋体" w:eastAsia="宋体" w:cs="宋体"/>
                <w:i w:val="0"/>
                <w:iCs w:val="0"/>
                <w:color w:val="000000"/>
                <w:sz w:val="24"/>
                <w:szCs w:val="24"/>
                <w:u w:val="none"/>
              </w:rPr>
            </w:pPr>
          </w:p>
        </w:tc>
      </w:tr>
      <w:tr w14:paraId="034F4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723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41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年度温室气体减排占比</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0D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F2AE">
            <w:pPr>
              <w:jc w:val="center"/>
              <w:rPr>
                <w:rFonts w:hint="eastAsia" w:ascii="宋体" w:hAnsi="宋体" w:eastAsia="宋体" w:cs="宋体"/>
                <w:i w:val="0"/>
                <w:iCs w:val="0"/>
                <w:color w:val="000000"/>
                <w:sz w:val="24"/>
                <w:szCs w:val="24"/>
                <w:u w:val="none"/>
              </w:rPr>
            </w:pPr>
          </w:p>
        </w:tc>
      </w:tr>
      <w:tr w14:paraId="7C6B4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1656" w:type="dxa"/>
            <w:vMerge w:val="restart"/>
            <w:tcBorders>
              <w:top w:val="single" w:color="000000" w:sz="4" w:space="0"/>
              <w:left w:val="single" w:color="000000" w:sz="4" w:space="0"/>
              <w:right w:val="single" w:color="000000" w:sz="4" w:space="0"/>
            </w:tcBorders>
            <w:shd w:val="clear" w:color="auto" w:fill="auto"/>
            <w:vAlign w:val="center"/>
          </w:tcPr>
          <w:p w14:paraId="5519ED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生态和资源可持续</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35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能耗强度</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E4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吨标准煤/万元</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4A99">
            <w:pPr>
              <w:jc w:val="center"/>
              <w:rPr>
                <w:rFonts w:hint="eastAsia" w:ascii="宋体" w:hAnsi="宋体" w:eastAsia="宋体" w:cs="宋体"/>
                <w:i w:val="0"/>
                <w:iCs w:val="0"/>
                <w:color w:val="000000"/>
                <w:sz w:val="24"/>
                <w:szCs w:val="24"/>
                <w:u w:val="none"/>
              </w:rPr>
            </w:pPr>
          </w:p>
        </w:tc>
      </w:tr>
      <w:tr w14:paraId="5D33D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656" w:type="dxa"/>
            <w:vMerge w:val="continue"/>
            <w:tcBorders>
              <w:left w:val="single" w:color="000000" w:sz="4" w:space="0"/>
              <w:right w:val="single" w:color="000000" w:sz="4" w:space="0"/>
            </w:tcBorders>
            <w:shd w:val="clear" w:color="auto" w:fill="auto"/>
            <w:vAlign w:val="center"/>
          </w:tcPr>
          <w:p w14:paraId="74D77F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15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可再生能源使用量占比（含绿电绿证）</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59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8D00">
            <w:pPr>
              <w:jc w:val="center"/>
              <w:rPr>
                <w:rFonts w:hint="eastAsia" w:ascii="宋体" w:hAnsi="宋体" w:eastAsia="宋体" w:cs="宋体"/>
                <w:i w:val="0"/>
                <w:iCs w:val="0"/>
                <w:color w:val="000000"/>
                <w:sz w:val="24"/>
                <w:szCs w:val="24"/>
                <w:u w:val="none"/>
              </w:rPr>
            </w:pPr>
          </w:p>
        </w:tc>
      </w:tr>
      <w:tr w14:paraId="36811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656" w:type="dxa"/>
            <w:vMerge w:val="continue"/>
            <w:tcBorders>
              <w:left w:val="single" w:color="000000" w:sz="4" w:space="0"/>
              <w:right w:val="single" w:color="000000" w:sz="4" w:space="0"/>
            </w:tcBorders>
            <w:shd w:val="clear" w:color="auto" w:fill="auto"/>
            <w:vAlign w:val="center"/>
          </w:tcPr>
          <w:p w14:paraId="3645D6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41D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水耗强度</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5E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吨/万元</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BD52">
            <w:pPr>
              <w:jc w:val="center"/>
              <w:rPr>
                <w:rFonts w:hint="eastAsia" w:ascii="宋体" w:hAnsi="宋体" w:eastAsia="宋体" w:cs="宋体"/>
                <w:i w:val="0"/>
                <w:iCs w:val="0"/>
                <w:color w:val="000000"/>
                <w:sz w:val="24"/>
                <w:szCs w:val="24"/>
                <w:u w:val="none"/>
              </w:rPr>
            </w:pPr>
          </w:p>
        </w:tc>
      </w:tr>
      <w:tr w14:paraId="595AD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656" w:type="dxa"/>
            <w:vMerge w:val="continue"/>
            <w:tcBorders>
              <w:left w:val="single" w:color="000000" w:sz="4" w:space="0"/>
              <w:right w:val="single" w:color="000000" w:sz="4" w:space="0"/>
            </w:tcBorders>
            <w:shd w:val="clear" w:color="auto" w:fill="auto"/>
            <w:vAlign w:val="center"/>
          </w:tcPr>
          <w:p w14:paraId="5EFDE2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78F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一般固废综合利用率</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C1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2480">
            <w:pPr>
              <w:jc w:val="center"/>
              <w:rPr>
                <w:rFonts w:hint="eastAsia" w:ascii="宋体" w:hAnsi="宋体" w:eastAsia="宋体" w:cs="宋体"/>
                <w:i w:val="0"/>
                <w:iCs w:val="0"/>
                <w:color w:val="000000"/>
                <w:sz w:val="24"/>
                <w:szCs w:val="24"/>
                <w:u w:val="none"/>
              </w:rPr>
            </w:pPr>
          </w:p>
        </w:tc>
      </w:tr>
      <w:tr w14:paraId="16C96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656" w:type="dxa"/>
            <w:vMerge w:val="continue"/>
            <w:tcBorders>
              <w:left w:val="single" w:color="000000" w:sz="4" w:space="0"/>
              <w:bottom w:val="single" w:color="000000" w:sz="4" w:space="0"/>
              <w:right w:val="single" w:color="000000" w:sz="4" w:space="0"/>
            </w:tcBorders>
            <w:shd w:val="clear" w:color="auto" w:fill="auto"/>
            <w:vAlign w:val="center"/>
          </w:tcPr>
          <w:p w14:paraId="10048535">
            <w:pPr>
              <w:jc w:val="center"/>
              <w:rPr>
                <w:rFonts w:hint="eastAsia" w:ascii="宋体" w:hAnsi="宋体" w:eastAsia="宋体" w:cs="宋体"/>
                <w:i w:val="0"/>
                <w:iCs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52F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环境保护和资源节约投入</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EC4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万元</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12C8">
            <w:pPr>
              <w:jc w:val="center"/>
              <w:rPr>
                <w:rFonts w:hint="eastAsia" w:ascii="宋体" w:hAnsi="宋体" w:eastAsia="宋体" w:cs="宋体"/>
                <w:i w:val="0"/>
                <w:iCs w:val="0"/>
                <w:color w:val="000000"/>
                <w:sz w:val="24"/>
                <w:szCs w:val="24"/>
                <w:u w:val="none"/>
              </w:rPr>
            </w:pPr>
          </w:p>
        </w:tc>
      </w:tr>
      <w:tr w14:paraId="2FBD5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656" w:type="dxa"/>
            <w:vMerge w:val="restart"/>
            <w:tcBorders>
              <w:top w:val="single" w:color="000000" w:sz="4" w:space="0"/>
              <w:left w:val="single" w:color="000000" w:sz="4" w:space="0"/>
              <w:right w:val="single" w:color="000000" w:sz="4" w:space="0"/>
            </w:tcBorders>
            <w:shd w:val="clear" w:color="auto" w:fill="auto"/>
            <w:vAlign w:val="center"/>
          </w:tcPr>
          <w:p w14:paraId="13D2A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产品和创新可持续</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2E0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研发投入强度</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8C5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45DE">
            <w:pPr>
              <w:jc w:val="center"/>
              <w:rPr>
                <w:rFonts w:hint="eastAsia" w:ascii="宋体" w:hAnsi="宋体" w:eastAsia="宋体" w:cs="宋体"/>
                <w:i w:val="0"/>
                <w:iCs w:val="0"/>
                <w:color w:val="000000"/>
                <w:sz w:val="24"/>
                <w:szCs w:val="24"/>
                <w:u w:val="none"/>
              </w:rPr>
            </w:pPr>
          </w:p>
        </w:tc>
      </w:tr>
      <w:tr w14:paraId="36E0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656" w:type="dxa"/>
            <w:vMerge w:val="continue"/>
            <w:tcBorders>
              <w:left w:val="single" w:color="000000" w:sz="4" w:space="0"/>
              <w:right w:val="single" w:color="000000" w:sz="4" w:space="0"/>
            </w:tcBorders>
            <w:shd w:val="clear" w:color="auto" w:fill="auto"/>
            <w:vAlign w:val="center"/>
          </w:tcPr>
          <w:p w14:paraId="1505F172">
            <w:pPr>
              <w:jc w:val="center"/>
              <w:rPr>
                <w:rFonts w:hint="eastAsia" w:ascii="宋体" w:hAnsi="宋体" w:eastAsia="宋体" w:cs="宋体"/>
                <w:i w:val="0"/>
                <w:iCs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434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参与国际、国家、行业、地方等标准数量</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938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8A52">
            <w:pPr>
              <w:jc w:val="center"/>
              <w:rPr>
                <w:rFonts w:hint="eastAsia" w:ascii="宋体" w:hAnsi="宋体" w:eastAsia="宋体" w:cs="宋体"/>
                <w:i w:val="0"/>
                <w:iCs w:val="0"/>
                <w:color w:val="000000"/>
                <w:sz w:val="24"/>
                <w:szCs w:val="24"/>
                <w:u w:val="none"/>
              </w:rPr>
            </w:pPr>
          </w:p>
        </w:tc>
      </w:tr>
      <w:tr w14:paraId="40CAE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656" w:type="dxa"/>
            <w:vMerge w:val="continue"/>
            <w:tcBorders>
              <w:left w:val="single" w:color="000000" w:sz="4" w:space="0"/>
              <w:right w:val="single" w:color="000000" w:sz="4" w:space="0"/>
            </w:tcBorders>
            <w:shd w:val="clear" w:color="auto" w:fill="auto"/>
            <w:vAlign w:val="center"/>
          </w:tcPr>
          <w:p w14:paraId="2007D140">
            <w:pPr>
              <w:jc w:val="center"/>
              <w:rPr>
                <w:rFonts w:hint="eastAsia" w:ascii="宋体" w:hAnsi="宋体" w:eastAsia="宋体" w:cs="宋体"/>
                <w:i w:val="0"/>
                <w:iCs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868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获得国际PCT或国内发明专利数</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727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件</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9968">
            <w:pPr>
              <w:jc w:val="center"/>
              <w:rPr>
                <w:rFonts w:hint="eastAsia" w:ascii="宋体" w:hAnsi="宋体" w:eastAsia="宋体" w:cs="宋体"/>
                <w:i w:val="0"/>
                <w:iCs w:val="0"/>
                <w:color w:val="000000"/>
                <w:sz w:val="24"/>
                <w:szCs w:val="24"/>
                <w:u w:val="none"/>
              </w:rPr>
            </w:pPr>
          </w:p>
        </w:tc>
      </w:tr>
      <w:tr w14:paraId="690E0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656" w:type="dxa"/>
            <w:vMerge w:val="continue"/>
            <w:tcBorders>
              <w:left w:val="single" w:color="000000" w:sz="4" w:space="0"/>
              <w:bottom w:val="single" w:color="000000" w:sz="4" w:space="0"/>
              <w:right w:val="single" w:color="000000" w:sz="4" w:space="0"/>
            </w:tcBorders>
            <w:shd w:val="clear" w:color="auto" w:fill="auto"/>
            <w:vAlign w:val="center"/>
          </w:tcPr>
          <w:p w14:paraId="23600871">
            <w:pPr>
              <w:jc w:val="center"/>
              <w:rPr>
                <w:rFonts w:hint="eastAsia" w:ascii="宋体" w:hAnsi="宋体" w:eastAsia="宋体" w:cs="宋体"/>
                <w:i w:val="0"/>
                <w:iCs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AEC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新产品营业收入占比</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BF8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5BF0">
            <w:pPr>
              <w:jc w:val="center"/>
              <w:rPr>
                <w:rFonts w:hint="eastAsia" w:ascii="宋体" w:hAnsi="宋体" w:eastAsia="宋体" w:cs="宋体"/>
                <w:i w:val="0"/>
                <w:iCs w:val="0"/>
                <w:color w:val="000000"/>
                <w:sz w:val="24"/>
                <w:szCs w:val="24"/>
                <w:u w:val="none"/>
              </w:rPr>
            </w:pPr>
          </w:p>
        </w:tc>
      </w:tr>
      <w:tr w14:paraId="0F478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656" w:type="dxa"/>
            <w:vMerge w:val="restart"/>
            <w:tcBorders>
              <w:top w:val="single" w:color="000000" w:sz="4" w:space="0"/>
              <w:left w:val="single" w:color="000000" w:sz="4" w:space="0"/>
              <w:right w:val="single" w:color="000000" w:sz="4" w:space="0"/>
            </w:tcBorders>
            <w:shd w:val="clear" w:color="auto" w:fill="auto"/>
            <w:vAlign w:val="center"/>
          </w:tcPr>
          <w:p w14:paraId="2CA79E17">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供应链可持续</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6A2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绿色采购金额占比</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C60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9C83">
            <w:pPr>
              <w:jc w:val="center"/>
              <w:rPr>
                <w:rFonts w:hint="eastAsia" w:ascii="宋体" w:hAnsi="宋体" w:eastAsia="宋体" w:cs="宋体"/>
                <w:i w:val="0"/>
                <w:iCs w:val="0"/>
                <w:color w:val="000000"/>
                <w:sz w:val="24"/>
                <w:szCs w:val="24"/>
                <w:u w:val="none"/>
              </w:rPr>
            </w:pPr>
          </w:p>
        </w:tc>
      </w:tr>
      <w:tr w14:paraId="3310D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656" w:type="dxa"/>
            <w:vMerge w:val="continue"/>
            <w:tcBorders>
              <w:left w:val="single" w:color="000000" w:sz="4" w:space="0"/>
              <w:right w:val="single" w:color="000000" w:sz="4" w:space="0"/>
            </w:tcBorders>
            <w:shd w:val="clear" w:color="auto" w:fill="auto"/>
            <w:vAlign w:val="center"/>
          </w:tcPr>
          <w:p w14:paraId="40F01764">
            <w:pPr>
              <w:jc w:val="center"/>
              <w:rPr>
                <w:rFonts w:hint="eastAsia" w:ascii="宋体" w:hAnsi="宋体" w:eastAsia="宋体" w:cs="宋体"/>
                <w:i w:val="0"/>
                <w:iCs w:val="0"/>
                <w:color w:val="000000"/>
                <w:sz w:val="24"/>
                <w:szCs w:val="24"/>
                <w:u w:val="none"/>
                <w:lang w:val="en-US" w:eastAsia="zh-CN"/>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E8F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通过可持续发展评估供应商占比</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95B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5C28">
            <w:pPr>
              <w:jc w:val="center"/>
              <w:rPr>
                <w:rFonts w:hint="eastAsia" w:ascii="宋体" w:hAnsi="宋体" w:eastAsia="宋体" w:cs="宋体"/>
                <w:i w:val="0"/>
                <w:iCs w:val="0"/>
                <w:color w:val="000000"/>
                <w:sz w:val="24"/>
                <w:szCs w:val="24"/>
                <w:u w:val="none"/>
              </w:rPr>
            </w:pPr>
          </w:p>
        </w:tc>
      </w:tr>
      <w:tr w14:paraId="57B96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656" w:type="dxa"/>
            <w:vMerge w:val="continue"/>
            <w:tcBorders>
              <w:left w:val="single" w:color="000000" w:sz="4" w:space="0"/>
              <w:right w:val="single" w:color="000000" w:sz="4" w:space="0"/>
            </w:tcBorders>
            <w:shd w:val="clear" w:color="auto" w:fill="auto"/>
            <w:vAlign w:val="center"/>
          </w:tcPr>
          <w:p w14:paraId="023C346B">
            <w:pPr>
              <w:jc w:val="center"/>
              <w:rPr>
                <w:rFonts w:hint="eastAsia" w:ascii="宋体" w:hAnsi="宋体" w:eastAsia="宋体" w:cs="宋体"/>
                <w:i w:val="0"/>
                <w:iCs w:val="0"/>
                <w:color w:val="000000"/>
                <w:sz w:val="24"/>
                <w:szCs w:val="24"/>
                <w:u w:val="none"/>
                <w:lang w:val="en-US" w:eastAsia="zh-CN"/>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552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产品（包装）回收率</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0C1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5628">
            <w:pPr>
              <w:jc w:val="center"/>
              <w:rPr>
                <w:rFonts w:hint="eastAsia" w:ascii="宋体" w:hAnsi="宋体" w:eastAsia="宋体" w:cs="宋体"/>
                <w:i w:val="0"/>
                <w:iCs w:val="0"/>
                <w:color w:val="000000"/>
                <w:sz w:val="24"/>
                <w:szCs w:val="24"/>
                <w:u w:val="none"/>
              </w:rPr>
            </w:pPr>
          </w:p>
        </w:tc>
      </w:tr>
      <w:tr w14:paraId="71C9E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1656" w:type="dxa"/>
            <w:vMerge w:val="continue"/>
            <w:tcBorders>
              <w:left w:val="single" w:color="000000" w:sz="4" w:space="0"/>
              <w:bottom w:val="single" w:color="auto" w:sz="4" w:space="0"/>
              <w:right w:val="single" w:color="000000" w:sz="4" w:space="0"/>
            </w:tcBorders>
            <w:shd w:val="clear" w:color="auto" w:fill="auto"/>
            <w:vAlign w:val="center"/>
          </w:tcPr>
          <w:p w14:paraId="4624CF4C">
            <w:pPr>
              <w:jc w:val="center"/>
              <w:rPr>
                <w:rFonts w:hint="eastAsia" w:ascii="宋体" w:hAnsi="宋体" w:eastAsia="宋体" w:cs="宋体"/>
                <w:i w:val="0"/>
                <w:iCs w:val="0"/>
                <w:color w:val="000000"/>
                <w:sz w:val="24"/>
                <w:szCs w:val="24"/>
                <w:u w:val="none"/>
                <w:lang w:val="en-US" w:eastAsia="zh-CN"/>
              </w:rPr>
            </w:pPr>
          </w:p>
        </w:tc>
        <w:tc>
          <w:tcPr>
            <w:tcW w:w="2741" w:type="dxa"/>
            <w:tcBorders>
              <w:top w:val="single" w:color="000000" w:sz="4" w:space="0"/>
              <w:left w:val="single" w:color="000000" w:sz="4" w:space="0"/>
              <w:bottom w:val="single" w:color="auto" w:sz="4" w:space="0"/>
              <w:right w:val="single" w:color="000000" w:sz="4" w:space="0"/>
            </w:tcBorders>
            <w:shd w:val="clear" w:color="auto" w:fill="auto"/>
            <w:vAlign w:val="center"/>
          </w:tcPr>
          <w:p w14:paraId="21255E7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供应商可再生能源消费要求比例</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8FE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4DDE">
            <w:pPr>
              <w:jc w:val="center"/>
              <w:rPr>
                <w:rFonts w:hint="eastAsia" w:ascii="宋体" w:hAnsi="宋体" w:eastAsia="宋体" w:cs="宋体"/>
                <w:i w:val="0"/>
                <w:iCs w:val="0"/>
                <w:color w:val="000000"/>
                <w:sz w:val="24"/>
                <w:szCs w:val="24"/>
                <w:u w:val="none"/>
              </w:rPr>
            </w:pPr>
          </w:p>
        </w:tc>
      </w:tr>
      <w:tr w14:paraId="6C716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6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8A7E47">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社会责任可持续</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164DCFA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新增就业机会和人数</w:t>
            </w:r>
          </w:p>
        </w:tc>
        <w:tc>
          <w:tcPr>
            <w:tcW w:w="2322" w:type="dxa"/>
            <w:tcBorders>
              <w:top w:val="single" w:color="000000" w:sz="4" w:space="0"/>
              <w:left w:val="single" w:color="auto" w:sz="4" w:space="0"/>
              <w:bottom w:val="single" w:color="000000" w:sz="4" w:space="0"/>
              <w:right w:val="single" w:color="000000" w:sz="4" w:space="0"/>
            </w:tcBorders>
            <w:shd w:val="clear" w:color="auto" w:fill="auto"/>
            <w:vAlign w:val="center"/>
          </w:tcPr>
          <w:p w14:paraId="73377AA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AD71">
            <w:pPr>
              <w:jc w:val="center"/>
              <w:rPr>
                <w:rFonts w:hint="eastAsia" w:ascii="宋体" w:hAnsi="宋体" w:eastAsia="宋体" w:cs="宋体"/>
                <w:i w:val="0"/>
                <w:iCs w:val="0"/>
                <w:color w:val="000000"/>
                <w:sz w:val="24"/>
                <w:szCs w:val="24"/>
                <w:u w:val="none"/>
              </w:rPr>
            </w:pPr>
          </w:p>
        </w:tc>
      </w:tr>
      <w:tr w14:paraId="46C15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662F41">
            <w:pPr>
              <w:jc w:val="center"/>
              <w:rPr>
                <w:rFonts w:hint="eastAsia" w:ascii="宋体" w:hAnsi="宋体" w:eastAsia="宋体" w:cs="宋体"/>
                <w:i w:val="0"/>
                <w:iCs w:val="0"/>
                <w:color w:val="000000"/>
                <w:sz w:val="24"/>
                <w:szCs w:val="24"/>
                <w:u w:val="none"/>
                <w:lang w:val="en-US" w:eastAsia="zh-CN"/>
              </w:rPr>
            </w:pP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788DC4C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员工人均培训时长</w:t>
            </w:r>
          </w:p>
        </w:tc>
        <w:tc>
          <w:tcPr>
            <w:tcW w:w="2322" w:type="dxa"/>
            <w:tcBorders>
              <w:top w:val="single" w:color="000000" w:sz="4" w:space="0"/>
              <w:left w:val="single" w:color="auto" w:sz="4" w:space="0"/>
              <w:bottom w:val="single" w:color="000000" w:sz="4" w:space="0"/>
              <w:right w:val="single" w:color="000000" w:sz="4" w:space="0"/>
            </w:tcBorders>
            <w:shd w:val="clear" w:color="auto" w:fill="auto"/>
            <w:vAlign w:val="center"/>
          </w:tcPr>
          <w:p w14:paraId="75012F2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小时</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2554">
            <w:pPr>
              <w:jc w:val="center"/>
              <w:rPr>
                <w:rFonts w:hint="eastAsia" w:ascii="宋体" w:hAnsi="宋体" w:eastAsia="宋体" w:cs="宋体"/>
                <w:i w:val="0"/>
                <w:iCs w:val="0"/>
                <w:color w:val="000000"/>
                <w:sz w:val="24"/>
                <w:szCs w:val="24"/>
                <w:u w:val="none"/>
                <w:lang w:val="en-US" w:eastAsia="zh-CN"/>
              </w:rPr>
            </w:pPr>
          </w:p>
        </w:tc>
      </w:tr>
      <w:tr w14:paraId="49E93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1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FE062B">
            <w:pPr>
              <w:jc w:val="center"/>
              <w:rPr>
                <w:rFonts w:hint="eastAsia" w:ascii="宋体" w:hAnsi="宋体" w:eastAsia="宋体" w:cs="宋体"/>
                <w:i w:val="0"/>
                <w:iCs w:val="0"/>
                <w:color w:val="000000"/>
                <w:sz w:val="24"/>
                <w:szCs w:val="24"/>
                <w:u w:val="none"/>
                <w:lang w:val="en-US" w:eastAsia="zh-CN"/>
              </w:rPr>
            </w:pP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07BB30A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社会公益捐赠金额</w:t>
            </w:r>
          </w:p>
        </w:tc>
        <w:tc>
          <w:tcPr>
            <w:tcW w:w="2322" w:type="dxa"/>
            <w:tcBorders>
              <w:top w:val="single" w:color="000000" w:sz="4" w:space="0"/>
              <w:left w:val="single" w:color="auto" w:sz="4" w:space="0"/>
              <w:bottom w:val="single" w:color="000000" w:sz="4" w:space="0"/>
              <w:right w:val="single" w:color="000000" w:sz="4" w:space="0"/>
            </w:tcBorders>
            <w:shd w:val="clear" w:color="auto" w:fill="auto"/>
            <w:vAlign w:val="center"/>
          </w:tcPr>
          <w:p w14:paraId="361755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万元</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D293">
            <w:pPr>
              <w:jc w:val="center"/>
              <w:rPr>
                <w:rFonts w:hint="eastAsia" w:ascii="宋体" w:hAnsi="宋体" w:eastAsia="宋体" w:cs="宋体"/>
                <w:i w:val="0"/>
                <w:iCs w:val="0"/>
                <w:color w:val="000000"/>
                <w:sz w:val="24"/>
                <w:szCs w:val="24"/>
                <w:u w:val="none"/>
              </w:rPr>
            </w:pPr>
          </w:p>
        </w:tc>
      </w:tr>
    </w:tbl>
    <w:p w14:paraId="083BF76E">
      <w:pPr>
        <w:jc w:val="left"/>
        <w:rPr>
          <w:rFonts w:hint="eastAsia" w:ascii="黑体" w:hAnsi="黑体" w:eastAsia="黑体" w:cs="黑体"/>
          <w:b/>
          <w:bCs/>
          <w:color w:val="000000"/>
          <w:kern w:val="0"/>
          <w:sz w:val="28"/>
          <w:szCs w:val="28"/>
          <w:lang w:val="zh-TW" w:eastAsia="zh-CN" w:bidi="zh-TW"/>
        </w:rPr>
      </w:pPr>
    </w:p>
    <w:p w14:paraId="6E86DCFC">
      <w:pPr>
        <w:jc w:val="left"/>
        <w:rPr>
          <w:rFonts w:hint="eastAsia" w:ascii="仿宋_GB2312" w:hAnsi="黑体" w:eastAsia="仿宋_GB2312" w:cs="Times New Roman"/>
          <w:b/>
          <w:bCs/>
          <w:color w:val="000000"/>
          <w:kern w:val="0"/>
          <w:sz w:val="28"/>
          <w:szCs w:val="28"/>
          <w:lang w:val="zh-TW" w:eastAsia="zh-TW" w:bidi="zh-TW"/>
        </w:rPr>
      </w:pPr>
      <w:r>
        <w:rPr>
          <w:rFonts w:hint="eastAsia" w:ascii="黑体" w:hAnsi="黑体" w:eastAsia="黑体" w:cs="黑体"/>
          <w:b/>
          <w:bCs/>
          <w:color w:val="000000"/>
          <w:kern w:val="0"/>
          <w:sz w:val="28"/>
          <w:szCs w:val="28"/>
          <w:lang w:val="zh-TW" w:eastAsia="zh-TW" w:bidi="zh-TW"/>
        </w:rPr>
        <w:t>指标说明</w:t>
      </w:r>
    </w:p>
    <w:p w14:paraId="7CDDC2DF">
      <w:pPr>
        <w:tabs>
          <w:tab w:val="left" w:pos="1046"/>
        </w:tabs>
        <w:snapToGrid w:val="0"/>
        <w:spacing w:line="560" w:lineRule="exact"/>
        <w:ind w:firstLine="562" w:firstLineChars="200"/>
        <w:contextualSpacing/>
        <w:jc w:val="left"/>
        <w:rPr>
          <w:rFonts w:hint="eastAsia" w:ascii="仿宋_GB2312" w:hAnsi="黑体" w:eastAsia="仿宋_GB2312" w:cs="Times New Roman"/>
          <w:color w:val="000000"/>
          <w:kern w:val="0"/>
          <w:sz w:val="28"/>
          <w:szCs w:val="28"/>
          <w:lang w:val="zh-TW" w:eastAsia="zh-TW" w:bidi="zh-TW"/>
        </w:rPr>
      </w:pPr>
      <w:r>
        <w:rPr>
          <w:rFonts w:hint="eastAsia" w:ascii="仿宋_GB2312" w:hAnsi="黑体" w:eastAsia="仿宋_GB2312" w:cs="Times New Roman"/>
          <w:b/>
          <w:bCs/>
          <w:color w:val="000000"/>
          <w:kern w:val="0"/>
          <w:sz w:val="28"/>
          <w:szCs w:val="28"/>
          <w:lang w:val="en-US" w:eastAsia="zh-CN" w:bidi="zh-TW"/>
        </w:rPr>
        <w:t>1.</w:t>
      </w:r>
      <w:r>
        <w:rPr>
          <w:rFonts w:hint="eastAsia" w:ascii="仿宋_GB2312" w:hAnsi="黑体" w:eastAsia="仿宋_GB2312" w:cs="Times New Roman"/>
          <w:b/>
          <w:bCs/>
          <w:color w:val="000000"/>
          <w:kern w:val="0"/>
          <w:sz w:val="28"/>
          <w:szCs w:val="28"/>
          <w:lang w:val="zh-TW" w:eastAsia="zh-TW" w:bidi="zh-TW"/>
        </w:rPr>
        <w:t>温室气体排放总量</w:t>
      </w:r>
      <w:r>
        <w:rPr>
          <w:rFonts w:hint="eastAsia" w:ascii="仿宋_GB2312" w:hAnsi="黑体" w:eastAsia="仿宋_GB2312" w:cs="Times New Roman"/>
          <w:color w:val="000000"/>
          <w:kern w:val="0"/>
          <w:sz w:val="28"/>
          <w:szCs w:val="28"/>
          <w:lang w:val="zh-TW" w:eastAsia="zh-TW" w:bidi="zh-TW"/>
        </w:rPr>
        <w:t>：</w:t>
      </w:r>
      <w:r>
        <w:rPr>
          <w:rFonts w:hint="eastAsia" w:ascii="仿宋_GB2312" w:hAnsi="黑体" w:eastAsia="仿宋_GB2312" w:cs="Times New Roman"/>
          <w:i w:val="0"/>
          <w:iCs w:val="0"/>
          <w:caps w:val="0"/>
          <w:color w:val="000000"/>
          <w:spacing w:val="0"/>
          <w:kern w:val="0"/>
          <w:sz w:val="28"/>
          <w:szCs w:val="28"/>
          <w:shd w:val="clear"/>
          <w:lang w:val="zh-TW" w:eastAsia="zh-TW" w:bidi="zh-TW"/>
        </w:rPr>
        <w:t>企业直接和间接温室气体排放的总和，涵盖范围一和范围二的温室气体排放量。</w:t>
      </w:r>
    </w:p>
    <w:p w14:paraId="07082B6A">
      <w:pPr>
        <w:tabs>
          <w:tab w:val="left" w:pos="1046"/>
        </w:tabs>
        <w:snapToGrid w:val="0"/>
        <w:spacing w:line="560" w:lineRule="exact"/>
        <w:ind w:firstLine="562" w:firstLineChars="200"/>
        <w:contextualSpacing/>
        <w:jc w:val="left"/>
        <w:rPr>
          <w:rFonts w:hint="eastAsia" w:ascii="仿宋_GB2312" w:hAnsi="黑体" w:eastAsia="仿宋_GB2312" w:cs="Times New Roman"/>
          <w:color w:val="000000"/>
          <w:kern w:val="0"/>
          <w:sz w:val="28"/>
          <w:szCs w:val="28"/>
          <w:lang w:val="zh-TW" w:eastAsia="zh-CN" w:bidi="zh-TW"/>
        </w:rPr>
      </w:pPr>
      <w:r>
        <w:rPr>
          <w:rFonts w:hint="eastAsia" w:ascii="仿宋_GB2312" w:hAnsi="黑体" w:eastAsia="仿宋_GB2312" w:cs="Times New Roman"/>
          <w:b/>
          <w:bCs/>
          <w:color w:val="000000"/>
          <w:kern w:val="0"/>
          <w:sz w:val="28"/>
          <w:szCs w:val="28"/>
          <w:lang w:val="en-US" w:eastAsia="zh-CN" w:bidi="zh-TW"/>
        </w:rPr>
        <w:t>2.</w:t>
      </w:r>
      <w:r>
        <w:rPr>
          <w:rFonts w:hint="eastAsia" w:ascii="仿宋_GB2312" w:hAnsi="黑体" w:eastAsia="仿宋_GB2312" w:cs="Times New Roman"/>
          <w:b/>
          <w:bCs/>
          <w:color w:val="000000"/>
          <w:kern w:val="0"/>
          <w:sz w:val="28"/>
          <w:szCs w:val="28"/>
          <w:lang w:val="zh-TW" w:eastAsia="zh-TW" w:bidi="zh-TW"/>
        </w:rPr>
        <w:t>温室气体排放强度</w:t>
      </w:r>
      <w:r>
        <w:rPr>
          <w:rFonts w:hint="eastAsia" w:ascii="仿宋_GB2312" w:hAnsi="黑体" w:eastAsia="仿宋_GB2312" w:cs="Times New Roman"/>
          <w:color w:val="000000"/>
          <w:kern w:val="0"/>
          <w:sz w:val="28"/>
          <w:szCs w:val="28"/>
          <w:u w:val="none"/>
          <w:lang w:val="zh-TW" w:eastAsia="zh-TW" w:bidi="zh-TW"/>
        </w:rPr>
        <w:t>：</w:t>
      </w:r>
      <w:r>
        <w:rPr>
          <w:rFonts w:hint="eastAsia" w:ascii="仿宋_GB2312" w:hAnsi="黑体" w:eastAsia="仿宋_GB2312" w:cs="Times New Roman"/>
          <w:color w:val="000000"/>
          <w:kern w:val="0"/>
          <w:sz w:val="28"/>
          <w:szCs w:val="28"/>
          <w:u w:val="none"/>
          <w:lang w:val="zh-TW" w:eastAsia="zh-CN" w:bidi="zh-TW"/>
        </w:rPr>
        <w:t>企业</w:t>
      </w:r>
      <w:r>
        <w:rPr>
          <w:rFonts w:hint="eastAsia" w:ascii="仿宋_GB2312" w:hAnsi="黑体" w:eastAsia="仿宋_GB2312" w:cs="Times New Roman"/>
          <w:i w:val="0"/>
          <w:iCs w:val="0"/>
          <w:caps w:val="0"/>
          <w:color w:val="000000"/>
          <w:spacing w:val="0"/>
          <w:kern w:val="0"/>
          <w:sz w:val="28"/>
          <w:szCs w:val="28"/>
          <w:shd w:val="clear"/>
          <w:lang w:val="zh-TW" w:eastAsia="zh-TW" w:bidi="zh-TW"/>
        </w:rPr>
        <w:t>单位经济活动</w:t>
      </w:r>
      <w:r>
        <w:rPr>
          <w:rFonts w:hint="eastAsia" w:ascii="仿宋_GB2312" w:hAnsi="黑体" w:eastAsia="仿宋_GB2312" w:cs="Times New Roman"/>
          <w:i w:val="0"/>
          <w:iCs w:val="0"/>
          <w:caps w:val="0"/>
          <w:color w:val="000000"/>
          <w:spacing w:val="0"/>
          <w:kern w:val="0"/>
          <w:sz w:val="28"/>
          <w:szCs w:val="28"/>
          <w:shd w:val="clear"/>
          <w:lang w:val="zh-TW" w:eastAsia="zh-CN" w:bidi="zh-TW"/>
        </w:rPr>
        <w:t>或产出</w:t>
      </w:r>
      <w:r>
        <w:rPr>
          <w:rFonts w:hint="eastAsia" w:ascii="仿宋_GB2312" w:hAnsi="黑体" w:eastAsia="仿宋_GB2312" w:cs="Times New Roman"/>
          <w:i w:val="0"/>
          <w:iCs w:val="0"/>
          <w:caps w:val="0"/>
          <w:color w:val="000000"/>
          <w:spacing w:val="0"/>
          <w:kern w:val="0"/>
          <w:sz w:val="28"/>
          <w:szCs w:val="28"/>
          <w:shd w:val="clear"/>
          <w:lang w:val="zh-TW" w:eastAsia="zh-TW" w:bidi="zh-TW"/>
        </w:rPr>
        <w:t>所产生的温室气体排放量</w:t>
      </w:r>
      <w:r>
        <w:rPr>
          <w:rFonts w:hint="eastAsia" w:ascii="仿宋_GB2312" w:hAnsi="黑体" w:eastAsia="仿宋_GB2312" w:cs="Times New Roman"/>
          <w:i w:val="0"/>
          <w:iCs w:val="0"/>
          <w:caps w:val="0"/>
          <w:color w:val="000000"/>
          <w:spacing w:val="0"/>
          <w:kern w:val="0"/>
          <w:sz w:val="28"/>
          <w:szCs w:val="28"/>
          <w:shd w:val="clear"/>
          <w:lang w:val="zh-TW" w:eastAsia="zh-CN" w:bidi="zh-TW"/>
        </w:rPr>
        <w:t>。</w:t>
      </w:r>
    </w:p>
    <w:p w14:paraId="7020F365">
      <w:pPr>
        <w:tabs>
          <w:tab w:val="left" w:pos="1046"/>
        </w:tabs>
        <w:snapToGrid w:val="0"/>
        <w:spacing w:line="560" w:lineRule="exact"/>
        <w:ind w:firstLine="562" w:firstLineChars="200"/>
        <w:contextualSpacing/>
        <w:jc w:val="left"/>
        <w:rPr>
          <w:rFonts w:hint="eastAsia" w:ascii="仿宋_GB2312" w:hAnsi="黑体" w:eastAsia="仿宋_GB2312" w:cs="Times New Roman"/>
          <w:color w:val="000000"/>
          <w:kern w:val="0"/>
          <w:sz w:val="28"/>
          <w:szCs w:val="28"/>
          <w:lang w:val="zh-TW" w:eastAsia="zh-CN" w:bidi="zh-TW"/>
        </w:rPr>
      </w:pPr>
      <w:r>
        <w:rPr>
          <w:rFonts w:hint="eastAsia" w:ascii="仿宋_GB2312" w:hAnsi="黑体" w:eastAsia="仿宋_GB2312" w:cs="Times New Roman"/>
          <w:b/>
          <w:bCs/>
          <w:color w:val="000000"/>
          <w:kern w:val="0"/>
          <w:sz w:val="28"/>
          <w:szCs w:val="28"/>
          <w:lang w:val="en-US" w:eastAsia="zh-CN" w:bidi="zh-TW"/>
        </w:rPr>
        <w:t>3.</w:t>
      </w:r>
      <w:r>
        <w:rPr>
          <w:rFonts w:hint="eastAsia" w:ascii="仿宋_GB2312" w:hAnsi="黑体" w:eastAsia="仿宋_GB2312" w:cs="Times New Roman"/>
          <w:b/>
          <w:bCs/>
          <w:color w:val="000000"/>
          <w:kern w:val="0"/>
          <w:sz w:val="28"/>
          <w:szCs w:val="28"/>
          <w:lang w:val="zh-TW" w:eastAsia="zh-TW" w:bidi="zh-TW"/>
        </w:rPr>
        <w:t>年度温室气体减排量</w:t>
      </w:r>
      <w:r>
        <w:rPr>
          <w:rFonts w:hint="eastAsia" w:ascii="仿宋_GB2312" w:hAnsi="黑体" w:eastAsia="仿宋_GB2312" w:cs="Times New Roman"/>
          <w:color w:val="000000"/>
          <w:kern w:val="0"/>
          <w:sz w:val="28"/>
          <w:szCs w:val="28"/>
          <w:u w:val="none"/>
          <w:lang w:val="zh-TW" w:eastAsia="zh-TW" w:bidi="zh-TW"/>
        </w:rPr>
        <w:t>：</w:t>
      </w:r>
      <w:r>
        <w:rPr>
          <w:rFonts w:hint="eastAsia" w:ascii="仿宋_GB2312" w:hAnsi="黑体" w:eastAsia="仿宋_GB2312" w:cs="Times New Roman"/>
          <w:i w:val="0"/>
          <w:iCs w:val="0"/>
          <w:caps w:val="0"/>
          <w:color w:val="000000"/>
          <w:spacing w:val="0"/>
          <w:kern w:val="0"/>
          <w:sz w:val="28"/>
          <w:szCs w:val="28"/>
          <w:shd w:val="clear"/>
          <w:lang w:val="zh-TW" w:eastAsia="zh-TW" w:bidi="zh-TW"/>
        </w:rPr>
        <w:t>企业在</w:t>
      </w:r>
      <w:r>
        <w:rPr>
          <w:rFonts w:hint="eastAsia" w:ascii="仿宋_GB2312" w:hAnsi="黑体" w:eastAsia="仿宋_GB2312" w:cs="Times New Roman"/>
          <w:i w:val="0"/>
          <w:iCs w:val="0"/>
          <w:caps w:val="0"/>
          <w:color w:val="000000"/>
          <w:spacing w:val="0"/>
          <w:kern w:val="0"/>
          <w:sz w:val="28"/>
          <w:szCs w:val="28"/>
          <w:shd w:val="clear"/>
          <w:lang w:val="en-US" w:eastAsia="zh-CN" w:bidi="zh-TW"/>
        </w:rPr>
        <w:t>2024年度</w:t>
      </w:r>
      <w:r>
        <w:rPr>
          <w:rFonts w:hint="eastAsia" w:ascii="仿宋_GB2312" w:hAnsi="黑体" w:eastAsia="仿宋_GB2312" w:cs="Times New Roman"/>
          <w:i w:val="0"/>
          <w:iCs w:val="0"/>
          <w:caps w:val="0"/>
          <w:color w:val="000000"/>
          <w:spacing w:val="0"/>
          <w:kern w:val="0"/>
          <w:sz w:val="28"/>
          <w:szCs w:val="28"/>
          <w:shd w:val="clear"/>
          <w:lang w:val="zh-TW" w:eastAsia="zh-TW" w:bidi="zh-TW"/>
        </w:rPr>
        <w:t>通过各种措施减少的温室气体排放量</w:t>
      </w:r>
      <w:r>
        <w:rPr>
          <w:rFonts w:hint="eastAsia" w:ascii="仿宋_GB2312" w:hAnsi="黑体" w:eastAsia="仿宋_GB2312" w:cs="Times New Roman"/>
          <w:i w:val="0"/>
          <w:iCs w:val="0"/>
          <w:caps w:val="0"/>
          <w:color w:val="000000"/>
          <w:spacing w:val="0"/>
          <w:kern w:val="0"/>
          <w:sz w:val="28"/>
          <w:szCs w:val="28"/>
          <w:shd w:val="clear"/>
          <w:lang w:val="zh-TW" w:eastAsia="zh-CN" w:bidi="zh-TW"/>
        </w:rPr>
        <w:t>。</w:t>
      </w:r>
    </w:p>
    <w:p w14:paraId="4EE0259A">
      <w:pPr>
        <w:tabs>
          <w:tab w:val="left" w:pos="1046"/>
        </w:tabs>
        <w:snapToGrid w:val="0"/>
        <w:spacing w:line="560" w:lineRule="exact"/>
        <w:ind w:firstLine="562" w:firstLineChars="200"/>
        <w:contextualSpacing/>
        <w:jc w:val="left"/>
        <w:rPr>
          <w:rFonts w:hint="eastAsia" w:ascii="仿宋_GB2312" w:hAnsi="黑体" w:eastAsia="仿宋_GB2312" w:cs="Times New Roman"/>
          <w:color w:val="000000"/>
          <w:kern w:val="0"/>
          <w:sz w:val="28"/>
          <w:szCs w:val="28"/>
          <w:lang w:val="zh-TW" w:eastAsia="zh-TW" w:bidi="zh-TW"/>
        </w:rPr>
      </w:pPr>
      <w:r>
        <w:rPr>
          <w:rFonts w:hint="eastAsia" w:ascii="仿宋_GB2312" w:hAnsi="黑体" w:eastAsia="仿宋_GB2312" w:cs="Times New Roman"/>
          <w:b/>
          <w:bCs/>
          <w:color w:val="000000"/>
          <w:kern w:val="0"/>
          <w:sz w:val="28"/>
          <w:szCs w:val="28"/>
          <w:lang w:val="en-US" w:eastAsia="zh-CN" w:bidi="zh-TW"/>
        </w:rPr>
        <w:t>4.</w:t>
      </w:r>
      <w:r>
        <w:rPr>
          <w:rFonts w:hint="eastAsia" w:ascii="仿宋_GB2312" w:hAnsi="黑体" w:eastAsia="仿宋_GB2312" w:cs="Times New Roman"/>
          <w:b/>
          <w:bCs/>
          <w:color w:val="000000"/>
          <w:kern w:val="0"/>
          <w:sz w:val="28"/>
          <w:szCs w:val="28"/>
          <w:lang w:val="zh-TW" w:eastAsia="zh-TW" w:bidi="zh-TW"/>
        </w:rPr>
        <w:t>年度温室气体减排占比</w:t>
      </w:r>
      <w:r>
        <w:rPr>
          <w:rFonts w:hint="eastAsia" w:ascii="仿宋_GB2312" w:hAnsi="黑体" w:eastAsia="仿宋_GB2312" w:cs="Times New Roman"/>
          <w:color w:val="000000"/>
          <w:kern w:val="0"/>
          <w:sz w:val="28"/>
          <w:szCs w:val="28"/>
          <w:u w:val="none"/>
          <w:lang w:val="zh-TW" w:eastAsia="zh-TW" w:bidi="zh-TW"/>
        </w:rPr>
        <w:t>：企业</w:t>
      </w:r>
      <w:r>
        <w:rPr>
          <w:rFonts w:hint="eastAsia" w:ascii="仿宋_GB2312" w:hAnsi="黑体" w:eastAsia="仿宋_GB2312" w:cs="Times New Roman"/>
          <w:color w:val="000000"/>
          <w:kern w:val="0"/>
          <w:sz w:val="28"/>
          <w:szCs w:val="28"/>
          <w:u w:val="none"/>
          <w:lang w:val="zh-TW" w:eastAsia="zh-CN" w:bidi="zh-TW"/>
        </w:rPr>
        <w:t>在</w:t>
      </w:r>
      <w:r>
        <w:rPr>
          <w:rFonts w:hint="eastAsia" w:ascii="仿宋_GB2312" w:hAnsi="黑体" w:eastAsia="仿宋_GB2312" w:cs="Times New Roman"/>
          <w:color w:val="000000"/>
          <w:kern w:val="0"/>
          <w:sz w:val="28"/>
          <w:szCs w:val="28"/>
          <w:u w:val="none"/>
          <w:lang w:val="en-US" w:eastAsia="zh-CN" w:bidi="zh-TW"/>
        </w:rPr>
        <w:t>2024年度</w:t>
      </w:r>
      <w:r>
        <w:rPr>
          <w:rFonts w:hint="eastAsia" w:ascii="仿宋_GB2312" w:hAnsi="黑体" w:eastAsia="仿宋_GB2312" w:cs="Times New Roman"/>
          <w:i w:val="0"/>
          <w:iCs w:val="0"/>
          <w:caps w:val="0"/>
          <w:color w:val="000000"/>
          <w:spacing w:val="0"/>
          <w:kern w:val="0"/>
          <w:sz w:val="28"/>
          <w:szCs w:val="28"/>
          <w:shd w:val="clear"/>
          <w:lang w:val="zh-TW" w:eastAsia="zh-TW" w:bidi="zh-TW"/>
        </w:rPr>
        <w:t>温室气体减排量占</w:t>
      </w:r>
      <w:r>
        <w:rPr>
          <w:rFonts w:hint="eastAsia" w:ascii="仿宋_GB2312" w:hAnsi="黑体" w:eastAsia="仿宋_GB2312" w:cs="Times New Roman"/>
          <w:i w:val="0"/>
          <w:iCs w:val="0"/>
          <w:caps w:val="0"/>
          <w:color w:val="000000"/>
          <w:spacing w:val="0"/>
          <w:kern w:val="0"/>
          <w:sz w:val="28"/>
          <w:szCs w:val="28"/>
          <w:shd w:val="clear"/>
          <w:lang w:val="zh-TW" w:eastAsia="zh-CN" w:bidi="zh-TW"/>
        </w:rPr>
        <w:t>上一</w:t>
      </w:r>
      <w:r>
        <w:rPr>
          <w:rFonts w:hint="eastAsia" w:ascii="仿宋_GB2312" w:hAnsi="黑体" w:eastAsia="仿宋_GB2312" w:cs="Times New Roman"/>
          <w:i w:val="0"/>
          <w:iCs w:val="0"/>
          <w:caps w:val="0"/>
          <w:color w:val="000000"/>
          <w:spacing w:val="0"/>
          <w:kern w:val="0"/>
          <w:sz w:val="28"/>
          <w:szCs w:val="28"/>
          <w:shd w:val="clear"/>
          <w:lang w:val="zh-TW" w:eastAsia="zh-TW" w:bidi="zh-TW"/>
        </w:rPr>
        <w:t>年度总温室气体排放量的比例。</w:t>
      </w:r>
    </w:p>
    <w:p w14:paraId="10AAE43E">
      <w:pPr>
        <w:tabs>
          <w:tab w:val="left" w:pos="1046"/>
        </w:tabs>
        <w:snapToGrid w:val="0"/>
        <w:spacing w:line="560" w:lineRule="exact"/>
        <w:ind w:firstLine="562" w:firstLineChars="200"/>
        <w:contextualSpacing/>
        <w:jc w:val="left"/>
        <w:rPr>
          <w:rFonts w:hint="eastAsia" w:ascii="仿宋_GB2312" w:hAnsi="黑体" w:eastAsia="仿宋_GB2312" w:cs="Times New Roman"/>
          <w:color w:val="000000"/>
          <w:kern w:val="0"/>
          <w:sz w:val="28"/>
          <w:szCs w:val="28"/>
          <w:lang w:val="zh-TW" w:eastAsia="zh-CN" w:bidi="zh-TW"/>
        </w:rPr>
      </w:pPr>
      <w:r>
        <w:rPr>
          <w:rFonts w:hint="eastAsia" w:ascii="仿宋_GB2312" w:hAnsi="黑体" w:eastAsia="仿宋_GB2312" w:cs="Times New Roman"/>
          <w:b/>
          <w:bCs/>
          <w:color w:val="000000"/>
          <w:kern w:val="0"/>
          <w:sz w:val="28"/>
          <w:szCs w:val="28"/>
          <w:lang w:val="en-US" w:eastAsia="zh-CN" w:bidi="zh-TW"/>
        </w:rPr>
        <w:t>5.</w:t>
      </w:r>
      <w:r>
        <w:rPr>
          <w:rFonts w:hint="eastAsia" w:ascii="仿宋_GB2312" w:hAnsi="黑体" w:eastAsia="仿宋_GB2312" w:cs="Times New Roman"/>
          <w:b/>
          <w:bCs/>
          <w:color w:val="000000"/>
          <w:kern w:val="0"/>
          <w:sz w:val="28"/>
          <w:szCs w:val="28"/>
          <w:lang w:val="zh-TW" w:eastAsia="zh-TW" w:bidi="zh-TW"/>
        </w:rPr>
        <w:t>能耗强度</w:t>
      </w:r>
      <w:r>
        <w:rPr>
          <w:rFonts w:hint="eastAsia" w:ascii="仿宋_GB2312" w:hAnsi="黑体" w:eastAsia="仿宋_GB2312" w:cs="Times New Roman"/>
          <w:color w:val="000000"/>
          <w:kern w:val="0"/>
          <w:sz w:val="28"/>
          <w:szCs w:val="28"/>
          <w:u w:val="none"/>
          <w:lang w:val="zh-TW" w:eastAsia="zh-TW" w:bidi="zh-TW"/>
        </w:rPr>
        <w:t>：企业</w:t>
      </w:r>
      <w:r>
        <w:rPr>
          <w:rFonts w:hint="eastAsia" w:ascii="仿宋_GB2312" w:hAnsi="黑体" w:eastAsia="仿宋_GB2312" w:cs="Times New Roman"/>
          <w:i w:val="0"/>
          <w:iCs w:val="0"/>
          <w:caps w:val="0"/>
          <w:color w:val="000000"/>
          <w:spacing w:val="0"/>
          <w:kern w:val="0"/>
          <w:sz w:val="28"/>
          <w:szCs w:val="28"/>
          <w:shd w:val="clear"/>
          <w:lang w:val="zh-TW" w:eastAsia="zh-TW" w:bidi="zh-TW"/>
        </w:rPr>
        <w:t>单位</w:t>
      </w:r>
      <w:r>
        <w:rPr>
          <w:rFonts w:hint="eastAsia" w:ascii="仿宋_GB2312" w:hAnsi="黑体" w:eastAsia="仿宋_GB2312" w:cs="Times New Roman"/>
          <w:i w:val="0"/>
          <w:iCs w:val="0"/>
          <w:caps w:val="0"/>
          <w:color w:val="000000"/>
          <w:spacing w:val="0"/>
          <w:kern w:val="0"/>
          <w:sz w:val="28"/>
          <w:szCs w:val="28"/>
          <w:shd w:val="clear"/>
          <w:lang w:val="zh-TW" w:eastAsia="zh-CN" w:bidi="zh-TW"/>
        </w:rPr>
        <w:t>产值</w:t>
      </w:r>
      <w:r>
        <w:rPr>
          <w:rFonts w:hint="eastAsia" w:ascii="仿宋_GB2312" w:hAnsi="黑体" w:eastAsia="仿宋_GB2312" w:cs="Times New Roman"/>
          <w:i w:val="0"/>
          <w:iCs w:val="0"/>
          <w:caps w:val="0"/>
          <w:color w:val="000000"/>
          <w:spacing w:val="0"/>
          <w:kern w:val="0"/>
          <w:sz w:val="28"/>
          <w:szCs w:val="28"/>
          <w:shd w:val="clear"/>
          <w:lang w:val="zh-TW" w:eastAsia="zh-TW" w:bidi="zh-TW"/>
        </w:rPr>
        <w:t>所消耗的能源量</w:t>
      </w:r>
      <w:r>
        <w:rPr>
          <w:rFonts w:hint="eastAsia" w:ascii="仿宋_GB2312" w:hAnsi="黑体" w:eastAsia="仿宋_GB2312" w:cs="Times New Roman"/>
          <w:i w:val="0"/>
          <w:iCs w:val="0"/>
          <w:caps w:val="0"/>
          <w:color w:val="000000"/>
          <w:spacing w:val="0"/>
          <w:kern w:val="0"/>
          <w:sz w:val="28"/>
          <w:szCs w:val="28"/>
          <w:shd w:val="clear"/>
          <w:lang w:val="zh-TW" w:eastAsia="zh-CN" w:bidi="zh-TW"/>
        </w:rPr>
        <w:t>。</w:t>
      </w:r>
    </w:p>
    <w:p w14:paraId="4263BBC4">
      <w:pPr>
        <w:tabs>
          <w:tab w:val="left" w:pos="1046"/>
        </w:tabs>
        <w:snapToGrid w:val="0"/>
        <w:spacing w:line="560" w:lineRule="exact"/>
        <w:ind w:firstLine="562" w:firstLineChars="200"/>
        <w:contextualSpacing/>
        <w:jc w:val="left"/>
        <w:rPr>
          <w:rFonts w:hint="default" w:ascii="仿宋_GB2312" w:hAnsi="黑体" w:eastAsia="仿宋_GB2312" w:cs="Times New Roman"/>
          <w:color w:val="000000"/>
          <w:kern w:val="0"/>
          <w:sz w:val="28"/>
          <w:szCs w:val="28"/>
          <w:lang w:val="en-US" w:eastAsia="zh-CN" w:bidi="zh-TW"/>
        </w:rPr>
      </w:pPr>
      <w:r>
        <w:rPr>
          <w:rFonts w:hint="eastAsia" w:ascii="仿宋_GB2312" w:hAnsi="黑体" w:eastAsia="仿宋_GB2312" w:cs="Times New Roman"/>
          <w:b/>
          <w:bCs/>
          <w:color w:val="000000"/>
          <w:kern w:val="0"/>
          <w:sz w:val="28"/>
          <w:szCs w:val="28"/>
          <w:lang w:val="en-US" w:eastAsia="zh-CN" w:bidi="zh-TW"/>
        </w:rPr>
        <w:t>6.</w:t>
      </w:r>
      <w:r>
        <w:rPr>
          <w:rFonts w:hint="eastAsia" w:ascii="仿宋_GB2312" w:hAnsi="黑体" w:eastAsia="仿宋_GB2312" w:cs="Times New Roman"/>
          <w:b/>
          <w:bCs/>
          <w:color w:val="000000"/>
          <w:kern w:val="0"/>
          <w:sz w:val="28"/>
          <w:szCs w:val="28"/>
          <w:lang w:val="zh-TW" w:eastAsia="zh-TW" w:bidi="zh-TW"/>
        </w:rPr>
        <w:t>可再生能源使用量</w:t>
      </w:r>
      <w:r>
        <w:rPr>
          <w:rFonts w:hint="eastAsia" w:ascii="仿宋_GB2312" w:hAnsi="黑体" w:eastAsia="仿宋_GB2312" w:cs="Times New Roman"/>
          <w:b/>
          <w:bCs/>
          <w:color w:val="000000"/>
          <w:kern w:val="0"/>
          <w:sz w:val="28"/>
          <w:szCs w:val="28"/>
          <w:lang w:val="en-US" w:eastAsia="zh-CN" w:bidi="zh-TW"/>
        </w:rPr>
        <w:t>占比</w:t>
      </w:r>
      <w:r>
        <w:rPr>
          <w:rFonts w:hint="eastAsia" w:ascii="仿宋_GB2312" w:hAnsi="黑体" w:eastAsia="仿宋_GB2312" w:cs="Times New Roman"/>
          <w:color w:val="000000"/>
          <w:kern w:val="0"/>
          <w:sz w:val="28"/>
          <w:szCs w:val="28"/>
          <w:u w:val="none"/>
          <w:lang w:val="zh-TW" w:eastAsia="zh-TW" w:bidi="zh-TW"/>
        </w:rPr>
        <w:t>：</w:t>
      </w:r>
      <w:r>
        <w:rPr>
          <w:rFonts w:hint="eastAsia" w:ascii="仿宋_GB2312" w:hAnsi="黑体" w:eastAsia="仿宋_GB2312" w:cs="Times New Roman"/>
          <w:i w:val="0"/>
          <w:iCs w:val="0"/>
          <w:caps w:val="0"/>
          <w:color w:val="000000"/>
          <w:spacing w:val="0"/>
          <w:kern w:val="0"/>
          <w:sz w:val="28"/>
          <w:szCs w:val="28"/>
          <w:shd w:val="clear"/>
          <w:lang w:val="zh-TW" w:eastAsia="zh-TW" w:bidi="zh-TW"/>
        </w:rPr>
        <w:t>企业在能源消耗中所使用的可再生能源</w:t>
      </w:r>
      <w:r>
        <w:rPr>
          <w:rFonts w:hint="eastAsia" w:ascii="仿宋_GB2312" w:hAnsi="黑体" w:eastAsia="仿宋_GB2312" w:cs="Times New Roman"/>
          <w:i w:val="0"/>
          <w:iCs w:val="0"/>
          <w:caps w:val="0"/>
          <w:color w:val="000000"/>
          <w:spacing w:val="0"/>
          <w:kern w:val="0"/>
          <w:sz w:val="28"/>
          <w:szCs w:val="28"/>
          <w:shd w:val="clear"/>
          <w:lang w:val="zh-TW" w:eastAsia="zh-CN" w:bidi="zh-TW"/>
        </w:rPr>
        <w:t>量（包括采购绿电绿证）</w:t>
      </w:r>
      <w:r>
        <w:rPr>
          <w:rFonts w:hint="eastAsia" w:ascii="仿宋_GB2312" w:hAnsi="黑体" w:eastAsia="仿宋_GB2312" w:cs="Times New Roman"/>
          <w:i w:val="0"/>
          <w:iCs w:val="0"/>
          <w:caps w:val="0"/>
          <w:color w:val="000000"/>
          <w:spacing w:val="0"/>
          <w:kern w:val="0"/>
          <w:sz w:val="28"/>
          <w:szCs w:val="28"/>
          <w:shd w:val="clear"/>
          <w:lang w:val="en-US" w:eastAsia="zh-CN" w:bidi="zh-TW"/>
        </w:rPr>
        <w:t>占能源消费总量的比例。</w:t>
      </w:r>
    </w:p>
    <w:p w14:paraId="5E5DD82B">
      <w:pPr>
        <w:tabs>
          <w:tab w:val="left" w:pos="1046"/>
        </w:tabs>
        <w:snapToGrid w:val="0"/>
        <w:spacing w:line="560" w:lineRule="exact"/>
        <w:ind w:firstLine="562" w:firstLineChars="200"/>
        <w:contextualSpacing/>
        <w:jc w:val="left"/>
        <w:rPr>
          <w:rFonts w:hint="eastAsia" w:ascii="仿宋_GB2312" w:hAnsi="黑体" w:eastAsia="仿宋_GB2312" w:cs="Times New Roman"/>
          <w:color w:val="000000"/>
          <w:kern w:val="0"/>
          <w:sz w:val="28"/>
          <w:szCs w:val="28"/>
          <w:lang w:val="zh-TW" w:eastAsia="zh-TW" w:bidi="zh-TW"/>
        </w:rPr>
      </w:pPr>
      <w:r>
        <w:rPr>
          <w:rFonts w:hint="eastAsia" w:ascii="仿宋_GB2312" w:hAnsi="黑体" w:eastAsia="仿宋_GB2312" w:cs="Times New Roman"/>
          <w:b/>
          <w:bCs/>
          <w:color w:val="000000"/>
          <w:kern w:val="0"/>
          <w:sz w:val="28"/>
          <w:szCs w:val="28"/>
          <w:lang w:val="en-US" w:eastAsia="zh-CN" w:bidi="zh-TW"/>
        </w:rPr>
        <w:t>7.</w:t>
      </w:r>
      <w:r>
        <w:rPr>
          <w:rFonts w:hint="eastAsia" w:ascii="仿宋_GB2312" w:hAnsi="黑体" w:eastAsia="仿宋_GB2312" w:cs="Times New Roman"/>
          <w:b/>
          <w:bCs/>
          <w:color w:val="000000"/>
          <w:kern w:val="0"/>
          <w:sz w:val="28"/>
          <w:szCs w:val="28"/>
          <w:lang w:val="zh-TW" w:eastAsia="zh-TW" w:bidi="zh-TW"/>
        </w:rPr>
        <w:t>水耗强度</w:t>
      </w:r>
      <w:r>
        <w:rPr>
          <w:rFonts w:hint="eastAsia" w:ascii="仿宋_GB2312" w:hAnsi="黑体" w:eastAsia="仿宋_GB2312" w:cs="Times New Roman"/>
          <w:color w:val="000000"/>
          <w:kern w:val="0"/>
          <w:sz w:val="28"/>
          <w:szCs w:val="28"/>
          <w:u w:val="none"/>
          <w:lang w:val="zh-TW" w:eastAsia="zh-TW" w:bidi="zh-TW"/>
        </w:rPr>
        <w:t>：</w:t>
      </w:r>
      <w:r>
        <w:rPr>
          <w:rFonts w:hint="eastAsia" w:ascii="仿宋_GB2312" w:hAnsi="黑体" w:eastAsia="仿宋_GB2312" w:cs="Times New Roman"/>
          <w:i w:val="0"/>
          <w:iCs w:val="0"/>
          <w:caps w:val="0"/>
          <w:color w:val="000000"/>
          <w:spacing w:val="0"/>
          <w:kern w:val="0"/>
          <w:sz w:val="28"/>
          <w:szCs w:val="28"/>
          <w:shd w:val="clear"/>
          <w:lang w:val="zh-TW" w:eastAsia="zh-TW" w:bidi="zh-TW"/>
        </w:rPr>
        <w:t>单位产值或产品所消耗的水资源量。</w:t>
      </w:r>
    </w:p>
    <w:p w14:paraId="004DD44F">
      <w:pPr>
        <w:tabs>
          <w:tab w:val="left" w:pos="1046"/>
        </w:tabs>
        <w:snapToGrid w:val="0"/>
        <w:spacing w:line="560" w:lineRule="exact"/>
        <w:ind w:firstLine="562" w:firstLineChars="200"/>
        <w:contextualSpacing/>
        <w:jc w:val="left"/>
        <w:rPr>
          <w:rFonts w:hint="eastAsia" w:ascii="仿宋_GB2312" w:hAnsi="黑体" w:eastAsia="仿宋_GB2312" w:cs="Times New Roman"/>
          <w:color w:val="000000"/>
          <w:kern w:val="0"/>
          <w:sz w:val="28"/>
          <w:szCs w:val="28"/>
          <w:lang w:val="zh-TW" w:eastAsia="zh-TW" w:bidi="zh-TW"/>
        </w:rPr>
      </w:pPr>
      <w:r>
        <w:rPr>
          <w:rFonts w:hint="eastAsia" w:ascii="仿宋_GB2312" w:hAnsi="黑体" w:eastAsia="仿宋_GB2312" w:cs="Times New Roman"/>
          <w:b/>
          <w:bCs/>
          <w:color w:val="000000"/>
          <w:kern w:val="0"/>
          <w:sz w:val="28"/>
          <w:szCs w:val="28"/>
          <w:lang w:val="en-US" w:eastAsia="zh-CN" w:bidi="zh-TW"/>
        </w:rPr>
        <w:t>8.</w:t>
      </w:r>
      <w:r>
        <w:rPr>
          <w:rFonts w:hint="eastAsia" w:ascii="仿宋_GB2312" w:hAnsi="黑体" w:eastAsia="仿宋_GB2312" w:cs="Times New Roman"/>
          <w:b/>
          <w:bCs/>
          <w:color w:val="000000"/>
          <w:kern w:val="0"/>
          <w:sz w:val="28"/>
          <w:szCs w:val="28"/>
          <w:lang w:val="zh-TW" w:eastAsia="zh-TW" w:bidi="zh-TW"/>
        </w:rPr>
        <w:t>一般固废综合利用率</w:t>
      </w:r>
      <w:r>
        <w:rPr>
          <w:rFonts w:hint="eastAsia" w:ascii="仿宋_GB2312" w:hAnsi="黑体" w:eastAsia="仿宋_GB2312" w:cs="Times New Roman"/>
          <w:color w:val="000000"/>
          <w:kern w:val="0"/>
          <w:sz w:val="28"/>
          <w:szCs w:val="28"/>
          <w:lang w:val="zh-TW" w:eastAsia="zh-TW" w:bidi="zh-TW"/>
        </w:rPr>
        <w:t>（综合利用量/产生量+贮存量）</w:t>
      </w:r>
      <w:r>
        <w:rPr>
          <w:rFonts w:hint="eastAsia" w:ascii="仿宋_GB2312" w:hAnsi="黑体" w:eastAsia="仿宋_GB2312" w:cs="Times New Roman"/>
          <w:color w:val="000000"/>
          <w:kern w:val="0"/>
          <w:sz w:val="28"/>
          <w:szCs w:val="28"/>
          <w:u w:val="none"/>
          <w:lang w:val="zh-TW" w:eastAsia="zh-TW" w:bidi="zh-TW"/>
        </w:rPr>
        <w:t>：</w:t>
      </w:r>
      <w:r>
        <w:rPr>
          <w:rFonts w:hint="eastAsia" w:ascii="仿宋_GB2312" w:hAnsi="黑体" w:eastAsia="仿宋_GB2312" w:cs="Times New Roman"/>
          <w:i w:val="0"/>
          <w:iCs w:val="0"/>
          <w:caps w:val="0"/>
          <w:color w:val="000000"/>
          <w:spacing w:val="0"/>
          <w:kern w:val="0"/>
          <w:sz w:val="28"/>
          <w:szCs w:val="28"/>
          <w:shd w:val="clear"/>
          <w:lang w:val="zh-TW" w:eastAsia="zh-TW" w:bidi="zh-TW"/>
        </w:rPr>
        <w:t>企业通过回收、加工、循环、交换等方式，从固体废物中提取或转化为可利用资源、能源或其他原材料的固体废物量占一般工业固体废物产生量（包括综合利用往年贮存量）的</w:t>
      </w:r>
      <w:r>
        <w:rPr>
          <w:rFonts w:hint="eastAsia" w:ascii="仿宋_GB2312" w:hAnsi="黑体" w:eastAsia="仿宋_GB2312" w:cs="Times New Roman"/>
          <w:i w:val="0"/>
          <w:iCs w:val="0"/>
          <w:caps w:val="0"/>
          <w:color w:val="000000"/>
          <w:spacing w:val="0"/>
          <w:kern w:val="0"/>
          <w:sz w:val="28"/>
          <w:szCs w:val="28"/>
          <w:shd w:val="clear"/>
          <w:lang w:val="zh-TW" w:eastAsia="zh-CN" w:bidi="zh-TW"/>
        </w:rPr>
        <w:t>比例</w:t>
      </w:r>
      <w:r>
        <w:rPr>
          <w:rFonts w:hint="eastAsia" w:ascii="仿宋_GB2312" w:hAnsi="黑体" w:eastAsia="仿宋_GB2312" w:cs="Times New Roman"/>
          <w:i w:val="0"/>
          <w:iCs w:val="0"/>
          <w:caps w:val="0"/>
          <w:color w:val="000000"/>
          <w:spacing w:val="0"/>
          <w:kern w:val="0"/>
          <w:sz w:val="28"/>
          <w:szCs w:val="28"/>
          <w:shd w:val="clear"/>
          <w:lang w:val="zh-TW" w:eastAsia="zh-TW" w:bidi="zh-TW"/>
        </w:rPr>
        <w:t>。</w:t>
      </w:r>
    </w:p>
    <w:p w14:paraId="5301C346">
      <w:pPr>
        <w:tabs>
          <w:tab w:val="left" w:pos="1046"/>
        </w:tabs>
        <w:snapToGrid w:val="0"/>
        <w:spacing w:line="560" w:lineRule="exact"/>
        <w:ind w:firstLine="562" w:firstLineChars="200"/>
        <w:contextualSpacing/>
        <w:jc w:val="left"/>
        <w:rPr>
          <w:rFonts w:hint="eastAsia" w:ascii="仿宋_GB2312" w:hAnsi="黑体" w:eastAsia="仿宋_GB2312" w:cs="Times New Roman"/>
          <w:color w:val="000000"/>
          <w:kern w:val="0"/>
          <w:sz w:val="28"/>
          <w:szCs w:val="28"/>
          <w:lang w:val="zh-TW" w:eastAsia="zh-TW" w:bidi="zh-TW"/>
        </w:rPr>
      </w:pPr>
      <w:r>
        <w:rPr>
          <w:rFonts w:hint="eastAsia" w:ascii="仿宋_GB2312" w:hAnsi="黑体" w:eastAsia="仿宋_GB2312" w:cs="Times New Roman"/>
          <w:b/>
          <w:bCs/>
          <w:color w:val="000000"/>
          <w:kern w:val="0"/>
          <w:sz w:val="28"/>
          <w:szCs w:val="28"/>
          <w:lang w:val="en-US" w:eastAsia="zh-CN" w:bidi="zh-TW"/>
        </w:rPr>
        <w:t>9.</w:t>
      </w:r>
      <w:r>
        <w:rPr>
          <w:rFonts w:hint="eastAsia" w:ascii="仿宋_GB2312" w:hAnsi="黑体" w:eastAsia="仿宋_GB2312" w:cs="Times New Roman"/>
          <w:b/>
          <w:bCs/>
          <w:color w:val="000000"/>
          <w:kern w:val="0"/>
          <w:sz w:val="28"/>
          <w:szCs w:val="28"/>
          <w:lang w:val="zh-TW" w:eastAsia="zh-TW" w:bidi="zh-TW"/>
        </w:rPr>
        <w:t>环境保护和资源节约投入</w:t>
      </w:r>
      <w:r>
        <w:rPr>
          <w:rFonts w:hint="eastAsia" w:ascii="仿宋_GB2312" w:hAnsi="黑体" w:eastAsia="仿宋_GB2312" w:cs="Times New Roman"/>
          <w:color w:val="000000"/>
          <w:kern w:val="0"/>
          <w:sz w:val="28"/>
          <w:szCs w:val="28"/>
          <w:u w:val="none"/>
          <w:lang w:val="zh-TW" w:eastAsia="zh-TW" w:bidi="zh-TW"/>
        </w:rPr>
        <w:t>：</w:t>
      </w:r>
      <w:r>
        <w:rPr>
          <w:rFonts w:hint="eastAsia" w:ascii="仿宋_GB2312" w:hAnsi="黑体" w:eastAsia="仿宋_GB2312" w:cs="Times New Roman"/>
          <w:i w:val="0"/>
          <w:iCs w:val="0"/>
          <w:caps w:val="0"/>
          <w:color w:val="000000"/>
          <w:spacing w:val="0"/>
          <w:kern w:val="0"/>
          <w:sz w:val="28"/>
          <w:szCs w:val="28"/>
          <w:shd w:val="clear"/>
          <w:lang w:val="zh-TW" w:eastAsia="zh-TW" w:bidi="zh-TW"/>
        </w:rPr>
        <w:t>企业在生产过程中对资源节约、循环利用、环境保护等方面的投入</w:t>
      </w:r>
      <w:r>
        <w:rPr>
          <w:rFonts w:hint="eastAsia" w:ascii="仿宋_GB2312" w:hAnsi="黑体" w:eastAsia="仿宋_GB2312" w:cs="Times New Roman"/>
          <w:i w:val="0"/>
          <w:iCs w:val="0"/>
          <w:caps w:val="0"/>
          <w:color w:val="000000"/>
          <w:spacing w:val="0"/>
          <w:kern w:val="0"/>
          <w:sz w:val="28"/>
          <w:szCs w:val="28"/>
          <w:shd w:val="clear"/>
          <w:lang w:val="zh-TW" w:eastAsia="zh-CN" w:bidi="zh-TW"/>
        </w:rPr>
        <w:t>资金</w:t>
      </w:r>
      <w:r>
        <w:rPr>
          <w:rFonts w:hint="eastAsia" w:ascii="仿宋_GB2312" w:hAnsi="黑体" w:eastAsia="仿宋_GB2312" w:cs="Times New Roman"/>
          <w:i w:val="0"/>
          <w:iCs w:val="0"/>
          <w:caps w:val="0"/>
          <w:color w:val="000000"/>
          <w:spacing w:val="0"/>
          <w:kern w:val="0"/>
          <w:sz w:val="28"/>
          <w:szCs w:val="28"/>
          <w:shd w:val="clear"/>
          <w:lang w:val="zh-TW" w:eastAsia="zh-TW" w:bidi="zh-TW"/>
        </w:rPr>
        <w:t>。</w:t>
      </w:r>
    </w:p>
    <w:p w14:paraId="19356534">
      <w:pPr>
        <w:tabs>
          <w:tab w:val="left" w:pos="1046"/>
        </w:tabs>
        <w:snapToGrid w:val="0"/>
        <w:spacing w:line="560" w:lineRule="exact"/>
        <w:ind w:firstLine="562" w:firstLineChars="200"/>
        <w:contextualSpacing/>
        <w:jc w:val="left"/>
        <w:rPr>
          <w:rFonts w:hint="eastAsia" w:ascii="仿宋_GB2312" w:hAnsi="黑体" w:eastAsia="仿宋_GB2312" w:cs="Times New Roman"/>
          <w:color w:val="000000"/>
          <w:kern w:val="0"/>
          <w:sz w:val="28"/>
          <w:szCs w:val="28"/>
          <w:lang w:val="zh-TW" w:eastAsia="zh-TW" w:bidi="zh-TW"/>
        </w:rPr>
      </w:pPr>
      <w:r>
        <w:rPr>
          <w:rFonts w:hint="eastAsia" w:ascii="仿宋_GB2312" w:hAnsi="黑体" w:eastAsia="仿宋_GB2312" w:cs="Times New Roman"/>
          <w:b/>
          <w:bCs/>
          <w:color w:val="000000"/>
          <w:kern w:val="0"/>
          <w:sz w:val="28"/>
          <w:szCs w:val="28"/>
          <w:lang w:val="en-US" w:eastAsia="zh-CN" w:bidi="zh-TW"/>
        </w:rPr>
        <w:t>10.</w:t>
      </w:r>
      <w:r>
        <w:rPr>
          <w:rFonts w:hint="eastAsia" w:ascii="仿宋_GB2312" w:hAnsi="黑体" w:eastAsia="仿宋_GB2312" w:cs="Times New Roman"/>
          <w:b/>
          <w:bCs/>
          <w:color w:val="000000"/>
          <w:kern w:val="0"/>
          <w:sz w:val="28"/>
          <w:szCs w:val="28"/>
          <w:lang w:val="zh-TW" w:eastAsia="zh-TW" w:bidi="zh-TW"/>
        </w:rPr>
        <w:t>研发投入强度</w:t>
      </w:r>
      <w:r>
        <w:rPr>
          <w:rFonts w:hint="eastAsia" w:ascii="仿宋_GB2312" w:hAnsi="黑体" w:eastAsia="仿宋_GB2312" w:cs="Times New Roman"/>
          <w:color w:val="000000"/>
          <w:kern w:val="0"/>
          <w:sz w:val="28"/>
          <w:szCs w:val="28"/>
          <w:u w:val="none"/>
          <w:lang w:val="zh-TW" w:eastAsia="zh-TW" w:bidi="zh-TW"/>
        </w:rPr>
        <w:t>：企业</w:t>
      </w:r>
      <w:r>
        <w:rPr>
          <w:rFonts w:hint="eastAsia" w:ascii="仿宋_GB2312" w:hAnsi="黑体" w:eastAsia="仿宋_GB2312" w:cs="Times New Roman"/>
          <w:i w:val="0"/>
          <w:iCs w:val="0"/>
          <w:caps w:val="0"/>
          <w:color w:val="000000"/>
          <w:spacing w:val="0"/>
          <w:kern w:val="0"/>
          <w:sz w:val="28"/>
          <w:szCs w:val="28"/>
          <w:shd w:val="clear"/>
          <w:lang w:val="zh-TW" w:eastAsia="zh-TW" w:bidi="zh-TW"/>
        </w:rPr>
        <w:t>研发支出与营业收入的比率。</w:t>
      </w:r>
    </w:p>
    <w:p w14:paraId="51856D9B">
      <w:pPr>
        <w:tabs>
          <w:tab w:val="left" w:pos="1046"/>
        </w:tabs>
        <w:snapToGrid w:val="0"/>
        <w:spacing w:line="560" w:lineRule="exact"/>
        <w:ind w:firstLine="562" w:firstLineChars="200"/>
        <w:contextualSpacing/>
        <w:jc w:val="left"/>
        <w:rPr>
          <w:rFonts w:hint="eastAsia" w:ascii="仿宋_GB2312" w:hAnsi="黑体" w:eastAsia="仿宋_GB2312" w:cs="Times New Roman"/>
          <w:color w:val="000000"/>
          <w:kern w:val="0"/>
          <w:sz w:val="28"/>
          <w:szCs w:val="28"/>
          <w:lang w:val="zh-TW" w:eastAsia="zh-TW" w:bidi="zh-TW"/>
        </w:rPr>
      </w:pPr>
      <w:r>
        <w:rPr>
          <w:rFonts w:hint="eastAsia" w:ascii="仿宋_GB2312" w:hAnsi="黑体" w:eastAsia="仿宋_GB2312" w:cs="Times New Roman"/>
          <w:b/>
          <w:bCs/>
          <w:color w:val="000000"/>
          <w:kern w:val="0"/>
          <w:sz w:val="28"/>
          <w:szCs w:val="28"/>
          <w:lang w:val="en-US" w:eastAsia="zh-CN" w:bidi="zh-TW"/>
        </w:rPr>
        <w:t>11.</w:t>
      </w:r>
      <w:r>
        <w:rPr>
          <w:rFonts w:hint="eastAsia" w:ascii="仿宋_GB2312" w:hAnsi="黑体" w:eastAsia="仿宋_GB2312" w:cs="Times New Roman"/>
          <w:b/>
          <w:bCs/>
          <w:color w:val="000000"/>
          <w:kern w:val="0"/>
          <w:sz w:val="28"/>
          <w:szCs w:val="28"/>
          <w:lang w:val="zh-TW" w:eastAsia="zh-TW" w:bidi="zh-TW"/>
        </w:rPr>
        <w:t>参与国际、国家、行业、地方等标准数量</w:t>
      </w:r>
      <w:r>
        <w:rPr>
          <w:rFonts w:hint="eastAsia" w:ascii="仿宋_GB2312" w:hAnsi="黑体" w:eastAsia="仿宋_GB2312" w:cs="Times New Roman"/>
          <w:color w:val="000000"/>
          <w:kern w:val="0"/>
          <w:sz w:val="28"/>
          <w:szCs w:val="28"/>
          <w:u w:val="none"/>
          <w:lang w:val="zh-TW" w:eastAsia="zh-TW" w:bidi="zh-TW"/>
        </w:rPr>
        <w:t>：</w:t>
      </w:r>
      <w:r>
        <w:rPr>
          <w:rFonts w:hint="eastAsia" w:ascii="仿宋_GB2312" w:hAnsi="黑体" w:eastAsia="仿宋_GB2312" w:cs="Times New Roman"/>
          <w:i w:val="0"/>
          <w:iCs w:val="0"/>
          <w:caps w:val="0"/>
          <w:color w:val="000000"/>
          <w:spacing w:val="0"/>
          <w:kern w:val="0"/>
          <w:sz w:val="28"/>
          <w:szCs w:val="28"/>
          <w:shd w:val="clear"/>
          <w:lang w:val="zh-TW" w:eastAsia="zh-TW" w:bidi="zh-TW"/>
        </w:rPr>
        <w:t>企业在国际、国家、行业、地方等不同层级上</w:t>
      </w:r>
      <w:r>
        <w:rPr>
          <w:rFonts w:hint="eastAsia" w:ascii="仿宋_GB2312" w:hAnsi="黑体" w:eastAsia="仿宋_GB2312" w:cs="Times New Roman"/>
          <w:i w:val="0"/>
          <w:iCs w:val="0"/>
          <w:caps w:val="0"/>
          <w:color w:val="000000"/>
          <w:spacing w:val="0"/>
          <w:kern w:val="0"/>
          <w:sz w:val="28"/>
          <w:szCs w:val="28"/>
          <w:shd w:val="clear"/>
          <w:lang w:val="zh-TW" w:eastAsia="zh-CN" w:bidi="zh-TW"/>
        </w:rPr>
        <w:t>主导制定或</w:t>
      </w:r>
      <w:r>
        <w:rPr>
          <w:rFonts w:hint="eastAsia" w:ascii="仿宋_GB2312" w:hAnsi="黑体" w:eastAsia="仿宋_GB2312" w:cs="Times New Roman"/>
          <w:i w:val="0"/>
          <w:iCs w:val="0"/>
          <w:caps w:val="0"/>
          <w:color w:val="000000"/>
          <w:spacing w:val="0"/>
          <w:kern w:val="0"/>
          <w:sz w:val="28"/>
          <w:szCs w:val="28"/>
          <w:shd w:val="clear"/>
          <w:lang w:val="zh-TW" w:eastAsia="zh-TW" w:bidi="zh-TW"/>
        </w:rPr>
        <w:t>参与制定标准的数量。</w:t>
      </w:r>
    </w:p>
    <w:p w14:paraId="4C781C25">
      <w:pPr>
        <w:tabs>
          <w:tab w:val="left" w:pos="1046"/>
        </w:tabs>
        <w:snapToGrid w:val="0"/>
        <w:spacing w:line="560" w:lineRule="exact"/>
        <w:ind w:firstLine="562" w:firstLineChars="200"/>
        <w:contextualSpacing/>
        <w:jc w:val="left"/>
        <w:rPr>
          <w:rFonts w:hint="eastAsia" w:ascii="仿宋_GB2312" w:hAnsi="黑体" w:eastAsia="仿宋_GB2312" w:cs="Times New Roman"/>
          <w:i w:val="0"/>
          <w:iCs w:val="0"/>
          <w:caps w:val="0"/>
          <w:color w:val="000000"/>
          <w:spacing w:val="0"/>
          <w:kern w:val="0"/>
          <w:sz w:val="28"/>
          <w:szCs w:val="28"/>
          <w:shd w:val="clear"/>
          <w:lang w:val="zh-TW" w:eastAsia="zh-CN" w:bidi="zh-TW"/>
        </w:rPr>
      </w:pPr>
      <w:r>
        <w:rPr>
          <w:rFonts w:hint="eastAsia" w:ascii="仿宋_GB2312" w:hAnsi="黑体" w:eastAsia="仿宋_GB2312" w:cs="Times New Roman"/>
          <w:b/>
          <w:bCs/>
          <w:color w:val="000000"/>
          <w:kern w:val="0"/>
          <w:sz w:val="28"/>
          <w:szCs w:val="28"/>
          <w:lang w:val="en-US" w:eastAsia="zh-CN" w:bidi="zh-TW"/>
        </w:rPr>
        <w:t>12.国际PCT或国内授权</w:t>
      </w:r>
      <w:r>
        <w:rPr>
          <w:rFonts w:hint="eastAsia" w:ascii="仿宋_GB2312" w:hAnsi="黑体" w:eastAsia="仿宋_GB2312" w:cs="Times New Roman"/>
          <w:b/>
          <w:bCs/>
          <w:color w:val="000000"/>
          <w:kern w:val="0"/>
          <w:sz w:val="28"/>
          <w:szCs w:val="28"/>
          <w:lang w:val="zh-TW" w:eastAsia="zh-TW" w:bidi="zh-TW"/>
        </w:rPr>
        <w:t>发明专利数</w:t>
      </w:r>
      <w:r>
        <w:rPr>
          <w:rFonts w:hint="eastAsia" w:ascii="仿宋_GB2312" w:hAnsi="黑体" w:eastAsia="仿宋_GB2312" w:cs="Times New Roman"/>
          <w:color w:val="000000"/>
          <w:kern w:val="0"/>
          <w:sz w:val="28"/>
          <w:szCs w:val="28"/>
          <w:u w:val="none"/>
          <w:lang w:val="zh-TW" w:eastAsia="zh-TW" w:bidi="zh-TW"/>
        </w:rPr>
        <w:t>：</w:t>
      </w:r>
      <w:r>
        <w:rPr>
          <w:rFonts w:hint="eastAsia" w:ascii="仿宋_GB2312" w:hAnsi="黑体" w:eastAsia="仿宋_GB2312" w:cs="Times New Roman"/>
          <w:i w:val="0"/>
          <w:iCs w:val="0"/>
          <w:caps w:val="0"/>
          <w:color w:val="000000"/>
          <w:spacing w:val="0"/>
          <w:kern w:val="0"/>
          <w:sz w:val="28"/>
          <w:szCs w:val="28"/>
          <w:shd w:val="clear"/>
          <w:lang w:val="zh-TW" w:eastAsia="zh-TW" w:bidi="zh-TW"/>
        </w:rPr>
        <w:t>企业在</w:t>
      </w:r>
      <w:r>
        <w:rPr>
          <w:rFonts w:hint="eastAsia" w:ascii="仿宋_GB2312" w:hAnsi="黑体" w:eastAsia="仿宋_GB2312" w:cs="Times New Roman"/>
          <w:i w:val="0"/>
          <w:iCs w:val="0"/>
          <w:caps w:val="0"/>
          <w:color w:val="000000"/>
          <w:spacing w:val="0"/>
          <w:kern w:val="0"/>
          <w:sz w:val="28"/>
          <w:szCs w:val="28"/>
          <w:shd w:val="clear"/>
          <w:lang w:val="en-US" w:eastAsia="zh-CN" w:bidi="zh-TW"/>
        </w:rPr>
        <w:t>2024年度通过国际PCT体系申报获得的国际专利或</w:t>
      </w:r>
      <w:r>
        <w:rPr>
          <w:rFonts w:hint="eastAsia" w:ascii="仿宋_GB2312" w:hAnsi="黑体" w:eastAsia="仿宋_GB2312" w:cs="Times New Roman"/>
          <w:i w:val="0"/>
          <w:iCs w:val="0"/>
          <w:caps w:val="0"/>
          <w:color w:val="000000"/>
          <w:spacing w:val="0"/>
          <w:kern w:val="0"/>
          <w:sz w:val="28"/>
          <w:szCs w:val="28"/>
          <w:shd w:val="clear"/>
          <w:lang w:val="zh-TW" w:eastAsia="zh-TW" w:bidi="zh-TW"/>
        </w:rPr>
        <w:t>国家知识产权行政部门授权的国内发明专利数量</w:t>
      </w:r>
      <w:r>
        <w:rPr>
          <w:rFonts w:hint="eastAsia" w:ascii="仿宋_GB2312" w:hAnsi="黑体" w:eastAsia="仿宋_GB2312" w:cs="Times New Roman"/>
          <w:i w:val="0"/>
          <w:iCs w:val="0"/>
          <w:caps w:val="0"/>
          <w:color w:val="000000"/>
          <w:spacing w:val="0"/>
          <w:kern w:val="0"/>
          <w:sz w:val="28"/>
          <w:szCs w:val="28"/>
          <w:shd w:val="clear"/>
          <w:lang w:val="zh-TW" w:eastAsia="zh-CN" w:bidi="zh-TW"/>
        </w:rPr>
        <w:t>。</w:t>
      </w:r>
    </w:p>
    <w:p w14:paraId="18812903">
      <w:pPr>
        <w:tabs>
          <w:tab w:val="left" w:pos="1046"/>
        </w:tabs>
        <w:snapToGrid w:val="0"/>
        <w:spacing w:line="560" w:lineRule="exact"/>
        <w:ind w:firstLine="562" w:firstLineChars="200"/>
        <w:contextualSpacing/>
        <w:jc w:val="left"/>
        <w:rPr>
          <w:rFonts w:hint="default" w:ascii="仿宋_GB2312" w:hAnsi="黑体" w:eastAsia="仿宋_GB2312" w:cs="Times New Roman"/>
          <w:i w:val="0"/>
          <w:iCs w:val="0"/>
          <w:caps w:val="0"/>
          <w:color w:val="000000"/>
          <w:spacing w:val="0"/>
          <w:kern w:val="0"/>
          <w:sz w:val="28"/>
          <w:szCs w:val="28"/>
          <w:shd w:val="clear"/>
          <w:lang w:val="en-US" w:eastAsia="zh-CN" w:bidi="zh-TW"/>
        </w:rPr>
      </w:pPr>
      <w:r>
        <w:rPr>
          <w:rFonts w:hint="eastAsia" w:ascii="仿宋_GB2312" w:hAnsi="黑体" w:eastAsia="仿宋_GB2312" w:cs="Times New Roman"/>
          <w:b/>
          <w:bCs/>
          <w:i w:val="0"/>
          <w:iCs w:val="0"/>
          <w:caps w:val="0"/>
          <w:color w:val="000000"/>
          <w:spacing w:val="0"/>
          <w:kern w:val="0"/>
          <w:sz w:val="28"/>
          <w:szCs w:val="28"/>
          <w:shd w:val="clear"/>
          <w:lang w:val="en-US" w:eastAsia="zh-CN" w:bidi="zh-TW"/>
        </w:rPr>
        <w:t>13.新产品营业收入占比</w:t>
      </w:r>
      <w:r>
        <w:rPr>
          <w:rFonts w:hint="eastAsia" w:ascii="仿宋_GB2312" w:hAnsi="黑体" w:eastAsia="仿宋_GB2312" w:cs="Times New Roman"/>
          <w:i w:val="0"/>
          <w:iCs w:val="0"/>
          <w:caps w:val="0"/>
          <w:color w:val="000000"/>
          <w:spacing w:val="0"/>
          <w:kern w:val="0"/>
          <w:sz w:val="28"/>
          <w:szCs w:val="28"/>
          <w:shd w:val="clear"/>
          <w:lang w:val="en-US" w:eastAsia="zh-CN" w:bidi="zh-TW"/>
        </w:rPr>
        <w:t>：企业开发新产品（包括全新产品、升级产品和换代产品）取得的销售收入占企业营业收入的比例。</w:t>
      </w:r>
    </w:p>
    <w:p w14:paraId="75C7C2B5">
      <w:pPr>
        <w:keepNext w:val="0"/>
        <w:keepLines w:val="0"/>
        <w:widowControl/>
        <w:suppressLineNumbers w:val="0"/>
        <w:tabs>
          <w:tab w:val="left" w:pos="1046"/>
        </w:tabs>
        <w:snapToGrid w:val="0"/>
        <w:spacing w:line="560" w:lineRule="exact"/>
        <w:ind w:firstLine="562" w:firstLineChars="200"/>
        <w:contextualSpacing/>
        <w:jc w:val="left"/>
        <w:rPr>
          <w:rFonts w:hint="eastAsia" w:ascii="仿宋_GB2312" w:hAnsi="黑体" w:eastAsia="仿宋_GB2312" w:cs="Times New Roman"/>
          <w:color w:val="000000"/>
          <w:kern w:val="0"/>
          <w:sz w:val="28"/>
          <w:szCs w:val="28"/>
          <w:lang w:val="zh-TW" w:eastAsia="zh-TW" w:bidi="zh-TW"/>
        </w:rPr>
      </w:pPr>
      <w:r>
        <w:rPr>
          <w:rFonts w:hint="eastAsia" w:ascii="仿宋_GB2312" w:hAnsi="黑体" w:eastAsia="仿宋_GB2312" w:cs="Times New Roman"/>
          <w:b/>
          <w:bCs/>
          <w:color w:val="000000"/>
          <w:kern w:val="0"/>
          <w:sz w:val="28"/>
          <w:szCs w:val="28"/>
          <w:lang w:val="en-US" w:eastAsia="zh-CN" w:bidi="zh-TW"/>
        </w:rPr>
        <w:t>14.</w:t>
      </w:r>
      <w:r>
        <w:rPr>
          <w:rFonts w:hint="eastAsia" w:ascii="仿宋_GB2312" w:hAnsi="黑体" w:eastAsia="仿宋_GB2312" w:cs="Times New Roman"/>
          <w:b/>
          <w:bCs/>
          <w:color w:val="000000"/>
          <w:kern w:val="0"/>
          <w:sz w:val="28"/>
          <w:szCs w:val="28"/>
          <w:lang w:val="zh-TW" w:eastAsia="zh-TW" w:bidi="zh-TW"/>
        </w:rPr>
        <w:t>绿色采购金额占比</w:t>
      </w:r>
      <w:r>
        <w:rPr>
          <w:rFonts w:hint="eastAsia" w:ascii="仿宋_GB2312" w:hAnsi="黑体" w:eastAsia="仿宋_GB2312" w:cs="Times New Roman"/>
          <w:color w:val="000000"/>
          <w:kern w:val="0"/>
          <w:sz w:val="28"/>
          <w:szCs w:val="28"/>
          <w:u w:val="none"/>
          <w:lang w:val="zh-TW" w:eastAsia="zh-TW" w:bidi="zh-TW"/>
        </w:rPr>
        <w:t>：</w:t>
      </w:r>
      <w:r>
        <w:rPr>
          <w:rFonts w:hint="eastAsia" w:ascii="仿宋_GB2312" w:hAnsi="黑体" w:eastAsia="仿宋_GB2312" w:cs="Times New Roman"/>
          <w:i w:val="0"/>
          <w:iCs w:val="0"/>
          <w:caps w:val="0"/>
          <w:color w:val="000000"/>
          <w:spacing w:val="0"/>
          <w:kern w:val="0"/>
          <w:sz w:val="28"/>
          <w:szCs w:val="28"/>
          <w:shd w:val="clear"/>
          <w:lang w:val="zh-TW" w:eastAsia="zh-TW" w:bidi="zh-TW"/>
        </w:rPr>
        <w:t>企业绿色采购金额占其总采购金额的比例。绿色采购是指</w:t>
      </w:r>
      <w:r>
        <w:rPr>
          <w:rFonts w:hint="eastAsia" w:ascii="仿宋_GB2312" w:hAnsi="黑体" w:eastAsia="仿宋_GB2312" w:cs="Times New Roman"/>
          <w:color w:val="000000"/>
          <w:kern w:val="0"/>
          <w:sz w:val="28"/>
          <w:szCs w:val="28"/>
          <w:lang w:val="zh-TW" w:eastAsia="zh-TW" w:bidi="zh-TW"/>
        </w:rPr>
        <w:t>在采购活动中，充分考虑环境保护、资源节约、安全健康、循环低碳和回收利用等，优先采购和使用节能、节水、节材等有利于生态环境保护的原材料、产品和服务。</w:t>
      </w:r>
    </w:p>
    <w:p w14:paraId="41D71FBC">
      <w:pPr>
        <w:tabs>
          <w:tab w:val="left" w:pos="1046"/>
        </w:tabs>
        <w:snapToGrid w:val="0"/>
        <w:spacing w:line="560" w:lineRule="exact"/>
        <w:ind w:firstLine="562" w:firstLineChars="200"/>
        <w:contextualSpacing/>
        <w:jc w:val="left"/>
        <w:rPr>
          <w:rFonts w:hint="eastAsia" w:ascii="仿宋_GB2312" w:hAnsi="黑体" w:eastAsia="仿宋_GB2312" w:cs="Times New Roman"/>
          <w:i w:val="0"/>
          <w:iCs w:val="0"/>
          <w:caps w:val="0"/>
          <w:color w:val="000000"/>
          <w:spacing w:val="0"/>
          <w:kern w:val="0"/>
          <w:sz w:val="28"/>
          <w:szCs w:val="28"/>
          <w:shd w:val="clear"/>
          <w:lang w:val="zh-TW" w:eastAsia="zh-TW" w:bidi="zh-TW"/>
        </w:rPr>
      </w:pPr>
      <w:r>
        <w:rPr>
          <w:rFonts w:hint="eastAsia" w:ascii="仿宋_GB2312" w:hAnsi="黑体" w:eastAsia="仿宋_GB2312" w:cs="Times New Roman"/>
          <w:b/>
          <w:bCs/>
          <w:color w:val="000000"/>
          <w:kern w:val="0"/>
          <w:sz w:val="28"/>
          <w:szCs w:val="28"/>
          <w:lang w:val="en-US" w:eastAsia="zh-CN" w:bidi="zh-TW"/>
        </w:rPr>
        <w:t>15.</w:t>
      </w:r>
      <w:r>
        <w:rPr>
          <w:rFonts w:hint="eastAsia" w:ascii="仿宋_GB2312" w:hAnsi="黑体" w:eastAsia="仿宋_GB2312" w:cs="Times New Roman"/>
          <w:b/>
          <w:bCs/>
          <w:color w:val="000000"/>
          <w:kern w:val="0"/>
          <w:sz w:val="28"/>
          <w:szCs w:val="28"/>
          <w:lang w:val="zh-TW" w:eastAsia="zh-TW" w:bidi="zh-TW"/>
        </w:rPr>
        <w:t>通过可持续发展评估供应商占比</w:t>
      </w:r>
      <w:r>
        <w:rPr>
          <w:rFonts w:hint="eastAsia" w:ascii="仿宋_GB2312" w:hAnsi="黑体" w:eastAsia="仿宋_GB2312" w:cs="Times New Roman"/>
          <w:color w:val="000000"/>
          <w:kern w:val="0"/>
          <w:sz w:val="28"/>
          <w:szCs w:val="28"/>
          <w:u w:val="none"/>
          <w:lang w:val="zh-TW" w:eastAsia="zh-TW" w:bidi="zh-TW"/>
        </w:rPr>
        <w:t>：</w:t>
      </w:r>
      <w:r>
        <w:rPr>
          <w:rFonts w:hint="eastAsia" w:ascii="仿宋_GB2312" w:hAnsi="黑体" w:eastAsia="仿宋_GB2312" w:cs="Times New Roman"/>
          <w:i w:val="0"/>
          <w:iCs w:val="0"/>
          <w:caps w:val="0"/>
          <w:color w:val="000000"/>
          <w:spacing w:val="0"/>
          <w:kern w:val="0"/>
          <w:sz w:val="28"/>
          <w:szCs w:val="28"/>
          <w:shd w:val="clear"/>
          <w:lang w:val="zh-TW" w:eastAsia="zh-TW" w:bidi="zh-TW"/>
        </w:rPr>
        <w:t>在企业供应链中，经过ESG（环境、社会和治理）评估或审查的供应商占总供应商数量的比例。</w:t>
      </w:r>
    </w:p>
    <w:p w14:paraId="374FDAE6">
      <w:pPr>
        <w:tabs>
          <w:tab w:val="left" w:pos="1046"/>
        </w:tabs>
        <w:snapToGrid w:val="0"/>
        <w:spacing w:line="560" w:lineRule="exact"/>
        <w:ind w:firstLine="562" w:firstLineChars="200"/>
        <w:contextualSpacing/>
        <w:jc w:val="left"/>
        <w:rPr>
          <w:rFonts w:hint="eastAsia" w:ascii="仿宋_GB2312" w:hAnsi="黑体" w:eastAsia="仿宋_GB2312" w:cs="Times New Roman"/>
          <w:color w:val="000000"/>
          <w:kern w:val="0"/>
          <w:sz w:val="28"/>
          <w:szCs w:val="28"/>
          <w:lang w:val="zh-TW" w:eastAsia="zh-TW" w:bidi="zh-TW"/>
        </w:rPr>
      </w:pPr>
      <w:r>
        <w:rPr>
          <w:rFonts w:hint="eastAsia" w:ascii="仿宋_GB2312" w:hAnsi="黑体" w:eastAsia="仿宋_GB2312" w:cs="Times New Roman"/>
          <w:b/>
          <w:bCs/>
          <w:color w:val="000000"/>
          <w:kern w:val="0"/>
          <w:sz w:val="28"/>
          <w:szCs w:val="28"/>
          <w:lang w:val="en-US" w:eastAsia="zh-CN" w:bidi="zh-TW"/>
        </w:rPr>
        <w:t>16.产品（包装）回收率</w:t>
      </w:r>
      <w:r>
        <w:rPr>
          <w:rFonts w:hint="eastAsia" w:ascii="仿宋_GB2312" w:hAnsi="黑体" w:eastAsia="仿宋_GB2312" w:cs="Times New Roman"/>
          <w:color w:val="000000"/>
          <w:kern w:val="0"/>
          <w:sz w:val="28"/>
          <w:szCs w:val="28"/>
          <w:u w:val="none"/>
          <w:lang w:val="zh-TW" w:eastAsia="zh-TW" w:bidi="zh-TW"/>
        </w:rPr>
        <w:t>：企业产品在生命周期结束后，通过回收、再利用或再制造等方式，将产品或</w:t>
      </w:r>
      <w:r>
        <w:rPr>
          <w:rFonts w:hint="eastAsia" w:ascii="仿宋_GB2312" w:hAnsi="黑体" w:eastAsia="仿宋_GB2312" w:cs="Times New Roman"/>
          <w:color w:val="000000"/>
          <w:kern w:val="0"/>
          <w:sz w:val="28"/>
          <w:szCs w:val="28"/>
          <w:u w:val="none"/>
          <w:lang w:val="en-US" w:eastAsia="zh-CN" w:bidi="zh-TW"/>
        </w:rPr>
        <w:t>包装</w:t>
      </w:r>
      <w:r>
        <w:rPr>
          <w:rFonts w:hint="eastAsia" w:ascii="仿宋_GB2312" w:hAnsi="黑体" w:eastAsia="仿宋_GB2312" w:cs="Times New Roman"/>
          <w:color w:val="000000"/>
          <w:kern w:val="0"/>
          <w:sz w:val="28"/>
          <w:szCs w:val="28"/>
          <w:u w:val="none"/>
          <w:lang w:val="zh-TW" w:eastAsia="zh-TW" w:bidi="zh-TW"/>
        </w:rPr>
        <w:t>重新进入市场或资源循环利用的比例</w:t>
      </w:r>
      <w:r>
        <w:rPr>
          <w:rFonts w:hint="eastAsia" w:ascii="仿宋_GB2312" w:hAnsi="黑体" w:eastAsia="仿宋_GB2312" w:cs="Times New Roman"/>
          <w:i w:val="0"/>
          <w:iCs w:val="0"/>
          <w:caps w:val="0"/>
          <w:color w:val="000000"/>
          <w:spacing w:val="0"/>
          <w:kern w:val="0"/>
          <w:sz w:val="28"/>
          <w:szCs w:val="28"/>
          <w:shd w:val="clear"/>
          <w:lang w:val="zh-TW" w:eastAsia="zh-TW" w:bidi="zh-TW"/>
        </w:rPr>
        <w:t>。</w:t>
      </w:r>
    </w:p>
    <w:p w14:paraId="543A4E3F">
      <w:pPr>
        <w:tabs>
          <w:tab w:val="left" w:pos="1046"/>
        </w:tabs>
        <w:snapToGrid w:val="0"/>
        <w:spacing w:line="560" w:lineRule="exact"/>
        <w:ind w:firstLine="562" w:firstLineChars="200"/>
        <w:contextualSpacing/>
        <w:jc w:val="left"/>
        <w:rPr>
          <w:rFonts w:hint="eastAsia" w:ascii="仿宋_GB2312" w:hAnsi="黑体" w:eastAsia="仿宋_GB2312" w:cs="Times New Roman"/>
          <w:b w:val="0"/>
          <w:bCs w:val="0"/>
          <w:color w:val="000000"/>
          <w:kern w:val="0"/>
          <w:sz w:val="28"/>
          <w:szCs w:val="28"/>
          <w:lang w:val="zh-TW" w:eastAsia="zh-TW" w:bidi="zh-TW"/>
        </w:rPr>
      </w:pPr>
      <w:r>
        <w:rPr>
          <w:rFonts w:hint="eastAsia" w:ascii="仿宋_GB2312" w:hAnsi="黑体" w:eastAsia="仿宋_GB2312" w:cs="Times New Roman"/>
          <w:b/>
          <w:bCs/>
          <w:color w:val="000000"/>
          <w:kern w:val="0"/>
          <w:sz w:val="28"/>
          <w:szCs w:val="28"/>
          <w:lang w:val="en-US" w:eastAsia="zh-CN" w:bidi="zh-TW"/>
        </w:rPr>
        <w:t>17.供应商可再生能源消费要求比例</w:t>
      </w:r>
      <w:r>
        <w:rPr>
          <w:rFonts w:hint="eastAsia" w:ascii="仿宋_GB2312" w:hAnsi="黑体" w:eastAsia="仿宋_GB2312" w:cs="Times New Roman"/>
          <w:b w:val="0"/>
          <w:bCs w:val="0"/>
          <w:color w:val="000000"/>
          <w:kern w:val="0"/>
          <w:sz w:val="28"/>
          <w:szCs w:val="28"/>
          <w:lang w:val="zh-TW" w:eastAsia="zh-TW" w:bidi="zh-TW"/>
        </w:rPr>
        <w:t>：</w:t>
      </w:r>
      <w:r>
        <w:rPr>
          <w:rFonts w:hint="eastAsia" w:ascii="仿宋_GB2312" w:hAnsi="黑体" w:eastAsia="仿宋_GB2312" w:cs="Times New Roman"/>
          <w:b w:val="0"/>
          <w:bCs w:val="0"/>
          <w:color w:val="000000"/>
          <w:kern w:val="0"/>
          <w:sz w:val="28"/>
          <w:szCs w:val="28"/>
          <w:lang w:val="zh-TW" w:eastAsia="zh-CN" w:bidi="zh-TW"/>
        </w:rPr>
        <w:t>要求</w:t>
      </w:r>
      <w:r>
        <w:rPr>
          <w:rFonts w:hint="eastAsia" w:ascii="仿宋_GB2312" w:hAnsi="黑体" w:eastAsia="仿宋_GB2312" w:cs="Times New Roman"/>
          <w:b w:val="0"/>
          <w:bCs w:val="0"/>
          <w:color w:val="000000"/>
          <w:kern w:val="0"/>
          <w:sz w:val="28"/>
          <w:szCs w:val="28"/>
          <w:lang w:val="zh-TW" w:eastAsia="zh-TW" w:bidi="zh-TW"/>
        </w:rPr>
        <w:t>供应商能源消费中可再生能源（如风能、太阳能、生物质能</w:t>
      </w:r>
      <w:r>
        <w:rPr>
          <w:rFonts w:hint="eastAsia" w:ascii="仿宋_GB2312" w:hAnsi="黑体" w:eastAsia="仿宋_GB2312" w:cs="Times New Roman"/>
          <w:b w:val="0"/>
          <w:bCs w:val="0"/>
          <w:color w:val="000000"/>
          <w:kern w:val="0"/>
          <w:sz w:val="28"/>
          <w:szCs w:val="28"/>
          <w:lang w:val="zh-TW" w:eastAsia="zh-CN" w:bidi="zh-TW"/>
        </w:rPr>
        <w:t>、绿电绿证等</w:t>
      </w:r>
      <w:r>
        <w:rPr>
          <w:rFonts w:hint="eastAsia" w:ascii="仿宋_GB2312" w:hAnsi="黑体" w:eastAsia="仿宋_GB2312" w:cs="Times New Roman"/>
          <w:b w:val="0"/>
          <w:bCs w:val="0"/>
          <w:color w:val="000000"/>
          <w:kern w:val="0"/>
          <w:sz w:val="28"/>
          <w:szCs w:val="28"/>
          <w:lang w:val="zh-TW" w:eastAsia="zh-TW" w:bidi="zh-TW"/>
        </w:rPr>
        <w:t>）</w:t>
      </w:r>
      <w:r>
        <w:rPr>
          <w:rFonts w:hint="eastAsia" w:ascii="仿宋_GB2312" w:hAnsi="黑体" w:eastAsia="仿宋_GB2312" w:cs="Times New Roman"/>
          <w:b w:val="0"/>
          <w:bCs w:val="0"/>
          <w:color w:val="000000"/>
          <w:kern w:val="0"/>
          <w:sz w:val="28"/>
          <w:szCs w:val="28"/>
          <w:lang w:val="zh-TW" w:eastAsia="zh-CN" w:bidi="zh-TW"/>
        </w:rPr>
        <w:t>使用</w:t>
      </w:r>
      <w:r>
        <w:rPr>
          <w:rFonts w:hint="eastAsia" w:ascii="仿宋_GB2312" w:hAnsi="黑体" w:eastAsia="仿宋_GB2312" w:cs="Times New Roman"/>
          <w:b w:val="0"/>
          <w:bCs w:val="0"/>
          <w:color w:val="000000"/>
          <w:kern w:val="0"/>
          <w:sz w:val="28"/>
          <w:szCs w:val="28"/>
          <w:lang w:val="zh-TW" w:eastAsia="zh-TW" w:bidi="zh-TW"/>
        </w:rPr>
        <w:t>比例。</w:t>
      </w:r>
    </w:p>
    <w:p w14:paraId="7FFDB602">
      <w:pPr>
        <w:tabs>
          <w:tab w:val="left" w:pos="1046"/>
        </w:tabs>
        <w:snapToGrid w:val="0"/>
        <w:spacing w:line="560" w:lineRule="exact"/>
        <w:ind w:firstLine="562" w:firstLineChars="200"/>
        <w:contextualSpacing/>
        <w:jc w:val="left"/>
        <w:rPr>
          <w:rFonts w:hint="eastAsia" w:ascii="仿宋_GB2312" w:hAnsi="黑体" w:eastAsia="仿宋_GB2312" w:cs="Times New Roman"/>
          <w:i w:val="0"/>
          <w:iCs w:val="0"/>
          <w:caps w:val="0"/>
          <w:color w:val="000000"/>
          <w:spacing w:val="0"/>
          <w:kern w:val="0"/>
          <w:sz w:val="28"/>
          <w:szCs w:val="28"/>
          <w:shd w:val="clear"/>
          <w:lang w:val="zh-TW" w:eastAsia="zh-TW" w:bidi="zh-TW"/>
        </w:rPr>
      </w:pPr>
      <w:r>
        <w:rPr>
          <w:rFonts w:hint="eastAsia" w:ascii="仿宋_GB2312" w:hAnsi="黑体" w:eastAsia="仿宋_GB2312" w:cs="Times New Roman"/>
          <w:b/>
          <w:bCs/>
          <w:color w:val="000000"/>
          <w:kern w:val="0"/>
          <w:sz w:val="28"/>
          <w:szCs w:val="28"/>
          <w:lang w:val="en-US" w:eastAsia="zh-CN" w:bidi="zh-TW"/>
        </w:rPr>
        <w:t>18.</w:t>
      </w:r>
      <w:r>
        <w:rPr>
          <w:rFonts w:hint="eastAsia" w:ascii="仿宋_GB2312" w:hAnsi="黑体" w:eastAsia="仿宋_GB2312" w:cs="Times New Roman"/>
          <w:b/>
          <w:bCs/>
          <w:color w:val="000000"/>
          <w:kern w:val="0"/>
          <w:sz w:val="28"/>
          <w:szCs w:val="28"/>
          <w:lang w:val="zh-TW" w:eastAsia="zh-TW" w:bidi="zh-TW"/>
        </w:rPr>
        <w:t>新增就业机会及人数</w:t>
      </w:r>
      <w:r>
        <w:rPr>
          <w:rFonts w:hint="eastAsia" w:ascii="仿宋_GB2312" w:hAnsi="黑体" w:eastAsia="仿宋_GB2312" w:cs="Times New Roman"/>
          <w:color w:val="000000"/>
          <w:kern w:val="0"/>
          <w:sz w:val="28"/>
          <w:szCs w:val="28"/>
          <w:u w:val="none"/>
          <w:lang w:val="zh-TW" w:eastAsia="zh-TW" w:bidi="zh-TW"/>
        </w:rPr>
        <w:t>：</w:t>
      </w:r>
      <w:r>
        <w:rPr>
          <w:rFonts w:hint="eastAsia" w:ascii="仿宋_GB2312" w:hAnsi="黑体" w:eastAsia="仿宋_GB2312" w:cs="Times New Roman"/>
          <w:i w:val="0"/>
          <w:iCs w:val="0"/>
          <w:caps w:val="0"/>
          <w:color w:val="000000"/>
          <w:spacing w:val="0"/>
          <w:kern w:val="0"/>
          <w:sz w:val="28"/>
          <w:szCs w:val="28"/>
          <w:shd w:val="clear"/>
          <w:lang w:val="zh-TW" w:eastAsia="zh-TW" w:bidi="zh-TW"/>
        </w:rPr>
        <w:t>企业在</w:t>
      </w:r>
      <w:r>
        <w:rPr>
          <w:rFonts w:hint="eastAsia" w:ascii="仿宋_GB2312" w:hAnsi="黑体" w:eastAsia="仿宋_GB2312" w:cs="Times New Roman"/>
          <w:i w:val="0"/>
          <w:iCs w:val="0"/>
          <w:caps w:val="0"/>
          <w:color w:val="000000"/>
          <w:spacing w:val="0"/>
          <w:kern w:val="0"/>
          <w:sz w:val="28"/>
          <w:szCs w:val="28"/>
          <w:shd w:val="clear"/>
          <w:lang w:val="en-US" w:eastAsia="zh-CN" w:bidi="zh-TW"/>
        </w:rPr>
        <w:t>2024年度</w:t>
      </w:r>
      <w:r>
        <w:rPr>
          <w:rFonts w:hint="eastAsia" w:ascii="仿宋_GB2312" w:hAnsi="黑体" w:eastAsia="仿宋_GB2312" w:cs="Times New Roman"/>
          <w:i w:val="0"/>
          <w:iCs w:val="0"/>
          <w:caps w:val="0"/>
          <w:color w:val="000000"/>
          <w:spacing w:val="0"/>
          <w:kern w:val="0"/>
          <w:sz w:val="28"/>
          <w:szCs w:val="28"/>
          <w:shd w:val="clear"/>
          <w:lang w:val="zh-TW" w:eastAsia="zh-TW" w:bidi="zh-TW"/>
        </w:rPr>
        <w:t>通过招聘、培训、合作等方式，为社会新增的就业岗位数量或实际入职人数。</w:t>
      </w:r>
    </w:p>
    <w:p w14:paraId="164C3A06">
      <w:pPr>
        <w:tabs>
          <w:tab w:val="left" w:pos="1046"/>
        </w:tabs>
        <w:snapToGrid w:val="0"/>
        <w:spacing w:line="560" w:lineRule="exact"/>
        <w:ind w:firstLine="562" w:firstLineChars="200"/>
        <w:contextualSpacing/>
        <w:jc w:val="left"/>
        <w:rPr>
          <w:rFonts w:hint="default" w:ascii="仿宋_GB2312" w:hAnsi="黑体" w:eastAsia="仿宋_GB2312" w:cs="Times New Roman"/>
          <w:i w:val="0"/>
          <w:iCs w:val="0"/>
          <w:caps w:val="0"/>
          <w:color w:val="000000"/>
          <w:spacing w:val="0"/>
          <w:kern w:val="0"/>
          <w:sz w:val="28"/>
          <w:szCs w:val="28"/>
          <w:shd w:val="clear"/>
          <w:lang w:val="en-US" w:eastAsia="zh-CN" w:bidi="zh-TW"/>
        </w:rPr>
      </w:pPr>
      <w:r>
        <w:rPr>
          <w:rFonts w:hint="eastAsia" w:ascii="仿宋_GB2312" w:hAnsi="黑体" w:eastAsia="仿宋_GB2312" w:cs="Times New Roman"/>
          <w:b/>
          <w:bCs/>
          <w:color w:val="000000"/>
          <w:kern w:val="0"/>
          <w:sz w:val="28"/>
          <w:szCs w:val="28"/>
          <w:lang w:val="en-US" w:eastAsia="zh-CN" w:bidi="zh-TW"/>
        </w:rPr>
        <w:t>19.员工人均培训时长：</w:t>
      </w:r>
      <w:r>
        <w:rPr>
          <w:rFonts w:hint="eastAsia" w:ascii="仿宋_GB2312" w:hAnsi="黑体" w:eastAsia="仿宋_GB2312" w:cs="Times New Roman"/>
          <w:i w:val="0"/>
          <w:iCs w:val="0"/>
          <w:caps w:val="0"/>
          <w:color w:val="000000"/>
          <w:spacing w:val="0"/>
          <w:kern w:val="0"/>
          <w:sz w:val="28"/>
          <w:szCs w:val="28"/>
          <w:shd w:val="clear"/>
          <w:lang w:val="en-US" w:eastAsia="zh-CN" w:bidi="zh-TW"/>
        </w:rPr>
        <w:t>企业在2024年度为所有员工提供的总培训小时数除以参与培训的员工总人数的平均值。</w:t>
      </w:r>
    </w:p>
    <w:p w14:paraId="17C77E7E">
      <w:pPr>
        <w:tabs>
          <w:tab w:val="left" w:pos="1046"/>
        </w:tabs>
        <w:snapToGrid w:val="0"/>
        <w:spacing w:line="560" w:lineRule="exact"/>
        <w:ind w:firstLine="562" w:firstLineChars="200"/>
        <w:contextualSpacing/>
        <w:jc w:val="left"/>
        <w:rPr>
          <w:rFonts w:hint="eastAsia" w:ascii="仿宋_GB2312" w:hAnsi="黑体" w:eastAsia="仿宋_GB2312" w:cs="Times New Roman"/>
          <w:color w:val="000000"/>
          <w:kern w:val="0"/>
          <w:sz w:val="28"/>
          <w:szCs w:val="28"/>
          <w:lang w:val="zh-TW" w:eastAsia="zh-TW" w:bidi="zh-TW"/>
        </w:rPr>
      </w:pPr>
      <w:r>
        <w:rPr>
          <w:rFonts w:hint="eastAsia" w:ascii="仿宋_GB2312" w:hAnsi="黑体" w:eastAsia="仿宋_GB2312" w:cs="Times New Roman"/>
          <w:b/>
          <w:bCs/>
          <w:i w:val="0"/>
          <w:iCs w:val="0"/>
          <w:caps w:val="0"/>
          <w:color w:val="000000"/>
          <w:spacing w:val="0"/>
          <w:kern w:val="0"/>
          <w:sz w:val="28"/>
          <w:szCs w:val="28"/>
          <w:shd w:val="clear"/>
          <w:lang w:val="en-US" w:eastAsia="zh-CN" w:bidi="zh-TW"/>
        </w:rPr>
        <w:t>20.</w:t>
      </w:r>
      <w:r>
        <w:rPr>
          <w:rFonts w:hint="eastAsia" w:ascii="仿宋_GB2312" w:hAnsi="黑体" w:eastAsia="仿宋_GB2312" w:cs="Times New Roman"/>
          <w:b/>
          <w:bCs/>
          <w:color w:val="000000"/>
          <w:kern w:val="0"/>
          <w:sz w:val="28"/>
          <w:szCs w:val="28"/>
          <w:lang w:val="en-US" w:eastAsia="zh-CN" w:bidi="zh-TW"/>
        </w:rPr>
        <w:t>社会公益捐赠金额</w:t>
      </w:r>
      <w:r>
        <w:rPr>
          <w:rFonts w:hint="eastAsia" w:ascii="仿宋_GB2312" w:hAnsi="黑体" w:eastAsia="仿宋_GB2312" w:cs="Times New Roman"/>
          <w:color w:val="000000"/>
          <w:kern w:val="0"/>
          <w:sz w:val="28"/>
          <w:szCs w:val="28"/>
          <w:u w:val="none"/>
          <w:lang w:val="zh-TW" w:eastAsia="zh-TW" w:bidi="zh-TW"/>
        </w:rPr>
        <w:t>：企业在</w:t>
      </w:r>
      <w:r>
        <w:rPr>
          <w:rFonts w:hint="eastAsia" w:ascii="仿宋_GB2312" w:hAnsi="黑体" w:eastAsia="仿宋_GB2312" w:cs="Times New Roman"/>
          <w:color w:val="000000"/>
          <w:kern w:val="0"/>
          <w:sz w:val="28"/>
          <w:szCs w:val="28"/>
          <w:u w:val="none"/>
          <w:lang w:val="en-US" w:eastAsia="zh-CN" w:bidi="zh-TW"/>
        </w:rPr>
        <w:t>2024年度</w:t>
      </w:r>
      <w:r>
        <w:rPr>
          <w:rFonts w:hint="eastAsia" w:ascii="仿宋_GB2312" w:hAnsi="黑体" w:eastAsia="仿宋_GB2312" w:cs="Times New Roman"/>
          <w:color w:val="000000"/>
          <w:kern w:val="0"/>
          <w:sz w:val="28"/>
          <w:szCs w:val="28"/>
          <w:u w:val="none"/>
          <w:lang w:val="zh-TW" w:eastAsia="zh-TW" w:bidi="zh-TW"/>
        </w:rPr>
        <w:t>开展慈善捐赠及对其他社会公益活动投入的资金总额</w:t>
      </w:r>
      <w:r>
        <w:rPr>
          <w:rFonts w:hint="eastAsia" w:ascii="仿宋_GB2312" w:hAnsi="黑体" w:eastAsia="仿宋_GB2312" w:cs="Times New Roman"/>
          <w:i w:val="0"/>
          <w:iCs w:val="0"/>
          <w:caps w:val="0"/>
          <w:color w:val="000000"/>
          <w:spacing w:val="0"/>
          <w:kern w:val="0"/>
          <w:sz w:val="28"/>
          <w:szCs w:val="28"/>
          <w:shd w:val="clear"/>
          <w:lang w:val="zh-TW" w:eastAsia="zh-TW" w:bidi="zh-TW"/>
        </w:rPr>
        <w:t>。</w:t>
      </w:r>
    </w:p>
    <w:p w14:paraId="740337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78A0A6"/>
    <w:multiLevelType w:val="singleLevel"/>
    <w:tmpl w:val="E678A0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80502"/>
    <w:rsid w:val="0A8A1492"/>
    <w:rsid w:val="1A980502"/>
    <w:rsid w:val="27D24D61"/>
    <w:rsid w:val="48D54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2032</Words>
  <Characters>2108</Characters>
  <Lines>0</Lines>
  <Paragraphs>0</Paragraphs>
  <TotalTime>3</TotalTime>
  <ScaleCrop>false</ScaleCrop>
  <LinksUpToDate>false</LinksUpToDate>
  <CharactersWithSpaces>2108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2025-09-01T02:08:00Z</dcterms:created>
  <dc:creator>WPS_1581317969</dc:creator>
  <cp:lastModifiedBy>WPS_1581317969</cp:lastModifiedBy>
  <dcterms:modified xsi:type="dcterms:W3CDTF">2025-09-01T12:07:28Z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89A199376E75417189566847A4BA34BC_13</vt:lpwstr>
  </property>
  <property fmtid="{D5CDD505-2E9C-101B-9397-08002B2CF9AE}" pid="4" name="KSOTemplateDocerSaveRecord">
    <vt:lpwstr>eyJoZGlkIjoiOGRmMGMyYWZhMzAwZmYwNjRiNTdkZjE0YTNkZmZkMDEiLCJ1c2VySWQiOiI4MTY1ODEzMDIifQ==</vt:lpwstr>
  </property>
</Properties>
</file>