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topLinePunct w:val="0"/>
        <w:autoSpaceDN/>
        <w:bidi w:val="0"/>
        <w:spacing w:line="560" w:lineRule="exact"/>
        <w:jc w:val="left"/>
        <w:textAlignment w:val="auto"/>
        <w:rPr>
          <w:rFonts w:hint="eastAsia" w:ascii="黑体" w:hAnsi="黑体" w:eastAsia="黑体"/>
          <w:sz w:val="32"/>
          <w:szCs w:val="32"/>
          <w:lang w:val="en-US" w:eastAsia="zh-CN"/>
        </w:rPr>
      </w:pPr>
      <w:bookmarkStart w:id="0" w:name="_GoBack"/>
      <w:bookmarkEnd w:id="0"/>
      <w:r>
        <w:rPr>
          <w:rFonts w:hint="eastAsia" w:ascii="黑体" w:hAnsi="黑体" w:eastAsia="黑体"/>
          <w:sz w:val="32"/>
          <w:szCs w:val="32"/>
          <w:lang w:eastAsia="zh-CN"/>
        </w:rPr>
        <w:t>附件</w:t>
      </w:r>
      <w:r>
        <w:rPr>
          <w:rFonts w:hint="eastAsia" w:ascii="黑体" w:hAnsi="黑体" w:eastAsia="黑体"/>
          <w:sz w:val="32"/>
          <w:szCs w:val="32"/>
          <w:lang w:val="en-US" w:eastAsia="zh-CN"/>
        </w:rPr>
        <w:t>1</w:t>
      </w:r>
    </w:p>
    <w:p>
      <w:pPr>
        <w:pageBreakBefore w:val="0"/>
        <w:widowControl/>
        <w:kinsoku/>
        <w:overflowPunct/>
        <w:topLinePunct w:val="0"/>
        <w:autoSpaceDN/>
        <w:bidi w:val="0"/>
        <w:spacing w:line="560" w:lineRule="exact"/>
        <w:ind w:left="0" w:leftChars="0" w:right="0"/>
        <w:jc w:val="center"/>
        <w:textAlignment w:val="auto"/>
        <w:rPr>
          <w:rFonts w:hint="eastAsia" w:ascii="方正小标宋简体" w:hAnsi="宋体" w:eastAsia="方正小标宋简体" w:cs="Times New Roman"/>
          <w:color w:val="000000" w:themeColor="text1"/>
          <w:kern w:val="0"/>
          <w:sz w:val="44"/>
          <w:szCs w:val="44"/>
          <w:highlight w:val="none"/>
          <w:lang w:val="en-US" w:eastAsia="zh-CN" w:bidi="ar"/>
          <w14:textFill>
            <w14:solidFill>
              <w14:schemeClr w14:val="tx1"/>
            </w14:solidFill>
          </w14:textFill>
        </w:rPr>
      </w:pPr>
    </w:p>
    <w:p>
      <w:pPr>
        <w:pageBreakBefore w:val="0"/>
        <w:widowControl/>
        <w:kinsoku/>
        <w:overflowPunct/>
        <w:topLinePunct w:val="0"/>
        <w:autoSpaceDN/>
        <w:bidi w:val="0"/>
        <w:spacing w:line="560" w:lineRule="exact"/>
        <w:ind w:left="0" w:leftChars="0" w:right="0"/>
        <w:jc w:val="center"/>
        <w:textAlignment w:val="auto"/>
        <w:rPr>
          <w:rFonts w:hint="eastAsia" w:ascii="方正小标宋简体" w:hAnsi="宋体" w:eastAsia="方正小标宋简体" w:cs="Times New Roman"/>
          <w:color w:val="000000" w:themeColor="text1"/>
          <w:kern w:val="0"/>
          <w:sz w:val="44"/>
          <w:szCs w:val="44"/>
          <w:highlight w:val="none"/>
          <w:lang w:val="en-US" w:eastAsia="zh-CN" w:bidi="ar"/>
          <w14:textFill>
            <w14:solidFill>
              <w14:schemeClr w14:val="tx1"/>
            </w14:solidFill>
          </w14:textFill>
        </w:rPr>
      </w:pPr>
      <w:r>
        <w:rPr>
          <w:rFonts w:hint="eastAsia" w:ascii="方正小标宋简体" w:hAnsi="宋体" w:eastAsia="方正小标宋简体" w:cs="Times New Roman"/>
          <w:color w:val="000000" w:themeColor="text1"/>
          <w:kern w:val="0"/>
          <w:sz w:val="44"/>
          <w:szCs w:val="44"/>
          <w:highlight w:val="none"/>
          <w:lang w:val="en-US" w:eastAsia="zh-CN" w:bidi="ar"/>
          <w14:textFill>
            <w14:solidFill>
              <w14:schemeClr w14:val="tx1"/>
            </w14:solidFill>
          </w14:textFill>
        </w:rPr>
        <w:t>2025年深圳市人工智能语料券</w:t>
      </w:r>
    </w:p>
    <w:p>
      <w:pPr>
        <w:pageBreakBefore w:val="0"/>
        <w:widowControl/>
        <w:kinsoku/>
        <w:overflowPunct/>
        <w:topLinePunct w:val="0"/>
        <w:autoSpaceDN/>
        <w:bidi w:val="0"/>
        <w:spacing w:line="560" w:lineRule="exact"/>
        <w:ind w:left="0" w:leftChars="0" w:right="0"/>
        <w:jc w:val="center"/>
        <w:textAlignment w:val="auto"/>
        <w:rPr>
          <w:rFonts w:ascii="方正小标宋简体" w:eastAsia="方正小标宋简体"/>
          <w:color w:val="000000" w:themeColor="text1"/>
          <w:sz w:val="44"/>
          <w:szCs w:val="44"/>
          <w:highlight w:val="none"/>
          <w14:textFill>
            <w14:solidFill>
              <w14:schemeClr w14:val="tx1"/>
            </w14:solidFill>
          </w14:textFill>
        </w:rPr>
      </w:pPr>
      <w:r>
        <w:rPr>
          <w:rFonts w:hint="eastAsia" w:ascii="方正小标宋简体" w:hAnsi="宋体" w:eastAsia="方正小标宋简体" w:cs="Times New Roman"/>
          <w:color w:val="000000" w:themeColor="text1"/>
          <w:kern w:val="0"/>
          <w:sz w:val="44"/>
          <w:szCs w:val="44"/>
          <w:highlight w:val="none"/>
          <w:lang w:val="en-US" w:eastAsia="zh-CN" w:bidi="ar"/>
          <w14:textFill>
            <w14:solidFill>
              <w14:schemeClr w14:val="tx1"/>
            </w14:solidFill>
          </w14:textFill>
        </w:rPr>
        <w:t>专项资金</w:t>
      </w:r>
      <w:r>
        <w:rPr>
          <w:rFonts w:hint="eastAsia" w:ascii="方正小标宋简体" w:hAnsi="宋体" w:eastAsia="方正小标宋简体"/>
          <w:color w:val="000000" w:themeColor="text1"/>
          <w:kern w:val="0"/>
          <w:sz w:val="44"/>
          <w:szCs w:val="44"/>
          <w:highlight w:val="none"/>
          <w:lang w:bidi="ar"/>
          <w14:textFill>
            <w14:solidFill>
              <w14:schemeClr w14:val="tx1"/>
            </w14:solidFill>
          </w14:textFill>
        </w:rPr>
        <w:t>申请</w:t>
      </w:r>
      <w:r>
        <w:rPr>
          <w:rFonts w:hint="eastAsia" w:ascii="方正小标宋简体" w:eastAsia="方正小标宋简体"/>
          <w:color w:val="000000" w:themeColor="text1"/>
          <w:sz w:val="44"/>
          <w:szCs w:val="44"/>
          <w:highlight w:val="none"/>
          <w14:textFill>
            <w14:solidFill>
              <w14:schemeClr w14:val="tx1"/>
            </w14:solidFill>
          </w14:textFill>
        </w:rPr>
        <w:t>指南</w:t>
      </w:r>
    </w:p>
    <w:p>
      <w:pPr>
        <w:pageBreakBefore w:val="0"/>
        <w:widowControl/>
        <w:kinsoku/>
        <w:overflowPunct/>
        <w:topLinePunct w:val="0"/>
        <w:autoSpaceDN/>
        <w:bidi w:val="0"/>
        <w:spacing w:line="560" w:lineRule="exact"/>
        <w:ind w:left="0" w:leftChars="0" w:right="0"/>
        <w:jc w:val="left"/>
        <w:textAlignment w:val="auto"/>
        <w:rPr>
          <w:rFonts w:hint="default" w:asciiTheme="minorEastAsia" w:hAnsiTheme="minorEastAsia" w:eastAsiaTheme="minorEastAsia"/>
          <w:color w:val="000000" w:themeColor="text1"/>
          <w:highlight w:val="none"/>
          <w:lang w:val="en-US" w:eastAsia="zh-CN"/>
          <w14:textFill>
            <w14:solidFill>
              <w14:schemeClr w14:val="tx1"/>
            </w14:solidFill>
          </w14:textFill>
        </w:rPr>
      </w:pPr>
    </w:p>
    <w:p>
      <w:pPr>
        <w:pStyle w:val="4"/>
        <w:pageBreakBefore w:val="0"/>
        <w:numPr>
          <w:ilvl w:val="255"/>
          <w:numId w:val="0"/>
        </w:numPr>
        <w:tabs>
          <w:tab w:val="left" w:pos="1418"/>
        </w:tabs>
        <w:kinsoku/>
        <w:overflowPunct/>
        <w:topLinePunct w:val="0"/>
        <w:autoSpaceDN/>
        <w:bidi w:val="0"/>
        <w:spacing w:before="0" w:after="0" w:line="560" w:lineRule="exact"/>
        <w:ind w:left="0" w:leftChars="0" w:right="0" w:firstLine="640" w:firstLineChars="200"/>
        <w:jc w:val="both"/>
        <w:textAlignment w:val="auto"/>
        <w:rPr>
          <w:rFonts w:hint="default" w:ascii="黑体" w:hAnsi="黑体" w:eastAsia="黑体"/>
          <w:b w:val="0"/>
          <w:color w:val="000000" w:themeColor="text1"/>
          <w:highlight w:val="none"/>
          <w:lang w:val="en-US" w:eastAsia="zh-CN"/>
          <w14:textFill>
            <w14:solidFill>
              <w14:schemeClr w14:val="tx1"/>
            </w14:solidFill>
          </w14:textFill>
        </w:rPr>
      </w:pPr>
      <w:r>
        <w:rPr>
          <w:rFonts w:hint="eastAsia" w:ascii="黑体" w:hAnsi="黑体" w:eastAsia="黑体"/>
          <w:b w:val="0"/>
          <w:color w:val="000000" w:themeColor="text1"/>
          <w:highlight w:val="none"/>
          <w14:textFill>
            <w14:solidFill>
              <w14:schemeClr w14:val="tx1"/>
            </w14:solidFill>
          </w14:textFill>
        </w:rPr>
        <w:t>一</w:t>
      </w:r>
      <w:r>
        <w:rPr>
          <w:rFonts w:hint="eastAsia" w:ascii="黑体" w:hAnsi="黑体" w:eastAsia="黑体"/>
          <w:b w:val="0"/>
          <w:color w:val="000000" w:themeColor="text1"/>
          <w:highlight w:val="none"/>
          <w:lang w:eastAsia="zh-CN"/>
          <w14:textFill>
            <w14:solidFill>
              <w14:schemeClr w14:val="tx1"/>
            </w14:solidFill>
          </w14:textFill>
        </w:rPr>
        <w:t>、</w:t>
      </w:r>
      <w:r>
        <w:rPr>
          <w:rFonts w:hint="eastAsia" w:ascii="黑体" w:hAnsi="黑体" w:eastAsia="黑体" w:cstheme="majorBidi"/>
          <w:b w:val="0"/>
          <w:color w:val="000000" w:themeColor="text1"/>
          <w:highlight w:val="none"/>
          <w14:textFill>
            <w14:solidFill>
              <w14:schemeClr w14:val="tx1"/>
            </w14:solidFill>
          </w14:textFill>
        </w:rPr>
        <w:t>资助的项目类别</w:t>
      </w:r>
    </w:p>
    <w:p>
      <w:pPr>
        <w:pageBreakBefore w:val="0"/>
        <w:kinsoku/>
        <w:topLinePunct w:val="0"/>
        <w:autoSpaceDN/>
        <w:bidi w:val="0"/>
        <w:snapToGrid w:val="0"/>
        <w:spacing w:line="560" w:lineRule="exact"/>
        <w:ind w:leftChars="0" w:firstLine="640" w:firstLineChars="200"/>
        <w:jc w:val="both"/>
        <w:textAlignment w:val="auto"/>
        <w:outlineLvl w:val="1"/>
        <w:rPr>
          <w:rFonts w:hint="default"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（一）语料采购资助</w:t>
      </w:r>
    </w:p>
    <w:p>
      <w:pPr>
        <w:pageBreakBefore w:val="0"/>
        <w:kinsoku/>
        <w:topLinePunct w:val="0"/>
        <w:autoSpaceDN/>
        <w:bidi w:val="0"/>
        <w:snapToGrid w:val="0"/>
        <w:spacing w:line="560" w:lineRule="exact"/>
        <w:ind w:leftChars="0" w:firstLine="640" w:firstLineChars="200"/>
        <w:jc w:val="both"/>
        <w:textAlignment w:val="auto"/>
        <w:rPr>
          <w:rFonts w:hint="eastAsia" w:ascii="楷体_GB2312" w:hAnsi="楷体_GB2312" w:eastAsia="仿宋_GB2312" w:cs="楷体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对企业通过数据交易所购买非关联方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是指买卖双方不是母子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公司、直接或者间接地同为第三者控制等关联关系）</w:t>
      </w:r>
      <w:r>
        <w:rPr>
          <w:rFonts w:hint="eastAsia" w:ascii="仿宋_GB2312" w:hAnsi="仿宋_GB2312" w:eastAsia="仿宋_GB2312" w:cs="仿宋_GB2312"/>
          <w:color w:val="000000" w:themeColor="text1"/>
          <w:sz w:val="32"/>
          <w:szCs w:val="32"/>
          <w:highlight w:val="none"/>
          <w14:textFill>
            <w14:solidFill>
              <w14:schemeClr w14:val="tx1"/>
            </w14:solidFill>
          </w14:textFill>
        </w:rPr>
        <w:t>语料进行人工智能大模型研发和应用的活动，予以一定比例的资助。</w:t>
      </w:r>
    </w:p>
    <w:p>
      <w:pPr>
        <w:pageBreakBefore w:val="0"/>
        <w:numPr>
          <w:ilvl w:val="255"/>
          <w:numId w:val="0"/>
        </w:numPr>
        <w:kinsoku/>
        <w:topLinePunct w:val="0"/>
        <w:autoSpaceDN/>
        <w:bidi w:val="0"/>
        <w:snapToGrid w:val="0"/>
        <w:spacing w:line="560" w:lineRule="exact"/>
        <w:ind w:leftChars="0" w:firstLine="640" w:firstLineChars="200"/>
        <w:jc w:val="both"/>
        <w:textAlignment w:val="auto"/>
        <w:outlineLvl w:val="1"/>
        <w:rPr>
          <w:rFonts w:hint="default"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（二）语料数据开放奖励</w:t>
      </w:r>
    </w:p>
    <w:p>
      <w:pPr>
        <w:pStyle w:val="2"/>
        <w:pageBreakBefore w:val="0"/>
        <w:kinsoku/>
        <w:overflowPunct/>
        <w:topLinePunct w:val="0"/>
        <w:autoSpaceDN/>
        <w:bidi w:val="0"/>
        <w:spacing w:after="0" w:line="560" w:lineRule="exact"/>
        <w:ind w:left="0" w:leftChars="0" w:right="0" w:firstLine="640" w:firstLineChars="200"/>
        <w:jc w:val="both"/>
        <w:textAlignment w:val="auto"/>
        <w:rPr>
          <w:rFonts w:hint="default" w:ascii="仿宋_GB2312" w:hAnsi="仿宋_GB2312" w:eastAsia="仿宋_GB2312" w:cs="仿宋_GB2312"/>
          <w:color w:val="000000" w:themeColor="text1"/>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对企业通过深圳市公共数据开放平台开放符合要求的语料的活动，予以一定额度的奖励。</w:t>
      </w:r>
    </w:p>
    <w:p>
      <w:pPr>
        <w:pStyle w:val="4"/>
        <w:pageBreakBefore w:val="0"/>
        <w:numPr>
          <w:ilvl w:val="255"/>
          <w:numId w:val="0"/>
        </w:numPr>
        <w:tabs>
          <w:tab w:val="left" w:pos="1418"/>
        </w:tabs>
        <w:kinsoku/>
        <w:overflowPunct/>
        <w:topLinePunct w:val="0"/>
        <w:autoSpaceDN/>
        <w:bidi w:val="0"/>
        <w:spacing w:before="0" w:after="0" w:line="560" w:lineRule="exact"/>
        <w:ind w:left="0" w:leftChars="0" w:right="0" w:firstLine="640" w:firstLineChars="200"/>
        <w:jc w:val="both"/>
        <w:textAlignment w:val="auto"/>
        <w:rPr>
          <w:rFonts w:hint="default" w:ascii="黑体" w:hAnsi="黑体" w:eastAsia="黑体"/>
          <w:b w:val="0"/>
          <w:color w:val="000000" w:themeColor="text1"/>
          <w:highlight w:val="none"/>
          <w:lang w:val="en-US" w:eastAsia="zh-CN"/>
          <w14:textFill>
            <w14:solidFill>
              <w14:schemeClr w14:val="tx1"/>
            </w14:solidFill>
          </w14:textFill>
        </w:rPr>
      </w:pPr>
      <w:r>
        <w:rPr>
          <w:rFonts w:hint="eastAsia" w:ascii="黑体" w:hAnsi="黑体" w:eastAsia="黑体"/>
          <w:b w:val="0"/>
          <w:color w:val="000000" w:themeColor="text1"/>
          <w:highlight w:val="none"/>
          <w14:textFill>
            <w14:solidFill>
              <w14:schemeClr w14:val="tx1"/>
            </w14:solidFill>
          </w14:textFill>
        </w:rPr>
        <w:t>二、设定依据</w:t>
      </w:r>
    </w:p>
    <w:p>
      <w:pPr>
        <w:pageBreakBefore w:val="0"/>
        <w:kinsoku/>
        <w:overflowPunct/>
        <w:topLinePunct w:val="0"/>
        <w:autoSpaceDN/>
        <w:bidi w:val="0"/>
        <w:spacing w:line="560" w:lineRule="exact"/>
        <w:ind w:left="0" w:leftChars="0" w:right="0" w:firstLine="640" w:firstLineChars="200"/>
        <w:jc w:val="both"/>
        <w:textAlignment w:val="auto"/>
        <w:outlineLvl w:val="0"/>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深圳市打造人工智能先锋城市的若干措施</w:t>
      </w:r>
      <w:r>
        <w:rPr>
          <w:rFonts w:hint="eastAsia" w:ascii="仿宋_GB2312" w:hAnsi="仿宋_GB2312" w:eastAsia="仿宋_GB2312" w:cs="仿宋_GB2312"/>
          <w:color w:val="000000" w:themeColor="text1"/>
          <w:sz w:val="32"/>
          <w:szCs w:val="32"/>
          <w:highlight w:val="none"/>
          <w14:textFill>
            <w14:solidFill>
              <w14:schemeClr w14:val="tx1"/>
            </w14:solidFill>
          </w14:textFill>
        </w:rPr>
        <w:t>》（深</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工信</w:t>
      </w:r>
      <w:r>
        <w:rPr>
          <w:rFonts w:hint="eastAsia" w:ascii="仿宋_GB2312" w:hAnsi="仿宋_GB2312" w:eastAsia="仿宋_GB2312" w:cs="仿宋_GB2312"/>
          <w:color w:val="000000" w:themeColor="text1"/>
          <w:sz w:val="32"/>
          <w:szCs w:val="32"/>
          <w:highlight w:val="none"/>
          <w14:textFill>
            <w14:solidFill>
              <w14:schemeClr w14:val="tx1"/>
            </w14:solidFill>
          </w14:textFill>
        </w:rPr>
        <w:t>规〔202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highlight w:val="none"/>
          <w14:textFill>
            <w14:solidFill>
              <w14:schemeClr w14:val="tx1"/>
            </w14:solidFill>
          </w14:textFill>
        </w:rPr>
        <w:t>号）；</w:t>
      </w:r>
    </w:p>
    <w:p>
      <w:pPr>
        <w:pageBreakBefore w:val="0"/>
        <w:kinsoku/>
        <w:overflowPunct/>
        <w:topLinePunct w:val="0"/>
        <w:autoSpaceDN/>
        <w:bidi w:val="0"/>
        <w:spacing w:line="560" w:lineRule="exact"/>
        <w:ind w:left="0" w:leftChars="0" w:right="0" w:firstLine="640" w:firstLineChars="200"/>
        <w:jc w:val="both"/>
        <w:textAlignment w:val="auto"/>
        <w:outlineLvl w:val="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）《深圳市政务服务和数据管理局人工智能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语料券</w:t>
      </w:r>
      <w:r>
        <w:rPr>
          <w:rFonts w:hint="eastAsia" w:ascii="仿宋_GB2312" w:hAnsi="仿宋_GB2312" w:eastAsia="仿宋_GB2312" w:cs="仿宋_GB2312"/>
          <w:color w:val="000000" w:themeColor="text1"/>
          <w:sz w:val="32"/>
          <w:szCs w:val="32"/>
          <w:highlight w:val="none"/>
          <w14:textFill>
            <w14:solidFill>
              <w14:schemeClr w14:val="tx1"/>
            </w14:solidFill>
          </w14:textFill>
        </w:rPr>
        <w:t>专项资金操作规程》（深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政数</w:t>
      </w:r>
      <w:r>
        <w:rPr>
          <w:rFonts w:hint="eastAsia" w:ascii="仿宋_GB2312" w:hAnsi="仿宋_GB2312" w:eastAsia="仿宋_GB2312" w:cs="仿宋_GB2312"/>
          <w:color w:val="000000" w:themeColor="text1"/>
          <w:sz w:val="32"/>
          <w:szCs w:val="32"/>
          <w:highlight w:val="none"/>
          <w14:textFill>
            <w14:solidFill>
              <w14:schemeClr w14:val="tx1"/>
            </w14:solidFill>
          </w14:textFill>
        </w:rPr>
        <w:t>规〔202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以下简称《操作规程》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4"/>
        <w:pageBreakBefore w:val="0"/>
        <w:numPr>
          <w:ilvl w:val="255"/>
          <w:numId w:val="0"/>
        </w:numPr>
        <w:tabs>
          <w:tab w:val="left" w:pos="1418"/>
        </w:tabs>
        <w:kinsoku/>
        <w:overflowPunct/>
        <w:topLinePunct w:val="0"/>
        <w:autoSpaceDN/>
        <w:bidi w:val="0"/>
        <w:spacing w:before="0" w:after="0" w:line="560" w:lineRule="exact"/>
        <w:ind w:left="0" w:leftChars="0" w:right="0" w:firstLine="640" w:firstLineChars="200"/>
        <w:jc w:val="both"/>
        <w:textAlignment w:val="auto"/>
        <w:rPr>
          <w:rFonts w:hint="eastAsia" w:ascii="黑体" w:hAnsi="黑体" w:eastAsia="黑体"/>
          <w:b w:val="0"/>
          <w:color w:val="000000" w:themeColor="text1"/>
          <w:highlight w:val="none"/>
          <w14:textFill>
            <w14:solidFill>
              <w14:schemeClr w14:val="tx1"/>
            </w14:solidFill>
          </w14:textFill>
        </w:rPr>
      </w:pPr>
      <w:r>
        <w:rPr>
          <w:rFonts w:hint="eastAsia" w:ascii="黑体" w:hAnsi="黑体" w:eastAsia="黑体"/>
          <w:b w:val="0"/>
          <w:color w:val="000000" w:themeColor="text1"/>
          <w:highlight w:val="none"/>
          <w14:textFill>
            <w14:solidFill>
              <w14:schemeClr w14:val="tx1"/>
            </w14:solidFill>
          </w14:textFill>
        </w:rPr>
        <w:t>三、</w:t>
      </w:r>
      <w:r>
        <w:rPr>
          <w:rFonts w:hint="eastAsia" w:ascii="黑体" w:hAnsi="黑体" w:eastAsia="黑体"/>
          <w:b w:val="0"/>
          <w:color w:val="000000" w:themeColor="text1"/>
          <w:highlight w:val="none"/>
          <w:lang w:val="en-US" w:eastAsia="zh-CN"/>
          <w14:textFill>
            <w14:solidFill>
              <w14:schemeClr w14:val="tx1"/>
            </w14:solidFill>
          </w14:textFill>
        </w:rPr>
        <w:t>资助方式和</w:t>
      </w:r>
      <w:r>
        <w:rPr>
          <w:rFonts w:hint="eastAsia" w:ascii="黑体" w:hAnsi="黑体" w:eastAsia="黑体" w:cstheme="majorBidi"/>
          <w:b w:val="0"/>
          <w:color w:val="000000" w:themeColor="text1"/>
          <w:kern w:val="2"/>
          <w:highlight w:val="none"/>
          <w14:textFill>
            <w14:solidFill>
              <w14:schemeClr w14:val="tx1"/>
            </w14:solidFill>
          </w14:textFill>
        </w:rPr>
        <w:t>标准</w:t>
      </w:r>
    </w:p>
    <w:p>
      <w:pPr>
        <w:pageBreakBefore w:val="0"/>
        <w:kinsoku/>
        <w:topLinePunct w:val="0"/>
        <w:autoSpaceDN/>
        <w:bidi w:val="0"/>
        <w:spacing w:line="560" w:lineRule="exact"/>
        <w:ind w:leftChars="0" w:firstLine="640" w:firstLineChars="200"/>
        <w:jc w:val="both"/>
        <w:textAlignment w:val="auto"/>
        <w:outlineLvl w:val="1"/>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14:textFill>
            <w14:solidFill>
              <w14:schemeClr w14:val="tx1"/>
            </w14:solidFill>
          </w14:textFill>
        </w:rPr>
        <w:t>（一）</w:t>
      </w:r>
      <w:r>
        <w:rPr>
          <w:rFonts w:hint="eastAsia" w:ascii="楷体_GB2312" w:hAnsi="楷体_GB2312" w:eastAsia="楷体_GB2312" w:cs="楷体_GB2312"/>
          <w:color w:val="000000" w:themeColor="text1"/>
          <w:sz w:val="32"/>
          <w:szCs w:val="32"/>
          <w:highlight w:val="none"/>
          <w14:textFill>
            <w14:solidFill>
              <w14:schemeClr w14:val="tx1"/>
            </w14:solidFill>
          </w14:textFill>
        </w:rPr>
        <w:t>语料采购资助</w:t>
      </w:r>
    </w:p>
    <w:p>
      <w:pPr>
        <w:pageBreakBefore w:val="0"/>
        <w:kinsoku/>
        <w:topLinePunct w:val="0"/>
        <w:autoSpaceDN/>
        <w:bidi w:val="0"/>
        <w:spacing w:line="560" w:lineRule="exact"/>
        <w:ind w:leftChars="0"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对于当年度符合条件的申报企业，每年按不超过语料采购总费用30%，最高200万元予以资助。语料采购总费用以直接用于语料数据采购的费用为准。具体资助金额根据语料采购总费用、数据量、应用成效等维度综合打分评定。</w:t>
      </w:r>
    </w:p>
    <w:p>
      <w:pPr>
        <w:pageBreakBefore w:val="0"/>
        <w:kinsoku/>
        <w:topLinePunct w:val="0"/>
        <w:autoSpaceDN/>
        <w:bidi w:val="0"/>
        <w:spacing w:line="560" w:lineRule="exact"/>
        <w:ind w:leftChars="0"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应用成效可以参考数字深圳联合创新中心（人工智能实验室）等平台或市场成效验证等结果。</w:t>
      </w:r>
    </w:p>
    <w:p>
      <w:pPr>
        <w:pageBreakBefore w:val="0"/>
        <w:kinsoku/>
        <w:topLinePunct w:val="0"/>
        <w:autoSpaceDN/>
        <w:bidi w:val="0"/>
        <w:spacing w:line="560" w:lineRule="exact"/>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采购语料应用的项目获得省级以上人工智能类、科学技术进步类奖项，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获得省级以上人工智能、科学技术相关创新平台资格认定的可适当予以加分。</w:t>
      </w:r>
    </w:p>
    <w:p>
      <w:pPr>
        <w:pageBreakBefore w:val="0"/>
        <w:kinsoku/>
        <w:topLinePunct w:val="0"/>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申报企业获得创新型中小企业、专精特新中小企业、专精特新“小巨人”中任意一个认定的，可适当予以加分。</w:t>
      </w:r>
    </w:p>
    <w:p>
      <w:pPr>
        <w:pStyle w:val="13"/>
        <w:pageBreakBefore w:val="0"/>
        <w:kinsoku/>
        <w:topLinePunct w:val="0"/>
        <w:autoSpaceDN/>
        <w:bidi w:val="0"/>
        <w:spacing w:after="0" w:line="560" w:lineRule="exact"/>
        <w:ind w:leftChars="0" w:firstLine="640" w:firstLineChars="200"/>
        <w:jc w:val="both"/>
        <w:textAlignment w:val="auto"/>
        <w:outlineLvl w:val="1"/>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val="en-US" w:eastAsia="zh-CN"/>
          <w14:textFill>
            <w14:solidFill>
              <w14:schemeClr w14:val="tx1"/>
            </w14:solidFill>
          </w14:textFill>
        </w:rPr>
        <w:t>（二）</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语料数据开放奖励</w:t>
      </w:r>
    </w:p>
    <w:p>
      <w:pPr>
        <w:pStyle w:val="18"/>
        <w:pageBreakBefore w:val="0"/>
        <w:numPr>
          <w:ilvl w:val="0"/>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560" w:lineRule="exact"/>
        <w:ind w:leftChars="0" w:firstLine="640" w:firstLineChars="200"/>
        <w:jc w:val="both"/>
        <w:textAlignment w:val="auto"/>
        <w:rPr>
          <w:rStyle w:val="15"/>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Style w:val="15"/>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auto"/>
          <w:lang w:val="en-US" w:eastAsia="zh-CN"/>
          <w14:textFill>
            <w14:solidFill>
              <w14:schemeClr w14:val="tx1"/>
            </w14:solidFill>
          </w14:textFill>
        </w:rPr>
        <w:t>申报企业在申报期限内累计开放语料数据规模达到以下标准之一</w:t>
      </w:r>
      <w:r>
        <w:rPr>
          <w:rStyle w:val="15"/>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（满足</w:t>
      </w:r>
      <w:r>
        <w:rPr>
          <w:rStyle w:val="15"/>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各类型中的任意一项数量</w:t>
      </w:r>
      <w:r>
        <w:rPr>
          <w:rStyle w:val="15"/>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即可</w:t>
      </w:r>
      <w:r>
        <w:rPr>
          <w:rStyle w:val="15"/>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Style w:val="15"/>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其他类型数据</w:t>
      </w: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可以参照以下类型并根据实际情况</w:t>
      </w:r>
      <w:r>
        <w:rPr>
          <w:rStyle w:val="15"/>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评定</w:t>
      </w:r>
      <w:r>
        <w:rPr>
          <w:rStyle w:val="15"/>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w:t>
      </w:r>
      <w:r>
        <w:rPr>
          <w:rStyle w:val="15"/>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给予不超过40万元的奖励：</w:t>
      </w:r>
    </w:p>
    <w:p>
      <w:pPr>
        <w:pStyle w:val="18"/>
        <w:pageBreakBefore w:val="0"/>
        <w:numPr>
          <w:ilvl w:val="0"/>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560" w:lineRule="exact"/>
        <w:ind w:leftChars="0" w:firstLine="640" w:firstLineChars="200"/>
        <w:jc w:val="both"/>
        <w:textAlignment w:val="auto"/>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pPr>
      <w:r>
        <w:rPr>
          <w:rStyle w:val="15"/>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通用类，</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预训练文本类数据</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不低于10</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万</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条</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、标注文本类数据不低于</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万</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条</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指令集/图片类数据</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不低于1</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万组/张</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音频/视频类数据</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不低于100</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小时</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结构化数据</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不低于10</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万条</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具身智能类，</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多模态数据不少于1万条（至少包含文本、RGB、深度三个模态）</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动作与运动控制数据不少于1万条</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人类行为数据不少于1万条</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仿真场景不少于2</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000</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个</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数字资产模型不少于1万个</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18"/>
        <w:pageBreakBefore w:val="0"/>
        <w:numPr>
          <w:ilvl w:val="0"/>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560" w:lineRule="exact"/>
        <w:ind w:leftChars="0" w:firstLine="640" w:firstLineChars="200"/>
        <w:jc w:val="both"/>
        <w:textAlignment w:val="auto"/>
        <w:rPr>
          <w:rStyle w:val="15"/>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Style w:val="15"/>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auto"/>
          <w:lang w:val="en-US" w:eastAsia="zh-CN"/>
          <w14:textFill>
            <w14:solidFill>
              <w14:schemeClr w14:val="tx1"/>
            </w14:solidFill>
          </w14:textFill>
        </w:rPr>
        <w:t>2.申报企业在申报期限内累计开放语料数据规模达到以下标准之一</w:t>
      </w:r>
      <w:r>
        <w:rPr>
          <w:rStyle w:val="15"/>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（满足</w:t>
      </w:r>
      <w:r>
        <w:rPr>
          <w:rStyle w:val="15"/>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各类型中的任意一项数量</w:t>
      </w:r>
      <w:r>
        <w:rPr>
          <w:rStyle w:val="15"/>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即可</w:t>
      </w:r>
      <w:r>
        <w:rPr>
          <w:rStyle w:val="15"/>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Style w:val="15"/>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其他类型数据</w:t>
      </w: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可以参照以下类型并根据实际情况</w:t>
      </w:r>
      <w:r>
        <w:rPr>
          <w:rStyle w:val="15"/>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评定</w:t>
      </w:r>
      <w:r>
        <w:rPr>
          <w:rStyle w:val="15"/>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w:t>
      </w:r>
      <w:r>
        <w:rPr>
          <w:rStyle w:val="15"/>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，给予</w:t>
      </w:r>
      <w:r>
        <w:rPr>
          <w:rStyle w:val="15"/>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auto"/>
          <w:lang w:val="en-US" w:eastAsia="zh-CN"/>
          <w14:textFill>
            <w14:solidFill>
              <w14:schemeClr w14:val="tx1"/>
            </w14:solidFill>
          </w14:textFill>
        </w:rPr>
        <w:t>不低于40万元，</w:t>
      </w: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最高100万元的奖励：</w:t>
      </w:r>
    </w:p>
    <w:p>
      <w:pPr>
        <w:pStyle w:val="18"/>
        <w:pageBreakBefore w:val="0"/>
        <w:numPr>
          <w:ilvl w:val="0"/>
          <w:numId w:val="0"/>
        </w:numPr>
        <w:pBdr>
          <w:top w:val="none" w:color="000000" w:sz="0" w:space="0"/>
          <w:left w:val="none" w:color="000000" w:sz="0" w:space="0"/>
          <w:bottom w:val="none" w:color="000000" w:sz="0" w:space="0"/>
          <w:right w:val="none" w:color="000000" w:sz="0" w:space="0"/>
        </w:pBdr>
        <w:kinsoku/>
        <w:overflowPunct w:val="0"/>
        <w:topLinePunct w:val="0"/>
        <w:autoSpaceDE/>
        <w:autoSpaceDN/>
        <w:bidi w:val="0"/>
        <w:adjustRightInd w:val="0"/>
        <w:snapToGrid w:val="0"/>
        <w:spacing w:line="560" w:lineRule="exact"/>
        <w:ind w:firstLine="640" w:firstLineChars="200"/>
        <w:jc w:val="both"/>
        <w:textAlignment w:val="auto"/>
        <w:rPr>
          <w:rStyle w:val="15"/>
          <w:rFonts w:hint="default" w:ascii="仿宋_GB2312" w:hAnsi="仿宋_GB2312" w:eastAsia="仿宋_GB2312" w:cs="仿宋_GB2312"/>
          <w:color w:val="000000" w:themeColor="text1"/>
          <w:sz w:val="32"/>
          <w:szCs w:val="32"/>
          <w:highlight w:val="none"/>
          <w:lang w:val="en-US"/>
          <w14:textFill>
            <w14:solidFill>
              <w14:schemeClr w14:val="tx1"/>
            </w14:solidFill>
          </w14:textFill>
        </w:rPr>
      </w:pPr>
      <w:r>
        <w:rPr>
          <w:rStyle w:val="15"/>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通用类，</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预训练文本类数据</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不低于</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6000万</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条、标注文本类数据</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不低于</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60</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万条、指令集/图片类数据</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不低于</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60</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万组/张、音频/视频类数据</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不低于</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00小时、结构化数据</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不低于</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00万条</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具身智能类，</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多模态数据不少于5万条（至少包含文本、RGB、深度三个模态）</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动作与运动控制数据不少于5万条</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人类行为数据不少于5万条</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仿真场景不少于1万个</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数字资产模型不少于10万个</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18"/>
        <w:pageBreakBefore w:val="0"/>
        <w:numPr>
          <w:ilvl w:val="0"/>
          <w:numId w:val="0"/>
        </w:numPr>
        <w:pBdr>
          <w:top w:val="none" w:color="000000" w:sz="0" w:space="0"/>
          <w:left w:val="none" w:color="000000" w:sz="0" w:space="0"/>
          <w:bottom w:val="none" w:color="000000" w:sz="0" w:space="0"/>
          <w:right w:val="none" w:color="000000" w:sz="0" w:space="0"/>
        </w:pBdr>
        <w:kinsoku/>
        <w:overflowPunct w:val="0"/>
        <w:topLinePunct w:val="0"/>
        <w:autoSpaceDE/>
        <w:autoSpaceDN/>
        <w:bidi w:val="0"/>
        <w:adjustRightInd w:val="0"/>
        <w:snapToGrid w:val="0"/>
        <w:spacing w:line="560" w:lineRule="exact"/>
        <w:ind w:leftChars="0" w:firstLine="640" w:firstLineChars="200"/>
        <w:jc w:val="both"/>
        <w:textAlignment w:val="auto"/>
        <w:rPr>
          <w:rStyle w:val="15"/>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3.奖励金额</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根据企业年度开放语料的数据量、质量、更新频率、应用成效等维度综合评定。</w:t>
      </w:r>
    </w:p>
    <w:p>
      <w:pPr>
        <w:pageBreakBefore w:val="0"/>
        <w:kinsoku/>
        <w:overflowPunct/>
        <w:topLinePunct w:val="0"/>
        <w:autoSpaceDE w:val="0"/>
        <w:autoSpaceDN/>
        <w:bidi w:val="0"/>
        <w:spacing w:line="560" w:lineRule="exact"/>
        <w:ind w:left="0" w:leftChars="0" w:right="0" w:firstLine="640" w:firstLineChars="200"/>
        <w:contextualSpacing/>
        <w:jc w:val="both"/>
        <w:textAlignment w:val="auto"/>
        <w:outlineLvl w:val="0"/>
        <w:rPr>
          <w:rFonts w:hint="default"/>
          <w:color w:val="000000" w:themeColor="text1"/>
          <w:highlight w:val="none"/>
          <w:lang w:val="en-US"/>
          <w14:textFill>
            <w14:solidFill>
              <w14:schemeClr w14:val="tx1"/>
            </w14:solidFill>
          </w14:textFill>
        </w:rPr>
      </w:pPr>
      <w:r>
        <w:rPr>
          <w:rStyle w:val="15"/>
          <w:rFonts w:hint="eastAsia" w:ascii="仿宋_GB2312" w:hAnsi="仿宋_GB2312"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4.应用成效可以参考</w:t>
      </w: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数字深圳</w:t>
      </w:r>
      <w:r>
        <w:rPr>
          <w:rStyle w:val="15"/>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联合创新中心（人工智能实验室）</w:t>
      </w: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等平台</w:t>
      </w:r>
      <w:r>
        <w:rPr>
          <w:rStyle w:val="15"/>
          <w:rFonts w:hint="eastAsia" w:ascii="仿宋_GB2312" w:hAnsi="仿宋_GB2312"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或市场成效验证结果</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ageBreakBefore w:val="0"/>
        <w:kinsoku/>
        <w:overflowPunct/>
        <w:topLinePunct w:val="0"/>
        <w:autoSpaceDN/>
        <w:bidi w:val="0"/>
        <w:adjustRightInd/>
        <w:snapToGrid/>
        <w:spacing w:line="560" w:lineRule="exact"/>
        <w:ind w:left="0" w:leftChars="0" w:right="0" w:firstLine="640" w:firstLineChars="200"/>
        <w:jc w:val="both"/>
        <w:textAlignment w:val="auto"/>
        <w:outlineLvl w:val="9"/>
        <w:rPr>
          <w:rFonts w:hint="default"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（三）资助累计标准</w:t>
      </w:r>
    </w:p>
    <w:p>
      <w:pPr>
        <w:pageBreakBefore w:val="0"/>
        <w:kinsoku/>
        <w:overflowPunct/>
        <w:topLinePunct w:val="0"/>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color w:val="000000" w:themeColor="text1"/>
          <w:kern w:val="2"/>
          <w:sz w:val="32"/>
          <w:szCs w:val="32"/>
          <w:highlight w:val="none"/>
          <w:lang w:val="en-U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本语料券发放措施与我市市级层面其他同类优惠措施不重复享受。对于已获得国家或省级财政支持的项目，我市各级财政对同一项目累计资助金额不得超过该项目经审计认定的投资额。</w:t>
      </w:r>
    </w:p>
    <w:p>
      <w:pPr>
        <w:pageBreakBefore w:val="0"/>
        <w:widowControl/>
        <w:numPr>
          <w:ilvl w:val="0"/>
          <w:numId w:val="0"/>
        </w:numPr>
        <w:kinsoku/>
        <w:overflowPunct/>
        <w:topLinePunct w:val="0"/>
        <w:autoSpaceDN/>
        <w:bidi w:val="0"/>
        <w:spacing w:line="560" w:lineRule="exact"/>
        <w:ind w:leftChars="0" w:right="0" w:rightChars="0" w:firstLine="640" w:firstLineChars="200"/>
        <w:contextualSpacing/>
        <w:jc w:val="both"/>
        <w:textAlignment w:val="auto"/>
        <w:outlineLvl w:val="0"/>
        <w:rPr>
          <w:rFonts w:hint="default" w:ascii="黑体" w:hAnsi="黑体" w:eastAsia="黑体" w:cstheme="majorBidi"/>
          <w:bCs/>
          <w:color w:val="000000" w:themeColor="text1"/>
          <w:sz w:val="32"/>
          <w:szCs w:val="32"/>
          <w:highlight w:val="none"/>
          <w:lang w:val="en-US" w:eastAsia="zh-CN"/>
          <w14:textFill>
            <w14:solidFill>
              <w14:schemeClr w14:val="tx1"/>
            </w14:solidFill>
          </w14:textFill>
        </w:rPr>
      </w:pPr>
      <w:r>
        <w:rPr>
          <w:rFonts w:hint="eastAsia" w:ascii="黑体" w:hAnsi="黑体" w:eastAsia="黑体" w:cs="仿宋_GB2312"/>
          <w:bCs/>
          <w:color w:val="000000" w:themeColor="text1"/>
          <w:sz w:val="32"/>
          <w:szCs w:val="32"/>
          <w:highlight w:val="none"/>
          <w:lang w:val="en-US" w:eastAsia="zh-CN"/>
          <w14:textFill>
            <w14:solidFill>
              <w14:schemeClr w14:val="tx1"/>
            </w14:solidFill>
          </w14:textFill>
        </w:rPr>
        <w:t>四、</w:t>
      </w:r>
      <w:r>
        <w:rPr>
          <w:rFonts w:hint="eastAsia" w:ascii="黑体" w:hAnsi="黑体" w:eastAsia="黑体" w:cs="仿宋_GB2312"/>
          <w:bCs/>
          <w:color w:val="000000" w:themeColor="text1"/>
          <w:sz w:val="32"/>
          <w:szCs w:val="32"/>
          <w:highlight w:val="none"/>
          <w14:textFill>
            <w14:solidFill>
              <w14:schemeClr w14:val="tx1"/>
            </w14:solidFill>
          </w14:textFill>
        </w:rPr>
        <w:t>项目申报条件</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default"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Style w:val="15"/>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Style w:val="15"/>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一</w:t>
      </w:r>
      <w:r>
        <w:rPr>
          <w:rStyle w:val="15"/>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Style w:val="15"/>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基础条件</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default"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w:t>
      </w:r>
      <w:r>
        <w:rPr>
          <w:rStyle w:val="15"/>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申报</w:t>
      </w: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企业</w:t>
      </w:r>
      <w:r>
        <w:rPr>
          <w:rStyle w:val="15"/>
          <w:rFonts w:hint="eastAsia" w:ascii="仿宋_GB2312" w:hAnsi="宋体" w:eastAsia="仿宋_GB2312" w:cs="仿宋_GB2312"/>
          <w:b w:val="0"/>
          <w:bCs w:val="0"/>
          <w:color w:val="000000" w:themeColor="text1"/>
          <w:kern w:val="0"/>
          <w:sz w:val="32"/>
          <w:szCs w:val="32"/>
          <w:highlight w:val="none"/>
          <w:lang w:bidi="ar"/>
          <w14:textFill>
            <w14:solidFill>
              <w14:schemeClr w14:val="tx1"/>
            </w14:solidFill>
          </w14:textFill>
        </w:rPr>
        <w:t>为在深圳市内</w:t>
      </w:r>
      <w:r>
        <w:rPr>
          <w:rStyle w:val="15"/>
          <w:rFonts w:hint="eastAsia" w:ascii="仿宋_GB2312" w:hAnsi="宋体" w:eastAsia="仿宋_GB2312" w:cs="仿宋_GB2312"/>
          <w:b w:val="0"/>
          <w:bCs w:val="0"/>
          <w:color w:val="000000" w:themeColor="text1"/>
          <w:kern w:val="0"/>
          <w:sz w:val="32"/>
          <w:szCs w:val="32"/>
          <w:highlight w:val="none"/>
          <w:lang w:eastAsia="zh-CN" w:bidi="ar"/>
          <w14:textFill>
            <w14:solidFill>
              <w14:schemeClr w14:val="tx1"/>
            </w14:solidFill>
          </w14:textFill>
        </w:rPr>
        <w:t>（含深汕特别合作区，</w:t>
      </w:r>
      <w:r>
        <w:rPr>
          <w:rStyle w:val="15"/>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下同</w:t>
      </w:r>
      <w:r>
        <w:rPr>
          <w:rStyle w:val="15"/>
          <w:rFonts w:hint="eastAsia" w:ascii="仿宋_GB2312" w:hAnsi="宋体" w:eastAsia="仿宋_GB2312" w:cs="仿宋_GB2312"/>
          <w:b w:val="0"/>
          <w:bCs w:val="0"/>
          <w:color w:val="000000" w:themeColor="text1"/>
          <w:kern w:val="0"/>
          <w:sz w:val="32"/>
          <w:szCs w:val="32"/>
          <w:highlight w:val="none"/>
          <w:lang w:eastAsia="zh-CN" w:bidi="ar"/>
          <w14:textFill>
            <w14:solidFill>
              <w14:schemeClr w14:val="tx1"/>
            </w14:solidFill>
          </w14:textFill>
        </w:rPr>
        <w:t>）</w:t>
      </w:r>
      <w:r>
        <w:rPr>
          <w:rStyle w:val="15"/>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实际</w:t>
      </w:r>
      <w:r>
        <w:rPr>
          <w:rStyle w:val="15"/>
          <w:rFonts w:hint="eastAsia" w:ascii="仿宋_GB2312" w:hAnsi="宋体" w:eastAsia="仿宋_GB2312" w:cs="仿宋_GB2312"/>
          <w:b w:val="0"/>
          <w:bCs w:val="0"/>
          <w:color w:val="000000" w:themeColor="text1"/>
          <w:kern w:val="0"/>
          <w:sz w:val="32"/>
          <w:szCs w:val="32"/>
          <w:highlight w:val="none"/>
          <w:lang w:bidi="ar"/>
          <w14:textFill>
            <w14:solidFill>
              <w14:schemeClr w14:val="tx1"/>
            </w14:solidFill>
          </w14:textFill>
        </w:rPr>
        <w:t>从事</w:t>
      </w:r>
      <w:r>
        <w:rPr>
          <w:rStyle w:val="15"/>
          <w:rFonts w:hint="eastAsia" w:ascii="仿宋_GB2312" w:hAnsi="宋体" w:eastAsia="仿宋_GB2312" w:cs="仿宋_GB2312"/>
          <w:b w:val="0"/>
          <w:bCs w:val="0"/>
          <w:color w:val="000000" w:themeColor="text1"/>
          <w:kern w:val="0"/>
          <w:sz w:val="32"/>
          <w:szCs w:val="32"/>
          <w:highlight w:val="none"/>
          <w:lang w:eastAsia="zh-CN" w:bidi="ar"/>
          <w14:textFill>
            <w14:solidFill>
              <w14:schemeClr w14:val="tx1"/>
            </w14:solidFill>
          </w14:textFill>
        </w:rPr>
        <w:t>生产</w:t>
      </w:r>
      <w:r>
        <w:rPr>
          <w:rStyle w:val="15"/>
          <w:rFonts w:hint="eastAsia" w:ascii="仿宋_GB2312" w:hAnsi="宋体" w:eastAsia="仿宋_GB2312" w:cs="仿宋_GB2312"/>
          <w:b w:val="0"/>
          <w:bCs w:val="0"/>
          <w:color w:val="000000" w:themeColor="text1"/>
          <w:kern w:val="0"/>
          <w:sz w:val="32"/>
          <w:szCs w:val="32"/>
          <w:highlight w:val="none"/>
          <w:lang w:bidi="ar"/>
          <w14:textFill>
            <w14:solidFill>
              <w14:schemeClr w14:val="tx1"/>
            </w14:solidFill>
          </w14:textFill>
        </w:rPr>
        <w:t>经营活动</w:t>
      </w:r>
      <w:r>
        <w:rPr>
          <w:rStyle w:val="15"/>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的企业及其控股子公司，以及该企业依法设立的分公司。</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申报2025年度语料券专项资金的企业应于2024年1月1日至2025年9月30日期间签署语料采购合同或完成语料数据的开放，《操作规程》发布前未通过数据交易所场内交易采购语料的企业，须在数据交易所完成备案后申报。</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default" w:ascii="仿宋_GB2312" w:hAnsi="仿宋_GB2312" w:eastAsia="仿宋_GB2312" w:cs="仿宋_GB2312"/>
          <w:b w:val="0"/>
          <w:bCs w:val="0"/>
          <w:strike w:val="0"/>
          <w:color w:val="000000" w:themeColor="text1"/>
          <w:kern w:val="2"/>
          <w:sz w:val="32"/>
          <w:szCs w:val="32"/>
          <w:highlight w:val="none"/>
          <w:shd w:val="clear" w:color="auto" w:fill="auto"/>
          <w:lang w:val="en-US" w:eastAsia="zh-CN" w:bidi="ar"/>
          <w14:textFill>
            <w14:solidFill>
              <w14:schemeClr w14:val="tx1"/>
            </w14:solidFill>
          </w14:textFill>
        </w:rPr>
      </w:pP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企业采购</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或开放的</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语料</w:t>
      </w:r>
      <w:r>
        <w:rPr>
          <w:rStyle w:val="15"/>
          <w:rFonts w:hint="eastAsia"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t>应</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有明确</w:t>
      </w:r>
      <w:r>
        <w:rPr>
          <w:rStyle w:val="15"/>
          <w:rFonts w:hint="eastAsia" w:ascii="仿宋_GB2312" w:hAnsi="仿宋_GB2312" w:eastAsia="仿宋_GB2312" w:cs="仿宋_GB2312"/>
          <w:color w:val="000000" w:themeColor="text1"/>
          <w:sz w:val="32"/>
          <w:szCs w:val="32"/>
          <w:highlight w:val="none"/>
          <w:shd w:val="clear" w:color="auto" w:fill="auto"/>
          <w:lang w:eastAsia="zh-CN" w:bidi="ar"/>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t>清晰、合理</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的</w:t>
      </w:r>
      <w:r>
        <w:rPr>
          <w:rStyle w:val="15"/>
          <w:rFonts w:hint="eastAsia"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t>适用</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场景</w:t>
      </w:r>
      <w:r>
        <w:rPr>
          <w:rStyle w:val="15"/>
          <w:rFonts w:hint="eastAsia" w:ascii="仿宋_GB2312" w:hAnsi="仿宋_GB2312" w:eastAsia="仿宋_GB2312" w:cs="仿宋_GB2312"/>
          <w:color w:val="000000" w:themeColor="text1"/>
          <w:sz w:val="32"/>
          <w:szCs w:val="32"/>
          <w:highlight w:val="none"/>
          <w:shd w:val="clear" w:color="auto" w:fill="auto"/>
          <w:lang w:eastAsia="zh-CN" w:bidi="ar"/>
          <w14:textFill>
            <w14:solidFill>
              <w14:schemeClr w14:val="tx1"/>
            </w14:solidFill>
          </w14:textFill>
        </w:rPr>
        <w:t>。</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Style w:val="15"/>
          <w:rFonts w:hint="eastAsia" w:ascii="仿宋_GB2312" w:hAnsi="仿宋_GB2312" w:eastAsia="仿宋_GB2312" w:cs="仿宋_GB2312"/>
          <w:b w:val="0"/>
          <w:bCs w:val="0"/>
          <w:color w:val="000000" w:themeColor="text1"/>
          <w:sz w:val="32"/>
          <w:szCs w:val="32"/>
          <w:highlight w:val="none"/>
          <w:shd w:val="clear" w:color="auto" w:fill="auto"/>
          <w:lang w:val="en-US" w:eastAsia="zh-CN" w:bidi="ar"/>
          <w14:textFill>
            <w14:solidFill>
              <w14:schemeClr w14:val="tx1"/>
            </w14:solidFill>
          </w14:textFill>
        </w:rPr>
        <w:t>4.用于申</w:t>
      </w:r>
      <w:r>
        <w:rPr>
          <w:rStyle w:val="15"/>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报</w:t>
      </w:r>
      <w:r>
        <w:rPr>
          <w:rStyle w:val="15"/>
          <w:rFonts w:hint="eastAsia" w:ascii="仿宋_GB2312" w:hAnsi="仿宋_GB2312" w:eastAsia="仿宋_GB2312" w:cs="仿宋_GB2312"/>
          <w:b w:val="0"/>
          <w:bCs w:val="0"/>
          <w:color w:val="000000" w:themeColor="text1"/>
          <w:sz w:val="32"/>
          <w:szCs w:val="32"/>
          <w:highlight w:val="none"/>
          <w:shd w:val="clear" w:color="auto" w:fill="auto"/>
          <w:lang w:val="en-US" w:eastAsia="zh-CN" w:bidi="ar"/>
          <w14:textFill>
            <w14:solidFill>
              <w14:schemeClr w14:val="tx1"/>
            </w14:solidFill>
          </w14:textFill>
        </w:rPr>
        <w:t>语料采购资助和语料开放奖励的数据，</w:t>
      </w:r>
      <w:r>
        <w:rPr>
          <w:rStyle w:val="15"/>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应</w:t>
      </w:r>
      <w:r>
        <w:rPr>
          <w:rStyle w:val="15"/>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当通过合规评估，申报企业应当提交</w:t>
      </w:r>
      <w:r>
        <w:rPr>
          <w:rStyle w:val="15"/>
          <w:rFonts w:hint="eastAsia" w:ascii="仿宋_GB2312" w:hAnsi="仿宋_GB2312" w:eastAsia="仿宋_GB2312" w:cs="仿宋_GB2312"/>
          <w:b w:val="0"/>
          <w:bCs w:val="0"/>
          <w:color w:val="000000" w:themeColor="text1"/>
          <w:kern w:val="2"/>
          <w:sz w:val="32"/>
          <w:szCs w:val="32"/>
          <w:highlight w:val="none"/>
          <w:lang w:bidi="ar"/>
          <w14:textFill>
            <w14:solidFill>
              <w14:schemeClr w14:val="tx1"/>
            </w14:solidFill>
          </w14:textFill>
        </w:rPr>
        <w:t>数据交易所</w:t>
      </w:r>
      <w:r>
        <w:rPr>
          <w:rStyle w:val="15"/>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t>或第三方专业机构（具备数据合规评估能力的律师事务所）出具的数据合规报告。</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eastAsia"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pPr>
      <w:r>
        <w:rPr>
          <w:rStyle w:val="15"/>
          <w:rFonts w:hint="eastAsia"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t>5.</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申报企业应当在本</w:t>
      </w:r>
      <w:r>
        <w:rPr>
          <w:rStyle w:val="15"/>
          <w:rFonts w:hint="eastAsia"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t>指南</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规定的申报时限内，一次性提交当年度语料采购或开放的相关材料。</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default"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pPr>
      <w:r>
        <w:rPr>
          <w:rStyle w:val="15"/>
          <w:rFonts w:hint="eastAsia"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t>6.</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申报企业不可就同一购买或开放语料活动向有关部门多头申报。不支持企业购买自身出售的语料数据（含采购相关数据的加工服务等）后申报资助。</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pPr>
      <w:r>
        <w:rPr>
          <w:rStyle w:val="15"/>
          <w:rFonts w:hint="eastAsia"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t>7.</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申报企业实施语料采购和开放活动，应当符合国家安全、商业秘密</w:t>
      </w:r>
      <w:r>
        <w:rPr>
          <w:rStyle w:val="15"/>
          <w:rFonts w:hint="eastAsia" w:ascii="仿宋_GB2312" w:hAnsi="仿宋_GB2312" w:eastAsia="仿宋_GB2312" w:cs="仿宋_GB2312"/>
          <w:color w:val="000000" w:themeColor="text1"/>
          <w:sz w:val="32"/>
          <w:szCs w:val="32"/>
          <w:highlight w:val="none"/>
          <w:shd w:val="clear" w:color="auto" w:fill="auto"/>
          <w:lang w:eastAsia="zh-CN" w:bidi="ar"/>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个人隐私等相关法律法规规章要求，并依法采取保护措施</w:t>
      </w:r>
      <w:r>
        <w:rPr>
          <w:rStyle w:val="15"/>
          <w:rFonts w:hint="eastAsia" w:ascii="仿宋_GB2312" w:hAnsi="仿宋_GB2312" w:eastAsia="仿宋_GB2312" w:cs="仿宋_GB2312"/>
          <w:color w:val="000000" w:themeColor="text1"/>
          <w:sz w:val="32"/>
          <w:szCs w:val="32"/>
          <w:highlight w:val="none"/>
          <w:shd w:val="clear" w:color="auto" w:fill="auto"/>
          <w:lang w:eastAsia="zh-CN" w:bidi="ar"/>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涉及个人隐私、个人信息</w:t>
      </w:r>
      <w:r>
        <w:rPr>
          <w:rStyle w:val="15"/>
          <w:rFonts w:hint="eastAsia"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t>和</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商业秘密的语料，申报企业应当取得权利主体的合法授权。</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default"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pPr>
      <w:r>
        <w:rPr>
          <w:rStyle w:val="15"/>
          <w:rFonts w:hint="eastAsia"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t>8.</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如语料涉及</w:t>
      </w:r>
      <w:r>
        <w:rPr>
          <w:rStyle w:val="15"/>
          <w:rFonts w:hint="eastAsia"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t>知识产权、</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科技伦理、科技安全等敏感领域，申报企业应当严格执行法律法规规章和相关科技伦理规定，做好风险防范。</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pPr>
      <w:r>
        <w:rPr>
          <w:rStyle w:val="15"/>
          <w:rFonts w:hint="eastAsia" w:ascii="仿宋_GB2312" w:hAnsi="仿宋_GB2312" w:eastAsia="仿宋_GB2312" w:cs="仿宋_GB2312"/>
          <w:strike w:val="0"/>
          <w:color w:val="000000" w:themeColor="text1"/>
          <w:sz w:val="32"/>
          <w:szCs w:val="32"/>
          <w:highlight w:val="none"/>
          <w:lang w:val="en-US" w:eastAsia="zh-CN"/>
          <w14:textFill>
            <w14:solidFill>
              <w14:schemeClr w14:val="tx1"/>
            </w14:solidFill>
          </w14:textFill>
        </w:rPr>
        <w:t>9.法律法规规章规定的其他条件</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default" w:ascii="楷体_GB2312" w:hAnsi="楷体_GB2312" w:eastAsia="楷体_GB2312" w:cs="楷体_GB2312"/>
          <w:bCs w:val="0"/>
          <w:color w:val="000000" w:themeColor="text1"/>
          <w:sz w:val="32"/>
          <w:szCs w:val="32"/>
          <w:highlight w:val="none"/>
          <w:lang w:val="en-US" w:eastAsia="zh-CN"/>
          <w14:textFill>
            <w14:solidFill>
              <w14:schemeClr w14:val="tx1"/>
            </w14:solidFill>
          </w14:textFill>
        </w:rPr>
      </w:pPr>
      <w:r>
        <w:rPr>
          <w:rStyle w:val="15"/>
          <w:rFonts w:hint="eastAsia" w:ascii="楷体_GB2312" w:hAnsi="楷体_GB2312" w:eastAsia="楷体_GB2312" w:cs="楷体_GB2312"/>
          <w:bCs w:val="0"/>
          <w:color w:val="000000" w:themeColor="text1"/>
          <w:sz w:val="32"/>
          <w:szCs w:val="32"/>
          <w:highlight w:val="none"/>
          <w:lang w:val="en-US" w:eastAsia="zh-CN"/>
          <w14:textFill>
            <w14:solidFill>
              <w14:schemeClr w14:val="tx1"/>
            </w14:solidFill>
          </w14:textFill>
        </w:rPr>
        <w:t>（二）申报语料采购资助的企业，应当同时满足以下专项条件：</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w:t>
      </w:r>
      <w:r>
        <w:rPr>
          <w:rStyle w:val="15"/>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申</w:t>
      </w:r>
      <w:r>
        <w:rPr>
          <w:rStyle w:val="15"/>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报</w:t>
      </w: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企业</w:t>
      </w:r>
      <w:r>
        <w:rPr>
          <w:rStyle w:val="15"/>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应</w:t>
      </w: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当从事</w:t>
      </w:r>
      <w:r>
        <w:rPr>
          <w:rStyle w:val="15"/>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人工智能</w:t>
      </w: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大模型</w:t>
      </w:r>
      <w:r>
        <w:rPr>
          <w:rStyle w:val="15"/>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研发</w:t>
      </w: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和</w:t>
      </w:r>
      <w:r>
        <w:rPr>
          <w:rStyle w:val="15"/>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应用相关业务</w:t>
      </w:r>
      <w:r>
        <w:rPr>
          <w:rStyle w:val="15"/>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default"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pPr>
      <w:r>
        <w:rPr>
          <w:rStyle w:val="15"/>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t>2.申报企业</w:t>
      </w:r>
      <w:r>
        <w:rPr>
          <w:rStyle w:val="15"/>
          <w:rFonts w:hint="eastAsia" w:ascii="仿宋_GB2312" w:hAnsi="仿宋_GB2312" w:eastAsia="仿宋_GB2312" w:cs="仿宋_GB2312"/>
          <w:b w:val="0"/>
          <w:bCs w:val="0"/>
          <w:color w:val="000000" w:themeColor="text1"/>
          <w:kern w:val="2"/>
          <w:sz w:val="32"/>
          <w:szCs w:val="32"/>
          <w:highlight w:val="none"/>
          <w:lang w:eastAsia="zh-CN" w:bidi="ar"/>
          <w14:textFill>
            <w14:solidFill>
              <w14:schemeClr w14:val="tx1"/>
            </w14:solidFill>
          </w14:textFill>
        </w:rPr>
        <w:t>应通过</w:t>
      </w:r>
      <w:r>
        <w:rPr>
          <w:rStyle w:val="15"/>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t>经</w:t>
      </w:r>
      <w:r>
        <w:rPr>
          <w:rStyle w:val="15"/>
          <w:rFonts w:hint="eastAsia" w:ascii="仿宋_GB2312" w:hAnsi="仿宋_GB2312" w:eastAsia="仿宋_GB2312" w:cs="仿宋_GB2312"/>
          <w:b w:val="0"/>
          <w:bCs w:val="0"/>
          <w:color w:val="000000" w:themeColor="text1"/>
          <w:kern w:val="2"/>
          <w:sz w:val="32"/>
          <w:szCs w:val="32"/>
          <w:highlight w:val="none"/>
          <w:lang w:eastAsia="zh-CN" w:bidi="ar"/>
          <w14:textFill>
            <w14:solidFill>
              <w14:schemeClr w14:val="tx1"/>
            </w14:solidFill>
          </w14:textFill>
        </w:rPr>
        <w:t>省、市人民政府依法</w:t>
      </w:r>
      <w:r>
        <w:rPr>
          <w:rStyle w:val="15"/>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t>批准成立</w:t>
      </w:r>
      <w:r>
        <w:rPr>
          <w:rStyle w:val="15"/>
          <w:rFonts w:hint="eastAsia" w:ascii="仿宋_GB2312" w:hAnsi="仿宋_GB2312" w:eastAsia="仿宋_GB2312" w:cs="仿宋_GB2312"/>
          <w:b w:val="0"/>
          <w:bCs w:val="0"/>
          <w:color w:val="000000" w:themeColor="text1"/>
          <w:kern w:val="2"/>
          <w:sz w:val="32"/>
          <w:szCs w:val="32"/>
          <w:highlight w:val="none"/>
          <w:lang w:eastAsia="zh-CN" w:bidi="ar"/>
          <w14:textFill>
            <w14:solidFill>
              <w14:schemeClr w14:val="tx1"/>
            </w14:solidFill>
          </w14:textFill>
        </w:rPr>
        <w:t>的数据交易所完成</w:t>
      </w:r>
      <w:r>
        <w:rPr>
          <w:rStyle w:val="15"/>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t>语料采购。</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Fonts w:hint="eastAsia" w:ascii="黑体" w:hAnsi="黑体" w:eastAsia="黑体" w:cstheme="majorBidi"/>
          <w:bCs/>
          <w:color w:val="000000" w:themeColor="text1"/>
          <w:sz w:val="32"/>
          <w:szCs w:val="32"/>
          <w:highlight w:val="none"/>
          <w14:textFill>
            <w14:solidFill>
              <w14:schemeClr w14:val="tx1"/>
            </w14:solidFill>
          </w14:textFill>
        </w:rPr>
      </w:pPr>
      <w:r>
        <w:rPr>
          <w:rStyle w:val="15"/>
          <w:rFonts w:hint="eastAsia" w:ascii="仿宋_GB2312" w:hAnsi="仿宋_GB2312" w:eastAsia="仿宋_GB2312" w:cs="仿宋_GB2312"/>
          <w:b w:val="0"/>
          <w:bCs w:val="0"/>
          <w:color w:val="000000" w:themeColor="text1"/>
          <w:sz w:val="32"/>
          <w:szCs w:val="32"/>
          <w:highlight w:val="none"/>
          <w:shd w:val="clear" w:color="auto" w:fill="auto"/>
          <w:lang w:val="en-US" w:eastAsia="zh-CN" w:bidi="ar"/>
          <w14:textFill>
            <w14:solidFill>
              <w14:schemeClr w14:val="tx1"/>
            </w14:solidFill>
          </w14:textFill>
        </w:rPr>
        <w:t>3.申报企业采购语料用于开展人工智能大模型研发和应用的</w:t>
      </w:r>
      <w:r>
        <w:rPr>
          <w:rStyle w:val="15"/>
          <w:rFonts w:hint="eastAsia" w:ascii="仿宋_GB2312" w:hAnsi="仿宋_GB2312" w:eastAsia="仿宋_GB2312" w:cs="仿宋_GB2312"/>
          <w:b w:val="0"/>
          <w:bCs w:val="0"/>
          <w:color w:val="000000" w:themeColor="text1"/>
          <w:kern w:val="2"/>
          <w:sz w:val="32"/>
          <w:szCs w:val="32"/>
          <w:highlight w:val="none"/>
          <w:shd w:val="clear" w:color="auto" w:fill="auto"/>
          <w:lang w:bidi="ar"/>
          <w14:textFill>
            <w14:solidFill>
              <w14:schemeClr w14:val="tx1"/>
            </w14:solidFill>
          </w14:textFill>
        </w:rPr>
        <w:t>实施地</w:t>
      </w:r>
      <w:r>
        <w:rPr>
          <w:rStyle w:val="15"/>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
          <w14:textFill>
            <w14:solidFill>
              <w14:schemeClr w14:val="tx1"/>
            </w14:solidFill>
          </w14:textFill>
        </w:rPr>
        <w:t>应当</w:t>
      </w:r>
      <w:r>
        <w:rPr>
          <w:rStyle w:val="15"/>
          <w:rFonts w:hint="eastAsia" w:ascii="仿宋_GB2312" w:hAnsi="仿宋_GB2312" w:eastAsia="仿宋_GB2312" w:cs="仿宋_GB2312"/>
          <w:b w:val="0"/>
          <w:bCs w:val="0"/>
          <w:color w:val="000000" w:themeColor="text1"/>
          <w:kern w:val="2"/>
          <w:sz w:val="32"/>
          <w:szCs w:val="32"/>
          <w:highlight w:val="none"/>
          <w:shd w:val="clear" w:color="auto" w:fill="auto"/>
          <w:lang w:bidi="ar"/>
          <w14:textFill>
            <w14:solidFill>
              <w14:schemeClr w14:val="tx1"/>
            </w14:solidFill>
          </w14:textFill>
        </w:rPr>
        <w:t>在深圳市</w:t>
      </w:r>
      <w:r>
        <w:rPr>
          <w:rStyle w:val="15"/>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
          <w14:textFill>
            <w14:solidFill>
              <w14:schemeClr w14:val="tx1"/>
            </w14:solidFill>
          </w14:textFill>
        </w:rPr>
        <w:t>内</w:t>
      </w:r>
      <w:r>
        <w:rPr>
          <w:rStyle w:val="15"/>
          <w:rFonts w:hint="eastAsia" w:ascii="仿宋_GB2312" w:hAnsi="仿宋_GB2312" w:eastAsia="仿宋_GB2312" w:cs="仿宋_GB2312"/>
          <w:b w:val="0"/>
          <w:bCs w:val="0"/>
          <w:strike w:val="0"/>
          <w:dstrike w:val="0"/>
          <w:color w:val="000000" w:themeColor="text1"/>
          <w:kern w:val="2"/>
          <w:sz w:val="32"/>
          <w:szCs w:val="32"/>
          <w:highlight w:val="none"/>
          <w:shd w:val="clear" w:color="auto" w:fill="auto"/>
          <w:lang w:eastAsia="zh-CN" w:bidi="ar"/>
          <w14:textFill>
            <w14:solidFill>
              <w14:schemeClr w14:val="tx1"/>
            </w14:solidFill>
          </w14:textFill>
        </w:rPr>
        <w:t>，</w:t>
      </w:r>
      <w:r>
        <w:rPr>
          <w:rStyle w:val="15"/>
          <w:rFonts w:hint="eastAsia" w:ascii="仿宋_GB2312" w:hAnsi="仿宋_GB2312" w:eastAsia="仿宋_GB2312" w:cs="仿宋_GB2312"/>
          <w:b w:val="0"/>
          <w:bCs w:val="0"/>
          <w:strike w:val="0"/>
          <w:dstrike w:val="0"/>
          <w:color w:val="000000" w:themeColor="text1"/>
          <w:kern w:val="2"/>
          <w:sz w:val="32"/>
          <w:szCs w:val="32"/>
          <w:highlight w:val="none"/>
          <w:shd w:val="clear" w:color="auto" w:fill="auto"/>
          <w:lang w:val="en-US" w:eastAsia="zh-CN" w:bidi="ar"/>
          <w14:textFill>
            <w14:solidFill>
              <w14:schemeClr w14:val="tx1"/>
            </w14:solidFill>
          </w14:textFill>
        </w:rPr>
        <w:t>且该研发和应用项目</w:t>
      </w:r>
      <w:r>
        <w:rPr>
          <w:rStyle w:val="15"/>
          <w:rFonts w:hint="eastAsia" w:ascii="仿宋_GB2312" w:hAnsi="仿宋_GB2312" w:eastAsia="仿宋_GB2312" w:cs="仿宋_GB2312"/>
          <w:b w:val="0"/>
          <w:bCs w:val="0"/>
          <w:strike w:val="0"/>
          <w:dstrike w:val="0"/>
          <w:color w:val="000000" w:themeColor="text1"/>
          <w:kern w:val="2"/>
          <w:sz w:val="32"/>
          <w:szCs w:val="32"/>
          <w:highlight w:val="none"/>
          <w:shd w:val="clear" w:color="auto" w:fill="auto"/>
          <w:lang w:bidi="ar"/>
          <w14:textFill>
            <w14:solidFill>
              <w14:schemeClr w14:val="tx1"/>
            </w14:solidFill>
          </w14:textFill>
        </w:rPr>
        <w:t>不属于政府投资建设或购买服务</w:t>
      </w:r>
      <w:r>
        <w:rPr>
          <w:rStyle w:val="15"/>
          <w:rFonts w:hint="eastAsia" w:ascii="仿宋_GB2312" w:hAnsi="仿宋_GB2312" w:eastAsia="仿宋_GB2312" w:cs="仿宋_GB2312"/>
          <w:b w:val="0"/>
          <w:bCs w:val="0"/>
          <w:strike w:val="0"/>
          <w:dstrike w:val="0"/>
          <w:color w:val="000000" w:themeColor="text1"/>
          <w:kern w:val="2"/>
          <w:sz w:val="32"/>
          <w:szCs w:val="32"/>
          <w:highlight w:val="none"/>
          <w:shd w:val="clear" w:color="auto" w:fill="auto"/>
          <w:lang w:val="en-US" w:eastAsia="zh-CN" w:bidi="ar"/>
          <w14:textFill>
            <w14:solidFill>
              <w14:schemeClr w14:val="tx1"/>
            </w14:solidFill>
          </w14:textFill>
        </w:rPr>
        <w:t>项目</w:t>
      </w:r>
      <w:r>
        <w:rPr>
          <w:rStyle w:val="15"/>
          <w:rFonts w:hint="eastAsia" w:ascii="仿宋_GB2312" w:hAnsi="仿宋_GB2312" w:eastAsia="仿宋_GB2312" w:cs="仿宋_GB2312"/>
          <w:b w:val="0"/>
          <w:bCs w:val="0"/>
          <w:color w:val="000000" w:themeColor="text1"/>
          <w:kern w:val="2"/>
          <w:sz w:val="32"/>
          <w:szCs w:val="32"/>
          <w:highlight w:val="none"/>
          <w:shd w:val="clear" w:color="auto" w:fill="auto"/>
          <w:lang w:bidi="ar"/>
          <w14:textFill>
            <w14:solidFill>
              <w14:schemeClr w14:val="tx1"/>
            </w14:solidFill>
          </w14:textFill>
        </w:rPr>
        <w:t>。</w:t>
      </w:r>
    </w:p>
    <w:p>
      <w:pPr>
        <w:pageBreakBefore w:val="0"/>
        <w:widowControl/>
        <w:kinsoku/>
        <w:overflowPunct/>
        <w:topLinePunct w:val="0"/>
        <w:autoSpaceDN/>
        <w:bidi w:val="0"/>
        <w:spacing w:line="560" w:lineRule="exact"/>
        <w:ind w:left="0" w:leftChars="0" w:right="0" w:firstLine="640" w:firstLineChars="200"/>
        <w:jc w:val="both"/>
        <w:textAlignment w:val="auto"/>
        <w:outlineLvl w:val="0"/>
        <w:rPr>
          <w:rFonts w:hint="default" w:ascii="黑体" w:hAnsi="黑体" w:eastAsia="黑体" w:cstheme="majorBidi"/>
          <w:bCs/>
          <w:color w:val="000000" w:themeColor="text1"/>
          <w:sz w:val="32"/>
          <w:szCs w:val="32"/>
          <w:highlight w:val="none"/>
          <w:lang w:val="en-US" w:eastAsia="zh-CN"/>
          <w14:textFill>
            <w14:solidFill>
              <w14:schemeClr w14:val="tx1"/>
            </w14:solidFill>
          </w14:textFill>
        </w:rPr>
      </w:pPr>
      <w:r>
        <w:rPr>
          <w:rFonts w:hint="eastAsia" w:ascii="黑体" w:hAnsi="黑体" w:eastAsia="黑体" w:cstheme="majorBidi"/>
          <w:bCs/>
          <w:color w:val="000000" w:themeColor="text1"/>
          <w:sz w:val="32"/>
          <w:szCs w:val="32"/>
          <w:highlight w:val="none"/>
          <w14:textFill>
            <w14:solidFill>
              <w14:schemeClr w14:val="tx1"/>
            </w14:solidFill>
          </w14:textFill>
        </w:rPr>
        <w:t>五、</w:t>
      </w:r>
      <w:r>
        <w:rPr>
          <w:rFonts w:hint="eastAsia" w:ascii="黑体" w:hAnsi="黑体" w:eastAsia="黑体"/>
          <w:color w:val="000000" w:themeColor="text1"/>
          <w:kern w:val="0"/>
          <w:sz w:val="32"/>
          <w:szCs w:val="32"/>
          <w:highlight w:val="none"/>
          <w14:textFill>
            <w14:solidFill>
              <w14:schemeClr w14:val="tx1"/>
            </w14:solidFill>
          </w14:textFill>
        </w:rPr>
        <w:t>项目申报材料</w:t>
      </w:r>
    </w:p>
    <w:p>
      <w:pPr>
        <w:pageBreakBefore w:val="0"/>
        <w:widowControl/>
        <w:kinsoku/>
        <w:overflowPunct/>
        <w:topLinePunct w:val="0"/>
        <w:autoSpaceDN/>
        <w:bidi w:val="0"/>
        <w:spacing w:line="560" w:lineRule="exact"/>
        <w:ind w:left="0" w:leftChars="0" w:right="0" w:firstLine="640" w:firstLineChars="200"/>
        <w:jc w:val="both"/>
        <w:textAlignment w:val="auto"/>
        <w:outlineLvl w:val="0"/>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申报材料由</w:t>
      </w:r>
      <w:r>
        <w:rPr>
          <w:rFonts w:hint="eastAsia" w:ascii="仿宋_GB2312" w:hAnsi="宋体" w:eastAsia="仿宋_GB2312"/>
          <w:b/>
          <w:color w:val="000000" w:themeColor="text1"/>
          <w:sz w:val="32"/>
          <w:szCs w:val="32"/>
          <w:highlight w:val="none"/>
          <w14:textFill>
            <w14:solidFill>
              <w14:schemeClr w14:val="tx1"/>
            </w14:solidFill>
          </w14:textFill>
        </w:rPr>
        <w:t>共性申报材料</w:t>
      </w:r>
      <w:r>
        <w:rPr>
          <w:rFonts w:hint="eastAsia" w:ascii="仿宋_GB2312" w:hAnsi="宋体" w:eastAsia="仿宋_GB2312"/>
          <w:color w:val="000000" w:themeColor="text1"/>
          <w:sz w:val="32"/>
          <w:szCs w:val="32"/>
          <w:highlight w:val="none"/>
          <w14:textFill>
            <w14:solidFill>
              <w14:schemeClr w14:val="tx1"/>
            </w14:solidFill>
          </w14:textFill>
        </w:rPr>
        <w:t>和</w:t>
      </w:r>
      <w:r>
        <w:rPr>
          <w:rFonts w:hint="eastAsia" w:ascii="仿宋_GB2312" w:hAnsi="宋体" w:eastAsia="仿宋_GB2312"/>
          <w:b/>
          <w:bCs w:val="0"/>
          <w:color w:val="000000" w:themeColor="text1"/>
          <w:sz w:val="32"/>
          <w:szCs w:val="32"/>
          <w:highlight w:val="none"/>
          <w14:textFill>
            <w14:solidFill>
              <w14:schemeClr w14:val="tx1"/>
            </w14:solidFill>
          </w14:textFill>
        </w:rPr>
        <w:t>专项申报材料</w:t>
      </w:r>
      <w:r>
        <w:rPr>
          <w:rFonts w:hint="eastAsia" w:ascii="仿宋_GB2312" w:hAnsi="宋体" w:eastAsia="仿宋_GB2312"/>
          <w:color w:val="000000" w:themeColor="text1"/>
          <w:sz w:val="32"/>
          <w:szCs w:val="32"/>
          <w:highlight w:val="none"/>
          <w14:textFill>
            <w14:solidFill>
              <w14:schemeClr w14:val="tx1"/>
            </w14:solidFill>
          </w14:textFill>
        </w:rPr>
        <w:t>两部分组成</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pageBreakBefore w:val="0"/>
        <w:kinsoku/>
        <w:overflowPunct/>
        <w:topLinePunct w:val="0"/>
        <w:autoSpaceDN/>
        <w:bidi w:val="0"/>
        <w:spacing w:line="560" w:lineRule="exact"/>
        <w:ind w:left="0" w:leftChars="0" w:right="0" w:firstLine="640" w:firstLineChars="200"/>
        <w:jc w:val="both"/>
        <w:textAlignment w:val="auto"/>
        <w:outlineLvl w:val="0"/>
        <w:rPr>
          <w:rFonts w:hint="default"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（一）共性</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申报</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材料</w:t>
      </w:r>
    </w:p>
    <w:p>
      <w:pPr>
        <w:pStyle w:val="18"/>
        <w:pageBreakBefore w:val="0"/>
        <w:kinsoku/>
        <w:overflowPunct/>
        <w:topLinePunct w:val="0"/>
        <w:autoSpaceDN/>
        <w:bidi w:val="0"/>
        <w:spacing w:line="560" w:lineRule="exact"/>
        <w:ind w:left="0" w:leftChars="0" w:right="0" w:firstLine="640" w:firstLineChars="200"/>
        <w:jc w:val="both"/>
        <w:textAlignment w:val="auto"/>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1.</w:t>
      </w:r>
      <w:r>
        <w:rPr>
          <w:rFonts w:hint="eastAsia" w:ascii="仿宋_GB2312" w:hAnsi="宋体" w:eastAsia="仿宋_GB2312" w:cs="仿宋_GB2312"/>
          <w:color w:val="000000" w:themeColor="text1"/>
          <w:kern w:val="0"/>
          <w:sz w:val="32"/>
          <w:szCs w:val="32"/>
          <w:highlight w:val="none"/>
          <w:lang w:bidi="ar"/>
          <w14:textFill>
            <w14:solidFill>
              <w14:schemeClr w14:val="tx1"/>
            </w14:solidFill>
          </w14:textFill>
        </w:rPr>
        <w:t>通过申报系统打印的资助项目申请书</w:t>
      </w:r>
      <w:r>
        <w:rPr>
          <w:rFonts w:hint="eastAsia" w:ascii="仿宋_GB2312" w:hAnsi="宋体" w:eastAsia="仿宋_GB2312" w:cs="仿宋_GB2312"/>
          <w:color w:val="000000" w:themeColor="text1"/>
          <w:kern w:val="0"/>
          <w:sz w:val="32"/>
          <w:szCs w:val="32"/>
          <w:highlight w:val="none"/>
          <w:lang w:eastAsia="zh-CN" w:bidi="ar"/>
          <w14:textFill>
            <w14:solidFill>
              <w14:schemeClr w14:val="tx1"/>
            </w14:solidFill>
          </w14:textFill>
        </w:rPr>
        <w:t>。</w:t>
      </w:r>
    </w:p>
    <w:p>
      <w:pPr>
        <w:pStyle w:val="18"/>
        <w:pageBreakBefore w:val="0"/>
        <w:kinsoku/>
        <w:overflowPunct/>
        <w:topLinePunct w:val="0"/>
        <w:autoSpaceDN/>
        <w:bidi w:val="0"/>
        <w:spacing w:line="560" w:lineRule="exact"/>
        <w:ind w:left="0" w:leftChars="0" w:right="0" w:firstLine="640" w:firstLineChars="200"/>
        <w:jc w:val="both"/>
        <w:textAlignment w:val="auto"/>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2.</w:t>
      </w:r>
      <w:r>
        <w:rPr>
          <w:rFonts w:hint="eastAsia" w:ascii="仿宋_GB2312" w:hAnsi="宋体" w:eastAsia="仿宋_GB2312" w:cs="仿宋_GB2312"/>
          <w:color w:val="000000" w:themeColor="text1"/>
          <w:kern w:val="0"/>
          <w:sz w:val="32"/>
          <w:szCs w:val="32"/>
          <w:highlight w:val="none"/>
          <w:lang w:eastAsia="zh-CN" w:bidi="ar"/>
          <w14:textFill>
            <w14:solidFill>
              <w14:schemeClr w14:val="tx1"/>
            </w14:solidFill>
          </w14:textFill>
        </w:rPr>
        <w:t>申报企业</w:t>
      </w:r>
      <w:r>
        <w:rPr>
          <w:rFonts w:hint="eastAsia" w:ascii="仿宋_GB2312" w:hAnsi="宋体" w:eastAsia="仿宋_GB2312" w:cs="仿宋_GB2312"/>
          <w:color w:val="000000" w:themeColor="text1"/>
          <w:kern w:val="0"/>
          <w:sz w:val="32"/>
          <w:szCs w:val="32"/>
          <w:highlight w:val="none"/>
          <w:lang w:bidi="ar"/>
          <w14:textFill>
            <w14:solidFill>
              <w14:schemeClr w14:val="tx1"/>
            </w14:solidFill>
          </w14:textFill>
        </w:rPr>
        <w:t>营业执照（复印件；营业执照属新版本“三证合一”证照且已关联电子证照的，无需提交）</w:t>
      </w:r>
      <w:r>
        <w:rPr>
          <w:rFonts w:hint="eastAsia" w:ascii="仿宋_GB2312" w:hAnsi="宋体" w:eastAsia="仿宋_GB2312" w:cs="仿宋_GB2312"/>
          <w:color w:val="000000" w:themeColor="text1"/>
          <w:kern w:val="0"/>
          <w:sz w:val="32"/>
          <w:szCs w:val="32"/>
          <w:highlight w:val="none"/>
          <w:lang w:eastAsia="zh-CN" w:bidi="ar"/>
          <w14:textFill>
            <w14:solidFill>
              <w14:schemeClr w14:val="tx1"/>
            </w14:solidFill>
          </w14:textFill>
        </w:rPr>
        <w:t>。</w:t>
      </w:r>
    </w:p>
    <w:p>
      <w:pPr>
        <w:pStyle w:val="18"/>
        <w:pageBreakBefore w:val="0"/>
        <w:kinsoku/>
        <w:overflowPunct/>
        <w:topLinePunct w:val="0"/>
        <w:autoSpaceDN/>
        <w:bidi w:val="0"/>
        <w:spacing w:line="560" w:lineRule="exact"/>
        <w:ind w:left="0" w:leftChars="0" w:right="0" w:firstLine="640" w:firstLineChars="200"/>
        <w:jc w:val="both"/>
        <w:textAlignment w:val="auto"/>
        <w:rPr>
          <w:rFonts w:hint="eastAsia" w:ascii="仿宋_GB2312" w:hAnsi="宋体" w:eastAsia="仿宋_GB2312" w:cs="仿宋_GB2312"/>
          <w:color w:val="000000" w:themeColor="text1"/>
          <w:kern w:val="0"/>
          <w:sz w:val="32"/>
          <w:szCs w:val="32"/>
          <w:highlight w:val="none"/>
          <w:lang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3.申报材料真实性承诺书</w:t>
      </w:r>
      <w:r>
        <w:rPr>
          <w:rFonts w:hint="eastAsia" w:ascii="仿宋_GB2312" w:hAnsi="宋体" w:eastAsia="仿宋_GB2312" w:cs="仿宋_GB2312"/>
          <w:color w:val="000000" w:themeColor="text1"/>
          <w:kern w:val="0"/>
          <w:sz w:val="32"/>
          <w:szCs w:val="32"/>
          <w:highlight w:val="none"/>
          <w:lang w:eastAsia="zh-CN" w:bidi="ar"/>
          <w14:textFill>
            <w14:solidFill>
              <w14:schemeClr w14:val="tx1"/>
            </w14:solidFill>
          </w14:textFill>
        </w:rPr>
        <w:t>。</w:t>
      </w:r>
    </w:p>
    <w:p>
      <w:pPr>
        <w:pStyle w:val="2"/>
        <w:pageBreakBefore w:val="0"/>
        <w:kinsoku/>
        <w:overflowPunct/>
        <w:topLinePunct w:val="0"/>
        <w:autoSpaceDN/>
        <w:bidi w:val="0"/>
        <w:spacing w:after="0" w:line="560" w:lineRule="exact"/>
        <w:ind w:left="0" w:leftChars="0" w:right="0" w:firstLine="640" w:firstLineChars="200"/>
        <w:jc w:val="both"/>
        <w:textAlignment w:val="auto"/>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highlight w:val="none"/>
          <w:lang w:eastAsia="zh-CN"/>
          <w14:textFill>
            <w14:solidFill>
              <w14:schemeClr w14:val="tx1"/>
            </w14:solidFill>
          </w14:textFill>
        </w:rPr>
        <w:t>申报企业</w:t>
      </w:r>
      <w:r>
        <w:rPr>
          <w:rFonts w:hint="eastAsia" w:ascii="仿宋_GB2312" w:hAnsi="仿宋_GB2312" w:cs="仿宋_GB2312"/>
          <w:color w:val="000000" w:themeColor="text1"/>
          <w:highlight w:val="none"/>
          <w:lang w:val="en-US" w:eastAsia="zh-CN"/>
          <w14:textFill>
            <w14:solidFill>
              <w14:schemeClr w14:val="tx1"/>
            </w14:solidFill>
          </w14:textFill>
        </w:rPr>
        <w:t>2024年1月1日以来</w:t>
      </w:r>
      <w:r>
        <w:rPr>
          <w:rFonts w:hint="eastAsia" w:ascii="仿宋_GB2312" w:hAnsi="仿宋_GB2312" w:eastAsia="仿宋_GB2312" w:cs="仿宋_GB2312"/>
          <w:color w:val="000000" w:themeColor="text1"/>
          <w:highlight w:val="none"/>
          <w:lang w:eastAsia="zh-CN"/>
          <w14:textFill>
            <w14:solidFill>
              <w14:schemeClr w14:val="tx1"/>
            </w14:solidFill>
          </w14:textFill>
        </w:rPr>
        <w:t>在深圳市内（含深汕特别合作区）</w:t>
      </w:r>
      <w:r>
        <w:rPr>
          <w:rFonts w:hint="eastAsia" w:ascii="仿宋_GB2312" w:hAnsi="仿宋_GB2312" w:cs="仿宋_GB2312"/>
          <w:color w:val="000000" w:themeColor="text1"/>
          <w:highlight w:val="none"/>
          <w:lang w:val="en-US" w:eastAsia="zh-CN"/>
          <w14:textFill>
            <w14:solidFill>
              <w14:schemeClr w14:val="tx1"/>
            </w14:solidFill>
          </w14:textFill>
        </w:rPr>
        <w:t>纳税记录或者其他在本市</w:t>
      </w:r>
      <w:r>
        <w:rPr>
          <w:rFonts w:hint="eastAsia" w:ascii="仿宋_GB2312" w:hAnsi="仿宋_GB2312" w:eastAsia="仿宋_GB2312" w:cs="仿宋_GB2312"/>
          <w:color w:val="000000" w:themeColor="text1"/>
          <w:highlight w:val="none"/>
          <w:lang w:eastAsia="zh-CN"/>
          <w14:textFill>
            <w14:solidFill>
              <w14:schemeClr w14:val="tx1"/>
            </w14:solidFill>
          </w14:textFill>
        </w:rPr>
        <w:t>从事生产经营活动</w:t>
      </w:r>
      <w:r>
        <w:rPr>
          <w:rFonts w:hint="eastAsia" w:ascii="仿宋_GB2312" w:hAnsi="仿宋_GB2312" w:cs="仿宋_GB2312"/>
          <w:color w:val="000000" w:themeColor="text1"/>
          <w:highlight w:val="none"/>
          <w:lang w:val="en-US" w:eastAsia="zh-CN"/>
          <w14:textFill>
            <w14:solidFill>
              <w14:schemeClr w14:val="tx1"/>
            </w14:solidFill>
          </w14:textFill>
        </w:rPr>
        <w:t>的证明材料</w:t>
      </w:r>
      <w:r>
        <w:rPr>
          <w:rFonts w:hint="eastAsia" w:ascii="仿宋_GB2312" w:hAnsi="仿宋_GB2312" w:eastAsia="仿宋_GB2312" w:cs="仿宋_GB2312"/>
          <w:color w:val="000000" w:themeColor="text1"/>
          <w:highlight w:val="none"/>
          <w:lang w:eastAsia="zh-CN"/>
          <w14:textFill>
            <w14:solidFill>
              <w14:schemeClr w14:val="tx1"/>
            </w14:solidFill>
          </w14:textFill>
        </w:rPr>
        <w:t>。</w:t>
      </w:r>
    </w:p>
    <w:p>
      <w:pPr>
        <w:pStyle w:val="18"/>
        <w:pageBreakBefore w:val="0"/>
        <w:kinsoku/>
        <w:overflowPunct/>
        <w:topLinePunct w:val="0"/>
        <w:autoSpaceDN/>
        <w:bidi w:val="0"/>
        <w:spacing w:line="560" w:lineRule="exact"/>
        <w:ind w:left="0" w:leftChars="0" w:right="0" w:firstLine="640" w:firstLineChars="200"/>
        <w:jc w:val="both"/>
        <w:textAlignment w:val="auto"/>
        <w:rPr>
          <w:rFonts w:hint="default"/>
          <w:color w:val="000000" w:themeColor="text1"/>
          <w:highlight w:val="none"/>
          <w:lang w:val="en-US" w:eastAsia="zh-CN"/>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5.数据交易所或第三方专业机构（具备数据合规评估能力的律师事务所）出具的数据合规报告。</w:t>
      </w:r>
    </w:p>
    <w:p>
      <w:pPr>
        <w:pStyle w:val="18"/>
        <w:pageBreakBefore w:val="0"/>
        <w:kinsoku/>
        <w:topLinePunct w:val="0"/>
        <w:autoSpaceDN/>
        <w:bidi w:val="0"/>
        <w:spacing w:line="560" w:lineRule="exact"/>
        <w:ind w:leftChars="0" w:firstLine="640" w:firstLineChars="200"/>
        <w:jc w:val="both"/>
        <w:textAlignment w:val="auto"/>
        <w:rPr>
          <w:rFonts w:hint="eastAsia"/>
          <w:color w:val="000000" w:themeColor="text1"/>
          <w:highlight w:val="none"/>
          <w:lang w:eastAsia="zh-CN"/>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6.</w:t>
      </w:r>
      <w:r>
        <w:rPr>
          <w:rFonts w:hint="eastAsia" w:ascii="仿宋_GB2312" w:hAnsi="宋体" w:eastAsia="仿宋_GB2312" w:cs="仿宋_GB2312"/>
          <w:color w:val="000000" w:themeColor="text1"/>
          <w:kern w:val="0"/>
          <w:sz w:val="32"/>
          <w:szCs w:val="32"/>
          <w:highlight w:val="none"/>
          <w:lang w:bidi="ar"/>
          <w14:textFill>
            <w14:solidFill>
              <w14:schemeClr w14:val="tx1"/>
            </w14:solidFill>
          </w14:textFill>
        </w:rPr>
        <w:t>企业申报语料券</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其他需要提供的材料</w:t>
      </w:r>
      <w:r>
        <w:rPr>
          <w:rFonts w:hint="eastAsia" w:ascii="仿宋_GB2312" w:hAnsi="宋体" w:eastAsia="仿宋_GB2312" w:cs="仿宋_GB2312"/>
          <w:color w:val="000000" w:themeColor="text1"/>
          <w:kern w:val="0"/>
          <w:sz w:val="32"/>
          <w:szCs w:val="32"/>
          <w:highlight w:val="none"/>
          <w:lang w:eastAsia="zh-CN" w:bidi="ar"/>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包括：</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企业采购或开放语料适用场景情况说明，语料数据</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符合安全合规、知识产权和科技伦理要求，获其他层级财政资助情况等（参考附件2模板，正式提交时请通过</w:t>
      </w:r>
      <w:r>
        <w:rPr>
          <w:rFonts w:hint="eastAsia" w:ascii="仿宋_GB2312" w:hAnsi="宋体" w:eastAsia="仿宋_GB2312" w:cs="仿宋_GB2312"/>
          <w:color w:val="000000" w:themeColor="text1"/>
          <w:kern w:val="0"/>
          <w:sz w:val="32"/>
          <w:szCs w:val="32"/>
          <w:highlight w:val="none"/>
          <w:lang w:bidi="ar"/>
          <w14:textFill>
            <w14:solidFill>
              <w14:schemeClr w14:val="tx1"/>
            </w14:solidFill>
          </w14:textFill>
        </w:rPr>
        <w:t>申报系统</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填报</w:t>
      </w:r>
      <w:r>
        <w:rPr>
          <w:rFonts w:hint="eastAsia" w:ascii="仿宋_GB2312" w:hAnsi="宋体" w:eastAsia="仿宋_GB2312" w:cs="仿宋_GB2312"/>
          <w:color w:val="000000" w:themeColor="text1"/>
          <w:kern w:val="0"/>
          <w:sz w:val="32"/>
          <w:szCs w:val="32"/>
          <w:highlight w:val="none"/>
          <w:lang w:bidi="ar"/>
          <w14:textFill>
            <w14:solidFill>
              <w14:schemeClr w14:val="tx1"/>
            </w14:solidFill>
          </w14:textFill>
        </w:rPr>
        <w:t>打印资助项目申请书</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lang w:eastAsia="zh-CN" w:bidi="ar"/>
          <w14:textFill>
            <w14:solidFill>
              <w14:schemeClr w14:val="tx1"/>
            </w14:solidFill>
          </w14:textFill>
        </w:rPr>
        <w:t>。</w:t>
      </w:r>
    </w:p>
    <w:p>
      <w:pPr>
        <w:pageBreakBefore w:val="0"/>
        <w:kinsoku/>
        <w:overflowPunct/>
        <w:topLinePunct w:val="0"/>
        <w:autoSpaceDN/>
        <w:bidi w:val="0"/>
        <w:spacing w:line="560" w:lineRule="exact"/>
        <w:ind w:left="0" w:leftChars="0" w:right="0" w:firstLine="640" w:firstLineChars="200"/>
        <w:jc w:val="both"/>
        <w:textAlignment w:val="auto"/>
        <w:outlineLvl w:val="0"/>
        <w:rPr>
          <w:rFonts w:hint="default"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专项申报材料</w:t>
      </w:r>
    </w:p>
    <w:p>
      <w:pPr>
        <w:pageBreakBefore w:val="0"/>
        <w:kinsoku/>
        <w:wordWrap/>
        <w:overflowPunct/>
        <w:topLinePunct w:val="0"/>
        <w:autoSpaceDE/>
        <w:autoSpaceDN/>
        <w:bidi w:val="0"/>
        <w:spacing w:line="560" w:lineRule="exact"/>
        <w:ind w:leftChars="0" w:right="0" w:rightChars="0" w:firstLine="642" w:firstLineChars="200"/>
        <w:contextualSpacing w:val="0"/>
        <w:jc w:val="both"/>
        <w:textAlignment w:val="auto"/>
        <w:outlineLvl w:val="0"/>
        <w:rPr>
          <w:rFonts w:hint="eastAsia" w:ascii="仿宋_GB2312" w:hAnsi="宋体"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1.申请语料采购资助的企业，需提供以下材料：</w:t>
      </w:r>
    </w:p>
    <w:p>
      <w:pPr>
        <w:pStyle w:val="2"/>
        <w:pageBreakBefore w:val="0"/>
        <w:numPr>
          <w:ilvl w:val="0"/>
          <w:numId w:val="0"/>
        </w:numPr>
        <w:kinsoku/>
        <w:overflowPunct/>
        <w:topLinePunct w:val="0"/>
        <w:autoSpaceDN/>
        <w:bidi w:val="0"/>
        <w:spacing w:after="0" w:line="560" w:lineRule="exact"/>
        <w:ind w:leftChars="0" w:right="0" w:rightChars="0" w:firstLine="640" w:firstLineChars="200"/>
        <w:jc w:val="both"/>
        <w:textAlignment w:val="auto"/>
        <w:rPr>
          <w:rFonts w:hint="eastAsia" w:ascii="仿宋_GB2312" w:hAnsi="宋体" w:eastAsia="仿宋_GB2312" w:cs="仿宋_GB2312"/>
          <w:color w:val="000000" w:themeColor="text1"/>
          <w:kern w:val="0"/>
          <w:szCs w:val="32"/>
          <w:highlight w:val="none"/>
          <w:lang w:val="en-US" w:eastAsia="zh-CN" w:bidi="ar"/>
          <w14:textFill>
            <w14:solidFill>
              <w14:schemeClr w14:val="tx1"/>
            </w14:solidFill>
          </w14:textFill>
        </w:rPr>
      </w:pPr>
      <w:r>
        <w:rPr>
          <w:rFonts w:hint="eastAsia" w:ascii="仿宋_GB2312" w:hAnsi="宋体" w:cs="仿宋_GB2312"/>
          <w:color w:val="000000" w:themeColor="text1"/>
          <w:kern w:val="0"/>
          <w:sz w:val="32"/>
          <w:szCs w:val="32"/>
          <w:highlight w:val="none"/>
          <w:lang w:val="en-US" w:eastAsia="zh-CN" w:bidi="ar"/>
          <w14:textFill>
            <w14:solidFill>
              <w14:schemeClr w14:val="tx1"/>
            </w14:solidFill>
          </w14:textFill>
        </w:rPr>
        <w:t>（1）语料采购企业近两年的财务审计报告或财务报表（复印件，成立时间不足两年的提供成立以来的）、语料采购交付验收单和财务支付流水凭证等。</w:t>
      </w:r>
    </w:p>
    <w:p>
      <w:pPr>
        <w:pStyle w:val="2"/>
        <w:pageBreakBefore w:val="0"/>
        <w:numPr>
          <w:ilvl w:val="0"/>
          <w:numId w:val="0"/>
        </w:numPr>
        <w:kinsoku/>
        <w:overflowPunct/>
        <w:topLinePunct w:val="0"/>
        <w:autoSpaceDN/>
        <w:bidi w:val="0"/>
        <w:spacing w:after="0" w:line="560" w:lineRule="exact"/>
        <w:ind w:leftChars="0" w:right="0" w:rightChars="0" w:firstLine="640" w:firstLineChars="200"/>
        <w:jc w:val="both"/>
        <w:textAlignment w:val="auto"/>
        <w:rPr>
          <w:rFonts w:hint="eastAsia" w:ascii="仿宋_GB2312" w:hAnsi="宋体" w:cs="仿宋_GB2312"/>
          <w:color w:val="000000" w:themeColor="text1"/>
          <w:kern w:val="0"/>
          <w:szCs w:val="32"/>
          <w:highlight w:val="none"/>
          <w:lang w:val="en-US" w:eastAsia="zh-CN" w:bidi="ar"/>
          <w14:textFill>
            <w14:solidFill>
              <w14:schemeClr w14:val="tx1"/>
            </w14:solidFill>
          </w14:textFill>
        </w:rPr>
      </w:pPr>
      <w:r>
        <w:rPr>
          <w:rFonts w:hint="eastAsia" w:ascii="仿宋_GB2312" w:hAnsi="宋体" w:cs="仿宋_GB2312"/>
          <w:color w:val="000000" w:themeColor="text1"/>
          <w:kern w:val="0"/>
          <w:szCs w:val="32"/>
          <w:highlight w:val="none"/>
          <w:lang w:val="en-US" w:eastAsia="zh-CN" w:bidi="ar"/>
          <w14:textFill>
            <w14:solidFill>
              <w14:schemeClr w14:val="tx1"/>
            </w14:solidFill>
          </w14:textFill>
        </w:rPr>
        <w:t>（2）语料采购佐证材料，包括：语料数据采购合同、语料信息说明（含元数据信息、规模、目录、更新频率、字段样例等）。</w:t>
      </w:r>
    </w:p>
    <w:p>
      <w:pPr>
        <w:pStyle w:val="2"/>
        <w:pageBreakBefore w:val="0"/>
        <w:numPr>
          <w:ilvl w:val="0"/>
          <w:numId w:val="0"/>
        </w:numPr>
        <w:kinsoku/>
        <w:topLinePunct w:val="0"/>
        <w:autoSpaceDN/>
        <w:bidi w:val="0"/>
        <w:spacing w:after="0" w:line="560" w:lineRule="exact"/>
        <w:ind w:leftChars="0" w:firstLine="640" w:firstLineChars="200"/>
        <w:jc w:val="both"/>
        <w:textAlignment w:val="auto"/>
        <w:rPr>
          <w:rFonts w:hint="default" w:ascii="仿宋_GB2312" w:hAnsi="宋体"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t>（3）采购语料应用的项目获得省级以上人工智能类、科学技术进步类奖项证书，或者获得省级以上人工智能、科学技术相关创新平台资格认定证书（如有，可包括国家、省级“数据要素</w:t>
      </w:r>
      <w:r>
        <w:rPr>
          <w:rFonts w:hint="eastAsia" w:ascii="仿宋_GB2312" w:hAnsi="宋体" w:eastAsia="仿宋_GB2312" w:cs="仿宋_GB2312"/>
          <w:color w:val="000000" w:themeColor="text1"/>
          <w:kern w:val="0"/>
          <w:sz w:val="32"/>
          <w:szCs w:val="32"/>
          <w:highlight w:val="none"/>
          <w:lang w:bidi="ar"/>
          <w14:textFill>
            <w14:solidFill>
              <w14:schemeClr w14:val="tx1"/>
            </w14:solidFill>
          </w14:textFill>
        </w:rPr>
        <w:t>×</w:t>
      </w:r>
      <w:r>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t>”大赛以及国家数据局确定的高质量数据集、可信数据空间等典型案例和试点任务证明材料）。</w:t>
      </w:r>
    </w:p>
    <w:p>
      <w:pPr>
        <w:pStyle w:val="2"/>
        <w:pageBreakBefore w:val="0"/>
        <w:numPr>
          <w:ilvl w:val="0"/>
          <w:numId w:val="0"/>
        </w:numPr>
        <w:kinsoku/>
        <w:topLinePunct w:val="0"/>
        <w:autoSpaceDN/>
        <w:bidi w:val="0"/>
        <w:spacing w:after="0" w:line="560" w:lineRule="exact"/>
        <w:ind w:leftChars="0" w:firstLine="640" w:firstLineChars="200"/>
        <w:jc w:val="both"/>
        <w:textAlignment w:val="auto"/>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pPr>
      <w:r>
        <w:rPr>
          <w:rStyle w:val="15"/>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t>（4）</w:t>
      </w:r>
      <w:r>
        <w:rPr>
          <w:rStyle w:val="15"/>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申报企业获得创新型中小企业、专精特新中小企业</w:t>
      </w:r>
      <w:r>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t>或</w:t>
      </w:r>
      <w:r>
        <w:rPr>
          <w:rStyle w:val="15"/>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专精特新“小巨人”</w:t>
      </w:r>
      <w:r>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t>企业</w:t>
      </w:r>
      <w:r>
        <w:rPr>
          <w:rStyle w:val="15"/>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认定</w:t>
      </w:r>
      <w:r>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t>证书（如有）。</w:t>
      </w:r>
    </w:p>
    <w:p>
      <w:pPr>
        <w:pStyle w:val="18"/>
        <w:pageBreakBefore w:val="0"/>
        <w:kinsoku/>
        <w:overflowPunct/>
        <w:topLinePunct w:val="0"/>
        <w:autoSpaceDN/>
        <w:bidi w:val="0"/>
        <w:spacing w:line="560" w:lineRule="exact"/>
        <w:ind w:leftChars="0" w:right="0" w:rightChars="0" w:firstLine="640" w:firstLineChars="200"/>
        <w:jc w:val="both"/>
        <w:textAlignment w:val="auto"/>
        <w:rPr>
          <w:rFonts w:hint="default"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（5）企业采购语料应用成效佐证材料（如有）。</w:t>
      </w:r>
    </w:p>
    <w:p>
      <w:pPr>
        <w:pStyle w:val="18"/>
        <w:pageBreakBefore w:val="0"/>
        <w:kinsoku/>
        <w:topLinePunct w:val="0"/>
        <w:autoSpaceDN/>
        <w:bidi w:val="0"/>
        <w:spacing w:line="560" w:lineRule="exact"/>
        <w:ind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①市场</w:t>
      </w:r>
      <w:r>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t>收益证明。</w:t>
      </w:r>
    </w:p>
    <w:p>
      <w:pPr>
        <w:pStyle w:val="18"/>
        <w:pageBreakBefore w:val="0"/>
        <w:kinsoku/>
        <w:topLinePunct w:val="0"/>
        <w:autoSpaceDN/>
        <w:bidi w:val="0"/>
        <w:spacing w:line="560" w:lineRule="exact"/>
        <w:ind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②</w:t>
      </w:r>
      <w:r>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t>知识产权成果证明，</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如</w:t>
      </w:r>
      <w:r>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t>专利、软著、白皮书、论文等。</w:t>
      </w:r>
    </w:p>
    <w:p>
      <w:pPr>
        <w:pStyle w:val="18"/>
        <w:pageBreakBefore w:val="0"/>
        <w:kinsoku/>
        <w:topLinePunct w:val="0"/>
        <w:autoSpaceDN/>
        <w:bidi w:val="0"/>
        <w:spacing w:line="560" w:lineRule="exact"/>
        <w:ind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③</w:t>
      </w:r>
      <w:r>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t>模型能力提升证明，</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如</w:t>
      </w:r>
      <w:r>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t>参加权威机构测试或权威测评结果。</w:t>
      </w:r>
    </w:p>
    <w:p>
      <w:pPr>
        <w:pStyle w:val="18"/>
        <w:pageBreakBefore w:val="0"/>
        <w:kinsoku/>
        <w:topLinePunct w:val="0"/>
        <w:autoSpaceDN/>
        <w:bidi w:val="0"/>
        <w:spacing w:line="560" w:lineRule="exact"/>
        <w:ind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④</w:t>
      </w:r>
      <w:r>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t>数字深圳联合创新中心提供的应用成效证明（参与该中心发榜的项目适用）。</w:t>
      </w:r>
    </w:p>
    <w:p>
      <w:pPr>
        <w:pStyle w:val="18"/>
        <w:pageBreakBefore w:val="0"/>
        <w:kinsoku/>
        <w:topLinePunct w:val="0"/>
        <w:autoSpaceDN/>
        <w:bidi w:val="0"/>
        <w:spacing w:line="560" w:lineRule="exact"/>
        <w:ind w:leftChars="0" w:firstLine="640" w:firstLineChars="200"/>
        <w:jc w:val="both"/>
        <w:textAlignment w:val="auto"/>
        <w:rPr>
          <w:rFonts w:hint="default"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⑤</w:t>
      </w:r>
      <w:r>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t>其他应用成效材料。</w:t>
      </w:r>
    </w:p>
    <w:p>
      <w:pPr>
        <w:pStyle w:val="2"/>
        <w:pageBreakBefore w:val="0"/>
        <w:kinsoku/>
        <w:topLinePunct w:val="0"/>
        <w:autoSpaceDN/>
        <w:bidi w:val="0"/>
        <w:spacing w:after="0" w:line="560" w:lineRule="exact"/>
        <w:ind w:leftChars="0" w:firstLine="640" w:firstLineChars="200"/>
        <w:jc w:val="both"/>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同时，提供</w:t>
      </w:r>
      <w:r>
        <w:rPr>
          <w:rFonts w:hint="eastAsia"/>
          <w:color w:val="000000" w:themeColor="text1"/>
          <w:highlight w:val="none"/>
          <w:lang w:eastAsia="zh-CN"/>
          <w14:textFill>
            <w14:solidFill>
              <w14:schemeClr w14:val="tx1"/>
            </w14:solidFill>
          </w14:textFill>
        </w:rPr>
        <w:t>语料在上述应用</w:t>
      </w:r>
      <w:r>
        <w:rPr>
          <w:rFonts w:hint="eastAsia"/>
          <w:color w:val="000000" w:themeColor="text1"/>
          <w:highlight w:val="none"/>
          <w:lang w:val="en-US" w:eastAsia="zh-CN"/>
          <w14:textFill>
            <w14:solidFill>
              <w14:schemeClr w14:val="tx1"/>
            </w14:solidFill>
          </w14:textFill>
        </w:rPr>
        <w:t>成效</w:t>
      </w:r>
      <w:r>
        <w:rPr>
          <w:rFonts w:hint="eastAsia"/>
          <w:color w:val="000000" w:themeColor="text1"/>
          <w:highlight w:val="none"/>
          <w:lang w:eastAsia="zh-CN"/>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发挥作用</w:t>
      </w:r>
      <w:r>
        <w:rPr>
          <w:rFonts w:hint="eastAsia"/>
          <w:color w:val="000000" w:themeColor="text1"/>
          <w:highlight w:val="none"/>
          <w:lang w:eastAsia="zh-CN"/>
          <w14:textFill>
            <w14:solidFill>
              <w14:schemeClr w14:val="tx1"/>
            </w14:solidFill>
          </w14:textFill>
        </w:rPr>
        <w:t>占比</w:t>
      </w:r>
      <w:r>
        <w:rPr>
          <w:rFonts w:hint="eastAsia"/>
          <w:color w:val="000000" w:themeColor="text1"/>
          <w:highlight w:val="none"/>
          <w:lang w:val="en-US" w:eastAsia="zh-CN"/>
          <w14:textFill>
            <w14:solidFill>
              <w14:schemeClr w14:val="tx1"/>
            </w14:solidFill>
          </w14:textFill>
        </w:rPr>
        <w:t>说明</w:t>
      </w:r>
      <w:r>
        <w:rPr>
          <w:rFonts w:hint="eastAsia"/>
          <w:color w:val="000000" w:themeColor="text1"/>
          <w:highlight w:val="none"/>
          <w:lang w:eastAsia="zh-CN"/>
          <w14:textFill>
            <w14:solidFill>
              <w14:schemeClr w14:val="tx1"/>
            </w14:solidFill>
          </w14:textFill>
        </w:rPr>
        <w:t>（其他方面</w:t>
      </w:r>
      <w:r>
        <w:rPr>
          <w:rFonts w:hint="eastAsia"/>
          <w:color w:val="000000" w:themeColor="text1"/>
          <w:highlight w:val="none"/>
          <w:lang w:val="en-US" w:eastAsia="zh-CN"/>
          <w14:textFill>
            <w14:solidFill>
              <w14:schemeClr w14:val="tx1"/>
            </w14:solidFill>
          </w14:textFill>
        </w:rPr>
        <w:t>因素</w:t>
      </w:r>
      <w:r>
        <w:rPr>
          <w:rFonts w:hint="eastAsia"/>
          <w:color w:val="000000" w:themeColor="text1"/>
          <w:highlight w:val="none"/>
          <w:lang w:eastAsia="zh-CN"/>
          <w14:textFill>
            <w14:solidFill>
              <w14:schemeClr w14:val="tx1"/>
            </w14:solidFill>
          </w14:textFill>
        </w:rPr>
        <w:t>占比也一并说明）。</w:t>
      </w:r>
    </w:p>
    <w:p>
      <w:pPr>
        <w:pStyle w:val="2"/>
        <w:pageBreakBefore w:val="0"/>
        <w:kinsoku/>
        <w:overflowPunct/>
        <w:topLinePunct w:val="0"/>
        <w:autoSpaceDN/>
        <w:bidi w:val="0"/>
        <w:spacing w:after="0" w:line="560" w:lineRule="exact"/>
        <w:ind w:leftChars="0" w:right="0" w:rightChars="0" w:firstLine="640" w:firstLineChars="200"/>
        <w:jc w:val="both"/>
        <w:textAlignment w:val="auto"/>
        <w:rPr>
          <w:rFonts w:hint="default" w:ascii="仿宋_GB2312" w:hAnsi="宋体"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cs="仿宋_GB2312"/>
          <w:color w:val="000000" w:themeColor="text1"/>
          <w:kern w:val="0"/>
          <w:sz w:val="32"/>
          <w:szCs w:val="32"/>
          <w:highlight w:val="none"/>
          <w:lang w:eastAsia="zh-CN" w:bidi="ar"/>
          <w14:textFill>
            <w14:solidFill>
              <w14:schemeClr w14:val="tx1"/>
            </w14:solidFill>
          </w14:textFill>
        </w:rPr>
        <w:t>（</w:t>
      </w:r>
      <w:r>
        <w:rPr>
          <w:rFonts w:hint="eastAsia" w:ascii="仿宋_GB2312" w:hAnsi="宋体" w:cs="仿宋_GB2312"/>
          <w:color w:val="000000" w:themeColor="text1"/>
          <w:kern w:val="0"/>
          <w:sz w:val="32"/>
          <w:szCs w:val="32"/>
          <w:highlight w:val="none"/>
          <w:lang w:val="en-US" w:eastAsia="zh-CN" w:bidi="ar"/>
          <w14:textFill>
            <w14:solidFill>
              <w14:schemeClr w14:val="tx1"/>
            </w14:solidFill>
          </w14:textFill>
        </w:rPr>
        <w:t>6</w:t>
      </w:r>
      <w:r>
        <w:rPr>
          <w:rFonts w:hint="eastAsia" w:ascii="仿宋_GB2312" w:hAnsi="宋体" w:cs="仿宋_GB2312"/>
          <w:color w:val="000000" w:themeColor="text1"/>
          <w:kern w:val="0"/>
          <w:sz w:val="32"/>
          <w:szCs w:val="32"/>
          <w:highlight w:val="none"/>
          <w:lang w:eastAsia="zh-CN" w:bidi="ar"/>
          <w14:textFill>
            <w14:solidFill>
              <w14:schemeClr w14:val="tx1"/>
            </w14:solidFill>
          </w14:textFill>
        </w:rPr>
        <w:t>）</w:t>
      </w:r>
      <w:r>
        <w:rPr>
          <w:rFonts w:hint="eastAsia" w:ascii="Times New Roman" w:hAnsi="Times New Roman" w:eastAsia="仿宋_GB2312" w:cs="Times New Roman"/>
          <w:color w:val="000000" w:themeColor="text1"/>
          <w:sz w:val="32"/>
          <w:szCs w:val="24"/>
          <w:highlight w:val="none"/>
          <w:lang w:val="en-US" w:eastAsia="zh-CN"/>
          <w14:textFill>
            <w14:solidFill>
              <w14:schemeClr w14:val="tx1"/>
            </w14:solidFill>
          </w14:textFill>
        </w:rPr>
        <w:t>通过数据交易所完成语料采购</w:t>
      </w:r>
      <w:r>
        <w:rPr>
          <w:rFonts w:hint="eastAsia" w:cs="Times New Roman"/>
          <w:color w:val="000000" w:themeColor="text1"/>
          <w:sz w:val="32"/>
          <w:szCs w:val="24"/>
          <w:highlight w:val="none"/>
          <w:lang w:val="en-US" w:eastAsia="zh-CN"/>
          <w14:textFill>
            <w14:solidFill>
              <w14:schemeClr w14:val="tx1"/>
            </w14:solidFill>
          </w14:textFill>
        </w:rPr>
        <w:t>的</w:t>
      </w:r>
      <w:r>
        <w:rPr>
          <w:rFonts w:hint="eastAsia" w:ascii="仿宋_GB2312" w:hAnsi="宋体" w:cs="仿宋_GB2312"/>
          <w:color w:val="000000" w:themeColor="text1"/>
          <w:kern w:val="0"/>
          <w:sz w:val="32"/>
          <w:szCs w:val="32"/>
          <w:highlight w:val="none"/>
          <w:lang w:val="en-US" w:eastAsia="zh-CN" w:bidi="ar"/>
          <w14:textFill>
            <w14:solidFill>
              <w14:schemeClr w14:val="tx1"/>
            </w14:solidFill>
          </w14:textFill>
        </w:rPr>
        <w:t>交易凭证或备案证明。</w:t>
      </w:r>
    </w:p>
    <w:p>
      <w:pPr>
        <w:pStyle w:val="2"/>
        <w:pageBreakBefore w:val="0"/>
        <w:kinsoku/>
        <w:topLinePunct w:val="0"/>
        <w:autoSpaceDN/>
        <w:bidi w:val="0"/>
        <w:spacing w:after="0" w:line="560" w:lineRule="exact"/>
        <w:ind w:leftChars="0" w:firstLine="640" w:firstLineChars="200"/>
        <w:jc w:val="both"/>
        <w:textAlignment w:val="auto"/>
        <w:rPr>
          <w:rFonts w:hint="eastAsia"/>
          <w:color w:val="000000" w:themeColor="text1"/>
          <w:highlight w:val="none"/>
          <w:lang w:val="en-US" w:eastAsia="zh-CN"/>
          <w14:textFill>
            <w14:solidFill>
              <w14:schemeClr w14:val="tx1"/>
            </w14:solidFill>
          </w14:textFill>
        </w:rPr>
      </w:pPr>
      <w:r>
        <w:rPr>
          <w:rFonts w:hint="eastAsia" w:ascii="仿宋_GB2312" w:hAnsi="宋体" w:cs="仿宋_GB2312"/>
          <w:color w:val="000000" w:themeColor="text1"/>
          <w:kern w:val="0"/>
          <w:sz w:val="32"/>
          <w:szCs w:val="32"/>
          <w:highlight w:val="none"/>
          <w:lang w:eastAsia="zh-CN" w:bidi="ar"/>
          <w14:textFill>
            <w14:solidFill>
              <w14:schemeClr w14:val="tx1"/>
            </w14:solidFill>
          </w14:textFill>
        </w:rPr>
        <w:t>（</w:t>
      </w:r>
      <w:r>
        <w:rPr>
          <w:rFonts w:hint="eastAsia" w:ascii="仿宋_GB2312" w:hAnsi="宋体" w:cs="仿宋_GB2312"/>
          <w:color w:val="000000" w:themeColor="text1"/>
          <w:kern w:val="0"/>
          <w:sz w:val="32"/>
          <w:szCs w:val="32"/>
          <w:highlight w:val="none"/>
          <w:lang w:val="en-US" w:eastAsia="zh-CN" w:bidi="ar"/>
          <w14:textFill>
            <w14:solidFill>
              <w14:schemeClr w14:val="tx1"/>
            </w14:solidFill>
          </w14:textFill>
        </w:rPr>
        <w:t>7</w:t>
      </w:r>
      <w:r>
        <w:rPr>
          <w:rFonts w:hint="eastAsia" w:ascii="仿宋_GB2312" w:hAnsi="宋体" w:cs="仿宋_GB2312"/>
          <w:color w:val="000000" w:themeColor="text1"/>
          <w:kern w:val="0"/>
          <w:sz w:val="32"/>
          <w:szCs w:val="32"/>
          <w:highlight w:val="none"/>
          <w:lang w:eastAsia="zh-CN" w:bidi="ar"/>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lang w:bidi="ar"/>
          <w14:textFill>
            <w14:solidFill>
              <w14:schemeClr w14:val="tx1"/>
            </w14:solidFill>
          </w14:textFill>
        </w:rPr>
        <w:t>企业申报语料券</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其他需要提供的材料</w:t>
      </w:r>
      <w:r>
        <w:rPr>
          <w:rFonts w:hint="eastAsia" w:ascii="仿宋_GB2312" w:hAnsi="宋体" w:eastAsia="仿宋_GB2312" w:cs="仿宋_GB2312"/>
          <w:color w:val="000000" w:themeColor="text1"/>
          <w:kern w:val="0"/>
          <w:sz w:val="32"/>
          <w:szCs w:val="32"/>
          <w:highlight w:val="none"/>
          <w:lang w:eastAsia="zh-CN" w:bidi="ar"/>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包括</w:t>
      </w:r>
      <w:r>
        <w:rPr>
          <w:rFonts w:hint="eastAsia" w:ascii="仿宋_GB2312" w:hAnsi="宋体" w:cs="仿宋_GB2312"/>
          <w:color w:val="000000" w:themeColor="text1"/>
          <w:kern w:val="0"/>
          <w:sz w:val="32"/>
          <w:szCs w:val="32"/>
          <w:highlight w:val="none"/>
          <w:lang w:val="en-US" w:eastAsia="zh-CN" w:bidi="ar"/>
          <w14:textFill>
            <w14:solidFill>
              <w14:schemeClr w14:val="tx1"/>
            </w14:solidFill>
          </w14:textFill>
        </w:rPr>
        <w:t>采购语料</w:t>
      </w:r>
      <w:r>
        <w:rPr>
          <w:rFonts w:hint="eastAsia" w:cs="Times New Roman"/>
          <w:color w:val="000000" w:themeColor="text1"/>
          <w:sz w:val="32"/>
          <w:szCs w:val="24"/>
          <w:highlight w:val="none"/>
          <w:lang w:val="en-US" w:eastAsia="zh-CN"/>
          <w14:textFill>
            <w14:solidFill>
              <w14:schemeClr w14:val="tx1"/>
            </w14:solidFill>
          </w14:textFill>
        </w:rPr>
        <w:t>进行</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人工智能</w:t>
      </w:r>
      <w:r>
        <w:rPr>
          <w:rFonts w:hint="eastAsia" w:ascii="Times New Roman" w:hAnsi="Times New Roman" w:eastAsia="仿宋_GB2312" w:cs="Times New Roman"/>
          <w:color w:val="000000" w:themeColor="text1"/>
          <w:sz w:val="32"/>
          <w:szCs w:val="24"/>
          <w:highlight w:val="none"/>
          <w:lang w:val="en-US" w:eastAsia="zh-CN"/>
          <w14:textFill>
            <w14:solidFill>
              <w14:schemeClr w14:val="tx1"/>
            </w14:solidFill>
          </w14:textFill>
        </w:rPr>
        <w:t>大模型研发应用</w:t>
      </w:r>
      <w:r>
        <w:rPr>
          <w:rFonts w:hint="eastAsia" w:cs="Times New Roman"/>
          <w:color w:val="000000" w:themeColor="text1"/>
          <w:sz w:val="32"/>
          <w:szCs w:val="24"/>
          <w:highlight w:val="none"/>
          <w:lang w:val="en-US" w:eastAsia="zh-CN"/>
          <w14:textFill>
            <w14:solidFill>
              <w14:schemeClr w14:val="tx1"/>
            </w14:solidFill>
          </w14:textFill>
        </w:rPr>
        <w:t>和实施地情况说明、相关项目</w:t>
      </w:r>
      <w:r>
        <w:rPr>
          <w:rFonts w:hint="eastAsia" w:ascii="Times New Roman" w:hAnsi="Times New Roman" w:eastAsia="仿宋_GB2312" w:cs="Times New Roman"/>
          <w:color w:val="000000" w:themeColor="text1"/>
          <w:sz w:val="32"/>
          <w:szCs w:val="24"/>
          <w:highlight w:val="none"/>
          <w:lang w:val="en-US" w:eastAsia="zh-CN"/>
          <w14:textFill>
            <w14:solidFill>
              <w14:schemeClr w14:val="tx1"/>
            </w14:solidFill>
          </w14:textFill>
        </w:rPr>
        <w:t>不属于政府投资建设或购买服务项目</w:t>
      </w:r>
      <w:r>
        <w:rPr>
          <w:rFonts w:hint="eastAsia" w:cs="Times New Roman"/>
          <w:color w:val="000000" w:themeColor="text1"/>
          <w:sz w:val="32"/>
          <w:szCs w:val="24"/>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24"/>
          <w:highlight w:val="none"/>
          <w:lang w:val="en-US" w:eastAsia="zh-CN"/>
          <w14:textFill>
            <w14:solidFill>
              <w14:schemeClr w14:val="tx1"/>
            </w14:solidFill>
          </w14:textFill>
        </w:rPr>
        <w:t>采购</w:t>
      </w:r>
      <w:r>
        <w:rPr>
          <w:rFonts w:hint="eastAsia" w:cs="Times New Roman"/>
          <w:color w:val="000000" w:themeColor="text1"/>
          <w:sz w:val="32"/>
          <w:szCs w:val="24"/>
          <w:highlight w:val="none"/>
          <w:lang w:val="en-US" w:eastAsia="zh-CN"/>
          <w14:textFill>
            <w14:solidFill>
              <w14:schemeClr w14:val="tx1"/>
            </w14:solidFill>
          </w14:textFill>
        </w:rPr>
        <w:t>双方为</w:t>
      </w:r>
      <w:r>
        <w:rPr>
          <w:rFonts w:hint="eastAsia" w:ascii="Times New Roman" w:hAnsi="Times New Roman" w:eastAsia="仿宋_GB2312" w:cs="Times New Roman"/>
          <w:color w:val="000000" w:themeColor="text1"/>
          <w:sz w:val="32"/>
          <w:szCs w:val="24"/>
          <w:highlight w:val="none"/>
          <w:lang w:val="en-US" w:eastAsia="zh-CN"/>
          <w14:textFill>
            <w14:solidFill>
              <w14:schemeClr w14:val="tx1"/>
            </w14:solidFill>
          </w14:textFill>
        </w:rPr>
        <w:t>非关联方</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等（</w:t>
      </w:r>
      <w:r>
        <w:rPr>
          <w:rFonts w:hint="eastAsia" w:ascii="仿宋_GB2312" w:hAnsi="宋体" w:cs="仿宋_GB2312"/>
          <w:color w:val="000000" w:themeColor="text1"/>
          <w:kern w:val="0"/>
          <w:sz w:val="32"/>
          <w:szCs w:val="32"/>
          <w:highlight w:val="none"/>
          <w:lang w:val="en-US" w:eastAsia="zh-CN" w:bidi="ar"/>
          <w14:textFill>
            <w14:solidFill>
              <w14:schemeClr w14:val="tx1"/>
            </w14:solidFill>
          </w14:textFill>
        </w:rPr>
        <w:t>参考</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附件</w:t>
      </w:r>
      <w:r>
        <w:rPr>
          <w:rFonts w:hint="eastAsia" w:ascii="仿宋_GB2312" w:hAnsi="宋体" w:cs="仿宋_GB2312"/>
          <w:color w:val="000000" w:themeColor="text1"/>
          <w:kern w:val="0"/>
          <w:sz w:val="32"/>
          <w:szCs w:val="32"/>
          <w:highlight w:val="none"/>
          <w:lang w:val="en-US" w:eastAsia="zh-CN" w:bidi="ar"/>
          <w14:textFill>
            <w14:solidFill>
              <w14:schemeClr w14:val="tx1"/>
            </w14:solidFill>
          </w14:textFill>
        </w:rPr>
        <w:t>2</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模板，正式提交时请通过</w:t>
      </w:r>
      <w:r>
        <w:rPr>
          <w:rFonts w:hint="eastAsia" w:ascii="仿宋_GB2312" w:hAnsi="宋体" w:eastAsia="仿宋_GB2312" w:cs="仿宋_GB2312"/>
          <w:color w:val="000000" w:themeColor="text1"/>
          <w:kern w:val="0"/>
          <w:sz w:val="32"/>
          <w:szCs w:val="32"/>
          <w:highlight w:val="none"/>
          <w:lang w:bidi="ar"/>
          <w14:textFill>
            <w14:solidFill>
              <w14:schemeClr w14:val="tx1"/>
            </w14:solidFill>
          </w14:textFill>
        </w:rPr>
        <w:t>申报系统</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填报</w:t>
      </w:r>
      <w:r>
        <w:rPr>
          <w:rFonts w:hint="eastAsia" w:ascii="仿宋_GB2312" w:hAnsi="宋体" w:eastAsia="仿宋_GB2312" w:cs="仿宋_GB2312"/>
          <w:color w:val="000000" w:themeColor="text1"/>
          <w:kern w:val="0"/>
          <w:sz w:val="32"/>
          <w:szCs w:val="32"/>
          <w:highlight w:val="none"/>
          <w:lang w:bidi="ar"/>
          <w14:textFill>
            <w14:solidFill>
              <w14:schemeClr w14:val="tx1"/>
            </w14:solidFill>
          </w14:textFill>
        </w:rPr>
        <w:t>打印资助项目申请书</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lang w:eastAsia="zh-CN" w:bidi="ar"/>
          <w14:textFill>
            <w14:solidFill>
              <w14:schemeClr w14:val="tx1"/>
            </w14:solidFill>
          </w14:textFill>
        </w:rPr>
        <w:t>。</w:t>
      </w:r>
    </w:p>
    <w:p>
      <w:pPr>
        <w:pStyle w:val="18"/>
        <w:pageBreakBefore w:val="0"/>
        <w:kinsoku/>
        <w:topLinePunct w:val="0"/>
        <w:autoSpaceDN/>
        <w:bidi w:val="0"/>
        <w:spacing w:line="560" w:lineRule="exact"/>
        <w:ind w:leftChars="0" w:firstLine="642" w:firstLineChars="200"/>
        <w:jc w:val="both"/>
        <w:textAlignment w:val="auto"/>
        <w:rPr>
          <w:rFonts w:hint="eastAsia" w:ascii="仿宋_GB2312" w:hAnsi="仿宋_GB2312" w:eastAsia="仿宋_GB2312" w:cs="仿宋_GB2312"/>
          <w:b/>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bidi="ar"/>
          <w14:textFill>
            <w14:solidFill>
              <w14:schemeClr w14:val="tx1"/>
            </w14:solidFill>
          </w14:textFill>
        </w:rPr>
        <w:t>2.申请语料数据开放奖励的企业，需提供以下材料：</w:t>
      </w:r>
    </w:p>
    <w:p>
      <w:pPr>
        <w:pStyle w:val="2"/>
        <w:pageBreakBefore w:val="0"/>
        <w:numPr>
          <w:ilvl w:val="0"/>
          <w:numId w:val="0"/>
        </w:numPr>
        <w:kinsoku/>
        <w:topLinePunct w:val="0"/>
        <w:autoSpaceDN/>
        <w:bidi w:val="0"/>
        <w:spacing w:after="0" w:line="560" w:lineRule="exact"/>
        <w:ind w:leftChars="0" w:firstLine="640" w:firstLineChars="200"/>
        <w:jc w:val="both"/>
        <w:textAlignment w:val="auto"/>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t>（1）开放数据集建设成本证明材料。</w:t>
      </w:r>
    </w:p>
    <w:p>
      <w:pPr>
        <w:pStyle w:val="2"/>
        <w:pageBreakBefore w:val="0"/>
        <w:numPr>
          <w:ilvl w:val="0"/>
          <w:numId w:val="0"/>
        </w:numPr>
        <w:kinsoku/>
        <w:wordWrap w:val="0"/>
        <w:topLinePunct w:val="0"/>
        <w:autoSpaceDN/>
        <w:bidi w:val="0"/>
        <w:spacing w:after="0" w:line="560" w:lineRule="exact"/>
        <w:ind w:leftChars="0" w:firstLine="640" w:firstLineChars="200"/>
        <w:jc w:val="both"/>
        <w:textAlignment w:val="auto"/>
        <w:rPr>
          <w:rFonts w:hint="default"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t>（2）</w:t>
      </w:r>
      <w:r>
        <w:rPr>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企业在深圳市</w:t>
      </w:r>
      <w:r>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t>政府</w:t>
      </w:r>
      <w:r>
        <w:rPr>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数据开放平台（网址https://opendata.sz.gov.cn/）注册的账号</w:t>
      </w:r>
      <w:r>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t>。</w:t>
      </w:r>
    </w:p>
    <w:p>
      <w:pPr>
        <w:pStyle w:val="18"/>
        <w:pageBreakBefore w:val="0"/>
        <w:kinsoku/>
        <w:topLinePunct w:val="0"/>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（3）企业使用注册账号在深圳</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市政府数据开放平台完成开放的语料数据集名称和链接。</w:t>
      </w:r>
    </w:p>
    <w:p>
      <w:pPr>
        <w:pStyle w:val="2"/>
        <w:pageBreakBefore w:val="0"/>
        <w:kinsoku/>
        <w:topLinePunct w:val="0"/>
        <w:autoSpaceDN/>
        <w:bidi w:val="0"/>
        <w:spacing w:after="0" w:line="560" w:lineRule="exact"/>
        <w:ind w:leftChars="0" w:firstLine="640" w:firstLineChars="200"/>
        <w:jc w:val="both"/>
        <w:textAlignment w:val="auto"/>
        <w:rPr>
          <w:rFonts w:hint="default"/>
          <w:color w:val="000000" w:themeColor="text1"/>
          <w:highlight w:val="none"/>
          <w:lang w:val="en-US" w:eastAsia="zh-CN"/>
          <w14:textFill>
            <w14:solidFill>
              <w14:schemeClr w14:val="tx1"/>
            </w14:solidFill>
          </w14:textFill>
        </w:rPr>
      </w:pPr>
      <w:r>
        <w:rPr>
          <w:rFonts w:hint="eastAsia" w:ascii="仿宋_GB2312" w:hAnsi="仿宋_GB2312" w:cs="仿宋_GB2312"/>
          <w:b w:val="0"/>
          <w:bCs w:val="0"/>
          <w:color w:val="000000" w:themeColor="text1"/>
          <w:kern w:val="0"/>
          <w:sz w:val="32"/>
          <w:szCs w:val="32"/>
          <w:highlight w:val="none"/>
          <w:lang w:val="en-US" w:eastAsia="zh-CN" w:bidi="ar"/>
          <w14:textFill>
            <w14:solidFill>
              <w14:schemeClr w14:val="tx1"/>
            </w14:solidFill>
          </w14:textFill>
        </w:rPr>
        <w:t>开放语料的数据量、质量、更新频率、</w:t>
      </w:r>
      <w:r>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t>应用成效等材料由</w:t>
      </w:r>
      <w:r>
        <w:rPr>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深圳市政府数据开放平台</w:t>
      </w:r>
      <w:r>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t>采集完成。</w:t>
      </w:r>
    </w:p>
    <w:p>
      <w:pPr>
        <w:pageBreakBefore w:val="0"/>
        <w:kinsoku/>
        <w:overflowPunct/>
        <w:topLinePunct w:val="0"/>
        <w:autoSpaceDE w:val="0"/>
        <w:autoSpaceDN/>
        <w:bidi w:val="0"/>
        <w:spacing w:line="560" w:lineRule="exact"/>
        <w:ind w:left="0" w:leftChars="0" w:right="0" w:firstLine="642" w:firstLineChars="200"/>
        <w:jc w:val="both"/>
        <w:textAlignment w:val="auto"/>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以上材料均需加盖</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申报企业</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公章，多页的还需加盖骑缝印章；一式一份，</w:t>
      </w:r>
      <w:r>
        <w:rPr>
          <w:rFonts w:ascii="仿宋_GB2312" w:hAnsi="仿宋_GB2312" w:eastAsia="仿宋_GB2312" w:cs="仿宋_GB2312"/>
          <w:b/>
          <w:bCs/>
          <w:color w:val="000000" w:themeColor="text1"/>
          <w:sz w:val="32"/>
          <w:szCs w:val="32"/>
          <w:highlight w:val="none"/>
          <w14:textFill>
            <w14:solidFill>
              <w14:schemeClr w14:val="tx1"/>
            </w14:solidFill>
          </w14:textFill>
        </w:rPr>
        <w:t>A4</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纸（特殊规定的除外）正反面打印</w:t>
      </w:r>
      <w:r>
        <w:rPr>
          <w:rFonts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复印</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非空白页（含封面）需连续编写页码，</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在线提交扫描后的电子版文件，需要线下提交材料的</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装订成册（胶装）。</w:t>
      </w:r>
    </w:p>
    <w:p>
      <w:pPr>
        <w:pageBreakBefore w:val="0"/>
        <w:kinsoku/>
        <w:overflowPunct/>
        <w:topLinePunct w:val="0"/>
        <w:autoSpaceDN/>
        <w:bidi w:val="0"/>
        <w:adjustRightInd w:val="0"/>
        <w:snapToGrid w:val="0"/>
        <w:spacing w:line="560" w:lineRule="exact"/>
        <w:ind w:left="0" w:leftChars="0" w:right="0" w:firstLine="640" w:firstLineChars="200"/>
        <w:jc w:val="both"/>
        <w:textAlignment w:val="auto"/>
        <w:outlineLvl w:val="0"/>
        <w:rPr>
          <w:rFonts w:hint="eastAsia" w:ascii="黑体" w:hAnsi="黑体" w:eastAsia="黑体" w:cstheme="majorBidi"/>
          <w:bCs/>
          <w:color w:val="000000" w:themeColor="text1"/>
          <w:sz w:val="32"/>
          <w:szCs w:val="32"/>
          <w:highlight w:val="none"/>
          <w:lang w:eastAsia="zh-CN"/>
          <w14:textFill>
            <w14:solidFill>
              <w14:schemeClr w14:val="tx1"/>
            </w14:solidFill>
          </w14:textFill>
        </w:rPr>
      </w:pPr>
      <w:r>
        <w:rPr>
          <w:rFonts w:hint="eastAsia" w:ascii="黑体" w:hAnsi="黑体" w:eastAsia="黑体" w:cstheme="majorBidi"/>
          <w:bCs/>
          <w:color w:val="000000" w:themeColor="text1"/>
          <w:sz w:val="32"/>
          <w:szCs w:val="32"/>
          <w:highlight w:val="none"/>
          <w14:textFill>
            <w14:solidFill>
              <w14:schemeClr w14:val="tx1"/>
            </w14:solidFill>
          </w14:textFill>
        </w:rPr>
        <w:t>六、</w:t>
      </w:r>
      <w:r>
        <w:rPr>
          <w:rFonts w:hint="eastAsia" w:ascii="黑体" w:hAnsi="黑体" w:eastAsia="黑体" w:cs="仿宋_GB2312"/>
          <w:bCs/>
          <w:color w:val="000000" w:themeColor="text1"/>
          <w:sz w:val="32"/>
          <w:szCs w:val="32"/>
          <w:highlight w:val="none"/>
          <w14:textFill>
            <w14:solidFill>
              <w14:schemeClr w14:val="tx1"/>
            </w14:solidFill>
          </w14:textFill>
        </w:rPr>
        <w:t>项目申报登录路径</w:t>
      </w:r>
    </w:p>
    <w:p>
      <w:pPr>
        <w:pageBreakBefore w:val="0"/>
        <w:widowControl/>
        <w:kinsoku/>
        <w:overflowPunct/>
        <w:topLinePunct w:val="0"/>
        <w:autoSpaceDN/>
        <w:bidi w:val="0"/>
        <w:adjustRightInd/>
        <w:snapToGrid/>
        <w:spacing w:line="560" w:lineRule="exact"/>
        <w:ind w:left="0" w:leftChars="0" w:right="0" w:firstLine="640" w:firstLineChars="200"/>
        <w:jc w:val="both"/>
        <w:textAlignment w:val="auto"/>
        <w:rPr>
          <w:rFonts w:hint="eastAsia" w:ascii="仿宋_GB2312" w:hAnsi="宋体" w:eastAsia="仿宋_GB2312"/>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路径一（推荐）：PC端登录广东政务服务网——深圳市——深圳市政务服务和数据管理局——搜索申报事项名称“深圳市人工智能语料券专项资金”事项办理申请。</w:t>
      </w:r>
    </w:p>
    <w:p>
      <w:pPr>
        <w:pageBreakBefore w:val="0"/>
        <w:kinsoku/>
        <w:overflowPunct/>
        <w:topLinePunct w:val="0"/>
        <w:autoSpaceDE w:val="0"/>
        <w:autoSpaceDN/>
        <w:bidi w:val="0"/>
        <w:spacing w:line="560" w:lineRule="exact"/>
        <w:ind w:left="0" w:leftChars="0" w:right="0" w:firstLine="640" w:firstLineChars="200"/>
        <w:contextualSpacing/>
        <w:jc w:val="both"/>
        <w:textAlignment w:val="auto"/>
        <w:outlineLvl w:val="0"/>
        <w:rPr>
          <w:rFonts w:hint="eastAsia" w:ascii="黑体" w:hAnsi="黑体" w:eastAsia="黑体" w:cstheme="majorBidi"/>
          <w:bCs/>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路径二：移动端登录“i深圳”APP——企业服务——搜索申报事项名称“深圳市人工智能语料券专项资金”事项办理申请。</w:t>
      </w:r>
    </w:p>
    <w:p>
      <w:pPr>
        <w:pageBreakBefore w:val="0"/>
        <w:kinsoku/>
        <w:overflowPunct/>
        <w:topLinePunct w:val="0"/>
        <w:autoSpaceDE w:val="0"/>
        <w:autoSpaceDN/>
        <w:bidi w:val="0"/>
        <w:spacing w:line="560" w:lineRule="exact"/>
        <w:ind w:left="0" w:leftChars="0" w:right="0" w:firstLine="640" w:firstLineChars="200"/>
        <w:contextualSpacing/>
        <w:jc w:val="both"/>
        <w:textAlignment w:val="auto"/>
        <w:outlineLvl w:val="0"/>
        <w:rPr>
          <w:rFonts w:hint="default" w:ascii="黑体" w:hAnsi="黑体" w:eastAsia="黑体" w:cstheme="majorBidi"/>
          <w:bCs/>
          <w:color w:val="000000" w:themeColor="text1"/>
          <w:sz w:val="32"/>
          <w:szCs w:val="32"/>
          <w:highlight w:val="none"/>
          <w:lang w:val="en-US" w:eastAsia="zh-CN"/>
          <w14:textFill>
            <w14:solidFill>
              <w14:schemeClr w14:val="tx1"/>
            </w14:solidFill>
          </w14:textFill>
        </w:rPr>
      </w:pPr>
      <w:r>
        <w:rPr>
          <w:rFonts w:hint="eastAsia" w:ascii="黑体" w:hAnsi="黑体" w:eastAsia="黑体" w:cstheme="majorBidi"/>
          <w:bCs/>
          <w:color w:val="000000" w:themeColor="text1"/>
          <w:sz w:val="32"/>
          <w:szCs w:val="32"/>
          <w:highlight w:val="none"/>
          <w14:textFill>
            <w14:solidFill>
              <w14:schemeClr w14:val="tx1"/>
            </w14:solidFill>
          </w14:textFill>
        </w:rPr>
        <w:t>七、项目申请受理机关与时间</w:t>
      </w:r>
    </w:p>
    <w:p>
      <w:pPr>
        <w:pageBreakBefore w:val="0"/>
        <w:kinsoku/>
        <w:overflowPunct/>
        <w:topLinePunct w:val="0"/>
        <w:autoSpaceDN/>
        <w:bidi w:val="0"/>
        <w:spacing w:line="560" w:lineRule="exact"/>
        <w:ind w:left="0" w:leftChars="0" w:right="0" w:firstLine="640" w:firstLineChars="200"/>
        <w:jc w:val="both"/>
        <w:textAlignment w:val="auto"/>
        <w:outlineLvl w:val="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一）受理机关：深圳市政务服务和数据管理局。</w:t>
      </w:r>
    </w:p>
    <w:p>
      <w:pPr>
        <w:pageBreakBefore w:val="0"/>
        <w:kinsoku/>
        <w:overflowPunct/>
        <w:topLinePunct w:val="0"/>
        <w:autoSpaceDN/>
        <w:bidi w:val="0"/>
        <w:spacing w:line="560" w:lineRule="exact"/>
        <w:ind w:left="0" w:leftChars="0" w:right="0" w:firstLine="640" w:firstLineChars="200"/>
        <w:jc w:val="both"/>
        <w:textAlignment w:val="auto"/>
        <w:outlineLvl w:val="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（二）受理时间：</w:t>
      </w:r>
    </w:p>
    <w:p>
      <w:pPr>
        <w:pageBreakBefore w:val="0"/>
        <w:kinsoku/>
        <w:overflowPunct/>
        <w:topLinePunct w:val="0"/>
        <w:autoSpaceDE w:val="0"/>
        <w:autoSpaceDN/>
        <w:bidi w:val="0"/>
        <w:adjustRightInd w:val="0"/>
        <w:snapToGrid w:val="0"/>
        <w:spacing w:line="560" w:lineRule="exact"/>
        <w:ind w:left="0" w:leftChars="0" w:right="0" w:firstLine="640" w:firstLineChars="200"/>
        <w:jc w:val="both"/>
        <w:textAlignment w:val="auto"/>
        <w:outlineLvl w:val="0"/>
        <w:rPr>
          <w:rFonts w:hint="eastAsia" w:ascii="仿宋_GB2312" w:hAnsi="宋体" w:eastAsia="仿宋_GB2312" w:cs="Times New Roman"/>
          <w:b/>
          <w:bCs/>
          <w:strike/>
          <w:dstrike w:val="0"/>
          <w:color w:val="000000" w:themeColor="text1"/>
          <w:sz w:val="32"/>
          <w:szCs w:val="32"/>
          <w:highlight w:val="none"/>
          <w:lang w:eastAsia="zh-CN"/>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1.</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申请</w:t>
      </w:r>
      <w:r>
        <w:rPr>
          <w:rFonts w:hint="eastAsia" w:ascii="仿宋_GB2312" w:hAnsi="宋体" w:eastAsia="仿宋_GB2312" w:cs="宋体"/>
          <w:color w:val="000000" w:themeColor="text1"/>
          <w:kern w:val="0"/>
          <w:sz w:val="32"/>
          <w:szCs w:val="32"/>
          <w:highlight w:val="none"/>
          <w14:textFill>
            <w14:solidFill>
              <w14:schemeClr w14:val="tx1"/>
            </w14:solidFill>
          </w14:textFill>
        </w:rPr>
        <w:t>受理时间：</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申报企业</w:t>
      </w:r>
      <w:r>
        <w:rPr>
          <w:rFonts w:hint="eastAsia" w:ascii="仿宋_GB2312" w:hAnsi="宋体" w:eastAsia="仿宋_GB2312" w:cs="Times New Roman"/>
          <w:color w:val="000000" w:themeColor="text1"/>
          <w:sz w:val="32"/>
          <w:szCs w:val="32"/>
          <w:highlight w:val="none"/>
          <w14:textFill>
            <w14:solidFill>
              <w14:schemeClr w14:val="tx1"/>
            </w14:solidFill>
          </w14:textFill>
        </w:rPr>
        <w:t>需于202</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5</w:t>
      </w:r>
      <w:r>
        <w:rPr>
          <w:rFonts w:hint="eastAsia" w:ascii="仿宋_GB2312" w:hAnsi="宋体" w:eastAsia="仿宋_GB2312" w:cs="Times New Roman"/>
          <w:color w:val="000000" w:themeColor="text1"/>
          <w:sz w:val="32"/>
          <w:szCs w:val="32"/>
          <w:highlight w:val="none"/>
          <w14:textFill>
            <w14:solidFill>
              <w14:schemeClr w14:val="tx1"/>
            </w14:solidFill>
          </w14:textFill>
        </w:rPr>
        <w:t>年</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9</w:t>
      </w:r>
      <w:r>
        <w:rPr>
          <w:rFonts w:hint="eastAsia" w:ascii="仿宋_GB2312" w:hAnsi="宋体" w:eastAsia="仿宋_GB2312" w:cs="Times New Roman"/>
          <w:color w:val="000000" w:themeColor="text1"/>
          <w:sz w:val="32"/>
          <w:szCs w:val="32"/>
          <w:highlight w:val="none"/>
          <w14:textFill>
            <w14:solidFill>
              <w14:schemeClr w14:val="tx1"/>
            </w14:solidFill>
          </w14:textFill>
        </w:rPr>
        <w:t>月</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1</w:t>
      </w:r>
      <w:r>
        <w:rPr>
          <w:rFonts w:hint="eastAsia" w:ascii="仿宋_GB2312" w:hAnsi="宋体" w:eastAsia="仿宋_GB2312" w:cs="Times New Roman"/>
          <w:color w:val="000000" w:themeColor="text1"/>
          <w:sz w:val="32"/>
          <w:szCs w:val="32"/>
          <w:highlight w:val="none"/>
          <w14:textFill>
            <w14:solidFill>
              <w14:schemeClr w14:val="tx1"/>
            </w14:solidFill>
          </w14:textFill>
        </w:rPr>
        <w:t>日</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9时</w:t>
      </w:r>
      <w:r>
        <w:rPr>
          <w:rFonts w:hint="eastAsia" w:ascii="仿宋_GB2312" w:hAnsi="宋体" w:eastAsia="仿宋_GB2312" w:cs="Times New Roman"/>
          <w:color w:val="000000" w:themeColor="text1"/>
          <w:sz w:val="32"/>
          <w:szCs w:val="32"/>
          <w:highlight w:val="none"/>
          <w14:textFill>
            <w14:solidFill>
              <w14:schemeClr w14:val="tx1"/>
            </w14:solidFill>
          </w14:textFill>
        </w:rPr>
        <w:t>至</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9</w:t>
      </w:r>
      <w:r>
        <w:rPr>
          <w:rFonts w:hint="eastAsia" w:ascii="仿宋_GB2312" w:hAnsi="宋体" w:eastAsia="仿宋_GB2312" w:cs="Times New Roman"/>
          <w:color w:val="000000" w:themeColor="text1"/>
          <w:sz w:val="32"/>
          <w:szCs w:val="32"/>
          <w:highlight w:val="none"/>
          <w14:textFill>
            <w14:solidFill>
              <w14:schemeClr w14:val="tx1"/>
            </w14:solidFill>
          </w14:textFill>
        </w:rPr>
        <w:t>月</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30</w:t>
      </w:r>
      <w:r>
        <w:rPr>
          <w:rFonts w:hint="eastAsia" w:ascii="仿宋_GB2312" w:hAnsi="宋体" w:eastAsia="仿宋_GB2312" w:cs="Times New Roman"/>
          <w:color w:val="000000" w:themeColor="text1"/>
          <w:sz w:val="32"/>
          <w:szCs w:val="32"/>
          <w:highlight w:val="none"/>
          <w14:textFill>
            <w14:solidFill>
              <w14:schemeClr w14:val="tx1"/>
            </w14:solidFill>
          </w14:textFill>
        </w:rPr>
        <w:t>日18时</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宋体" w:eastAsia="仿宋_GB2312" w:cs="Times New Roman"/>
          <w:color w:val="000000" w:themeColor="text1"/>
          <w:sz w:val="32"/>
          <w:szCs w:val="32"/>
          <w:highlight w:val="none"/>
          <w14:textFill>
            <w14:solidFill>
              <w14:schemeClr w14:val="tx1"/>
            </w14:solidFill>
          </w14:textFill>
        </w:rPr>
        <w:t>通过广东政务服务网、“i深圳”、深圳市政务服务中心等渠道提交相关申报材料</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overflowPunct/>
        <w:topLinePunct w:val="0"/>
        <w:autoSpaceDN/>
        <w:bidi w:val="0"/>
        <w:spacing w:line="560" w:lineRule="exact"/>
        <w:ind w:left="0" w:leftChars="0" w:right="0" w:firstLine="640" w:firstLineChars="200"/>
        <w:jc w:val="both"/>
        <w:textAlignment w:val="auto"/>
        <w:rPr>
          <w:rFonts w:hint="eastAsia" w:ascii="仿宋_GB2312" w:hAnsi="宋体"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14:textFill>
            <w14:solidFill>
              <w14:schemeClr w14:val="tx1"/>
            </w14:solidFill>
          </w14:textFill>
        </w:rPr>
        <w:t>注：</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在线</w:t>
      </w:r>
      <w:r>
        <w:rPr>
          <w:rFonts w:hint="eastAsia" w:ascii="仿宋_GB2312" w:hAnsi="宋体" w:eastAsia="仿宋_GB2312" w:cs="Times New Roman"/>
          <w:color w:val="000000" w:themeColor="text1"/>
          <w:sz w:val="32"/>
          <w:szCs w:val="32"/>
          <w:highlight w:val="none"/>
          <w14:textFill>
            <w14:solidFill>
              <w14:schemeClr w14:val="tx1"/>
            </w14:solidFill>
          </w14:textFill>
        </w:rPr>
        <w:t>填报受理截止后，不再受理新提交项目的申请，</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在线</w:t>
      </w:r>
      <w:r>
        <w:rPr>
          <w:rFonts w:hint="eastAsia" w:ascii="仿宋_GB2312" w:hAnsi="宋体" w:eastAsia="仿宋_GB2312" w:cs="Times New Roman"/>
          <w:color w:val="000000" w:themeColor="text1"/>
          <w:sz w:val="32"/>
          <w:szCs w:val="32"/>
          <w:highlight w:val="none"/>
          <w14:textFill>
            <w14:solidFill>
              <w14:schemeClr w14:val="tx1"/>
            </w14:solidFill>
          </w14:textFill>
        </w:rPr>
        <w:t>填报截止前已提交后又被退回修改的，可继续</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在指定时间之前</w:t>
      </w:r>
      <w:r>
        <w:rPr>
          <w:rFonts w:hint="eastAsia" w:ascii="仿宋_GB2312" w:hAnsi="宋体" w:eastAsia="仿宋_GB2312" w:cs="Times New Roman"/>
          <w:color w:val="000000" w:themeColor="text1"/>
          <w:sz w:val="32"/>
          <w:szCs w:val="32"/>
          <w:highlight w:val="none"/>
          <w14:textFill>
            <w14:solidFill>
              <w14:schemeClr w14:val="tx1"/>
            </w14:solidFill>
          </w14:textFill>
        </w:rPr>
        <w:t>提交在线预审</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宋体" w:eastAsia="仿宋_GB2312" w:cs="Times New Roman"/>
          <w:color w:val="000000" w:themeColor="text1"/>
          <w:sz w:val="32"/>
          <w:szCs w:val="32"/>
          <w:highlight w:val="none"/>
          <w14:textFill>
            <w14:solidFill>
              <w14:schemeClr w14:val="tx1"/>
            </w14:solidFill>
          </w14:textFill>
        </w:rPr>
        <w:t>项目在线</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形式审查</w:t>
      </w:r>
      <w:r>
        <w:rPr>
          <w:rFonts w:hint="eastAsia" w:ascii="仿宋_GB2312" w:hAnsi="宋体" w:eastAsia="仿宋_GB2312" w:cs="Times New Roman"/>
          <w:color w:val="000000" w:themeColor="text1"/>
          <w:sz w:val="32"/>
          <w:szCs w:val="32"/>
          <w:highlight w:val="none"/>
          <w14:textFill>
            <w14:solidFill>
              <w14:schemeClr w14:val="tx1"/>
            </w14:solidFill>
          </w14:textFill>
        </w:rPr>
        <w:t>通过后，</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按需</w:t>
      </w:r>
      <w:r>
        <w:rPr>
          <w:rFonts w:hint="eastAsia" w:ascii="仿宋_GB2312" w:hAnsi="宋体" w:eastAsia="仿宋_GB2312" w:cs="Times New Roman"/>
          <w:color w:val="000000" w:themeColor="text1"/>
          <w:sz w:val="32"/>
          <w:szCs w:val="32"/>
          <w:highlight w:val="none"/>
          <w14:textFill>
            <w14:solidFill>
              <w14:schemeClr w14:val="tx1"/>
            </w14:solidFill>
          </w14:textFill>
        </w:rPr>
        <w:t>向</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市</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政务服务中心</w:t>
      </w:r>
      <w:r>
        <w:rPr>
          <w:rFonts w:hint="eastAsia" w:ascii="仿宋_GB2312" w:hAnsi="宋体" w:eastAsia="仿宋_GB2312" w:cs="Times New Roman"/>
          <w:color w:val="000000" w:themeColor="text1"/>
          <w:sz w:val="32"/>
          <w:szCs w:val="32"/>
          <w:highlight w:val="none"/>
          <w14:textFill>
            <w14:solidFill>
              <w14:schemeClr w14:val="tx1"/>
            </w14:solidFill>
          </w14:textFill>
        </w:rPr>
        <w:t>递交纸质申请材料</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宋体" w:eastAsia="仿宋_GB2312" w:cs="Times New Roman"/>
          <w:color w:val="000000" w:themeColor="text1"/>
          <w:sz w:val="32"/>
          <w:szCs w:val="32"/>
          <w:highlight w:val="none"/>
          <w14:textFill>
            <w14:solidFill>
              <w14:schemeClr w14:val="tx1"/>
            </w14:solidFill>
          </w14:textFill>
        </w:rPr>
        <w:t>项目申请书需</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通过市财政专项资金统一管理平台（https://cqt.szfb.sz.gov.cn/#/home）</w:t>
      </w:r>
      <w:r>
        <w:rPr>
          <w:rFonts w:hint="eastAsia" w:ascii="仿宋_GB2312" w:hAnsi="宋体" w:eastAsia="仿宋_GB2312" w:cs="Times New Roman"/>
          <w:color w:val="000000" w:themeColor="text1"/>
          <w:sz w:val="32"/>
          <w:szCs w:val="32"/>
          <w:highlight w:val="none"/>
          <w14:textFill>
            <w14:solidFill>
              <w14:schemeClr w14:val="tx1"/>
            </w14:solidFill>
          </w14:textFill>
        </w:rPr>
        <w:t>在线打印</w:t>
      </w:r>
      <w:r>
        <w:rPr>
          <w:rFonts w:hint="eastAsia" w:ascii="仿宋_GB2312" w:hAnsi="宋体" w:eastAsia="仿宋_GB2312" w:cs="Times New Roman"/>
          <w:color w:val="000000" w:themeColor="text1"/>
          <w:sz w:val="32"/>
          <w:szCs w:val="32"/>
          <w:highlight w:val="none"/>
          <w:shd w:val="clear" w:fill="FFFFFF"/>
          <w:lang w:eastAsia="zh-CN"/>
          <w14:textFill>
            <w14:solidFill>
              <w14:schemeClr w14:val="tx1"/>
            </w14:solidFill>
          </w14:textFill>
        </w:rPr>
        <w:t>。</w:t>
      </w:r>
    </w:p>
    <w:p>
      <w:pPr>
        <w:pageBreakBefore w:val="0"/>
        <w:kinsoku/>
        <w:overflowPunct/>
        <w:topLinePunct w:val="0"/>
        <w:autoSpaceDE w:val="0"/>
        <w:autoSpaceDN/>
        <w:bidi w:val="0"/>
        <w:adjustRightInd w:val="0"/>
        <w:snapToGrid w:val="0"/>
        <w:spacing w:line="560" w:lineRule="exact"/>
        <w:ind w:left="0" w:leftChars="0" w:right="0" w:firstLine="640" w:firstLineChars="200"/>
        <w:jc w:val="both"/>
        <w:textAlignment w:val="auto"/>
        <w:outlineLvl w:val="0"/>
        <w:rPr>
          <w:rFonts w:hint="default" w:ascii="仿宋_GB2312" w:hAnsi="宋体" w:eastAsia="仿宋_GB2312" w:cs="Times New Roman"/>
          <w:color w:val="000000" w:themeColor="text1"/>
          <w:sz w:val="32"/>
          <w:szCs w:val="32"/>
          <w:highlight w:val="none"/>
          <w:lang w:val="en-US"/>
          <w14:textFill>
            <w14:solidFill>
              <w14:schemeClr w14:val="tx1"/>
            </w14:solidFill>
          </w14:textFill>
        </w:rPr>
      </w:pPr>
      <w:r>
        <w:rPr>
          <w:rFonts w:hint="eastAsia" w:ascii="仿宋_GB2312" w:hAnsi="宋体" w:eastAsia="仿宋_GB2312" w:cs="Times New Roman"/>
          <w:color w:val="000000" w:themeColor="text1"/>
          <w:sz w:val="32"/>
          <w:szCs w:val="32"/>
          <w:highlight w:val="none"/>
          <w14:textFill>
            <w14:solidFill>
              <w14:schemeClr w14:val="tx1"/>
            </w14:solidFill>
          </w14:textFill>
        </w:rPr>
        <w:t>2.</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窗口</w:t>
      </w:r>
      <w:r>
        <w:rPr>
          <w:rFonts w:hint="eastAsia" w:ascii="仿宋_GB2312" w:hAnsi="宋体" w:eastAsia="仿宋_GB2312" w:cs="Times New Roman"/>
          <w:color w:val="000000" w:themeColor="text1"/>
          <w:sz w:val="32"/>
          <w:szCs w:val="32"/>
          <w:highlight w:val="none"/>
          <w14:textFill>
            <w14:solidFill>
              <w14:schemeClr w14:val="tx1"/>
            </w14:solidFill>
          </w14:textFill>
        </w:rPr>
        <w:t>受理时间：如企业选择通过深圳市政务服务中心窗口提交申请材料，或者根据在线预审环节需要提交纸质材料完成材料真实性确认的</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宋体" w:eastAsia="仿宋_GB2312" w:cs="Times New Roman"/>
          <w:color w:val="000000" w:themeColor="text1"/>
          <w:sz w:val="32"/>
          <w:szCs w:val="32"/>
          <w:highlight w:val="none"/>
          <w14:textFill>
            <w14:solidFill>
              <w14:schemeClr w14:val="tx1"/>
            </w14:solidFill>
          </w14:textFill>
        </w:rPr>
        <w:t>申报企业应当在2025年9月30日18时</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或补充材料截止时间前，</w:t>
      </w:r>
      <w:r>
        <w:rPr>
          <w:rFonts w:hint="eastAsia" w:ascii="仿宋_GB2312" w:hAnsi="宋体" w:eastAsia="仿宋_GB2312" w:cs="Times New Roman"/>
          <w:color w:val="000000" w:themeColor="text1"/>
          <w:sz w:val="32"/>
          <w:szCs w:val="32"/>
          <w:highlight w:val="none"/>
          <w14:textFill>
            <w14:solidFill>
              <w14:schemeClr w14:val="tx1"/>
            </w14:solidFill>
          </w14:textFill>
        </w:rPr>
        <w:t>通过市政务服务中心综合受理窗口</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（深圳市福田区福中三路市民中心B区市政务服务中心西厅5号—42号）</w:t>
      </w:r>
      <w:r>
        <w:rPr>
          <w:rFonts w:hint="eastAsia" w:ascii="仿宋_GB2312" w:hAnsi="宋体" w:eastAsia="仿宋_GB2312" w:cs="Times New Roman"/>
          <w:color w:val="000000" w:themeColor="text1"/>
          <w:sz w:val="32"/>
          <w:szCs w:val="32"/>
          <w:highlight w:val="none"/>
          <w14:textFill>
            <w14:solidFill>
              <w14:schemeClr w14:val="tx1"/>
            </w14:solidFill>
          </w14:textFill>
        </w:rPr>
        <w:t>提交相关纸质材料</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w:t>
      </w:r>
    </w:p>
    <w:p>
      <w:pPr>
        <w:pageBreakBefore w:val="0"/>
        <w:kinsoku/>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14:textFill>
            <w14:solidFill>
              <w14:schemeClr w14:val="tx1"/>
            </w14:solidFill>
          </w14:textFill>
        </w:rPr>
        <w:t>注：</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形式审查后，</w:t>
      </w:r>
      <w:r>
        <w:rPr>
          <w:rFonts w:hint="eastAsia" w:ascii="仿宋_GB2312" w:hAnsi="宋体" w:eastAsia="仿宋_GB2312" w:cs="Times New Roman"/>
          <w:b/>
          <w:bCs/>
          <w:color w:val="000000" w:themeColor="text1"/>
          <w:sz w:val="32"/>
          <w:szCs w:val="32"/>
          <w:highlight w:val="none"/>
          <w:lang w:val="en-US" w:eastAsia="zh-CN"/>
          <w14:textFill>
            <w14:solidFill>
              <w14:schemeClr w14:val="tx1"/>
            </w14:solidFill>
          </w14:textFill>
        </w:rPr>
        <w:t>申报状态为“补齐补正”</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的企业，</w:t>
      </w:r>
      <w:r>
        <w:rPr>
          <w:rFonts w:hint="eastAsia" w:ascii="仿宋_GB2312" w:hAnsi="宋体" w:eastAsia="仿宋_GB2312" w:cs="Times New Roman"/>
          <w:color w:val="000000" w:themeColor="text1"/>
          <w:sz w:val="32"/>
          <w:szCs w:val="32"/>
          <w:highlight w:val="none"/>
          <w14:textFill>
            <w14:solidFill>
              <w14:schemeClr w14:val="tx1"/>
            </w14:solidFill>
          </w14:textFill>
        </w:rPr>
        <w:t>请</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在指定时间内预约前往市政务服务中心综合受理窗口递交纸质材料</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并确认通过形式审查。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预约方式：</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移动端登录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“i深圳”APP——办事预约——深圳市——深圳市政务服务中心——西厅——在线预约。请按照预约时段提交材料。</w:t>
      </w:r>
    </w:p>
    <w:p>
      <w:pPr>
        <w:keepNext w:val="0"/>
        <w:keepLines w:val="0"/>
        <w:pageBreakBefore w:val="0"/>
        <w:widowControl w:val="0"/>
        <w:kinsoku/>
        <w:overflowPunct/>
        <w:topLinePunct w:val="0"/>
        <w:autoSpaceDN/>
        <w:bidi w:val="0"/>
        <w:spacing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业务</w:t>
      </w:r>
      <w:r>
        <w:rPr>
          <w:rFonts w:hint="eastAsia" w:ascii="仿宋_GB2312" w:hAnsi="仿宋_GB2312" w:eastAsia="仿宋_GB2312" w:cs="仿宋_GB2312"/>
          <w:color w:val="000000" w:themeColor="text1"/>
          <w:sz w:val="32"/>
          <w:szCs w:val="32"/>
          <w:highlight w:val="none"/>
          <w14:textFill>
            <w14:solidFill>
              <w14:schemeClr w14:val="tx1"/>
            </w14:solidFill>
          </w14:textFill>
        </w:rPr>
        <w:t>咨询：</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电话</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0755-</w:t>
      </w:r>
      <w:r>
        <w:rPr>
          <w:rFonts w:hint="eastAsia" w:ascii="仿宋_GB2312" w:hAnsi="仿宋_GB2312" w:eastAsia="仿宋_GB2312" w:cs="仿宋_GB2312"/>
          <w:color w:val="000000" w:themeColor="text1"/>
          <w:sz w:val="32"/>
          <w:szCs w:val="32"/>
          <w:highlight w:val="none"/>
          <w14:textFill>
            <w14:solidFill>
              <w14:schemeClr w14:val="tx1"/>
            </w14:solidFill>
          </w14:textFill>
        </w:rPr>
        <w:t>88127457</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；窗口咨询，请到</w:t>
      </w:r>
      <w:r>
        <w:rPr>
          <w:rFonts w:hint="eastAsia" w:ascii="仿宋_GB2312" w:hAnsi="仿宋_GB2312" w:eastAsia="仿宋_GB2312" w:cs="仿宋_GB2312"/>
          <w:color w:val="000000" w:themeColor="text1"/>
          <w:sz w:val="32"/>
          <w:szCs w:val="32"/>
          <w:highlight w:val="none"/>
          <w14:textFill>
            <w14:solidFill>
              <w14:schemeClr w14:val="tx1"/>
            </w14:solidFill>
          </w14:textFill>
        </w:rPr>
        <w:t>市民中心B区市政务服务中心西厅综合受理窗口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ageBreakBefore w:val="0"/>
        <w:kinsoku/>
        <w:overflowPunct/>
        <w:topLinePunct w:val="0"/>
        <w:autoSpaceDE w:val="0"/>
        <w:autoSpaceDN/>
        <w:bidi w:val="0"/>
        <w:spacing w:line="560" w:lineRule="exact"/>
        <w:ind w:left="0" w:leftChars="0" w:right="0" w:firstLine="640" w:firstLineChars="200"/>
        <w:contextualSpacing/>
        <w:jc w:val="both"/>
        <w:textAlignment w:val="auto"/>
        <w:outlineLvl w:val="0"/>
        <w:rPr>
          <w:rFonts w:hint="default" w:ascii="黑体" w:hAnsi="黑体" w:eastAsia="黑体" w:cstheme="majorBidi"/>
          <w:bCs/>
          <w:color w:val="000000" w:themeColor="text1"/>
          <w:sz w:val="32"/>
          <w:szCs w:val="32"/>
          <w:highlight w:val="none"/>
          <w:lang w:val="en-US" w:eastAsia="zh-CN"/>
          <w14:textFill>
            <w14:solidFill>
              <w14:schemeClr w14:val="tx1"/>
            </w14:solidFill>
          </w14:textFill>
        </w:rPr>
      </w:pPr>
      <w:r>
        <w:rPr>
          <w:rFonts w:hint="eastAsia" w:ascii="黑体" w:hAnsi="黑体" w:eastAsia="黑体" w:cstheme="majorBidi"/>
          <w:bCs/>
          <w:color w:val="000000" w:themeColor="text1"/>
          <w:sz w:val="32"/>
          <w:szCs w:val="32"/>
          <w:highlight w:val="none"/>
          <w14:textFill>
            <w14:solidFill>
              <w14:schemeClr w14:val="tx1"/>
            </w14:solidFill>
          </w14:textFill>
        </w:rPr>
        <w:t>八、</w:t>
      </w:r>
      <w:r>
        <w:rPr>
          <w:rFonts w:hint="eastAsia" w:ascii="黑体" w:hAnsi="黑体" w:eastAsia="黑体" w:cs="仿宋_GB2312"/>
          <w:bCs/>
          <w:color w:val="000000" w:themeColor="text1"/>
          <w:sz w:val="32"/>
          <w:szCs w:val="32"/>
          <w:highlight w:val="none"/>
          <w14:textFill>
            <w14:solidFill>
              <w14:schemeClr w14:val="tx1"/>
            </w14:solidFill>
          </w14:textFill>
        </w:rPr>
        <w:t>资助核准机关</w:t>
      </w:r>
    </w:p>
    <w:p>
      <w:pPr>
        <w:pageBreakBefore w:val="0"/>
        <w:kinsoku/>
        <w:overflowPunct/>
        <w:topLinePunct w:val="0"/>
        <w:autoSpaceDN/>
        <w:bidi w:val="0"/>
        <w:spacing w:line="560" w:lineRule="exact"/>
        <w:ind w:left="0" w:leftChars="0" w:right="0" w:firstLine="640" w:firstLineChars="200"/>
        <w:jc w:val="both"/>
        <w:textAlignment w:val="auto"/>
        <w:outlineLvl w:val="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深圳市政务服务和数据管理局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ageBreakBefore w:val="0"/>
        <w:kinsoku/>
        <w:overflowPunct/>
        <w:topLinePunct w:val="0"/>
        <w:autoSpaceDN/>
        <w:bidi w:val="0"/>
        <w:spacing w:line="560" w:lineRule="exact"/>
        <w:ind w:left="0" w:leftChars="0" w:right="0" w:firstLine="640" w:firstLineChars="200"/>
        <w:jc w:val="both"/>
        <w:textAlignment w:val="auto"/>
        <w:outlineLvl w:val="0"/>
        <w:rPr>
          <w:rFonts w:hint="default" w:ascii="黑体" w:hAnsi="黑体" w:eastAsia="黑体" w:cstheme="majorBidi"/>
          <w:bCs/>
          <w:color w:val="000000" w:themeColor="text1"/>
          <w:sz w:val="32"/>
          <w:szCs w:val="32"/>
          <w:highlight w:val="none"/>
          <w:lang w:val="en-US" w:eastAsia="zh-CN"/>
          <w14:textFill>
            <w14:solidFill>
              <w14:schemeClr w14:val="tx1"/>
            </w14:solidFill>
          </w14:textFill>
        </w:rPr>
      </w:pPr>
      <w:r>
        <w:rPr>
          <w:rFonts w:hint="eastAsia" w:ascii="黑体" w:hAnsi="黑体" w:eastAsia="黑体" w:cstheme="majorBidi"/>
          <w:bCs/>
          <w:color w:val="000000" w:themeColor="text1"/>
          <w:sz w:val="32"/>
          <w:szCs w:val="32"/>
          <w:highlight w:val="none"/>
          <w14:textFill>
            <w14:solidFill>
              <w14:schemeClr w14:val="tx1"/>
            </w14:solidFill>
          </w14:textFill>
        </w:rPr>
        <w:t>九、</w:t>
      </w:r>
      <w:r>
        <w:rPr>
          <w:rFonts w:hint="eastAsia" w:ascii="黑体" w:hAnsi="黑体" w:eastAsia="黑体" w:cs="仿宋_GB2312"/>
          <w:bCs/>
          <w:color w:val="000000" w:themeColor="text1"/>
          <w:sz w:val="32"/>
          <w:szCs w:val="32"/>
          <w:highlight w:val="none"/>
          <w14:textFill>
            <w14:solidFill>
              <w14:schemeClr w14:val="tx1"/>
            </w14:solidFill>
          </w14:textFill>
        </w:rPr>
        <w:t>核准流程</w:t>
      </w:r>
    </w:p>
    <w:p>
      <w:pPr>
        <w:pageBreakBefore w:val="0"/>
        <w:kinsoku/>
        <w:overflowPunct/>
        <w:topLinePunct w:val="0"/>
        <w:autoSpaceDN/>
        <w:bidi w:val="0"/>
        <w:adjustRightInd w:val="0"/>
        <w:snapToGrid w:val="0"/>
        <w:spacing w:line="56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申报企业在线发起</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申报</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按需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向市</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政务服务中心</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收文窗口提交申请材料</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深圳</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政务服务和数据管理局</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线上预审</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实质性审查（包括业务审查、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专家评审、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专项审计、</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现场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核查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合规确认</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等环节</w:t>
      </w:r>
      <w:r>
        <w:rPr>
          <w:rFonts w:hint="eastAsia" w:ascii="仿宋_GB2312" w:hAnsi="仿宋_GB2312" w:eastAsia="仿宋_GB2312" w:cs="仿宋_GB2312"/>
          <w:b w:val="0"/>
          <w:bCs w:val="0"/>
          <w:strike w:val="0"/>
          <w:dstrike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strike w:val="0"/>
          <w:dstrike w:val="0"/>
          <w:color w:val="000000" w:themeColor="text1"/>
          <w:sz w:val="32"/>
          <w:szCs w:val="32"/>
          <w:highlight w:val="none"/>
          <w:lang w:val="en-US" w:eastAsia="zh-CN"/>
          <w14:textFill>
            <w14:solidFill>
              <w14:schemeClr w14:val="tx1"/>
            </w14:solidFill>
          </w14:textFill>
        </w:rPr>
        <w:t>征求意见</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确定发放方案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——社会公示——</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拨付资金</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pageBreakBefore w:val="0"/>
        <w:kinsoku/>
        <w:overflowPunct/>
        <w:topLinePunct w:val="0"/>
        <w:autoSpaceDN/>
        <w:bidi w:val="0"/>
        <w:adjustRightInd w:val="0"/>
        <w:snapToGrid w:val="0"/>
        <w:spacing w:line="560" w:lineRule="exact"/>
        <w:ind w:left="0" w:leftChars="0" w:right="0" w:firstLine="640" w:firstLineChars="200"/>
        <w:jc w:val="both"/>
        <w:textAlignment w:val="auto"/>
        <w:outlineLvl w:val="0"/>
        <w:rPr>
          <w:rFonts w:hint="default" w:ascii="黑体" w:hAnsi="黑体" w:eastAsia="黑体" w:cstheme="majorBidi"/>
          <w:bCs/>
          <w:color w:val="000000" w:themeColor="text1"/>
          <w:sz w:val="32"/>
          <w:szCs w:val="32"/>
          <w:highlight w:val="none"/>
          <w:lang w:val="en-US" w:eastAsia="zh-CN"/>
          <w14:textFill>
            <w14:solidFill>
              <w14:schemeClr w14:val="tx1"/>
            </w14:solidFill>
          </w14:textFill>
        </w:rPr>
      </w:pPr>
      <w:r>
        <w:rPr>
          <w:rFonts w:hint="eastAsia" w:ascii="黑体" w:hAnsi="黑体" w:eastAsia="黑体" w:cstheme="majorBidi"/>
          <w:bCs/>
          <w:color w:val="000000" w:themeColor="text1"/>
          <w:sz w:val="32"/>
          <w:szCs w:val="32"/>
          <w:highlight w:val="none"/>
          <w14:textFill>
            <w14:solidFill>
              <w14:schemeClr w14:val="tx1"/>
            </w14:solidFill>
          </w14:textFill>
        </w:rPr>
        <w:t>十、</w:t>
      </w:r>
      <w:r>
        <w:rPr>
          <w:rFonts w:hint="eastAsia" w:ascii="黑体" w:hAnsi="黑体" w:eastAsia="黑体" w:cstheme="majorBidi"/>
          <w:bCs/>
          <w:color w:val="000000" w:themeColor="text1"/>
          <w:sz w:val="32"/>
          <w:szCs w:val="32"/>
          <w:highlight w:val="none"/>
          <w:lang w:val="en-US" w:eastAsia="zh-CN"/>
          <w14:textFill>
            <w14:solidFill>
              <w14:schemeClr w14:val="tx1"/>
            </w14:solidFill>
          </w14:textFill>
        </w:rPr>
        <w:t>核准</w:t>
      </w:r>
      <w:r>
        <w:rPr>
          <w:rFonts w:hint="eastAsia" w:ascii="黑体" w:hAnsi="黑体" w:eastAsia="黑体" w:cstheme="majorBidi"/>
          <w:bCs/>
          <w:color w:val="000000" w:themeColor="text1"/>
          <w:sz w:val="32"/>
          <w:szCs w:val="32"/>
          <w:highlight w:val="none"/>
          <w14:textFill>
            <w14:solidFill>
              <w14:schemeClr w14:val="tx1"/>
            </w14:solidFill>
          </w14:textFill>
        </w:rPr>
        <w:t>时限</w:t>
      </w:r>
    </w:p>
    <w:p>
      <w:pPr>
        <w:pageBreakBefore w:val="0"/>
        <w:kinsoku/>
        <w:overflowPunct/>
        <w:topLinePunct w:val="0"/>
        <w:autoSpaceDN/>
        <w:bidi w:val="0"/>
        <w:spacing w:line="560" w:lineRule="exact"/>
        <w:ind w:left="0" w:leftChars="0" w:right="0" w:firstLine="640" w:firstLineChars="200"/>
        <w:jc w:val="both"/>
        <w:textAlignment w:val="auto"/>
        <w:outlineLvl w:val="0"/>
        <w:rPr>
          <w:rFonts w:hint="eastAsia" w:ascii="仿宋_GB2312" w:eastAsia="仿宋_GB2312" w:cs="Times New Roman"/>
          <w:bCs/>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Cs/>
          <w:color w:val="000000" w:themeColor="text1"/>
          <w:sz w:val="32"/>
          <w:szCs w:val="32"/>
          <w:highlight w:val="none"/>
          <w14:textFill>
            <w14:solidFill>
              <w14:schemeClr w14:val="tx1"/>
            </w14:solidFill>
          </w14:textFill>
        </w:rPr>
        <w:t>集中申报，</w:t>
      </w:r>
      <w:r>
        <w:rPr>
          <w:rFonts w:hint="eastAsia" w:ascii="仿宋_GB2312" w:eastAsia="仿宋_GB2312" w:cs="Times New Roman"/>
          <w:bCs/>
          <w:color w:val="000000" w:themeColor="text1"/>
          <w:sz w:val="32"/>
          <w:szCs w:val="32"/>
          <w:highlight w:val="none"/>
          <w:lang w:eastAsia="zh-CN"/>
          <w14:textFill>
            <w14:solidFill>
              <w14:schemeClr w14:val="tx1"/>
            </w14:solidFill>
          </w14:textFill>
        </w:rPr>
        <w:t>自受理之日起</w:t>
      </w:r>
      <w:r>
        <w:rPr>
          <w:rFonts w:hint="eastAsia" w:ascii="仿宋_GB2312" w:eastAsia="仿宋_GB2312" w:cs="Times New Roman"/>
          <w:bCs/>
          <w:color w:val="000000" w:themeColor="text1"/>
          <w:sz w:val="32"/>
          <w:szCs w:val="32"/>
          <w:highlight w:val="none"/>
          <w:lang w:val="en-US" w:eastAsia="zh-CN"/>
          <w14:textFill>
            <w14:solidFill>
              <w14:schemeClr w14:val="tx1"/>
            </w14:solidFill>
          </w14:textFill>
        </w:rPr>
        <w:t>90个工作日（不含特殊程序时间）。</w:t>
      </w:r>
    </w:p>
    <w:p>
      <w:pPr>
        <w:pageBreakBefore w:val="0"/>
        <w:kinsoku/>
        <w:overflowPunct/>
        <w:topLinePunct w:val="0"/>
        <w:autoSpaceDN/>
        <w:bidi w:val="0"/>
        <w:adjustRightInd w:val="0"/>
        <w:snapToGrid w:val="0"/>
        <w:spacing w:line="560" w:lineRule="exact"/>
        <w:ind w:left="0" w:leftChars="0" w:right="0" w:firstLine="640" w:firstLineChars="200"/>
        <w:jc w:val="both"/>
        <w:textAlignment w:val="auto"/>
        <w:outlineLvl w:val="0"/>
        <w:rPr>
          <w:rFonts w:hint="default" w:ascii="黑体" w:hAnsi="黑体" w:eastAsia="黑体" w:cstheme="majorBidi"/>
          <w:bCs/>
          <w:color w:val="000000" w:themeColor="text1"/>
          <w:sz w:val="32"/>
          <w:szCs w:val="32"/>
          <w:highlight w:val="none"/>
          <w:lang w:val="en-US" w:eastAsia="zh-CN"/>
          <w14:textFill>
            <w14:solidFill>
              <w14:schemeClr w14:val="tx1"/>
            </w14:solidFill>
          </w14:textFill>
        </w:rPr>
      </w:pPr>
      <w:r>
        <w:rPr>
          <w:rFonts w:hint="eastAsia" w:ascii="黑体" w:hAnsi="黑体" w:eastAsia="黑体" w:cstheme="majorBidi"/>
          <w:bCs/>
          <w:color w:val="000000" w:themeColor="text1"/>
          <w:sz w:val="32"/>
          <w:szCs w:val="32"/>
          <w:highlight w:val="none"/>
          <w14:textFill>
            <w14:solidFill>
              <w14:schemeClr w14:val="tx1"/>
            </w14:solidFill>
          </w14:textFill>
        </w:rPr>
        <w:t>十一、</w:t>
      </w:r>
      <w:r>
        <w:rPr>
          <w:rFonts w:hint="eastAsia" w:ascii="黑体" w:hAnsi="黑体" w:eastAsia="黑体" w:cstheme="majorBidi"/>
          <w:bCs/>
          <w:color w:val="000000" w:themeColor="text1"/>
          <w:sz w:val="32"/>
          <w:szCs w:val="32"/>
          <w:highlight w:val="none"/>
          <w:lang w:val="en-US" w:eastAsia="zh-CN"/>
          <w14:textFill>
            <w14:solidFill>
              <w14:schemeClr w14:val="tx1"/>
            </w14:solidFill>
          </w14:textFill>
        </w:rPr>
        <w:t>核准结果</w:t>
      </w:r>
      <w:r>
        <w:rPr>
          <w:rFonts w:hint="eastAsia" w:ascii="黑体" w:hAnsi="黑体" w:eastAsia="黑体" w:cstheme="majorBidi"/>
          <w:bCs/>
          <w:color w:val="000000" w:themeColor="text1"/>
          <w:sz w:val="32"/>
          <w:szCs w:val="32"/>
          <w:highlight w:val="none"/>
          <w14:textFill>
            <w14:solidFill>
              <w14:schemeClr w14:val="tx1"/>
            </w14:solidFill>
          </w14:textFill>
        </w:rPr>
        <w:t>及有效期限</w:t>
      </w:r>
    </w:p>
    <w:p>
      <w:pPr>
        <w:pageBreakBefore w:val="0"/>
        <w:kinsoku/>
        <w:overflowPunct/>
        <w:topLinePunct w:val="0"/>
        <w:autoSpaceDE w:val="0"/>
        <w:autoSpaceDN/>
        <w:bidi w:val="0"/>
        <w:spacing w:line="560" w:lineRule="exact"/>
        <w:ind w:left="0" w:leftChars="0" w:right="0" w:firstLine="640" w:firstLineChars="200"/>
        <w:contextualSpacing/>
        <w:jc w:val="both"/>
        <w:textAlignment w:val="auto"/>
        <w:rPr>
          <w:rFonts w:hint="default" w:ascii="仿宋_GB2312" w:hAnsi="仿宋" w:eastAsia="仿宋_GB2312" w:cs="宋体"/>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z w:val="32"/>
          <w:szCs w:val="32"/>
          <w:highlight w:val="none"/>
          <w:lang w:eastAsia="zh-CN"/>
          <w14:textFill>
            <w14:solidFill>
              <w14:schemeClr w14:val="tx1"/>
            </w14:solidFill>
          </w14:textFill>
        </w:rPr>
        <w:t>核准结果：深圳</w:t>
      </w:r>
      <w:r>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t>市</w:t>
      </w:r>
      <w:r>
        <w:rPr>
          <w:rFonts w:hint="eastAsia" w:ascii="仿宋_GB2312" w:hAnsi="仿宋" w:eastAsia="仿宋_GB2312" w:cs="宋体"/>
          <w:color w:val="000000" w:themeColor="text1"/>
          <w:sz w:val="32"/>
          <w:szCs w:val="32"/>
          <w:highlight w:val="none"/>
          <w14:textFill>
            <w14:solidFill>
              <w14:schemeClr w14:val="tx1"/>
            </w14:solidFill>
          </w14:textFill>
        </w:rPr>
        <w:t>政务服务和数据管理局关于</w:t>
      </w:r>
      <w:r>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t>2025年深圳市人工智能语料券专项资金发放方案</w:t>
      </w:r>
      <w:r>
        <w:rPr>
          <w:rFonts w:hint="eastAsia" w:ascii="仿宋_GB2312" w:hAnsi="仿宋" w:eastAsia="仿宋_GB2312" w:cs="宋体"/>
          <w:color w:val="000000" w:themeColor="text1"/>
          <w:sz w:val="32"/>
          <w:szCs w:val="32"/>
          <w:highlight w:val="none"/>
          <w14:textFill>
            <w14:solidFill>
              <w14:schemeClr w14:val="tx1"/>
            </w14:solidFill>
          </w14:textFill>
        </w:rPr>
        <w:t>的</w:t>
      </w:r>
      <w:r>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t>公示。</w:t>
      </w:r>
    </w:p>
    <w:p>
      <w:pPr>
        <w:pageBreakBefore w:val="0"/>
        <w:kinsoku/>
        <w:overflowPunct/>
        <w:topLinePunct w:val="0"/>
        <w:autoSpaceDE w:val="0"/>
        <w:autoSpaceDN/>
        <w:bidi w:val="0"/>
        <w:spacing w:line="560" w:lineRule="exact"/>
        <w:ind w:left="0" w:leftChars="0" w:right="0" w:firstLine="640" w:firstLineChars="200"/>
        <w:contextualSpacing/>
        <w:jc w:val="both"/>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z w:val="32"/>
          <w:szCs w:val="32"/>
          <w:highlight w:val="none"/>
          <w14:textFill>
            <w14:solidFill>
              <w14:schemeClr w14:val="tx1"/>
            </w14:solidFill>
          </w14:textFill>
        </w:rPr>
        <w:t>有效期限：</w:t>
      </w:r>
      <w:r>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t>申报企业应在收到核准文件之日起30日内，按通知规定，携带相关资料到深圳市</w:t>
      </w:r>
      <w:r>
        <w:rPr>
          <w:rFonts w:hint="eastAsia" w:ascii="仿宋_GB2312" w:hAnsi="仿宋" w:eastAsia="仿宋_GB2312" w:cs="宋体"/>
          <w:color w:val="000000" w:themeColor="text1"/>
          <w:sz w:val="32"/>
          <w:szCs w:val="32"/>
          <w:highlight w:val="none"/>
          <w14:textFill>
            <w14:solidFill>
              <w14:schemeClr w14:val="tx1"/>
            </w14:solidFill>
          </w14:textFill>
        </w:rPr>
        <w:t>政务服务和数据管理局</w:t>
      </w:r>
      <w:r>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t>办理资金拨付手续。</w:t>
      </w:r>
    </w:p>
    <w:p>
      <w:pPr>
        <w:pageBreakBefore w:val="0"/>
        <w:kinsoku/>
        <w:overflowPunct/>
        <w:topLinePunct w:val="0"/>
        <w:autoSpaceDN/>
        <w:bidi w:val="0"/>
        <w:adjustRightInd w:val="0"/>
        <w:snapToGrid w:val="0"/>
        <w:spacing w:line="560" w:lineRule="exact"/>
        <w:ind w:left="0" w:leftChars="0" w:right="0" w:firstLine="640" w:firstLineChars="200"/>
        <w:jc w:val="both"/>
        <w:textAlignment w:val="auto"/>
        <w:rPr>
          <w:rFonts w:hint="default" w:ascii="黑体" w:hAnsi="黑体" w:eastAsia="黑体" w:cstheme="majorBidi"/>
          <w:bCs/>
          <w:color w:val="000000" w:themeColor="text1"/>
          <w:sz w:val="32"/>
          <w:szCs w:val="32"/>
          <w:highlight w:val="none"/>
          <w:lang w:val="en-US" w:eastAsia="zh-CN"/>
          <w14:textFill>
            <w14:solidFill>
              <w14:schemeClr w14:val="tx1"/>
            </w14:solidFill>
          </w14:textFill>
        </w:rPr>
      </w:pPr>
      <w:r>
        <w:rPr>
          <w:rFonts w:hint="eastAsia" w:ascii="黑体" w:hAnsi="黑体" w:eastAsia="黑体" w:cstheme="majorBidi"/>
          <w:bCs/>
          <w:color w:val="000000" w:themeColor="text1"/>
          <w:sz w:val="32"/>
          <w:szCs w:val="32"/>
          <w:highlight w:val="none"/>
          <w14:textFill>
            <w14:solidFill>
              <w14:schemeClr w14:val="tx1"/>
            </w14:solidFill>
          </w14:textFill>
        </w:rPr>
        <w:t>十二、证件的法律效力</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申请人凭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核准</w:t>
      </w:r>
      <w:r>
        <w:rPr>
          <w:rFonts w:hint="eastAsia" w:ascii="仿宋_GB2312" w:hAnsi="仿宋_GB2312" w:eastAsia="仿宋_GB2312" w:cs="仿宋_GB2312"/>
          <w:color w:val="000000" w:themeColor="text1"/>
          <w:sz w:val="32"/>
          <w:szCs w:val="32"/>
          <w:highlight w:val="none"/>
          <w14:textFill>
            <w14:solidFill>
              <w14:schemeClr w14:val="tx1"/>
            </w14:solidFill>
          </w14:textFill>
        </w:rPr>
        <w:t>文件获得专项资金资助。</w:t>
      </w:r>
    </w:p>
    <w:p>
      <w:pPr>
        <w:pageBreakBefore w:val="0"/>
        <w:kinsoku/>
        <w:overflowPunct/>
        <w:topLinePunct w:val="0"/>
        <w:autoSpaceDN/>
        <w:bidi w:val="0"/>
        <w:adjustRightInd w:val="0"/>
        <w:snapToGrid w:val="0"/>
        <w:spacing w:line="560" w:lineRule="exact"/>
        <w:ind w:left="0" w:leftChars="0" w:right="0" w:firstLine="640" w:firstLineChars="200"/>
        <w:jc w:val="both"/>
        <w:textAlignment w:val="auto"/>
        <w:outlineLvl w:val="0"/>
        <w:rPr>
          <w:rFonts w:ascii="黑体" w:hAnsi="黑体" w:eastAsia="黑体" w:cstheme="majorBidi"/>
          <w:bCs/>
          <w:color w:val="000000" w:themeColor="text1"/>
          <w:sz w:val="32"/>
          <w:szCs w:val="32"/>
          <w:highlight w:val="none"/>
          <w14:textFill>
            <w14:solidFill>
              <w14:schemeClr w14:val="tx1"/>
            </w14:solidFill>
          </w14:textFill>
        </w:rPr>
      </w:pPr>
      <w:r>
        <w:rPr>
          <w:rFonts w:hint="eastAsia" w:ascii="黑体" w:hAnsi="黑体" w:eastAsia="黑体" w:cstheme="majorBidi"/>
          <w:bCs/>
          <w:color w:val="000000" w:themeColor="text1"/>
          <w:sz w:val="32"/>
          <w:szCs w:val="32"/>
          <w:highlight w:val="none"/>
          <w14:textFill>
            <w14:solidFill>
              <w14:schemeClr w14:val="tx1"/>
            </w14:solidFill>
          </w14:textFill>
        </w:rPr>
        <w:t>十三、收费</w:t>
      </w:r>
    </w:p>
    <w:p>
      <w:pPr>
        <w:pageBreakBefore w:val="0"/>
        <w:kinsoku/>
        <w:overflowPunct/>
        <w:topLinePunct w:val="0"/>
        <w:autoSpaceDN/>
        <w:bidi w:val="0"/>
        <w:spacing w:line="560" w:lineRule="exact"/>
        <w:ind w:left="0" w:leftChars="0" w:right="0" w:firstLine="640" w:firstLineChars="200"/>
        <w:jc w:val="both"/>
        <w:textAlignment w:val="auto"/>
        <w:outlineLvl w:val="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无。</w:t>
      </w:r>
    </w:p>
    <w:p>
      <w:pPr>
        <w:pageBreakBefore w:val="0"/>
        <w:kinsoku/>
        <w:overflowPunct/>
        <w:topLinePunct w:val="0"/>
        <w:autoSpaceDN/>
        <w:bidi w:val="0"/>
        <w:adjustRightInd w:val="0"/>
        <w:snapToGrid w:val="0"/>
        <w:spacing w:line="560" w:lineRule="exact"/>
        <w:ind w:left="0" w:leftChars="0" w:right="0" w:firstLine="640" w:firstLineChars="200"/>
        <w:jc w:val="both"/>
        <w:textAlignment w:val="auto"/>
        <w:outlineLvl w:val="0"/>
        <w:rPr>
          <w:rFonts w:ascii="黑体" w:hAnsi="黑体" w:eastAsia="黑体" w:cstheme="majorBidi"/>
          <w:bCs/>
          <w:color w:val="000000" w:themeColor="text1"/>
          <w:sz w:val="32"/>
          <w:szCs w:val="32"/>
          <w:highlight w:val="none"/>
          <w14:textFill>
            <w14:solidFill>
              <w14:schemeClr w14:val="tx1"/>
            </w14:solidFill>
          </w14:textFill>
        </w:rPr>
      </w:pPr>
      <w:r>
        <w:rPr>
          <w:rFonts w:hint="eastAsia" w:ascii="黑体" w:hAnsi="黑体" w:eastAsia="黑体" w:cstheme="majorBidi"/>
          <w:bCs/>
          <w:color w:val="000000" w:themeColor="text1"/>
          <w:sz w:val="32"/>
          <w:szCs w:val="32"/>
          <w:highlight w:val="none"/>
          <w14:textFill>
            <w14:solidFill>
              <w14:schemeClr w14:val="tx1"/>
            </w14:solidFill>
          </w14:textFill>
        </w:rPr>
        <w:t>十四、年审或年检</w:t>
      </w:r>
    </w:p>
    <w:p>
      <w:pPr>
        <w:pageBreakBefore w:val="0"/>
        <w:kinsoku/>
        <w:overflowPunct/>
        <w:topLinePunct w:val="0"/>
        <w:autoSpaceDN/>
        <w:bidi w:val="0"/>
        <w:spacing w:line="560" w:lineRule="exact"/>
        <w:ind w:left="0" w:leftChars="0" w:right="0" w:firstLine="640" w:firstLineChars="200"/>
        <w:jc w:val="both"/>
        <w:textAlignment w:val="auto"/>
        <w:outlineLvl w:val="0"/>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无年审。</w:t>
      </w:r>
    </w:p>
    <w:p>
      <w:pPr>
        <w:pageBreakBefore w:val="0"/>
        <w:numPr>
          <w:ilvl w:val="0"/>
          <w:numId w:val="0"/>
        </w:numPr>
        <w:kinsoku/>
        <w:overflowPunct/>
        <w:topLinePunct w:val="0"/>
        <w:autoSpaceDN/>
        <w:bidi w:val="0"/>
        <w:adjustRightInd w:val="0"/>
        <w:snapToGrid w:val="0"/>
        <w:spacing w:line="560" w:lineRule="exact"/>
        <w:ind w:leftChars="0" w:right="0" w:rightChars="0" w:firstLine="640" w:firstLineChars="200"/>
        <w:jc w:val="both"/>
        <w:textAlignment w:val="auto"/>
        <w:rPr>
          <w:rFonts w:ascii="黑体" w:hAnsi="黑体" w:eastAsia="黑体" w:cstheme="majorBidi"/>
          <w:bCs/>
          <w:color w:val="000000" w:themeColor="text1"/>
          <w:sz w:val="32"/>
          <w:szCs w:val="32"/>
          <w:highlight w:val="none"/>
          <w14:textFill>
            <w14:solidFill>
              <w14:schemeClr w14:val="tx1"/>
            </w14:solidFill>
          </w14:textFill>
        </w:rPr>
      </w:pPr>
      <w:r>
        <w:rPr>
          <w:rFonts w:hint="eastAsia" w:ascii="黑体" w:hAnsi="黑体" w:eastAsia="黑体" w:cstheme="majorBidi"/>
          <w:bCs/>
          <w:color w:val="000000" w:themeColor="text1"/>
          <w:sz w:val="32"/>
          <w:szCs w:val="32"/>
          <w:highlight w:val="none"/>
          <w:lang w:eastAsia="zh-CN"/>
          <w14:textFill>
            <w14:solidFill>
              <w14:schemeClr w14:val="tx1"/>
            </w14:solidFill>
          </w14:textFill>
        </w:rPr>
        <w:t>十五、</w:t>
      </w:r>
      <w:r>
        <w:rPr>
          <w:rFonts w:hint="eastAsia" w:ascii="黑体" w:hAnsi="黑体" w:eastAsia="黑体" w:cstheme="majorBidi"/>
          <w:bCs/>
          <w:color w:val="000000" w:themeColor="text1"/>
          <w:sz w:val="32"/>
          <w:szCs w:val="32"/>
          <w:highlight w:val="none"/>
          <w14:textFill>
            <w14:solidFill>
              <w14:schemeClr w14:val="tx1"/>
            </w14:solidFill>
          </w14:textFill>
        </w:rPr>
        <w:t>注意事项</w:t>
      </w:r>
    </w:p>
    <w:p>
      <w:pPr>
        <w:pageBreakBefore w:val="0"/>
        <w:kinsoku/>
        <w:wordWrap w:val="0"/>
        <w:overflowPunct/>
        <w:topLinePunct w:val="0"/>
        <w:autoSpaceDE w:val="0"/>
        <w:autoSpaceDN/>
        <w:bidi w:val="0"/>
        <w:spacing w:line="560" w:lineRule="exact"/>
        <w:ind w:left="0" w:leftChars="0" w:right="0" w:firstLine="640" w:firstLineChars="200"/>
        <w:contextualSpacing/>
        <w:jc w:val="both"/>
        <w:textAlignment w:val="auto"/>
        <w:rPr>
          <w:rFonts w:hint="default" w:ascii="仿宋_GB2312" w:hAnsi="仿宋" w:eastAsia="仿宋_GB2312" w:cs="宋体"/>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t>我局从未委托任何机构或个人代理本专项资金计划的项目申报事宜，</w:t>
      </w:r>
      <w:r>
        <w:rPr>
          <w:rFonts w:hint="eastAsia" w:ascii="仿宋_GB2312" w:hAnsi="仿宋" w:eastAsia="仿宋_GB2312" w:cs="宋体"/>
          <w:strike w:val="0"/>
          <w:dstrike w:val="0"/>
          <w:color w:val="000000" w:themeColor="text1"/>
          <w:sz w:val="32"/>
          <w:szCs w:val="32"/>
          <w:highlight w:val="none"/>
          <w:lang w:val="en-US" w:eastAsia="zh-CN"/>
          <w14:textFill>
            <w14:solidFill>
              <w14:schemeClr w14:val="tx1"/>
            </w14:solidFill>
          </w14:textFill>
        </w:rPr>
        <w:t>申报企业</w:t>
      </w:r>
      <w:r>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t>不得通过向参与资金审核工作人员输送利益，违规违法提前获取审核信息。我局将严格按照标准和程序受理申请，不收取任何费用。如有任何机构或个人假借我局工作人员名义向企业收取费用的，请知情者向我局举报。</w:t>
      </w:r>
    </w:p>
    <w:p>
      <w:pPr>
        <w:pageBreakBefore w:val="0"/>
        <w:kinsoku/>
        <w:overflowPunct/>
        <w:topLinePunct w:val="0"/>
        <w:autoSpaceDN/>
        <w:bidi w:val="0"/>
        <w:spacing w:before="0" w:beforeAutospacing="0" w:afterAutospacing="0" w:line="560" w:lineRule="exact"/>
        <w:ind w:left="0" w:leftChars="0" w:right="0" w:firstLine="640" w:firstLineChars="200"/>
        <w:jc w:val="both"/>
        <w:textAlignment w:val="auto"/>
        <w:rPr>
          <w:rFonts w:hint="default" w:ascii="Times New Roman" w:hAnsi="Times New Roman" w:eastAsia="宋体" w:cs="Times New Roman"/>
          <w:color w:val="000000" w:themeColor="text1"/>
          <w:kern w:val="0"/>
          <w:sz w:val="18"/>
          <w:szCs w:val="20"/>
          <w:highlight w:val="none"/>
          <w:lang w:val="en-US" w:eastAsia="zh-CN" w:bidi="ar-SA"/>
          <w14:textFill>
            <w14:solidFill>
              <w14:schemeClr w14:val="tx1"/>
            </w14:solidFill>
          </w14:textFill>
        </w:rPr>
      </w:pPr>
      <w:r>
        <w:rPr>
          <w:rFonts w:hint="eastAsia" w:ascii="仿宋_GB2312" w:hAnsi="仿宋" w:eastAsia="仿宋_GB2312" w:cs="宋体"/>
          <w:i w:val="0"/>
          <w:caps w:val="0"/>
          <w:color w:val="000000" w:themeColor="text1"/>
          <w:spacing w:val="0"/>
          <w:sz w:val="32"/>
          <w:szCs w:val="32"/>
          <w:highlight w:val="none"/>
          <w:shd w:val="clear" w:color="auto" w:fill="FFFFFF"/>
          <w:lang w:val="en-US" w:eastAsia="zh-CN"/>
          <w14:textFill>
            <w14:solidFill>
              <w14:schemeClr w14:val="tx1"/>
            </w14:solidFill>
          </w14:textFill>
        </w:rPr>
        <w:t>咨询</w:t>
      </w:r>
      <w:r>
        <w:rPr>
          <w:rFonts w:hint="eastAsia" w:ascii="仿宋_GB2312" w:hAnsi="仿宋" w:eastAsia="仿宋_GB2312" w:cs="宋体"/>
          <w:i w:val="0"/>
          <w:caps w:val="0"/>
          <w:color w:val="000000" w:themeColor="text1"/>
          <w:spacing w:val="0"/>
          <w:sz w:val="32"/>
          <w:szCs w:val="32"/>
          <w:highlight w:val="none"/>
          <w:shd w:val="clear" w:color="auto" w:fill="FFFFFF"/>
          <w14:textFill>
            <w14:solidFill>
              <w14:schemeClr w14:val="tx1"/>
            </w14:solidFill>
          </w14:textFill>
        </w:rPr>
        <w:t>投诉</w:t>
      </w:r>
      <w:r>
        <w:rPr>
          <w:rFonts w:hint="eastAsia" w:ascii="仿宋_GB2312" w:hAnsi="仿宋" w:eastAsia="仿宋_GB2312" w:cs="宋体"/>
          <w:i w:val="0"/>
          <w:caps w:val="0"/>
          <w:color w:val="000000" w:themeColor="text1"/>
          <w:spacing w:val="0"/>
          <w:sz w:val="32"/>
          <w:szCs w:val="32"/>
          <w:highlight w:val="none"/>
          <w:shd w:val="clear" w:color="auto" w:fill="FFFFFF"/>
          <w:lang w:val="en-US" w:eastAsia="zh-CN"/>
          <w14:textFill>
            <w14:solidFill>
              <w14:schemeClr w14:val="tx1"/>
            </w14:solidFill>
          </w14:textFill>
        </w:rPr>
        <w:t>邮箱：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szsrgznylq@sz.gov.cn</w:t>
      </w:r>
    </w:p>
    <w:p>
      <w:pPr>
        <w:pageBreakBefore w:val="0"/>
        <w:kinsoku/>
        <w:wordWrap w:val="0"/>
        <w:overflowPunct/>
        <w:topLinePunct w:val="0"/>
        <w:autoSpaceDE w:val="0"/>
        <w:autoSpaceDN/>
        <w:bidi w:val="0"/>
        <w:spacing w:line="560" w:lineRule="exact"/>
        <w:ind w:right="0"/>
        <w:contextualSpacing/>
        <w:jc w:val="both"/>
        <w:textAlignment w:val="auto"/>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pPr>
    </w:p>
    <w:p>
      <w:pPr>
        <w:pageBreakBefore w:val="0"/>
        <w:kinsoku/>
        <w:wordWrap w:val="0"/>
        <w:overflowPunct/>
        <w:topLinePunct w:val="0"/>
        <w:autoSpaceDE w:val="0"/>
        <w:autoSpaceDN/>
        <w:bidi w:val="0"/>
        <w:spacing w:line="560" w:lineRule="exact"/>
        <w:ind w:left="1598" w:leftChars="304" w:right="0" w:hanging="960" w:hangingChars="300"/>
        <w:contextualSpacing/>
        <w:jc w:val="both"/>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p>
    <w:sectPr>
      <w:footerReference r:id="rId3"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1"/>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-347345</wp:posOffset>
              </wp:positionV>
              <wp:extent cx="1828800" cy="584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584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7.35pt;height:46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pODLNcAAAAHAQAADwAAAAAAAAAB&#10;ACAAAAA4AAAAZHJzL2Rvd25yZXYueG1sUEsBAhQAFAAAAAgAh07iQIKCOTQ0AgAAYAQAAA4AAAAA&#10;AAAAAQAgAAAAPAEAAGRycy9lMm9Eb2MueG1sUEsFBgAAAAAGAAYAWQEAAOIFAAAAAA==&#10;">
              <v:fill on="f" focussize="0,0"/>
              <v:stroke on="f" weight="0.5pt"/>
              <v:imagedata o:title=""/>
              <o:lock v:ext="edit" aspectratio="f"/>
              <v:textbox inset="0mm,0mm,0mm,0mm">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3YTU3MjE5OTJjMmFhYmFmNDU5YjJiZjY2NWMxYzUifQ=="/>
  </w:docVars>
  <w:rsids>
    <w:rsidRoot w:val="00172A27"/>
    <w:rsid w:val="00014139"/>
    <w:rsid w:val="00031704"/>
    <w:rsid w:val="00050C08"/>
    <w:rsid w:val="00057C22"/>
    <w:rsid w:val="00093A5B"/>
    <w:rsid w:val="000A73CD"/>
    <w:rsid w:val="000B4D0E"/>
    <w:rsid w:val="000D7465"/>
    <w:rsid w:val="0011790D"/>
    <w:rsid w:val="0013304B"/>
    <w:rsid w:val="00163DD1"/>
    <w:rsid w:val="00170AAE"/>
    <w:rsid w:val="00172A27"/>
    <w:rsid w:val="002618E6"/>
    <w:rsid w:val="002656AB"/>
    <w:rsid w:val="00267455"/>
    <w:rsid w:val="002B5665"/>
    <w:rsid w:val="002F4E09"/>
    <w:rsid w:val="002F5EEF"/>
    <w:rsid w:val="00301A8D"/>
    <w:rsid w:val="00315639"/>
    <w:rsid w:val="00333E35"/>
    <w:rsid w:val="00356651"/>
    <w:rsid w:val="0037319A"/>
    <w:rsid w:val="00377E0C"/>
    <w:rsid w:val="00380AAD"/>
    <w:rsid w:val="0040795A"/>
    <w:rsid w:val="00433F62"/>
    <w:rsid w:val="00451A83"/>
    <w:rsid w:val="004C0E57"/>
    <w:rsid w:val="004C7100"/>
    <w:rsid w:val="004C7DBE"/>
    <w:rsid w:val="004E10E1"/>
    <w:rsid w:val="0052293B"/>
    <w:rsid w:val="00523B17"/>
    <w:rsid w:val="00572124"/>
    <w:rsid w:val="0057363D"/>
    <w:rsid w:val="005E030D"/>
    <w:rsid w:val="00610E13"/>
    <w:rsid w:val="00614B62"/>
    <w:rsid w:val="00671E25"/>
    <w:rsid w:val="006C429A"/>
    <w:rsid w:val="006F0B95"/>
    <w:rsid w:val="00710964"/>
    <w:rsid w:val="00713A19"/>
    <w:rsid w:val="00717582"/>
    <w:rsid w:val="00734D2C"/>
    <w:rsid w:val="007737A7"/>
    <w:rsid w:val="007B398D"/>
    <w:rsid w:val="007E11CF"/>
    <w:rsid w:val="0081346D"/>
    <w:rsid w:val="00852EB5"/>
    <w:rsid w:val="008616AA"/>
    <w:rsid w:val="008729B9"/>
    <w:rsid w:val="008B1300"/>
    <w:rsid w:val="008C3584"/>
    <w:rsid w:val="008F335C"/>
    <w:rsid w:val="00911189"/>
    <w:rsid w:val="00922A95"/>
    <w:rsid w:val="009B33C2"/>
    <w:rsid w:val="009D74A9"/>
    <w:rsid w:val="00A70A95"/>
    <w:rsid w:val="00A911DB"/>
    <w:rsid w:val="00A94F20"/>
    <w:rsid w:val="00AA6D29"/>
    <w:rsid w:val="00AB034C"/>
    <w:rsid w:val="00AB7F0D"/>
    <w:rsid w:val="00AC4BEB"/>
    <w:rsid w:val="00AC5D5D"/>
    <w:rsid w:val="00B01C83"/>
    <w:rsid w:val="00B31532"/>
    <w:rsid w:val="00B53702"/>
    <w:rsid w:val="00BA11D3"/>
    <w:rsid w:val="00BB3ABF"/>
    <w:rsid w:val="00BE4150"/>
    <w:rsid w:val="00BE79F7"/>
    <w:rsid w:val="00C0271A"/>
    <w:rsid w:val="00C420C4"/>
    <w:rsid w:val="00C632DF"/>
    <w:rsid w:val="00CC04D6"/>
    <w:rsid w:val="00D41369"/>
    <w:rsid w:val="00D67FB9"/>
    <w:rsid w:val="00D76742"/>
    <w:rsid w:val="00D9757C"/>
    <w:rsid w:val="00E04746"/>
    <w:rsid w:val="00E95B77"/>
    <w:rsid w:val="00EC4C88"/>
    <w:rsid w:val="00F4230C"/>
    <w:rsid w:val="00F75F51"/>
    <w:rsid w:val="00F83B1F"/>
    <w:rsid w:val="00F84451"/>
    <w:rsid w:val="011A24F4"/>
    <w:rsid w:val="017D8CA1"/>
    <w:rsid w:val="021562ED"/>
    <w:rsid w:val="02672B61"/>
    <w:rsid w:val="02785724"/>
    <w:rsid w:val="028E151F"/>
    <w:rsid w:val="02A67A18"/>
    <w:rsid w:val="0310419A"/>
    <w:rsid w:val="033E6015"/>
    <w:rsid w:val="03804FDC"/>
    <w:rsid w:val="03D52F22"/>
    <w:rsid w:val="04D52D6B"/>
    <w:rsid w:val="050E236F"/>
    <w:rsid w:val="06093262"/>
    <w:rsid w:val="060A0E5F"/>
    <w:rsid w:val="06894D00"/>
    <w:rsid w:val="06A43013"/>
    <w:rsid w:val="06C632A9"/>
    <w:rsid w:val="06D870D9"/>
    <w:rsid w:val="076171CF"/>
    <w:rsid w:val="07EB7066"/>
    <w:rsid w:val="08011BC5"/>
    <w:rsid w:val="08DE0A4A"/>
    <w:rsid w:val="08F33D56"/>
    <w:rsid w:val="09824426"/>
    <w:rsid w:val="0B4E34C6"/>
    <w:rsid w:val="0BBA0B5B"/>
    <w:rsid w:val="0BD517F7"/>
    <w:rsid w:val="0BEAC075"/>
    <w:rsid w:val="0C4128BB"/>
    <w:rsid w:val="0C567670"/>
    <w:rsid w:val="0C5B44D7"/>
    <w:rsid w:val="0C882A07"/>
    <w:rsid w:val="0C96619C"/>
    <w:rsid w:val="0CB57410"/>
    <w:rsid w:val="0CC16797"/>
    <w:rsid w:val="0CD30126"/>
    <w:rsid w:val="0D2564A8"/>
    <w:rsid w:val="0D3A4540"/>
    <w:rsid w:val="0D6E7E4F"/>
    <w:rsid w:val="0DE112AD"/>
    <w:rsid w:val="0E252908"/>
    <w:rsid w:val="0E4E35B7"/>
    <w:rsid w:val="0EAC189D"/>
    <w:rsid w:val="0FDB5105"/>
    <w:rsid w:val="101C1DE4"/>
    <w:rsid w:val="101D7AFE"/>
    <w:rsid w:val="10F013FA"/>
    <w:rsid w:val="112F5B47"/>
    <w:rsid w:val="117B2B3A"/>
    <w:rsid w:val="121C4227"/>
    <w:rsid w:val="123F74EE"/>
    <w:rsid w:val="12914B93"/>
    <w:rsid w:val="129F0AAB"/>
    <w:rsid w:val="12C26375"/>
    <w:rsid w:val="12F26E2C"/>
    <w:rsid w:val="12FF7C96"/>
    <w:rsid w:val="130761E0"/>
    <w:rsid w:val="136C5762"/>
    <w:rsid w:val="138B7484"/>
    <w:rsid w:val="13BA5B9C"/>
    <w:rsid w:val="13E72709"/>
    <w:rsid w:val="13FA243C"/>
    <w:rsid w:val="14076907"/>
    <w:rsid w:val="149125EE"/>
    <w:rsid w:val="15BF4527"/>
    <w:rsid w:val="16094BB9"/>
    <w:rsid w:val="166C0767"/>
    <w:rsid w:val="16AA358E"/>
    <w:rsid w:val="170B1BE4"/>
    <w:rsid w:val="17913903"/>
    <w:rsid w:val="17D11706"/>
    <w:rsid w:val="18446DA2"/>
    <w:rsid w:val="18EF1355"/>
    <w:rsid w:val="1955083A"/>
    <w:rsid w:val="1A511E55"/>
    <w:rsid w:val="1A633C55"/>
    <w:rsid w:val="1AE36C07"/>
    <w:rsid w:val="1AFC6661"/>
    <w:rsid w:val="1B656056"/>
    <w:rsid w:val="1B6D69BE"/>
    <w:rsid w:val="1B9B5F28"/>
    <w:rsid w:val="1BFB05F9"/>
    <w:rsid w:val="1C116575"/>
    <w:rsid w:val="1C50056B"/>
    <w:rsid w:val="1C5B5A42"/>
    <w:rsid w:val="1CA922FC"/>
    <w:rsid w:val="1CD222EE"/>
    <w:rsid w:val="1D306ECF"/>
    <w:rsid w:val="1D40568D"/>
    <w:rsid w:val="1D5D96AE"/>
    <w:rsid w:val="1D7F0A6F"/>
    <w:rsid w:val="1DE47168"/>
    <w:rsid w:val="1DF77787"/>
    <w:rsid w:val="1E893ED0"/>
    <w:rsid w:val="1EBFD4B5"/>
    <w:rsid w:val="1F16618C"/>
    <w:rsid w:val="1F3B98C7"/>
    <w:rsid w:val="1F6932C1"/>
    <w:rsid w:val="1FAF9B5E"/>
    <w:rsid w:val="1FBDBEFB"/>
    <w:rsid w:val="202A53EE"/>
    <w:rsid w:val="206F7D0E"/>
    <w:rsid w:val="21240AF9"/>
    <w:rsid w:val="214D75A4"/>
    <w:rsid w:val="21D20555"/>
    <w:rsid w:val="22C5630B"/>
    <w:rsid w:val="230403D0"/>
    <w:rsid w:val="242163AC"/>
    <w:rsid w:val="246E3236"/>
    <w:rsid w:val="252C24CE"/>
    <w:rsid w:val="25733DFD"/>
    <w:rsid w:val="25AE3636"/>
    <w:rsid w:val="25B34B41"/>
    <w:rsid w:val="25B54415"/>
    <w:rsid w:val="25E1336D"/>
    <w:rsid w:val="262D1299"/>
    <w:rsid w:val="26500B52"/>
    <w:rsid w:val="26B8CD14"/>
    <w:rsid w:val="275700C1"/>
    <w:rsid w:val="275E5887"/>
    <w:rsid w:val="279564CF"/>
    <w:rsid w:val="27AF7E8C"/>
    <w:rsid w:val="27FB7D77"/>
    <w:rsid w:val="28116976"/>
    <w:rsid w:val="283C5B8C"/>
    <w:rsid w:val="28815666"/>
    <w:rsid w:val="28EB29C4"/>
    <w:rsid w:val="29C40B22"/>
    <w:rsid w:val="29C440B9"/>
    <w:rsid w:val="2AAD1B5F"/>
    <w:rsid w:val="2AD72C13"/>
    <w:rsid w:val="2B395386"/>
    <w:rsid w:val="2B5003C6"/>
    <w:rsid w:val="2BDE5160"/>
    <w:rsid w:val="2C09331F"/>
    <w:rsid w:val="2C5627A4"/>
    <w:rsid w:val="2C5734B4"/>
    <w:rsid w:val="2CCD64E8"/>
    <w:rsid w:val="2D0C4364"/>
    <w:rsid w:val="2D143124"/>
    <w:rsid w:val="2D334CF9"/>
    <w:rsid w:val="2D4846C5"/>
    <w:rsid w:val="2DFD639B"/>
    <w:rsid w:val="2E223520"/>
    <w:rsid w:val="2E8979A2"/>
    <w:rsid w:val="2E954DE4"/>
    <w:rsid w:val="2EA66FF1"/>
    <w:rsid w:val="2F1E7529"/>
    <w:rsid w:val="2F461276"/>
    <w:rsid w:val="2F516105"/>
    <w:rsid w:val="2F6B2D88"/>
    <w:rsid w:val="2F7F2B65"/>
    <w:rsid w:val="2F9F3BC8"/>
    <w:rsid w:val="2FAF59F5"/>
    <w:rsid w:val="2FFFAA64"/>
    <w:rsid w:val="30C35E0F"/>
    <w:rsid w:val="30CB4D2B"/>
    <w:rsid w:val="31195680"/>
    <w:rsid w:val="311F308B"/>
    <w:rsid w:val="31211983"/>
    <w:rsid w:val="31F97D80"/>
    <w:rsid w:val="327EFEFD"/>
    <w:rsid w:val="32935ADE"/>
    <w:rsid w:val="32E657B4"/>
    <w:rsid w:val="331D7A9E"/>
    <w:rsid w:val="334D2131"/>
    <w:rsid w:val="338973EF"/>
    <w:rsid w:val="3433113A"/>
    <w:rsid w:val="34494B92"/>
    <w:rsid w:val="3500494A"/>
    <w:rsid w:val="354B449E"/>
    <w:rsid w:val="35915825"/>
    <w:rsid w:val="359F64F2"/>
    <w:rsid w:val="35E93C67"/>
    <w:rsid w:val="3600792F"/>
    <w:rsid w:val="361E1B63"/>
    <w:rsid w:val="376E3BE8"/>
    <w:rsid w:val="37E87590"/>
    <w:rsid w:val="37FDC0DE"/>
    <w:rsid w:val="38284F1B"/>
    <w:rsid w:val="3833057A"/>
    <w:rsid w:val="387763E2"/>
    <w:rsid w:val="38AA5930"/>
    <w:rsid w:val="38BD1B07"/>
    <w:rsid w:val="394FA3B0"/>
    <w:rsid w:val="395500DD"/>
    <w:rsid w:val="395B1F09"/>
    <w:rsid w:val="39D27502"/>
    <w:rsid w:val="39E76710"/>
    <w:rsid w:val="39EF63D2"/>
    <w:rsid w:val="39F33306"/>
    <w:rsid w:val="39FD8627"/>
    <w:rsid w:val="39FFE575"/>
    <w:rsid w:val="3A2F14BF"/>
    <w:rsid w:val="3A5C0EAC"/>
    <w:rsid w:val="3A6636F5"/>
    <w:rsid w:val="3AE53E5B"/>
    <w:rsid w:val="3B097263"/>
    <w:rsid w:val="3B2929B3"/>
    <w:rsid w:val="3B4756B8"/>
    <w:rsid w:val="3C1E6D10"/>
    <w:rsid w:val="3C1F4E9B"/>
    <w:rsid w:val="3C3F0385"/>
    <w:rsid w:val="3CEFF3DE"/>
    <w:rsid w:val="3D222DB5"/>
    <w:rsid w:val="3D8C17CF"/>
    <w:rsid w:val="3D9D5A63"/>
    <w:rsid w:val="3E2E7003"/>
    <w:rsid w:val="3E3F10C5"/>
    <w:rsid w:val="3E75253C"/>
    <w:rsid w:val="3EA42E21"/>
    <w:rsid w:val="3EDCB97F"/>
    <w:rsid w:val="3EF55E1B"/>
    <w:rsid w:val="3F3471C4"/>
    <w:rsid w:val="3F4D4260"/>
    <w:rsid w:val="3F5A1E47"/>
    <w:rsid w:val="3F6525B0"/>
    <w:rsid w:val="3FA58459"/>
    <w:rsid w:val="3FDB6219"/>
    <w:rsid w:val="3FF1C148"/>
    <w:rsid w:val="3FF33E0C"/>
    <w:rsid w:val="3FFECB07"/>
    <w:rsid w:val="3FFF43B7"/>
    <w:rsid w:val="40291830"/>
    <w:rsid w:val="403A66BE"/>
    <w:rsid w:val="40541E16"/>
    <w:rsid w:val="405C0D34"/>
    <w:rsid w:val="40AD4AAD"/>
    <w:rsid w:val="40D355CB"/>
    <w:rsid w:val="40D7128C"/>
    <w:rsid w:val="416E7E42"/>
    <w:rsid w:val="41792343"/>
    <w:rsid w:val="418A325A"/>
    <w:rsid w:val="42312C1E"/>
    <w:rsid w:val="427D5E63"/>
    <w:rsid w:val="42F17DE3"/>
    <w:rsid w:val="430417B4"/>
    <w:rsid w:val="435E3EE6"/>
    <w:rsid w:val="43620EF0"/>
    <w:rsid w:val="43803E5D"/>
    <w:rsid w:val="43CA332A"/>
    <w:rsid w:val="447F5EC2"/>
    <w:rsid w:val="449621A5"/>
    <w:rsid w:val="45130693"/>
    <w:rsid w:val="45872393"/>
    <w:rsid w:val="462B052A"/>
    <w:rsid w:val="46326F64"/>
    <w:rsid w:val="4648327B"/>
    <w:rsid w:val="46697034"/>
    <w:rsid w:val="468A3E36"/>
    <w:rsid w:val="46FE3D46"/>
    <w:rsid w:val="46FEB10D"/>
    <w:rsid w:val="47024B89"/>
    <w:rsid w:val="472965B9"/>
    <w:rsid w:val="473632F0"/>
    <w:rsid w:val="477FDD06"/>
    <w:rsid w:val="479E3577"/>
    <w:rsid w:val="47D227AD"/>
    <w:rsid w:val="47DFC1D8"/>
    <w:rsid w:val="480A2BFF"/>
    <w:rsid w:val="4828061F"/>
    <w:rsid w:val="488441AE"/>
    <w:rsid w:val="4886618B"/>
    <w:rsid w:val="489D5DB0"/>
    <w:rsid w:val="48D367DD"/>
    <w:rsid w:val="4909142D"/>
    <w:rsid w:val="49520049"/>
    <w:rsid w:val="49A34401"/>
    <w:rsid w:val="4A325785"/>
    <w:rsid w:val="4A405680"/>
    <w:rsid w:val="4A435BE4"/>
    <w:rsid w:val="4A5E657A"/>
    <w:rsid w:val="4A6F0787"/>
    <w:rsid w:val="4AB4263E"/>
    <w:rsid w:val="4B60265A"/>
    <w:rsid w:val="4C327CBE"/>
    <w:rsid w:val="4C464C0E"/>
    <w:rsid w:val="4C4A35E7"/>
    <w:rsid w:val="4CC90623"/>
    <w:rsid w:val="4CE52F83"/>
    <w:rsid w:val="4D0F387A"/>
    <w:rsid w:val="4D3F0217"/>
    <w:rsid w:val="4D600F88"/>
    <w:rsid w:val="4D6D579B"/>
    <w:rsid w:val="4D8E6239"/>
    <w:rsid w:val="4E244E42"/>
    <w:rsid w:val="4E490201"/>
    <w:rsid w:val="4ED072DF"/>
    <w:rsid w:val="4EE334F2"/>
    <w:rsid w:val="4FBF4B7A"/>
    <w:rsid w:val="4FE7D27C"/>
    <w:rsid w:val="4FEF3886"/>
    <w:rsid w:val="4FF5B42A"/>
    <w:rsid w:val="4FFEB741"/>
    <w:rsid w:val="50442587"/>
    <w:rsid w:val="505F23B1"/>
    <w:rsid w:val="50760B0E"/>
    <w:rsid w:val="51275918"/>
    <w:rsid w:val="513DD22D"/>
    <w:rsid w:val="51762A51"/>
    <w:rsid w:val="52857971"/>
    <w:rsid w:val="528C71E3"/>
    <w:rsid w:val="529B019D"/>
    <w:rsid w:val="52AB07CA"/>
    <w:rsid w:val="52F56E59"/>
    <w:rsid w:val="53103DA2"/>
    <w:rsid w:val="5375099E"/>
    <w:rsid w:val="54014AA5"/>
    <w:rsid w:val="540463E4"/>
    <w:rsid w:val="54273E81"/>
    <w:rsid w:val="545777EB"/>
    <w:rsid w:val="545A160A"/>
    <w:rsid w:val="559D1DCE"/>
    <w:rsid w:val="55D3606E"/>
    <w:rsid w:val="55DDC375"/>
    <w:rsid w:val="560451AD"/>
    <w:rsid w:val="56EC543F"/>
    <w:rsid w:val="56FF6B02"/>
    <w:rsid w:val="572A43B4"/>
    <w:rsid w:val="574A6F1D"/>
    <w:rsid w:val="57544F8D"/>
    <w:rsid w:val="57DA5261"/>
    <w:rsid w:val="57F75C3F"/>
    <w:rsid w:val="587B1F79"/>
    <w:rsid w:val="58913FBE"/>
    <w:rsid w:val="589F0117"/>
    <w:rsid w:val="58BA6DF5"/>
    <w:rsid w:val="58F72073"/>
    <w:rsid w:val="590E7F53"/>
    <w:rsid w:val="59374B66"/>
    <w:rsid w:val="59465AA9"/>
    <w:rsid w:val="594B449A"/>
    <w:rsid w:val="59700977"/>
    <w:rsid w:val="5A755946"/>
    <w:rsid w:val="5AAB3051"/>
    <w:rsid w:val="5B0A3421"/>
    <w:rsid w:val="5B1024F7"/>
    <w:rsid w:val="5B70435F"/>
    <w:rsid w:val="5B821A15"/>
    <w:rsid w:val="5B8FDB33"/>
    <w:rsid w:val="5B921F6F"/>
    <w:rsid w:val="5BD17475"/>
    <w:rsid w:val="5BFB22A0"/>
    <w:rsid w:val="5C91458D"/>
    <w:rsid w:val="5CDB6605"/>
    <w:rsid w:val="5D621CD5"/>
    <w:rsid w:val="5D652EA7"/>
    <w:rsid w:val="5D7DAC7D"/>
    <w:rsid w:val="5DF58506"/>
    <w:rsid w:val="5DF94AE0"/>
    <w:rsid w:val="5E97264E"/>
    <w:rsid w:val="5EB271B7"/>
    <w:rsid w:val="5F473529"/>
    <w:rsid w:val="5F5B7E7A"/>
    <w:rsid w:val="5F7EA485"/>
    <w:rsid w:val="5F8A071A"/>
    <w:rsid w:val="5FAD3DEA"/>
    <w:rsid w:val="5FB011CE"/>
    <w:rsid w:val="5FB528A5"/>
    <w:rsid w:val="5FB97521"/>
    <w:rsid w:val="5FDDA6CA"/>
    <w:rsid w:val="5FEE4EFB"/>
    <w:rsid w:val="5FFDA9A2"/>
    <w:rsid w:val="5FFFC10B"/>
    <w:rsid w:val="6048551D"/>
    <w:rsid w:val="6120450A"/>
    <w:rsid w:val="613170F5"/>
    <w:rsid w:val="61442516"/>
    <w:rsid w:val="61625909"/>
    <w:rsid w:val="617A4267"/>
    <w:rsid w:val="62A96FFE"/>
    <w:rsid w:val="62BB0009"/>
    <w:rsid w:val="6368180D"/>
    <w:rsid w:val="64AE4B2A"/>
    <w:rsid w:val="657511B2"/>
    <w:rsid w:val="66561D89"/>
    <w:rsid w:val="669015B7"/>
    <w:rsid w:val="66AF15A1"/>
    <w:rsid w:val="66F10C73"/>
    <w:rsid w:val="674EBD83"/>
    <w:rsid w:val="67D13DDD"/>
    <w:rsid w:val="67DBA2C4"/>
    <w:rsid w:val="67EF27B6"/>
    <w:rsid w:val="67EF34A7"/>
    <w:rsid w:val="67F61085"/>
    <w:rsid w:val="67FF0A30"/>
    <w:rsid w:val="68012F0F"/>
    <w:rsid w:val="680516F5"/>
    <w:rsid w:val="6834790C"/>
    <w:rsid w:val="6842615A"/>
    <w:rsid w:val="68882C02"/>
    <w:rsid w:val="68E21F84"/>
    <w:rsid w:val="68FF42C2"/>
    <w:rsid w:val="6903773C"/>
    <w:rsid w:val="6918420B"/>
    <w:rsid w:val="691F144B"/>
    <w:rsid w:val="692A272E"/>
    <w:rsid w:val="69801C11"/>
    <w:rsid w:val="69BC5185"/>
    <w:rsid w:val="6A0F12C1"/>
    <w:rsid w:val="6A446686"/>
    <w:rsid w:val="6A530B32"/>
    <w:rsid w:val="6B2A62D8"/>
    <w:rsid w:val="6B4937BC"/>
    <w:rsid w:val="6B896A79"/>
    <w:rsid w:val="6B9DE0A8"/>
    <w:rsid w:val="6BDA47C4"/>
    <w:rsid w:val="6BDE45F3"/>
    <w:rsid w:val="6BFFC355"/>
    <w:rsid w:val="6C5D448C"/>
    <w:rsid w:val="6C822EF6"/>
    <w:rsid w:val="6CCB2933"/>
    <w:rsid w:val="6D013069"/>
    <w:rsid w:val="6D40541E"/>
    <w:rsid w:val="6D77157D"/>
    <w:rsid w:val="6D8A6A8E"/>
    <w:rsid w:val="6D953289"/>
    <w:rsid w:val="6DDED8DC"/>
    <w:rsid w:val="6E493980"/>
    <w:rsid w:val="6E4F18FF"/>
    <w:rsid w:val="6E6B8389"/>
    <w:rsid w:val="6E7C8680"/>
    <w:rsid w:val="6EFCA887"/>
    <w:rsid w:val="6EFEC16D"/>
    <w:rsid w:val="6EFFC811"/>
    <w:rsid w:val="6F43120D"/>
    <w:rsid w:val="6F5EE1BC"/>
    <w:rsid w:val="6F624C36"/>
    <w:rsid w:val="6F7D5A7A"/>
    <w:rsid w:val="6FB1113D"/>
    <w:rsid w:val="6FB2CA1E"/>
    <w:rsid w:val="6FB8FC42"/>
    <w:rsid w:val="6FBC3999"/>
    <w:rsid w:val="6FC36CFC"/>
    <w:rsid w:val="6FCF31AB"/>
    <w:rsid w:val="6FDBFA7B"/>
    <w:rsid w:val="6FDF7C83"/>
    <w:rsid w:val="6FE4201E"/>
    <w:rsid w:val="6FE72594"/>
    <w:rsid w:val="6FFC80B4"/>
    <w:rsid w:val="6FFFDCC5"/>
    <w:rsid w:val="70DA5E66"/>
    <w:rsid w:val="70E7536F"/>
    <w:rsid w:val="71390ECE"/>
    <w:rsid w:val="713F3528"/>
    <w:rsid w:val="7169742F"/>
    <w:rsid w:val="71900E5F"/>
    <w:rsid w:val="72C62BDD"/>
    <w:rsid w:val="72E56BF1"/>
    <w:rsid w:val="73270BC0"/>
    <w:rsid w:val="73D62F24"/>
    <w:rsid w:val="7402295B"/>
    <w:rsid w:val="740B676D"/>
    <w:rsid w:val="74242CEE"/>
    <w:rsid w:val="74463A57"/>
    <w:rsid w:val="74B65081"/>
    <w:rsid w:val="750618C4"/>
    <w:rsid w:val="750742FC"/>
    <w:rsid w:val="751BB0E6"/>
    <w:rsid w:val="756D41B6"/>
    <w:rsid w:val="758D7B90"/>
    <w:rsid w:val="75EF7F4F"/>
    <w:rsid w:val="760B6D06"/>
    <w:rsid w:val="76591E82"/>
    <w:rsid w:val="76AB5785"/>
    <w:rsid w:val="76BF03A8"/>
    <w:rsid w:val="76BF3C43"/>
    <w:rsid w:val="76C053D6"/>
    <w:rsid w:val="76D8308D"/>
    <w:rsid w:val="76F967E5"/>
    <w:rsid w:val="77574779"/>
    <w:rsid w:val="77767675"/>
    <w:rsid w:val="77BEEB9A"/>
    <w:rsid w:val="77C72760"/>
    <w:rsid w:val="77EF131B"/>
    <w:rsid w:val="77EF6DCE"/>
    <w:rsid w:val="77F65A2F"/>
    <w:rsid w:val="77FA0245"/>
    <w:rsid w:val="77FB042F"/>
    <w:rsid w:val="77FE81E4"/>
    <w:rsid w:val="77FFBE2C"/>
    <w:rsid w:val="78462887"/>
    <w:rsid w:val="784A7AB5"/>
    <w:rsid w:val="78783A02"/>
    <w:rsid w:val="78A551F0"/>
    <w:rsid w:val="78B52DD4"/>
    <w:rsid w:val="78BE40D5"/>
    <w:rsid w:val="78D15FE5"/>
    <w:rsid w:val="792A3948"/>
    <w:rsid w:val="796706F8"/>
    <w:rsid w:val="799534B7"/>
    <w:rsid w:val="79D29D25"/>
    <w:rsid w:val="79FDDE84"/>
    <w:rsid w:val="7A140880"/>
    <w:rsid w:val="7A1830A4"/>
    <w:rsid w:val="7A5549F4"/>
    <w:rsid w:val="7A8A27A6"/>
    <w:rsid w:val="7ABF4BB4"/>
    <w:rsid w:val="7ADF9837"/>
    <w:rsid w:val="7AF57AA1"/>
    <w:rsid w:val="7B1539B7"/>
    <w:rsid w:val="7B4B6F75"/>
    <w:rsid w:val="7B775DC1"/>
    <w:rsid w:val="7B9143C1"/>
    <w:rsid w:val="7B9B6ED9"/>
    <w:rsid w:val="7BA6B788"/>
    <w:rsid w:val="7BAFE160"/>
    <w:rsid w:val="7BBC1265"/>
    <w:rsid w:val="7BBDBE97"/>
    <w:rsid w:val="7BC37209"/>
    <w:rsid w:val="7BE18B05"/>
    <w:rsid w:val="7BEF0DDE"/>
    <w:rsid w:val="7BFDB102"/>
    <w:rsid w:val="7C8A02AF"/>
    <w:rsid w:val="7CBF0A0C"/>
    <w:rsid w:val="7CE7FF10"/>
    <w:rsid w:val="7CF93D5D"/>
    <w:rsid w:val="7D0596BD"/>
    <w:rsid w:val="7D0B042F"/>
    <w:rsid w:val="7D7E3A71"/>
    <w:rsid w:val="7D7FEB72"/>
    <w:rsid w:val="7DAD494D"/>
    <w:rsid w:val="7DAE48F2"/>
    <w:rsid w:val="7DB5467C"/>
    <w:rsid w:val="7DDBEE05"/>
    <w:rsid w:val="7DE07FB2"/>
    <w:rsid w:val="7E130D51"/>
    <w:rsid w:val="7E461224"/>
    <w:rsid w:val="7E5F3387"/>
    <w:rsid w:val="7E611BB9"/>
    <w:rsid w:val="7E8C6A3E"/>
    <w:rsid w:val="7EAF7137"/>
    <w:rsid w:val="7EBFACBC"/>
    <w:rsid w:val="7ECB2F6E"/>
    <w:rsid w:val="7EDC9E85"/>
    <w:rsid w:val="7EF31C23"/>
    <w:rsid w:val="7EFB3E7F"/>
    <w:rsid w:val="7EFBDC44"/>
    <w:rsid w:val="7EFDAD80"/>
    <w:rsid w:val="7EFEC321"/>
    <w:rsid w:val="7EFF44F5"/>
    <w:rsid w:val="7F1C58BA"/>
    <w:rsid w:val="7F7A4588"/>
    <w:rsid w:val="7F7D175C"/>
    <w:rsid w:val="7F7F429E"/>
    <w:rsid w:val="7F9DBE5E"/>
    <w:rsid w:val="7FADF2B9"/>
    <w:rsid w:val="7FB36C53"/>
    <w:rsid w:val="7FBFE30C"/>
    <w:rsid w:val="7FD639C6"/>
    <w:rsid w:val="7FD70978"/>
    <w:rsid w:val="7FDD7F5A"/>
    <w:rsid w:val="7FE3B756"/>
    <w:rsid w:val="7FEE3C8A"/>
    <w:rsid w:val="7FF28415"/>
    <w:rsid w:val="7FFAFA3A"/>
    <w:rsid w:val="7FFD77B8"/>
    <w:rsid w:val="7FFDB0EB"/>
    <w:rsid w:val="7FFDE8F9"/>
    <w:rsid w:val="7FFE37B9"/>
    <w:rsid w:val="7FFE9D93"/>
    <w:rsid w:val="7FFF89C1"/>
    <w:rsid w:val="834F7238"/>
    <w:rsid w:val="93D5AC6B"/>
    <w:rsid w:val="96EF2BED"/>
    <w:rsid w:val="9757FD77"/>
    <w:rsid w:val="977EE750"/>
    <w:rsid w:val="97FD7CCB"/>
    <w:rsid w:val="9B6BA5EC"/>
    <w:rsid w:val="9EFD9EC9"/>
    <w:rsid w:val="9FBD554E"/>
    <w:rsid w:val="9FEE84C3"/>
    <w:rsid w:val="9FF60F78"/>
    <w:rsid w:val="A6B9BB0C"/>
    <w:rsid w:val="ABDFA399"/>
    <w:rsid w:val="AFD73AC0"/>
    <w:rsid w:val="AFDD3053"/>
    <w:rsid w:val="B6DB89A7"/>
    <w:rsid w:val="B7BFE11A"/>
    <w:rsid w:val="B7DF03A8"/>
    <w:rsid w:val="BBC8FEF3"/>
    <w:rsid w:val="BD5BD543"/>
    <w:rsid w:val="BD773776"/>
    <w:rsid w:val="BDBF0C64"/>
    <w:rsid w:val="BDF97690"/>
    <w:rsid w:val="BEB857FB"/>
    <w:rsid w:val="BF694D10"/>
    <w:rsid w:val="BF712BDC"/>
    <w:rsid w:val="BF7D924C"/>
    <w:rsid w:val="BF9CA6B3"/>
    <w:rsid w:val="BFBD9B37"/>
    <w:rsid w:val="BFBEB049"/>
    <w:rsid w:val="BFF629E9"/>
    <w:rsid w:val="BFFB2524"/>
    <w:rsid w:val="C18FDE9B"/>
    <w:rsid w:val="C55BDC64"/>
    <w:rsid w:val="C5FB51AB"/>
    <w:rsid w:val="C7D16760"/>
    <w:rsid w:val="C7FDEC3D"/>
    <w:rsid w:val="CFCF5C91"/>
    <w:rsid w:val="CFEFE0B9"/>
    <w:rsid w:val="D1FFFF80"/>
    <w:rsid w:val="D7B90074"/>
    <w:rsid w:val="D9FF0959"/>
    <w:rsid w:val="DAE73EFD"/>
    <w:rsid w:val="DB5F23DB"/>
    <w:rsid w:val="DBEF7346"/>
    <w:rsid w:val="DCF947AE"/>
    <w:rsid w:val="DD0E59A5"/>
    <w:rsid w:val="DDF3FB5D"/>
    <w:rsid w:val="DDFB7F73"/>
    <w:rsid w:val="DDFFDB52"/>
    <w:rsid w:val="DEDDD229"/>
    <w:rsid w:val="DEFB7CC8"/>
    <w:rsid w:val="DF652944"/>
    <w:rsid w:val="DF7B5D37"/>
    <w:rsid w:val="DF7CDFD8"/>
    <w:rsid w:val="DF7F47CC"/>
    <w:rsid w:val="DFB60CE4"/>
    <w:rsid w:val="DFBFAC5E"/>
    <w:rsid w:val="DFE6CFB4"/>
    <w:rsid w:val="DFE7EEA2"/>
    <w:rsid w:val="DFEF4BE8"/>
    <w:rsid w:val="DFF25482"/>
    <w:rsid w:val="DFFB58A8"/>
    <w:rsid w:val="DFFF1034"/>
    <w:rsid w:val="E3C39328"/>
    <w:rsid w:val="E3F63D1A"/>
    <w:rsid w:val="E5FE7B6B"/>
    <w:rsid w:val="E7EFC29C"/>
    <w:rsid w:val="EAAF86A9"/>
    <w:rsid w:val="EB7ECA01"/>
    <w:rsid w:val="EBD6D578"/>
    <w:rsid w:val="EBF68981"/>
    <w:rsid w:val="ED9F07B9"/>
    <w:rsid w:val="EDBA253B"/>
    <w:rsid w:val="EE5FEDBF"/>
    <w:rsid w:val="EF6DB58E"/>
    <w:rsid w:val="EF9FB59D"/>
    <w:rsid w:val="EFF7E3D8"/>
    <w:rsid w:val="F27789E6"/>
    <w:rsid w:val="F36B9C9B"/>
    <w:rsid w:val="F4F89EB6"/>
    <w:rsid w:val="F4FA7322"/>
    <w:rsid w:val="F57FC99C"/>
    <w:rsid w:val="F5BEEA8A"/>
    <w:rsid w:val="F5EDCB42"/>
    <w:rsid w:val="F5EE8341"/>
    <w:rsid w:val="F5EFB261"/>
    <w:rsid w:val="F5FE69BF"/>
    <w:rsid w:val="F5FF364C"/>
    <w:rsid w:val="F5FFEC60"/>
    <w:rsid w:val="F63B0884"/>
    <w:rsid w:val="F75DB683"/>
    <w:rsid w:val="F7BFD499"/>
    <w:rsid w:val="F7DFE08F"/>
    <w:rsid w:val="F7E73B77"/>
    <w:rsid w:val="F7FA18D6"/>
    <w:rsid w:val="F7FE0C81"/>
    <w:rsid w:val="F7FF7DDC"/>
    <w:rsid w:val="F7FFF70E"/>
    <w:rsid w:val="FA818FFE"/>
    <w:rsid w:val="FBB41396"/>
    <w:rsid w:val="FBDE069E"/>
    <w:rsid w:val="FBDF73A3"/>
    <w:rsid w:val="FBEF0C1A"/>
    <w:rsid w:val="FBEF33F8"/>
    <w:rsid w:val="FBF08389"/>
    <w:rsid w:val="FBFE1FF7"/>
    <w:rsid w:val="FC6FE41C"/>
    <w:rsid w:val="FC9A265E"/>
    <w:rsid w:val="FCBAE76E"/>
    <w:rsid w:val="FD3F7871"/>
    <w:rsid w:val="FDD93568"/>
    <w:rsid w:val="FDF671EA"/>
    <w:rsid w:val="FDF6E58E"/>
    <w:rsid w:val="FDF8B718"/>
    <w:rsid w:val="FDFE97E5"/>
    <w:rsid w:val="FDFFD3A7"/>
    <w:rsid w:val="FE4FBCE3"/>
    <w:rsid w:val="FE5DE88D"/>
    <w:rsid w:val="FE7C7C80"/>
    <w:rsid w:val="FEBEC32D"/>
    <w:rsid w:val="FECB7815"/>
    <w:rsid w:val="FECEB75E"/>
    <w:rsid w:val="FEFA1FC2"/>
    <w:rsid w:val="FEFB5CC5"/>
    <w:rsid w:val="FEFB7ACF"/>
    <w:rsid w:val="FEFF50DE"/>
    <w:rsid w:val="FEFF781A"/>
    <w:rsid w:val="FEFFB5C1"/>
    <w:rsid w:val="FF1D6AA9"/>
    <w:rsid w:val="FF2F3D79"/>
    <w:rsid w:val="FF6BB9D3"/>
    <w:rsid w:val="FF6ED8B3"/>
    <w:rsid w:val="FF6F46FF"/>
    <w:rsid w:val="FF7E613A"/>
    <w:rsid w:val="FF7FEFDC"/>
    <w:rsid w:val="FF855145"/>
    <w:rsid w:val="FFAFE08F"/>
    <w:rsid w:val="FFBBB151"/>
    <w:rsid w:val="FFBDF1BA"/>
    <w:rsid w:val="FFCF818D"/>
    <w:rsid w:val="FFCFBD4E"/>
    <w:rsid w:val="FFDF4819"/>
    <w:rsid w:val="FFE862C0"/>
    <w:rsid w:val="FFF36567"/>
    <w:rsid w:val="FFF37FF1"/>
    <w:rsid w:val="FFF3C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line="540" w:lineRule="exact"/>
      <w:ind w:firstLine="622" w:firstLineChars="200"/>
    </w:pPr>
    <w:rPr>
      <w:rFonts w:ascii="Times New Roman" w:hAnsi="Times New Roman" w:eastAsia="仿宋_GB2312"/>
      <w:sz w:val="32"/>
    </w:rPr>
  </w:style>
  <w:style w:type="paragraph" w:styleId="3">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5">
    <w:name w:val="Normal Indent"/>
    <w:basedOn w:val="1"/>
    <w:next w:val="1"/>
    <w:qFormat/>
    <w:uiPriority w:val="0"/>
    <w:pPr>
      <w:ind w:firstLine="420"/>
    </w:pPr>
    <w:rPr>
      <w:rFonts w:cs="Times New Roman"/>
      <w:szCs w:val="24"/>
    </w:rPr>
  </w:style>
  <w:style w:type="paragraph" w:styleId="6">
    <w:name w:val="annotation text"/>
    <w:basedOn w:val="1"/>
    <w:link w:val="23"/>
    <w:qFormat/>
    <w:uiPriority w:val="0"/>
    <w:pPr>
      <w:jc w:val="left"/>
    </w:pPr>
  </w:style>
  <w:style w:type="paragraph" w:styleId="7">
    <w:name w:val="Balloon Text"/>
    <w:basedOn w:val="1"/>
    <w:link w:val="25"/>
    <w:qFormat/>
    <w:uiPriority w:val="0"/>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1">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12">
    <w:name w:val="annotation subject"/>
    <w:basedOn w:val="6"/>
    <w:next w:val="6"/>
    <w:link w:val="24"/>
    <w:qFormat/>
    <w:uiPriority w:val="0"/>
    <w:rPr>
      <w:b/>
      <w:bCs/>
    </w:rPr>
  </w:style>
  <w:style w:type="paragraph" w:styleId="13">
    <w:name w:val="Body Text First Indent"/>
    <w:basedOn w:val="2"/>
    <w:qFormat/>
    <w:uiPriority w:val="0"/>
    <w:pPr>
      <w:ind w:firstLine="420" w:firstLineChars="100"/>
    </w:pPr>
  </w:style>
  <w:style w:type="character" w:styleId="16">
    <w:name w:val="Hyperlink"/>
    <w:unhideWhenUsed/>
    <w:qFormat/>
    <w:uiPriority w:val="99"/>
    <w:rPr>
      <w:color w:val="0000FF"/>
      <w:u w:val="single"/>
    </w:rPr>
  </w:style>
  <w:style w:type="character" w:styleId="17">
    <w:name w:val="annotation reference"/>
    <w:basedOn w:val="15"/>
    <w:qFormat/>
    <w:uiPriority w:val="0"/>
    <w:rPr>
      <w:sz w:val="21"/>
      <w:szCs w:val="21"/>
    </w:rPr>
  </w:style>
  <w:style w:type="paragraph" w:customStyle="1" w:styleId="18">
    <w:name w:val="正文_0"/>
    <w:next w:val="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
    <w:name w:val="黑体"/>
    <w:qFormat/>
    <w:uiPriority w:val="3"/>
    <w:pPr>
      <w:widowControl w:val="0"/>
      <w:ind w:left="1014" w:hanging="1014" w:hangingChars="326"/>
      <w:jc w:val="both"/>
    </w:pPr>
    <w:rPr>
      <w:rFonts w:ascii="黑体" w:hAnsi="黑体" w:eastAsia="黑体" w:cs="Times New Roman"/>
      <w:kern w:val="2"/>
      <w:sz w:val="21"/>
      <w:szCs w:val="32"/>
      <w:lang w:val="en-US" w:eastAsia="zh-CN" w:bidi="ar-SA"/>
    </w:rPr>
  </w:style>
  <w:style w:type="paragraph" w:customStyle="1" w:styleId="20">
    <w:name w:val="修订1"/>
    <w:hidden/>
    <w:semiHidden/>
    <w:qFormat/>
    <w:uiPriority w:val="99"/>
    <w:rPr>
      <w:rFonts w:ascii="Calibri" w:hAnsi="Calibri" w:eastAsia="宋体" w:cs="Times New Roman"/>
      <w:kern w:val="2"/>
      <w:sz w:val="21"/>
      <w:szCs w:val="22"/>
      <w:lang w:val="en-US" w:eastAsia="zh-CN" w:bidi="ar-SA"/>
    </w:rPr>
  </w:style>
  <w:style w:type="character" w:customStyle="1" w:styleId="21">
    <w:name w:val="页脚 字符"/>
    <w:basedOn w:val="15"/>
    <w:link w:val="8"/>
    <w:qFormat/>
    <w:uiPriority w:val="0"/>
    <w:rPr>
      <w:rFonts w:ascii="Calibri" w:hAnsi="Calibri" w:eastAsia="宋体" w:cs="Times New Roman"/>
      <w:kern w:val="2"/>
      <w:sz w:val="18"/>
      <w:szCs w:val="18"/>
    </w:rPr>
  </w:style>
  <w:style w:type="character" w:customStyle="1" w:styleId="22">
    <w:name w:val="页眉 字符"/>
    <w:basedOn w:val="15"/>
    <w:link w:val="9"/>
    <w:qFormat/>
    <w:uiPriority w:val="0"/>
    <w:rPr>
      <w:rFonts w:ascii="Calibri" w:hAnsi="Calibri" w:eastAsia="宋体" w:cs="Times New Roman"/>
      <w:kern w:val="2"/>
      <w:sz w:val="18"/>
      <w:szCs w:val="18"/>
    </w:rPr>
  </w:style>
  <w:style w:type="character" w:customStyle="1" w:styleId="23">
    <w:name w:val="批注文字 字符"/>
    <w:basedOn w:val="15"/>
    <w:link w:val="6"/>
    <w:qFormat/>
    <w:uiPriority w:val="0"/>
    <w:rPr>
      <w:rFonts w:ascii="Calibri" w:hAnsi="Calibri" w:eastAsia="宋体" w:cs="Times New Roman"/>
      <w:kern w:val="2"/>
      <w:sz w:val="21"/>
      <w:szCs w:val="22"/>
    </w:rPr>
  </w:style>
  <w:style w:type="character" w:customStyle="1" w:styleId="24">
    <w:name w:val="批注主题 字符"/>
    <w:basedOn w:val="23"/>
    <w:link w:val="12"/>
    <w:qFormat/>
    <w:uiPriority w:val="0"/>
    <w:rPr>
      <w:rFonts w:ascii="Calibri" w:hAnsi="Calibri" w:eastAsia="宋体" w:cs="Times New Roman"/>
      <w:b/>
      <w:bCs/>
      <w:kern w:val="2"/>
      <w:sz w:val="21"/>
      <w:szCs w:val="22"/>
    </w:rPr>
  </w:style>
  <w:style w:type="character" w:customStyle="1" w:styleId="25">
    <w:name w:val="批注框文本 字符"/>
    <w:basedOn w:val="15"/>
    <w:link w:val="7"/>
    <w:qFormat/>
    <w:uiPriority w:val="0"/>
    <w:rPr>
      <w:rFonts w:ascii="Calibri" w:hAnsi="Calibri" w:eastAsia="宋体" w:cs="Times New Roman"/>
      <w:kern w:val="2"/>
      <w:sz w:val="18"/>
      <w:szCs w:val="18"/>
    </w:rPr>
  </w:style>
  <w:style w:type="paragraph" w:customStyle="1" w:styleId="26">
    <w:name w:val="修订2"/>
    <w:hidden/>
    <w:semiHidden/>
    <w:qFormat/>
    <w:uiPriority w:val="99"/>
    <w:rPr>
      <w:rFonts w:ascii="Calibri" w:hAnsi="Calibri" w:eastAsia="宋体" w:cs="Times New Roman"/>
      <w:kern w:val="2"/>
      <w:sz w:val="21"/>
      <w:szCs w:val="22"/>
      <w:lang w:val="en-US" w:eastAsia="zh-CN" w:bidi="ar-SA"/>
    </w:rPr>
  </w:style>
  <w:style w:type="character" w:customStyle="1" w:styleId="27">
    <w:name w:val="10"/>
    <w:basedOn w:val="15"/>
    <w:qFormat/>
    <w:uiPriority w:val="0"/>
    <w:rPr>
      <w:rFonts w:hint="default" w:ascii="Times New Roman" w:hAnsi="Times New Roman" w:cs="Times New Roman"/>
    </w:rPr>
  </w:style>
  <w:style w:type="paragraph" w:customStyle="1" w:styleId="28">
    <w:name w:val="文件正文"/>
    <w:basedOn w:val="10"/>
    <w:qFormat/>
    <w:uiPriority w:val="2"/>
    <w:pPr>
      <w:spacing w:before="0" w:after="0" w:line="560" w:lineRule="exact"/>
      <w:ind w:firstLine="622" w:firstLineChars="200"/>
      <w:jc w:val="both"/>
      <w:outlineLvl w:val="9"/>
    </w:pPr>
    <w:rPr>
      <w:rFonts w:ascii="仿宋_GB2312" w:hAnsi="仿宋_GB2312" w:eastAsia="仿宋_GB2312" w:cs="仿宋_GB2312"/>
      <w:b w:val="0"/>
      <w:bCs w:val="0"/>
      <w:kern w:val="2"/>
    </w:rPr>
  </w:style>
  <w:style w:type="paragraph" w:customStyle="1" w:styleId="29">
    <w:name w:val="Revision"/>
    <w:hidden/>
    <w:unhideWhenUsed/>
    <w:qFormat/>
    <w:uiPriority w:val="99"/>
    <w:rPr>
      <w:rFonts w:ascii="Calibri" w:hAnsi="Calibri" w:eastAsia="宋体" w:cs="Times New Roman"/>
      <w:kern w:val="2"/>
      <w:sz w:val="21"/>
      <w:szCs w:val="22"/>
      <w:lang w:val="en-US" w:eastAsia="zh-CN" w:bidi="ar-SA"/>
    </w:rPr>
  </w:style>
  <w:style w:type="paragraph" w:customStyle="1" w:styleId="30">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4392</Words>
  <Characters>4604</Characters>
  <Lines>26</Lines>
  <Paragraphs>7</Paragraphs>
  <TotalTime>0</TotalTime>
  <ScaleCrop>false</ScaleCrop>
  <LinksUpToDate>false</LinksUpToDate>
  <CharactersWithSpaces>4604</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2024-01-20T00:59:00Z</dcterms:created>
  <dc:creator>10141</dc:creator>
  <cp:lastModifiedBy>hi</cp:lastModifiedBy>
  <cp:lastPrinted>2025-08-17T09:35:00Z</cp:lastPrinted>
  <dcterms:modified xsi:type="dcterms:W3CDTF">2025-08-20T20:52:35Z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F7BA661C473821BF3AC0A568917416F4</vt:lpwstr>
  </property>
  <property fmtid="{D5CDD505-2E9C-101B-9397-08002B2CF9AE}" pid="4" name="_2015_ms_pID_725343">
    <vt:lpwstr>(3)TVBtynnQ0bHZGzkoRiuPFQ6qkgadkZBUWNmpf4wlMhtxbdGNkStIhntZVYUot8+iewA70Af3
/Yx1SNGOYFRKIBRXUU8uIzhRiygsRw/2ypsi9Ee/mYtmIQ17vM+1gi3YZ9XSxq+ZqYrIgagt
g13n+uqcad9NyWH6MRD/8A65YKAbOzPla+ol7bPoTWkDWbDudGPxVL01gfPBhxsFWAR6geLB
6IGDlf4nqHsbmkCcT3</vt:lpwstr>
  </property>
  <property fmtid="{D5CDD505-2E9C-101B-9397-08002B2CF9AE}" pid="5" name="_2015_ms_pID_7253431">
    <vt:lpwstr>RdDtePn8rmOKpHa3FyyUYU8v2yDZjYXn8lCKu406oXOfgsSxKyJ/3T
nUbAtevFf3aWrTn1SJWDFdtjsNEX28cwBM8ralc0WzNKV8l2LS4Eeuel76okjAZiMx3GtC2b
NTKEAyKppUQXfWgxuB+Kkzz8TrrMb+e8Z+E/vnO4zuFIFegpxCnknedRSt/sZyO2DQXmGIhh
A7OfSDQ/L0S0ojmqnMnPrJEeAjI5WtoYg51e</vt:lpwstr>
  </property>
  <property fmtid="{D5CDD505-2E9C-101B-9397-08002B2CF9AE}" pid="6" name="_2015_ms_pID_7253432">
    <vt:lpwstr>o2aPJv6SP3tnlT4YHGTIqumIBWJ6T8ty2HnS
McdIfPGG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1696645397</vt:lpwstr>
  </property>
  <property fmtid="{D5CDD505-2E9C-101B-9397-08002B2CF9AE}" pid="11" name="KSOTemplateDocerSaveRecord">
    <vt:lpwstr>eyJoZGlkIjoiMmY5MDE1OTMzZTkzMTQyMDY0Y2I3Mzk4YTRjYTQwNDAiLCJ1c2VySWQiOiI0NTkwNDQ2NDgifQ==</vt:lpwstr>
  </property>
  <property fmtid="{D5CDD505-2E9C-101B-9397-08002B2CF9AE}" pid="12" name="hmcheck_markmode">
    <vt:i4>0</vt:i4>
  </property>
  <property fmtid="{D5CDD505-2E9C-101B-9397-08002B2CF9AE}" pid="13" name="hmcheck_taskpanetype">
    <vt:i4>1</vt:i4>
  </property>
</Properties>
</file>