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rPr>
          <w:rFonts w:ascii="黑体" w:hAnsi="黑体" w:eastAsia="黑体" w:cs="黑体"/>
          <w:bCs/>
          <w:szCs w:val="44"/>
        </w:rPr>
      </w:pPr>
      <w:r>
        <w:rPr>
          <w:rFonts w:hint="eastAsia" w:ascii="黑体" w:hAnsi="黑体" w:eastAsia="黑体" w:cs="黑体"/>
          <w:bCs/>
          <w:szCs w:val="44"/>
          <w:lang w:eastAsia="zh-CN"/>
        </w:rPr>
        <w:t>附件</w:t>
      </w:r>
      <w:r>
        <w:rPr>
          <w:rFonts w:hint="eastAsia" w:ascii="黑体" w:hAnsi="黑体" w:eastAsia="黑体" w:cs="黑体"/>
          <w:bCs/>
          <w:szCs w:val="44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rPr>
          <w:rFonts w:ascii="方正小标宋简体" w:hAnsi="方正小标宋简体" w:eastAsia="方正小标宋简体" w:cs="方正小标宋简体"/>
          <w:bCs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Cs/>
          <w:sz w:val="44"/>
          <w:szCs w:val="44"/>
          <w:lang w:val="en"/>
        </w:rPr>
        <w:t>累计责任限额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计算及分项责任限额查询方式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883" w:firstLineChars="200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outlineLvl w:val="0"/>
        <w:rPr>
          <w:rFonts w:ascii="黑体" w:hAnsi="黑体" w:eastAsia="黑体" w:cs="黑体"/>
        </w:rPr>
      </w:pPr>
      <w:r>
        <w:rPr>
          <w:rFonts w:ascii="黑体" w:hAnsi="黑体" w:eastAsia="黑体" w:cs="黑体"/>
          <w:lang w:val="en"/>
        </w:rPr>
        <w:t>一、累计责任限额</w:t>
      </w:r>
      <w:r>
        <w:rPr>
          <w:rFonts w:hint="eastAsia" w:ascii="黑体" w:hAnsi="黑体" w:eastAsia="黑体" w:cs="黑体"/>
        </w:rPr>
        <w:t>计算方式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根据《深圳市环境污染强制责任保险费率及测算说明（2021版）》，累计责任限额计算方式如下：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累计责任限额＝水环境污染责任投保最低累计限额+大气环境污染责任投保最低累计限额+土壤环境污染责任投保最低累计限额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156" w:beforeLines="50" w:line="56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水环境污染责任投保最低累计限额档次分级</w:t>
      </w:r>
    </w:p>
    <w:tbl>
      <w:tblPr>
        <w:tblStyle w:val="4"/>
        <w:tblW w:w="94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849"/>
        <w:gridCol w:w="1171"/>
        <w:gridCol w:w="1404"/>
        <w:gridCol w:w="1521"/>
        <w:gridCol w:w="1637"/>
        <w:gridCol w:w="11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16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涉水风险物质厂界内最大存在量与临界量比值（Qw）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Qw＝0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0&lt;Qw&lt;1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1≤Qw&lt;10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10≤Qw&lt;20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20≤Qw&lt;50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50≤Qw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限额（万元）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废水排放量（吨/日）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Qe＝0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0&lt;Qe&lt;50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50≤Qe&lt;100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100≤Qe&lt;500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500≤Qe&lt;1000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1000≤Qe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6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限额（万元）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rPr>
          <w:rFonts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大气环境污染责任投保最低累计限额档次分级</w:t>
      </w:r>
    </w:p>
    <w:tbl>
      <w:tblPr>
        <w:tblStyle w:val="4"/>
        <w:tblW w:w="94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777"/>
        <w:gridCol w:w="1142"/>
        <w:gridCol w:w="1382"/>
        <w:gridCol w:w="1473"/>
        <w:gridCol w:w="1604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7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涉气风险物质厂界内最大存在量与临界量比值（Qa）</w:t>
            </w: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Qa＝0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0&lt;Qa&lt;1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1≤Qa&lt;10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10≤Qa&lt;20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20≤Qa&lt;50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50≤Qa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7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限额（万元）</w:t>
            </w: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土壤环境污染责任投保最低累计限额档次分级</w:t>
      </w:r>
    </w:p>
    <w:tbl>
      <w:tblPr>
        <w:tblStyle w:val="4"/>
        <w:tblW w:w="531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1005"/>
        <w:gridCol w:w="1598"/>
        <w:gridCol w:w="1598"/>
        <w:gridCol w:w="1629"/>
        <w:gridCol w:w="1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3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涉土重金属风险物质厂界内最大存在量（吨）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Qs＝0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0&lt;Qs&lt;10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10≤Qs&lt;50</w:t>
            </w: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50≤Qs&lt;100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100≤Qs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3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限额（万元）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133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涉土挥发性、半挥发性风险物质厂界内最大存在量（吨）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Qs＝0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0&lt;Qs&lt;10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10≤Qs&lt;50</w:t>
            </w: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50≤Qs&lt;100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100≤Qs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33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限额（万元）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注：①涉水、涉气风险物质厂界内最大存在量是指《企业突发环境事件风险分级方法》（HJ941-2018）“附录A突发环境事件风险物质及临界量清单”所列的风险物质年度最大存在量。②涉水、涉气风险物质临界量是指《企业突发环境事件风险分级方法》（HJ941-2018）“附录A突发环境事件风险物质及临界量清单”所列的风险物质数量。③涉土重金属风险物质、涉土挥发性、半挥发性风险物质厂界内最大存在量是指国家、广东省、深圳市建设用地土壤污染风险管控标准所列的重金属、挥发性和半挥发性风险物质年度最大存在量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二、</w:t>
      </w:r>
      <w:r>
        <w:rPr>
          <w:rFonts w:ascii="黑体" w:hAnsi="黑体" w:eastAsia="黑体" w:cs="黑体"/>
          <w:lang w:val="en"/>
        </w:rPr>
        <w:t>分项责任限额</w:t>
      </w:r>
      <w:r>
        <w:rPr>
          <w:rFonts w:hint="eastAsia" w:ascii="黑体" w:hAnsi="黑体" w:eastAsia="黑体" w:cs="黑体"/>
        </w:rPr>
        <w:t>查询方式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/>
          <w:highlight w:val="none"/>
        </w:rPr>
      </w:pPr>
      <w:r>
        <w:rPr>
          <w:rFonts w:hint="eastAsia" w:ascii="仿宋_GB2312"/>
          <w:highlight w:val="none"/>
        </w:rPr>
        <w:t>各单位办理环境污染强制责任保险业务时，如需查询各</w:t>
      </w:r>
      <w:r>
        <w:rPr>
          <w:rFonts w:hint="eastAsia" w:ascii="仿宋_GB2312"/>
          <w:highlight w:val="none"/>
          <w:lang w:val="en"/>
        </w:rPr>
        <w:t>分项责任限额的，可以通过环境污染强制责任保险信息平台（以下简称“信息平台”）查询，共有如下两种查询方式</w:t>
      </w:r>
      <w:r>
        <w:rPr>
          <w:rFonts w:hint="eastAsia" w:ascii="仿宋_GB2312"/>
          <w:highlight w:val="none"/>
        </w:rPr>
        <w:t>：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/>
          <w:highlight w:val="none"/>
        </w:rPr>
      </w:pPr>
      <w:r>
        <w:rPr>
          <w:rFonts w:hint="eastAsia" w:ascii="仿宋_GB2312"/>
          <w:highlight w:val="none"/>
        </w:rPr>
        <w:t>（一）通过保险公司查询。保险公司登录信息平台系统（</w:t>
      </w:r>
      <w:r>
        <w:rPr>
          <w:rFonts w:ascii="仿宋_GB2312"/>
          <w:highlight w:val="none"/>
        </w:rPr>
        <w:t>https://hzxweb.szia.org.cn/</w:t>
      </w:r>
      <w:r>
        <w:rPr>
          <w:rFonts w:hint="eastAsia" w:ascii="仿宋_GB2312"/>
          <w:highlight w:val="none"/>
        </w:rPr>
        <w:t>）查询获得。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/>
          <w:highlight w:val="none"/>
        </w:rPr>
      </w:pPr>
      <w:r>
        <w:rPr>
          <w:rFonts w:hint="eastAsia" w:ascii="仿宋_GB2312"/>
          <w:highlight w:val="none"/>
        </w:rPr>
        <w:t>（二）通过信息平台投保端查询。查询路径：深圳市保险同业公会微信公众号&gt;业务办理&gt;环责险&gt;产品购买，录入企业信息进入公司投保页面，带出责任最低限额（可根据实际需求增加限额）。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各投保单位可以通过方式（二）查询各分项责任限额，各承保机构通过以上任何一种方式均可以查询。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/>
    <w:sectPr>
      <w:footerReference r:id="rId3" w:type="default"/>
      <w:pgSz w:w="11906" w:h="16838"/>
      <w:pgMar w:top="2154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320" w:leftChars="100" w:right="320" w:rightChars="10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320" w:leftChars="100" w:right="320" w:rightChars="10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804B7"/>
    <w:rsid w:val="4E58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29"/>
    </w:pPr>
    <w:rPr>
      <w:rFonts w:ascii="宋体" w:hAnsi="宋体" w:eastAsia="宋体" w:cs="宋体"/>
      <w:sz w:val="33"/>
      <w:szCs w:val="33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2025-08-18T07:11:00Z</dcterms:created>
  <dc:creator>黄莹莹</dc:creator>
  <cp:lastModifiedBy>黄莹莹</cp:lastModifiedBy>
  <dcterms:modified xsi:type="dcterms:W3CDTF">2025-08-18T07:11:49Z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983533B8DD0B4CB285AF1670B4EFFA69</vt:lpwstr>
  </property>
</Properties>
</file>