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DDB3F">
      <w:pPr>
        <w:pageBreakBefore w:val="0"/>
        <w:kinsoku/>
        <w:wordWrap/>
        <w:overflowPunct/>
        <w:topLinePunct w:val="0"/>
        <w:autoSpaceDE/>
        <w:autoSpaceDN/>
        <w:bidi w:val="0"/>
        <w:spacing w:after="0" w:line="560" w:lineRule="exact"/>
        <w:jc w:val="center"/>
        <w:textAlignment w:val="auto"/>
        <w:outlineLvl w:val="0"/>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采购文件</w:t>
      </w:r>
    </w:p>
    <w:p w14:paraId="4280E843">
      <w:pPr>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color w:val="000000"/>
          <w:sz w:val="32"/>
          <w:szCs w:val="32"/>
        </w:rPr>
        <w:t>一、项目名称：</w:t>
      </w:r>
      <w:r>
        <w:rPr>
          <w:rFonts w:hint="eastAsia" w:ascii="仿宋_GB2312" w:hAnsi="仿宋_GB2312" w:eastAsia="仿宋_GB2312" w:cs="仿宋_GB2312"/>
          <w:sz w:val="32"/>
          <w:szCs w:val="32"/>
          <w:lang w:val="en-US" w:eastAsia="zh-CN"/>
        </w:rPr>
        <w:t>二线公路（同乐路旁）增设照明项目</w:t>
      </w:r>
    </w:p>
    <w:p w14:paraId="46EC1A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color w:val="000000"/>
          <w:sz w:val="32"/>
          <w:szCs w:val="32"/>
        </w:rPr>
        <w:t>二、预算金额：</w:t>
      </w:r>
      <w:r>
        <w:rPr>
          <w:rFonts w:hint="eastAsia" w:ascii="仿宋_GB2312" w:hAnsi="仿宋_GB2312" w:eastAsia="仿宋_GB2312" w:cs="仿宋_GB2312"/>
          <w:sz w:val="32"/>
          <w:szCs w:val="32"/>
          <w:lang w:val="en-US" w:eastAsia="zh-CN"/>
        </w:rPr>
        <w:t>贰拾玖万玖仟肆佰捌拾元肆角贰分（¥299480.42元）</w:t>
      </w:r>
    </w:p>
    <w:p w14:paraId="54EB39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三、定标规则：</w:t>
      </w:r>
      <w:r>
        <w:rPr>
          <w:rFonts w:hint="eastAsia" w:ascii="仿宋_GB2312" w:hAnsi="仿宋_GB2312" w:eastAsia="仿宋_GB2312" w:cs="仿宋_GB2312"/>
          <w:color w:val="000000"/>
          <w:sz w:val="32"/>
          <w:szCs w:val="32"/>
          <w:shd w:val="clear" w:color="auto" w:fill="FFFFFF"/>
        </w:rPr>
        <w:t>综合评分法</w:t>
      </w:r>
    </w:p>
    <w:p w14:paraId="5EFCDBAB">
      <w:pPr>
        <w:pageBreakBefore w:val="0"/>
        <w:kinsoku/>
        <w:wordWrap/>
        <w:overflowPunct/>
        <w:topLinePunct w:val="0"/>
        <w:autoSpaceDE/>
        <w:autoSpaceDN/>
        <w:bidi w:val="0"/>
        <w:spacing w:after="0" w:line="560" w:lineRule="exact"/>
        <w:ind w:firstLine="640" w:firstLineChars="200"/>
        <w:textAlignment w:val="auto"/>
        <w:outlineLvl w:val="0"/>
        <w:rPr>
          <w:rFonts w:hint="eastAsia" w:ascii="黑体" w:hAnsi="黑体" w:eastAsia="黑体" w:cs="黑体"/>
          <w:color w:val="000000"/>
          <w:sz w:val="32"/>
          <w:szCs w:val="32"/>
        </w:rPr>
      </w:pPr>
      <w:r>
        <w:rPr>
          <w:rFonts w:hint="eastAsia" w:ascii="黑体" w:hAnsi="黑体" w:eastAsia="黑体" w:cs="黑体"/>
          <w:color w:val="000000"/>
          <w:sz w:val="32"/>
          <w:szCs w:val="32"/>
        </w:rPr>
        <w:t>四、项目背景：</w:t>
      </w:r>
    </w:p>
    <w:p w14:paraId="2584200A">
      <w:pPr>
        <w:pageBreakBefore w:val="0"/>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二线公路（同乐路旁）无路灯，通行存在安全隐患，为回应社区居民安装照明路灯的需要。</w:t>
      </w:r>
    </w:p>
    <w:p w14:paraId="58CDEF35">
      <w:pPr>
        <w:pStyle w:val="3"/>
        <w:pageBreakBefore w:val="0"/>
        <w:kinsoku/>
        <w:wordWrap/>
        <w:overflowPunct/>
        <w:topLinePunct w:val="0"/>
        <w:autoSpaceDE/>
        <w:autoSpaceDN/>
        <w:bidi w:val="0"/>
        <w:spacing w:after="0" w:line="560" w:lineRule="exact"/>
        <w:ind w:firstLine="640" w:firstLineChars="200"/>
        <w:textAlignment w:val="auto"/>
      </w:pPr>
      <w:r>
        <w:rPr>
          <w:rFonts w:hint="eastAsia"/>
        </w:rPr>
        <w:t>五、需求内容</w:t>
      </w:r>
      <w:r>
        <w:rPr>
          <w:rFonts w:hint="eastAsia" w:ascii="黑体" w:hAnsi="黑体" w:cs="黑体"/>
          <w:color w:val="000000"/>
        </w:rPr>
        <w:t>：</w:t>
      </w:r>
    </w:p>
    <w:p w14:paraId="6F5E9A58">
      <w:pPr>
        <w:pageBreakBefore w:val="0"/>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拟</w:t>
      </w:r>
      <w:r>
        <w:rPr>
          <w:rFonts w:hint="eastAsia" w:ascii="仿宋_GB2312" w:hAnsi="仿宋_GB2312" w:eastAsia="仿宋_GB2312" w:cs="仿宋_GB2312"/>
          <w:sz w:val="32"/>
          <w:szCs w:val="32"/>
          <w:lang w:val="en-US" w:eastAsia="zh-CN"/>
        </w:rPr>
        <w:t>通过该项目满足社区居民安全出行的需要，</w:t>
      </w:r>
      <w:r>
        <w:rPr>
          <w:rFonts w:hint="eastAsia" w:ascii="仿宋_GB2312" w:hAnsi="仿宋_GB2312" w:eastAsia="仿宋_GB2312" w:cs="仿宋_GB2312"/>
          <w:sz w:val="32"/>
          <w:szCs w:val="32"/>
        </w:rPr>
        <w:t>项目具体内容详见《工程量清单》</w:t>
      </w:r>
      <w:r>
        <w:rPr>
          <w:rFonts w:hint="eastAsia" w:ascii="仿宋_GB2312" w:hAnsi="仿宋_GB2312" w:eastAsia="仿宋_GB2312" w:cs="仿宋_GB2312"/>
          <w:sz w:val="32"/>
          <w:szCs w:val="32"/>
          <w:lang w:eastAsia="zh-CN"/>
        </w:rPr>
        <w:t>和图纸</w:t>
      </w:r>
      <w:r>
        <w:rPr>
          <w:rFonts w:hint="eastAsia" w:ascii="仿宋_GB2312" w:hAnsi="仿宋_GB2312" w:eastAsia="仿宋_GB2312" w:cs="仿宋_GB2312"/>
          <w:sz w:val="32"/>
          <w:szCs w:val="32"/>
        </w:rPr>
        <w:t>。</w:t>
      </w:r>
    </w:p>
    <w:p w14:paraId="1B5416DC">
      <w:pPr>
        <w:pStyle w:val="3"/>
        <w:pageBreakBefore w:val="0"/>
        <w:kinsoku/>
        <w:wordWrap/>
        <w:overflowPunct/>
        <w:topLinePunct w:val="0"/>
        <w:autoSpaceDE/>
        <w:autoSpaceDN/>
        <w:bidi w:val="0"/>
        <w:spacing w:after="0" w:line="560" w:lineRule="exact"/>
        <w:ind w:firstLine="640" w:firstLineChars="200"/>
        <w:textAlignment w:val="auto"/>
      </w:pPr>
      <w:r>
        <w:rPr>
          <w:rFonts w:hint="eastAsia"/>
        </w:rPr>
        <w:t>六、</w:t>
      </w:r>
      <w:r>
        <w:t>服务期限</w:t>
      </w:r>
      <w:r>
        <w:rPr>
          <w:rFonts w:hint="eastAsia" w:ascii="黑体" w:hAnsi="黑体" w:cs="黑体"/>
          <w:color w:val="000000"/>
        </w:rPr>
        <w:t>：</w:t>
      </w:r>
    </w:p>
    <w:p w14:paraId="03FDB730">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pPr>
      <w:r>
        <w:rPr>
          <w:rFonts w:ascii="仿宋_GB2312" w:hAnsi="Calibri" w:eastAsia="仿宋_GB2312"/>
          <w:kern w:val="2"/>
          <w:sz w:val="32"/>
        </w:rPr>
        <w:t>本项目合同服务期限为自合同签订之日</w:t>
      </w:r>
      <w:r>
        <w:rPr>
          <w:rFonts w:hint="eastAsia" w:ascii="仿宋_GB2312" w:hAnsi="Calibri" w:eastAsia="仿宋_GB2312"/>
          <w:kern w:val="2"/>
          <w:sz w:val="32"/>
          <w:lang w:val="en-US" w:eastAsia="zh-CN"/>
        </w:rPr>
        <w:t>6</w:t>
      </w:r>
      <w:r>
        <w:rPr>
          <w:rFonts w:hint="eastAsia" w:ascii="仿宋_GB2312" w:hAnsi="Calibri" w:eastAsia="仿宋_GB2312"/>
          <w:kern w:val="2"/>
          <w:sz w:val="32"/>
        </w:rPr>
        <w:t>个月内完成，</w:t>
      </w:r>
      <w:r>
        <w:rPr>
          <w:rFonts w:hint="eastAsia" w:ascii="仿宋_GB2312" w:eastAsia="仿宋_GB2312" w:hAnsiTheme="minorHAnsi"/>
          <w:kern w:val="2"/>
          <w:sz w:val="32"/>
        </w:rPr>
        <w:t>质保期不少</w:t>
      </w:r>
      <w:r>
        <w:rPr>
          <w:rFonts w:hint="eastAsia" w:ascii="仿宋_GB2312" w:eastAsia="仿宋_GB2312" w:hAnsiTheme="minorHAnsi"/>
          <w:kern w:val="2"/>
          <w:sz w:val="32"/>
          <w:lang w:val="en-US" w:eastAsia="zh-CN"/>
        </w:rPr>
        <w:t>2</w:t>
      </w:r>
      <w:r>
        <w:rPr>
          <w:rFonts w:hint="eastAsia" w:ascii="仿宋_GB2312" w:eastAsia="仿宋_GB2312" w:hAnsiTheme="minorHAnsi"/>
          <w:kern w:val="2"/>
          <w:sz w:val="32"/>
        </w:rPr>
        <w:t>年，实际质保期年限以中标供应商提供的承诺函中的质保期年限为准，质保期自项目通过验收之日起开始计算</w:t>
      </w:r>
      <w:r>
        <w:rPr>
          <w:rFonts w:hint="eastAsia" w:ascii="仿宋_GB2312" w:hAnsi="Calibri" w:eastAsia="仿宋_GB2312"/>
          <w:kern w:val="2"/>
          <w:sz w:val="32"/>
        </w:rPr>
        <w:t>。</w:t>
      </w:r>
    </w:p>
    <w:p w14:paraId="376967EE">
      <w:pPr>
        <w:pStyle w:val="3"/>
        <w:pageBreakBefore w:val="0"/>
        <w:kinsoku/>
        <w:wordWrap/>
        <w:overflowPunct/>
        <w:topLinePunct w:val="0"/>
        <w:autoSpaceDE/>
        <w:autoSpaceDN/>
        <w:bidi w:val="0"/>
        <w:spacing w:after="0" w:line="560" w:lineRule="exact"/>
        <w:ind w:firstLine="640" w:firstLineChars="200"/>
        <w:textAlignment w:val="auto"/>
      </w:pPr>
      <w:r>
        <w:t>七</w:t>
      </w:r>
      <w:r>
        <w:rPr>
          <w:rFonts w:hint="eastAsia"/>
        </w:rPr>
        <w:t>、支付方式</w:t>
      </w:r>
      <w:r>
        <w:rPr>
          <w:rFonts w:hint="eastAsia" w:ascii="黑体" w:hAnsi="黑体" w:cs="黑体"/>
          <w:color w:val="000000"/>
        </w:rPr>
        <w:t>：</w:t>
      </w:r>
    </w:p>
    <w:p w14:paraId="61C4F7D7">
      <w:pPr>
        <w:pageBreakBefore w:val="0"/>
        <w:kinsoku/>
        <w:wordWrap/>
        <w:overflowPunct/>
        <w:topLinePunct w:val="0"/>
        <w:autoSpaceDE/>
        <w:autoSpaceDN/>
        <w:bidi w:val="0"/>
        <w:spacing w:after="0" w:line="560" w:lineRule="exact"/>
        <w:ind w:firstLine="640" w:firstLineChars="200"/>
        <w:textAlignment w:val="auto"/>
        <w:rPr>
          <w:rFonts w:ascii="仿宋_GB2312" w:hAnsi="Calibri" w:eastAsia="仿宋_GB2312"/>
          <w:kern w:val="2"/>
          <w:sz w:val="32"/>
        </w:rPr>
      </w:pPr>
      <w:r>
        <w:rPr>
          <w:rFonts w:hint="eastAsia" w:ascii="仿宋_GB2312" w:hAnsi="Calibri" w:eastAsia="仿宋_GB2312"/>
          <w:kern w:val="2"/>
          <w:sz w:val="32"/>
        </w:rPr>
        <w:t>（1）</w:t>
      </w:r>
      <w:r>
        <w:rPr>
          <w:rFonts w:ascii="仿宋_GB2312" w:hAnsi="Calibri" w:eastAsia="仿宋_GB2312"/>
          <w:kern w:val="2"/>
          <w:sz w:val="32"/>
        </w:rPr>
        <w:t>合同签订生效后</w:t>
      </w:r>
      <w:r>
        <w:rPr>
          <w:rFonts w:hint="eastAsia" w:ascii="仿宋_GB2312" w:hAnsi="Calibri" w:eastAsia="仿宋_GB2312"/>
          <w:kern w:val="2"/>
          <w:sz w:val="32"/>
        </w:rPr>
        <w:t>，甲方</w:t>
      </w:r>
      <w:r>
        <w:rPr>
          <w:rFonts w:ascii="仿宋_GB2312" w:hAnsi="Calibri" w:eastAsia="仿宋_GB2312"/>
          <w:kern w:val="2"/>
          <w:sz w:val="32"/>
        </w:rPr>
        <w:t>向乙方</w:t>
      </w:r>
      <w:r>
        <w:rPr>
          <w:rFonts w:hint="eastAsia" w:ascii="仿宋_GB2312" w:hAnsi="Calibri" w:eastAsia="仿宋_GB2312"/>
          <w:kern w:val="2"/>
          <w:sz w:val="32"/>
        </w:rPr>
        <w:t>支付合同</w:t>
      </w:r>
      <w:r>
        <w:rPr>
          <w:rFonts w:hint="eastAsia" w:ascii="仿宋_GB2312" w:hAnsi="Calibri" w:eastAsia="仿宋_GB2312"/>
          <w:kern w:val="2"/>
          <w:sz w:val="32"/>
          <w:lang w:val="en-US" w:eastAsia="zh-CN"/>
        </w:rPr>
        <w:t>暂定</w:t>
      </w:r>
      <w:r>
        <w:rPr>
          <w:rFonts w:hint="eastAsia" w:ascii="仿宋_GB2312" w:hAnsi="Calibri" w:eastAsia="仿宋_GB2312"/>
          <w:kern w:val="2"/>
          <w:sz w:val="32"/>
        </w:rPr>
        <w:t>价</w:t>
      </w:r>
      <w:r>
        <w:rPr>
          <w:rFonts w:ascii="仿宋_GB2312" w:hAnsi="Calibri" w:eastAsia="仿宋_GB2312"/>
          <w:kern w:val="2"/>
          <w:sz w:val="32"/>
        </w:rPr>
        <w:t>的</w:t>
      </w:r>
      <w:r>
        <w:rPr>
          <w:rFonts w:hint="eastAsia" w:ascii="仿宋_GB2312" w:hAnsi="Calibri" w:eastAsia="仿宋_GB2312"/>
          <w:kern w:val="2"/>
          <w:sz w:val="32"/>
        </w:rPr>
        <w:t>30%作为预付款；</w:t>
      </w:r>
    </w:p>
    <w:p w14:paraId="3C26E05B">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Calibri" w:eastAsia="仿宋_GB2312"/>
          <w:kern w:val="2"/>
          <w:sz w:val="32"/>
          <w:lang w:eastAsia="zh-CN"/>
        </w:rPr>
      </w:pPr>
      <w:r>
        <w:rPr>
          <w:rFonts w:hint="eastAsia" w:ascii="仿宋_GB2312" w:hAnsi="Calibri" w:eastAsia="仿宋_GB2312"/>
          <w:kern w:val="2"/>
          <w:sz w:val="32"/>
        </w:rPr>
        <w:t>（2）项目</w:t>
      </w:r>
      <w:r>
        <w:rPr>
          <w:rFonts w:ascii="仿宋_GB2312" w:hAnsi="Calibri" w:eastAsia="仿宋_GB2312"/>
          <w:kern w:val="2"/>
          <w:sz w:val="32"/>
        </w:rPr>
        <w:t>完成</w:t>
      </w:r>
      <w:r>
        <w:rPr>
          <w:rFonts w:hint="eastAsia" w:ascii="仿宋_GB2312" w:hAnsi="Calibri" w:eastAsia="仿宋_GB2312"/>
          <w:kern w:val="2"/>
          <w:sz w:val="32"/>
          <w:lang w:val="en-US" w:eastAsia="zh-CN"/>
        </w:rPr>
        <w:t>且</w:t>
      </w:r>
      <w:r>
        <w:rPr>
          <w:rFonts w:hint="eastAsia" w:ascii="仿宋_GB2312" w:hAnsi="Calibri" w:eastAsia="仿宋_GB2312"/>
          <w:kern w:val="2"/>
          <w:sz w:val="32"/>
        </w:rPr>
        <w:t>验收</w:t>
      </w:r>
      <w:r>
        <w:rPr>
          <w:rFonts w:hint="eastAsia" w:ascii="仿宋_GB2312" w:hAnsi="Calibri" w:eastAsia="仿宋_GB2312"/>
          <w:kern w:val="2"/>
          <w:sz w:val="32"/>
          <w:lang w:val="en-US" w:eastAsia="zh-CN"/>
        </w:rPr>
        <w:t>合格</w:t>
      </w:r>
      <w:r>
        <w:rPr>
          <w:rFonts w:ascii="仿宋_GB2312" w:hAnsi="Calibri" w:eastAsia="仿宋_GB2312"/>
          <w:kern w:val="2"/>
          <w:sz w:val="32"/>
        </w:rPr>
        <w:t>，</w:t>
      </w:r>
      <w:r>
        <w:rPr>
          <w:rFonts w:hint="eastAsia" w:ascii="仿宋_GB2312" w:hAnsi="Calibri" w:eastAsia="仿宋_GB2312"/>
          <w:kern w:val="2"/>
          <w:sz w:val="32"/>
          <w:lang w:val="en-US" w:eastAsia="zh-CN"/>
        </w:rPr>
        <w:t>完成结算造价后，</w:t>
      </w:r>
      <w:r>
        <w:rPr>
          <w:rFonts w:hint="eastAsia" w:ascii="仿宋_GB2312" w:hAnsi="Calibri" w:eastAsia="仿宋_GB2312"/>
          <w:kern w:val="2"/>
          <w:sz w:val="32"/>
        </w:rPr>
        <w:t>甲方向乙方支付</w:t>
      </w:r>
      <w:r>
        <w:rPr>
          <w:rFonts w:hint="eastAsia" w:ascii="仿宋_GB2312" w:hAnsi="Calibri" w:eastAsia="仿宋_GB2312"/>
          <w:kern w:val="2"/>
          <w:sz w:val="32"/>
          <w:lang w:val="en-US" w:eastAsia="zh-CN"/>
        </w:rPr>
        <w:t>剩余尾款（以结算造价核定金额为准）</w:t>
      </w:r>
      <w:r>
        <w:rPr>
          <w:rFonts w:hint="eastAsia" w:ascii="仿宋_GB2312" w:hAnsi="Calibri" w:eastAsia="仿宋_GB2312"/>
          <w:kern w:val="2"/>
          <w:sz w:val="32"/>
          <w:lang w:eastAsia="zh-CN"/>
        </w:rPr>
        <w:t>。</w:t>
      </w:r>
    </w:p>
    <w:p w14:paraId="24EE70DE">
      <w:pPr>
        <w:pageBreakBefore w:val="0"/>
        <w:kinsoku/>
        <w:wordWrap/>
        <w:overflowPunct/>
        <w:topLinePunct w:val="0"/>
        <w:autoSpaceDE/>
        <w:autoSpaceDN/>
        <w:bidi w:val="0"/>
        <w:spacing w:after="0" w:line="560" w:lineRule="exact"/>
        <w:ind w:firstLine="640" w:firstLineChars="200"/>
        <w:textAlignment w:val="auto"/>
        <w:rPr>
          <w:rFonts w:hint="eastAsia" w:ascii="黑体" w:hAnsi="黑体" w:eastAsia="黑体" w:cs="黑体"/>
          <w:kern w:val="2"/>
          <w:sz w:val="32"/>
        </w:rPr>
      </w:pPr>
      <w:r>
        <w:rPr>
          <w:rFonts w:ascii="黑体" w:hAnsi="黑体" w:eastAsia="黑体" w:cs="黑体"/>
          <w:kern w:val="2"/>
          <w:sz w:val="32"/>
        </w:rPr>
        <w:t>八</w:t>
      </w:r>
      <w:r>
        <w:rPr>
          <w:rFonts w:hint="eastAsia" w:ascii="黑体" w:hAnsi="黑体" w:eastAsia="黑体" w:cs="黑体"/>
          <w:kern w:val="2"/>
          <w:sz w:val="32"/>
        </w:rPr>
        <w:t>、报价要求</w:t>
      </w:r>
    </w:p>
    <w:p w14:paraId="6A6CC738">
      <w:pPr>
        <w:pageBreakBefore w:val="0"/>
        <w:kinsoku/>
        <w:wordWrap/>
        <w:overflowPunct/>
        <w:topLinePunct w:val="0"/>
        <w:autoSpaceDE/>
        <w:autoSpaceDN/>
        <w:bidi w:val="0"/>
        <w:spacing w:after="0" w:line="560" w:lineRule="exact"/>
        <w:ind w:firstLine="640" w:firstLineChars="200"/>
        <w:textAlignment w:val="auto"/>
        <w:rPr>
          <w:rFonts w:ascii="仿宋_GB2312" w:hAnsi="Calibri" w:eastAsia="仿宋_GB2312"/>
          <w:kern w:val="2"/>
          <w:sz w:val="32"/>
        </w:rPr>
      </w:pPr>
      <w:r>
        <w:rPr>
          <w:rFonts w:hint="eastAsia" w:ascii="仿宋_GB2312" w:hAnsi="Calibri" w:eastAsia="仿宋_GB2312"/>
          <w:kern w:val="2"/>
          <w:sz w:val="32"/>
        </w:rPr>
        <w:t>报价应包括人工成本、设备成本、材料费用、法定税费和利润。由企业根据采购文件所提供的资料自行测算投标报价；一经中标，投标报价总价作为中标单位与采购单位签定的合同金额，据实结算，不得超过合同金额。</w:t>
      </w:r>
    </w:p>
    <w:p w14:paraId="6A238FA0">
      <w:pPr>
        <w:pageBreakBefore w:val="0"/>
        <w:kinsoku/>
        <w:wordWrap/>
        <w:overflowPunct/>
        <w:topLinePunct w:val="0"/>
        <w:autoSpaceDE/>
        <w:autoSpaceDN/>
        <w:bidi w:val="0"/>
        <w:spacing w:after="0" w:line="560" w:lineRule="exact"/>
        <w:ind w:firstLine="640" w:firstLineChars="200"/>
        <w:textAlignment w:val="auto"/>
        <w:rPr>
          <w:rFonts w:hint="eastAsia" w:ascii="黑体" w:hAnsi="黑体" w:eastAsia="黑体" w:cs="黑体"/>
          <w:kern w:val="2"/>
          <w:sz w:val="32"/>
        </w:rPr>
      </w:pPr>
      <w:r>
        <w:rPr>
          <w:rFonts w:ascii="黑体" w:hAnsi="黑体" w:eastAsia="黑体" w:cs="黑体"/>
          <w:kern w:val="2"/>
          <w:sz w:val="32"/>
        </w:rPr>
        <w:t>九</w:t>
      </w:r>
      <w:r>
        <w:rPr>
          <w:rFonts w:hint="eastAsia" w:ascii="黑体" w:hAnsi="黑体" w:eastAsia="黑体" w:cs="黑体"/>
          <w:kern w:val="2"/>
          <w:sz w:val="32"/>
        </w:rPr>
        <w:t>、其他说明</w:t>
      </w:r>
      <w:r>
        <w:rPr>
          <w:rFonts w:hint="eastAsia" w:ascii="黑体" w:hAnsi="黑体" w:eastAsia="黑体" w:cs="黑体"/>
          <w:color w:val="000000"/>
          <w:sz w:val="32"/>
          <w:szCs w:val="32"/>
        </w:rPr>
        <w:t>：</w:t>
      </w:r>
    </w:p>
    <w:p w14:paraId="7149D69F">
      <w:pPr>
        <w:pageBreakBefore w:val="0"/>
        <w:kinsoku/>
        <w:wordWrap/>
        <w:overflowPunct/>
        <w:topLinePunct w:val="0"/>
        <w:autoSpaceDE/>
        <w:autoSpaceDN/>
        <w:bidi w:val="0"/>
        <w:spacing w:after="0" w:line="560" w:lineRule="exact"/>
        <w:ind w:firstLine="640" w:firstLineChars="200"/>
        <w:textAlignment w:val="auto"/>
        <w:rPr>
          <w:rFonts w:ascii="仿宋_GB2312" w:hAnsi="Calibri" w:eastAsia="仿宋_GB2312"/>
          <w:kern w:val="2"/>
          <w:sz w:val="32"/>
        </w:rPr>
      </w:pPr>
      <w:r>
        <w:rPr>
          <w:rFonts w:hint="eastAsia" w:ascii="仿宋_GB2312" w:hAnsi="Calibri" w:eastAsia="仿宋_GB2312"/>
          <w:kern w:val="2"/>
          <w:sz w:val="32"/>
        </w:rPr>
        <w:t>1.</w:t>
      </w:r>
      <w:r>
        <w:rPr>
          <w:rFonts w:ascii="仿宋_GB2312" w:hAnsi="Calibri" w:eastAsia="仿宋_GB2312"/>
          <w:kern w:val="2"/>
          <w:sz w:val="32"/>
        </w:rPr>
        <w:t>投标人</w:t>
      </w:r>
      <w:r>
        <w:rPr>
          <w:rFonts w:hint="eastAsia" w:ascii="仿宋_GB2312" w:hAnsi="Calibri" w:eastAsia="仿宋_GB2312"/>
          <w:kern w:val="2"/>
          <w:sz w:val="32"/>
        </w:rPr>
        <w:t>应严格按照采购文件要求编制《应答文件》。</w:t>
      </w:r>
    </w:p>
    <w:p w14:paraId="38BB8860">
      <w:pPr>
        <w:pageBreakBefore w:val="0"/>
        <w:kinsoku/>
        <w:wordWrap/>
        <w:overflowPunct/>
        <w:topLinePunct w:val="0"/>
        <w:autoSpaceDE/>
        <w:autoSpaceDN/>
        <w:bidi w:val="0"/>
        <w:spacing w:after="0" w:line="560" w:lineRule="exact"/>
        <w:ind w:firstLine="640" w:firstLineChars="200"/>
        <w:textAlignment w:val="auto"/>
        <w:rPr>
          <w:rFonts w:ascii="仿宋_GB2312" w:hAnsi="Calibri" w:eastAsia="仿宋_GB2312"/>
          <w:kern w:val="2"/>
          <w:sz w:val="32"/>
        </w:rPr>
      </w:pPr>
      <w:r>
        <w:rPr>
          <w:rFonts w:hint="eastAsia" w:ascii="仿宋_GB2312" w:hAnsi="Calibri" w:eastAsia="仿宋_GB2312"/>
          <w:kern w:val="2"/>
          <w:sz w:val="32"/>
        </w:rPr>
        <w:t>2.《应答文件》一正一副</w:t>
      </w:r>
      <w:r>
        <w:rPr>
          <w:rFonts w:hint="eastAsia" w:ascii="仿宋_GB2312" w:hAnsi="Calibri" w:eastAsia="仿宋_GB2312"/>
          <w:kern w:val="2"/>
          <w:sz w:val="32"/>
          <w:lang w:eastAsia="zh-CN"/>
        </w:rPr>
        <w:t>（</w:t>
      </w:r>
      <w:r>
        <w:rPr>
          <w:rFonts w:hint="eastAsia" w:ascii="仿宋_GB2312" w:hAnsi="Calibri" w:eastAsia="仿宋_GB2312"/>
          <w:kern w:val="2"/>
          <w:sz w:val="32"/>
          <w:lang w:val="en-US" w:eastAsia="zh-CN"/>
        </w:rPr>
        <w:t>纸质版+电子版</w:t>
      </w:r>
      <w:r>
        <w:rPr>
          <w:rFonts w:hint="eastAsia" w:ascii="仿宋_GB2312" w:hAnsi="Calibri" w:eastAsia="仿宋_GB2312"/>
          <w:kern w:val="2"/>
          <w:sz w:val="32"/>
          <w:lang w:eastAsia="zh-CN"/>
        </w:rPr>
        <w:t>）</w:t>
      </w:r>
      <w:r>
        <w:rPr>
          <w:rFonts w:hint="eastAsia" w:ascii="仿宋_GB2312" w:hAnsi="Calibri" w:eastAsia="仿宋_GB2312"/>
          <w:kern w:val="2"/>
          <w:sz w:val="32"/>
        </w:rPr>
        <w:t>，封于同一密封袋（加盖供应商公章），现场一并提交。</w:t>
      </w:r>
    </w:p>
    <w:p w14:paraId="0D6B9309">
      <w:pPr>
        <w:pageBreakBefore w:val="0"/>
        <w:kinsoku/>
        <w:wordWrap/>
        <w:overflowPunct/>
        <w:topLinePunct w:val="0"/>
        <w:autoSpaceDE/>
        <w:autoSpaceDN/>
        <w:bidi w:val="0"/>
        <w:spacing w:after="0" w:line="560" w:lineRule="exact"/>
        <w:ind w:firstLine="640" w:firstLineChars="200"/>
        <w:textAlignment w:val="auto"/>
      </w:pPr>
      <w:r>
        <w:rPr>
          <w:rFonts w:hint="eastAsia" w:ascii="仿宋_GB2312" w:hAnsi="Calibri" w:eastAsia="仿宋_GB2312"/>
          <w:kern w:val="2"/>
          <w:sz w:val="32"/>
        </w:rPr>
        <w:t>3.《应答文件》的每页均加盖供应商的公章，否则该页无效。</w:t>
      </w:r>
    </w:p>
    <w:p w14:paraId="72F470AC">
      <w:pPr>
        <w:pStyle w:val="3"/>
        <w:pageBreakBefore w:val="0"/>
        <w:kinsoku/>
        <w:wordWrap/>
        <w:overflowPunct/>
        <w:topLinePunct w:val="0"/>
        <w:autoSpaceDE/>
        <w:autoSpaceDN/>
        <w:bidi w:val="0"/>
        <w:spacing w:after="0"/>
        <w:ind w:firstLine="640" w:firstLineChars="200"/>
        <w:textAlignment w:val="auto"/>
        <w:rPr>
          <w:rFonts w:hint="eastAsia" w:ascii="仿宋_GB2312" w:hAnsi="仿宋_GB2312" w:eastAsia="仿宋_GB2312" w:cs="仿宋_GB2312"/>
        </w:rPr>
      </w:pPr>
      <w:r>
        <w:t>十</w:t>
      </w:r>
      <w:r>
        <w:rPr>
          <w:rFonts w:hint="eastAsia"/>
        </w:rPr>
        <w:t>、评审细则</w:t>
      </w:r>
      <w:r>
        <w:rPr>
          <w:rFonts w:hint="eastAsia" w:ascii="黑体" w:hAnsi="黑体" w:cs="黑体"/>
          <w:color w:val="000000"/>
        </w:rPr>
        <w:t>：</w:t>
      </w:r>
    </w:p>
    <w:tbl>
      <w:tblPr>
        <w:tblStyle w:val="9"/>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1275"/>
        <w:gridCol w:w="834"/>
        <w:gridCol w:w="6710"/>
      </w:tblGrid>
      <w:tr w14:paraId="6468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518" w:type="dxa"/>
            <w:tcBorders>
              <w:top w:val="single" w:color="auto" w:sz="4" w:space="0"/>
              <w:left w:val="single" w:color="auto" w:sz="4" w:space="0"/>
              <w:bottom w:val="single" w:color="auto" w:sz="4" w:space="0"/>
              <w:right w:val="single" w:color="auto" w:sz="4" w:space="0"/>
            </w:tcBorders>
            <w:vAlign w:val="center"/>
          </w:tcPr>
          <w:p w14:paraId="26935D5D">
            <w:pPr>
              <w:pageBreakBefore w:val="0"/>
              <w:kinsoku/>
              <w:wordWrap/>
              <w:overflowPunct/>
              <w:topLinePunct w:val="0"/>
              <w:autoSpaceDE/>
              <w:autoSpaceDN/>
              <w:bidi w:val="0"/>
              <w:spacing w:after="0"/>
              <w:jc w:val="center"/>
              <w:textAlignment w:val="auto"/>
              <w:rPr>
                <w:rFonts w:hint="eastAsia" w:ascii="仿宋_GB2312" w:hAnsi="仿宋_GB2312" w:eastAsia="仿宋_GB2312" w:cs="仿宋_GB2312"/>
                <w:b/>
                <w:bCs/>
                <w:sz w:val="24"/>
                <w:szCs w:val="24"/>
              </w:rPr>
            </w:pPr>
            <w:bookmarkStart w:id="0" w:name="_Hlk170839047"/>
            <w:r>
              <w:rPr>
                <w:rFonts w:hint="eastAsia" w:ascii="仿宋_GB2312" w:hAnsi="仿宋_GB2312" w:eastAsia="仿宋_GB2312" w:cs="仿宋_GB2312"/>
                <w:b/>
                <w:bCs/>
                <w:sz w:val="24"/>
                <w:szCs w:val="24"/>
              </w:rPr>
              <w:t>序号</w:t>
            </w:r>
          </w:p>
        </w:tc>
        <w:tc>
          <w:tcPr>
            <w:tcW w:w="1275" w:type="dxa"/>
            <w:tcBorders>
              <w:top w:val="single" w:color="auto" w:sz="4" w:space="0"/>
              <w:left w:val="single" w:color="auto" w:sz="4" w:space="0"/>
              <w:bottom w:val="single" w:color="auto" w:sz="4" w:space="0"/>
              <w:right w:val="single" w:color="auto" w:sz="4" w:space="0"/>
            </w:tcBorders>
            <w:vAlign w:val="center"/>
          </w:tcPr>
          <w:p w14:paraId="7E717B65">
            <w:pPr>
              <w:pageBreakBefore w:val="0"/>
              <w:kinsoku/>
              <w:wordWrap/>
              <w:overflowPunct/>
              <w:topLinePunct w:val="0"/>
              <w:autoSpaceDE/>
              <w:autoSpaceDN/>
              <w:bidi w:val="0"/>
              <w:spacing w:after="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评分项</w:t>
            </w:r>
          </w:p>
        </w:tc>
        <w:tc>
          <w:tcPr>
            <w:tcW w:w="834" w:type="dxa"/>
            <w:tcBorders>
              <w:top w:val="single" w:color="auto" w:sz="4" w:space="0"/>
              <w:left w:val="single" w:color="auto" w:sz="4" w:space="0"/>
              <w:bottom w:val="single" w:color="auto" w:sz="4" w:space="0"/>
              <w:right w:val="single" w:color="auto" w:sz="4" w:space="0"/>
            </w:tcBorders>
            <w:vAlign w:val="center"/>
          </w:tcPr>
          <w:p w14:paraId="6297BDE3">
            <w:pPr>
              <w:pageBreakBefore w:val="0"/>
              <w:kinsoku/>
              <w:wordWrap/>
              <w:overflowPunct/>
              <w:topLinePunct w:val="0"/>
              <w:autoSpaceDE/>
              <w:autoSpaceDN/>
              <w:bidi w:val="0"/>
              <w:spacing w:after="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分值</w:t>
            </w:r>
          </w:p>
        </w:tc>
        <w:tc>
          <w:tcPr>
            <w:tcW w:w="6710" w:type="dxa"/>
            <w:tcBorders>
              <w:top w:val="single" w:color="auto" w:sz="4" w:space="0"/>
              <w:left w:val="single" w:color="auto" w:sz="4" w:space="0"/>
              <w:bottom w:val="single" w:color="auto" w:sz="4" w:space="0"/>
              <w:right w:val="single" w:color="auto" w:sz="4" w:space="0"/>
            </w:tcBorders>
            <w:vAlign w:val="center"/>
          </w:tcPr>
          <w:p w14:paraId="725C9264">
            <w:pPr>
              <w:pageBreakBefore w:val="0"/>
              <w:kinsoku/>
              <w:wordWrap/>
              <w:overflowPunct/>
              <w:topLinePunct w:val="0"/>
              <w:autoSpaceDE/>
              <w:autoSpaceDN/>
              <w:bidi w:val="0"/>
              <w:spacing w:after="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评分准则</w:t>
            </w:r>
          </w:p>
        </w:tc>
      </w:tr>
      <w:tr w14:paraId="764F1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8" w:type="dxa"/>
            <w:tcBorders>
              <w:top w:val="single" w:color="auto" w:sz="4" w:space="0"/>
              <w:left w:val="single" w:color="auto" w:sz="4" w:space="0"/>
              <w:bottom w:val="single" w:color="auto" w:sz="4" w:space="0"/>
              <w:right w:val="single" w:color="auto" w:sz="4" w:space="0"/>
            </w:tcBorders>
            <w:vAlign w:val="center"/>
          </w:tcPr>
          <w:p w14:paraId="2A469716">
            <w:pPr>
              <w:pageBreakBefore w:val="0"/>
              <w:kinsoku/>
              <w:wordWrap/>
              <w:overflowPunct/>
              <w:topLinePunct w:val="0"/>
              <w:autoSpaceDE/>
              <w:autoSpaceDN/>
              <w:bidi w:val="0"/>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275" w:type="dxa"/>
            <w:tcBorders>
              <w:top w:val="single" w:color="auto" w:sz="4" w:space="0"/>
              <w:left w:val="single" w:color="auto" w:sz="4" w:space="0"/>
              <w:bottom w:val="single" w:color="auto" w:sz="4" w:space="0"/>
              <w:right w:val="single" w:color="auto" w:sz="4" w:space="0"/>
            </w:tcBorders>
            <w:vAlign w:val="center"/>
          </w:tcPr>
          <w:p w14:paraId="4A987DC5">
            <w:pPr>
              <w:pageBreakBefore w:val="0"/>
              <w:kinsoku/>
              <w:wordWrap/>
              <w:overflowPunct/>
              <w:topLinePunct w:val="0"/>
              <w:autoSpaceDE/>
              <w:autoSpaceDN/>
              <w:bidi w:val="0"/>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价格部分</w:t>
            </w:r>
          </w:p>
        </w:tc>
        <w:tc>
          <w:tcPr>
            <w:tcW w:w="834" w:type="dxa"/>
            <w:tcBorders>
              <w:top w:val="single" w:color="auto" w:sz="4" w:space="0"/>
              <w:left w:val="single" w:color="auto" w:sz="4" w:space="0"/>
              <w:bottom w:val="single" w:color="auto" w:sz="4" w:space="0"/>
              <w:right w:val="single" w:color="auto" w:sz="4" w:space="0"/>
            </w:tcBorders>
            <w:vAlign w:val="center"/>
          </w:tcPr>
          <w:p w14:paraId="571DCED9">
            <w:pPr>
              <w:pageBreakBefore w:val="0"/>
              <w:kinsoku/>
              <w:wordWrap/>
              <w:overflowPunct/>
              <w:topLinePunct w:val="0"/>
              <w:autoSpaceDE/>
              <w:autoSpaceDN/>
              <w:bidi w:val="0"/>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40</w:t>
            </w:r>
          </w:p>
        </w:tc>
        <w:tc>
          <w:tcPr>
            <w:tcW w:w="6710" w:type="dxa"/>
            <w:tcBorders>
              <w:top w:val="single" w:color="auto" w:sz="4" w:space="0"/>
              <w:left w:val="single" w:color="auto" w:sz="4" w:space="0"/>
              <w:bottom w:val="single" w:color="auto" w:sz="4" w:space="0"/>
              <w:right w:val="single" w:color="auto" w:sz="4" w:space="0"/>
            </w:tcBorders>
          </w:tcPr>
          <w:p w14:paraId="2D954455">
            <w:pPr>
              <w:pStyle w:val="2"/>
              <w:pageBreakBefore w:val="0"/>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kern w:val="2"/>
                <w:sz w:val="24"/>
                <w:szCs w:val="24"/>
              </w:rPr>
            </w:pPr>
            <w:r>
              <w:rPr>
                <w:rFonts w:hint="eastAsia" w:ascii="仿宋_GB2312" w:hAnsi="仿宋_GB2312" w:eastAsia="仿宋_GB2312" w:cs="仿宋_GB2312"/>
                <w:b w:val="0"/>
                <w:kern w:val="2"/>
                <w:sz w:val="24"/>
                <w:szCs w:val="24"/>
              </w:rPr>
              <w:t xml:space="preserve">采用低价优先法计算，即满足文件要求且投标价格最低的投标报价为评标基准价，其价格分为满分。报价超过预算金额则为废标，其他投标人的价格分统一按照下列公式计算： </w:t>
            </w:r>
          </w:p>
          <w:p w14:paraId="526B4120">
            <w:pPr>
              <w:pStyle w:val="2"/>
              <w:pageBreakBefore w:val="0"/>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kern w:val="2"/>
                <w:sz w:val="24"/>
                <w:szCs w:val="24"/>
              </w:rPr>
            </w:pPr>
            <w:r>
              <w:rPr>
                <w:rFonts w:hint="eastAsia" w:ascii="仿宋_GB2312" w:hAnsi="仿宋_GB2312" w:eastAsia="仿宋_GB2312" w:cs="仿宋_GB2312"/>
                <w:b w:val="0"/>
                <w:kern w:val="2"/>
                <w:sz w:val="24"/>
                <w:szCs w:val="24"/>
              </w:rPr>
              <w:t>投标报价得分=(评标基准价／投标报价)×价格分分值</w:t>
            </w:r>
          </w:p>
          <w:p w14:paraId="77AE5711">
            <w:pPr>
              <w:pStyle w:val="2"/>
              <w:pageBreakBefore w:val="0"/>
              <w:kinsoku/>
              <w:wordWrap/>
              <w:overflowPunct/>
              <w:topLinePunct w:val="0"/>
              <w:autoSpaceDE/>
              <w:autoSpaceDN/>
              <w:bidi w:val="0"/>
              <w:spacing w:before="0" w:after="0" w:line="4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val="0"/>
                <w:kern w:val="2"/>
                <w:sz w:val="24"/>
                <w:szCs w:val="24"/>
              </w:rPr>
              <w:t>评审材料</w:t>
            </w:r>
            <w:r>
              <w:rPr>
                <w:rFonts w:hint="eastAsia" w:ascii="仿宋_GB2312" w:hAnsi="仿宋_GB2312" w:eastAsia="仿宋_GB2312" w:cs="仿宋_GB2312"/>
                <w:b w:val="0"/>
                <w:kern w:val="2"/>
                <w:sz w:val="24"/>
                <w:szCs w:val="24"/>
              </w:rPr>
              <w:t>：《应答文件》-价格部分</w:t>
            </w:r>
          </w:p>
        </w:tc>
      </w:tr>
      <w:tr w14:paraId="2E5BD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518" w:type="dxa"/>
            <w:tcBorders>
              <w:top w:val="single" w:color="auto" w:sz="4" w:space="0"/>
              <w:left w:val="single" w:color="auto" w:sz="4" w:space="0"/>
              <w:bottom w:val="single" w:color="auto" w:sz="4" w:space="0"/>
              <w:right w:val="single" w:color="auto" w:sz="4" w:space="0"/>
            </w:tcBorders>
            <w:vAlign w:val="center"/>
          </w:tcPr>
          <w:p w14:paraId="54255750">
            <w:pPr>
              <w:pageBreakBefore w:val="0"/>
              <w:kinsoku/>
              <w:wordWrap/>
              <w:overflowPunct/>
              <w:topLinePunct w:val="0"/>
              <w:autoSpaceDE/>
              <w:autoSpaceDN/>
              <w:bidi w:val="0"/>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275" w:type="dxa"/>
            <w:tcBorders>
              <w:top w:val="single" w:color="auto" w:sz="4" w:space="0"/>
              <w:left w:val="single" w:color="auto" w:sz="4" w:space="0"/>
              <w:bottom w:val="single" w:color="auto" w:sz="4" w:space="0"/>
              <w:right w:val="single" w:color="auto" w:sz="4" w:space="0"/>
            </w:tcBorders>
            <w:vAlign w:val="center"/>
          </w:tcPr>
          <w:p w14:paraId="179A7C2E">
            <w:pPr>
              <w:pageBreakBefore w:val="0"/>
              <w:kinsoku/>
              <w:wordWrap/>
              <w:overflowPunct/>
              <w:topLinePunct w:val="0"/>
              <w:autoSpaceDE/>
              <w:autoSpaceDN/>
              <w:bidi w:val="0"/>
              <w:spacing w:after="0"/>
              <w:jc w:val="center"/>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业绩经验</w:t>
            </w:r>
          </w:p>
        </w:tc>
        <w:tc>
          <w:tcPr>
            <w:tcW w:w="834" w:type="dxa"/>
            <w:tcBorders>
              <w:top w:val="single" w:color="auto" w:sz="4" w:space="0"/>
              <w:left w:val="single" w:color="auto" w:sz="4" w:space="0"/>
              <w:bottom w:val="single" w:color="auto" w:sz="4" w:space="0"/>
              <w:right w:val="single" w:color="auto" w:sz="4" w:space="0"/>
            </w:tcBorders>
            <w:vAlign w:val="center"/>
          </w:tcPr>
          <w:p w14:paraId="3DCD7A8A">
            <w:pPr>
              <w:pageBreakBefore w:val="0"/>
              <w:kinsoku/>
              <w:wordWrap/>
              <w:overflowPunct/>
              <w:topLinePunct w:val="0"/>
              <w:autoSpaceDE/>
              <w:autoSpaceDN/>
              <w:bidi w:val="0"/>
              <w:spacing w:after="0"/>
              <w:jc w:val="center"/>
              <w:textAlignment w:val="auto"/>
              <w:rPr>
                <w:rFonts w:hint="default" w:ascii="仿宋_GB2312" w:hAnsi="仿宋_GB2312" w:eastAsia="微软雅黑" w:cs="仿宋_GB2312"/>
                <w:kern w:val="2"/>
                <w:sz w:val="24"/>
                <w:szCs w:val="24"/>
                <w:lang w:val="en-US" w:eastAsia="zh-CN"/>
              </w:rPr>
            </w:pPr>
            <w:r>
              <w:rPr>
                <w:rFonts w:hint="eastAsia" w:ascii="仿宋_GB2312" w:hAnsi="仿宋_GB2312" w:eastAsia="仿宋_GB2312" w:cs="仿宋_GB2312"/>
                <w:sz w:val="24"/>
                <w:szCs w:val="24"/>
              </w:rPr>
              <w:t>1</w:t>
            </w:r>
            <w:r>
              <w:rPr>
                <w:rFonts w:hint="eastAsia"/>
                <w:lang w:val="en-US" w:eastAsia="zh-CN"/>
              </w:rPr>
              <w:t>0</w:t>
            </w:r>
          </w:p>
        </w:tc>
        <w:tc>
          <w:tcPr>
            <w:tcW w:w="6710" w:type="dxa"/>
            <w:tcBorders>
              <w:top w:val="single" w:color="auto" w:sz="4" w:space="0"/>
              <w:left w:val="single" w:color="auto" w:sz="4" w:space="0"/>
              <w:bottom w:val="single" w:color="auto" w:sz="4" w:space="0"/>
              <w:right w:val="single" w:color="auto" w:sz="4" w:space="0"/>
            </w:tcBorders>
            <w:vAlign w:val="center"/>
          </w:tcPr>
          <w:p w14:paraId="4AE66EE1">
            <w:pPr>
              <w:pageBreakBefore w:val="0"/>
              <w:kinsoku/>
              <w:wordWrap/>
              <w:overflowPunct/>
              <w:topLinePunct w:val="0"/>
              <w:autoSpaceDE/>
              <w:autoSpaceDN/>
              <w:bidi w:val="0"/>
              <w:spacing w:after="0" w:line="400" w:lineRule="exact"/>
              <w:ind w:firstLine="480"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kern w:val="2"/>
                <w:sz w:val="24"/>
                <w:szCs w:val="24"/>
                <w:lang w:val="en-US" w:eastAsia="zh-CN"/>
              </w:rPr>
              <w:t>近五年(以合同签订时间为准)</w:t>
            </w:r>
            <w:r>
              <w:rPr>
                <w:rFonts w:hint="eastAsia" w:ascii="仿宋_GB2312" w:hAnsi="仿宋_GB2312" w:eastAsia="仿宋_GB2312" w:cs="仿宋_GB2312"/>
                <w:kern w:val="2"/>
                <w:sz w:val="24"/>
                <w:szCs w:val="24"/>
              </w:rPr>
              <w:t>公司有类似项目经验及案例，每提供1份类似项目合同，得</w:t>
            </w:r>
            <w:r>
              <w:rPr>
                <w:rFonts w:hint="eastAsia" w:ascii="仿宋_GB2312" w:hAnsi="仿宋_GB2312" w:eastAsia="仿宋_GB2312" w:cs="仿宋_GB2312"/>
                <w:kern w:val="2"/>
                <w:sz w:val="24"/>
                <w:szCs w:val="24"/>
                <w:lang w:val="en-US" w:eastAsia="zh-CN"/>
              </w:rPr>
              <w:t>5</w:t>
            </w:r>
            <w:r>
              <w:rPr>
                <w:rFonts w:hint="eastAsia" w:ascii="仿宋_GB2312" w:hAnsi="仿宋_GB2312" w:eastAsia="仿宋_GB2312" w:cs="仿宋_GB2312"/>
                <w:kern w:val="2"/>
                <w:sz w:val="24"/>
                <w:szCs w:val="24"/>
              </w:rPr>
              <w:t>分，最高得1</w:t>
            </w:r>
            <w:r>
              <w:rPr>
                <w:rFonts w:hint="eastAsia" w:ascii="仿宋_GB2312" w:hAnsi="仿宋_GB2312" w:eastAsia="仿宋_GB2312" w:cs="仿宋_GB2312"/>
                <w:kern w:val="2"/>
                <w:sz w:val="24"/>
                <w:szCs w:val="24"/>
                <w:lang w:val="en-US" w:eastAsia="zh-CN"/>
              </w:rPr>
              <w:t>0</w:t>
            </w:r>
            <w:r>
              <w:rPr>
                <w:rFonts w:hint="eastAsia" w:ascii="仿宋_GB2312" w:hAnsi="仿宋_GB2312" w:eastAsia="仿宋_GB2312" w:cs="仿宋_GB2312"/>
                <w:kern w:val="2"/>
                <w:sz w:val="24"/>
                <w:szCs w:val="24"/>
              </w:rPr>
              <w:t>分。</w:t>
            </w:r>
          </w:p>
          <w:p w14:paraId="254DEF4C">
            <w:pPr>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b/>
                <w:bCs/>
                <w:sz w:val="24"/>
                <w:szCs w:val="24"/>
              </w:rPr>
              <w:t>评审材料：</w:t>
            </w:r>
            <w:r>
              <w:rPr>
                <w:rFonts w:hint="eastAsia" w:ascii="仿宋_GB2312" w:hAnsi="仿宋_GB2312" w:eastAsia="仿宋_GB2312" w:cs="仿宋_GB2312"/>
                <w:sz w:val="24"/>
                <w:szCs w:val="24"/>
              </w:rPr>
              <w:t>《应答文件》</w:t>
            </w:r>
            <w:r>
              <w:rPr>
                <w:rFonts w:hint="eastAsia" w:ascii="仿宋_GB2312" w:hAnsi="仿宋_GB2312" w:eastAsia="仿宋_GB2312" w:cs="仿宋_GB2312"/>
                <w:kern w:val="2"/>
                <w:sz w:val="24"/>
                <w:szCs w:val="24"/>
              </w:rPr>
              <w:t>-</w:t>
            </w:r>
            <w:r>
              <w:rPr>
                <w:rFonts w:hint="eastAsia" w:ascii="仿宋_GB2312" w:hAnsi="仿宋_GB2312" w:eastAsia="仿宋_GB2312" w:cs="仿宋_GB2312"/>
                <w:kern w:val="2"/>
                <w:sz w:val="24"/>
                <w:szCs w:val="24"/>
                <w:lang w:val="en-US" w:eastAsia="zh-CN"/>
              </w:rPr>
              <w:t>业绩经验</w:t>
            </w:r>
          </w:p>
        </w:tc>
      </w:tr>
      <w:tr w14:paraId="50391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8" w:type="dxa"/>
            <w:tcBorders>
              <w:top w:val="single" w:color="auto" w:sz="4" w:space="0"/>
              <w:left w:val="single" w:color="auto" w:sz="4" w:space="0"/>
              <w:bottom w:val="single" w:color="auto" w:sz="4" w:space="0"/>
              <w:right w:val="single" w:color="auto" w:sz="4" w:space="0"/>
            </w:tcBorders>
            <w:vAlign w:val="center"/>
          </w:tcPr>
          <w:p w14:paraId="1449849A">
            <w:pPr>
              <w:pageBreakBefore w:val="0"/>
              <w:kinsoku/>
              <w:wordWrap/>
              <w:overflowPunct/>
              <w:topLinePunct w:val="0"/>
              <w:autoSpaceDE/>
              <w:autoSpaceDN/>
              <w:bidi w:val="0"/>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275" w:type="dxa"/>
            <w:tcBorders>
              <w:top w:val="single" w:color="auto" w:sz="4" w:space="0"/>
              <w:left w:val="single" w:color="auto" w:sz="4" w:space="0"/>
              <w:bottom w:val="single" w:color="auto" w:sz="4" w:space="0"/>
              <w:right w:val="single" w:color="auto" w:sz="4" w:space="0"/>
            </w:tcBorders>
            <w:vAlign w:val="center"/>
          </w:tcPr>
          <w:p w14:paraId="756BA012">
            <w:pPr>
              <w:pageBreakBefore w:val="0"/>
              <w:kinsoku/>
              <w:wordWrap/>
              <w:overflowPunct/>
              <w:topLinePunct w:val="0"/>
              <w:autoSpaceDE/>
              <w:autoSpaceDN/>
              <w:bidi w:val="0"/>
              <w:spacing w:after="0"/>
              <w:jc w:val="center"/>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sz w:val="24"/>
                <w:szCs w:val="24"/>
              </w:rPr>
              <w:t>公司</w:t>
            </w:r>
            <w:r>
              <w:rPr>
                <w:rFonts w:hint="eastAsia" w:ascii="仿宋_GB2312" w:hAnsi="仿宋_GB2312" w:eastAsia="仿宋_GB2312" w:cs="仿宋_GB2312"/>
                <w:kern w:val="2"/>
                <w:sz w:val="24"/>
                <w:szCs w:val="24"/>
                <w:lang w:val="en-US" w:eastAsia="zh-CN"/>
              </w:rPr>
              <w:t>资质</w:t>
            </w:r>
          </w:p>
        </w:tc>
        <w:tc>
          <w:tcPr>
            <w:tcW w:w="834" w:type="dxa"/>
            <w:tcBorders>
              <w:top w:val="single" w:color="auto" w:sz="4" w:space="0"/>
              <w:left w:val="single" w:color="auto" w:sz="4" w:space="0"/>
              <w:bottom w:val="single" w:color="auto" w:sz="4" w:space="0"/>
              <w:right w:val="single" w:color="auto" w:sz="4" w:space="0"/>
            </w:tcBorders>
            <w:vAlign w:val="center"/>
          </w:tcPr>
          <w:p w14:paraId="3CE8BC57">
            <w:pPr>
              <w:pageBreakBefore w:val="0"/>
              <w:kinsoku/>
              <w:wordWrap/>
              <w:overflowPunct/>
              <w:topLinePunct w:val="0"/>
              <w:autoSpaceDE/>
              <w:autoSpaceDN/>
              <w:bidi w:val="0"/>
              <w:spacing w:after="0"/>
              <w:jc w:val="center"/>
              <w:textAlignment w:val="auto"/>
              <w:rPr>
                <w:rFonts w:hint="default" w:ascii="仿宋_GB2312" w:hAnsi="仿宋_GB2312" w:eastAsia="仿宋_GB2312" w:cs="仿宋_GB2312"/>
                <w:kern w:val="2"/>
                <w:sz w:val="24"/>
                <w:szCs w:val="24"/>
                <w:lang w:val="en-US"/>
              </w:rPr>
            </w:pPr>
            <w:r>
              <w:rPr>
                <w:rFonts w:hint="eastAsia" w:ascii="仿宋_GB2312" w:hAnsi="仿宋_GB2312" w:eastAsia="仿宋_GB2312" w:cs="仿宋_GB2312"/>
                <w:kern w:val="2"/>
                <w:sz w:val="24"/>
                <w:szCs w:val="24"/>
                <w:lang w:val="en-US" w:eastAsia="zh-CN"/>
              </w:rPr>
              <w:t>10</w:t>
            </w:r>
          </w:p>
        </w:tc>
        <w:tc>
          <w:tcPr>
            <w:tcW w:w="6710" w:type="dxa"/>
            <w:tcBorders>
              <w:top w:val="single" w:color="auto" w:sz="4" w:space="0"/>
              <w:left w:val="single" w:color="auto" w:sz="4" w:space="0"/>
              <w:bottom w:val="single" w:color="auto" w:sz="4" w:space="0"/>
              <w:right w:val="single" w:color="auto" w:sz="4" w:space="0"/>
            </w:tcBorders>
          </w:tcPr>
          <w:p w14:paraId="0AE090AD">
            <w:pPr>
              <w:pageBreakBefore w:val="0"/>
              <w:kinsoku/>
              <w:wordWrap/>
              <w:overflowPunct/>
              <w:topLinePunct w:val="0"/>
              <w:autoSpaceDE/>
              <w:autoSpaceDN/>
              <w:bidi w:val="0"/>
              <w:spacing w:after="0" w:line="400" w:lineRule="exact"/>
              <w:ind w:firstLine="480" w:firstLineChars="200"/>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1、投标人具备建筑业企业资质证书市政公用工程三级及以上资质，并且具有安全生产许可证的得5分;</w:t>
            </w:r>
          </w:p>
          <w:p w14:paraId="414474AD">
            <w:pPr>
              <w:pageBreakBefore w:val="0"/>
              <w:kinsoku/>
              <w:wordWrap/>
              <w:overflowPunct/>
              <w:topLinePunct w:val="0"/>
              <w:autoSpaceDE/>
              <w:autoSpaceDN/>
              <w:bidi w:val="0"/>
              <w:spacing w:after="0" w:line="400" w:lineRule="exact"/>
              <w:ind w:firstLine="480" w:firstLineChars="200"/>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2、投标人拟投入本项目团队人员具备二级或以上建造师注册证书及安全生产考核合格证书B证，得5分；</w:t>
            </w:r>
          </w:p>
          <w:p w14:paraId="7C7C1C02">
            <w:pPr>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b/>
                <w:bCs/>
                <w:sz w:val="24"/>
                <w:szCs w:val="24"/>
              </w:rPr>
              <w:t>评审材料：</w:t>
            </w:r>
            <w:r>
              <w:rPr>
                <w:rFonts w:hint="eastAsia" w:ascii="仿宋_GB2312" w:hAnsi="仿宋_GB2312" w:eastAsia="仿宋_GB2312" w:cs="仿宋_GB2312"/>
                <w:sz w:val="24"/>
                <w:szCs w:val="24"/>
              </w:rPr>
              <w:t>《应答文件》-公司</w:t>
            </w:r>
            <w:r>
              <w:rPr>
                <w:rFonts w:hint="eastAsia" w:ascii="仿宋_GB2312" w:hAnsi="仿宋_GB2312" w:eastAsia="仿宋_GB2312" w:cs="仿宋_GB2312"/>
                <w:sz w:val="24"/>
                <w:szCs w:val="24"/>
                <w:lang w:val="en-US" w:eastAsia="zh-CN"/>
              </w:rPr>
              <w:t>资质</w:t>
            </w:r>
            <w:bookmarkStart w:id="1" w:name="_GoBack"/>
            <w:bookmarkEnd w:id="1"/>
          </w:p>
        </w:tc>
      </w:tr>
      <w:tr w14:paraId="76DA1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jc w:val="center"/>
        </w:trPr>
        <w:tc>
          <w:tcPr>
            <w:tcW w:w="518" w:type="dxa"/>
            <w:tcBorders>
              <w:top w:val="single" w:color="auto" w:sz="4" w:space="0"/>
              <w:left w:val="single" w:color="auto" w:sz="4" w:space="0"/>
              <w:bottom w:val="single" w:color="auto" w:sz="4" w:space="0"/>
              <w:right w:val="single" w:color="auto" w:sz="4" w:space="0"/>
            </w:tcBorders>
            <w:vAlign w:val="center"/>
          </w:tcPr>
          <w:p w14:paraId="3986BB52">
            <w:pPr>
              <w:pageBreakBefore w:val="0"/>
              <w:kinsoku/>
              <w:wordWrap/>
              <w:overflowPunct/>
              <w:topLinePunct w:val="0"/>
              <w:autoSpaceDE/>
              <w:autoSpaceDN/>
              <w:bidi w:val="0"/>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275" w:type="dxa"/>
            <w:tcBorders>
              <w:top w:val="single" w:color="auto" w:sz="4" w:space="0"/>
              <w:left w:val="single" w:color="auto" w:sz="4" w:space="0"/>
              <w:bottom w:val="single" w:color="auto" w:sz="4" w:space="0"/>
              <w:right w:val="single" w:color="auto" w:sz="4" w:space="0"/>
            </w:tcBorders>
            <w:vAlign w:val="center"/>
          </w:tcPr>
          <w:p w14:paraId="00CCFD94">
            <w:pPr>
              <w:pageBreakBefore w:val="0"/>
              <w:kinsoku/>
              <w:wordWrap/>
              <w:overflowPunct/>
              <w:topLinePunct w:val="0"/>
              <w:autoSpaceDE/>
              <w:autoSpaceDN/>
              <w:bidi w:val="0"/>
              <w:spacing w:after="0"/>
              <w:jc w:val="center"/>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sz w:val="24"/>
                <w:szCs w:val="24"/>
                <w:lang w:val="en-US" w:eastAsia="zh-CN"/>
              </w:rPr>
              <w:t>项目服务</w:t>
            </w:r>
            <w:r>
              <w:rPr>
                <w:rFonts w:hint="eastAsia" w:ascii="仿宋_GB2312" w:hAnsi="仿宋_GB2312" w:eastAsia="仿宋_GB2312" w:cs="仿宋_GB2312"/>
                <w:sz w:val="24"/>
                <w:szCs w:val="24"/>
              </w:rPr>
              <w:t>方案</w:t>
            </w:r>
          </w:p>
        </w:tc>
        <w:tc>
          <w:tcPr>
            <w:tcW w:w="834" w:type="dxa"/>
            <w:tcBorders>
              <w:top w:val="single" w:color="auto" w:sz="4" w:space="0"/>
              <w:left w:val="single" w:color="auto" w:sz="4" w:space="0"/>
              <w:bottom w:val="single" w:color="auto" w:sz="4" w:space="0"/>
              <w:right w:val="single" w:color="auto" w:sz="4" w:space="0"/>
            </w:tcBorders>
            <w:vAlign w:val="center"/>
          </w:tcPr>
          <w:p w14:paraId="5328C080">
            <w:pPr>
              <w:pageBreakBefore w:val="0"/>
              <w:kinsoku/>
              <w:wordWrap/>
              <w:overflowPunct/>
              <w:topLinePunct w:val="0"/>
              <w:autoSpaceDE/>
              <w:autoSpaceDN/>
              <w:bidi w:val="0"/>
              <w:spacing w:after="0"/>
              <w:jc w:val="center"/>
              <w:textAlignment w:val="auto"/>
              <w:rPr>
                <w:rFonts w:hint="default" w:ascii="仿宋_GB2312" w:hAnsi="仿宋_GB2312" w:eastAsia="微软雅黑" w:cs="仿宋_GB2312"/>
                <w:kern w:val="2"/>
                <w:sz w:val="24"/>
                <w:szCs w:val="24"/>
                <w:lang w:val="en-US" w:eastAsia="zh-CN"/>
              </w:rPr>
            </w:pPr>
            <w:r>
              <w:rPr>
                <w:rFonts w:hint="eastAsia" w:ascii="仿宋_GB2312" w:hAnsi="仿宋_GB2312" w:cs="仿宋_GB2312"/>
                <w:kern w:val="2"/>
                <w:sz w:val="24"/>
                <w:szCs w:val="24"/>
                <w:lang w:val="en-US" w:eastAsia="zh-CN"/>
              </w:rPr>
              <w:t>40</w:t>
            </w:r>
          </w:p>
        </w:tc>
        <w:tc>
          <w:tcPr>
            <w:tcW w:w="6710" w:type="dxa"/>
            <w:tcBorders>
              <w:top w:val="single" w:color="auto" w:sz="4" w:space="0"/>
              <w:left w:val="single" w:color="auto" w:sz="4" w:space="0"/>
              <w:bottom w:val="single" w:color="auto" w:sz="4" w:space="0"/>
              <w:right w:val="single" w:color="auto" w:sz="4" w:space="0"/>
            </w:tcBorders>
          </w:tcPr>
          <w:p w14:paraId="5D6DCF02">
            <w:pPr>
              <w:pageBreakBefore w:val="0"/>
              <w:kinsoku/>
              <w:wordWrap/>
              <w:overflowPunct/>
              <w:topLinePunct w:val="0"/>
              <w:autoSpaceDE/>
              <w:autoSpaceDN/>
              <w:bidi w:val="0"/>
              <w:spacing w:after="0"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要求投标人能够充分理解项目背景和目标，对本项目需求的理解分析、工作措施、项目管理及质保期限等，提出应对措施及相关的合理化建议，综合评价供应商提供的以上内容。</w:t>
            </w:r>
          </w:p>
          <w:p w14:paraId="58AB633B">
            <w:pPr>
              <w:pageBreakBefore w:val="0"/>
              <w:kinsoku/>
              <w:wordWrap/>
              <w:overflowPunct/>
              <w:topLinePunct w:val="0"/>
              <w:autoSpaceDE/>
              <w:autoSpaceDN/>
              <w:bidi w:val="0"/>
              <w:spacing w:after="0"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优秀，得</w:t>
            </w:r>
            <w:r>
              <w:rPr>
                <w:rFonts w:hint="eastAsia" w:ascii="仿宋_GB2312" w:hAnsi="仿宋_GB2312" w:eastAsia="仿宋_GB2312" w:cs="仿宋_GB2312"/>
                <w:sz w:val="24"/>
                <w:szCs w:val="24"/>
                <w:lang w:val="en-US" w:eastAsia="zh-CN"/>
              </w:rPr>
              <w:t>31</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0分；</w:t>
            </w:r>
          </w:p>
          <w:p w14:paraId="420AB0AA">
            <w:pPr>
              <w:pageBreakBefore w:val="0"/>
              <w:kinsoku/>
              <w:wordWrap/>
              <w:overflowPunct/>
              <w:topLinePunct w:val="0"/>
              <w:autoSpaceDE/>
              <w:autoSpaceDN/>
              <w:bidi w:val="0"/>
              <w:spacing w:after="0"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良好，得</w:t>
            </w:r>
            <w:r>
              <w:rPr>
                <w:rFonts w:hint="eastAsia" w:ascii="仿宋_GB2312" w:hAnsi="仿宋_GB2312" w:eastAsia="仿宋_GB2312" w:cs="仿宋_GB2312"/>
                <w:sz w:val="24"/>
                <w:szCs w:val="24"/>
                <w:lang w:val="en-US" w:eastAsia="zh-CN"/>
              </w:rPr>
              <w:t>21</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30</w:t>
            </w:r>
            <w:r>
              <w:rPr>
                <w:rFonts w:hint="eastAsia" w:ascii="仿宋_GB2312" w:hAnsi="仿宋_GB2312" w:eastAsia="仿宋_GB2312" w:cs="仿宋_GB2312"/>
                <w:sz w:val="24"/>
                <w:szCs w:val="24"/>
              </w:rPr>
              <w:t>分；</w:t>
            </w:r>
          </w:p>
          <w:p w14:paraId="181F41B7">
            <w:pPr>
              <w:pageBreakBefore w:val="0"/>
              <w:kinsoku/>
              <w:wordWrap/>
              <w:overflowPunct/>
              <w:topLinePunct w:val="0"/>
              <w:autoSpaceDE/>
              <w:autoSpaceDN/>
              <w:bidi w:val="0"/>
              <w:spacing w:after="0" w:line="400" w:lineRule="exact"/>
              <w:ind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中等</w:t>
            </w:r>
            <w:r>
              <w:rPr>
                <w:rFonts w:hint="eastAsia" w:ascii="仿宋_GB2312" w:hAnsi="仿宋_GB2312" w:eastAsia="仿宋_GB2312" w:cs="仿宋_GB2312"/>
                <w:sz w:val="24"/>
                <w:szCs w:val="24"/>
                <w:lang w:eastAsia="zh-CN"/>
              </w:rPr>
              <w:t>，得</w:t>
            </w:r>
            <w:r>
              <w:rPr>
                <w:rFonts w:hint="eastAsia" w:ascii="仿宋_GB2312" w:hAnsi="仿宋_GB2312" w:eastAsia="仿宋_GB2312" w:cs="仿宋_GB2312"/>
                <w:sz w:val="24"/>
                <w:szCs w:val="24"/>
                <w:lang w:val="en-US" w:eastAsia="zh-CN"/>
              </w:rPr>
              <w:t>11-20分；</w:t>
            </w:r>
          </w:p>
          <w:p w14:paraId="2F28489E">
            <w:pPr>
              <w:pageBreakBefore w:val="0"/>
              <w:kinsoku/>
              <w:wordWrap/>
              <w:overflowPunct/>
              <w:topLinePunct w:val="0"/>
              <w:autoSpaceDE/>
              <w:autoSpaceDN/>
              <w:bidi w:val="0"/>
              <w:spacing w:after="0"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及格</w:t>
            </w:r>
            <w:r>
              <w:rPr>
                <w:rFonts w:hint="eastAsia" w:ascii="仿宋_GB2312" w:hAnsi="仿宋_GB2312" w:eastAsia="仿宋_GB2312" w:cs="仿宋_GB2312"/>
                <w:sz w:val="24"/>
                <w:szCs w:val="24"/>
              </w:rPr>
              <w:t>，得1-10分；</w:t>
            </w:r>
          </w:p>
          <w:p w14:paraId="3776AD97">
            <w:pPr>
              <w:pageBreakBefore w:val="0"/>
              <w:kinsoku/>
              <w:wordWrap/>
              <w:overflowPunct/>
              <w:topLinePunct w:val="0"/>
              <w:autoSpaceDE/>
              <w:autoSpaceDN/>
              <w:bidi w:val="0"/>
              <w:spacing w:after="0"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未提供或</w:t>
            </w:r>
            <w:r>
              <w:rPr>
                <w:rFonts w:hint="eastAsia" w:ascii="仿宋_GB2312" w:hAnsi="仿宋_GB2312" w:eastAsia="仿宋_GB2312" w:cs="仿宋_GB2312"/>
                <w:sz w:val="24"/>
                <w:szCs w:val="24"/>
                <w:lang w:eastAsia="zh-CN"/>
              </w:rPr>
              <w:t>不及格</w:t>
            </w:r>
            <w:r>
              <w:rPr>
                <w:rFonts w:hint="eastAsia" w:ascii="仿宋_GB2312" w:hAnsi="仿宋_GB2312" w:eastAsia="仿宋_GB2312" w:cs="仿宋_GB2312"/>
                <w:sz w:val="24"/>
                <w:szCs w:val="24"/>
              </w:rPr>
              <w:t>，得0分。</w:t>
            </w:r>
          </w:p>
          <w:p w14:paraId="5EEE4BAD">
            <w:pPr>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b/>
                <w:bCs/>
                <w:sz w:val="24"/>
                <w:szCs w:val="24"/>
              </w:rPr>
              <w:t>评审材料：</w:t>
            </w:r>
            <w:r>
              <w:rPr>
                <w:rFonts w:hint="eastAsia" w:ascii="仿宋_GB2312" w:hAnsi="仿宋_GB2312" w:eastAsia="仿宋_GB2312" w:cs="仿宋_GB2312"/>
                <w:sz w:val="24"/>
                <w:szCs w:val="24"/>
              </w:rPr>
              <w:t>《应答文件》-项目服务方案</w:t>
            </w:r>
          </w:p>
        </w:tc>
      </w:tr>
      <w:bookmarkEnd w:id="0"/>
    </w:tbl>
    <w:p w14:paraId="55086888"/>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C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RjYmZkYjg0NjAxNjVjNGJhNjIyZmM5ZGRkOTc3ZTgifQ=="/>
  </w:docVars>
  <w:rsids>
    <w:rsidRoot w:val="46485C59"/>
    <w:rsid w:val="0033084A"/>
    <w:rsid w:val="00371A51"/>
    <w:rsid w:val="005A4BD4"/>
    <w:rsid w:val="00EB7566"/>
    <w:rsid w:val="01610122"/>
    <w:rsid w:val="02FD368D"/>
    <w:rsid w:val="05FF435A"/>
    <w:rsid w:val="07182FE0"/>
    <w:rsid w:val="0A0356A9"/>
    <w:rsid w:val="0B583196"/>
    <w:rsid w:val="0EF05201"/>
    <w:rsid w:val="1276EBF6"/>
    <w:rsid w:val="1712617A"/>
    <w:rsid w:val="17E742A5"/>
    <w:rsid w:val="18147F39"/>
    <w:rsid w:val="18567E5D"/>
    <w:rsid w:val="191E3FEB"/>
    <w:rsid w:val="1A12132D"/>
    <w:rsid w:val="1A4F3886"/>
    <w:rsid w:val="1B99137D"/>
    <w:rsid w:val="1BF90347"/>
    <w:rsid w:val="1DFBB32E"/>
    <w:rsid w:val="1EC27FFB"/>
    <w:rsid w:val="1F095C2A"/>
    <w:rsid w:val="1FA45952"/>
    <w:rsid w:val="1FAF3A32"/>
    <w:rsid w:val="1FB46BB9"/>
    <w:rsid w:val="2007660D"/>
    <w:rsid w:val="21110DC5"/>
    <w:rsid w:val="227052D2"/>
    <w:rsid w:val="22722644"/>
    <w:rsid w:val="22F8048F"/>
    <w:rsid w:val="248B5B0D"/>
    <w:rsid w:val="277D48E2"/>
    <w:rsid w:val="27B64475"/>
    <w:rsid w:val="2D83304B"/>
    <w:rsid w:val="2E9C0F87"/>
    <w:rsid w:val="30584BE0"/>
    <w:rsid w:val="313F0BCD"/>
    <w:rsid w:val="31CA6EF3"/>
    <w:rsid w:val="331D1973"/>
    <w:rsid w:val="342D49A3"/>
    <w:rsid w:val="36B67C90"/>
    <w:rsid w:val="37652ED9"/>
    <w:rsid w:val="3911775D"/>
    <w:rsid w:val="3B6C6F66"/>
    <w:rsid w:val="3C85293C"/>
    <w:rsid w:val="41007F44"/>
    <w:rsid w:val="41A9266A"/>
    <w:rsid w:val="42AE6F4F"/>
    <w:rsid w:val="439009BA"/>
    <w:rsid w:val="46485C59"/>
    <w:rsid w:val="464B65FF"/>
    <w:rsid w:val="47BB5953"/>
    <w:rsid w:val="48256AB6"/>
    <w:rsid w:val="4ABB8B05"/>
    <w:rsid w:val="4EDB63EB"/>
    <w:rsid w:val="4FC554D4"/>
    <w:rsid w:val="51BC39AB"/>
    <w:rsid w:val="526F33CC"/>
    <w:rsid w:val="55D447DE"/>
    <w:rsid w:val="56D976B4"/>
    <w:rsid w:val="57204FA9"/>
    <w:rsid w:val="574A2360"/>
    <w:rsid w:val="58473575"/>
    <w:rsid w:val="58FF0C9B"/>
    <w:rsid w:val="59973856"/>
    <w:rsid w:val="5C6B5087"/>
    <w:rsid w:val="5CEB492E"/>
    <w:rsid w:val="5DE27796"/>
    <w:rsid w:val="5E1506E0"/>
    <w:rsid w:val="62071469"/>
    <w:rsid w:val="62511C04"/>
    <w:rsid w:val="63BF878E"/>
    <w:rsid w:val="658F18F8"/>
    <w:rsid w:val="66F12993"/>
    <w:rsid w:val="681965D0"/>
    <w:rsid w:val="698B2BBD"/>
    <w:rsid w:val="6BA31D2B"/>
    <w:rsid w:val="6DE7F0D9"/>
    <w:rsid w:val="6F2D2DFF"/>
    <w:rsid w:val="6F9F851D"/>
    <w:rsid w:val="6FFF3DA7"/>
    <w:rsid w:val="72435ED2"/>
    <w:rsid w:val="75151CD4"/>
    <w:rsid w:val="755C04F4"/>
    <w:rsid w:val="76503554"/>
    <w:rsid w:val="772573A8"/>
    <w:rsid w:val="77A94F37"/>
    <w:rsid w:val="78210A63"/>
    <w:rsid w:val="78756288"/>
    <w:rsid w:val="79F59F58"/>
    <w:rsid w:val="7B9E1200"/>
    <w:rsid w:val="7BFB6C44"/>
    <w:rsid w:val="7C7FEFB7"/>
    <w:rsid w:val="7D38092D"/>
    <w:rsid w:val="7D98349C"/>
    <w:rsid w:val="7DC55FAD"/>
    <w:rsid w:val="7E7A6982"/>
    <w:rsid w:val="7E984713"/>
    <w:rsid w:val="7EAC46CA"/>
    <w:rsid w:val="7EAD5C7E"/>
    <w:rsid w:val="7F73578D"/>
    <w:rsid w:val="7F74BC34"/>
    <w:rsid w:val="7FDB2DD3"/>
    <w:rsid w:val="7FE2E76B"/>
    <w:rsid w:val="7FFFB14E"/>
    <w:rsid w:val="9FDBDF93"/>
    <w:rsid w:val="AFDDAD30"/>
    <w:rsid w:val="B576A8A1"/>
    <w:rsid w:val="BFD5B756"/>
    <w:rsid w:val="D14DC30B"/>
    <w:rsid w:val="D7FA2A59"/>
    <w:rsid w:val="DEFE002F"/>
    <w:rsid w:val="DF6F4067"/>
    <w:rsid w:val="DF9DC471"/>
    <w:rsid w:val="EDF990F1"/>
    <w:rsid w:val="EFED10DC"/>
    <w:rsid w:val="EFFFDF81"/>
    <w:rsid w:val="F75FC8DD"/>
    <w:rsid w:val="F9EC8399"/>
    <w:rsid w:val="FD75F3D0"/>
    <w:rsid w:val="FD7AB158"/>
    <w:rsid w:val="FEF7368B"/>
    <w:rsid w:val="FFB464A8"/>
    <w:rsid w:val="FFDF3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9"/>
    <w:pPr>
      <w:keepNext/>
      <w:keepLines/>
      <w:spacing w:before="340" w:after="330" w:line="578" w:lineRule="auto"/>
      <w:jc w:val="center"/>
      <w:outlineLvl w:val="0"/>
    </w:pPr>
    <w:rPr>
      <w:b/>
      <w:bCs/>
      <w:kern w:val="44"/>
      <w:sz w:val="40"/>
      <w:szCs w:val="44"/>
    </w:rPr>
  </w:style>
  <w:style w:type="paragraph" w:styleId="3">
    <w:name w:val="heading 2"/>
    <w:basedOn w:val="1"/>
    <w:qFormat/>
    <w:uiPriority w:val="0"/>
    <w:pPr>
      <w:keepNext/>
      <w:keepLines/>
      <w:widowControl w:val="0"/>
      <w:adjustRightInd/>
      <w:snapToGrid/>
      <w:spacing w:after="0" w:line="560" w:lineRule="exact"/>
      <w:jc w:val="both"/>
      <w:outlineLvl w:val="1"/>
    </w:pPr>
    <w:rPr>
      <w:rFonts w:ascii="Arial" w:hAnsi="Arial" w:eastAsia="黑体" w:cs="Times New Roman"/>
      <w:bCs/>
      <w:kern w:val="2"/>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0"/>
    <w:pPr>
      <w:ind w:firstLine="420"/>
    </w:pPr>
  </w:style>
  <w:style w:type="paragraph" w:styleId="5">
    <w:name w:val="annotation text"/>
    <w:basedOn w:val="1"/>
    <w:qFormat/>
    <w:uiPriority w:val="0"/>
  </w:style>
  <w:style w:type="paragraph" w:styleId="6">
    <w:name w:val="footer"/>
    <w:basedOn w:val="1"/>
    <w:link w:val="13"/>
    <w:qFormat/>
    <w:uiPriority w:val="0"/>
    <w:pPr>
      <w:tabs>
        <w:tab w:val="center" w:pos="4153"/>
        <w:tab w:val="right" w:pos="8306"/>
      </w:tabs>
    </w:pPr>
    <w:rPr>
      <w:sz w:val="18"/>
      <w:szCs w:val="18"/>
    </w:rPr>
  </w:style>
  <w:style w:type="paragraph" w:styleId="7">
    <w:name w:val="header"/>
    <w:basedOn w:val="1"/>
    <w:link w:val="12"/>
    <w:qFormat/>
    <w:uiPriority w:val="0"/>
    <w:pPr>
      <w:tabs>
        <w:tab w:val="center" w:pos="4153"/>
        <w:tab w:val="right" w:pos="8306"/>
      </w:tabs>
      <w:jc w:val="center"/>
    </w:pPr>
    <w:rPr>
      <w:sz w:val="18"/>
      <w:szCs w:val="18"/>
    </w:rPr>
  </w:style>
  <w:style w:type="paragraph" w:styleId="8">
    <w:name w:val="Normal (Web)"/>
    <w:basedOn w:val="1"/>
    <w:qFormat/>
    <w:uiPriority w:val="0"/>
    <w:pPr>
      <w:spacing w:beforeAutospacing="1" w:after="0" w:afterAutospacing="1"/>
    </w:pPr>
    <w:rPr>
      <w:rFonts w:cs="Times New Roman"/>
      <w:sz w:val="24"/>
    </w:rPr>
  </w:style>
  <w:style w:type="character" w:styleId="11">
    <w:name w:val="Strong"/>
    <w:basedOn w:val="10"/>
    <w:qFormat/>
    <w:uiPriority w:val="0"/>
    <w:rPr>
      <w:b/>
    </w:rPr>
  </w:style>
  <w:style w:type="character" w:customStyle="1" w:styleId="12">
    <w:name w:val="页眉 字符"/>
    <w:basedOn w:val="10"/>
    <w:link w:val="7"/>
    <w:qFormat/>
    <w:uiPriority w:val="0"/>
    <w:rPr>
      <w:rFonts w:ascii="Tahoma" w:hAnsi="Tahoma" w:eastAsia="微软雅黑" w:cstheme="minorBidi"/>
      <w:sz w:val="18"/>
      <w:szCs w:val="18"/>
    </w:rPr>
  </w:style>
  <w:style w:type="character" w:customStyle="1" w:styleId="13">
    <w:name w:val="页脚 字符"/>
    <w:basedOn w:val="10"/>
    <w:link w:val="6"/>
    <w:qFormat/>
    <w:uiPriority w:val="0"/>
    <w:rPr>
      <w:rFonts w:ascii="Tahoma" w:hAnsi="Tahoma" w:eastAsia="微软雅黑" w:cstheme="minorBid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1004</Words>
  <Characters>1039</Characters>
  <Lines>9</Lines>
  <Paragraphs>2</Paragraphs>
  <TotalTime>166</TotalTime>
  <ScaleCrop>false</ScaleCrop>
  <LinksUpToDate>false</LinksUpToDate>
  <CharactersWithSpaces>1040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2024-10-12T03:59:00Z</dcterms:created>
  <dc:creator>C</dc:creator>
  <cp:lastModifiedBy>毅</cp:lastModifiedBy>
  <cp:lastPrinted>2025-07-22T03:38:00Z</cp:lastPrinted>
  <dcterms:modified xsi:type="dcterms:W3CDTF">2025-07-23T08:16:38Z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1D12DF9FD8E743ACB7BEE7C32D9635ED_13</vt:lpwstr>
  </property>
  <property fmtid="{D5CDD505-2E9C-101B-9397-08002B2CF9AE}" pid="4" name="KSOTemplateDocerSaveRecord">
    <vt:lpwstr>eyJoZGlkIjoiM2JhNmMyNTg1MzJhYWZkOTI0MzMzZGE0MzVmNjNhZmIiLCJ1c2VySWQiOiIzODA4OTk2ODAifQ==</vt:lpwstr>
  </property>
</Properties>
</file>