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简易招标文件</w:t>
      </w:r>
    </w:p>
    <w:p>
      <w:pPr>
        <w:jc w:val="center"/>
        <w:rPr>
          <w:rFonts w:hint="eastAsia"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招标编号：</w:t>
      </w:r>
      <w:r>
        <w:rPr>
          <w:rFonts w:hint="eastAsia" w:ascii="宋体" w:hAnsi="宋体" w:cs="宋体"/>
          <w:b/>
          <w:color w:val="000000" w:themeColor="text1"/>
          <w:sz w:val="36"/>
          <w:szCs w:val="36"/>
          <w:lang w:eastAsia="zh-CN"/>
          <w14:textFill>
            <w14:solidFill>
              <w14:schemeClr w14:val="tx1"/>
            </w14:solidFill>
          </w14:textFill>
        </w:rPr>
        <w:t>QHCG25028</w:t>
      </w: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pStyle w:val="24"/>
        <w:ind w:firstLine="420"/>
        <w:rPr>
          <w:rFonts w:hint="eastAsia" w:ascii="宋体" w:hAnsi="宋体" w:cs="宋体"/>
          <w:color w:val="000000" w:themeColor="text1"/>
          <w14:textFill>
            <w14:solidFill>
              <w14:schemeClr w14:val="tx1"/>
            </w14:solidFill>
          </w14:textFill>
        </w:rPr>
      </w:pPr>
    </w:p>
    <w:p>
      <w:pPr>
        <w:ind w:left="2326" w:leftChars="247" w:right="-319" w:rightChars="-152" w:hanging="1807" w:hangingChars="500"/>
        <w:rPr>
          <w:rFonts w:hint="eastAsia" w:ascii="宋体" w:hAnsi="宋体" w:eastAsia="宋体" w:cs="宋体"/>
          <w:b/>
          <w:color w:val="000000" w:themeColor="text1"/>
          <w:sz w:val="36"/>
          <w:szCs w:val="36"/>
          <w:lang w:eastAsia="zh-CN"/>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招标项目：</w:t>
      </w:r>
      <w:r>
        <w:rPr>
          <w:rFonts w:hint="eastAsia" w:ascii="宋体" w:hAnsi="宋体" w:cs="宋体"/>
          <w:b/>
          <w:color w:val="000000" w:themeColor="text1"/>
          <w:sz w:val="36"/>
          <w:szCs w:val="36"/>
          <w:lang w:eastAsia="zh-CN"/>
          <w14:textFill>
            <w14:solidFill>
              <w14:schemeClr w14:val="tx1"/>
            </w14:solidFill>
          </w14:textFill>
        </w:rPr>
        <w:t>深圳市前海深港现代服务业合作区国库集中支付代理银行服务项目</w:t>
      </w:r>
    </w:p>
    <w:p>
      <w:pPr>
        <w:ind w:firstLine="3264" w:firstLineChars="739"/>
        <w:rPr>
          <w:rFonts w:hint="eastAsia" w:ascii="宋体" w:hAnsi="宋体" w:cs="宋体"/>
          <w:b/>
          <w:color w:val="000000" w:themeColor="text1"/>
          <w:sz w:val="44"/>
          <w14:textFill>
            <w14:solidFill>
              <w14:schemeClr w14:val="tx1"/>
            </w14:solidFill>
          </w14:textFill>
        </w:rPr>
      </w:pPr>
    </w:p>
    <w:p>
      <w:pPr>
        <w:ind w:left="1260" w:leftChars="600" w:firstLine="1855" w:firstLineChars="420"/>
        <w:rPr>
          <w:rFonts w:hint="eastAsia" w:ascii="宋体" w:hAnsi="宋体" w:cs="宋体"/>
          <w:b/>
          <w:color w:val="000000" w:themeColor="text1"/>
          <w:sz w:val="44"/>
          <w14:textFill>
            <w14:solidFill>
              <w14:schemeClr w14:val="tx1"/>
            </w14:solidFill>
          </w14:textFill>
        </w:rPr>
      </w:pPr>
    </w:p>
    <w:p>
      <w:pPr>
        <w:rPr>
          <w:rFonts w:hint="eastAsia" w:ascii="宋体" w:hAnsi="宋体" w:cs="宋体"/>
          <w:b/>
          <w:color w:val="000000" w:themeColor="text1"/>
          <w:sz w:val="44"/>
          <w14:textFill>
            <w14:solidFill>
              <w14:schemeClr w14:val="tx1"/>
            </w14:solidFill>
          </w14:textFill>
        </w:rPr>
      </w:pPr>
    </w:p>
    <w:p>
      <w:pPr>
        <w:jc w:val="center"/>
        <w:rPr>
          <w:rFonts w:hint="eastAsia"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深圳市前海深港现代服务业合作区管理局</w:t>
      </w:r>
    </w:p>
    <w:p>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2025年</w:t>
      </w:r>
      <w:r>
        <w:rPr>
          <w:rFonts w:hint="eastAsia" w:ascii="宋体" w:hAnsi="宋体" w:cs="宋体"/>
          <w:b/>
          <w:bCs/>
          <w:color w:val="000000" w:themeColor="text1"/>
          <w:sz w:val="36"/>
          <w:szCs w:val="36"/>
          <w:lang w:val="en-US" w:eastAsia="zh-CN"/>
          <w14:textFill>
            <w14:solidFill>
              <w14:schemeClr w14:val="tx1"/>
            </w14:solidFill>
          </w14:textFill>
        </w:rPr>
        <w:t>7</w:t>
      </w:r>
      <w:r>
        <w:rPr>
          <w:rFonts w:hint="eastAsia" w:ascii="宋体" w:hAnsi="宋体" w:cs="宋体"/>
          <w:b/>
          <w:bCs/>
          <w:color w:val="000000" w:themeColor="text1"/>
          <w:sz w:val="36"/>
          <w:szCs w:val="36"/>
          <w14:textFill>
            <w14:solidFill>
              <w14:schemeClr w14:val="tx1"/>
            </w14:solidFill>
          </w14:textFill>
        </w:rPr>
        <w:t>月</w:t>
      </w:r>
    </w:p>
    <w:p>
      <w:pPr>
        <w:autoSpaceDE w:val="0"/>
        <w:autoSpaceDN w:val="0"/>
        <w:adjustRightInd w:val="0"/>
        <w:spacing w:line="360" w:lineRule="auto"/>
        <w:jc w:val="center"/>
        <w:rPr>
          <w:rFonts w:hint="eastAsia" w:ascii="宋体" w:hAnsi="宋体" w:cs="宋体"/>
          <w:b/>
          <w:bCs/>
          <w:color w:val="000000" w:themeColor="text1"/>
          <w:kern w:val="0"/>
          <w:sz w:val="36"/>
          <w:szCs w:val="36"/>
          <w14:textFill>
            <w14:solidFill>
              <w14:schemeClr w14:val="tx1"/>
            </w14:solidFill>
          </w14:textFill>
        </w:rPr>
      </w:pPr>
      <w:bookmarkStart w:id="0" w:name="_Toc12932"/>
      <w:r>
        <w:rPr>
          <w:rFonts w:ascii="宋体" w:hAnsi="宋体"/>
          <w:b/>
          <w:bCs/>
          <w:color w:val="000000" w:themeColor="text1"/>
          <w:sz w:val="32"/>
          <w:szCs w:val="40"/>
          <w:u w:val="single"/>
          <w14:textFill>
            <w14:solidFill>
              <w14:schemeClr w14:val="tx1"/>
            </w14:solidFill>
          </w14:textFill>
        </w:rPr>
        <w:br w:type="page"/>
      </w:r>
      <w:r>
        <w:rPr>
          <w:rFonts w:hint="eastAsia" w:ascii="宋体" w:hAnsi="宋体" w:cs="宋体"/>
          <w:b/>
          <w:bCs/>
          <w:color w:val="000000" w:themeColor="text1"/>
          <w:kern w:val="0"/>
          <w:sz w:val="36"/>
          <w:szCs w:val="36"/>
          <w14:textFill>
            <w14:solidFill>
              <w14:schemeClr w14:val="tx1"/>
            </w14:solidFill>
          </w14:textFill>
        </w:rPr>
        <w:t>特别警示条款</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4482" w:type="pct"/>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4482" w:type="pct"/>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w:t>
      </w:r>
    </w:p>
    <w:p>
      <w:pPr>
        <w:autoSpaceDE w:val="0"/>
        <w:autoSpaceDN w:val="0"/>
        <w:adjustRightInd w:val="0"/>
        <w:spacing w:line="360" w:lineRule="auto"/>
        <w:ind w:left="239" w:leftChars="114" w:firstLine="241" w:firstLineChars="100"/>
        <w:jc w:val="left"/>
        <w:rPr>
          <w:rFonts w:hint="eastAsia" w:ascii="宋体" w:hAnsi="宋体" w:cs="宋体"/>
          <w:color w:val="000000" w:themeColor="text1"/>
          <w:sz w:val="24"/>
          <w14:textFill>
            <w14:solidFill>
              <w14:schemeClr w14:val="tx1"/>
            </w14:solidFill>
          </w14:textFill>
        </w:rPr>
      </w:pPr>
      <w:r>
        <w:rPr>
          <w:rStyle w:val="20"/>
          <w:rFonts w:hint="eastAsia" w:ascii="宋体" w:hAnsi="宋体" w:cs="宋体"/>
          <w:color w:val="000000" w:themeColor="text1"/>
          <w:sz w:val="24"/>
          <w14:textFill>
            <w14:solidFill>
              <w14:schemeClr w14:val="tx1"/>
            </w14:solidFill>
          </w14:textFill>
        </w:rPr>
        <w:t>第五十七条</w:t>
      </w:r>
      <w:r>
        <w:rPr>
          <w:rFonts w:hint="eastAsia" w:ascii="宋体" w:hAnsi="宋体" w:cs="宋体"/>
          <w:color w:val="000000" w:themeColor="text1"/>
          <w:sz w:val="24"/>
          <w14:textFill>
            <w14:solidFill>
              <w14:schemeClr w14:val="tx1"/>
            </w14:solidFill>
          </w14:textFill>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bookmarkStart w:id="1" w:name="_Toc2750"/>
      <w:r>
        <w:rPr>
          <w:rFonts w:hint="eastAsia"/>
          <w:color w:val="000000" w:themeColor="text1"/>
          <w14:textFill>
            <w14:solidFill>
              <w14:schemeClr w14:val="tx1"/>
            </w14:solidFill>
          </w14:textFill>
        </w:rPr>
        <w:t>（一）在采购活动中应当回避而未回避的；</w:t>
      </w:r>
      <w:bookmarkEnd w:id="1"/>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（二）未按照本条例规定签订、履行采购合同，造成严重后果的；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（三）隐瞒真实情况，提供虚假资料的；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（四）以非法手段排斥其他供应商参与竞争的；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（五）与其他采购参加人串通投标的；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（六）恶意投诉的；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（七）向采购项目相关人行贿或者提供其他不当利益的；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（八）阻碍、抗拒主管部门监督检查的；</w:t>
      </w:r>
    </w:p>
    <w:p>
      <w:pPr>
        <w:pStyle w:val="13"/>
        <w:shd w:val="clear" w:color="auto" w:fill="FFFFFF"/>
        <w:spacing w:before="0" w:beforeAutospacing="0" w:after="0"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（九）其他违反本条例规定的行为。</w:t>
      </w:r>
    </w:p>
    <w:p>
      <w:pPr>
        <w:autoSpaceDE w:val="0"/>
        <w:autoSpaceDN w:val="0"/>
        <w:adjustRightInd w:val="0"/>
        <w:spacing w:line="360" w:lineRule="auto"/>
        <w:ind w:firstLine="360" w:firstLineChars="150"/>
        <w:jc w:val="left"/>
        <w:rPr>
          <w:rFonts w:hint="eastAsia" w:ascii="宋体" w:hAnsi="宋体" w:cs="宋体"/>
          <w:color w:val="000000" w:themeColor="text1"/>
          <w:kern w:val="0"/>
          <w:sz w:val="24"/>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《深圳经济特区政府采购条例实施细则》</w:t>
      </w:r>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第七十五条</w:t>
      </w:r>
      <w:r>
        <w:rPr>
          <w:rFonts w:hint="eastAsia" w:ascii="宋体" w:hAnsi="宋体" w:cs="宋体"/>
          <w:color w:val="000000" w:themeColor="text1"/>
          <w:sz w:val="24"/>
          <w14:textFill>
            <w14:solidFill>
              <w14:schemeClr w14:val="tx1"/>
            </w14:solidFill>
          </w14:textFill>
        </w:rPr>
        <w:t> 供应商有下列情形的，属于采购条例所称的串通投标行为，按照采购条例第五十七条有关规定处理：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 w:name="_Toc6281"/>
      <w:r>
        <w:rPr>
          <w:rFonts w:hint="eastAsia" w:ascii="宋体" w:hAnsi="宋体" w:cs="宋体"/>
          <w:color w:val="000000" w:themeColor="text1"/>
          <w:sz w:val="24"/>
          <w14:textFill>
            <w14:solidFill>
              <w14:schemeClr w14:val="tx1"/>
            </w14:solidFill>
          </w14:textFill>
        </w:rPr>
        <w:t>（一）投标供应商之间相互约定给予未中标的供应商利益补偿；</w:t>
      </w:r>
      <w:bookmarkEnd w:id="2"/>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（三）不同投标供应商的投标文件由同一单位或者同一人编制，或者由同一人分阶段参与编制的；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（四）不同投标供应商的投标文件或部分投标文件相互混装；</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（五）不同投标供应商的投标文件内容存在非正常一致；</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（六）由同一单位工作人员为两家以上（含两家）供应商进行同一项投标活动的；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 w:name="_Toc31089"/>
      <w:r>
        <w:rPr>
          <w:rFonts w:hint="eastAsia" w:ascii="宋体" w:hAnsi="宋体" w:cs="宋体"/>
          <w:color w:val="000000" w:themeColor="text1"/>
          <w:sz w:val="24"/>
          <w14:textFill>
            <w14:solidFill>
              <w14:schemeClr w14:val="tx1"/>
            </w14:solidFill>
          </w14:textFill>
        </w:rPr>
        <w:t>（七）主管部门依照法律、法规认定的其他情形。</w:t>
      </w:r>
      <w:bookmarkEnd w:id="3"/>
    </w:p>
    <w:p>
      <w:pPr>
        <w:keepLines/>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第七十七条</w:t>
      </w:r>
      <w:r>
        <w:rPr>
          <w:rFonts w:hint="eastAsia" w:ascii="宋体" w:hAnsi="宋体" w:cs="宋体"/>
          <w:color w:val="000000" w:themeColor="text1"/>
          <w:sz w:val="24"/>
          <w14:textFill>
            <w14:solidFill>
              <w14:schemeClr w14:val="tx1"/>
            </w14:solidFill>
          </w14:textFill>
        </w:rPr>
        <w:t> 供应商有下列情形之一的，属于隐瞒真实情况，提供虚假资料，按照采购条例第五十七条的有关规定处理：</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（一）通过转让或者租借等方式从其他单位获取资格或者资质证书投标的；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（二）由其他单位或者其他单位负责人在投标供应商编制的投标文件上加盖印章或者签字的；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（三）项目负责人或者主要技术人员不是本单位人员的；</w:t>
      </w:r>
    </w:p>
    <w:p>
      <w:pPr>
        <w:keepLines/>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（四）投标保证金不是从投标供应商基本账户转出的；</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（五）其他隐瞒真实情况、提供虚假资料的行为。</w:t>
      </w:r>
    </w:p>
    <w:p>
      <w:pPr>
        <w:keepLines/>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投标供应商不能提供项目负责人或者主要技术人员的劳动合同、社会保险等劳动关系证明材料的，视为存在前款第（三）项规定的情形。</w:t>
      </w:r>
    </w:p>
    <w:p>
      <w:pPr>
        <w:pStyle w:val="2"/>
        <w:tabs>
          <w:tab w:val="left" w:pos="562"/>
          <w:tab w:val="left" w:pos="3372"/>
          <w:tab w:val="left" w:pos="3653"/>
        </w:tabs>
        <w:spacing w:line="360" w:lineRule="auto"/>
        <w:rPr>
          <w:rFonts w:hint="eastAsia" w:ascii="宋体" w:hAnsi="宋体" w:cs="宋体"/>
          <w:color w:val="000000" w:themeColor="text1"/>
          <w14:textFill>
            <w14:solidFill>
              <w14:schemeClr w14:val="tx1"/>
            </w14:solidFill>
          </w14:textFill>
        </w:rPr>
      </w:pP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《中华人民共和国政府采购法实施条例》 </w:t>
      </w:r>
    </w:p>
    <w:p>
      <w:pPr>
        <w:spacing w:line="360" w:lineRule="auto"/>
        <w:ind w:firstLine="482" w:firstLineChars="200"/>
        <w:jc w:val="left"/>
        <w:rPr>
          <w:rFonts w:hint="eastAsia" w:ascii="宋体" w:hAnsi="宋体" w:cs="宋体"/>
          <w:color w:val="000000" w:themeColor="text1"/>
          <w:sz w:val="24"/>
          <w14:textFill>
            <w14:solidFill>
              <w14:schemeClr w14:val="tx1"/>
            </w14:solidFill>
          </w14:textFill>
        </w:rPr>
      </w:pPr>
      <w:bookmarkStart w:id="4" w:name="_Toc10451"/>
      <w:r>
        <w:rPr>
          <w:rFonts w:hint="eastAsia" w:ascii="宋体" w:hAnsi="宋体" w:cs="宋体"/>
          <w:b/>
          <w:bCs/>
          <w:color w:val="000000" w:themeColor="text1"/>
          <w:sz w:val="24"/>
          <w14:textFill>
            <w14:solidFill>
              <w14:schemeClr w14:val="tx1"/>
            </w14:solidFill>
          </w14:textFill>
        </w:rPr>
        <w:t>第十八条</w:t>
      </w:r>
      <w:r>
        <w:rPr>
          <w:rFonts w:hint="eastAsia" w:ascii="宋体" w:hAnsi="宋体" w:cs="宋体"/>
          <w:color w:val="000000" w:themeColor="text1"/>
          <w:sz w:val="24"/>
          <w14:textFill>
            <w14:solidFill>
              <w14:schemeClr w14:val="tx1"/>
            </w14:solidFill>
          </w14:textFill>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hint="eastAsia" w:ascii="宋体" w:hAnsi="宋体" w:cs="宋体"/>
          <w:color w:val="000000" w:themeColor="text1"/>
          <w14:textFill>
            <w14:solidFill>
              <w14:schemeClr w14:val="tx1"/>
            </w14:solidFill>
          </w14:textFill>
        </w:rPr>
      </w:pPr>
      <w:bookmarkStart w:id="5" w:name="_Toc4495"/>
      <w:r>
        <w:rPr>
          <w:rFonts w:hint="eastAsia" w:ascii="宋体" w:hAnsi="宋体" w:cs="宋体"/>
          <w:color w:val="000000" w:themeColor="text1"/>
          <w:sz w:val="24"/>
          <w14:textFill>
            <w14:solidFill>
              <w14:schemeClr w14:val="tx1"/>
            </w14:solidFill>
          </w14:textFill>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《深圳市财政局关于采购文件增加风险告知有关事项的通知》 </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360" w:lineRule="auto"/>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《关于在相关自由贸易试验区和自由贸易港开展推动解决政府采购异常低价问题试点工作的通知》</w:t>
      </w:r>
    </w:p>
    <w:p>
      <w:pPr>
        <w:pStyle w:val="2"/>
        <w:tabs>
          <w:tab w:val="left" w:pos="562"/>
          <w:tab w:val="left" w:pos="3372"/>
          <w:tab w:val="left" w:pos="3653"/>
        </w:tabs>
        <w:spacing w:line="360" w:lineRule="auto"/>
        <w:ind w:firstLine="482"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强化政府采购异常低价审查：</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试点地区采购人应当在采购文件中明确异常低价投标（响应）审查的有关内容，主要包括：</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pStyle w:val="2"/>
        <w:tabs>
          <w:tab w:val="left" w:pos="562"/>
          <w:tab w:val="left" w:pos="3372"/>
          <w:tab w:val="left" w:pos="3653"/>
        </w:tabs>
        <w:spacing w:line="360" w:lineRule="auto"/>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jc w:val="center"/>
        <w:outlineLvl w:val="0"/>
        <w:rPr>
          <w:rFonts w:hint="eastAsia" w:ascii="宋体" w:hAnsi="宋体" w:cs="宋体"/>
          <w:b/>
          <w:bCs/>
          <w:color w:val="000000" w:themeColor="text1"/>
          <w:sz w:val="36"/>
          <w:szCs w:val="36"/>
          <w:lang w:val="zh-CN"/>
          <w14:textFill>
            <w14:solidFill>
              <w14:schemeClr w14:val="tx1"/>
            </w14:solidFill>
          </w14:textFill>
        </w:rPr>
      </w:pPr>
      <w:bookmarkStart w:id="6" w:name="_Toc20808"/>
      <w:r>
        <w:rPr>
          <w:rFonts w:hint="eastAsia" w:ascii="宋体" w:hAnsi="宋体" w:cs="宋体"/>
          <w:b/>
          <w:bCs/>
          <w:color w:val="000000" w:themeColor="text1"/>
          <w:sz w:val="36"/>
          <w:szCs w:val="36"/>
          <w:lang w:val="zh-CN"/>
          <w14:textFill>
            <w14:solidFill>
              <w14:schemeClr w14:val="tx1"/>
            </w14:solidFill>
          </w14:textFill>
        </w:rPr>
        <w:t>目录</w:t>
      </w:r>
      <w:bookmarkEnd w:id="0"/>
      <w:bookmarkEnd w:id="6"/>
    </w:p>
    <w:p>
      <w:pPr>
        <w:pStyle w:val="11"/>
        <w:tabs>
          <w:tab w:val="right" w:leader="dot" w:pos="8306"/>
        </w:tabs>
        <w:spacing w:line="480" w:lineRule="auto"/>
        <w:rPr>
          <w:b/>
          <w:bCs/>
          <w:color w:val="000000" w:themeColor="text1"/>
          <w:sz w:val="24"/>
          <w:szCs w:val="32"/>
          <w14:textFill>
            <w14:solidFill>
              <w14:schemeClr w14:val="tx1"/>
            </w14:solidFill>
          </w14:textFill>
        </w:rPr>
      </w:pPr>
    </w:p>
    <w:p>
      <w:pPr>
        <w:pStyle w:val="11"/>
        <w:tabs>
          <w:tab w:val="right" w:leader="dot" w:pos="8306"/>
        </w:tabs>
        <w:spacing w:line="360" w:lineRule="auto"/>
        <w:rPr>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begin"/>
      </w:r>
      <w:r>
        <w:rPr>
          <w:rFonts w:hint="eastAsia" w:ascii="宋体" w:hAnsi="宋体" w:cs="宋体"/>
          <w:b/>
          <w:bCs/>
          <w:color w:val="000000" w:themeColor="text1"/>
          <w:sz w:val="24"/>
          <w14:textFill>
            <w14:solidFill>
              <w14:schemeClr w14:val="tx1"/>
            </w14:solidFill>
          </w14:textFill>
        </w:rPr>
        <w:instrText xml:space="preserve">TOC \o "1-1" \h \u </w:instrText>
      </w:r>
      <w:r>
        <w:rPr>
          <w:rFonts w:hint="eastAsia" w:ascii="宋体" w:hAnsi="宋体" w:cs="宋体"/>
          <w:b/>
          <w:bCs/>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"_Toc17273"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第一章 招标邀请书（招标公告）</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_Toc17273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6</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"_Toc10214"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第二章 投标须知</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_Toc10214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10</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"_Toc20176"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第三章 评标程序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_Toc20176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13</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"_Toc3567"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第四章 合同格式及合同条款</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begin"/>
      </w:r>
      <w:r>
        <w:rPr>
          <w:b/>
          <w:bCs/>
          <w:color w:val="000000" w:themeColor="text1"/>
          <w:sz w:val="24"/>
          <w14:textFill>
            <w14:solidFill>
              <w14:schemeClr w14:val="tx1"/>
            </w14:solidFill>
          </w14:textFill>
        </w:rPr>
        <w:instrText xml:space="preserve"> PAGEREF _Toc3567 \h </w:instrText>
      </w:r>
      <w:r>
        <w:rPr>
          <w:b/>
          <w:bCs/>
          <w:color w:val="000000" w:themeColor="text1"/>
          <w:sz w:val="24"/>
          <w14:textFill>
            <w14:solidFill>
              <w14:schemeClr w14:val="tx1"/>
            </w14:solidFill>
          </w14:textFill>
        </w:rPr>
        <w:fldChar w:fldCharType="separate"/>
      </w:r>
      <w:r>
        <w:rPr>
          <w:b/>
          <w:bCs/>
          <w:color w:val="000000" w:themeColor="text1"/>
          <w:sz w:val="24"/>
          <w14:textFill>
            <w14:solidFill>
              <w14:schemeClr w14:val="tx1"/>
            </w14:solidFill>
          </w14:textFill>
        </w:rPr>
        <w:t>15</w:t>
      </w:r>
      <w:r>
        <w:rPr>
          <w:b/>
          <w:bCs/>
          <w:color w:val="000000" w:themeColor="text1"/>
          <w:sz w:val="24"/>
          <w14:textFill>
            <w14:solidFill>
              <w14:schemeClr w14:val="tx1"/>
            </w14:solidFill>
          </w14:textFill>
        </w:rPr>
        <w:fldChar w:fldCharType="end"/>
      </w:r>
      <w:r>
        <w:rPr>
          <w:b/>
          <w:bCs/>
          <w:color w:val="000000" w:themeColor="text1"/>
          <w:sz w:val="24"/>
          <w14:textFill>
            <w14:solidFill>
              <w14:schemeClr w14:val="tx1"/>
            </w14:solidFill>
          </w14:textFill>
        </w:rPr>
        <w:fldChar w:fldCharType="end"/>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"_Toc25518"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第五章 用户需求书</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26</w:t>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"_Toc23822" </w:instrText>
      </w:r>
      <w:r>
        <w:rPr>
          <w:color w:val="000000" w:themeColor="text1"/>
          <w14:textFill>
            <w14:solidFill>
              <w14:schemeClr w14:val="tx1"/>
            </w14:solidFill>
          </w14:textFill>
        </w:rPr>
        <w:fldChar w:fldCharType="separate"/>
      </w:r>
      <w:r>
        <w:rPr>
          <w:rFonts w:hint="eastAsia" w:ascii="宋体" w:cs="宋体"/>
          <w:b/>
          <w:bCs/>
          <w:color w:val="000000" w:themeColor="text1"/>
          <w:sz w:val="24"/>
          <w14:textFill>
            <w14:solidFill>
              <w14:schemeClr w14:val="tx1"/>
            </w14:solidFill>
          </w14:textFill>
        </w:rPr>
        <w:t>第六章 投标文件初审及招标项目评分表</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32</w:t>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"_Toc9548"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第七章 附件（投标文件格式）</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38</w:t>
      </w:r>
    </w:p>
    <w:p>
      <w:pPr>
        <w:pStyle w:val="11"/>
        <w:tabs>
          <w:tab w:val="right" w:leader="dot" w:pos="8306"/>
        </w:tabs>
        <w:spacing w:line="360" w:lineRule="auto"/>
        <w:rPr>
          <w:b/>
          <w:bCs/>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"_Toc742" </w:instrText>
      </w:r>
      <w:r>
        <w:rPr>
          <w:color w:val="000000" w:themeColor="text1"/>
          <w14:textFill>
            <w14:solidFill>
              <w14:schemeClr w14:val="tx1"/>
            </w14:solidFill>
          </w14:textFill>
        </w:rPr>
        <w:fldChar w:fldCharType="separate"/>
      </w:r>
      <w:r>
        <w:rPr>
          <w:rFonts w:hint="eastAsia" w:ascii="宋体" w:hAnsi="宋体" w:cs="宋体"/>
          <w:b/>
          <w:bCs/>
          <w:color w:val="000000" w:themeColor="text1"/>
          <w:sz w:val="24"/>
          <w14:textFill>
            <w14:solidFill>
              <w14:schemeClr w14:val="tx1"/>
            </w14:solidFill>
          </w14:textFill>
        </w:rPr>
        <w:t>附件：相关政策</w:t>
      </w:r>
      <w:r>
        <w:rPr>
          <w:b/>
          <w:bCs/>
          <w:color w:val="000000" w:themeColor="text1"/>
          <w:sz w:val="24"/>
          <w14:textFill>
            <w14:solidFill>
              <w14:schemeClr w14:val="tx1"/>
            </w14:solidFill>
          </w14:textFill>
        </w:rPr>
        <w:tab/>
      </w:r>
      <w:r>
        <w:rPr>
          <w:b/>
          <w:bCs/>
          <w:color w:val="000000" w:themeColor="text1"/>
          <w:sz w:val="24"/>
          <w14:textFill>
            <w14:solidFill>
              <w14:schemeClr w14:val="tx1"/>
            </w14:solidFill>
          </w14:textFill>
        </w:rPr>
        <w:fldChar w:fldCharType="end"/>
      </w:r>
      <w:r>
        <w:rPr>
          <w:rFonts w:hint="eastAsia"/>
          <w:b/>
          <w:bCs/>
          <w:color w:val="000000" w:themeColor="text1"/>
          <w:sz w:val="24"/>
          <w14:textFill>
            <w14:solidFill>
              <w14:schemeClr w14:val="tx1"/>
            </w14:solidFill>
          </w14:textFill>
        </w:rPr>
        <w:t>57</w:t>
      </w:r>
    </w:p>
    <w:p>
      <w:pPr>
        <w:pStyle w:val="11"/>
        <w:tabs>
          <w:tab w:val="right" w:leader="dot" w:pos="8306"/>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fldChar w:fldCharType="end"/>
      </w:r>
    </w:p>
    <w:p>
      <w:pPr>
        <w:spacing w:line="360" w:lineRule="auto"/>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ascii="宋体"/>
          <w:b/>
          <w:bCs/>
          <w:color w:val="000000" w:themeColor="text1"/>
          <w:sz w:val="32"/>
          <w:szCs w:val="28"/>
          <w14:textFill>
            <w14:solidFill>
              <w14:schemeClr w14:val="tx1"/>
            </w14:solidFill>
          </w14:textFill>
        </w:rPr>
        <w:br w:type="page"/>
      </w:r>
      <w:r>
        <w:rPr>
          <w:rFonts w:hint="eastAsia" w:ascii="宋体"/>
          <w:b/>
          <w:bCs/>
          <w:color w:val="000000" w:themeColor="text1"/>
          <w:sz w:val="32"/>
          <w:szCs w:val="28"/>
          <w14:textFill>
            <w14:solidFill>
              <w14:schemeClr w14:val="tx1"/>
            </w14:solidFill>
          </w14:textFill>
        </w:rPr>
        <w:t xml:space="preserve"> </w:t>
      </w:r>
      <w:bookmarkStart w:id="7" w:name="_Toc17273"/>
      <w:r>
        <w:rPr>
          <w:rFonts w:hint="eastAsia" w:ascii="宋体" w:hAnsi="宋体" w:cs="宋体"/>
          <w:b/>
          <w:bCs/>
          <w:color w:val="000000" w:themeColor="text1"/>
          <w:sz w:val="24"/>
          <w14:textFill>
            <w14:solidFill>
              <w14:schemeClr w14:val="tx1"/>
            </w14:solidFill>
          </w14:textFill>
        </w:rPr>
        <w:t>招标邀请书（招标公告）</w:t>
      </w:r>
      <w:bookmarkEnd w:id="7"/>
    </w:p>
    <w:p>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文件编码：</w:t>
      </w:r>
      <w:r>
        <w:rPr>
          <w:rFonts w:hint="eastAsia" w:ascii="宋体" w:hAnsi="宋体" w:cs="宋体"/>
          <w:color w:val="000000" w:themeColor="text1"/>
          <w:kern w:val="0"/>
          <w:sz w:val="24"/>
          <w14:textFill>
            <w14:solidFill>
              <w14:schemeClr w14:val="tx1"/>
            </w14:solidFill>
          </w14:textFill>
        </w:rPr>
        <w:t>0722-2025FE6176SZF-1</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中国远东国际招标有限公司（以下简称采购代理机构）受深圳市前海深港现代服务业合作区管理局委托就</w:t>
      </w:r>
      <w:r>
        <w:rPr>
          <w:rFonts w:hint="eastAsia" w:ascii="宋体" w:hAnsi="宋体" w:cs="宋体"/>
          <w:color w:val="000000" w:themeColor="text1"/>
          <w:sz w:val="24"/>
          <w:u w:val="single"/>
          <w:lang w:eastAsia="zh-CN"/>
          <w14:textFill>
            <w14:solidFill>
              <w14:schemeClr w14:val="tx1"/>
            </w14:solidFill>
          </w14:textFill>
        </w:rPr>
        <w:t>深圳市前海深港现代服务业合作区国库集中支付代理银行服务项目</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lang w:eastAsia="zh-CN"/>
          <w14:textFill>
            <w14:solidFill>
              <w14:schemeClr w14:val="tx1"/>
            </w14:solidFill>
          </w14:textFill>
        </w:rPr>
        <w:t>QHCG25028</w:t>
      </w:r>
      <w:r>
        <w:rPr>
          <w:rFonts w:hint="eastAsia" w:ascii="宋体" w:hAnsi="宋体" w:cs="宋体"/>
          <w:color w:val="000000" w:themeColor="text1"/>
          <w:sz w:val="24"/>
          <w14:textFill>
            <w14:solidFill>
              <w14:schemeClr w14:val="tx1"/>
            </w14:solidFill>
          </w14:textFill>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QHCG25028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深圳市前海深港现代服务业合作区国库集中支付代理银行服务项目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标的内容</w:t>
            </w:r>
          </w:p>
        </w:tc>
        <w:tc>
          <w:tcPr>
            <w:tcW w:w="7015" w:type="dxa"/>
            <w:vAlign w:val="center"/>
          </w:tcPr>
          <w:p>
            <w:pPr>
              <w:spacing w:line="360" w:lineRule="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代理银行主要工作范围为：办理零余额账户财政资金支付、清算业务；建立国库集中支付代理银主要行端管理信息系统，满足国库集中支付要求，并提供相关服务保障；向财政部门、清算银行、预算单位提供相应额度到账通知书、支付凭证、对账单、相关报表、动态监控、对外接口等；本项目按照综合得分顺序，综合评分排名前</w:t>
            </w:r>
            <w:r>
              <w:rPr>
                <w:rFonts w:hint="eastAsia" w:ascii="宋体" w:hAnsi="宋体" w:cs="宋体"/>
                <w:color w:val="000000" w:themeColor="text1"/>
                <w:sz w:val="24"/>
                <w:lang w:val="en-US" w:eastAsia="zh-CN"/>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名的为本项目中标供应商。【单位零余额代理】由采购人按照《深圳市本级预算单位银行账户管理办法》（深财库〔2023〕1 号）规定从中标供应商中选择</w:t>
            </w:r>
            <w:r>
              <w:rPr>
                <w:rFonts w:hint="eastAsia" w:ascii="宋体" w:hAnsi="宋体" w:cs="宋体"/>
                <w:color w:val="000000" w:themeColor="text1"/>
                <w:sz w:val="24"/>
                <w:szCs w:val="24"/>
                <w:lang w:val="en-US" w:eastAsia="zh-CN"/>
                <w14:textFill>
                  <w14:solidFill>
                    <w14:schemeClr w14:val="tx1"/>
                  </w14:solidFill>
                </w14:textFill>
              </w:rPr>
              <w:t>1家中标供应商代理</w:t>
            </w:r>
            <w:r>
              <w:rPr>
                <w:rFonts w:hint="eastAsia" w:ascii="宋体" w:hAnsi="宋体" w:cs="宋体"/>
                <w:color w:val="000000" w:themeColor="text1"/>
                <w:sz w:val="24"/>
                <w14:textFill>
                  <w14:solidFill>
                    <w14:schemeClr w14:val="tx1"/>
                  </w14:solidFill>
                </w14:textFill>
              </w:rPr>
              <w:t>；【财政零余额代理】由综合评分排名第一名的中标供应商代理，具体详见用户需求书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项目预算</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（支付上限）</w:t>
            </w:r>
          </w:p>
        </w:tc>
        <w:tc>
          <w:tcPr>
            <w:tcW w:w="7015"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人民币壹拾伍万元整（¥150,000.00）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76" w:type="dxa"/>
            <w:vAlign w:val="center"/>
          </w:tcPr>
          <w:p>
            <w:pPr>
              <w:spacing w:line="36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服务属性</w:t>
            </w:r>
          </w:p>
        </w:tc>
        <w:tc>
          <w:tcPr>
            <w:tcW w:w="7015" w:type="dxa"/>
            <w:vAlign w:val="center"/>
          </w:tcPr>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本项目为</w:t>
            </w:r>
            <w:r>
              <w:rPr>
                <w:rFonts w:hint="eastAsia" w:ascii="宋体" w:hAnsi="宋体" w:cs="宋体"/>
                <w:color w:val="000000" w:themeColor="text1"/>
                <w:sz w:val="24"/>
                <w:lang w:val="en-US" w:eastAsia="zh-CN"/>
                <w14:textFill>
                  <w14:solidFill>
                    <w14:schemeClr w14:val="tx1"/>
                  </w14:solidFill>
                </w14:textFill>
              </w:rPr>
              <w:t>非</w:t>
            </w:r>
            <w:r>
              <w:rPr>
                <w:rFonts w:hint="eastAsia" w:ascii="宋体" w:hAnsi="宋体" w:cs="宋体"/>
                <w:color w:val="000000" w:themeColor="text1"/>
                <w:sz w:val="24"/>
                <w14:textFill>
                  <w14:solidFill>
                    <w14:schemeClr w14:val="tx1"/>
                  </w14:solidFill>
                </w14:textFill>
              </w:rPr>
              <w:t>长期服务项目</w:t>
            </w:r>
            <w:r>
              <w:rPr>
                <w:rFonts w:hint="eastAsia" w:ascii="宋体" w:hAnsi="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标书获得办法</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报名方式</w:t>
            </w:r>
          </w:p>
        </w:tc>
        <w:tc>
          <w:tcPr>
            <w:tcW w:w="7015" w:type="dxa"/>
            <w:vAlign w:val="center"/>
          </w:tcPr>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将投标文件密封并在</w:t>
            </w:r>
            <w:r>
              <w:rPr>
                <w:rFonts w:hint="eastAsia" w:ascii="宋体" w:hAnsi="宋体" w:cs="宋体"/>
                <w:b/>
                <w:bCs/>
                <w:color w:val="000000" w:themeColor="text1"/>
                <w:kern w:val="0"/>
                <w:sz w:val="24"/>
                <w14:textFill>
                  <w14:solidFill>
                    <w14:schemeClr w14:val="tx1"/>
                  </w14:solidFill>
                </w14:textFill>
              </w:rPr>
              <w:t>2025年</w:t>
            </w:r>
            <w:r>
              <w:rPr>
                <w:rFonts w:hint="eastAsia" w:ascii="宋体" w:hAnsi="宋体" w:cs="宋体"/>
                <w:b/>
                <w:bCs/>
                <w:color w:val="000000" w:themeColor="text1"/>
                <w:kern w:val="0"/>
                <w:sz w:val="24"/>
                <w:lang w:val="en-US" w:eastAsia="zh-CN"/>
                <w14:textFill>
                  <w14:solidFill>
                    <w14:schemeClr w14:val="tx1"/>
                  </w14:solidFill>
                </w14:textFill>
              </w:rPr>
              <w:t>7</w:t>
            </w:r>
            <w:r>
              <w:rPr>
                <w:rFonts w:hint="eastAsia" w:ascii="宋体" w:hAnsi="宋体" w:cs="宋体"/>
                <w:b/>
                <w:bCs/>
                <w:color w:val="000000" w:themeColor="text1"/>
                <w:kern w:val="0"/>
                <w:sz w:val="24"/>
                <w14:textFill>
                  <w14:solidFill>
                    <w14:schemeClr w14:val="tx1"/>
                  </w14:solidFill>
                </w14:textFill>
              </w:rPr>
              <w:t>月</w:t>
            </w:r>
            <w:r>
              <w:rPr>
                <w:rFonts w:hint="eastAsia" w:ascii="宋体" w:hAnsi="宋体" w:cs="宋体"/>
                <w:b/>
                <w:bCs/>
                <w:color w:val="000000" w:themeColor="text1"/>
                <w:kern w:val="0"/>
                <w:sz w:val="24"/>
                <w:lang w:val="en-US" w:eastAsia="zh-CN"/>
                <w14:textFill>
                  <w14:solidFill>
                    <w14:schemeClr w14:val="tx1"/>
                  </w14:solidFill>
                </w14:textFill>
              </w:rPr>
              <w:t>29</w:t>
            </w:r>
            <w:r>
              <w:rPr>
                <w:rFonts w:hint="eastAsia" w:ascii="宋体" w:hAnsi="宋体" w:cs="宋体"/>
                <w:b/>
                <w:bCs/>
                <w:color w:val="000000" w:themeColor="text1"/>
                <w:kern w:val="0"/>
                <w:sz w:val="24"/>
                <w14:textFill>
                  <w14:solidFill>
                    <w14:schemeClr w14:val="tx1"/>
                  </w14:solidFill>
                </w14:textFill>
              </w:rPr>
              <w:t>日</w:t>
            </w:r>
            <w:r>
              <w:rPr>
                <w:rFonts w:hint="eastAsia" w:ascii="宋体" w:hAnsi="宋体" w:cs="宋体"/>
                <w:b/>
                <w:bCs/>
                <w:color w:val="000000" w:themeColor="text1"/>
                <w:kern w:val="0"/>
                <w:sz w:val="24"/>
                <w:lang w:val="en-US" w:eastAsia="zh-CN"/>
                <w14:textFill>
                  <w14:solidFill>
                    <w14:schemeClr w14:val="tx1"/>
                  </w14:solidFill>
                </w14:textFill>
              </w:rPr>
              <w:t>14</w:t>
            </w:r>
            <w:r>
              <w:rPr>
                <w:rFonts w:hint="eastAsia" w:ascii="宋体" w:hAnsi="宋体" w:cs="宋体"/>
                <w:b/>
                <w:bCs/>
                <w:color w:val="000000" w:themeColor="text1"/>
                <w:kern w:val="0"/>
                <w:sz w:val="24"/>
                <w14:textFill>
                  <w14:solidFill>
                    <w14:schemeClr w14:val="tx1"/>
                  </w14:solidFill>
                </w14:textFill>
              </w:rPr>
              <w:t>：</w:t>
            </w:r>
            <w:r>
              <w:rPr>
                <w:rFonts w:hint="eastAsia" w:ascii="宋体" w:hAnsi="宋体" w:cs="宋体"/>
                <w:b/>
                <w:bCs/>
                <w:color w:val="000000" w:themeColor="text1"/>
                <w:kern w:val="0"/>
                <w:sz w:val="24"/>
                <w:lang w:val="en-US" w:eastAsia="zh-CN"/>
                <w14:textFill>
                  <w14:solidFill>
                    <w14:schemeClr w14:val="tx1"/>
                  </w14:solidFill>
                </w14:textFill>
              </w:rPr>
              <w:t>3</w:t>
            </w:r>
            <w:r>
              <w:rPr>
                <w:rFonts w:hint="eastAsia" w:ascii="宋体" w:hAnsi="宋体" w:cs="宋体"/>
                <w:b/>
                <w:bCs/>
                <w:color w:val="000000" w:themeColor="text1"/>
                <w:kern w:val="0"/>
                <w:sz w:val="24"/>
                <w14:textFill>
                  <w14:solidFill>
                    <w14:schemeClr w14:val="tx1"/>
                  </w14:solidFill>
                </w14:textFill>
              </w:rPr>
              <w:t>0时（北京时间）</w:t>
            </w:r>
            <w:r>
              <w:rPr>
                <w:rFonts w:hint="eastAsia" w:ascii="宋体" w:hAnsi="宋体" w:cs="宋体"/>
                <w:color w:val="000000" w:themeColor="text1"/>
                <w:kern w:val="0"/>
                <w:sz w:val="24"/>
                <w14:textFill>
                  <w14:solidFill>
                    <w14:schemeClr w14:val="tx1"/>
                  </w14:solidFill>
                </w14:textFill>
              </w:rPr>
              <w:t>前送达（现场递交或邮寄）至深圳市南山区前海深港合作区桂湾五路123号前海管理局前海大厦T1栋</w:t>
            </w:r>
            <w:r>
              <w:rPr>
                <w:rFonts w:hint="eastAsia" w:ascii="宋体" w:hAnsi="宋体" w:cs="宋体"/>
                <w:color w:val="000000" w:themeColor="text1"/>
                <w:kern w:val="0"/>
                <w:sz w:val="24"/>
                <w:lang w:val="en-US" w:eastAsia="zh-CN"/>
                <w14:textFill>
                  <w14:solidFill>
                    <w14:schemeClr w14:val="tx1"/>
                  </w14:solidFill>
                </w14:textFill>
              </w:rPr>
              <w:t>2513</w:t>
            </w:r>
            <w:r>
              <w:rPr>
                <w:rFonts w:hint="eastAsia" w:ascii="宋体" w:hAnsi="宋体" w:cs="宋体"/>
                <w:color w:val="000000" w:themeColor="text1"/>
                <w:kern w:val="0"/>
                <w:sz w:val="24"/>
                <w14:textFill>
                  <w14:solidFill>
                    <w14:schemeClr w14:val="tx1"/>
                  </w14:solidFill>
                </w14:textFill>
              </w:rPr>
              <w:t>室</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w:t>
            </w:r>
            <w:r>
              <w:rPr>
                <w:rFonts w:hint="eastAsia" w:ascii="宋体" w:hAnsi="宋体" w:cs="宋体"/>
                <w:color w:val="000000" w:themeColor="text1"/>
                <w:sz w:val="24"/>
                <w14:textFill>
                  <w14:solidFill>
                    <w14:schemeClr w14:val="tx1"/>
                  </w14:solidFill>
                </w14:textFill>
              </w:rPr>
              <w:t>殷</w:t>
            </w:r>
            <w:r>
              <w:rPr>
                <w:rFonts w:hint="eastAsia" w:ascii="宋体" w:hAnsi="宋体" w:cs="宋体"/>
                <w:color w:val="000000" w:themeColor="text1"/>
                <w:sz w:val="24"/>
                <w:lang w:eastAsia="zh-CN"/>
                <w14:textFill>
                  <w14:solidFill>
                    <w14:schemeClr w14:val="tx1"/>
                  </w14:solidFill>
                </w14:textFill>
              </w:rPr>
              <w:t>女士</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eastAsia" w:ascii="宋体" w:hAnsi="宋体" w:cs="宋体"/>
                <w:color w:val="000000" w:themeColor="text1"/>
                <w:sz w:val="24"/>
                <w14:textFill>
                  <w14:solidFill>
                    <w14:schemeClr w14:val="tx1"/>
                  </w14:solidFill>
                </w14:textFill>
              </w:rPr>
              <w:t>0755-8810513</w:t>
            </w:r>
            <w:r>
              <w:rPr>
                <w:rFonts w:hint="eastAsia" w:ascii="宋体" w:hAnsi="宋体" w:cs="宋体"/>
                <w:color w:val="000000" w:themeColor="text1"/>
                <w:sz w:val="24"/>
                <w:lang w:val="en-US" w:eastAsia="zh-CN"/>
                <w14:textFill>
                  <w14:solidFill>
                    <w14:schemeClr w14:val="tx1"/>
                  </w14:solidFill>
                </w14:textFill>
              </w:rPr>
              <w:t>5</w:t>
            </w:r>
          </w:p>
          <w:p>
            <w:pPr>
              <w:adjustRightInd w:val="0"/>
              <w:snapToGrid w:val="0"/>
              <w:spacing w:line="360"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投标人资格要求</w:t>
            </w:r>
          </w:p>
        </w:tc>
        <w:tc>
          <w:tcPr>
            <w:tcW w:w="7015" w:type="dxa"/>
            <w:vAlign w:val="center"/>
          </w:tcPr>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在中华人民共和国内注册登记的机构，具有独立承担民事责任的能力（提供《营业执照》或《事业单位法人证书》等独立承担民事责任能力的登记证明文件复印件加盖公章；</w:t>
            </w:r>
            <w:r>
              <w:rPr>
                <w:rFonts w:hint="eastAsia" w:ascii="宋体" w:hAnsi="宋体" w:cs="宋体"/>
                <w:b/>
                <w:bCs/>
                <w:color w:val="000000" w:themeColor="text1"/>
                <w:kern w:val="0"/>
                <w:sz w:val="24"/>
                <w:lang w:eastAsia="zh-CN"/>
                <w14:textFill>
                  <w14:solidFill>
                    <w14:schemeClr w14:val="tx1"/>
                  </w14:solidFill>
                </w14:textFill>
              </w:rPr>
              <w:t>分支机构投标须提供总公司(总行)出具的愿为其承担民事责任的相关函件【函件形式不限，体现相关内容即可】。且同一家总公司(总行)若有两家或两家以上的分支机构，总公司(总行)只能授权一家参与投标）；投标人必须是国有商业银行、股份制商业银行、城市商业银行、农村商业银行或邮政储蓄银行一级分行及以上（含分行）营业机构，同名银行只能有一个主体参与投标</w:t>
            </w:r>
            <w:r>
              <w:rPr>
                <w:rFonts w:hint="eastAsia" w:ascii="宋体" w:hAnsi="宋体" w:cs="宋体"/>
                <w:b/>
                <w:bCs/>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参与政府采购项目投标的供应商近三年内无行贿犯罪记录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参与本项目投标前三年内，在经营活动中没有重大违法记录以及不存在被有关部门禁止参与政府采购活动且在有效期内的情况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000000" w:themeColor="text1"/>
                <w:kern w:val="0"/>
                <w:sz w:val="24"/>
                <w14:textFill>
                  <w14:solidFill>
                    <w14:schemeClr w14:val="tx1"/>
                  </w14:solidFill>
                </w14:textFill>
              </w:rPr>
              <w:t>；</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color w:val="000000" w:themeColor="text1"/>
                <w:kern w:val="0"/>
                <w:sz w:val="24"/>
                <w14:textFill>
                  <w14:solidFill>
                    <w14:schemeClr w14:val="tx1"/>
                  </w14:solidFill>
                </w14:textFill>
              </w:rPr>
              <w:t>（由投标人提供《供应商基本情况表》并加盖公章，同时提供投标人的社保缴纳证明材料及股权关系证明材料，格式见-投标文件格式）；</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为此项目提供整体设计、规范编制或者项目管理、监理、检测等服务的供应商，不得再参加此项目的其他招标采购活动</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落实政府采购政策需满足的资格要求：本项目不属于专门面向特定企业（单位）的采购项目，本项目采购标的对应的中小企业划分标准所属行业为：</w:t>
            </w:r>
            <w:r>
              <w:rPr>
                <w:rFonts w:hint="eastAsia" w:ascii="宋体" w:hAnsi="宋体" w:cs="宋体"/>
                <w:color w:val="000000" w:themeColor="text1"/>
                <w:kern w:val="0"/>
                <w:sz w:val="24"/>
                <w:u w:val="single"/>
                <w14:textFill>
                  <w14:solidFill>
                    <w14:schemeClr w14:val="tx1"/>
                  </w14:solidFill>
                </w14:textFill>
              </w:rPr>
              <w:t>其他未列明行业。</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本项目不接受联合体投标、不允许非法分包、转包</w:t>
            </w:r>
          </w:p>
          <w:p>
            <w:pPr>
              <w:numPr>
                <w:ilvl w:val="0"/>
                <w:numId w:val="2"/>
              </w:num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项目的特定资格要求：根据《深圳市财政国库集中收付代理银行资格认定管理暂行办法》（深人银发〔2012〕114号）、《深圳市国库集中收付代理银行资格认定审批事项服务指南》的有关规定，投标人必须提供中国人民银行深圳</w:t>
            </w:r>
            <w:r>
              <w:rPr>
                <w:rFonts w:hint="eastAsia" w:ascii="宋体" w:hAnsi="宋体" w:eastAsia="宋体" w:cs="宋体"/>
                <w:color w:val="000000" w:themeColor="text1"/>
                <w:kern w:val="0"/>
                <w:sz w:val="24"/>
                <w:lang w:eastAsia="zh-CN"/>
                <w14:textFill>
                  <w14:solidFill>
                    <w14:schemeClr w14:val="tx1"/>
                  </w14:solidFill>
                </w14:textFill>
              </w:rPr>
              <w:t>市分</w:t>
            </w:r>
            <w:r>
              <w:rPr>
                <w:rFonts w:hint="eastAsia" w:ascii="宋体" w:hAnsi="宋体" w:eastAsia="宋体" w:cs="宋体"/>
                <w:color w:val="000000" w:themeColor="text1"/>
                <w:kern w:val="0"/>
                <w:sz w:val="24"/>
                <w14:textFill>
                  <w14:solidFill>
                    <w14:schemeClr w14:val="tx1"/>
                  </w14:solidFill>
                </w14:textFill>
              </w:rPr>
              <w:t>行出具的关于认定市本级财政国库集中支付业务代理银行资格认定，或南山区</w:t>
            </w:r>
            <w:r>
              <w:rPr>
                <w:rFonts w:hint="eastAsia" w:ascii="宋体" w:hAnsi="宋体" w:eastAsia="宋体" w:cs="宋体"/>
                <w:color w:val="000000" w:themeColor="text1"/>
                <w:kern w:val="0"/>
                <w:sz w:val="24"/>
                <w:lang w:val="en-US" w:eastAsia="zh-CN"/>
                <w14:textFill>
                  <w14:solidFill>
                    <w14:schemeClr w14:val="tx1"/>
                  </w14:solidFill>
                </w14:textFill>
              </w:rPr>
              <w:t>或</w:t>
            </w:r>
            <w:r>
              <w:rPr>
                <w:rFonts w:hint="eastAsia" w:ascii="宋体" w:hAnsi="宋体" w:eastAsia="宋体" w:cs="宋体"/>
                <w:color w:val="000000" w:themeColor="text1"/>
                <w:kern w:val="0"/>
                <w:sz w:val="24"/>
                <w14:textFill>
                  <w14:solidFill>
                    <w14:schemeClr w14:val="tx1"/>
                  </w14:solidFill>
                </w14:textFill>
              </w:rPr>
              <w:t>宝安区区级财政国库集中支付业务代理银行资格认定的批复文件（须提供复印件加盖公章</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lang w:val="en-US" w:eastAsia="zh-CN"/>
                <w14:textFill>
                  <w14:solidFill>
                    <w14:schemeClr w14:val="tx1"/>
                  </w14:solidFill>
                </w14:textFill>
              </w:rPr>
              <w:t>原件备查</w:t>
            </w:r>
            <w:r>
              <w:rPr>
                <w:rFonts w:hint="eastAsia" w:ascii="宋体" w:hAnsi="宋体" w:eastAsia="宋体" w:cs="宋体"/>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报价要求</w:t>
            </w:r>
          </w:p>
        </w:tc>
        <w:tc>
          <w:tcPr>
            <w:tcW w:w="7015" w:type="dxa"/>
            <w:vAlign w:val="center"/>
          </w:tcPr>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服务费采用包干制，应包括服务成本、法定税费和企业的利润，并提供项目要求的报告、全部成果文件和全部相关资料，以及其它相关服务的全部费用。由企业根据招标文件所提供的资料自行测算投标报价。在项目实施期间，除另签补充合同外，采购人不接受投保人以任何理由、任何名目提出增加费用的要求。</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2.本项目要求投标人在手续费基准价的基础上报出“折扣率”作为投标报价。“折扣率”是唯一的价格分计算依据。</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项目实际支付金额=手续费基准总价×(折扣率)</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3.“折扣率”填写要求：</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3.1.填写要求：0＜折扣率≤1，未按此要求填写将作投标无效处理。</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3.2.填写的“折扣率”应为小数，如0.95、0.80、0.78；保留至小数点后两位。</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3.3.投标人参与投标只允许填报一个“折扣率”，不允许填报2个（或以上）的“折扣率”；填报了2个或以上“折扣率”的，其投标将直接作投标无效处理；</w:t>
            </w:r>
          </w:p>
          <w:p>
            <w:pPr>
              <w:numPr>
                <w:ilvl w:val="0"/>
                <w:numId w:val="0"/>
              </w:num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3.4.“折扣率”缺填、漏填将直接作投标无效处理。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76" w:type="dxa"/>
            <w:vAlign w:val="center"/>
          </w:tcPr>
          <w:p>
            <w:pPr>
              <w:spacing w:line="360"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7015" w:type="dxa"/>
            <w:vAlign w:val="center"/>
          </w:tcPr>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1.采购人信息</w:t>
            </w:r>
          </w:p>
          <w:p>
            <w:pPr>
              <w:spacing w:line="360" w:lineRule="auto"/>
              <w:rPr>
                <w:rFonts w:hint="eastAsia" w:ascii="宋体" w:hAnsi="宋体" w:cs="宋体"/>
                <w:color w:val="000000" w:themeColor="text1"/>
                <w:kern w:val="0"/>
                <w:sz w:val="24"/>
                <w14:textFill>
                  <w14:solidFill>
                    <w14:schemeClr w14:val="tx1"/>
                  </w14:solidFill>
                </w14:textFill>
              </w:rPr>
            </w:pPr>
            <w:bookmarkStart w:id="8" w:name="_Toc28359009"/>
            <w:bookmarkStart w:id="9" w:name="_Toc28359086"/>
            <w:r>
              <w:rPr>
                <w:rFonts w:hint="eastAsia" w:ascii="宋体" w:hAnsi="宋体" w:cs="宋体"/>
                <w:color w:val="000000" w:themeColor="text1"/>
                <w:kern w:val="0"/>
                <w:sz w:val="24"/>
                <w14:textFill>
                  <w14:solidFill>
                    <w14:schemeClr w14:val="tx1"/>
                  </w14:solidFill>
                </w14:textFill>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址：深圳市南山区前海深港合作区桂湾五路123号前海管理局前海大厦T1栋</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殷</w:t>
            </w:r>
            <w:r>
              <w:rPr>
                <w:rFonts w:hint="eastAsia" w:ascii="宋体" w:hAnsi="宋体" w:cs="宋体"/>
                <w:color w:val="000000" w:themeColor="text1"/>
                <w:sz w:val="24"/>
                <w:lang w:eastAsia="zh-CN"/>
                <w14:textFill>
                  <w14:solidFill>
                    <w14:schemeClr w14:val="tx1"/>
                  </w14:solidFill>
                </w14:textFill>
              </w:rPr>
              <w:t>女士</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w:t>
            </w:r>
            <w:r>
              <w:rPr>
                <w:rFonts w:hint="eastAsia" w:ascii="宋体" w:hAnsi="宋体" w:cs="宋体"/>
                <w:color w:val="000000" w:themeColor="text1"/>
                <w:sz w:val="24"/>
                <w14:textFill>
                  <w14:solidFill>
                    <w14:schemeClr w14:val="tx1"/>
                  </w14:solidFill>
                </w14:textFill>
              </w:rPr>
              <w:t>8810513</w:t>
            </w:r>
            <w:r>
              <w:rPr>
                <w:rFonts w:hint="eastAsia" w:ascii="宋体" w:hAnsi="宋体" w:cs="宋体"/>
                <w:color w:val="000000" w:themeColor="text1"/>
                <w:sz w:val="24"/>
                <w:lang w:val="en-US" w:eastAsia="zh-CN"/>
                <w14:textFill>
                  <w14:solidFill>
                    <w14:schemeClr w14:val="tx1"/>
                  </w14:solidFill>
                </w14:textFill>
              </w:rPr>
              <w:t>5</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2.采购代理机构信息</w:t>
            </w:r>
            <w:bookmarkEnd w:id="8"/>
            <w:bookmarkEnd w:id="9"/>
          </w:p>
          <w:p>
            <w:pPr>
              <w:spacing w:line="360" w:lineRule="auto"/>
              <w:rPr>
                <w:rFonts w:hint="eastAsia" w:ascii="宋体" w:hAnsi="宋体" w:cs="宋体"/>
                <w:color w:val="000000" w:themeColor="text1"/>
                <w:kern w:val="0"/>
                <w:sz w:val="24"/>
                <w14:textFill>
                  <w14:solidFill>
                    <w14:schemeClr w14:val="tx1"/>
                  </w14:solidFill>
                </w14:textFill>
              </w:rPr>
            </w:pPr>
            <w:bookmarkStart w:id="10" w:name="_Toc28359087"/>
            <w:bookmarkStart w:id="11" w:name="_Toc28359010"/>
            <w:r>
              <w:rPr>
                <w:rFonts w:hint="eastAsia" w:ascii="宋体" w:hAnsi="宋体" w:cs="宋体"/>
                <w:color w:val="000000" w:themeColor="text1"/>
                <w:kern w:val="0"/>
                <w:sz w:val="24"/>
                <w14:textFill>
                  <w14:solidFill>
                    <w14:schemeClr w14:val="tx1"/>
                  </w14:solidFill>
                </w14:textFill>
              </w:rPr>
              <w:t>名  称：中国远东国际招标有限公司</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  址：深圳市福田区上步南路1001号锦峰大厦22楼</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传  真：0755-82077519</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3.项目联系方式</w:t>
            </w:r>
            <w:bookmarkEnd w:id="10"/>
            <w:bookmarkEnd w:id="11"/>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项目联系人：凌女士、伍先生</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话：0755-82078919、82077364转108</w:t>
            </w:r>
          </w:p>
        </w:tc>
      </w:tr>
    </w:tbl>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中国远东国际招标有限公司</w:t>
      </w:r>
    </w:p>
    <w:p>
      <w:pPr>
        <w:adjustRightInd w:val="0"/>
        <w:snapToGrid w:val="0"/>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21</w:t>
      </w:r>
      <w:r>
        <w:rPr>
          <w:rFonts w:hint="eastAsia" w:ascii="宋体" w:hAnsi="宋体" w:cs="宋体"/>
          <w:color w:val="000000" w:themeColor="text1"/>
          <w:sz w:val="24"/>
          <w14:textFill>
            <w14:solidFill>
              <w14:schemeClr w14:val="tx1"/>
            </w14:solidFill>
          </w14:textFill>
        </w:rPr>
        <w:t>日</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12" w:name="_Toc10214"/>
      <w:r>
        <w:rPr>
          <w:rFonts w:hint="eastAsia" w:ascii="宋体" w:hAnsi="宋体" w:cs="宋体"/>
          <w:b/>
          <w:bCs/>
          <w:color w:val="000000" w:themeColor="text1"/>
          <w:sz w:val="24"/>
          <w14:textFill>
            <w14:solidFill>
              <w14:schemeClr w14:val="tx1"/>
            </w14:solidFill>
          </w14:textFill>
        </w:rPr>
        <w:t>投标须知</w:t>
      </w:r>
      <w:bookmarkEnd w:id="12"/>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1、本项目是深圳市前海深港现代服务业合作区管理局的</w:t>
      </w:r>
      <w:r>
        <w:rPr>
          <w:rFonts w:hint="eastAsia" w:ascii="宋体" w:hAnsi="宋体" w:cs="宋体"/>
          <w:color w:val="000000" w:themeColor="text1"/>
          <w:sz w:val="24"/>
          <w:lang w:eastAsia="zh-CN"/>
          <w14:textFill>
            <w14:solidFill>
              <w14:schemeClr w14:val="tx1"/>
            </w14:solidFill>
          </w14:textFill>
        </w:rPr>
        <w:t>深圳市前海深港现代服务业合作区国库集中支付代理银行服务项目</w:t>
      </w:r>
      <w:r>
        <w:rPr>
          <w:rFonts w:hint="eastAsia" w:ascii="宋体" w:hAnsi="宋体" w:cs="宋体"/>
          <w:color w:val="000000" w:themeColor="text1"/>
          <w:sz w:val="24"/>
          <w14:textFill>
            <w14:solidFill>
              <w14:schemeClr w14:val="tx1"/>
            </w14:solidFill>
          </w14:textFill>
        </w:rPr>
        <w:t>。</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2.1、本次采购公开征集供应商，报名且符合招标文件初审的供应商满足</w:t>
      </w:r>
      <w:r>
        <w:rPr>
          <w:rFonts w:hint="eastAsia" w:ascii="宋体" w:hAnsi="宋体" w:cs="宋体"/>
          <w:b/>
          <w:bCs/>
          <w:color w:val="000000" w:themeColor="text1"/>
          <w:sz w:val="24"/>
          <w:lang w:val="en-US" w:eastAsia="zh-CN"/>
          <w14:textFill>
            <w14:solidFill>
              <w14:schemeClr w14:val="tx1"/>
            </w14:solidFill>
          </w14:textFill>
        </w:rPr>
        <w:t>8</w:t>
      </w:r>
      <w:r>
        <w:rPr>
          <w:rFonts w:hint="eastAsia" w:ascii="宋体" w:hAnsi="宋体" w:cs="宋体"/>
          <w:b/>
          <w:bCs/>
          <w:color w:val="000000" w:themeColor="text1"/>
          <w:sz w:val="24"/>
          <w14:textFill>
            <w14:solidFill>
              <w14:schemeClr w14:val="tx1"/>
            </w14:solidFill>
          </w14:textFill>
        </w:rPr>
        <w:t>家或</w:t>
      </w:r>
      <w:r>
        <w:rPr>
          <w:rFonts w:hint="eastAsia" w:ascii="宋体" w:hAnsi="宋体" w:cs="宋体"/>
          <w:b/>
          <w:bCs/>
          <w:color w:val="000000" w:themeColor="text1"/>
          <w:sz w:val="24"/>
          <w:lang w:val="en-US" w:eastAsia="zh-CN"/>
          <w14:textFill>
            <w14:solidFill>
              <w14:schemeClr w14:val="tx1"/>
            </w14:solidFill>
          </w14:textFill>
        </w:rPr>
        <w:t>8</w:t>
      </w:r>
      <w:r>
        <w:rPr>
          <w:rFonts w:hint="eastAsia" w:ascii="宋体" w:hAnsi="宋体" w:cs="宋体"/>
          <w:b/>
          <w:bCs/>
          <w:color w:val="000000" w:themeColor="text1"/>
          <w:sz w:val="24"/>
          <w14:textFill>
            <w14:solidFill>
              <w14:schemeClr w14:val="tx1"/>
            </w14:solidFill>
          </w14:textFill>
        </w:rPr>
        <w:t>家以上的，采用综合评分法的方式进行。</w:t>
      </w:r>
      <w:r>
        <w:rPr>
          <w:rFonts w:hint="eastAsia" w:ascii="宋体" w:hAnsi="宋体" w:cs="宋体"/>
          <w:b/>
          <w:bCs/>
          <w:color w:val="000000" w:themeColor="text1"/>
          <w:sz w:val="24"/>
          <w:u w:val="single"/>
          <w14:textFill>
            <w14:solidFill>
              <w14:schemeClr w14:val="tx1"/>
            </w14:solidFill>
          </w14:textFill>
        </w:rPr>
        <w:t>报名且符合招标文件初审的供应商不足</w:t>
      </w:r>
      <w:r>
        <w:rPr>
          <w:rFonts w:hint="eastAsia" w:ascii="宋体" w:hAnsi="宋体" w:cs="宋体"/>
          <w:b/>
          <w:bCs/>
          <w:color w:val="000000" w:themeColor="text1"/>
          <w:sz w:val="24"/>
          <w:u w:val="single"/>
          <w:lang w:val="en-US" w:eastAsia="zh-CN"/>
          <w14:textFill>
            <w14:solidFill>
              <w14:schemeClr w14:val="tx1"/>
            </w14:solidFill>
          </w14:textFill>
        </w:rPr>
        <w:t>5</w:t>
      </w:r>
      <w:r>
        <w:rPr>
          <w:rFonts w:hint="eastAsia" w:ascii="宋体" w:hAnsi="宋体" w:cs="宋体"/>
          <w:b/>
          <w:bCs/>
          <w:color w:val="000000" w:themeColor="text1"/>
          <w:sz w:val="24"/>
          <w:u w:val="single"/>
          <w14:textFill>
            <w14:solidFill>
              <w14:schemeClr w14:val="tx1"/>
            </w14:solidFill>
          </w14:textFill>
        </w:rPr>
        <w:t>家而导致招标失败的，应重新组织简易招标(公开征集)或转为其他采购方式采购。</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2.2、对于重新组织简易招标(公开征集)，仍出现有效投标供应商不足</w:t>
      </w:r>
      <w:r>
        <w:rPr>
          <w:rFonts w:hint="eastAsia" w:ascii="宋体" w:hAnsi="宋体" w:cs="宋体"/>
          <w:b/>
          <w:bCs/>
          <w:color w:val="000000" w:themeColor="text1"/>
          <w:sz w:val="24"/>
          <w:lang w:val="en-US" w:eastAsia="zh-CN"/>
          <w14:textFill>
            <w14:solidFill>
              <w14:schemeClr w14:val="tx1"/>
            </w14:solidFill>
          </w14:textFill>
        </w:rPr>
        <w:t>8</w:t>
      </w:r>
      <w:r>
        <w:rPr>
          <w:rFonts w:hint="eastAsia" w:ascii="宋体" w:hAnsi="宋体" w:cs="宋体"/>
          <w:b/>
          <w:bCs/>
          <w:color w:val="000000" w:themeColor="text1"/>
          <w:sz w:val="24"/>
          <w14:textFill>
            <w14:solidFill>
              <w14:schemeClr w14:val="tx1"/>
            </w14:solidFill>
          </w14:textFill>
        </w:rPr>
        <w:t>家的情形，按以下流程执行：</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a.有效投标人为</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家的，可在</w:t>
      </w: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家有效投标人中取得分</w:t>
      </w:r>
      <w:r>
        <w:rPr>
          <w:rFonts w:hint="eastAsia" w:ascii="宋体" w:hAnsi="宋体" w:cs="宋体"/>
          <w:b/>
          <w:bCs/>
          <w:color w:val="000000" w:themeColor="text1"/>
          <w:sz w:val="24"/>
          <w:lang w:val="en-US" w:eastAsia="zh-CN"/>
          <w14:textFill>
            <w14:solidFill>
              <w14:schemeClr w14:val="tx1"/>
            </w14:solidFill>
          </w14:textFill>
        </w:rPr>
        <w:t>排名前6名的</w:t>
      </w:r>
      <w:r>
        <w:rPr>
          <w:rFonts w:hint="eastAsia" w:ascii="宋体" w:hAnsi="宋体" w:cs="宋体"/>
          <w:b/>
          <w:bCs/>
          <w:color w:val="000000" w:themeColor="text1"/>
          <w:sz w:val="24"/>
          <w14:textFill>
            <w14:solidFill>
              <w14:schemeClr w14:val="tx1"/>
            </w14:solidFill>
          </w14:textFill>
        </w:rPr>
        <w:t>为中标供应商；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b.如参与投标且符合招标文件要求的供应商仅有</w:t>
      </w:r>
      <w:r>
        <w:rPr>
          <w:rFonts w:hint="eastAsia" w:ascii="宋体" w:hAnsi="宋体" w:cs="宋体"/>
          <w:b/>
          <w:bCs/>
          <w:color w:val="000000" w:themeColor="text1"/>
          <w:sz w:val="24"/>
          <w:lang w:val="en-US" w:eastAsia="zh-CN"/>
          <w14:textFill>
            <w14:solidFill>
              <w14:schemeClr w14:val="tx1"/>
            </w14:solidFill>
          </w14:textFill>
        </w:rPr>
        <w:t>6</w:t>
      </w:r>
      <w:r>
        <w:rPr>
          <w:rFonts w:hint="eastAsia" w:ascii="宋体" w:hAnsi="宋体" w:cs="宋体"/>
          <w:b/>
          <w:bCs/>
          <w:color w:val="000000" w:themeColor="text1"/>
          <w:sz w:val="24"/>
          <w14:textFill>
            <w14:solidFill>
              <w14:schemeClr w14:val="tx1"/>
            </w14:solidFill>
          </w14:textFill>
        </w:rPr>
        <w:t>家，评审委员会应与投标供应商进行谈判，</w:t>
      </w:r>
      <w:r>
        <w:rPr>
          <w:rFonts w:hint="eastAsia" w:ascii="宋体" w:hAnsi="宋体" w:cs="宋体"/>
          <w:b/>
          <w:bCs/>
          <w:color w:val="000000" w:themeColor="text1"/>
          <w:sz w:val="24"/>
          <w:u w:val="single"/>
          <w14:textFill>
            <w14:solidFill>
              <w14:schemeClr w14:val="tx1"/>
            </w14:solidFill>
          </w14:textFill>
        </w:rPr>
        <w:t>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3、本项目根据项目的实际情况，公开征集符合投标人资格的供应商。请各供应商根据本文件的要求，准备</w:t>
      </w:r>
      <w:r>
        <w:rPr>
          <w:rFonts w:hint="eastAsia" w:ascii="宋体" w:hAnsi="宋体" w:cs="宋体"/>
          <w:b/>
          <w:bCs/>
          <w:color w:val="000000" w:themeColor="text1"/>
          <w:sz w:val="24"/>
          <w14:textFill>
            <w14:solidFill>
              <w14:schemeClr w14:val="tx1"/>
            </w14:solidFill>
          </w14:textFill>
        </w:rPr>
        <w:t>5套（1套正本，4套副本，</w:t>
      </w:r>
      <w:bookmarkStart w:id="13" w:name="OLE_LINK6"/>
      <w:r>
        <w:rPr>
          <w:rFonts w:hint="eastAsia" w:ascii="宋体" w:hAnsi="宋体" w:cs="宋体"/>
          <w:b/>
          <w:color w:val="000000" w:themeColor="text1"/>
          <w:sz w:val="24"/>
          <w14:textFill>
            <w14:solidFill>
              <w14:schemeClr w14:val="tx1"/>
            </w14:solidFill>
          </w14:textFill>
        </w:rPr>
        <w:t>1份电子文档：PDF格式的正本投标文件扫描件、与正本一致的word文档格式的投标文件</w:t>
      </w:r>
      <w:bookmarkEnd w:id="13"/>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完备的资料进行投标。</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5、响应文件要包括如下内容：</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价格部分；</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商务部分；</w:t>
      </w:r>
    </w:p>
    <w:p>
      <w:pPr>
        <w:numPr>
          <w:ilvl w:val="0"/>
          <w:numId w:val="3"/>
        </w:numPr>
        <w:tabs>
          <w:tab w:val="clear" w:pos="-420"/>
        </w:tabs>
        <w:snapToGrid w:val="0"/>
        <w:spacing w:after="78" w:afterLines="25" w:line="360" w:lineRule="auto"/>
        <w:ind w:left="1050" w:hanging="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技术部分。</w:t>
      </w:r>
    </w:p>
    <w:p>
      <w:pPr>
        <w:snapToGrid w:val="0"/>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采购人会对本次招标的项目确定一个最高限价，最终成交价格超出最高限价将会被当作投标无效处理。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9、本次采购凡涉及知识产权问题，由项目供应商负责。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10、采购人将组成评审委员会，评审工作由评审委员会独立负责。</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12、采用综合评分法的情况：评审委员会将分别对供应商递交的投标文件进行评审。</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（1）评审委员会将根据供应商的供货能力、服务能力、货物的质量、是否满足本次采购的商务条件、报价等方面的情况进行综合评审，评标委员会依据得分情况，取综合得</w:t>
      </w:r>
      <w:r>
        <w:rPr>
          <w:rFonts w:hint="eastAsia" w:ascii="宋体" w:hAnsi="宋体" w:cs="宋体"/>
          <w:color w:val="000000" w:themeColor="text1"/>
          <w:sz w:val="24"/>
          <w:lang w:val="en-US" w:eastAsia="zh-CN"/>
          <w14:textFill>
            <w14:solidFill>
              <w14:schemeClr w14:val="tx1"/>
            </w14:solidFill>
          </w14:textFill>
        </w:rPr>
        <w:t>分前三</w:t>
      </w:r>
      <w:r>
        <w:rPr>
          <w:rFonts w:hint="eastAsia" w:ascii="宋体" w:hAnsi="宋体" w:cs="宋体"/>
          <w:color w:val="000000" w:themeColor="text1"/>
          <w:sz w:val="24"/>
          <w14:textFill>
            <w14:solidFill>
              <w14:schemeClr w14:val="tx1"/>
            </w14:solidFill>
          </w14:textFill>
        </w:rPr>
        <w:t>的供应商为第一中标候选人。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（2）如果二个及以上供应商的综合评分相同时，取投标价格低者为第一中标候选人。</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（3）如果二个及以上供应商的综合评分相同，且投标价格也相同时，取技术部分得分高者为第一中标候选人。</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13、采用谈判的情况：参与投标且符合招标文件要求的供应商仅有</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家，评审委员会将与投标供应商进行谈判。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（1）供应商在谈判时由项目负责人与评审委员会进行谈判；</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（2）原则上成交价不超过最初报价的95%。</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14、所有的评审/谈判内容都必须保密。</w:t>
      </w:r>
    </w:p>
    <w:p>
      <w:pPr>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15、招标代理服务收费：</w:t>
      </w:r>
    </w:p>
    <w:p>
      <w:pPr>
        <w:snapToGri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以《深圳市财政委员会关于规范深圳市社会采购代理机构管理有关事项的补充通知》（深财购〔2018〕27号）代理费用参考标准的80%按差额定率累进法进行计费，</w:t>
      </w:r>
      <w:r>
        <w:rPr>
          <w:rFonts w:hint="eastAsia" w:ascii="宋体" w:hAnsi="宋体" w:cs="宋体"/>
          <w:color w:val="000000" w:themeColor="text1"/>
          <w:sz w:val="24"/>
          <w:lang w:val="en-US" w:eastAsia="zh-CN"/>
          <w14:textFill>
            <w14:solidFill>
              <w14:schemeClr w14:val="tx1"/>
            </w14:solidFill>
          </w14:textFill>
        </w:rPr>
        <w:t>按预算金额计算，由中标人支付，</w:t>
      </w:r>
      <w:r>
        <w:rPr>
          <w:rFonts w:hint="eastAsia" w:ascii="宋体" w:hAnsi="宋体" w:cs="宋体"/>
          <w:color w:val="000000" w:themeColor="text1"/>
          <w:sz w:val="24"/>
          <w14:textFill>
            <w14:solidFill>
              <w14:schemeClr w14:val="tx1"/>
            </w14:solidFill>
          </w14:textFill>
        </w:rPr>
        <w:t>若以上计算金额小于3000元</w:t>
      </w:r>
      <w:r>
        <w:rPr>
          <w:rFonts w:hint="eastAsia" w:ascii="宋体" w:hAnsi="宋体" w:cs="宋体"/>
          <w:color w:val="000000" w:themeColor="text1"/>
          <w:sz w:val="24"/>
          <w:lang w:val="en-US" w:eastAsia="zh-CN"/>
          <w14:textFill>
            <w14:solidFill>
              <w14:schemeClr w14:val="tx1"/>
            </w14:solidFill>
          </w14:textFill>
        </w:rPr>
        <w:t>/家</w:t>
      </w:r>
      <w:r>
        <w:rPr>
          <w:rFonts w:hint="eastAsia" w:ascii="宋体" w:hAnsi="宋体" w:cs="宋体"/>
          <w:color w:val="000000" w:themeColor="text1"/>
          <w:sz w:val="24"/>
          <w14:textFill>
            <w14:solidFill>
              <w14:schemeClr w14:val="tx1"/>
            </w14:solidFill>
          </w14:textFill>
        </w:rPr>
        <w:t>，则按3000元</w:t>
      </w:r>
      <w:r>
        <w:rPr>
          <w:rFonts w:hint="eastAsia" w:ascii="宋体" w:hAnsi="宋体" w:cs="宋体"/>
          <w:color w:val="000000" w:themeColor="text1"/>
          <w:sz w:val="24"/>
          <w:lang w:val="en-US" w:eastAsia="zh-CN"/>
          <w14:textFill>
            <w14:solidFill>
              <w14:schemeClr w14:val="tx1"/>
            </w14:solidFill>
          </w14:textFill>
        </w:rPr>
        <w:t>/家</w:t>
      </w:r>
      <w:r>
        <w:rPr>
          <w:rFonts w:hint="eastAsia" w:ascii="宋体" w:hAnsi="宋体" w:cs="宋体"/>
          <w:color w:val="000000" w:themeColor="text1"/>
          <w:sz w:val="24"/>
          <w14:textFill>
            <w14:solidFill>
              <w14:schemeClr w14:val="tx1"/>
            </w14:solidFill>
          </w14:textFill>
        </w:rPr>
        <w:t>收取。</w:t>
      </w:r>
    </w:p>
    <w:p>
      <w:pPr>
        <w:snapToGrid w:val="0"/>
        <w:spacing w:line="360" w:lineRule="auto"/>
        <w:ind w:firstLine="360" w:firstLineChars="1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100万元以下</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0.45%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0.1%</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1亿元（含）-5亿元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755"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c>
          <w:tcPr>
            <w:tcW w:w="1897" w:type="dxa"/>
            <w:vAlign w:val="center"/>
          </w:tcPr>
          <w:p>
            <w:pPr>
              <w:adjustRightInd w:val="0"/>
              <w:snapToGrid w:val="0"/>
              <w:spacing w:line="360" w:lineRule="auto"/>
              <w:ind w:right="28"/>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0.004%</w:t>
            </w:r>
          </w:p>
        </w:tc>
      </w:tr>
    </w:tbl>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招标代理服务费缴纳至：</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开户名称：中国远东国际招标有限公司深圳分公司</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银行账号：11013651025501</w:t>
      </w:r>
    </w:p>
    <w:p>
      <w:pPr>
        <w:spacing w:line="360" w:lineRule="auto"/>
        <w:rPr>
          <w:rFonts w:hint="eastAsia" w:ascii="宋体" w:hAnsi="宋体" w:cs="宋体"/>
          <w:b/>
          <w:bCs/>
          <w:color w:val="000000" w:themeColor="text1"/>
          <w:sz w:val="24"/>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开户银行：平安银行深圳中电支行</w:t>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bookmarkStart w:id="14" w:name="_Toc20176"/>
      <w:r>
        <w:rPr>
          <w:rFonts w:hint="eastAsia" w:ascii="宋体" w:hAnsi="宋体" w:cs="宋体"/>
          <w:b/>
          <w:bCs/>
          <w:color w:val="000000" w:themeColor="text1"/>
          <w:sz w:val="24"/>
          <w14:textFill>
            <w14:solidFill>
              <w14:schemeClr w14:val="tx1"/>
            </w14:solidFill>
          </w14:textFill>
        </w:rPr>
        <w:t>评标程序</w:t>
      </w:r>
      <w:bookmarkEnd w:id="14"/>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二、参加会议人员：投标人代表（如需）、项目负责代表、评审委员会成员、监督部门代表（如需）、采购代理机构代表。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三、会议主持人：中国远东国际招标有限公司工作人员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四、开标时间：2025年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五、会议开始：2025年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0时（北京时间）由会议主持人宣布定标会议开始。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六、项目负责代表向采购代理机构代表送交投标文件，监督部门代表（如有）确认投标文件密封完整，未密封投标文件将作为投标无效处理。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七、由采购代理机构代表现场拆封投标文件，并分发给评审委员会成员。</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八、评审委员会审查供应商的投标文件，工作人员记录审查的情况。</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九、评审委员会按以下工作程序进行：</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1、评标委员会对各供应商的投标文件进行初审，对未能通过初审的投标文件作投标无效处理。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2、对通过初审的供应商的投标文件进行详细的比较和评价。如需要，进行必要的澄清/说明工作。</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3、根据参与投标且符合招标文件要求的供应商数量情况，确定本项目的评审方法。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4、采用综合评分法的情况：评审委员会将分别对供应商递交的投标文件进行评审。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4.1评审委员会将根据供应商的供货能力、服务能力、货物的质量、是否满足本次采购的商务条件、报价等方面的情况进行综合评价，评标委员会依据得分情况推荐综合得分</w:t>
      </w:r>
      <w:r>
        <w:rPr>
          <w:rFonts w:hint="eastAsia" w:ascii="宋体" w:hAnsi="宋体" w:cs="宋体"/>
          <w:color w:val="000000" w:themeColor="text1"/>
          <w:sz w:val="24"/>
          <w:lang w:val="en-US" w:eastAsia="zh-CN"/>
          <w14:textFill>
            <w14:solidFill>
              <w14:schemeClr w14:val="tx1"/>
            </w14:solidFill>
          </w14:textFill>
        </w:rPr>
        <w:t>排名前三</w:t>
      </w:r>
      <w:r>
        <w:rPr>
          <w:rFonts w:hint="eastAsia" w:ascii="宋体" w:hAnsi="宋体" w:cs="宋体"/>
          <w:color w:val="000000" w:themeColor="text1"/>
          <w:sz w:val="24"/>
          <w14:textFill>
            <w14:solidFill>
              <w14:schemeClr w14:val="tx1"/>
            </w14:solidFill>
          </w14:textFill>
        </w:rPr>
        <w:t>的供应商为第一中标候选人；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4.2如果二个及以上供应商的综合评分相同时，取投标价格低者为第一中标候选人。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4.3如果二个及以上供应商的综合评分相同，且投标价格也相同时，取技术部分得分高者为第一中标候选人。</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5、采用谈判的情况：参与投标且符合招标文件要求的供应商仅有</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家，评审委员会将与投标供应商进行谈判。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 供应商在谈判时由项目负责人与评审委员会进行谈判；</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 原则上成交价不超过最初报价的95%。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6、评审委员会按照本项目招标文件中规定的评标方法确定中标供应商。</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十、根据本次采购的结果，1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个工作日内与中标供应商签订合同。</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15" w:name="_Toc3567"/>
      <w:r>
        <w:rPr>
          <w:rFonts w:hint="eastAsia" w:ascii="宋体" w:hAnsi="宋体" w:cs="宋体"/>
          <w:b/>
          <w:bCs/>
          <w:color w:val="000000" w:themeColor="text1"/>
          <w:sz w:val="24"/>
          <w14:textFill>
            <w14:solidFill>
              <w14:schemeClr w14:val="tx1"/>
            </w14:solidFill>
          </w14:textFill>
        </w:rPr>
        <w:t>合同格式及合同条款</w:t>
      </w:r>
      <w:bookmarkEnd w:id="15"/>
    </w:p>
    <w:p>
      <w:pPr>
        <w:spacing w:line="360" w:lineRule="auto"/>
        <w:ind w:firstLine="470" w:firstLineChars="196"/>
        <w:jc w:val="center"/>
        <w:rPr>
          <w:rFonts w:hint="eastAsia" w:ascii="宋体" w:hAnsi="宋体" w:cs="宋体"/>
          <w:color w:val="000000" w:themeColor="text1"/>
          <w:sz w:val="24"/>
          <w14:textFill>
            <w14:solidFill>
              <w14:schemeClr w14:val="tx1"/>
            </w14:solidFill>
          </w14:textFill>
        </w:rPr>
      </w:pPr>
      <w:bookmarkStart w:id="16" w:name="_Toc73521680"/>
      <w:bookmarkStart w:id="17" w:name="_Toc73518163"/>
      <w:bookmarkStart w:id="18" w:name="_Toc101074886"/>
      <w:bookmarkStart w:id="19" w:name="_Toc73517685"/>
      <w:bookmarkStart w:id="20" w:name="_Toc100052414"/>
      <w:bookmarkStart w:id="21" w:name="_Toc84303603"/>
      <w:bookmarkStart w:id="22" w:name="_Toc73521592"/>
    </w:p>
    <w:bookmarkEnd w:id="16"/>
    <w:bookmarkEnd w:id="17"/>
    <w:bookmarkEnd w:id="18"/>
    <w:bookmarkEnd w:id="19"/>
    <w:bookmarkEnd w:id="20"/>
    <w:bookmarkEnd w:id="21"/>
    <w:bookmarkEnd w:id="22"/>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合同编号（甲方）：            </w:t>
      </w:r>
    </w:p>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合同编号（乙方）：            </w:t>
      </w:r>
    </w:p>
    <w:p>
      <w:pPr>
        <w:pStyle w:val="24"/>
        <w:spacing w:line="360" w:lineRule="auto"/>
        <w:ind w:left="1470" w:right="1470" w:firstLine="482"/>
        <w:jc w:val="center"/>
        <w:rPr>
          <w:rFonts w:hint="eastAsia" w:ascii="宋体" w:hAnsi="宋体" w:cs="宋体"/>
          <w:b/>
          <w:color w:val="000000" w:themeColor="text1"/>
          <w:sz w:val="24"/>
          <w:szCs w:val="24"/>
          <w14:textFill>
            <w14:solidFill>
              <w14:schemeClr w14:val="tx1"/>
            </w14:solidFill>
          </w14:textFill>
        </w:rPr>
      </w:pPr>
    </w:p>
    <w:p>
      <w:pPr>
        <w:pStyle w:val="24"/>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pStyle w:val="24"/>
        <w:spacing w:line="360" w:lineRule="auto"/>
        <w:ind w:left="1470" w:right="1470" w:firstLine="482"/>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p>
    <w:p>
      <w:pPr>
        <w:spacing w:line="360" w:lineRule="auto"/>
        <w:jc w:val="center"/>
        <w:outlineLvl w:val="1"/>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深圳市前海深港现代服务业合作区国库集中支付代理银行服务项目</w:t>
      </w:r>
      <w:r>
        <w:rPr>
          <w:rFonts w:hint="eastAsia" w:ascii="宋体" w:hAnsi="宋体" w:cs="宋体"/>
          <w:b/>
          <w:color w:val="000000" w:themeColor="text1"/>
          <w:sz w:val="32"/>
          <w:szCs w:val="32"/>
          <w14:textFill>
            <w14:solidFill>
              <w14:schemeClr w14:val="tx1"/>
            </w14:solidFill>
          </w14:textFill>
        </w:rPr>
        <w:t>委托合同</w:t>
      </w:r>
    </w:p>
    <w:p>
      <w:pPr>
        <w:spacing w:line="300" w:lineRule="auto"/>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（仅供参考，项目具体要求以招标项目需求为准）</w:t>
      </w:r>
    </w:p>
    <w:p>
      <w:pPr>
        <w:spacing w:line="360" w:lineRule="auto"/>
        <w:rPr>
          <w:rFonts w:hint="eastAsia" w:ascii="宋体" w:hAnsi="宋体" w:cs="宋体"/>
          <w:color w:val="000000" w:themeColor="text1"/>
          <w:sz w:val="24"/>
          <w14:textFill>
            <w14:solidFill>
              <w14:schemeClr w14:val="tx1"/>
            </w14:solidFill>
          </w14:textFill>
        </w:rPr>
      </w:pPr>
    </w:p>
    <w:p>
      <w:pPr>
        <w:pStyle w:val="24"/>
        <w:spacing w:line="360" w:lineRule="auto"/>
        <w:ind w:left="1470" w:right="1470" w:firstLine="48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ind w:firstLine="720" w:firstLineChars="300"/>
        <w:rPr>
          <w:rFonts w:hint="eastAsia" w:ascii="宋体" w:hAnsi="宋体" w:eastAsia="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lang w:eastAsia="zh-CN"/>
          <w14:textFill>
            <w14:solidFill>
              <w14:schemeClr w14:val="tx1"/>
            </w14:solidFill>
          </w14:textFill>
        </w:rPr>
        <w:t>深圳市前海深港现代服务业合作区国库集中支付代理银行服务项目</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项目类型：</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委托方（甲方）：</w:t>
      </w:r>
      <w:r>
        <w:rPr>
          <w:rFonts w:hint="eastAsia" w:ascii="宋体" w:hAnsi="宋体" w:cs="宋体"/>
          <w:color w:val="000000" w:themeColor="text1"/>
          <w:sz w:val="24"/>
          <w:u w:val="single"/>
          <w14:textFill>
            <w14:solidFill>
              <w14:schemeClr w14:val="tx1"/>
            </w14:solidFill>
          </w14:textFill>
        </w:rPr>
        <w:t xml:space="preserve">  深圳市前海深港现代服务业合作区管理局  </w:t>
      </w:r>
    </w:p>
    <w:p>
      <w:pPr>
        <w:spacing w:line="360" w:lineRule="auto"/>
        <w:ind w:firstLine="720" w:firstLineChars="3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承接方（乙方）：</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pPr>
        <w:spacing w:line="360" w:lineRule="auto"/>
        <w:jc w:val="center"/>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二〇二五年  月</w:t>
      </w:r>
    </w:p>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本合同共    页（不含封面）</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甲方（采购单位）：</w:t>
      </w:r>
      <w:r>
        <w:rPr>
          <w:rFonts w:hint="eastAsia" w:ascii="宋体" w:hAnsi="宋体" w:eastAsia="宋体" w:cs="宋体"/>
          <w:color w:val="000000" w:themeColor="text1"/>
          <w:sz w:val="24"/>
          <w:szCs w:val="24"/>
          <w:u w:val="single"/>
          <w14:textFill>
            <w14:solidFill>
              <w14:schemeClr w14:val="tx1"/>
            </w14:solidFill>
          </w14:textFill>
        </w:rPr>
        <w:t>深圳市前海深港现代服务业合作区管理局</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法定代表人：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地址：</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乙方（服务单位）：</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法定代表人：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地址：</w:t>
      </w:r>
    </w:p>
    <w:p>
      <w:pPr>
        <w:widowControl/>
        <w:spacing w:line="360" w:lineRule="auto"/>
        <w:jc w:val="left"/>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根据《中华人民共和国民法典》、《市本级单位财政国库管理制度改革试点资金支付管理办法》(深财库〔2003〕 10号，以下简称《支付管理办法》等法律、法规的相关规定和编号__________________招标项目的中标结果，甲、乙双方经友好协商，就甲方委托乙方承担深圳市前海深港现代服务业合作区财政国库集中支付委托代理银行项目（以下简称本项目），达成以下合同条款：</w:t>
      </w:r>
    </w:p>
    <w:p>
      <w:pPr>
        <w:numPr>
          <w:ilvl w:val="0"/>
          <w:numId w:val="4"/>
        </w:num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3" w:name="_Toc16131"/>
      <w:r>
        <w:rPr>
          <w:rFonts w:hint="eastAsia" w:ascii="宋体" w:hAnsi="宋体" w:eastAsia="宋体" w:cs="宋体"/>
          <w:b/>
          <w:bCs/>
          <w:color w:val="000000" w:themeColor="text1"/>
          <w:sz w:val="24"/>
          <w:szCs w:val="24"/>
          <w14:textFill>
            <w14:solidFill>
              <w14:schemeClr w14:val="tx1"/>
            </w14:solidFill>
          </w14:textFill>
        </w:rPr>
        <w:t>服务内容</w:t>
      </w:r>
      <w:bookmarkEnd w:id="23"/>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4" w:name="_Toc23975"/>
      <w:r>
        <w:rPr>
          <w:rFonts w:hint="eastAsia" w:ascii="宋体" w:hAnsi="宋体" w:eastAsia="宋体" w:cs="宋体"/>
          <w:color w:val="000000" w:themeColor="text1"/>
          <w:sz w:val="24"/>
          <w:szCs w:val="24"/>
          <w14:textFill>
            <w14:solidFill>
              <w14:schemeClr w14:val="tx1"/>
            </w14:solidFill>
          </w14:textFill>
        </w:rPr>
        <w:t>1.项目概况</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国库集中支付：按照财政国库管理制度的要求，建立国库单一账户体系，所有财政资金都纳入国库单一账户体系管理，资金都要通过国库单一账户体系支付到收款人（即商品和劳务供应者）或用款单位。属于直接支付类型的支出，通过财政零余额账户支付到收款人；属于授权支付类型的支出，通过预算单位零余额账户支付到收款人。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（2）国库单一账户：指财政部门在人民银行开设的国库存款账户，用于记录、核算和反映纳入预算管理的财政收入和支出，与代理银行零余额账户进行清算，实现支付。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零余额账户：指财政部门按资金使用性质在代理银行开设直接支付零余额账户，为预算单位开设授权支付零余额账户，用于办理财政资金支付清算，其日终余额在与国库单一账户（或其它财政专户）清算后结零。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（4）其它财政专户：财政部门在商业银行开设的财政专户，用于记录、核算和反映其它财政资金收支活动；向国库单一账户缴款以及与代理银行零余额账户进行清算。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（5）国库单一账户体系：国库单一账户、财政零余额账户、预算单位零余额账户、其它财政专户等组成了国库单一账户体系。</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（6）财政直接支付：由财政部门开具支付令，经财政直接支付代理银行，通过财政零余额账户，将资金支付到收款人。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（7）财政授权支付：由预算单位根据财政部门授权，自行开具支付令，经财政授权支付代理银行，通过预算单位零余额账户，将资金支付到收款人。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代理银行：是指代理国库集中支付业务的商业银行，按照与财政部门签订的委托代理协议及有关规定，办理零余额账户的资金支付、清算业务。办理财政直接支付业务的银行为直接支付代理银行，办理财政授权支付业务的银行为授权支付代理银行。代理银行由财政部门招标确定。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（9）清算银行：是指办理国库单一账户或其它财政专户与代理银行零余额账户进行清算业务的银行，即人民银行深圳市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行或者其它财政专户的开设银行。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2.项目内容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银行主要工作范围为：办理零余额账户财政资金支付、清算业务；建立国库集中支付代理银主要行端管理信息系统，满足国库集中支付要求，并提供相关服务保障；向财政部门、清算银行、预算单位提供相应额度到账通知书、支付凭证、对账单、相关报表、动态监控、对外接口等。包括但不限于：</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（1）根据国库集中支付业务和信息系统建设要求，建设国库集中支付代理银行端信息系统，满足国库集中支付要求，并提供相关服务。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（2）向前海合作区财政部门、清算银行、预算单位提供支付系统对外接口，并建立监控系统，确保财政资金的支付安全。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（3）与前海合作区财政部门签订委托代理协议，并按照市财政局及人民银行有关规定及要求，开设零余额账户。</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（4）严格按照国库集中支付业务相关规定及要求，及时、准确、便捷、高效、安全地办理财政资金的支付与清算业务。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（5）妥善保管前海合作区财政部门及预算单位提供的财政支付的各种单据及资料，并负有保密义务。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（6）与前海合作区支库签订银行资金清算协议，并定期向前海合作区财政部门、前海合作区支库、预算单位报送报表、提供对账单，并协助做好日常对账工作。</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3.业务要求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3.1基本要求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（1）内部管理规范，内控制度健全，具有严格的操作规程，并设置相应的业务部门和专业工作人员；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（2）通过人民银行和本行的资金汇划系统，根据支付方式和支付地点的不同，采用同城转账、异地汇兑和现金支付等方式实现财政性资金的支付与清算；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（3）具有先进的资金汇划系统，保证本行系统同城转账实时、异地汇划两小时内到账，跨行转账同城实时、异地隔日到账；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（4）妥善保管财政部门提供的各种单据和资料，严格遵守保密规定；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（5）按规定向财政部门、清算银行和预算单位报送相应报表；协助做好对账工作；</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（6）各代理银行及网点要确定相应业务负责人，负责管理协调市国库集中支付相关工作，确保在代理银行各环节的有序运行；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（7）代理银行应加强对营业网点的业务指导和管理监督，积极采取各种方式，定期或不定期的对相关人员进行系统操作和业务培训，及时处理用户投诉，提高服务质量。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3.2.技术要求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（1）具备较强的科技力量，按照财政部门的接口规范开发银行端管理信息系统，实现与“智慧财政”工程系统的衔接，并对“智慧财政”工程系统的建设、推广和运行提供支持。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（2）代理银行网络应与“智慧财政”工程系统实现连接，并指派专门的业务和技术人员负责双方网络的互联互通工作，确保双方网络畅通。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（3）保证资金汇划系统和内部网络的安全，并承担因自身网络安全方面产生问题的责任。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（4）提供财政零余额账户资金收支实时动态监测系统与信息查询系统。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（5）在系统或网络异常的情况下，代理银行要有相应的应急方案，保证财政国库集中支付业务正常运作。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特别提示：服务期内，甲方可能根据财政管理改革要求和实际业务发展需要（含符合财政部统一标准的“国库集中支付电子化管理”要求），以建设“智慧财政”为总体目标，对现有“智慧财政”工程系统进行升级改造，现行有关技术、业务规范将随之发生一定的变化，各代理银行也将此进行相应的技术改造，可能涉及资金投入。投标方应对以上事项进行充分了解和准备，并综合本行实际情况后在投标方案中作出明确承诺。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3.3.信息安全要求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严格遵守前海管理局关于信息安全方面的规定，自觉保守项目涉及的商业秘密。由甲方为方便项目实施所提供给乙方的工作流程、管理模式、试验数据、规程、程序等相关资料文档，以及项目实施过程中所产生的资料、文档、数据、相关附属品均属于甲方信息资产，乙方应保证上述信息资产在项目期间及项目后规定时间内的安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应建立并遵守项目实施期间的信息安全管理规范，强化用户访问权限管理，严格数据库备份，防止黑客、病毒攻击，应对各类突发事件，提高应急处理能力，以确保项目启动、实施及实施后的信息安全管理。同时系统应能完备记录存储信息，保证信息的完整性、一致性、真实性和可追溯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（3）非经甲方书面许可，乙方不得以任何形式泄漏以上信息。因乙方原因导致上述资料、文档、数据或甲方商业秘密泄露的，甲方有权要求乙方采取措施消除影响并赔偿损失，影响严重的将追究法律责任。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（4）乙方应按照信息安全等级保护三级的要求建立国库集中支付信息系统，并在系统上线前通过相关评测机构的认证。</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（5）乙方连接甲方国库集中支付系统的网络由乙方自行负责；乙方使用的服务器、客户端机器由乙方自行负责，上述机器在连接到甲方网络时，必须遵守甲方相关规定。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3.4.服务管理要求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3.4.1.服务质量要求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（1）乙方应按要求提交代理银行服务方案并建立相应的服务体系。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（2）乙方应将当日付款单据回单于下一个工作日送达前海合作区财政部门用户，以便前海合作区财政部门用户及时记账；如遇特殊情况，前海合作区财政部门用户急需回单，则应立即送达。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（3）乙方应将对账单及当月的报表于次月第一个工作日送达前海合作区财政部门用户，以便顺利进行月结。如遇特殊情况急需对账单或者报表，则应立即送达。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（4）前海合作区财政部门临时交办的其他服务工作。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3.4.2.服务人员要求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（1）项目组人员数量要求。 乙方应成立专门的服务团队并设置相应的岗位，至少安排 5人专项负责此项工作，其中应配备至少1名技术人员负责系统运行维护。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项目组人员稳定性要求。如果乙方在合同期内需要更换工作人员，应提前十五天将接替工作人员告知前海合作区财政部门并获得同意后方可。如因乙方更换工作人员而导致服务质量下降或费用增加的，前海合作区财政部门有权要求乙方及时采取措施弥补或消除影响并赔偿相关损失。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3.4.3.服务响应时间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急需的单据，应保证一小时内送达前海合作区财政部门用户；如银行端管理信息系统出现问题，应于两小时内查明原因并报告前海合作区财政部门，一般问题应于当天解决，特殊情况最长不能超过两天。若不能在规定时间内解决，由此产生的一切损失由乙方承担。</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4.项目实施要求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4.1.项目实施分为系统开发（改造）阶段和代理服务提供阶段；乙方应提出详细的项目实施计划、系统开发（改造）阶段还需按时间先后顺序提交系统开发（改造）阶段中各步骤的成果清单建议。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4.2.乙方必须针对本项目建立项目管理规范，并在项目开展过程中落实。乙方必须建立并实施一套确保项目规范开展的质量管理体系。</w:t>
      </w:r>
    </w:p>
    <w:p>
      <w:pPr>
        <w:numPr>
          <w:ilvl w:val="0"/>
          <w:numId w:val="4"/>
        </w:num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合同含税总价</w:t>
      </w:r>
      <w:bookmarkEnd w:id="24"/>
    </w:p>
    <w:p>
      <w:pPr>
        <w:pStyle w:val="8"/>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本项目合同含税折扣率为：_________________，服务包干。</w:t>
      </w:r>
      <w:r>
        <w:rPr>
          <w:rFonts w:hint="eastAsia" w:hAnsi="宋体" w:cs="宋体"/>
          <w:color w:val="auto"/>
          <w:sz w:val="24"/>
          <w:szCs w:val="24"/>
          <w:lang w:val="en-US" w:eastAsia="zh-CN"/>
        </w:rPr>
        <w:t>甲方所有国库集中支付业务代理银行项目服务费用总和以5万元为限，若实际该项目服务费用超过5万元，按照各银行开展业务应收取项目服务费用的比例进行分配。</w:t>
      </w:r>
    </w:p>
    <w:p>
      <w:pPr>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金额应包括服务成本、法定税费和企业的利润，并提供合同要求的报告、全部成果文件和全部相关资料，以及其它相关服务的全部费用。在合同实施期间，除另签补充合同外，甲方不接受乙方以任何理由、任何名目提出增加费用的要求。</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5" w:name="_Toc30786"/>
      <w:r>
        <w:rPr>
          <w:rFonts w:hint="eastAsia" w:ascii="宋体" w:hAnsi="宋体" w:eastAsia="宋体" w:cs="宋体"/>
          <w:b/>
          <w:bCs/>
          <w:color w:val="000000" w:themeColor="text1"/>
          <w:sz w:val="24"/>
          <w:szCs w:val="24"/>
          <w14:textFill>
            <w14:solidFill>
              <w14:schemeClr w14:val="tx1"/>
            </w14:solidFill>
          </w14:textFill>
        </w:rPr>
        <w:t>三、技术资料</w:t>
      </w:r>
      <w:bookmarkEnd w:id="25"/>
    </w:p>
    <w:p>
      <w:pPr>
        <w:pStyle w:val="8"/>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1.乙方应按本合同规定的时间向甲方提供有关技术资料。</w:t>
      </w:r>
    </w:p>
    <w:p>
      <w:pPr>
        <w:pStyle w:val="8"/>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8"/>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3.合同履行完毕，未经甲方的书面同意，乙方不得保存在履行合同过程中所获得或接触到的任何内部数据资料。</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6" w:name="_Toc9742"/>
      <w:r>
        <w:rPr>
          <w:rFonts w:hint="eastAsia" w:ascii="宋体" w:hAnsi="宋体" w:eastAsia="宋体" w:cs="宋体"/>
          <w:b/>
          <w:bCs/>
          <w:color w:val="000000" w:themeColor="text1"/>
          <w:sz w:val="24"/>
          <w:szCs w:val="24"/>
          <w14:textFill>
            <w14:solidFill>
              <w14:schemeClr w14:val="tx1"/>
            </w14:solidFill>
          </w14:textFill>
        </w:rPr>
        <w:t>四、知识产权</w:t>
      </w:r>
      <w:bookmarkEnd w:id="26"/>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1.本项目全部阶段性成果和最终成果（包括为后续服务范围所编制的文件）的所有权、知识产权以及与之相关的所有权利归甲方所有。</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2.双方确定，甲方有权对乙方按照本合同约定提供的成果进行后续改进。由此产生的具有实质性或创造性技术进步特征的新的技术成果及其权利全部由甲方享有。</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所提交的全部阶段性成果和最终成果文件及任何数据、资料、软件等不得侵犯任何第三方的知识产权或其他权利，由于该等文件、数据、资料、软件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7" w:name="_Toc16452"/>
      <w:r>
        <w:rPr>
          <w:rFonts w:hint="eastAsia" w:ascii="宋体" w:hAnsi="宋体" w:eastAsia="宋体" w:cs="宋体"/>
          <w:b/>
          <w:bCs/>
          <w:color w:val="000000" w:themeColor="text1"/>
          <w:sz w:val="24"/>
          <w:szCs w:val="24"/>
          <w14:textFill>
            <w14:solidFill>
              <w14:schemeClr w14:val="tx1"/>
            </w14:solidFill>
          </w14:textFill>
        </w:rPr>
        <w:t>五、甲方的权利与义务</w:t>
      </w:r>
      <w:bookmarkEnd w:id="27"/>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1.负责预算单位零余额账户的开立、变更和</w:t>
      </w:r>
      <w:r>
        <w:rPr>
          <w:rFonts w:hint="eastAsia" w:ascii="宋体" w:hAnsi="宋体" w:cs="宋体"/>
          <w:color w:val="000000" w:themeColor="text1"/>
          <w:kern w:val="0"/>
          <w:sz w:val="24"/>
          <w:szCs w:val="24"/>
          <w:lang w:val="en-US" w:eastAsia="zh-CN"/>
          <w14:textFill>
            <w14:solidFill>
              <w14:schemeClr w14:val="tx1"/>
            </w14:solidFill>
          </w14:textFill>
        </w:rPr>
        <w:t>撤销</w:t>
      </w:r>
      <w:r>
        <w:rPr>
          <w:rFonts w:hint="eastAsia" w:ascii="宋体" w:hAnsi="宋体" w:eastAsia="宋体" w:cs="宋体"/>
          <w:color w:val="000000" w:themeColor="text1"/>
          <w:kern w:val="0"/>
          <w:sz w:val="24"/>
          <w:szCs w:val="24"/>
          <w14:textFill>
            <w14:solidFill>
              <w14:schemeClr w14:val="tx1"/>
            </w14:solidFill>
          </w14:textFill>
        </w:rPr>
        <w:t>等相关审批工作。</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2.保证在中国人民银行国库单一账户备有足够的资金余额，使乙方能够对所支付资金及时清算。</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3.负责向乙方提供国库集中支付业务的指导和培训。</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4.在乙方开发建设支撑国库集中支付业务的信息系统时，甲方负责在网络贯通、功能联调等方面工作时为乙方提供必要的技术支持。</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5.负责及时协调处理乙方代理预算单位国库集中支付业务过程中出现的问题。</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6.按相关程序和标准审核并及时足额向乙方支付业务代理费用。</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7.有权对乙方代理的财政集中支付业务进行检查和监督，并提出改进意见。</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8.负责组织实施对乙方代理服务质量的评价考核。</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9.根据合同约定的相关条款，按时支付乙方服务费用。</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10.甲方指定项目联系人：</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姓名： </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8" w:name="_Toc29058"/>
      <w:r>
        <w:rPr>
          <w:rFonts w:hint="eastAsia" w:ascii="宋体" w:hAnsi="宋体" w:eastAsia="宋体" w:cs="宋体"/>
          <w:b/>
          <w:bCs/>
          <w:color w:val="000000" w:themeColor="text1"/>
          <w:sz w:val="24"/>
          <w:szCs w:val="24"/>
          <w14:textFill>
            <w14:solidFill>
              <w14:schemeClr w14:val="tx1"/>
            </w14:solidFill>
          </w14:textFill>
        </w:rPr>
        <w:t>六、乙方的权利与义务</w:t>
      </w:r>
      <w:bookmarkEnd w:id="28"/>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1.根据甲方的审批，按规定程序及时准确地为预算单位办理开设、变更和撤销预算 单位零余额账户的有关手续；不得以预算单位零余额账户开设、变更和撤销为由主动要求预算单位在乙方开设其他账户。</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2.根据账户管理规定，在财政授权额度内按照预算单位的支付指令，及时、安全、 准确地办理财政集中支付业务；定期向甲方报告财政资金集中支付情况，并接受甲方、人民银行深圳市</w:t>
      </w:r>
      <w:r>
        <w:rPr>
          <w:rFonts w:hint="eastAsia" w:ascii="宋体" w:hAnsi="宋体" w:eastAsia="宋体" w:cs="宋体"/>
          <w:color w:val="000000" w:themeColor="text1"/>
          <w:kern w:val="0"/>
          <w:sz w:val="24"/>
          <w:szCs w:val="24"/>
          <w:lang w:eastAsia="zh-CN"/>
          <w14:textFill>
            <w14:solidFill>
              <w14:schemeClr w14:val="tx1"/>
            </w14:solidFill>
          </w14:textFill>
        </w:rPr>
        <w:t>分</w:t>
      </w:r>
      <w:r>
        <w:rPr>
          <w:rFonts w:hint="eastAsia" w:ascii="宋体" w:hAnsi="宋体" w:eastAsia="宋体" w:cs="宋体"/>
          <w:color w:val="000000" w:themeColor="text1"/>
          <w:kern w:val="0"/>
          <w:sz w:val="24"/>
          <w:szCs w:val="24"/>
          <w14:textFill>
            <w14:solidFill>
              <w14:schemeClr w14:val="tx1"/>
            </w14:solidFill>
          </w14:textFill>
        </w:rPr>
        <w:t>行的检查指导。</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3.乙方应有充足的备付金头寸和较强的风险控制能力，保证财政集中支付资金的及时支付。</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4.具备先进的资金汇划系统。要按照甲方的业务需求，建立能支撑国库集中支付业务的信息系统，保证本行系统内和跨行转账同城实时到账，异地汇划两小时内到账。</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5.建立紧急拨款应急机制。建立紧急情况下与甲方不间断联系制度，对支付情况进跟踪查询并向甲方实时反馈支付信息等。</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6.按照甲方要求，及时、准确地进行信息反馈，并做好与预算执行动态监控系统的信息传输、存储、网络联接等相关工作。</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7.妥善保管甲方及预算单位提供的有关财政集中支付的各种单据、资料，并负有保密义务。</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8.建立健全代理财政集中支付业务协调机制和管理机构，做好行内各级经办行的业务协调、培训及指导工作，并制定合理的业绩考核制度。</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9.不断完善内控制度，具有科学规范的操作规程及相应的业务部门和专业的工作人 员，配备专门业务负责人，负责单据传递以及管理协调国库集中支付相关工作，及时处理用户投诉，为甲方和预算单位提供优质代理服务。</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10.在甲方根据业务发展对现有业务系统进行改造或重构时，需按甲方要求对已有的财政集中支付业务信息系统进行适应性改造。</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11.未经甲方同意，乙方不得将其在本协议项下的义务全部或部分转让给第三方。</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12.履行甲方业务需要的其他相关义务。</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13.乙方指定项目联系人：</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姓名： </w:t>
      </w:r>
    </w:p>
    <w:p>
      <w:pPr>
        <w:spacing w:line="360" w:lineRule="auto"/>
        <w:ind w:firstLine="720" w:firstLineChars="3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联系方式：</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9" w:name="_Toc24089"/>
      <w:r>
        <w:rPr>
          <w:rFonts w:hint="eastAsia" w:ascii="宋体" w:hAnsi="宋体" w:eastAsia="宋体" w:cs="宋体"/>
          <w:b/>
          <w:bCs/>
          <w:color w:val="000000" w:themeColor="text1"/>
          <w:sz w:val="24"/>
          <w:szCs w:val="24"/>
          <w14:textFill>
            <w14:solidFill>
              <w14:schemeClr w14:val="tx1"/>
            </w14:solidFill>
          </w14:textFill>
        </w:rPr>
        <w:t>七、合同履行时间、售后服务及履行地点</w:t>
      </w:r>
      <w:bookmarkEnd w:id="29"/>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履行时间</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自合同签订之日起</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个月。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2.售后服务：</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2.1.乙方的售后服务和技术支持内容包括但不限于：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（1）系统安装部署和衔接；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（2）数据迁移；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（3）系统试运行及上线跟踪；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（4）系统缺陷修复及完善；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（5）服务保障体系；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（6）按照甲方国库集中支付业务及“智慧财政工程”建设的要求进行升级改造；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（7）年底保障，即：年底期间，成立专门的年底保障小组，及时对财政部门年底的业务处理和业务保障需求进行详细调研，做出详细、科学的工作计划，提供现场支持和远程支持两种服务保障；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（8）解答前海合作区财政部门、预算单位、清算银行等用户提出的相关问题。</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2.2.乙方应开通服务热线，提供 7*24 小时电话支持服务；甲方通过电话、传真或电子邮件等方式将系统相关问题通知乙方后，乙方应按照相关管理规定对问题做出及时响应。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甲方可以委派专家每年一次到乙方进行现场巡检，及时发现问题，防患于未然。年度巡检的内容包括系统运行状况、业务办理水平、用户意见反馈等。乙方应详细记录年检的内容、过程，并提交《国库集中支付代理银行年检报告》报甲方审核。</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3.履行地点：深圳市前海深港现代服务业合作区。</w:t>
      </w:r>
    </w:p>
    <w:p>
      <w:pPr>
        <w:snapToGrid w:val="0"/>
        <w:spacing w:line="360" w:lineRule="auto"/>
        <w:rPr>
          <w:rFonts w:hint="eastAsia" w:ascii="宋体" w:hAnsi="宋体" w:eastAsia="宋体" w:cs="宋体"/>
          <w:color w:val="000000" w:themeColor="text1"/>
          <w:sz w:val="24"/>
          <w:szCs w:val="24"/>
          <w14:textFill>
            <w14:solidFill>
              <w14:schemeClr w14:val="tx1"/>
            </w14:solidFill>
          </w14:textFill>
        </w:rPr>
      </w:pPr>
      <w:bookmarkStart w:id="30" w:name="_Toc22413"/>
      <w:r>
        <w:rPr>
          <w:rFonts w:hint="eastAsia" w:ascii="宋体" w:hAnsi="宋体" w:eastAsia="宋体" w:cs="宋体"/>
          <w:b/>
          <w:bCs/>
          <w:color w:val="000000" w:themeColor="text1"/>
          <w:sz w:val="24"/>
          <w:szCs w:val="24"/>
          <w14:textFill>
            <w14:solidFill>
              <w14:schemeClr w14:val="tx1"/>
            </w14:solidFill>
          </w14:textFill>
        </w:rPr>
        <w:t>八、</w:t>
      </w:r>
      <w:bookmarkEnd w:id="30"/>
      <w:r>
        <w:rPr>
          <w:rFonts w:hint="eastAsia" w:ascii="宋体" w:hAnsi="宋体" w:eastAsia="宋体" w:cs="宋体"/>
          <w:b/>
          <w:bCs/>
          <w:color w:val="000000" w:themeColor="text1"/>
          <w:sz w:val="24"/>
          <w:szCs w:val="24"/>
          <w14:textFill>
            <w14:solidFill>
              <w14:schemeClr w14:val="tx1"/>
            </w14:solidFill>
          </w14:textFill>
        </w:rPr>
        <w:t>项目成果的提交、验收和鉴定</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31" w:name="_Toc11509"/>
      <w:r>
        <w:rPr>
          <w:rFonts w:hint="eastAsia" w:ascii="宋体" w:hAnsi="宋体" w:eastAsia="宋体" w:cs="宋体"/>
          <w:color w:val="000000" w:themeColor="text1"/>
          <w:sz w:val="24"/>
          <w:szCs w:val="24"/>
          <w14:textFill>
            <w14:solidFill>
              <w14:schemeClr w14:val="tx1"/>
            </w14:solidFill>
          </w14:textFill>
        </w:rPr>
        <w:t xml:space="preserve">技术成果的提交，是指该技术规范中所要求的所有技术文档的电子介质、纸质介质及电子成果的全部提交。只有合同所有技术成果均提交甲方后，乙方才能向甲方提出项目成果验收申请。乙方应在投标书中明确列出在本项目中拟提交的成果，甲方建议乙方所提交的成果包括但不限于：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（1）国库集中支付代理银行业务总体方案；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（2）国库集中支付代理银行服务保障方案；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（3）国库集中支付代理银行业务需求分析；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（4）国库集中支付代理银行管理系统整体解决方案；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（5）国库集中支付代理银行管理系统研发及实施文档；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（6）国库集中支付代理银行管理系统开发过程文档；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（7）国库集中支付代理银行管理系统风险及效益分析；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（8）项目过程中所产生的所有源代码；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（9）项目过程中所产生的其他文档；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（10）项目遗留问题清单和改进建议等。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项目完成后，乙方须通过书面方式向甲方提出验收申请，由甲方组织验收小组对本项目的成果进行验收和鉴定，验收和鉴定通过则由验收小组出具验收和鉴定证明。</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鉴定内容包括但不限于：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（1）本项目成果是否满足规范及格式要求；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（2）本项目成果的准确性、先进性及全面性；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（3）本项目成果对甲方国库集中支付业务和“智慧财政工程”建设的指导作用；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（4）其他甲方要求验收鉴定的内容。 </w:t>
      </w:r>
    </w:p>
    <w:p>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如果双方对质量、完成情况有意见分歧，甲方可委托权威机构对产品进行重新鉴定，该权威机构出具的鉴定证明即作为甲方向乙方提出修改和索赔的有效证据。 </w:t>
      </w:r>
    </w:p>
    <w:p>
      <w:pPr>
        <w:snapToGrid w:val="0"/>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乙方除承担修改费用之外，还需承担重新鉴定费用。</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九、费用支付</w:t>
      </w:r>
      <w:bookmarkEnd w:id="31"/>
    </w:p>
    <w:p>
      <w:pPr>
        <w:pStyle w:val="13"/>
        <w:numPr>
          <w:ilvl w:val="0"/>
          <w:numId w:val="0"/>
        </w:numPr>
        <w:spacing w:before="0" w:beforeAutospacing="0" w:after="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付款方式：</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1.1</w:t>
      </w:r>
      <w:r>
        <w:rPr>
          <w:rFonts w:hint="eastAsia" w:ascii="宋体" w:hAnsi="宋体" w:eastAsia="宋体" w:cs="宋体"/>
          <w:color w:val="000000" w:themeColor="text1"/>
          <w:kern w:val="2"/>
          <w:sz w:val="24"/>
          <w:szCs w:val="24"/>
          <w:lang w:val="en-US" w:eastAsia="zh-CN"/>
          <w14:textFill>
            <w14:solidFill>
              <w14:schemeClr w14:val="tx1"/>
            </w14:solidFill>
          </w14:textFill>
        </w:rPr>
        <w:t>.每年</w:t>
      </w:r>
      <w:r>
        <w:rPr>
          <w:rFonts w:hint="eastAsia" w:ascii="宋体" w:hAnsi="宋体" w:eastAsia="宋体" w:cs="宋体"/>
          <w:color w:val="000000" w:themeColor="text1"/>
          <w:kern w:val="2"/>
          <w:sz w:val="24"/>
          <w:szCs w:val="24"/>
          <w14:textFill>
            <w14:solidFill>
              <w14:schemeClr w14:val="tx1"/>
            </w14:solidFill>
          </w14:textFill>
        </w:rPr>
        <w:t>根据实际支付笔数、金额结算上年手续费及业务代理费。</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1.2.上述款项在满足付款条件，且甲方收到乙方开具的载明相应金额的合格发票后15个工作日内付至乙方指定银行账户。如未及时收到发票，则甲方相应付款时间顺延。因甲方付款审批影响支付进度，请乙方予以谅解，并不得就此向甲方索赔。</w:t>
      </w:r>
    </w:p>
    <w:p>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本合同执行中相关的一切税费均由乙方负担。</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3.合同价款由甲方分期付至乙方指定银行账户</w:t>
      </w:r>
    </w:p>
    <w:p>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乙方银行账户信息：</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开户银行：       </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户名：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账号：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十、业务代理手续费</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甲方委托乙方代理国库集中支付业务，由甲方向乙方支付资金汇划手续费、业务代理费、垫付资金利息以及其他由财政授权支付业务产生的合理费用。</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1.国库集中支付资金汇划手续费暂按每笔2元的标准计算；业务代理费按财政集中 支付实际支付金额的0.35‰计算，财政集中支付累计支付金额超过150亿元(不含)部分不 再计算业务代理费，按月汇总结算，由甲方按</w:t>
      </w:r>
      <w:r>
        <w:rPr>
          <w:rFonts w:hint="eastAsia" w:ascii="宋体" w:hAnsi="宋体" w:eastAsia="宋体" w:cs="宋体"/>
          <w:color w:val="000000" w:themeColor="text1"/>
          <w:kern w:val="2"/>
          <w:sz w:val="24"/>
          <w:szCs w:val="24"/>
          <w:lang w:val="en-US" w:eastAsia="zh-CN"/>
          <w14:textFill>
            <w14:solidFill>
              <w14:schemeClr w14:val="tx1"/>
            </w14:solidFill>
          </w14:textFill>
        </w:rPr>
        <w:t>年度</w:t>
      </w:r>
      <w:r>
        <w:rPr>
          <w:rFonts w:hint="eastAsia" w:ascii="宋体" w:hAnsi="宋体" w:eastAsia="宋体" w:cs="宋体"/>
          <w:color w:val="000000" w:themeColor="text1"/>
          <w:kern w:val="2"/>
          <w:sz w:val="24"/>
          <w:szCs w:val="24"/>
          <w14:textFill>
            <w14:solidFill>
              <w14:schemeClr w14:val="tx1"/>
            </w14:solidFill>
          </w14:textFill>
        </w:rPr>
        <w:t>支付给乙方。甲方按财政支付程序支付，因国库支付系统原因延迟到账的，不计为违约责任。</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2.垫付资金利息。垫付资金利息按实际垫付金额的日息0.2‰计算，按年度结息(由于乙方原因造成不能及时清算形成的垫付资金除外)</w:t>
      </w:r>
      <w:r>
        <w:rPr>
          <w:rFonts w:hint="eastAsia"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由甲方于下年度支付给乙方。</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3.对于甲方向乙方提出办理国库集中支付特殊委托业务所产生的费用，以及其他由财政集中支付业务产生的合理费用，由甲方核实后向乙方支付。</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4.除上述费用外，甲方不负责向乙方支付其他费用。</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5.在协议履行期间，如财政部门制定新的业务代理手续费结算办法，则按新办法执行。</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按照以上1至5项计算出来的金额之和即是手续费基准总价。代理手续费总价为手续费基准总价乘以中标折扣率确定。</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十一、技术培训要求</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1.甲方希望通过本项目，达到提高“智慧财政”工程建设管理和运行维护水平的目的。为此，乙方应为项目的实施提供包括但不限于下列几个方面的培训</w:t>
      </w:r>
      <w:r>
        <w:rPr>
          <w:rFonts w:hint="eastAsia"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14:textFill>
            <w14:solidFill>
              <w14:schemeClr w14:val="tx1"/>
            </w14:solidFill>
          </w14:textFill>
        </w:rPr>
        <w:t xml:space="preserve">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（1）本项目有关技术、标准规范和软件工具使用的培训；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（2）本项目实施技巧和实施步骤、方法的培训；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（3）系统功能建模、数据建模和系统体系结构建模方法的培训；</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（4）乙方认为必要的其他培训；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 xml:space="preserve">（5）甲方认为必要的其他培训。 </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2.乙方应提出上述培训的具体建议和详细方案，并协助甲方开展培训。</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十二、合同提前终止</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1.双方协商同意提前终止本合同的，按双方协商约定的方式进行清算执行。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3.有下列情形之一的，本合同自甲方向乙方发出书面通知之日起终止：</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3.1.甲方的职能发生转变，不再具有委托职能。</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3.2.本合同签订时适用的法律法规或政策发生变化，且对本合同的继续履行造成重大影响。</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发生以上情形，甲方已向乙方支付的款项不退还，尚未支付的款项不再支付，同时乙方应向甲方提交在合同终止日前完成的所有项目文件和相关资料。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4.如发生不可抗力或其他超出合同双方控制的事件，致使一方无法履行合同，本合同解除。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4.2.发生不可抗力，甲乙双方承担各自的损失。由于其中一方迟延履行合同义务后发生不可抗力的，其违约责任不能免除。</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不可抗力事件导致一方无法履行合同义务或继续履行已无意义，由双方协商终止本合同并进行清算，甲方应按照乙方已完成的工作量支付款项，同时乙方应向甲方提交在合同终止日前完成的所有项目文件和相关资料。 本协议终止后，甲乙双方应对委托代理期间发生的应尽未尽委托代理事项负责结清；有关保密义务的条款对双方仍继续有效。</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32" w:name="_Toc10529"/>
      <w:r>
        <w:rPr>
          <w:rFonts w:hint="eastAsia" w:ascii="宋体" w:hAnsi="宋体" w:eastAsia="宋体" w:cs="宋体"/>
          <w:b/>
          <w:bCs/>
          <w:color w:val="000000" w:themeColor="text1"/>
          <w:sz w:val="24"/>
          <w:szCs w:val="24"/>
          <w14:textFill>
            <w14:solidFill>
              <w14:schemeClr w14:val="tx1"/>
            </w14:solidFill>
          </w14:textFill>
        </w:rPr>
        <w:t>十三、争议解决</w:t>
      </w:r>
      <w:bookmarkEnd w:id="32"/>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1.甲乙双方如遇纠纷，应本着互相信任的原则，共同协商解决；协商不成的，可以调解；调解不成的，可以提起诉讼。双方若提起诉讼，应由甲方所在地人民法院管辖。</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2.如任何一方违约，守约方为维护权益向违约方追偿的一切费用(包括但不限于律师费、诉讼费、保全费、交通费、差旅费、鉴定费等)均由违约方承担。</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33" w:name="_Toc14951"/>
      <w:r>
        <w:rPr>
          <w:rFonts w:hint="eastAsia" w:ascii="宋体" w:hAnsi="宋体" w:eastAsia="宋体" w:cs="宋体"/>
          <w:b/>
          <w:bCs/>
          <w:color w:val="000000" w:themeColor="text1"/>
          <w:sz w:val="24"/>
          <w:szCs w:val="24"/>
          <w14:textFill>
            <w14:solidFill>
              <w14:schemeClr w14:val="tx1"/>
            </w14:solidFill>
          </w14:textFill>
        </w:rPr>
        <w:t>十四、违约责任</w:t>
      </w:r>
      <w:bookmarkEnd w:id="33"/>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1.甲方和乙方、预算单位等部门应认真、准确办理财政性资金支付业务。遵循“谁的差错谁更正，谁的差错谁负责”的原则积极处理和纠正差错业务。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2.甲方在支付与清算过程中，发生下列行为，并因此造成损失的，由甲方承担责任。</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（1）国库单一账户库存余额不足以清算乙方额度内出具的申请划款金额；</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（2）甲方未按规定时间向国库单一账户发送集中支付额度文件，致使乙方无法与人民银行深圳市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行进行财政性资金清算；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（3）由于甲方其他原因造成收款人无法及时收到款项的，由甲方承担责任。</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3.因甲方过错给乙方造成损失的，由甲方承担相应的赔偿责任。甲方工作人员如违反国家有关规定，由有关机关依法进行处理。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4.乙方在支付与清算过程中，发生下列行为，并因此造成损失的，由乙方承担责任，包括但不限于赔偿甲方以及第三方的损失：</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（1）未经人民银行深圳市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行审核认证，乙方从事代理财政性资金支付业务，人民银行深圳市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行不予清算；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（2）未经甲方同意及违反《人民币银行结算账户管理办法》规定，为预算单位开设零余额账户或其他账户；</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（3）因支付申请划款凭证(借方凭证)基本要素填写有误、支付申请划款凭证(借方凭 证)与《申请财政性资金划(退)款汇总清单》的金额不一致，致使人民银行深圳市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行与乙方无法进行财政性资金清算；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违反有关规定，将财政性资金支付给支付凭证指定收款人以外的单位和个人，或向国库单一账户申请划款金额超过乙方实际清算金额，或占压、挪用零余额账户贷方余额资金，情节严重的，取消其代理资格。因此造成损失的，依法追究乙方责任；</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（5）因乙方原因致使已受理支付凭证未按规定时间办理财政性资金支付的；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（6）乙方发现存在收款人账号与户名不符、大小写金额不符、印鉴与预留印鉴不符等基本要素错误而未及时作退票处理，并因此造成收款人损失的。</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乙方过错造成财政资金错划、误划、漏划，或者超预算单位授权额度办理资金支付，给甲方造成损失的，责任由乙方承担，并负责迫回错划款项，按占用时间和金额等支付应付利息。对于故意延迟划拨财政资金的乙方网点，经核实一年内超过3次的，要取消该网点的代理；乙方被取消代理业务的营业网点超过其在深圳市辖区全部代理网点10%的，将取消乙方代理资格。乙方工作人员如违反国家有关规定，由有关机关依法进行处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6.乙方违反本协议规定的保密义务的，甲方有权单方解除合同，并要求乙方赔偿因此给甲方以及第三方造成的损失。</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7.未经甲方同意，乙方将其在本协议项下的义务全部或部分转让给第三方的，甲方有权单方解除合同，并要求乙方承担因此给甲方造成的损失。</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因不可抗力不能履行协议的，根据不可抗力的影响，部分或者全部免除责任，但法律另有规定的除外。当事人迟延履行后发生不可抗力的，不能免除责任。本协议所称不可抗力，是指不能预见、不能避免并不能克服的客观情况。</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34" w:name="_Toc17510"/>
      <w:r>
        <w:rPr>
          <w:rFonts w:hint="eastAsia" w:ascii="宋体" w:hAnsi="宋体" w:eastAsia="宋体" w:cs="宋体"/>
          <w:b/>
          <w:bCs/>
          <w:color w:val="000000" w:themeColor="text1"/>
          <w:sz w:val="24"/>
          <w:szCs w:val="24"/>
          <w14:textFill>
            <w14:solidFill>
              <w14:schemeClr w14:val="tx1"/>
            </w14:solidFill>
          </w14:textFill>
        </w:rPr>
        <w:t>十五、保密条款</w:t>
      </w:r>
      <w:bookmarkEnd w:id="34"/>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3.乙方实施项目的程序应符合国家安全、保密的有关规定和标准。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4.上述保密义务不适用以下情况：</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4.1.获取的信息已被合法公开；</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4.2.获得信息拥有方书面许可并在该许可范围内披露；</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4.3.国家法律、法规规定的情形。</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6.无论本合同或本合同其他条款是否有效，本保密条款始终约束双方。国家秘密的保密期限由国家有关部门确定，工作秘密的保密期限由甲方确定。</w:t>
      </w:r>
    </w:p>
    <w:p>
      <w:pPr>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35" w:name="_Toc16227"/>
      <w:r>
        <w:rPr>
          <w:rFonts w:hint="eastAsia" w:ascii="宋体" w:hAnsi="宋体" w:eastAsia="宋体" w:cs="宋体"/>
          <w:b/>
          <w:bCs/>
          <w:color w:val="000000" w:themeColor="text1"/>
          <w:sz w:val="24"/>
          <w:szCs w:val="24"/>
          <w14:textFill>
            <w14:solidFill>
              <w14:schemeClr w14:val="tx1"/>
            </w14:solidFill>
          </w14:textFill>
        </w:rPr>
        <w:t>十六、项目变更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1.本合同履行过程中的需求变更和进度调整，以甲乙双方达成一致的书面文件为准。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2.协议履行期间，如遇与协议生效后颁布的有关法律、法规、政策规定不符的情况，甲乙双方应按新的法律、法规、政策规定执行。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3.本协议生效后，协议的基础条件发生了协议一方在订立协议时无法预见的、不属 于商业风险的重大变化，继续履行协议对于协议一方明显不公平的，受不利影响的协议一方可以与对方重新协商；在合理期限内协商不成的，协议双方应变更或者解除合同。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4.在合同所约定的工作范畴内的服务，本合同价格不予变更。</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十七、本协议未尽事宜，甲乙双方应按照《支付管理办法》和《支付清算办法》等财政国库管理制度规定，以及双方签订的国库集中支付改革代理银行招标项目合同有关条款等履行相应职责和义务。</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十八、其他</w:t>
      </w:r>
      <w:bookmarkEnd w:id="35"/>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（1）合同书及补充协议；</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（2）中标通知书；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（3）招标文件（编号：    ）及其澄清、补正公告；</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（4）投标书。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2.本合同替代此前双方所有关于本合同事项的口头或书面的纪要、备忘录、合同、协议。</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3.本合同附件（如有）为合同不可分割的组成部分，与本合同一并加盖骑缝章后具有同等法律效力。若附件与合同正文有任何冲突，以合同正文为准。</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4.本合同各条标题仅为提示之用，应以条文内容确定各方的权利义务。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5.本合同未尽事宜，由双方协商签订补充协议进行约定。补充协议应以书面形式作成，经双方法定代表人或其授权代表签字、盖章后与本合同具有同等法律效力。</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6.本合同约定的权利和义务不因合同双方发生收购、兼并、重组、分立而发生变化。如果发生上述情形，则本合同约定的权利和义务随之转移至收购、兼并、重组或分立后成立的单位。</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7.如果本合同的任何条款在任何时候变成不合法、无效或不可强制执行而不从根本上影响本合同的效力时，本合同的其他条款不受影响。</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8.本合同的任何内容不应被视为或解释为双方之间具有合资、合伙、代理关系。</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9.任何一方未经另一方同意不得向任何第三方透露本合同的签订及其内容。甲方向其关联公司透露前述内容的，不受此限。</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11.本合同自双方法定代表人或其授权代表签字、盖章之日起生效。</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12.本合同一式六份正本，甲方与乙方各执三份，均具同等法律效力。（以下无正文）</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8"/>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w:t>
      </w:r>
    </w:p>
    <w:p>
      <w:pPr>
        <w:numPr>
          <w:ilvl w:val="0"/>
          <w:numId w:val="5"/>
        </w:num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服务团队名单；</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《中标通知书》；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.《招标文件》；</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.《投标文件》。</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甲方：                                    乙方：</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地址：                                    地址：</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法定代表人：                              法定代表人：</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委托代理人：                              委托代理人：</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电话：                                    电话：</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开户银行：                                开户银行：</w:t>
      </w:r>
    </w:p>
    <w:p>
      <w:pPr>
        <w:snapToGrid w:val="0"/>
        <w:spacing w:line="360" w:lineRule="auto"/>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账号</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账号</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720" w:firstLineChars="300"/>
        <w:rPr>
          <w:rFonts w:hint="eastAsia" w:ascii="仿宋" w:hAnsi="仿宋" w:eastAsia="仿宋" w:cs="仿宋"/>
          <w:color w:val="000000" w:themeColor="text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签约地址：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签约时间：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  月  日</w:t>
      </w:r>
    </w:p>
    <w:p>
      <w:pPr>
        <w:pStyle w:val="2"/>
        <w:tabs>
          <w:tab w:val="left" w:pos="562"/>
          <w:tab w:val="left" w:pos="3372"/>
          <w:tab w:val="left" w:pos="3653"/>
        </w:tabs>
        <w:rPr>
          <w:b/>
          <w:bCs/>
          <w:color w:val="000000" w:themeColor="text1"/>
          <w:sz w:val="21"/>
          <w:szCs w:val="21"/>
          <w14:textFill>
            <w14:solidFill>
              <w14:schemeClr w14:val="tx1"/>
            </w14:solidFill>
          </w14:textFill>
        </w:rPr>
      </w:pPr>
      <w:r>
        <w:rPr>
          <w:rFonts w:hint="eastAsia" w:ascii="Calibri" w:hAnsi="Calibri"/>
          <w:b/>
          <w:bCs/>
          <w:color w:val="000000" w:themeColor="text1"/>
          <w:szCs w:val="28"/>
          <w14:textFill>
            <w14:solidFill>
              <w14:schemeClr w14:val="tx1"/>
            </w14:solidFill>
          </w14:textFill>
        </w:rPr>
        <w:br w:type="page"/>
      </w:r>
      <w:r>
        <w:rPr>
          <w:rFonts w:hint="eastAsia"/>
          <w:b/>
          <w:bCs/>
          <w:color w:val="000000" w:themeColor="text1"/>
          <w:sz w:val="21"/>
          <w:szCs w:val="21"/>
          <w14:textFill>
            <w14:solidFill>
              <w14:schemeClr w14:val="tx1"/>
            </w14:solidFill>
          </w14:textFill>
        </w:rPr>
        <w:t>附件1：服务团队名单</w:t>
      </w:r>
    </w:p>
    <w:p>
      <w:pPr>
        <w:jc w:val="center"/>
        <w:outlineLvl w:val="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服务团队名单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650"/>
        <w:gridCol w:w="1481"/>
        <w:gridCol w:w="264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650" w:type="dxa"/>
          </w:tcPr>
          <w:p>
            <w:pPr>
              <w:pStyle w:val="2"/>
              <w:tabs>
                <w:tab w:val="left" w:pos="562"/>
                <w:tab w:val="left" w:pos="3372"/>
                <w:tab w:val="left" w:pos="3653"/>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姓名</w:t>
            </w:r>
          </w:p>
        </w:tc>
        <w:tc>
          <w:tcPr>
            <w:tcW w:w="1481" w:type="dxa"/>
          </w:tcPr>
          <w:p>
            <w:pPr>
              <w:pStyle w:val="2"/>
              <w:tabs>
                <w:tab w:val="left" w:pos="562"/>
                <w:tab w:val="left" w:pos="3372"/>
                <w:tab w:val="left" w:pos="3653"/>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岗位</w:t>
            </w:r>
          </w:p>
        </w:tc>
        <w:tc>
          <w:tcPr>
            <w:tcW w:w="2645" w:type="dxa"/>
          </w:tcPr>
          <w:p>
            <w:pPr>
              <w:pStyle w:val="2"/>
              <w:tabs>
                <w:tab w:val="left" w:pos="562"/>
                <w:tab w:val="left" w:pos="3372"/>
                <w:tab w:val="left" w:pos="3653"/>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联系方式</w:t>
            </w:r>
          </w:p>
        </w:tc>
        <w:tc>
          <w:tcPr>
            <w:tcW w:w="1704" w:type="dxa"/>
          </w:tcPr>
          <w:p>
            <w:pPr>
              <w:pStyle w:val="2"/>
              <w:tabs>
                <w:tab w:val="left" w:pos="562"/>
                <w:tab w:val="left" w:pos="3372"/>
                <w:tab w:val="left" w:pos="3653"/>
              </w:tabs>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650"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481"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2645"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704" w:type="dxa"/>
          </w:tcPr>
          <w:p>
            <w:pPr>
              <w:pStyle w:val="2"/>
              <w:tabs>
                <w:tab w:val="left" w:pos="562"/>
                <w:tab w:val="left" w:pos="3372"/>
                <w:tab w:val="left" w:pos="3653"/>
              </w:tabs>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650"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481"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2645"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704" w:type="dxa"/>
          </w:tcPr>
          <w:p>
            <w:pPr>
              <w:pStyle w:val="2"/>
              <w:tabs>
                <w:tab w:val="left" w:pos="562"/>
                <w:tab w:val="left" w:pos="3372"/>
                <w:tab w:val="left" w:pos="3653"/>
              </w:tabs>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650"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481"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2645"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704" w:type="dxa"/>
          </w:tcPr>
          <w:p>
            <w:pPr>
              <w:pStyle w:val="2"/>
              <w:tabs>
                <w:tab w:val="left" w:pos="562"/>
                <w:tab w:val="left" w:pos="3372"/>
                <w:tab w:val="left" w:pos="3653"/>
              </w:tabs>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650"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481"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2645"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704" w:type="dxa"/>
          </w:tcPr>
          <w:p>
            <w:pPr>
              <w:pStyle w:val="2"/>
              <w:tabs>
                <w:tab w:val="left" w:pos="562"/>
                <w:tab w:val="left" w:pos="3372"/>
                <w:tab w:val="left" w:pos="3653"/>
              </w:tabs>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650"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481"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2645" w:type="dxa"/>
          </w:tcPr>
          <w:p>
            <w:pPr>
              <w:pStyle w:val="2"/>
              <w:tabs>
                <w:tab w:val="left" w:pos="562"/>
                <w:tab w:val="left" w:pos="3372"/>
                <w:tab w:val="left" w:pos="3653"/>
              </w:tabs>
              <w:rPr>
                <w:color w:val="000000" w:themeColor="text1"/>
                <w:sz w:val="21"/>
                <w:szCs w:val="21"/>
                <w14:textFill>
                  <w14:solidFill>
                    <w14:schemeClr w14:val="tx1"/>
                  </w14:solidFill>
                </w14:textFill>
              </w:rPr>
            </w:pPr>
          </w:p>
        </w:tc>
        <w:tc>
          <w:tcPr>
            <w:tcW w:w="1704" w:type="dxa"/>
          </w:tcPr>
          <w:p>
            <w:pPr>
              <w:pStyle w:val="2"/>
              <w:tabs>
                <w:tab w:val="left" w:pos="562"/>
                <w:tab w:val="left" w:pos="3372"/>
                <w:tab w:val="left" w:pos="3653"/>
              </w:tabs>
              <w:rPr>
                <w:color w:val="000000" w:themeColor="text1"/>
                <w:sz w:val="21"/>
                <w:szCs w:val="21"/>
                <w14:textFill>
                  <w14:solidFill>
                    <w14:schemeClr w14:val="tx1"/>
                  </w14:solidFill>
                </w14:textFill>
              </w:rPr>
            </w:pPr>
          </w:p>
        </w:tc>
      </w:tr>
    </w:tbl>
    <w:p>
      <w:pPr>
        <w:ind w:firstLine="420" w:firstLineChars="200"/>
        <w:jc w:val="left"/>
        <w:rPr>
          <w:rFonts w:hint="eastAsia" w:ascii="仿宋" w:hAnsi="仿宋" w:eastAsia="仿宋" w:cs="仿宋"/>
          <w:color w:val="000000" w:themeColor="text1"/>
          <w:szCs w:val="21"/>
          <w14:textFill>
            <w14:solidFill>
              <w14:schemeClr w14:val="tx1"/>
            </w14:solidFill>
          </w14:textFill>
        </w:rPr>
      </w:pPr>
    </w:p>
    <w:p>
      <w:pPr>
        <w:ind w:firstLine="630" w:firstLineChars="300"/>
        <w:rPr>
          <w:rFonts w:hint="eastAsia" w:ascii="仿宋" w:hAnsi="仿宋" w:eastAsia="仿宋" w:cs="仿宋"/>
          <w:color w:val="000000" w:themeColor="text1"/>
          <w:szCs w:val="21"/>
          <w14:textFill>
            <w14:solidFill>
              <w14:schemeClr w14:val="tx1"/>
            </w14:solidFill>
          </w14:textFill>
        </w:rPr>
      </w:pPr>
    </w:p>
    <w:p>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注：本合同样本仅供参考，具体条款内容采购人和中标人按前海管理局合同样本签订。实际合同样本不改变本招标文件的实质条件</w:t>
      </w:r>
      <w:r>
        <w:rPr>
          <w:rFonts w:hint="eastAsia" w:ascii="宋体" w:hAnsi="宋体" w:cs="宋体"/>
          <w:b/>
          <w:bCs/>
          <w:color w:val="000000" w:themeColor="text1"/>
          <w:sz w:val="24"/>
          <w14:textFill>
            <w14:solidFill>
              <w14:schemeClr w14:val="tx1"/>
            </w14:solidFill>
          </w14:textFill>
        </w:rPr>
        <w:t>。</w:t>
      </w:r>
    </w:p>
    <w:p>
      <w:pPr>
        <w:snapToGrid w:val="0"/>
        <w:spacing w:line="360" w:lineRule="auto"/>
        <w:rPr>
          <w:rFonts w:hint="eastAsia" w:ascii="宋体" w:hAnsi="宋体" w:cs="宋体"/>
          <w:color w:val="000000" w:themeColor="text1"/>
          <w:sz w:val="24"/>
          <w14:textFill>
            <w14:solidFill>
              <w14:schemeClr w14:val="tx1"/>
            </w14:solidFill>
          </w14:textFill>
        </w:rPr>
      </w:pPr>
    </w:p>
    <w:p>
      <w:pPr>
        <w:pStyle w:val="2"/>
        <w:rPr>
          <w:rFonts w:hint="eastAsia"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numPr>
          <w:ilvl w:val="0"/>
          <w:numId w:val="1"/>
        </w:numPr>
        <w:spacing w:line="360" w:lineRule="auto"/>
        <w:jc w:val="center"/>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 xml:space="preserve"> </w:t>
      </w:r>
      <w:bookmarkStart w:id="36" w:name="_Toc25518"/>
      <w:r>
        <w:rPr>
          <w:rFonts w:hint="eastAsia" w:ascii="宋体" w:hAnsi="宋体" w:cs="宋体"/>
          <w:b/>
          <w:bCs/>
          <w:color w:val="000000" w:themeColor="text1"/>
          <w:sz w:val="24"/>
          <w14:textFill>
            <w14:solidFill>
              <w14:schemeClr w14:val="tx1"/>
            </w14:solidFill>
          </w14:textFill>
        </w:rPr>
        <w:t>用户需求书</w:t>
      </w:r>
      <w:bookmarkEnd w:id="36"/>
    </w:p>
    <w:p>
      <w:pPr>
        <w:pStyle w:val="25"/>
        <w:tabs>
          <w:tab w:val="left" w:pos="720"/>
        </w:tabs>
        <w:autoSpaceDE w:val="0"/>
        <w:autoSpaceDN w:val="0"/>
        <w:adjustRightInd w:val="0"/>
        <w:spacing w:line="360" w:lineRule="auto"/>
        <w:ind w:right="17" w:firstLine="482"/>
        <w:jc w:val="left"/>
        <w:outlineLvl w:val="1"/>
        <w:rPr>
          <w:rFonts w:hint="eastAsia" w:ascii="宋体" w:hAnsi="宋体" w:cs="宋体"/>
          <w:b/>
          <w:color w:val="000000" w:themeColor="text1"/>
          <w:sz w:val="24"/>
          <w14:textFill>
            <w14:solidFill>
              <w14:schemeClr w14:val="tx1"/>
            </w14:solidFill>
          </w14:textFill>
        </w:rPr>
      </w:pPr>
      <w:bookmarkStart w:id="37" w:name="_Toc11045"/>
      <w:bookmarkStart w:id="38" w:name="_Toc23726"/>
      <w:r>
        <w:rPr>
          <w:rFonts w:hint="eastAsia" w:ascii="宋体" w:hAnsi="宋体" w:cs="宋体"/>
          <w:b/>
          <w:color w:val="000000" w:themeColor="text1"/>
          <w:sz w:val="24"/>
          <w14:textFill>
            <w14:solidFill>
              <w14:schemeClr w14:val="tx1"/>
            </w14:solidFill>
          </w14:textFill>
        </w:rPr>
        <w:t>说明：本章“用户需求书”的全部内容为本项目正常开展的基本要求，投标人必须完全响应，否则将导致投标无效。</w:t>
      </w:r>
    </w:p>
    <w:bookmarkEnd w:id="37"/>
    <w:bookmarkEnd w:id="38"/>
    <w:p>
      <w:pPr>
        <w:numPr>
          <w:ilvl w:val="0"/>
          <w:numId w:val="6"/>
        </w:numPr>
        <w:tabs>
          <w:tab w:val="left" w:pos="900"/>
        </w:tabs>
        <w:spacing w:before="156" w:beforeLines="50" w:after="156" w:afterLines="50"/>
        <w:ind w:firstLine="0"/>
        <w:outlineLvl w:val="1"/>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项目背景</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bookmarkStart w:id="39" w:name="_Toc21000"/>
      <w:r>
        <w:rPr>
          <w:rFonts w:hint="eastAsia" w:ascii="宋体" w:hAnsi="宋体" w:eastAsia="宋体" w:cs="宋体"/>
          <w:color w:val="000000" w:themeColor="text1"/>
          <w:sz w:val="24"/>
          <w:szCs w:val="24"/>
          <w14:textFill>
            <w14:solidFill>
              <w14:schemeClr w14:val="tx1"/>
            </w14:solidFill>
          </w14:textFill>
        </w:rPr>
        <w:t>（一）本项目有关术语如下：</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国库集中支付：按照财政国库管理制度的要求，建立国库单一账户体系，所有财政资金都纳入国库单一账户体系管理，资金都要通过国库单一账户体系支付到收款人（即商品和劳务供应者）或用款单位。属于直接支付类型的支出，通过财政零余额账户支付到收款人；属于授权支付类型的支出，通过预算单位零余额账户支付到收款人。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2.国库单一账户：指财政部门在人民银行开设的国库存款账户，用于记录、核算和反映纳入预算管理的财政收入和支出，与代理银行零余额账户进行清算，实现支付。</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零余额账户：指财政部门按资金使用性质在代理银行开设直接支付零余额账户，为预算单位开设授权支付零余额账户，用于办理财政资金支付清算，其日终余额在与国库单一账户（或其它财政专户）清算后结零。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4.其它财政专户：财政部门在商业银行开设的财政专户，用于记录、核算和反映其它财政资金收支活动；向国库单一账户缴款以及与代理银行零余额账户进行清算。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5.国库单一账户体系：国库单一账户、财政零余额账户、预算单位零余额账户、其它财政专户等组成了国库单一账户体系。</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6.财政直接支付：由财政部门开具支付令，经财政直接支付代理银行，通过财政零余额账户，将资金支付到收款人。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7.财政授权支付：由预算单位根据财政部门授权，自行开具支付令，经财政授权支付代理银行，通过预算单位零余额账户，将资金支付到收款人。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代理银行：是指代理国库集中支付业务的商业银行，按照与财政部门签订的委托代理协议及有关规定，办理零余额账户的资金支付、清算业务。办理财政直接支付业务的银行为直接支付代理银行，办理财政授权支付业务的银行为授权支付代理银行。代理银行由财政部门招标确定。 </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9.清算银行：是指办理国库单一账户或其它财政专户与代理银行零余额账户进行清算业务的银行，即人民银行深圳市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行或者其它财政专户的开设银行</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（二）中标原则：本项目按照综合得分顺序，综合评分排名前</w:t>
      </w:r>
      <w:r>
        <w:rPr>
          <w:rFonts w:hint="eastAsia" w:ascii="宋体" w:hAnsi="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名的为本项目中标供应商。【单位零余额代理】由采购人按照《深圳市本级预算单位银行账户管理办法》（深财库〔2023〕1 号）规定从中标供应商中选择</w:t>
      </w:r>
      <w:r>
        <w:rPr>
          <w:rFonts w:hint="eastAsia" w:ascii="宋体" w:hAnsi="宋体" w:cs="宋体"/>
          <w:color w:val="000000" w:themeColor="text1"/>
          <w:sz w:val="24"/>
          <w:szCs w:val="24"/>
          <w:lang w:val="en-US" w:eastAsia="zh-CN"/>
          <w14:textFill>
            <w14:solidFill>
              <w14:schemeClr w14:val="tx1"/>
            </w14:solidFill>
          </w14:textFill>
        </w:rPr>
        <w:t>1家中标供应商代理</w:t>
      </w:r>
      <w:r>
        <w:rPr>
          <w:rFonts w:hint="eastAsia" w:ascii="宋体" w:hAnsi="宋体" w:eastAsia="宋体" w:cs="宋体"/>
          <w:color w:val="000000" w:themeColor="text1"/>
          <w:sz w:val="24"/>
          <w:szCs w:val="24"/>
          <w14:textFill>
            <w14:solidFill>
              <w14:schemeClr w14:val="tx1"/>
            </w14:solidFill>
          </w14:textFill>
        </w:rPr>
        <w:t>；【财政零余额代理】由综合评分排名第一名的中标供应商代理。</w:t>
      </w:r>
    </w:p>
    <w:bookmarkEnd w:id="39"/>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项目内容</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bookmarkStart w:id="40" w:name="_Toc27600"/>
      <w:r>
        <w:rPr>
          <w:rFonts w:hint="eastAsia" w:ascii="宋体" w:hAnsi="宋体" w:eastAsia="宋体" w:cs="宋体"/>
          <w:color w:val="000000" w:themeColor="text1"/>
          <w:sz w:val="24"/>
          <w:szCs w:val="24"/>
          <w14:textFill>
            <w14:solidFill>
              <w14:schemeClr w14:val="tx1"/>
            </w14:solidFill>
          </w14:textFill>
        </w:rPr>
        <w:t>代理银行主要工作范围为：办理零余额账户财政资金支付、清算业务；建立国库集中支付代理银主要行端管理信息系统，满足国库集中支付要求，并提供相关服务保障；向财政部门、清算银行、预算单位提供相应额度到账通知书、支付凭证、对账单、相关报表、动态监控、对外接口等。包括但不限于：</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（一）根据国库集中支付业务和信息系统建设要求，建设国库集中支付代理银行端信息系统，满足国库集中支付要求，并提供相关服务。</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（二）向前海合作区财政部门、清算银行、预算单位提供支付系统对外接口，并建立监控系统，确保财政资金的支付安全。</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（三）与前海合作区财政部门签订委托代理协议，并按照市财政局及人民银行有关规定及要求，开设零余额账户。</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（四）严格按照国库集中支付业务相关规定及要求，及时、准确、便捷、高效、安全地办理财政资金的支付与清算业务。</w:t>
      </w:r>
    </w:p>
    <w:p>
      <w:pPr>
        <w:pStyle w:val="36"/>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（五）妥善保管前海合作区财政部门及预算单位提供的财政支付的各种单据及资料，并负有保密义务。</w:t>
      </w:r>
    </w:p>
    <w:p>
      <w:pPr>
        <w:pStyle w:val="36"/>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（六）与前海合作区支库签订银行资金清算协议，并定期向前海合作区财政部门、前海合作区支库、预算单位报送报表、提供对账单，并协助做好日常对账工作。</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业务要求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（一）基本要求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1.内部管理规范，内控制度健全，具有严格的操作规程，并设置相应的业务部门和专业工作人员；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2.通过人民银行和本行的资金汇划系统，根据支付方式和支付地点的不同，采用同城转账、异地汇兑和现金支付等方式实现财政性资金的支付与清算；</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3.具有先进的资金汇划系统，保证本行系统同城转账实时、异地汇划两小时内到账，跨行转账同城实时、异地隔日到账；</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4.妥善保管财政部门提供的各种单据和资料，严格遵守保密规定；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5.按规定向财政部门、清算银行和预算单位报送相应报表；协助做好对账工作；</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6.各代理银行及网点要确定相应业务负责人，负责管理协调市国库集中支付相关工作，确保在代理银行各环节的有序运行；</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7.代理银行应加强对营业网点的业务指导和管理监督，积极采取各种方式，定期或不定期的对相关人员进行系统操作和业务培训，及时处理用户投诉，提高服务质量。</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（二）技术要求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1.具备较强的科技力量，按照财政部门的接口规范开发银行端管理信息系统，实现与“智慧财政”工程系统的衔接，并对“智慧财政”工程系统的建设、推广和运行提供支持。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2.代理银行网络应与“智慧财政”工程系统实现连接，并指派专门的业务和技术人员负责双方网络的互联互通工作，确保双方网络畅通。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3.保证资金汇划系统和内部网络的安全，并承担因自身网络安全方面产生问题的责任。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4.提供财政零余额账户资金收支实时动态监测系统与信息查询系统。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5.在系统或网络异常的情况下，代理银行要有相应的应急方案，保证财政国库集中支付业务正常运作。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特别提示：服务期内，采购单位可能根据财政管理改革要求和实际业务发展需要（含符合财政部统一标准的“国库集中支付电子化管理”要求），以建设“智慧财政”为总体目标，对现有“智慧财政”工程系统进行升级改造，现行有关技术、业务规范将随之发生一定的变化，各代理银行也将此进行相应的技术改造，可能涉及资金投入。投标方应对以上事项进行充分了解和准备，并综合本行实际情况后在投标方案中作出明确承诺。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（三）信息安全要求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单位应严格遵守前海管理局关于信息安全方面的规定，自觉保守项目涉及的商业秘密。由采购单位为方便项目实施所提供给中标单位的工作流程、管理模式、试验数据、规程、程序等相关资料文档，以及项目实施过程中所产生的资料、文档、数据、相关附属品均属于采购单位信息资产，中标单位应保证上述信息资产在项目期间及项目后规定时间内的安全。</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单位应建立并遵守项目实施期间的信息安全管理规范，强化用户访问权限管理，严格数据库备份，防止黑客、病毒攻击，应对各类突发事件，提高应急处理能力，以确保项目启动、实施及实施后的信息安全管理。同时系统应能完备记录存储信息，保证信息的完整性、一致性、真实性和可追溯性。</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非经采购单位书面许可，中标单位不得以任何形式泄漏以上信息。因中标单位原因导致上述资料、文档、数据或采购单位商业秘密泄露的，采购单位有权要求中标单位采取措施消除影响并赔偿损失，影响严重的将追究法律责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4.中标单位应按照信息安全等级保护三级的要求建立国库集中支付信息系统，并在系统上线前通过相关评测机构的认证。</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5.中标方连接采购单位国库集中支付系统的网络由中标单位自行负责；中标方使用的服务器、客户端机器由中标单位自行负责，上述机器在连接到采购单位网络时，必须遵守采购单位相关规定。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（四）服务管理要求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1.服务质量要求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（1）中标方应按要求提交代理银行服务方案并建立相应的服务体系。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（2）中标方应将当日付款单据回单于下一个工作日送达前海合作区财政部门用户，以便前海合作区财政部门用户及时记账；如遇特殊情况，前海合作区财政部门用户急需回单，则应立即送达。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（3）中标方应将对账单及当月的报表于次月第一个工作日送达前海合作区财政部门用户，以便顺利进行月结。如遇特殊情况急需对账单或者报表，则应立即送达。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（4）前海合作区财政部门临时交办的其他服务工作。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2.服务人员要求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（1）项目组人员数量要求。 中标方应成立专门的服务团队并设置相应的岗位，至少安排 5人专项负责此项工作，其中应配备</w:t>
      </w:r>
      <w:r>
        <w:rPr>
          <w:rFonts w:hint="eastAsia" w:ascii="宋体" w:hAnsi="宋体" w:eastAsia="宋体" w:cs="宋体"/>
          <w:color w:val="000000" w:themeColor="text1"/>
          <w:sz w:val="24"/>
          <w:szCs w:val="24"/>
          <w:lang w:val="en-US" w:eastAsia="zh-CN"/>
          <w14:textFill>
            <w14:solidFill>
              <w14:schemeClr w14:val="tx1"/>
            </w14:solidFill>
          </w14:textFill>
        </w:rPr>
        <w:t>1名驻点人员及</w:t>
      </w:r>
      <w:r>
        <w:rPr>
          <w:rFonts w:hint="eastAsia" w:ascii="宋体" w:hAnsi="宋体" w:eastAsia="宋体" w:cs="宋体"/>
          <w:color w:val="000000" w:themeColor="text1"/>
          <w:sz w:val="24"/>
          <w:szCs w:val="24"/>
          <w14:textFill>
            <w14:solidFill>
              <w14:schemeClr w14:val="tx1"/>
            </w14:solidFill>
          </w14:textFill>
        </w:rPr>
        <w:t>1名</w:t>
      </w:r>
      <w:r>
        <w:rPr>
          <w:rFonts w:hint="eastAsia" w:ascii="宋体" w:hAnsi="宋体" w:eastAsia="宋体" w:cs="宋体"/>
          <w:color w:val="000000" w:themeColor="text1"/>
          <w:sz w:val="24"/>
          <w:szCs w:val="24"/>
          <w:lang w:eastAsia="zh-CN"/>
          <w14:textFill>
            <w14:solidFill>
              <w14:schemeClr w14:val="tx1"/>
            </w14:solidFill>
          </w14:textFill>
        </w:rPr>
        <w:t>以上</w:t>
      </w:r>
      <w:r>
        <w:rPr>
          <w:rFonts w:hint="eastAsia" w:ascii="宋体" w:hAnsi="宋体" w:eastAsia="宋体" w:cs="宋体"/>
          <w:color w:val="000000" w:themeColor="text1"/>
          <w:sz w:val="24"/>
          <w:szCs w:val="24"/>
          <w14:textFill>
            <w14:solidFill>
              <w14:schemeClr w14:val="tx1"/>
            </w14:solidFill>
          </w14:textFill>
        </w:rPr>
        <w:t xml:space="preserve">技术人员负责系统运行维护。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项目组人员稳定性要求。如果中标方在合同期内需要更换工作人员，应提前十五天将接替工作人员告知前海合作区财政部门并获得同意后方可。如因中标方更换工作人员而导致服务质量下降或费用增加的，前海合作区财政部门有权要求中标方及时采取措施弥补或消除影响并赔偿相关损失。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3.服务响应时间</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如有急需的单据，应保证</w:t>
      </w:r>
      <w:r>
        <w:rPr>
          <w:rFonts w:hint="eastAsia" w:ascii="宋体" w:hAnsi="宋体" w:eastAsia="宋体" w:cs="宋体"/>
          <w:color w:val="000000" w:themeColor="text1"/>
          <w:sz w:val="24"/>
          <w:szCs w:val="24"/>
          <w:lang w:val="en-US" w:eastAsia="zh-CN"/>
          <w14:textFill>
            <w14:solidFill>
              <w14:schemeClr w14:val="tx1"/>
            </w14:solidFill>
          </w14:textFill>
        </w:rPr>
        <w:t>15分钟</w:t>
      </w:r>
      <w:r>
        <w:rPr>
          <w:rFonts w:hint="eastAsia" w:ascii="宋体" w:hAnsi="宋体" w:eastAsia="宋体" w:cs="宋体"/>
          <w:color w:val="000000" w:themeColor="text1"/>
          <w:sz w:val="24"/>
          <w:szCs w:val="24"/>
          <w14:textFill>
            <w14:solidFill>
              <w14:schemeClr w14:val="tx1"/>
            </w14:solidFill>
          </w14:textFill>
        </w:rPr>
        <w:t>内送达前海合作区财政部门用户；如银行端管理信息系统出现问题，应于两小时内查明原因并报告前海合作区财政部门，一般问题应于当天解决，特殊情况最长不能超过两天。若不能在规定时间内解决，由此产生的一切损失由中标方承担。</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r>
        <w:rPr>
          <w:rFonts w:hint="eastAsia" w:ascii="宋体" w:hAnsi="宋体" w:eastAsia="宋体" w:cs="宋体"/>
          <w:b/>
          <w:bCs/>
          <w:color w:val="000000" w:themeColor="text1"/>
          <w:sz w:val="24"/>
          <w:szCs w:val="24"/>
          <w:lang w:val="zh-CN"/>
          <w14:textFill>
            <w14:solidFill>
              <w14:schemeClr w14:val="tx1"/>
            </w14:solidFill>
          </w14:textFill>
        </w:rPr>
        <w:t>成果</w:t>
      </w:r>
      <w:r>
        <w:rPr>
          <w:rFonts w:hint="eastAsia" w:ascii="宋体" w:hAnsi="宋体" w:eastAsia="宋体" w:cs="宋体"/>
          <w:b/>
          <w:bCs/>
          <w:color w:val="000000" w:themeColor="text1"/>
          <w:sz w:val="24"/>
          <w:szCs w:val="24"/>
          <w14:textFill>
            <w14:solidFill>
              <w14:schemeClr w14:val="tx1"/>
            </w14:solidFill>
          </w14:textFill>
        </w:rPr>
        <w:t>的提交、验收和鉴定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技术成果的提交，是指该技术规范中所要求的所有技术文档的电子介质、纸质介质及电子成果的全部提交。只有本项目所有技术成果均提交采购单位后，投标单位才能向采购单位提出项目成果验收申请。投标单位应在投标书中明确列出在本项目中拟提交的成果，采购单位建议投标单位所提交的成果包括但不限于：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（1）国库集中支付代理银行业务总体方案；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（2）国库集中支付代理银行服务保障方案；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（3）国库集中支付代理银行业务需求分析；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（4）国库集中支付代理银行管理系统整体解决方案；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（5）国库集中支付代理银行管理系统研发及实施文档；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（6）国库集中支付代理银行管理系统开发过程文档；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（7）国库集中支付代理银行管理系统风险及效益分析；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（8）项目过程中所产生的所有源代码；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（9）项目过程中所产生的其他文档；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（10）项目遗留问题清单和改进建议等。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（二）项目完成后，投标单位须通过书面方式向采购单位提出验收申请，由采购单位组织验收小组对本项目的成果进行验收和鉴定，验收和鉴定通过则由验收小组出具验收和鉴定证明。</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鉴定内容包括但不限于：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（1）本项目成果是否满足规范及格式要求；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（2）本项目成果的准确性、先进性及全面性；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（3）本项目成果对采购单位国库集中支付业务和“智慧财政工程”建设的指导作用；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（4）其他采购单位要求验收鉴定的内容。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如果双方对质量、完成情况有意见分歧，采购单位可委托权威机构对产品进行重新鉴定，该权威机构出具的鉴定证明即作为采购单位向投标单位提出修改和索赔的有效证据。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投标单位除承担修改费用之外，还需承担重新鉴定费用。</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（一）中标单位的售后服务和技术支持内容包括但不限于：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（1）系统安装部署和衔接；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（2）数据迁移；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（3）系统试运行及上线跟踪；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（4）系统缺陷修复及完善；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（5）服务保障体系；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（6）按照采购单位国库集中支付业务及“智慧财政工程”建设的要求进行升级改造；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（7）年底保障，即：年底期间，成立专门的年底保障小组，及时对财政部门年底的业务处理和业务保障需求进行详细调研，做出详细、科学的工作计划，提供现场支持和远程支持两种服务保障；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（8）解答前海合作区财政部门、预算单位、清算银行等用户提出的相关问题。</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（二）投标单位应开通服务热线，提供 7*24 小时电话支持服务；采购单位通过电话、传真或电子邮件等方式将系统相关问题通知投标单位后，投标单位应按照相关管理规定对问题做出及时响应。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采购单位可以委派专家每年一次到中标单位进行现场巡检，及时发现问题，防患于未然。年度巡检的内容包括系统运行状况、业务办理水平、用户意见反馈等。中标单位应详细记录年检的内容、过程，并提交《国库集中支付代理银行年检报告》报采购单位审核。</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项目实施要求</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项目实施分为系统开发（改造）阶段和代理服务提供阶段；投标单位应在投标文件中提出详细的项目实施计划、系统开发（改造）阶段还需按时间先后顺序提交系统开发（改造）阶段中各步骤的成果清单建议。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（二）投标单位必须针对本项目建立项目管理规范，并在项目开展过程中落实。投标单位必须建立并实施一套确保项目规范开展的质量管理体系。</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技术培训要求</w:t>
      </w:r>
    </w:p>
    <w:p>
      <w:pPr>
        <w:snapToGrid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采购单位希望通过本项目，达到提高“智慧财政”工程建设管理和运行维护水平的目的。为此，投标单位应为项目的实施提供包括但不限于下列几个方面的培训</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（1）本项目有关技术、标准规范和软件工具使用的培训；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（2）本项目实施技巧和实施步骤、方法的培训；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（3）系统功能建模、数据建模和系统体系结构建模方法的培训；</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（4）投标单位认为必要的其他培训； </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（5）采购单位认为必要的其他培训。 </w:t>
      </w:r>
    </w:p>
    <w:p>
      <w:pPr>
        <w:snapToGrid w:val="0"/>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投标单位应提出上述培训的具体建议和详细方案，并协助采购单位开展培训。</w:t>
      </w:r>
    </w:p>
    <w:p>
      <w:pPr>
        <w:numPr>
          <w:ilvl w:val="0"/>
          <w:numId w:val="6"/>
        </w:numPr>
        <w:tabs>
          <w:tab w:val="left" w:pos="900"/>
        </w:tabs>
        <w:spacing w:before="156" w:beforeLines="50" w:after="156" w:afterLines="50" w:line="360" w:lineRule="auto"/>
        <w:ind w:firstLine="0"/>
        <w:outlineLvl w:val="1"/>
        <w:rPr>
          <w:rFonts w:hint="eastAsia" w:ascii="宋体" w:hAnsi="宋体" w:eastAsia="宋体" w:cs="宋体"/>
          <w:b/>
          <w:bCs/>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商务要求</w:t>
      </w:r>
      <w:bookmarkEnd w:id="40"/>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bookmarkStart w:id="41" w:name="_Toc6017"/>
      <w:bookmarkStart w:id="42" w:name="_Toc16195"/>
      <w:r>
        <w:rPr>
          <w:rFonts w:hint="eastAsia" w:ascii="宋体" w:hAnsi="宋体" w:eastAsia="宋体" w:cs="宋体"/>
          <w:b/>
          <w:bCs/>
          <w:color w:val="000000" w:themeColor="text1"/>
          <w:sz w:val="24"/>
          <w:szCs w:val="24"/>
          <w14:textFill>
            <w14:solidFill>
              <w14:schemeClr w14:val="tx1"/>
            </w14:solidFill>
          </w14:textFill>
        </w:rPr>
        <w:t>（一）服务期限</w:t>
      </w:r>
      <w:bookmarkEnd w:id="41"/>
      <w:bookmarkEnd w:id="42"/>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自合同签订之日起</w:t>
      </w: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个月。</w:t>
      </w:r>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bookmarkStart w:id="43" w:name="_Toc10463"/>
      <w:bookmarkStart w:id="44" w:name="_Toc15471"/>
      <w:r>
        <w:rPr>
          <w:rFonts w:hint="eastAsia" w:ascii="宋体" w:hAnsi="宋体" w:eastAsia="宋体" w:cs="宋体"/>
          <w:b/>
          <w:bCs/>
          <w:color w:val="000000" w:themeColor="text1"/>
          <w:sz w:val="24"/>
          <w:szCs w:val="24"/>
          <w14:textFill>
            <w14:solidFill>
              <w14:schemeClr w14:val="tx1"/>
            </w14:solidFill>
          </w14:textFill>
        </w:rPr>
        <w:t>（二）服务地点</w:t>
      </w:r>
      <w:bookmarkEnd w:id="43"/>
      <w:bookmarkEnd w:id="44"/>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深圳市前海深港现代服务业合作区。</w:t>
      </w:r>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bookmarkStart w:id="45" w:name="_Toc368"/>
      <w:bookmarkStart w:id="46" w:name="_Toc32196"/>
      <w:r>
        <w:rPr>
          <w:rFonts w:hint="eastAsia" w:ascii="宋体" w:hAnsi="宋体" w:eastAsia="宋体" w:cs="宋体"/>
          <w:b/>
          <w:bCs/>
          <w:color w:val="000000" w:themeColor="text1"/>
          <w:sz w:val="24"/>
          <w:szCs w:val="24"/>
          <w14:textFill>
            <w14:solidFill>
              <w14:schemeClr w14:val="tx1"/>
            </w14:solidFill>
          </w14:textFill>
        </w:rPr>
        <w:t>（三）业务代理手续费</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采购人委托投标人代理国库集中支付业务，由采购人向投标人支付资金汇划手续费、业务代理费、垫付资金利息以及其他由财政授权支付业务产生的合理费用。</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1.国库集中支付资金汇划手续费暂按每笔2元的标准计算；业务代理费按财政集中支付实际支付金额的0.35‰计算，财政集中支付累计支付金额超过150亿元(不含)部分不再计算业务代理费，按月汇总结算，由采购人按</w:t>
      </w:r>
      <w:r>
        <w:rPr>
          <w:rFonts w:hint="eastAsia" w:ascii="宋体" w:hAnsi="宋体" w:eastAsia="宋体" w:cs="宋体"/>
          <w:color w:val="000000" w:themeColor="text1"/>
          <w:sz w:val="24"/>
          <w:szCs w:val="24"/>
          <w:lang w:val="en-US" w:eastAsia="zh-CN"/>
          <w14:textFill>
            <w14:solidFill>
              <w14:schemeClr w14:val="tx1"/>
            </w14:solidFill>
          </w14:textFill>
        </w:rPr>
        <w:t>年度</w:t>
      </w:r>
      <w:r>
        <w:rPr>
          <w:rFonts w:hint="eastAsia" w:ascii="宋体" w:hAnsi="宋体" w:eastAsia="宋体" w:cs="宋体"/>
          <w:color w:val="000000" w:themeColor="text1"/>
          <w:sz w:val="24"/>
          <w:szCs w:val="24"/>
          <w14:textFill>
            <w14:solidFill>
              <w14:schemeClr w14:val="tx1"/>
            </w14:solidFill>
          </w14:textFill>
        </w:rPr>
        <w:t>支付给投标人。采购人按财政支付程序支付，因国库支付系统原因延迟到账的，不计为违约责任。</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2.垫付资金利息。垫付资金利息按实际垫付金额的日息0.2‰计算，按年度结息(由于投标人原因造成不能及时清算形成的垫付资金除外)</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由采购人于下年度支付给投标人。</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3.对于采购人向投标人提出办理国库集中支付特殊委托业务所产生的费用，以及其他由财政集中支付业务产生的合理费用，由采购人核实后向投标人支付。</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4.除上述费用外，采购人不负责向投标人支付其他费用。</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5.在协议履行期间，如财政部门制定新的业务代理手续费结算办法，则按新办法执行。</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按照以上1至5项计算出来的金额之和即是手续费基准总价。代理手续费总价为手续费基准总价乘以中标折扣率确定。</w:t>
      </w:r>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（四）付款方式</w:t>
      </w:r>
      <w:bookmarkEnd w:id="45"/>
      <w:bookmarkEnd w:id="46"/>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1.</w:t>
      </w:r>
      <w:r>
        <w:rPr>
          <w:rFonts w:hint="eastAsia" w:ascii="宋体" w:hAnsi="宋体" w:eastAsia="宋体" w:cs="宋体"/>
          <w:color w:val="000000" w:themeColor="text1"/>
          <w:kern w:val="2"/>
          <w:sz w:val="24"/>
          <w:szCs w:val="24"/>
          <w:lang w:eastAsia="zh-CN"/>
          <w14:textFill>
            <w14:solidFill>
              <w14:schemeClr w14:val="tx1"/>
            </w14:solidFill>
          </w14:textFill>
        </w:rPr>
        <w:t>每年</w:t>
      </w:r>
      <w:r>
        <w:rPr>
          <w:rFonts w:hint="eastAsia" w:ascii="宋体" w:hAnsi="宋体" w:eastAsia="宋体" w:cs="宋体"/>
          <w:color w:val="000000" w:themeColor="text1"/>
          <w:kern w:val="2"/>
          <w:sz w:val="24"/>
          <w:szCs w:val="24"/>
          <w14:textFill>
            <w14:solidFill>
              <w14:schemeClr w14:val="tx1"/>
            </w14:solidFill>
          </w14:textFill>
        </w:rPr>
        <w:t>根据实际支付笔数、金额结算上年手续费及业务代理费。</w:t>
      </w:r>
    </w:p>
    <w:p>
      <w:pPr>
        <w:pStyle w:val="13"/>
        <w:spacing w:before="0" w:beforeAutospacing="0" w:after="0" w:afterAutospacing="0" w:line="360" w:lineRule="auto"/>
        <w:ind w:firstLine="480" w:firstLineChars="200"/>
        <w:rPr>
          <w:rFonts w:hint="eastAsia" w:ascii="宋体" w:hAnsi="宋体" w:eastAsia="宋体" w:cs="宋体"/>
          <w:color w:val="000000" w:themeColor="text1"/>
          <w:kern w:val="2"/>
          <w:sz w:val="24"/>
          <w:szCs w:val="24"/>
          <w14:textFill>
            <w14:solidFill>
              <w14:schemeClr w14:val="tx1"/>
            </w14:solidFill>
          </w14:textFill>
        </w:rPr>
      </w:pPr>
      <w:r>
        <w:rPr>
          <w:rFonts w:hint="eastAsia" w:cs="宋体"/>
          <w:color w:val="000000" w:themeColor="text1"/>
          <w:kern w:val="2"/>
          <w:sz w:val="24"/>
          <w:szCs w:val="24"/>
          <w:lang w:val="en-US" w:eastAsia="zh-CN"/>
          <w14:textFill>
            <w14:solidFill>
              <w14:schemeClr w14:val="tx1"/>
            </w14:solidFill>
          </w14:textFill>
        </w:rPr>
        <w:t>2.</w:t>
      </w:r>
      <w:r>
        <w:rPr>
          <w:rFonts w:hint="eastAsia" w:ascii="宋体" w:hAnsi="宋体" w:eastAsia="宋体" w:cs="宋体"/>
          <w:color w:val="000000" w:themeColor="text1"/>
          <w:kern w:val="2"/>
          <w:sz w:val="24"/>
          <w:szCs w:val="24"/>
          <w14:textFill>
            <w14:solidFill>
              <w14:schemeClr w14:val="tx1"/>
            </w14:solidFill>
          </w14:textFill>
        </w:rPr>
        <w:t>在满足付款的条件下，</w:t>
      </w:r>
      <w:bookmarkStart w:id="47" w:name="_Toc16130"/>
      <w:bookmarkStart w:id="48" w:name="_Toc16091"/>
      <w:r>
        <w:rPr>
          <w:rFonts w:hint="eastAsia" w:ascii="宋体" w:hAnsi="宋体" w:eastAsia="宋体" w:cs="宋体"/>
          <w:color w:val="000000" w:themeColor="text1"/>
          <w:kern w:val="2"/>
          <w:sz w:val="24"/>
          <w:szCs w:val="24"/>
          <w14:textFill>
            <w14:solidFill>
              <w14:schemeClr w14:val="tx1"/>
            </w14:solidFill>
          </w14:textFill>
        </w:rPr>
        <w:t>采购人收到中标人开具的载明相应金额的合格发票后15个工作日内付至中标人指定银行账户。如未及时收到发票，则采购人相应付款时间顺延。若因采购人付款审批影响支付进度，请中标人予以谅解，并不得就此向采购人索赔。</w:t>
      </w:r>
    </w:p>
    <w:p>
      <w:pPr>
        <w:spacing w:line="360" w:lineRule="auto"/>
        <w:ind w:firstLine="482" w:firstLineChars="200"/>
        <w:outlineLvl w:val="2"/>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（五）投标报价</w:t>
      </w:r>
      <w:bookmarkEnd w:id="47"/>
      <w:bookmarkEnd w:id="48"/>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1.本项目服务费采用包干制，应包括服务成本、法定税费和企业的利润，</w:t>
      </w:r>
      <w:r>
        <w:rPr>
          <w:rFonts w:hint="eastAsia" w:ascii="宋体" w:hAnsi="宋体" w:eastAsia="宋体" w:cs="宋体"/>
          <w:color w:val="000000" w:themeColor="text1"/>
          <w:kern w:val="2"/>
          <w:sz w:val="24"/>
          <w:szCs w:val="24"/>
          <w14:textFill>
            <w14:solidFill>
              <w14:schemeClr w14:val="tx1"/>
            </w14:solidFill>
          </w14:textFill>
        </w:rPr>
        <w:t>并提供项目要求的报告、全部成果文件和全部相关资料，以及其它相关服务的全部费用。</w:t>
      </w:r>
      <w:r>
        <w:rPr>
          <w:rFonts w:hint="eastAsia" w:ascii="宋体" w:hAnsi="宋体" w:eastAsia="宋体" w:cs="宋体"/>
          <w:color w:val="000000" w:themeColor="text1"/>
          <w:sz w:val="24"/>
          <w:szCs w:val="24"/>
          <w14:textFill>
            <w14:solidFill>
              <w14:schemeClr w14:val="tx1"/>
            </w14:solidFill>
          </w14:textFill>
        </w:rPr>
        <w:t>由企业根据招标文件所提供的资料自行测算投标报价。在项目实施期间，除另签补充合同外，采购人不接受投保人以任何理由、任何名目提出增加费用的要求。</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2.本项目要求投标人在手续费基准价的基础上报出“折扣率”作为投标报价。“折扣率”是唯一的价格分计算依据。</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项目实际支付金额=手续费基准总价×(折扣率)</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3.“折扣率”填写要求：</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3.1.填写要求：0＜折扣率≤1，未按此要求填写将作投标无效处理。</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3.2.填写的“折扣率”应为小数，如0.95、0.80、0.78；保留至小数点后两位。</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3.3.投标人参与投标只允许填报一个“折扣率”，不允许填报2个（或以上）的“折扣率”；填报了2个或以上“折扣率”的，其投标将直接作投标无效处理；</w:t>
      </w:r>
    </w:p>
    <w:p>
      <w:pPr>
        <w:pStyle w:val="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3.4.“折扣率”缺填、漏填将直接作投标无效处理。</w:t>
      </w:r>
    </w:p>
    <w:p>
      <w:pPr>
        <w:pStyle w:val="5"/>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49" w:name="_Toc7539"/>
      <w:bookmarkStart w:id="50" w:name="_Toc10430"/>
      <w:r>
        <w:rPr>
          <w:rFonts w:hint="eastAsia" w:ascii="宋体" w:hAnsi="宋体" w:eastAsia="宋体" w:cs="宋体"/>
          <w:b/>
          <w:bCs/>
          <w:color w:val="000000" w:themeColor="text1"/>
          <w:sz w:val="24"/>
          <w:szCs w:val="24"/>
          <w14:textFill>
            <w14:solidFill>
              <w14:schemeClr w14:val="tx1"/>
            </w14:solidFill>
          </w14:textFill>
        </w:rPr>
        <w:t>（六）知识产权</w:t>
      </w:r>
      <w:bookmarkEnd w:id="49"/>
      <w:bookmarkEnd w:id="50"/>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1.本项目全部阶段性成果和最终成果（包括为后续服务范围所编制的文件）的所有权、知识产权以及与之相关的所有权利归采购单位所有。</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2.双方确定，采购单位有权对</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标人按照本合同约定提供的成果进行后续改进。由此产生的具有实质性或创造性技术进步特征的新的技术成果及其权利全部由采购单位享有。</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标人所提交的全部阶段性成果和最终成果文件及任何数据、资料、软件等不得侵犯任何第三方的知识产权或其他权利，由于该等文件、数据、资料、软件所导致的任何索赔或责任均由</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标人承担。同时，采购单位有权要求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标人修改成果至不侵权或解除合同，并保留要求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标人赔偿全部损失的权利，包括但不限于上述索赔或责任所产生的诉讼费用、合理的律师费用、鉴定评估费用、调查费用、和解金额或生效法律文书中规定的赔偿金额。</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4.未经采购单位书面在先同意，</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标人不得将本项目的阶段性成果和/或最终成果文件及任何数据、资料、软件向任何第三方转让、授权任何第三方使用或用于本合同项目外的其他项目。如发生以上情况，</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标人应向采购单位支付本合同总价款20%的违约金，如果违约金无法弥补采购单位的损失，采购单位有权要求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标人赔偿全部损失，包括但不限于上述索赔或责任所产生的诉讼费用、合理的律师费用、鉴定评估费用、调查费用、和解金额或生效法律文书中规定的赔偿金额。</w:t>
      </w:r>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bookmarkStart w:id="51" w:name="_Toc14469"/>
      <w:bookmarkStart w:id="52" w:name="_Toc27553"/>
      <w:r>
        <w:rPr>
          <w:rFonts w:hint="eastAsia" w:ascii="宋体" w:hAnsi="宋体" w:eastAsia="宋体" w:cs="宋体"/>
          <w:b/>
          <w:bCs/>
          <w:color w:val="000000" w:themeColor="text1"/>
          <w:sz w:val="24"/>
          <w:szCs w:val="24"/>
          <w14:textFill>
            <w14:solidFill>
              <w14:schemeClr w14:val="tx1"/>
            </w14:solidFill>
          </w14:textFill>
        </w:rPr>
        <w:t>（七）违约责任</w:t>
      </w:r>
      <w:bookmarkEnd w:id="51"/>
      <w:bookmarkEnd w:id="52"/>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1.采购单位和</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标人、预算单位等部门应认真、准确办理财政性资金支付业务。遵循“谁的差错谁更正，谁的差错谁负责”的原则积极处理和纠正差错业务。</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2.采购单位在支付与清算过程中，发生下列行为，并因此造成损失的，由采购单位承担责任。</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（1）国库单一账户库存余额不足以清算</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标人额度内出具的申请划款金额；</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（2）采购单位未按规定时间向国库单一账户发送集中支付额度文件，致使</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标人无法与人民银行深圳市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行进行财政性资金清算；</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（3）由于采购单位其他原因造成收款人无法及时收到款项的，由采购单位承担责任。</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3.因采购单位过错给</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标人造成损失的，由采购单位承担相应的赔偿责任。采购单位工作人员如违反国家有关规定，由有关机关依法进行处理。</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标人在支付与清算过程中，发生下列行为，并因此造成损失的，由</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标人承担责任，包括但不限于赔偿采购单位以及第三方的损失：</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（1）未经人民银行深圳市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行审核认证，</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标人从事代理财政性资金支付业务，人民银行深圳市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行不予清算；</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（2）未经采购单位同意及违反《人民币银行结算账户管理办法》规定，为预算单位开设零余额账户或其他账户；</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（3）因支付申请划款凭证(借方凭证)基本要素填写有误、支付申请划款凭证(借方凭 证)与《申请财政性资金划(退)款汇总清单》的金额不一致，致使人民银行深圳市</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行与</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标人无法进行财政性资金清算；</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标人违反有关规定，将财政性资金支付给支付凭证指定收款人以外的单位和个人，或向国库单一账户申请划款金额超过</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标人实际清算金额，或占压、挪用零余额账户贷方余额资金，情节严重的，取消其代理资格。因此造成损失的，依法追究</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标人责任；</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标人原因致使已受理支付凭证未按规定时间办理财政性资金支付的；</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标人发现存在收款人账号与户名不符、大小写金额不符、印鉴与预留印鉴不符等基本要素错误而未及时作退票处理，并因此造成收款人损失的。</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标人过错造成财政资金错划、误划、漏划，或者超预算单位授权额度办理资金支付，给采购单位造成损失的，责任由</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标人承担，并负责迫回错划款项，按占用时间和金额等支付应付利息。对于故意延迟划拨财政资金的</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标人网点，经核实一年内超过3次的，要取消该网点的代理；</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标人被取消代理业务的营业网点超过其在深圳市辖区全部代理网点10%的，将取消</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标人代理资格。</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标人工作人员如违反国家有关规定，由有关机关依法进行处理。</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标人违反本协议规定的保密义务的，采购单位有权单方解除合同，并要求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标人赔偿因此给采购单位以及第三方造成的损失。</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7.未经采购单位同意，</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标人将其在本协议项下的义务全部或部分转让给第三方的，采购单位有权单方解除合同，并要求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标人承担因此给采购单位造成的损失。</w:t>
      </w:r>
    </w:p>
    <w:p>
      <w:pPr>
        <w:pStyle w:val="2"/>
        <w:tabs>
          <w:tab w:val="left" w:pos="562"/>
          <w:tab w:val="left" w:pos="3372"/>
          <w:tab w:val="left" w:pos="3653"/>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因不可抗力不能履行协议的，根据不可抗力的影响，部分或者全部免除责任，但法律另有规定的除外。当事人迟延履行后发生不可抗力的，不能免除责任。本协议所称不可抗力，是指不能预见、不能避免并不能克服的客观情况。</w:t>
      </w:r>
    </w:p>
    <w:p>
      <w:pPr>
        <w:spacing w:line="360" w:lineRule="auto"/>
        <w:ind w:firstLine="482" w:firstLineChars="200"/>
        <w:outlineLvl w:val="2"/>
        <w:rPr>
          <w:rFonts w:hint="eastAsia" w:ascii="宋体" w:hAnsi="宋体" w:eastAsia="宋体" w:cs="宋体"/>
          <w:b/>
          <w:bCs/>
          <w:color w:val="000000" w:themeColor="text1"/>
          <w:sz w:val="24"/>
          <w:szCs w:val="24"/>
          <w14:textFill>
            <w14:solidFill>
              <w14:schemeClr w14:val="tx1"/>
            </w14:solidFill>
          </w14:textFill>
        </w:rPr>
      </w:pPr>
      <w:bookmarkStart w:id="53" w:name="_Toc31814"/>
      <w:bookmarkStart w:id="54" w:name="_Toc11364"/>
      <w:r>
        <w:rPr>
          <w:rFonts w:hint="eastAsia" w:ascii="宋体" w:hAnsi="宋体" w:eastAsia="宋体" w:cs="宋体"/>
          <w:b/>
          <w:bCs/>
          <w:color w:val="000000" w:themeColor="text1"/>
          <w:sz w:val="24"/>
          <w:szCs w:val="24"/>
          <w14:textFill>
            <w14:solidFill>
              <w14:schemeClr w14:val="tx1"/>
            </w14:solidFill>
          </w14:textFill>
        </w:rPr>
        <w:t>（八）保密条款</w:t>
      </w:r>
      <w:bookmarkEnd w:id="53"/>
      <w:bookmarkEnd w:id="54"/>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应以保密方式处理在编制本项目成果文件过程中自采购单位、采购单位工作人员或采购单位关联机构获得的相关信息、资料、图纸、数据等，或由采购单位在履行本合同过程中明确指明为秘密的任何信息，以及</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标人因本项目工作内容所直接或间接取得、处理或接触的任何其他资料。</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应保守国家秘密，不得泄露采购方所提供的属国家秘密的信息和数据；未经采购单位允许，不得使用或者以其他方式给任何第三方提供本项目的相关信息或数据，或公开本项目的阶段性成果或最终成果内容。即使向与履行本合同有关的人员提供前述保密信息，也应限于履行合同的必需范围，且这些人员应接受至少与本条款同等严格的保密条款的约束。</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标人实施项目的程序应符合国家安全、保密的有关规定和标准。</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4.上述保密义务不适用以下情况：</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4.1.获取的信息已被合法公开；</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4.2.获得信息拥有方书面许可并在该许可范围内披露；</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4.3.国家法律、法规规定的情形。</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标人违反上述保密条款，采购单位有权解除本合同，</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标人应在合同解除通知发出之日起10日内向采购单位支付本合同服务费总金额20%的违约金，如果违约金无法弥补采购单位损失，采购单位保留要求</w:t>
      </w:r>
      <w:r>
        <w:rPr>
          <w:rFonts w:hint="eastAsia" w:ascii="宋体" w:hAnsi="宋体" w:eastAsia="宋体" w:cs="宋体"/>
          <w:color w:val="000000" w:themeColor="text1"/>
          <w:sz w:val="24"/>
          <w:szCs w:val="24"/>
          <w:lang w:eastAsia="zh-CN"/>
          <w14:textFill>
            <w14:solidFill>
              <w14:schemeClr w14:val="tx1"/>
            </w14:solidFill>
          </w14:textFill>
        </w:rPr>
        <w:t>中</w:t>
      </w:r>
      <w:r>
        <w:rPr>
          <w:rFonts w:hint="eastAsia" w:ascii="宋体" w:hAnsi="宋体" w:eastAsia="宋体" w:cs="宋体"/>
          <w:color w:val="000000" w:themeColor="text1"/>
          <w:sz w:val="24"/>
          <w:szCs w:val="24"/>
          <w14:textFill>
            <w14:solidFill>
              <w14:schemeClr w14:val="tx1"/>
            </w14:solidFill>
          </w14:textFill>
        </w:rPr>
        <w:t>标人赔偿全部损失的权利，包括但不限于上述索赔或责任所产生的诉讼费用、合理的律师费用、鉴定评估费用、调查费用、和解金额或生效法律文书中规定的赔偿金额。</w:t>
      </w:r>
    </w:p>
    <w:p>
      <w:pPr>
        <w:autoSpaceDE w:val="0"/>
        <w:autoSpaceDN w:val="0"/>
        <w:adjustRightIn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6.无论本合同或本合同其他条款是否有效，本保密条款始终约束双方。国家秘密的保密期限由国家有关部门确定，工作秘密的保密期限由采购单位确定。</w:t>
      </w:r>
    </w:p>
    <w:p>
      <w:pPr>
        <w:widowControl/>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widowControl/>
        <w:spacing w:line="360" w:lineRule="auto"/>
        <w:ind w:firstLine="482" w:firstLineChars="200"/>
        <w:jc w:val="center"/>
        <w:outlineLvl w:val="0"/>
        <w:rPr>
          <w:rFonts w:ascii="宋体" w:cs="宋体"/>
          <w:b/>
          <w:bCs/>
          <w:color w:val="000000" w:themeColor="text1"/>
          <w:sz w:val="24"/>
          <w14:textFill>
            <w14:solidFill>
              <w14:schemeClr w14:val="tx1"/>
            </w14:solidFill>
          </w14:textFill>
        </w:rPr>
      </w:pPr>
      <w:bookmarkStart w:id="55" w:name="_Toc23822"/>
      <w:r>
        <w:rPr>
          <w:rFonts w:hint="eastAsia" w:ascii="宋体" w:cs="宋体"/>
          <w:b/>
          <w:bCs/>
          <w:color w:val="000000" w:themeColor="text1"/>
          <w:sz w:val="24"/>
          <w14:textFill>
            <w14:solidFill>
              <w14:schemeClr w14:val="tx1"/>
            </w14:solidFill>
          </w14:textFill>
        </w:rPr>
        <w:t>第六章 投标文件初审及招标项目评分表</w:t>
      </w:r>
      <w:bookmarkEnd w:id="55"/>
    </w:p>
    <w:p>
      <w:pPr>
        <w:spacing w:line="360" w:lineRule="auto"/>
        <w:jc w:val="center"/>
        <w:rPr>
          <w:rFonts w:hint="eastAsia" w:ascii="宋体" w:hAnsi="宋体" w:cs="宋体"/>
          <w:b/>
          <w:color w:val="000000" w:themeColor="text1"/>
          <w:sz w:val="24"/>
          <w14:textFill>
            <w14:solidFill>
              <w14:schemeClr w14:val="tx1"/>
            </w14:solidFill>
          </w14:textFill>
        </w:rPr>
      </w:pP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投标文件初审表（不可偏离条款）</w:t>
      </w:r>
    </w:p>
    <w:p>
      <w:pPr>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108"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108" w:type="dxa"/>
            <w:vAlign w:val="center"/>
          </w:tcPr>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w:t>
            </w:r>
            <w:r>
              <w:rPr>
                <w:rFonts w:hint="eastAsia" w:ascii="宋体" w:hAnsi="宋体" w:cs="宋体"/>
                <w:color w:val="000000" w:themeColor="text1"/>
                <w:sz w:val="24"/>
                <w:lang w:val="en-US" w:eastAsia="zh-CN"/>
                <w14:textFill>
                  <w14:solidFill>
                    <w14:schemeClr w14:val="tx1"/>
                  </w14:solidFill>
                </w14:textFill>
              </w:rPr>
              <w:t>投标报价</w:t>
            </w:r>
            <w:r>
              <w:rPr>
                <w:rFonts w:hint="eastAsia" w:ascii="宋体" w:hAnsi="宋体" w:cs="宋体"/>
                <w:color w:val="000000" w:themeColor="text1"/>
                <w:sz w:val="24"/>
                <w14:textFill>
                  <w14:solidFill>
                    <w14:schemeClr w14:val="tx1"/>
                  </w14:solidFill>
                </w14:textFill>
              </w:rPr>
              <w:t>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报价合理性审查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（一）投标（响应）报价低于全部通过符合性审查供应商投标（响应）报价平均值50%的，即投标（响应）报价&lt;全部通过符合性审查供应商投标（响应）报价平均值×50%；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（二）投标（响应）报价低于通过符合性审查且报价次低供应商投标（响应）报价50%的，即投标（响应）报价&lt;通过符合性审查且报价次低供应商投标（响应）报价×50%；</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（三）投标（响应）报价低于采购项目最高限价45%的，即投标（响应）报价&lt;采购项目最高限价×45%；</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（四）其他评审委员会认为供应商报价过低，有可能影响产品质量或者不能诚信履约的情形。</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未出现“所投货物或工程或服务在质量、技术、方案等方面没有实质性满足招标文件要求”的情形</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7108"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未出现法律、法规规定的其他情形</w:t>
            </w:r>
          </w:p>
        </w:tc>
      </w:tr>
    </w:tbl>
    <w:p>
      <w:pPr>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招标项目评分表</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tbl>
      <w:tblPr>
        <w:tblStyle w:val="17"/>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一、价格部分（</w:t>
            </w:r>
            <w:r>
              <w:rPr>
                <w:rFonts w:hint="eastAsia" w:ascii="宋体" w:hAnsi="宋体" w:cs="宋体"/>
                <w:b/>
                <w:color w:val="000000" w:themeColor="text1"/>
                <w:sz w:val="24"/>
                <w14:textFill>
                  <w14:solidFill>
                    <w14:schemeClr w14:val="tx1"/>
                  </w14:solidFill>
                </w14:textFill>
              </w:rPr>
              <w:t>1</w:t>
            </w:r>
            <w:r>
              <w:rPr>
                <w:rFonts w:hint="eastAsia" w:ascii="宋体" w:hAnsi="宋体" w:cs="宋体"/>
                <w:b/>
                <w:color w:val="000000" w:themeColor="text1"/>
                <w:sz w:val="24"/>
                <w:lang w:val="en-US" w:eastAsia="zh-CN"/>
                <w14:textFill>
                  <w14:solidFill>
                    <w14:schemeClr w14:val="tx1"/>
                  </w14:solidFill>
                </w14:textFill>
              </w:rPr>
              <w:t>0</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5907" w:type="dxa"/>
            <w:vAlign w:val="center"/>
          </w:tcPr>
          <w:p>
            <w:pPr>
              <w:pStyle w:val="6"/>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采用低价优先法计算，即满足招标文件要求且投标价格最低的投标报价为评标基准价，其价格分为满分。其他投标人的价格分统一按照下列公式计算：</w:t>
            </w:r>
          </w:p>
          <w:p>
            <w:pPr>
              <w:pStyle w:val="6"/>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投标报价得分=(评标基准价／投标报价)×1</w:t>
            </w:r>
            <w:r>
              <w:rPr>
                <w:rFonts w:hint="eastAsia" w:ascii="宋体" w:hAnsi="宋体" w:cs="宋体"/>
                <w:b/>
                <w:bCs/>
                <w:color w:val="000000" w:themeColor="text1"/>
                <w:sz w:val="24"/>
                <w:lang w:val="en-US" w:eastAsia="zh-CN"/>
                <w14:textFill>
                  <w14:solidFill>
                    <w14:schemeClr w14:val="tx1"/>
                  </w14:solidFill>
                </w14:textFill>
              </w:rPr>
              <w:t>0</w:t>
            </w:r>
          </w:p>
          <w:p>
            <w:pPr>
              <w:numPr>
                <w:ilvl w:val="0"/>
                <w:numId w:val="7"/>
              </w:numPr>
              <w:spacing w:line="360" w:lineRule="auto"/>
              <w:ind w:left="250" w:hanging="249" w:hangingChars="104"/>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价格评分仅限于有效投标人，</w:t>
            </w:r>
            <w:r>
              <w:rPr>
                <w:rFonts w:hint="eastAsia" w:ascii="宋体" w:hAnsi="宋体" w:cs="宋体"/>
                <w:color w:val="000000" w:themeColor="text1"/>
                <w:sz w:val="24"/>
                <w14:textFill>
                  <w14:solidFill>
                    <w14:schemeClr w14:val="tx1"/>
                  </w14:solidFill>
                </w14:textFill>
              </w:rPr>
              <w:t>当价格分&lt;0时，取0。</w:t>
            </w:r>
          </w:p>
          <w:p>
            <w:pPr>
              <w:numPr>
                <w:ilvl w:val="0"/>
                <w:numId w:val="7"/>
              </w:numPr>
              <w:spacing w:line="360" w:lineRule="auto"/>
              <w:ind w:left="0" w:hanging="9"/>
              <w:jc w:val="left"/>
              <w:rPr>
                <w:rFonts w:hint="eastAsia" w:ascii="宋体" w:hAnsi="宋体" w:cs="宋体"/>
                <w:b/>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根据财库〔2020〕46号、财库〔2014〕68号及财库〔2017〕141号及（深财购〔2022〕31号）文件规定：</w:t>
            </w:r>
            <w:r>
              <w:rPr>
                <w:rFonts w:hint="eastAsia" w:ascii="宋体" w:hAnsi="宋体" w:cs="宋体"/>
                <w:b/>
                <w:color w:val="000000" w:themeColor="text1"/>
                <w:sz w:val="24"/>
                <w14:textFill>
                  <w14:solidFill>
                    <w14:schemeClr w14:val="tx1"/>
                  </w14:solidFill>
                </w14:textFill>
              </w:rPr>
              <w:t>本项目非专门面向中小企业的项目，对小型和微型企业、监狱企业或残疾人福利性企业产品的价格给予10%的扣除，用扣除后的价格即为“经评审合格的投标报价”参与价格评审。</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二、商务部分（</w:t>
            </w:r>
            <w:r>
              <w:rPr>
                <w:rFonts w:hint="eastAsia" w:ascii="宋体" w:hAnsi="宋体" w:cs="宋体"/>
                <w:b/>
                <w:color w:val="000000" w:themeColor="text1"/>
                <w:sz w:val="24"/>
                <w:lang w:val="en-US" w:eastAsia="zh-CN"/>
                <w14:textFill>
                  <w14:solidFill>
                    <w14:schemeClr w14:val="tx1"/>
                  </w14:solidFill>
                </w14:textFill>
              </w:rPr>
              <w:t>37</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投标人同类业绩情况</w:t>
            </w:r>
          </w:p>
        </w:tc>
        <w:tc>
          <w:tcPr>
            <w:tcW w:w="5907" w:type="dxa"/>
            <w:vAlign w:val="top"/>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（一）评分内容：</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投标人在本项目开标之日前与副省级以上城市（含计划单列市）签订</w:t>
            </w:r>
            <w:r>
              <w:rPr>
                <w:rFonts w:hint="eastAsia" w:ascii="宋体" w:hAnsi="宋体" w:eastAsia="宋体" w:cs="宋体"/>
                <w:color w:val="000000" w:themeColor="text1"/>
                <w:sz w:val="24"/>
                <w:szCs w:val="24"/>
                <w:lang w:val="en-US" w:eastAsia="zh-CN"/>
                <w14:textFill>
                  <w14:solidFill>
                    <w14:schemeClr w14:val="tx1"/>
                  </w14:solidFill>
                </w14:textFill>
              </w:rPr>
              <w:t>区级</w:t>
            </w:r>
            <w:r>
              <w:rPr>
                <w:rFonts w:hint="eastAsia" w:ascii="宋体" w:hAnsi="宋体" w:eastAsia="宋体" w:cs="宋体"/>
                <w:color w:val="000000" w:themeColor="text1"/>
                <w:sz w:val="24"/>
                <w:szCs w:val="24"/>
                <w14:textFill>
                  <w14:solidFill>
                    <w14:schemeClr w14:val="tx1"/>
                  </w14:solidFill>
                </w14:textFill>
              </w:rPr>
              <w:t>或以上（各区资格得分不累计）国库集中支付代理银行协议的得2分，该项满分为</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（二）评分依据：</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投标人提供相关证明资料加盖公章（如财政部门出具的证明书或政府采购实施机构出具的中标通知书或与财政部门签订的服务协议等）扫描件（原件备查）作为得分依据，协议涉及保密问题的，可以提供含协议名称、签署方、有效期等信息的关键页即可。评分中出现无证明资料或专家无法凭所提供资料判断是否得分的情况，一律作不得分处理。</w:t>
            </w:r>
          </w:p>
        </w:tc>
        <w:tc>
          <w:tcPr>
            <w:tcW w:w="901"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14</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总行不良贷款率</w:t>
            </w:r>
          </w:p>
        </w:tc>
        <w:tc>
          <w:tcPr>
            <w:tcW w:w="5907" w:type="dxa"/>
            <w:vAlign w:val="center"/>
          </w:tcPr>
          <w:p>
            <w:pPr>
              <w:numPr>
                <w:ilvl w:val="0"/>
                <w:numId w:val="0"/>
              </w:num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（一）评审标准：根据投标人2024年度总行不良贷款率进行评分。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很好（n≤1%）：得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较好（1%＜n≤2%）：得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一般（2%＜n≤3%）：得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差（n＞3%）：得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）证明文件：投标人须提供2024年度年报摘要复印件或扫描件，不提供或不能显示总行不良贷款率的不得分。</w:t>
            </w:r>
          </w:p>
        </w:tc>
        <w:tc>
          <w:tcPr>
            <w:tcW w:w="901"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总行拨备覆盖率</w:t>
            </w:r>
          </w:p>
        </w:tc>
        <w:tc>
          <w:tcPr>
            <w:tcW w:w="5907" w:type="dxa"/>
            <w:vAlign w:val="center"/>
          </w:tcPr>
          <w:p>
            <w:pPr>
              <w:numPr>
                <w:ilvl w:val="-1"/>
                <w:numId w:val="0"/>
              </w:num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（一）评审标准：根据投标人2024年度总行拨备覆盖率进行评分。</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很好（n≥180%）：得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较好（150%≤n＜180%）：得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一般（120%≤n＜150%）：得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较差（100%≤n＜120%）：得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wordWrap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很差（n＜100%）或不提供：不得分。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）证明文件：投标人须提供2024年度年报摘要复印件或扫描件，原件备查，不提供或不能显示总行拨备覆盖率的不得分。</w:t>
            </w:r>
          </w:p>
        </w:tc>
        <w:tc>
          <w:tcPr>
            <w:tcW w:w="901"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总行一级资本充足率</w:t>
            </w:r>
          </w:p>
        </w:tc>
        <w:tc>
          <w:tcPr>
            <w:tcW w:w="5907" w:type="dxa"/>
            <w:vAlign w:val="center"/>
          </w:tcPr>
          <w:p>
            <w:pPr>
              <w:numPr>
                <w:ilvl w:val="-1"/>
                <w:numId w:val="0"/>
              </w:num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（一）评审标准：根据投标人2024年度总行一级资本充足率进行评分。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很好（n≥18%）：得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较好（12%≤n＜18%）：得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一般（10%≤n＜12%）：得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差（n＜10%）：得</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）证明文件：投标人须提供2024年度年报摘要复印件或扫描件，原件备查，不提供或不能显示总行资本一级充足率的不得分。</w:t>
            </w:r>
          </w:p>
        </w:tc>
        <w:tc>
          <w:tcPr>
            <w:tcW w:w="901"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诚信声明与承诺</w:t>
            </w:r>
          </w:p>
        </w:tc>
        <w:tc>
          <w:tcPr>
            <w:tcW w:w="5907" w:type="dxa"/>
            <w:vAlign w:val="center"/>
          </w:tcPr>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r>
              <w:rPr>
                <w:rFonts w:hint="eastAsia" w:ascii="宋体" w:hAnsi="宋体" w:cs="宋体"/>
                <w:color w:val="000000" w:themeColor="text1"/>
                <w:sz w:val="24"/>
                <w:lang w:eastAsia="zh-CN"/>
                <w14:textFill>
                  <w14:solidFill>
                    <w14:schemeClr w14:val="tx1"/>
                  </w14:solidFill>
                </w14:textFill>
              </w:rPr>
              <w:t>：</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1、投标人提供诚信声明与承诺加盖公章；</w:t>
            </w:r>
          </w:p>
          <w:p>
            <w:pPr>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2、采购代理机构通过信用信息查询渠道，包括“信用中国”（www.creditchina.gov.cn）、“中国政府采购网”（www.ccgp.gov.cn）、“深圳市政府采购监管网”（http</w:t>
            </w:r>
            <w:bookmarkStart w:id="69" w:name="_GoBack"/>
            <w:bookmarkEnd w:id="69"/>
            <w:r>
              <w:rPr>
                <w:rFonts w:hint="eastAsia" w:ascii="宋体" w:hAnsi="宋体" w:cs="宋体"/>
                <w:color w:val="000000" w:themeColor="text1"/>
                <w:kern w:val="0"/>
                <w:sz w:val="24"/>
                <w:lang w:val="zh-CN"/>
                <w14:textFill>
                  <w14:solidFill>
                    <w14:schemeClr w14:val="tx1"/>
                  </w14:solidFill>
                </w14:textFill>
              </w:rPr>
              <w:t>://zfcg.sz.gov.cn）以及市、区财政部门认定的其他渠道查询供应商信用信息</w:t>
            </w:r>
            <w:r>
              <w:rPr>
                <w:rFonts w:hint="eastAsia" w:ascii="宋体" w:hAnsi="宋体" w:cs="宋体"/>
                <w:color w:val="000000" w:themeColor="text1"/>
                <w:sz w:val="24"/>
                <w14:textFill>
                  <w14:solidFill>
                    <w14:schemeClr w14:val="tx1"/>
                  </w14:solidFill>
                </w14:textFill>
              </w:rPr>
              <w:t>。</w:t>
            </w:r>
          </w:p>
        </w:tc>
        <w:tc>
          <w:tcPr>
            <w:tcW w:w="901" w:type="dxa"/>
            <w:vAlign w:val="center"/>
          </w:tcPr>
          <w:p>
            <w:pPr>
              <w:spacing w:line="36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079" w:type="dxa"/>
            <w:vAlign w:val="center"/>
          </w:tcPr>
          <w:p>
            <w:pPr>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三、技术部分（</w:t>
            </w:r>
            <w:r>
              <w:rPr>
                <w:rFonts w:hint="eastAsia" w:ascii="宋体" w:hAnsi="宋体" w:cs="宋体"/>
                <w:b/>
                <w:color w:val="000000" w:themeColor="text1"/>
                <w:sz w:val="24"/>
                <w:lang w:val="en-US" w:eastAsia="zh-CN"/>
                <w14:textFill>
                  <w14:solidFill>
                    <w14:schemeClr w14:val="tx1"/>
                  </w14:solidFill>
                </w14:textFill>
              </w:rPr>
              <w:t>53</w:t>
            </w:r>
            <w:r>
              <w:rPr>
                <w:rFonts w:hint="eastAsia" w:ascii="宋体" w:hAnsi="宋体" w:cs="宋体"/>
                <w:b/>
                <w:color w:val="000000" w:themeColor="text1"/>
                <w:sz w:val="24"/>
                <w:lang w:val="zh-CN"/>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序号</w:t>
            </w:r>
          </w:p>
        </w:tc>
        <w:tc>
          <w:tcPr>
            <w:tcW w:w="1168"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内容</w:t>
            </w:r>
          </w:p>
        </w:tc>
        <w:tc>
          <w:tcPr>
            <w:tcW w:w="5907"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评分规则</w:t>
            </w:r>
          </w:p>
        </w:tc>
        <w:tc>
          <w:tcPr>
            <w:tcW w:w="901"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权重</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实施方案</w:t>
            </w:r>
          </w:p>
        </w:tc>
        <w:tc>
          <w:tcPr>
            <w:tcW w:w="5907" w:type="dxa"/>
            <w:vAlign w:val="center"/>
          </w:tcPr>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（一）评审内容：</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根据投标文件里实施方案的判断情况比较得分：</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1.是否符合国库集中支付制度的基本规范；</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2.是否能够体现深圳市特色、抓住要点、流程表述；</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3.代理银行职责定位</w:t>
            </w:r>
            <w:r>
              <w:rPr>
                <w:rFonts w:hint="eastAsia" w:ascii="宋体" w:hAnsi="宋体" w:eastAsia="宋体" w:cs="宋体"/>
                <w:color w:val="000000" w:themeColor="text1"/>
                <w:sz w:val="24"/>
                <w:szCs w:val="24"/>
                <w:lang w:val="zh-CN"/>
                <w14:textFill>
                  <w14:solidFill>
                    <w14:schemeClr w14:val="tx1"/>
                  </w14:solidFill>
                </w14:textFill>
              </w:rPr>
              <w:t>；</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4.深圳市金财工程和智慧财政的整体规划</w:t>
            </w:r>
            <w:r>
              <w:rPr>
                <w:rFonts w:hint="eastAsia" w:ascii="宋体" w:hAnsi="宋体" w:eastAsia="宋体" w:cs="宋体"/>
                <w:color w:val="000000" w:themeColor="text1"/>
                <w:sz w:val="24"/>
                <w:szCs w:val="24"/>
                <w:lang w:eastAsia="zh-CN"/>
                <w14:textFill>
                  <w14:solidFill>
                    <w14:schemeClr w14:val="tx1"/>
                  </w14:solidFill>
                </w14:textFill>
              </w:rPr>
              <w:t>。</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（二）评审标准：</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投标文件包含以上</w:t>
            </w:r>
            <w:r>
              <w:rPr>
                <w:rFonts w:hint="eastAsia" w:ascii="宋体" w:hAnsi="宋体" w:eastAsia="宋体" w:cs="宋体"/>
                <w:color w:val="000000" w:themeColor="text1"/>
                <w:sz w:val="24"/>
                <w:szCs w:val="24"/>
                <w14:textFill>
                  <w14:solidFill>
                    <w14:schemeClr w14:val="tx1"/>
                  </w14:solidFill>
                </w14:textFill>
              </w:rPr>
              <w:t>四</w:t>
            </w:r>
            <w:r>
              <w:rPr>
                <w:rFonts w:hint="eastAsia" w:ascii="宋体" w:hAnsi="宋体" w:eastAsia="宋体" w:cs="宋体"/>
                <w:color w:val="000000" w:themeColor="text1"/>
                <w:sz w:val="24"/>
                <w:szCs w:val="24"/>
                <w:lang w:val="zh-CN"/>
                <w14:textFill>
                  <w14:solidFill>
                    <w14:schemeClr w14:val="tx1"/>
                  </w14:solidFill>
                </w14:textFill>
              </w:rPr>
              <w:t>点得</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分，满足任意</w:t>
            </w: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zh-CN"/>
                <w14:textFill>
                  <w14:solidFill>
                    <w14:schemeClr w14:val="tx1"/>
                  </w14:solidFill>
                </w14:textFill>
              </w:rPr>
              <w:t>点得</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lang w:val="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均</w:t>
            </w:r>
            <w:r>
              <w:rPr>
                <w:rFonts w:hint="eastAsia" w:ascii="宋体" w:hAnsi="宋体" w:eastAsia="宋体" w:cs="宋体"/>
                <w:color w:val="000000" w:themeColor="text1"/>
                <w:sz w:val="24"/>
                <w:szCs w:val="24"/>
                <w:lang w:val="zh-CN"/>
                <w14:textFill>
                  <w14:solidFill>
                    <w14:schemeClr w14:val="tx1"/>
                  </w14:solidFill>
                </w14:textFill>
              </w:rPr>
              <w:t>未满足不得分。</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在此基础上，专家根据各供应商的具体响应内容进一步评审：</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1.提供完整的项目实施方案，措施得力，方法有效，符合国库集中支付制度基本规范、能够</w:t>
            </w:r>
            <w:r>
              <w:rPr>
                <w:rFonts w:hint="eastAsia" w:ascii="宋体" w:hAnsi="宋体" w:eastAsia="宋体" w:cs="宋体"/>
                <w:color w:val="000000" w:themeColor="text1"/>
                <w:sz w:val="24"/>
                <w:szCs w:val="24"/>
                <w14:textFill>
                  <w14:solidFill>
                    <w14:schemeClr w14:val="tx1"/>
                  </w14:solidFill>
                </w14:textFill>
              </w:rPr>
              <w:t>很好</w:t>
            </w:r>
            <w:r>
              <w:rPr>
                <w:rFonts w:hint="eastAsia" w:ascii="宋体" w:hAnsi="宋体" w:eastAsia="宋体" w:cs="宋体"/>
                <w:color w:val="000000" w:themeColor="text1"/>
                <w:sz w:val="24"/>
                <w:szCs w:val="24"/>
                <w:lang w:val="zh-CN"/>
                <w14:textFill>
                  <w14:solidFill>
                    <w14:schemeClr w14:val="tx1"/>
                  </w14:solidFill>
                </w14:textFill>
              </w:rPr>
              <w:t>体现深圳市特色、抓住要点、流程表述清晰、代理银行职责定位准确、符合深圳市金财工程和智慧财政的整体规划的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为优</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5分</w:t>
            </w:r>
            <w:r>
              <w:rPr>
                <w:rFonts w:hint="eastAsia" w:ascii="宋体" w:hAnsi="宋体" w:eastAsia="宋体" w:cs="宋体"/>
                <w:color w:val="000000" w:themeColor="text1"/>
                <w:sz w:val="24"/>
                <w:szCs w:val="24"/>
                <w:lang w:val="zh-CN"/>
                <w14:textFill>
                  <w14:solidFill>
                    <w14:schemeClr w14:val="tx1"/>
                  </w14:solidFill>
                </w14:textFill>
              </w:rPr>
              <w:t>；</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2.提供较为完整的项目实施方案，措施较得力，方法没有明显错误，符合国库集中支付制度基本规范、能够</w:t>
            </w:r>
            <w:r>
              <w:rPr>
                <w:rFonts w:hint="eastAsia" w:ascii="宋体" w:hAnsi="宋体" w:eastAsia="宋体" w:cs="宋体"/>
                <w:color w:val="000000" w:themeColor="text1"/>
                <w:sz w:val="24"/>
                <w:szCs w:val="24"/>
                <w14:textFill>
                  <w14:solidFill>
                    <w14:schemeClr w14:val="tx1"/>
                  </w14:solidFill>
                </w14:textFill>
              </w:rPr>
              <w:t>较好</w:t>
            </w:r>
            <w:r>
              <w:rPr>
                <w:rFonts w:hint="eastAsia" w:ascii="宋体" w:hAnsi="宋体" w:eastAsia="宋体" w:cs="宋体"/>
                <w:color w:val="000000" w:themeColor="text1"/>
                <w:sz w:val="24"/>
                <w:szCs w:val="24"/>
                <w:lang w:val="zh-CN"/>
                <w14:textFill>
                  <w14:solidFill>
                    <w14:schemeClr w14:val="tx1"/>
                  </w14:solidFill>
                </w14:textFill>
              </w:rPr>
              <w:t>体现深圳市特色、要点和流程表述清晰、职责定位基本准确、符合深圳市金财工程和智慧财政的整体规划的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为良</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3分</w:t>
            </w:r>
            <w:r>
              <w:rPr>
                <w:rFonts w:hint="eastAsia" w:ascii="宋体" w:hAnsi="宋体" w:eastAsia="宋体" w:cs="宋体"/>
                <w:color w:val="000000" w:themeColor="text1"/>
                <w:sz w:val="24"/>
                <w:szCs w:val="24"/>
                <w:lang w:val="zh-CN"/>
                <w14:textFill>
                  <w14:solidFill>
                    <w14:schemeClr w14:val="tx1"/>
                  </w14:solidFill>
                </w14:textFill>
              </w:rPr>
              <w:t>；</w:t>
            </w:r>
          </w:p>
          <w:p>
            <w:pPr>
              <w:pStyle w:val="31"/>
              <w:widowControl/>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提供较为完整的项目实施方案，措施和方法一般，基本符合国库集中支付制度基本规范、部分体现深圳市特色、要点和流程表述较为清晰、职责定位基本准确但有偏差、基本符合深圳市金财工程和智慧财政的整体规划的</w:t>
            </w:r>
            <w:r>
              <w:rPr>
                <w:rFonts w:hint="eastAsia" w:ascii="宋体" w:hAnsi="宋体" w:eastAsia="宋体" w:cs="宋体"/>
                <w:color w:val="000000" w:themeColor="text1"/>
                <w:sz w:val="24"/>
                <w:szCs w:val="24"/>
                <w14:textFill>
                  <w14:solidFill>
                    <w14:schemeClr w14:val="tx1"/>
                  </w14:solidFill>
                </w14:textFill>
              </w:rPr>
              <w:t>为中</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1分</w:t>
            </w:r>
            <w:r>
              <w:rPr>
                <w:rFonts w:hint="eastAsia" w:ascii="宋体" w:hAnsi="宋体" w:eastAsia="宋体" w:cs="宋体"/>
                <w:color w:val="000000" w:themeColor="text1"/>
                <w:sz w:val="24"/>
                <w:szCs w:val="24"/>
                <w:lang w:val="zh-CN"/>
                <w14:textFill>
                  <w14:solidFill>
                    <w14:schemeClr w14:val="tx1"/>
                  </w14:solidFill>
                </w14:textFill>
              </w:rPr>
              <w:t>；</w:t>
            </w:r>
          </w:p>
          <w:p>
            <w:pPr>
              <w:pStyle w:val="31"/>
              <w:widowControl/>
              <w:shd w:val="clear" w:color="auto" w:fill="FFFFFF"/>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4.项目实施方案，措施和方法出现明显错误，对符合国库集中支付制度基本规范理解错误、要点和流程表述不清晰、职责定位不准确、偏离深圳市金财工程和智慧财政整体规划的</w:t>
            </w:r>
            <w:r>
              <w:rPr>
                <w:rFonts w:hint="eastAsia" w:ascii="宋体" w:hAnsi="宋体" w:eastAsia="宋体" w:cs="宋体"/>
                <w:color w:val="000000" w:themeColor="text1"/>
                <w:sz w:val="24"/>
                <w:szCs w:val="24"/>
                <w14:textFill>
                  <w14:solidFill>
                    <w14:schemeClr w14:val="tx1"/>
                  </w14:solidFill>
                </w14:textFill>
              </w:rPr>
              <w:t>为差</w:t>
            </w:r>
            <w:r>
              <w:rPr>
                <w:rFonts w:hint="eastAsia" w:ascii="宋体" w:hAnsi="宋体" w:eastAsia="宋体" w:cs="宋体"/>
                <w:color w:val="000000" w:themeColor="text1"/>
                <w:sz w:val="24"/>
                <w:szCs w:val="24"/>
                <w:lang w:eastAsia="zh-CN"/>
                <w14:textFill>
                  <w14:solidFill>
                    <w14:schemeClr w14:val="tx1"/>
                  </w14:solidFill>
                </w14:textFill>
              </w:rPr>
              <w:t>，不得分</w:t>
            </w:r>
            <w:r>
              <w:rPr>
                <w:rFonts w:hint="eastAsia" w:ascii="宋体" w:hAnsi="宋体" w:eastAsia="宋体" w:cs="宋体"/>
                <w:color w:val="000000" w:themeColor="text1"/>
                <w:sz w:val="24"/>
                <w:szCs w:val="24"/>
                <w:lang w:val="zh-CN"/>
                <w14:textFill>
                  <w14:solidFill>
                    <w14:schemeClr w14:val="tx1"/>
                  </w14:solidFill>
                </w14:textFill>
              </w:rPr>
              <w:t>。</w:t>
            </w:r>
          </w:p>
        </w:tc>
        <w:tc>
          <w:tcPr>
            <w:tcW w:w="90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系统建设投入方案</w:t>
            </w:r>
          </w:p>
        </w:tc>
        <w:tc>
          <w:tcPr>
            <w:tcW w:w="5907" w:type="dxa"/>
            <w:vAlign w:val="center"/>
          </w:tcPr>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（一）评审标准</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提供系统建设投入方案包括以下内容：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相关系统功能开发（包括基础数据管理、接收支付额度信息、财政零余额支付、预算单位零余额支付、对账要求、异常处理）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2.技术要求（包括与智慧财政系统互联互通、零余额账户资金动态监测功能、资金汇划系统、异常处理）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3.系统、网络异常和安全应急方案</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（二）证明文件</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1.考察以上方案，每满足一个方面内容得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分，全部满足得</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2.在此基础上，专家根据各供应商的具体响应内容按照量化的评审因素指标进一步评审：</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①评审为优（提供完整系统建设投入方案的）的，</w:t>
            </w:r>
            <w:r>
              <w:rPr>
                <w:rFonts w:hint="eastAsia" w:ascii="宋体" w:hAnsi="宋体" w:eastAsia="宋体" w:cs="宋体"/>
                <w:color w:val="000000" w:themeColor="text1"/>
                <w:sz w:val="24"/>
                <w:szCs w:val="24"/>
                <w:lang w:eastAsia="zh-CN"/>
                <w14:textFill>
                  <w14:solidFill>
                    <w14:schemeClr w14:val="tx1"/>
                  </w14:solidFill>
                </w14:textFill>
              </w:rPr>
              <w:t>得3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②评审为良（提供较为完整系统建设投入方案）的，</w:t>
            </w:r>
            <w:r>
              <w:rPr>
                <w:rFonts w:hint="eastAsia" w:ascii="宋体" w:hAnsi="宋体" w:eastAsia="宋体" w:cs="宋体"/>
                <w:color w:val="000000" w:themeColor="text1"/>
                <w:sz w:val="24"/>
                <w:szCs w:val="24"/>
                <w:lang w:eastAsia="zh-CN"/>
                <w14:textFill>
                  <w14:solidFill>
                    <w14:schemeClr w14:val="tx1"/>
                  </w14:solidFill>
                </w14:textFill>
              </w:rPr>
              <w:t>得2</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③评审为中（提供的系统建设投入方案一般）的，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④评审为差（未提供系统建设投入方案或投入方案不合理）的，不</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⑤如评审为差，评审专家须书面说明理由，并记录在档。</w:t>
            </w:r>
          </w:p>
        </w:tc>
        <w:tc>
          <w:tcPr>
            <w:tcW w:w="90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服务方案</w:t>
            </w:r>
          </w:p>
        </w:tc>
        <w:tc>
          <w:tcPr>
            <w:tcW w:w="5907" w:type="dxa"/>
            <w:vAlign w:val="center"/>
          </w:tcPr>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评审标准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提供服务方案包括以下内容：</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1.建立健全内部控制制度；</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2.对营业网点的业务指导和管理监督；</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3.代理银行的服务体系；</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4.保密管理规定；</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5.对账单和报表送达服务时间；</w:t>
            </w:r>
          </w:p>
          <w:p>
            <w:pPr>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6.服务本项目的人员管理（包括人员配置、职责、交接等）</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证明文件</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1.考察以上方案，每满足一个方面内容得1分，全部满足得</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2.在此基础上，专家根据各供应商的具体响应内容按照量化的评审因素指标进一步评审：</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①评审为优（提供完整服务方案的）的，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②评审为良（提供较为完整的服务方案）的，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③评审为中（提供的服务方案一般）的，</w:t>
            </w:r>
            <w:r>
              <w:rPr>
                <w:rFonts w:hint="eastAsia" w:ascii="宋体" w:hAnsi="宋体" w:eastAsia="宋体" w:cs="宋体"/>
                <w:color w:val="000000" w:themeColor="text1"/>
                <w:sz w:val="24"/>
                <w:szCs w:val="24"/>
                <w:lang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④评审为差（未提供服务方案或提供的方案不合理）的，不加分</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⑤如评审为差，评审专家须书面说明理由，并记录在档。</w:t>
            </w:r>
          </w:p>
        </w:tc>
        <w:tc>
          <w:tcPr>
            <w:tcW w:w="901" w:type="dxa"/>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便利化服务</w:t>
            </w:r>
          </w:p>
        </w:tc>
        <w:tc>
          <w:tcPr>
            <w:tcW w:w="5907" w:type="dxa"/>
            <w:vAlign w:val="center"/>
          </w:tcPr>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 xml:space="preserve">评审标准： </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本项目投标截止之日前，投标人在</w:t>
            </w:r>
            <w:r>
              <w:rPr>
                <w:rFonts w:hint="eastAsia" w:ascii="宋体" w:hAnsi="宋体" w:eastAsia="宋体" w:cs="宋体"/>
                <w:color w:val="000000" w:themeColor="text1"/>
                <w:sz w:val="24"/>
                <w:szCs w:val="24"/>
                <w:lang w:eastAsia="zh-CN"/>
                <w14:textFill>
                  <w14:solidFill>
                    <w14:schemeClr w14:val="tx1"/>
                  </w14:solidFill>
                </w14:textFill>
              </w:rPr>
              <w:t>前海合作</w:t>
            </w:r>
            <w:r>
              <w:rPr>
                <w:rFonts w:hint="eastAsia" w:ascii="宋体" w:hAnsi="宋体" w:eastAsia="宋体" w:cs="宋体"/>
                <w:color w:val="000000" w:themeColor="text1"/>
                <w:sz w:val="24"/>
                <w:szCs w:val="24"/>
                <w14:textFill>
                  <w14:solidFill>
                    <w14:schemeClr w14:val="tx1"/>
                  </w14:solidFill>
                </w14:textFill>
              </w:rPr>
              <w:t>区有合法注册的营业网点（不含社区银行网点和自助柜员机网点）</w:t>
            </w:r>
            <w:r>
              <w:rPr>
                <w:rFonts w:hint="eastAsia" w:ascii="宋体" w:hAnsi="宋体" w:eastAsia="宋体" w:cs="宋体"/>
                <w:color w:val="000000" w:themeColor="text1"/>
                <w:sz w:val="24"/>
                <w:szCs w:val="24"/>
                <w:lang w:eastAsia="zh-CN"/>
                <w14:textFill>
                  <w14:solidFill>
                    <w14:schemeClr w14:val="tx1"/>
                  </w14:solidFill>
                </w14:textFill>
              </w:rPr>
              <w:t>，且承诺在接到采购人通知后</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分钟(含)内到深圳市前海深港现代服务业合作区管理局响应采购人服务需求</w:t>
            </w:r>
            <w:r>
              <w:rPr>
                <w:rFonts w:hint="eastAsia" w:ascii="宋体" w:hAnsi="宋体" w:eastAsia="宋体" w:cs="宋体"/>
                <w:color w:val="000000" w:themeColor="text1"/>
                <w:sz w:val="24"/>
                <w:szCs w:val="24"/>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，其它情况不得分。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证明文件： </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投标人须在投标文件中就</w:t>
            </w:r>
            <w:r>
              <w:rPr>
                <w:rFonts w:hint="eastAsia" w:ascii="宋体" w:hAnsi="宋体" w:eastAsia="宋体" w:cs="宋体"/>
                <w:color w:val="000000" w:themeColor="text1"/>
                <w:sz w:val="24"/>
                <w:szCs w:val="24"/>
                <w:lang w:eastAsia="zh-CN"/>
                <w14:textFill>
                  <w14:solidFill>
                    <w14:schemeClr w14:val="tx1"/>
                  </w14:solidFill>
                </w14:textFill>
              </w:rPr>
              <w:t>前海合作区</w:t>
            </w:r>
            <w:r>
              <w:rPr>
                <w:rFonts w:hint="eastAsia" w:ascii="宋体" w:hAnsi="宋体" w:eastAsia="宋体" w:cs="宋体"/>
                <w:color w:val="000000" w:themeColor="text1"/>
                <w:sz w:val="24"/>
                <w:szCs w:val="24"/>
                <w14:textFill>
                  <w14:solidFill>
                    <w14:schemeClr w14:val="tx1"/>
                  </w14:solidFill>
                </w14:textFill>
              </w:rPr>
              <w:t>内</w:t>
            </w:r>
            <w:r>
              <w:rPr>
                <w:rFonts w:hint="eastAsia" w:ascii="宋体" w:hAnsi="宋体" w:eastAsia="宋体" w:cs="宋体"/>
                <w:color w:val="000000" w:themeColor="text1"/>
                <w:sz w:val="24"/>
                <w:szCs w:val="24"/>
                <w:lang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营业网点进行说明，提供营业网点列表扫描件，原件备查。提供服务响应时间承诺(格式自定)作为证明材料，不提供、不符合、不清晰不得分。</w:t>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备注：评分中出现无证明资料或专家无法凭所提供资料判断是否得分的情况，一律作不得分处理。</w:t>
            </w:r>
          </w:p>
        </w:tc>
        <w:tc>
          <w:tcPr>
            <w:tcW w:w="901" w:type="dxa"/>
            <w:vAlign w:val="center"/>
          </w:tcPr>
          <w:p>
            <w:pPr>
              <w:wordWrap w:val="0"/>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p>
        </w:tc>
        <w:tc>
          <w:tcPr>
            <w:tcW w:w="1168" w:type="dxa"/>
            <w:vAlign w:val="center"/>
          </w:tcPr>
          <w:p>
            <w:pPr>
              <w:autoSpaceDE w:val="0"/>
              <w:autoSpaceDN w:val="0"/>
              <w:adjustRightInd w:val="0"/>
              <w:spacing w:line="360" w:lineRule="auto"/>
              <w:jc w:val="center"/>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拟派项目团队成员情况</w:t>
            </w:r>
          </w:p>
        </w:tc>
        <w:tc>
          <w:tcPr>
            <w:tcW w:w="5907" w:type="dxa"/>
            <w:vAlign w:val="top"/>
          </w:tcPr>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评审标准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投标人需为本项目安排 5 名（含）以上项目团队成员。在满足上述条件的基础上，</w:t>
            </w:r>
            <w:r>
              <w:rPr>
                <w:rFonts w:hint="eastAsia" w:ascii="宋体" w:hAnsi="宋体" w:eastAsia="宋体" w:cs="宋体"/>
                <w:color w:val="000000" w:themeColor="text1"/>
                <w:sz w:val="24"/>
                <w:szCs w:val="24"/>
                <w:lang w:eastAsia="zh-CN"/>
                <w14:textFill>
                  <w14:solidFill>
                    <w14:schemeClr w14:val="tx1"/>
                  </w14:solidFill>
                </w14:textFill>
              </w:rPr>
              <w:t>选派</w:t>
            </w:r>
            <w:r>
              <w:rPr>
                <w:rFonts w:hint="eastAsia" w:ascii="宋体" w:hAnsi="宋体" w:eastAsia="宋体" w:cs="宋体"/>
                <w:color w:val="000000" w:themeColor="text1"/>
                <w:sz w:val="24"/>
                <w:szCs w:val="24"/>
                <w:lang w:val="en-US" w:eastAsia="zh-CN"/>
                <w14:textFill>
                  <w14:solidFill>
                    <w14:schemeClr w14:val="tx1"/>
                  </w14:solidFill>
                </w14:textFill>
              </w:rPr>
              <w:t>1人专职提供驻点服务。</w:t>
            </w:r>
            <w:r>
              <w:rPr>
                <w:rFonts w:hint="eastAsia" w:ascii="宋体" w:hAnsi="宋体" w:eastAsia="宋体" w:cs="宋体"/>
                <w:color w:val="000000" w:themeColor="text1"/>
                <w:sz w:val="24"/>
                <w:szCs w:val="24"/>
                <w14:textFill>
                  <w14:solidFill>
                    <w14:schemeClr w14:val="tx1"/>
                  </w14:solidFill>
                </w14:textFill>
              </w:rPr>
              <w:t>按以下规则评分：</w:t>
            </w:r>
          </w:p>
          <w:p>
            <w:pPr>
              <w:wordWrap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团队中每具有一个本科（或以上）学历且专业为经济（或金融或计算机或会计专业类别）的成员得1分，本项最高得</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选派</w:t>
            </w:r>
            <w:r>
              <w:rPr>
                <w:rFonts w:hint="eastAsia" w:ascii="宋体" w:hAnsi="宋体" w:eastAsia="宋体" w:cs="宋体"/>
                <w:color w:val="000000" w:themeColor="text1"/>
                <w:sz w:val="24"/>
                <w:szCs w:val="24"/>
                <w:lang w:val="en-US" w:eastAsia="zh-CN"/>
                <w14:textFill>
                  <w14:solidFill>
                    <w14:schemeClr w14:val="tx1"/>
                  </w14:solidFill>
                </w14:textFill>
              </w:rPr>
              <w:t>1人专职驻点</w:t>
            </w:r>
            <w:r>
              <w:rPr>
                <w:rFonts w:hint="eastAsia" w:ascii="宋体" w:hAnsi="宋体" w:cs="宋体"/>
                <w:color w:val="000000" w:themeColor="text1"/>
                <w:sz w:val="24"/>
                <w:szCs w:val="24"/>
                <w:lang w:val="en-US"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3分，最高</w:t>
            </w:r>
            <w:r>
              <w:rPr>
                <w:rFonts w:hint="eastAsia" w:ascii="宋体" w:hAnsi="宋体" w:cs="宋体"/>
                <w:color w:val="000000" w:themeColor="text1"/>
                <w:sz w:val="24"/>
                <w:szCs w:val="24"/>
                <w:lang w:val="en-US" w:eastAsia="zh-CN"/>
                <w14:textFill>
                  <w14:solidFill>
                    <w14:schemeClr w14:val="tx1"/>
                  </w14:solidFill>
                </w14:textFill>
              </w:rPr>
              <w:t>得</w:t>
            </w:r>
            <w:r>
              <w:rPr>
                <w:rFonts w:hint="eastAsia" w:ascii="宋体" w:hAnsi="宋体" w:eastAsia="宋体" w:cs="宋体"/>
                <w:color w:val="000000" w:themeColor="text1"/>
                <w:sz w:val="24"/>
                <w:szCs w:val="24"/>
                <w:lang w:val="en-US" w:eastAsia="zh-CN"/>
                <w14:textFill>
                  <w14:solidFill>
                    <w14:schemeClr w14:val="tx1"/>
                  </w14:solidFill>
                </w14:textFill>
              </w:rPr>
              <w:t>3分。</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二</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证明文件：</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项目团队人员均须为投标人自有员工，投标时须提供投标人近三个月任意一个月为拟投入的项目团队人员缴交的社保证明</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及劳动合同</w:t>
            </w:r>
            <w:r>
              <w:rPr>
                <w:rFonts w:hint="eastAsia" w:ascii="宋体" w:hAnsi="宋体" w:eastAsia="宋体" w:cs="宋体"/>
                <w:color w:val="000000" w:themeColor="text1"/>
                <w:sz w:val="24"/>
                <w:szCs w:val="24"/>
                <w14:textFill>
                  <w14:solidFill>
                    <w14:schemeClr w14:val="tx1"/>
                  </w14:solidFill>
                </w14:textFill>
              </w:rPr>
              <w:t>，如投标人注册成立时间不足1个月的，可提供承诺函证明拟投入的项目团队人员为其自有员工（格式自拟），否则投入的该人员作不得分处理。本项目不接受退休返聘人员。</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历证明：学历证明需提供毕业证书复印件或扫描件及学信网查询截图，原件备查。对于较早颁发的毕业证书，学信网无法查询的，除要求提供证书复印件或扫描件，需要提供其他佐证材料（如毕业院校、人社部门等颁发机构或监管机构等单位出具的证明）作为可以得分的依据。（若为境外留学学历，无需提供学信网查询记录，需提供教育部留学服务中心出具的学历学位认证书）。</w:t>
            </w:r>
          </w:p>
          <w:p>
            <w:pPr>
              <w:wordWrap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以上资料均要求提供复印件或扫描件，原件备查。评分中出现无证明资料或专家无法凭所提供资料判断是否得分的情况，一律作不得分处理。</w:t>
            </w:r>
          </w:p>
        </w:tc>
        <w:tc>
          <w:tcPr>
            <w:tcW w:w="901" w:type="dxa"/>
            <w:vAlign w:val="center"/>
          </w:tcPr>
          <w:p>
            <w:pPr>
              <w:spacing w:line="360"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079" w:type="dxa"/>
            <w:vAlign w:val="center"/>
          </w:tcPr>
          <w:p>
            <w:pPr>
              <w:autoSpaceDE w:val="0"/>
              <w:autoSpaceDN w:val="0"/>
              <w:adjustRightInd w:val="0"/>
              <w:spacing w:line="360" w:lineRule="auto"/>
              <w:jc w:val="center"/>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评审委员打分</w:t>
            </w:r>
          </w:p>
        </w:tc>
      </w:tr>
    </w:tbl>
    <w:p>
      <w:pPr>
        <w:pStyle w:val="3"/>
        <w:rPr>
          <w:color w:val="000000" w:themeColor="text1"/>
          <w:lang w:val="fr-CH"/>
          <w14:textFill>
            <w14:solidFill>
              <w14:schemeClr w14:val="tx1"/>
            </w14:solidFill>
          </w14:textFill>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000000" w:themeColor="text1"/>
          <w:sz w:val="24"/>
          <w14:textFill>
            <w14:solidFill>
              <w14:schemeClr w14:val="tx1"/>
            </w14:solidFill>
          </w14:textFill>
        </w:rPr>
      </w:pPr>
      <w:bookmarkStart w:id="56" w:name="_Toc9548"/>
      <w:bookmarkStart w:id="57" w:name="_Hlk28269117"/>
      <w:r>
        <w:rPr>
          <w:rFonts w:hint="eastAsia" w:ascii="宋体" w:hAnsi="宋体" w:cs="宋体"/>
          <w:b/>
          <w:bCs/>
          <w:color w:val="000000" w:themeColor="text1"/>
          <w:sz w:val="24"/>
          <w14:textFill>
            <w14:solidFill>
              <w14:schemeClr w14:val="tx1"/>
            </w14:solidFill>
          </w14:textFill>
        </w:rPr>
        <w:t>第七章 附件（投标文件格式）</w:t>
      </w:r>
      <w:bookmarkEnd w:id="56"/>
    </w:p>
    <w:p>
      <w:pPr>
        <w:keepNext/>
        <w:keepLines/>
        <w:spacing w:before="260" w:after="260" w:line="440" w:lineRule="exact"/>
        <w:jc w:val="center"/>
        <w:outlineLvl w:val="1"/>
        <w:rPr>
          <w:rFonts w:hint="eastAsia" w:ascii="宋体" w:hAnsi="宋体" w:cs="宋体"/>
          <w:b/>
          <w:bCs/>
          <w:color w:val="000000" w:themeColor="text1"/>
          <w:sz w:val="24"/>
          <w14:textFill>
            <w14:solidFill>
              <w14:schemeClr w14:val="tx1"/>
            </w14:solidFill>
          </w14:textFill>
        </w:rPr>
      </w:pPr>
      <w:bookmarkStart w:id="58" w:name="_Toc31827"/>
      <w:bookmarkStart w:id="59" w:name="_Toc6548"/>
      <w:bookmarkStart w:id="60" w:name="_Toc19494"/>
      <w:bookmarkStart w:id="61" w:name="_Toc5116"/>
      <w:r>
        <w:rPr>
          <w:rFonts w:hint="eastAsia" w:ascii="宋体" w:hAnsi="宋体" w:cs="宋体"/>
          <w:b/>
          <w:bCs/>
          <w:color w:val="000000" w:themeColor="text1"/>
          <w:sz w:val="24"/>
          <w14:textFill>
            <w14:solidFill>
              <w14:schemeClr w14:val="tx1"/>
            </w14:solidFill>
          </w14:textFill>
        </w:rPr>
        <w:t>1、投标文件密封袋/封面参考</w:t>
      </w:r>
      <w:bookmarkEnd w:id="58"/>
      <w:bookmarkEnd w:id="59"/>
      <w:bookmarkEnd w:id="60"/>
      <w:bookmarkEnd w:id="61"/>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p>
          <w:p>
            <w:pPr>
              <w:pStyle w:val="2"/>
              <w:tabs>
                <w:tab w:val="left" w:pos="562"/>
                <w:tab w:val="left" w:pos="3372"/>
                <w:tab w:val="left" w:pos="3653"/>
              </w:tabs>
              <w:spacing w:line="360" w:lineRule="auto"/>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投 标 文 件</w:t>
            </w:r>
          </w:p>
          <w:p>
            <w:pPr>
              <w:pStyle w:val="2"/>
              <w:tabs>
                <w:tab w:val="left" w:pos="562"/>
                <w:tab w:val="left" w:pos="3372"/>
                <w:tab w:val="left" w:pos="3653"/>
              </w:tabs>
              <w:spacing w:line="360" w:lineRule="auto"/>
              <w:jc w:val="center"/>
              <w:rPr>
                <w:rFonts w:ascii="黑体" w:eastAsia="黑体"/>
                <w:b/>
                <w:strike/>
                <w:color w:val="000000" w:themeColor="text1"/>
                <w:sz w:val="32"/>
                <w14:textFill>
                  <w14:solidFill>
                    <w14:schemeClr w14:val="tx1"/>
                  </w14:solidFill>
                </w14:textFill>
              </w:rPr>
            </w:pP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正本</w:t>
            </w:r>
          </w:p>
          <w:p>
            <w:pPr>
              <w:spacing w:after="120" w:line="360" w:lineRule="auto"/>
              <w:ind w:firstLine="3385" w:firstLineChars="651"/>
              <w:textAlignment w:val="baseline"/>
              <w:rPr>
                <w:rFonts w:ascii="黑体" w:eastAsia="黑体"/>
                <w:color w:val="000000" w:themeColor="text1"/>
                <w:sz w:val="32"/>
                <w14:textFill>
                  <w14:solidFill>
                    <w14:schemeClr w14:val="tx1"/>
                  </w14:solidFill>
                </w14:textFill>
              </w:rPr>
            </w:pPr>
            <w:r>
              <w:rPr>
                <w:rFonts w:hint="eastAsia" w:ascii="黑体" w:eastAsia="黑体"/>
                <w:color w:val="000000" w:themeColor="text1"/>
                <w:sz w:val="52"/>
                <w:szCs w:val="52"/>
                <w14:textFill>
                  <w14:solidFill>
                    <w14:schemeClr w14:val="tx1"/>
                  </w14:solidFill>
                </w14:textFill>
              </w:rPr>
              <w:t xml:space="preserve">口 </w:t>
            </w:r>
            <w:r>
              <w:rPr>
                <w:rFonts w:hint="eastAsia" w:ascii="黑体" w:eastAsia="黑体"/>
                <w:color w:val="000000" w:themeColor="text1"/>
                <w:sz w:val="32"/>
                <w14:textFill>
                  <w14:solidFill>
                    <w14:schemeClr w14:val="tx1"/>
                  </w14:solidFill>
                </w14:textFill>
              </w:rPr>
              <w:t>副本</w:t>
            </w:r>
          </w:p>
          <w:p>
            <w:pPr>
              <w:pStyle w:val="2"/>
              <w:tabs>
                <w:tab w:val="left" w:pos="562"/>
                <w:tab w:val="left" w:pos="3372"/>
                <w:tab w:val="left" w:pos="3653"/>
              </w:tabs>
              <w:spacing w:line="360" w:lineRule="auto"/>
              <w:rPr>
                <w:rFonts w:ascii="仿宋_GB2312" w:eastAsia="仿宋_GB2312"/>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tabs>
                <w:tab w:val="left" w:pos="562"/>
                <w:tab w:val="left" w:pos="3372"/>
                <w:tab w:val="left" w:pos="3653"/>
              </w:tabs>
              <w:spacing w:line="400" w:lineRule="exact"/>
              <w:ind w:firstLine="900" w:firstLineChars="320"/>
              <w:rPr>
                <w:rFonts w:ascii="仿宋_GB2312" w:eastAsia="仿宋_GB2312"/>
                <w:b/>
                <w:color w:val="000000" w:themeColor="text1"/>
                <w:sz w:val="28"/>
                <w:szCs w:val="28"/>
                <w14:textFill>
                  <w14:solidFill>
                    <w14:schemeClr w14:val="tx1"/>
                  </w14:solidFill>
                </w14:textFill>
              </w:rPr>
            </w:pP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投标人名称：</w:t>
            </w:r>
            <w:r>
              <w:rPr>
                <w:rFonts w:hint="eastAsia" w:ascii="宋体" w:hAnsi="宋体" w:cs="Arial"/>
                <w:b/>
                <w:bCs/>
                <w:color w:val="000000" w:themeColor="text1"/>
                <w:sz w:val="28"/>
                <w:szCs w:val="28"/>
                <w:u w:val="single"/>
                <w14:textFill>
                  <w14:solidFill>
                    <w14:schemeClr w14:val="tx1"/>
                  </w14:solidFill>
                </w14:textFill>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投标人地址：</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Arial"/>
                <w:b/>
                <w:bCs/>
                <w:color w:val="000000" w:themeColor="text1"/>
                <w:sz w:val="28"/>
                <w:szCs w:val="28"/>
                <w:u w:val="single"/>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法定代表人/被授权人：</w:t>
            </w:r>
            <w:r>
              <w:rPr>
                <w:rFonts w:hint="eastAsia" w:ascii="宋体" w:hAnsi="宋体" w:cs="Arial"/>
                <w:b/>
                <w:bCs/>
                <w:color w:val="000000" w:themeColor="text1"/>
                <w:sz w:val="28"/>
                <w:szCs w:val="28"/>
                <w:u w:val="single"/>
                <w14:textFill>
                  <w14:solidFill>
                    <w14:schemeClr w14:val="tx1"/>
                  </w14:solidFill>
                </w14:textFill>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联系电话：</w:t>
            </w:r>
            <w:r>
              <w:rPr>
                <w:rFonts w:hint="eastAsia" w:ascii="宋体" w:hAnsi="宋体" w:cs="Arial"/>
                <w:b/>
                <w:bCs/>
                <w:color w:val="000000" w:themeColor="text1"/>
                <w:sz w:val="28"/>
                <w:szCs w:val="28"/>
                <w:u w:val="single"/>
                <w14:textFill>
                  <w14:solidFill>
                    <w14:schemeClr w14:val="tx1"/>
                  </w14:solidFill>
                </w14:textFill>
              </w:rPr>
              <w:t xml:space="preserve">                                   </w:t>
            </w: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hint="eastAsia" w:ascii="宋体" w:hAnsi="宋体" w:cs="Arial"/>
                <w:b/>
                <w:bCs/>
                <w:color w:val="000000" w:themeColor="text1"/>
                <w:sz w:val="28"/>
                <w:szCs w:val="28"/>
                <w14:textFill>
                  <w14:solidFill>
                    <w14:schemeClr w14:val="tx1"/>
                  </w14:solidFill>
                </w14:textFill>
              </w:rPr>
            </w:pPr>
          </w:p>
          <w:p>
            <w:pPr>
              <w:spacing w:line="360" w:lineRule="auto"/>
              <w:jc w:val="center"/>
              <w:rPr>
                <w:rFonts w:ascii="仿宋_GB2312" w:eastAsia="仿宋_GB2312"/>
                <w:b/>
                <w:color w:val="000000" w:themeColor="text1"/>
                <w:sz w:val="32"/>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【年月日时分之前不得启封。】</w:t>
            </w:r>
          </w:p>
        </w:tc>
      </w:tr>
    </w:tbl>
    <w:p>
      <w:pPr>
        <w:spacing w:line="360" w:lineRule="auto"/>
        <w:jc w:val="center"/>
        <w:rPr>
          <w:rFonts w:hint="eastAsia" w:ascii="宋体" w:hAnsi="宋体" w:cs="宋体"/>
          <w:b/>
          <w:bCs/>
          <w:color w:val="000000" w:themeColor="text1"/>
          <w:sz w:val="24"/>
          <w14:textFill>
            <w14:solidFill>
              <w14:schemeClr w14:val="tx1"/>
            </w14:solidFill>
          </w14:textFill>
        </w:rPr>
      </w:pPr>
    </w:p>
    <w:p>
      <w:pPr>
        <w:spacing w:before="100" w:beforeAutospacing="1" w:after="100" w:afterAutospacing="1"/>
        <w:jc w:val="center"/>
        <w:outlineLvl w:val="1"/>
        <w:rPr>
          <w:rFonts w:hint="eastAsia" w:ascii="宋体" w:hAnsi="宋体" w:cs="宋体"/>
          <w:b/>
          <w:color w:val="000000" w:themeColor="text1"/>
          <w:sz w:val="24"/>
          <w14:textFill>
            <w14:solidFill>
              <w14:schemeClr w14:val="tx1"/>
            </w14:solidFill>
          </w14:textFill>
        </w:rPr>
      </w:pPr>
      <w:bookmarkStart w:id="62" w:name="_Toc16724"/>
      <w:r>
        <w:rPr>
          <w:rFonts w:hint="eastAsia" w:ascii="宋体" w:hAnsi="宋体" w:cs="宋体"/>
          <w:b/>
          <w:color w:val="000000" w:themeColor="text1"/>
          <w:sz w:val="24"/>
          <w14:textFill>
            <w14:solidFill>
              <w14:schemeClr w14:val="tx1"/>
            </w14:solidFill>
          </w14:textFill>
        </w:rPr>
        <w:t>2、投标文件—目录</w:t>
      </w:r>
      <w:bookmarkEnd w:id="62"/>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8"/>
        </w:numPr>
        <w:tabs>
          <w:tab w:val="left" w:pos="640"/>
          <w:tab w:val="clear" w:pos="425"/>
        </w:tabs>
        <w:spacing w:line="360" w:lineRule="auto"/>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（二）商务部分</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b/>
          <w:bCs/>
          <w:color w:val="000000" w:themeColor="text1"/>
          <w:kern w:val="0"/>
          <w:sz w:val="24"/>
          <w:lang w:eastAsia="zh-CN"/>
          <w14:textFill>
            <w14:solidFill>
              <w14:schemeClr w14:val="tx1"/>
            </w14:solidFill>
          </w14:textFill>
        </w:rPr>
        <w:t>分支机构投标须提供总公司(总行)出具的愿为其承担民事责任的相关函件【函件形式不限，体现相关内容即可】。且同一家总公司(总行)若有两家或两家以上的分支机构，总公司(总行)只能授权一家参与投标）；投标人必须是国有商业银行、股份制商业银行、城市商业银行、农村商业银行或邮政储蓄银行一级分行及以上（含分行）营业机构，同名银行只能有一个主体参与投标</w:t>
      </w:r>
      <w:r>
        <w:rPr>
          <w:rFonts w:hint="eastAsia" w:ascii="宋体" w:hAnsi="宋体" w:cs="宋体"/>
          <w:color w:val="000000" w:themeColor="text1"/>
          <w:sz w:val="24"/>
          <w:lang w:val="fr-CH"/>
          <w14:textFill>
            <w14:solidFill>
              <w14:schemeClr w14:val="tx1"/>
            </w14:solidFill>
          </w14:textFill>
        </w:rPr>
        <w:t>；</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关于资格的声明函；</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法人代表证明书及身份证明；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法定代表人授权书及身份证明；</w:t>
      </w:r>
    </w:p>
    <w:p>
      <w:pPr>
        <w:numPr>
          <w:ilvl w:val="0"/>
          <w:numId w:val="9"/>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numPr>
          <w:ilvl w:val="0"/>
          <w:numId w:val="9"/>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投标人简介；</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投标人同类业绩情况；</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总行不良贷款率；</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总行拨备覆盖率；</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总行一级资本充足率；</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诚信声明与承诺；</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政府采购违法行为风险知悉确认书；</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供应商基本情况表、社保证明及股权关系证明；</w:t>
      </w:r>
    </w:p>
    <w:p>
      <w:pPr>
        <w:numPr>
          <w:ilvl w:val="0"/>
          <w:numId w:val="9"/>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（三）技术部分</w:t>
      </w:r>
    </w:p>
    <w:p>
      <w:pPr>
        <w:numPr>
          <w:ilvl w:val="0"/>
          <w:numId w:val="10"/>
        </w:numPr>
        <w:tabs>
          <w:tab w:val="left" w:pos="640"/>
          <w:tab w:val="left" w:pos="1260"/>
          <w:tab w:val="left" w:pos="1418"/>
        </w:tabs>
        <w:spacing w:line="360" w:lineRule="auto"/>
        <w:ind w:left="640" w:right="-420" w:rightChars="-20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实施方案；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系统建设投入方案；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服务方案；</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便利化服务；</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拟派项目团队成员情况；</w:t>
      </w:r>
    </w:p>
    <w:p>
      <w:pPr>
        <w:numPr>
          <w:ilvl w:val="0"/>
          <w:numId w:val="10"/>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投标人认为有必要提供的其他材料。</w:t>
      </w:r>
    </w:p>
    <w:p>
      <w:pPr>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bCs/>
          <w:color w:val="000000" w:themeColor="text1"/>
          <w:sz w:val="24"/>
          <w:lang w:val="zh-CN"/>
          <w14:textFill>
            <w14:solidFill>
              <w14:schemeClr w14:val="tx1"/>
            </w14:solidFill>
          </w14:textFill>
        </w:rPr>
        <w:t>价格部分</w:t>
      </w:r>
    </w:p>
    <w:p>
      <w:pPr>
        <w:numPr>
          <w:ilvl w:val="0"/>
          <w:numId w:val="11"/>
        </w:numPr>
        <w:tabs>
          <w:tab w:val="left" w:pos="640"/>
          <w:tab w:val="clear" w:pos="425"/>
        </w:tabs>
        <w:ind w:left="625" w:hanging="62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投标一览表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2896"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折扣率</w:t>
            </w:r>
          </w:p>
        </w:tc>
        <w:tc>
          <w:tcPr>
            <w:tcW w:w="1318" w:type="dxa"/>
            <w:vAlign w:val="center"/>
          </w:tcPr>
          <w:p>
            <w:pPr>
              <w:spacing w:after="6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2896"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c>
          <w:tcPr>
            <w:tcW w:w="1318" w:type="dxa"/>
            <w:vAlign w:val="center"/>
          </w:tcPr>
          <w:p>
            <w:pPr>
              <w:spacing w:line="360" w:lineRule="auto"/>
              <w:jc w:val="center"/>
              <w:rPr>
                <w:rFonts w:hint="eastAsia" w:ascii="宋体" w:hAnsi="宋体" w:cs="宋体"/>
                <w:color w:val="000000" w:themeColor="text1"/>
                <w:sz w:val="24"/>
                <w:u w:val="single"/>
                <w14:textFill>
                  <w14:solidFill>
                    <w14:schemeClr w14:val="tx1"/>
                  </w14:solidFill>
                </w14:textFill>
              </w:rPr>
            </w:pPr>
          </w:p>
        </w:tc>
      </w:tr>
    </w:tbl>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1.报价均应包含所有需中标人交纳的税费。</w:t>
      </w:r>
    </w:p>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2.“折扣率”填写要求：</w:t>
      </w:r>
    </w:p>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2.1.填写要求：0＜折扣率≤1，未按此要求填写将作投标无效处理。</w:t>
      </w:r>
    </w:p>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2.2.填写的“折扣率”应为小数，如0.95、0.80、0.78；保留至小数点后两位。</w:t>
      </w:r>
    </w:p>
    <w:p>
      <w:pPr>
        <w:pStyle w:val="8"/>
        <w:spacing w:line="30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2.3.投标人参与投标只允许填报一个“折扣率”，不允许填报2个（或以上）的“折扣率”；填报了2个或以上“折扣率”的，其投标将直接作投标无效处理；</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2.4.“折扣率”缺填、漏填将直接作投标无效处理。</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spacing w:line="360" w:lineRule="auto"/>
        <w:outlineLvl w:val="2"/>
        <w:rPr>
          <w:rFonts w:hint="eastAsia" w:ascii="宋体" w:hAnsi="宋体" w:cs="宋体"/>
          <w:b/>
          <w:bCs/>
          <w:color w:val="000000" w:themeColor="text1"/>
          <w:sz w:val="24"/>
          <w:u w:val="wave"/>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投标响应书；</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投标响应书</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中国远东国际招标有限公司</w:t>
      </w:r>
    </w:p>
    <w:p>
      <w:pPr>
        <w:spacing w:line="360" w:lineRule="auto"/>
        <w:ind w:firstLine="494" w:firstLineChars="20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根据贵方为</w:t>
      </w:r>
      <w:r>
        <w:rPr>
          <w:rFonts w:hint="eastAsia" w:ascii="宋体" w:hAnsi="宋体" w:cs="宋体"/>
          <w:color w:val="000000" w:themeColor="text1"/>
          <w:sz w:val="24"/>
          <w:u w:val="single"/>
          <w14:textFill>
            <w14:solidFill>
              <w14:schemeClr w14:val="tx1"/>
            </w14:solidFill>
          </w14:textFill>
        </w:rPr>
        <w:t>深圳市前海深港现代服务业合作区管理局</w:t>
      </w:r>
      <w:r>
        <w:rPr>
          <w:rFonts w:hint="eastAsia" w:ascii="宋体" w:hAnsi="宋体" w:cs="宋体"/>
          <w:color w:val="000000" w:themeColor="text1"/>
          <w:sz w:val="24"/>
          <w14:textFill>
            <w14:solidFill>
              <w14:schemeClr w14:val="tx1"/>
            </w14:solidFill>
          </w14:textFill>
        </w:rPr>
        <w:t>项目采购的邀请</w:t>
      </w:r>
      <w:r>
        <w:rPr>
          <w:rFonts w:hint="eastAsia" w:ascii="宋体" w:hAnsi="宋体" w:cs="宋体"/>
          <w:color w:val="000000" w:themeColor="text1"/>
          <w:sz w:val="24"/>
          <w:u w:val="single"/>
          <w14:textFill>
            <w14:solidFill>
              <w14:schemeClr w14:val="tx1"/>
            </w14:solidFill>
          </w14:textFill>
        </w:rPr>
        <w:t xml:space="preserve">深圳市前海深港现代服务业合作区国库集中支付代理银行服务项目                   </w:t>
      </w:r>
      <w:r>
        <w:rPr>
          <w:rFonts w:hint="eastAsia" w:ascii="宋体" w:hAnsi="宋体" w:cs="宋体"/>
          <w:color w:val="000000" w:themeColor="text1"/>
          <w:sz w:val="24"/>
          <w14:textFill>
            <w14:solidFill>
              <w14:schemeClr w14:val="tx1"/>
            </w14:solidFill>
          </w14:textFill>
        </w:rPr>
        <w:t>（招标文件编号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），签字代表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（全名、职务）经正式授权并代表供应商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（供应商方名称、地址）提交</w:t>
      </w:r>
      <w:r>
        <w:rPr>
          <w:rFonts w:hint="eastAsia" w:ascii="宋体" w:hAnsi="宋体" w:cs="宋体"/>
          <w:b/>
          <w:color w:val="000000" w:themeColor="text1"/>
          <w:sz w:val="24"/>
          <w14:textFill>
            <w14:solidFill>
              <w14:schemeClr w14:val="tx1"/>
            </w14:solidFill>
          </w14:textFill>
        </w:rPr>
        <w:t>一份正本四份副本以及1份电子文档的</w:t>
      </w:r>
      <w:r>
        <w:rPr>
          <w:rFonts w:hint="eastAsia" w:ascii="宋体" w:hAnsi="宋体" w:cs="宋体"/>
          <w:color w:val="000000" w:themeColor="text1"/>
          <w:sz w:val="24"/>
          <w14:textFill>
            <w14:solidFill>
              <w14:schemeClr w14:val="tx1"/>
            </w14:solidFill>
          </w14:textFill>
        </w:rPr>
        <w:t>投标文件。</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据此函，签字代表宣布同意如下：</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1、供应商方将按招标文件的规定履行合同责任和义务。</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3、与本投标项目有关的一切正式往来通讯请寄：</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邮编：</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传真：</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邮箱：</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投标供应商授权代表、职务（印刷体）：</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（公  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pStyle w:val="2"/>
        <w:rPr>
          <w:color w:val="000000" w:themeColor="text1"/>
          <w14:textFill>
            <w14:solidFill>
              <w14:schemeClr w14:val="tx1"/>
            </w14:solidFill>
          </w14:textFill>
        </w:rPr>
      </w:pP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kern w:val="0"/>
          <w:sz w:val="24"/>
          <w:lang w:eastAsia="zh-CN"/>
          <w14:textFill>
            <w14:solidFill>
              <w14:schemeClr w14:val="tx1"/>
            </w14:solidFill>
          </w14:textFill>
        </w:rPr>
        <w:t>营业执照【其他组织提供《事业单位法人证书》或《民办非企业单位登记证书》】及税务登记册证副本复印件(加盖投标人公章，若提供的营业执照为三证合一，则税务登记证可不单独提供)；</w:t>
      </w:r>
      <w:r>
        <w:rPr>
          <w:rFonts w:hint="eastAsia" w:ascii="宋体" w:hAnsi="宋体" w:cs="宋体"/>
          <w:b/>
          <w:bCs/>
          <w:color w:val="000000" w:themeColor="text1"/>
          <w:kern w:val="0"/>
          <w:sz w:val="24"/>
          <w:lang w:eastAsia="zh-CN"/>
          <w14:textFill>
            <w14:solidFill>
              <w14:schemeClr w14:val="tx1"/>
            </w14:solidFill>
          </w14:textFill>
        </w:rPr>
        <w:t>分支机构投标须提供总公司(总行)出具的愿为其承担民事责任的相关函件【函件形式不限，体现相关内容即可】。且同一家总公司(总行)若有两家或两家以上的分支机构，总公司(总行)只能授权一家参与投标）；投标人必须是国有商业银行、股份制商业银行、城市商业银行、农村商业银行或邮政储蓄银行一级分行及以上（含分行）营业机构，同名银行只能有一个主体参与投标</w:t>
      </w:r>
      <w:r>
        <w:rPr>
          <w:rFonts w:hint="eastAsia" w:ascii="宋体" w:hAnsi="宋体" w:cs="宋体"/>
          <w:color w:val="000000" w:themeColor="text1"/>
          <w:sz w:val="24"/>
          <w:lang w:val="fr-CH"/>
          <w14:textFill>
            <w14:solidFill>
              <w14:schemeClr w14:val="tx1"/>
            </w14:solidFill>
          </w14:textFill>
        </w:rPr>
        <w:t>；</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政府采购投标及履约承诺函；</w:t>
      </w:r>
    </w:p>
    <w:p>
      <w:pPr>
        <w:spacing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政府采购投标及履约承诺函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我单位深知本项目对贵局的重要性和紧迫性，亦了解贵局对廉政建设的相关要求，因此我单位承诺如下：</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我单位本招标项目所提供的货物或服务未侵犯知识产权。</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3"/>
        </w:numPr>
        <w:shd w:val="clear" w:color="auto" w:fill="FFFFFF"/>
        <w:spacing w:line="360" w:lineRule="auto"/>
        <w:ind w:right="-4"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w:t>
      </w:r>
      <w:r>
        <w:rPr>
          <w:rFonts w:hint="eastAsia" w:ascii="宋体" w:hAnsi="宋体" w:cs="宋体"/>
          <w:color w:val="000000" w:themeColor="text1"/>
          <w:kern w:val="0"/>
          <w:sz w:val="24"/>
          <w14:textFill>
            <w14:solidFill>
              <w14:schemeClr w14:val="tx1"/>
            </w14:solidFill>
          </w14:textFill>
        </w:rPr>
        <w:t>及其法定代表人近三年内（投标人成立不足三年的可从成立之日起算）无行贿犯罪记录；</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我单位具备《中华人民共和国政府采购法》第二十二条第一款的条件。</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符合财政部和深圳市财政局关于诚信管理的要求，</w:t>
      </w:r>
      <w:r>
        <w:rPr>
          <w:rFonts w:hint="eastAsia" w:ascii="宋体" w:hAnsi="宋体" w:cs="宋体"/>
          <w:color w:val="000000" w:themeColor="text1"/>
          <w:kern w:val="0"/>
          <w:sz w:val="24"/>
          <w14:textFill>
            <w14:solidFill>
              <w14:schemeClr w14:val="tx1"/>
            </w14:solidFill>
          </w14:textFill>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我单位如果中标，做到诚实守信，依照本项目招标文件需求内容、签署的采购合同及本单位在投标中所作的一切承诺履约；不非法转包、分包。</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我单位承诺未参与本项目的采购需求、技术指标、商务指标等内容的设定，不存在对其他投标单位不公平的行为。</w:t>
      </w:r>
    </w:p>
    <w:p>
      <w:pPr>
        <w:numPr>
          <w:ilvl w:val="0"/>
          <w:numId w:val="13"/>
        </w:num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以上承诺，如有违反，愿依照国家相关法律处理，并承担由此给采购人带来的损失。</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hAnsi="宋体" w:cs="宋体"/>
          <w:color w:val="000000" w:themeColor="text1"/>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关于资格的声明函；</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关于资格的声明函</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（采购单位名称/代理机构名称）：</w:t>
      </w:r>
    </w:p>
    <w:p>
      <w:pPr>
        <w:spacing w:line="360" w:lineRule="auto"/>
        <w:ind w:firstLine="566" w:firstLineChars="23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 投标人名称）    </w:t>
      </w:r>
      <w:r>
        <w:rPr>
          <w:rFonts w:hint="eastAsia" w:ascii="宋体" w:hAnsi="宋体" w:cs="宋体"/>
          <w:color w:val="000000" w:themeColor="text1"/>
          <w:sz w:val="24"/>
          <w14:textFill>
            <w14:solidFill>
              <w14:schemeClr w14:val="tx1"/>
            </w14:solidFill>
          </w14:textFill>
        </w:rPr>
        <w:t xml:space="preserve"> 参与了</w:t>
      </w:r>
      <w:r>
        <w:rPr>
          <w:rFonts w:hint="eastAsia" w:ascii="宋体" w:hAnsi="宋体" w:cs="宋体"/>
          <w:color w:val="000000" w:themeColor="text1"/>
          <w:sz w:val="24"/>
          <w:u w:val="single"/>
          <w14:textFill>
            <w14:solidFill>
              <w14:schemeClr w14:val="tx1"/>
            </w14:solidFill>
          </w14:textFill>
        </w:rPr>
        <w:t xml:space="preserve"> （项目名称 、招标编号） </w:t>
      </w:r>
      <w:r>
        <w:rPr>
          <w:rFonts w:hint="eastAsia" w:ascii="宋体" w:hAnsi="宋体" w:cs="宋体"/>
          <w:color w:val="000000" w:themeColor="text1"/>
          <w:sz w:val="24"/>
          <w14:textFill>
            <w14:solidFill>
              <w14:schemeClr w14:val="tx1"/>
            </w14:solidFill>
          </w14:textFill>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spacing w:line="360" w:lineRule="auto"/>
        <w:ind w:left="420"/>
        <w:rPr>
          <w:rFonts w:hint="eastAsia" w:ascii="宋体" w:hAnsi="宋体" w:cs="宋体"/>
          <w:color w:val="000000" w:themeColor="text1"/>
          <w:sz w:val="24"/>
          <w14:textFill>
            <w14:solidFill>
              <w14:schemeClr w14:val="tx1"/>
            </w14:solidFill>
          </w14:textFill>
        </w:rPr>
      </w:pPr>
    </w:p>
    <w:p>
      <w:pPr>
        <w:tabs>
          <w:tab w:val="left" w:pos="4860"/>
        </w:tabs>
        <w:adjustRightInd w:val="0"/>
        <w:snapToGrid w:val="0"/>
        <w:spacing w:line="360" w:lineRule="auto"/>
        <w:ind w:right="105" w:rightChars="5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numPr>
          <w:ilvl w:val="0"/>
          <w:numId w:val="12"/>
        </w:numPr>
        <w:tabs>
          <w:tab w:val="left" w:pos="640"/>
          <w:tab w:val="left" w:pos="1260"/>
          <w:tab w:val="left" w:pos="1418"/>
        </w:tabs>
        <w:spacing w:line="360" w:lineRule="auto"/>
        <w:ind w:left="645" w:hanging="6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法定代表人证明书及身份证明；</w:t>
      </w:r>
    </w:p>
    <w:p>
      <w:pPr>
        <w:spacing w:before="120" w:after="120" w:line="360" w:lineRule="auto"/>
        <w:jc w:val="center"/>
        <w:rPr>
          <w:rFonts w:hint="eastAsia" w:ascii="宋体" w:hAnsi="宋体" w:cs="宋体"/>
          <w:b/>
          <w:color w:val="000000" w:themeColor="text1"/>
          <w:sz w:val="24"/>
          <w14:textFill>
            <w14:solidFill>
              <w14:schemeClr w14:val="tx1"/>
            </w14:solidFill>
          </w14:textFill>
        </w:rPr>
      </w:pPr>
    </w:p>
    <w:p>
      <w:pPr>
        <w:spacing w:before="120" w:after="120" w:line="360"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法定代表人证明书</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同志，现任我单位职务，为法定代表人，特此证明。</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签发日期：             有效日期：         单位：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附：代表人性别：   年龄：      身份证号码：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营业执照号码：                 经济性质：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兼营（产）：</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进口物品经营许可证号码：</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兼营：</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说明：1、法定代表人为企业事业单位、国家机关、社会团体的主要行政负责人。</w:t>
      </w:r>
    </w:p>
    <w:p>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2、内容必须填写真实、清楚，涂改无效，不得转让、买卖</w:t>
      </w:r>
      <w:r>
        <w:rPr>
          <w:rFonts w:hint="eastAsia" w:ascii="宋体" w:hAnsi="宋体" w:cs="宋体"/>
          <w:color w:val="000000" w:themeColor="text1"/>
          <w:sz w:val="24"/>
          <w:lang w:eastAsia="zh-CN"/>
          <w14:textFill>
            <w14:solidFill>
              <w14:schemeClr w14:val="tx1"/>
            </w14:solidFill>
          </w14:textFill>
        </w:rPr>
        <w:t>。</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spacing w:before="120" w:after="120"/>
        <w:jc w:val="left"/>
        <w:rPr>
          <w:rFonts w:hint="eastAsia" w:ascii="宋体" w:hAnsi="宋体" w:cs="宋体"/>
          <w:color w:val="000000" w:themeColor="text1"/>
          <w:szCs w:val="21"/>
          <w14:textFill>
            <w14:solidFill>
              <w14:schemeClr w14:val="tx1"/>
            </w14:solidFill>
          </w14:textFill>
        </w:rPr>
      </w:pPr>
    </w:p>
    <w:p>
      <w:pPr>
        <w:spacing w:before="120" w:after="120" w:line="360" w:lineRule="auto"/>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240"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color w:val="000000" w:themeColor="text1"/>
          <w:szCs w:val="21"/>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法定代表人授权书及身份证明；</w:t>
      </w:r>
    </w:p>
    <w:p>
      <w:pPr>
        <w:pStyle w:val="8"/>
        <w:spacing w:line="360" w:lineRule="auto"/>
        <w:jc w:val="center"/>
        <w:rPr>
          <w:rFonts w:hint="eastAsia" w:hAnsi="宋体" w:cs="宋体"/>
          <w:b/>
          <w:color w:val="000000" w:themeColor="text1"/>
          <w:sz w:val="24"/>
          <w14:textFill>
            <w14:solidFill>
              <w14:schemeClr w14:val="tx1"/>
            </w14:solidFill>
          </w14:textFill>
        </w:rPr>
      </w:pPr>
    </w:p>
    <w:p>
      <w:pPr>
        <w:pStyle w:val="8"/>
        <w:spacing w:line="360" w:lineRule="auto"/>
        <w:jc w:val="center"/>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法定代表人授权书</w:t>
      </w:r>
    </w:p>
    <w:p>
      <w:pPr>
        <w:pStyle w:val="8"/>
        <w:spacing w:line="360" w:lineRule="auto"/>
        <w:rPr>
          <w:rFonts w:hint="eastAsia" w:hAnsi="宋体" w:cs="宋体"/>
          <w:color w:val="000000" w:themeColor="text1"/>
          <w:sz w:val="24"/>
          <w14:textFill>
            <w14:solidFill>
              <w14:schemeClr w14:val="tx1"/>
            </w14:solidFill>
          </w14:textFill>
        </w:rPr>
      </w:pP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深圳市前海深港现代服务业合作区管理局：</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本授权书声明：注册于</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（国家或地区）的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（投标人名称）的在下面签字的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 （法定代表人姓名、职务）代表本公司授权在下面签字的</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（被授权人的姓名、职务）为本公司的合法代表人，就</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[招标编号为：</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]的投标和合同执行，以我方的名义处理一切与之有关的事宜。</w:t>
      </w:r>
    </w:p>
    <w:p>
      <w:pPr>
        <w:pStyle w:val="8"/>
        <w:spacing w:line="360" w:lineRule="auto"/>
        <w:rPr>
          <w:rFonts w:hint="eastAsia" w:hAnsi="宋体" w:cs="宋体"/>
          <w:color w:val="000000" w:themeColor="text1"/>
          <w:sz w:val="24"/>
          <w14:textFill>
            <w14:solidFill>
              <w14:schemeClr w14:val="tx1"/>
            </w14:solidFill>
          </w14:textFill>
        </w:rPr>
      </w:pPr>
    </w:p>
    <w:p>
      <w:pPr>
        <w:spacing w:line="360" w:lineRule="auto"/>
        <w:ind w:firstLine="57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本授权书于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日签字生效，特此声明。</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法定代表人（签字或签章）：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被授权人代表（签字或签章）：</w:t>
      </w: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p>
    <w:p>
      <w:pPr>
        <w:tabs>
          <w:tab w:val="left" w:pos="640"/>
          <w:tab w:val="left" w:pos="1260"/>
          <w:tab w:val="left" w:pos="1418"/>
        </w:tabs>
        <w:spacing w:line="360" w:lineRule="auto"/>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c>
          <w:tcPr>
            <w:tcW w:w="4677" w:type="dxa"/>
          </w:tcPr>
          <w:p>
            <w:pPr>
              <w:pStyle w:val="8"/>
              <w:spacing w:line="360" w:lineRule="auto"/>
              <w:rPr>
                <w:rFonts w:ascii="Arial Narrow" w:hAnsi="Arial Narrow"/>
                <w:b/>
                <w:bCs/>
                <w:color w:val="000000" w:themeColor="text1"/>
                <w:szCs w:val="21"/>
                <w14:textFill>
                  <w14:solidFill>
                    <w14:schemeClr w14:val="tx1"/>
                  </w14:solidFill>
                </w14:textFill>
              </w:rPr>
            </w:pPr>
          </w:p>
        </w:tc>
      </w:tr>
    </w:tbl>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r>
        <w:rPr>
          <w:rFonts w:hint="eastAsia"/>
          <w:color w:val="000000" w:themeColor="text1"/>
          <w:szCs w:val="21"/>
          <w14:textFill>
            <w14:solidFill>
              <w14:schemeClr w14:val="tx1"/>
            </w14:solidFill>
          </w14:textFill>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 w:val="left" w:pos="1260"/>
          <w:tab w:val="left" w:pos="1418"/>
        </w:tabs>
        <w:spacing w:line="360" w:lineRule="auto"/>
        <w:ind w:left="640" w:hanging="640"/>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p>
    <w:p>
      <w:pPr>
        <w:widowControl/>
        <w:autoSpaceDE w:val="0"/>
        <w:autoSpaceDN w:val="0"/>
        <w:spacing w:line="360" w:lineRule="auto"/>
        <w:ind w:left="359" w:right="26" w:hanging="357"/>
        <w:jc w:val="center"/>
        <w:textAlignment w:val="bottom"/>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招标代理服务费承诺书</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致：中国远东国际招标有限公司</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我们在贵司代理的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项目（招标编号：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color w:val="000000" w:themeColor="text1"/>
          <w:sz w:val="24"/>
          <w:u w:val="single"/>
          <w14:textFill>
            <w14:solidFill>
              <w14:schemeClr w14:val="tx1"/>
            </w14:solidFill>
          </w14:textFill>
        </w:rPr>
        <w:t>招标文件中的规定</w:t>
      </w:r>
      <w:r>
        <w:rPr>
          <w:rFonts w:hint="eastAsia" w:ascii="宋体" w:hAnsi="宋体" w:cs="宋体"/>
          <w:color w:val="000000" w:themeColor="text1"/>
          <w:sz w:val="24"/>
          <w14:textFill>
            <w14:solidFill>
              <w14:schemeClr w14:val="tx1"/>
            </w14:solidFill>
          </w14:textFill>
        </w:rPr>
        <w:t>计算。</w:t>
      </w:r>
    </w:p>
    <w:p>
      <w:pPr>
        <w:widowControl/>
        <w:autoSpaceDE w:val="0"/>
        <w:autoSpaceDN w:val="0"/>
        <w:spacing w:line="360" w:lineRule="auto"/>
        <w:ind w:right="26" w:firstLine="540"/>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投标供应商地址：</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电话：         </w:t>
      </w:r>
    </w:p>
    <w:p>
      <w:pPr>
        <w:widowControl/>
        <w:autoSpaceDE w:val="0"/>
        <w:autoSpaceDN w:val="0"/>
        <w:spacing w:line="360" w:lineRule="auto"/>
        <w:ind w:left="359" w:right="26" w:hanging="357"/>
        <w:textAlignment w:val="bottom"/>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w:t>
      </w:r>
    </w:p>
    <w:p>
      <w:pPr>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 w:val="left" w:pos="1260"/>
          <w:tab w:val="left" w:pos="1418"/>
        </w:tabs>
        <w:spacing w:line="360" w:lineRule="auto"/>
        <w:rPr>
          <w:rFonts w:hint="eastAsia" w:ascii="宋体" w:hAnsi="宋体" w:cs="宋体"/>
          <w:color w:val="000000" w:themeColor="text1"/>
          <w:sz w:val="24"/>
          <w:lang w:val="fr-CH"/>
          <w14:textFill>
            <w14:solidFill>
              <w14:schemeClr w14:val="tx1"/>
            </w14:solidFill>
          </w14:textFill>
        </w:rPr>
      </w:pPr>
    </w:p>
    <w:p>
      <w:pPr>
        <w:numPr>
          <w:ilvl w:val="0"/>
          <w:numId w:val="12"/>
        </w:numPr>
        <w:tabs>
          <w:tab w:val="left" w:pos="6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fr-CH"/>
          <w14:textFill>
            <w14:solidFill>
              <w14:schemeClr w14:val="tx1"/>
            </w14:solidFill>
          </w14:textFill>
        </w:rPr>
        <w:t>简介；</w:t>
      </w:r>
    </w:p>
    <w:p>
      <w:pPr>
        <w:pStyle w:val="8"/>
        <w:spacing w:line="360" w:lineRule="auto"/>
        <w:jc w:val="center"/>
        <w:rPr>
          <w:rFonts w:hint="eastAsia" w:hAnsi="宋体" w:cs="宋体"/>
          <w:b/>
          <w:bCs/>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供应商基本情况一览表</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1．名称及概况：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（1）供应商名称：_______________________________________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（2）地址：______________________________________________</w:t>
      </w:r>
    </w:p>
    <w:p>
      <w:pPr>
        <w:pStyle w:val="8"/>
        <w:spacing w:line="360" w:lineRule="auto"/>
        <w:ind w:firstLine="660" w:firstLineChars="275"/>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邮政编码：___________________________________________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电话号码：___________________________________________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传真号码：___________________________________________ </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（3）成立和／或注册日期：_________________________________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（4）法人代表：___________________________________________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（5）开户银行：___________________________________________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（6）开户账号：___________________________________________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（7）注册资金：___________________________________________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（8）近两年财务基本情况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①货币资金期末数：_____________________________________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③年营业总额（值）：___________________________________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③资产负债率：_________________________________________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④销售利润率：_________________________________________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 xml:space="preserve">    ⑤资本收益率：_________________________________________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（9）项目主要联系人（姓名、职务、通讯）：</w:t>
      </w:r>
    </w:p>
    <w:p>
      <w:pPr>
        <w:pStyle w:val="8"/>
        <w:spacing w:line="360" w:lineRule="auto"/>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_____________________________________________________________________</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（10）公司概况；</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（11）公司组织机构；</w:t>
      </w:r>
    </w:p>
    <w:p>
      <w:pPr>
        <w:pStyle w:val="8"/>
        <w:spacing w:line="360" w:lineRule="auto"/>
        <w:ind w:firstLine="42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2"/>
        <w:rPr>
          <w:color w:val="000000" w:themeColor="text1"/>
          <w:lang w:val="fr-CH"/>
          <w14:textFill>
            <w14:solidFill>
              <w14:schemeClr w14:val="tx1"/>
            </w14:solidFill>
          </w14:textFill>
        </w:rPr>
      </w:pPr>
    </w:p>
    <w:p>
      <w:pPr>
        <w:tabs>
          <w:tab w:val="left" w:pos="640"/>
        </w:tabs>
        <w:spacing w:line="360" w:lineRule="auto"/>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投标人同类业绩情况；</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总行不良贷款率；</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总行拨备覆盖率；</w:t>
      </w:r>
    </w:p>
    <w:p>
      <w:pPr>
        <w:numPr>
          <w:ilvl w:val="0"/>
          <w:numId w:val="12"/>
        </w:numPr>
        <w:tabs>
          <w:tab w:val="left" w:pos="640"/>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总行一级资本充足率；</w:t>
      </w:r>
    </w:p>
    <w:p>
      <w:pPr>
        <w:tabs>
          <w:tab w:val="left" w:pos="640"/>
          <w:tab w:val="left" w:pos="1260"/>
          <w:tab w:val="left" w:pos="1418"/>
        </w:tabs>
        <w:jc w:val="center"/>
        <w:rPr>
          <w:rFonts w:hint="eastAsia" w:ascii="宋体" w:hAnsi="宋体" w:cs="宋体"/>
          <w:b/>
          <w:bCs/>
          <w:color w:val="000000" w:themeColor="text1"/>
          <w:szCs w:val="21"/>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b/>
          <w:bCs/>
          <w:color w:val="000000" w:themeColor="text1"/>
          <w:sz w:val="24"/>
          <w:lang w:val="fr-CH"/>
          <w14:textFill>
            <w14:solidFill>
              <w14:schemeClr w14:val="tx1"/>
            </w14:solidFill>
          </w14:textFill>
        </w:rPr>
        <w:t>诚信</w:t>
      </w:r>
      <w:r>
        <w:rPr>
          <w:rFonts w:hint="eastAsia" w:ascii="宋体" w:hAnsi="宋体" w:cs="宋体"/>
          <w:b/>
          <w:bCs/>
          <w:color w:val="000000" w:themeColor="text1"/>
          <w:sz w:val="24"/>
          <w14:textFill>
            <w14:solidFill>
              <w14:schemeClr w14:val="tx1"/>
            </w14:solidFill>
          </w14:textFill>
        </w:rPr>
        <w:t>声明与承诺</w:t>
      </w:r>
      <w:r>
        <w:rPr>
          <w:rFonts w:hint="eastAsia" w:ascii="宋体" w:hAnsi="宋体" w:cs="宋体"/>
          <w:b/>
          <w:bCs/>
          <w:color w:val="000000" w:themeColor="text1"/>
          <w:sz w:val="24"/>
          <w:lang w:val="fr-CH"/>
          <w14:textFill>
            <w14:solidFill>
              <w14:schemeClr w14:val="tx1"/>
            </w14:solidFill>
          </w14:textFill>
        </w:rPr>
        <w:t>；</w:t>
      </w:r>
    </w:p>
    <w:p>
      <w:pPr>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诚信声明与承诺</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中国远东国际招标有限公司：</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我公司（单位）参与贵代理机构组织的项目（项目编号：）投标，现就诚信作如下声明与承诺：</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我司对上述内容的真实性负责。如有虚假，将依法承担相应责任。</w:t>
      </w:r>
    </w:p>
    <w:p>
      <w:pPr>
        <w:spacing w:line="360" w:lineRule="auto"/>
        <w:ind w:firstLine="360" w:firstLineChars="15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特此声明与承诺！</w:t>
      </w:r>
    </w:p>
    <w:p>
      <w:pPr>
        <w:spacing w:line="360" w:lineRule="auto"/>
        <w:jc w:val="left"/>
        <w:rPr>
          <w:rFonts w:hint="eastAsia" w:ascii="宋体" w:hAnsi="宋体" w:cs="宋体"/>
          <w:color w:val="000000" w:themeColor="text1"/>
          <w:sz w:val="24"/>
          <w14:textFill>
            <w14:solidFill>
              <w14:schemeClr w14:val="tx1"/>
            </w14:solidFill>
          </w14:textFill>
        </w:rPr>
      </w:pPr>
    </w:p>
    <w:p>
      <w:pPr>
        <w:spacing w:line="360" w:lineRule="auto"/>
        <w:jc w:val="left"/>
        <w:rPr>
          <w:rFonts w:hint="eastAsia" w:ascii="宋体" w:hAnsi="宋体" w:cs="宋体"/>
          <w:color w:val="000000" w:themeColor="text1"/>
          <w:sz w:val="24"/>
          <w14:textFill>
            <w14:solidFill>
              <w14:schemeClr w14:val="tx1"/>
            </w14:solidFill>
          </w14:textFill>
        </w:rPr>
      </w:pP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投标供应商名称（盖章）：</w:t>
      </w:r>
    </w:p>
    <w:p>
      <w:pPr>
        <w:tabs>
          <w:tab w:val="left" w:pos="3780"/>
        </w:tabs>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  年  月   日</w:t>
      </w:r>
    </w:p>
    <w:p>
      <w:pPr>
        <w:pStyle w:val="8"/>
        <w:spacing w:line="360" w:lineRule="auto"/>
        <w:jc w:val="left"/>
        <w:rPr>
          <w:rFonts w:hint="eastAsia" w:hAnsi="宋体" w:cs="宋体"/>
          <w:color w:val="000000" w:themeColor="text1"/>
          <w:sz w:val="24"/>
          <w14:textFill>
            <w14:solidFill>
              <w14:schemeClr w14:val="tx1"/>
            </w14:solidFill>
          </w14:textFill>
        </w:rPr>
      </w:pPr>
    </w:p>
    <w:p>
      <w:pPr>
        <w:pStyle w:val="8"/>
        <w:spacing w:line="360" w:lineRule="auto"/>
        <w:jc w:val="left"/>
        <w:rPr>
          <w:rFonts w:hint="eastAsia" w:hAnsi="宋体" w:cs="宋体"/>
          <w:color w:val="000000" w:themeColor="text1"/>
          <w:sz w:val="24"/>
          <w14:textFill>
            <w14:solidFill>
              <w14:schemeClr w14:val="tx1"/>
            </w14:solidFill>
          </w14:textFill>
        </w:rPr>
      </w:pPr>
    </w:p>
    <w:p>
      <w:pPr>
        <w:spacing w:before="100" w:beforeAutospacing="1" w:after="100" w:afterAutospacing="1"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注：近三年内，如投标人有任何违法违规、受惩罚和禁止、不良信用等记录，必须列明记载，并附网络截图（加盖公章）。</w:t>
      </w:r>
    </w:p>
    <w:p>
      <w:pPr>
        <w:pStyle w:val="2"/>
        <w:rPr>
          <w:color w:val="000000" w:themeColor="text1"/>
          <w:lang w:val="fr-CH"/>
          <w14:textFill>
            <w14:solidFill>
              <w14:schemeClr w14:val="tx1"/>
            </w14:solidFill>
          </w14:textFill>
        </w:rPr>
      </w:pP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政府采购违法行为风险知悉确认书</w:t>
      </w:r>
    </w:p>
    <w:p>
      <w:pPr>
        <w:spacing w:line="360" w:lineRule="auto"/>
        <w:ind w:left="420"/>
        <w:jc w:val="center"/>
        <w:outlineLvl w:val="3"/>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政府采购违法行为风险知悉确认书</w:t>
      </w:r>
    </w:p>
    <w:p>
      <w:pPr>
        <w:autoSpaceDE w:val="0"/>
        <w:autoSpaceDN w:val="0"/>
        <w:adjustRightInd w:val="0"/>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7607" w:type="dxa"/>
            <w:vAlign w:val="center"/>
          </w:tcPr>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与其他投标供应商的法定代表人、主要经营负责人、投标授权代表人、项目负责人、主要技术人员为</w:t>
            </w:r>
            <w:r>
              <w:rPr>
                <w:rFonts w:hint="eastAsia" w:ascii="宋体" w:hAnsi="宋体" w:cs="宋体"/>
                <w:b/>
                <w:bCs/>
                <w:color w:val="000000" w:themeColor="text1"/>
                <w:sz w:val="24"/>
                <w14:textFill>
                  <w14:solidFill>
                    <w14:schemeClr w14:val="tx1"/>
                  </w14:solidFill>
                </w14:textFill>
              </w:rPr>
              <w:t>同一人、属同一单位或者在同一单位缴纳社会保险</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参与本项目政府采购活动时，与其他投标供应商存在单位负责人为</w:t>
            </w:r>
            <w:r>
              <w:rPr>
                <w:rFonts w:hint="eastAsia" w:ascii="宋体" w:hAnsi="宋体" w:cs="宋体"/>
                <w:b/>
                <w:bCs/>
                <w:color w:val="000000" w:themeColor="text1"/>
                <w:sz w:val="24"/>
                <w14:textFill>
                  <w14:solidFill>
                    <w14:schemeClr w14:val="tx1"/>
                  </w14:solidFill>
                </w14:textFill>
              </w:rPr>
              <w:t>同一人或直接控股、管理关系</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与其他投标供应商的投标文件或部分投标文件</w:t>
            </w:r>
            <w:r>
              <w:rPr>
                <w:rFonts w:hint="eastAsia" w:ascii="宋体" w:hAnsi="宋体" w:cs="宋体"/>
                <w:b/>
                <w:bCs/>
                <w:color w:val="000000" w:themeColor="text1"/>
                <w:sz w:val="24"/>
                <w14:textFill>
                  <w14:solidFill>
                    <w14:schemeClr w14:val="tx1"/>
                  </w14:solidFill>
                </w14:textFill>
              </w:rPr>
              <w:t>相互混装或存在非正常一致</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与其他投标供应商的投标文件由</w:t>
            </w:r>
            <w:r>
              <w:rPr>
                <w:rFonts w:hint="eastAsia" w:ascii="宋体" w:hAnsi="宋体" w:cs="宋体"/>
                <w:b/>
                <w:bCs/>
                <w:color w:val="000000" w:themeColor="text1"/>
                <w:sz w:val="24"/>
                <w14:textFill>
                  <w14:solidFill>
                    <w14:schemeClr w14:val="tx1"/>
                  </w14:solidFill>
                </w14:textFill>
              </w:rPr>
              <w:t>同一单位或者同一人编制</w:t>
            </w:r>
            <w:r>
              <w:rPr>
                <w:rFonts w:hint="eastAsia" w:ascii="宋体" w:hAnsi="宋体" w:cs="宋体"/>
                <w:color w:val="000000" w:themeColor="text1"/>
                <w:sz w:val="24"/>
                <w14:textFill>
                  <w14:solidFill>
                    <w14:schemeClr w14:val="tx1"/>
                  </w14:solidFill>
                </w14:textFill>
              </w:rPr>
              <w:t>，或者使用</w:t>
            </w:r>
            <w:r>
              <w:rPr>
                <w:rFonts w:hint="eastAsia" w:ascii="宋体" w:hAnsi="宋体" w:cs="宋体"/>
                <w:b/>
                <w:bCs/>
                <w:color w:val="000000" w:themeColor="text1"/>
                <w:sz w:val="24"/>
                <w14:textFill>
                  <w14:solidFill>
                    <w14:schemeClr w14:val="tx1"/>
                  </w14:solidFill>
                </w14:textFill>
              </w:rPr>
              <w:t>同一设备编制</w:t>
            </w:r>
            <w:r>
              <w:rPr>
                <w:rFonts w:hint="eastAsia" w:ascii="宋体" w:hAnsi="宋体" w:cs="宋体"/>
                <w:color w:val="000000" w:themeColor="text1"/>
                <w:sz w:val="24"/>
                <w14:textFill>
                  <w14:solidFill>
                    <w14:schemeClr w14:val="tx1"/>
                  </w14:solidFill>
                </w14:textFill>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7607" w:type="dxa"/>
            <w:vAlign w:val="center"/>
          </w:tcPr>
          <w:p>
            <w:pPr>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b/>
                <w:bCs/>
                <w:color w:val="000000" w:themeColor="text1"/>
                <w:sz w:val="24"/>
                <w14:textFill>
                  <w14:solidFill>
                    <w14:schemeClr w14:val="tx1"/>
                  </w14:solidFill>
                </w14:textFill>
              </w:rPr>
              <w:t>未经出具机构核实</w:t>
            </w:r>
            <w:r>
              <w:rPr>
                <w:rFonts w:hint="eastAsia" w:ascii="宋体" w:hAnsi="宋体" w:cs="宋体"/>
                <w:color w:val="000000" w:themeColor="text1"/>
                <w:sz w:val="24"/>
                <w14:textFill>
                  <w14:solidFill>
                    <w14:schemeClr w14:val="tx1"/>
                  </w14:solidFill>
                </w14:textFill>
              </w:rPr>
              <w:t>的虚假的检验检测报告、业绩材料、社保缴纳证明、学历学位证书、职称认证证书等材料。</w:t>
            </w:r>
          </w:p>
        </w:tc>
      </w:tr>
    </w:tbl>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一、本公司（单位）已充分知悉“隐瞒真实情况，提供虚假资料”的法定情形，相关情形包括但不限于：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（一）通过转让或者租借等方式从其他单位获取资格或者资质证书投标的。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（二）由其他单位或者其他单位负责人在投标供应商编制的投标文件上加盖印章或者签字的。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（三）项目负责人或者主要技术人员不是本单位人员的。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（四）投标保证金不是从投标供应商基本账户转出的。</w:t>
      </w:r>
    </w:p>
    <w:p>
      <w:pPr>
        <w:autoSpaceDE w:val="0"/>
        <w:autoSpaceDN w:val="0"/>
        <w:adjustRightInd w:val="0"/>
        <w:spacing w:line="360" w:lineRule="auto"/>
        <w:ind w:firstLine="600" w:firstLineChars="2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（五）其他隐瞒真实情况、提供虚假资料的行为。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二、本公司（单位）已充分知悉“与其他采购参加人串通投标”的法定情形，相关情形包括但不限于：</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（一）投标供应商之间相互约定给予未中标的供应商利益补偿。</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（三）不同投标供应商的投标文件由同一单位或者同一人编制，或者由同一人分阶段参与编制的。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（四）不同投标供应商的投标文件或部分投标文件相互混装。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（五）不同投标供应商的投标文件内容存在非正常一致。</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（六）由同一单位工作人员为两家以上（含两家）供应商进行同一项投标活动的。</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（七）不同投标人的投标报价呈规律性差异。</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（八）不同投标人的投标保证金从同一单位或者个人的账户转出。</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（九）主管部门依照法律、法规认定的其他情形。</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三、本公司（单位）已充分知悉下列情形所对应的法律风险，并在投标前已对相关风险事项进行排查。</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（三）对于涉及安全生产、特种作业、抢险救灾、防疫等政府采购项目，供应商实施提供虚假资料、串通投标等违法行为的，主管部门将依法从严处理。</w:t>
      </w:r>
    </w:p>
    <w:p>
      <w:pPr>
        <w:autoSpaceDE w:val="0"/>
        <w:autoSpaceDN w:val="0"/>
        <w:adjustRightInd w:val="0"/>
        <w:spacing w:line="360" w:lineRule="auto"/>
        <w:ind w:firstLine="360" w:firstLineChars="1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360" w:lineRule="auto"/>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以下文字请投标供应商</w:t>
      </w:r>
      <w:r>
        <w:rPr>
          <w:rFonts w:hint="eastAsia" w:ascii="宋体" w:hAnsi="宋体" w:cs="仿宋_GB2312"/>
          <w:b/>
          <w:bCs/>
          <w:color w:val="000000" w:themeColor="text1"/>
          <w:kern w:val="0"/>
          <w:sz w:val="24"/>
          <w14:textFill>
            <w14:solidFill>
              <w14:schemeClr w14:val="tx1"/>
            </w14:solidFill>
          </w14:textFill>
        </w:rPr>
        <w:t>抄写并确认</w:t>
      </w:r>
      <w:r>
        <w:rPr>
          <w:rFonts w:hint="eastAsia" w:ascii="宋体" w:hAnsi="宋体" w:cs="仿宋_GB2312"/>
          <w:color w:val="000000" w:themeColor="text1"/>
          <w:kern w:val="0"/>
          <w:sz w:val="24"/>
          <w14:textFill>
            <w14:solidFill>
              <w14:schemeClr w14:val="tx1"/>
            </w14:solidFill>
          </w14:textFill>
        </w:rPr>
        <w:t>：“本公司（单位）已仔细阅读《政府采购违法行为风险知悉确认书》，充分知悉违法行为的法律后果，并承诺将严谨、诚信、依法依规参与政府采购活动”。</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480" w:firstLineChars="200"/>
        <w:jc w:val="left"/>
        <w:rPr>
          <w:rFonts w:hint="eastAsia" w:ascii="宋体" w:hAnsi="宋体" w:cs="仿宋_GB2312"/>
          <w:color w:val="000000" w:themeColor="text1"/>
          <w:kern w:val="0"/>
          <w:sz w:val="24"/>
          <w14:textFill>
            <w14:solidFill>
              <w14:schemeClr w14:val="tx1"/>
            </w14:solidFill>
          </w14:textFill>
        </w:rPr>
      </w:pPr>
    </w:p>
    <w:p>
      <w:pPr>
        <w:autoSpaceDE w:val="0"/>
        <w:autoSpaceDN w:val="0"/>
        <w:adjustRightInd w:val="0"/>
        <w:spacing w:line="360" w:lineRule="auto"/>
        <w:ind w:firstLine="3840" w:firstLineChars="1600"/>
        <w:jc w:val="left"/>
        <w:rPr>
          <w:rFonts w:hint="eastAsia" w:ascii="宋体" w:hAnsi="宋体" w:cs="仿宋_GB2312"/>
          <w:color w:val="000000" w:themeColor="text1"/>
          <w:kern w:val="0"/>
          <w:sz w:val="24"/>
          <w:u w:val="single"/>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负责人</w:t>
      </w:r>
      <w:r>
        <w:rPr>
          <w:rFonts w:ascii="宋体" w:hAnsi="宋体" w:cs="仿宋_GB2312"/>
          <w:color w:val="000000" w:themeColor="text1"/>
          <w:kern w:val="0"/>
          <w:sz w:val="24"/>
          <w14:textFill>
            <w14:solidFill>
              <w14:schemeClr w14:val="tx1"/>
            </w14:solidFill>
          </w14:textFill>
        </w:rPr>
        <w:t>/</w:t>
      </w:r>
      <w:r>
        <w:rPr>
          <w:rFonts w:hint="eastAsia" w:ascii="宋体" w:hAnsi="宋体" w:cs="仿宋_GB2312"/>
          <w:color w:val="000000" w:themeColor="text1"/>
          <w:kern w:val="0"/>
          <w:sz w:val="24"/>
          <w14:textFill>
            <w14:solidFill>
              <w14:schemeClr w14:val="tx1"/>
            </w14:solidFill>
          </w14:textFill>
        </w:rPr>
        <w:t>投标授权代表签名：</w:t>
      </w:r>
      <w:r>
        <w:rPr>
          <w:rFonts w:hint="eastAsia" w:ascii="宋体" w:hAnsi="宋体" w:cs="仿宋_GB2312"/>
          <w:color w:val="000000" w:themeColor="text1"/>
          <w:kern w:val="0"/>
          <w:sz w:val="24"/>
          <w:u w:val="single"/>
          <w14:textFill>
            <w14:solidFill>
              <w14:schemeClr w14:val="tx1"/>
            </w14:solidFill>
          </w14:textFill>
        </w:rPr>
        <w:t xml:space="preserve">                </w:t>
      </w:r>
    </w:p>
    <w:p>
      <w:pPr>
        <w:autoSpaceDE w:val="0"/>
        <w:autoSpaceDN w:val="0"/>
        <w:adjustRightInd w:val="0"/>
        <w:spacing w:line="360" w:lineRule="auto"/>
        <w:ind w:firstLine="4920" w:firstLineChars="2050"/>
        <w:jc w:val="left"/>
        <w:rPr>
          <w:rFonts w:hint="eastAsia"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知悉人（公章）：</w:t>
      </w:r>
    </w:p>
    <w:p>
      <w:pPr>
        <w:spacing w:line="360" w:lineRule="auto"/>
        <w:jc w:val="right"/>
        <w:rPr>
          <w:rFonts w:hint="eastAsia" w:ascii="宋体" w:hAnsi="宋体" w:cs="宋体"/>
          <w:color w:val="000000" w:themeColor="text1"/>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日期： 202  年   月   日</w:t>
      </w:r>
      <w:r>
        <w:rPr>
          <w:rFonts w:hint="eastAsia" w:ascii="宋体" w:hAnsi="宋体" w:cs="宋体"/>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参与价格扣除的证明文件</w:t>
      </w:r>
    </w:p>
    <w:p>
      <w:pPr>
        <w:keepNext/>
        <w:keepLines/>
        <w:jc w:val="center"/>
        <w:outlineLvl w:val="4"/>
        <w:rPr>
          <w:rFonts w:hint="eastAsia" w:ascii="宋体" w:hAnsi="宋体" w:cs="宋体"/>
          <w:bCs/>
          <w:color w:val="000000" w:themeColor="text1"/>
          <w:kern w:val="44"/>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①中小企业声明函（工程、服务）</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本公司（联合体）郑重声明，根据《政府采购促进中小企业发展管理办法》（财库﹝2020﹞46 号）的规定，本公司</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（联合体）参加</w:t>
      </w:r>
      <w:r>
        <w:rPr>
          <w:rFonts w:hint="eastAsia" w:ascii="宋体" w:hAnsi="宋体" w:cs="宋体"/>
          <w:color w:val="000000" w:themeColor="text1"/>
          <w:sz w:val="24"/>
          <w:u w:val="single"/>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；承建（承接）企业为</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ab/>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（中型企业、小型企业、微型企业）</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企业名称（盖章）</w:t>
      </w:r>
    </w:p>
    <w:p>
      <w:pPr>
        <w:widowControl/>
        <w:ind w:firstLine="482" w:firstLineChars="200"/>
        <w:jc w:val="right"/>
        <w:textAlignment w:val="baseline"/>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日期：</w:t>
      </w: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widowControl/>
        <w:ind w:firstLine="480" w:firstLineChars="200"/>
        <w:textAlignment w:val="baseline"/>
        <w:rPr>
          <w:rFonts w:hint="eastAsia" w:ascii="宋体" w:hAnsi="宋体" w:cs="宋体"/>
          <w:color w:val="000000" w:themeColor="text1"/>
          <w:sz w:val="24"/>
          <w14:textFill>
            <w14:solidFill>
              <w14:schemeClr w14:val="tx1"/>
            </w14:solidFill>
          </w14:textFill>
        </w:rPr>
      </w:pPr>
    </w:p>
    <w:p>
      <w:pPr>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注意事项：</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1.从业人员、营业收入、资产总额填报上一年度数据，无上一年度数据的新成立企业可不填报；</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ind w:firstLine="482"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4.相关承接/承建企业的所属行业应当与采购标的所属行业（采购文件中明确的行业）相一致。</w:t>
      </w:r>
    </w:p>
    <w:p>
      <w:pPr>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ind w:firstLine="482" w:firstLineChars="20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附：中小企业划型标准规定</w:t>
      </w:r>
    </w:p>
    <w:p>
      <w:pPr>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一、根据《中华人民共和国中小企业促进法》和《国务院关于进一步促进中小企业发展的若干意见》(国发〔2009〕36号)，制定本规定。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 关于印发中小企业划型标准规定的通知</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 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 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adjustRightInd w:val="0"/>
        <w:snapToGrid w:val="0"/>
        <w:spacing w:line="360" w:lineRule="auto"/>
        <w:jc w:val="center"/>
        <w:outlineLvl w:val="4"/>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②残疾人福利性单位声明函（样表）</w:t>
      </w:r>
    </w:p>
    <w:p>
      <w:pPr>
        <w:spacing w:line="620" w:lineRule="exact"/>
        <w:ind w:firstLine="480"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color w:val="000000" w:themeColor="text1"/>
          <w:spacing w:val="6"/>
          <w:sz w:val="24"/>
          <w14:textFill>
            <w14:solidFill>
              <w14:schemeClr w14:val="tx1"/>
            </w14:solidFill>
          </w14:textFill>
        </w:rPr>
        <w:t>单位参加</w:t>
      </w:r>
      <w:r>
        <w:rPr>
          <w:rFonts w:hint="eastAsia" w:ascii="宋体" w:hAnsi="宋体" w:cs="宋体"/>
          <w:color w:val="000000" w:themeColor="text1"/>
          <w:spacing w:val="6"/>
          <w:sz w:val="24"/>
          <w:u w:val="single"/>
          <w14:textFill>
            <w14:solidFill>
              <w14:schemeClr w14:val="tx1"/>
            </w14:solidFill>
          </w14:textFill>
        </w:rPr>
        <w:t xml:space="preserve"> （采购单位名称） </w:t>
      </w:r>
      <w:r>
        <w:rPr>
          <w:rFonts w:hint="eastAsia" w:ascii="宋体" w:hAnsi="宋体" w:cs="宋体"/>
          <w:color w:val="000000" w:themeColor="text1"/>
          <w:spacing w:val="6"/>
          <w:sz w:val="24"/>
          <w14:textFill>
            <w14:solidFill>
              <w14:schemeClr w14:val="tx1"/>
            </w14:solidFill>
          </w14:textFill>
        </w:rPr>
        <w:t>单位的</w:t>
      </w:r>
      <w:r>
        <w:rPr>
          <w:rFonts w:hint="eastAsia" w:ascii="宋体" w:hAnsi="宋体" w:cs="宋体"/>
          <w:color w:val="000000" w:themeColor="text1"/>
          <w:spacing w:val="6"/>
          <w:sz w:val="24"/>
          <w:u w:val="single"/>
          <w14:textFill>
            <w14:solidFill>
              <w14:schemeClr w14:val="tx1"/>
            </w14:solidFill>
          </w14:textFill>
        </w:rPr>
        <w:t xml:space="preserve"> （采购项目名称） </w:t>
      </w:r>
      <w:r>
        <w:rPr>
          <w:rFonts w:hint="eastAsia" w:ascii="宋体" w:hAnsi="宋体" w:cs="宋体"/>
          <w:color w:val="000000" w:themeColor="text1"/>
          <w:spacing w:val="6"/>
          <w:sz w:val="24"/>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spacing w:line="620" w:lineRule="exact"/>
        <w:ind w:firstLine="504" w:firstLineChars="200"/>
        <w:rPr>
          <w:rFonts w:hint="eastAsia" w:ascii="宋体" w:hAnsi="宋体" w:cs="宋体"/>
          <w:color w:val="000000" w:themeColor="text1"/>
          <w:spacing w:val="6"/>
          <w:sz w:val="24"/>
          <w14:textFill>
            <w14:solidFill>
              <w14:schemeClr w14:val="tx1"/>
            </w14:solidFill>
          </w14:textFill>
        </w:rPr>
      </w:pPr>
    </w:p>
    <w:p>
      <w:pPr>
        <w:tabs>
          <w:tab w:val="left" w:pos="4860"/>
        </w:tabs>
        <w:spacing w:line="620"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单位名称（盖章）：</w:t>
      </w:r>
    </w:p>
    <w:p>
      <w:pPr>
        <w:tabs>
          <w:tab w:val="left" w:pos="4860"/>
        </w:tabs>
        <w:spacing w:line="620" w:lineRule="exact"/>
        <w:ind w:right="1560" w:firstLine="504" w:firstLineChars="200"/>
        <w:jc w:val="center"/>
        <w:rPr>
          <w:rStyle w:val="26"/>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日  期：</w:t>
      </w:r>
    </w:p>
    <w:p>
      <w:pPr>
        <w:snapToGrid w:val="0"/>
        <w:spacing w:line="360" w:lineRule="auto"/>
        <w:ind w:firstLine="480" w:firstLineChars="200"/>
        <w:jc w:val="left"/>
        <w:textAlignment w:val="baseline"/>
        <w:rPr>
          <w:rStyle w:val="26"/>
          <w:rFonts w:hint="eastAsia" w:ascii="宋体" w:hAnsi="宋体" w:cs="宋体"/>
          <w:color w:val="000000" w:themeColor="text1"/>
          <w:sz w:val="24"/>
          <w14:textFill>
            <w14:solidFill>
              <w14:schemeClr w14:val="tx1"/>
            </w14:solidFill>
          </w14:textFill>
        </w:rPr>
      </w:pPr>
    </w:p>
    <w:p>
      <w:pPr>
        <w:snapToGrid w:val="0"/>
        <w:spacing w:line="360" w:lineRule="auto"/>
        <w:ind w:firstLine="482" w:firstLineChars="200"/>
        <w:jc w:val="left"/>
        <w:textAlignment w:val="baseline"/>
        <w:rPr>
          <w:rStyle w:val="26"/>
          <w:rFonts w:hint="eastAsia" w:ascii="宋体" w:hAnsi="宋体" w:cs="宋体"/>
          <w:b/>
          <w:color w:val="000000" w:themeColor="text1"/>
          <w:sz w:val="24"/>
          <w14:textFill>
            <w14:solidFill>
              <w14:schemeClr w14:val="tx1"/>
            </w14:solidFill>
          </w14:textFill>
        </w:rPr>
      </w:pPr>
      <w:r>
        <w:rPr>
          <w:rStyle w:val="26"/>
          <w:rFonts w:hint="eastAsia" w:ascii="宋体" w:hAnsi="宋体" w:cs="宋体"/>
          <w:b/>
          <w:color w:val="000000" w:themeColor="text1"/>
          <w:sz w:val="24"/>
          <w14:textFill>
            <w14:solidFill>
              <w14:schemeClr w14:val="tx1"/>
            </w14:solidFill>
          </w14:textFill>
        </w:rPr>
        <w:t>投标人知悉《关于促进残疾人就业政府采购政策的通知》（财库〔2017〕141 号）的规定，承诺提供的声明函内容是真实的，如提供声明函内容不实，则依法追究相关法律责任。</w:t>
      </w:r>
    </w:p>
    <w:p>
      <w:pPr>
        <w:snapToGrid w:val="0"/>
        <w:spacing w:line="360" w:lineRule="auto"/>
        <w:jc w:val="center"/>
        <w:textAlignment w:val="baseline"/>
        <w:outlineLvl w:val="4"/>
        <w:rPr>
          <w:rStyle w:val="26"/>
          <w:rFonts w:hint="eastAsia" w:ascii="宋体" w:hAnsi="宋体" w:cs="宋体"/>
          <w:b/>
          <w:color w:val="000000" w:themeColor="text1"/>
          <w:sz w:val="24"/>
          <w14:textFill>
            <w14:solidFill>
              <w14:schemeClr w14:val="tx1"/>
            </w14:solidFill>
          </w14:textFill>
        </w:rPr>
      </w:pPr>
      <w:r>
        <w:rPr>
          <w:rStyle w:val="26"/>
          <w:rFonts w:hint="eastAsia" w:ascii="宋体" w:hAnsi="宋体" w:cs="宋体"/>
          <w:b/>
          <w:color w:val="000000" w:themeColor="text1"/>
          <w:sz w:val="24"/>
          <w14:textFill>
            <w14:solidFill>
              <w14:schemeClr w14:val="tx1"/>
            </w14:solidFill>
          </w14:textFill>
        </w:rPr>
        <w:br w:type="page"/>
      </w:r>
      <w:r>
        <w:rPr>
          <w:rStyle w:val="26"/>
          <w:rFonts w:hint="eastAsia" w:ascii="宋体" w:hAnsi="宋体" w:cs="宋体"/>
          <w:b/>
          <w:color w:val="000000" w:themeColor="text1"/>
          <w:sz w:val="24"/>
          <w14:textFill>
            <w14:solidFill>
              <w14:schemeClr w14:val="tx1"/>
            </w14:solidFill>
          </w14:textFill>
        </w:rPr>
        <w:t>③监狱企业声明函</w:t>
      </w:r>
    </w:p>
    <w:p>
      <w:pPr>
        <w:snapToGrid w:val="0"/>
        <w:spacing w:line="620" w:lineRule="exact"/>
        <w:ind w:firstLine="504" w:firstLineChars="200"/>
        <w:textAlignment w:val="baseline"/>
        <w:rPr>
          <w:rStyle w:val="26"/>
          <w:rFonts w:hint="eastAsia" w:ascii="宋体" w:hAnsi="宋体" w:cs="宋体"/>
          <w:color w:val="000000" w:themeColor="text1"/>
          <w:spacing w:val="6"/>
          <w:sz w:val="24"/>
          <w14:textFill>
            <w14:solidFill>
              <w14:schemeClr w14:val="tx1"/>
            </w14:solidFill>
          </w14:textFill>
        </w:rPr>
      </w:pPr>
      <w:r>
        <w:rPr>
          <w:rStyle w:val="26"/>
          <w:rFonts w:hint="eastAsia" w:ascii="宋体" w:hAnsi="宋体" w:cs="宋体"/>
          <w:color w:val="000000" w:themeColor="text1"/>
          <w:spacing w:val="6"/>
          <w:sz w:val="24"/>
          <w14:textFill>
            <w14:solidFill>
              <w14:schemeClr w14:val="tx1"/>
            </w14:solidFill>
          </w14:textFill>
        </w:rPr>
        <w:t>本单位郑重声明，根据《财政部司法部关于政府采购支持监狱企业发展有关问题的通知》（财库〔2014〕68号）的规定，本单位为符合条件的监狱企业，且本单位参加</w:t>
      </w:r>
      <w:r>
        <w:rPr>
          <w:rStyle w:val="26"/>
          <w:rFonts w:hint="eastAsia" w:ascii="宋体" w:hAnsi="宋体" w:cs="宋体"/>
          <w:color w:val="000000" w:themeColor="text1"/>
          <w:spacing w:val="6"/>
          <w:sz w:val="24"/>
          <w:u w:val="single"/>
          <w14:textFill>
            <w14:solidFill>
              <w14:schemeClr w14:val="tx1"/>
            </w14:solidFill>
          </w14:textFill>
        </w:rPr>
        <w:t xml:space="preserve"> （采购单位名称） </w:t>
      </w:r>
      <w:r>
        <w:rPr>
          <w:rStyle w:val="26"/>
          <w:rFonts w:hint="eastAsia" w:ascii="宋体" w:hAnsi="宋体" w:cs="宋体"/>
          <w:color w:val="000000" w:themeColor="text1"/>
          <w:spacing w:val="6"/>
          <w:sz w:val="24"/>
          <w14:textFill>
            <w14:solidFill>
              <w14:schemeClr w14:val="tx1"/>
            </w14:solidFill>
          </w14:textFill>
        </w:rPr>
        <w:t>单位的</w:t>
      </w:r>
      <w:r>
        <w:rPr>
          <w:rStyle w:val="26"/>
          <w:rFonts w:hint="eastAsia" w:ascii="宋体" w:hAnsi="宋体" w:cs="宋体"/>
          <w:color w:val="000000" w:themeColor="text1"/>
          <w:spacing w:val="6"/>
          <w:sz w:val="24"/>
          <w:u w:val="single"/>
          <w14:textFill>
            <w14:solidFill>
              <w14:schemeClr w14:val="tx1"/>
            </w14:solidFill>
          </w14:textFill>
        </w:rPr>
        <w:t xml:space="preserve"> （采购项目名称） </w:t>
      </w:r>
      <w:r>
        <w:rPr>
          <w:rStyle w:val="26"/>
          <w:rFonts w:hint="eastAsia" w:ascii="宋体" w:hAnsi="宋体" w:cs="宋体"/>
          <w:color w:val="000000" w:themeColor="text1"/>
          <w:spacing w:val="6"/>
          <w:sz w:val="24"/>
          <w14:textFill>
            <w14:solidFill>
              <w14:schemeClr w14:val="tx1"/>
            </w14:solidFill>
          </w14:textFill>
        </w:rPr>
        <w:t>项目采购</w:t>
      </w:r>
      <w:r>
        <w:rPr>
          <w:rStyle w:val="26"/>
          <w:rFonts w:hint="eastAsia" w:ascii="宋体" w:hAnsi="宋体" w:cs="宋体"/>
          <w:color w:val="000000" w:themeColor="text1"/>
          <w:kern w:val="0"/>
          <w:sz w:val="24"/>
          <w14:textFill>
            <w14:solidFill>
              <w14:schemeClr w14:val="tx1"/>
            </w14:solidFill>
          </w14:textFill>
        </w:rPr>
        <w:t>活动，并提供：□本单位制造的货物；□由本单位承担的工程、提供服务；□提供其他监狱企业制造的货物（承诺人在□处打√）</w:t>
      </w:r>
      <w:r>
        <w:rPr>
          <w:rStyle w:val="26"/>
          <w:rFonts w:hint="eastAsia" w:ascii="宋体" w:hAnsi="宋体" w:cs="宋体"/>
          <w:color w:val="000000" w:themeColor="text1"/>
          <w:spacing w:val="6"/>
          <w:sz w:val="24"/>
          <w14:textFill>
            <w14:solidFill>
              <w14:schemeClr w14:val="tx1"/>
            </w14:solidFill>
          </w14:textFill>
        </w:rPr>
        <w:t>。</w:t>
      </w:r>
      <w:r>
        <w:rPr>
          <w:rStyle w:val="26"/>
          <w:rFonts w:hint="eastAsia" w:ascii="宋体" w:hAnsi="宋体" w:cs="宋体"/>
          <w:color w:val="000000" w:themeColor="text1"/>
          <w:kern w:val="0"/>
          <w:sz w:val="24"/>
          <w14:textFill>
            <w14:solidFill>
              <w14:schemeClr w14:val="tx1"/>
            </w14:solidFill>
          </w14:textFill>
        </w:rPr>
        <w:t>本条所称货物是指单一产品采购项目中的货物，或者非单一产品采购项目中的核心产品（货物）。</w:t>
      </w:r>
    </w:p>
    <w:p>
      <w:pPr>
        <w:snapToGrid w:val="0"/>
        <w:spacing w:line="620" w:lineRule="exact"/>
        <w:ind w:firstLine="504" w:firstLineChars="200"/>
        <w:textAlignment w:val="baseline"/>
        <w:rPr>
          <w:rStyle w:val="26"/>
          <w:rFonts w:hint="eastAsia" w:ascii="宋体" w:hAnsi="宋体" w:cs="宋体"/>
          <w:color w:val="000000" w:themeColor="text1"/>
          <w:spacing w:val="6"/>
          <w:sz w:val="24"/>
          <w14:textFill>
            <w14:solidFill>
              <w14:schemeClr w14:val="tx1"/>
            </w14:solidFill>
          </w14:textFill>
        </w:rPr>
      </w:pPr>
      <w:r>
        <w:rPr>
          <w:rStyle w:val="26"/>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snapToGrid w:val="0"/>
        <w:spacing w:line="620" w:lineRule="exact"/>
        <w:ind w:firstLine="504" w:firstLineChars="200"/>
        <w:textAlignment w:val="baseline"/>
        <w:rPr>
          <w:rStyle w:val="26"/>
          <w:rFonts w:hint="eastAsia" w:ascii="宋体" w:hAnsi="宋体" w:cs="宋体"/>
          <w:color w:val="000000" w:themeColor="text1"/>
          <w:spacing w:val="6"/>
          <w:sz w:val="24"/>
          <w14:textFill>
            <w14:solidFill>
              <w14:schemeClr w14:val="tx1"/>
            </w14:solidFill>
          </w14:textFill>
        </w:rPr>
      </w:pPr>
      <w:r>
        <w:rPr>
          <w:rStyle w:val="26"/>
          <w:rFonts w:hint="eastAsia" w:ascii="宋体" w:hAnsi="宋体" w:cs="宋体"/>
          <w:color w:val="000000" w:themeColor="text1"/>
          <w:spacing w:val="6"/>
          <w:sz w:val="24"/>
          <w14:textFill>
            <w14:solidFill>
              <w14:schemeClr w14:val="tx1"/>
            </w14:solidFill>
          </w14:textFill>
        </w:rPr>
        <w:t>附：省级以上监狱管理局、戒毒管理局（含新疆生产建设兵团）出具的监狱企业证明文件。</w:t>
      </w:r>
    </w:p>
    <w:p>
      <w:pPr>
        <w:snapToGrid w:val="0"/>
        <w:spacing w:line="620" w:lineRule="exact"/>
        <w:ind w:firstLine="504" w:firstLineChars="200"/>
        <w:textAlignment w:val="baseline"/>
        <w:rPr>
          <w:rStyle w:val="26"/>
          <w:rFonts w:hint="eastAsia" w:ascii="宋体" w:hAnsi="宋体" w:cs="宋体"/>
          <w:color w:val="000000" w:themeColor="text1"/>
          <w:spacing w:val="6"/>
          <w:sz w:val="24"/>
          <w14:textFill>
            <w14:solidFill>
              <w14:schemeClr w14:val="tx1"/>
            </w14:solidFill>
          </w14:textFill>
        </w:rPr>
      </w:pPr>
    </w:p>
    <w:p>
      <w:pPr>
        <w:snapToGrid w:val="0"/>
        <w:spacing w:line="620" w:lineRule="exact"/>
        <w:ind w:firstLine="504" w:firstLineChars="200"/>
        <w:textAlignment w:val="baseline"/>
        <w:rPr>
          <w:rStyle w:val="26"/>
          <w:rFonts w:hint="eastAsia" w:ascii="宋体" w:hAnsi="宋体" w:cs="宋体"/>
          <w:color w:val="000000" w:themeColor="text1"/>
          <w:spacing w:val="6"/>
          <w:sz w:val="24"/>
          <w14:textFill>
            <w14:solidFill>
              <w14:schemeClr w14:val="tx1"/>
            </w14:solidFill>
          </w14:textFill>
        </w:rPr>
      </w:pPr>
    </w:p>
    <w:p>
      <w:pPr>
        <w:tabs>
          <w:tab w:val="left" w:pos="4860"/>
        </w:tabs>
        <w:snapToGrid w:val="0"/>
        <w:spacing w:line="620" w:lineRule="exact"/>
        <w:ind w:right="1560" w:firstLine="504" w:firstLineChars="200"/>
        <w:jc w:val="center"/>
        <w:textAlignment w:val="baseline"/>
        <w:rPr>
          <w:rStyle w:val="26"/>
          <w:rFonts w:hint="eastAsia" w:ascii="宋体" w:hAnsi="宋体" w:cs="宋体"/>
          <w:color w:val="000000" w:themeColor="text1"/>
          <w:spacing w:val="6"/>
          <w:sz w:val="24"/>
          <w14:textFill>
            <w14:solidFill>
              <w14:schemeClr w14:val="tx1"/>
            </w14:solidFill>
          </w14:textFill>
        </w:rPr>
      </w:pPr>
      <w:r>
        <w:rPr>
          <w:rStyle w:val="26"/>
          <w:rFonts w:hint="eastAsia" w:ascii="宋体" w:hAnsi="宋体" w:cs="宋体"/>
          <w:color w:val="000000" w:themeColor="text1"/>
          <w:spacing w:val="6"/>
          <w:sz w:val="24"/>
          <w14:textFill>
            <w14:solidFill>
              <w14:schemeClr w14:val="tx1"/>
            </w14:solidFill>
          </w14:textFill>
        </w:rPr>
        <w:t xml:space="preserve">               单位名称（盖章）：</w:t>
      </w:r>
    </w:p>
    <w:p>
      <w:pPr>
        <w:tabs>
          <w:tab w:val="left" w:pos="640"/>
          <w:tab w:val="left" w:pos="840"/>
          <w:tab w:val="left" w:pos="1260"/>
          <w:tab w:val="left" w:pos="1418"/>
        </w:tabs>
        <w:spacing w:line="360" w:lineRule="auto"/>
        <w:rPr>
          <w:rFonts w:hint="eastAsia" w:ascii="宋体" w:hAnsi="宋体" w:cs="宋体"/>
          <w:color w:val="000000" w:themeColor="text1"/>
          <w:spacing w:val="6"/>
          <w:sz w:val="24"/>
          <w14:textFill>
            <w14:solidFill>
              <w14:schemeClr w14:val="tx1"/>
            </w14:solidFill>
          </w14:textFill>
        </w:rPr>
      </w:pPr>
      <w:r>
        <w:rPr>
          <w:rStyle w:val="26"/>
          <w:rFonts w:hint="eastAsia" w:ascii="宋体" w:hAnsi="宋体" w:cs="宋体"/>
          <w:color w:val="000000" w:themeColor="text1"/>
          <w:spacing w:val="6"/>
          <w:sz w:val="24"/>
          <w14:textFill>
            <w14:solidFill>
              <w14:schemeClr w14:val="tx1"/>
            </w14:solidFill>
          </w14:textFill>
        </w:rPr>
        <w:t xml:space="preserve">                          日  期</w:t>
      </w:r>
      <w:r>
        <w:rPr>
          <w:rFonts w:hint="eastAsia" w:ascii="宋体" w:hAnsi="宋体" w:cs="宋体"/>
          <w:color w:val="000000" w:themeColor="text1"/>
          <w:spacing w:val="6"/>
          <w:sz w:val="24"/>
          <w14:textFill>
            <w14:solidFill>
              <w14:schemeClr w14:val="tx1"/>
            </w14:solidFill>
          </w14:textFill>
        </w:rPr>
        <w:t>：</w:t>
      </w:r>
    </w:p>
    <w:p>
      <w:pPr>
        <w:rPr>
          <w:color w:val="000000" w:themeColor="text1"/>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供应商基本情况表、社保证明及股权关系证明</w:t>
      </w:r>
    </w:p>
    <w:p>
      <w:pPr>
        <w:snapToGrid w:val="0"/>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深圳经济特区政府采购条例实施细则》第七十五条规定，以下内容将作为判定本项目不同投标供应商是否涉嫌、属于串通投标的重要依据，请供应商认真填报，并保证所填信息的真实、准确和完整。）</w:t>
      </w:r>
    </w:p>
    <w:p>
      <w:pPr>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1.《供应商基本情况表》</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填表单位（</w:t>
      </w:r>
      <w:r>
        <w:rPr>
          <w:rFonts w:hint="eastAsia" w:ascii="宋体" w:hAnsi="宋体" w:cs="宋体"/>
          <w:b/>
          <w:bCs/>
          <w:color w:val="000000" w:themeColor="text1"/>
          <w:sz w:val="24"/>
          <w14:textFill>
            <w14:solidFill>
              <w14:schemeClr w14:val="tx1"/>
            </w14:solidFill>
          </w14:textFill>
        </w:rPr>
        <w:t>加盖单位公章，必填项</w:t>
      </w:r>
      <w:r>
        <w:rPr>
          <w:rFonts w:hint="eastAsia" w:ascii="宋体" w:hAnsi="宋体" w:cs="宋体"/>
          <w:color w:val="000000" w:themeColor="text1"/>
          <w:sz w:val="24"/>
          <w14:textFill>
            <w14:solidFill>
              <w14:schemeClr w14:val="tx1"/>
            </w14:solidFill>
          </w14:textFill>
        </w:rPr>
        <w:t>）：</w:t>
      </w:r>
    </w:p>
    <w:p>
      <w:pPr>
        <w:adjustRightInd w:val="0"/>
        <w:snapToGrid w:val="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填表日期（</w:t>
      </w:r>
      <w:r>
        <w:rPr>
          <w:rFonts w:hint="eastAsia" w:ascii="宋体" w:hAnsi="宋体" w:cs="宋体"/>
          <w:b/>
          <w:bCs/>
          <w:color w:val="000000" w:themeColor="text1"/>
          <w:sz w:val="24"/>
          <w14:textFill>
            <w14:solidFill>
              <w14:schemeClr w14:val="tx1"/>
            </w14:solidFill>
          </w14:textFill>
        </w:rPr>
        <w:t>必填项</w:t>
      </w:r>
      <w:r>
        <w:rPr>
          <w:rFonts w:hint="eastAsia" w:ascii="宋体" w:hAnsi="宋体" w:cs="宋体"/>
          <w:color w:val="000000" w:themeColor="text1"/>
          <w:sz w:val="24"/>
          <w14:textFill>
            <w14:solidFill>
              <w14:schemeClr w14:val="tx1"/>
            </w14:solidFill>
          </w14:textFill>
        </w:rPr>
        <w:t>）：        年     月      日</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4"/>
        <w:gridCol w:w="1467"/>
        <w:gridCol w:w="926"/>
        <w:gridCol w:w="718"/>
        <w:gridCol w:w="1304"/>
        <w:gridCol w:w="139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投标（响应）供应商</w:t>
            </w:r>
          </w:p>
        </w:tc>
        <w:tc>
          <w:tcPr>
            <w:tcW w:w="140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供应商统一社会信用代码</w:t>
            </w:r>
          </w:p>
        </w:tc>
        <w:tc>
          <w:tcPr>
            <w:tcW w:w="1656"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职务</w:t>
            </w:r>
          </w:p>
        </w:tc>
        <w:tc>
          <w:tcPr>
            <w:tcW w:w="543"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姓名</w:t>
            </w:r>
          </w:p>
        </w:tc>
        <w:tc>
          <w:tcPr>
            <w:tcW w:w="1188" w:type="pct"/>
            <w:gridSpan w:val="2"/>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身份证号码</w:t>
            </w:r>
          </w:p>
        </w:tc>
        <w:tc>
          <w:tcPr>
            <w:tcW w:w="821"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劳动合同</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关系单位</w:t>
            </w:r>
          </w:p>
        </w:tc>
        <w:tc>
          <w:tcPr>
            <w:tcW w:w="835" w:type="pct"/>
            <w:tcBorders>
              <w:bottom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缴纳社会</w:t>
            </w:r>
          </w:p>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法定代表人/单位负责人/主要经营负责人（必填项）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项目投标授权代表人（必填项）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1223"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项目负责人（如有）</w:t>
            </w:r>
          </w:p>
        </w:tc>
        <w:tc>
          <w:tcPr>
            <w:tcW w:w="543"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tcBorders>
              <w:top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主要技术人员（如有）</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1223"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投标文件编制人员（必填项）</w:t>
            </w:r>
          </w:p>
        </w:tc>
        <w:tc>
          <w:tcPr>
            <w:tcW w:w="543"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1188" w:type="pct"/>
            <w:gridSpan w:val="2"/>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21"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835" w:type="pct"/>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说明：1.同一职务有多人担任（如主要技术人员），应分行填写。</w:t>
            </w:r>
          </w:p>
          <w:p>
            <w:pPr>
              <w:pStyle w:val="5"/>
              <w:ind w:firstLine="723" w:firstLineChars="300"/>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2.上述项目负责人、主要技术人员必须为供应商本单位人员。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widowControl/>
              <w:snapToGrid w:val="0"/>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关联关系类型</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控股股东（必填项）</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2.如股东为法人或其他组织的，请填写法人或组织的全称及统一社会信用代码；如股东为自然人的，请填写姓名及身份证号。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管理关系（如无，可不填写）</w:t>
            </w:r>
          </w:p>
        </w:tc>
        <w:tc>
          <w:tcPr>
            <w:tcW w:w="966"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宋体"/>
                <w:bCs/>
                <w:color w:val="000000" w:themeColor="text1"/>
                <w:sz w:val="24"/>
                <w14:textFill>
                  <w14:solidFill>
                    <w14:schemeClr w14:val="tx1"/>
                  </w14:solidFill>
                </w14:textFill>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说明：</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1.同一关联关系类型有多个主体的，应分行填写。</w:t>
            </w:r>
          </w:p>
          <w:p>
            <w:pPr>
              <w:pStyle w:val="5"/>
              <w:ind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2.上述规定的控股、管理关系仅限于直接控股、直接管理关系，不包括间接的控股或管理关系。</w:t>
            </w:r>
          </w:p>
        </w:tc>
      </w:tr>
    </w:tbl>
    <w:p>
      <w:pPr>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备注：注明“必填项”的必须填写；未注明“必填项”的，如供应商未填写则视为未安排（或无）。</w:t>
      </w:r>
    </w:p>
    <w:p>
      <w:pPr>
        <w:widowControl/>
        <w:snapToGrid w:val="0"/>
        <w:rPr>
          <w:rFonts w:hint="eastAsia" w:ascii="宋体" w:hAnsi="宋体" w:cs="宋体"/>
          <w:b/>
          <w:color w:val="000000" w:themeColor="text1"/>
          <w:sz w:val="24"/>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2.社保</w:t>
      </w:r>
      <w:bookmarkStart w:id="63" w:name="OLE_LINK9"/>
      <w:r>
        <w:rPr>
          <w:rFonts w:hint="eastAsia" w:ascii="宋体" w:hAnsi="宋体" w:cs="宋体"/>
          <w:b/>
          <w:color w:val="000000" w:themeColor="text1"/>
          <w:sz w:val="28"/>
          <w:szCs w:val="28"/>
          <w14:textFill>
            <w14:solidFill>
              <w14:schemeClr w14:val="tx1"/>
            </w14:solidFill>
          </w14:textFill>
        </w:rPr>
        <w:t>证明</w:t>
      </w:r>
      <w:bookmarkEnd w:id="63"/>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（1）法定代表人/单位负责人/主要经营负责人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（2）投标授权代表人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（3）项目负责人（如本项目未安排，可不提供）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（4）主要技术人员（如本项目未安排，可不提供）</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bCs/>
          <w:color w:val="000000" w:themeColor="text1"/>
          <w:sz w:val="24"/>
          <w:szCs w:val="24"/>
          <w14:textFill>
            <w14:solidFill>
              <w14:schemeClr w14:val="tx1"/>
            </w14:solidFill>
          </w14:textFill>
        </w:rPr>
      </w:pPr>
    </w:p>
    <w:p>
      <w:pPr>
        <w:widowControl/>
        <w:numPr>
          <w:ilvl w:val="0"/>
          <w:numId w:val="14"/>
        </w:numPr>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投标文件编制人员</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身份证复印件（正反面）：</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开标前一个月的社保缴纳凭证：</w:t>
      </w:r>
    </w:p>
    <w:p>
      <w:pPr>
        <w:pStyle w:val="5"/>
        <w:widowControl/>
        <w:ind w:firstLine="480"/>
        <w:rPr>
          <w:rFonts w:hint="eastAsia" w:ascii="宋体" w:hAnsi="宋体" w:cs="宋体"/>
          <w:color w:val="000000" w:themeColor="text1"/>
          <w:sz w:val="24"/>
          <w:szCs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1.如开标前近一个月的社保材料因社保部门原因暂时无法取得，则可以往前顺延一个月。其中项目负责人及主要技术人员社保证明须由供应商缴纳。</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2.供应商的项目投标授权代表人与法定代表人为同一人的，则须提供法定代表人的社保证明；本项目未安排项目负责人的，则无须提供项目负责人的社保证明。</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3.如无法按上述要求提供人员社会保险证明材料的，提交以下材料亦视为符合：</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snapToGrid w:val="0"/>
        <w:rPr>
          <w:rFonts w:hint="eastAsia" w:ascii="宋体" w:hAnsi="宋体" w:cs="宋体"/>
          <w:b/>
          <w:color w:val="000000" w:themeColor="text1"/>
          <w:sz w:val="28"/>
          <w:szCs w:val="28"/>
          <w14:textFill>
            <w14:solidFill>
              <w14:schemeClr w14:val="tx1"/>
            </w14:solidFill>
          </w14:textFill>
        </w:rPr>
      </w:pPr>
    </w:p>
    <w:p>
      <w:pPr>
        <w:snapToGrid w:val="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w:t>
      </w:r>
      <w:bookmarkStart w:id="64" w:name="OLE_LINK10"/>
      <w:r>
        <w:rPr>
          <w:rFonts w:hint="eastAsia" w:ascii="宋体" w:hAnsi="宋体" w:cs="宋体"/>
          <w:b/>
          <w:color w:val="000000" w:themeColor="text1"/>
          <w:sz w:val="28"/>
          <w:szCs w:val="28"/>
          <w14:textFill>
            <w14:solidFill>
              <w14:schemeClr w14:val="tx1"/>
            </w14:solidFill>
          </w14:textFill>
        </w:rPr>
        <w:t>股权关系证明</w:t>
      </w:r>
      <w:bookmarkEnd w:id="64"/>
      <w:r>
        <w:rPr>
          <w:rFonts w:hint="eastAsia" w:ascii="宋体" w:hAnsi="宋体" w:cs="宋体"/>
          <w:b/>
          <w:color w:val="000000" w:themeColor="text1"/>
          <w:sz w:val="28"/>
          <w:szCs w:val="28"/>
          <w14:textFill>
            <w14:solidFill>
              <w14:schemeClr w14:val="tx1"/>
            </w14:solidFill>
          </w14:textFill>
        </w:rPr>
        <w:t>材料：</w:t>
      </w:r>
    </w:p>
    <w:p>
      <w:pPr>
        <w:widowControl/>
        <w:snapToGrid w:val="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（1）股权（或管理）关系证明材料：</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cs="宋体"/>
          <w:color w:val="000000" w:themeColor="text1"/>
          <w:sz w:val="24"/>
          <w14:textFill>
            <w14:solidFill>
              <w14:schemeClr w14:val="tx1"/>
            </w14:solidFill>
          </w14:textFill>
        </w:rPr>
      </w:pPr>
    </w:p>
    <w:p>
      <w:pPr>
        <w:widowControl/>
        <w:snapToGrid w:val="0"/>
        <w:jc w:val="left"/>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（2）股权关系情况承诺函</w:t>
      </w:r>
    </w:p>
    <w:p>
      <w:pPr>
        <w:widowControl/>
        <w:snapToGrid w:val="0"/>
        <w:ind w:firstLine="482" w:firstLineChars="200"/>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《股权关系情况承诺函》</w:t>
      </w:r>
    </w:p>
    <w:p>
      <w:pPr>
        <w:widowControl/>
        <w:snapToGrid w:val="0"/>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我公司申请参加</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项目（项目编号为</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）的投标，并作出如下承诺：</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我公司承诺所填的股权关系情况真实、准确、完整。</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widowControl/>
        <w:snapToGrid w:val="0"/>
        <w:rPr>
          <w:rFonts w:hint="eastAsia" w:ascii="宋体" w:hAnsi="宋体" w:cs="宋体"/>
          <w:bCs/>
          <w:color w:val="000000" w:themeColor="text1"/>
          <w:sz w:val="24"/>
          <w14:textFill>
            <w14:solidFill>
              <w14:schemeClr w14:val="tx1"/>
            </w14:solidFill>
          </w14:textFill>
        </w:rPr>
      </w:pPr>
    </w:p>
    <w:p>
      <w:pPr>
        <w:widowControl/>
        <w:snapToGrid w:val="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供应商名称（加盖公章</w:t>
      </w:r>
      <w:r>
        <w:rPr>
          <w:rFonts w:hint="eastAsia" w:ascii="宋体" w:hAnsi="宋体" w:cs="宋体"/>
          <w:bCs/>
          <w:color w:val="000000" w:themeColor="text1"/>
          <w:sz w:val="24"/>
          <w14:textFill>
            <w14:solidFill>
              <w14:schemeClr w14:val="tx1"/>
            </w14:solidFill>
          </w14:textFill>
        </w:rPr>
        <w:tab/>
      </w:r>
      <w:r>
        <w:rPr>
          <w:rFonts w:hint="eastAsia" w:ascii="宋体" w:hAnsi="宋体" w:cs="宋体"/>
          <w:bCs/>
          <w:color w:val="000000" w:themeColor="text1"/>
          <w:sz w:val="24"/>
          <w14:textFill>
            <w14:solidFill>
              <w14:schemeClr w14:val="tx1"/>
            </w14:solidFill>
          </w14:textFill>
        </w:rPr>
        <w:t xml:space="preserve">）： </w:t>
      </w:r>
    </w:p>
    <w:p>
      <w:pPr>
        <w:widowControl/>
        <w:snapToGrid w:val="0"/>
        <w:ind w:firstLine="3840" w:firstLineChars="16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       年    月   日</w:t>
      </w:r>
    </w:p>
    <w:p>
      <w:pPr>
        <w:widowControl/>
        <w:snapToGrid w:val="0"/>
        <w:rPr>
          <w:rFonts w:hint="eastAsia" w:ascii="宋体" w:hAnsi="宋体" w:cs="宋体"/>
          <w:bCs/>
          <w:color w:val="000000" w:themeColor="text1"/>
          <w:sz w:val="24"/>
          <w14:textFill>
            <w14:solidFill>
              <w14:schemeClr w14:val="tx1"/>
            </w14:solidFill>
          </w14:textFill>
        </w:rPr>
      </w:pPr>
    </w:p>
    <w:p>
      <w:pPr>
        <w:tabs>
          <w:tab w:val="left" w:pos="640"/>
          <w:tab w:val="left" w:pos="840"/>
          <w:tab w:val="left" w:pos="1260"/>
          <w:tab w:val="left" w:pos="1418"/>
        </w:tabs>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注：代理机构将于截标当日同步通过上述网站进行查询，查询结果与供应商填报信息不一致的，以代理机构于截标当日的查询结果为准。</w:t>
      </w:r>
    </w:p>
    <w:p>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br w:type="page"/>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投标人认为有必要提供的其他材料。</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outlineLvl w:val="2"/>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（三）技术部分</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t>用户需求响应表；</w:t>
      </w:r>
    </w:p>
    <w:p>
      <w:pPr>
        <w:spacing w:after="78" w:line="360" w:lineRule="auto"/>
        <w:jc w:val="center"/>
        <w:rPr>
          <w:rFonts w:hint="eastAsia" w:ascii="宋体" w:hAnsi="宋体" w:cs="宋体"/>
          <w:b/>
          <w:bCs/>
          <w:color w:val="000000" w:themeColor="text1"/>
          <w:sz w:val="24"/>
          <w:lang w:val="fr-CH"/>
          <w14:textFill>
            <w14:solidFill>
              <w14:schemeClr w14:val="tx1"/>
            </w14:solidFill>
          </w14:textFill>
        </w:rPr>
      </w:pPr>
      <w:r>
        <w:rPr>
          <w:rFonts w:hint="eastAsia" w:ascii="宋体" w:hAnsi="宋体" w:cs="宋体"/>
          <w:b/>
          <w:bCs/>
          <w:color w:val="000000" w:themeColor="text1"/>
          <w:sz w:val="24"/>
          <w:lang w:val="fr-CH"/>
          <w14:textFill>
            <w14:solidFill>
              <w14:schemeClr w14:val="tx1"/>
            </w14:solidFill>
          </w14:textFill>
        </w:rPr>
        <w:t>用户需求响应表</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投标供应商名称：（公章）</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招标编号：</w:t>
      </w:r>
      <w:r>
        <w:rPr>
          <w:rFonts w:hint="eastAsia" w:ascii="宋体" w:hAnsi="宋体" w:cs="宋体"/>
          <w:color w:val="000000" w:themeColor="text1"/>
          <w:sz w:val="24"/>
          <w:u w:val="single"/>
          <w14:textFill>
            <w14:solidFill>
              <w14:schemeClr w14:val="tx1"/>
            </w14:solidFill>
          </w14:textFill>
        </w:rPr>
        <w:t xml:space="preserve">                                      </w:t>
      </w: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3507"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招标文件要求</w:t>
            </w:r>
          </w:p>
        </w:tc>
        <w:tc>
          <w:tcPr>
            <w:tcW w:w="3052"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投标文件响应</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3507" w:type="dxa"/>
            <w:vAlign w:val="center"/>
          </w:tcPr>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本项目“用户需求书”的全部内容为项目正常开展的基本要求，投标人必须完全响应满足招标文件“第五章 用户需求书”的全部内容，否则将导致投标无效</w:t>
            </w:r>
            <w:r>
              <w:rPr>
                <w:rFonts w:hint="eastAsia" w:ascii="宋体" w:hAnsi="宋体" w:cs="宋体"/>
                <w:bCs/>
                <w:color w:val="000000" w:themeColor="text1"/>
                <w:sz w:val="24"/>
                <w14:textFill>
                  <w14:solidFill>
                    <w14:schemeClr w14:val="tx1"/>
                  </w14:solidFill>
                </w14:textFill>
              </w:rPr>
              <w:t>。如投标人中标后被发现不能满足招标文件“第五章 用户需求书”的，采购单位有权拒绝签订合同，一切后果由投标人承担。</w:t>
            </w:r>
          </w:p>
        </w:tc>
        <w:tc>
          <w:tcPr>
            <w:tcW w:w="3052" w:type="dxa"/>
            <w:vAlign w:val="center"/>
          </w:tcPr>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无需另行编制填写内容。</w:t>
            </w:r>
          </w:p>
        </w:tc>
        <w:tc>
          <w:tcPr>
            <w:tcW w:w="2106" w:type="dxa"/>
            <w:vAlign w:val="center"/>
          </w:tcPr>
          <w:p>
            <w:pPr>
              <w:spacing w:line="360" w:lineRule="auto"/>
              <w:jc w:val="center"/>
              <w:rPr>
                <w:rFonts w:hint="eastAsia" w:ascii="宋体" w:hAnsi="宋体" w:cs="宋体"/>
                <w:bCs/>
                <w:color w:val="000000" w:themeColor="text1"/>
                <w:sz w:val="24"/>
                <w14:textFill>
                  <w14:solidFill>
                    <w14:schemeClr w14:val="tx1"/>
                  </w14:solidFill>
                </w14:textFill>
              </w:rPr>
            </w:pPr>
          </w:p>
        </w:tc>
      </w:tr>
    </w:tbl>
    <w:p>
      <w:pPr>
        <w:spacing w:after="78" w:line="360" w:lineRule="auto"/>
        <w:rPr>
          <w:rFonts w:hint="eastAsia" w:ascii="宋体" w:hAnsi="宋体" w:cs="宋体"/>
          <w:bCs/>
          <w:color w:val="000000" w:themeColor="text1"/>
          <w:sz w:val="24"/>
          <w14:textFill>
            <w14:solidFill>
              <w14:schemeClr w14:val="tx1"/>
            </w14:solidFill>
          </w14:textFill>
        </w:rPr>
      </w:pPr>
    </w:p>
    <w:p>
      <w:pPr>
        <w:spacing w:after="78" w:line="360" w:lineRule="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若响应情况优于招标要求，应作详细说明；“偏离情况”栏中根据响应情况填写，没有达到要求的填“负偏离”，达到要求的填“无偏离”，优于要求的填“正偏离”。</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投标供应商授权代表：</w:t>
      </w:r>
      <w:r>
        <w:rPr>
          <w:rFonts w:hint="eastAsia" w:ascii="宋体" w:hAnsi="宋体" w:cs="宋体"/>
          <w:color w:val="000000" w:themeColor="text1"/>
          <w:sz w:val="24"/>
          <w:u w:val="single"/>
          <w14:textFill>
            <w14:solidFill>
              <w14:schemeClr w14:val="tx1"/>
            </w14:solidFill>
          </w14:textFill>
        </w:rPr>
        <w:t xml:space="preserve">                   </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p>
    <w:p>
      <w:pPr>
        <w:pStyle w:val="2"/>
        <w:spacing w:line="360" w:lineRule="auto"/>
        <w:rPr>
          <w:color w:val="000000" w:themeColor="text1"/>
          <w:lang w:val="fr-CH"/>
          <w14:textFill>
            <w14:solidFill>
              <w14:schemeClr w14:val="tx1"/>
            </w14:solidFill>
          </w14:textFill>
        </w:rPr>
      </w:pP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br w:type="page"/>
      </w:r>
      <w:r>
        <w:rPr>
          <w:rFonts w:hint="eastAsia" w:ascii="宋体" w:hAnsi="宋体" w:cs="宋体"/>
          <w:color w:val="000000" w:themeColor="text1"/>
          <w:sz w:val="24"/>
          <w:lang w:val="sq-AL"/>
          <w14:textFill>
            <w14:solidFill>
              <w14:schemeClr w14:val="tx1"/>
            </w14:solidFill>
          </w14:textFill>
        </w:rPr>
        <w:t>实施方案；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系统建设投入方案；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服务方案；</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便利化服务；</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sq-AL"/>
          <w14:textFill>
            <w14:solidFill>
              <w14:schemeClr w14:val="tx1"/>
            </w14:solidFill>
          </w14:textFill>
        </w:rPr>
      </w:pPr>
      <w:r>
        <w:rPr>
          <w:rFonts w:hint="eastAsia" w:ascii="宋体" w:hAnsi="宋体" w:cs="宋体"/>
          <w:color w:val="000000" w:themeColor="text1"/>
          <w:sz w:val="24"/>
          <w:lang w:val="sq-AL"/>
          <w14:textFill>
            <w14:solidFill>
              <w14:schemeClr w14:val="tx1"/>
            </w14:solidFill>
          </w14:textFill>
        </w:rPr>
        <w:t>拟派项目团队成员情况；</w:t>
      </w: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p>
    <w:p>
      <w:pPr>
        <w:tabs>
          <w:tab w:val="left" w:pos="640"/>
          <w:tab w:val="left" w:pos="1260"/>
          <w:tab w:val="left" w:pos="1418"/>
        </w:tabs>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注：以上各项请根据“招标项目评分表”中的要求自行填写并提供相应的证明材料。</w:t>
      </w:r>
    </w:p>
    <w:p>
      <w:pPr>
        <w:numPr>
          <w:ilvl w:val="0"/>
          <w:numId w:val="15"/>
        </w:numPr>
        <w:tabs>
          <w:tab w:val="left" w:pos="640"/>
          <w:tab w:val="left" w:pos="1260"/>
          <w:tab w:val="left" w:pos="1418"/>
        </w:tabs>
        <w:spacing w:line="360" w:lineRule="auto"/>
        <w:ind w:left="845" w:right="-420" w:rightChars="-200" w:hanging="845"/>
        <w:rPr>
          <w:rFonts w:hint="eastAsia" w:ascii="宋体" w:hAnsi="宋体" w:cs="宋体"/>
          <w:color w:val="000000" w:themeColor="text1"/>
          <w:sz w:val="24"/>
          <w:lang w:val="fr-CH"/>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r>
        <w:rPr>
          <w:rFonts w:hint="eastAsia" w:ascii="宋体" w:hAnsi="宋体" w:cs="宋体"/>
          <w:color w:val="000000" w:themeColor="text1"/>
          <w:sz w:val="24"/>
          <w:lang w:val="fr-CH"/>
          <w14:textFill>
            <w14:solidFill>
              <w14:schemeClr w14:val="tx1"/>
            </w14:solidFill>
          </w14:textFill>
        </w:rPr>
        <w:t>投标人认为有必要提供的其他材料。</w:t>
      </w:r>
      <w:bookmarkEnd w:id="57"/>
    </w:p>
    <w:p>
      <w:pPr>
        <w:tabs>
          <w:tab w:val="left" w:pos="360"/>
        </w:tabs>
        <w:spacing w:line="300" w:lineRule="auto"/>
        <w:outlineLvl w:val="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lang w:val="fr-CH"/>
          <w14:textFill>
            <w14:solidFill>
              <w14:schemeClr w14:val="tx1"/>
            </w14:solidFill>
          </w14:textFill>
        </w:rPr>
        <w:br w:type="page"/>
      </w:r>
      <w:bookmarkStart w:id="65" w:name="_Toc6251"/>
      <w:bookmarkStart w:id="66" w:name="_Toc742"/>
      <w:r>
        <w:rPr>
          <w:rFonts w:hint="eastAsia" w:ascii="宋体" w:hAnsi="宋体" w:cs="宋体"/>
          <w:b/>
          <w:bCs/>
          <w:color w:val="000000" w:themeColor="text1"/>
          <w:sz w:val="24"/>
          <w14:textFill>
            <w14:solidFill>
              <w14:schemeClr w14:val="tx1"/>
            </w14:solidFill>
          </w14:textFill>
        </w:rPr>
        <w:t>附件：相关政策</w:t>
      </w:r>
      <w:bookmarkEnd w:id="65"/>
      <w:bookmarkEnd w:id="66"/>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widowControl/>
        <w:shd w:val="clear" w:color="auto" w:fill="FFFFFF"/>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关于印发《政府采购促进中小企业发展管理办法》的通知</w:t>
      </w:r>
    </w:p>
    <w:p>
      <w:pPr>
        <w:widowControl/>
        <w:shd w:val="clear" w:color="auto" w:fill="FFFFFF"/>
        <w:spacing w:after="240"/>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财库〔2020〕46号</w:t>
      </w:r>
    </w:p>
    <w:p>
      <w:pPr>
        <w:widowControl/>
        <w:shd w:val="clear" w:color="auto" w:fill="FFFFFF"/>
        <w:spacing w:after="24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附件：政府采购促进中小企业发展管理办法</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  政  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工业和信息化部</w:t>
      </w:r>
    </w:p>
    <w:p>
      <w:pPr>
        <w:widowControl/>
        <w:shd w:val="clear" w:color="auto" w:fill="FFFFFF"/>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2020年12月18日</w:t>
      </w:r>
    </w:p>
    <w:p>
      <w:pPr>
        <w:autoSpaceDE w:val="0"/>
        <w:autoSpaceDN w:val="0"/>
        <w:adjustRightInd w:val="0"/>
        <w:jc w:val="left"/>
        <w:rPr>
          <w:rFonts w:hint="eastAsia" w:ascii="宋体" w:hAnsi="宋体" w:cs="宋体"/>
          <w:color w:val="000000" w:themeColor="text1"/>
          <w:kern w:val="0"/>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政府采购促进中小企业发展管理办法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符合下列情形之一的，可不专门面向中小企业预留采购</w:t>
      </w:r>
      <w:r>
        <w:rPr>
          <w:rFonts w:hint="eastAsia" w:ascii="宋体" w:hAnsi="宋体" w:cs="宋体"/>
          <w:color w:val="000000" w:themeColor="text1"/>
          <w14:textFill>
            <w14:solidFill>
              <w14:schemeClr w14:val="tx1"/>
            </w14:solidFill>
          </w14:textFill>
        </w:rPr>
        <w:t>份额：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（四）框架协议采购项目；</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000000" w:themeColor="text1"/>
          <w14:textFill>
            <w14:solidFill>
              <w14:schemeClr w14:val="tx1"/>
            </w14:solidFill>
          </w14:textFill>
        </w:rPr>
      </w:pPr>
    </w:p>
    <w:p>
      <w:pPr>
        <w:pStyle w:val="2"/>
        <w:tabs>
          <w:tab w:val="left" w:pos="562"/>
          <w:tab w:val="left" w:pos="3372"/>
          <w:tab w:val="left" w:pos="3653"/>
        </w:tabs>
        <w:ind w:firstLine="480" w:firstLineChars="200"/>
        <w:outlineLvl w:val="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附：1.中小企业声明函</w:t>
      </w:r>
    </w:p>
    <w:p>
      <w:pPr>
        <w:pStyle w:val="2"/>
        <w:tabs>
          <w:tab w:val="left" w:pos="562"/>
          <w:tab w:val="left" w:pos="3372"/>
          <w:tab w:val="left" w:pos="3653"/>
        </w:tabs>
        <w:ind w:firstLine="960" w:firstLineChars="4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2.面向中小企业预留项目执行情况公告</w:t>
      </w:r>
    </w:p>
    <w:p>
      <w:pPr>
        <w:pStyle w:val="2"/>
        <w:tabs>
          <w:tab w:val="left" w:pos="562"/>
          <w:tab w:val="left" w:pos="3372"/>
          <w:tab w:val="left" w:pos="3653"/>
        </w:tabs>
        <w:spacing w:before="30"/>
        <w:outlineLvl w:val="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1</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中小企业声明函（货物）</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u w:val="single"/>
          <w14:textFill>
            <w14:solidFill>
              <w14:schemeClr w14:val="tx1"/>
            </w14:solidFill>
          </w14:textFill>
        </w:rPr>
        <w:t>标的名称</w:t>
      </w:r>
      <w:r>
        <w:rPr>
          <w:rFonts w:hint="eastAsia" w:ascii="宋体" w:hAnsi="宋体" w:cs="宋体"/>
          <w:color w:val="000000" w:themeColor="text1"/>
          <w:kern w:val="0"/>
          <w14:textFill>
            <w14:solidFill>
              <w14:schemeClr w14:val="tx1"/>
            </w14:solidFill>
          </w14:textFill>
        </w:rPr>
        <w:t>），属于（</w:t>
      </w:r>
      <w:r>
        <w:rPr>
          <w:rFonts w:hint="eastAsia" w:ascii="宋体" w:hAnsi="宋体" w:cs="宋体"/>
          <w:color w:val="000000" w:themeColor="text1"/>
          <w:kern w:val="0"/>
          <w:u w:val="single"/>
          <w14:textFill>
            <w14:solidFill>
              <w14:schemeClr w14:val="tx1"/>
            </w14:solidFill>
          </w14:textFill>
        </w:rPr>
        <w:t>采购文件中明确的所属行业</w:t>
      </w:r>
      <w:r>
        <w:rPr>
          <w:rFonts w:hint="eastAsia" w:ascii="宋体" w:hAnsi="宋体" w:cs="宋体"/>
          <w:color w:val="000000" w:themeColor="text1"/>
          <w:kern w:val="0"/>
          <w14:textFill>
            <w14:solidFill>
              <w14:schemeClr w14:val="tx1"/>
            </w14:solidFill>
          </w14:textFill>
        </w:rPr>
        <w:t>）；制造商为（</w:t>
      </w:r>
      <w:r>
        <w:rPr>
          <w:rFonts w:hint="eastAsia" w:ascii="宋体" w:hAnsi="宋体" w:cs="宋体"/>
          <w:color w:val="000000" w:themeColor="text1"/>
          <w:kern w:val="0"/>
          <w:u w:val="single"/>
          <w14:textFill>
            <w14:solidFill>
              <w14:schemeClr w14:val="tx1"/>
            </w14:solidFill>
          </w14:textFill>
        </w:rPr>
        <w:t>企业名称</w:t>
      </w:r>
      <w:r>
        <w:rPr>
          <w:rFonts w:hint="eastAsia" w:ascii="宋体" w:hAnsi="宋体" w:cs="宋体"/>
          <w:color w:val="000000" w:themeColor="text1"/>
          <w:kern w:val="0"/>
          <w14:textFill>
            <w14:solidFill>
              <w14:schemeClr w14:val="tx1"/>
            </w14:solidFill>
          </w14:textFill>
        </w:rPr>
        <w:t>），从业人员</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 xml:space="preserve">人，营业收入为 </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14:textFill>
            <w14:solidFill>
              <w14:schemeClr w14:val="tx1"/>
            </w14:solidFill>
          </w14:textFill>
        </w:rPr>
        <w:t>万元，资产总额为</w:t>
      </w:r>
      <w:r>
        <w:rPr>
          <w:rFonts w:hint="eastAsia" w:ascii="宋体" w:hAnsi="宋体" w:cs="宋体"/>
          <w:color w:val="000000" w:themeColor="text1"/>
          <w:kern w:val="0"/>
          <w:u w:val="single"/>
          <w14:textFill>
            <w14:solidFill>
              <w14:schemeClr w14:val="tx1"/>
            </w14:solidFill>
          </w14:textFill>
        </w:rPr>
        <w:tab/>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万元，属于（</w:t>
      </w:r>
      <w:r>
        <w:rPr>
          <w:rFonts w:hint="eastAsia" w:ascii="宋体" w:hAnsi="宋体" w:cs="宋体"/>
          <w:color w:val="000000" w:themeColor="text1"/>
          <w:kern w:val="0"/>
          <w:u w:val="single"/>
          <w14:textFill>
            <w14:solidFill>
              <w14:schemeClr w14:val="tx1"/>
            </w14:solidFill>
          </w14:textFill>
        </w:rPr>
        <w:t>中型企业、小型企业、微型企业</w:t>
      </w:r>
      <w:r>
        <w:rPr>
          <w:rFonts w:hint="eastAsia" w:ascii="宋体" w:hAnsi="宋体" w:cs="宋体"/>
          <w:color w:val="000000" w:themeColor="text1"/>
          <w:kern w:val="0"/>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）；制造商为（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 xml:space="preserve">   </w:t>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jc w:val="center"/>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p>
    <w:p>
      <w:pPr>
        <w:spacing w:after="319" w:afterLines="1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t>中小企业声明函（工程、服务）</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pacing w:val="-2"/>
          <w:u w:val="single"/>
          <w14:textFill>
            <w14:solidFill>
              <w14:schemeClr w14:val="tx1"/>
            </w14:solidFill>
          </w14:textFill>
        </w:rPr>
        <w:t>单位名称</w:t>
      </w:r>
      <w:r>
        <w:rPr>
          <w:rFonts w:hint="eastAsia" w:ascii="宋体" w:hAnsi="宋体" w:cs="宋体"/>
          <w:color w:val="000000" w:themeColor="text1"/>
          <w:spacing w:val="-2"/>
          <w14:textFill>
            <w14:solidFill>
              <w14:schemeClr w14:val="tx1"/>
            </w14:solidFill>
          </w14:textFill>
        </w:rPr>
        <w:t>）的（</w:t>
      </w:r>
      <w:r>
        <w:rPr>
          <w:rFonts w:hint="eastAsia" w:ascii="宋体" w:hAnsi="宋体" w:cs="宋体"/>
          <w:color w:val="000000" w:themeColor="text1"/>
          <w:spacing w:val="-2"/>
          <w:u w:val="single"/>
          <w14:textFill>
            <w14:solidFill>
              <w14:schemeClr w14:val="tx1"/>
            </w14:solidFill>
          </w14:textFill>
        </w:rPr>
        <w:t>项目名称</w:t>
      </w:r>
      <w:r>
        <w:rPr>
          <w:rFonts w:hint="eastAsia" w:ascii="宋体" w:hAnsi="宋体" w:cs="宋体"/>
          <w:color w:val="000000" w:themeColor="text1"/>
          <w:spacing w:val="-2"/>
          <w14:textFill>
            <w14:solidFill>
              <w14:schemeClr w14:val="tx1"/>
            </w14:solidFill>
          </w14:textFill>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w:t>
      </w:r>
      <w:r>
        <w:rPr>
          <w:rFonts w:hint="eastAsia" w:ascii="宋体" w:hAnsi="宋体" w:cs="宋体"/>
          <w:color w:val="000000" w:themeColor="text1"/>
          <w:spacing w:val="-2"/>
          <w:u w:val="single"/>
          <w14:textFill>
            <w14:solidFill>
              <w14:schemeClr w14:val="tx1"/>
            </w14:solidFill>
          </w14:textFill>
        </w:rPr>
        <w:t>标的名称</w:t>
      </w:r>
      <w:r>
        <w:rPr>
          <w:rFonts w:hint="eastAsia" w:ascii="宋体" w:hAnsi="宋体" w:cs="宋体"/>
          <w:color w:val="000000" w:themeColor="text1"/>
          <w:spacing w:val="-2"/>
          <w14:textFill>
            <w14:solidFill>
              <w14:schemeClr w14:val="tx1"/>
            </w14:solidFill>
          </w14:textFill>
        </w:rPr>
        <w:t>），属于（</w:t>
      </w:r>
      <w:r>
        <w:rPr>
          <w:rFonts w:hint="eastAsia" w:ascii="宋体" w:hAnsi="宋体" w:cs="宋体"/>
          <w:color w:val="000000" w:themeColor="text1"/>
          <w:spacing w:val="-2"/>
          <w:u w:val="single"/>
          <w14:textFill>
            <w14:solidFill>
              <w14:schemeClr w14:val="tx1"/>
            </w14:solidFill>
          </w14:textFill>
        </w:rPr>
        <w:t>采购文件中明确的所属行业</w:t>
      </w:r>
      <w:r>
        <w:rPr>
          <w:rFonts w:hint="eastAsia" w:ascii="宋体" w:hAnsi="宋体" w:cs="宋体"/>
          <w:color w:val="000000" w:themeColor="text1"/>
          <w:spacing w:val="-2"/>
          <w14:textFill>
            <w14:solidFill>
              <w14:schemeClr w14:val="tx1"/>
            </w14:solidFill>
          </w14:textFill>
        </w:rPr>
        <w:t>） ；承建（承接）企业为（</w:t>
      </w:r>
      <w:r>
        <w:rPr>
          <w:rFonts w:hint="eastAsia" w:ascii="宋体" w:hAnsi="宋体" w:cs="宋体"/>
          <w:color w:val="000000" w:themeColor="text1"/>
          <w:spacing w:val="-2"/>
          <w:u w:val="single"/>
          <w14:textFill>
            <w14:solidFill>
              <w14:schemeClr w14:val="tx1"/>
            </w14:solidFill>
          </w14:textFill>
        </w:rPr>
        <w:t>企业名称</w:t>
      </w:r>
      <w:r>
        <w:rPr>
          <w:rFonts w:hint="eastAsia" w:ascii="宋体" w:hAnsi="宋体" w:cs="宋体"/>
          <w:color w:val="000000" w:themeColor="text1"/>
          <w:spacing w:val="-2"/>
          <w14:textFill>
            <w14:solidFill>
              <w14:schemeClr w14:val="tx1"/>
            </w14:solidFill>
          </w14:textFill>
        </w:rPr>
        <w:t>），从业人员</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人，营业收入为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万元，资产总额为</w:t>
      </w:r>
      <w:r>
        <w:rPr>
          <w:rFonts w:hint="eastAsia" w:ascii="宋体" w:hAnsi="宋体" w:cs="宋体"/>
          <w:color w:val="000000" w:themeColor="text1"/>
          <w:spacing w:val="-2"/>
          <w:u w:val="single"/>
          <w14:textFill>
            <w14:solidFill>
              <w14:schemeClr w14:val="tx1"/>
            </w14:solidFill>
          </w14:textFill>
        </w:rPr>
        <w:tab/>
      </w:r>
      <w:r>
        <w:rPr>
          <w:rFonts w:hint="eastAsia" w:ascii="宋体" w:hAnsi="宋体" w:cs="宋体"/>
          <w:color w:val="000000" w:themeColor="text1"/>
          <w:spacing w:val="-2"/>
          <w14:textFill>
            <w14:solidFill>
              <w14:schemeClr w14:val="tx1"/>
            </w14:solidFill>
          </w14:textFill>
        </w:rPr>
        <w:t>万元，属于（</w:t>
      </w:r>
      <w:r>
        <w:rPr>
          <w:rFonts w:hint="eastAsia" w:ascii="宋体" w:hAnsi="宋体" w:cs="宋体"/>
          <w:color w:val="000000" w:themeColor="text1"/>
          <w:spacing w:val="-2"/>
          <w:u w:val="single"/>
          <w14:textFill>
            <w14:solidFill>
              <w14:schemeClr w14:val="tx1"/>
            </w14:solidFill>
          </w14:textFill>
        </w:rPr>
        <w:t>中型企业、小型企业、微型企业</w:t>
      </w: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注意事项：</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1.从业人员、营业收入、资产总额填报上一年度数据，无上一年度数据的新成立企业可不填报。</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3.事业单位、社会组织等非企业主体不享受中小企业扶持政策，但事业单位、社会组织等非企业主体提供全部由中小企业制造的货物参加货物采购项目的除外。</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4.相关承接/承建企业的所属行业应当与采购标的所属行业（采购文件中明确的行业）相一致。</w:t>
      </w:r>
    </w:p>
    <w:p>
      <w:pPr>
        <w:pStyle w:val="2"/>
        <w:tabs>
          <w:tab w:val="left" w:pos="562"/>
          <w:tab w:val="left" w:pos="3372"/>
          <w:tab w:val="left" w:pos="3653"/>
        </w:tabs>
        <w:spacing w:after="0"/>
        <w:ind w:firstLine="472" w:firstLineChars="2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p>
    <w:p>
      <w:pPr>
        <w:pStyle w:val="2"/>
        <w:tabs>
          <w:tab w:val="left" w:pos="562"/>
          <w:tab w:val="left" w:pos="3372"/>
          <w:tab w:val="left" w:pos="3653"/>
        </w:tabs>
        <w:ind w:left="4200" w:leftChars="2000"/>
        <w:rPr>
          <w:rFonts w:hint="eastAsia"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企业名称（盖章）日期：</w:t>
      </w:r>
    </w:p>
    <w:p>
      <w:pPr>
        <w:pStyle w:val="2"/>
        <w:tabs>
          <w:tab w:val="left" w:pos="562"/>
          <w:tab w:val="left" w:pos="3372"/>
          <w:tab w:val="left" w:pos="3653"/>
        </w:tabs>
        <w:spacing w:before="3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从业人员、营业收入、资产总额填报上一年度数据，无上一年度数据的新成立企业可不填报。</w:t>
      </w:r>
      <w:r>
        <w:rPr>
          <w:rFonts w:hint="eastAsia" w:ascii="宋体" w:hAnsi="宋体" w:cs="宋体"/>
          <w:color w:val="000000" w:themeColor="text1"/>
          <w14:textFill>
            <w14:solidFill>
              <w14:schemeClr w14:val="tx1"/>
            </w14:solidFill>
          </w14:textFill>
        </w:rPr>
        <w:br w:type="page"/>
      </w:r>
      <w:r>
        <w:rPr>
          <w:rFonts w:hint="eastAsia" w:ascii="宋体" w:hAnsi="宋体" w:cs="宋体"/>
          <w:b/>
          <w:bCs/>
          <w:color w:val="000000" w:themeColor="text1"/>
          <w14:textFill>
            <w14:solidFill>
              <w14:schemeClr w14:val="tx1"/>
            </w14:solidFill>
          </w14:textFill>
        </w:rPr>
        <w:t>附 2</w:t>
      </w:r>
    </w:p>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pacing w:val="-3"/>
          <w:sz w:val="24"/>
          <w:u w:val="single" w:color="000000"/>
          <w14:textFill>
            <w14:solidFill>
              <w14:schemeClr w14:val="tx1"/>
            </w14:solidFill>
          </w14:textFill>
        </w:rPr>
        <w:t>（单位名称）</w:t>
      </w:r>
      <w:r>
        <w:rPr>
          <w:rFonts w:hint="eastAsia" w:ascii="宋体" w:hAnsi="宋体" w:cs="宋体"/>
          <w:color w:val="000000" w:themeColor="text1"/>
          <w:spacing w:val="-29"/>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w:t>
      </w:r>
      <w:r>
        <w:rPr>
          <w:rFonts w:hint="eastAsia" w:ascii="宋体" w:hAnsi="宋体" w:cs="宋体"/>
          <w:color w:val="000000" w:themeColor="text1"/>
          <w:spacing w:val="-47"/>
          <w14:textFill>
            <w14:solidFill>
              <w14:schemeClr w14:val="tx1"/>
            </w14:solidFill>
          </w14:textFill>
        </w:rPr>
        <w:t xml:space="preserve"> 号</w:t>
      </w:r>
      <w:r>
        <w:rPr>
          <w:rFonts w:hint="eastAsia" w:ascii="宋体" w:hAnsi="宋体" w:cs="宋体"/>
          <w:color w:val="000000" w:themeColor="text1"/>
          <w:spacing w:val="-22"/>
          <w14:textFill>
            <w14:solidFill>
              <w14:schemeClr w14:val="tx1"/>
            </w14:solidFill>
          </w14:textFill>
        </w:rPr>
        <w:t>）</w:t>
      </w:r>
      <w:r>
        <w:rPr>
          <w:rFonts w:hint="eastAsia" w:ascii="宋体" w:hAnsi="宋体" w:cs="宋体"/>
          <w:color w:val="000000" w:themeColor="text1"/>
          <w:spacing w:val="-7"/>
          <w14:textFill>
            <w14:solidFill>
              <w14:schemeClr w14:val="tx1"/>
            </w14:solidFill>
          </w14:textFill>
        </w:rPr>
        <w:t>要求，现对本部门</w:t>
      </w:r>
      <w:r>
        <w:rPr>
          <w:rFonts w:hint="eastAsia" w:ascii="宋体" w:hAnsi="宋体" w:cs="宋体"/>
          <w:color w:val="000000" w:themeColor="text1"/>
          <w:spacing w:val="-3"/>
          <w14:textFill>
            <w14:solidFill>
              <w14:schemeClr w14:val="tx1"/>
            </w14:solidFill>
          </w14:textFill>
        </w:rPr>
        <w:t>（</w:t>
      </w:r>
      <w:r>
        <w:rPr>
          <w:rFonts w:hint="eastAsia" w:ascii="宋体" w:hAnsi="宋体" w:cs="宋体"/>
          <w:color w:val="000000" w:themeColor="text1"/>
          <w14:textFill>
            <w14:solidFill>
              <w14:schemeClr w14:val="tx1"/>
            </w14:solidFill>
          </w14:textFill>
        </w:rPr>
        <w:t>单位</w:t>
      </w:r>
      <w:r>
        <w:rPr>
          <w:rFonts w:hint="eastAsia" w:ascii="宋体" w:hAnsi="宋体" w:cs="宋体"/>
          <w:color w:val="000000" w:themeColor="text1"/>
          <w:spacing w:val="-7"/>
          <w14:textFill>
            <w14:solidFill>
              <w14:schemeClr w14:val="tx1"/>
            </w14:solidFill>
          </w14:textFill>
        </w:rPr>
        <w:t>）</w:t>
      </w:r>
      <w:r>
        <w:rPr>
          <w:rFonts w:hint="eastAsia" w:ascii="宋体" w:hAnsi="宋体" w:cs="宋体"/>
          <w:color w:val="000000" w:themeColor="text1"/>
          <w:spacing w:val="-4"/>
          <w14:textFill>
            <w14:solidFill>
              <w14:schemeClr w14:val="tx1"/>
            </w14:solidFill>
          </w14:textFill>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序号</w:t>
            </w:r>
          </w:p>
        </w:tc>
        <w:tc>
          <w:tcPr>
            <w:tcW w:w="1866" w:type="dxa"/>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项目名称</w:t>
            </w:r>
          </w:p>
        </w:tc>
        <w:tc>
          <w:tcPr>
            <w:tcW w:w="2010" w:type="dxa"/>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预留选项</w:t>
            </w:r>
          </w:p>
        </w:tc>
        <w:tc>
          <w:tcPr>
            <w:tcW w:w="2296" w:type="dxa"/>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面向中小企业采购金额</w:t>
            </w:r>
          </w:p>
        </w:tc>
        <w:tc>
          <w:tcPr>
            <w:tcW w:w="1784" w:type="dxa"/>
            <w:vAlign w:val="center"/>
          </w:tcPr>
          <w:p>
            <w:pPr>
              <w:pStyle w:val="27"/>
              <w:jc w:val="center"/>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7"/>
              <w:jc w:val="center"/>
              <w:rPr>
                <w:rFonts w:hint="eastAsia"/>
                <w:color w:val="000000" w:themeColor="text1"/>
                <w:sz w:val="24"/>
                <w:szCs w:val="24"/>
                <w14:textFill>
                  <w14:solidFill>
                    <w14:schemeClr w14:val="tx1"/>
                  </w14:solidFill>
                </w14:textFill>
              </w:rPr>
            </w:pPr>
          </w:p>
        </w:tc>
        <w:tc>
          <w:tcPr>
            <w:tcW w:w="1866" w:type="dxa"/>
            <w:tcBorders>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（填写“采购项</w:t>
            </w:r>
          </w:p>
        </w:tc>
        <w:tc>
          <w:tcPr>
            <w:tcW w:w="2296" w:type="dxa"/>
            <w:tcBorders>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restart"/>
            <w:vAlign w:val="center"/>
          </w:tcPr>
          <w:p>
            <w:pPr>
              <w:pStyle w:val="27"/>
              <w:jc w:val="center"/>
              <w:rPr>
                <w:rFonts w:hint="eastAsia"/>
                <w:color w:val="000000" w:themeColor="text1"/>
                <w:sz w:val="24"/>
                <w:szCs w:val="24"/>
                <w14:textFill>
                  <w14:solidFill>
                    <w14:schemeClr w14:val="tx1"/>
                  </w14:solidFill>
                </w14:textFill>
              </w:rPr>
            </w:pPr>
          </w:p>
          <w:p>
            <w:pPr>
              <w:pStyle w:val="27"/>
              <w:jc w:val="center"/>
              <w:rPr>
                <w:rFonts w:hint="eastAsia"/>
                <w:color w:val="000000" w:themeColor="text1"/>
                <w:sz w:val="24"/>
                <w:szCs w:val="24"/>
                <w14:textFill>
                  <w14:solidFill>
                    <w14:schemeClr w14:val="tx1"/>
                  </w14:solidFill>
                </w14:textFill>
              </w:rPr>
            </w:pPr>
          </w:p>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目整体预留”、</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“设置专门采购</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（填写集中采</w:t>
            </w: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包”、“要求以</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购目录以内或</w:t>
            </w: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联合体形式参</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（精确到万元）</w:t>
            </w: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者采购限额标</w:t>
            </w: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加”或者“要求</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准以上的采购项目</w:t>
            </w: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合同分包”，除</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“采购项目全部</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预留”外，还应</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当填写预留给中</w:t>
            </w:r>
          </w:p>
        </w:tc>
        <w:tc>
          <w:tcPr>
            <w:tcW w:w="2296" w:type="dxa"/>
            <w:tcBorders>
              <w:top w:val="nil"/>
              <w:bottom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c>
          <w:tcPr>
            <w:tcW w:w="1866" w:type="dxa"/>
            <w:tcBorders>
              <w:top w:val="nil"/>
            </w:tcBorders>
            <w:vAlign w:val="center"/>
          </w:tcPr>
          <w:p>
            <w:pPr>
              <w:pStyle w:val="27"/>
              <w:jc w:val="center"/>
              <w:rPr>
                <w:rFonts w:hint="eastAsia"/>
                <w:color w:val="000000" w:themeColor="text1"/>
                <w:sz w:val="24"/>
                <w:szCs w:val="24"/>
                <w14:textFill>
                  <w14:solidFill>
                    <w14:schemeClr w14:val="tx1"/>
                  </w14:solidFill>
                </w14:textFill>
              </w:rPr>
            </w:pPr>
          </w:p>
        </w:tc>
        <w:tc>
          <w:tcPr>
            <w:tcW w:w="2010" w:type="dxa"/>
            <w:tcBorders>
              <w:top w:val="nil"/>
            </w:tcBorders>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小企业的比例）</w:t>
            </w:r>
          </w:p>
        </w:tc>
        <w:tc>
          <w:tcPr>
            <w:tcW w:w="2296" w:type="dxa"/>
            <w:tcBorders>
              <w:top w:val="nil"/>
            </w:tcBorders>
            <w:vAlign w:val="center"/>
          </w:tcPr>
          <w:p>
            <w:pPr>
              <w:pStyle w:val="27"/>
              <w:jc w:val="center"/>
              <w:rPr>
                <w:rFonts w:hint="eastAsia"/>
                <w:color w:val="000000" w:themeColor="text1"/>
                <w:sz w:val="24"/>
                <w:szCs w:val="24"/>
                <w14:textFill>
                  <w14:solidFill>
                    <w14:schemeClr w14:val="tx1"/>
                  </w14:solidFill>
                </w14:textFill>
              </w:rPr>
            </w:pPr>
          </w:p>
        </w:tc>
        <w:tc>
          <w:tcPr>
            <w:tcW w:w="1784" w:type="dxa"/>
            <w:vMerge w:val="continue"/>
            <w:tcBorders>
              <w:top w:val="nil"/>
            </w:tcBorders>
            <w:vAlign w:val="center"/>
          </w:tcPr>
          <w:p>
            <w:pPr>
              <w:jc w:val="center"/>
              <w:rPr>
                <w:rFonts w:hint="eastAsia" w:ascii="宋体" w:hAnsi="宋体" w:cs="宋体"/>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866" w:type="dxa"/>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010" w:type="dxa"/>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2296" w:type="dxa"/>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84" w:type="dxa"/>
            <w:vAlign w:val="center"/>
          </w:tcPr>
          <w:p>
            <w:pPr>
              <w:pStyle w:val="27"/>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bl>
    <w:p>
      <w:pPr>
        <w:pStyle w:val="2"/>
        <w:tabs>
          <w:tab w:val="left" w:pos="562"/>
          <w:tab w:val="left" w:pos="3372"/>
          <w:tab w:val="left" w:pos="3653"/>
        </w:tabs>
        <w:spacing w:before="128"/>
        <w:ind w:left="4220" w:right="1843"/>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部门（单位）名称： 日期：</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关于印发中小企业划型标准规定的通知</w:t>
      </w:r>
    </w:p>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工信部联企业〔2011〕300号</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各省、自治区、直辖市人民政府，国务院各部委、各直属机构及有关单位：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工业和信息化部 国家统计局</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国家发展和改革委员会 财政部</w:t>
      </w:r>
    </w:p>
    <w:p>
      <w:pPr>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二○一一年六月十八日</w:t>
      </w: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ind w:firstLine="480" w:firstLineChars="200"/>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中小企业划型标准规定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四、各行业划型标准为：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五、企业类型的划分以统计部门的统计数据为依据。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九、本规定由工业和信息化部、国家统计局会同有关部门负责解释。 </w:t>
      </w:r>
    </w:p>
    <w:p>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000000" w:themeColor="text1"/>
          <w:sz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pStyle w:val="14"/>
        <w:jc w:val="both"/>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3、国家统计局《关于印发〈统计上大中小微型企业划分办法（2017）〉的通知》</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p>
    <w:p>
      <w:pPr>
        <w:widowControl/>
        <w:shd w:val="clear" w:color="auto" w:fill="FFFFFF"/>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国家统计局关于印发《统计上大中小微型企业划分办法（2017）》的通知</w:t>
      </w:r>
    </w:p>
    <w:p>
      <w:pPr>
        <w:widowControl/>
        <w:shd w:val="clear" w:color="auto" w:fill="FFFFFF"/>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附件：《统计上大中小微型企业划分办法（2017）》修订说明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国家统计局</w:t>
      </w:r>
    </w:p>
    <w:p>
      <w:pPr>
        <w:widowControl/>
        <w:shd w:val="clear" w:color="auto" w:fill="FFFFFF"/>
        <w:ind w:firstLine="480" w:firstLineChars="200"/>
        <w:jc w:val="righ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2017年12月28日</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统计上大中小微型企业划分办法（2017）</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附表：统计上大中小微型企业划分标准</w:t>
      </w:r>
    </w:p>
    <w:p>
      <w:pPr>
        <w:widowControl/>
        <w:jc w:val="left"/>
        <w:rPr>
          <w:rFonts w:hint="eastAsia" w:ascii="宋体" w:hAnsi="宋体" w:cs="宋体"/>
          <w:color w:val="000000" w:themeColor="text1"/>
          <w:kern w:val="0"/>
          <w:sz w:val="24"/>
          <w14:textFill>
            <w14:solidFill>
              <w14:schemeClr w14:val="tx1"/>
            </w14:solidFill>
          </w14:textFill>
        </w:rPr>
      </w:pPr>
    </w:p>
    <w:p>
      <w:pPr>
        <w:widowControl/>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附表：</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行业名称</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指标名称</w:t>
            </w:r>
          </w:p>
        </w:tc>
        <w:tc>
          <w:tcPr>
            <w:tcW w:w="727" w:type="dxa"/>
            <w:vAlign w:val="center"/>
          </w:tcPr>
          <w:p>
            <w:pPr>
              <w:widowControl/>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计量</w:t>
            </w:r>
          </w:p>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大型</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农、林、牧、渔业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6000≤Y＜80000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300≤Y＜6000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Z≥80000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5000≤Z＜80000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Z＜300</w:t>
            </w:r>
          </w:p>
        </w:tc>
      </w:tr>
      <w:tr>
        <w:tblPrEx>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批发业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5≤X＜20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Y≥40000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5000≤Y＜40000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零售业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10≤X＜50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100≤Y＜500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交通运输业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200≤Y＜3000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仓储业*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Y≥30000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2000≤Y＜30000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住宿业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餐饮业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100≤Y＜2000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信息传输业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X≥2000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100≤X＜2000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软件和信息技术服务业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房地产开发经营</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Y≥200000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1000≤Y＜200000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5000≤Z＜10000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2000≤Z＜5000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物业管理</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300≤X＜1000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营业收入(Y)</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1000≤Y＜5000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500≤Y＜1000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租赁和商务服务业</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jc w:val="center"/>
              <w:rPr>
                <w:rFonts w:hint="eastAsia" w:ascii="宋体" w:hAnsi="宋体" w:cs="宋体"/>
                <w:color w:val="000000" w:themeColor="text1"/>
                <w:kern w:val="0"/>
                <w:sz w:val="24"/>
                <w14:textFill>
                  <w14:solidFill>
                    <w14:schemeClr w14:val="tx1"/>
                  </w14:solidFill>
                </w14:textFill>
              </w:rPr>
            </w:pP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资产总额(Z)</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Z≥120000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8000≤Z＜120000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100≤Z＜8000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其他未列明行业 *</w:t>
            </w:r>
          </w:p>
        </w:tc>
        <w:tc>
          <w:tcPr>
            <w:tcW w:w="1462"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从业人员(X)</w:t>
            </w:r>
          </w:p>
        </w:tc>
        <w:tc>
          <w:tcPr>
            <w:tcW w:w="727"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人</w:t>
            </w:r>
          </w:p>
        </w:tc>
        <w:tc>
          <w:tcPr>
            <w:tcW w:w="1011"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X≥300</w:t>
            </w:r>
          </w:p>
        </w:tc>
        <w:tc>
          <w:tcPr>
            <w:tcW w:w="1664"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100≤X＜300</w:t>
            </w:r>
          </w:p>
        </w:tc>
        <w:tc>
          <w:tcPr>
            <w:tcW w:w="1446"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10≤X＜100</w:t>
            </w:r>
          </w:p>
        </w:tc>
        <w:tc>
          <w:tcPr>
            <w:tcW w:w="793" w:type="dxa"/>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X＜10</w:t>
            </w:r>
          </w:p>
        </w:tc>
      </w:tr>
    </w:tbl>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说明：</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000000" w:themeColor="text1"/>
          <w14:textFill>
            <w14:solidFill>
              <w14:schemeClr w14:val="tx1"/>
            </w14:solidFill>
          </w14:textFill>
        </w:rPr>
      </w:pPr>
    </w:p>
    <w:p>
      <w:pPr>
        <w:pStyle w:val="14"/>
        <w:outlineLvl w:val="9"/>
        <w:rPr>
          <w:rFonts w:hint="eastAsia" w:ascii="宋体" w:hAnsi="宋体" w:eastAsia="宋体" w:cs="宋体"/>
          <w:color w:val="000000" w:themeColor="text1"/>
          <w:sz w:val="24"/>
          <w:szCs w:val="24"/>
          <w14:textFill>
            <w14:solidFill>
              <w14:schemeClr w14:val="tx1"/>
            </w14:solidFill>
          </w14:textFill>
        </w:rPr>
      </w:pPr>
    </w:p>
    <w:p>
      <w:pPr>
        <w:tabs>
          <w:tab w:val="left" w:pos="360"/>
        </w:tabs>
        <w:outlineLvl w:val="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24"/>
          <w14:textFill>
            <w14:solidFill>
              <w14:schemeClr w14:val="tx1"/>
            </w14:solidFill>
          </w14:textFill>
        </w:rPr>
        <w:t>4、财政部、民政部、中国残联《关于促进残疾人就业政府采购政策的通知》（财库〔2017〕141 号）</w:t>
      </w:r>
    </w:p>
    <w:p>
      <w:pPr>
        <w:shd w:val="clear" w:color="auto" w:fill="FFFFFF"/>
        <w:rPr>
          <w:rFonts w:hint="eastAsia" w:ascii="宋体" w:hAnsi="宋体" w:cs="宋体"/>
          <w:bCs/>
          <w:color w:val="000000" w:themeColor="text1"/>
          <w:sz w:val="24"/>
          <w14:textFill>
            <w14:solidFill>
              <w14:schemeClr w14:val="tx1"/>
            </w14:solidFill>
          </w14:textFill>
        </w:rPr>
      </w:pPr>
    </w:p>
    <w:p>
      <w:pPr>
        <w:shd w:val="clear" w:color="auto" w:fill="FFFFFF"/>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关于促进残疾人就业政府采购政策的通知</w:t>
      </w:r>
    </w:p>
    <w:p>
      <w:pPr>
        <w:pStyle w:val="13"/>
        <w:shd w:val="clear" w:color="auto" w:fill="FFFFFF"/>
        <w:spacing w:before="0" w:beforeAutospacing="0" w:after="0" w:afterAutospacing="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w:t>
      </w:r>
      <w:bookmarkStart w:id="67" w:name="sendNo"/>
      <w:r>
        <w:rPr>
          <w:rFonts w:hint="eastAsia"/>
          <w:color w:val="000000" w:themeColor="text1"/>
          <w14:textFill>
            <w14:solidFill>
              <w14:schemeClr w14:val="tx1"/>
            </w14:solidFill>
          </w14:textFill>
        </w:rPr>
        <w:t>财库〔</w:t>
      </w:r>
      <w:bookmarkEnd w:id="67"/>
      <w:r>
        <w:rPr>
          <w:rFonts w:hint="eastAsia"/>
          <w:color w:val="000000" w:themeColor="text1"/>
          <w14:textFill>
            <w14:solidFill>
              <w14:schemeClr w14:val="tx1"/>
            </w14:solidFill>
          </w14:textFill>
        </w:rPr>
        <w:t>2017〕141号</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bookmarkStart w:id="68" w:name="toDeptId"/>
      <w:r>
        <w:rPr>
          <w:rFonts w:hint="eastAsia"/>
          <w:color w:val="000000" w:themeColor="text1"/>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8"/>
      <w:r>
        <w:rPr>
          <w:rFonts w:hint="eastAsia"/>
          <w:color w:val="000000" w:themeColor="text1"/>
          <w14:textFill>
            <w14:solidFill>
              <w14:schemeClr w14:val="tx1"/>
            </w14:solidFill>
          </w14:textFill>
        </w:rPr>
        <w:t>：</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为了发挥政府采购促进残疾人就业的作用，进一步保障残疾人权益，依照《政府采购法》、《残疾人保障法》等法律法规及相关规定，现就促进残疾人就业政府采购政策通知如下：</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一、享受政府采购支持政策的残疾人福利性单位应当同时满足以下条件：</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（一）安置的残疾人占本单位在职职工人数的比例不低于25%（含25%），并且安置的残疾人人数不少于10人（含10人）；</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（二）依法与安置的每位残疾人签订了一年以上（含一年）的劳动合同或服务协议；</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（三）为安置的每位残疾人按月足额缴纳了基本养老保险、基本医疗保险、失业保险、工伤保险和生育保险等社会保险费；</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（四）通过银行等金融机构向安置的每位残疾人，按月支付了不低于单位所在区县适用的经省级人民政府批准的月最低工资标准的工资；</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中标、成交供应商为残疾人福利性单位的，采购人或者其委托的采购代理机构应当随中标、成交结果同时公告其《残疾人福利性单位声明函》，接受社会监督。</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供应商提供的《残疾人福利性单位声明函》与事实不符的，依照《政府采购法》第七十七条第一款的规定追究法律责任。</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3"/>
        <w:shd w:val="clear" w:color="auto" w:fill="FFFFFF"/>
        <w:spacing w:before="0" w:beforeAutospacing="0" w:after="0" w:afterAutospacing="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四、采购人采购公开招标数额标准以上的货物或者服务，因落实促进残疾人就业政策的需要，依法履行有关报批程序后，可采用公开招标以外的采购方式。</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3"/>
        <w:shd w:val="clear" w:color="auto" w:fill="FFFFFF"/>
        <w:spacing w:before="0" w:beforeAutospacing="0" w:after="0" w:afterAutospacing="0" w:line="560" w:lineRule="exact"/>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七、本通知自2017年10月1日起执行。</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财政部 民政部 中国残疾人联合会</w:t>
      </w:r>
    </w:p>
    <w:p>
      <w:pPr>
        <w:pStyle w:val="13"/>
        <w:shd w:val="clear" w:color="auto" w:fill="FFFFFF"/>
        <w:spacing w:before="0" w:beforeAutospacing="0" w:after="0" w:afterAutospacing="0" w:line="560" w:lineRule="exact"/>
        <w:ind w:firstLine="480" w:firstLineChars="200"/>
        <w:jc w:val="righ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2017年8月22日</w:t>
      </w:r>
    </w:p>
    <w:p>
      <w:pPr>
        <w:pStyle w:val="28"/>
        <w:shd w:val="clear" w:color="auto" w:fill="FFFFFF"/>
        <w:spacing w:before="0" w:beforeAutospacing="0" w:after="0" w:afterAutospacing="0" w:line="560" w:lineRule="exact"/>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p>
    <w:p>
      <w:pPr>
        <w:pStyle w:val="28"/>
        <w:shd w:val="clear" w:color="auto" w:fill="FFFFFF"/>
        <w:spacing w:before="0" w:beforeAutospacing="0" w:after="0" w:afterAutospacing="0" w:line="560" w:lineRule="exact"/>
        <w:ind w:firstLine="482" w:firstLineChars="200"/>
        <w:jc w:val="center"/>
        <w:rPr>
          <w:rFonts w:hint="eastAsia"/>
          <w:color w:val="000000" w:themeColor="text1"/>
          <w14:textFill>
            <w14:solidFill>
              <w14:schemeClr w14:val="tx1"/>
            </w14:solidFill>
          </w14:textFill>
        </w:rPr>
      </w:pPr>
      <w:r>
        <w:rPr>
          <w:rStyle w:val="29"/>
          <w:rFonts w:hint="eastAsia"/>
          <w:b/>
          <w:bCs/>
          <w:color w:val="000000" w:themeColor="text1"/>
          <w14:textFill>
            <w14:solidFill>
              <w14:schemeClr w14:val="tx1"/>
            </w14:solidFill>
          </w14:textFill>
        </w:rPr>
        <w:t>残疾人福利性单位声明函</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本单位对上述声明的真实性负责。如有虚假，将依法承担相应责任。</w:t>
      </w:r>
    </w:p>
    <w:p>
      <w:pPr>
        <w:pStyle w:val="28"/>
        <w:shd w:val="clear" w:color="auto" w:fill="FFFFFF"/>
        <w:spacing w:before="0" w:beforeAutospacing="0" w:after="0" w:afterAutospacing="0" w:line="560" w:lineRule="exact"/>
        <w:ind w:firstLine="480" w:firstLineChars="20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投标人已知悉《关于促进残疾人就业政府采购政策的通知》（财库〔2017〕141 号）的规定，承诺提供的声明函内容是真实的，如提供声明函内容不实，则依法追究相关法律责任。</w:t>
      </w:r>
    </w:p>
    <w:p>
      <w:pPr>
        <w:pStyle w:val="28"/>
        <w:shd w:val="clear" w:color="auto" w:fill="FFFFFF"/>
        <w:spacing w:before="0" w:beforeAutospacing="0" w:after="0" w:afterAutospacing="0" w:line="560" w:lineRule="exact"/>
        <w:ind w:right="2100" w:rightChars="1000"/>
        <w:jc w:val="right"/>
        <w:rPr>
          <w:rFonts w:hint="eastAsia"/>
          <w:color w:val="000000" w:themeColor="text1"/>
          <w14:textFill>
            <w14:solidFill>
              <w14:schemeClr w14:val="tx1"/>
            </w14:solidFill>
          </w14:textFill>
        </w:rPr>
      </w:pPr>
      <w:r>
        <w:rPr>
          <w:rStyle w:val="29"/>
          <w:rFonts w:hint="eastAsia"/>
          <w:color w:val="000000" w:themeColor="text1"/>
          <w14:textFill>
            <w14:solidFill>
              <w14:schemeClr w14:val="tx1"/>
            </w14:solidFill>
          </w14:textFill>
        </w:rPr>
        <w:t>单位名称（盖章）：</w:t>
      </w:r>
    </w:p>
    <w:p>
      <w:pPr>
        <w:pStyle w:val="28"/>
        <w:shd w:val="clear" w:color="auto" w:fill="FFFFFF"/>
        <w:spacing w:before="0" w:beforeAutospacing="0" w:after="0" w:afterAutospacing="0" w:line="560" w:lineRule="exact"/>
        <w:ind w:right="2100" w:rightChars="1000"/>
        <w:jc w:val="right"/>
        <w:rPr>
          <w:rFonts w:hint="eastAsia"/>
          <w:color w:val="000000" w:themeColor="text1"/>
          <w:lang w:val="fr-CH"/>
          <w14:textFill>
            <w14:solidFill>
              <w14:schemeClr w14:val="tx1"/>
            </w14:solidFill>
          </w14:textFill>
        </w:rPr>
      </w:pPr>
      <w:r>
        <w:rPr>
          <w:rStyle w:val="29"/>
          <w:rFonts w:hint="eastAsia"/>
          <w:color w:val="000000" w:themeColor="text1"/>
          <w14:textFill>
            <w14:solidFill>
              <w14:schemeClr w14:val="tx1"/>
            </w14:solidFill>
          </w14:textFill>
        </w:rPr>
        <w:t>日 期：</w:t>
      </w:r>
    </w:p>
    <w:p>
      <w:pPr>
        <w:tabs>
          <w:tab w:val="left" w:pos="640"/>
          <w:tab w:val="left" w:pos="1260"/>
          <w:tab w:val="left" w:pos="1418"/>
        </w:tabs>
        <w:spacing w:line="360" w:lineRule="auto"/>
        <w:ind w:right="-420" w:rightChars="-200"/>
        <w:rPr>
          <w:rFonts w:hint="eastAsia" w:ascii="宋体" w:hAnsi="宋体" w:cs="宋体"/>
          <w:color w:val="000000" w:themeColor="text1"/>
          <w:sz w:val="24"/>
          <w:lang w:val="fr-CH"/>
          <w14:textFill>
            <w14:solidFill>
              <w14:schemeClr w14:val="tx1"/>
            </w14:solidFill>
          </w14:textFill>
        </w:rPr>
      </w:pPr>
    </w:p>
    <w:p>
      <w:pPr>
        <w:rPr>
          <w:color w:val="000000" w:themeColor="text1"/>
          <w14:textFill>
            <w14:solidFill>
              <w14:schemeClr w14:val="tx1"/>
            </w14:solidFill>
          </w14:textFill>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45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50716"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50716"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3">
    <w:nsid w:val="B60EDFBE"/>
    <w:multiLevelType w:val="singleLevel"/>
    <w:tmpl w:val="B60EDFBE"/>
    <w:lvl w:ilvl="0" w:tentative="0">
      <w:start w:val="1"/>
      <w:numFmt w:val="decimal"/>
      <w:suff w:val="nothing"/>
      <w:lvlText w:val="（%1）"/>
      <w:lvlJc w:val="left"/>
    </w:lvl>
  </w:abstractNum>
  <w:abstractNum w:abstractNumId="4">
    <w:nsid w:val="EAE13B7A"/>
    <w:multiLevelType w:val="singleLevel"/>
    <w:tmpl w:val="EAE13B7A"/>
    <w:lvl w:ilvl="0" w:tentative="0">
      <w:start w:val="1"/>
      <w:numFmt w:val="chineseCounting"/>
      <w:suff w:val="nothing"/>
      <w:lvlText w:val="%1、"/>
      <w:lvlJc w:val="left"/>
      <w:pPr>
        <w:ind w:left="0" w:firstLine="420"/>
      </w:pPr>
      <w:rPr>
        <w:rFonts w:hint="eastAsia"/>
      </w:rPr>
    </w:lvl>
  </w:abstractNum>
  <w:abstractNum w:abstractNumId="5">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6">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7">
    <w:nsid w:val="00000009"/>
    <w:multiLevelType w:val="singleLevel"/>
    <w:tmpl w:val="00000009"/>
    <w:lvl w:ilvl="0" w:tentative="0">
      <w:start w:val="1"/>
      <w:numFmt w:val="chineseCounting"/>
      <w:suff w:val="nothing"/>
      <w:lvlText w:val="%1、"/>
      <w:lvlJc w:val="left"/>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1">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2">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3">
    <w:nsid w:val="7D9E2CB6"/>
    <w:multiLevelType w:val="singleLevel"/>
    <w:tmpl w:val="7D9E2CB6"/>
    <w:lvl w:ilvl="0" w:tentative="0">
      <w:start w:val="1"/>
      <w:numFmt w:val="chineseCounting"/>
      <w:suff w:val="space"/>
      <w:lvlText w:val="第%1章"/>
      <w:lvlJc w:val="left"/>
      <w:rPr>
        <w:rFonts w:hint="eastAsia"/>
        <w:color w:val="auto"/>
      </w:rPr>
    </w:lvl>
  </w:abstractNum>
  <w:abstractNum w:abstractNumId="14">
    <w:nsid w:val="7DDE7250"/>
    <w:multiLevelType w:val="singleLevel"/>
    <w:tmpl w:val="7DDE7250"/>
    <w:lvl w:ilvl="0" w:tentative="0">
      <w:start w:val="1"/>
      <w:numFmt w:val="decimal"/>
      <w:suff w:val="space"/>
      <w:lvlText w:val="%1."/>
      <w:lvlJc w:val="left"/>
    </w:lvl>
  </w:abstractNum>
  <w:num w:numId="1">
    <w:abstractNumId w:val="13"/>
  </w:num>
  <w:num w:numId="2">
    <w:abstractNumId w:val="3"/>
  </w:num>
  <w:num w:numId="3">
    <w:abstractNumId w:val="9"/>
  </w:num>
  <w:num w:numId="4">
    <w:abstractNumId w:val="7"/>
  </w:num>
  <w:num w:numId="5">
    <w:abstractNumId w:val="14"/>
  </w:num>
  <w:num w:numId="6">
    <w:abstractNumId w:val="4"/>
  </w:num>
  <w:num w:numId="7">
    <w:abstractNumId w:val="10"/>
  </w:num>
  <w:num w:numId="8">
    <w:abstractNumId w:val="2"/>
  </w:num>
  <w:num w:numId="9">
    <w:abstractNumId w:val="5"/>
  </w:num>
  <w:num w:numId="10">
    <w:abstractNumId w:val="1"/>
  </w:num>
  <w:num w:numId="11">
    <w:abstractNumId w:val="0"/>
  </w:num>
  <w:num w:numId="12">
    <w:abstractNumId w:val="6"/>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6E37"/>
    <w:rsid w:val="00002D9F"/>
    <w:rsid w:val="00054471"/>
    <w:rsid w:val="001C60B0"/>
    <w:rsid w:val="003A4DB8"/>
    <w:rsid w:val="00C93875"/>
    <w:rsid w:val="00DE5743"/>
    <w:rsid w:val="00E747E3"/>
    <w:rsid w:val="00F46D15"/>
    <w:rsid w:val="00F72CA9"/>
    <w:rsid w:val="00FF40AC"/>
    <w:rsid w:val="01145951"/>
    <w:rsid w:val="01EF572E"/>
    <w:rsid w:val="02477318"/>
    <w:rsid w:val="028B18FB"/>
    <w:rsid w:val="02B81FC4"/>
    <w:rsid w:val="03261624"/>
    <w:rsid w:val="035717DD"/>
    <w:rsid w:val="036D7252"/>
    <w:rsid w:val="03BB1D6C"/>
    <w:rsid w:val="03E5503B"/>
    <w:rsid w:val="040C3CF2"/>
    <w:rsid w:val="049A4077"/>
    <w:rsid w:val="04AC3B33"/>
    <w:rsid w:val="04B769D7"/>
    <w:rsid w:val="05525F81"/>
    <w:rsid w:val="05D438B9"/>
    <w:rsid w:val="06456265"/>
    <w:rsid w:val="076B39F3"/>
    <w:rsid w:val="07AD40C1"/>
    <w:rsid w:val="084F5179"/>
    <w:rsid w:val="08EF6AC2"/>
    <w:rsid w:val="09185F2E"/>
    <w:rsid w:val="097815DF"/>
    <w:rsid w:val="098E31D7"/>
    <w:rsid w:val="09D57431"/>
    <w:rsid w:val="09D9508C"/>
    <w:rsid w:val="0A3D797F"/>
    <w:rsid w:val="0A3E54A5"/>
    <w:rsid w:val="0A7F6940"/>
    <w:rsid w:val="0ACB31DC"/>
    <w:rsid w:val="0B1D330C"/>
    <w:rsid w:val="0BA12829"/>
    <w:rsid w:val="0BCB720C"/>
    <w:rsid w:val="0BE85AA6"/>
    <w:rsid w:val="0C22507E"/>
    <w:rsid w:val="0C23344D"/>
    <w:rsid w:val="0C2506CA"/>
    <w:rsid w:val="0C3B7EEE"/>
    <w:rsid w:val="0CA03970"/>
    <w:rsid w:val="0D0B2017"/>
    <w:rsid w:val="0D0C53E6"/>
    <w:rsid w:val="0D9F44AC"/>
    <w:rsid w:val="0DAF6CC4"/>
    <w:rsid w:val="0DEB3271"/>
    <w:rsid w:val="0DFE5677"/>
    <w:rsid w:val="0E2624D8"/>
    <w:rsid w:val="0E4219DB"/>
    <w:rsid w:val="0F6B6D3C"/>
    <w:rsid w:val="0FDC3796"/>
    <w:rsid w:val="10947BCD"/>
    <w:rsid w:val="11286567"/>
    <w:rsid w:val="11E20D72"/>
    <w:rsid w:val="124318AA"/>
    <w:rsid w:val="137B7981"/>
    <w:rsid w:val="138F7287"/>
    <w:rsid w:val="148443FC"/>
    <w:rsid w:val="149F2FE4"/>
    <w:rsid w:val="14D709D0"/>
    <w:rsid w:val="15FD3709"/>
    <w:rsid w:val="167A7865"/>
    <w:rsid w:val="168B1A72"/>
    <w:rsid w:val="16C358AF"/>
    <w:rsid w:val="16D637FC"/>
    <w:rsid w:val="16F76FA7"/>
    <w:rsid w:val="172A3039"/>
    <w:rsid w:val="1733381F"/>
    <w:rsid w:val="1773288D"/>
    <w:rsid w:val="178D1D96"/>
    <w:rsid w:val="17926369"/>
    <w:rsid w:val="17966920"/>
    <w:rsid w:val="180B1483"/>
    <w:rsid w:val="18745314"/>
    <w:rsid w:val="18E37943"/>
    <w:rsid w:val="191C4C03"/>
    <w:rsid w:val="19355CC5"/>
    <w:rsid w:val="19946E8F"/>
    <w:rsid w:val="19C85E69"/>
    <w:rsid w:val="1A7F3E24"/>
    <w:rsid w:val="1B982FF3"/>
    <w:rsid w:val="1B9A4716"/>
    <w:rsid w:val="1C224C26"/>
    <w:rsid w:val="1D3E032A"/>
    <w:rsid w:val="1D864D41"/>
    <w:rsid w:val="1D946A63"/>
    <w:rsid w:val="1DD84EE2"/>
    <w:rsid w:val="1E6E5F01"/>
    <w:rsid w:val="1EC0236C"/>
    <w:rsid w:val="1EC575F3"/>
    <w:rsid w:val="209F2A54"/>
    <w:rsid w:val="20D73ACA"/>
    <w:rsid w:val="21350F58"/>
    <w:rsid w:val="21671CF6"/>
    <w:rsid w:val="217750CC"/>
    <w:rsid w:val="228D764F"/>
    <w:rsid w:val="23CD1D77"/>
    <w:rsid w:val="23D1119D"/>
    <w:rsid w:val="24281889"/>
    <w:rsid w:val="24961D0D"/>
    <w:rsid w:val="24B403E6"/>
    <w:rsid w:val="24C90A33"/>
    <w:rsid w:val="25733DFD"/>
    <w:rsid w:val="25EC437E"/>
    <w:rsid w:val="263A491A"/>
    <w:rsid w:val="26AB75C6"/>
    <w:rsid w:val="26D7660D"/>
    <w:rsid w:val="26E054C2"/>
    <w:rsid w:val="2781787A"/>
    <w:rsid w:val="27CE5C62"/>
    <w:rsid w:val="28355CE1"/>
    <w:rsid w:val="28440A5B"/>
    <w:rsid w:val="284C045D"/>
    <w:rsid w:val="28704554"/>
    <w:rsid w:val="28846049"/>
    <w:rsid w:val="28EF7C3E"/>
    <w:rsid w:val="29540304"/>
    <w:rsid w:val="29A5570A"/>
    <w:rsid w:val="29A63C37"/>
    <w:rsid w:val="2A0A1F9E"/>
    <w:rsid w:val="2A2614BF"/>
    <w:rsid w:val="2B746B21"/>
    <w:rsid w:val="2B794137"/>
    <w:rsid w:val="2BFA5278"/>
    <w:rsid w:val="2C17011F"/>
    <w:rsid w:val="2C2B3086"/>
    <w:rsid w:val="2C525562"/>
    <w:rsid w:val="2C610E53"/>
    <w:rsid w:val="2CA13945"/>
    <w:rsid w:val="2CC24314"/>
    <w:rsid w:val="2D047A30"/>
    <w:rsid w:val="2D9B2143"/>
    <w:rsid w:val="2D9E319D"/>
    <w:rsid w:val="2DFE6E37"/>
    <w:rsid w:val="2E8C7FF5"/>
    <w:rsid w:val="2EEB4374"/>
    <w:rsid w:val="2F25260C"/>
    <w:rsid w:val="2F6B1FE9"/>
    <w:rsid w:val="2F762E67"/>
    <w:rsid w:val="3075313F"/>
    <w:rsid w:val="30F46739"/>
    <w:rsid w:val="312E5FEB"/>
    <w:rsid w:val="31C76D4C"/>
    <w:rsid w:val="31D356B0"/>
    <w:rsid w:val="324A23F5"/>
    <w:rsid w:val="328A6C2A"/>
    <w:rsid w:val="32B85545"/>
    <w:rsid w:val="33323549"/>
    <w:rsid w:val="33813B89"/>
    <w:rsid w:val="339C4E66"/>
    <w:rsid w:val="349A75F8"/>
    <w:rsid w:val="34EB7E53"/>
    <w:rsid w:val="35156C7E"/>
    <w:rsid w:val="35213875"/>
    <w:rsid w:val="353F5AA9"/>
    <w:rsid w:val="35586B6B"/>
    <w:rsid w:val="35A3428A"/>
    <w:rsid w:val="35E11256"/>
    <w:rsid w:val="36034D29"/>
    <w:rsid w:val="361138EA"/>
    <w:rsid w:val="365E5169"/>
    <w:rsid w:val="36B843E2"/>
    <w:rsid w:val="37F52D97"/>
    <w:rsid w:val="38082ACA"/>
    <w:rsid w:val="38163439"/>
    <w:rsid w:val="38314519"/>
    <w:rsid w:val="38336D98"/>
    <w:rsid w:val="38824C4A"/>
    <w:rsid w:val="394A3E0E"/>
    <w:rsid w:val="394B1EE3"/>
    <w:rsid w:val="39DF3CFF"/>
    <w:rsid w:val="3A257964"/>
    <w:rsid w:val="3A3A5061"/>
    <w:rsid w:val="3A571AE7"/>
    <w:rsid w:val="3A8D375B"/>
    <w:rsid w:val="3AAA60BB"/>
    <w:rsid w:val="3B2E16B6"/>
    <w:rsid w:val="3B530501"/>
    <w:rsid w:val="3C4B567C"/>
    <w:rsid w:val="3C6C6886"/>
    <w:rsid w:val="3CAB3899"/>
    <w:rsid w:val="3D4B05F7"/>
    <w:rsid w:val="3D536F54"/>
    <w:rsid w:val="3D995F73"/>
    <w:rsid w:val="3E396CAE"/>
    <w:rsid w:val="3E78202C"/>
    <w:rsid w:val="3F0F473E"/>
    <w:rsid w:val="3F1E4982"/>
    <w:rsid w:val="3FB65AD9"/>
    <w:rsid w:val="3FE05723"/>
    <w:rsid w:val="4024421A"/>
    <w:rsid w:val="40371ECC"/>
    <w:rsid w:val="40452C81"/>
    <w:rsid w:val="42312C1E"/>
    <w:rsid w:val="42EB4309"/>
    <w:rsid w:val="42FB3958"/>
    <w:rsid w:val="43AE09CA"/>
    <w:rsid w:val="441421E2"/>
    <w:rsid w:val="445826D6"/>
    <w:rsid w:val="44CD30D2"/>
    <w:rsid w:val="452F78E8"/>
    <w:rsid w:val="46AD506D"/>
    <w:rsid w:val="46B81CA9"/>
    <w:rsid w:val="470C6541"/>
    <w:rsid w:val="473A07C7"/>
    <w:rsid w:val="476354E9"/>
    <w:rsid w:val="48054931"/>
    <w:rsid w:val="483D231C"/>
    <w:rsid w:val="48621D83"/>
    <w:rsid w:val="487C41DD"/>
    <w:rsid w:val="49351245"/>
    <w:rsid w:val="495B760C"/>
    <w:rsid w:val="498B5C77"/>
    <w:rsid w:val="49C70685"/>
    <w:rsid w:val="49DF0B35"/>
    <w:rsid w:val="4A0D488A"/>
    <w:rsid w:val="4A161077"/>
    <w:rsid w:val="4B1B3D36"/>
    <w:rsid w:val="4B232DA2"/>
    <w:rsid w:val="4C417F01"/>
    <w:rsid w:val="4C63431C"/>
    <w:rsid w:val="4C637F6F"/>
    <w:rsid w:val="4D453A21"/>
    <w:rsid w:val="4D562C80"/>
    <w:rsid w:val="4D930C30"/>
    <w:rsid w:val="4D9E721C"/>
    <w:rsid w:val="4E2979E5"/>
    <w:rsid w:val="4F6208BA"/>
    <w:rsid w:val="4F910B3F"/>
    <w:rsid w:val="4F936CC6"/>
    <w:rsid w:val="4F9812E6"/>
    <w:rsid w:val="501D6F9B"/>
    <w:rsid w:val="50402E5B"/>
    <w:rsid w:val="510D292B"/>
    <w:rsid w:val="511676E7"/>
    <w:rsid w:val="51625CF9"/>
    <w:rsid w:val="51932FAD"/>
    <w:rsid w:val="522602C5"/>
    <w:rsid w:val="523227C6"/>
    <w:rsid w:val="52376968"/>
    <w:rsid w:val="525766D1"/>
    <w:rsid w:val="5268268C"/>
    <w:rsid w:val="53035F10"/>
    <w:rsid w:val="53452D12"/>
    <w:rsid w:val="536852EA"/>
    <w:rsid w:val="53A45945"/>
    <w:rsid w:val="53A6324B"/>
    <w:rsid w:val="54297BF9"/>
    <w:rsid w:val="549F7EBB"/>
    <w:rsid w:val="54BB7C66"/>
    <w:rsid w:val="54C618EB"/>
    <w:rsid w:val="558E2409"/>
    <w:rsid w:val="55A27C63"/>
    <w:rsid w:val="55B160F8"/>
    <w:rsid w:val="560721BC"/>
    <w:rsid w:val="56E322E1"/>
    <w:rsid w:val="576176AA"/>
    <w:rsid w:val="57822B16"/>
    <w:rsid w:val="579B7990"/>
    <w:rsid w:val="57A53A3A"/>
    <w:rsid w:val="581E3FA7"/>
    <w:rsid w:val="583D33C0"/>
    <w:rsid w:val="58F5454D"/>
    <w:rsid w:val="590B5B1F"/>
    <w:rsid w:val="590D1897"/>
    <w:rsid w:val="59691FED"/>
    <w:rsid w:val="597638E0"/>
    <w:rsid w:val="59D46859"/>
    <w:rsid w:val="5A276988"/>
    <w:rsid w:val="5A5A6003"/>
    <w:rsid w:val="5AC74611"/>
    <w:rsid w:val="5B2D7FCE"/>
    <w:rsid w:val="5C2C4F2D"/>
    <w:rsid w:val="5C451348"/>
    <w:rsid w:val="5C7120A1"/>
    <w:rsid w:val="5C7A0D57"/>
    <w:rsid w:val="5CB52971"/>
    <w:rsid w:val="5CBA2318"/>
    <w:rsid w:val="5D6677C8"/>
    <w:rsid w:val="5D8F4F70"/>
    <w:rsid w:val="5D9A56C3"/>
    <w:rsid w:val="5DD30284"/>
    <w:rsid w:val="5E5B30A5"/>
    <w:rsid w:val="5E8545C5"/>
    <w:rsid w:val="5EE70977"/>
    <w:rsid w:val="602045A6"/>
    <w:rsid w:val="608B78E2"/>
    <w:rsid w:val="60975E85"/>
    <w:rsid w:val="60C969EB"/>
    <w:rsid w:val="60DC361E"/>
    <w:rsid w:val="60F5158E"/>
    <w:rsid w:val="616933C9"/>
    <w:rsid w:val="61734BA9"/>
    <w:rsid w:val="61A15272"/>
    <w:rsid w:val="61C4171F"/>
    <w:rsid w:val="61F93300"/>
    <w:rsid w:val="624A77E6"/>
    <w:rsid w:val="62854B94"/>
    <w:rsid w:val="631E435E"/>
    <w:rsid w:val="63213CF4"/>
    <w:rsid w:val="63D86F45"/>
    <w:rsid w:val="64CA31F0"/>
    <w:rsid w:val="64E14962"/>
    <w:rsid w:val="65282833"/>
    <w:rsid w:val="652E26F9"/>
    <w:rsid w:val="65366619"/>
    <w:rsid w:val="65727C4B"/>
    <w:rsid w:val="658554FB"/>
    <w:rsid w:val="658B6DC7"/>
    <w:rsid w:val="66083B12"/>
    <w:rsid w:val="660B3602"/>
    <w:rsid w:val="664C2BA5"/>
    <w:rsid w:val="667C62AE"/>
    <w:rsid w:val="66AD4998"/>
    <w:rsid w:val="66BA7997"/>
    <w:rsid w:val="676A395C"/>
    <w:rsid w:val="67CD5013"/>
    <w:rsid w:val="68662D72"/>
    <w:rsid w:val="6974326C"/>
    <w:rsid w:val="69F95045"/>
    <w:rsid w:val="6A250690"/>
    <w:rsid w:val="6A3C6480"/>
    <w:rsid w:val="6A3D5D54"/>
    <w:rsid w:val="6A5938E3"/>
    <w:rsid w:val="6B217424"/>
    <w:rsid w:val="6B2947D1"/>
    <w:rsid w:val="6BB87D88"/>
    <w:rsid w:val="6BE26BB3"/>
    <w:rsid w:val="6BFD1C3F"/>
    <w:rsid w:val="6BFF0DBE"/>
    <w:rsid w:val="6C7C2B64"/>
    <w:rsid w:val="6CA10D6E"/>
    <w:rsid w:val="6D746AAD"/>
    <w:rsid w:val="6E315BD0"/>
    <w:rsid w:val="6E495542"/>
    <w:rsid w:val="6E573888"/>
    <w:rsid w:val="6E7D42EE"/>
    <w:rsid w:val="6ECD3B4B"/>
    <w:rsid w:val="6EF70BC7"/>
    <w:rsid w:val="6F8C57B4"/>
    <w:rsid w:val="703379DD"/>
    <w:rsid w:val="711C7DEE"/>
    <w:rsid w:val="715A543E"/>
    <w:rsid w:val="71A87053"/>
    <w:rsid w:val="71B132B0"/>
    <w:rsid w:val="71C8684B"/>
    <w:rsid w:val="724F1FEB"/>
    <w:rsid w:val="72834520"/>
    <w:rsid w:val="72AE77EF"/>
    <w:rsid w:val="72BB1F0C"/>
    <w:rsid w:val="73020FF3"/>
    <w:rsid w:val="736305DA"/>
    <w:rsid w:val="739048A5"/>
    <w:rsid w:val="73922C6D"/>
    <w:rsid w:val="73E47E30"/>
    <w:rsid w:val="74640AAD"/>
    <w:rsid w:val="747F7695"/>
    <w:rsid w:val="7483115A"/>
    <w:rsid w:val="750E6C6B"/>
    <w:rsid w:val="756E14B8"/>
    <w:rsid w:val="75A86778"/>
    <w:rsid w:val="75CF06D9"/>
    <w:rsid w:val="75D1787A"/>
    <w:rsid w:val="76045978"/>
    <w:rsid w:val="76133B2A"/>
    <w:rsid w:val="767A350B"/>
    <w:rsid w:val="76A77C3C"/>
    <w:rsid w:val="77F205C7"/>
    <w:rsid w:val="783E6762"/>
    <w:rsid w:val="78615304"/>
    <w:rsid w:val="78D76F87"/>
    <w:rsid w:val="78FD6DDA"/>
    <w:rsid w:val="79752E15"/>
    <w:rsid w:val="79955265"/>
    <w:rsid w:val="7999158E"/>
    <w:rsid w:val="79A731EA"/>
    <w:rsid w:val="79B002F1"/>
    <w:rsid w:val="79FC1788"/>
    <w:rsid w:val="79FC7092"/>
    <w:rsid w:val="7A08012D"/>
    <w:rsid w:val="7A61783D"/>
    <w:rsid w:val="7A856043"/>
    <w:rsid w:val="7AA716F4"/>
    <w:rsid w:val="7AD44E97"/>
    <w:rsid w:val="7AF83CFD"/>
    <w:rsid w:val="7B475882"/>
    <w:rsid w:val="7B8B5094"/>
    <w:rsid w:val="7B8C08E9"/>
    <w:rsid w:val="7BB4552D"/>
    <w:rsid w:val="7C547659"/>
    <w:rsid w:val="7C61572E"/>
    <w:rsid w:val="7D8628FA"/>
    <w:rsid w:val="7DC2443F"/>
    <w:rsid w:val="7E292420"/>
    <w:rsid w:val="7E65594B"/>
    <w:rsid w:val="7EAA7A04"/>
    <w:rsid w:val="7EC42148"/>
    <w:rsid w:val="7EE33B7E"/>
    <w:rsid w:val="7EEF3F71"/>
    <w:rsid w:val="7F160BF6"/>
    <w:rsid w:val="7FA2248A"/>
    <w:rsid w:val="7FA93818"/>
    <w:rsid w:val="7FDD39BD"/>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 w:val="24"/>
    </w:rPr>
  </w:style>
  <w:style w:type="paragraph" w:styleId="5">
    <w:name w:val="Normal Indent"/>
    <w:basedOn w:val="1"/>
    <w:qFormat/>
    <w:uiPriority w:val="0"/>
    <w:pPr>
      <w:ind w:firstLine="420" w:firstLineChars="200"/>
    </w:pPr>
    <w:rPr>
      <w:szCs w:val="20"/>
    </w:rPr>
  </w:style>
  <w:style w:type="paragraph" w:styleId="6">
    <w:name w:val="annotation text"/>
    <w:basedOn w:val="1"/>
    <w:link w:val="34"/>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link w:val="33"/>
    <w:qFormat/>
    <w:uiPriority w:val="0"/>
    <w:pP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Body Text 2"/>
    <w:basedOn w:val="1"/>
    <w:qFormat/>
    <w:uiPriority w:val="99"/>
    <w:pPr>
      <w:spacing w:before="240"/>
    </w:pPr>
    <w:rPr>
      <w:rFonts w:ascii="Calibri" w:hAnsi="Calibri"/>
      <w:color w:val="FF000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uiPriority w:val="0"/>
    <w:pPr>
      <w:spacing w:before="240" w:after="60"/>
      <w:jc w:val="center"/>
      <w:outlineLvl w:val="0"/>
    </w:pPr>
    <w:rPr>
      <w:rFonts w:ascii="Arial" w:hAnsi="Arial" w:eastAsia="隶书"/>
      <w:b/>
      <w:bCs/>
      <w:sz w:val="32"/>
      <w:szCs w:val="32"/>
    </w:rPr>
  </w:style>
  <w:style w:type="paragraph" w:styleId="15">
    <w:name w:val="annotation subject"/>
    <w:basedOn w:val="6"/>
    <w:next w:val="6"/>
    <w:link w:val="35"/>
    <w:qFormat/>
    <w:uiPriority w:val="0"/>
    <w:rPr>
      <w:b/>
      <w:bCs/>
      <w:kern w:val="2"/>
      <w:sz w:val="21"/>
    </w:rPr>
  </w:style>
  <w:style w:type="paragraph" w:styleId="16">
    <w:name w:val="Body Text First Indent"/>
    <w:basedOn w:val="2"/>
    <w:qFormat/>
    <w:uiPriority w:val="0"/>
    <w:pPr>
      <w:snapToGrid w:val="0"/>
      <w:spacing w:line="560" w:lineRule="exact"/>
      <w:ind w:firstLine="200" w:firstLineChars="200"/>
    </w:pPr>
    <w:rPr>
      <w:rFonts w:ascii="仿宋" w:hAnsi="仿宋" w:cs="仿宋"/>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styleId="23">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5">
    <w:name w:val="List Paragraph"/>
    <w:basedOn w:val="1"/>
    <w:qFormat/>
    <w:uiPriority w:val="34"/>
    <w:pPr>
      <w:ind w:firstLine="420" w:firstLineChars="200"/>
    </w:pPr>
  </w:style>
  <w:style w:type="character" w:customStyle="1" w:styleId="26">
    <w:name w:val="NormalCharacter"/>
    <w:qFormat/>
    <w:uiPriority w:val="0"/>
    <w:rPr>
      <w:kern w:val="2"/>
      <w:sz w:val="21"/>
      <w:szCs w:val="24"/>
      <w:lang w:val="en-US" w:eastAsia="zh-CN" w:bidi="ar-SA"/>
    </w:rPr>
  </w:style>
  <w:style w:type="paragraph" w:customStyle="1" w:styleId="27">
    <w:name w:val="Table Paragraph"/>
    <w:basedOn w:val="1"/>
    <w:qFormat/>
    <w:uiPriority w:val="0"/>
    <w:pPr>
      <w:autoSpaceDE w:val="0"/>
      <w:autoSpaceDN w:val="0"/>
      <w:jc w:val="left"/>
    </w:pPr>
    <w:rPr>
      <w:rFonts w:ascii="宋体" w:hAnsi="宋体" w:cs="宋体"/>
      <w:kern w:val="0"/>
      <w:sz w:val="22"/>
      <w:szCs w:val="22"/>
    </w:rPr>
  </w:style>
  <w:style w:type="paragraph" w:customStyle="1" w:styleId="28">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qowt-font5-gb2312"/>
    <w:qFormat/>
    <w:uiPriority w:val="0"/>
  </w:style>
  <w:style w:type="paragraph" w:customStyle="1" w:styleId="30">
    <w:name w:val="正文格式"/>
    <w:basedOn w:val="7"/>
    <w:qFormat/>
    <w:uiPriority w:val="99"/>
    <w:pPr>
      <w:spacing w:after="0" w:line="360" w:lineRule="auto"/>
      <w:ind w:left="0" w:leftChars="0" w:firstLine="600"/>
    </w:pPr>
    <w:rPr>
      <w:rFonts w:eastAsia="仿宋_GB2312"/>
      <w:sz w:val="30"/>
      <w:szCs w:val="30"/>
    </w:rPr>
  </w:style>
  <w:style w:type="paragraph" w:customStyle="1" w:styleId="31">
    <w:name w:val="msolistparagraph"/>
    <w:basedOn w:val="1"/>
    <w:qFormat/>
    <w:uiPriority w:val="0"/>
    <w:pPr>
      <w:ind w:firstLine="420" w:firstLineChars="200"/>
    </w:p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页眉 字符"/>
    <w:basedOn w:val="19"/>
    <w:link w:val="10"/>
    <w:qFormat/>
    <w:uiPriority w:val="0"/>
    <w:rPr>
      <w:kern w:val="2"/>
      <w:sz w:val="18"/>
      <w:szCs w:val="18"/>
    </w:rPr>
  </w:style>
  <w:style w:type="character" w:customStyle="1" w:styleId="34">
    <w:name w:val="批注文字 字符"/>
    <w:basedOn w:val="19"/>
    <w:link w:val="6"/>
    <w:qFormat/>
    <w:uiPriority w:val="0"/>
    <w:rPr>
      <w:szCs w:val="24"/>
    </w:rPr>
  </w:style>
  <w:style w:type="character" w:customStyle="1" w:styleId="35">
    <w:name w:val="批注主题 字符"/>
    <w:basedOn w:val="34"/>
    <w:link w:val="15"/>
    <w:qFormat/>
    <w:uiPriority w:val="0"/>
    <w:rPr>
      <w:b/>
      <w:bCs/>
      <w:kern w:val="2"/>
      <w:sz w:val="21"/>
      <w:szCs w:val="24"/>
    </w:rPr>
  </w:style>
  <w:style w:type="paragraph" w:customStyle="1" w:styleId="36">
    <w:name w:val="List Paragraph1"/>
    <w:qFormat/>
    <w:uiPriority w:val="99"/>
    <w:pPr>
      <w:widowControl w:val="0"/>
      <w:ind w:firstLine="420" w:firstLineChars="20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36982</Words>
  <Characters>38754</Characters>
  <Lines>412</Lines>
  <Paragraphs>116</Paragraphs>
  <TotalTime>4</TotalTime>
  <ScaleCrop>false</ScaleCrop>
  <LinksUpToDate>false</LinksUpToDate>
  <CharactersWithSpaces>40438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2025-02-12T01:50:00Z</dcterms:created>
  <dc:creator>黎俊</dc:creator>
  <cp:lastModifiedBy>黎俊</cp:lastModifiedBy>
  <dcterms:modified xsi:type="dcterms:W3CDTF">2025-07-22T04:47:03Z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KSOTemplateDocerSaveRecord">
    <vt:lpwstr>eyJoZGlkIjoiNzg3MTliYjI4ODlkZmVjNjVhNmVmZTg5ZjU1OGZkMjUiLCJ1c2VySWQiOiIyODM4ODEwODUifQ==</vt:lpwstr>
  </property>
  <property fmtid="{D5CDD505-2E9C-101B-9397-08002B2CF9AE}" pid="4" name="ICV">
    <vt:lpwstr>3150B98C982345C1A1B12FDC70BC088E</vt:lpwstr>
  </property>
</Properties>
</file>