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_GB2312" w:eastAsia="仿宋_GB2312"/>
          <w:b/>
          <w:sz w:val="44"/>
          <w:szCs w:val="44"/>
        </w:rPr>
      </w:pPr>
      <w:r>
        <w:rPr>
          <w:rFonts w:hint="eastAsia" w:ascii="仿宋_GB2312" w:eastAsia="仿宋_GB2312"/>
          <w:b/>
          <w:sz w:val="44"/>
          <w:szCs w:val="44"/>
        </w:rPr>
        <w:t>龙华区银发经济产业发展策略研究</w:t>
      </w:r>
    </w:p>
    <w:p>
      <w:pPr>
        <w:jc w:val="center"/>
        <w:outlineLvl w:val="0"/>
        <w:rPr>
          <w:rFonts w:ascii="仿宋_GB2312" w:eastAsia="仿宋_GB2312"/>
          <w:b/>
          <w:sz w:val="44"/>
          <w:szCs w:val="44"/>
        </w:rPr>
      </w:pPr>
      <w:r>
        <w:rPr>
          <w:rFonts w:hint="eastAsia" w:ascii="仿宋_GB2312" w:eastAsia="仿宋_GB2312"/>
          <w:b/>
          <w:sz w:val="44"/>
          <w:szCs w:val="44"/>
        </w:rPr>
        <w:t>采购需求文件</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499"/>
        <w:gridCol w:w="4111"/>
        <w:gridCol w:w="1106"/>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项目名称</w:t>
            </w:r>
          </w:p>
        </w:tc>
        <w:tc>
          <w:tcPr>
            <w:tcW w:w="2412" w:type="pct"/>
            <w:shd w:val="clear" w:color="auto" w:fill="auto"/>
            <w:vAlign w:val="center"/>
          </w:tcPr>
          <w:p>
            <w:pPr>
              <w:rPr>
                <w:rFonts w:ascii="宋体" w:hAnsi="宋体" w:eastAsia="宋体"/>
                <w:sz w:val="20"/>
                <w:szCs w:val="20"/>
                <w:highlight w:val="none"/>
              </w:rPr>
            </w:pPr>
            <w:r>
              <w:rPr>
                <w:rFonts w:hint="eastAsia" w:ascii="宋体" w:hAnsi="宋体" w:eastAsia="宋体"/>
                <w:sz w:val="20"/>
                <w:szCs w:val="20"/>
                <w:highlight w:val="none"/>
              </w:rPr>
              <w:t>龙华区银发经济产业发展策略研究</w:t>
            </w:r>
          </w:p>
        </w:tc>
        <w:tc>
          <w:tcPr>
            <w:tcW w:w="649" w:type="pct"/>
            <w:shd w:val="clear" w:color="auto" w:fill="auto"/>
            <w:vAlign w:val="center"/>
          </w:tcPr>
          <w:p>
            <w:pPr>
              <w:jc w:val="center"/>
              <w:rPr>
                <w:rFonts w:ascii="宋体" w:hAnsi="宋体" w:eastAsia="宋体"/>
                <w:szCs w:val="21"/>
                <w:highlight w:val="none"/>
              </w:rPr>
            </w:pPr>
            <w:r>
              <w:rPr>
                <w:rFonts w:ascii="宋体" w:hAnsi="宋体" w:eastAsia="宋体"/>
                <w:szCs w:val="21"/>
                <w:highlight w:val="none"/>
              </w:rPr>
              <w:t>采购类型</w:t>
            </w:r>
          </w:p>
        </w:tc>
        <w:tc>
          <w:tcPr>
            <w:tcW w:w="808" w:type="pct"/>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采购人名称</w:t>
            </w:r>
          </w:p>
        </w:tc>
        <w:tc>
          <w:tcPr>
            <w:tcW w:w="2412" w:type="pct"/>
            <w:shd w:val="clear" w:color="auto" w:fill="auto"/>
            <w:vAlign w:val="center"/>
          </w:tcPr>
          <w:p>
            <w:pPr>
              <w:rPr>
                <w:rFonts w:hint="default" w:ascii="宋体" w:hAnsi="宋体" w:eastAsia="宋体"/>
                <w:szCs w:val="21"/>
                <w:highlight w:val="none"/>
                <w:lang w:val="en-US" w:eastAsia="zh-CN"/>
              </w:rPr>
            </w:pPr>
            <w:r>
              <w:rPr>
                <w:rFonts w:hint="default" w:ascii="宋体" w:hAnsi="宋体" w:eastAsia="宋体"/>
                <w:szCs w:val="21"/>
                <w:highlight w:val="none"/>
                <w:lang w:val="en-US" w:eastAsia="zh-CN"/>
              </w:rPr>
              <w:t>深圳市龙华区人民政府办公室</w:t>
            </w:r>
          </w:p>
        </w:tc>
        <w:tc>
          <w:tcPr>
            <w:tcW w:w="649" w:type="pct"/>
            <w:shd w:val="clear" w:color="auto" w:fill="auto"/>
            <w:vAlign w:val="center"/>
          </w:tcPr>
          <w:p>
            <w:pPr>
              <w:jc w:val="center"/>
              <w:rPr>
                <w:rFonts w:ascii="宋体" w:hAnsi="宋体" w:eastAsia="宋体"/>
                <w:szCs w:val="21"/>
                <w:highlight w:val="none"/>
              </w:rPr>
            </w:pPr>
            <w:r>
              <w:rPr>
                <w:rFonts w:ascii="宋体" w:hAnsi="宋体" w:eastAsia="宋体"/>
                <w:szCs w:val="21"/>
                <w:highlight w:val="none"/>
              </w:rPr>
              <w:t>采购方式</w:t>
            </w:r>
          </w:p>
        </w:tc>
        <w:tc>
          <w:tcPr>
            <w:tcW w:w="808" w:type="pct"/>
            <w:shd w:val="clear" w:color="auto" w:fill="auto"/>
          </w:tcPr>
          <w:p>
            <w:pPr>
              <w:jc w:val="center"/>
              <w:rPr>
                <w:rFonts w:ascii="宋体" w:hAnsi="宋体" w:eastAsia="宋体"/>
                <w:szCs w:val="21"/>
                <w:highlight w:val="none"/>
              </w:rPr>
            </w:pPr>
            <w:r>
              <w:rPr>
                <w:rFonts w:hint="eastAsia" w:ascii="宋体" w:hAnsi="宋体" w:eastAsia="宋体"/>
                <w:szCs w:val="21"/>
                <w:highlight w:val="none"/>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pct"/>
            <w:gridSpan w:val="2"/>
            <w:shd w:val="clear" w:color="auto" w:fill="auto"/>
          </w:tcPr>
          <w:p>
            <w:pPr>
              <w:rPr>
                <w:rFonts w:ascii="宋体" w:hAnsi="宋体" w:eastAsia="宋体"/>
                <w:szCs w:val="21"/>
                <w:highlight w:val="none"/>
              </w:rPr>
            </w:pPr>
            <w:r>
              <w:rPr>
                <w:rFonts w:hint="eastAsia" w:ascii="宋体" w:hAnsi="宋体" w:eastAsia="宋体"/>
                <w:szCs w:val="21"/>
                <w:highlight w:val="none"/>
              </w:rPr>
              <w:t>财政预算限额（元）</w:t>
            </w:r>
          </w:p>
        </w:tc>
        <w:tc>
          <w:tcPr>
            <w:tcW w:w="3869" w:type="pct"/>
            <w:gridSpan w:val="3"/>
            <w:shd w:val="clear" w:color="auto" w:fill="auto"/>
          </w:tcPr>
          <w:p>
            <w:pPr>
              <w:rPr>
                <w:rFonts w:ascii="宋体" w:hAnsi="宋体" w:eastAsia="宋体"/>
                <w:szCs w:val="21"/>
                <w:highlight w:val="none"/>
              </w:rPr>
            </w:pPr>
            <w:r>
              <w:rPr>
                <w:rFonts w:hint="eastAsia" w:ascii="宋体" w:hAnsi="宋体" w:eastAsia="宋体"/>
                <w:szCs w:val="21"/>
                <w:highlight w:val="none"/>
                <w:lang w:val="en-US" w:eastAsia="zh-CN"/>
              </w:rPr>
              <w:t>¥460</w:t>
            </w:r>
            <w:r>
              <w:rPr>
                <w:rFonts w:hint="eastAsia" w:ascii="宋体" w:hAnsi="宋体" w:eastAsia="宋体"/>
                <w:szCs w:val="21"/>
                <w:highlight w:val="none"/>
              </w:rPr>
              <w:t>,000</w:t>
            </w:r>
            <w:r>
              <w:rPr>
                <w:rFonts w:hint="eastAsia" w:ascii="宋体" w:hAnsi="宋体" w:eastAsia="宋体"/>
                <w:szCs w:val="21"/>
                <w:highlight w:val="none"/>
                <w:lang w:val="en-US" w:eastAsia="zh-CN"/>
              </w:rPr>
              <w:t>.00</w:t>
            </w:r>
            <w:r>
              <w:rPr>
                <w:rFonts w:hint="eastAsia" w:ascii="宋体" w:hAnsi="宋体" w:eastAsia="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130" w:type="pct"/>
            <w:gridSpan w:val="2"/>
            <w:shd w:val="clear" w:color="auto" w:fill="auto"/>
            <w:vAlign w:val="center"/>
          </w:tcPr>
          <w:p>
            <w:pPr>
              <w:jc w:val="center"/>
              <w:rPr>
                <w:rFonts w:ascii="宋体" w:hAnsi="宋体" w:eastAsia="宋体"/>
                <w:szCs w:val="21"/>
                <w:highlight w:val="none"/>
              </w:rPr>
            </w:pPr>
            <w:r>
              <w:rPr>
                <w:rFonts w:hint="eastAsia" w:ascii="宋体" w:hAnsi="宋体" w:eastAsia="宋体"/>
                <w:szCs w:val="21"/>
                <w:highlight w:val="none"/>
              </w:rPr>
              <w:t>项目背景</w:t>
            </w:r>
          </w:p>
        </w:tc>
        <w:tc>
          <w:tcPr>
            <w:tcW w:w="3869" w:type="pct"/>
            <w:gridSpan w:val="3"/>
            <w:shd w:val="clear" w:color="auto" w:fill="auto"/>
          </w:tcPr>
          <w:p>
            <w:pPr>
              <w:spacing w:line="300" w:lineRule="auto"/>
              <w:ind w:firstLine="420" w:firstLineChars="200"/>
              <w:rPr>
                <w:rFonts w:ascii="宋体" w:hAnsi="宋体" w:eastAsia="宋体"/>
                <w:highlight w:val="none"/>
              </w:rPr>
            </w:pPr>
            <w:r>
              <w:rPr>
                <w:rFonts w:hint="eastAsia" w:ascii="宋体" w:hAnsi="宋体" w:eastAsia="宋体"/>
                <w:highlight w:val="none"/>
              </w:rPr>
              <w:t>近年来国家高度重视银发经济发展。2024年1月，国务院办公厅印发《关于发展银发经济增进老年人福祉的意见》（国办发〔2024〕1号），提出“围绕智慧健康养老、康复辅助器具、抗衰老产业、旅游服务业等七</w:t>
            </w:r>
            <w:bookmarkStart w:id="11" w:name="_GoBack"/>
            <w:bookmarkEnd w:id="11"/>
            <w:r>
              <w:rPr>
                <w:rFonts w:hint="eastAsia" w:ascii="宋体" w:hAnsi="宋体" w:eastAsia="宋体"/>
                <w:highlight w:val="none"/>
              </w:rPr>
              <w:t>大领域培育潜力产业”。龙华作为深圳产业大区，在涉及银发经济的高端医疗器械、智能终端、生物医药、机器人等产业领域具备较好发展基础。因此，有必要开展龙华区银发经济产业发展策略研究，抢抓银发经济发展新机遇，系统梳理我区具备发展条件的银发经济细分领域，并提出银发经济产业培育举措，为全区经济发展提供新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50" w:type="pct"/>
            <w:shd w:val="clear" w:color="auto" w:fill="auto"/>
            <w:vAlign w:val="center"/>
          </w:tcPr>
          <w:p>
            <w:pPr>
              <w:jc w:val="center"/>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投标人资质要求</w:t>
            </w:r>
          </w:p>
        </w:tc>
        <w:tc>
          <w:tcPr>
            <w:tcW w:w="4749" w:type="pct"/>
            <w:gridSpan w:val="4"/>
            <w:shd w:val="clear" w:color="auto" w:fill="auto"/>
          </w:tcPr>
          <w:p>
            <w:pPr>
              <w:pStyle w:val="2"/>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（1）在中国境内注册的独立法人或其他组织。</w:t>
            </w:r>
          </w:p>
          <w:p>
            <w:pPr>
              <w:pStyle w:val="2"/>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（2）投标人必须是在</w:t>
            </w:r>
            <w:bookmarkStart w:id="0" w:name="OLE_LINK1"/>
            <w:r>
              <w:rPr>
                <w:rFonts w:hint="eastAsia" w:ascii="宋体" w:hAnsi="宋体" w:cs="宋体"/>
                <w:kern w:val="0"/>
                <w:szCs w:val="21"/>
                <w:highlight w:val="none"/>
              </w:rPr>
              <w:t>深圳市政府采购中心</w:t>
            </w:r>
            <w:bookmarkEnd w:id="0"/>
            <w:r>
              <w:rPr>
                <w:rFonts w:hint="eastAsia" w:ascii="宋体" w:hAnsi="宋体" w:cs="宋体"/>
                <w:kern w:val="0"/>
                <w:szCs w:val="21"/>
                <w:highlight w:val="none"/>
              </w:rPr>
              <w:t>注册的政府采购供应商。</w:t>
            </w:r>
          </w:p>
          <w:p>
            <w:pPr>
              <w:pStyle w:val="2"/>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rPr>
              <w:t>）最近三年来在政府采购及建设系统的招标投标活动中，因串通投标、严重违约或重大工程质量问题等不良行为而禁止在本市投标的投标申请人、涉嫌投标违规并正在接受主管部门调查的投标申请人以及因投标违规而被主管部门处罚并正处于处罚有效期内的投标申请人不被接受</w:t>
            </w:r>
            <w:r>
              <w:rPr>
                <w:rFonts w:hint="eastAsia" w:ascii="宋体" w:hAnsi="宋体" w:cstheme="minorBidi"/>
                <w:szCs w:val="21"/>
                <w:highlight w:val="none"/>
              </w:rPr>
              <w:t>。</w:t>
            </w:r>
          </w:p>
          <w:p>
            <w:pPr>
              <w:pStyle w:val="2"/>
              <w:spacing w:line="300" w:lineRule="auto"/>
              <w:ind w:left="393" w:firstLine="0"/>
              <w:rPr>
                <w:rFonts w:ascii="宋体" w:hAnsi="宋体" w:cs="宋体"/>
                <w:kern w:val="0"/>
                <w:szCs w:val="21"/>
                <w:highlight w:val="none"/>
              </w:rPr>
            </w:pPr>
            <w:r>
              <w:rPr>
                <w:rFonts w:hint="eastAsia" w:ascii="宋体" w:hAnsi="宋体" w:cstheme="minorBidi"/>
                <w:szCs w:val="21"/>
                <w:highlight w:val="none"/>
              </w:rPr>
              <w:t>（</w:t>
            </w:r>
            <w:r>
              <w:rPr>
                <w:rFonts w:hint="eastAsia" w:ascii="宋体" w:hAnsi="宋体" w:cstheme="minorBidi"/>
                <w:szCs w:val="21"/>
                <w:highlight w:val="none"/>
                <w:lang w:val="en-US" w:eastAsia="zh-CN"/>
              </w:rPr>
              <w:t>4</w:t>
            </w:r>
            <w:r>
              <w:rPr>
                <w:rFonts w:hint="eastAsia" w:ascii="宋体" w:hAnsi="宋体" w:cstheme="minorBidi"/>
                <w:szCs w:val="21"/>
                <w:highlight w:val="none"/>
              </w:rPr>
              <w:t>）投标文件中必须签署《政府采购投标及履约承诺函》。</w:t>
            </w:r>
          </w:p>
          <w:p>
            <w:pPr>
              <w:pStyle w:val="2"/>
              <w:spacing w:line="300" w:lineRule="auto"/>
              <w:ind w:left="393" w:firstLine="0"/>
              <w:rPr>
                <w:rFonts w:hint="eastAsia"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5</w:t>
            </w:r>
            <w:r>
              <w:rPr>
                <w:rFonts w:hint="eastAsia" w:ascii="宋体" w:hAnsi="宋体" w:cs="宋体"/>
                <w:kern w:val="0"/>
                <w:szCs w:val="21"/>
                <w:highlight w:val="none"/>
              </w:rPr>
              <w:t>）</w:t>
            </w:r>
            <w:r>
              <w:rPr>
                <w:rFonts w:ascii="宋体" w:hAnsi="宋体" w:cs="宋体"/>
                <w:kern w:val="0"/>
                <w:szCs w:val="21"/>
                <w:highlight w:val="none"/>
              </w:rPr>
              <w:t>本项目不接受进口产品投标，不接受联合体投标</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50" w:type="pct"/>
            <w:shd w:val="clear" w:color="auto" w:fill="auto"/>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w:t>
            </w:r>
            <w:r>
              <w:rPr>
                <w:rFonts w:ascii="宋体" w:hAnsi="宋体" w:eastAsia="宋体" w:cs="宋体"/>
                <w:color w:val="000000" w:themeColor="text1"/>
                <w:kern w:val="0"/>
                <w:szCs w:val="21"/>
                <w:highlight w:val="none"/>
                <w14:textFill>
                  <w14:solidFill>
                    <w14:schemeClr w14:val="tx1"/>
                  </w14:solidFill>
                </w14:textFill>
              </w:rPr>
              <w:t>标文件</w:t>
            </w:r>
            <w:r>
              <w:rPr>
                <w:rFonts w:hint="eastAsia" w:ascii="宋体" w:hAnsi="宋体" w:eastAsia="宋体" w:cs="宋体"/>
                <w:color w:val="000000" w:themeColor="text1"/>
                <w:kern w:val="0"/>
                <w:szCs w:val="21"/>
                <w:highlight w:val="none"/>
                <w14:textFill>
                  <w14:solidFill>
                    <w14:schemeClr w14:val="tx1"/>
                  </w14:solidFill>
                </w14:textFill>
              </w:rPr>
              <w:t>要</w:t>
            </w:r>
            <w:r>
              <w:rPr>
                <w:rFonts w:ascii="宋体" w:hAnsi="宋体" w:eastAsia="宋体" w:cs="宋体"/>
                <w:color w:val="000000" w:themeColor="text1"/>
                <w:kern w:val="0"/>
                <w:szCs w:val="21"/>
                <w:highlight w:val="none"/>
                <w14:textFill>
                  <w14:solidFill>
                    <w14:schemeClr w14:val="tx1"/>
                  </w14:solidFill>
                </w14:textFill>
              </w:rPr>
              <w:t>求</w:t>
            </w:r>
          </w:p>
        </w:tc>
        <w:tc>
          <w:tcPr>
            <w:tcW w:w="4749" w:type="pct"/>
            <w:gridSpan w:val="4"/>
            <w:shd w:val="clear" w:color="auto" w:fill="auto"/>
          </w:tcPr>
          <w:p>
            <w:pPr>
              <w:pStyle w:val="2"/>
              <w:spacing w:line="300" w:lineRule="auto"/>
              <w:ind w:left="393" w:firstLine="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eastAsia="宋体" w:cs="Times New Roman"/>
                <w:color w:val="auto"/>
                <w:kern w:val="2"/>
                <w:sz w:val="21"/>
                <w:szCs w:val="21"/>
                <w:highlight w:val="none"/>
                <w:lang w:val="en-US" w:eastAsia="zh-CN" w:bidi="ar-SA"/>
              </w:rPr>
              <w:t>独立法人提供营业执照扫描件</w:t>
            </w:r>
            <w:r>
              <w:rPr>
                <w:rFonts w:hint="eastAsia" w:ascii="宋体" w:hAnsi="宋体" w:cs="Times New Roman"/>
                <w:color w:val="auto"/>
                <w:kern w:val="2"/>
                <w:sz w:val="21"/>
                <w:szCs w:val="21"/>
                <w:highlight w:val="none"/>
                <w:lang w:val="en-US" w:eastAsia="zh-CN" w:bidi="ar-SA"/>
              </w:rPr>
              <w:t>、法人身份证复印件</w:t>
            </w:r>
            <w:r>
              <w:rPr>
                <w:rFonts w:hint="eastAsia" w:ascii="宋体" w:hAnsi="宋体" w:eastAsia="宋体" w:cs="Times New Roman"/>
                <w:color w:val="auto"/>
                <w:kern w:val="2"/>
                <w:sz w:val="21"/>
                <w:szCs w:val="21"/>
                <w:highlight w:val="none"/>
                <w:lang w:val="en-US" w:eastAsia="zh-CN" w:bidi="ar-SA"/>
              </w:rPr>
              <w:t>，非法人组织提供相应证照扫描件，提供“信用中国”网（www.creditchina.gov.cn)信用信息查询记录网络截图</w:t>
            </w:r>
            <w:r>
              <w:rPr>
                <w:rFonts w:hint="eastAsia" w:ascii="宋体" w:hAnsi="宋体" w:cs="宋体"/>
                <w:color w:val="auto"/>
                <w:kern w:val="0"/>
                <w:szCs w:val="21"/>
                <w:highlight w:val="none"/>
              </w:rPr>
              <w:t>。</w:t>
            </w:r>
          </w:p>
          <w:p>
            <w:pPr>
              <w:pStyle w:val="2"/>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（2）提供注册卡或采购中心网站截图证明。</w:t>
            </w:r>
          </w:p>
          <w:p>
            <w:pPr>
              <w:pStyle w:val="2"/>
              <w:spacing w:line="300" w:lineRule="auto"/>
              <w:ind w:left="393" w:firstLine="0"/>
              <w:rPr>
                <w:rFonts w:ascii="宋体" w:hAnsi="宋体" w:cs="宋体"/>
                <w:kern w:val="0"/>
                <w:szCs w:val="21"/>
                <w:highlight w:val="none"/>
              </w:rPr>
            </w:pPr>
            <w:r>
              <w:rPr>
                <w:rFonts w:hint="eastAsia" w:ascii="宋体" w:hAnsi="宋体" w:cstheme="minorBidi"/>
                <w:szCs w:val="21"/>
                <w:highlight w:val="none"/>
              </w:rPr>
              <w:t>（3）投标人提供近三年内（投标人成立不足三年的可从成立之日起算）无重大违法犯罪记录和不存在被禁止参与政府采购活动的书面声明函。</w:t>
            </w:r>
          </w:p>
          <w:p>
            <w:pPr>
              <w:pStyle w:val="2"/>
              <w:spacing w:line="300" w:lineRule="auto"/>
              <w:ind w:left="393" w:firstLine="0"/>
              <w:rPr>
                <w:rFonts w:hint="eastAsia"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）《政府采购投标及履约承诺函》。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50" w:type="pct"/>
            <w:shd w:val="clear" w:color="auto" w:fill="auto"/>
            <w:vAlign w:val="center"/>
          </w:tcPr>
          <w:p>
            <w:p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具体技术要求</w:t>
            </w:r>
          </w:p>
        </w:tc>
        <w:tc>
          <w:tcPr>
            <w:tcW w:w="4749" w:type="pct"/>
            <w:gridSpan w:val="4"/>
            <w:shd w:val="clear" w:color="auto" w:fill="auto"/>
          </w:tcPr>
          <w:p>
            <w:pPr>
              <w:spacing w:before="156" w:beforeLines="50" w:line="300" w:lineRule="auto"/>
              <w:rPr>
                <w:rFonts w:ascii="宋体" w:hAnsi="宋体" w:eastAsia="宋体"/>
                <w:b/>
                <w:szCs w:val="21"/>
                <w:highlight w:val="none"/>
              </w:rPr>
            </w:pPr>
            <w:bookmarkStart w:id="1" w:name="_Toc290921585"/>
            <w:bookmarkStart w:id="2" w:name="_Toc335139762"/>
            <w:bookmarkStart w:id="3" w:name="_Toc290736749"/>
            <w:bookmarkStart w:id="4" w:name="_Toc291149819"/>
            <w:r>
              <w:rPr>
                <w:rFonts w:hint="eastAsia" w:ascii="宋体" w:hAnsi="宋体"/>
                <w:b/>
                <w:szCs w:val="21"/>
                <w:highlight w:val="none"/>
              </w:rPr>
              <w:t>一</w:t>
            </w:r>
            <w:r>
              <w:rPr>
                <w:rFonts w:ascii="宋体" w:hAnsi="宋体" w:eastAsia="宋体"/>
                <w:b/>
                <w:szCs w:val="21"/>
                <w:highlight w:val="none"/>
              </w:rPr>
              <w:t>、</w:t>
            </w:r>
            <w:r>
              <w:rPr>
                <w:rFonts w:hint="eastAsia" w:ascii="宋体" w:hAnsi="宋体" w:eastAsia="宋体"/>
                <w:b/>
                <w:szCs w:val="21"/>
                <w:highlight w:val="none"/>
              </w:rPr>
              <w:t>项目工作</w:t>
            </w:r>
            <w:r>
              <w:rPr>
                <w:rFonts w:ascii="宋体" w:hAnsi="宋体" w:eastAsia="宋体"/>
                <w:b/>
                <w:szCs w:val="21"/>
                <w:highlight w:val="none"/>
              </w:rPr>
              <w:t>内容</w:t>
            </w:r>
          </w:p>
          <w:p>
            <w:pPr>
              <w:spacing w:line="300" w:lineRule="auto"/>
              <w:ind w:firstLine="420" w:firstLineChars="200"/>
              <w:rPr>
                <w:rFonts w:hint="eastAsia" w:ascii="宋体" w:hAnsi="宋体"/>
                <w:highlight w:val="none"/>
              </w:rPr>
            </w:pPr>
            <w:r>
              <w:rPr>
                <w:rFonts w:hint="eastAsia" w:ascii="宋体" w:hAnsi="宋体"/>
                <w:highlight w:val="none"/>
              </w:rPr>
              <w:t>（一）银发经济发展形势分析</w:t>
            </w:r>
          </w:p>
          <w:p>
            <w:pPr>
              <w:spacing w:line="300" w:lineRule="auto"/>
              <w:ind w:firstLine="420" w:firstLineChars="200"/>
              <w:rPr>
                <w:rFonts w:hint="eastAsia" w:ascii="宋体" w:hAnsi="宋体"/>
                <w:highlight w:val="none"/>
              </w:rPr>
            </w:pPr>
            <w:r>
              <w:rPr>
                <w:rFonts w:hint="eastAsia" w:ascii="宋体" w:hAnsi="宋体"/>
                <w:highlight w:val="none"/>
              </w:rPr>
              <w:t>分析国家省市关于银发经济发展的上位要求、老年人群及备老人群消费需求、国内外典型案例等，梳理总结银发经济发展趋势，归纳提炼经验做法。深入分析银发经济市场规模、产业发展特征等，理清银发经济涉及产业类别，剖析银发经济发展总体情况。</w:t>
            </w:r>
          </w:p>
          <w:p>
            <w:pPr>
              <w:spacing w:line="300" w:lineRule="auto"/>
              <w:ind w:firstLine="420" w:firstLineChars="200"/>
              <w:rPr>
                <w:rFonts w:hint="eastAsia" w:ascii="宋体" w:hAnsi="宋体"/>
                <w:highlight w:val="none"/>
              </w:rPr>
            </w:pPr>
            <w:r>
              <w:rPr>
                <w:rFonts w:hint="eastAsia" w:ascii="宋体" w:hAnsi="宋体"/>
                <w:highlight w:val="none"/>
              </w:rPr>
              <w:t>（二）银发经济产业发展现状分析</w:t>
            </w:r>
          </w:p>
          <w:p>
            <w:pPr>
              <w:spacing w:line="300" w:lineRule="auto"/>
              <w:ind w:firstLine="420" w:firstLineChars="200"/>
              <w:rPr>
                <w:rFonts w:hint="eastAsia" w:ascii="宋体" w:hAnsi="宋体"/>
                <w:highlight w:val="none"/>
              </w:rPr>
            </w:pPr>
            <w:r>
              <w:rPr>
                <w:rFonts w:hint="eastAsia" w:ascii="宋体" w:hAnsi="宋体"/>
                <w:highlight w:val="none"/>
              </w:rPr>
              <w:t>梳理深圳市、龙华区银发人群规模和结构等情况，开展部门、企业及行业协会座谈调研，摸清深圳市、龙华区银发经济发展现状及市场需求。在此基础上，重点针对龙华区重点产业布局，围绕健康养老产品、康复辅助器械等具有一定产业基础的领域，分析产业现状规模、分布领域、龙头企业布局等情况，制定龙华区银发经济产业图谱，对全区银发经济产业特征、发展现状、短板问题进行剖析。</w:t>
            </w:r>
          </w:p>
          <w:p>
            <w:pPr>
              <w:spacing w:line="300" w:lineRule="auto"/>
              <w:ind w:firstLine="420" w:firstLineChars="200"/>
              <w:rPr>
                <w:rFonts w:hint="eastAsia" w:ascii="宋体" w:hAnsi="宋体"/>
                <w:highlight w:val="none"/>
              </w:rPr>
            </w:pPr>
            <w:r>
              <w:rPr>
                <w:rFonts w:hint="eastAsia" w:ascii="宋体" w:hAnsi="宋体"/>
                <w:highlight w:val="none"/>
              </w:rPr>
              <w:t>（三）龙华区银发经济细分领域布局研判</w:t>
            </w:r>
          </w:p>
          <w:p>
            <w:pPr>
              <w:spacing w:line="300" w:lineRule="auto"/>
              <w:ind w:firstLine="420" w:firstLineChars="200"/>
              <w:rPr>
                <w:rFonts w:hint="eastAsia" w:ascii="宋体" w:hAnsi="宋体"/>
                <w:highlight w:val="none"/>
              </w:rPr>
            </w:pPr>
            <w:r>
              <w:rPr>
                <w:rFonts w:hint="eastAsia" w:ascii="宋体" w:hAnsi="宋体"/>
                <w:highlight w:val="none"/>
              </w:rPr>
              <w:t>调研座谈市、区代表性银发经济企业，了解企业关于银发经济的业务规划布局以及发展需求。在深圳市、龙华区现有产业发展规划基础上，结合银发经济发展趋势、产业导向等，重点从养老产品和养老服务两方面，提出龙华区未来重点发展领域及潜力企业。</w:t>
            </w:r>
          </w:p>
          <w:p>
            <w:pPr>
              <w:spacing w:line="300" w:lineRule="auto"/>
              <w:ind w:firstLine="420" w:firstLineChars="200"/>
              <w:rPr>
                <w:rFonts w:hint="eastAsia" w:ascii="宋体" w:hAnsi="宋体"/>
                <w:highlight w:val="none"/>
              </w:rPr>
            </w:pPr>
            <w:r>
              <w:rPr>
                <w:rFonts w:hint="eastAsia" w:ascii="宋体" w:hAnsi="宋体"/>
                <w:highlight w:val="none"/>
              </w:rPr>
              <w:t>（四）提出银发经济产业培育举措</w:t>
            </w:r>
          </w:p>
          <w:p>
            <w:pPr>
              <w:spacing w:line="300" w:lineRule="auto"/>
              <w:ind w:firstLine="420" w:firstLineChars="200"/>
              <w:rPr>
                <w:rFonts w:hint="eastAsia" w:ascii="宋体" w:hAnsi="宋体"/>
                <w:highlight w:val="none"/>
              </w:rPr>
            </w:pPr>
            <w:r>
              <w:rPr>
                <w:rFonts w:hint="eastAsia" w:ascii="宋体" w:hAnsi="宋体"/>
                <w:highlight w:val="none"/>
              </w:rPr>
              <w:t>立足全市发展战略和龙华区实际，围绕招商引资、园区建设、消费促进、生态培育等方面，提出全市层面支持银发经济产业发展的总体导向和思路建议，并在此基础上，进一步提出龙华区银发经济产业发展的具体举措和路径，引导产业集群化发展。</w:t>
            </w:r>
          </w:p>
          <w:p>
            <w:pPr>
              <w:spacing w:before="156" w:beforeLines="50" w:line="300" w:lineRule="auto"/>
              <w:rPr>
                <w:rFonts w:ascii="宋体" w:hAnsi="宋体" w:eastAsia="宋体"/>
                <w:b/>
                <w:szCs w:val="21"/>
                <w:highlight w:val="none"/>
              </w:rPr>
            </w:pPr>
            <w:r>
              <w:rPr>
                <w:rFonts w:hint="eastAsia" w:ascii="宋体" w:hAnsi="宋体" w:eastAsia="宋体"/>
                <w:b/>
                <w:szCs w:val="21"/>
                <w:highlight w:val="none"/>
                <w:lang w:val="en-US" w:eastAsia="zh-CN"/>
              </w:rPr>
              <w:t>二</w:t>
            </w:r>
            <w:r>
              <w:rPr>
                <w:rFonts w:hint="eastAsia" w:ascii="宋体" w:hAnsi="宋体" w:eastAsia="宋体"/>
                <w:b/>
                <w:szCs w:val="21"/>
                <w:highlight w:val="none"/>
              </w:rPr>
              <w:t>、项目管理要求</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eastAsia="zh-CN"/>
              </w:rPr>
              <w:t>（</w:t>
            </w:r>
            <w:r>
              <w:rPr>
                <w:rFonts w:hint="eastAsia" w:ascii="宋体" w:hAnsi="宋体"/>
                <w:color w:val="auto"/>
                <w:highlight w:val="none"/>
                <w:lang w:val="en-US" w:eastAsia="zh-CN"/>
              </w:rPr>
              <w:t>一</w:t>
            </w:r>
            <w:r>
              <w:rPr>
                <w:rFonts w:hint="eastAsia" w:ascii="宋体" w:hAnsi="宋体"/>
                <w:color w:val="auto"/>
                <w:highlight w:val="none"/>
                <w:lang w:eastAsia="zh-CN"/>
              </w:rPr>
              <w:t>）</w:t>
            </w:r>
            <w:r>
              <w:rPr>
                <w:rFonts w:hint="eastAsia" w:ascii="宋体" w:hAnsi="宋体"/>
                <w:color w:val="auto"/>
                <w:highlight w:val="none"/>
                <w:lang w:val="en-US" w:eastAsia="zh-CN"/>
              </w:rPr>
              <w:t>项目负责人要求具有高级职称或博士研究生及以上学历；</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（二）项目团队成员不少于3人（包含项目负责人），专业领域须涵盖经济类、管理类、社会类等专业中的至少2项，其中至少1人需具备硕士研究生及以上学历；</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（三）投标人需详细列清参与本项目的工作人员，并附上项目人员详细资料，</w:t>
            </w:r>
            <w:r>
              <w:rPr>
                <w:rFonts w:hint="eastAsia" w:ascii="宋体" w:hAnsi="宋体"/>
                <w:color w:val="auto"/>
                <w:highlight w:val="none"/>
              </w:rPr>
              <w:t>包括职称资格证书、</w:t>
            </w:r>
            <w:r>
              <w:rPr>
                <w:rFonts w:hint="eastAsia" w:ascii="宋体" w:hAnsi="宋体"/>
                <w:color w:val="auto"/>
                <w:szCs w:val="21"/>
                <w:highlight w:val="none"/>
                <w:shd w:val="clear"/>
                <w:lang w:val="en-US" w:eastAsia="zh-CN"/>
              </w:rPr>
              <w:t>学历证书、最近1个月社保证明或聘用合同</w:t>
            </w:r>
            <w:r>
              <w:rPr>
                <w:rFonts w:hint="eastAsia" w:ascii="宋体" w:hAnsi="宋体"/>
                <w:color w:val="auto"/>
                <w:szCs w:val="21"/>
                <w:highlight w:val="none"/>
                <w:shd w:val="clear"/>
              </w:rPr>
              <w:t>等</w:t>
            </w:r>
            <w:r>
              <w:rPr>
                <w:rFonts w:hint="eastAsia" w:ascii="宋体" w:hAnsi="宋体"/>
                <w:color w:val="auto"/>
                <w:szCs w:val="21"/>
                <w:highlight w:val="none"/>
                <w:shd w:val="clear"/>
                <w:lang w:val="en-US" w:eastAsia="zh-CN"/>
              </w:rPr>
              <w:t>证明材料</w:t>
            </w:r>
            <w:r>
              <w:rPr>
                <w:rFonts w:hint="eastAsia" w:ascii="宋体" w:hAnsi="宋体"/>
                <w:color w:val="auto"/>
                <w:highlight w:val="none"/>
                <w:lang w:val="en-US" w:eastAsia="zh-CN"/>
              </w:rPr>
              <w:t>；</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（四）投标人需具有产业研究、社会治理等相关领域项目研究经验，并提供以上项目合同关键页；</w:t>
            </w:r>
          </w:p>
          <w:p>
            <w:pPr>
              <w:spacing w:line="300" w:lineRule="auto"/>
              <w:ind w:firstLine="420" w:firstLineChars="200"/>
              <w:rPr>
                <w:rFonts w:hint="eastAsia" w:ascii="宋体" w:hAnsi="宋体" w:eastAsiaTheme="minorEastAsia" w:cstheme="minorBidi"/>
                <w:b w:val="0"/>
                <w:bCs w:val="0"/>
                <w:color w:val="auto"/>
                <w:kern w:val="2"/>
                <w:sz w:val="21"/>
                <w:szCs w:val="22"/>
                <w:highlight w:val="none"/>
                <w:lang w:val="en-US" w:eastAsia="zh-CN" w:bidi="ar-SA"/>
              </w:rPr>
            </w:pPr>
            <w:r>
              <w:rPr>
                <w:rFonts w:hint="eastAsia" w:ascii="宋体" w:hAnsi="宋体"/>
                <w:color w:val="auto"/>
                <w:highlight w:val="none"/>
                <w:lang w:val="en-US" w:eastAsia="zh-CN"/>
              </w:rPr>
              <w:t>（五）以上所有证</w:t>
            </w:r>
            <w:r>
              <w:rPr>
                <w:rFonts w:hint="eastAsia" w:ascii="宋体" w:hAnsi="宋体" w:eastAsiaTheme="minorEastAsia" w:cstheme="minorBidi"/>
                <w:b w:val="0"/>
                <w:bCs w:val="0"/>
                <w:color w:val="auto"/>
                <w:kern w:val="2"/>
                <w:sz w:val="21"/>
                <w:szCs w:val="22"/>
                <w:highlight w:val="none"/>
                <w:lang w:val="en-US" w:eastAsia="zh-CN" w:bidi="ar-SA"/>
              </w:rPr>
              <w:t>明材料均提供扫描件</w:t>
            </w:r>
            <w:r>
              <w:rPr>
                <w:rFonts w:hint="eastAsia" w:ascii="宋体" w:hAnsi="宋体" w:cstheme="minorBidi"/>
                <w:b w:val="0"/>
                <w:bCs w:val="0"/>
                <w:color w:val="auto"/>
                <w:kern w:val="2"/>
                <w:sz w:val="21"/>
                <w:szCs w:val="22"/>
                <w:highlight w:val="none"/>
                <w:lang w:val="en-US" w:eastAsia="zh-CN" w:bidi="ar-SA"/>
              </w:rPr>
              <w:t>（加盖公章）</w:t>
            </w:r>
            <w:r>
              <w:rPr>
                <w:rFonts w:hint="eastAsia" w:ascii="宋体" w:hAnsi="宋体" w:eastAsiaTheme="minorEastAsia" w:cstheme="minorBidi"/>
                <w:b w:val="0"/>
                <w:bCs w:val="0"/>
                <w:color w:val="auto"/>
                <w:kern w:val="2"/>
                <w:sz w:val="21"/>
                <w:szCs w:val="22"/>
                <w:highlight w:val="none"/>
                <w:lang w:val="en-US" w:eastAsia="zh-CN" w:bidi="ar-SA"/>
              </w:rPr>
              <w:t>，原件备查；</w:t>
            </w:r>
          </w:p>
          <w:p>
            <w:pPr>
              <w:spacing w:line="300" w:lineRule="auto"/>
              <w:ind w:firstLine="420" w:firstLineChars="200"/>
              <w:rPr>
                <w:rFonts w:ascii="宋体" w:hAnsi="宋体" w:eastAsia="宋体"/>
                <w:highlight w:val="none"/>
              </w:rPr>
            </w:pPr>
            <w:r>
              <w:rPr>
                <w:rFonts w:hint="eastAsia" w:ascii="宋体" w:hAnsi="宋体"/>
                <w:color w:val="auto"/>
                <w:highlight w:val="none"/>
                <w:lang w:val="en-US" w:eastAsia="zh-CN"/>
              </w:rPr>
              <w:t>（六）具体</w:t>
            </w:r>
            <w:r>
              <w:rPr>
                <w:rFonts w:hint="eastAsia" w:ascii="宋体" w:hAnsi="宋体"/>
                <w:color w:val="auto"/>
                <w:highlight w:val="none"/>
              </w:rPr>
              <w:t>合同</w:t>
            </w:r>
            <w:r>
              <w:rPr>
                <w:rFonts w:ascii="宋体" w:hAnsi="宋体"/>
                <w:color w:val="auto"/>
                <w:highlight w:val="none"/>
              </w:rPr>
              <w:t>执行过程中，</w:t>
            </w:r>
            <w:r>
              <w:rPr>
                <w:rFonts w:hint="eastAsia" w:ascii="宋体" w:hAnsi="宋体"/>
                <w:color w:val="auto"/>
                <w:highlight w:val="none"/>
                <w:lang w:val="en-US" w:eastAsia="zh-CN"/>
              </w:rPr>
              <w:t>投标人</w:t>
            </w:r>
            <w:r>
              <w:rPr>
                <w:rFonts w:hint="eastAsia" w:ascii="宋体" w:hAnsi="宋体"/>
                <w:color w:val="auto"/>
                <w:highlight w:val="none"/>
              </w:rPr>
              <w:t>不得随意更换项目负责人和项目组成员，如不经采购单位同意擅自更换，则采购单位有权解除合同。</w:t>
            </w:r>
            <w:bookmarkEnd w:id="1"/>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250" w:type="pct"/>
            <w:shd w:val="clear" w:color="auto" w:fill="auto"/>
            <w:vAlign w:val="center"/>
          </w:tcPr>
          <w:p>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商务需求</w:t>
            </w:r>
          </w:p>
        </w:tc>
        <w:tc>
          <w:tcPr>
            <w:tcW w:w="4749" w:type="pct"/>
            <w:gridSpan w:val="4"/>
            <w:shd w:val="clear" w:color="auto" w:fill="auto"/>
          </w:tcPr>
          <w:p>
            <w:pPr>
              <w:spacing w:before="156" w:beforeLines="50" w:line="300" w:lineRule="auto"/>
              <w:rPr>
                <w:rFonts w:ascii="宋体" w:hAnsi="宋体" w:eastAsia="宋体"/>
                <w:b/>
                <w:szCs w:val="21"/>
                <w:highlight w:val="none"/>
              </w:rPr>
            </w:pPr>
            <w:r>
              <w:rPr>
                <w:rFonts w:hint="eastAsia" w:ascii="宋体" w:hAnsi="宋体" w:eastAsia="宋体"/>
                <w:b/>
                <w:color w:val="000000" w:themeColor="text1"/>
                <w:szCs w:val="21"/>
                <w:highlight w:val="none"/>
                <w14:textFill>
                  <w14:solidFill>
                    <w14:schemeClr w14:val="tx1"/>
                  </w14:solidFill>
                </w14:textFill>
              </w:rPr>
              <w:t>一</w:t>
            </w:r>
            <w:r>
              <w:rPr>
                <w:rFonts w:hint="eastAsia" w:ascii="宋体" w:hAnsi="宋体" w:eastAsia="宋体"/>
                <w:b/>
                <w:szCs w:val="21"/>
                <w:highlight w:val="none"/>
              </w:rPr>
              <w:t>、项</w:t>
            </w:r>
            <w:r>
              <w:rPr>
                <w:rFonts w:ascii="宋体" w:hAnsi="宋体" w:eastAsia="宋体"/>
                <w:b/>
                <w:szCs w:val="21"/>
                <w:highlight w:val="none"/>
              </w:rPr>
              <w:t>目</w:t>
            </w:r>
            <w:r>
              <w:rPr>
                <w:rFonts w:hint="eastAsia" w:ascii="宋体" w:hAnsi="宋体" w:eastAsia="宋体"/>
                <w:b/>
                <w:szCs w:val="21"/>
                <w:highlight w:val="none"/>
              </w:rPr>
              <w:t>服务期限</w:t>
            </w:r>
          </w:p>
          <w:p>
            <w:pPr>
              <w:spacing w:line="300" w:lineRule="auto"/>
              <w:ind w:firstLine="420" w:firstLineChars="200"/>
              <w:rPr>
                <w:rFonts w:hint="default" w:ascii="宋体" w:hAnsi="宋体"/>
                <w:color w:val="auto"/>
                <w:highlight w:val="none"/>
                <w:lang w:val="en-US"/>
              </w:rPr>
            </w:pPr>
            <w:bookmarkStart w:id="5" w:name="_Toc240681978"/>
            <w:bookmarkEnd w:id="5"/>
            <w:bookmarkStart w:id="6" w:name="_Toc198369145"/>
            <w:bookmarkEnd w:id="6"/>
            <w:bookmarkStart w:id="7" w:name="_Toc198365466"/>
            <w:bookmarkEnd w:id="7"/>
            <w:bookmarkStart w:id="8" w:name="_Toc247441308"/>
            <w:bookmarkEnd w:id="8"/>
            <w:bookmarkStart w:id="9" w:name="_Toc292359301"/>
            <w:bookmarkEnd w:id="9"/>
            <w:bookmarkStart w:id="10" w:name="_Hlk3304720"/>
            <w:r>
              <w:rPr>
                <w:rFonts w:hint="eastAsia" w:ascii="宋体" w:hAnsi="宋体"/>
                <w:color w:val="auto"/>
                <w:highlight w:val="none"/>
                <w:lang w:val="en-US" w:eastAsia="zh-CN"/>
              </w:rPr>
              <w:t>项目服务期限为8个月。合同期满后，根据项目进展情况，经</w:t>
            </w:r>
            <w:r>
              <w:rPr>
                <w:rFonts w:hint="eastAsia" w:ascii="宋体" w:hAnsi="宋体"/>
                <w:highlight w:val="none"/>
              </w:rPr>
              <w:t>采购方</w:t>
            </w:r>
            <w:r>
              <w:rPr>
                <w:rFonts w:hint="eastAsia" w:ascii="宋体" w:hAnsi="宋体"/>
                <w:color w:val="auto"/>
                <w:highlight w:val="none"/>
                <w:lang w:val="en-US" w:eastAsia="zh-CN"/>
              </w:rPr>
              <w:t>、中标方双方协商可将项目最终成果提交时间适当顺延。</w:t>
            </w:r>
          </w:p>
          <w:bookmarkEnd w:id="10"/>
          <w:p>
            <w:pPr>
              <w:spacing w:before="156" w:beforeLines="50" w:line="300" w:lineRule="auto"/>
              <w:rPr>
                <w:rFonts w:ascii="宋体" w:hAnsi="宋体" w:eastAsia="宋体"/>
                <w:b/>
                <w:szCs w:val="21"/>
                <w:highlight w:val="none"/>
              </w:rPr>
            </w:pPr>
            <w:r>
              <w:rPr>
                <w:rFonts w:hint="eastAsia" w:ascii="宋体" w:hAnsi="宋体" w:eastAsia="宋体"/>
                <w:b/>
                <w:szCs w:val="21"/>
                <w:highlight w:val="none"/>
              </w:rPr>
              <w:t>二、项</w:t>
            </w:r>
            <w:r>
              <w:rPr>
                <w:rFonts w:ascii="宋体" w:hAnsi="宋体" w:eastAsia="宋体"/>
                <w:b/>
                <w:szCs w:val="21"/>
                <w:highlight w:val="none"/>
              </w:rPr>
              <w:t>目</w:t>
            </w:r>
            <w:r>
              <w:rPr>
                <w:rFonts w:hint="eastAsia" w:ascii="宋体" w:hAnsi="宋体" w:eastAsia="宋体"/>
                <w:b/>
                <w:szCs w:val="21"/>
                <w:highlight w:val="none"/>
              </w:rPr>
              <w:t>进度安排</w:t>
            </w:r>
          </w:p>
          <w:p>
            <w:pPr>
              <w:spacing w:line="300" w:lineRule="auto"/>
              <w:ind w:firstLine="420" w:firstLineChars="200"/>
              <w:rPr>
                <w:rFonts w:ascii="宋体" w:hAnsi="宋体"/>
                <w:highlight w:val="none"/>
              </w:rPr>
            </w:pPr>
            <w:r>
              <w:rPr>
                <w:rFonts w:hint="eastAsia" w:ascii="宋体" w:hAnsi="宋体"/>
                <w:highlight w:val="none"/>
              </w:rPr>
              <w:t>项</w:t>
            </w:r>
            <w:r>
              <w:rPr>
                <w:rFonts w:ascii="宋体" w:hAnsi="宋体"/>
                <w:highlight w:val="none"/>
              </w:rPr>
              <w:t>目</w:t>
            </w:r>
            <w:r>
              <w:rPr>
                <w:rFonts w:hint="eastAsia" w:ascii="宋体" w:hAnsi="宋体"/>
                <w:highlight w:val="none"/>
              </w:rPr>
              <w:t>各工作阶段具体工作时间和内容安排如下：</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一</w:t>
            </w:r>
            <w:r>
              <w:rPr>
                <w:rFonts w:hint="eastAsia" w:ascii="宋体" w:hAnsi="宋体"/>
                <w:color w:val="auto"/>
                <w:highlight w:val="none"/>
                <w:lang w:eastAsia="zh-CN"/>
              </w:rPr>
              <w:t>）</w:t>
            </w:r>
            <w:r>
              <w:rPr>
                <w:rFonts w:hint="eastAsia" w:ascii="宋体" w:hAnsi="宋体"/>
                <w:color w:val="auto"/>
                <w:highlight w:val="none"/>
              </w:rPr>
              <w:t>合同签订后</w:t>
            </w:r>
            <w:r>
              <w:rPr>
                <w:rFonts w:hint="eastAsia" w:ascii="宋体" w:hAnsi="宋体"/>
                <w:color w:val="auto"/>
                <w:highlight w:val="none"/>
                <w:lang w:val="en-US" w:eastAsia="zh-CN"/>
              </w:rPr>
              <w:t>第1月内</w:t>
            </w:r>
            <w:r>
              <w:rPr>
                <w:rFonts w:hint="eastAsia" w:ascii="宋体" w:hAnsi="宋体"/>
                <w:color w:val="auto"/>
                <w:highlight w:val="none"/>
              </w:rPr>
              <w:t>，</w:t>
            </w:r>
            <w:r>
              <w:rPr>
                <w:rFonts w:hint="eastAsia" w:ascii="宋体" w:hAnsi="宋体"/>
                <w:color w:val="auto"/>
                <w:highlight w:val="none"/>
                <w:lang w:val="en-US" w:eastAsia="zh-CN"/>
              </w:rPr>
              <w:t>前期准备与政策案例研究</w:t>
            </w:r>
            <w:r>
              <w:rPr>
                <w:rFonts w:hint="eastAsia" w:ascii="宋体" w:hAnsi="宋体"/>
                <w:color w:val="auto"/>
                <w:highlight w:val="none"/>
              </w:rPr>
              <w:t>；</w:t>
            </w:r>
          </w:p>
          <w:p>
            <w:pPr>
              <w:spacing w:line="300" w:lineRule="auto"/>
              <w:ind w:firstLine="420" w:firstLineChars="20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二</w:t>
            </w:r>
            <w:r>
              <w:rPr>
                <w:rFonts w:hint="eastAsia" w:ascii="宋体" w:hAnsi="宋体"/>
                <w:color w:val="auto"/>
                <w:highlight w:val="none"/>
              </w:rPr>
              <w:t>）合同签订后</w:t>
            </w:r>
            <w:r>
              <w:rPr>
                <w:rFonts w:hint="eastAsia" w:ascii="宋体" w:hAnsi="宋体"/>
                <w:color w:val="auto"/>
                <w:highlight w:val="none"/>
                <w:lang w:val="en-US" w:eastAsia="zh-CN"/>
              </w:rPr>
              <w:t>第2-3月内</w:t>
            </w:r>
            <w:r>
              <w:rPr>
                <w:rFonts w:hint="eastAsia" w:ascii="宋体" w:hAnsi="宋体"/>
                <w:color w:val="auto"/>
                <w:highlight w:val="none"/>
              </w:rPr>
              <w:t>，组织开展案头研究、调研或座谈；</w:t>
            </w:r>
          </w:p>
          <w:p>
            <w:pPr>
              <w:spacing w:line="30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rPr>
              <w:t>（</w:t>
            </w:r>
            <w:r>
              <w:rPr>
                <w:rFonts w:hint="eastAsia" w:ascii="宋体" w:hAnsi="宋体"/>
                <w:color w:val="auto"/>
                <w:highlight w:val="none"/>
                <w:lang w:val="en-US" w:eastAsia="zh-CN"/>
              </w:rPr>
              <w:t>三</w:t>
            </w:r>
            <w:r>
              <w:rPr>
                <w:rFonts w:hint="eastAsia" w:ascii="宋体" w:hAnsi="宋体"/>
                <w:color w:val="auto"/>
                <w:highlight w:val="none"/>
              </w:rPr>
              <w:t>）合同签订后第</w:t>
            </w:r>
            <w:r>
              <w:rPr>
                <w:rFonts w:hint="eastAsia" w:ascii="宋体" w:hAnsi="宋体"/>
                <w:color w:val="auto"/>
                <w:highlight w:val="none"/>
                <w:lang w:val="en-US" w:eastAsia="zh-CN"/>
              </w:rPr>
              <w:t>4-5月</w:t>
            </w:r>
            <w:r>
              <w:rPr>
                <w:rFonts w:hint="eastAsia" w:ascii="宋体" w:hAnsi="宋体"/>
                <w:color w:val="auto"/>
                <w:highlight w:val="none"/>
              </w:rPr>
              <w:t>内，形成研究报告初稿</w:t>
            </w:r>
            <w:r>
              <w:rPr>
                <w:rFonts w:hint="eastAsia" w:ascii="宋体" w:hAnsi="宋体"/>
                <w:color w:val="auto"/>
                <w:highlight w:val="none"/>
                <w:lang w:eastAsia="zh-CN"/>
              </w:rPr>
              <w:t>；</w:t>
            </w:r>
          </w:p>
          <w:p>
            <w:pPr>
              <w:spacing w:line="300" w:lineRule="auto"/>
              <w:ind w:firstLine="420" w:firstLineChars="200"/>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四</w:t>
            </w:r>
            <w:r>
              <w:rPr>
                <w:rFonts w:hint="eastAsia" w:ascii="宋体" w:hAnsi="宋体"/>
                <w:color w:val="auto"/>
                <w:highlight w:val="none"/>
                <w:lang w:eastAsia="zh-CN"/>
              </w:rPr>
              <w:t>）</w:t>
            </w:r>
            <w:r>
              <w:rPr>
                <w:rFonts w:hint="eastAsia" w:ascii="宋体" w:hAnsi="宋体"/>
                <w:color w:val="auto"/>
                <w:highlight w:val="none"/>
              </w:rPr>
              <w:t>合同签订后第</w:t>
            </w:r>
            <w:r>
              <w:rPr>
                <w:rFonts w:hint="eastAsia" w:ascii="宋体" w:hAnsi="宋体"/>
                <w:color w:val="auto"/>
                <w:highlight w:val="none"/>
                <w:lang w:val="en-US" w:eastAsia="zh-CN"/>
              </w:rPr>
              <w:t>6-7月内</w:t>
            </w:r>
            <w:r>
              <w:rPr>
                <w:rFonts w:hint="eastAsia" w:ascii="宋体" w:hAnsi="宋体"/>
                <w:color w:val="auto"/>
                <w:highlight w:val="none"/>
              </w:rPr>
              <w:t>，经采购方审查通过后提交中期成果；</w:t>
            </w:r>
          </w:p>
          <w:p>
            <w:pPr>
              <w:spacing w:line="300" w:lineRule="auto"/>
              <w:ind w:firstLine="420" w:firstLineChars="200"/>
              <w:rPr>
                <w:rFonts w:hint="eastAsia" w:ascii="宋体" w:hAnsi="宋体"/>
                <w:color w:val="auto"/>
                <w:highlight w:val="none"/>
                <w:lang w:val="en-US" w:eastAsia="zh-CN"/>
              </w:rPr>
            </w:pPr>
            <w:r>
              <w:rPr>
                <w:rFonts w:hint="eastAsia" w:ascii="宋体" w:hAnsi="宋体"/>
                <w:color w:val="auto"/>
                <w:highlight w:val="none"/>
              </w:rPr>
              <w:t>（</w:t>
            </w:r>
            <w:r>
              <w:rPr>
                <w:rFonts w:hint="eastAsia" w:ascii="宋体" w:hAnsi="宋体"/>
                <w:color w:val="auto"/>
                <w:highlight w:val="none"/>
                <w:lang w:val="en-US" w:eastAsia="zh-CN"/>
              </w:rPr>
              <w:t>五</w:t>
            </w:r>
            <w:r>
              <w:rPr>
                <w:rFonts w:hint="eastAsia" w:ascii="宋体" w:hAnsi="宋体"/>
                <w:color w:val="auto"/>
                <w:highlight w:val="none"/>
              </w:rPr>
              <w:t>）合同签订后第</w:t>
            </w:r>
            <w:r>
              <w:rPr>
                <w:rFonts w:hint="eastAsia" w:ascii="宋体" w:hAnsi="宋体"/>
                <w:color w:val="auto"/>
                <w:highlight w:val="none"/>
                <w:lang w:val="en-US" w:eastAsia="zh-CN"/>
              </w:rPr>
              <w:t>8月</w:t>
            </w:r>
            <w:r>
              <w:rPr>
                <w:rFonts w:hint="eastAsia" w:ascii="宋体" w:hAnsi="宋体"/>
                <w:color w:val="auto"/>
                <w:highlight w:val="none"/>
              </w:rPr>
              <w:t>内，经采购方审查通过后提交结题成果。</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三、投标报价要求</w:t>
            </w:r>
          </w:p>
          <w:p>
            <w:pPr>
              <w:spacing w:line="30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一</w:t>
            </w:r>
            <w:r>
              <w:rPr>
                <w:rFonts w:hint="eastAsia" w:ascii="宋体" w:hAnsi="宋体"/>
                <w:szCs w:val="21"/>
                <w:highlight w:val="none"/>
              </w:rPr>
              <w:t>）投标</w:t>
            </w:r>
            <w:r>
              <w:rPr>
                <w:rFonts w:hint="eastAsia" w:ascii="宋体" w:hAnsi="宋体"/>
                <w:szCs w:val="21"/>
                <w:highlight w:val="none"/>
                <w:lang w:val="en-US" w:eastAsia="zh-CN"/>
              </w:rPr>
              <w:t>人</w:t>
            </w:r>
            <w:r>
              <w:rPr>
                <w:rFonts w:hint="eastAsia" w:ascii="宋体" w:hAnsi="宋体"/>
                <w:szCs w:val="21"/>
                <w:highlight w:val="none"/>
              </w:rPr>
              <w:t>应提供报价详细清单（含报价依据及其详细计算过程等）；</w:t>
            </w:r>
          </w:p>
          <w:p>
            <w:pPr>
              <w:spacing w:line="300" w:lineRule="auto"/>
              <w:ind w:firstLine="420" w:firstLineChars="200"/>
              <w:rPr>
                <w:rFonts w:hint="eastAsia" w:ascii="宋体" w:hAnsi="宋体" w:eastAsiaTheme="minorEastAsia"/>
                <w:szCs w:val="21"/>
                <w:highlight w:val="none"/>
                <w:lang w:eastAsia="zh-CN"/>
              </w:rPr>
            </w:pPr>
            <w:r>
              <w:rPr>
                <w:rFonts w:hint="eastAsia" w:ascii="宋体" w:hAnsi="宋体"/>
                <w:szCs w:val="21"/>
                <w:highlight w:val="none"/>
              </w:rPr>
              <w:t>（</w:t>
            </w:r>
            <w:r>
              <w:rPr>
                <w:rFonts w:hint="eastAsia" w:ascii="宋体" w:hAnsi="宋体"/>
                <w:szCs w:val="21"/>
                <w:highlight w:val="none"/>
                <w:lang w:val="en-US" w:eastAsia="zh-CN"/>
              </w:rPr>
              <w:t>二</w:t>
            </w:r>
            <w:r>
              <w:rPr>
                <w:rFonts w:hint="eastAsia" w:ascii="宋体" w:hAnsi="宋体"/>
                <w:szCs w:val="21"/>
                <w:highlight w:val="none"/>
              </w:rPr>
              <w:t>）投标</w:t>
            </w:r>
            <w:r>
              <w:rPr>
                <w:rFonts w:hint="eastAsia" w:ascii="宋体" w:hAnsi="宋体"/>
                <w:szCs w:val="21"/>
                <w:highlight w:val="none"/>
                <w:lang w:val="en-US" w:eastAsia="zh-CN"/>
              </w:rPr>
              <w:t>人</w:t>
            </w:r>
            <w:r>
              <w:rPr>
                <w:rFonts w:hint="eastAsia" w:ascii="宋体" w:hAnsi="宋体"/>
                <w:szCs w:val="21"/>
                <w:highlight w:val="none"/>
              </w:rPr>
              <w:t>不得以低于成本报价进行竞标</w:t>
            </w:r>
            <w:r>
              <w:rPr>
                <w:rFonts w:hint="eastAsia" w:ascii="宋体" w:hAnsi="宋体"/>
                <w:szCs w:val="21"/>
                <w:highlight w:val="none"/>
                <w:lang w:eastAsia="zh-CN"/>
              </w:rPr>
              <w:t>；</w:t>
            </w:r>
          </w:p>
          <w:p>
            <w:pPr>
              <w:spacing w:line="300" w:lineRule="auto"/>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）投标人的投标价格不得超过财政预算限额。</w:t>
            </w:r>
          </w:p>
          <w:p>
            <w:pPr>
              <w:spacing w:before="156" w:beforeLines="50" w:line="300" w:lineRule="auto"/>
              <w:rPr>
                <w:rFonts w:ascii="宋体" w:hAnsi="宋体" w:eastAsia="宋体"/>
                <w:b/>
                <w:color w:val="FF0000"/>
                <w:szCs w:val="21"/>
                <w:highlight w:val="none"/>
              </w:rPr>
            </w:pPr>
            <w:r>
              <w:rPr>
                <w:rFonts w:hint="eastAsia" w:ascii="宋体" w:hAnsi="宋体" w:eastAsia="宋体"/>
                <w:b/>
                <w:color w:val="000000" w:themeColor="text1"/>
                <w:szCs w:val="21"/>
                <w:highlight w:val="none"/>
                <w14:textFill>
                  <w14:solidFill>
                    <w14:schemeClr w14:val="tx1"/>
                  </w14:solidFill>
                </w14:textFill>
              </w:rPr>
              <w:t>四</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成果验收要</w:t>
            </w:r>
            <w:r>
              <w:rPr>
                <w:rFonts w:ascii="宋体" w:hAnsi="宋体" w:eastAsia="宋体"/>
                <w:b/>
                <w:color w:val="000000" w:themeColor="text1"/>
                <w:szCs w:val="21"/>
                <w:highlight w:val="none"/>
                <w14:textFill>
                  <w14:solidFill>
                    <w14:schemeClr w14:val="tx1"/>
                  </w14:solidFill>
                </w14:textFill>
              </w:rPr>
              <w:t>求</w:t>
            </w:r>
          </w:p>
          <w:p>
            <w:pPr>
              <w:spacing w:line="300" w:lineRule="auto"/>
              <w:ind w:firstLine="420" w:firstLineChars="200"/>
              <w:rPr>
                <w:rFonts w:ascii="宋体" w:hAnsi="宋体"/>
                <w:highlight w:val="none"/>
              </w:rPr>
            </w:pPr>
            <w:r>
              <w:rPr>
                <w:rFonts w:hint="eastAsia" w:ascii="宋体" w:hAnsi="宋体"/>
                <w:highlight w:val="none"/>
              </w:rPr>
              <w:t>（一）</w:t>
            </w:r>
            <w:r>
              <w:rPr>
                <w:rFonts w:hint="eastAsia" w:ascii="宋体" w:hAnsi="宋体"/>
                <w:highlight w:val="none"/>
                <w:lang w:val="en-US" w:eastAsia="zh-CN"/>
              </w:rPr>
              <w:t>项目</w:t>
            </w:r>
            <w:r>
              <w:rPr>
                <w:rFonts w:hint="eastAsia" w:ascii="宋体" w:hAnsi="宋体"/>
                <w:highlight w:val="none"/>
              </w:rPr>
              <w:t>成</w:t>
            </w:r>
            <w:r>
              <w:rPr>
                <w:rFonts w:ascii="宋体" w:hAnsi="宋体"/>
                <w:highlight w:val="none"/>
              </w:rPr>
              <w:t>果</w:t>
            </w:r>
          </w:p>
          <w:p>
            <w:pPr>
              <w:spacing w:line="30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1</w:t>
            </w:r>
            <w:r>
              <w:rPr>
                <w:rFonts w:hint="eastAsia" w:ascii="宋体" w:hAnsi="宋体"/>
                <w:highlight w:val="none"/>
              </w:rPr>
              <w:t>）龙华区银发经济产业发展策略研究报告；</w:t>
            </w:r>
          </w:p>
          <w:p>
            <w:pPr>
              <w:spacing w:line="30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2</w:t>
            </w:r>
            <w:r>
              <w:rPr>
                <w:rFonts w:hint="eastAsia" w:ascii="宋体" w:hAnsi="宋体"/>
                <w:highlight w:val="none"/>
              </w:rPr>
              <w:t>）龙华区银发经济相关企业信息台账；</w:t>
            </w:r>
          </w:p>
          <w:p>
            <w:pPr>
              <w:spacing w:line="300" w:lineRule="auto"/>
              <w:ind w:firstLine="420" w:firstLineChars="200"/>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）银发经济相关政策汇编；</w:t>
            </w:r>
          </w:p>
          <w:p>
            <w:pPr>
              <w:spacing w:line="30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4</w:t>
            </w:r>
            <w:r>
              <w:rPr>
                <w:rFonts w:hint="eastAsia" w:ascii="宋体" w:hAnsi="宋体"/>
                <w:highlight w:val="none"/>
              </w:rPr>
              <w:t>）成果汇报PPT。</w:t>
            </w:r>
          </w:p>
          <w:p>
            <w:pPr>
              <w:spacing w:line="300" w:lineRule="auto"/>
              <w:ind w:firstLine="420" w:firstLineChars="200"/>
              <w:rPr>
                <w:rFonts w:ascii="宋体" w:hAnsi="宋体"/>
                <w:highlight w:val="none"/>
              </w:rPr>
            </w:pPr>
            <w:r>
              <w:rPr>
                <w:rFonts w:hint="eastAsia" w:ascii="宋体" w:hAnsi="宋体"/>
                <w:highlight w:val="none"/>
              </w:rPr>
              <w:t>以上成果的纸</w:t>
            </w:r>
            <w:r>
              <w:rPr>
                <w:rFonts w:ascii="宋体" w:hAnsi="宋体"/>
                <w:highlight w:val="none"/>
              </w:rPr>
              <w:t>质</w:t>
            </w:r>
            <w:r>
              <w:rPr>
                <w:rFonts w:hint="eastAsia" w:ascii="宋体" w:hAnsi="宋体"/>
                <w:highlight w:val="none"/>
              </w:rPr>
              <w:t>版</w:t>
            </w:r>
            <w:r>
              <w:rPr>
                <w:rFonts w:hint="eastAsia" w:ascii="宋体" w:hAnsi="宋体"/>
                <w:highlight w:val="none"/>
                <w:lang w:val="en-US" w:eastAsia="zh-CN"/>
              </w:rPr>
              <w:t>2</w:t>
            </w:r>
            <w:r>
              <w:rPr>
                <w:rFonts w:hint="eastAsia" w:ascii="宋体" w:hAnsi="宋体"/>
                <w:highlight w:val="none"/>
              </w:rPr>
              <w:t>套</w:t>
            </w:r>
            <w:r>
              <w:rPr>
                <w:rFonts w:ascii="宋体" w:hAnsi="宋体"/>
                <w:highlight w:val="none"/>
              </w:rPr>
              <w:t>和</w:t>
            </w:r>
            <w:r>
              <w:rPr>
                <w:rFonts w:hint="eastAsia" w:ascii="宋体" w:hAnsi="宋体"/>
                <w:highlight w:val="none"/>
              </w:rPr>
              <w:t>电子版</w:t>
            </w:r>
            <w:r>
              <w:rPr>
                <w:rFonts w:hint="eastAsia" w:ascii="宋体" w:hAnsi="宋体"/>
                <w:highlight w:val="none"/>
                <w:lang w:val="en-US" w:eastAsia="zh-CN"/>
              </w:rPr>
              <w:t>1</w:t>
            </w:r>
            <w:r>
              <w:rPr>
                <w:rFonts w:hint="eastAsia" w:ascii="宋体" w:hAnsi="宋体"/>
                <w:highlight w:val="none"/>
              </w:rPr>
              <w:t>套。</w:t>
            </w:r>
          </w:p>
          <w:p>
            <w:pPr>
              <w:spacing w:line="300" w:lineRule="auto"/>
              <w:ind w:firstLine="420" w:firstLineChars="200"/>
              <w:rPr>
                <w:rFonts w:ascii="宋体" w:hAnsi="宋体"/>
                <w:highlight w:val="none"/>
              </w:rPr>
            </w:pPr>
            <w:r>
              <w:rPr>
                <w:rFonts w:hint="eastAsia" w:ascii="宋体" w:hAnsi="宋体"/>
                <w:highlight w:val="none"/>
              </w:rPr>
              <w:t>（</w:t>
            </w:r>
            <w:r>
              <w:rPr>
                <w:rFonts w:hint="eastAsia" w:ascii="宋体" w:hAnsi="宋体"/>
                <w:highlight w:val="none"/>
                <w:lang w:val="en-US" w:eastAsia="zh-CN"/>
              </w:rPr>
              <w:t>二</w:t>
            </w:r>
            <w:r>
              <w:rPr>
                <w:rFonts w:ascii="宋体" w:hAnsi="宋体"/>
                <w:highlight w:val="none"/>
              </w:rPr>
              <w:t>）</w:t>
            </w:r>
            <w:r>
              <w:rPr>
                <w:rFonts w:hint="eastAsia" w:ascii="宋体" w:hAnsi="宋体"/>
                <w:highlight w:val="none"/>
              </w:rPr>
              <w:t>验收方式</w:t>
            </w:r>
          </w:p>
          <w:p>
            <w:pPr>
              <w:spacing w:line="300" w:lineRule="auto"/>
              <w:ind w:firstLine="420" w:firstLineChars="200"/>
              <w:rPr>
                <w:rFonts w:hint="eastAsia" w:ascii="宋体" w:hAnsi="宋体"/>
                <w:color w:val="auto"/>
                <w:highlight w:val="none"/>
                <w:lang w:val="en-US" w:eastAsia="zh-CN"/>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w:t>
            </w:r>
            <w:r>
              <w:rPr>
                <w:rFonts w:hint="eastAsia" w:ascii="宋体" w:hAnsi="宋体"/>
                <w:highlight w:val="none"/>
                <w:lang w:val="en-US" w:eastAsia="zh-CN"/>
              </w:rPr>
              <w:t>中期成果：</w:t>
            </w:r>
            <w:r>
              <w:rPr>
                <w:rFonts w:hint="eastAsia" w:ascii="宋体" w:hAnsi="宋体"/>
                <w:color w:val="auto"/>
                <w:highlight w:val="none"/>
              </w:rPr>
              <w:t>研究报告中期稿</w:t>
            </w:r>
            <w:r>
              <w:rPr>
                <w:rFonts w:hint="eastAsia" w:ascii="宋体" w:hAnsi="宋体"/>
                <w:color w:val="auto"/>
                <w:highlight w:val="none"/>
                <w:lang w:val="en-US" w:eastAsia="zh-CN"/>
              </w:rPr>
              <w:t>；</w:t>
            </w:r>
          </w:p>
          <w:p>
            <w:pPr>
              <w:spacing w:line="300" w:lineRule="auto"/>
              <w:ind w:firstLine="420" w:firstLineChars="200"/>
              <w:rPr>
                <w:rFonts w:hint="default"/>
                <w:highlight w:val="none"/>
                <w:lang w:val="en-US" w:eastAsia="zh-CN"/>
              </w:rPr>
            </w:pPr>
            <w:r>
              <w:rPr>
                <w:rFonts w:hint="eastAsia" w:ascii="宋体" w:hAnsi="宋体"/>
                <w:color w:val="auto"/>
                <w:highlight w:val="none"/>
                <w:lang w:val="en-US" w:eastAsia="zh-CN"/>
              </w:rPr>
              <w:t>（2）结题成果：</w:t>
            </w:r>
            <w:r>
              <w:rPr>
                <w:rFonts w:hint="eastAsia" w:ascii="宋体" w:hAnsi="宋体"/>
                <w:color w:val="auto"/>
                <w:highlight w:val="none"/>
              </w:rPr>
              <w:t>研究报告</w:t>
            </w:r>
            <w:r>
              <w:rPr>
                <w:rFonts w:hint="eastAsia" w:ascii="宋体" w:hAnsi="宋体"/>
                <w:color w:val="auto"/>
                <w:highlight w:val="none"/>
                <w:lang w:eastAsia="zh-CN"/>
              </w:rPr>
              <w:t>、</w:t>
            </w:r>
            <w:r>
              <w:rPr>
                <w:rFonts w:hint="eastAsia" w:ascii="宋体" w:hAnsi="宋体"/>
                <w:highlight w:val="none"/>
              </w:rPr>
              <w:t>龙华区银发经济相关企业信息台账</w:t>
            </w:r>
            <w:r>
              <w:rPr>
                <w:rFonts w:hint="eastAsia" w:ascii="宋体" w:hAnsi="宋体"/>
                <w:highlight w:val="none"/>
                <w:lang w:eastAsia="zh-CN"/>
              </w:rPr>
              <w:t>、</w:t>
            </w:r>
            <w:r>
              <w:rPr>
                <w:rFonts w:hint="eastAsia" w:ascii="宋体" w:hAnsi="宋体"/>
                <w:highlight w:val="none"/>
              </w:rPr>
              <w:t>银发经济相关政策汇编</w:t>
            </w:r>
            <w:r>
              <w:rPr>
                <w:rFonts w:hint="eastAsia" w:ascii="宋体" w:hAnsi="宋体"/>
                <w:color w:val="auto"/>
                <w:highlight w:val="none"/>
                <w:lang w:val="en-US" w:eastAsia="zh-CN"/>
              </w:rPr>
              <w:t>、汇报PPT最终稿。</w:t>
            </w:r>
          </w:p>
          <w:p>
            <w:pPr>
              <w:spacing w:line="300" w:lineRule="auto"/>
              <w:ind w:firstLine="420" w:firstLineChars="200"/>
              <w:rPr>
                <w:rFonts w:ascii="宋体" w:hAnsi="宋体"/>
                <w:highlight w:val="none"/>
              </w:rPr>
            </w:pPr>
            <w:r>
              <w:rPr>
                <w:rFonts w:hint="eastAsia" w:ascii="宋体" w:hAnsi="宋体"/>
                <w:highlight w:val="none"/>
              </w:rPr>
              <w:t>中标方需按采购方的招标技术及时间要求，完成</w:t>
            </w:r>
            <w:r>
              <w:rPr>
                <w:rFonts w:hint="eastAsia" w:ascii="宋体" w:hAnsi="宋体"/>
                <w:highlight w:val="none"/>
                <w:lang w:val="en-US" w:eastAsia="zh-CN"/>
              </w:rPr>
              <w:t>中期成果、结题</w:t>
            </w:r>
            <w:r>
              <w:rPr>
                <w:rFonts w:hint="eastAsia" w:ascii="宋体" w:hAnsi="宋体"/>
                <w:highlight w:val="none"/>
              </w:rPr>
              <w:t>成果并全部提交后，采购方</w:t>
            </w:r>
            <w:r>
              <w:rPr>
                <w:rFonts w:hint="eastAsia" w:ascii="宋体" w:hAnsi="宋体"/>
                <w:highlight w:val="none"/>
                <w:lang w:val="en-US" w:eastAsia="zh-CN"/>
              </w:rPr>
              <w:t>分别</w:t>
            </w:r>
            <w:r>
              <w:rPr>
                <w:rFonts w:hint="eastAsia" w:ascii="宋体" w:hAnsi="宋体"/>
                <w:highlight w:val="none"/>
              </w:rPr>
              <w:t>进行</w:t>
            </w:r>
            <w:r>
              <w:rPr>
                <w:rFonts w:hint="eastAsia" w:ascii="宋体" w:hAnsi="宋体"/>
                <w:highlight w:val="none"/>
                <w:lang w:val="en-US" w:eastAsia="zh-CN"/>
              </w:rPr>
              <w:t>中期审查和</w:t>
            </w:r>
            <w:r>
              <w:rPr>
                <w:rFonts w:ascii="宋体" w:hAnsi="宋体"/>
                <w:highlight w:val="none"/>
              </w:rPr>
              <w:t>成果</w:t>
            </w:r>
            <w:r>
              <w:rPr>
                <w:rFonts w:hint="eastAsia" w:ascii="宋体" w:hAnsi="宋体"/>
                <w:highlight w:val="none"/>
              </w:rPr>
              <w:t>验收。</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五</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售后服务要求</w:t>
            </w:r>
          </w:p>
          <w:p>
            <w:pPr>
              <w:spacing w:line="300" w:lineRule="auto"/>
              <w:ind w:firstLine="420" w:firstLineChars="200"/>
              <w:rPr>
                <w:rFonts w:ascii="宋体" w:hAnsi="宋体" w:cs="宋体"/>
                <w:highlight w:val="none"/>
              </w:rPr>
            </w:pPr>
            <w:r>
              <w:rPr>
                <w:rFonts w:hint="eastAsia" w:ascii="宋体" w:hAnsi="宋体" w:cs="宋体"/>
                <w:color w:val="000000"/>
                <w:highlight w:val="none"/>
              </w:rPr>
              <w:t>（一</w:t>
            </w:r>
            <w:r>
              <w:rPr>
                <w:rFonts w:ascii="宋体" w:hAnsi="宋体" w:cs="宋体"/>
                <w:color w:val="000000"/>
                <w:highlight w:val="none"/>
              </w:rPr>
              <w:t>）</w:t>
            </w:r>
            <w:r>
              <w:rPr>
                <w:rFonts w:hint="eastAsia" w:ascii="宋体" w:hAnsi="宋体" w:cs="宋体"/>
                <w:color w:val="000000"/>
                <w:highlight w:val="none"/>
              </w:rPr>
              <w:t>售后服务要求和期限</w:t>
            </w:r>
          </w:p>
          <w:p>
            <w:pPr>
              <w:spacing w:line="300" w:lineRule="auto"/>
              <w:ind w:firstLine="420" w:firstLineChars="200"/>
              <w:rPr>
                <w:rFonts w:ascii="宋体" w:hAnsi="宋体" w:cs="宋体"/>
                <w:color w:val="000000"/>
                <w:highlight w:val="none"/>
              </w:rPr>
            </w:pPr>
            <w:r>
              <w:rPr>
                <w:rFonts w:hint="eastAsia" w:ascii="宋体" w:hAnsi="宋体" w:cs="宋体"/>
                <w:highlight w:val="none"/>
              </w:rPr>
              <w:t>（1）中标方在公开招标文件中应提供详细的售后服务承诺书，并</w:t>
            </w:r>
            <w:r>
              <w:rPr>
                <w:rFonts w:hint="eastAsia" w:ascii="宋体" w:hAnsi="宋体" w:cs="宋体"/>
                <w:color w:val="000000"/>
                <w:highlight w:val="none"/>
              </w:rPr>
              <w:t>加盖中标方单位公章；</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（2）项目由采购方审查通过后进入售后服务期，售后服务内容要求主要包括技术支持等；</w:t>
            </w:r>
          </w:p>
          <w:p>
            <w:pPr>
              <w:spacing w:line="300" w:lineRule="auto"/>
              <w:ind w:firstLine="420" w:firstLineChars="200"/>
              <w:rPr>
                <w:rFonts w:ascii="宋体" w:hAnsi="宋体" w:cs="宋体"/>
                <w:highlight w:val="none"/>
              </w:rPr>
            </w:pPr>
            <w:r>
              <w:rPr>
                <w:rFonts w:hint="eastAsia" w:ascii="宋体" w:hAnsi="宋体" w:cs="宋体"/>
                <w:highlight w:val="none"/>
              </w:rPr>
              <w:t>（3）本项目要求</w:t>
            </w:r>
            <w:r>
              <w:rPr>
                <w:rFonts w:hint="eastAsia" w:ascii="宋体" w:hAnsi="宋体" w:cs="宋体"/>
                <w:kern w:val="0"/>
                <w:szCs w:val="21"/>
                <w:highlight w:val="none"/>
              </w:rPr>
              <w:t>项目结题后1年内，应采购</w:t>
            </w:r>
            <w:r>
              <w:rPr>
                <w:rFonts w:hint="eastAsia" w:ascii="宋体" w:hAnsi="宋体" w:cs="宋体"/>
                <w:kern w:val="0"/>
                <w:szCs w:val="21"/>
                <w:highlight w:val="none"/>
                <w:lang w:val="en-US" w:eastAsia="zh-CN"/>
              </w:rPr>
              <w:t>方</w:t>
            </w:r>
            <w:r>
              <w:rPr>
                <w:rFonts w:hint="eastAsia" w:ascii="宋体" w:hAnsi="宋体" w:cs="宋体"/>
                <w:kern w:val="0"/>
                <w:szCs w:val="21"/>
                <w:highlight w:val="none"/>
              </w:rPr>
              <w:t>的要求，提供必要的咨询与解释服务。</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二）</w:t>
            </w:r>
            <w:r>
              <w:rPr>
                <w:rFonts w:hint="eastAsia" w:ascii="宋体" w:hAnsi="宋体" w:cs="宋体"/>
                <w:color w:val="000000"/>
                <w:highlight w:val="none"/>
              </w:rPr>
              <w:t>售后服务内容</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）专员支持服务：安排维护专员为本项目售后技术支持，并提供其联系手机、电话、传真、Email；保证采购方在工作日内能及时联系到维护专员；如人员需要调整应及时通知采购方；</w:t>
            </w:r>
          </w:p>
          <w:p>
            <w:pPr>
              <w:spacing w:line="30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highlight w:val="none"/>
              </w:rPr>
              <w:t>（2）审查支持服务：中标方应配合采购方进行与本项目相关的技术审查工作，并提供专业技术意见。</w:t>
            </w:r>
          </w:p>
          <w:p>
            <w:pPr>
              <w:spacing w:before="156" w:beforeLines="50" w:line="30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lang w:val="en-US" w:eastAsia="zh-CN"/>
                <w14:textFill>
                  <w14:solidFill>
                    <w14:schemeClr w14:val="tx1"/>
                  </w14:solidFill>
                </w14:textFill>
              </w:rPr>
              <w:t>六</w:t>
            </w:r>
            <w:r>
              <w:rPr>
                <w:rFonts w:ascii="宋体" w:hAnsi="宋体" w:eastAsia="宋体"/>
                <w:b/>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其它项目管理要求</w:t>
            </w:r>
          </w:p>
          <w:p>
            <w:pPr>
              <w:spacing w:line="300" w:lineRule="auto"/>
              <w:ind w:firstLine="420" w:firstLineChars="200"/>
              <w:rPr>
                <w:rFonts w:hint="eastAsia" w:ascii="宋体" w:hAnsi="宋体" w:cs="宋体"/>
                <w:color w:val="000000"/>
                <w:highlight w:val="none"/>
              </w:rPr>
            </w:pPr>
            <w:r>
              <w:rPr>
                <w:rFonts w:hint="eastAsia" w:ascii="宋体" w:hAnsi="宋体" w:cs="宋体"/>
                <w:color w:val="000000"/>
                <w:highlight w:val="none"/>
              </w:rPr>
              <w:t>（一</w:t>
            </w:r>
            <w:r>
              <w:rPr>
                <w:rFonts w:ascii="宋体" w:hAnsi="宋体" w:cs="宋体"/>
                <w:color w:val="000000"/>
                <w:highlight w:val="none"/>
              </w:rPr>
              <w:t>）</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应确保文件中的人员信息真实、有效；</w:t>
            </w:r>
          </w:p>
          <w:p>
            <w:pPr>
              <w:pStyle w:val="7"/>
              <w:ind w:firstLine="420" w:firstLineChars="200"/>
              <w:rPr>
                <w:rFonts w:hint="eastAsia" w:ascii="宋体" w:hAnsi="宋体" w:cs="宋体" w:eastAsiaTheme="minorEastAsia"/>
                <w:b w:val="0"/>
                <w:bCs w:val="0"/>
                <w:color w:val="000000"/>
                <w:kern w:val="2"/>
                <w:sz w:val="21"/>
                <w:szCs w:val="22"/>
                <w:highlight w:val="none"/>
                <w:lang w:val="en-US" w:eastAsia="zh-CN" w:bidi="ar-SA"/>
              </w:rPr>
            </w:pPr>
            <w:r>
              <w:rPr>
                <w:rFonts w:hint="eastAsia" w:ascii="宋体" w:hAnsi="宋体" w:cs="宋体" w:eastAsiaTheme="minorEastAsia"/>
                <w:b w:val="0"/>
                <w:bCs w:val="0"/>
                <w:color w:val="000000"/>
                <w:kern w:val="2"/>
                <w:sz w:val="21"/>
                <w:szCs w:val="22"/>
                <w:highlight w:val="none"/>
                <w:lang w:val="en-US" w:eastAsia="zh-CN" w:bidi="ar-SA"/>
              </w:rPr>
              <w:t>（二）中标方需安排课题组人员在龙华区全程跟进项目实施，并提供承诺函；</w:t>
            </w:r>
          </w:p>
          <w:p>
            <w:pPr>
              <w:spacing w:line="300" w:lineRule="auto"/>
              <w:ind w:firstLine="420" w:firstLineChars="200"/>
              <w:rPr>
                <w:rFonts w:ascii="宋体" w:hAnsi="宋体" w:cs="宋体"/>
                <w:color w:val="000000"/>
                <w:highlight w:val="none"/>
              </w:rPr>
            </w:pPr>
            <w:r>
              <w:rPr>
                <w:rFonts w:hint="eastAsia" w:ascii="宋体" w:hAnsi="宋体" w:cs="宋体"/>
                <w:color w:val="000000"/>
                <w:highlight w:val="none"/>
              </w:rPr>
              <w:t>（</w:t>
            </w:r>
            <w:r>
              <w:rPr>
                <w:rFonts w:hint="eastAsia" w:ascii="宋体" w:hAnsi="宋体" w:cs="宋体"/>
                <w:color w:val="000000"/>
                <w:highlight w:val="none"/>
                <w:lang w:val="en-US" w:eastAsia="zh-CN"/>
              </w:rPr>
              <w:t>三</w:t>
            </w:r>
            <w:r>
              <w:rPr>
                <w:rFonts w:ascii="宋体" w:hAnsi="宋体" w:cs="宋体"/>
                <w:color w:val="000000"/>
                <w:highlight w:val="none"/>
              </w:rPr>
              <w:t>）</w:t>
            </w:r>
            <w:r>
              <w:rPr>
                <w:rFonts w:hint="eastAsia" w:ascii="宋体" w:hAnsi="宋体" w:cs="宋体"/>
                <w:color w:val="000000"/>
                <w:highlight w:val="none"/>
              </w:rPr>
              <w:t>投标</w:t>
            </w:r>
            <w:r>
              <w:rPr>
                <w:rFonts w:hint="eastAsia" w:ascii="宋体" w:hAnsi="宋体" w:cs="宋体"/>
                <w:color w:val="000000"/>
                <w:highlight w:val="none"/>
                <w:lang w:val="en-US" w:eastAsia="zh-CN"/>
              </w:rPr>
              <w:t>人</w:t>
            </w:r>
            <w:r>
              <w:rPr>
                <w:rFonts w:hint="eastAsia" w:ascii="宋体" w:hAnsi="宋体" w:cs="宋体"/>
                <w:color w:val="000000"/>
                <w:highlight w:val="none"/>
              </w:rPr>
              <w:t>必须保守国家机密，不得泄漏采购方所提供的属国家秘密的信息和数据；未经采购方允许，不得使用或者以其它方式给任何第三方提供本项目的相关信息或数据；</w:t>
            </w:r>
          </w:p>
          <w:p>
            <w:pPr>
              <w:spacing w:line="300" w:lineRule="auto"/>
              <w:ind w:firstLine="420" w:firstLineChars="200"/>
              <w:rPr>
                <w:rFonts w:hint="eastAsia" w:ascii="宋体" w:hAnsi="宋体" w:cs="宋体" w:eastAsiaTheme="minorEastAsia"/>
                <w:color w:val="000000"/>
                <w:highlight w:val="none"/>
                <w:lang w:eastAsia="zh-CN"/>
              </w:rPr>
            </w:pPr>
            <w:r>
              <w:rPr>
                <w:rFonts w:hint="eastAsia" w:ascii="宋体" w:hAnsi="宋体" w:cs="宋体"/>
                <w:color w:val="000000"/>
                <w:highlight w:val="none"/>
              </w:rPr>
              <w:t>（</w:t>
            </w:r>
            <w:r>
              <w:rPr>
                <w:rFonts w:hint="eastAsia" w:ascii="宋体" w:hAnsi="宋体" w:cs="宋体"/>
                <w:color w:val="000000"/>
                <w:highlight w:val="none"/>
                <w:lang w:val="en-US" w:eastAsia="zh-CN"/>
              </w:rPr>
              <w:t>四</w:t>
            </w:r>
            <w:r>
              <w:rPr>
                <w:rFonts w:ascii="宋体" w:hAnsi="宋体" w:cs="宋体"/>
                <w:color w:val="000000"/>
                <w:highlight w:val="none"/>
              </w:rPr>
              <w:t>）</w:t>
            </w:r>
            <w:r>
              <w:rPr>
                <w:rFonts w:hint="eastAsia" w:ascii="宋体" w:hAnsi="宋体" w:cs="宋体"/>
                <w:color w:val="000000"/>
                <w:highlight w:val="none"/>
              </w:rPr>
              <w:t>中标方不得将项目非法分包或转包给任何单位和个人，否则采购方有权即刻终止合同，并要求中标方赔偿相应损失</w:t>
            </w:r>
            <w:r>
              <w:rPr>
                <w:rFonts w:hint="eastAsia" w:ascii="宋体" w:hAnsi="宋体" w:cs="宋体"/>
                <w:color w:val="000000"/>
                <w:highlight w:val="none"/>
                <w:lang w:eastAsia="zh-CN"/>
              </w:rPr>
              <w:t>；</w:t>
            </w:r>
          </w:p>
          <w:p>
            <w:pPr>
              <w:spacing w:line="300" w:lineRule="auto"/>
              <w:ind w:firstLine="420" w:firstLineChars="200"/>
              <w:rPr>
                <w:rFonts w:hint="eastAsia" w:ascii="宋体" w:hAnsi="宋体" w:cs="宋体" w:eastAsiaTheme="minorEastAsia"/>
                <w:color w:val="000000"/>
                <w:highlight w:val="none"/>
                <w:lang w:eastAsia="zh-CN"/>
              </w:rPr>
            </w:pPr>
            <w:r>
              <w:rPr>
                <w:rFonts w:hint="eastAsia" w:ascii="宋体" w:hAnsi="宋体" w:cs="宋体"/>
                <w:color w:val="000000"/>
                <w:highlight w:val="none"/>
              </w:rPr>
              <w:t>（</w:t>
            </w:r>
            <w:r>
              <w:rPr>
                <w:rFonts w:hint="eastAsia" w:ascii="宋体" w:hAnsi="宋体" w:cs="宋体"/>
                <w:color w:val="000000"/>
                <w:highlight w:val="none"/>
                <w:lang w:val="en-US" w:eastAsia="zh-CN"/>
              </w:rPr>
              <w:t>五</w:t>
            </w:r>
            <w:r>
              <w:rPr>
                <w:rFonts w:ascii="宋体" w:hAnsi="宋体" w:cs="宋体"/>
                <w:color w:val="000000"/>
                <w:highlight w:val="none"/>
              </w:rPr>
              <w:t>）</w:t>
            </w:r>
            <w:r>
              <w:rPr>
                <w:rFonts w:hint="eastAsia" w:ascii="宋体" w:hAnsi="宋体" w:cs="宋体"/>
                <w:color w:val="000000"/>
                <w:highlight w:val="none"/>
              </w:rPr>
              <w:t>投标人若认为招标文件的技术要求或其他要求有倾向性或不公正性，可在招标答疑阶段提出，答疑阶段未提出，则默认投标人已接受本项目招标文件的所有条款，开标后不得提出对招标条款的质疑，以维护招标行为的公平、公正</w:t>
            </w:r>
            <w:r>
              <w:rPr>
                <w:rFonts w:hint="eastAsia" w:ascii="宋体" w:hAnsi="宋体" w:cs="宋体"/>
                <w:color w:val="000000"/>
                <w:highlight w:val="none"/>
                <w:lang w:eastAsia="zh-CN"/>
              </w:rPr>
              <w:t>；</w:t>
            </w:r>
          </w:p>
          <w:p>
            <w:pPr>
              <w:spacing w:line="30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highlight w:val="none"/>
              </w:rPr>
              <w:t>（</w:t>
            </w:r>
            <w:r>
              <w:rPr>
                <w:rFonts w:hint="eastAsia" w:ascii="宋体" w:hAnsi="宋体" w:cs="宋体"/>
                <w:color w:val="000000"/>
                <w:highlight w:val="none"/>
                <w:lang w:val="en-US" w:eastAsia="zh-CN"/>
              </w:rPr>
              <w:t>六</w:t>
            </w:r>
            <w:r>
              <w:rPr>
                <w:rFonts w:ascii="宋体" w:hAnsi="宋体" w:cs="宋体"/>
                <w:color w:val="000000"/>
                <w:highlight w:val="none"/>
              </w:rPr>
              <w:t>）</w:t>
            </w:r>
            <w:r>
              <w:rPr>
                <w:rFonts w:hint="eastAsia" w:ascii="宋体" w:hAnsi="宋体" w:cs="宋体"/>
                <w:color w:val="000000"/>
                <w:highlight w:val="none"/>
              </w:rPr>
              <w:t>供应商须在法定质疑期内一次性提出针对同一采购程序环节的质疑。</w:t>
            </w:r>
          </w:p>
        </w:tc>
      </w:tr>
    </w:tbl>
    <w:p>
      <w:pPr>
        <w:rPr>
          <w:rFonts w:hint="eastAsia" w:ascii="仿宋" w:hAnsi="仿宋" w:eastAsia="仿宋" w:cs="Times New Roman"/>
          <w:color w:val="000000"/>
          <w:sz w:val="32"/>
          <w:szCs w:val="24"/>
        </w:rPr>
      </w:pPr>
      <w:r>
        <w:rPr>
          <w:rFonts w:hint="eastAsia" w:ascii="仿宋" w:hAnsi="仿宋" w:eastAsia="仿宋" w:cs="Times New Roman"/>
          <w:color w:val="000000"/>
          <w:sz w:val="32"/>
          <w:szCs w:val="24"/>
        </w:rPr>
        <w:br w:type="page"/>
      </w:r>
    </w:p>
    <w:p>
      <w:pPr>
        <w:spacing w:line="360" w:lineRule="auto"/>
        <w:jc w:val="left"/>
        <w:outlineLvl w:val="0"/>
        <w:rPr>
          <w:rFonts w:hint="eastAsia" w:ascii="黑体" w:hAnsi="黑体" w:eastAsia="黑体" w:cs="黑体"/>
          <w:color w:val="000000"/>
          <w:sz w:val="32"/>
          <w:szCs w:val="24"/>
        </w:rPr>
      </w:pPr>
      <w:r>
        <w:rPr>
          <w:rFonts w:hint="eastAsia" w:ascii="黑体" w:hAnsi="黑体" w:eastAsia="黑体" w:cs="黑体"/>
          <w:color w:val="000000"/>
          <w:sz w:val="32"/>
          <w:szCs w:val="24"/>
        </w:rPr>
        <w:t>附件</w:t>
      </w:r>
    </w:p>
    <w:p>
      <w:pPr>
        <w:spacing w:line="360" w:lineRule="auto"/>
        <w:jc w:val="center"/>
        <w:outlineLvl w:val="0"/>
        <w:rPr>
          <w:rFonts w:ascii="黑体" w:hAnsi="Calibri" w:eastAsia="黑体" w:cs="Times New Roman"/>
          <w:kern w:val="0"/>
          <w:sz w:val="44"/>
          <w:szCs w:val="44"/>
        </w:rPr>
      </w:pPr>
      <w:r>
        <w:rPr>
          <w:rFonts w:hint="eastAsia" w:ascii="黑体" w:hAnsi="Calibri" w:eastAsia="黑体" w:cs="Times New Roman"/>
          <w:kern w:val="0"/>
          <w:sz w:val="44"/>
          <w:szCs w:val="44"/>
        </w:rPr>
        <w:t>政府采购投标及履约承诺函</w:t>
      </w:r>
    </w:p>
    <w:p>
      <w:pPr>
        <w:jc w:val="center"/>
        <w:rPr>
          <w:rFonts w:ascii="Calibri" w:hAnsi="Calibri" w:eastAsia="宋体" w:cs="Times New Roman"/>
          <w:sz w:val="44"/>
          <w:szCs w:val="44"/>
        </w:rPr>
      </w:pPr>
    </w:p>
    <w:p>
      <w:pPr>
        <w:spacing w:line="560" w:lineRule="exact"/>
        <w:jc w:val="left"/>
        <w:rPr>
          <w:rFonts w:ascii="仿宋" w:hAnsi="仿宋" w:eastAsia="仿宋" w:cs="Times New Roman"/>
          <w:sz w:val="30"/>
          <w:szCs w:val="30"/>
        </w:rPr>
      </w:pPr>
      <w:r>
        <w:rPr>
          <w:rFonts w:hint="eastAsia" w:ascii="仿宋" w:hAnsi="仿宋" w:eastAsia="仿宋" w:cs="Times New Roman"/>
          <w:sz w:val="30"/>
          <w:szCs w:val="30"/>
        </w:rPr>
        <w:t>深圳市龙华区人民政府办公室：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我单位深知本项目对贵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的重要性和紧迫性，亦了解贵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对廉政建设的相关要求，因此我单位承诺如下：</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1.我单位本招标项目所提供的货物或服务未侵犯知识产权。</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2.我单位参与本项目投标前三年内，在经营活动中没有违法记录。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3.我单位参与本项目政府采购活动时不存在被有关部门禁止参与政府采购活动且在有效期内的情况。</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4.我单位具备《中华人民共和国政府采购法》第二十二条第一款的条件。</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5.我单位未被列入失信被执行人、税收违法案件当事人名单、政府采购严重违法失信行为记录名单。</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w:t>
      </w:r>
      <w:r>
        <w:rPr>
          <w:rFonts w:hint="eastAsia" w:ascii="仿宋" w:hAnsi="仿宋" w:eastAsia="仿宋" w:cs="Times New Roman"/>
          <w:sz w:val="30"/>
          <w:szCs w:val="30"/>
          <w:lang w:val="en-US" w:eastAsia="zh-CN"/>
        </w:rPr>
        <w:t>单位</w:t>
      </w:r>
      <w:r>
        <w:rPr>
          <w:rFonts w:hint="eastAsia" w:ascii="仿宋" w:hAnsi="仿宋" w:eastAsia="仿宋" w:cs="Times New Roman"/>
          <w:sz w:val="30"/>
          <w:szCs w:val="30"/>
        </w:rPr>
        <w:t>自本项目起所有采购项目的投标事宜。</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7.我单位如果中标，做到诚实守信，依照本项目招标文件需求内容、签署的采购合同及本单位在投标中所作的一切承诺履约。</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10.我单位承诺不非法转包、分包。</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11.我单位承诺未参与本项目的采购需求、技术指标、商务指标等内容的设定，不存在对其他投标单位不公平的行为。</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2</w:t>
      </w:r>
      <w:r>
        <w:rPr>
          <w:rFonts w:hint="eastAsia" w:ascii="仿宋" w:hAnsi="仿宋" w:eastAsia="仿宋" w:cs="Times New Roman"/>
          <w:color w:val="000000" w:themeColor="text1"/>
          <w:sz w:val="30"/>
          <w:szCs w:val="30"/>
          <w14:textFill>
            <w14:solidFill>
              <w14:schemeClr w14:val="tx1"/>
            </w14:solidFill>
          </w14:textFill>
        </w:rPr>
        <w:t>.我单位承诺不对采购人进行贿赂，进行有偿报答。</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3</w:t>
      </w:r>
      <w:r>
        <w:rPr>
          <w:rFonts w:hint="eastAsia" w:ascii="仿宋" w:hAnsi="仿宋" w:eastAsia="仿宋" w:cs="Times New Roman"/>
          <w:color w:val="000000" w:themeColor="text1"/>
          <w:sz w:val="30"/>
          <w:szCs w:val="30"/>
          <w14:textFill>
            <w14:solidFill>
              <w14:schemeClr w14:val="tx1"/>
            </w14:solidFill>
          </w14:textFill>
        </w:rPr>
        <w:t>.我单位承诺不对采购人进行任何形式的利益输送。</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4</w:t>
      </w:r>
      <w:r>
        <w:rPr>
          <w:rFonts w:hint="eastAsia" w:ascii="仿宋" w:hAnsi="仿宋" w:eastAsia="仿宋" w:cs="Times New Roman"/>
          <w:color w:val="000000" w:themeColor="text1"/>
          <w:sz w:val="30"/>
          <w:szCs w:val="30"/>
          <w14:textFill>
            <w14:solidFill>
              <w14:schemeClr w14:val="tx1"/>
            </w14:solidFill>
          </w14:textFill>
        </w:rPr>
        <w:t>.我单位承诺不对采购人进行宴请和娱乐等消费活动。</w:t>
      </w:r>
    </w:p>
    <w:p>
      <w:pPr>
        <w:spacing w:line="560" w:lineRule="exact"/>
        <w:ind w:firstLine="600" w:firstLineChars="200"/>
        <w:jc w:val="left"/>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5</w:t>
      </w:r>
      <w:r>
        <w:rPr>
          <w:rFonts w:hint="eastAsia" w:ascii="仿宋" w:hAnsi="仿宋" w:eastAsia="仿宋" w:cs="Times New Roman"/>
          <w:color w:val="000000" w:themeColor="text1"/>
          <w:sz w:val="30"/>
          <w:szCs w:val="30"/>
          <w14:textFill>
            <w14:solidFill>
              <w14:schemeClr w14:val="tx1"/>
            </w14:solidFill>
          </w14:textFill>
        </w:rPr>
        <w:t>.我单位承诺不对采购人进行赠送各种礼品、现金、有价证券、中介费、好处费等行为。</w:t>
      </w:r>
    </w:p>
    <w:p>
      <w:pPr>
        <w:spacing w:line="5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以上承诺，如有违反，愿依照国家相关法律处理，并承担由此给采购人带来的损失。</w:t>
      </w:r>
    </w:p>
    <w:p>
      <w:pPr>
        <w:spacing w:line="560" w:lineRule="exact"/>
        <w:ind w:firstLine="3750" w:firstLineChars="1250"/>
        <w:rPr>
          <w:rFonts w:ascii="仿宋" w:hAnsi="仿宋" w:eastAsia="仿宋" w:cs="Times New Roman"/>
          <w:sz w:val="30"/>
          <w:szCs w:val="30"/>
        </w:rPr>
      </w:pPr>
      <w:r>
        <w:rPr>
          <w:rFonts w:hint="eastAsia" w:ascii="仿宋" w:hAnsi="仿宋" w:eastAsia="仿宋" w:cs="Times New Roman"/>
          <w:sz w:val="30"/>
          <w:szCs w:val="30"/>
        </w:rPr>
        <w:t>承诺单位（公司）盖章：</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                         年   月   日 </w:t>
      </w:r>
    </w:p>
    <w:p>
      <w:pPr>
        <w:rPr>
          <w:rFonts w:ascii="黑体" w:eastAsia="黑体"/>
          <w:color w:val="000000" w:themeColor="text1"/>
          <w:kern w:val="0"/>
          <w:sz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8818"/>
      <w:docPartObj>
        <w:docPartGallery w:val="autotext"/>
      </w:docPartObj>
    </w:sdtPr>
    <w:sdtContent>
      <w:p>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82"/>
    <w:rsid w:val="00003D0B"/>
    <w:rsid w:val="00006ED7"/>
    <w:rsid w:val="00007050"/>
    <w:rsid w:val="0001420A"/>
    <w:rsid w:val="00020F90"/>
    <w:rsid w:val="000224B1"/>
    <w:rsid w:val="0002307C"/>
    <w:rsid w:val="00025EBC"/>
    <w:rsid w:val="00026C62"/>
    <w:rsid w:val="000273E6"/>
    <w:rsid w:val="000314C4"/>
    <w:rsid w:val="000315B8"/>
    <w:rsid w:val="00037160"/>
    <w:rsid w:val="000444D4"/>
    <w:rsid w:val="000656DE"/>
    <w:rsid w:val="00070C53"/>
    <w:rsid w:val="00074447"/>
    <w:rsid w:val="00075329"/>
    <w:rsid w:val="0008168D"/>
    <w:rsid w:val="00081FE4"/>
    <w:rsid w:val="00093B7C"/>
    <w:rsid w:val="000A17C1"/>
    <w:rsid w:val="000B232E"/>
    <w:rsid w:val="000B2A58"/>
    <w:rsid w:val="000B39AA"/>
    <w:rsid w:val="000B6334"/>
    <w:rsid w:val="000C09CC"/>
    <w:rsid w:val="000C09D9"/>
    <w:rsid w:val="000D5027"/>
    <w:rsid w:val="000E79F7"/>
    <w:rsid w:val="000F388A"/>
    <w:rsid w:val="000F5218"/>
    <w:rsid w:val="00105A8B"/>
    <w:rsid w:val="00117DD5"/>
    <w:rsid w:val="00120306"/>
    <w:rsid w:val="00131643"/>
    <w:rsid w:val="0013299F"/>
    <w:rsid w:val="00132E6D"/>
    <w:rsid w:val="00144449"/>
    <w:rsid w:val="001445DE"/>
    <w:rsid w:val="001530A6"/>
    <w:rsid w:val="00154902"/>
    <w:rsid w:val="00157A82"/>
    <w:rsid w:val="00165DE6"/>
    <w:rsid w:val="00166E55"/>
    <w:rsid w:val="0017360F"/>
    <w:rsid w:val="001759F1"/>
    <w:rsid w:val="001778DF"/>
    <w:rsid w:val="00180436"/>
    <w:rsid w:val="001818D1"/>
    <w:rsid w:val="00185281"/>
    <w:rsid w:val="0018748F"/>
    <w:rsid w:val="001921F6"/>
    <w:rsid w:val="001A0310"/>
    <w:rsid w:val="001A246E"/>
    <w:rsid w:val="001B7153"/>
    <w:rsid w:val="001C0510"/>
    <w:rsid w:val="001D5B1E"/>
    <w:rsid w:val="001F1ECB"/>
    <w:rsid w:val="00202F41"/>
    <w:rsid w:val="00204411"/>
    <w:rsid w:val="00205129"/>
    <w:rsid w:val="00217FBD"/>
    <w:rsid w:val="002221F2"/>
    <w:rsid w:val="00224661"/>
    <w:rsid w:val="00225A45"/>
    <w:rsid w:val="002264BA"/>
    <w:rsid w:val="00231BC1"/>
    <w:rsid w:val="0023203A"/>
    <w:rsid w:val="002338A8"/>
    <w:rsid w:val="002440BF"/>
    <w:rsid w:val="00260493"/>
    <w:rsid w:val="00263862"/>
    <w:rsid w:val="002651B3"/>
    <w:rsid w:val="002677ED"/>
    <w:rsid w:val="0027482E"/>
    <w:rsid w:val="00274D26"/>
    <w:rsid w:val="00283F21"/>
    <w:rsid w:val="002933B2"/>
    <w:rsid w:val="00297D62"/>
    <w:rsid w:val="002A0271"/>
    <w:rsid w:val="002A5880"/>
    <w:rsid w:val="002B3D27"/>
    <w:rsid w:val="002C1309"/>
    <w:rsid w:val="002C2912"/>
    <w:rsid w:val="002C6499"/>
    <w:rsid w:val="002D1AE5"/>
    <w:rsid w:val="002F0910"/>
    <w:rsid w:val="002F1BED"/>
    <w:rsid w:val="002F49DE"/>
    <w:rsid w:val="002F574E"/>
    <w:rsid w:val="00300319"/>
    <w:rsid w:val="0030571B"/>
    <w:rsid w:val="00310423"/>
    <w:rsid w:val="00315EFD"/>
    <w:rsid w:val="00322080"/>
    <w:rsid w:val="00323A2B"/>
    <w:rsid w:val="00330315"/>
    <w:rsid w:val="00332706"/>
    <w:rsid w:val="00337387"/>
    <w:rsid w:val="00342CCE"/>
    <w:rsid w:val="00344B1F"/>
    <w:rsid w:val="00352EFB"/>
    <w:rsid w:val="003561C3"/>
    <w:rsid w:val="00363870"/>
    <w:rsid w:val="003655B9"/>
    <w:rsid w:val="00372B05"/>
    <w:rsid w:val="00384B49"/>
    <w:rsid w:val="00391278"/>
    <w:rsid w:val="00396CA9"/>
    <w:rsid w:val="003A3D42"/>
    <w:rsid w:val="003A7CB0"/>
    <w:rsid w:val="003B0CE2"/>
    <w:rsid w:val="003B65ED"/>
    <w:rsid w:val="003C02CF"/>
    <w:rsid w:val="003C053D"/>
    <w:rsid w:val="003C3C67"/>
    <w:rsid w:val="003C4A4C"/>
    <w:rsid w:val="003C6B33"/>
    <w:rsid w:val="003D7E47"/>
    <w:rsid w:val="003E041B"/>
    <w:rsid w:val="003E60CC"/>
    <w:rsid w:val="003F13F4"/>
    <w:rsid w:val="003F389B"/>
    <w:rsid w:val="003F3EE8"/>
    <w:rsid w:val="004008EB"/>
    <w:rsid w:val="00407495"/>
    <w:rsid w:val="00420040"/>
    <w:rsid w:val="00422352"/>
    <w:rsid w:val="00425307"/>
    <w:rsid w:val="00426D30"/>
    <w:rsid w:val="0043271C"/>
    <w:rsid w:val="00461B71"/>
    <w:rsid w:val="004638B7"/>
    <w:rsid w:val="00463EDD"/>
    <w:rsid w:val="00464E4E"/>
    <w:rsid w:val="004670B3"/>
    <w:rsid w:val="00476FA0"/>
    <w:rsid w:val="00480428"/>
    <w:rsid w:val="00483E47"/>
    <w:rsid w:val="004907D9"/>
    <w:rsid w:val="00490EE6"/>
    <w:rsid w:val="004A1F7F"/>
    <w:rsid w:val="004A2EF7"/>
    <w:rsid w:val="004A6DB7"/>
    <w:rsid w:val="004C2533"/>
    <w:rsid w:val="004C73AA"/>
    <w:rsid w:val="004D0656"/>
    <w:rsid w:val="004D5A05"/>
    <w:rsid w:val="004E50F2"/>
    <w:rsid w:val="004E6208"/>
    <w:rsid w:val="004E7CD2"/>
    <w:rsid w:val="004F1C0E"/>
    <w:rsid w:val="004F3CD2"/>
    <w:rsid w:val="0050175B"/>
    <w:rsid w:val="0050713B"/>
    <w:rsid w:val="00507F5F"/>
    <w:rsid w:val="00513543"/>
    <w:rsid w:val="005150CE"/>
    <w:rsid w:val="0052081D"/>
    <w:rsid w:val="005337D7"/>
    <w:rsid w:val="00537CD5"/>
    <w:rsid w:val="00542596"/>
    <w:rsid w:val="005433BA"/>
    <w:rsid w:val="00546ED5"/>
    <w:rsid w:val="005529B1"/>
    <w:rsid w:val="00553CC4"/>
    <w:rsid w:val="0057081F"/>
    <w:rsid w:val="00573681"/>
    <w:rsid w:val="00574195"/>
    <w:rsid w:val="00577D5B"/>
    <w:rsid w:val="00593FDB"/>
    <w:rsid w:val="0059531D"/>
    <w:rsid w:val="00595704"/>
    <w:rsid w:val="005A1AC5"/>
    <w:rsid w:val="005C2154"/>
    <w:rsid w:val="005C3FE9"/>
    <w:rsid w:val="005D2AF3"/>
    <w:rsid w:val="005E4DB9"/>
    <w:rsid w:val="005E582E"/>
    <w:rsid w:val="005F33AC"/>
    <w:rsid w:val="00606F37"/>
    <w:rsid w:val="006071F7"/>
    <w:rsid w:val="0061660C"/>
    <w:rsid w:val="00621922"/>
    <w:rsid w:val="006313B1"/>
    <w:rsid w:val="00632D95"/>
    <w:rsid w:val="00634072"/>
    <w:rsid w:val="0064426A"/>
    <w:rsid w:val="006504CA"/>
    <w:rsid w:val="00657B74"/>
    <w:rsid w:val="006611D6"/>
    <w:rsid w:val="00663742"/>
    <w:rsid w:val="00667BB3"/>
    <w:rsid w:val="0067063A"/>
    <w:rsid w:val="0067755A"/>
    <w:rsid w:val="006825DF"/>
    <w:rsid w:val="006838CA"/>
    <w:rsid w:val="006840B0"/>
    <w:rsid w:val="00684E53"/>
    <w:rsid w:val="0069256D"/>
    <w:rsid w:val="006951F3"/>
    <w:rsid w:val="006A2EE9"/>
    <w:rsid w:val="006A3E19"/>
    <w:rsid w:val="006A5E50"/>
    <w:rsid w:val="006A6E4F"/>
    <w:rsid w:val="006B1AA4"/>
    <w:rsid w:val="006B1AE0"/>
    <w:rsid w:val="006B1B6B"/>
    <w:rsid w:val="006B34D6"/>
    <w:rsid w:val="006C024B"/>
    <w:rsid w:val="006C4F93"/>
    <w:rsid w:val="006C6963"/>
    <w:rsid w:val="006D71B1"/>
    <w:rsid w:val="006D7EBD"/>
    <w:rsid w:val="006E05AA"/>
    <w:rsid w:val="006E0E75"/>
    <w:rsid w:val="006E2D5C"/>
    <w:rsid w:val="006E673E"/>
    <w:rsid w:val="006F01CF"/>
    <w:rsid w:val="006F2A6B"/>
    <w:rsid w:val="006F5406"/>
    <w:rsid w:val="006F5655"/>
    <w:rsid w:val="0070148A"/>
    <w:rsid w:val="00713F53"/>
    <w:rsid w:val="0071455F"/>
    <w:rsid w:val="007172CF"/>
    <w:rsid w:val="00720B94"/>
    <w:rsid w:val="007325EB"/>
    <w:rsid w:val="00733E2B"/>
    <w:rsid w:val="00736733"/>
    <w:rsid w:val="00755012"/>
    <w:rsid w:val="007571D0"/>
    <w:rsid w:val="00762707"/>
    <w:rsid w:val="00780B59"/>
    <w:rsid w:val="00782165"/>
    <w:rsid w:val="00782C13"/>
    <w:rsid w:val="0078651E"/>
    <w:rsid w:val="00790346"/>
    <w:rsid w:val="00796250"/>
    <w:rsid w:val="007975C2"/>
    <w:rsid w:val="007B3D68"/>
    <w:rsid w:val="007D597B"/>
    <w:rsid w:val="007D62D9"/>
    <w:rsid w:val="007D7A94"/>
    <w:rsid w:val="007E112A"/>
    <w:rsid w:val="007F63F8"/>
    <w:rsid w:val="00803259"/>
    <w:rsid w:val="008039AD"/>
    <w:rsid w:val="0080417D"/>
    <w:rsid w:val="0081286D"/>
    <w:rsid w:val="00813D2B"/>
    <w:rsid w:val="00822922"/>
    <w:rsid w:val="00827247"/>
    <w:rsid w:val="008304B2"/>
    <w:rsid w:val="008500B5"/>
    <w:rsid w:val="00852419"/>
    <w:rsid w:val="0086693A"/>
    <w:rsid w:val="00870D08"/>
    <w:rsid w:val="00874C83"/>
    <w:rsid w:val="00876680"/>
    <w:rsid w:val="00880824"/>
    <w:rsid w:val="0089592C"/>
    <w:rsid w:val="008A2369"/>
    <w:rsid w:val="008A4E91"/>
    <w:rsid w:val="008A5510"/>
    <w:rsid w:val="008A5CCE"/>
    <w:rsid w:val="008C3832"/>
    <w:rsid w:val="008C76D2"/>
    <w:rsid w:val="008D1F68"/>
    <w:rsid w:val="008D7B24"/>
    <w:rsid w:val="008E31B1"/>
    <w:rsid w:val="008F2800"/>
    <w:rsid w:val="00906BF5"/>
    <w:rsid w:val="00910C81"/>
    <w:rsid w:val="00910F57"/>
    <w:rsid w:val="00914CFB"/>
    <w:rsid w:val="0092391A"/>
    <w:rsid w:val="00932242"/>
    <w:rsid w:val="00932EB6"/>
    <w:rsid w:val="009375C3"/>
    <w:rsid w:val="00937B34"/>
    <w:rsid w:val="00945FEB"/>
    <w:rsid w:val="00947491"/>
    <w:rsid w:val="00960ACC"/>
    <w:rsid w:val="00962FB7"/>
    <w:rsid w:val="009630DE"/>
    <w:rsid w:val="00963E23"/>
    <w:rsid w:val="00964B2F"/>
    <w:rsid w:val="009710A0"/>
    <w:rsid w:val="0097282F"/>
    <w:rsid w:val="009864D7"/>
    <w:rsid w:val="00994ADE"/>
    <w:rsid w:val="009A1201"/>
    <w:rsid w:val="009A2F5D"/>
    <w:rsid w:val="009A4A64"/>
    <w:rsid w:val="009A742B"/>
    <w:rsid w:val="009B2474"/>
    <w:rsid w:val="009B4DFC"/>
    <w:rsid w:val="009B5390"/>
    <w:rsid w:val="009C14A3"/>
    <w:rsid w:val="009D56DC"/>
    <w:rsid w:val="009D732D"/>
    <w:rsid w:val="009E0CF1"/>
    <w:rsid w:val="009E0F3F"/>
    <w:rsid w:val="009E1938"/>
    <w:rsid w:val="009E2BB7"/>
    <w:rsid w:val="009E317B"/>
    <w:rsid w:val="009E5239"/>
    <w:rsid w:val="009F4D95"/>
    <w:rsid w:val="009F73EF"/>
    <w:rsid w:val="00A20C3A"/>
    <w:rsid w:val="00A22C2D"/>
    <w:rsid w:val="00A23078"/>
    <w:rsid w:val="00A23AB8"/>
    <w:rsid w:val="00A249E3"/>
    <w:rsid w:val="00A25BB3"/>
    <w:rsid w:val="00A27760"/>
    <w:rsid w:val="00A32E4A"/>
    <w:rsid w:val="00A32ECA"/>
    <w:rsid w:val="00A37310"/>
    <w:rsid w:val="00A45329"/>
    <w:rsid w:val="00A511BF"/>
    <w:rsid w:val="00A528DF"/>
    <w:rsid w:val="00A653CC"/>
    <w:rsid w:val="00A6566D"/>
    <w:rsid w:val="00A67939"/>
    <w:rsid w:val="00A74F9E"/>
    <w:rsid w:val="00A75997"/>
    <w:rsid w:val="00A770ED"/>
    <w:rsid w:val="00A82B75"/>
    <w:rsid w:val="00A8389C"/>
    <w:rsid w:val="00A8476A"/>
    <w:rsid w:val="00A9267E"/>
    <w:rsid w:val="00AA068A"/>
    <w:rsid w:val="00AA21C5"/>
    <w:rsid w:val="00AA628C"/>
    <w:rsid w:val="00AC3076"/>
    <w:rsid w:val="00AC30A9"/>
    <w:rsid w:val="00AC41EC"/>
    <w:rsid w:val="00AC6A0F"/>
    <w:rsid w:val="00AE1AA5"/>
    <w:rsid w:val="00AE3B27"/>
    <w:rsid w:val="00AE5FD4"/>
    <w:rsid w:val="00AE70E0"/>
    <w:rsid w:val="00AF40CE"/>
    <w:rsid w:val="00B00B45"/>
    <w:rsid w:val="00B103BE"/>
    <w:rsid w:val="00B133CA"/>
    <w:rsid w:val="00B17F2D"/>
    <w:rsid w:val="00B2307C"/>
    <w:rsid w:val="00B351B1"/>
    <w:rsid w:val="00B3687C"/>
    <w:rsid w:val="00B63759"/>
    <w:rsid w:val="00B659B2"/>
    <w:rsid w:val="00B806DC"/>
    <w:rsid w:val="00B8655E"/>
    <w:rsid w:val="00B8695D"/>
    <w:rsid w:val="00B87E2E"/>
    <w:rsid w:val="00B91857"/>
    <w:rsid w:val="00B93876"/>
    <w:rsid w:val="00BA27EC"/>
    <w:rsid w:val="00BA3FB4"/>
    <w:rsid w:val="00BC47C4"/>
    <w:rsid w:val="00BE0673"/>
    <w:rsid w:val="00BE2DB9"/>
    <w:rsid w:val="00BE7B8A"/>
    <w:rsid w:val="00BF0CD8"/>
    <w:rsid w:val="00BF410E"/>
    <w:rsid w:val="00BF5389"/>
    <w:rsid w:val="00BF5E53"/>
    <w:rsid w:val="00C06EED"/>
    <w:rsid w:val="00C10692"/>
    <w:rsid w:val="00C15E22"/>
    <w:rsid w:val="00C16B0D"/>
    <w:rsid w:val="00C24481"/>
    <w:rsid w:val="00C26DED"/>
    <w:rsid w:val="00C3357D"/>
    <w:rsid w:val="00C367E2"/>
    <w:rsid w:val="00C51B53"/>
    <w:rsid w:val="00C602A4"/>
    <w:rsid w:val="00C64844"/>
    <w:rsid w:val="00C90A53"/>
    <w:rsid w:val="00C93FB5"/>
    <w:rsid w:val="00C96C85"/>
    <w:rsid w:val="00C97B6F"/>
    <w:rsid w:val="00CA4338"/>
    <w:rsid w:val="00CB13FC"/>
    <w:rsid w:val="00CD112A"/>
    <w:rsid w:val="00CD2978"/>
    <w:rsid w:val="00CD64A7"/>
    <w:rsid w:val="00CD6D9A"/>
    <w:rsid w:val="00CE2692"/>
    <w:rsid w:val="00CE6C7A"/>
    <w:rsid w:val="00CE724A"/>
    <w:rsid w:val="00CF022C"/>
    <w:rsid w:val="00CF1284"/>
    <w:rsid w:val="00CF7123"/>
    <w:rsid w:val="00D0047B"/>
    <w:rsid w:val="00D045E1"/>
    <w:rsid w:val="00D11419"/>
    <w:rsid w:val="00D1295D"/>
    <w:rsid w:val="00D157AD"/>
    <w:rsid w:val="00D221B1"/>
    <w:rsid w:val="00D24957"/>
    <w:rsid w:val="00D24B03"/>
    <w:rsid w:val="00D25518"/>
    <w:rsid w:val="00D259A5"/>
    <w:rsid w:val="00D3007E"/>
    <w:rsid w:val="00D300B0"/>
    <w:rsid w:val="00D40E7B"/>
    <w:rsid w:val="00D41927"/>
    <w:rsid w:val="00D4290E"/>
    <w:rsid w:val="00D45792"/>
    <w:rsid w:val="00D47483"/>
    <w:rsid w:val="00D658D4"/>
    <w:rsid w:val="00D71AE9"/>
    <w:rsid w:val="00D76A03"/>
    <w:rsid w:val="00D807E2"/>
    <w:rsid w:val="00D8404B"/>
    <w:rsid w:val="00D90759"/>
    <w:rsid w:val="00D91A06"/>
    <w:rsid w:val="00DA231C"/>
    <w:rsid w:val="00DA2FBA"/>
    <w:rsid w:val="00DB0F07"/>
    <w:rsid w:val="00DB7E9C"/>
    <w:rsid w:val="00DC79B7"/>
    <w:rsid w:val="00DD2188"/>
    <w:rsid w:val="00DD2D23"/>
    <w:rsid w:val="00DD3047"/>
    <w:rsid w:val="00DD554F"/>
    <w:rsid w:val="00DE210F"/>
    <w:rsid w:val="00DF026B"/>
    <w:rsid w:val="00DF400D"/>
    <w:rsid w:val="00DF6125"/>
    <w:rsid w:val="00E0068A"/>
    <w:rsid w:val="00E0183D"/>
    <w:rsid w:val="00E026A1"/>
    <w:rsid w:val="00E11C18"/>
    <w:rsid w:val="00E14DBB"/>
    <w:rsid w:val="00E15F79"/>
    <w:rsid w:val="00E35E19"/>
    <w:rsid w:val="00E42CE1"/>
    <w:rsid w:val="00E46E09"/>
    <w:rsid w:val="00E508DF"/>
    <w:rsid w:val="00E543FB"/>
    <w:rsid w:val="00E65B65"/>
    <w:rsid w:val="00E660B0"/>
    <w:rsid w:val="00E74512"/>
    <w:rsid w:val="00E771B4"/>
    <w:rsid w:val="00E774CB"/>
    <w:rsid w:val="00E81140"/>
    <w:rsid w:val="00E820EA"/>
    <w:rsid w:val="00E824E6"/>
    <w:rsid w:val="00EA34EB"/>
    <w:rsid w:val="00EA57F5"/>
    <w:rsid w:val="00EA779E"/>
    <w:rsid w:val="00EB1FDB"/>
    <w:rsid w:val="00EB2BA2"/>
    <w:rsid w:val="00EB3D9B"/>
    <w:rsid w:val="00EC0398"/>
    <w:rsid w:val="00EC7CE1"/>
    <w:rsid w:val="00EE5235"/>
    <w:rsid w:val="00EF13FE"/>
    <w:rsid w:val="00EF2EFC"/>
    <w:rsid w:val="00EF3BA4"/>
    <w:rsid w:val="00EF454D"/>
    <w:rsid w:val="00F06F15"/>
    <w:rsid w:val="00F10DDE"/>
    <w:rsid w:val="00F1102E"/>
    <w:rsid w:val="00F119D0"/>
    <w:rsid w:val="00F13350"/>
    <w:rsid w:val="00F14822"/>
    <w:rsid w:val="00F22FF7"/>
    <w:rsid w:val="00F25438"/>
    <w:rsid w:val="00F302FD"/>
    <w:rsid w:val="00F33483"/>
    <w:rsid w:val="00F36C5E"/>
    <w:rsid w:val="00F410D7"/>
    <w:rsid w:val="00F41769"/>
    <w:rsid w:val="00F44CD7"/>
    <w:rsid w:val="00F4591C"/>
    <w:rsid w:val="00F47CAB"/>
    <w:rsid w:val="00F554CE"/>
    <w:rsid w:val="00F67272"/>
    <w:rsid w:val="00F83E0B"/>
    <w:rsid w:val="00F94C55"/>
    <w:rsid w:val="00F95195"/>
    <w:rsid w:val="00F966B6"/>
    <w:rsid w:val="00FA0575"/>
    <w:rsid w:val="00FA31E1"/>
    <w:rsid w:val="00FA4313"/>
    <w:rsid w:val="00FB2CC8"/>
    <w:rsid w:val="00FB53DB"/>
    <w:rsid w:val="00FC35EA"/>
    <w:rsid w:val="00FC3A3C"/>
    <w:rsid w:val="00FD1217"/>
    <w:rsid w:val="00FD7297"/>
    <w:rsid w:val="00FE19F0"/>
    <w:rsid w:val="00FE2413"/>
    <w:rsid w:val="00FE31F5"/>
    <w:rsid w:val="00FF6230"/>
    <w:rsid w:val="01126191"/>
    <w:rsid w:val="01507D34"/>
    <w:rsid w:val="01801B2A"/>
    <w:rsid w:val="020B2D4B"/>
    <w:rsid w:val="0D7C22F6"/>
    <w:rsid w:val="0D806940"/>
    <w:rsid w:val="0E296C7E"/>
    <w:rsid w:val="0EFA1B5D"/>
    <w:rsid w:val="0F837C54"/>
    <w:rsid w:val="11C80118"/>
    <w:rsid w:val="12A51AA6"/>
    <w:rsid w:val="13A6751D"/>
    <w:rsid w:val="14C9120E"/>
    <w:rsid w:val="14F420FB"/>
    <w:rsid w:val="16266124"/>
    <w:rsid w:val="16441EB3"/>
    <w:rsid w:val="164719BE"/>
    <w:rsid w:val="178D06C6"/>
    <w:rsid w:val="18117269"/>
    <w:rsid w:val="18922AE3"/>
    <w:rsid w:val="1E36133C"/>
    <w:rsid w:val="20FF4636"/>
    <w:rsid w:val="214F2047"/>
    <w:rsid w:val="217262C3"/>
    <w:rsid w:val="22176455"/>
    <w:rsid w:val="2450509E"/>
    <w:rsid w:val="24BF3D11"/>
    <w:rsid w:val="26CA2793"/>
    <w:rsid w:val="26E935DD"/>
    <w:rsid w:val="29D46E34"/>
    <w:rsid w:val="2CA727FC"/>
    <w:rsid w:val="31924A89"/>
    <w:rsid w:val="325D7571"/>
    <w:rsid w:val="32941945"/>
    <w:rsid w:val="336F09A9"/>
    <w:rsid w:val="33782315"/>
    <w:rsid w:val="34ED3571"/>
    <w:rsid w:val="36511D0E"/>
    <w:rsid w:val="3A290274"/>
    <w:rsid w:val="3C6F5636"/>
    <w:rsid w:val="3E617884"/>
    <w:rsid w:val="3F21616F"/>
    <w:rsid w:val="3F8B179B"/>
    <w:rsid w:val="4097064B"/>
    <w:rsid w:val="45486BFC"/>
    <w:rsid w:val="45B94E6D"/>
    <w:rsid w:val="47C472C7"/>
    <w:rsid w:val="48295336"/>
    <w:rsid w:val="4A353778"/>
    <w:rsid w:val="4AE11F22"/>
    <w:rsid w:val="4B346498"/>
    <w:rsid w:val="4CED0F0B"/>
    <w:rsid w:val="4D261079"/>
    <w:rsid w:val="4DF1237F"/>
    <w:rsid w:val="4EC044DD"/>
    <w:rsid w:val="4FB248BC"/>
    <w:rsid w:val="50AA1436"/>
    <w:rsid w:val="52704F7C"/>
    <w:rsid w:val="5459336F"/>
    <w:rsid w:val="57704544"/>
    <w:rsid w:val="57F87322"/>
    <w:rsid w:val="59FF4D91"/>
    <w:rsid w:val="5A1F0E13"/>
    <w:rsid w:val="5C476E7B"/>
    <w:rsid w:val="5CB72A53"/>
    <w:rsid w:val="5D0626BE"/>
    <w:rsid w:val="5DED1918"/>
    <w:rsid w:val="5E897B43"/>
    <w:rsid w:val="5F057D5A"/>
    <w:rsid w:val="5FFB5833"/>
    <w:rsid w:val="61DF2F38"/>
    <w:rsid w:val="63980872"/>
    <w:rsid w:val="6511297B"/>
    <w:rsid w:val="66C045A6"/>
    <w:rsid w:val="672E6B1E"/>
    <w:rsid w:val="676A4DBB"/>
    <w:rsid w:val="68EC0250"/>
    <w:rsid w:val="6A1856BB"/>
    <w:rsid w:val="6A7725FB"/>
    <w:rsid w:val="6AA30DD3"/>
    <w:rsid w:val="6B365C0E"/>
    <w:rsid w:val="6F19D4BD"/>
    <w:rsid w:val="6F1D56DB"/>
    <w:rsid w:val="71A83691"/>
    <w:rsid w:val="71EC4035"/>
    <w:rsid w:val="739F0ECD"/>
    <w:rsid w:val="73FE8299"/>
    <w:rsid w:val="75243EB9"/>
    <w:rsid w:val="761C0E8C"/>
    <w:rsid w:val="7645259D"/>
    <w:rsid w:val="778E7C31"/>
    <w:rsid w:val="77950902"/>
    <w:rsid w:val="77A068FA"/>
    <w:rsid w:val="78E34426"/>
    <w:rsid w:val="79F718C4"/>
    <w:rsid w:val="7A0F01DE"/>
    <w:rsid w:val="7BEF0556"/>
    <w:rsid w:val="7C4A5D78"/>
    <w:rsid w:val="7FE36169"/>
    <w:rsid w:val="F7190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2"/>
    <w:qFormat/>
    <w:uiPriority w:val="0"/>
    <w:pPr>
      <w:keepNext/>
      <w:keepLines/>
      <w:spacing w:before="120" w:after="120" w:line="360" w:lineRule="auto"/>
      <w:ind w:firstLine="200" w:firstLineChars="200"/>
      <w:outlineLvl w:val="1"/>
    </w:pPr>
    <w:rPr>
      <w:rFonts w:ascii="宋体" w:hAnsi="宋体" w:eastAsia="黑体"/>
      <w:b/>
      <w:bCs/>
      <w:sz w:val="32"/>
    </w:rPr>
  </w:style>
  <w:style w:type="paragraph" w:styleId="5">
    <w:name w:val="heading 3"/>
    <w:basedOn w:val="1"/>
    <w:next w:val="1"/>
    <w:link w:val="29"/>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30"/>
    <w:qFormat/>
    <w:uiPriority w:val="0"/>
    <w:pPr>
      <w:ind w:firstLine="420"/>
    </w:pPr>
    <w:rPr>
      <w:rFonts w:ascii="Times New Roman" w:hAnsi="Times New Roman" w:eastAsia="宋体" w:cs="Times New Roman"/>
      <w:szCs w:val="20"/>
    </w:rPr>
  </w:style>
  <w:style w:type="paragraph" w:styleId="3">
    <w:name w:val="toc 4"/>
    <w:basedOn w:val="1"/>
    <w:next w:val="1"/>
    <w:qFormat/>
    <w:uiPriority w:val="0"/>
    <w:pPr>
      <w:ind w:left="1260" w:leftChars="600"/>
    </w:pPr>
    <w:rPr>
      <w:rFonts w:ascii="Times New Roman" w:hAnsi="Times New Roman"/>
      <w:sz w:val="30"/>
      <w:szCs w:val="20"/>
    </w:rPr>
  </w:style>
  <w:style w:type="paragraph" w:styleId="6">
    <w:name w:val="annotation text"/>
    <w:basedOn w:val="1"/>
    <w:link w:val="26"/>
    <w:semiHidden/>
    <w:unhideWhenUsed/>
    <w:qFormat/>
    <w:uiPriority w:val="99"/>
    <w:pPr>
      <w:jc w:val="left"/>
    </w:pPr>
  </w:style>
  <w:style w:type="paragraph" w:styleId="7">
    <w:name w:val="Body Text"/>
    <w:basedOn w:val="1"/>
    <w:next w:val="8"/>
    <w:link w:val="31"/>
    <w:qFormat/>
    <w:uiPriority w:val="0"/>
    <w:pPr>
      <w:spacing w:line="360" w:lineRule="auto"/>
    </w:pPr>
    <w:rPr>
      <w:rFonts w:ascii="Times New Roman" w:hAnsi="Times New Roman" w:eastAsia="宋体" w:cs="Times New Roman"/>
      <w:b/>
      <w:bCs/>
      <w:sz w:val="24"/>
      <w:szCs w:val="24"/>
    </w:rPr>
  </w:style>
  <w:style w:type="paragraph" w:styleId="8">
    <w:name w:val="Title"/>
    <w:basedOn w:val="1"/>
    <w:next w:val="1"/>
    <w:link w:val="32"/>
    <w:qFormat/>
    <w:uiPriority w:val="10"/>
    <w:pPr>
      <w:spacing w:before="240" w:after="60"/>
      <w:jc w:val="center"/>
      <w:outlineLvl w:val="0"/>
    </w:pPr>
    <w:rPr>
      <w:rFonts w:eastAsia="宋体" w:asciiTheme="majorHAnsi" w:hAnsiTheme="majorHAnsi" w:cstheme="majorBidi"/>
      <w:b/>
      <w:bCs/>
      <w:sz w:val="32"/>
      <w:szCs w:val="32"/>
    </w:rPr>
  </w:style>
  <w:style w:type="paragraph" w:styleId="9">
    <w:name w:val="Plain Text"/>
    <w:basedOn w:val="1"/>
    <w:next w:val="1"/>
    <w:qFormat/>
    <w:uiPriority w:val="0"/>
    <w:rPr>
      <w:rFonts w:ascii="宋体" w:hAnsi="Calibri" w:cs="Courier New"/>
      <w:szCs w:val="21"/>
    </w:rPr>
  </w:style>
  <w:style w:type="paragraph" w:styleId="10">
    <w:name w:val="Balloon Text"/>
    <w:basedOn w:val="1"/>
    <w:link w:val="25"/>
    <w:semiHidden/>
    <w:unhideWhenUsed/>
    <w:qFormat/>
    <w:uiPriority w:val="99"/>
    <w:rPr>
      <w:sz w:val="18"/>
      <w:szCs w:val="18"/>
    </w:rPr>
  </w:style>
  <w:style w:type="paragraph" w:styleId="11">
    <w:name w:val="footer"/>
    <w:basedOn w:val="1"/>
    <w:link w:val="23"/>
    <w:unhideWhenUsed/>
    <w:qFormat/>
    <w:uiPriority w:val="0"/>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27"/>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Emphasis"/>
    <w:basedOn w:val="17"/>
    <w:qFormat/>
    <w:uiPriority w:val="20"/>
    <w:rPr>
      <w:i/>
      <w:iCs/>
    </w:rPr>
  </w:style>
  <w:style w:type="character" w:styleId="20">
    <w:name w:val="Hyperlink"/>
    <w:basedOn w:val="17"/>
    <w:semiHidden/>
    <w:unhideWhenUsed/>
    <w:qFormat/>
    <w:uiPriority w:val="99"/>
    <w:rPr>
      <w:color w:val="0000FF" w:themeColor="hyperlink"/>
      <w:u w:val="single"/>
      <w14:textFill>
        <w14:solidFill>
          <w14:schemeClr w14:val="hlink"/>
        </w14:solidFill>
      </w14:textFill>
    </w:rPr>
  </w:style>
  <w:style w:type="character" w:styleId="21">
    <w:name w:val="annotation reference"/>
    <w:basedOn w:val="17"/>
    <w:semiHidden/>
    <w:unhideWhenUsed/>
    <w:qFormat/>
    <w:uiPriority w:val="99"/>
    <w:rPr>
      <w:sz w:val="21"/>
      <w:szCs w:val="21"/>
    </w:rPr>
  </w:style>
  <w:style w:type="character" w:customStyle="1" w:styleId="22">
    <w:name w:val="页眉 Char"/>
    <w:basedOn w:val="17"/>
    <w:link w:val="12"/>
    <w:qFormat/>
    <w:uiPriority w:val="99"/>
    <w:rPr>
      <w:sz w:val="18"/>
      <w:szCs w:val="18"/>
    </w:rPr>
  </w:style>
  <w:style w:type="character" w:customStyle="1" w:styleId="23">
    <w:name w:val="页脚 Char"/>
    <w:basedOn w:val="17"/>
    <w:link w:val="11"/>
    <w:qFormat/>
    <w:uiPriority w:val="0"/>
    <w:rPr>
      <w:sz w:val="18"/>
      <w:szCs w:val="18"/>
    </w:rPr>
  </w:style>
  <w:style w:type="paragraph" w:styleId="24">
    <w:name w:val="List Paragraph"/>
    <w:basedOn w:val="1"/>
    <w:qFormat/>
    <w:uiPriority w:val="34"/>
    <w:pPr>
      <w:ind w:firstLine="420" w:firstLineChars="200"/>
    </w:pPr>
  </w:style>
  <w:style w:type="character" w:customStyle="1" w:styleId="25">
    <w:name w:val="批注框文本 Char"/>
    <w:basedOn w:val="17"/>
    <w:link w:val="10"/>
    <w:semiHidden/>
    <w:qFormat/>
    <w:uiPriority w:val="99"/>
    <w:rPr>
      <w:sz w:val="18"/>
      <w:szCs w:val="18"/>
    </w:rPr>
  </w:style>
  <w:style w:type="character" w:customStyle="1" w:styleId="26">
    <w:name w:val="批注文字 Char"/>
    <w:basedOn w:val="17"/>
    <w:link w:val="6"/>
    <w:semiHidden/>
    <w:qFormat/>
    <w:uiPriority w:val="99"/>
  </w:style>
  <w:style w:type="character" w:customStyle="1" w:styleId="27">
    <w:name w:val="批注主题 Char"/>
    <w:basedOn w:val="26"/>
    <w:link w:val="14"/>
    <w:semiHidden/>
    <w:qFormat/>
    <w:uiPriority w:val="99"/>
    <w:rPr>
      <w:b/>
      <w:bCs/>
    </w:rPr>
  </w:style>
  <w:style w:type="paragraph" w:styleId="2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9">
    <w:name w:val="标题 3 Char"/>
    <w:basedOn w:val="17"/>
    <w:link w:val="5"/>
    <w:qFormat/>
    <w:uiPriority w:val="0"/>
    <w:rPr>
      <w:rFonts w:ascii="Times New Roman" w:hAnsi="Times New Roman" w:eastAsia="宋体" w:cs="Times New Roman"/>
      <w:b/>
      <w:bCs/>
      <w:sz w:val="32"/>
      <w:szCs w:val="32"/>
    </w:rPr>
  </w:style>
  <w:style w:type="character" w:customStyle="1" w:styleId="30">
    <w:name w:val="正文缩进 Char"/>
    <w:link w:val="2"/>
    <w:qFormat/>
    <w:uiPriority w:val="0"/>
    <w:rPr>
      <w:rFonts w:ascii="Times New Roman" w:hAnsi="Times New Roman" w:eastAsia="宋体" w:cs="Times New Roman"/>
      <w:szCs w:val="20"/>
    </w:rPr>
  </w:style>
  <w:style w:type="character" w:customStyle="1" w:styleId="31">
    <w:name w:val="正文文本 Char"/>
    <w:basedOn w:val="17"/>
    <w:link w:val="7"/>
    <w:qFormat/>
    <w:uiPriority w:val="0"/>
    <w:rPr>
      <w:rFonts w:ascii="Times New Roman" w:hAnsi="Times New Roman" w:eastAsia="宋体" w:cs="Times New Roman"/>
      <w:b/>
      <w:bCs/>
      <w:sz w:val="24"/>
      <w:szCs w:val="24"/>
    </w:rPr>
  </w:style>
  <w:style w:type="character" w:customStyle="1" w:styleId="32">
    <w:name w:val="标题 Char"/>
    <w:basedOn w:val="17"/>
    <w:link w:val="8"/>
    <w:qFormat/>
    <w:uiPriority w:val="10"/>
    <w:rPr>
      <w:rFonts w:eastAsia="宋体" w:asciiTheme="majorHAnsi" w:hAnsiTheme="majorHAnsi" w:cstheme="majorBidi"/>
      <w:b/>
      <w:bCs/>
      <w:sz w:val="32"/>
      <w:szCs w:val="32"/>
    </w:rPr>
  </w:style>
  <w:style w:type="paragraph" w:customStyle="1" w:styleId="33">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4">
    <w:name w:val="PlainText"/>
    <w:qFormat/>
    <w:uiPriority w:val="0"/>
    <w:pPr>
      <w:widowControl w:val="0"/>
      <w:spacing w:line="560" w:lineRule="exact"/>
      <w:ind w:firstLine="880" w:firstLineChars="200"/>
      <w:jc w:val="both"/>
      <w:textAlignment w:val="baseline"/>
    </w:pPr>
    <w:rPr>
      <w:rFonts w:ascii="宋体" w:hAnsi="Calibri" w:eastAsia="仿宋_GB2312" w:cstheme="minorBidi"/>
      <w:kern w:val="2"/>
      <w:sz w:val="32"/>
      <w:szCs w:val="21"/>
      <w:lang w:val="en-US" w:eastAsia="zh-CN" w:bidi="ar-SA"/>
    </w:rPr>
  </w:style>
  <w:style w:type="character" w:customStyle="1" w:styleId="35">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503</Words>
  <Characters>2871</Characters>
  <Lines>23</Lines>
  <Paragraphs>6</Paragraphs>
  <TotalTime>16</TotalTime>
  <ScaleCrop>false</ScaleCrop>
  <LinksUpToDate>false</LinksUpToDate>
  <CharactersWithSpaces>3368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2022-04-20T18:55:00Z</dcterms:created>
  <dc:creator>OPT3050</dc:creator>
  <cp:lastModifiedBy>admin</cp:lastModifiedBy>
  <cp:lastPrinted>2025-07-16T09:37:00Z</cp:lastPrinted>
  <dcterms:modified xsi:type="dcterms:W3CDTF">2025-07-17T06:10:33Z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D566F266BF65445AAB81BE11A8B8AD21</vt:lpwstr>
  </property>
</Properties>
</file>