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default"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eastAsia="zh-CN"/>
        </w:rPr>
        <w:t>附件</w:t>
      </w:r>
      <w:r>
        <w:rPr>
          <w:rFonts w:hint="eastAsia" w:ascii="黑体" w:hAnsi="黑体" w:eastAsia="黑体" w:cs="黑体"/>
          <w:snapToGrid/>
          <w:color w:val="auto"/>
          <w:kern w:val="2"/>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napToGrid/>
          <w:color w:val="auto"/>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深圳市龙岗区国资国企系统2025年</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中层岗位公开选聘岗位详情</w:t>
      </w:r>
    </w:p>
    <w:p>
      <w:pPr>
        <w:spacing w:line="560" w:lineRule="atLeast"/>
        <w:rPr>
          <w:rFonts w:ascii="Arial"/>
          <w:sz w:val="21"/>
        </w:rPr>
      </w:pPr>
    </w:p>
    <w:p>
      <w:pPr>
        <w:widowControl w:val="0"/>
        <w:kinsoku/>
        <w:autoSpaceDE/>
        <w:autoSpaceDN/>
        <w:adjustRightInd/>
        <w:snapToGrid/>
        <w:spacing w:line="560" w:lineRule="atLeast"/>
        <w:ind w:firstLine="640" w:firstLineChars="200"/>
        <w:jc w:val="both"/>
        <w:textAlignment w:val="auto"/>
        <w:rPr>
          <w:rFonts w:hint="default" w:ascii="黑体" w:hAnsi="Calibri" w:eastAsia="黑体" w:cs="Times New Roman"/>
          <w:snapToGrid/>
          <w:kern w:val="2"/>
          <w:sz w:val="32"/>
          <w:szCs w:val="32"/>
          <w:lang w:val="en-US" w:eastAsia="zh-CN"/>
        </w:rPr>
      </w:pPr>
      <w:r>
        <w:rPr>
          <w:rFonts w:hint="default" w:ascii="黑体" w:hAnsi="Calibri" w:eastAsia="黑体" w:cs="Times New Roman"/>
          <w:snapToGrid/>
          <w:kern w:val="2"/>
          <w:sz w:val="32"/>
          <w:szCs w:val="32"/>
          <w:lang w:val="en-US" w:eastAsia="zh-CN"/>
        </w:rPr>
        <w:t>一、公司简介</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napToGrid/>
          <w:kern w:val="2"/>
          <w:sz w:val="32"/>
          <w:szCs w:val="32"/>
          <w:lang w:val="en-US" w:eastAsia="zh-CN"/>
        </w:rPr>
        <w:t>深圳市龙岗创新场景科技应用有限公司是深圳市龙岗区融媒文化传播发展集团有限公司的辖属二级公司，公司</w:t>
      </w:r>
      <w:r>
        <w:rPr>
          <w:rFonts w:hint="eastAsia" w:ascii="仿宋_GB2312" w:hAnsi="仿宋_GB2312" w:eastAsia="仿宋_GB2312" w:cs="仿宋_GB2312"/>
          <w:sz w:val="32"/>
          <w:szCs w:val="32"/>
          <w:lang w:val="en-US" w:eastAsia="zh-CN"/>
        </w:rPr>
        <w:t>以“构建广东省场景创新中心示范点、打造深圳市</w:t>
      </w:r>
      <w:r>
        <w:rPr>
          <w:rFonts w:hint="eastAsia" w:ascii="仿宋_GB2312" w:hAnsi="仿宋_GB2312" w:eastAsia="仿宋_GB2312" w:cs="仿宋_GB2312"/>
          <w:sz w:val="32"/>
          <w:szCs w:val="32"/>
        </w:rPr>
        <w:t>龙岗区</w:t>
      </w:r>
      <w:r>
        <w:rPr>
          <w:rFonts w:hint="eastAsia" w:ascii="仿宋_GB2312" w:hAnsi="仿宋_GB2312" w:eastAsia="仿宋_GB2312" w:cs="仿宋_GB2312"/>
          <w:sz w:val="32"/>
          <w:szCs w:val="32"/>
          <w:lang w:val="en-US" w:eastAsia="zh-CN"/>
        </w:rPr>
        <w:t>场景</w:t>
      </w:r>
      <w:r>
        <w:rPr>
          <w:rFonts w:hint="eastAsia" w:ascii="仿宋_GB2312" w:hAnsi="仿宋_GB2312" w:eastAsia="仿宋_GB2312" w:cs="仿宋_GB2312"/>
          <w:sz w:val="32"/>
          <w:szCs w:val="32"/>
        </w:rPr>
        <w:t>创新生态专业运营商</w:t>
      </w:r>
      <w:r>
        <w:rPr>
          <w:rFonts w:hint="eastAsia" w:ascii="仿宋_GB2312" w:hAnsi="仿宋_GB2312" w:eastAsia="仿宋_GB2312" w:cs="仿宋_GB2312"/>
          <w:sz w:val="32"/>
          <w:szCs w:val="32"/>
          <w:lang w:val="en-US" w:eastAsia="zh-CN"/>
        </w:rPr>
        <w:t>”为战略定位</w:t>
      </w:r>
      <w:r>
        <w:rPr>
          <w:rFonts w:hint="eastAsia" w:ascii="仿宋_GB2312" w:hAnsi="仿宋_GB2312" w:eastAsia="仿宋_GB2312" w:cs="仿宋_GB2312"/>
          <w:sz w:val="32"/>
          <w:szCs w:val="32"/>
        </w:rPr>
        <w:t>，通过构建“场景创新+技术转化+场景基金+项目培育+产品应用”的全场景全链条生态服务体系，实现场景创新的全领域、全区域、全流程覆盖。</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color w:val="auto"/>
          <w:kern w:val="2"/>
          <w:sz w:val="32"/>
          <w:szCs w:val="32"/>
          <w:highlight w:val="yellow"/>
          <w:lang w:val="en-US" w:eastAsia="zh-CN"/>
        </w:rPr>
      </w:pPr>
      <w:r>
        <w:rPr>
          <w:rFonts w:hint="eastAsia" w:ascii="仿宋_GB2312" w:hAnsi="仿宋_GB2312" w:eastAsia="仿宋_GB2312" w:cs="仿宋_GB2312"/>
          <w:snapToGrid/>
          <w:color w:val="auto"/>
          <w:kern w:val="2"/>
          <w:sz w:val="32"/>
          <w:szCs w:val="32"/>
          <w:highlight w:val="none"/>
          <w:lang w:val="en-US" w:eastAsia="zh-CN"/>
        </w:rPr>
        <w:t>深圳市龙岗区融媒集团是由原龙岗区新闻中心（深圳侨报）、广电中心整合组建而成，2021年4月23日正式揭牌运作，是全国少有的纯国企模式县区级融媒体。集团党委领导行政、采编、经营、技术四大板块共12个一级部门、6个二级部门，辖属二级子公司5家、分公司2家，参股企业1家，现有员工324人，并集报刊、广播、电视、新媒体、户外媒体“多位一体”融媒矩阵共26个平台，全平台粉丝量超1000万。</w:t>
      </w:r>
    </w:p>
    <w:p>
      <w:pPr>
        <w:widowControl w:val="0"/>
        <w:kinsoku/>
        <w:autoSpaceDE/>
        <w:autoSpaceDN/>
        <w:adjustRightInd/>
        <w:snapToGrid/>
        <w:spacing w:line="560" w:lineRule="atLeast"/>
        <w:ind w:firstLine="640" w:firstLineChars="200"/>
        <w:jc w:val="both"/>
        <w:textAlignment w:val="auto"/>
        <w:rPr>
          <w:rFonts w:hint="default" w:ascii="黑体" w:hAnsi="Calibri" w:eastAsia="黑体" w:cs="Times New Roman"/>
          <w:snapToGrid/>
          <w:kern w:val="2"/>
          <w:sz w:val="32"/>
          <w:szCs w:val="32"/>
          <w:lang w:val="en-US" w:eastAsia="zh-CN"/>
        </w:rPr>
      </w:pPr>
      <w:r>
        <w:rPr>
          <w:rFonts w:hint="default" w:ascii="黑体" w:hAnsi="Calibri" w:eastAsia="黑体" w:cs="Times New Roman"/>
          <w:snapToGrid/>
          <w:kern w:val="2"/>
          <w:sz w:val="32"/>
          <w:szCs w:val="32"/>
          <w:lang w:val="en-US" w:eastAsia="zh-CN"/>
        </w:rPr>
        <w:t>二、选聘岗位</w:t>
      </w:r>
    </w:p>
    <w:p>
      <w:pPr>
        <w:widowControl w:val="0"/>
        <w:numPr>
          <w:ilvl w:val="0"/>
          <w:numId w:val="0"/>
        </w:numPr>
        <w:kinsoku/>
        <w:autoSpaceDE/>
        <w:autoSpaceDN/>
        <w:adjustRightInd/>
        <w:snapToGrid/>
        <w:spacing w:line="560" w:lineRule="atLeas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深圳市龙岗创新场景科技应用有限公司</w:t>
      </w:r>
      <w:r>
        <w:rPr>
          <w:rFonts w:hint="default" w:ascii="仿宋_GB2312" w:hAnsi="仿宋_GB2312" w:eastAsia="仿宋_GB2312" w:cs="仿宋_GB2312"/>
          <w:b/>
          <w:bCs/>
          <w:snapToGrid/>
          <w:kern w:val="2"/>
          <w:sz w:val="32"/>
          <w:szCs w:val="32"/>
          <w:lang w:val="en-US" w:eastAsia="zh-CN"/>
        </w:rPr>
        <w:t xml:space="preserve"> </w:t>
      </w:r>
      <w:r>
        <w:rPr>
          <w:rFonts w:hint="eastAsia" w:ascii="仿宋_GB2312" w:hAnsi="仿宋_GB2312" w:eastAsia="仿宋_GB2312" w:cs="仿宋_GB2312"/>
          <w:b/>
          <w:bCs/>
          <w:kern w:val="2"/>
          <w:sz w:val="32"/>
          <w:szCs w:val="32"/>
        </w:rPr>
        <w:t>董事（兼总经理）</w:t>
      </w:r>
      <w:r>
        <w:rPr>
          <w:rFonts w:hint="eastAsia" w:ascii="仿宋_GB2312" w:hAnsi="仿宋_GB2312" w:eastAsia="仿宋_GB2312" w:cs="仿宋_GB2312"/>
          <w:b/>
          <w:bCs/>
          <w:snapToGrid/>
          <w:kern w:val="2"/>
          <w:sz w:val="32"/>
          <w:szCs w:val="32"/>
          <w:lang w:val="en-US" w:eastAsia="zh-CN"/>
        </w:rPr>
        <w:t>（1名）</w:t>
      </w:r>
    </w:p>
    <w:p>
      <w:pPr>
        <w:widowControl w:val="0"/>
        <w:kinsoku/>
        <w:autoSpaceDE/>
        <w:autoSpaceDN/>
        <w:adjustRightInd/>
        <w:snapToGrid/>
        <w:spacing w:line="560" w:lineRule="atLeast"/>
        <w:ind w:firstLine="640" w:firstLineChars="200"/>
        <w:jc w:val="both"/>
        <w:textAlignment w:val="auto"/>
        <w:rPr>
          <w:rFonts w:hint="eastAsia" w:ascii="楷体_GB2312" w:hAnsi="黑体" w:eastAsia="楷体_GB2312" w:cs="Times New Roman"/>
          <w:snapToGrid/>
          <w:kern w:val="2"/>
          <w:sz w:val="32"/>
          <w:szCs w:val="32"/>
          <w:lang w:eastAsia="zh-CN"/>
        </w:rPr>
      </w:pPr>
      <w:r>
        <w:rPr>
          <w:rFonts w:hint="eastAsia" w:ascii="楷体_GB2312" w:hAnsi="黑体" w:eastAsia="楷体_GB2312" w:cs="Times New Roman"/>
          <w:snapToGrid/>
          <w:kern w:val="2"/>
          <w:sz w:val="32"/>
          <w:szCs w:val="32"/>
          <w:lang w:eastAsia="zh-CN"/>
        </w:rPr>
        <w:t>（一）岗位职责</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i w:val="0"/>
          <w:iCs w:val="0"/>
          <w:caps w:val="0"/>
          <w:color w:val="1D1D1D"/>
          <w:spacing w:val="0"/>
          <w:sz w:val="32"/>
          <w:szCs w:val="32"/>
          <w:shd w:val="clear" w:fill="FFFFFF"/>
          <w:lang w:val="en-US" w:eastAsia="zh-CN"/>
        </w:rPr>
      </w:pPr>
      <w:r>
        <w:rPr>
          <w:rFonts w:hint="eastAsia" w:ascii="仿宋_GB2312" w:hAnsi="仿宋_GB2312" w:eastAsia="仿宋_GB2312" w:cs="仿宋_GB2312"/>
          <w:i w:val="0"/>
          <w:iCs w:val="0"/>
          <w:caps w:val="0"/>
          <w:color w:val="1D1D1D"/>
          <w:spacing w:val="0"/>
          <w:sz w:val="32"/>
          <w:szCs w:val="32"/>
          <w:shd w:val="clear" w:fill="FFFFFF"/>
          <w:lang w:val="en-US" w:eastAsia="zh-CN"/>
        </w:rPr>
        <w:t>1.制定清晰、前瞻性的公司短、中、长期发展战略、业务规划和经营目标，聚焦于利用科技解决场景痛点或创造新价值；</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i w:val="0"/>
          <w:iCs w:val="0"/>
          <w:caps w:val="0"/>
          <w:color w:val="1D1D1D"/>
          <w:spacing w:val="0"/>
          <w:sz w:val="32"/>
          <w:szCs w:val="32"/>
          <w:shd w:val="clear" w:fill="FFFFFF"/>
          <w:lang w:eastAsia="zh-CN"/>
        </w:rPr>
      </w:pPr>
      <w:r>
        <w:rPr>
          <w:rFonts w:hint="eastAsia" w:ascii="仿宋_GB2312" w:hAnsi="仿宋_GB2312" w:eastAsia="仿宋_GB2312" w:cs="仿宋_GB2312"/>
          <w:i w:val="0"/>
          <w:iCs w:val="0"/>
          <w:caps w:val="0"/>
          <w:color w:val="1D1D1D"/>
          <w:spacing w:val="0"/>
          <w:sz w:val="32"/>
          <w:szCs w:val="32"/>
          <w:shd w:val="clear" w:fill="FFFFFF"/>
          <w:lang w:val="en-US" w:eastAsia="zh-CN"/>
        </w:rPr>
        <w:t>2.</w:t>
      </w:r>
      <w:r>
        <w:rPr>
          <w:rFonts w:hint="eastAsia" w:ascii="仿宋_GB2312" w:hAnsi="仿宋_GB2312" w:eastAsia="仿宋_GB2312" w:cs="仿宋_GB2312"/>
          <w:i w:val="0"/>
          <w:iCs w:val="0"/>
          <w:caps w:val="0"/>
          <w:color w:val="1D1D1D"/>
          <w:spacing w:val="0"/>
          <w:sz w:val="32"/>
          <w:szCs w:val="32"/>
          <w:shd w:val="clear" w:fill="FFFFFF"/>
        </w:rPr>
        <w:t>围绕</w:t>
      </w:r>
      <w:r>
        <w:rPr>
          <w:rFonts w:hint="eastAsia" w:ascii="仿宋_GB2312" w:hAnsi="仿宋_GB2312" w:eastAsia="仿宋_GB2312" w:cs="仿宋_GB2312"/>
          <w:i w:val="0"/>
          <w:iCs w:val="0"/>
          <w:caps w:val="0"/>
          <w:color w:val="1D1D1D"/>
          <w:spacing w:val="0"/>
          <w:sz w:val="32"/>
          <w:szCs w:val="32"/>
          <w:shd w:val="clear" w:fill="FFFFFF"/>
          <w:lang w:val="en-US" w:eastAsia="zh-CN"/>
        </w:rPr>
        <w:t>区内科创企业</w:t>
      </w:r>
      <w:r>
        <w:rPr>
          <w:rFonts w:hint="eastAsia" w:ascii="仿宋_GB2312" w:hAnsi="仿宋_GB2312" w:eastAsia="仿宋_GB2312" w:cs="仿宋_GB2312"/>
          <w:i w:val="0"/>
          <w:iCs w:val="0"/>
          <w:caps w:val="0"/>
          <w:color w:val="1D1D1D"/>
          <w:spacing w:val="0"/>
          <w:sz w:val="32"/>
          <w:szCs w:val="32"/>
          <w:shd w:val="clear" w:fill="FFFFFF"/>
        </w:rPr>
        <w:t>生产运营痛点及需求，挖掘发布</w:t>
      </w:r>
      <w:r>
        <w:rPr>
          <w:rFonts w:hint="eastAsia" w:ascii="仿宋_GB2312" w:hAnsi="仿宋_GB2312" w:eastAsia="仿宋_GB2312" w:cs="仿宋_GB2312"/>
          <w:i w:val="0"/>
          <w:iCs w:val="0"/>
          <w:caps w:val="0"/>
          <w:color w:val="1D1D1D"/>
          <w:spacing w:val="0"/>
          <w:sz w:val="32"/>
          <w:szCs w:val="32"/>
          <w:shd w:val="clear" w:fill="FFFFFF"/>
          <w:lang w:val="en-US" w:eastAsia="zh-CN"/>
        </w:rPr>
        <w:t>创新</w:t>
      </w:r>
      <w:r>
        <w:rPr>
          <w:rFonts w:hint="eastAsia" w:ascii="仿宋_GB2312" w:hAnsi="仿宋_GB2312" w:eastAsia="仿宋_GB2312" w:cs="仿宋_GB2312"/>
          <w:i w:val="0"/>
          <w:iCs w:val="0"/>
          <w:caps w:val="0"/>
          <w:color w:val="1D1D1D"/>
          <w:spacing w:val="0"/>
          <w:sz w:val="32"/>
          <w:szCs w:val="32"/>
          <w:shd w:val="clear" w:fill="FFFFFF"/>
        </w:rPr>
        <w:t>场景机会，推进企业与业主单位精准对接，促成</w:t>
      </w:r>
      <w:r>
        <w:rPr>
          <w:rFonts w:hint="eastAsia" w:ascii="仿宋_GB2312" w:hAnsi="仿宋_GB2312" w:eastAsia="仿宋_GB2312" w:cs="仿宋_GB2312"/>
          <w:i w:val="0"/>
          <w:iCs w:val="0"/>
          <w:caps w:val="0"/>
          <w:color w:val="1D1D1D"/>
          <w:spacing w:val="0"/>
          <w:sz w:val="32"/>
          <w:szCs w:val="32"/>
          <w:shd w:val="clear" w:fill="FFFFFF"/>
          <w:lang w:val="en-US" w:eastAsia="zh-CN"/>
        </w:rPr>
        <w:t>创新</w:t>
      </w:r>
      <w:r>
        <w:rPr>
          <w:rFonts w:hint="eastAsia" w:ascii="仿宋_GB2312" w:hAnsi="仿宋_GB2312" w:eastAsia="仿宋_GB2312" w:cs="仿宋_GB2312"/>
          <w:i w:val="0"/>
          <w:iCs w:val="0"/>
          <w:caps w:val="0"/>
          <w:color w:val="1D1D1D"/>
          <w:spacing w:val="0"/>
          <w:sz w:val="32"/>
          <w:szCs w:val="32"/>
          <w:shd w:val="clear" w:fill="FFFFFF"/>
        </w:rPr>
        <w:t>场景合作项目落地应用</w:t>
      </w:r>
      <w:r>
        <w:rPr>
          <w:rFonts w:hint="eastAsia" w:ascii="仿宋_GB2312" w:hAnsi="仿宋_GB2312" w:eastAsia="仿宋_GB2312" w:cs="仿宋_GB2312"/>
          <w:i w:val="0"/>
          <w:iCs w:val="0"/>
          <w:caps w:val="0"/>
          <w:color w:val="1D1D1D"/>
          <w:spacing w:val="0"/>
          <w:sz w:val="32"/>
          <w:szCs w:val="32"/>
          <w:shd w:val="clear" w:fill="FFFFFF"/>
          <w:lang w:eastAsia="zh-CN"/>
        </w:rPr>
        <w:t>；</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i w:val="0"/>
          <w:iCs w:val="0"/>
          <w:caps w:val="0"/>
          <w:color w:val="1D1D1D"/>
          <w:spacing w:val="0"/>
          <w:sz w:val="32"/>
          <w:szCs w:val="32"/>
          <w:shd w:val="clear" w:fill="FFFFFF"/>
          <w:lang w:val="en-US" w:eastAsia="zh-CN"/>
        </w:rPr>
      </w:pPr>
      <w:r>
        <w:rPr>
          <w:rFonts w:hint="eastAsia" w:ascii="仿宋_GB2312" w:hAnsi="仿宋_GB2312" w:eastAsia="仿宋_GB2312" w:cs="仿宋_GB2312"/>
          <w:i w:val="0"/>
          <w:iCs w:val="0"/>
          <w:caps w:val="0"/>
          <w:color w:val="1D1D1D"/>
          <w:spacing w:val="0"/>
          <w:sz w:val="32"/>
          <w:szCs w:val="32"/>
          <w:shd w:val="clear" w:fill="FFFFFF"/>
          <w:lang w:val="en-US" w:eastAsia="zh-CN"/>
        </w:rPr>
        <w:t>3.制定清晰战略，</w:t>
      </w:r>
      <w:r>
        <w:rPr>
          <w:rFonts w:hint="eastAsia" w:ascii="仿宋_GB2312" w:hAnsi="仿宋_GB2312" w:eastAsia="仿宋_GB2312" w:cs="仿宋_GB2312"/>
          <w:i w:val="0"/>
          <w:iCs w:val="0"/>
          <w:caps w:val="0"/>
          <w:color w:val="1D1D1D"/>
          <w:spacing w:val="0"/>
          <w:sz w:val="32"/>
          <w:szCs w:val="32"/>
          <w:shd w:val="clear" w:fill="FFFFFF"/>
        </w:rPr>
        <w:t>实现跨界资源整合协同创新，推动场景深度融入</w:t>
      </w:r>
      <w:r>
        <w:rPr>
          <w:rFonts w:hint="eastAsia" w:ascii="仿宋_GB2312" w:hAnsi="仿宋_GB2312" w:eastAsia="仿宋_GB2312" w:cs="仿宋_GB2312"/>
          <w:i w:val="0"/>
          <w:iCs w:val="0"/>
          <w:caps w:val="0"/>
          <w:color w:val="1D1D1D"/>
          <w:spacing w:val="0"/>
          <w:sz w:val="32"/>
          <w:szCs w:val="32"/>
          <w:shd w:val="clear" w:fill="FFFFFF"/>
          <w:lang w:val="en-US" w:eastAsia="zh-CN"/>
        </w:rPr>
        <w:t>全国</w:t>
      </w:r>
      <w:r>
        <w:rPr>
          <w:rFonts w:hint="eastAsia" w:ascii="仿宋_GB2312" w:hAnsi="仿宋_GB2312" w:eastAsia="仿宋_GB2312" w:cs="仿宋_GB2312"/>
          <w:i w:val="0"/>
          <w:iCs w:val="0"/>
          <w:caps w:val="0"/>
          <w:color w:val="1D1D1D"/>
          <w:spacing w:val="0"/>
          <w:sz w:val="32"/>
          <w:szCs w:val="32"/>
          <w:shd w:val="clear" w:fill="FFFFFF"/>
        </w:rPr>
        <w:t>创新网络，打造全国领先的场景创新生态</w:t>
      </w:r>
      <w:r>
        <w:rPr>
          <w:rFonts w:hint="eastAsia" w:ascii="仿宋_GB2312" w:hAnsi="仿宋_GB2312" w:eastAsia="仿宋_GB2312" w:cs="仿宋_GB2312"/>
          <w:i w:val="0"/>
          <w:iCs w:val="0"/>
          <w:caps w:val="0"/>
          <w:color w:val="1D1D1D"/>
          <w:spacing w:val="0"/>
          <w:sz w:val="32"/>
          <w:szCs w:val="32"/>
          <w:shd w:val="clear" w:fill="FFFFFF"/>
          <w:lang w:val="en-US" w:eastAsia="zh-CN"/>
        </w:rPr>
        <w:t>，实现公司业务的可持续增长；</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highlight w:val="yellow"/>
          <w:lang w:val="en-US" w:eastAsia="zh-CN"/>
        </w:rPr>
      </w:pPr>
      <w:r>
        <w:rPr>
          <w:rFonts w:hint="eastAsia" w:ascii="仿宋_GB2312" w:hAnsi="仿宋_GB2312" w:eastAsia="仿宋_GB2312" w:cs="仿宋_GB2312"/>
          <w:i w:val="0"/>
          <w:iCs w:val="0"/>
          <w:caps w:val="0"/>
          <w:color w:val="1D1D1D"/>
          <w:spacing w:val="0"/>
          <w:sz w:val="32"/>
          <w:szCs w:val="32"/>
          <w:u w:val="none"/>
          <w:shd w:val="clear" w:fill="FFFFFF"/>
          <w:lang w:val="en-US" w:eastAsia="zh-CN"/>
        </w:rPr>
        <w:t>4.</w:t>
      </w:r>
      <w:r>
        <w:rPr>
          <w:rFonts w:hint="eastAsia" w:ascii="仿宋_GB2312" w:hAnsi="仿宋_GB2312" w:eastAsia="仿宋_GB2312" w:cs="仿宋_GB2312"/>
          <w:color w:val="000000" w:themeColor="text1"/>
          <w:sz w:val="32"/>
          <w:szCs w:val="32"/>
          <w:u w:val="none"/>
          <w14:textFill>
            <w14:solidFill>
              <w14:schemeClr w14:val="tx1"/>
            </w14:solidFill>
          </w14:textFill>
        </w:rPr>
        <w:t>积极支持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配合区产业</w:t>
      </w:r>
      <w:r>
        <w:rPr>
          <w:rFonts w:hint="eastAsia" w:ascii="仿宋_GB2312" w:hAnsi="仿宋_GB2312" w:eastAsia="仿宋_GB2312" w:cs="仿宋_GB2312"/>
          <w:color w:val="000000" w:themeColor="text1"/>
          <w:sz w:val="32"/>
          <w:szCs w:val="32"/>
          <w:u w:val="none"/>
          <w14:textFill>
            <w14:solidFill>
              <w14:schemeClr w14:val="tx1"/>
            </w14:solidFill>
          </w14:textFill>
        </w:rPr>
        <w:t>部门工作，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u w:val="none"/>
          <w14:textFill>
            <w14:solidFill>
              <w14:schemeClr w14:val="tx1"/>
            </w14:solidFill>
          </w14:textFill>
        </w:rPr>
        <w:t>完成领导交办的其他任务。</w:t>
      </w:r>
    </w:p>
    <w:p>
      <w:pPr>
        <w:widowControl w:val="0"/>
        <w:kinsoku/>
        <w:autoSpaceDE/>
        <w:autoSpaceDN/>
        <w:adjustRightInd/>
        <w:snapToGrid/>
        <w:spacing w:line="560" w:lineRule="atLeast"/>
        <w:ind w:firstLine="640" w:firstLineChars="200"/>
        <w:jc w:val="both"/>
        <w:textAlignment w:val="auto"/>
        <w:rPr>
          <w:rFonts w:hint="eastAsia" w:ascii="楷体_GB2312" w:hAnsi="黑体" w:eastAsia="楷体_GB2312" w:cs="Times New Roman"/>
          <w:snapToGrid/>
          <w:kern w:val="2"/>
          <w:sz w:val="32"/>
          <w:szCs w:val="32"/>
          <w:lang w:eastAsia="zh-CN"/>
        </w:rPr>
      </w:pPr>
      <w:r>
        <w:rPr>
          <w:rFonts w:hint="eastAsia" w:ascii="楷体_GB2312" w:hAnsi="黑体" w:eastAsia="楷体_GB2312" w:cs="Times New Roman"/>
          <w:snapToGrid/>
          <w:kern w:val="2"/>
          <w:sz w:val="32"/>
          <w:szCs w:val="32"/>
          <w:lang w:eastAsia="zh-CN"/>
        </w:rPr>
        <w:t>（二）任职资格条件</w:t>
      </w:r>
    </w:p>
    <w:p>
      <w:pPr>
        <w:widowControl w:val="0"/>
        <w:numPr>
          <w:ilvl w:val="0"/>
          <w:numId w:val="0"/>
        </w:numPr>
        <w:kinsoku/>
        <w:autoSpaceDE/>
        <w:autoSpaceDN/>
        <w:adjustRightInd/>
        <w:snapToGrid/>
        <w:spacing w:line="560" w:lineRule="atLeast"/>
        <w:ind w:firstLine="642" w:firstLineChars="200"/>
        <w:jc w:val="both"/>
        <w:textAlignment w:val="auto"/>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1.基本要求</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（1）政治素质好，拥护中国共产党的领导，坚决执行党和国家的方针、政策，坚持国有企业的社会主义方向；</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（2）具有良好的职业道德、职业操守、职业信用，遵纪守法，品行端正，诚信廉洁，勤勉敬业，团结合作，依法经营，保守秘密，维护企业的荣誉和利益；</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（3）具有良好的履职记录和工作业绩，熟悉企业经营管理工作，以往经营业绩突出，在所处行业或相关专业领域有一定</w:t>
      </w:r>
      <w:bookmarkStart w:id="0" w:name="_GoBack"/>
      <w:bookmarkEnd w:id="0"/>
      <w:r>
        <w:rPr>
          <w:rFonts w:hint="eastAsia" w:ascii="仿宋_GB2312" w:hAnsi="仿宋_GB2312" w:eastAsia="仿宋_GB2312" w:cs="仿宋_GB2312"/>
          <w:snapToGrid/>
          <w:kern w:val="2"/>
          <w:sz w:val="32"/>
          <w:szCs w:val="32"/>
          <w:lang w:val="en-US" w:eastAsia="zh-CN"/>
        </w:rPr>
        <w:t>的影响力和认可度；</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（4）具有良好的心理素质和能够正常履行职责的身体条件。</w:t>
      </w:r>
    </w:p>
    <w:p>
      <w:pPr>
        <w:widowControl w:val="0"/>
        <w:numPr>
          <w:ilvl w:val="0"/>
          <w:numId w:val="0"/>
        </w:numPr>
        <w:kinsoku/>
        <w:autoSpaceDE/>
        <w:autoSpaceDN/>
        <w:adjustRightInd/>
        <w:snapToGrid/>
        <w:spacing w:line="560" w:lineRule="atLeast"/>
        <w:ind w:firstLine="642" w:firstLineChars="200"/>
        <w:jc w:val="both"/>
        <w:textAlignment w:val="auto"/>
        <w:rPr>
          <w:rFonts w:hint="eastAsia" w:ascii="仿宋_GB2312" w:hAnsi="仿宋_GB2312" w:eastAsia="仿宋_GB2312" w:cs="仿宋_GB2312"/>
          <w:b/>
          <w:bCs/>
          <w:snapToGrid/>
          <w:kern w:val="2"/>
          <w:sz w:val="32"/>
          <w:szCs w:val="32"/>
          <w:highlight w:val="none"/>
          <w:lang w:val="en-US" w:eastAsia="zh-CN"/>
        </w:rPr>
      </w:pPr>
      <w:r>
        <w:rPr>
          <w:rFonts w:hint="eastAsia" w:ascii="仿宋_GB2312" w:hAnsi="仿宋_GB2312" w:eastAsia="仿宋_GB2312" w:cs="仿宋_GB2312"/>
          <w:b/>
          <w:bCs/>
          <w:snapToGrid/>
          <w:kern w:val="2"/>
          <w:sz w:val="32"/>
          <w:szCs w:val="32"/>
          <w:highlight w:val="none"/>
          <w:lang w:val="en-US" w:eastAsia="zh-CN"/>
        </w:rPr>
        <w:t>2.任职要求</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lang w:eastAsia="zh-CN"/>
        </w:rPr>
        <w:t>（1）</w:t>
      </w:r>
      <w:r>
        <w:rPr>
          <w:rFonts w:hint="eastAsia" w:ascii="仿宋_GB2312" w:hAnsi="仿宋_GB2312" w:eastAsia="仿宋_GB2312" w:cs="仿宋_GB2312"/>
          <w:snapToGrid/>
          <w:kern w:val="2"/>
          <w:sz w:val="32"/>
          <w:szCs w:val="32"/>
          <w:lang w:val="en-US" w:eastAsia="zh-CN"/>
        </w:rPr>
        <w:t>40</w:t>
      </w:r>
      <w:r>
        <w:rPr>
          <w:rFonts w:hint="eastAsia" w:ascii="仿宋_GB2312" w:hAnsi="仿宋_GB2312" w:eastAsia="仿宋_GB2312" w:cs="仿宋_GB2312"/>
          <w:snapToGrid/>
          <w:kern w:val="2"/>
          <w:sz w:val="32"/>
          <w:szCs w:val="32"/>
          <w:lang w:eastAsia="zh-CN"/>
        </w:rPr>
        <w:t>周岁及以下，全日制本科及以上学历</w:t>
      </w:r>
      <w:r>
        <w:rPr>
          <w:rFonts w:hint="eastAsia" w:ascii="仿宋_GB2312" w:hAnsi="仿宋_GB2312" w:eastAsia="仿宋_GB2312" w:cs="仿宋_GB2312"/>
          <w:snapToGrid/>
          <w:kern w:val="2"/>
          <w:sz w:val="32"/>
          <w:szCs w:val="32"/>
          <w:highlight w:val="none"/>
          <w:lang w:eastAsia="zh-CN"/>
        </w:rPr>
        <w:t>;</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highlight w:val="none"/>
          <w:lang w:eastAsia="zh-CN"/>
        </w:rPr>
        <w:t>（2）</w:t>
      </w:r>
      <w:r>
        <w:rPr>
          <w:rFonts w:hint="eastAsia" w:ascii="仿宋_GB2312" w:hAnsi="仿宋_GB2312" w:eastAsia="仿宋_GB2312" w:cs="仿宋_GB2312"/>
          <w:snapToGrid/>
          <w:kern w:val="2"/>
          <w:sz w:val="32"/>
          <w:szCs w:val="32"/>
          <w:highlight w:val="none"/>
          <w:lang w:val="en-US" w:eastAsia="zh-CN"/>
        </w:rPr>
        <w:t>5年以上创新场景企业高级管理经验，熟悉公司治理、企业战略、财务管理、市场营销等企业管理核心知识；具备全面负责公司或大型业务单元实战经验者优先</w:t>
      </w:r>
      <w:r>
        <w:rPr>
          <w:rFonts w:hint="eastAsia" w:ascii="仿宋_GB2312" w:hAnsi="仿宋_GB2312" w:eastAsia="仿宋_GB2312" w:cs="仿宋_GB2312"/>
          <w:snapToGrid/>
          <w:kern w:val="2"/>
          <w:sz w:val="32"/>
          <w:szCs w:val="32"/>
          <w:lang w:eastAsia="zh-CN"/>
        </w:rPr>
        <w:t>；</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3</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擅长挖掘、定义和验证具有商业价值的创新应用场景，拥有从0到1构建新业务、产品或市场的成功经验</w:t>
      </w: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并提供至少1个将前沿技术转化为具有市场竞争力、能解决实际场景痛点的产品或解决方案，成功实现商业化落地的可验证案例</w:t>
      </w:r>
      <w:r>
        <w:rPr>
          <w:rFonts w:hint="eastAsia" w:ascii="仿宋_GB2312" w:hAnsi="仿宋_GB2312" w:eastAsia="仿宋_GB2312" w:cs="仿宋_GB2312"/>
          <w:snapToGrid/>
          <w:kern w:val="2"/>
          <w:sz w:val="32"/>
          <w:szCs w:val="32"/>
          <w:lang w:eastAsia="zh-CN"/>
        </w:rPr>
        <w:t>；</w:t>
      </w:r>
    </w:p>
    <w:p>
      <w:pPr>
        <w:widowControl w:val="0"/>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w:t>
      </w: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）中共党员优先。</w:t>
      </w:r>
    </w:p>
    <w:p>
      <w:pPr>
        <w:widowControl w:val="0"/>
        <w:kinsoku/>
        <w:autoSpaceDE/>
        <w:autoSpaceDN/>
        <w:adjustRightInd/>
        <w:snapToGrid/>
        <w:spacing w:line="560" w:lineRule="atLeast"/>
        <w:ind w:firstLine="640" w:firstLineChars="200"/>
        <w:jc w:val="both"/>
        <w:textAlignment w:val="auto"/>
        <w:rPr>
          <w:rFonts w:hint="eastAsia" w:ascii="楷体_GB2312" w:hAnsi="黑体" w:eastAsia="楷体_GB2312" w:cs="Times New Roman"/>
          <w:snapToGrid/>
          <w:kern w:val="2"/>
          <w:sz w:val="32"/>
          <w:szCs w:val="32"/>
          <w:lang w:eastAsia="zh-CN"/>
        </w:rPr>
      </w:pPr>
      <w:r>
        <w:rPr>
          <w:rFonts w:hint="eastAsia" w:ascii="楷体_GB2312" w:hAnsi="黑体" w:eastAsia="楷体_GB2312" w:cs="Times New Roman"/>
          <w:snapToGrid/>
          <w:kern w:val="2"/>
          <w:sz w:val="32"/>
          <w:szCs w:val="32"/>
          <w:lang w:eastAsia="zh-CN"/>
        </w:rPr>
        <w:t>（</w:t>
      </w:r>
      <w:r>
        <w:rPr>
          <w:rFonts w:hint="eastAsia" w:ascii="楷体_GB2312" w:hAnsi="黑体" w:eastAsia="楷体_GB2312" w:cs="Times New Roman"/>
          <w:snapToGrid/>
          <w:kern w:val="2"/>
          <w:sz w:val="32"/>
          <w:szCs w:val="32"/>
          <w:lang w:val="en-US" w:eastAsia="zh-CN"/>
        </w:rPr>
        <w:t>三</w:t>
      </w:r>
      <w:r>
        <w:rPr>
          <w:rFonts w:hint="eastAsia" w:ascii="楷体_GB2312" w:hAnsi="黑体" w:eastAsia="楷体_GB2312" w:cs="Times New Roman"/>
          <w:snapToGrid/>
          <w:kern w:val="2"/>
          <w:sz w:val="32"/>
          <w:szCs w:val="32"/>
          <w:lang w:eastAsia="zh-CN"/>
        </w:rPr>
        <w:t>）薪酬范围</w:t>
      </w:r>
    </w:p>
    <w:p>
      <w:pPr>
        <w:widowControl w:val="0"/>
        <w:numPr>
          <w:ilvl w:val="0"/>
          <w:numId w:val="0"/>
        </w:numPr>
        <w:kinsoku/>
        <w:autoSpaceDE/>
        <w:autoSpaceDN/>
        <w:adjustRightInd/>
        <w:snapToGrid/>
        <w:spacing w:line="560" w:lineRule="atLeas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薪资待遇28-32万元（税前年薪）</w:t>
      </w:r>
    </w:p>
    <w:p>
      <w:pPr>
        <w:widowControl w:val="0"/>
        <w:numPr>
          <w:ilvl w:val="0"/>
          <w:numId w:val="0"/>
        </w:numPr>
        <w:kinsoku/>
        <w:autoSpaceDE/>
        <w:autoSpaceDN/>
        <w:adjustRightInd/>
        <w:snapToGrid/>
        <w:spacing w:line="560" w:lineRule="atLeast"/>
        <w:ind w:firstLine="640" w:firstLineChars="200"/>
        <w:jc w:val="both"/>
        <w:textAlignment w:val="auto"/>
        <w:rPr>
          <w:rFonts w:hint="eastAsia" w:ascii="仿宋_GB2312" w:hAnsi="仿宋_GB2312" w:eastAsia="仿宋_GB2312" w:cs="仿宋_GB2312"/>
          <w:snapToGrid/>
          <w:color w:val="0000FF"/>
          <w:kern w:val="2"/>
          <w:sz w:val="32"/>
          <w:szCs w:val="32"/>
          <w:lang w:val="en-US" w:eastAsia="zh-CN"/>
        </w:rPr>
      </w:pPr>
      <w:r>
        <w:rPr>
          <w:rFonts w:hint="eastAsia" w:ascii="仿宋_GB2312" w:hAnsi="仿宋_GB2312" w:eastAsia="仿宋_GB2312" w:cs="仿宋_GB2312"/>
          <w:snapToGrid/>
          <w:kern w:val="2"/>
          <w:sz w:val="32"/>
          <w:szCs w:val="32"/>
          <w:lang w:val="en-US" w:eastAsia="zh-CN"/>
        </w:rPr>
        <w:t>岗位相关信息可咨询：王小姐，电话：0755-28905712</w:t>
      </w:r>
    </w:p>
    <w:sectPr>
      <w:footerReference r:id="rId5" w:type="default"/>
      <w:pgSz w:w="11906" w:h="16839"/>
      <w:pgMar w:top="1928" w:right="1474" w:bottom="1928" w:left="1474" w:header="0" w:footer="11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61767F2"/>
    <w:rsid w:val="1C5D3A88"/>
    <w:rsid w:val="1D687FA9"/>
    <w:rsid w:val="2F3B1E2F"/>
    <w:rsid w:val="30FEBE88"/>
    <w:rsid w:val="32D9B35A"/>
    <w:rsid w:val="33020F70"/>
    <w:rsid w:val="34735BC7"/>
    <w:rsid w:val="37027015"/>
    <w:rsid w:val="40FE267D"/>
    <w:rsid w:val="45C11CEC"/>
    <w:rsid w:val="4D8D56C9"/>
    <w:rsid w:val="50771D7A"/>
    <w:rsid w:val="56752EE0"/>
    <w:rsid w:val="62FE7B04"/>
    <w:rsid w:val="64750E82"/>
    <w:rsid w:val="65C8B92B"/>
    <w:rsid w:val="68E754D4"/>
    <w:rsid w:val="6CD94C3B"/>
    <w:rsid w:val="76185659"/>
    <w:rsid w:val="7BDFF944"/>
    <w:rsid w:val="7BFFDB57"/>
    <w:rsid w:val="7D176353"/>
    <w:rsid w:val="7DF7A74D"/>
    <w:rsid w:val="7F670220"/>
    <w:rsid w:val="B3BF2A4A"/>
    <w:rsid w:val="D4CB0BDA"/>
    <w:rsid w:val="D7FF73F4"/>
    <w:rsid w:val="DF3FB977"/>
    <w:rsid w:val="DF8FC681"/>
    <w:rsid w:val="E0FF9410"/>
    <w:rsid w:val="ECD54F7B"/>
    <w:rsid w:val="EE31C55F"/>
    <w:rsid w:val="F2772146"/>
    <w:rsid w:val="F776FB38"/>
    <w:rsid w:val="FB7D26F5"/>
    <w:rsid w:val="FDE7E413"/>
    <w:rsid w:val="FEFF97DD"/>
    <w:rsid w:val="FF2E3BA0"/>
    <w:rsid w:val="FFBFE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1069</Words>
  <Characters>1105</Characters>
  <TotalTime>5</TotalTime>
  <ScaleCrop>false</ScaleCrop>
  <LinksUpToDate>false</LinksUpToDate>
  <CharactersWithSpaces>1107</CharactersWithSpaces>
  <Application>WPS Office_11.8.2.12313_F1E327BC-269C-435d-A152-05C5408002CA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2022-08-05T17:37:00Z</dcterms:created>
  <dc:creator>田立文</dc:creator>
  <cp:lastModifiedBy>严昕</cp:lastModifiedBy>
  <dcterms:modified xsi:type="dcterms:W3CDTF">2025-07-16T09:39:07Z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2025-06-24T11:12:42Z</vt:filetime>
  </property>
  <property fmtid="{D5CDD505-2E9C-101B-9397-08002B2CF9AE}" pid="4" name="KSOTemplateDocerSaveRecord">
    <vt:lpwstr>eyJoZGlkIjoiMGIwNjQ1YzRlMmY4ZDcxYmU3OGJlMzQ4ZTQyZWI0MzUiLCJ1c2VySWQiOiI0NDE3Nzk4OTkifQ==</vt:lpwstr>
  </property>
  <property fmtid="{D5CDD505-2E9C-101B-9397-08002B2CF9AE}" pid="5" name="KSOProductBuildVer">
    <vt:lpwstr>2052-11.8.2.12313</vt:lpwstr>
  </property>
  <property fmtid="{D5CDD505-2E9C-101B-9397-08002B2CF9AE}" pid="6" name="ICV">
    <vt:lpwstr>313FE7307BF819E7AA5A5B68816D74D8</vt:lpwstr>
  </property>
</Properties>
</file>