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承办国际国内重大知识产权活动项目申报指南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二、承办国际国内重大知识产权活动项目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承办国际国内重大知识产权活动。鼓励企事业单位、社会组织和其他机构围绕知识产权创造、运用、管理、保护、服务等方面内容承办国际国内重大知识产权活动，提升我区企业知识产权意识。对经区知识产权联席会议办公室或市级及以上知识产权行政主管部门批准召开国际或国内重大知识产权活动的承办方，按照实际支出成本给予最高 20 万元资助。（《若干措施》第五条第二十项）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（五）</w:t>
      </w:r>
      <w:r>
        <w:rPr>
          <w:rFonts w:hint="eastAsia" w:ascii="Times New Roman" w:hAnsi="Times New Roman" w:eastAsia="仿宋_GB2312" w:cs="Times New Roman"/>
          <w:sz w:val="32"/>
          <w:szCs w:val="32"/>
          <w:highlight w:val="none"/>
        </w:rPr>
        <w:t>相关活动经市级以上知识产权行政主管部门或区级知识产权联席会议办公室批准召开，在活动开展前向区知识产权行政主管部门提交相关批文和活动方案备案。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（六）</w:t>
      </w:r>
      <w:r>
        <w:rPr>
          <w:rFonts w:hint="eastAsia" w:ascii="Times New Roman" w:hAnsi="Times New Roman" w:eastAsia="仿宋_GB2312" w:cs="Times New Roman"/>
          <w:sz w:val="32"/>
          <w:szCs w:val="32"/>
          <w:highlight w:val="none"/>
        </w:rPr>
        <w:t>活动属于在光明区召开的国际或国内重大知识产权活动，举办完成时间为上一年。</w:t>
      </w:r>
    </w:p>
    <w:p>
      <w:pPr>
        <w:spacing w:line="560" w:lineRule="exact"/>
        <w:ind w:firstLine="640" w:firstLineChars="200"/>
        <w:rPr>
          <w:rFonts w:hint="eastAsia" w:eastAsia="FangSong_GB2312"/>
          <w:lang w:eastAsia="zh-CN"/>
        </w:rPr>
      </w:pPr>
      <w:r>
        <w:rPr>
          <w:rFonts w:hint="eastAsia" w:ascii="FangSong_GB2312" w:hAnsi="FangSong_GB2312" w:eastAsia="FangSong_GB2312"/>
          <w:sz w:val="32"/>
          <w:szCs w:val="32"/>
          <w:highlight w:val="none"/>
          <w:lang w:eastAsia="zh-CN"/>
        </w:rPr>
        <w:t>（七）</w:t>
      </w:r>
      <w:r>
        <w:rPr>
          <w:rFonts w:hint="eastAsia" w:ascii="Times New Roman" w:hAnsi="Times New Roman" w:eastAsia="仿宋_GB2312" w:cs="Times New Roman"/>
          <w:sz w:val="32"/>
          <w:szCs w:val="32"/>
          <w:highlight w:val="none"/>
        </w:rPr>
        <w:t>活动主题应为国内外知识产权创造、运用、管理、保护、服务等方面内容，对提升我区企业有关意识及工作水平有积极作用。</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lang w:val="en-US" w:eastAsia="zh-CN"/>
        </w:rPr>
        <w:t>会前备案函件和活动方案。</w:t>
      </w:r>
    </w:p>
    <w:p>
      <w:pPr>
        <w:numPr>
          <w:ilvl w:val="0"/>
          <w:numId w:val="0"/>
        </w:numPr>
        <w:kinsoku w:val="0"/>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default" w:ascii="仿宋_GB2312" w:hAnsi="楷体_GB2312" w:eastAsia="仿宋_GB2312" w:cs="楷体_GB2312"/>
          <w:sz w:val="32"/>
          <w:szCs w:val="32"/>
          <w:highlight w:val="none"/>
          <w:lang w:val="en-US" w:eastAsia="zh-CN"/>
        </w:rPr>
        <w:t>知识产权活动工作总结、输出成果（包括会议通知、会议议程、会议手册、海报、签到表、现场照片</w:t>
      </w:r>
      <w:bookmarkStart w:id="0" w:name="_Hlk115374715"/>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w:t>
      </w:r>
      <w:bookmarkEnd w:id="0"/>
      <w:r>
        <w:rPr>
          <w:rFonts w:hint="default" w:ascii="仿宋_GB2312" w:hAnsi="楷体_GB2312" w:eastAsia="仿宋_GB2312" w:cs="楷体_GB2312"/>
          <w:sz w:val="32"/>
          <w:szCs w:val="32"/>
          <w:highlight w:val="none"/>
          <w:lang w:val="en-US" w:eastAsia="zh-CN"/>
        </w:rPr>
        <w:t>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1" w:name="_GoBack"/>
      <w:r>
        <w:rPr>
          <w:rFonts w:hint="eastAsia" w:ascii="仿宋_GB2312" w:hAnsi="Calibri" w:eastAsia="仿宋_GB2312"/>
          <w:b/>
          <w:bCs/>
          <w:sz w:val="32"/>
          <w:szCs w:val="32"/>
        </w:rPr>
        <w:t>绩效自评</w:t>
      </w:r>
      <w:bookmarkEnd w:id="1"/>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730DC1"/>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4FE34654"/>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695AE1"/>
    <w:rsid w:val="5D887B53"/>
    <w:rsid w:val="60B5441C"/>
    <w:rsid w:val="61B0127A"/>
    <w:rsid w:val="62255EA3"/>
    <w:rsid w:val="62557F41"/>
    <w:rsid w:val="62622E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CBDDB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1099</Words>
  <Characters>1140</Characters>
  <Lines>63</Lines>
  <Paragraphs>17</Paragraphs>
  <TotalTime>1</TotalTime>
  <ScaleCrop>false</ScaleCrop>
  <LinksUpToDate>false</LinksUpToDate>
  <CharactersWithSpaces>1142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2025-07-08T15:11:18Z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