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lang w:val="en-US" w:eastAsia="zh-CN"/>
        </w:rPr>
        <w:t>知识产权服务机构项目</w:t>
      </w:r>
      <w:r>
        <w:rPr>
          <w:rFonts w:hint="eastAsia" w:ascii="方正小标宋_GBK" w:hAnsi="方正小标宋_GBK" w:eastAsia="方正小标宋_GBK"/>
          <w:sz w:val="44"/>
          <w:szCs w:val="44"/>
        </w:rPr>
        <w:t>申报指南</w:t>
      </w:r>
    </w:p>
    <w:p>
      <w:pPr>
        <w:widowControl/>
        <w:numPr>
          <w:ilvl w:val="0"/>
          <w:numId w:val="0"/>
        </w:numPr>
        <w:spacing w:line="560" w:lineRule="exact"/>
        <w:ind w:firstLine="640" w:firstLineChars="20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一、 政策依据</w:t>
      </w:r>
    </w:p>
    <w:p>
      <w:pPr>
        <w:pStyle w:val="2"/>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深圳市光明区人民政府印发《深圳市光明区关于促进质量标准知识产权发展的若干措施》的通知（深光府规〔2023〕13号）</w:t>
      </w:r>
    </w:p>
    <w:p>
      <w:pPr>
        <w:pStyle w:val="2"/>
        <w:ind w:firstLine="64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 号）</w:t>
      </w:r>
    </w:p>
    <w:p>
      <w:pPr>
        <w:pStyle w:val="2"/>
        <w:ind w:firstLine="640" w:firstLineChars="200"/>
        <w:rPr>
          <w:rFonts w:hint="default" w:ascii="仿宋_GB2312" w:eastAsia="仿宋_GB2312" w:cs="宋体"/>
          <w:kern w:val="2"/>
          <w:sz w:val="32"/>
          <w:szCs w:val="32"/>
          <w:highlight w:val="none"/>
          <w:lang w:val="en-US" w:eastAsia="zh-CN"/>
        </w:rPr>
      </w:pPr>
      <w:r>
        <w:rPr>
          <w:rFonts w:hint="eastAsia" w:ascii="仿宋_GB2312" w:eastAsia="黑体"/>
          <w:bCs/>
          <w:kern w:val="44"/>
          <w:sz w:val="32"/>
          <w:szCs w:val="44"/>
          <w:lang w:val="en-US" w:eastAsia="zh-CN"/>
        </w:rPr>
        <w:t>二、知识产权服务机构项目</w:t>
      </w:r>
      <w:r>
        <w:rPr>
          <w:rFonts w:hint="eastAsia" w:ascii="仿宋_GB2312" w:hAnsi="宋体" w:eastAsia="黑体"/>
          <w:bCs/>
          <w:kern w:val="44"/>
          <w:sz w:val="32"/>
          <w:szCs w:val="44"/>
          <w:lang w:val="en-US" w:eastAsia="zh-CN"/>
        </w:rPr>
        <w:t>支持对象、资助标准、支持方式</w:t>
      </w:r>
    </w:p>
    <w:p>
      <w:pPr>
        <w:widowControl/>
        <w:spacing w:line="560" w:lineRule="exact"/>
        <w:ind w:firstLine="640" w:firstLineChars="200"/>
        <w:jc w:val="left"/>
        <w:outlineLvl w:val="0"/>
        <w:rPr>
          <w:rFonts w:hint="eastAsia" w:ascii="仿宋_GB2312" w:hAnsi="宋体" w:eastAsia="仿宋_GB2312" w:cs="宋体"/>
          <w:kern w:val="2"/>
          <w:sz w:val="32"/>
          <w:szCs w:val="32"/>
          <w:highlight w:val="none"/>
          <w:lang w:val="en-US" w:eastAsia="zh-CN" w:bidi="zh-CN"/>
        </w:rPr>
      </w:pPr>
      <w:r>
        <w:rPr>
          <w:rFonts w:hint="eastAsia" w:ascii="仿宋_GB2312" w:hAnsi="宋体" w:eastAsia="仿宋_GB2312" w:cs="宋体"/>
          <w:kern w:val="2"/>
          <w:sz w:val="32"/>
          <w:szCs w:val="32"/>
          <w:highlight w:val="none"/>
          <w:lang w:val="en-US" w:eastAsia="zh-CN" w:bidi="zh-CN"/>
        </w:rPr>
        <w:t>支持知识产权服务业发展。对代理辖区内企业专利获中国专利金奖、银奖的专利代理机构，按项目分别给予最高50 万元、20 万元资助。对在光明区连续运营一年以上，为企业提供知识产权创造、运用、保护等综合服务的知识产权服务机构，经评审在持续提升服务能力方面取得较好成效的，给予最高 50万元资助，每年资助不超过 5 家。（《若干措施》第五条第二十三项）</w:t>
      </w:r>
    </w:p>
    <w:p>
      <w:pPr>
        <w:pStyle w:val="2"/>
        <w:ind w:left="0" w:leftChars="0" w:firstLine="640" w:firstLineChars="200"/>
        <w:rPr>
          <w:rFonts w:hint="eastAsia" w:ascii="仿宋_GB2312" w:hAnsi="宋体" w:eastAsia="黑体"/>
          <w:bCs/>
          <w:kern w:val="44"/>
          <w:sz w:val="32"/>
          <w:szCs w:val="44"/>
          <w:lang w:eastAsia="zh-CN"/>
        </w:rPr>
      </w:pPr>
      <w:r>
        <w:rPr>
          <w:rFonts w:hint="eastAsia" w:ascii="仿宋_GB2312" w:hAnsi="宋体" w:eastAsia="仿宋_GB2312" w:cs="宋体"/>
          <w:kern w:val="2"/>
          <w:sz w:val="32"/>
          <w:szCs w:val="32"/>
          <w:highlight w:val="none"/>
          <w:lang w:val="en-US" w:eastAsia="zh-CN" w:bidi="zh-CN"/>
        </w:rPr>
        <w:t>支持方式及数量：事后资助，受年度财政预算安排总量控制。</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依法依规办理市场主体登记注册手续和税务登记手续，在光明区从事经营活动的企事业单位</w:t>
      </w:r>
      <w:r>
        <w:rPr>
          <w:rFonts w:hint="eastAsia" w:ascii="仿宋_GB2312" w:eastAsia="仿宋_GB2312" w:cs="宋体"/>
          <w:kern w:val="2"/>
          <w:sz w:val="32"/>
          <w:szCs w:val="32"/>
          <w:highlight w:val="none"/>
          <w:lang w:eastAsia="zh-CN"/>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spacing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ascii="仿宋_GB2312" w:eastAsia="仿宋_GB2312" w:cs="宋体"/>
          <w:kern w:val="2"/>
          <w:sz w:val="32"/>
          <w:szCs w:val="32"/>
          <w:highlight w:val="none"/>
          <w:lang w:eastAsia="zh-CN"/>
        </w:rPr>
        <w:t>（五）</w:t>
      </w:r>
      <w:r>
        <w:rPr>
          <w:rFonts w:hint="eastAsia" w:ascii="Times New Roman" w:hAnsi="Times New Roman" w:eastAsia="仿宋_GB2312" w:cs="Times New Roman"/>
          <w:sz w:val="32"/>
          <w:szCs w:val="32"/>
          <w:highlight w:val="none"/>
          <w:lang w:eastAsia="zh-CN"/>
        </w:rPr>
        <w:t>成立</w:t>
      </w:r>
      <w:r>
        <w:rPr>
          <w:rFonts w:hint="eastAsia" w:ascii="Times New Roman" w:hAnsi="Times New Roman" w:eastAsia="仿宋_GB2312" w:cs="Times New Roman"/>
          <w:sz w:val="32"/>
          <w:szCs w:val="32"/>
          <w:highlight w:val="none"/>
          <w:lang w:val="en-US" w:eastAsia="zh-CN"/>
        </w:rPr>
        <w:t>2</w:t>
      </w:r>
      <w:r>
        <w:rPr>
          <w:rFonts w:hint="eastAsia" w:ascii="Times New Roman" w:hAnsi="Times New Roman" w:eastAsia="仿宋_GB2312" w:cs="Times New Roman"/>
          <w:sz w:val="32"/>
          <w:szCs w:val="32"/>
          <w:highlight w:val="none"/>
          <w:lang w:eastAsia="zh-CN"/>
        </w:rPr>
        <w:t>年以上且在光明区连续运营一年以上，有稳定的工作场所和工作团队，拥有专利代理师或律师</w:t>
      </w:r>
      <w:r>
        <w:rPr>
          <w:rFonts w:hint="eastAsia" w:ascii="Times New Roman" w:hAnsi="Times New Roman" w:eastAsia="仿宋_GB2312" w:cs="Times New Roman"/>
          <w:sz w:val="32"/>
          <w:szCs w:val="32"/>
          <w:highlight w:val="none"/>
          <w:lang w:val="en-US" w:eastAsia="zh-CN"/>
        </w:rPr>
        <w:t>10</w:t>
      </w:r>
      <w:r>
        <w:rPr>
          <w:rFonts w:hint="eastAsia" w:ascii="Times New Roman" w:hAnsi="Times New Roman" w:eastAsia="仿宋_GB2312" w:cs="Times New Roman"/>
          <w:sz w:val="32"/>
          <w:szCs w:val="32"/>
          <w:highlight w:val="none"/>
          <w:lang w:eastAsia="zh-CN"/>
        </w:rPr>
        <w:t>人以上，经营状况良好。</w:t>
      </w:r>
    </w:p>
    <w:p>
      <w:pPr>
        <w:spacing w:line="560" w:lineRule="exact"/>
        <w:ind w:firstLine="640" w:firstLineChars="200"/>
        <w:rPr>
          <w:rFonts w:hint="eastAsia"/>
          <w:lang w:eastAsia="zh-CN"/>
        </w:rPr>
      </w:pPr>
      <w:r>
        <w:rPr>
          <w:rFonts w:hint="eastAsia" w:eastAsia="仿宋_GB2312" w:cs="Times New Roman"/>
          <w:sz w:val="32"/>
          <w:szCs w:val="32"/>
          <w:highlight w:val="none"/>
          <w:lang w:val="en-US" w:eastAsia="zh-CN"/>
        </w:rPr>
        <w:t>（六）</w:t>
      </w:r>
      <w:r>
        <w:rPr>
          <w:rFonts w:hint="eastAsia" w:ascii="Times New Roman" w:hAnsi="Times New Roman" w:eastAsia="仿宋_GB2312" w:cs="Times New Roman"/>
          <w:sz w:val="32"/>
          <w:szCs w:val="32"/>
          <w:highlight w:val="none"/>
          <w:lang w:eastAsia="zh-CN"/>
        </w:rPr>
        <w:t>开展知识产权相关服务，具有知识产权运营、专利无效、专利复审等业务成功案例10项以上；或者上年度代理知识产权诉讼案件结案数量达10件以上；或者已为至少1家世界500强企业提供知识产权业务服务。</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w:t>
      </w:r>
      <w:r>
        <w:rPr>
          <w:rFonts w:hint="eastAsia" w:ascii="仿宋_GB2312" w:hAnsi="楷体_GB2312" w:eastAsia="仿宋_GB2312" w:cs="楷体_GB2312"/>
          <w:color w:val="auto"/>
          <w:sz w:val="32"/>
          <w:szCs w:val="32"/>
          <w:highlight w:val="none"/>
          <w:lang w:val="en-US" w:eastAsia="zh-CN"/>
        </w:rPr>
        <w:t>深圳市财政专项资金统一管理平台</w:t>
      </w:r>
      <w:r>
        <w:rPr>
          <w:rFonts w:hint="eastAsia" w:ascii="仿宋_GB2312" w:hAnsi="楷体_GB2312" w:eastAsia="仿宋_GB2312" w:cs="楷体_GB2312"/>
          <w:color w:val="auto"/>
          <w:sz w:val="32"/>
          <w:szCs w:val="32"/>
          <w:highlight w:val="none"/>
        </w:rPr>
        <w:t>在线填报申请书</w:t>
      </w:r>
      <w:r>
        <w:rPr>
          <w:rFonts w:hint="eastAsia" w:ascii="仿宋_GB2312" w:hAnsi="楷体_GB2312" w:eastAsia="仿宋_GB2312" w:cs="楷体_GB2312"/>
          <w:sz w:val="32"/>
          <w:szCs w:val="32"/>
        </w:rPr>
        <w:t>，网址</w:t>
      </w:r>
      <w:r>
        <w:rPr>
          <w:rFonts w:hint="eastAsia" w:ascii="仿宋_GB2312" w:hAnsi="楷体_GB2312" w:eastAsia="仿宋_GB2312" w:cs="楷体_GB2312"/>
          <w:color w:val="auto"/>
          <w:sz w:val="32"/>
          <w:szCs w:val="32"/>
          <w:highlight w:val="none"/>
        </w:rPr>
        <w:t>https://cqt.szfb.sz.gov.cn/#/home</w:t>
      </w:r>
      <w:r>
        <w:rPr>
          <w:rFonts w:hint="eastAsia" w:ascii="仿宋_GB2312" w:hAnsi="楷体_GB2312" w:eastAsia="仿宋_GB2312" w:cs="楷体_GB2312"/>
          <w:sz w:val="32"/>
          <w:szCs w:val="32"/>
        </w:rPr>
        <w:t>。请企业按照申请指南准备申请材料，需上传扫描件，确保内容清晰。在提交申请后请耐心等待初审通过；若申请未通过初审被退回，请按照相关意见及时修改。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pStyle w:val="2"/>
        <w:ind w:firstLine="642" w:firstLineChars="200"/>
        <w:rPr>
          <w:rFonts w:hint="eastAsia" w:eastAsia="仿宋_GB2312"/>
          <w:lang w:eastAsia="zh-CN"/>
        </w:rPr>
      </w:pP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b/>
          <w:bCs/>
          <w:sz w:val="32"/>
          <w:szCs w:val="32"/>
          <w:lang w:eastAsia="zh-CN"/>
        </w:rPr>
        <w:t>：</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（六）</w:t>
      </w:r>
      <w:r>
        <w:rPr>
          <w:rFonts w:hint="eastAsia" w:ascii="Times New Roman" w:hAnsi="Times New Roman" w:eastAsia="仿宋_GB2312" w:cs="Times New Roman"/>
          <w:sz w:val="32"/>
          <w:szCs w:val="32"/>
          <w:highlight w:val="none"/>
          <w:lang w:val="en-US" w:eastAsia="zh-CN"/>
        </w:rPr>
        <w:t>资质证明文件。</w:t>
      </w:r>
    </w:p>
    <w:p>
      <w:pPr>
        <w:spacing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（七）</w:t>
      </w:r>
      <w:r>
        <w:rPr>
          <w:rFonts w:hint="eastAsia" w:ascii="Times New Roman" w:hAnsi="Times New Roman" w:eastAsia="仿宋_GB2312" w:cs="Times New Roman"/>
          <w:sz w:val="32"/>
          <w:szCs w:val="32"/>
          <w:highlight w:val="none"/>
          <w:lang w:val="en-US" w:eastAsia="zh-CN"/>
        </w:rPr>
        <w:t>机构</w:t>
      </w:r>
      <w:r>
        <w:rPr>
          <w:rFonts w:hint="eastAsia" w:ascii="Times New Roman" w:hAnsi="Times New Roman" w:eastAsia="仿宋_GB2312" w:cs="Times New Roman"/>
          <w:sz w:val="32"/>
          <w:szCs w:val="32"/>
          <w:highlight w:val="none"/>
          <w:lang w:eastAsia="zh-CN"/>
        </w:rPr>
        <w:t>办公场地情况、租赁合同或房产证明。</w:t>
      </w:r>
    </w:p>
    <w:p>
      <w:pPr>
        <w:spacing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（八）</w:t>
      </w:r>
      <w:r>
        <w:rPr>
          <w:rFonts w:hint="eastAsia" w:ascii="Times New Roman" w:hAnsi="Times New Roman" w:eastAsia="仿宋_GB2312" w:cs="Times New Roman"/>
          <w:sz w:val="32"/>
          <w:szCs w:val="32"/>
          <w:highlight w:val="none"/>
          <w:lang w:eastAsia="zh-CN"/>
        </w:rPr>
        <w:t>工作团队、专利代理师、律师信息，如：人员名册、聘用关系证明（如：纳税证明、劳动合同、社保缴纳证明）、人员资质证书、职称证书等。</w:t>
      </w:r>
    </w:p>
    <w:p>
      <w:p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（九）</w:t>
      </w:r>
      <w:r>
        <w:rPr>
          <w:rFonts w:hint="eastAsia" w:ascii="Times New Roman" w:hAnsi="Times New Roman" w:eastAsia="仿宋_GB2312" w:cs="Times New Roman"/>
          <w:sz w:val="32"/>
          <w:szCs w:val="32"/>
          <w:highlight w:val="none"/>
          <w:lang w:eastAsia="zh-CN"/>
        </w:rPr>
        <w:t>近两年开展知识产权业务情况总结及相关材料，如：运营合同、诉讼判决文书、调解文书、无效复审决定、知识产权服务合同相关资料等。</w:t>
      </w:r>
    </w:p>
    <w:p>
      <w:pPr>
        <w:spacing w:line="560" w:lineRule="exact"/>
        <w:ind w:firstLine="640" w:firstLineChars="200"/>
      </w:pPr>
      <w:r>
        <w:rPr>
          <w:rFonts w:hint="eastAsia" w:eastAsia="仿宋_GB2312" w:cs="Times New Roman"/>
          <w:sz w:val="32"/>
          <w:szCs w:val="32"/>
          <w:highlight w:val="none"/>
          <w:lang w:val="en-US" w:eastAsia="zh-CN"/>
        </w:rPr>
        <w:t>（十）</w:t>
      </w:r>
      <w:r>
        <w:rPr>
          <w:rFonts w:hint="eastAsia" w:ascii="Times New Roman" w:hAnsi="Times New Roman" w:eastAsia="仿宋_GB2312" w:cs="Times New Roman"/>
          <w:sz w:val="32"/>
          <w:szCs w:val="32"/>
          <w:highlight w:val="none"/>
          <w:lang w:val="en-US" w:eastAsia="zh-CN"/>
        </w:rPr>
        <w:t>经营状况良好证明材料。如：近两年</w:t>
      </w:r>
      <w:r>
        <w:rPr>
          <w:rFonts w:hint="eastAsia" w:ascii="Times New Roman" w:hAnsi="Times New Roman" w:eastAsia="仿宋_GB2312" w:cs="Times New Roman"/>
          <w:sz w:val="32"/>
          <w:szCs w:val="32"/>
          <w:highlight w:val="none"/>
          <w:lang w:eastAsia="zh-CN"/>
        </w:rPr>
        <w:t>财务审计报告或财务报表等</w:t>
      </w:r>
      <w:r>
        <w:rPr>
          <w:rFonts w:hint="eastAsia" w:ascii="Times New Roman" w:hAnsi="Times New Roman" w:eastAsia="仿宋_GB2312" w:cs="Times New Roman"/>
          <w:sz w:val="32"/>
          <w:szCs w:val="32"/>
          <w:highlight w:val="none"/>
          <w:lang w:val="en-US"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w:t>
      </w:r>
      <w:bookmarkStart w:id="0" w:name="_GoBack"/>
      <w:r>
        <w:rPr>
          <w:rFonts w:hint="eastAsia" w:ascii="仿宋_GB2312" w:hAnsi="Calibri" w:eastAsia="仿宋_GB2312"/>
          <w:b/>
          <w:bCs/>
          <w:sz w:val="32"/>
          <w:szCs w:val="32"/>
        </w:rPr>
        <w:t>绩效自评。</w:t>
      </w:r>
      <w:bookmarkEnd w:id="0"/>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2024年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FangSong_GB2312">
    <w:altName w:val="方正仿宋_GBK"/>
    <w:panose1 w:val="00000000000000000000"/>
    <w:charset w:val="86"/>
    <w:family w:val="auto"/>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embedTrueTypeFonts/>
  <w:saveSubsetFonts/>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CE792C"/>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D737EF9"/>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2671755"/>
    <w:rsid w:val="5479292E"/>
    <w:rsid w:val="558F2605"/>
    <w:rsid w:val="55CE0F0C"/>
    <w:rsid w:val="55DB13C7"/>
    <w:rsid w:val="564A30B5"/>
    <w:rsid w:val="565B5006"/>
    <w:rsid w:val="568E6619"/>
    <w:rsid w:val="56D4712F"/>
    <w:rsid w:val="57487A8C"/>
    <w:rsid w:val="57CC0FC7"/>
    <w:rsid w:val="580C13CB"/>
    <w:rsid w:val="582E2B36"/>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1185</Words>
  <Characters>1231</Characters>
  <Lines>63</Lines>
  <Paragraphs>17</Paragraphs>
  <TotalTime>2</TotalTime>
  <ScaleCrop>false</ScaleCrop>
  <LinksUpToDate>false</LinksUpToDate>
  <CharactersWithSpaces>1233</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2021-05-24T08:16:00Z</dcterms:created>
  <dc:creator>740095076@qq.com</dc:creator>
  <cp:lastModifiedBy>daiww</cp:lastModifiedBy>
  <cp:lastPrinted>2022-10-11T01:54:00Z</cp:lastPrinted>
  <dcterms:modified xsi:type="dcterms:W3CDTF">2025-07-08T15:12:52Z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B0407ACE618A4D0E9A74B56F698D7A6A</vt:lpwstr>
  </property>
  <property fmtid="{D5CDD505-2E9C-101B-9397-08002B2CF9AE}" pid="4" name="KSOTemplateDocerSaveRecord">
    <vt:lpwstr>eyJoZGlkIjoiYzgxZjBjOTVkY2I1Njc2ZTgzMmFlYTFlYzg0YmQ1MDYiLCJ1c2VySWQiOiI2NjA2ODMwNDYifQ==</vt:lpwstr>
  </property>
</Properties>
</file>