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color w:val="000000"/>
        </w:rPr>
      </w:pPr>
    </w:p>
    <w:p>
      <w:pPr>
        <w:rPr>
          <w:color w:val="000000"/>
        </w:rPr>
      </w:pPr>
    </w:p>
    <w:p>
      <w:pPr>
        <w:rPr>
          <w:color w:val="000000"/>
        </w:rPr>
      </w:pPr>
    </w:p>
    <w:p>
      <w:pPr>
        <w:jc w:val="center"/>
        <w:rPr>
          <w:rFonts w:ascii="宋体" w:hAnsi="宋体" w:cs="宋体"/>
          <w:b/>
          <w:color w:val="000000"/>
          <w:sz w:val="72"/>
          <w:szCs w:val="72"/>
        </w:rPr>
      </w:pPr>
      <w:r>
        <w:rPr>
          <w:rFonts w:hint="eastAsia" w:ascii="宋体" w:hAnsi="宋体" w:cs="宋体"/>
          <w:b/>
          <w:color w:val="000000"/>
          <w:sz w:val="72"/>
          <w:szCs w:val="72"/>
        </w:rPr>
        <w:t>简易招标文件</w:t>
      </w:r>
    </w:p>
    <w:p>
      <w:pPr>
        <w:jc w:val="center"/>
        <w:rPr>
          <w:rFonts w:ascii="宋体" w:hAnsi="宋体" w:cs="宋体"/>
          <w:color w:val="000000"/>
        </w:rPr>
      </w:pPr>
    </w:p>
    <w:p>
      <w:pPr>
        <w:rPr>
          <w:rFonts w:ascii="宋体" w:hAnsi="宋体" w:cs="宋体"/>
          <w:color w:val="000000"/>
        </w:rPr>
      </w:pPr>
    </w:p>
    <w:p>
      <w:pPr>
        <w:pStyle w:val="35"/>
        <w:ind w:firstLine="420"/>
        <w:rPr>
          <w:rFonts w:ascii="宋体" w:hAnsi="宋体" w:cs="宋体"/>
          <w:color w:val="000000"/>
        </w:rPr>
      </w:pPr>
    </w:p>
    <w:p>
      <w:pPr>
        <w:pStyle w:val="35"/>
        <w:ind w:firstLine="420"/>
        <w:rPr>
          <w:rFonts w:ascii="宋体" w:hAnsi="宋体" w:cs="宋体"/>
          <w:color w:val="000000"/>
        </w:rPr>
      </w:pPr>
    </w:p>
    <w:p>
      <w:pPr>
        <w:rPr>
          <w:rFonts w:ascii="宋体" w:hAnsi="宋体" w:cs="宋体"/>
          <w:b/>
          <w:color w:val="000000"/>
          <w:sz w:val="44"/>
          <w:highlight w:val="none"/>
        </w:rPr>
      </w:pPr>
    </w:p>
    <w:p>
      <w:pPr>
        <w:ind w:right="-319" w:rightChars="-152"/>
        <w:rPr>
          <w:rFonts w:ascii="宋体" w:hAnsi="宋体" w:cs="宋体"/>
          <w:b/>
          <w:color w:val="000000"/>
          <w:sz w:val="36"/>
          <w:szCs w:val="36"/>
          <w:highlight w:val="none"/>
        </w:rPr>
      </w:pPr>
      <w:r>
        <w:rPr>
          <w:rFonts w:hint="eastAsia" w:ascii="宋体" w:hAnsi="宋体" w:cs="宋体"/>
          <w:b/>
          <w:color w:val="000000"/>
          <w:sz w:val="36"/>
          <w:szCs w:val="36"/>
          <w:highlight w:val="none"/>
        </w:rPr>
        <w:t>招标编号：QH2025072</w:t>
      </w:r>
    </w:p>
    <w:p>
      <w:pPr>
        <w:pStyle w:val="35"/>
        <w:ind w:firstLine="420"/>
        <w:rPr>
          <w:rFonts w:ascii="宋体" w:hAnsi="宋体" w:cs="宋体"/>
          <w:color w:val="000000"/>
        </w:rPr>
      </w:pPr>
    </w:p>
    <w:p>
      <w:pPr>
        <w:pStyle w:val="35"/>
        <w:ind w:firstLine="420"/>
        <w:rPr>
          <w:rFonts w:ascii="宋体" w:hAnsi="宋体" w:cs="宋体"/>
          <w:color w:val="000000"/>
        </w:rPr>
      </w:pPr>
    </w:p>
    <w:p>
      <w:pPr>
        <w:pStyle w:val="35"/>
        <w:ind w:firstLine="420"/>
        <w:rPr>
          <w:rFonts w:ascii="宋体" w:hAnsi="宋体" w:cs="宋体"/>
          <w:color w:val="000000"/>
        </w:rPr>
      </w:pPr>
    </w:p>
    <w:p>
      <w:pPr>
        <w:ind w:right="-319" w:rightChars="-152"/>
        <w:rPr>
          <w:rFonts w:hint="eastAsia" w:ascii="宋体" w:hAnsi="宋体" w:eastAsia="宋体" w:cs="宋体"/>
          <w:b/>
          <w:color w:val="000000"/>
          <w:sz w:val="36"/>
          <w:szCs w:val="36"/>
          <w:lang w:eastAsia="zh-CN"/>
        </w:rPr>
      </w:pPr>
      <w:r>
        <w:rPr>
          <w:rFonts w:hint="eastAsia" w:ascii="宋体" w:hAnsi="宋体" w:cs="宋体"/>
          <w:b/>
          <w:color w:val="000000"/>
          <w:sz w:val="36"/>
          <w:szCs w:val="36"/>
        </w:rPr>
        <w:t>招标项目：2025年度前海管理局常年法律顾问</w:t>
      </w:r>
      <w:r>
        <w:rPr>
          <w:rFonts w:hint="eastAsia" w:ascii="宋体" w:hAnsi="宋体" w:cs="宋体"/>
          <w:b/>
          <w:color w:val="000000"/>
          <w:sz w:val="36"/>
          <w:szCs w:val="36"/>
          <w:lang w:eastAsia="zh-CN"/>
        </w:rPr>
        <w:t>（</w:t>
      </w:r>
      <w:r>
        <w:rPr>
          <w:rFonts w:hint="eastAsia" w:ascii="宋体" w:hAnsi="宋体" w:cs="宋体"/>
          <w:b/>
          <w:color w:val="000000"/>
          <w:sz w:val="36"/>
          <w:szCs w:val="36"/>
          <w:lang w:val="en-US" w:eastAsia="zh-CN"/>
        </w:rPr>
        <w:t>二次</w:t>
      </w:r>
      <w:r>
        <w:rPr>
          <w:rFonts w:hint="eastAsia" w:ascii="宋体" w:hAnsi="宋体" w:cs="宋体"/>
          <w:b/>
          <w:color w:val="000000"/>
          <w:sz w:val="36"/>
          <w:szCs w:val="36"/>
          <w:lang w:eastAsia="zh-CN"/>
        </w:rPr>
        <w:t>）</w:t>
      </w:r>
    </w:p>
    <w:p>
      <w:pPr>
        <w:ind w:firstLine="3264" w:firstLineChars="739"/>
        <w:rPr>
          <w:rFonts w:ascii="宋体" w:hAnsi="宋体" w:cs="宋体"/>
          <w:b/>
          <w:color w:val="000000"/>
          <w:sz w:val="44"/>
        </w:rPr>
      </w:pPr>
    </w:p>
    <w:p>
      <w:pPr>
        <w:ind w:left="1260" w:leftChars="600" w:firstLine="1855" w:firstLineChars="420"/>
        <w:rPr>
          <w:rFonts w:ascii="宋体" w:hAnsi="宋体" w:cs="宋体"/>
          <w:b/>
          <w:color w:val="000000"/>
          <w:sz w:val="44"/>
        </w:rPr>
      </w:pPr>
    </w:p>
    <w:p>
      <w:pPr>
        <w:rPr>
          <w:rFonts w:ascii="宋体" w:hAnsi="宋体" w:cs="宋体"/>
          <w:b/>
          <w:color w:val="000000"/>
          <w:sz w:val="44"/>
        </w:rPr>
      </w:pPr>
    </w:p>
    <w:p>
      <w:pPr>
        <w:jc w:val="center"/>
        <w:rPr>
          <w:rFonts w:ascii="宋体" w:hAnsi="宋体" w:cs="宋体"/>
          <w:b/>
          <w:bCs/>
          <w:color w:val="000000"/>
          <w:sz w:val="36"/>
          <w:szCs w:val="36"/>
          <w:lang w:val="zh-CN"/>
        </w:rPr>
      </w:pPr>
      <w:r>
        <w:rPr>
          <w:rFonts w:hint="eastAsia" w:ascii="宋体" w:hAnsi="宋体" w:cs="宋体"/>
          <w:b/>
          <w:bCs/>
          <w:color w:val="000000"/>
          <w:sz w:val="36"/>
          <w:szCs w:val="36"/>
          <w:lang w:val="zh-CN"/>
        </w:rPr>
        <w:t>深圳市前海深港现代服务业合作区管理局</w:t>
      </w:r>
    </w:p>
    <w:p>
      <w:pPr>
        <w:jc w:val="center"/>
        <w:rPr>
          <w:rFonts w:ascii="宋体" w:hAnsi="宋体" w:cs="宋体"/>
          <w:b/>
          <w:bCs/>
          <w:color w:val="000000"/>
          <w:sz w:val="36"/>
          <w:szCs w:val="36"/>
        </w:rPr>
      </w:pPr>
      <w:r>
        <w:rPr>
          <w:rFonts w:hint="eastAsia" w:ascii="宋体" w:hAnsi="宋体" w:cs="宋体"/>
          <w:b/>
          <w:bCs/>
          <w:color w:val="000000"/>
          <w:sz w:val="36"/>
          <w:szCs w:val="36"/>
        </w:rPr>
        <w:t>2025年</w:t>
      </w:r>
      <w:r>
        <w:rPr>
          <w:rFonts w:hint="eastAsia" w:ascii="宋体" w:hAnsi="宋体" w:cs="宋体"/>
          <w:b/>
          <w:bCs/>
          <w:color w:val="000000"/>
          <w:sz w:val="36"/>
          <w:szCs w:val="36"/>
          <w:lang w:val="en-US" w:eastAsia="zh-CN"/>
        </w:rPr>
        <w:t>7</w:t>
      </w:r>
      <w:r>
        <w:rPr>
          <w:rFonts w:hint="eastAsia" w:ascii="宋体" w:hAnsi="宋体" w:cs="宋体"/>
          <w:b/>
          <w:bCs/>
          <w:color w:val="000000"/>
          <w:sz w:val="36"/>
          <w:szCs w:val="36"/>
        </w:rPr>
        <w:t>月</w:t>
      </w:r>
    </w:p>
    <w:p>
      <w:pPr>
        <w:autoSpaceDE w:val="0"/>
        <w:autoSpaceDN w:val="0"/>
        <w:adjustRightInd w:val="0"/>
        <w:jc w:val="center"/>
        <w:rPr>
          <w:rFonts w:hint="eastAsia" w:ascii="宋体" w:hAnsi="宋体" w:cs="宋体"/>
          <w:b/>
          <w:bCs/>
          <w:kern w:val="0"/>
          <w:sz w:val="36"/>
          <w:szCs w:val="36"/>
        </w:rPr>
      </w:pPr>
      <w:bookmarkStart w:id="0" w:name="_Toc12932"/>
      <w:r>
        <w:rPr>
          <w:rFonts w:ascii="宋体" w:hAnsi="宋体"/>
          <w:b/>
          <w:bCs/>
          <w:color w:val="000000"/>
          <w:sz w:val="32"/>
          <w:szCs w:val="40"/>
          <w:u w:val="single"/>
        </w:rPr>
        <w:br w:type="page"/>
      </w:r>
      <w:r>
        <w:rPr>
          <w:rFonts w:hint="eastAsia" w:ascii="宋体" w:hAnsi="宋体" w:cs="宋体"/>
          <w:b/>
          <w:bCs/>
          <w:kern w:val="0"/>
          <w:sz w:val="36"/>
          <w:szCs w:val="36"/>
        </w:rPr>
        <w:t>特别警示条款</w:t>
      </w:r>
    </w:p>
    <w:p>
      <w:pPr>
        <w:autoSpaceDE w:val="0"/>
        <w:autoSpaceDN w:val="0"/>
        <w:adjustRightInd w:val="0"/>
        <w:ind w:left="239" w:leftChars="114" w:firstLine="240" w:firstLineChars="100"/>
        <w:jc w:val="left"/>
        <w:rPr>
          <w:rFonts w:hint="eastAsia" w:ascii="宋体" w:hAnsi="宋体" w:cs="宋体"/>
          <w:sz w:val="24"/>
        </w:rPr>
      </w:pPr>
      <w:r>
        <w:rPr>
          <w:rFonts w:hint="eastAsia" w:ascii="宋体" w:hAnsi="宋体" w:cs="宋体"/>
          <w:sz w:val="24"/>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21"/>
        <w:tblW w:w="53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8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jc w:val="center"/>
              <w:rPr>
                <w:rFonts w:hint="eastAsia" w:ascii="宋体" w:hAnsi="宋体" w:cs="宋体"/>
                <w:b/>
                <w:bCs/>
                <w:sz w:val="24"/>
              </w:rPr>
            </w:pPr>
            <w:r>
              <w:rPr>
                <w:rFonts w:hint="eastAsia" w:ascii="宋体" w:hAnsi="宋体" w:cs="宋体"/>
                <w:b/>
                <w:bCs/>
                <w:sz w:val="24"/>
              </w:rPr>
              <w:t>序号</w:t>
            </w:r>
          </w:p>
        </w:tc>
        <w:tc>
          <w:tcPr>
            <w:tcW w:w="4519" w:type="pct"/>
            <w:noWrap w:val="0"/>
            <w:vAlign w:val="center"/>
          </w:tcPr>
          <w:p>
            <w:pPr>
              <w:jc w:val="center"/>
              <w:rPr>
                <w:rFonts w:hint="eastAsia" w:ascii="宋体" w:hAnsi="宋体" w:cs="宋体"/>
                <w:b/>
                <w:bCs/>
                <w:sz w:val="24"/>
              </w:rPr>
            </w:pPr>
            <w:r>
              <w:rPr>
                <w:rFonts w:hint="eastAsia" w:ascii="宋体" w:hAnsi="宋体" w:cs="宋体"/>
                <w:b/>
                <w:bCs/>
                <w:sz w:val="24"/>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jc w:val="center"/>
              <w:rPr>
                <w:rFonts w:hint="eastAsia" w:ascii="宋体" w:hAnsi="宋体" w:cs="宋体"/>
                <w:sz w:val="24"/>
              </w:rPr>
            </w:pPr>
            <w:r>
              <w:rPr>
                <w:rFonts w:hint="eastAsia" w:ascii="宋体" w:hAnsi="宋体" w:cs="宋体"/>
                <w:sz w:val="24"/>
              </w:rPr>
              <w:t>1</w:t>
            </w:r>
          </w:p>
        </w:tc>
        <w:tc>
          <w:tcPr>
            <w:tcW w:w="4519" w:type="pct"/>
            <w:noWrap w:val="0"/>
            <w:vAlign w:val="center"/>
          </w:tcPr>
          <w:p>
            <w:pPr>
              <w:jc w:val="left"/>
              <w:rPr>
                <w:rFonts w:hint="eastAsia" w:ascii="宋体" w:hAnsi="宋体" w:cs="宋体"/>
                <w:sz w:val="24"/>
              </w:rPr>
            </w:pPr>
            <w:r>
              <w:rPr>
                <w:rFonts w:hint="eastAsia" w:ascii="宋体" w:hAnsi="宋体" w:cs="宋体"/>
                <w:sz w:val="24"/>
              </w:rPr>
              <w:t>与其他投标供应商的法定代表人、主要经营负责人、投标授权代表人、项目负责人、主要技术人员为</w:t>
            </w:r>
            <w:r>
              <w:rPr>
                <w:rFonts w:hint="eastAsia" w:ascii="宋体" w:hAnsi="宋体" w:cs="宋体"/>
                <w:b/>
                <w:bCs/>
                <w:sz w:val="24"/>
              </w:rPr>
              <w:t>同一人、属同一单位或者在同一单位缴纳社会保险</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jc w:val="center"/>
              <w:rPr>
                <w:rFonts w:hint="eastAsia" w:ascii="宋体" w:hAnsi="宋体" w:cs="宋体"/>
                <w:sz w:val="24"/>
              </w:rPr>
            </w:pPr>
            <w:r>
              <w:rPr>
                <w:rFonts w:hint="eastAsia" w:ascii="宋体" w:hAnsi="宋体" w:cs="宋体"/>
                <w:sz w:val="24"/>
              </w:rPr>
              <w:t>2</w:t>
            </w:r>
          </w:p>
        </w:tc>
        <w:tc>
          <w:tcPr>
            <w:tcW w:w="4519" w:type="pct"/>
            <w:noWrap w:val="0"/>
            <w:vAlign w:val="center"/>
          </w:tcPr>
          <w:p>
            <w:pPr>
              <w:jc w:val="left"/>
              <w:rPr>
                <w:rFonts w:hint="eastAsia" w:ascii="宋体" w:hAnsi="宋体" w:cs="宋体"/>
                <w:sz w:val="24"/>
              </w:rPr>
            </w:pPr>
            <w:r>
              <w:rPr>
                <w:rFonts w:hint="eastAsia" w:ascii="宋体" w:hAnsi="宋体" w:cs="宋体"/>
                <w:sz w:val="24"/>
              </w:rPr>
              <w:t>参与本项目政府采购活动时，与其他投标供应商存在单位负责人为</w:t>
            </w:r>
            <w:r>
              <w:rPr>
                <w:rFonts w:hint="eastAsia" w:ascii="宋体" w:hAnsi="宋体" w:cs="宋体"/>
                <w:b/>
                <w:bCs/>
                <w:sz w:val="24"/>
              </w:rPr>
              <w:t>同一人或直接控股、管理关系</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jc w:val="center"/>
              <w:rPr>
                <w:rFonts w:hint="eastAsia" w:ascii="宋体" w:hAnsi="宋体" w:cs="宋体"/>
                <w:sz w:val="24"/>
              </w:rPr>
            </w:pPr>
            <w:r>
              <w:rPr>
                <w:rFonts w:hint="eastAsia" w:ascii="宋体" w:hAnsi="宋体" w:cs="宋体"/>
                <w:sz w:val="24"/>
              </w:rPr>
              <w:t>3</w:t>
            </w:r>
          </w:p>
        </w:tc>
        <w:tc>
          <w:tcPr>
            <w:tcW w:w="4519" w:type="pct"/>
            <w:noWrap w:val="0"/>
            <w:vAlign w:val="center"/>
          </w:tcPr>
          <w:p>
            <w:pPr>
              <w:jc w:val="left"/>
              <w:rPr>
                <w:rFonts w:hint="eastAsia" w:ascii="宋体" w:hAnsi="宋体" w:cs="宋体"/>
                <w:sz w:val="24"/>
              </w:rPr>
            </w:pPr>
            <w:r>
              <w:rPr>
                <w:rFonts w:hint="eastAsia" w:ascii="宋体" w:hAnsi="宋体" w:cs="宋体"/>
                <w:sz w:val="24"/>
              </w:rPr>
              <w:t>与其他投标供应商的投标文件或部分投标文件</w:t>
            </w:r>
            <w:r>
              <w:rPr>
                <w:rFonts w:hint="eastAsia" w:ascii="宋体" w:hAnsi="宋体" w:cs="宋体"/>
                <w:b/>
                <w:bCs/>
                <w:sz w:val="24"/>
              </w:rPr>
              <w:t>相互混装或存在非正常一致</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jc w:val="center"/>
              <w:rPr>
                <w:rFonts w:hint="eastAsia" w:ascii="宋体" w:hAnsi="宋体" w:cs="宋体"/>
                <w:sz w:val="24"/>
              </w:rPr>
            </w:pPr>
            <w:r>
              <w:rPr>
                <w:rFonts w:hint="eastAsia" w:ascii="宋体" w:hAnsi="宋体" w:cs="宋体"/>
                <w:sz w:val="24"/>
              </w:rPr>
              <w:t>4</w:t>
            </w:r>
          </w:p>
        </w:tc>
        <w:tc>
          <w:tcPr>
            <w:tcW w:w="4519" w:type="pct"/>
            <w:noWrap w:val="0"/>
            <w:vAlign w:val="center"/>
          </w:tcPr>
          <w:p>
            <w:pPr>
              <w:jc w:val="left"/>
              <w:rPr>
                <w:rFonts w:hint="eastAsia" w:ascii="宋体" w:hAnsi="宋体" w:cs="宋体"/>
                <w:sz w:val="24"/>
              </w:rPr>
            </w:pPr>
            <w:r>
              <w:rPr>
                <w:rFonts w:hint="eastAsia" w:ascii="宋体" w:hAnsi="宋体" w:cs="宋体"/>
                <w:sz w:val="24"/>
              </w:rPr>
              <w:t>与其他投标供应商的投标文件由</w:t>
            </w:r>
            <w:r>
              <w:rPr>
                <w:rFonts w:hint="eastAsia" w:ascii="宋体" w:hAnsi="宋体" w:cs="宋体"/>
                <w:b/>
                <w:bCs/>
                <w:sz w:val="24"/>
              </w:rPr>
              <w:t>同一单位或者同一人编制</w:t>
            </w:r>
            <w:r>
              <w:rPr>
                <w:rFonts w:hint="eastAsia" w:ascii="宋体" w:hAnsi="宋体" w:cs="宋体"/>
                <w:sz w:val="24"/>
              </w:rPr>
              <w:t>，或者使用</w:t>
            </w:r>
            <w:r>
              <w:rPr>
                <w:rFonts w:hint="eastAsia" w:ascii="宋体" w:hAnsi="宋体" w:cs="宋体"/>
                <w:b/>
                <w:bCs/>
                <w:sz w:val="24"/>
              </w:rPr>
              <w:t>同一设备编制</w:t>
            </w:r>
            <w:r>
              <w:rPr>
                <w:rFonts w:hint="eastAsia" w:ascii="宋体" w:hAnsi="宋体" w:cs="宋体"/>
                <w:sz w:val="24"/>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jc w:val="center"/>
              <w:rPr>
                <w:rFonts w:hint="eastAsia" w:ascii="宋体" w:hAnsi="宋体" w:cs="宋体"/>
                <w:sz w:val="24"/>
              </w:rPr>
            </w:pPr>
            <w:r>
              <w:rPr>
                <w:rFonts w:hint="eastAsia" w:ascii="宋体" w:hAnsi="宋体" w:cs="宋体"/>
                <w:sz w:val="24"/>
              </w:rPr>
              <w:t>5</w:t>
            </w:r>
          </w:p>
        </w:tc>
        <w:tc>
          <w:tcPr>
            <w:tcW w:w="4519" w:type="pct"/>
            <w:noWrap w:val="0"/>
            <w:vAlign w:val="center"/>
          </w:tcPr>
          <w:p>
            <w:pPr>
              <w:jc w:val="left"/>
              <w:rPr>
                <w:rFonts w:hint="eastAsia" w:ascii="宋体" w:hAnsi="宋体" w:cs="宋体"/>
                <w:sz w:val="24"/>
              </w:rPr>
            </w:pPr>
            <w:r>
              <w:rPr>
                <w:rFonts w:hint="eastAsia" w:ascii="宋体" w:hAnsi="宋体" w:cs="宋体"/>
                <w:sz w:val="24"/>
              </w:rPr>
              <w:t>提供</w:t>
            </w:r>
            <w:r>
              <w:rPr>
                <w:rFonts w:hint="eastAsia" w:ascii="宋体" w:hAnsi="宋体" w:cs="宋体"/>
                <w:b/>
                <w:bCs/>
                <w:sz w:val="24"/>
              </w:rPr>
              <w:t>未经出具机构核实</w:t>
            </w:r>
            <w:r>
              <w:rPr>
                <w:rFonts w:hint="eastAsia" w:ascii="宋体" w:hAnsi="宋体" w:cs="宋体"/>
                <w:sz w:val="24"/>
              </w:rPr>
              <w:t>的虚假的检验检测报告、业绩材料、社保缴纳证明、学历学位证书、职称认证证书等材料。</w:t>
            </w:r>
          </w:p>
        </w:tc>
      </w:tr>
    </w:tbl>
    <w:p>
      <w:pPr>
        <w:autoSpaceDE w:val="0"/>
        <w:autoSpaceDN w:val="0"/>
        <w:adjustRightInd w:val="0"/>
        <w:jc w:val="center"/>
        <w:rPr>
          <w:rFonts w:hint="eastAsia" w:ascii="宋体" w:hAnsi="宋体" w:cs="宋体"/>
          <w:b/>
          <w:kern w:val="0"/>
          <w:sz w:val="24"/>
        </w:rPr>
      </w:pPr>
    </w:p>
    <w:p>
      <w:pPr>
        <w:autoSpaceDE w:val="0"/>
        <w:autoSpaceDN w:val="0"/>
        <w:adjustRightInd w:val="0"/>
        <w:jc w:val="center"/>
        <w:rPr>
          <w:rFonts w:hint="eastAsia" w:ascii="宋体" w:hAnsi="宋体" w:cs="宋体"/>
          <w:b/>
          <w:kern w:val="0"/>
          <w:sz w:val="24"/>
        </w:rPr>
      </w:pPr>
      <w:r>
        <w:rPr>
          <w:rFonts w:hint="eastAsia" w:ascii="宋体" w:hAnsi="宋体" w:cs="宋体"/>
          <w:b/>
          <w:kern w:val="0"/>
          <w:sz w:val="24"/>
        </w:rPr>
        <w:t>《深圳经济特区政府采购条例》</w:t>
      </w:r>
    </w:p>
    <w:p>
      <w:pPr>
        <w:autoSpaceDE w:val="0"/>
        <w:autoSpaceDN w:val="0"/>
        <w:adjustRightInd w:val="0"/>
        <w:ind w:left="239" w:leftChars="114" w:firstLine="241" w:firstLineChars="100"/>
        <w:jc w:val="left"/>
        <w:rPr>
          <w:rFonts w:hint="eastAsia" w:ascii="宋体" w:hAnsi="宋体" w:cs="宋体"/>
          <w:sz w:val="24"/>
        </w:rPr>
      </w:pPr>
      <w:r>
        <w:rPr>
          <w:rStyle w:val="23"/>
          <w:rFonts w:hint="eastAsia" w:ascii="宋体" w:hAnsi="宋体" w:cs="宋体"/>
          <w:sz w:val="24"/>
        </w:rPr>
        <w:t>第五十七条</w:t>
      </w:r>
      <w:r>
        <w:rPr>
          <w:rFonts w:hint="eastAsia" w:ascii="宋体" w:hAnsi="宋体" w:cs="宋体"/>
          <w:sz w:val="24"/>
        </w:rPr>
        <w:t> 供应商在政府采购中，有下列行为之一的，一至三年内禁止其k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6"/>
        <w:spacing w:before="0" w:beforeAutospacing="0" w:after="0" w:afterAutospacing="0"/>
        <w:ind w:firstLine="480" w:firstLineChars="200"/>
        <w:rPr>
          <w:rFonts w:hint="eastAsia"/>
        </w:rPr>
      </w:pPr>
      <w:bookmarkStart w:id="1" w:name="_Toc2750"/>
      <w:r>
        <w:rPr>
          <w:rFonts w:hint="eastAsia"/>
        </w:rPr>
        <w:t>（一）在采购活动中应当回避而未回避的；</w:t>
      </w:r>
      <w:bookmarkEnd w:id="1"/>
    </w:p>
    <w:p>
      <w:pPr>
        <w:pStyle w:val="16"/>
        <w:spacing w:before="0" w:beforeAutospacing="0" w:after="0" w:afterAutospacing="0"/>
        <w:ind w:firstLine="480" w:firstLineChars="200"/>
        <w:rPr>
          <w:rFonts w:hint="eastAsia"/>
        </w:rPr>
      </w:pPr>
      <w:r>
        <w:rPr>
          <w:rFonts w:hint="eastAsia"/>
        </w:rPr>
        <w:t>（二）未按照本条例规定签订、履行采购合同，造成严重后果的；</w:t>
      </w:r>
    </w:p>
    <w:p>
      <w:pPr>
        <w:pStyle w:val="16"/>
        <w:spacing w:before="0" w:beforeAutospacing="0" w:after="0" w:afterAutospacing="0"/>
        <w:ind w:firstLine="480" w:firstLineChars="200"/>
        <w:rPr>
          <w:rFonts w:hint="eastAsia"/>
        </w:rPr>
      </w:pPr>
      <w:r>
        <w:rPr>
          <w:rFonts w:hint="eastAsia"/>
        </w:rPr>
        <w:t>（三）隐瞒真实情况，提供虚假资料的；</w:t>
      </w:r>
    </w:p>
    <w:p>
      <w:pPr>
        <w:pStyle w:val="16"/>
        <w:spacing w:before="0" w:beforeAutospacing="0" w:after="0" w:afterAutospacing="0"/>
        <w:ind w:firstLine="480" w:firstLineChars="200"/>
        <w:rPr>
          <w:rFonts w:hint="eastAsia"/>
        </w:rPr>
      </w:pPr>
      <w:r>
        <w:rPr>
          <w:rFonts w:hint="eastAsia"/>
        </w:rPr>
        <w:t>（四）以非法手段排斥其他供应商参与竞争的；</w:t>
      </w:r>
    </w:p>
    <w:p>
      <w:pPr>
        <w:pStyle w:val="16"/>
        <w:spacing w:before="0" w:beforeAutospacing="0" w:after="0" w:afterAutospacing="0"/>
        <w:ind w:firstLine="480" w:firstLineChars="200"/>
        <w:rPr>
          <w:rFonts w:hint="eastAsia"/>
        </w:rPr>
      </w:pPr>
      <w:r>
        <w:rPr>
          <w:rFonts w:hint="eastAsia"/>
        </w:rPr>
        <w:t>（五）与其他采购参加人串通投标的；</w:t>
      </w:r>
    </w:p>
    <w:p>
      <w:pPr>
        <w:pStyle w:val="16"/>
        <w:spacing w:before="0" w:beforeAutospacing="0" w:after="0" w:afterAutospacing="0"/>
        <w:ind w:firstLine="480" w:firstLineChars="200"/>
        <w:rPr>
          <w:rFonts w:hint="eastAsia"/>
        </w:rPr>
      </w:pPr>
      <w:r>
        <w:rPr>
          <w:rFonts w:hint="eastAsia"/>
        </w:rPr>
        <w:t>（六）恶意投诉的；</w:t>
      </w:r>
    </w:p>
    <w:p>
      <w:pPr>
        <w:pStyle w:val="16"/>
        <w:spacing w:before="0" w:beforeAutospacing="0" w:after="0" w:afterAutospacing="0"/>
        <w:ind w:firstLine="480" w:firstLineChars="200"/>
        <w:rPr>
          <w:rFonts w:hint="eastAsia"/>
        </w:rPr>
      </w:pPr>
      <w:r>
        <w:rPr>
          <w:rFonts w:hint="eastAsia"/>
        </w:rPr>
        <w:t>（七）向采购项目相关人行贿或者提供其他不当利益的；</w:t>
      </w:r>
    </w:p>
    <w:p>
      <w:pPr>
        <w:pStyle w:val="16"/>
        <w:spacing w:before="0" w:beforeAutospacing="0" w:after="0" w:afterAutospacing="0"/>
        <w:ind w:firstLine="480" w:firstLineChars="200"/>
        <w:rPr>
          <w:rFonts w:hint="eastAsia"/>
        </w:rPr>
      </w:pPr>
      <w:r>
        <w:rPr>
          <w:rFonts w:hint="eastAsia"/>
        </w:rPr>
        <w:t>（八）阻碍、抗拒主管部门监督检查的；</w:t>
      </w:r>
    </w:p>
    <w:p>
      <w:pPr>
        <w:pStyle w:val="16"/>
        <w:spacing w:before="0" w:beforeAutospacing="0" w:after="0" w:afterAutospacing="0"/>
        <w:ind w:firstLine="480" w:firstLineChars="200"/>
        <w:rPr>
          <w:rFonts w:hint="eastAsia"/>
        </w:rPr>
      </w:pPr>
      <w:r>
        <w:rPr>
          <w:rFonts w:hint="eastAsia"/>
        </w:rPr>
        <w:t>（九）其他违反本条例规定的行为。</w:t>
      </w:r>
    </w:p>
    <w:p>
      <w:pPr>
        <w:autoSpaceDE w:val="0"/>
        <w:autoSpaceDN w:val="0"/>
        <w:adjustRightInd w:val="0"/>
        <w:ind w:firstLine="360" w:firstLineChars="150"/>
        <w:jc w:val="left"/>
        <w:rPr>
          <w:rFonts w:hint="eastAsia" w:ascii="宋体" w:hAnsi="宋体" w:cs="宋体"/>
          <w:kern w:val="0"/>
          <w:sz w:val="24"/>
        </w:rPr>
      </w:pPr>
    </w:p>
    <w:p>
      <w:pPr>
        <w:autoSpaceDE w:val="0"/>
        <w:autoSpaceDN w:val="0"/>
        <w:adjustRightInd w:val="0"/>
        <w:jc w:val="center"/>
        <w:rPr>
          <w:rFonts w:hint="eastAsia" w:ascii="宋体" w:hAnsi="宋体" w:cs="宋体"/>
          <w:b/>
          <w:kern w:val="0"/>
          <w:sz w:val="24"/>
        </w:rPr>
      </w:pPr>
      <w:r>
        <w:rPr>
          <w:rFonts w:hint="eastAsia" w:ascii="宋体" w:hAnsi="宋体" w:cs="宋体"/>
          <w:b/>
          <w:kern w:val="0"/>
          <w:sz w:val="24"/>
        </w:rPr>
        <w:t>《深圳经济特区政府采购条例实施细则》</w:t>
      </w:r>
    </w:p>
    <w:p>
      <w:pPr>
        <w:keepLines/>
        <w:ind w:firstLine="482" w:firstLineChars="200"/>
        <w:rPr>
          <w:rFonts w:hint="eastAsia" w:ascii="宋体" w:hAnsi="宋体" w:cs="宋体"/>
          <w:sz w:val="24"/>
        </w:rPr>
      </w:pPr>
      <w:r>
        <w:rPr>
          <w:rFonts w:hint="eastAsia" w:ascii="宋体" w:hAnsi="宋体" w:cs="宋体"/>
          <w:b/>
          <w:bCs/>
          <w:sz w:val="24"/>
        </w:rPr>
        <w:t>第七十五条</w:t>
      </w:r>
      <w:r>
        <w:rPr>
          <w:rFonts w:hint="eastAsia" w:ascii="宋体" w:hAnsi="宋体" w:cs="宋体"/>
          <w:sz w:val="24"/>
        </w:rPr>
        <w:t> 供应商有下列情形的，属于采购条例所称的串通投标行为，按照采购条例第五十七条有关规定处理：</w:t>
      </w:r>
    </w:p>
    <w:p>
      <w:pPr>
        <w:keepLines/>
        <w:ind w:firstLine="480" w:firstLineChars="200"/>
        <w:rPr>
          <w:rFonts w:hint="eastAsia" w:ascii="宋体" w:hAnsi="宋体" w:cs="宋体"/>
          <w:sz w:val="24"/>
        </w:rPr>
      </w:pPr>
      <w:bookmarkStart w:id="2" w:name="_Toc6281"/>
      <w:r>
        <w:rPr>
          <w:rFonts w:hint="eastAsia" w:ascii="宋体" w:hAnsi="宋体" w:cs="宋体"/>
          <w:sz w:val="24"/>
        </w:rPr>
        <w:t>（一）投标供应商之间相互约定给予未中标的供应商利益补偿；</w:t>
      </w:r>
      <w:bookmarkEnd w:id="2"/>
    </w:p>
    <w:p>
      <w:pPr>
        <w:keepLines/>
        <w:ind w:firstLine="480" w:firstLineChars="200"/>
        <w:rPr>
          <w:rFonts w:hint="eastAsia" w:ascii="宋体" w:hAnsi="宋体" w:cs="宋体"/>
          <w:sz w:val="24"/>
        </w:rPr>
      </w:pPr>
      <w:r>
        <w:rPr>
          <w:rFonts w:hint="eastAsia" w:ascii="宋体" w:hAnsi="宋体" w:cs="宋体"/>
          <w:sz w:val="24"/>
        </w:rPr>
        <w:t>（二）不同投标供应商的法定代表人、主要经营负责人、项目投标授权代表人、项目负责人、主要技术人员为同一人、属同一单位或者在同一单位缴纳社会保险；　　　　 </w:t>
      </w:r>
    </w:p>
    <w:p>
      <w:pPr>
        <w:keepLines/>
        <w:ind w:firstLine="480" w:firstLineChars="200"/>
        <w:rPr>
          <w:rFonts w:hint="eastAsia" w:ascii="宋体" w:hAnsi="宋体" w:cs="宋体"/>
          <w:sz w:val="24"/>
        </w:rPr>
      </w:pPr>
      <w:r>
        <w:rPr>
          <w:rFonts w:hint="eastAsia" w:ascii="宋体" w:hAnsi="宋体" w:cs="宋体"/>
          <w:sz w:val="24"/>
        </w:rPr>
        <w:t>（三）不同投标供应商的投标文件由同一单位或者同一人编制，或者由同一人分阶段参与编制的；</w:t>
      </w:r>
    </w:p>
    <w:p>
      <w:pPr>
        <w:keepLines/>
        <w:ind w:firstLine="480" w:firstLineChars="200"/>
        <w:rPr>
          <w:rFonts w:hint="eastAsia" w:ascii="宋体" w:hAnsi="宋体" w:cs="宋体"/>
          <w:sz w:val="24"/>
        </w:rPr>
      </w:pPr>
      <w:r>
        <w:rPr>
          <w:rFonts w:hint="eastAsia" w:ascii="宋体" w:hAnsi="宋体" w:cs="宋体"/>
          <w:sz w:val="24"/>
        </w:rPr>
        <w:t>（四）不同投标供应商的投标文件或部分投标文件相互混装；</w:t>
      </w:r>
    </w:p>
    <w:p>
      <w:pPr>
        <w:keepLines/>
        <w:ind w:firstLine="480" w:firstLineChars="200"/>
        <w:rPr>
          <w:rFonts w:hint="eastAsia" w:ascii="宋体" w:hAnsi="宋体" w:cs="宋体"/>
          <w:sz w:val="24"/>
        </w:rPr>
      </w:pPr>
      <w:r>
        <w:rPr>
          <w:rFonts w:hint="eastAsia" w:ascii="宋体" w:hAnsi="宋体" w:cs="宋体"/>
          <w:sz w:val="24"/>
        </w:rPr>
        <w:t>（五）不同投标供应商的投标文件内容存在非正常一致；</w:t>
      </w:r>
    </w:p>
    <w:p>
      <w:pPr>
        <w:keepLines/>
        <w:ind w:firstLine="480" w:firstLineChars="200"/>
        <w:rPr>
          <w:rFonts w:hint="eastAsia" w:ascii="宋体" w:hAnsi="宋体" w:cs="宋体"/>
          <w:sz w:val="24"/>
        </w:rPr>
      </w:pPr>
      <w:r>
        <w:rPr>
          <w:rFonts w:hint="eastAsia" w:ascii="宋体" w:hAnsi="宋体" w:cs="宋体"/>
          <w:sz w:val="24"/>
        </w:rPr>
        <w:t>（六）由同一单位工作人员为两家以上（含两家）供应商进行同一项投标活动的；</w:t>
      </w:r>
    </w:p>
    <w:p>
      <w:pPr>
        <w:keepLines/>
        <w:ind w:firstLine="480" w:firstLineChars="200"/>
        <w:rPr>
          <w:rFonts w:hint="eastAsia" w:ascii="宋体" w:hAnsi="宋体" w:cs="宋体"/>
          <w:sz w:val="24"/>
        </w:rPr>
      </w:pPr>
      <w:bookmarkStart w:id="3" w:name="_Toc31089"/>
      <w:r>
        <w:rPr>
          <w:rFonts w:hint="eastAsia" w:ascii="宋体" w:hAnsi="宋体" w:cs="宋体"/>
          <w:sz w:val="24"/>
        </w:rPr>
        <w:t>（七）主管部门依照法律、法规认定的其他情形。</w:t>
      </w:r>
      <w:bookmarkEnd w:id="3"/>
    </w:p>
    <w:p>
      <w:pPr>
        <w:keepLines/>
        <w:ind w:firstLine="482" w:firstLineChars="200"/>
        <w:rPr>
          <w:rFonts w:hint="eastAsia" w:ascii="宋体" w:hAnsi="宋体" w:cs="宋体"/>
          <w:sz w:val="24"/>
        </w:rPr>
      </w:pPr>
      <w:r>
        <w:rPr>
          <w:rFonts w:hint="eastAsia" w:ascii="宋体" w:hAnsi="宋体" w:cs="宋体"/>
          <w:b/>
          <w:bCs/>
          <w:sz w:val="24"/>
        </w:rPr>
        <w:t>第七十七条</w:t>
      </w:r>
      <w:r>
        <w:rPr>
          <w:rFonts w:hint="eastAsia" w:ascii="宋体" w:hAnsi="宋体" w:cs="宋体"/>
          <w:sz w:val="24"/>
        </w:rPr>
        <w:t> 供应商有下列情形之一的，属于隐瞒真实情况，提供虚假资料，按照采购条例第五十七条的有关规定处理：</w:t>
      </w:r>
    </w:p>
    <w:p>
      <w:pPr>
        <w:keepLines/>
        <w:ind w:firstLine="480" w:firstLineChars="200"/>
        <w:rPr>
          <w:rFonts w:hint="eastAsia" w:ascii="宋体" w:hAnsi="宋体" w:cs="宋体"/>
          <w:sz w:val="24"/>
        </w:rPr>
      </w:pPr>
      <w:r>
        <w:rPr>
          <w:rFonts w:hint="eastAsia" w:ascii="宋体" w:hAnsi="宋体" w:cs="宋体"/>
          <w:sz w:val="24"/>
        </w:rPr>
        <w:t>（一）通过转让或者租借等方式从其他单位获取资格或者资质证书投标的；</w:t>
      </w:r>
    </w:p>
    <w:p>
      <w:pPr>
        <w:keepLines/>
        <w:ind w:firstLine="480" w:firstLineChars="200"/>
        <w:rPr>
          <w:rFonts w:hint="eastAsia" w:ascii="宋体" w:hAnsi="宋体" w:cs="宋体"/>
          <w:sz w:val="24"/>
        </w:rPr>
      </w:pPr>
      <w:r>
        <w:rPr>
          <w:rFonts w:hint="eastAsia" w:ascii="宋体" w:hAnsi="宋体" w:cs="宋体"/>
          <w:sz w:val="24"/>
        </w:rPr>
        <w:t>（二）由其他单位或者其他单位负责人在投标供应商编制的投标文件上加盖印章或者签字的；</w:t>
      </w:r>
    </w:p>
    <w:p>
      <w:pPr>
        <w:keepLines/>
        <w:ind w:firstLine="480" w:firstLineChars="200"/>
        <w:rPr>
          <w:rFonts w:hint="eastAsia" w:ascii="宋体" w:hAnsi="宋体" w:cs="宋体"/>
          <w:sz w:val="24"/>
        </w:rPr>
      </w:pPr>
      <w:r>
        <w:rPr>
          <w:rFonts w:hint="eastAsia" w:ascii="宋体" w:hAnsi="宋体" w:cs="宋体"/>
          <w:sz w:val="24"/>
        </w:rPr>
        <w:t>（三）项目负责人或者主要技术人员不是本单位人员的；</w:t>
      </w:r>
    </w:p>
    <w:p>
      <w:pPr>
        <w:keepLines/>
        <w:ind w:firstLine="480" w:firstLineChars="200"/>
        <w:rPr>
          <w:rFonts w:hint="eastAsia" w:ascii="宋体" w:hAnsi="宋体" w:cs="宋体"/>
          <w:sz w:val="24"/>
        </w:rPr>
      </w:pPr>
      <w:r>
        <w:rPr>
          <w:rFonts w:hint="eastAsia" w:ascii="宋体" w:hAnsi="宋体" w:cs="宋体"/>
          <w:sz w:val="24"/>
        </w:rPr>
        <w:t>（四）投标保证金不是从投标供应商基本账户转出的；</w:t>
      </w:r>
    </w:p>
    <w:p>
      <w:pPr>
        <w:keepLines/>
        <w:ind w:firstLine="480" w:firstLineChars="200"/>
        <w:jc w:val="left"/>
        <w:rPr>
          <w:rFonts w:hint="eastAsia" w:ascii="宋体" w:hAnsi="宋体" w:cs="宋体"/>
          <w:sz w:val="24"/>
        </w:rPr>
      </w:pPr>
      <w:r>
        <w:rPr>
          <w:rFonts w:hint="eastAsia" w:ascii="宋体" w:hAnsi="宋体" w:cs="宋体"/>
          <w:sz w:val="24"/>
        </w:rPr>
        <w:t>（五）其他隐瞒真实情况、提供虚假资料的行为。</w:t>
      </w:r>
    </w:p>
    <w:p>
      <w:pPr>
        <w:keepLines/>
        <w:ind w:firstLine="480" w:firstLineChars="200"/>
        <w:jc w:val="left"/>
        <w:rPr>
          <w:rFonts w:hint="eastAsia" w:ascii="宋体" w:hAnsi="宋体" w:cs="宋体"/>
          <w:sz w:val="24"/>
        </w:rPr>
      </w:pPr>
      <w:r>
        <w:rPr>
          <w:rFonts w:hint="eastAsia" w:ascii="宋体" w:hAnsi="宋体" w:cs="宋体"/>
          <w:sz w:val="24"/>
        </w:rPr>
        <w:t>投标供应商不能提供项目负责人或者主要技术人员的劳动合同、社会保险等劳动关系证明材料的，视为存在前款第（三）项规定的情形。</w:t>
      </w:r>
    </w:p>
    <w:p>
      <w:pPr>
        <w:autoSpaceDE w:val="0"/>
        <w:autoSpaceDN w:val="0"/>
        <w:adjustRightInd w:val="0"/>
        <w:jc w:val="center"/>
        <w:rPr>
          <w:rFonts w:hint="eastAsia" w:ascii="宋体" w:hAnsi="宋体" w:cs="宋体"/>
          <w:b/>
          <w:kern w:val="0"/>
          <w:sz w:val="24"/>
        </w:rPr>
      </w:pPr>
    </w:p>
    <w:p>
      <w:pPr>
        <w:autoSpaceDE w:val="0"/>
        <w:autoSpaceDN w:val="0"/>
        <w:adjustRightInd w:val="0"/>
        <w:jc w:val="center"/>
        <w:rPr>
          <w:rFonts w:hint="eastAsia" w:ascii="宋体" w:hAnsi="宋体" w:cs="宋体"/>
          <w:b/>
          <w:kern w:val="0"/>
          <w:sz w:val="24"/>
        </w:rPr>
      </w:pPr>
      <w:r>
        <w:rPr>
          <w:rFonts w:hint="eastAsia" w:ascii="宋体" w:hAnsi="宋体" w:cs="宋体"/>
          <w:b/>
          <w:kern w:val="0"/>
          <w:sz w:val="24"/>
        </w:rPr>
        <w:t xml:space="preserve">《中华人民共和国政府采购法实施条例》 </w:t>
      </w:r>
    </w:p>
    <w:p>
      <w:pPr>
        <w:ind w:firstLine="482" w:firstLineChars="200"/>
        <w:jc w:val="left"/>
        <w:rPr>
          <w:rFonts w:hint="eastAsia" w:ascii="宋体" w:hAnsi="宋体" w:cs="宋体"/>
          <w:sz w:val="24"/>
        </w:rPr>
      </w:pPr>
      <w:bookmarkStart w:id="4" w:name="_Toc10451"/>
      <w:r>
        <w:rPr>
          <w:rFonts w:hint="eastAsia" w:ascii="宋体" w:hAnsi="宋体" w:cs="宋体"/>
          <w:b/>
          <w:bCs/>
          <w:sz w:val="24"/>
        </w:rPr>
        <w:t>第十八条</w:t>
      </w:r>
      <w:r>
        <w:rPr>
          <w:rFonts w:hint="eastAsia" w:ascii="宋体" w:hAnsi="宋体" w:cs="宋体"/>
          <w:sz w:val="24"/>
        </w:rPr>
        <w:t xml:space="preserve"> 单位负责人为同一人或者存在直接控股、管理关系的不同供应商，不得参加同一合同项下的政府采购活动。</w:t>
      </w:r>
      <w:bookmarkEnd w:id="4"/>
    </w:p>
    <w:p>
      <w:pPr>
        <w:ind w:firstLine="480" w:firstLineChars="200"/>
        <w:jc w:val="left"/>
        <w:rPr>
          <w:rFonts w:hint="eastAsia" w:ascii="宋体" w:hAnsi="宋体" w:cs="宋体"/>
          <w:sz w:val="24"/>
        </w:rPr>
      </w:pPr>
      <w:bookmarkStart w:id="5" w:name="_Toc4495"/>
      <w:r>
        <w:rPr>
          <w:rFonts w:hint="eastAsia" w:ascii="宋体" w:hAnsi="宋体" w:cs="宋体"/>
          <w:sz w:val="24"/>
        </w:rPr>
        <w:t>除单一来源采购项目外，为采购项目提供整体设计、规范编制或者项目管理、监 理、检测等服务的供应商，不得再参加该采购项目的其他采购活动。</w:t>
      </w:r>
      <w:bookmarkEnd w:id="5"/>
    </w:p>
    <w:p>
      <w:pPr>
        <w:autoSpaceDE w:val="0"/>
        <w:autoSpaceDN w:val="0"/>
        <w:adjustRightInd w:val="0"/>
        <w:jc w:val="center"/>
        <w:rPr>
          <w:rFonts w:hint="eastAsia" w:ascii="宋体" w:hAnsi="宋体" w:cs="宋体"/>
          <w:b/>
          <w:kern w:val="0"/>
          <w:sz w:val="24"/>
        </w:rPr>
      </w:pPr>
    </w:p>
    <w:p>
      <w:pPr>
        <w:autoSpaceDE w:val="0"/>
        <w:autoSpaceDN w:val="0"/>
        <w:adjustRightInd w:val="0"/>
        <w:jc w:val="center"/>
        <w:rPr>
          <w:rFonts w:hint="eastAsia" w:ascii="宋体" w:hAnsi="宋体" w:cs="宋体"/>
          <w:sz w:val="24"/>
        </w:rPr>
      </w:pPr>
      <w:r>
        <w:rPr>
          <w:rFonts w:hint="eastAsia" w:ascii="宋体" w:hAnsi="宋体" w:cs="宋体"/>
          <w:b/>
          <w:kern w:val="0"/>
          <w:sz w:val="24"/>
        </w:rPr>
        <w:t xml:space="preserve">《深圳市财政局关于采购文件增加风险告知有关事项的通知》 </w:t>
      </w:r>
    </w:p>
    <w:p>
      <w:pPr>
        <w:ind w:firstLine="480" w:firstLineChars="200"/>
        <w:jc w:val="left"/>
        <w:rPr>
          <w:rFonts w:hint="eastAsia" w:ascii="宋体" w:hAnsi="宋体" w:cs="宋体"/>
          <w:sz w:val="24"/>
        </w:rPr>
      </w:pPr>
      <w:r>
        <w:rPr>
          <w:rFonts w:hint="eastAsia" w:ascii="宋体" w:hAnsi="宋体" w:cs="宋体"/>
          <w:sz w:val="24"/>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ind w:firstLine="480" w:firstLineChars="200"/>
        <w:jc w:val="left"/>
        <w:rPr>
          <w:rFonts w:hint="eastAsia" w:ascii="宋体" w:hAnsi="宋体" w:cs="宋体"/>
          <w:sz w:val="24"/>
        </w:rPr>
      </w:pPr>
    </w:p>
    <w:p>
      <w:pPr>
        <w:autoSpaceDE w:val="0"/>
        <w:autoSpaceDN w:val="0"/>
        <w:adjustRightInd w:val="0"/>
        <w:jc w:val="center"/>
        <w:rPr>
          <w:rFonts w:hint="eastAsia" w:ascii="宋体" w:hAnsi="宋体" w:cs="宋体"/>
          <w:b/>
          <w:kern w:val="0"/>
          <w:sz w:val="24"/>
        </w:rPr>
      </w:pPr>
      <w:r>
        <w:rPr>
          <w:rFonts w:hint="eastAsia" w:ascii="宋体" w:hAnsi="宋体" w:cs="宋体"/>
          <w:b/>
          <w:kern w:val="0"/>
          <w:sz w:val="24"/>
        </w:rPr>
        <w:t>《关于在相关自由贸易试验区和自由贸易港开展推动解决政府采购异常低价问题试点工作的通知》</w:t>
      </w:r>
    </w:p>
    <w:p>
      <w:pPr>
        <w:autoSpaceDE w:val="0"/>
        <w:autoSpaceDN w:val="0"/>
        <w:adjustRightInd w:val="0"/>
        <w:jc w:val="left"/>
        <w:rPr>
          <w:rFonts w:hint="eastAsia" w:ascii="宋体" w:hAnsi="宋体" w:cs="宋体"/>
          <w:b/>
          <w:kern w:val="0"/>
          <w:sz w:val="24"/>
        </w:rPr>
      </w:pPr>
      <w:r>
        <w:rPr>
          <w:rFonts w:hint="eastAsia" w:ascii="宋体" w:hAnsi="宋体" w:cs="宋体"/>
          <w:b/>
          <w:kern w:val="0"/>
          <w:sz w:val="24"/>
        </w:rPr>
        <w:t>强化政府采购异常低价审查：</w:t>
      </w:r>
    </w:p>
    <w:p>
      <w:pPr>
        <w:ind w:firstLine="480" w:firstLineChars="200"/>
        <w:jc w:val="left"/>
        <w:rPr>
          <w:rFonts w:hint="eastAsia" w:ascii="宋体" w:hAnsi="宋体" w:cs="宋体"/>
          <w:sz w:val="24"/>
        </w:rPr>
      </w:pPr>
      <w:r>
        <w:rPr>
          <w:rFonts w:hint="eastAsia" w:ascii="宋体" w:hAnsi="宋体" w:cs="宋体"/>
          <w:sz w:val="24"/>
        </w:rPr>
        <w:t>试点地区采购人应当在采购文件中明确异常低价投标（响应）审查的有关内容，主要包括：</w:t>
      </w:r>
    </w:p>
    <w:p>
      <w:pPr>
        <w:ind w:firstLine="480" w:firstLineChars="200"/>
        <w:jc w:val="left"/>
        <w:rPr>
          <w:rFonts w:hint="eastAsia" w:ascii="宋体" w:hAnsi="宋体" w:cs="宋体"/>
          <w:sz w:val="24"/>
        </w:rPr>
      </w:pPr>
      <w:r>
        <w:rPr>
          <w:rFonts w:hint="eastAsia" w:ascii="宋体" w:hAnsi="宋体" w:cs="宋体"/>
          <w:sz w:val="24"/>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ind w:firstLine="480" w:firstLineChars="200"/>
        <w:jc w:val="left"/>
        <w:rPr>
          <w:rFonts w:hint="eastAsia" w:ascii="宋体" w:hAnsi="宋体" w:cs="宋体"/>
          <w:sz w:val="24"/>
        </w:rPr>
      </w:pPr>
      <w:r>
        <w:rPr>
          <w:rFonts w:hint="eastAsia" w:ascii="宋体" w:hAnsi="宋体" w:cs="宋体"/>
          <w:sz w:val="24"/>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ind w:firstLine="480" w:firstLineChars="200"/>
        <w:jc w:val="left"/>
        <w:rPr>
          <w:rFonts w:hint="eastAsia" w:ascii="宋体" w:hAnsi="宋体" w:cs="宋体"/>
          <w:sz w:val="24"/>
        </w:rPr>
      </w:pPr>
      <w:r>
        <w:rPr>
          <w:rFonts w:hint="eastAsia" w:ascii="宋体" w:hAnsi="宋体" w:cs="宋体"/>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pStyle w:val="6"/>
        <w:tabs>
          <w:tab w:val="left" w:pos="562"/>
          <w:tab w:val="left" w:pos="3372"/>
          <w:tab w:val="left" w:pos="3653"/>
        </w:tabs>
        <w:spacing w:line="360" w:lineRule="auto"/>
        <w:ind w:firstLine="480" w:firstLineChars="200"/>
        <w:rPr>
          <w:rFonts w:ascii="宋体" w:hAnsi="宋体" w:cs="宋体"/>
          <w:color w:val="000000"/>
        </w:rPr>
      </w:pPr>
    </w:p>
    <w:p>
      <w:pPr>
        <w:jc w:val="center"/>
        <w:outlineLvl w:val="0"/>
        <w:rPr>
          <w:rFonts w:ascii="宋体" w:hAnsi="宋体" w:cs="宋体"/>
          <w:b/>
          <w:bCs/>
          <w:color w:val="000000"/>
          <w:sz w:val="36"/>
          <w:szCs w:val="36"/>
          <w:lang w:val="zh-CN"/>
        </w:rPr>
      </w:pPr>
      <w:r>
        <w:rPr>
          <w:rFonts w:hint="eastAsia" w:ascii="宋体" w:hAnsi="宋体" w:cs="宋体"/>
          <w:b/>
          <w:bCs/>
          <w:color w:val="000000"/>
          <w:sz w:val="36"/>
          <w:szCs w:val="36"/>
          <w:lang w:val="zh-CN"/>
        </w:rPr>
        <w:br w:type="page"/>
      </w:r>
      <w:bookmarkStart w:id="6" w:name="_Toc20808"/>
      <w:r>
        <w:rPr>
          <w:rFonts w:hint="eastAsia" w:ascii="宋体" w:hAnsi="宋体" w:cs="宋体"/>
          <w:b/>
          <w:bCs/>
          <w:color w:val="000000"/>
          <w:sz w:val="36"/>
          <w:szCs w:val="36"/>
          <w:lang w:val="zh-CN"/>
        </w:rPr>
        <w:t>目录</w:t>
      </w:r>
      <w:bookmarkEnd w:id="0"/>
      <w:bookmarkEnd w:id="6"/>
    </w:p>
    <w:p>
      <w:pPr>
        <w:pStyle w:val="13"/>
        <w:tabs>
          <w:tab w:val="right" w:leader="dot" w:pos="8306"/>
        </w:tabs>
        <w:spacing w:line="480" w:lineRule="auto"/>
        <w:rPr>
          <w:b/>
          <w:bCs/>
          <w:color w:val="000000"/>
          <w:sz w:val="24"/>
          <w:szCs w:val="32"/>
        </w:rPr>
      </w:pPr>
    </w:p>
    <w:p>
      <w:pPr>
        <w:pStyle w:val="13"/>
        <w:tabs>
          <w:tab w:val="right" w:leader="dot" w:pos="8306"/>
        </w:tabs>
        <w:spacing w:line="360" w:lineRule="auto"/>
        <w:rPr>
          <w:b/>
          <w:bCs/>
          <w:color w:val="000000"/>
          <w:sz w:val="24"/>
        </w:rPr>
      </w:pPr>
      <w:r>
        <w:rPr>
          <w:rFonts w:hint="eastAsia" w:ascii="宋体" w:hAnsi="宋体" w:cs="宋体"/>
          <w:b/>
          <w:bCs/>
          <w:color w:val="000000"/>
          <w:sz w:val="24"/>
        </w:rPr>
        <w:fldChar w:fldCharType="begin"/>
      </w:r>
      <w:r>
        <w:rPr>
          <w:rFonts w:hint="eastAsia" w:ascii="宋体" w:hAnsi="宋体" w:cs="宋体"/>
          <w:b/>
          <w:bCs/>
          <w:color w:val="000000"/>
          <w:sz w:val="24"/>
        </w:rPr>
        <w:instrText xml:space="preserve">TOC \o "1-1" \h \u </w:instrText>
      </w:r>
      <w:r>
        <w:rPr>
          <w:rFonts w:hint="eastAsia" w:ascii="宋体" w:hAnsi="宋体" w:cs="宋体"/>
          <w:b/>
          <w:bCs/>
          <w:color w:val="000000"/>
          <w:sz w:val="24"/>
        </w:rPr>
        <w:fldChar w:fldCharType="separate"/>
      </w:r>
      <w:r>
        <w:rPr>
          <w:color w:val="000000"/>
        </w:rPr>
        <w:fldChar w:fldCharType="begin"/>
      </w:r>
      <w:r>
        <w:rPr>
          <w:color w:val="000000"/>
        </w:rPr>
        <w:instrText xml:space="preserve"> HYPERLINK \l "_Toc17273" </w:instrText>
      </w:r>
      <w:r>
        <w:rPr>
          <w:color w:val="000000"/>
        </w:rPr>
        <w:fldChar w:fldCharType="separate"/>
      </w:r>
      <w:r>
        <w:rPr>
          <w:rFonts w:hint="eastAsia" w:ascii="宋体" w:hAnsi="宋体" w:cs="宋体"/>
          <w:b/>
          <w:bCs/>
          <w:color w:val="000000"/>
          <w:sz w:val="24"/>
        </w:rPr>
        <w:t>第一章 招标邀请书（招标公告）</w:t>
      </w:r>
      <w:r>
        <w:rPr>
          <w:b/>
          <w:bCs/>
          <w:color w:val="000000"/>
          <w:sz w:val="24"/>
        </w:rPr>
        <w:tab/>
      </w:r>
      <w:r>
        <w:rPr>
          <w:b/>
          <w:bCs/>
          <w:color w:val="000000"/>
          <w:sz w:val="24"/>
        </w:rPr>
        <w:fldChar w:fldCharType="begin"/>
      </w:r>
      <w:r>
        <w:rPr>
          <w:b/>
          <w:bCs/>
          <w:color w:val="000000"/>
          <w:sz w:val="24"/>
        </w:rPr>
        <w:instrText xml:space="preserve"> PAGEREF _Toc17273 \h </w:instrText>
      </w:r>
      <w:r>
        <w:rPr>
          <w:b/>
          <w:bCs/>
          <w:color w:val="000000"/>
          <w:sz w:val="24"/>
        </w:rPr>
        <w:fldChar w:fldCharType="separate"/>
      </w:r>
      <w:r>
        <w:rPr>
          <w:b/>
          <w:bCs/>
          <w:color w:val="000000"/>
          <w:sz w:val="24"/>
        </w:rPr>
        <w:t>6</w:t>
      </w:r>
      <w:r>
        <w:rPr>
          <w:b/>
          <w:bCs/>
          <w:color w:val="000000"/>
          <w:sz w:val="24"/>
        </w:rPr>
        <w:fldChar w:fldCharType="end"/>
      </w:r>
      <w:r>
        <w:rPr>
          <w:b/>
          <w:bCs/>
          <w:color w:val="000000"/>
          <w:sz w:val="24"/>
        </w:rPr>
        <w:fldChar w:fldCharType="end"/>
      </w:r>
    </w:p>
    <w:p>
      <w:pPr>
        <w:pStyle w:val="13"/>
        <w:tabs>
          <w:tab w:val="right" w:leader="dot" w:pos="8306"/>
        </w:tabs>
        <w:spacing w:line="360" w:lineRule="auto"/>
        <w:rPr>
          <w:b/>
          <w:bCs/>
          <w:color w:val="000000"/>
          <w:sz w:val="24"/>
        </w:rPr>
      </w:pPr>
      <w:r>
        <w:rPr>
          <w:color w:val="000000"/>
        </w:rPr>
        <w:fldChar w:fldCharType="begin"/>
      </w:r>
      <w:r>
        <w:rPr>
          <w:color w:val="000000"/>
        </w:rPr>
        <w:instrText xml:space="preserve"> HYPERLINK \l "_Toc10214" </w:instrText>
      </w:r>
      <w:r>
        <w:rPr>
          <w:color w:val="000000"/>
        </w:rPr>
        <w:fldChar w:fldCharType="separate"/>
      </w:r>
      <w:r>
        <w:rPr>
          <w:rFonts w:hint="eastAsia" w:ascii="宋体" w:hAnsi="宋体" w:cs="宋体"/>
          <w:b/>
          <w:bCs/>
          <w:color w:val="000000"/>
          <w:sz w:val="24"/>
        </w:rPr>
        <w:t>第二章 投标须知</w:t>
      </w:r>
      <w:r>
        <w:rPr>
          <w:b/>
          <w:bCs/>
          <w:color w:val="000000"/>
          <w:sz w:val="24"/>
        </w:rPr>
        <w:tab/>
      </w:r>
      <w:r>
        <w:rPr>
          <w:b/>
          <w:bCs/>
          <w:color w:val="000000"/>
          <w:sz w:val="24"/>
        </w:rPr>
        <w:fldChar w:fldCharType="begin"/>
      </w:r>
      <w:r>
        <w:rPr>
          <w:b/>
          <w:bCs/>
          <w:color w:val="000000"/>
          <w:sz w:val="24"/>
        </w:rPr>
        <w:instrText xml:space="preserve"> PAGEREF _Toc10214 \h </w:instrText>
      </w:r>
      <w:r>
        <w:rPr>
          <w:b/>
          <w:bCs/>
          <w:color w:val="000000"/>
          <w:sz w:val="24"/>
        </w:rPr>
        <w:fldChar w:fldCharType="separate"/>
      </w:r>
      <w:r>
        <w:rPr>
          <w:b/>
          <w:bCs/>
          <w:color w:val="000000"/>
          <w:sz w:val="24"/>
        </w:rPr>
        <w:t>10</w:t>
      </w:r>
      <w:r>
        <w:rPr>
          <w:b/>
          <w:bCs/>
          <w:color w:val="000000"/>
          <w:sz w:val="24"/>
        </w:rPr>
        <w:fldChar w:fldCharType="end"/>
      </w:r>
      <w:r>
        <w:rPr>
          <w:b/>
          <w:bCs/>
          <w:color w:val="000000"/>
          <w:sz w:val="24"/>
        </w:rPr>
        <w:fldChar w:fldCharType="end"/>
      </w:r>
    </w:p>
    <w:p>
      <w:pPr>
        <w:pStyle w:val="13"/>
        <w:tabs>
          <w:tab w:val="right" w:leader="dot" w:pos="8306"/>
        </w:tabs>
        <w:spacing w:line="360" w:lineRule="auto"/>
        <w:rPr>
          <w:b/>
          <w:bCs/>
          <w:color w:val="000000"/>
          <w:sz w:val="24"/>
        </w:rPr>
      </w:pPr>
      <w:r>
        <w:rPr>
          <w:color w:val="000000"/>
        </w:rPr>
        <w:fldChar w:fldCharType="begin"/>
      </w:r>
      <w:r>
        <w:rPr>
          <w:color w:val="000000"/>
        </w:rPr>
        <w:instrText xml:space="preserve"> HYPERLINK \l "_Toc20176" </w:instrText>
      </w:r>
      <w:r>
        <w:rPr>
          <w:color w:val="000000"/>
        </w:rPr>
        <w:fldChar w:fldCharType="separate"/>
      </w:r>
      <w:r>
        <w:rPr>
          <w:rFonts w:hint="eastAsia" w:ascii="宋体" w:hAnsi="宋体" w:cs="宋体"/>
          <w:b/>
          <w:bCs/>
          <w:color w:val="000000"/>
          <w:sz w:val="24"/>
        </w:rPr>
        <w:t>第三章 评标程序</w:t>
      </w:r>
      <w:r>
        <w:rPr>
          <w:b/>
          <w:bCs/>
          <w:color w:val="000000"/>
          <w:sz w:val="24"/>
        </w:rPr>
        <w:tab/>
      </w:r>
      <w:r>
        <w:rPr>
          <w:b/>
          <w:bCs/>
          <w:color w:val="000000"/>
          <w:sz w:val="24"/>
        </w:rPr>
        <w:fldChar w:fldCharType="begin"/>
      </w:r>
      <w:r>
        <w:rPr>
          <w:b/>
          <w:bCs/>
          <w:color w:val="000000"/>
          <w:sz w:val="24"/>
        </w:rPr>
        <w:instrText xml:space="preserve"> PAGEREF _Toc20176 \h </w:instrText>
      </w:r>
      <w:r>
        <w:rPr>
          <w:b/>
          <w:bCs/>
          <w:color w:val="000000"/>
          <w:sz w:val="24"/>
        </w:rPr>
        <w:fldChar w:fldCharType="separate"/>
      </w:r>
      <w:r>
        <w:rPr>
          <w:b/>
          <w:bCs/>
          <w:color w:val="000000"/>
          <w:sz w:val="24"/>
        </w:rPr>
        <w:t>13</w:t>
      </w:r>
      <w:r>
        <w:rPr>
          <w:b/>
          <w:bCs/>
          <w:color w:val="000000"/>
          <w:sz w:val="24"/>
        </w:rPr>
        <w:fldChar w:fldCharType="end"/>
      </w:r>
      <w:r>
        <w:rPr>
          <w:b/>
          <w:bCs/>
          <w:color w:val="000000"/>
          <w:sz w:val="24"/>
        </w:rPr>
        <w:fldChar w:fldCharType="end"/>
      </w:r>
    </w:p>
    <w:p>
      <w:pPr>
        <w:pStyle w:val="13"/>
        <w:tabs>
          <w:tab w:val="right" w:leader="dot" w:pos="8306"/>
        </w:tabs>
        <w:spacing w:line="360" w:lineRule="auto"/>
        <w:rPr>
          <w:b/>
          <w:bCs/>
          <w:color w:val="000000"/>
          <w:sz w:val="24"/>
        </w:rPr>
      </w:pPr>
      <w:r>
        <w:rPr>
          <w:color w:val="000000"/>
        </w:rPr>
        <w:fldChar w:fldCharType="begin"/>
      </w:r>
      <w:r>
        <w:rPr>
          <w:color w:val="000000"/>
        </w:rPr>
        <w:instrText xml:space="preserve"> HYPERLINK \l "_Toc3567" </w:instrText>
      </w:r>
      <w:r>
        <w:rPr>
          <w:color w:val="000000"/>
        </w:rPr>
        <w:fldChar w:fldCharType="separate"/>
      </w:r>
      <w:r>
        <w:rPr>
          <w:rFonts w:hint="eastAsia" w:ascii="宋体" w:hAnsi="宋体" w:cs="宋体"/>
          <w:b/>
          <w:bCs/>
          <w:color w:val="000000"/>
          <w:sz w:val="24"/>
        </w:rPr>
        <w:t>第四章 合同格式及合同条款</w:t>
      </w:r>
      <w:r>
        <w:rPr>
          <w:b/>
          <w:bCs/>
          <w:color w:val="000000"/>
          <w:sz w:val="24"/>
        </w:rPr>
        <w:tab/>
      </w:r>
      <w:r>
        <w:rPr>
          <w:b/>
          <w:bCs/>
          <w:color w:val="000000"/>
          <w:sz w:val="24"/>
        </w:rPr>
        <w:fldChar w:fldCharType="begin"/>
      </w:r>
      <w:r>
        <w:rPr>
          <w:b/>
          <w:bCs/>
          <w:color w:val="000000"/>
          <w:sz w:val="24"/>
        </w:rPr>
        <w:instrText xml:space="preserve"> PAGEREF _Toc3567 \h </w:instrText>
      </w:r>
      <w:r>
        <w:rPr>
          <w:b/>
          <w:bCs/>
          <w:color w:val="000000"/>
          <w:sz w:val="24"/>
        </w:rPr>
        <w:fldChar w:fldCharType="separate"/>
      </w:r>
      <w:r>
        <w:rPr>
          <w:b/>
          <w:bCs/>
          <w:color w:val="000000"/>
          <w:sz w:val="24"/>
        </w:rPr>
        <w:t>15</w:t>
      </w:r>
      <w:r>
        <w:rPr>
          <w:b/>
          <w:bCs/>
          <w:color w:val="000000"/>
          <w:sz w:val="24"/>
        </w:rPr>
        <w:fldChar w:fldCharType="end"/>
      </w:r>
      <w:r>
        <w:rPr>
          <w:b/>
          <w:bCs/>
          <w:color w:val="000000"/>
          <w:sz w:val="24"/>
        </w:rPr>
        <w:fldChar w:fldCharType="end"/>
      </w:r>
    </w:p>
    <w:p>
      <w:pPr>
        <w:pStyle w:val="13"/>
        <w:tabs>
          <w:tab w:val="right" w:leader="dot" w:pos="8306"/>
        </w:tabs>
        <w:spacing w:line="360" w:lineRule="auto"/>
        <w:rPr>
          <w:b/>
          <w:bCs/>
          <w:color w:val="000000"/>
          <w:sz w:val="24"/>
        </w:rPr>
      </w:pPr>
      <w:r>
        <w:rPr>
          <w:color w:val="000000"/>
        </w:rPr>
        <w:fldChar w:fldCharType="begin"/>
      </w:r>
      <w:r>
        <w:rPr>
          <w:color w:val="000000"/>
        </w:rPr>
        <w:instrText xml:space="preserve"> HYPERLINK \l "_Toc25518" </w:instrText>
      </w:r>
      <w:r>
        <w:rPr>
          <w:color w:val="000000"/>
        </w:rPr>
        <w:fldChar w:fldCharType="separate"/>
      </w:r>
      <w:r>
        <w:rPr>
          <w:rFonts w:hint="eastAsia" w:ascii="宋体" w:hAnsi="宋体" w:cs="宋体"/>
          <w:b/>
          <w:bCs/>
          <w:color w:val="000000"/>
          <w:sz w:val="24"/>
        </w:rPr>
        <w:t>第五章 用户需求书</w:t>
      </w:r>
      <w:r>
        <w:rPr>
          <w:b/>
          <w:bCs/>
          <w:color w:val="000000"/>
          <w:sz w:val="24"/>
        </w:rPr>
        <w:tab/>
      </w:r>
      <w:r>
        <w:rPr>
          <w:b/>
          <w:bCs/>
          <w:color w:val="000000"/>
          <w:sz w:val="24"/>
        </w:rPr>
        <w:fldChar w:fldCharType="end"/>
      </w:r>
      <w:r>
        <w:rPr>
          <w:rFonts w:hint="eastAsia"/>
          <w:b/>
          <w:bCs/>
          <w:color w:val="000000"/>
          <w:sz w:val="24"/>
        </w:rPr>
        <w:t>26</w:t>
      </w:r>
    </w:p>
    <w:p>
      <w:pPr>
        <w:pStyle w:val="13"/>
        <w:tabs>
          <w:tab w:val="right" w:leader="dot" w:pos="8306"/>
        </w:tabs>
        <w:spacing w:line="360" w:lineRule="auto"/>
        <w:rPr>
          <w:b/>
          <w:bCs/>
          <w:color w:val="000000"/>
          <w:sz w:val="24"/>
        </w:rPr>
      </w:pPr>
      <w:r>
        <w:rPr>
          <w:color w:val="000000"/>
        </w:rPr>
        <w:fldChar w:fldCharType="begin"/>
      </w:r>
      <w:r>
        <w:rPr>
          <w:color w:val="000000"/>
        </w:rPr>
        <w:instrText xml:space="preserve"> HYPERLINK \l "_Toc23822" </w:instrText>
      </w:r>
      <w:r>
        <w:rPr>
          <w:color w:val="000000"/>
        </w:rPr>
        <w:fldChar w:fldCharType="separate"/>
      </w:r>
      <w:r>
        <w:rPr>
          <w:rFonts w:hint="eastAsia" w:ascii="宋体" w:cs="宋体"/>
          <w:b/>
          <w:bCs/>
          <w:color w:val="000000"/>
          <w:sz w:val="24"/>
        </w:rPr>
        <w:t>第六章 投标文件初审及招标项目评分表</w:t>
      </w:r>
      <w:r>
        <w:rPr>
          <w:b/>
          <w:bCs/>
          <w:color w:val="000000"/>
          <w:sz w:val="24"/>
        </w:rPr>
        <w:tab/>
      </w:r>
      <w:r>
        <w:rPr>
          <w:b/>
          <w:bCs/>
          <w:color w:val="000000"/>
          <w:sz w:val="24"/>
        </w:rPr>
        <w:fldChar w:fldCharType="end"/>
      </w:r>
      <w:r>
        <w:rPr>
          <w:rFonts w:hint="eastAsia"/>
          <w:b/>
          <w:bCs/>
          <w:color w:val="000000"/>
          <w:sz w:val="24"/>
        </w:rPr>
        <w:t>32</w:t>
      </w:r>
    </w:p>
    <w:p>
      <w:pPr>
        <w:pStyle w:val="13"/>
        <w:tabs>
          <w:tab w:val="right" w:leader="dot" w:pos="8306"/>
        </w:tabs>
        <w:spacing w:line="360" w:lineRule="auto"/>
        <w:rPr>
          <w:b/>
          <w:bCs/>
          <w:color w:val="000000"/>
          <w:sz w:val="24"/>
        </w:rPr>
      </w:pPr>
      <w:r>
        <w:rPr>
          <w:color w:val="000000"/>
        </w:rPr>
        <w:fldChar w:fldCharType="begin"/>
      </w:r>
      <w:r>
        <w:rPr>
          <w:color w:val="000000"/>
        </w:rPr>
        <w:instrText xml:space="preserve"> HYPERLINK \l "_Toc9548" </w:instrText>
      </w:r>
      <w:r>
        <w:rPr>
          <w:color w:val="000000"/>
        </w:rPr>
        <w:fldChar w:fldCharType="separate"/>
      </w:r>
      <w:r>
        <w:rPr>
          <w:rFonts w:hint="eastAsia" w:ascii="宋体" w:hAnsi="宋体" w:cs="宋体"/>
          <w:b/>
          <w:bCs/>
          <w:color w:val="000000"/>
          <w:sz w:val="24"/>
        </w:rPr>
        <w:t>第七章 附件（投标文件格式）</w:t>
      </w:r>
      <w:r>
        <w:rPr>
          <w:b/>
          <w:bCs/>
          <w:color w:val="000000"/>
          <w:sz w:val="24"/>
        </w:rPr>
        <w:tab/>
      </w:r>
      <w:r>
        <w:rPr>
          <w:b/>
          <w:bCs/>
          <w:color w:val="000000"/>
          <w:sz w:val="24"/>
        </w:rPr>
        <w:fldChar w:fldCharType="end"/>
      </w:r>
      <w:r>
        <w:rPr>
          <w:rFonts w:hint="eastAsia"/>
          <w:b/>
          <w:bCs/>
          <w:color w:val="000000"/>
          <w:sz w:val="24"/>
        </w:rPr>
        <w:t>38</w:t>
      </w:r>
    </w:p>
    <w:p>
      <w:pPr>
        <w:pStyle w:val="13"/>
        <w:tabs>
          <w:tab w:val="right" w:leader="dot" w:pos="8306"/>
        </w:tabs>
        <w:spacing w:line="360" w:lineRule="auto"/>
        <w:rPr>
          <w:b/>
          <w:bCs/>
          <w:color w:val="000000"/>
          <w:sz w:val="24"/>
        </w:rPr>
      </w:pPr>
      <w:r>
        <w:rPr>
          <w:color w:val="000000"/>
        </w:rPr>
        <w:fldChar w:fldCharType="begin"/>
      </w:r>
      <w:r>
        <w:rPr>
          <w:color w:val="000000"/>
        </w:rPr>
        <w:instrText xml:space="preserve"> HYPERLINK \l "_Toc742" </w:instrText>
      </w:r>
      <w:r>
        <w:rPr>
          <w:color w:val="000000"/>
        </w:rPr>
        <w:fldChar w:fldCharType="separate"/>
      </w:r>
      <w:r>
        <w:rPr>
          <w:rFonts w:hint="eastAsia" w:ascii="宋体" w:hAnsi="宋体" w:cs="宋体"/>
          <w:b/>
          <w:bCs/>
          <w:color w:val="000000"/>
          <w:sz w:val="24"/>
        </w:rPr>
        <w:t>附件：相关政策</w:t>
      </w:r>
      <w:r>
        <w:rPr>
          <w:b/>
          <w:bCs/>
          <w:color w:val="000000"/>
          <w:sz w:val="24"/>
        </w:rPr>
        <w:tab/>
      </w:r>
      <w:r>
        <w:rPr>
          <w:b/>
          <w:bCs/>
          <w:color w:val="000000"/>
          <w:sz w:val="24"/>
        </w:rPr>
        <w:fldChar w:fldCharType="end"/>
      </w:r>
      <w:r>
        <w:rPr>
          <w:rFonts w:hint="eastAsia"/>
          <w:b/>
          <w:bCs/>
          <w:color w:val="000000"/>
          <w:sz w:val="24"/>
        </w:rPr>
        <w:t>57</w:t>
      </w:r>
    </w:p>
    <w:p>
      <w:pPr>
        <w:pStyle w:val="13"/>
        <w:tabs>
          <w:tab w:val="right" w:leader="dot" w:pos="8306"/>
        </w:tabs>
        <w:spacing w:line="360" w:lineRule="auto"/>
        <w:rPr>
          <w:rFonts w:ascii="宋体" w:hAnsi="宋体" w:cs="宋体"/>
          <w:b/>
          <w:color w:val="000000"/>
          <w:sz w:val="24"/>
        </w:rPr>
      </w:pPr>
      <w:r>
        <w:rPr>
          <w:rFonts w:hint="eastAsia" w:ascii="宋体" w:hAnsi="宋体" w:cs="宋体"/>
          <w:b/>
          <w:bCs/>
          <w:color w:val="000000"/>
          <w:sz w:val="24"/>
        </w:rPr>
        <w:fldChar w:fldCharType="end"/>
      </w:r>
    </w:p>
    <w:p>
      <w:pPr>
        <w:spacing w:line="360" w:lineRule="auto"/>
        <w:rPr>
          <w:color w:val="000000"/>
        </w:rPr>
      </w:pPr>
    </w:p>
    <w:p>
      <w:pPr>
        <w:numPr>
          <w:ilvl w:val="0"/>
          <w:numId w:val="1"/>
        </w:numPr>
        <w:spacing w:line="360" w:lineRule="auto"/>
        <w:jc w:val="center"/>
        <w:outlineLvl w:val="0"/>
        <w:rPr>
          <w:rFonts w:ascii="宋体" w:hAnsi="宋体" w:cs="宋体"/>
          <w:b/>
          <w:bCs/>
          <w:color w:val="000000"/>
          <w:sz w:val="24"/>
        </w:rPr>
      </w:pPr>
      <w:r>
        <w:rPr>
          <w:rFonts w:ascii="宋体"/>
          <w:b/>
          <w:bCs/>
          <w:color w:val="000000"/>
          <w:sz w:val="32"/>
          <w:szCs w:val="28"/>
        </w:rPr>
        <w:br w:type="page"/>
      </w:r>
      <w:r>
        <w:rPr>
          <w:rFonts w:hint="eastAsia" w:ascii="宋体"/>
          <w:b/>
          <w:bCs/>
          <w:color w:val="000000"/>
          <w:sz w:val="32"/>
          <w:szCs w:val="28"/>
        </w:rPr>
        <w:t xml:space="preserve"> </w:t>
      </w:r>
      <w:bookmarkStart w:id="7" w:name="_Toc17273"/>
      <w:r>
        <w:rPr>
          <w:rFonts w:hint="eastAsia" w:ascii="宋体" w:hAnsi="宋体" w:cs="宋体"/>
          <w:b/>
          <w:bCs/>
          <w:color w:val="000000"/>
          <w:sz w:val="24"/>
        </w:rPr>
        <w:t>招标邀请书（招标公告）</w:t>
      </w:r>
      <w:bookmarkEnd w:id="7"/>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深圳交易咨询集团有限公司（以下简称采购代理机构）受深圳市前海深港现代服务业合作区管理局委托就</w:t>
      </w:r>
      <w:r>
        <w:rPr>
          <w:rFonts w:hint="eastAsia" w:ascii="宋体" w:hAnsi="宋体" w:cs="宋体"/>
          <w:color w:val="000000"/>
          <w:sz w:val="24"/>
          <w:u w:val="single"/>
          <w:lang w:eastAsia="zh-CN"/>
        </w:rPr>
        <w:t>2025年度前海管理局常年法律顾问（二次）</w:t>
      </w:r>
      <w:r>
        <w:rPr>
          <w:rFonts w:hint="eastAsia" w:ascii="宋体" w:hAnsi="宋体" w:cs="宋体"/>
          <w:color w:val="000000"/>
          <w:sz w:val="24"/>
        </w:rPr>
        <w:t>（招标编号：</w:t>
      </w:r>
      <w:r>
        <w:rPr>
          <w:rFonts w:hint="eastAsia" w:ascii="宋体" w:hAnsi="宋体" w:cs="宋体"/>
          <w:color w:val="000000"/>
          <w:sz w:val="24"/>
          <w:u w:val="single"/>
        </w:rPr>
        <w:t>QH2025072</w:t>
      </w:r>
      <w:r>
        <w:rPr>
          <w:rFonts w:hint="eastAsia" w:ascii="宋体" w:hAnsi="宋体" w:cs="宋体"/>
          <w:color w:val="000000"/>
          <w:sz w:val="24"/>
        </w:rPr>
        <w:t>）采用简易招标方式采购，欢迎符合投标人资格要求的专业供应商积极参加投标。</w:t>
      </w:r>
    </w:p>
    <w:tbl>
      <w:tblPr>
        <w:tblStyle w:val="20"/>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招标编号</w:t>
            </w:r>
          </w:p>
        </w:tc>
        <w:tc>
          <w:tcPr>
            <w:tcW w:w="7015" w:type="dxa"/>
            <w:noWrap w:val="0"/>
            <w:vAlign w:val="center"/>
          </w:tcPr>
          <w:p>
            <w:pPr>
              <w:spacing w:line="360" w:lineRule="auto"/>
              <w:rPr>
                <w:rFonts w:hint="eastAsia" w:ascii="宋体" w:hAnsi="宋体" w:cs="宋体"/>
                <w:color w:val="000000"/>
                <w:sz w:val="24"/>
              </w:rPr>
            </w:pPr>
            <w:r>
              <w:rPr>
                <w:rFonts w:hint="eastAsia" w:ascii="宋体" w:hAnsi="宋体" w:cs="宋体"/>
                <w:color w:val="000000"/>
                <w:sz w:val="24"/>
              </w:rPr>
              <w:t>QH2025072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招标项目名称</w:t>
            </w:r>
          </w:p>
        </w:tc>
        <w:tc>
          <w:tcPr>
            <w:tcW w:w="7015" w:type="dxa"/>
            <w:noWrap w:val="0"/>
            <w:vAlign w:val="center"/>
          </w:tcPr>
          <w:p>
            <w:pPr>
              <w:spacing w:line="360" w:lineRule="auto"/>
              <w:rPr>
                <w:rFonts w:hint="eastAsia" w:ascii="宋体" w:hAnsi="宋体" w:eastAsia="宋体" w:cs="宋体"/>
                <w:color w:val="000000"/>
                <w:sz w:val="24"/>
                <w:lang w:eastAsia="zh-CN"/>
              </w:rPr>
            </w:pPr>
            <w:r>
              <w:rPr>
                <w:rFonts w:hint="eastAsia" w:ascii="宋体" w:hAnsi="宋体" w:cs="宋体"/>
                <w:color w:val="000000"/>
                <w:sz w:val="24"/>
                <w:lang w:eastAsia="zh-CN"/>
              </w:rPr>
              <w:t>2025年度前海管理局常年法律顾问（二次）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标的内容</w:t>
            </w:r>
          </w:p>
        </w:tc>
        <w:tc>
          <w:tcPr>
            <w:tcW w:w="7015" w:type="dxa"/>
            <w:noWrap w:val="0"/>
            <w:vAlign w:val="center"/>
          </w:tcPr>
          <w:p>
            <w:pPr>
              <w:spacing w:line="360" w:lineRule="auto"/>
              <w:rPr>
                <w:color w:val="000000"/>
              </w:rPr>
            </w:pPr>
            <w:r>
              <w:rPr>
                <w:rFonts w:hint="eastAsia" w:ascii="宋体" w:hAnsi="宋体" w:cs="宋体"/>
                <w:color w:val="000000"/>
                <w:sz w:val="24"/>
              </w:rPr>
              <w:t>随着前海开发建设脚步的加快，前海社会主义法治建设示范区及前海深港国际法务区的不断发展，专业、高效的常年法律顾问团队对规范前海管理局内控体系、防御潜在法律风险显得尤为重要。拟采购常年法律顾问服务</w:t>
            </w:r>
            <w:r>
              <w:rPr>
                <w:rFonts w:hint="eastAsia" w:ascii="宋体" w:hAnsi="宋体" w:cs="宋体"/>
                <w:color w:val="000000"/>
                <w:sz w:val="24"/>
                <w:lang w:eastAsia="zh-CN"/>
              </w:rPr>
              <w:t>，</w:t>
            </w:r>
            <w:r>
              <w:rPr>
                <w:rFonts w:hint="eastAsia" w:ascii="宋体" w:hAnsi="宋体" w:cs="宋体"/>
                <w:color w:val="000000"/>
                <w:sz w:val="24"/>
                <w:lang w:val="en-US" w:eastAsia="zh-CN"/>
              </w:rPr>
              <w:t>具体内容详见用户需求书。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项目预算</w:t>
            </w:r>
          </w:p>
          <w:p>
            <w:pPr>
              <w:spacing w:line="360" w:lineRule="auto"/>
              <w:jc w:val="center"/>
              <w:rPr>
                <w:rFonts w:ascii="宋体" w:hAnsi="宋体" w:cs="宋体"/>
                <w:color w:val="000000"/>
                <w:sz w:val="24"/>
              </w:rPr>
            </w:pPr>
            <w:r>
              <w:rPr>
                <w:rFonts w:hint="eastAsia" w:ascii="宋体" w:hAnsi="宋体" w:cs="宋体"/>
                <w:color w:val="000000"/>
                <w:sz w:val="24"/>
              </w:rPr>
              <w:t>（最高限价）</w:t>
            </w:r>
          </w:p>
        </w:tc>
        <w:tc>
          <w:tcPr>
            <w:tcW w:w="7015" w:type="dxa"/>
            <w:noWrap w:val="0"/>
            <w:vAlign w:val="center"/>
          </w:tcPr>
          <w:p>
            <w:pPr>
              <w:spacing w:line="360" w:lineRule="auto"/>
              <w:rPr>
                <w:rFonts w:hint="eastAsia" w:ascii="宋体" w:hAnsi="宋体" w:cs="宋体"/>
                <w:color w:val="000000"/>
                <w:sz w:val="24"/>
              </w:rPr>
            </w:pPr>
            <w:r>
              <w:rPr>
                <w:rFonts w:hint="eastAsia" w:ascii="宋体" w:hAnsi="宋体" w:cs="宋体"/>
                <w:color w:val="000000"/>
                <w:sz w:val="24"/>
              </w:rPr>
              <w:t>¥800,000.00（人民币捌拾万元整）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676" w:type="dxa"/>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标书获得办法</w:t>
            </w:r>
          </w:p>
        </w:tc>
        <w:tc>
          <w:tcPr>
            <w:tcW w:w="7015" w:type="dxa"/>
            <w:noWrap w:val="0"/>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报名方式</w:t>
            </w:r>
          </w:p>
        </w:tc>
        <w:tc>
          <w:tcPr>
            <w:tcW w:w="7015" w:type="dxa"/>
            <w:noWrap w:val="0"/>
            <w:vAlign w:val="center"/>
          </w:tcPr>
          <w:p>
            <w:pPr>
              <w:adjustRightInd w:val="0"/>
              <w:snapToGrid w:val="0"/>
              <w:spacing w:line="360" w:lineRule="auto"/>
              <w:jc w:val="left"/>
              <w:rPr>
                <w:rFonts w:ascii="宋体" w:hAnsi="宋体" w:cs="宋体"/>
                <w:color w:val="000000"/>
                <w:kern w:val="0"/>
                <w:sz w:val="24"/>
              </w:rPr>
            </w:pPr>
            <w:r>
              <w:rPr>
                <w:rFonts w:hint="eastAsia" w:ascii="宋体" w:hAnsi="宋体" w:cs="宋体"/>
                <w:color w:val="000000"/>
                <w:kern w:val="0"/>
                <w:sz w:val="24"/>
              </w:rPr>
              <w:t>将投标文件密封并在</w:t>
            </w:r>
            <w:r>
              <w:rPr>
                <w:rFonts w:hint="eastAsia" w:ascii="宋体" w:hAnsi="宋体" w:cs="宋体"/>
                <w:b/>
                <w:bCs/>
                <w:color w:val="000000"/>
                <w:kern w:val="0"/>
                <w:sz w:val="24"/>
                <w:highlight w:val="none"/>
              </w:rPr>
              <w:t>2025年</w:t>
            </w:r>
            <w:r>
              <w:rPr>
                <w:rFonts w:hint="eastAsia" w:ascii="宋体" w:hAnsi="宋体" w:cs="宋体"/>
                <w:b/>
                <w:bCs/>
                <w:color w:val="000000"/>
                <w:kern w:val="0"/>
                <w:sz w:val="24"/>
                <w:highlight w:val="none"/>
                <w:lang w:val="en-US" w:eastAsia="zh-CN"/>
              </w:rPr>
              <w:t>7</w:t>
            </w:r>
            <w:r>
              <w:rPr>
                <w:rFonts w:hint="eastAsia" w:ascii="宋体" w:hAnsi="宋体" w:cs="宋体"/>
                <w:b/>
                <w:bCs/>
                <w:color w:val="000000"/>
                <w:kern w:val="0"/>
                <w:sz w:val="24"/>
                <w:highlight w:val="none"/>
              </w:rPr>
              <w:t>月</w:t>
            </w:r>
            <w:r>
              <w:rPr>
                <w:rFonts w:hint="eastAsia" w:ascii="宋体" w:hAnsi="宋体" w:cs="宋体"/>
                <w:b/>
                <w:bCs/>
                <w:color w:val="000000"/>
                <w:kern w:val="0"/>
                <w:sz w:val="24"/>
                <w:highlight w:val="none"/>
                <w:lang w:val="en-US" w:eastAsia="zh-CN"/>
              </w:rPr>
              <w:t>14</w:t>
            </w:r>
            <w:r>
              <w:rPr>
                <w:rFonts w:hint="eastAsia" w:ascii="宋体" w:hAnsi="宋体" w:cs="宋体"/>
                <w:b/>
                <w:bCs/>
                <w:color w:val="000000"/>
                <w:kern w:val="0"/>
                <w:sz w:val="24"/>
                <w:highlight w:val="none"/>
              </w:rPr>
              <w:t>日</w:t>
            </w:r>
            <w:r>
              <w:rPr>
                <w:rFonts w:hint="eastAsia" w:ascii="宋体" w:hAnsi="宋体" w:cs="宋体"/>
                <w:b/>
                <w:bCs/>
                <w:color w:val="000000"/>
                <w:kern w:val="0"/>
                <w:sz w:val="24"/>
                <w:highlight w:val="none"/>
                <w:lang w:val="en-US" w:eastAsia="zh-CN"/>
              </w:rPr>
              <w:t>15:00</w:t>
            </w:r>
            <w:r>
              <w:rPr>
                <w:rFonts w:hint="eastAsia" w:ascii="宋体" w:hAnsi="宋体" w:cs="宋体"/>
                <w:b/>
                <w:bCs/>
                <w:color w:val="000000"/>
                <w:kern w:val="0"/>
                <w:sz w:val="24"/>
                <w:highlight w:val="none"/>
              </w:rPr>
              <w:t>时（北京时间）</w:t>
            </w:r>
            <w:r>
              <w:rPr>
                <w:rFonts w:hint="eastAsia" w:ascii="宋体" w:hAnsi="宋体" w:cs="宋体"/>
                <w:color w:val="000000"/>
                <w:kern w:val="0"/>
                <w:sz w:val="24"/>
              </w:rPr>
              <w:t>前送达（现场递交或邮寄）至深圳市南山区前海深港合作区桂湾五路123号前海管理局前海大厦T1栋2312办公室</w:t>
            </w:r>
          </w:p>
          <w:p>
            <w:pPr>
              <w:adjustRightInd w:val="0"/>
              <w:snapToGrid w:val="0"/>
              <w:spacing w:line="360" w:lineRule="auto"/>
              <w:jc w:val="left"/>
              <w:rPr>
                <w:rFonts w:ascii="宋体" w:hAnsi="宋体" w:cs="宋体"/>
                <w:color w:val="000000"/>
                <w:kern w:val="0"/>
                <w:sz w:val="24"/>
              </w:rPr>
            </w:pPr>
            <w:r>
              <w:rPr>
                <w:rFonts w:hint="eastAsia" w:ascii="宋体" w:hAnsi="宋体" w:cs="宋体"/>
                <w:color w:val="000000"/>
                <w:kern w:val="0"/>
                <w:sz w:val="24"/>
              </w:rPr>
              <w:t>联系人：焦先生</w:t>
            </w:r>
          </w:p>
          <w:p>
            <w:pPr>
              <w:adjustRightInd w:val="0"/>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联系电话：13554880369</w:t>
            </w:r>
          </w:p>
          <w:p>
            <w:pPr>
              <w:adjustRightInd w:val="0"/>
              <w:snapToGrid w:val="0"/>
              <w:spacing w:line="360" w:lineRule="auto"/>
              <w:jc w:val="left"/>
              <w:rPr>
                <w:rFonts w:ascii="宋体" w:hAnsi="宋体" w:cs="宋体"/>
                <w:color w:val="000000"/>
                <w:kern w:val="0"/>
                <w:sz w:val="24"/>
              </w:rPr>
            </w:pPr>
            <w:r>
              <w:rPr>
                <w:rFonts w:hint="eastAsia" w:ascii="宋体" w:hAnsi="宋体" w:cs="宋体"/>
                <w:color w:val="000000"/>
                <w:kern w:val="0"/>
                <w:sz w:val="24"/>
              </w:rPr>
              <w:t>注：如需现场谈判，投标人需在评标半小时内到达评标现场。若因特殊原因，可进行视频会议谈判。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76" w:type="dxa"/>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投标人资格要求</w:t>
            </w:r>
          </w:p>
        </w:tc>
        <w:tc>
          <w:tcPr>
            <w:tcW w:w="7015" w:type="dxa"/>
            <w:noWrap w:val="0"/>
            <w:vAlign w:val="center"/>
          </w:tcPr>
          <w:p>
            <w:pPr>
              <w:spacing w:line="360" w:lineRule="auto"/>
              <w:rPr>
                <w:rFonts w:hint="eastAsia" w:ascii="宋体" w:hAnsi="宋体" w:cs="宋体"/>
                <w:color w:val="000000"/>
                <w:kern w:val="0"/>
                <w:sz w:val="24"/>
              </w:rPr>
            </w:pPr>
            <w:r>
              <w:rPr>
                <w:rFonts w:hint="eastAsia" w:ascii="宋体" w:hAnsi="宋体" w:cs="宋体"/>
                <w:color w:val="000000"/>
                <w:kern w:val="0"/>
                <w:sz w:val="24"/>
              </w:rPr>
              <w:t>（1）投标人须为经司法行政部门批准成立并有效存续的律师事务所，具备有效的《律师事务所执业许可证》（提供《律师事务所执业许可证》复印件，加盖公章，原件备查）（分所投标须提供《律师事务所分所执业许可证》和总所的《律师事务所执业许可证》</w:t>
            </w:r>
            <w:r>
              <w:rPr>
                <w:rFonts w:hint="eastAsia" w:ascii="宋体" w:hAnsi="宋体" w:cs="宋体"/>
                <w:color w:val="000000"/>
                <w:kern w:val="0"/>
                <w:sz w:val="24"/>
                <w:lang w:eastAsia="zh-CN"/>
              </w:rPr>
              <w:t>，</w:t>
            </w:r>
            <w:r>
              <w:rPr>
                <w:rFonts w:hint="eastAsia" w:ascii="宋体" w:hAnsi="宋体" w:cs="宋体"/>
                <w:color w:val="000000"/>
                <w:kern w:val="0"/>
                <w:sz w:val="24"/>
              </w:rPr>
              <w:t>以及由总所出具的愿为其参与本项目投标、履约等行为承担民事责任的承诺函，承诺函格式自拟，以上材料须提供复印件加盖公章，原件备查）</w:t>
            </w:r>
          </w:p>
          <w:p>
            <w:pPr>
              <w:spacing w:line="360" w:lineRule="auto"/>
              <w:rPr>
                <w:rFonts w:hint="eastAsia" w:ascii="宋体" w:hAnsi="宋体" w:cs="宋体"/>
                <w:color w:val="000000"/>
                <w:kern w:val="0"/>
                <w:sz w:val="24"/>
              </w:rPr>
            </w:pPr>
            <w:r>
              <w:rPr>
                <w:rFonts w:hint="eastAsia" w:ascii="宋体" w:hAnsi="宋体" w:cs="宋体"/>
                <w:color w:val="000000"/>
                <w:kern w:val="0"/>
                <w:sz w:val="24"/>
              </w:rPr>
              <w:t>（2）参与政府采购项目投标的供应商近三年内（投标人成立不足三年的可从成立之日起算）无行贿犯罪记录</w:t>
            </w:r>
            <w:r>
              <w:rPr>
                <w:rFonts w:hint="eastAsia" w:ascii="宋体" w:hAnsi="宋体" w:cs="宋体"/>
                <w:b/>
                <w:bCs/>
                <w:color w:val="000000"/>
                <w:kern w:val="0"/>
                <w:sz w:val="24"/>
              </w:rPr>
              <w:t>（由投标人在《政府采购投标及履约承诺函》中作出声明并加盖投标人</w:t>
            </w:r>
            <w:r>
              <w:rPr>
                <w:rFonts w:hint="eastAsia" w:ascii="宋体" w:hAnsi="宋体" w:cs="宋体"/>
                <w:b/>
                <w:bCs/>
                <w:kern w:val="0"/>
                <w:sz w:val="24"/>
              </w:rPr>
              <w:t>单位公</w:t>
            </w:r>
            <w:r>
              <w:rPr>
                <w:rFonts w:hint="eastAsia" w:ascii="宋体" w:hAnsi="宋体" w:cs="宋体"/>
                <w:b/>
                <w:bCs/>
                <w:color w:val="000000"/>
                <w:kern w:val="0"/>
                <w:sz w:val="24"/>
              </w:rPr>
              <w:t>章）</w:t>
            </w:r>
            <w:r>
              <w:rPr>
                <w:rFonts w:hint="eastAsia" w:ascii="宋体" w:hAnsi="宋体" w:cs="宋体"/>
                <w:color w:val="000000"/>
                <w:kern w:val="0"/>
                <w:sz w:val="24"/>
              </w:rPr>
              <w:t>；（3）参与本项目政府采购活动时不存在被有关部门禁止参与政府采购活动且在有效期内的情况</w:t>
            </w:r>
            <w:r>
              <w:rPr>
                <w:rFonts w:hint="eastAsia" w:ascii="宋体" w:hAnsi="宋体" w:cs="宋体"/>
                <w:b/>
                <w:bCs/>
                <w:color w:val="000000"/>
                <w:kern w:val="0"/>
                <w:sz w:val="24"/>
              </w:rPr>
              <w:t>（由供应商在《政府采购投标及履约承诺函》中作出声明，加盖公章）</w:t>
            </w:r>
            <w:r>
              <w:rPr>
                <w:rFonts w:hint="eastAsia" w:ascii="宋体" w:hAnsi="宋体" w:cs="宋体"/>
                <w:color w:val="000000"/>
                <w:kern w:val="0"/>
                <w:sz w:val="24"/>
              </w:rPr>
              <w:t>；</w:t>
            </w:r>
          </w:p>
          <w:p>
            <w:pPr>
              <w:spacing w:line="360" w:lineRule="auto"/>
              <w:rPr>
                <w:rFonts w:hint="eastAsia" w:ascii="宋体" w:hAnsi="宋体" w:cs="宋体"/>
                <w:color w:val="000000"/>
                <w:kern w:val="0"/>
                <w:sz w:val="24"/>
              </w:rPr>
            </w:pPr>
            <w:r>
              <w:rPr>
                <w:rFonts w:hint="eastAsia" w:ascii="宋体" w:hAnsi="宋体" w:cs="宋体"/>
                <w:color w:val="000000"/>
                <w:kern w:val="0"/>
                <w:sz w:val="24"/>
              </w:rPr>
              <w:t>（4）</w:t>
            </w:r>
            <w:r>
              <w:rPr>
                <w:rFonts w:ascii="宋体" w:hAnsi="宋体" w:cs="宋体"/>
                <w:kern w:val="0"/>
                <w:sz w:val="24"/>
              </w:rPr>
              <w:t>不存在《深圳市财政局政府采购供应商信用信息管理办法》（深财规〔2023〕3号）列明的严重违法失信行为</w:t>
            </w:r>
            <w:r>
              <w:rPr>
                <w:rFonts w:ascii="宋体" w:hAnsi="宋体" w:cs="宋体"/>
                <w:b/>
                <w:bCs/>
                <w:kern w:val="0"/>
                <w:sz w:val="24"/>
              </w:rPr>
              <w:t>（由供应商在《政府采购投标及履约承诺函》中作出声明</w:t>
            </w:r>
            <w:r>
              <w:rPr>
                <w:rFonts w:hint="eastAsia" w:ascii="宋体" w:hAnsi="宋体" w:cs="宋体"/>
                <w:b/>
                <w:bCs/>
                <w:kern w:val="0"/>
                <w:sz w:val="24"/>
              </w:rPr>
              <w:t>并加盖投标人单位公章</w:t>
            </w:r>
            <w:r>
              <w:rPr>
                <w:rFonts w:ascii="宋体" w:hAnsi="宋体" w:cs="宋体"/>
                <w:b/>
                <w:bCs/>
                <w:kern w:val="0"/>
                <w:sz w:val="24"/>
              </w:rPr>
              <w:t>）</w:t>
            </w:r>
          </w:p>
          <w:p>
            <w:pPr>
              <w:spacing w:line="360" w:lineRule="auto"/>
              <w:rPr>
                <w:rFonts w:hint="eastAsia"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val="en-US" w:eastAsia="zh-CN"/>
              </w:rPr>
              <w:t>5</w:t>
            </w:r>
            <w:r>
              <w:rPr>
                <w:rFonts w:hint="eastAsia" w:ascii="宋体" w:hAnsi="宋体" w:cs="宋体"/>
                <w:color w:val="000000"/>
                <w:kern w:val="0"/>
                <w:sz w:val="24"/>
              </w:rPr>
              <w:t>）具备《中华人民共和国政府采购法》第二十二条第一款的条件</w:t>
            </w:r>
            <w:r>
              <w:rPr>
                <w:rFonts w:hint="eastAsia" w:ascii="宋体" w:hAnsi="宋体" w:cs="宋体"/>
                <w:b/>
                <w:bCs/>
                <w:color w:val="000000"/>
                <w:kern w:val="0"/>
                <w:sz w:val="24"/>
              </w:rPr>
              <w:t>（由供应商在《政府采购投标及履约承诺函》中作出声明，加盖公章）</w:t>
            </w:r>
            <w:r>
              <w:rPr>
                <w:rFonts w:hint="eastAsia" w:ascii="宋体" w:hAnsi="宋体" w:cs="宋体"/>
                <w:color w:val="000000"/>
                <w:kern w:val="0"/>
                <w:sz w:val="24"/>
              </w:rPr>
              <w:t>；</w:t>
            </w:r>
          </w:p>
          <w:p>
            <w:pPr>
              <w:spacing w:line="360" w:lineRule="auto"/>
              <w:rPr>
                <w:rFonts w:hint="eastAsia"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val="en-US" w:eastAsia="zh-CN"/>
              </w:rPr>
              <w:t>6</w:t>
            </w:r>
            <w:r>
              <w:rPr>
                <w:rFonts w:hint="eastAsia" w:ascii="宋体" w:hAnsi="宋体" w:cs="宋体"/>
                <w:color w:val="000000"/>
                <w:kern w:val="0"/>
                <w:sz w:val="24"/>
              </w:rPr>
              <w:t>）未被列入失信被执行人、重大税收违法失信主体、政府采购严重违法失信行为记录名单</w:t>
            </w:r>
            <w:r>
              <w:rPr>
                <w:rFonts w:hint="eastAsia" w:ascii="宋体" w:hAnsi="宋体" w:cs="宋体"/>
                <w:b/>
                <w:bCs/>
                <w:color w:val="000000"/>
                <w:kern w:val="0"/>
                <w:sz w:val="24"/>
              </w:rPr>
              <w:t>（由供应商在《政府采购投标及履约承诺函》中作出声明，加盖公章）</w:t>
            </w:r>
            <w:r>
              <w:rPr>
                <w:rFonts w:hint="eastAsia" w:ascii="宋体" w:hAnsi="宋体" w:cs="宋体"/>
                <w:color w:val="000000"/>
                <w:kern w:val="0"/>
                <w:sz w:val="24"/>
              </w:rPr>
              <w:t>；【注：采购代理机构将通过“信用中国”中“信用服务”栏的“重大税收违法失信主体”“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pPr>
              <w:spacing w:line="360" w:lineRule="auto"/>
              <w:rPr>
                <w:rFonts w:hint="eastAsia"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val="en-US" w:eastAsia="zh-CN"/>
              </w:rPr>
              <w:t>7</w:t>
            </w:r>
            <w:r>
              <w:rPr>
                <w:rFonts w:hint="eastAsia" w:ascii="宋体" w:hAnsi="宋体" w:cs="宋体"/>
                <w:color w:val="000000"/>
                <w:kern w:val="0"/>
                <w:sz w:val="24"/>
              </w:rPr>
              <w:t>）</w:t>
            </w:r>
            <w:r>
              <w:rPr>
                <w:rFonts w:ascii="宋体" w:hAnsi="宋体" w:cs="宋体"/>
                <w:kern w:val="0"/>
                <w:sz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kern w:val="0"/>
                <w:sz w:val="24"/>
              </w:rPr>
              <w:t>。与不同供应商的法定代表人、投标授权代表人、项目负责人（如有）不存在为同一人或在同一单位缴纳社会保险的情形。</w:t>
            </w:r>
            <w:r>
              <w:rPr>
                <w:rFonts w:ascii="宋体" w:hAnsi="宋体" w:cs="宋体"/>
                <w:b/>
                <w:bCs/>
                <w:kern w:val="0"/>
                <w:sz w:val="24"/>
              </w:rPr>
              <w:t>（由供应商在《政府采购投标及履约承诺函》中作出声明</w:t>
            </w:r>
            <w:r>
              <w:rPr>
                <w:rFonts w:hint="eastAsia" w:ascii="宋体" w:hAnsi="宋体" w:cs="宋体"/>
                <w:b/>
                <w:bCs/>
                <w:kern w:val="0"/>
                <w:sz w:val="24"/>
              </w:rPr>
              <w:t>并提供《供应商基本信息表》加盖投标人公章</w:t>
            </w:r>
            <w:r>
              <w:rPr>
                <w:rFonts w:ascii="宋体" w:hAnsi="宋体" w:cs="宋体"/>
                <w:b/>
                <w:bCs/>
                <w:kern w:val="0"/>
                <w:sz w:val="24"/>
              </w:rPr>
              <w:t>）</w:t>
            </w:r>
            <w:r>
              <w:rPr>
                <w:rFonts w:ascii="宋体" w:hAnsi="宋体" w:cs="宋体"/>
                <w:kern w:val="0"/>
                <w:sz w:val="24"/>
              </w:rPr>
              <w:t>；</w:t>
            </w:r>
          </w:p>
          <w:p>
            <w:pPr>
              <w:spacing w:line="360" w:lineRule="auto"/>
              <w:rPr>
                <w:rFonts w:hint="default" w:ascii="宋体" w:hAnsi="宋体" w:cs="宋体"/>
                <w:b/>
                <w:bCs/>
                <w:color w:val="000000"/>
                <w:kern w:val="0"/>
                <w:sz w:val="24"/>
                <w:lang w:val="en-US" w:eastAsia="zh-CN"/>
              </w:rPr>
            </w:pPr>
            <w:r>
              <w:rPr>
                <w:rFonts w:hint="eastAsia" w:ascii="宋体" w:hAnsi="宋体" w:cs="宋体"/>
                <w:color w:val="000000"/>
                <w:kern w:val="0"/>
                <w:sz w:val="24"/>
                <w:highlight w:val="none"/>
              </w:rPr>
              <w:t>（8）</w:t>
            </w:r>
            <w:r>
              <w:rPr>
                <w:rFonts w:hint="eastAsia" w:ascii="宋体" w:hAnsi="宋体" w:cs="宋体"/>
                <w:color w:val="000000"/>
                <w:kern w:val="0"/>
                <w:sz w:val="24"/>
              </w:rPr>
              <w:t>本项目接受联合体投标，组成联合体的供应商不多于</w:t>
            </w:r>
            <w:r>
              <w:rPr>
                <w:rFonts w:hint="eastAsia" w:ascii="宋体" w:hAnsi="宋体" w:cs="宋体"/>
                <w:color w:val="000000"/>
                <w:kern w:val="0"/>
                <w:sz w:val="24"/>
                <w:lang w:val="en-US" w:eastAsia="zh-CN"/>
              </w:rPr>
              <w:t>2</w:t>
            </w:r>
            <w:r>
              <w:rPr>
                <w:rFonts w:hint="eastAsia" w:ascii="宋体" w:hAnsi="宋体" w:cs="宋体"/>
                <w:color w:val="000000"/>
                <w:kern w:val="0"/>
                <w:sz w:val="24"/>
              </w:rPr>
              <w:t>家（提供《联合体投标协议》，加盖联合体各方公章，并在协议中明确牵头人和各参与方各自承担的工作和义务，联合体协议中必须明确各自占比份额</w:t>
            </w:r>
            <w:r>
              <w:rPr>
                <w:rFonts w:hint="eastAsia" w:ascii="宋体" w:hAnsi="宋体" w:cs="宋体"/>
                <w:color w:val="000000"/>
                <w:kern w:val="0"/>
                <w:sz w:val="24"/>
                <w:lang w:eastAsia="zh-CN"/>
              </w:rPr>
              <w:t>，</w:t>
            </w:r>
            <w:r>
              <w:rPr>
                <w:rFonts w:hint="eastAsia" w:ascii="宋体" w:hAnsi="宋体" w:cs="宋体"/>
                <w:color w:val="000000"/>
                <w:kern w:val="0"/>
                <w:sz w:val="24"/>
              </w:rPr>
              <w:t>格式</w:t>
            </w:r>
            <w:r>
              <w:rPr>
                <w:rFonts w:hint="eastAsia" w:ascii="宋体" w:hAnsi="宋体" w:cs="宋体"/>
                <w:color w:val="000000"/>
                <w:kern w:val="0"/>
                <w:sz w:val="24"/>
                <w:lang w:val="en-US" w:eastAsia="zh-CN"/>
              </w:rPr>
              <w:t>自拟</w:t>
            </w:r>
            <w:r>
              <w:rPr>
                <w:rFonts w:hint="eastAsia" w:ascii="宋体" w:hAnsi="宋体" w:cs="宋体"/>
                <w:color w:val="000000"/>
                <w:kern w:val="0"/>
                <w:sz w:val="24"/>
              </w:rPr>
              <w:t>）</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联合体各成员单位（含牵头单位及成员单位）不得再以自己的名义单独（或组成新的联合体）参加投标，联合体各方须共同与采购方签订采购合同，就采购合同约定的事项对采购人承担连带责任）。</w:t>
            </w:r>
          </w:p>
          <w:p>
            <w:pPr>
              <w:spacing w:line="360" w:lineRule="auto"/>
              <w:rPr>
                <w:rFonts w:hint="eastAsia" w:ascii="宋体" w:hAnsi="宋体" w:cs="宋体"/>
                <w:color w:val="000000"/>
                <w:kern w:val="0"/>
                <w:sz w:val="24"/>
              </w:rPr>
            </w:pPr>
            <w:r>
              <w:rPr>
                <w:rFonts w:ascii="宋体" w:hAnsi="宋体" w:cs="宋体"/>
                <w:color w:val="000000"/>
                <w:kern w:val="0"/>
                <w:sz w:val="24"/>
              </w:rPr>
              <w:t>（</w:t>
            </w:r>
            <w:r>
              <w:rPr>
                <w:rFonts w:hint="eastAsia" w:ascii="宋体" w:hAnsi="宋体" w:cs="宋体"/>
                <w:color w:val="000000"/>
                <w:kern w:val="0"/>
                <w:sz w:val="24"/>
              </w:rPr>
              <w:t>9</w:t>
            </w:r>
            <w:r>
              <w:rPr>
                <w:rFonts w:ascii="宋体" w:hAnsi="宋体" w:cs="宋体"/>
                <w:color w:val="000000"/>
                <w:kern w:val="0"/>
                <w:sz w:val="24"/>
              </w:rPr>
              <w:t>）</w:t>
            </w:r>
            <w:r>
              <w:rPr>
                <w:rFonts w:hint="eastAsia" w:ascii="宋体" w:hAnsi="宋体" w:cs="宋体"/>
                <w:color w:val="000000"/>
                <w:kern w:val="0"/>
                <w:sz w:val="24"/>
              </w:rPr>
              <w:t>本项目不允许转包分包（由供应商在《政府采购投标及履约承诺函》中作出声明，加盖公章）。</w:t>
            </w:r>
          </w:p>
          <w:p>
            <w:pPr>
              <w:spacing w:line="360" w:lineRule="auto"/>
              <w:rPr>
                <w:rFonts w:hint="eastAsia" w:ascii="宋体" w:hAnsi="宋体" w:cs="宋体"/>
                <w:color w:val="000000"/>
                <w:kern w:val="0"/>
                <w:sz w:val="24"/>
                <w:u w:val="single"/>
              </w:rPr>
            </w:pPr>
            <w:r>
              <w:rPr>
                <w:rFonts w:hint="eastAsia" w:ascii="宋体" w:hAnsi="宋体" w:cs="宋体"/>
                <w:color w:val="000000"/>
                <w:kern w:val="0"/>
                <w:sz w:val="24"/>
              </w:rPr>
              <w:t>（10）本项目不专门面向中小企业采购，本项目</w:t>
            </w:r>
            <w:r>
              <w:rPr>
                <w:rFonts w:hint="eastAsia" w:ascii="宋体" w:hAnsi="宋体" w:cs="宋体"/>
                <w:sz w:val="24"/>
              </w:rPr>
              <w:t>所属</w:t>
            </w:r>
            <w:r>
              <w:rPr>
                <w:rFonts w:hint="eastAsia" w:ascii="宋体" w:hAnsi="宋体" w:cs="宋体"/>
                <w:color w:val="000000"/>
                <w:kern w:val="0"/>
                <w:sz w:val="24"/>
              </w:rPr>
              <w:t>行业为：</w:t>
            </w:r>
            <w:r>
              <w:rPr>
                <w:rFonts w:hint="eastAsia" w:ascii="宋体" w:hAnsi="宋体" w:cs="宋体"/>
                <w:b/>
                <w:bCs/>
                <w:color w:val="000000"/>
                <w:kern w:val="0"/>
                <w:sz w:val="24"/>
                <w:u w:val="single"/>
              </w:rPr>
              <w:t>租赁与商务服务业</w:t>
            </w:r>
            <w:r>
              <w:rPr>
                <w:rFonts w:hint="eastAsia" w:ascii="宋体" w:hAnsi="宋体" w:cs="宋体"/>
                <w:color w:val="000000"/>
                <w:kern w:val="0"/>
                <w:sz w:val="24"/>
                <w:u w:val="single"/>
              </w:rPr>
              <w:t>。</w:t>
            </w:r>
          </w:p>
          <w:p>
            <w:pPr>
              <w:spacing w:line="360" w:lineRule="auto"/>
              <w:rPr>
                <w:rFonts w:hint="eastAsia"/>
              </w:rPr>
            </w:pPr>
            <w:r>
              <w:rPr>
                <w:rFonts w:hint="eastAsia" w:ascii="宋体" w:hAnsi="宋体" w:eastAsia="宋体" w:cs="宋体"/>
                <w:b/>
                <w:bCs/>
                <w:kern w:val="0"/>
                <w:sz w:val="24"/>
                <w:lang w:val="en-US" w:eastAsia="zh-CN"/>
              </w:rPr>
              <w:t>注：若为联合体投标的，联合体各方均需满足投标人资格要求（1）-（9）项要求，并提供相应材料。若未提供或提供内容不满足要求将以未满足本项目资格要求做无效投标处理。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报价要求</w:t>
            </w:r>
          </w:p>
        </w:tc>
        <w:tc>
          <w:tcPr>
            <w:tcW w:w="7015" w:type="dxa"/>
            <w:noWrap w:val="0"/>
            <w:vAlign w:val="center"/>
          </w:tcPr>
          <w:p>
            <w:pPr>
              <w:numPr>
                <w:ilvl w:val="0"/>
                <w:numId w:val="2"/>
              </w:numPr>
              <w:spacing w:line="360" w:lineRule="auto"/>
              <w:rPr>
                <w:rFonts w:ascii="宋体" w:hAnsi="宋体" w:cs="宋体"/>
                <w:color w:val="000000"/>
                <w:sz w:val="24"/>
              </w:rPr>
            </w:pPr>
            <w:r>
              <w:rPr>
                <w:rFonts w:hint="eastAsia" w:ascii="宋体" w:hAnsi="宋体" w:cs="宋体"/>
                <w:color w:val="000000"/>
                <w:sz w:val="24"/>
              </w:rPr>
              <w:t>本项目费用采用包干制，投标人报价应包括成本、法定税费和印刷费等完成本项目的一切费用。</w:t>
            </w:r>
          </w:p>
          <w:p>
            <w:pPr>
              <w:numPr>
                <w:ilvl w:val="0"/>
                <w:numId w:val="2"/>
              </w:numPr>
              <w:spacing w:line="360" w:lineRule="auto"/>
              <w:rPr>
                <w:rFonts w:ascii="宋体" w:hAnsi="宋体" w:cs="宋体"/>
                <w:color w:val="000000"/>
                <w:sz w:val="24"/>
              </w:rPr>
            </w:pPr>
            <w:r>
              <w:rPr>
                <w:rFonts w:hint="eastAsia" w:ascii="宋体" w:hAnsi="宋体" w:cs="宋体"/>
                <w:color w:val="000000"/>
                <w:sz w:val="24"/>
              </w:rPr>
              <w:t>投标人应根据本企业的成本自行决定报价；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2"/>
              </w:numPr>
              <w:spacing w:line="360" w:lineRule="auto"/>
              <w:rPr>
                <w:rFonts w:ascii="宋体" w:hAnsi="宋体" w:cs="宋体"/>
                <w:color w:val="000000"/>
                <w:sz w:val="24"/>
              </w:rPr>
            </w:pPr>
            <w:r>
              <w:rPr>
                <w:rFonts w:hint="eastAsia" w:ascii="宋体" w:hAnsi="宋体" w:cs="宋体"/>
                <w:color w:val="000000"/>
                <w:sz w:val="24"/>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2"/>
              </w:numPr>
              <w:spacing w:line="360" w:lineRule="auto"/>
              <w:rPr>
                <w:rFonts w:ascii="宋体" w:hAnsi="宋体" w:cs="宋体"/>
                <w:color w:val="000000"/>
                <w:sz w:val="24"/>
              </w:rPr>
            </w:pPr>
            <w:r>
              <w:rPr>
                <w:rFonts w:hint="eastAsia" w:ascii="宋体" w:hAnsi="宋体" w:cs="宋体"/>
                <w:color w:val="000000"/>
                <w:sz w:val="24"/>
              </w:rPr>
              <w:t>投标人应充分了解项目的位置、情况、道路及任何其他足以影响投标报价的情况，任何因忽视或误解项目情况而导致的索赔或服务期限延长申请将不获批准。</w:t>
            </w:r>
          </w:p>
          <w:p>
            <w:pPr>
              <w:numPr>
                <w:ilvl w:val="0"/>
                <w:numId w:val="2"/>
              </w:numPr>
              <w:spacing w:line="360" w:lineRule="auto"/>
              <w:rPr>
                <w:rFonts w:ascii="宋体" w:hAnsi="宋体" w:cs="宋体"/>
                <w:color w:val="000000"/>
                <w:sz w:val="24"/>
              </w:rPr>
            </w:pPr>
            <w:r>
              <w:rPr>
                <w:rFonts w:hint="eastAsia" w:ascii="宋体" w:hAnsi="宋体" w:cs="宋体"/>
                <w:color w:val="000000"/>
                <w:sz w:val="24"/>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联系方式</w:t>
            </w:r>
          </w:p>
        </w:tc>
        <w:tc>
          <w:tcPr>
            <w:tcW w:w="7015" w:type="dxa"/>
            <w:noWrap w:val="0"/>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1.采购人信息</w:t>
            </w:r>
          </w:p>
          <w:p>
            <w:pPr>
              <w:spacing w:line="360" w:lineRule="auto"/>
              <w:rPr>
                <w:rFonts w:ascii="宋体" w:hAnsi="宋体" w:cs="宋体"/>
                <w:color w:val="000000"/>
                <w:kern w:val="0"/>
                <w:sz w:val="24"/>
              </w:rPr>
            </w:pPr>
            <w:bookmarkStart w:id="8" w:name="_Toc28359009"/>
            <w:bookmarkStart w:id="9" w:name="_Toc28359086"/>
            <w:r>
              <w:rPr>
                <w:rFonts w:hint="eastAsia" w:ascii="宋体" w:hAnsi="宋体" w:cs="宋体"/>
                <w:color w:val="000000"/>
                <w:kern w:val="0"/>
                <w:sz w:val="24"/>
              </w:rPr>
              <w:t>名  称：深圳市前海深港现代服务业合作区管理局</w:t>
            </w:r>
          </w:p>
          <w:p>
            <w:pPr>
              <w:spacing w:line="360" w:lineRule="auto"/>
              <w:rPr>
                <w:rFonts w:ascii="宋体" w:hAnsi="宋体" w:cs="宋体"/>
                <w:color w:val="000000"/>
                <w:kern w:val="0"/>
                <w:sz w:val="24"/>
              </w:rPr>
            </w:pPr>
            <w:r>
              <w:rPr>
                <w:rFonts w:hint="eastAsia" w:ascii="宋体" w:hAnsi="宋体" w:cs="宋体"/>
                <w:color w:val="000000"/>
                <w:kern w:val="0"/>
                <w:sz w:val="24"/>
              </w:rPr>
              <w:t>地  址：深圳市南山区前海深港合作区桂湾五路123号前海管理局前海大厦T1栋</w:t>
            </w:r>
          </w:p>
          <w:p>
            <w:pPr>
              <w:spacing w:line="360" w:lineRule="auto"/>
              <w:rPr>
                <w:rFonts w:ascii="宋体" w:hAnsi="宋体" w:cs="宋体"/>
                <w:color w:val="000000"/>
                <w:kern w:val="0"/>
                <w:sz w:val="24"/>
              </w:rPr>
            </w:pPr>
            <w:r>
              <w:rPr>
                <w:rFonts w:hint="eastAsia" w:ascii="宋体" w:hAnsi="宋体" w:cs="宋体"/>
                <w:color w:val="000000"/>
                <w:kern w:val="0"/>
                <w:sz w:val="24"/>
              </w:rPr>
              <w:t>联系人：焦先生</w:t>
            </w:r>
          </w:p>
          <w:p>
            <w:pPr>
              <w:spacing w:line="360" w:lineRule="auto"/>
              <w:rPr>
                <w:rFonts w:ascii="宋体" w:hAnsi="宋体" w:cs="宋体"/>
                <w:color w:val="000000"/>
                <w:kern w:val="0"/>
                <w:sz w:val="24"/>
              </w:rPr>
            </w:pPr>
            <w:r>
              <w:rPr>
                <w:rFonts w:hint="eastAsia" w:ascii="宋体" w:hAnsi="宋体" w:cs="宋体"/>
                <w:color w:val="000000"/>
                <w:kern w:val="0"/>
                <w:sz w:val="24"/>
              </w:rPr>
              <w:t>电  话：13554880369</w:t>
            </w:r>
          </w:p>
          <w:p>
            <w:pPr>
              <w:spacing w:line="360" w:lineRule="auto"/>
              <w:rPr>
                <w:rFonts w:ascii="宋体" w:hAnsi="宋体" w:cs="宋体"/>
                <w:color w:val="000000"/>
                <w:kern w:val="0"/>
                <w:sz w:val="24"/>
              </w:rPr>
            </w:pPr>
            <w:r>
              <w:rPr>
                <w:rFonts w:hint="eastAsia" w:ascii="宋体" w:hAnsi="宋体" w:cs="宋体"/>
                <w:color w:val="000000"/>
                <w:kern w:val="0"/>
                <w:sz w:val="24"/>
              </w:rPr>
              <w:t>2.采购代理机构信息</w:t>
            </w:r>
            <w:bookmarkEnd w:id="8"/>
            <w:bookmarkEnd w:id="9"/>
          </w:p>
          <w:p>
            <w:pPr>
              <w:spacing w:line="360" w:lineRule="auto"/>
              <w:rPr>
                <w:rFonts w:hint="eastAsia" w:ascii="宋体" w:hAnsi="宋体" w:cs="宋体"/>
                <w:color w:val="000000"/>
                <w:kern w:val="0"/>
                <w:sz w:val="24"/>
              </w:rPr>
            </w:pPr>
            <w:bookmarkStart w:id="10" w:name="_Toc28359087"/>
            <w:bookmarkStart w:id="11" w:name="_Toc28359010"/>
            <w:r>
              <w:rPr>
                <w:rFonts w:hint="eastAsia" w:ascii="宋体" w:hAnsi="宋体" w:cs="宋体"/>
                <w:color w:val="000000"/>
                <w:kern w:val="0"/>
                <w:sz w:val="24"/>
              </w:rPr>
              <w:t>名  称：深圳交易咨询集团有限公司</w:t>
            </w:r>
          </w:p>
          <w:p>
            <w:pPr>
              <w:spacing w:line="360" w:lineRule="auto"/>
              <w:rPr>
                <w:rFonts w:ascii="宋体" w:hAnsi="宋体" w:cs="宋体"/>
                <w:color w:val="000000"/>
                <w:kern w:val="0"/>
                <w:sz w:val="24"/>
              </w:rPr>
            </w:pPr>
            <w:r>
              <w:rPr>
                <w:rFonts w:hint="eastAsia" w:ascii="宋体" w:hAnsi="宋体" w:cs="宋体"/>
                <w:color w:val="000000"/>
                <w:kern w:val="0"/>
                <w:sz w:val="24"/>
              </w:rPr>
              <w:t>地  址：深圳市南山区沙河西路 3157 号南山智谷产业园 A 座21楼</w:t>
            </w:r>
          </w:p>
          <w:p>
            <w:pPr>
              <w:spacing w:line="360" w:lineRule="auto"/>
              <w:rPr>
                <w:rFonts w:ascii="宋体" w:hAnsi="宋体" w:cs="宋体"/>
                <w:color w:val="000000"/>
                <w:kern w:val="0"/>
                <w:sz w:val="24"/>
              </w:rPr>
            </w:pPr>
            <w:r>
              <w:rPr>
                <w:rFonts w:hint="eastAsia" w:ascii="宋体" w:hAnsi="宋体" w:cs="宋体"/>
                <w:color w:val="000000"/>
                <w:kern w:val="0"/>
                <w:sz w:val="24"/>
              </w:rPr>
              <w:t>联系人：曹茜、郭金龙</w:t>
            </w:r>
          </w:p>
          <w:p>
            <w:pPr>
              <w:spacing w:line="360" w:lineRule="auto"/>
              <w:rPr>
                <w:rFonts w:hint="default" w:ascii="宋体" w:hAnsi="宋体" w:eastAsia="宋体" w:cs="宋体"/>
                <w:color w:val="000000"/>
                <w:kern w:val="0"/>
                <w:sz w:val="24"/>
                <w:lang w:val="en-US" w:eastAsia="zh-CN"/>
              </w:rPr>
            </w:pPr>
            <w:r>
              <w:rPr>
                <w:rFonts w:hint="eastAsia" w:ascii="宋体" w:hAnsi="宋体" w:cs="宋体"/>
                <w:color w:val="000000"/>
                <w:kern w:val="0"/>
                <w:sz w:val="24"/>
              </w:rPr>
              <w:t>电  话：18599127733、</w:t>
            </w:r>
            <w:bookmarkEnd w:id="10"/>
            <w:bookmarkEnd w:id="11"/>
            <w:r>
              <w:rPr>
                <w:rFonts w:hint="eastAsia" w:ascii="宋体" w:hAnsi="宋体" w:cs="宋体"/>
                <w:color w:val="000000"/>
                <w:kern w:val="0"/>
                <w:sz w:val="24"/>
                <w:lang w:val="en-US" w:eastAsia="zh-CN"/>
              </w:rPr>
              <w:t>15322282509</w:t>
            </w:r>
          </w:p>
        </w:tc>
      </w:tr>
    </w:tbl>
    <w:p>
      <w:pPr>
        <w:adjustRightInd w:val="0"/>
        <w:snapToGrid w:val="0"/>
        <w:spacing w:line="360" w:lineRule="auto"/>
        <w:ind w:firstLine="480" w:firstLineChars="200"/>
        <w:jc w:val="right"/>
        <w:rPr>
          <w:rFonts w:hint="eastAsia" w:ascii="宋体" w:hAnsi="宋体" w:cs="宋体"/>
          <w:color w:val="000000"/>
          <w:sz w:val="24"/>
        </w:rPr>
      </w:pPr>
      <w:r>
        <w:rPr>
          <w:rFonts w:hint="eastAsia" w:ascii="宋体" w:hAnsi="宋体" w:cs="宋体"/>
          <w:color w:val="000000"/>
          <w:sz w:val="24"/>
        </w:rPr>
        <w:t>深圳交易咨询集团有限公司</w:t>
      </w:r>
    </w:p>
    <w:p>
      <w:pPr>
        <w:adjustRightInd w:val="0"/>
        <w:snapToGrid w:val="0"/>
        <w:spacing w:line="360" w:lineRule="auto"/>
        <w:ind w:firstLine="480" w:firstLineChars="200"/>
        <w:jc w:val="right"/>
        <w:rPr>
          <w:rFonts w:ascii="宋体" w:hAnsi="宋体" w:cs="宋体"/>
          <w:color w:val="000000"/>
          <w:sz w:val="24"/>
        </w:rPr>
      </w:pPr>
      <w:r>
        <w:rPr>
          <w:rFonts w:hint="eastAsia" w:ascii="宋体" w:hAnsi="宋体" w:cs="宋体"/>
          <w:color w:val="000000"/>
          <w:sz w:val="24"/>
        </w:rPr>
        <w:t xml:space="preserve"> 2025年</w:t>
      </w:r>
      <w:r>
        <w:rPr>
          <w:rFonts w:hint="eastAsia" w:ascii="宋体" w:hAnsi="宋体" w:cs="宋体"/>
          <w:color w:val="000000"/>
          <w:sz w:val="24"/>
          <w:lang w:val="en-US" w:eastAsia="zh-CN"/>
        </w:rPr>
        <w:t>7</w:t>
      </w:r>
      <w:r>
        <w:rPr>
          <w:rFonts w:hint="eastAsia" w:ascii="宋体" w:hAnsi="宋体" w:cs="宋体"/>
          <w:color w:val="000000"/>
          <w:sz w:val="24"/>
        </w:rPr>
        <w:t>月</w:t>
      </w:r>
      <w:r>
        <w:rPr>
          <w:rFonts w:hint="eastAsia" w:ascii="宋体" w:hAnsi="宋体" w:cs="宋体"/>
          <w:color w:val="000000"/>
          <w:sz w:val="24"/>
          <w:lang w:val="en-US" w:eastAsia="zh-CN"/>
        </w:rPr>
        <w:t>7</w:t>
      </w:r>
      <w:r>
        <w:rPr>
          <w:rFonts w:hint="eastAsia" w:ascii="宋体" w:hAnsi="宋体" w:cs="宋体"/>
          <w:color w:val="000000"/>
          <w:sz w:val="24"/>
        </w:rPr>
        <w:t>日</w:t>
      </w:r>
    </w:p>
    <w:p>
      <w:pPr>
        <w:numPr>
          <w:ilvl w:val="0"/>
          <w:numId w:val="1"/>
        </w:numPr>
        <w:spacing w:line="360" w:lineRule="auto"/>
        <w:jc w:val="center"/>
        <w:outlineLvl w:val="0"/>
        <w:rPr>
          <w:rFonts w:ascii="宋体" w:hAnsi="宋体" w:cs="宋体"/>
          <w:b/>
          <w:bCs/>
          <w:color w:val="000000"/>
          <w:sz w:val="24"/>
        </w:rPr>
      </w:pPr>
      <w:r>
        <w:rPr>
          <w:rFonts w:hint="eastAsia" w:ascii="宋体" w:hAnsi="宋体" w:cs="宋体"/>
          <w:b/>
          <w:bCs/>
          <w:color w:val="000000"/>
          <w:sz w:val="24"/>
        </w:rPr>
        <w:br w:type="page"/>
      </w:r>
      <w:r>
        <w:rPr>
          <w:rFonts w:hint="eastAsia" w:ascii="宋体" w:hAnsi="宋体" w:cs="宋体"/>
          <w:b/>
          <w:bCs/>
          <w:color w:val="000000"/>
          <w:sz w:val="24"/>
        </w:rPr>
        <w:t xml:space="preserve"> </w:t>
      </w:r>
      <w:bookmarkStart w:id="12" w:name="_Toc10214"/>
      <w:r>
        <w:rPr>
          <w:rFonts w:hint="eastAsia" w:ascii="宋体" w:hAnsi="宋体" w:cs="宋体"/>
          <w:b/>
          <w:bCs/>
          <w:color w:val="000000"/>
          <w:sz w:val="24"/>
        </w:rPr>
        <w:t>投标须知</w:t>
      </w:r>
      <w:bookmarkEnd w:id="12"/>
    </w:p>
    <w:p>
      <w:pPr>
        <w:spacing w:line="360" w:lineRule="auto"/>
        <w:rPr>
          <w:rFonts w:ascii="宋体" w:hAnsi="宋体" w:cs="宋体"/>
          <w:color w:val="000000"/>
          <w:sz w:val="24"/>
        </w:rPr>
      </w:pPr>
      <w:r>
        <w:rPr>
          <w:rFonts w:hint="eastAsia" w:ascii="宋体" w:hAnsi="宋体" w:cs="宋体"/>
          <w:color w:val="000000"/>
          <w:sz w:val="24"/>
        </w:rPr>
        <w:t>1、本项目是深圳市前海深港现代服务业合作区管理局的</w:t>
      </w:r>
      <w:r>
        <w:rPr>
          <w:rFonts w:hint="eastAsia" w:ascii="宋体" w:hAnsi="宋体" w:cs="宋体"/>
          <w:color w:val="000000"/>
          <w:sz w:val="24"/>
          <w:lang w:eastAsia="zh-CN"/>
        </w:rPr>
        <w:t>2025年度前海管理局常年法律顾问（二次）</w:t>
      </w:r>
      <w:r>
        <w:rPr>
          <w:rFonts w:hint="eastAsia" w:ascii="宋体" w:hAnsi="宋体" w:cs="宋体"/>
          <w:color w:val="000000"/>
          <w:sz w:val="24"/>
        </w:rPr>
        <w:t>。</w:t>
      </w:r>
    </w:p>
    <w:p>
      <w:pPr>
        <w:spacing w:line="360" w:lineRule="auto"/>
        <w:rPr>
          <w:rFonts w:hint="eastAsia" w:ascii="宋体" w:hAnsi="宋体" w:cs="宋体"/>
          <w:color w:val="000000"/>
          <w:sz w:val="24"/>
        </w:rPr>
      </w:pPr>
      <w:r>
        <w:rPr>
          <w:rFonts w:hint="eastAsia" w:ascii="宋体" w:hAnsi="宋体" w:cs="宋体"/>
          <w:color w:val="000000"/>
          <w:sz w:val="24"/>
        </w:rPr>
        <w:t>2、本项目不属于《深圳市2025-2026年政府集中采购目录及限额标准》规定应集中采购项目，根据《中华人民共和国政府采购法》《深圳经济特区政府采购条例》的有关规定，深圳交易咨询集团有限公司受深圳市前海深港现代服务业合作区管理局委托组织采购。</w:t>
      </w:r>
    </w:p>
    <w:p>
      <w:pPr>
        <w:spacing w:line="360" w:lineRule="auto"/>
        <w:rPr>
          <w:rFonts w:hint="eastAsia" w:ascii="宋体" w:hAnsi="宋体" w:cs="宋体"/>
          <w:b/>
          <w:bCs/>
          <w:color w:val="000000"/>
          <w:sz w:val="24"/>
        </w:rPr>
      </w:pPr>
      <w:r>
        <w:rPr>
          <w:rFonts w:hint="eastAsia" w:ascii="宋体" w:hAnsi="宋体" w:cs="宋体"/>
          <w:b/>
          <w:bCs/>
          <w:color w:val="000000"/>
          <w:sz w:val="24"/>
        </w:rPr>
        <w:t>2.1、本次采购公开征集供应商，报名且符合招标文件初审的供应商满足3家或3家以上的，采用综合评分法的方式进行。</w:t>
      </w:r>
      <w:r>
        <w:rPr>
          <w:rFonts w:hint="eastAsia" w:ascii="宋体" w:hAnsi="宋体" w:cs="宋体"/>
          <w:b/>
          <w:bCs/>
          <w:color w:val="000000"/>
          <w:sz w:val="24"/>
          <w:u w:val="single"/>
        </w:rPr>
        <w:t>报名且符合招标文件初审的供应商不足3家而导致招标失败的，应重新组织简易招标(公开征集)或转为其他采购方式采购。</w:t>
      </w:r>
    </w:p>
    <w:p>
      <w:pPr>
        <w:spacing w:line="360" w:lineRule="auto"/>
        <w:rPr>
          <w:rFonts w:hint="eastAsia" w:ascii="宋体" w:hAnsi="宋体" w:cs="宋体"/>
          <w:b/>
          <w:bCs/>
          <w:color w:val="000000"/>
          <w:sz w:val="24"/>
        </w:rPr>
      </w:pPr>
      <w:r>
        <w:rPr>
          <w:rFonts w:hint="eastAsia" w:ascii="宋体" w:hAnsi="宋体" w:cs="宋体"/>
          <w:b/>
          <w:bCs/>
          <w:color w:val="000000"/>
          <w:sz w:val="24"/>
        </w:rPr>
        <w:t>2.2、对于重新组织简易招标(公开征集)，仍出现有效投标供应商不足3家的情形，按以下流程执行：</w:t>
      </w:r>
    </w:p>
    <w:p>
      <w:pPr>
        <w:spacing w:line="360" w:lineRule="auto"/>
        <w:rPr>
          <w:rFonts w:ascii="宋体" w:hAnsi="宋体" w:cs="宋体"/>
          <w:b/>
          <w:bCs/>
          <w:color w:val="000000"/>
          <w:sz w:val="24"/>
        </w:rPr>
      </w:pPr>
      <w:r>
        <w:rPr>
          <w:rFonts w:hint="eastAsia" w:ascii="宋体" w:hAnsi="宋体" w:cs="宋体"/>
          <w:b/>
          <w:bCs/>
          <w:color w:val="000000"/>
          <w:sz w:val="24"/>
        </w:rPr>
        <w:t>a.有效投标人为2家的，可在2家有效投标人中取得分最高者为中标供应商；</w:t>
      </w:r>
    </w:p>
    <w:p>
      <w:pPr>
        <w:spacing w:line="360" w:lineRule="auto"/>
        <w:rPr>
          <w:rFonts w:ascii="宋体" w:hAnsi="宋体" w:cs="宋体"/>
          <w:color w:val="000000"/>
          <w:sz w:val="24"/>
        </w:rPr>
      </w:pPr>
      <w:r>
        <w:rPr>
          <w:rFonts w:hint="eastAsia" w:ascii="宋体" w:hAnsi="宋体" w:cs="宋体"/>
          <w:b/>
          <w:bCs/>
          <w:color w:val="000000"/>
          <w:sz w:val="24"/>
        </w:rPr>
        <w:t>b.如参与投标且符合招标文件要求的供应商仅有1家，评审委员会应与投标供应商进行谈判，</w:t>
      </w:r>
      <w:r>
        <w:rPr>
          <w:rFonts w:hint="eastAsia" w:ascii="宋体" w:hAnsi="宋体" w:cs="宋体"/>
          <w:b/>
          <w:bCs/>
          <w:color w:val="000000"/>
          <w:sz w:val="24"/>
          <w:u w:val="single"/>
        </w:rPr>
        <w:t>原则上成交价不超过最初报价的95%。</w:t>
      </w:r>
    </w:p>
    <w:p>
      <w:pPr>
        <w:spacing w:line="360" w:lineRule="auto"/>
        <w:rPr>
          <w:rFonts w:ascii="宋体" w:hAnsi="宋体" w:cs="宋体"/>
          <w:color w:val="000000"/>
          <w:sz w:val="24"/>
        </w:rPr>
      </w:pPr>
      <w:r>
        <w:rPr>
          <w:rFonts w:hint="eastAsia" w:ascii="宋体" w:hAnsi="宋体" w:cs="宋体"/>
          <w:color w:val="000000"/>
          <w:sz w:val="24"/>
        </w:rPr>
        <w:t>3、本项目根据项目的实际情况，公开征集符合投标人资格的供应商。请各供应商根据本文件的要求，准备</w:t>
      </w:r>
      <w:r>
        <w:rPr>
          <w:rFonts w:hint="eastAsia" w:ascii="宋体" w:hAnsi="宋体" w:cs="宋体"/>
          <w:b/>
          <w:bCs/>
          <w:color w:val="000000"/>
          <w:sz w:val="24"/>
        </w:rPr>
        <w:t>5套（1套正本，4套副本，1份电子文档）</w:t>
      </w:r>
      <w:r>
        <w:rPr>
          <w:rFonts w:hint="eastAsia" w:ascii="宋体" w:hAnsi="宋体" w:cs="宋体"/>
          <w:color w:val="000000"/>
          <w:sz w:val="24"/>
        </w:rPr>
        <w:t>完备的资料进行投标。</w:t>
      </w:r>
    </w:p>
    <w:p>
      <w:pPr>
        <w:spacing w:line="360" w:lineRule="auto"/>
        <w:rPr>
          <w:rFonts w:ascii="宋体" w:hAnsi="宋体" w:cs="宋体"/>
          <w:color w:val="000000"/>
          <w:sz w:val="24"/>
        </w:rPr>
      </w:pPr>
      <w:r>
        <w:rPr>
          <w:rFonts w:hint="eastAsia" w:ascii="宋体" w:hAnsi="宋体" w:cs="宋体"/>
          <w:color w:val="000000"/>
          <w:sz w:val="24"/>
        </w:rPr>
        <w:t>4、本招标文件已对本次采购项目的商务条件和货物或服务的质量、技术要求、成果要求、交货要求、售后服务作出了明确的规定。</w:t>
      </w:r>
    </w:p>
    <w:p>
      <w:pPr>
        <w:snapToGrid w:val="0"/>
        <w:spacing w:after="78" w:afterLines="25" w:line="360" w:lineRule="auto"/>
        <w:rPr>
          <w:rFonts w:ascii="宋体" w:hAnsi="宋体" w:cs="宋体"/>
          <w:color w:val="000000"/>
          <w:sz w:val="24"/>
        </w:rPr>
      </w:pPr>
      <w:r>
        <w:rPr>
          <w:rFonts w:hint="eastAsia" w:ascii="宋体" w:hAnsi="宋体" w:cs="宋体"/>
          <w:color w:val="000000"/>
          <w:sz w:val="24"/>
        </w:rPr>
        <w:t>5、响应文件要包括如下内容：</w:t>
      </w:r>
    </w:p>
    <w:p>
      <w:pPr>
        <w:numPr>
          <w:ilvl w:val="0"/>
          <w:numId w:val="3"/>
        </w:numPr>
        <w:tabs>
          <w:tab w:val="clear" w:pos="-420"/>
        </w:tabs>
        <w:snapToGrid w:val="0"/>
        <w:spacing w:after="78" w:afterLines="25" w:line="360" w:lineRule="auto"/>
        <w:ind w:left="1050" w:hanging="420"/>
        <w:rPr>
          <w:rFonts w:ascii="宋体" w:hAnsi="宋体" w:cs="宋体"/>
          <w:color w:val="000000"/>
          <w:sz w:val="24"/>
        </w:rPr>
      </w:pPr>
      <w:r>
        <w:rPr>
          <w:rFonts w:hint="eastAsia" w:ascii="宋体" w:hAnsi="宋体" w:cs="宋体"/>
          <w:color w:val="000000"/>
          <w:sz w:val="24"/>
        </w:rPr>
        <w:t>价格部分；</w:t>
      </w:r>
    </w:p>
    <w:p>
      <w:pPr>
        <w:numPr>
          <w:ilvl w:val="0"/>
          <w:numId w:val="3"/>
        </w:numPr>
        <w:tabs>
          <w:tab w:val="clear" w:pos="-420"/>
        </w:tabs>
        <w:snapToGrid w:val="0"/>
        <w:spacing w:after="78" w:afterLines="25" w:line="360" w:lineRule="auto"/>
        <w:ind w:left="1050" w:hanging="420"/>
        <w:rPr>
          <w:rFonts w:ascii="宋体" w:hAnsi="宋体" w:cs="宋体"/>
          <w:color w:val="000000"/>
          <w:sz w:val="24"/>
        </w:rPr>
      </w:pPr>
      <w:r>
        <w:rPr>
          <w:rFonts w:hint="eastAsia" w:ascii="宋体" w:hAnsi="宋体" w:cs="宋体"/>
          <w:color w:val="000000"/>
          <w:sz w:val="24"/>
        </w:rPr>
        <w:t>商务部分；</w:t>
      </w:r>
    </w:p>
    <w:p>
      <w:pPr>
        <w:numPr>
          <w:ilvl w:val="0"/>
          <w:numId w:val="3"/>
        </w:numPr>
        <w:tabs>
          <w:tab w:val="clear" w:pos="-420"/>
        </w:tabs>
        <w:snapToGrid w:val="0"/>
        <w:spacing w:after="78" w:afterLines="25" w:line="360" w:lineRule="auto"/>
        <w:ind w:left="1050" w:hanging="420"/>
        <w:rPr>
          <w:rFonts w:ascii="宋体" w:hAnsi="宋体" w:cs="宋体"/>
          <w:color w:val="000000"/>
          <w:sz w:val="24"/>
        </w:rPr>
      </w:pPr>
      <w:r>
        <w:rPr>
          <w:rFonts w:hint="eastAsia" w:ascii="宋体" w:hAnsi="宋体" w:cs="宋体"/>
          <w:color w:val="000000"/>
          <w:sz w:val="24"/>
        </w:rPr>
        <w:t>技术部分。</w:t>
      </w:r>
    </w:p>
    <w:p>
      <w:pPr>
        <w:snapToGrid w:val="0"/>
        <w:spacing w:line="360" w:lineRule="auto"/>
        <w:rPr>
          <w:rFonts w:ascii="宋体" w:hAnsi="宋体" w:cs="宋体"/>
          <w:b/>
          <w:color w:val="000000"/>
          <w:sz w:val="24"/>
        </w:rPr>
      </w:pPr>
      <w:r>
        <w:rPr>
          <w:rFonts w:hint="eastAsia" w:ascii="宋体" w:hAnsi="宋体" w:cs="宋体"/>
          <w:color w:val="000000"/>
          <w:sz w:val="24"/>
        </w:rPr>
        <w:t>6、</w:t>
      </w:r>
      <w:r>
        <w:rPr>
          <w:rFonts w:hint="eastAsia" w:ascii="宋体" w:hAnsi="宋体" w:cs="宋体"/>
          <w:bCs/>
          <w:color w:val="000000"/>
          <w:sz w:val="24"/>
        </w:rPr>
        <w:t>采购人会对本次招标的项目确定一个最高限价，最终成交价格超出最高限价将会被当作投标无效处理。</w:t>
      </w:r>
    </w:p>
    <w:p>
      <w:pPr>
        <w:snapToGrid w:val="0"/>
        <w:spacing w:line="360" w:lineRule="auto"/>
        <w:rPr>
          <w:rFonts w:ascii="宋体" w:hAnsi="宋体" w:cs="宋体"/>
          <w:color w:val="000000"/>
          <w:sz w:val="24"/>
        </w:rPr>
      </w:pPr>
      <w:r>
        <w:rPr>
          <w:rFonts w:hint="eastAsia" w:ascii="宋体" w:hAnsi="宋体" w:cs="宋体"/>
          <w:color w:val="000000"/>
          <w:sz w:val="24"/>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ascii="宋体" w:hAnsi="宋体" w:cs="宋体"/>
          <w:color w:val="000000"/>
          <w:sz w:val="24"/>
        </w:rPr>
      </w:pPr>
      <w:r>
        <w:rPr>
          <w:rFonts w:hint="eastAsia" w:ascii="宋体" w:hAnsi="宋体" w:cs="宋体"/>
          <w:color w:val="000000"/>
          <w:sz w:val="24"/>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ascii="宋体" w:hAnsi="宋体" w:cs="宋体"/>
          <w:color w:val="000000"/>
          <w:sz w:val="24"/>
        </w:rPr>
      </w:pPr>
      <w:r>
        <w:rPr>
          <w:rFonts w:hint="eastAsia" w:ascii="宋体" w:hAnsi="宋体" w:cs="宋体"/>
          <w:color w:val="000000"/>
          <w:sz w:val="24"/>
        </w:rPr>
        <w:t>9、本次采购凡涉及知识产权问题，由项目供应商负责。</w:t>
      </w:r>
    </w:p>
    <w:p>
      <w:pPr>
        <w:snapToGrid w:val="0"/>
        <w:spacing w:line="360" w:lineRule="auto"/>
        <w:rPr>
          <w:rFonts w:ascii="宋体" w:hAnsi="宋体" w:cs="宋体"/>
          <w:color w:val="000000"/>
          <w:sz w:val="24"/>
        </w:rPr>
      </w:pPr>
      <w:r>
        <w:rPr>
          <w:rFonts w:hint="eastAsia" w:ascii="宋体" w:hAnsi="宋体" w:cs="宋体"/>
          <w:color w:val="000000"/>
          <w:sz w:val="24"/>
        </w:rPr>
        <w:t>10、采购人将组成评审委员会，评审工作由评审委员会独立负责。</w:t>
      </w:r>
    </w:p>
    <w:p>
      <w:pPr>
        <w:snapToGrid w:val="0"/>
        <w:spacing w:line="360" w:lineRule="auto"/>
        <w:rPr>
          <w:rFonts w:ascii="宋体" w:hAnsi="宋体" w:cs="宋体"/>
          <w:color w:val="000000"/>
          <w:sz w:val="24"/>
        </w:rPr>
      </w:pPr>
      <w:r>
        <w:rPr>
          <w:rFonts w:hint="eastAsia" w:ascii="宋体" w:hAnsi="宋体" w:cs="宋体"/>
          <w:color w:val="000000"/>
          <w:sz w:val="24"/>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ascii="宋体" w:hAnsi="宋体" w:cs="宋体"/>
          <w:color w:val="000000"/>
          <w:sz w:val="24"/>
        </w:rPr>
      </w:pPr>
      <w:r>
        <w:rPr>
          <w:rFonts w:hint="eastAsia" w:ascii="宋体" w:hAnsi="宋体" w:cs="宋体"/>
          <w:color w:val="000000"/>
          <w:sz w:val="24"/>
        </w:rPr>
        <w:t>12、采用综合评分法的情况：评审委员会将分别对供应商递交的投标文件进行评审。</w:t>
      </w:r>
    </w:p>
    <w:p>
      <w:pPr>
        <w:snapToGrid w:val="0"/>
        <w:spacing w:line="360" w:lineRule="auto"/>
        <w:ind w:firstLine="360" w:firstLineChars="150"/>
        <w:rPr>
          <w:rFonts w:ascii="宋体" w:hAnsi="宋体" w:cs="宋体"/>
          <w:color w:val="000000"/>
          <w:sz w:val="24"/>
        </w:rPr>
      </w:pPr>
      <w:r>
        <w:rPr>
          <w:rFonts w:hint="eastAsia" w:ascii="宋体" w:hAnsi="宋体" w:cs="宋体"/>
          <w:color w:val="000000"/>
          <w:sz w:val="24"/>
        </w:rPr>
        <w:t>（1）评审委员会将根据供应商的供货能力、服务能力、货物的质量、是否满足本次采购的商务条件、报价等方面的情况进行综合评审，评标委员会依据得分情况，取综合得分最高的供应商为第一中标候选人。</w:t>
      </w:r>
    </w:p>
    <w:p>
      <w:pPr>
        <w:snapToGrid w:val="0"/>
        <w:spacing w:line="360" w:lineRule="auto"/>
        <w:ind w:firstLine="360" w:firstLineChars="150"/>
        <w:rPr>
          <w:rFonts w:ascii="宋体" w:hAnsi="宋体" w:cs="宋体"/>
          <w:color w:val="000000"/>
          <w:sz w:val="24"/>
        </w:rPr>
      </w:pPr>
      <w:r>
        <w:rPr>
          <w:rFonts w:hint="eastAsia" w:ascii="宋体" w:hAnsi="宋体" w:cs="宋体"/>
          <w:color w:val="000000"/>
          <w:sz w:val="24"/>
        </w:rPr>
        <w:t>（2）如果二个及以上供应商的综合评分相同时，取投标价格低者为第一中标候选人。</w:t>
      </w:r>
    </w:p>
    <w:p>
      <w:pPr>
        <w:snapToGrid w:val="0"/>
        <w:spacing w:line="360" w:lineRule="auto"/>
        <w:ind w:firstLine="360" w:firstLineChars="150"/>
        <w:rPr>
          <w:rFonts w:ascii="宋体" w:hAnsi="宋体" w:cs="宋体"/>
          <w:color w:val="000000"/>
          <w:sz w:val="24"/>
        </w:rPr>
      </w:pPr>
      <w:r>
        <w:rPr>
          <w:rFonts w:hint="eastAsia" w:ascii="宋体" w:hAnsi="宋体" w:cs="宋体"/>
          <w:color w:val="000000"/>
          <w:sz w:val="24"/>
        </w:rPr>
        <w:t>（3）如果二个及以上供应商的综合评分相同，且投标价格也相同时，取技术部分得分高者为第一中标候选人。</w:t>
      </w:r>
    </w:p>
    <w:p>
      <w:pPr>
        <w:snapToGrid w:val="0"/>
        <w:spacing w:line="360" w:lineRule="auto"/>
        <w:rPr>
          <w:rFonts w:ascii="宋体" w:hAnsi="宋体" w:cs="宋体"/>
          <w:color w:val="000000"/>
          <w:sz w:val="24"/>
        </w:rPr>
      </w:pPr>
      <w:r>
        <w:rPr>
          <w:rFonts w:hint="eastAsia" w:ascii="宋体" w:hAnsi="宋体" w:cs="宋体"/>
          <w:color w:val="000000"/>
          <w:sz w:val="24"/>
        </w:rPr>
        <w:t>13、采用谈判的情况：参与投标且符合招标文件要求的供应商仅有一家，评审委员会将与投标供应商进行谈判。</w:t>
      </w:r>
    </w:p>
    <w:p>
      <w:pPr>
        <w:snapToGrid w:val="0"/>
        <w:spacing w:line="360" w:lineRule="auto"/>
        <w:ind w:firstLine="360" w:firstLineChars="150"/>
        <w:rPr>
          <w:rFonts w:ascii="宋体" w:hAnsi="宋体" w:cs="宋体"/>
          <w:color w:val="000000"/>
          <w:sz w:val="24"/>
        </w:rPr>
      </w:pPr>
      <w:r>
        <w:rPr>
          <w:rFonts w:hint="eastAsia" w:ascii="宋体" w:hAnsi="宋体" w:cs="宋体"/>
          <w:color w:val="000000"/>
          <w:sz w:val="24"/>
        </w:rPr>
        <w:t>（1）供应商在谈判时由项目负责人与评审委员会进行谈判；</w:t>
      </w:r>
    </w:p>
    <w:p>
      <w:pPr>
        <w:snapToGrid w:val="0"/>
        <w:spacing w:line="360" w:lineRule="auto"/>
        <w:ind w:firstLine="360" w:firstLineChars="150"/>
        <w:rPr>
          <w:rFonts w:ascii="宋体" w:hAnsi="宋体" w:cs="宋体"/>
          <w:color w:val="000000"/>
          <w:sz w:val="24"/>
        </w:rPr>
      </w:pPr>
      <w:r>
        <w:rPr>
          <w:rFonts w:hint="eastAsia" w:ascii="宋体" w:hAnsi="宋体" w:cs="宋体"/>
          <w:color w:val="000000"/>
          <w:sz w:val="24"/>
        </w:rPr>
        <w:t>（2）原则上成交价不超过最初报价的95%。</w:t>
      </w:r>
    </w:p>
    <w:p>
      <w:pPr>
        <w:snapToGrid w:val="0"/>
        <w:spacing w:line="360" w:lineRule="auto"/>
        <w:rPr>
          <w:rFonts w:ascii="宋体" w:hAnsi="宋体" w:cs="宋体"/>
          <w:color w:val="000000"/>
          <w:sz w:val="24"/>
        </w:rPr>
      </w:pPr>
      <w:r>
        <w:rPr>
          <w:rFonts w:hint="eastAsia" w:ascii="宋体" w:hAnsi="宋体" w:cs="宋体"/>
          <w:color w:val="000000"/>
          <w:sz w:val="24"/>
        </w:rPr>
        <w:t>14、所有的评审/谈判内容都必须保密。</w:t>
      </w:r>
    </w:p>
    <w:p>
      <w:pPr>
        <w:snapToGrid w:val="0"/>
        <w:spacing w:line="360" w:lineRule="auto"/>
        <w:rPr>
          <w:rFonts w:ascii="宋体" w:hAnsi="宋体" w:cs="宋体"/>
          <w:color w:val="000000"/>
          <w:sz w:val="24"/>
        </w:rPr>
      </w:pPr>
      <w:r>
        <w:rPr>
          <w:rFonts w:hint="eastAsia" w:ascii="宋体" w:hAnsi="宋体" w:cs="宋体"/>
          <w:color w:val="000000"/>
          <w:sz w:val="24"/>
        </w:rPr>
        <w:t>15、招标代理服务收费：</w:t>
      </w:r>
    </w:p>
    <w:p>
      <w:pPr>
        <w:snapToGrid w:val="0"/>
        <w:spacing w:line="360" w:lineRule="auto"/>
        <w:jc w:val="left"/>
        <w:rPr>
          <w:rFonts w:ascii="宋体" w:hAnsi="宋体" w:cs="宋体"/>
          <w:color w:val="000000"/>
          <w:sz w:val="24"/>
        </w:rPr>
      </w:pPr>
      <w:r>
        <w:rPr>
          <w:rFonts w:hint="eastAsia" w:ascii="宋体" w:hAnsi="宋体" w:cs="宋体"/>
          <w:color w:val="000000"/>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snapToGrid w:val="0"/>
        <w:spacing w:line="360" w:lineRule="auto"/>
        <w:ind w:firstLine="360" w:firstLineChars="150"/>
        <w:rPr>
          <w:rFonts w:ascii="宋体" w:hAnsi="宋体" w:cs="宋体"/>
          <w:color w:val="000000"/>
          <w:sz w:val="24"/>
        </w:rPr>
      </w:pPr>
      <w:r>
        <w:rPr>
          <w:rFonts w:hint="eastAsia" w:ascii="宋体" w:hAnsi="宋体" w:cs="宋体"/>
          <w:color w:val="000000"/>
          <w:sz w:val="24"/>
        </w:rPr>
        <w:t>具体计取费率标准如下表所示：</w:t>
      </w:r>
    </w:p>
    <w:tbl>
      <w:tblPr>
        <w:tblStyle w:val="20"/>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noWrap w:val="0"/>
            <w:vAlign w:val="center"/>
          </w:tcPr>
          <w:p>
            <w:pPr>
              <w:adjustRightInd w:val="0"/>
              <w:snapToGrid w:val="0"/>
              <w:spacing w:line="360" w:lineRule="auto"/>
              <w:ind w:right="26"/>
              <w:jc w:val="center"/>
              <w:rPr>
                <w:rFonts w:ascii="宋体" w:hAnsi="宋体" w:cs="宋体"/>
                <w:b/>
                <w:bCs/>
                <w:color w:val="000000"/>
                <w:sz w:val="24"/>
              </w:rPr>
            </w:pPr>
            <w:r>
              <w:rPr>
                <w:rFonts w:hint="eastAsia" w:ascii="宋体" w:hAnsi="宋体" w:cs="宋体"/>
                <w:b/>
                <w:bCs/>
                <w:color w:val="000000"/>
                <w:sz w:val="24"/>
              </w:rPr>
              <w:t>中标金额</w:t>
            </w:r>
          </w:p>
        </w:tc>
        <w:tc>
          <w:tcPr>
            <w:tcW w:w="5495" w:type="dxa"/>
            <w:gridSpan w:val="3"/>
            <w:shd w:val="clear" w:color="auto" w:fill="D7D7D7"/>
            <w:noWrap w:val="0"/>
            <w:vAlign w:val="center"/>
          </w:tcPr>
          <w:p>
            <w:pPr>
              <w:adjustRightInd w:val="0"/>
              <w:snapToGrid w:val="0"/>
              <w:spacing w:line="360" w:lineRule="auto"/>
              <w:ind w:right="26"/>
              <w:jc w:val="center"/>
              <w:rPr>
                <w:rFonts w:ascii="宋体" w:hAnsi="宋体" w:cs="宋体"/>
                <w:b/>
                <w:bCs/>
                <w:color w:val="000000"/>
                <w:sz w:val="24"/>
              </w:rPr>
            </w:pPr>
            <w:r>
              <w:rPr>
                <w:rFonts w:hint="eastAsia" w:ascii="宋体" w:hAnsi="宋体" w:cs="宋体"/>
                <w:b/>
                <w:bCs/>
                <w:color w:val="000000"/>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noWrap w:val="0"/>
            <w:vAlign w:val="center"/>
          </w:tcPr>
          <w:p>
            <w:pPr>
              <w:adjustRightInd w:val="0"/>
              <w:snapToGrid w:val="0"/>
              <w:spacing w:line="360" w:lineRule="auto"/>
              <w:ind w:right="26"/>
              <w:jc w:val="center"/>
              <w:rPr>
                <w:rFonts w:ascii="宋体" w:hAnsi="宋体" w:cs="宋体"/>
                <w:b/>
                <w:bCs/>
                <w:color w:val="000000"/>
                <w:sz w:val="24"/>
              </w:rPr>
            </w:pPr>
          </w:p>
        </w:tc>
        <w:tc>
          <w:tcPr>
            <w:tcW w:w="1843" w:type="dxa"/>
            <w:shd w:val="clear" w:color="auto" w:fill="D7D7D7"/>
            <w:noWrap w:val="0"/>
            <w:vAlign w:val="center"/>
          </w:tcPr>
          <w:p>
            <w:pPr>
              <w:adjustRightInd w:val="0"/>
              <w:snapToGrid w:val="0"/>
              <w:spacing w:line="360" w:lineRule="auto"/>
              <w:ind w:right="26"/>
              <w:jc w:val="center"/>
              <w:rPr>
                <w:rFonts w:ascii="宋体" w:hAnsi="宋体" w:cs="宋体"/>
                <w:b/>
                <w:bCs/>
                <w:color w:val="000000"/>
                <w:sz w:val="24"/>
              </w:rPr>
            </w:pPr>
            <w:r>
              <w:rPr>
                <w:rFonts w:hint="eastAsia" w:ascii="宋体" w:hAnsi="宋体" w:cs="宋体"/>
                <w:b/>
                <w:bCs/>
                <w:color w:val="000000"/>
                <w:sz w:val="24"/>
              </w:rPr>
              <w:t>货物招标</w:t>
            </w:r>
          </w:p>
        </w:tc>
        <w:tc>
          <w:tcPr>
            <w:tcW w:w="1755" w:type="dxa"/>
            <w:shd w:val="clear" w:color="auto" w:fill="D7D7D7"/>
            <w:noWrap w:val="0"/>
            <w:vAlign w:val="center"/>
          </w:tcPr>
          <w:p>
            <w:pPr>
              <w:adjustRightInd w:val="0"/>
              <w:snapToGrid w:val="0"/>
              <w:spacing w:line="360" w:lineRule="auto"/>
              <w:ind w:right="26"/>
              <w:jc w:val="center"/>
              <w:rPr>
                <w:rFonts w:ascii="宋体" w:hAnsi="宋体" w:cs="宋体"/>
                <w:b/>
                <w:bCs/>
                <w:color w:val="000000"/>
                <w:sz w:val="24"/>
              </w:rPr>
            </w:pPr>
            <w:r>
              <w:rPr>
                <w:rFonts w:hint="eastAsia" w:ascii="宋体" w:hAnsi="宋体" w:cs="宋体"/>
                <w:b/>
                <w:bCs/>
                <w:color w:val="000000"/>
                <w:sz w:val="24"/>
              </w:rPr>
              <w:t>服务招标</w:t>
            </w:r>
          </w:p>
        </w:tc>
        <w:tc>
          <w:tcPr>
            <w:tcW w:w="1897" w:type="dxa"/>
            <w:shd w:val="clear" w:color="auto" w:fill="D7D7D7"/>
            <w:noWrap w:val="0"/>
            <w:vAlign w:val="center"/>
          </w:tcPr>
          <w:p>
            <w:pPr>
              <w:adjustRightInd w:val="0"/>
              <w:snapToGrid w:val="0"/>
              <w:spacing w:line="360" w:lineRule="auto"/>
              <w:ind w:right="26"/>
              <w:jc w:val="center"/>
              <w:rPr>
                <w:rFonts w:ascii="宋体" w:hAnsi="宋体" w:cs="宋体"/>
                <w:b/>
                <w:bCs/>
                <w:color w:val="000000"/>
                <w:sz w:val="24"/>
              </w:rPr>
            </w:pPr>
            <w:r>
              <w:rPr>
                <w:rFonts w:hint="eastAsia" w:ascii="宋体" w:hAnsi="宋体" w:cs="宋体"/>
                <w:b/>
                <w:bCs/>
                <w:color w:val="000000"/>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100万元以下</w:t>
            </w:r>
          </w:p>
        </w:tc>
        <w:tc>
          <w:tcPr>
            <w:tcW w:w="1843" w:type="dxa"/>
            <w:noWrap w:val="0"/>
            <w:vAlign w:val="center"/>
          </w:tcPr>
          <w:p>
            <w:pPr>
              <w:adjustRightInd w:val="0"/>
              <w:snapToGrid w:val="0"/>
              <w:spacing w:line="360" w:lineRule="auto"/>
              <w:jc w:val="center"/>
              <w:textAlignment w:val="center"/>
              <w:rPr>
                <w:rFonts w:ascii="宋体" w:hAnsi="宋体" w:cs="宋体"/>
                <w:color w:val="000000"/>
                <w:sz w:val="24"/>
              </w:rPr>
            </w:pPr>
            <w:r>
              <w:rPr>
                <w:rFonts w:hint="eastAsia" w:ascii="宋体" w:hAnsi="宋体" w:cs="宋体"/>
                <w:color w:val="000000"/>
                <w:sz w:val="24"/>
              </w:rPr>
              <w:t>1.5%</w:t>
            </w:r>
          </w:p>
        </w:tc>
        <w:tc>
          <w:tcPr>
            <w:tcW w:w="1755"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1.5%</w:t>
            </w:r>
          </w:p>
        </w:tc>
        <w:tc>
          <w:tcPr>
            <w:tcW w:w="1897"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100万元（含）-500万元</w:t>
            </w:r>
          </w:p>
        </w:tc>
        <w:tc>
          <w:tcPr>
            <w:tcW w:w="1843" w:type="dxa"/>
            <w:noWrap w:val="0"/>
            <w:vAlign w:val="center"/>
          </w:tcPr>
          <w:p>
            <w:pPr>
              <w:adjustRightInd w:val="0"/>
              <w:snapToGrid w:val="0"/>
              <w:spacing w:line="360" w:lineRule="auto"/>
              <w:jc w:val="center"/>
              <w:textAlignment w:val="center"/>
              <w:rPr>
                <w:rFonts w:ascii="宋体" w:hAnsi="宋体" w:cs="宋体"/>
                <w:color w:val="000000"/>
                <w:sz w:val="24"/>
              </w:rPr>
            </w:pPr>
            <w:r>
              <w:rPr>
                <w:rFonts w:hint="eastAsia" w:ascii="宋体" w:hAnsi="宋体" w:cs="宋体"/>
                <w:color w:val="000000"/>
                <w:sz w:val="24"/>
              </w:rPr>
              <w:t>1.1%</w:t>
            </w:r>
          </w:p>
        </w:tc>
        <w:tc>
          <w:tcPr>
            <w:tcW w:w="1755"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0.8%</w:t>
            </w:r>
          </w:p>
        </w:tc>
        <w:tc>
          <w:tcPr>
            <w:tcW w:w="1897"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500万元（含）-1000万元</w:t>
            </w:r>
          </w:p>
        </w:tc>
        <w:tc>
          <w:tcPr>
            <w:tcW w:w="1843" w:type="dxa"/>
            <w:noWrap w:val="0"/>
            <w:vAlign w:val="center"/>
          </w:tcPr>
          <w:p>
            <w:pPr>
              <w:adjustRightInd w:val="0"/>
              <w:snapToGrid w:val="0"/>
              <w:spacing w:line="360" w:lineRule="auto"/>
              <w:jc w:val="center"/>
              <w:textAlignment w:val="center"/>
              <w:rPr>
                <w:rFonts w:ascii="宋体" w:hAnsi="宋体" w:cs="宋体"/>
                <w:color w:val="000000"/>
                <w:sz w:val="24"/>
              </w:rPr>
            </w:pPr>
            <w:r>
              <w:rPr>
                <w:rFonts w:hint="eastAsia" w:ascii="宋体" w:hAnsi="宋体" w:cs="宋体"/>
                <w:color w:val="000000"/>
                <w:sz w:val="24"/>
              </w:rPr>
              <w:t>0.8%</w:t>
            </w:r>
          </w:p>
        </w:tc>
        <w:tc>
          <w:tcPr>
            <w:tcW w:w="1755"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0.45%</w:t>
            </w:r>
          </w:p>
        </w:tc>
        <w:tc>
          <w:tcPr>
            <w:tcW w:w="1897"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1000万元（含）-5000万元</w:t>
            </w:r>
          </w:p>
        </w:tc>
        <w:tc>
          <w:tcPr>
            <w:tcW w:w="1843" w:type="dxa"/>
            <w:noWrap w:val="0"/>
            <w:vAlign w:val="center"/>
          </w:tcPr>
          <w:p>
            <w:pPr>
              <w:adjustRightInd w:val="0"/>
              <w:snapToGrid w:val="0"/>
              <w:spacing w:line="360" w:lineRule="auto"/>
              <w:jc w:val="center"/>
              <w:textAlignment w:val="center"/>
              <w:rPr>
                <w:rFonts w:ascii="宋体" w:hAnsi="宋体" w:cs="宋体"/>
                <w:color w:val="000000"/>
                <w:sz w:val="24"/>
              </w:rPr>
            </w:pPr>
            <w:r>
              <w:rPr>
                <w:rFonts w:hint="eastAsia" w:ascii="宋体" w:hAnsi="宋体" w:cs="宋体"/>
                <w:color w:val="000000"/>
                <w:sz w:val="24"/>
              </w:rPr>
              <w:t>0.5%</w:t>
            </w:r>
          </w:p>
        </w:tc>
        <w:tc>
          <w:tcPr>
            <w:tcW w:w="1755"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0.25%</w:t>
            </w:r>
          </w:p>
        </w:tc>
        <w:tc>
          <w:tcPr>
            <w:tcW w:w="1897"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5000万元（含）-1亿元</w:t>
            </w:r>
          </w:p>
        </w:tc>
        <w:tc>
          <w:tcPr>
            <w:tcW w:w="1843" w:type="dxa"/>
            <w:noWrap w:val="0"/>
            <w:vAlign w:val="center"/>
          </w:tcPr>
          <w:p>
            <w:pPr>
              <w:adjustRightInd w:val="0"/>
              <w:snapToGrid w:val="0"/>
              <w:spacing w:line="360" w:lineRule="auto"/>
              <w:jc w:val="center"/>
              <w:textAlignment w:val="center"/>
              <w:rPr>
                <w:rFonts w:ascii="宋体" w:hAnsi="宋体" w:cs="宋体"/>
                <w:color w:val="000000"/>
                <w:sz w:val="24"/>
              </w:rPr>
            </w:pPr>
            <w:r>
              <w:rPr>
                <w:rFonts w:hint="eastAsia" w:ascii="宋体" w:hAnsi="宋体" w:cs="宋体"/>
                <w:color w:val="000000"/>
                <w:sz w:val="24"/>
              </w:rPr>
              <w:t>0.25%</w:t>
            </w:r>
          </w:p>
        </w:tc>
        <w:tc>
          <w:tcPr>
            <w:tcW w:w="1755"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0.1%</w:t>
            </w:r>
          </w:p>
        </w:tc>
        <w:tc>
          <w:tcPr>
            <w:tcW w:w="1897"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1亿元（含）-5亿元</w:t>
            </w:r>
          </w:p>
        </w:tc>
        <w:tc>
          <w:tcPr>
            <w:tcW w:w="1843" w:type="dxa"/>
            <w:noWrap w:val="0"/>
            <w:vAlign w:val="center"/>
          </w:tcPr>
          <w:p>
            <w:pPr>
              <w:adjustRightInd w:val="0"/>
              <w:snapToGrid w:val="0"/>
              <w:spacing w:line="360" w:lineRule="auto"/>
              <w:jc w:val="center"/>
              <w:textAlignment w:val="center"/>
              <w:rPr>
                <w:rFonts w:ascii="宋体" w:hAnsi="宋体" w:cs="宋体"/>
                <w:color w:val="000000"/>
                <w:sz w:val="24"/>
              </w:rPr>
            </w:pPr>
            <w:r>
              <w:rPr>
                <w:rFonts w:hint="eastAsia" w:ascii="宋体" w:hAnsi="宋体" w:cs="宋体"/>
                <w:color w:val="000000"/>
                <w:sz w:val="24"/>
              </w:rPr>
              <w:t>0.05%</w:t>
            </w:r>
          </w:p>
        </w:tc>
        <w:tc>
          <w:tcPr>
            <w:tcW w:w="1755"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0.05%</w:t>
            </w:r>
          </w:p>
        </w:tc>
        <w:tc>
          <w:tcPr>
            <w:tcW w:w="1897"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5亿元（含）-10亿元</w:t>
            </w:r>
          </w:p>
        </w:tc>
        <w:tc>
          <w:tcPr>
            <w:tcW w:w="1843" w:type="dxa"/>
            <w:noWrap w:val="0"/>
            <w:vAlign w:val="center"/>
          </w:tcPr>
          <w:p>
            <w:pPr>
              <w:adjustRightInd w:val="0"/>
              <w:snapToGrid w:val="0"/>
              <w:spacing w:line="360" w:lineRule="auto"/>
              <w:jc w:val="center"/>
              <w:textAlignment w:val="center"/>
              <w:rPr>
                <w:rFonts w:ascii="宋体" w:hAnsi="宋体" w:cs="宋体"/>
                <w:color w:val="000000"/>
                <w:sz w:val="24"/>
              </w:rPr>
            </w:pPr>
            <w:r>
              <w:rPr>
                <w:rFonts w:hint="eastAsia" w:ascii="宋体" w:hAnsi="宋体" w:cs="宋体"/>
                <w:color w:val="000000"/>
                <w:sz w:val="24"/>
              </w:rPr>
              <w:t>0.035%</w:t>
            </w:r>
          </w:p>
        </w:tc>
        <w:tc>
          <w:tcPr>
            <w:tcW w:w="1755"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0.035%</w:t>
            </w:r>
          </w:p>
        </w:tc>
        <w:tc>
          <w:tcPr>
            <w:tcW w:w="1897"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10亿元（含）-50亿元</w:t>
            </w:r>
          </w:p>
        </w:tc>
        <w:tc>
          <w:tcPr>
            <w:tcW w:w="1843" w:type="dxa"/>
            <w:noWrap w:val="0"/>
            <w:vAlign w:val="center"/>
          </w:tcPr>
          <w:p>
            <w:pPr>
              <w:adjustRightInd w:val="0"/>
              <w:snapToGrid w:val="0"/>
              <w:spacing w:line="360" w:lineRule="auto"/>
              <w:jc w:val="center"/>
              <w:textAlignment w:val="center"/>
              <w:rPr>
                <w:rFonts w:ascii="宋体" w:hAnsi="宋体" w:cs="宋体"/>
                <w:color w:val="000000"/>
                <w:sz w:val="24"/>
              </w:rPr>
            </w:pPr>
            <w:r>
              <w:rPr>
                <w:rFonts w:hint="eastAsia" w:ascii="宋体" w:hAnsi="宋体" w:cs="宋体"/>
                <w:color w:val="000000"/>
                <w:sz w:val="24"/>
              </w:rPr>
              <w:t>0.008%</w:t>
            </w:r>
          </w:p>
        </w:tc>
        <w:tc>
          <w:tcPr>
            <w:tcW w:w="1755"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0.008%</w:t>
            </w:r>
          </w:p>
        </w:tc>
        <w:tc>
          <w:tcPr>
            <w:tcW w:w="1897"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50亿元（含）-100亿元</w:t>
            </w:r>
          </w:p>
        </w:tc>
        <w:tc>
          <w:tcPr>
            <w:tcW w:w="1843" w:type="dxa"/>
            <w:noWrap w:val="0"/>
            <w:vAlign w:val="center"/>
          </w:tcPr>
          <w:p>
            <w:pPr>
              <w:adjustRightInd w:val="0"/>
              <w:snapToGrid w:val="0"/>
              <w:spacing w:line="360" w:lineRule="auto"/>
              <w:jc w:val="center"/>
              <w:textAlignment w:val="center"/>
              <w:rPr>
                <w:rFonts w:ascii="宋体" w:hAnsi="宋体" w:cs="宋体"/>
                <w:color w:val="000000"/>
                <w:sz w:val="24"/>
              </w:rPr>
            </w:pPr>
            <w:r>
              <w:rPr>
                <w:rFonts w:hint="eastAsia" w:ascii="宋体" w:hAnsi="宋体" w:cs="宋体"/>
                <w:color w:val="000000"/>
                <w:sz w:val="24"/>
              </w:rPr>
              <w:t>0.006%</w:t>
            </w:r>
          </w:p>
        </w:tc>
        <w:tc>
          <w:tcPr>
            <w:tcW w:w="1755"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0.006%</w:t>
            </w:r>
          </w:p>
        </w:tc>
        <w:tc>
          <w:tcPr>
            <w:tcW w:w="1897"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100亿元（含）以上</w:t>
            </w:r>
          </w:p>
        </w:tc>
        <w:tc>
          <w:tcPr>
            <w:tcW w:w="1843" w:type="dxa"/>
            <w:noWrap w:val="0"/>
            <w:vAlign w:val="center"/>
          </w:tcPr>
          <w:p>
            <w:pPr>
              <w:adjustRightInd w:val="0"/>
              <w:snapToGrid w:val="0"/>
              <w:spacing w:line="360" w:lineRule="auto"/>
              <w:jc w:val="center"/>
              <w:textAlignment w:val="center"/>
              <w:rPr>
                <w:rFonts w:ascii="宋体" w:hAnsi="宋体" w:cs="宋体"/>
                <w:color w:val="000000"/>
                <w:sz w:val="24"/>
              </w:rPr>
            </w:pPr>
            <w:r>
              <w:rPr>
                <w:rFonts w:hint="eastAsia" w:ascii="宋体" w:hAnsi="宋体" w:cs="宋体"/>
                <w:color w:val="000000"/>
                <w:sz w:val="24"/>
              </w:rPr>
              <w:t>0.004%</w:t>
            </w:r>
          </w:p>
        </w:tc>
        <w:tc>
          <w:tcPr>
            <w:tcW w:w="1755"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0.004%</w:t>
            </w:r>
          </w:p>
        </w:tc>
        <w:tc>
          <w:tcPr>
            <w:tcW w:w="1897"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0.004%</w:t>
            </w:r>
          </w:p>
        </w:tc>
      </w:tr>
    </w:tbl>
    <w:p>
      <w:pPr>
        <w:spacing w:line="360" w:lineRule="auto"/>
        <w:rPr>
          <w:rFonts w:ascii="宋体" w:hAnsi="宋体" w:cs="宋体"/>
          <w:b/>
          <w:bCs/>
          <w:color w:val="000000"/>
          <w:sz w:val="24"/>
        </w:rPr>
        <w:sectPr>
          <w:footerReference r:id="rId3" w:type="default"/>
          <w:footerReference r:id="rId4" w:type="even"/>
          <w:pgSz w:w="11906" w:h="16838"/>
          <w:pgMar w:top="1440" w:right="1800" w:bottom="1440" w:left="1800" w:header="851" w:footer="992" w:gutter="0"/>
          <w:cols w:space="720" w:num="1"/>
          <w:docGrid w:type="lines" w:linePitch="312" w:charSpace="0"/>
        </w:sectPr>
      </w:pPr>
    </w:p>
    <w:p>
      <w:pPr>
        <w:numPr>
          <w:ilvl w:val="0"/>
          <w:numId w:val="1"/>
        </w:numPr>
        <w:spacing w:line="360" w:lineRule="auto"/>
        <w:jc w:val="center"/>
        <w:outlineLvl w:val="0"/>
        <w:rPr>
          <w:rFonts w:ascii="宋体" w:hAnsi="宋体" w:cs="宋体"/>
          <w:b/>
          <w:bCs/>
          <w:color w:val="000000"/>
          <w:sz w:val="24"/>
        </w:rPr>
      </w:pPr>
      <w:r>
        <w:rPr>
          <w:rFonts w:hint="eastAsia" w:ascii="宋体" w:hAnsi="宋体" w:cs="宋体"/>
          <w:b/>
          <w:bCs/>
          <w:color w:val="000000"/>
          <w:sz w:val="24"/>
        </w:rPr>
        <w:t xml:space="preserve"> </w:t>
      </w:r>
      <w:bookmarkStart w:id="13" w:name="_Toc20176"/>
      <w:r>
        <w:rPr>
          <w:rFonts w:hint="eastAsia" w:ascii="宋体" w:hAnsi="宋体" w:cs="宋体"/>
          <w:b/>
          <w:bCs/>
          <w:color w:val="000000"/>
          <w:sz w:val="24"/>
        </w:rPr>
        <w:t>评标程序</w:t>
      </w:r>
      <w:bookmarkEnd w:id="13"/>
    </w:p>
    <w:p>
      <w:pPr>
        <w:spacing w:line="360" w:lineRule="auto"/>
        <w:rPr>
          <w:rFonts w:ascii="宋体" w:hAnsi="宋体" w:cs="宋体"/>
          <w:color w:val="000000"/>
          <w:sz w:val="24"/>
        </w:rPr>
      </w:pPr>
      <w:r>
        <w:rPr>
          <w:rFonts w:hint="eastAsia" w:ascii="宋体" w:hAnsi="宋体" w:cs="宋体"/>
          <w:color w:val="000000"/>
          <w:sz w:val="24"/>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360" w:lineRule="auto"/>
        <w:rPr>
          <w:rFonts w:ascii="宋体" w:hAnsi="宋体" w:cs="宋体"/>
          <w:color w:val="000000"/>
          <w:sz w:val="24"/>
        </w:rPr>
      </w:pPr>
      <w:r>
        <w:rPr>
          <w:rFonts w:hint="eastAsia" w:ascii="宋体" w:hAnsi="宋体" w:cs="宋体"/>
          <w:color w:val="000000"/>
          <w:sz w:val="24"/>
        </w:rPr>
        <w:t>二、参加会议人员：投标人代表（如需）、项目负责代表、评审委员会成员、监督部门代表（如需）、采购代理机构代表。</w:t>
      </w:r>
    </w:p>
    <w:p>
      <w:pPr>
        <w:spacing w:line="360" w:lineRule="auto"/>
        <w:rPr>
          <w:rFonts w:ascii="宋体" w:hAnsi="宋体" w:cs="宋体"/>
          <w:color w:val="000000"/>
          <w:sz w:val="24"/>
        </w:rPr>
      </w:pPr>
      <w:r>
        <w:rPr>
          <w:rFonts w:hint="eastAsia" w:ascii="宋体" w:hAnsi="宋体" w:cs="宋体"/>
          <w:color w:val="000000"/>
          <w:sz w:val="24"/>
        </w:rPr>
        <w:t>三、会议主持人：深圳交易咨询集团有限公司工作人员 。</w:t>
      </w:r>
    </w:p>
    <w:p>
      <w:pPr>
        <w:spacing w:line="360" w:lineRule="auto"/>
        <w:rPr>
          <w:rFonts w:ascii="宋体" w:hAnsi="宋体" w:cs="宋体"/>
          <w:color w:val="000000"/>
          <w:sz w:val="24"/>
          <w:highlight w:val="none"/>
        </w:rPr>
      </w:pPr>
      <w:r>
        <w:rPr>
          <w:rFonts w:hint="eastAsia" w:ascii="宋体" w:hAnsi="宋体" w:cs="宋体"/>
          <w:color w:val="000000"/>
          <w:sz w:val="24"/>
        </w:rPr>
        <w:t>四、开标时间</w:t>
      </w:r>
      <w:r>
        <w:rPr>
          <w:rFonts w:hint="eastAsia" w:ascii="宋体" w:hAnsi="宋体" w:cs="宋体"/>
          <w:color w:val="000000"/>
          <w:sz w:val="24"/>
          <w:highlight w:val="none"/>
        </w:rPr>
        <w:t>：2025年</w:t>
      </w:r>
      <w:r>
        <w:rPr>
          <w:rFonts w:hint="eastAsia" w:ascii="宋体" w:hAnsi="宋体" w:cs="宋体"/>
          <w:color w:val="000000"/>
          <w:sz w:val="24"/>
          <w:highlight w:val="none"/>
          <w:lang w:val="en-US" w:eastAsia="zh-CN"/>
        </w:rPr>
        <w:t>7</w:t>
      </w:r>
      <w:r>
        <w:rPr>
          <w:rFonts w:hint="eastAsia" w:ascii="宋体" w:hAnsi="宋体" w:cs="宋体"/>
          <w:color w:val="000000"/>
          <w:sz w:val="24"/>
          <w:highlight w:val="none"/>
        </w:rPr>
        <w:t>月</w:t>
      </w:r>
      <w:r>
        <w:rPr>
          <w:rFonts w:hint="eastAsia" w:ascii="宋体" w:hAnsi="宋体" w:cs="宋体"/>
          <w:color w:val="000000"/>
          <w:sz w:val="24"/>
          <w:highlight w:val="none"/>
          <w:lang w:val="en-US" w:eastAsia="zh-CN"/>
        </w:rPr>
        <w:t>14</w:t>
      </w:r>
      <w:r>
        <w:rPr>
          <w:rFonts w:hint="eastAsia" w:ascii="宋体" w:hAnsi="宋体" w:cs="宋体"/>
          <w:color w:val="000000"/>
          <w:sz w:val="24"/>
          <w:highlight w:val="none"/>
        </w:rPr>
        <w:t>日1</w:t>
      </w:r>
      <w:r>
        <w:rPr>
          <w:rFonts w:hint="eastAsia" w:ascii="宋体" w:hAnsi="宋体" w:cs="宋体"/>
          <w:color w:val="000000"/>
          <w:sz w:val="24"/>
          <w:highlight w:val="none"/>
          <w:lang w:val="en-US" w:eastAsia="zh-CN"/>
        </w:rPr>
        <w:t>5</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00</w:t>
      </w:r>
      <w:r>
        <w:rPr>
          <w:rFonts w:hint="eastAsia" w:ascii="宋体" w:hAnsi="宋体" w:cs="宋体"/>
          <w:color w:val="000000"/>
          <w:sz w:val="24"/>
          <w:highlight w:val="none"/>
        </w:rPr>
        <w:t>时（北京时间）。</w:t>
      </w:r>
    </w:p>
    <w:p>
      <w:pPr>
        <w:spacing w:line="360" w:lineRule="auto"/>
        <w:rPr>
          <w:rFonts w:hint="eastAsia" w:ascii="宋体" w:hAnsi="宋体" w:eastAsia="宋体" w:cs="宋体"/>
          <w:sz w:val="24"/>
        </w:rPr>
      </w:pPr>
      <w:r>
        <w:rPr>
          <w:rFonts w:hint="eastAsia" w:ascii="宋体" w:hAnsi="宋体" w:cs="宋体"/>
          <w:color w:val="000000"/>
          <w:sz w:val="24"/>
        </w:rPr>
        <w:t>五、</w:t>
      </w:r>
      <w:r>
        <w:rPr>
          <w:rFonts w:hint="eastAsia" w:ascii="宋体" w:hAnsi="宋体" w:cs="宋体"/>
          <w:sz w:val="24"/>
        </w:rPr>
        <w:t>投标文件的递交。投标单位应将投标文件正本和副本密封，并标明项目编号、招标项目名称及“正本”或“副本”，采购单位业务处室工作人员接收投标单位递交的投标文件，投标单位应在</w:t>
      </w:r>
      <w:r>
        <w:rPr>
          <w:rFonts w:hint="eastAsia" w:ascii="宋体" w:hAnsi="宋体" w:cs="宋体"/>
          <w:sz w:val="24"/>
          <w:highlight w:val="none"/>
        </w:rPr>
        <w:t>2025年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14</w:t>
      </w:r>
      <w:r>
        <w:rPr>
          <w:rFonts w:hint="eastAsia" w:ascii="宋体" w:hAnsi="宋体" w:cs="宋体"/>
          <w:sz w:val="24"/>
          <w:highlight w:val="none"/>
        </w:rPr>
        <w:t>日1</w:t>
      </w: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highlight w:val="none"/>
          <w:lang w:val="en-US" w:eastAsia="zh-CN"/>
        </w:rPr>
        <w:t>00</w:t>
      </w:r>
      <w:r>
        <w:rPr>
          <w:rFonts w:hint="eastAsia" w:ascii="宋体" w:hAnsi="宋体" w:cs="宋体"/>
          <w:sz w:val="24"/>
          <w:highlight w:val="none"/>
        </w:rPr>
        <w:t>时（北京时</w:t>
      </w:r>
      <w:r>
        <w:rPr>
          <w:rFonts w:hint="eastAsia" w:ascii="宋体" w:hAnsi="宋体" w:cs="宋体"/>
          <w:sz w:val="24"/>
        </w:rPr>
        <w:t>间）前</w:t>
      </w:r>
      <w:r>
        <w:rPr>
          <w:rFonts w:hint="eastAsia" w:ascii="宋体" w:hAnsi="宋体" w:eastAsia="宋体" w:cs="宋体"/>
          <w:sz w:val="24"/>
        </w:rPr>
        <w:t>送达（现场递交或邮寄至前海大厦T1栋2312室）。截标后不再接收任何投标文件。</w:t>
      </w:r>
    </w:p>
    <w:p>
      <w:pPr>
        <w:spacing w:line="360" w:lineRule="auto"/>
        <w:rPr>
          <w:rFonts w:hint="eastAsia" w:ascii="宋体" w:hAnsi="宋体" w:eastAsia="宋体" w:cs="宋体"/>
          <w:sz w:val="24"/>
        </w:rPr>
      </w:pPr>
      <w:r>
        <w:rPr>
          <w:rFonts w:hint="eastAsia" w:ascii="宋体" w:hAnsi="宋体" w:eastAsia="宋体" w:cs="宋体"/>
          <w:sz w:val="24"/>
        </w:rPr>
        <w:t>六、开标：招标代理机构组织开标会。投标单位如需委派代表参加，参加开标的代表应签名报到以证明出席。开标时，招标代理机构将当众宣读投标单位名称、开标一览表（以招标文件规定的开标一览表内容为准）并做开标记录。</w:t>
      </w:r>
    </w:p>
    <w:p>
      <w:pPr>
        <w:spacing w:line="360" w:lineRule="auto"/>
        <w:rPr>
          <w:rFonts w:hint="eastAsia" w:ascii="宋体" w:hAnsi="宋体" w:cs="宋体"/>
          <w:color w:val="000000"/>
          <w:sz w:val="24"/>
        </w:rPr>
      </w:pPr>
      <w:r>
        <w:rPr>
          <w:rFonts w:hint="eastAsia" w:ascii="宋体" w:hAnsi="宋体" w:cs="宋体"/>
          <w:color w:val="000000"/>
          <w:sz w:val="24"/>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pacing w:line="360" w:lineRule="auto"/>
        <w:rPr>
          <w:rFonts w:hint="eastAsia" w:ascii="宋体" w:hAnsi="宋体" w:cs="宋体"/>
          <w:color w:val="000000"/>
          <w:sz w:val="24"/>
        </w:rPr>
      </w:pPr>
      <w:r>
        <w:rPr>
          <w:rFonts w:hint="eastAsia" w:ascii="宋体" w:hAnsi="宋体" w:cs="宋体"/>
          <w:color w:val="000000"/>
          <w:sz w:val="24"/>
        </w:rPr>
        <w:t>八、评审委员会审查供应商的投标文件，工作人员记录审查的情况。</w:t>
      </w:r>
    </w:p>
    <w:p>
      <w:pPr>
        <w:spacing w:line="360" w:lineRule="auto"/>
        <w:rPr>
          <w:rFonts w:ascii="宋体" w:hAnsi="宋体" w:cs="宋体"/>
          <w:color w:val="000000"/>
          <w:sz w:val="24"/>
        </w:rPr>
      </w:pPr>
      <w:r>
        <w:rPr>
          <w:rFonts w:hint="eastAsia" w:ascii="宋体" w:hAnsi="宋体" w:cs="宋体"/>
          <w:color w:val="000000"/>
          <w:sz w:val="24"/>
        </w:rPr>
        <w:t>九、评审委员会按以下工作程序进行：</w:t>
      </w:r>
    </w:p>
    <w:p>
      <w:pPr>
        <w:spacing w:line="360" w:lineRule="auto"/>
        <w:rPr>
          <w:rFonts w:ascii="宋体" w:hAnsi="宋体" w:cs="宋体"/>
          <w:color w:val="000000"/>
          <w:sz w:val="24"/>
        </w:rPr>
      </w:pPr>
      <w:r>
        <w:rPr>
          <w:rFonts w:hint="eastAsia" w:ascii="宋体" w:hAnsi="宋体" w:cs="宋体"/>
          <w:color w:val="000000"/>
          <w:sz w:val="24"/>
        </w:rPr>
        <w:t>1、评标委员会对各供应商的投标文件进行初审，对未能通过初审的投标文件作投标无效处理。</w:t>
      </w:r>
    </w:p>
    <w:p>
      <w:pPr>
        <w:spacing w:line="360" w:lineRule="auto"/>
        <w:rPr>
          <w:rFonts w:ascii="宋体" w:hAnsi="宋体" w:cs="宋体"/>
          <w:color w:val="000000"/>
          <w:sz w:val="24"/>
        </w:rPr>
      </w:pPr>
      <w:r>
        <w:rPr>
          <w:rFonts w:hint="eastAsia" w:ascii="宋体" w:hAnsi="宋体" w:cs="宋体"/>
          <w:color w:val="000000"/>
          <w:sz w:val="24"/>
        </w:rPr>
        <w:t>2、对通过初审的供应商的投标文件进行详细的比较和评价。如需要，进行必要的澄清/说明工作。</w:t>
      </w:r>
    </w:p>
    <w:p>
      <w:pPr>
        <w:spacing w:line="360" w:lineRule="auto"/>
        <w:rPr>
          <w:rFonts w:ascii="宋体" w:hAnsi="宋体" w:cs="宋体"/>
          <w:color w:val="000000"/>
          <w:sz w:val="24"/>
        </w:rPr>
      </w:pPr>
      <w:r>
        <w:rPr>
          <w:rFonts w:hint="eastAsia" w:ascii="宋体" w:hAnsi="宋体" w:cs="宋体"/>
          <w:color w:val="000000"/>
          <w:sz w:val="24"/>
        </w:rPr>
        <w:t>3、根据参与投标且符合招标文件要求的供应商数量情况，确定本项目的评审方法。</w:t>
      </w:r>
    </w:p>
    <w:p>
      <w:pPr>
        <w:spacing w:line="360" w:lineRule="auto"/>
        <w:rPr>
          <w:rFonts w:ascii="宋体" w:hAnsi="宋体" w:cs="宋体"/>
          <w:color w:val="000000"/>
          <w:sz w:val="24"/>
        </w:rPr>
      </w:pPr>
      <w:r>
        <w:rPr>
          <w:rFonts w:hint="eastAsia" w:ascii="宋体" w:hAnsi="宋体" w:cs="宋体"/>
          <w:color w:val="000000"/>
          <w:sz w:val="24"/>
        </w:rPr>
        <w:t>4、采用综合评分法的情况：评审委员会将分别对供应商递交的投标文件进行评审。</w:t>
      </w:r>
    </w:p>
    <w:p>
      <w:pPr>
        <w:spacing w:line="360" w:lineRule="auto"/>
        <w:rPr>
          <w:rFonts w:ascii="宋体" w:hAnsi="宋体" w:cs="宋体"/>
          <w:color w:val="000000"/>
          <w:sz w:val="24"/>
        </w:rPr>
      </w:pPr>
      <w:r>
        <w:rPr>
          <w:rFonts w:hint="eastAsia" w:ascii="宋体" w:hAnsi="宋体" w:cs="宋体"/>
          <w:color w:val="000000"/>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ascii="宋体" w:hAnsi="宋体" w:cs="宋体"/>
          <w:color w:val="000000"/>
          <w:sz w:val="24"/>
        </w:rPr>
      </w:pPr>
      <w:r>
        <w:rPr>
          <w:rFonts w:hint="eastAsia" w:ascii="宋体" w:hAnsi="宋体" w:cs="宋体"/>
          <w:color w:val="000000"/>
          <w:sz w:val="24"/>
        </w:rPr>
        <w:t>4.2如果二个及以上供应商的综合评分相同时，取投标价格低者为第一中标候选人。</w:t>
      </w:r>
    </w:p>
    <w:p>
      <w:pPr>
        <w:spacing w:line="360" w:lineRule="auto"/>
        <w:rPr>
          <w:rFonts w:ascii="宋体" w:hAnsi="宋体" w:cs="宋体"/>
          <w:color w:val="000000"/>
          <w:sz w:val="24"/>
        </w:rPr>
      </w:pPr>
      <w:r>
        <w:rPr>
          <w:rFonts w:hint="eastAsia" w:ascii="宋体" w:hAnsi="宋体" w:cs="宋体"/>
          <w:color w:val="000000"/>
          <w:sz w:val="24"/>
        </w:rPr>
        <w:t>4.3如果二个及以上供应商的综合评分相同，且投标价格也相同时，取技术部分得分高者为第一中标候选人。</w:t>
      </w:r>
    </w:p>
    <w:p>
      <w:pPr>
        <w:spacing w:line="360" w:lineRule="auto"/>
        <w:rPr>
          <w:rFonts w:ascii="宋体" w:hAnsi="宋体" w:cs="宋体"/>
          <w:color w:val="000000"/>
          <w:sz w:val="24"/>
        </w:rPr>
      </w:pPr>
      <w:r>
        <w:rPr>
          <w:rFonts w:hint="eastAsia" w:ascii="宋体" w:hAnsi="宋体" w:cs="宋体"/>
          <w:color w:val="000000"/>
          <w:sz w:val="24"/>
        </w:rPr>
        <w:t>5、采用谈判的情况：参与投标且符合招标文件要求的供应商仅有一家，评审委员会将与投标供应商进行谈判。</w:t>
      </w:r>
    </w:p>
    <w:p>
      <w:pPr>
        <w:spacing w:line="360" w:lineRule="auto"/>
        <w:rPr>
          <w:rFonts w:ascii="宋体" w:hAnsi="宋体" w:cs="宋体"/>
          <w:color w:val="000000"/>
          <w:sz w:val="24"/>
        </w:rPr>
      </w:pPr>
      <w:r>
        <w:rPr>
          <w:rFonts w:hint="eastAsia" w:ascii="宋体" w:hAnsi="宋体" w:cs="宋体"/>
          <w:color w:val="000000"/>
          <w:sz w:val="24"/>
        </w:rPr>
        <w:t>5.1 供应商在谈判时由项目负责人与评审委员会进行谈判；</w:t>
      </w:r>
    </w:p>
    <w:p>
      <w:pPr>
        <w:spacing w:line="360" w:lineRule="auto"/>
        <w:rPr>
          <w:rFonts w:ascii="宋体" w:hAnsi="宋体" w:cs="宋体"/>
          <w:color w:val="000000"/>
          <w:sz w:val="24"/>
        </w:rPr>
      </w:pPr>
      <w:r>
        <w:rPr>
          <w:rFonts w:hint="eastAsia" w:ascii="宋体" w:hAnsi="宋体" w:cs="宋体"/>
          <w:color w:val="000000"/>
          <w:sz w:val="24"/>
        </w:rPr>
        <w:t>5.2 原则上成交价不超过最初报价的95%。</w:t>
      </w:r>
    </w:p>
    <w:p>
      <w:pPr>
        <w:spacing w:line="360" w:lineRule="auto"/>
        <w:rPr>
          <w:rFonts w:ascii="宋体" w:hAnsi="宋体" w:cs="宋体"/>
          <w:color w:val="000000"/>
          <w:sz w:val="24"/>
        </w:rPr>
      </w:pPr>
      <w:r>
        <w:rPr>
          <w:rFonts w:hint="eastAsia" w:ascii="宋体" w:hAnsi="宋体" w:cs="宋体"/>
          <w:color w:val="000000"/>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ascii="宋体" w:hAnsi="宋体" w:cs="宋体"/>
          <w:color w:val="000000"/>
          <w:sz w:val="24"/>
        </w:rPr>
      </w:pPr>
      <w:r>
        <w:rPr>
          <w:rFonts w:hint="eastAsia" w:ascii="宋体" w:hAnsi="宋体" w:cs="宋体"/>
          <w:color w:val="000000"/>
          <w:sz w:val="24"/>
        </w:rPr>
        <w:t>6、评审委员会按照本项目招标文件中规定的评标方法确定中标供应商。</w:t>
      </w:r>
    </w:p>
    <w:p>
      <w:pPr>
        <w:spacing w:line="360" w:lineRule="auto"/>
        <w:rPr>
          <w:rFonts w:ascii="宋体" w:hAnsi="宋体" w:cs="宋体"/>
          <w:color w:val="000000"/>
          <w:sz w:val="24"/>
        </w:rPr>
      </w:pPr>
      <w:r>
        <w:rPr>
          <w:rFonts w:hint="eastAsia" w:ascii="宋体" w:hAnsi="宋体" w:cs="宋体"/>
          <w:color w:val="000000"/>
          <w:sz w:val="24"/>
        </w:rPr>
        <w:t>十、根据本次采购的结果，1</w:t>
      </w:r>
      <w:r>
        <w:rPr>
          <w:rFonts w:ascii="宋体" w:hAnsi="宋体" w:cs="宋体"/>
          <w:color w:val="000000"/>
          <w:sz w:val="24"/>
        </w:rPr>
        <w:t>0</w:t>
      </w:r>
      <w:r>
        <w:rPr>
          <w:rFonts w:hint="eastAsia" w:ascii="宋体" w:hAnsi="宋体" w:cs="宋体"/>
          <w:color w:val="000000"/>
          <w:sz w:val="24"/>
        </w:rPr>
        <w:t>个工作日内与中标供应商签订合同。</w:t>
      </w: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pStyle w:val="6"/>
        <w:rPr>
          <w:rFonts w:ascii="宋体" w:hAnsi="宋体" w:cs="宋体"/>
          <w:color w:val="000000"/>
        </w:rPr>
      </w:pPr>
      <w:r>
        <w:rPr>
          <w:rFonts w:hint="eastAsia"/>
          <w:color w:val="000000"/>
        </w:rPr>
        <w:br w:type="page"/>
      </w:r>
    </w:p>
    <w:p>
      <w:pPr>
        <w:numPr>
          <w:ilvl w:val="0"/>
          <w:numId w:val="1"/>
        </w:numPr>
        <w:spacing w:line="360" w:lineRule="auto"/>
        <w:jc w:val="center"/>
        <w:outlineLvl w:val="0"/>
        <w:rPr>
          <w:rFonts w:ascii="宋体" w:hAnsi="宋体" w:cs="宋体"/>
          <w:b/>
          <w:bCs/>
          <w:color w:val="000000"/>
          <w:sz w:val="24"/>
        </w:rPr>
      </w:pPr>
      <w:bookmarkStart w:id="14" w:name="_Toc3567"/>
      <w:r>
        <w:rPr>
          <w:rFonts w:hint="eastAsia" w:ascii="宋体" w:hAnsi="宋体" w:cs="宋体"/>
          <w:b/>
          <w:bCs/>
          <w:color w:val="000000"/>
          <w:sz w:val="24"/>
        </w:rPr>
        <w:t>合同格式及合同条款</w:t>
      </w:r>
      <w:bookmarkEnd w:id="14"/>
    </w:p>
    <w:p>
      <w:pPr>
        <w:spacing w:line="360" w:lineRule="auto"/>
        <w:ind w:firstLine="470" w:firstLineChars="196"/>
        <w:jc w:val="center"/>
        <w:rPr>
          <w:rFonts w:ascii="宋体" w:hAnsi="宋体" w:cs="宋体"/>
          <w:color w:val="000000"/>
          <w:sz w:val="24"/>
        </w:rPr>
      </w:pPr>
      <w:bookmarkStart w:id="15" w:name="_Toc73521592"/>
      <w:bookmarkStart w:id="16" w:name="_Toc73521680"/>
      <w:bookmarkStart w:id="17" w:name="_Toc73517685"/>
      <w:bookmarkStart w:id="18" w:name="_Toc101074886"/>
      <w:bookmarkStart w:id="19" w:name="_Toc100052414"/>
      <w:bookmarkStart w:id="20" w:name="_Toc73518163"/>
      <w:bookmarkStart w:id="21" w:name="_Toc84303603"/>
    </w:p>
    <w:bookmarkEnd w:id="15"/>
    <w:bookmarkEnd w:id="16"/>
    <w:bookmarkEnd w:id="17"/>
    <w:bookmarkEnd w:id="18"/>
    <w:bookmarkEnd w:id="19"/>
    <w:bookmarkEnd w:id="20"/>
    <w:bookmarkEnd w:id="21"/>
    <w:p>
      <w:pPr>
        <w:pStyle w:val="35"/>
        <w:spacing w:line="360" w:lineRule="auto"/>
        <w:ind w:left="1470" w:right="1470" w:firstLine="482"/>
        <w:jc w:val="center"/>
        <w:rPr>
          <w:rFonts w:ascii="宋体" w:hAnsi="宋体" w:cs="宋体"/>
          <w:b/>
          <w:color w:val="000000"/>
          <w:sz w:val="24"/>
          <w:szCs w:val="24"/>
        </w:rPr>
      </w:pPr>
      <w:r>
        <w:rPr>
          <w:rFonts w:hint="eastAsia" w:ascii="宋体" w:hAnsi="宋体" w:cs="宋体"/>
          <w:b/>
          <w:color w:val="000000"/>
          <w:sz w:val="24"/>
          <w:szCs w:val="24"/>
        </w:rPr>
        <w:t xml:space="preserve">                        合同编号（甲方）：            </w:t>
      </w:r>
    </w:p>
    <w:p>
      <w:pPr>
        <w:pStyle w:val="35"/>
        <w:spacing w:line="360" w:lineRule="auto"/>
        <w:ind w:left="1470" w:right="1470" w:firstLine="482"/>
        <w:jc w:val="center"/>
        <w:rPr>
          <w:rFonts w:ascii="宋体" w:hAnsi="宋体" w:cs="宋体"/>
          <w:b/>
          <w:color w:val="000000"/>
          <w:sz w:val="24"/>
          <w:szCs w:val="24"/>
        </w:rPr>
      </w:pPr>
      <w:r>
        <w:rPr>
          <w:rFonts w:hint="eastAsia" w:ascii="宋体" w:hAnsi="宋体" w:cs="宋体"/>
          <w:b/>
          <w:color w:val="000000"/>
          <w:sz w:val="24"/>
          <w:szCs w:val="24"/>
        </w:rPr>
        <w:t xml:space="preserve">                        合同编号（乙方）：            </w:t>
      </w:r>
    </w:p>
    <w:p>
      <w:pPr>
        <w:pStyle w:val="35"/>
        <w:spacing w:line="360" w:lineRule="auto"/>
        <w:ind w:left="1470" w:right="1470" w:firstLine="482"/>
        <w:jc w:val="center"/>
        <w:rPr>
          <w:rFonts w:ascii="宋体" w:hAnsi="宋体" w:cs="宋体"/>
          <w:b/>
          <w:color w:val="000000"/>
          <w:sz w:val="24"/>
          <w:szCs w:val="24"/>
        </w:rPr>
      </w:pPr>
    </w:p>
    <w:p>
      <w:pPr>
        <w:pStyle w:val="35"/>
        <w:spacing w:line="360" w:lineRule="auto"/>
        <w:ind w:left="1470" w:right="1470" w:firstLine="482"/>
        <w:rPr>
          <w:rFonts w:ascii="宋体" w:hAnsi="宋体" w:cs="宋体"/>
          <w:b/>
          <w:color w:val="000000"/>
          <w:sz w:val="24"/>
          <w:szCs w:val="24"/>
        </w:rPr>
      </w:pPr>
      <w:r>
        <w:rPr>
          <w:rFonts w:hint="eastAsia" w:ascii="宋体" w:hAnsi="宋体" w:cs="宋体"/>
          <w:b/>
          <w:color w:val="000000"/>
          <w:sz w:val="24"/>
          <w:szCs w:val="24"/>
        </w:rPr>
        <w:t xml:space="preserve"> </w:t>
      </w:r>
    </w:p>
    <w:p>
      <w:pPr>
        <w:pStyle w:val="35"/>
        <w:spacing w:line="360" w:lineRule="auto"/>
        <w:ind w:left="1470" w:right="1470" w:firstLine="482"/>
        <w:rPr>
          <w:rFonts w:ascii="宋体" w:hAnsi="宋体" w:cs="宋体"/>
          <w:b/>
          <w:color w:val="000000"/>
          <w:sz w:val="24"/>
          <w:szCs w:val="24"/>
        </w:rPr>
      </w:pPr>
      <w:r>
        <w:rPr>
          <w:rFonts w:hint="eastAsia" w:ascii="宋体" w:hAnsi="宋体" w:cs="宋体"/>
          <w:b/>
          <w:color w:val="000000"/>
          <w:sz w:val="24"/>
          <w:szCs w:val="24"/>
        </w:rPr>
        <w:t xml:space="preserve"> </w:t>
      </w:r>
    </w:p>
    <w:p>
      <w:pPr>
        <w:spacing w:line="360" w:lineRule="auto"/>
        <w:jc w:val="center"/>
        <w:rPr>
          <w:rFonts w:ascii="宋体" w:hAnsi="宋体" w:cs="宋体"/>
          <w:b/>
          <w:color w:val="000000"/>
          <w:sz w:val="28"/>
          <w:szCs w:val="28"/>
        </w:rPr>
      </w:pPr>
      <w:r>
        <w:rPr>
          <w:rFonts w:hint="eastAsia" w:ascii="宋体" w:hAnsi="宋体" w:cs="宋体"/>
          <w:b/>
          <w:color w:val="000000"/>
          <w:sz w:val="28"/>
          <w:szCs w:val="28"/>
          <w:lang w:eastAsia="zh-CN"/>
        </w:rPr>
        <w:t>2025年度前海管理局常年法律顾问（二次）</w:t>
      </w:r>
      <w:r>
        <w:rPr>
          <w:rFonts w:hint="eastAsia" w:ascii="宋体" w:hAnsi="宋体" w:cs="宋体"/>
          <w:b/>
          <w:color w:val="000000"/>
          <w:sz w:val="28"/>
          <w:szCs w:val="28"/>
        </w:rPr>
        <w:t>委托合同</w:t>
      </w:r>
    </w:p>
    <w:p>
      <w:pPr>
        <w:spacing w:line="360" w:lineRule="auto"/>
        <w:rPr>
          <w:rFonts w:ascii="宋体" w:hAnsi="宋体" w:cs="宋体"/>
          <w:color w:val="000000"/>
          <w:sz w:val="24"/>
        </w:rPr>
      </w:pPr>
      <w:r>
        <w:rPr>
          <w:rFonts w:hint="eastAsia" w:ascii="宋体" w:hAnsi="宋体" w:cs="宋体"/>
          <w:color w:val="000000"/>
          <w:sz w:val="24"/>
        </w:rPr>
        <w:t xml:space="preserve"> </w:t>
      </w:r>
    </w:p>
    <w:p>
      <w:pPr>
        <w:pStyle w:val="35"/>
        <w:spacing w:line="360" w:lineRule="auto"/>
        <w:ind w:left="1470" w:right="1470" w:firstLine="480"/>
        <w:rPr>
          <w:rFonts w:ascii="宋体" w:hAnsi="宋体" w:cs="宋体"/>
          <w:color w:val="000000"/>
          <w:sz w:val="24"/>
          <w:szCs w:val="24"/>
        </w:rPr>
      </w:pPr>
      <w:r>
        <w:rPr>
          <w:rFonts w:hint="eastAsia" w:ascii="宋体" w:hAnsi="宋体" w:cs="宋体"/>
          <w:color w:val="000000"/>
          <w:sz w:val="24"/>
          <w:szCs w:val="24"/>
        </w:rPr>
        <w:t xml:space="preserve"> </w:t>
      </w:r>
    </w:p>
    <w:p>
      <w:pPr>
        <w:pStyle w:val="35"/>
        <w:spacing w:line="360" w:lineRule="auto"/>
        <w:ind w:left="1470" w:right="1470" w:firstLine="480"/>
        <w:rPr>
          <w:rFonts w:ascii="宋体" w:hAnsi="宋体" w:cs="宋体"/>
          <w:color w:val="000000"/>
          <w:sz w:val="24"/>
          <w:szCs w:val="24"/>
        </w:rPr>
      </w:pPr>
      <w:r>
        <w:rPr>
          <w:rFonts w:hint="eastAsia" w:ascii="宋体" w:hAnsi="宋体" w:cs="宋体"/>
          <w:color w:val="000000"/>
          <w:sz w:val="24"/>
          <w:szCs w:val="24"/>
        </w:rPr>
        <w:t xml:space="preserve"> </w:t>
      </w:r>
    </w:p>
    <w:p>
      <w:pPr>
        <w:spacing w:line="360" w:lineRule="auto"/>
        <w:jc w:val="center"/>
        <w:rPr>
          <w:rFonts w:ascii="宋体" w:hAnsi="宋体" w:cs="宋体"/>
          <w:b/>
          <w:color w:val="000000"/>
          <w:sz w:val="24"/>
        </w:rPr>
      </w:pPr>
      <w:r>
        <w:rPr>
          <w:rFonts w:hint="eastAsia" w:ascii="宋体" w:hAnsi="宋体" w:cs="宋体"/>
          <w:b/>
          <w:color w:val="000000"/>
          <w:sz w:val="24"/>
        </w:rPr>
        <w:t xml:space="preserve">  </w:t>
      </w:r>
    </w:p>
    <w:p>
      <w:pPr>
        <w:spacing w:line="360" w:lineRule="auto"/>
        <w:ind w:firstLine="720" w:firstLineChars="300"/>
        <w:rPr>
          <w:rFonts w:hint="eastAsia" w:ascii="宋体" w:hAnsi="宋体" w:eastAsia="宋体" w:cs="宋体"/>
          <w:color w:val="000000"/>
          <w:sz w:val="24"/>
          <w:u w:val="single"/>
          <w:lang w:eastAsia="zh-CN"/>
        </w:rPr>
      </w:pPr>
      <w:r>
        <w:rPr>
          <w:rFonts w:hint="eastAsia" w:ascii="宋体" w:hAnsi="宋体" w:cs="宋体"/>
          <w:color w:val="000000"/>
          <w:sz w:val="24"/>
        </w:rPr>
        <w:t>项目名称</w:t>
      </w:r>
      <w:r>
        <w:rPr>
          <w:rFonts w:hint="eastAsia" w:ascii="宋体" w:hAnsi="宋体" w:cs="宋体"/>
          <w:color w:val="000000"/>
          <w:sz w:val="24"/>
          <w:u w:val="single"/>
        </w:rPr>
        <w:t>：</w:t>
      </w:r>
      <w:r>
        <w:rPr>
          <w:rFonts w:hint="eastAsia" w:ascii="宋体" w:hAnsi="宋体" w:cs="宋体"/>
          <w:color w:val="000000"/>
          <w:sz w:val="24"/>
          <w:u w:val="single"/>
          <w:lang w:eastAsia="zh-CN"/>
        </w:rPr>
        <w:t>2025年度前海管理局常年法律顾问（二次）</w:t>
      </w:r>
    </w:p>
    <w:p>
      <w:pPr>
        <w:spacing w:line="360" w:lineRule="auto"/>
        <w:ind w:firstLine="720" w:firstLineChars="300"/>
        <w:rPr>
          <w:rFonts w:ascii="宋体" w:hAnsi="宋体" w:cs="宋体"/>
          <w:color w:val="000000"/>
          <w:sz w:val="24"/>
          <w:u w:val="single"/>
        </w:rPr>
      </w:pPr>
      <w:r>
        <w:rPr>
          <w:rFonts w:hint="eastAsia" w:ascii="宋体" w:hAnsi="宋体" w:cs="宋体"/>
          <w:color w:val="000000"/>
          <w:sz w:val="24"/>
        </w:rPr>
        <w:t>项目类型：</w:t>
      </w:r>
      <w:r>
        <w:rPr>
          <w:rFonts w:hint="eastAsia" w:ascii="宋体" w:hAnsi="宋体" w:cs="宋体"/>
          <w:color w:val="000000"/>
          <w:sz w:val="24"/>
          <w:u w:val="single"/>
        </w:rPr>
        <w:t xml:space="preserve">                        </w:t>
      </w:r>
    </w:p>
    <w:p>
      <w:pPr>
        <w:spacing w:line="360" w:lineRule="auto"/>
        <w:ind w:firstLine="720" w:firstLineChars="300"/>
        <w:rPr>
          <w:rFonts w:ascii="宋体" w:hAnsi="宋体" w:cs="宋体"/>
          <w:color w:val="000000"/>
          <w:sz w:val="24"/>
          <w:u w:val="single"/>
        </w:rPr>
      </w:pPr>
      <w:r>
        <w:rPr>
          <w:rFonts w:hint="eastAsia" w:ascii="宋体" w:hAnsi="宋体" w:cs="宋体"/>
          <w:color w:val="000000"/>
          <w:sz w:val="24"/>
        </w:rPr>
        <w:t>委托方（甲方）：</w:t>
      </w:r>
      <w:r>
        <w:rPr>
          <w:rFonts w:hint="eastAsia" w:ascii="宋体" w:hAnsi="宋体" w:cs="宋体"/>
          <w:color w:val="000000"/>
          <w:sz w:val="24"/>
          <w:u w:val="single"/>
        </w:rPr>
        <w:t xml:space="preserve">  深圳市前海深港现代服务业合作区管理局  </w:t>
      </w:r>
    </w:p>
    <w:p>
      <w:pPr>
        <w:spacing w:line="360" w:lineRule="auto"/>
        <w:ind w:firstLine="720" w:firstLineChars="300"/>
        <w:rPr>
          <w:rFonts w:ascii="宋体" w:hAnsi="宋体" w:cs="宋体"/>
          <w:color w:val="000000"/>
          <w:sz w:val="24"/>
          <w:u w:val="single"/>
        </w:rPr>
      </w:pPr>
      <w:r>
        <w:rPr>
          <w:rFonts w:hint="eastAsia" w:ascii="宋体" w:hAnsi="宋体" w:cs="宋体"/>
          <w:color w:val="000000"/>
          <w:sz w:val="24"/>
        </w:rPr>
        <w:t>承接方（乙方）：</w:t>
      </w:r>
      <w:r>
        <w:rPr>
          <w:rFonts w:hint="eastAsia" w:ascii="宋体" w:hAnsi="宋体" w:cs="宋体"/>
          <w:color w:val="000000"/>
          <w:sz w:val="24"/>
          <w:u w:val="single"/>
        </w:rPr>
        <w:t xml:space="preserve">                                        </w:t>
      </w:r>
    </w:p>
    <w:p>
      <w:pPr>
        <w:spacing w:line="360" w:lineRule="auto"/>
        <w:jc w:val="center"/>
        <w:rPr>
          <w:rFonts w:ascii="宋体" w:hAnsi="宋体" w:cs="宋体"/>
          <w:b/>
          <w:color w:val="000000"/>
          <w:sz w:val="24"/>
        </w:rPr>
      </w:pPr>
      <w:r>
        <w:rPr>
          <w:rFonts w:hint="eastAsia" w:ascii="宋体" w:hAnsi="宋体" w:cs="宋体"/>
          <w:b/>
          <w:color w:val="000000"/>
          <w:sz w:val="24"/>
        </w:rPr>
        <w:t xml:space="preserve"> </w:t>
      </w:r>
    </w:p>
    <w:p>
      <w:pPr>
        <w:spacing w:line="360" w:lineRule="auto"/>
        <w:jc w:val="center"/>
        <w:rPr>
          <w:rFonts w:ascii="宋体" w:hAnsi="宋体" w:cs="宋体"/>
          <w:color w:val="000000"/>
          <w:sz w:val="24"/>
        </w:rPr>
      </w:pPr>
    </w:p>
    <w:p>
      <w:pPr>
        <w:spacing w:line="360" w:lineRule="auto"/>
        <w:jc w:val="center"/>
        <w:rPr>
          <w:rFonts w:ascii="宋体" w:hAnsi="宋体" w:cs="宋体"/>
          <w:color w:val="000000"/>
          <w:sz w:val="24"/>
        </w:rPr>
      </w:pPr>
      <w:r>
        <w:rPr>
          <w:rFonts w:hint="eastAsia" w:ascii="宋体" w:hAnsi="宋体" w:cs="宋体"/>
          <w:color w:val="000000"/>
          <w:sz w:val="24"/>
        </w:rPr>
        <w:t>二〇二五年  月</w:t>
      </w:r>
    </w:p>
    <w:p>
      <w:pPr>
        <w:spacing w:line="360" w:lineRule="auto"/>
        <w:jc w:val="center"/>
        <w:rPr>
          <w:rFonts w:ascii="宋体" w:hAnsi="宋体" w:cs="宋体"/>
          <w:color w:val="000000"/>
          <w:sz w:val="24"/>
        </w:rPr>
      </w:pPr>
      <w:r>
        <w:rPr>
          <w:rFonts w:hint="eastAsia" w:ascii="宋体" w:hAnsi="宋体" w:cs="宋体"/>
          <w:color w:val="000000"/>
          <w:sz w:val="24"/>
        </w:rPr>
        <w:t>本合同共    页（不含封面）</w:t>
      </w:r>
    </w:p>
    <w:p>
      <w:pPr>
        <w:spacing w:line="360" w:lineRule="auto"/>
        <w:rPr>
          <w:rFonts w:ascii="宋体" w:hAnsi="宋体" w:cs="宋体"/>
          <w:b/>
          <w:bCs/>
          <w:color w:val="000000"/>
          <w:sz w:val="24"/>
        </w:rPr>
      </w:pPr>
      <w:r>
        <w:rPr>
          <w:rFonts w:hint="eastAsia" w:ascii="宋体" w:hAnsi="宋体" w:cs="宋体"/>
          <w:b/>
          <w:bCs/>
          <w:color w:val="000000"/>
          <w:sz w:val="24"/>
        </w:rPr>
        <w:br w:type="page"/>
      </w:r>
      <w:r>
        <w:rPr>
          <w:rFonts w:hint="eastAsia" w:ascii="宋体" w:hAnsi="宋体" w:cs="宋体"/>
          <w:b/>
          <w:bCs/>
          <w:color w:val="000000"/>
          <w:sz w:val="24"/>
        </w:rPr>
        <w:t xml:space="preserve">甲方： </w:t>
      </w:r>
      <w:r>
        <w:rPr>
          <w:rFonts w:hint="eastAsia" w:ascii="宋体" w:hAnsi="宋体" w:cs="宋体"/>
          <w:color w:val="000000"/>
          <w:sz w:val="24"/>
          <w:u w:val="single"/>
        </w:rPr>
        <w:t>深圳市前海深港现代服务业合作区管理局</w:t>
      </w:r>
    </w:p>
    <w:p>
      <w:pPr>
        <w:spacing w:line="360" w:lineRule="auto"/>
        <w:rPr>
          <w:rFonts w:ascii="宋体" w:hAnsi="宋体" w:cs="宋体"/>
          <w:b/>
          <w:bCs/>
          <w:color w:val="000000"/>
          <w:sz w:val="24"/>
        </w:rPr>
      </w:pPr>
      <w:r>
        <w:rPr>
          <w:rFonts w:hint="eastAsia" w:ascii="宋体" w:hAnsi="宋体" w:cs="宋体"/>
          <w:b/>
          <w:bCs/>
          <w:color w:val="000000"/>
          <w:sz w:val="24"/>
        </w:rPr>
        <w:t xml:space="preserve">地址： </w:t>
      </w:r>
      <w:r>
        <w:rPr>
          <w:rFonts w:hint="eastAsia" w:ascii="宋体" w:hAnsi="宋体" w:cs="宋体"/>
          <w:color w:val="000000"/>
          <w:sz w:val="24"/>
          <w:u w:val="single"/>
        </w:rPr>
        <w:t>深圳市前海深港合作区</w:t>
      </w:r>
      <w:r>
        <w:rPr>
          <w:rFonts w:ascii="宋体" w:hAnsi="宋体" w:cs="宋体"/>
          <w:color w:val="000000"/>
          <w:sz w:val="24"/>
          <w:u w:val="single"/>
        </w:rPr>
        <w:t>桂湾五路123号前海大厦T1栋前海管理局</w:t>
      </w:r>
    </w:p>
    <w:p>
      <w:pPr>
        <w:spacing w:line="360" w:lineRule="auto"/>
        <w:rPr>
          <w:rFonts w:ascii="宋体" w:hAnsi="宋体" w:cs="宋体"/>
          <w:b/>
          <w:bCs/>
          <w:color w:val="000000"/>
          <w:sz w:val="24"/>
        </w:rPr>
      </w:pPr>
      <w:r>
        <w:rPr>
          <w:rFonts w:hint="eastAsia" w:ascii="宋体" w:hAnsi="宋体" w:cs="宋体"/>
          <w:b/>
          <w:bCs/>
          <w:color w:val="000000"/>
          <w:sz w:val="24"/>
        </w:rPr>
        <w:t xml:space="preserve">法定代表人： </w:t>
      </w:r>
    </w:p>
    <w:p>
      <w:pPr>
        <w:spacing w:line="360" w:lineRule="auto"/>
        <w:rPr>
          <w:rFonts w:ascii="宋体" w:hAnsi="宋体" w:cs="宋体"/>
          <w:b/>
          <w:bCs/>
          <w:color w:val="000000"/>
          <w:sz w:val="24"/>
        </w:rPr>
      </w:pPr>
      <w:r>
        <w:rPr>
          <w:rFonts w:hint="eastAsia" w:ascii="宋体" w:hAnsi="宋体" w:cs="宋体"/>
          <w:b/>
          <w:bCs/>
          <w:color w:val="000000"/>
          <w:sz w:val="24"/>
        </w:rPr>
        <w:t xml:space="preserve"> </w:t>
      </w:r>
    </w:p>
    <w:p>
      <w:pPr>
        <w:spacing w:line="360" w:lineRule="auto"/>
        <w:rPr>
          <w:rFonts w:ascii="宋体" w:hAnsi="宋体" w:cs="宋体"/>
          <w:b/>
          <w:bCs/>
          <w:color w:val="000000"/>
          <w:sz w:val="24"/>
        </w:rPr>
      </w:pPr>
      <w:r>
        <w:rPr>
          <w:rFonts w:hint="eastAsia" w:ascii="宋体" w:hAnsi="宋体" w:cs="宋体"/>
          <w:b/>
          <w:bCs/>
          <w:color w:val="000000"/>
          <w:sz w:val="24"/>
        </w:rPr>
        <w:t>乙方：</w:t>
      </w:r>
    </w:p>
    <w:p>
      <w:pPr>
        <w:spacing w:line="360" w:lineRule="auto"/>
        <w:rPr>
          <w:rFonts w:ascii="宋体" w:hAnsi="宋体" w:cs="宋体"/>
          <w:b/>
          <w:bCs/>
          <w:color w:val="000000"/>
          <w:sz w:val="24"/>
        </w:rPr>
      </w:pPr>
      <w:r>
        <w:rPr>
          <w:rFonts w:hint="eastAsia" w:ascii="宋体" w:hAnsi="宋体" w:cs="宋体"/>
          <w:b/>
          <w:bCs/>
          <w:color w:val="000000"/>
          <w:sz w:val="24"/>
        </w:rPr>
        <w:t>地址：</w:t>
      </w:r>
    </w:p>
    <w:p>
      <w:pPr>
        <w:spacing w:line="360" w:lineRule="auto"/>
        <w:rPr>
          <w:rFonts w:ascii="宋体" w:hAnsi="宋体" w:cs="宋体"/>
          <w:b/>
          <w:bCs/>
          <w:color w:val="000000"/>
          <w:sz w:val="24"/>
        </w:rPr>
      </w:pPr>
      <w:r>
        <w:rPr>
          <w:rFonts w:hint="eastAsia" w:ascii="宋体" w:hAnsi="宋体" w:cs="宋体"/>
          <w:b/>
          <w:bCs/>
          <w:color w:val="000000"/>
          <w:sz w:val="24"/>
        </w:rPr>
        <w:t>法定代表人：</w:t>
      </w:r>
    </w:p>
    <w:p>
      <w:pPr>
        <w:spacing w:line="360" w:lineRule="auto"/>
        <w:rPr>
          <w:rFonts w:hint="eastAsia" w:ascii="宋体" w:hAnsi="宋体" w:cs="宋体"/>
          <w:color w:val="000000"/>
          <w:sz w:val="24"/>
        </w:rPr>
      </w:pPr>
      <w:r>
        <w:rPr>
          <w:rFonts w:hint="eastAsia" w:ascii="宋体" w:hAnsi="宋体" w:cs="宋体"/>
          <w:b/>
          <w:bCs/>
          <w:color w:val="000000"/>
          <w:sz w:val="24"/>
        </w:rPr>
        <w:t xml:space="preserve"> </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鉴 于</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甲方系依照《深圳经济特区前海深港现代服务业合作区条例》（以下简称“《条例》”）设立的前海深港现代服务业合作区（以下简称“前海深港合作区”）法定机构，根据《条例》和《深圳市前海深港现代服务业合作区管理局暂行办法》有关规定履行相应行政管理和公共服务职责。</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2、乙方系 </w:t>
      </w:r>
    </w:p>
    <w:p>
      <w:pPr>
        <w:spacing w:line="360" w:lineRule="auto"/>
        <w:rPr>
          <w:rFonts w:hint="eastAsia" w:ascii="宋体" w:hAnsi="宋体" w:cs="宋体"/>
          <w:color w:val="000000"/>
          <w:sz w:val="24"/>
        </w:rPr>
      </w:pP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甲、乙双方根据《中华人民共和国民法典》等相关法律、法规的规定，本着自愿、平等、互惠互利、诚实信用的原则，经充分友好协商，订立如下合同条款，以兹共同恪守履行：</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第1条  总则</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 常年法律顾问</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为了维护甲方及其局属企业的合法权益，保障其履行相应行政管理、公共服务职责以及日常经营管理的活动顺利进行，甲方聘请乙方为常年法律顾问，为甲方及其局属企业提供日常性法律服务。</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乙方接受甲方的聘请，出任甲方的常年法律顾问。</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 甲乙双方的陈述</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甲乙双方一致同意：本合同所有条款是双方平等、自愿、协商的结果，任何一方都经对法律有相当认识的人员而对本合同所有条款的含义、法律意义进行了仔细的探讨并得到明晓，没有任何条款是单方欺诈、显失公平或有重大误解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甲乙双方同时承诺：应本着平等自愿、诚实信用的原则行使本合同权利和履行本合同义务。</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第2条  服务团队</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 顾问律师</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1.乙方应以全所的整体力量为依托，为甲方提供高质量的法律服务。</w:t>
      </w:r>
      <w:r>
        <w:rPr>
          <w:rFonts w:hint="eastAsia" w:ascii="宋体" w:hAnsi="宋体" w:cs="宋体"/>
          <w:bCs/>
          <w:color w:val="000000"/>
          <w:sz w:val="24"/>
        </w:rPr>
        <w:t>组成固定</w:t>
      </w:r>
      <w:r>
        <w:rPr>
          <w:rFonts w:hint="eastAsia" w:ascii="宋体" w:hAnsi="宋体" w:cs="宋体"/>
          <w:bCs/>
          <w:color w:val="000000"/>
          <w:sz w:val="24"/>
          <w:lang w:val="en-US" w:eastAsia="zh-CN"/>
        </w:rPr>
        <w:t>7人（含7人）以上人员</w:t>
      </w:r>
      <w:r>
        <w:rPr>
          <w:rFonts w:hint="eastAsia" w:ascii="宋体" w:hAnsi="宋体" w:cs="宋体"/>
          <w:bCs/>
          <w:color w:val="000000"/>
          <w:sz w:val="24"/>
        </w:rPr>
        <w:t>团队。</w:t>
      </w:r>
      <w:r>
        <w:rPr>
          <w:rFonts w:hint="eastAsia" w:ascii="宋体" w:hAnsi="宋体" w:cs="宋体"/>
          <w:bCs/>
          <w:color w:val="000000"/>
          <w:sz w:val="24"/>
          <w:lang w:val="en-US" w:eastAsia="zh-CN"/>
        </w:rPr>
        <w:t>其中</w:t>
      </w:r>
      <w:r>
        <w:rPr>
          <w:rFonts w:hint="eastAsia" w:ascii="宋体" w:hAnsi="宋体" w:cs="宋体"/>
          <w:bCs/>
          <w:color w:val="000000"/>
          <w:sz w:val="24"/>
        </w:rPr>
        <w:t>要求至少一位管理/执行合伙人</w:t>
      </w:r>
      <w:r>
        <w:rPr>
          <w:rFonts w:hint="eastAsia" w:ascii="宋体" w:hAnsi="宋体" w:cs="宋体"/>
          <w:bCs/>
          <w:color w:val="000000"/>
          <w:sz w:val="24"/>
          <w:lang w:eastAsia="zh-CN"/>
        </w:rPr>
        <w:t>（</w:t>
      </w:r>
      <w:r>
        <w:rPr>
          <w:rFonts w:hint="eastAsia" w:ascii="宋体" w:hAnsi="宋体" w:cs="宋体"/>
          <w:bCs/>
          <w:color w:val="000000"/>
          <w:sz w:val="24"/>
          <w:lang w:val="en-US" w:eastAsia="zh-CN"/>
        </w:rPr>
        <w:t>团队项目负责人</w:t>
      </w:r>
      <w:r>
        <w:rPr>
          <w:rFonts w:hint="eastAsia" w:ascii="宋体" w:hAnsi="宋体" w:cs="宋体"/>
          <w:bCs/>
          <w:color w:val="000000"/>
          <w:sz w:val="24"/>
          <w:lang w:eastAsia="zh-CN"/>
        </w:rPr>
        <w:t>）</w:t>
      </w:r>
      <w:r>
        <w:rPr>
          <w:rFonts w:hint="eastAsia" w:ascii="宋体" w:hAnsi="宋体" w:cs="宋体"/>
          <w:bCs/>
          <w:color w:val="000000"/>
          <w:sz w:val="24"/>
        </w:rPr>
        <w:t>、三位律师（</w:t>
      </w:r>
      <w:r>
        <w:rPr>
          <w:rFonts w:hint="eastAsia" w:ascii="宋体" w:hAnsi="宋体" w:cs="宋体"/>
          <w:bCs/>
          <w:color w:val="000000"/>
          <w:sz w:val="24"/>
          <w:lang w:val="en-US" w:eastAsia="zh-CN"/>
        </w:rPr>
        <w:t>以上不含派驻人员及项目负责人，为本项目团队核心团队人员</w:t>
      </w:r>
      <w:r>
        <w:rPr>
          <w:rFonts w:hint="eastAsia" w:ascii="宋体" w:hAnsi="宋体" w:cs="宋体"/>
          <w:bCs/>
          <w:color w:val="000000"/>
          <w:sz w:val="24"/>
        </w:rPr>
        <w:t>）及三位派驻人员组成相对固定的工作团队。</w:t>
      </w:r>
      <w:r>
        <w:rPr>
          <w:rFonts w:hint="eastAsia" w:ascii="宋体" w:hAnsi="宋体" w:cs="宋体"/>
          <w:bCs/>
          <w:color w:val="000000"/>
          <w:sz w:val="24"/>
          <w:lang w:val="en-US" w:eastAsia="zh-CN"/>
        </w:rPr>
        <w:t>乙方安排的</w:t>
      </w:r>
      <w:r>
        <w:rPr>
          <w:rFonts w:hint="eastAsia" w:ascii="宋体" w:hAnsi="宋体" w:cs="宋体"/>
          <w:bCs/>
          <w:color w:val="000000"/>
          <w:sz w:val="24"/>
        </w:rPr>
        <w:t>三位派驻人员</w:t>
      </w:r>
      <w:r>
        <w:rPr>
          <w:rFonts w:hint="eastAsia" w:ascii="宋体" w:hAnsi="宋体" w:cs="宋体"/>
          <w:bCs/>
          <w:color w:val="000000"/>
          <w:sz w:val="24"/>
          <w:lang w:val="en-US" w:eastAsia="zh-CN"/>
        </w:rPr>
        <w:t>中，</w:t>
      </w:r>
      <w:r>
        <w:rPr>
          <w:rFonts w:hint="eastAsia" w:ascii="宋体" w:hAnsi="宋体" w:cs="宋体"/>
          <w:bCs/>
          <w:color w:val="000000"/>
          <w:sz w:val="24"/>
        </w:rPr>
        <w:t>至少</w:t>
      </w:r>
      <w:r>
        <w:rPr>
          <w:rFonts w:hint="eastAsia" w:ascii="宋体" w:hAnsi="宋体" w:cs="宋体"/>
          <w:bCs/>
          <w:color w:val="000000"/>
          <w:sz w:val="24"/>
          <w:lang w:eastAsia="zh-CN"/>
        </w:rPr>
        <w:t>满足</w:t>
      </w:r>
      <w:r>
        <w:rPr>
          <w:rFonts w:hint="eastAsia" w:ascii="宋体" w:hAnsi="宋体" w:cs="宋体"/>
          <w:bCs/>
          <w:color w:val="000000"/>
          <w:sz w:val="24"/>
          <w:lang w:val="en-US" w:eastAsia="zh-CN"/>
        </w:rPr>
        <w:t>有</w:t>
      </w:r>
      <w:r>
        <w:rPr>
          <w:rFonts w:hint="eastAsia" w:ascii="宋体" w:hAnsi="宋体" w:cs="宋体"/>
          <w:bCs/>
          <w:color w:val="000000"/>
          <w:sz w:val="24"/>
        </w:rPr>
        <w:t>1名</w:t>
      </w:r>
      <w:r>
        <w:rPr>
          <w:rFonts w:hint="eastAsia" w:ascii="宋体" w:hAnsi="宋体" w:cs="宋体"/>
          <w:bCs/>
          <w:color w:val="000000"/>
          <w:sz w:val="24"/>
          <w:lang w:val="en-US" w:eastAsia="zh-CN"/>
        </w:rPr>
        <w:t>为</w:t>
      </w:r>
      <w:r>
        <w:rPr>
          <w:rFonts w:hint="eastAsia" w:ascii="宋体" w:hAnsi="宋体" w:cs="宋体"/>
          <w:bCs/>
          <w:color w:val="000000"/>
          <w:sz w:val="24"/>
        </w:rPr>
        <w:t>执业律师</w:t>
      </w:r>
      <w:r>
        <w:rPr>
          <w:rFonts w:hint="eastAsia" w:ascii="宋体" w:hAnsi="宋体" w:cs="宋体"/>
          <w:bCs/>
          <w:color w:val="000000"/>
          <w:sz w:val="24"/>
          <w:lang w:eastAsia="zh-CN"/>
        </w:rPr>
        <w:t>、另外</w:t>
      </w:r>
      <w:r>
        <w:rPr>
          <w:rFonts w:hint="eastAsia" w:ascii="宋体" w:hAnsi="宋体" w:cs="宋体"/>
          <w:bCs/>
          <w:color w:val="000000"/>
          <w:sz w:val="24"/>
          <w:lang w:val="en-US" w:eastAsia="zh-CN"/>
        </w:rPr>
        <w:t>2</w:t>
      </w:r>
      <w:r>
        <w:rPr>
          <w:rFonts w:hint="eastAsia" w:ascii="宋体" w:hAnsi="宋体" w:cs="宋体"/>
          <w:bCs/>
          <w:color w:val="000000"/>
          <w:sz w:val="24"/>
          <w:lang w:eastAsia="zh-CN"/>
        </w:rPr>
        <w:t>名持有法律职业资格证。</w:t>
      </w:r>
      <w:r>
        <w:rPr>
          <w:rFonts w:hint="eastAsia" w:ascii="宋体" w:hAnsi="宋体" w:cs="宋体"/>
          <w:color w:val="000000"/>
          <w:sz w:val="24"/>
        </w:rPr>
        <w:t>乙方指派以下顾问律师组成服务团队，为甲方提供法律服务。甲方同意乙方之指派，并授权顾问律师依本合同行使顾问权利。</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团队负责人： </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团队成员： </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顾问律师因故不能履行其职责时，乙方可另行指派律师临时代行职责，接受指派的律师应至少与原顾问律师具有同等资历与资格。如乙方因合理原因需临时变更顾问律师团队负责人、团队核心人员或派驻人员，应事先征得甲方书面同意，且接替的律师团队负责人、团队核心人员或派驻人员应至少与原负责人、团队核心人员或派驻人员具有同等资历与资格。另外，乙方可根据甲方不同的法律需求，指派精通该专业的律师完成甲方的委托。除本合同另有约定外，乙方指派的其他律师享有顾问律师之权利，承担顾问律师之义务。</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color w:val="000000"/>
          <w:sz w:val="24"/>
          <w:lang w:val="en-US" w:eastAsia="zh-CN"/>
        </w:rPr>
      </w:pPr>
      <w:r>
        <w:rPr>
          <w:rFonts w:hint="eastAsia" w:ascii="宋体" w:hAnsi="宋体" w:cs="宋体"/>
          <w:color w:val="000000"/>
          <w:sz w:val="24"/>
          <w:lang w:val="en-US" w:eastAsia="zh-CN"/>
        </w:rPr>
        <w:t>3.乙方应</w:t>
      </w:r>
      <w:r>
        <w:rPr>
          <w:rFonts w:hint="eastAsia" w:ascii="宋体" w:hAnsi="宋体" w:eastAsia="宋体" w:cs="宋体"/>
          <w:color w:val="000000"/>
          <w:sz w:val="24"/>
        </w:rPr>
        <w:t>安排</w:t>
      </w:r>
      <w:r>
        <w:rPr>
          <w:rFonts w:hint="eastAsia" w:ascii="宋体" w:hAnsi="宋体" w:eastAsia="宋体" w:cs="宋体"/>
          <w:bCs w:val="0"/>
          <w:color w:val="000000"/>
          <w:sz w:val="24"/>
        </w:rPr>
        <w:t>三</w:t>
      </w:r>
      <w:r>
        <w:rPr>
          <w:rFonts w:hint="eastAsia" w:ascii="宋体" w:hAnsi="宋体" w:eastAsia="宋体" w:cs="宋体"/>
          <w:bCs w:val="0"/>
          <w:color w:val="000000"/>
          <w:sz w:val="24"/>
          <w:lang w:val="en-US" w:eastAsia="zh-CN"/>
        </w:rPr>
        <w:t>名派驻人员（</w:t>
      </w:r>
      <w:r>
        <w:rPr>
          <w:rFonts w:hint="eastAsia" w:ascii="宋体" w:hAnsi="宋体" w:eastAsia="宋体" w:cs="宋体"/>
          <w:bCs w:val="0"/>
          <w:color w:val="000000"/>
          <w:sz w:val="24"/>
        </w:rPr>
        <w:t>至少</w:t>
      </w:r>
      <w:r>
        <w:rPr>
          <w:rFonts w:hint="eastAsia" w:ascii="宋体" w:hAnsi="宋体" w:eastAsia="宋体" w:cs="宋体"/>
          <w:bCs w:val="0"/>
          <w:color w:val="000000"/>
          <w:sz w:val="24"/>
          <w:lang w:eastAsia="zh-CN"/>
        </w:rPr>
        <w:t>满足</w:t>
      </w:r>
      <w:r>
        <w:rPr>
          <w:rFonts w:hint="eastAsia" w:ascii="宋体" w:hAnsi="宋体" w:eastAsia="宋体" w:cs="宋体"/>
          <w:bCs w:val="0"/>
          <w:color w:val="000000"/>
          <w:sz w:val="24"/>
          <w:lang w:val="en-US" w:eastAsia="zh-CN"/>
        </w:rPr>
        <w:t>一</w:t>
      </w:r>
      <w:r>
        <w:rPr>
          <w:rFonts w:hint="eastAsia" w:ascii="宋体" w:hAnsi="宋体" w:eastAsia="宋体" w:cs="宋体"/>
          <w:bCs w:val="0"/>
          <w:color w:val="000000"/>
          <w:sz w:val="24"/>
        </w:rPr>
        <w:t>名</w:t>
      </w:r>
      <w:r>
        <w:rPr>
          <w:rFonts w:hint="eastAsia" w:ascii="宋体" w:hAnsi="宋体" w:eastAsia="宋体" w:cs="宋体"/>
          <w:bCs w:val="0"/>
          <w:color w:val="000000"/>
          <w:sz w:val="24"/>
          <w:lang w:val="en-US" w:eastAsia="zh-CN"/>
        </w:rPr>
        <w:t>为</w:t>
      </w:r>
      <w:r>
        <w:rPr>
          <w:rFonts w:hint="eastAsia" w:ascii="宋体" w:hAnsi="宋体" w:eastAsia="宋体" w:cs="宋体"/>
          <w:bCs w:val="0"/>
          <w:color w:val="000000"/>
          <w:sz w:val="24"/>
        </w:rPr>
        <w:t>执业律师</w:t>
      </w:r>
      <w:r>
        <w:rPr>
          <w:rFonts w:hint="eastAsia" w:ascii="宋体" w:hAnsi="宋体" w:eastAsia="宋体" w:cs="宋体"/>
          <w:bCs w:val="0"/>
          <w:color w:val="000000"/>
          <w:sz w:val="24"/>
          <w:lang w:eastAsia="zh-CN"/>
        </w:rPr>
        <w:t>，另外两名持有法律职业资格证）</w:t>
      </w:r>
      <w:r>
        <w:rPr>
          <w:rFonts w:hint="eastAsia" w:ascii="宋体" w:hAnsi="宋体" w:eastAsia="宋体" w:cs="宋体"/>
          <w:color w:val="000000"/>
          <w:sz w:val="24"/>
        </w:rPr>
        <w:t>常驻</w:t>
      </w:r>
      <w:r>
        <w:rPr>
          <w:rFonts w:hint="eastAsia" w:ascii="宋体" w:hAnsi="宋体" w:eastAsia="宋体" w:cs="宋体"/>
          <w:color w:val="000000"/>
          <w:sz w:val="24"/>
          <w:lang w:val="en-US" w:eastAsia="zh-CN"/>
        </w:rPr>
        <w:t>甲方</w:t>
      </w:r>
      <w:r>
        <w:rPr>
          <w:rFonts w:hint="eastAsia" w:ascii="宋体" w:hAnsi="宋体" w:eastAsia="宋体" w:cs="宋体"/>
          <w:color w:val="000000"/>
          <w:sz w:val="24"/>
        </w:rPr>
        <w:t>办公地点提供现场法律服务</w:t>
      </w:r>
      <w:r>
        <w:rPr>
          <w:rFonts w:hint="eastAsia" w:ascii="宋体" w:hAnsi="宋体" w:cs="宋体"/>
          <w:color w:val="000000"/>
          <w:sz w:val="24"/>
          <w:lang w:val="en-US" w:eastAsia="zh-CN"/>
        </w:rPr>
        <w:t>。具体派驻人员应经甲方审核通过后确定。乙方派驻人员一经确定在服务期内不得随意更换。如乙方因合理原因需临时变更派驻人员，应事先征得甲方书面同意，且接替的人员应至少与原派驻人员具有同等资历与资格。</w:t>
      </w:r>
    </w:p>
    <w:p>
      <w:pPr>
        <w:pStyle w:val="36"/>
        <w:tabs>
          <w:tab w:val="left" w:pos="720"/>
        </w:tabs>
        <w:autoSpaceDE w:val="0"/>
        <w:autoSpaceDN w:val="0"/>
        <w:adjustRightInd w:val="0"/>
        <w:spacing w:line="360" w:lineRule="auto"/>
        <w:ind w:right="17" w:firstLine="480"/>
        <w:jc w:val="left"/>
        <w:outlineLvl w:val="1"/>
        <w:rPr>
          <w:rFonts w:ascii="宋体" w:hAnsi="宋体" w:cs="宋体"/>
          <w:bCs/>
          <w:color w:val="000000"/>
          <w:sz w:val="24"/>
        </w:rPr>
      </w:pPr>
      <w:r>
        <w:rPr>
          <w:rFonts w:hint="eastAsia" w:ascii="宋体" w:hAnsi="宋体" w:cs="宋体"/>
          <w:color w:val="000000"/>
          <w:sz w:val="24"/>
          <w:lang w:val="en-US" w:eastAsia="zh-CN"/>
        </w:rPr>
        <w:t>4.乙方</w:t>
      </w:r>
      <w:r>
        <w:rPr>
          <w:rFonts w:hint="eastAsia" w:ascii="宋体" w:hAnsi="宋体" w:cs="宋体"/>
          <w:bCs/>
          <w:color w:val="000000"/>
          <w:sz w:val="24"/>
        </w:rPr>
        <w:t>承诺律师事务所和配备的律师工作团队成员近五年来（</w:t>
      </w:r>
      <w:r>
        <w:rPr>
          <w:rFonts w:hint="eastAsia" w:ascii="宋体" w:hAnsi="宋体" w:cs="宋体"/>
          <w:bCs/>
          <w:color w:val="000000"/>
          <w:sz w:val="24"/>
          <w:lang w:eastAsia="zh-CN"/>
        </w:rPr>
        <w:t>2020年1月1日</w:t>
      </w:r>
      <w:r>
        <w:rPr>
          <w:rFonts w:hint="eastAsia" w:ascii="宋体" w:hAnsi="宋体" w:cs="宋体"/>
          <w:bCs/>
          <w:color w:val="000000"/>
          <w:sz w:val="24"/>
        </w:rPr>
        <w:t>至投标截止日）未受过相关部门处罚并不存在不良执业记录。并提供加盖</w:t>
      </w:r>
      <w:r>
        <w:rPr>
          <w:rFonts w:hint="eastAsia" w:ascii="宋体" w:hAnsi="宋体" w:cs="宋体"/>
          <w:bCs/>
          <w:color w:val="000000"/>
          <w:sz w:val="24"/>
          <w:lang w:val="en-US" w:eastAsia="zh-CN"/>
        </w:rPr>
        <w:t>乙方</w:t>
      </w:r>
      <w:r>
        <w:rPr>
          <w:rFonts w:hint="eastAsia" w:ascii="宋体" w:hAnsi="宋体" w:cs="宋体"/>
          <w:bCs/>
          <w:color w:val="000000"/>
          <w:sz w:val="24"/>
        </w:rPr>
        <w:t>公章的承诺函，承诺函格式自拟。</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第3条  服务期限及考核机制</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3.1合同期限</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常年法律顾问服务的期限为自本合同签订之日起一年；本项目为长期服务项目，服务期限届满前，如经甲方组织履约评价为优秀，双方可以续签服务合同，最多可续签两次，续签时间最长不超过二十四个月。</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3.2考核机制</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1.甲方对乙方的常年法律顾问服务进行年度考核，考核标准包括：</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（1）乙方提供法律服务的响应时间是否符合本合同约定；</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（2）乙方提供的法律服务是否符合本合同约定；</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（3）乙方是否按时提交工作成果；</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（4）乙方出具的法律意见是否违反法律规定或存在错误，导致甲方遭受损失。</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（5）派驻人员有无按合同要求在甲方办公场所提供服务。</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2.具体考核方式由双方另行协商确定。</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第4条  服务内容</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4.1 常年法律顾问服务</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1.为甲方在经营、管理决策中正确执行国家法律、法规提供专业支持；</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2.必要时列席甲方有关会议，参与有关重大项目或合同的谈判，并就有关议题提供法律咨询，发表或出具法律意见；</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3.对甲方治理结构、管控模式提出法律意见及建议，协助甲方在法定机构运作模式及相关领域进行研究与创新；</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4.协助开展甲方合同管理体系建设工作，包括但不限于：拟定合同管理制度、制作合同示范文本、合同起草、合同审查、参与重大合同谈判、合同履行情况检查等；</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5.根据甲方需要出具香港民商事法律领域有关事务的法律意见；</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6.起草或协助起草甲方经营管理中需要的合同、章程、规章制度、会议文件、对外函件及可能产生法律后果的其他法律文件；</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7.参与甲方重大项目招标管理工作，审查、修改招标文件，必要时参加招标工作会议，确保招标工作合法、合规；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8.审查、修改政府采购文件，为甲方政府采购活动中遇到的问题提出法律意见及建议；</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9.协助处理局属企业股权管理工作，包括但不限于对局属企业三会（即股东会、董事会、监事会）召开程序、议案内容等进行审查，根据安排协助局属企业召开三会等；</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10.负责收集、整理与甲方运营管理有关的法律、法规、政策文件及相关资料，并提供评价、分析意见或建议；</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11.接受甲方工作人员的业务咨询，解答工作人员工作过程中遇到的法律疑难问题；</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12.根据甲方需要配合开展法治宣传和举办法律培训活动；</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13.负责或配合处理甲方知识产权、商业秘密保护、公证、鉴证等有关法律事务工作；</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14.提供政府信息公开的法律咨询；</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15.甲方交办的其他与本合同服务事项有密切关系的法律事务。</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16.行政复议、行政诉讼案件法律服务</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乙方在服务期内应甲方要求为甲方提供不超过三宗行政复议或行政诉讼案件专项服务，该等服务不另行收取费用。</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乙方提供的法律服务如涉及甲方或其下属公司的重大投融资事项、重大资产处置、股票发行与上市、立法项目、法治创新、金融创新、社会管理创新，需要律师全过程参与、提供全面法律意见，且工作量大、情况复杂、难度较大、投入时间精力多的，或为甲方代理诉讼和仲裁案件，服务周期相对较长，责任较为重大的事项，经双方协商同意，可作为专项法律服务，不计入常年法律顾问的日常服务范围。</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 工作方式</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4.2.1乙方服务团队在甲方的组织、指导下开展工作；</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4.2.2在合同履行期间，应甲方要求，乙方应当</w:t>
      </w:r>
      <w:r>
        <w:rPr>
          <w:rFonts w:hint="eastAsia" w:ascii="宋体" w:hAnsi="宋体" w:eastAsia="宋体" w:cs="宋体"/>
          <w:color w:val="000000"/>
          <w:sz w:val="24"/>
        </w:rPr>
        <w:t>安排</w:t>
      </w:r>
      <w:r>
        <w:rPr>
          <w:rFonts w:hint="eastAsia" w:ascii="宋体" w:hAnsi="宋体" w:eastAsia="宋体" w:cs="宋体"/>
          <w:bCs w:val="0"/>
          <w:color w:val="000000"/>
          <w:sz w:val="24"/>
        </w:rPr>
        <w:t>三</w:t>
      </w:r>
      <w:r>
        <w:rPr>
          <w:rFonts w:hint="eastAsia" w:ascii="宋体" w:hAnsi="宋体" w:eastAsia="宋体" w:cs="宋体"/>
          <w:bCs w:val="0"/>
          <w:color w:val="000000"/>
          <w:sz w:val="24"/>
          <w:lang w:val="en-US" w:eastAsia="zh-CN"/>
        </w:rPr>
        <w:t>名派驻人员（</w:t>
      </w:r>
      <w:r>
        <w:rPr>
          <w:rFonts w:hint="eastAsia" w:ascii="宋体" w:hAnsi="宋体" w:eastAsia="宋体" w:cs="宋体"/>
          <w:bCs w:val="0"/>
          <w:color w:val="000000"/>
          <w:sz w:val="24"/>
        </w:rPr>
        <w:t>至少</w:t>
      </w:r>
      <w:r>
        <w:rPr>
          <w:rFonts w:hint="eastAsia" w:ascii="宋体" w:hAnsi="宋体" w:eastAsia="宋体" w:cs="宋体"/>
          <w:bCs w:val="0"/>
          <w:color w:val="000000"/>
          <w:sz w:val="24"/>
          <w:lang w:eastAsia="zh-CN"/>
        </w:rPr>
        <w:t>满足</w:t>
      </w:r>
      <w:r>
        <w:rPr>
          <w:rFonts w:hint="eastAsia" w:ascii="宋体" w:hAnsi="宋体" w:eastAsia="宋体" w:cs="宋体"/>
          <w:bCs w:val="0"/>
          <w:color w:val="000000"/>
          <w:sz w:val="24"/>
          <w:lang w:val="en-US" w:eastAsia="zh-CN"/>
        </w:rPr>
        <w:t>一</w:t>
      </w:r>
      <w:r>
        <w:rPr>
          <w:rFonts w:hint="eastAsia" w:ascii="宋体" w:hAnsi="宋体" w:eastAsia="宋体" w:cs="宋体"/>
          <w:bCs w:val="0"/>
          <w:color w:val="000000"/>
          <w:sz w:val="24"/>
        </w:rPr>
        <w:t>名</w:t>
      </w:r>
      <w:r>
        <w:rPr>
          <w:rFonts w:hint="eastAsia" w:ascii="宋体" w:hAnsi="宋体" w:eastAsia="宋体" w:cs="宋体"/>
          <w:bCs w:val="0"/>
          <w:color w:val="000000"/>
          <w:sz w:val="24"/>
          <w:lang w:val="en-US" w:eastAsia="zh-CN"/>
        </w:rPr>
        <w:t>为</w:t>
      </w:r>
      <w:r>
        <w:rPr>
          <w:rFonts w:hint="eastAsia" w:ascii="宋体" w:hAnsi="宋体" w:eastAsia="宋体" w:cs="宋体"/>
          <w:bCs w:val="0"/>
          <w:color w:val="000000"/>
          <w:sz w:val="24"/>
        </w:rPr>
        <w:t>执业律师</w:t>
      </w:r>
      <w:r>
        <w:rPr>
          <w:rFonts w:hint="eastAsia" w:ascii="宋体" w:hAnsi="宋体" w:eastAsia="宋体" w:cs="宋体"/>
          <w:bCs w:val="0"/>
          <w:color w:val="000000"/>
          <w:sz w:val="24"/>
          <w:lang w:eastAsia="zh-CN"/>
        </w:rPr>
        <w:t>，另外两名持有法律职业资格证）</w:t>
      </w:r>
      <w:r>
        <w:rPr>
          <w:rFonts w:hint="eastAsia" w:ascii="宋体" w:hAnsi="宋体" w:eastAsia="宋体" w:cs="宋体"/>
          <w:color w:val="000000"/>
          <w:sz w:val="24"/>
        </w:rPr>
        <w:t>常驻</w:t>
      </w:r>
      <w:r>
        <w:rPr>
          <w:rFonts w:hint="eastAsia" w:ascii="宋体" w:hAnsi="宋体" w:eastAsia="宋体" w:cs="宋体"/>
          <w:color w:val="000000"/>
          <w:sz w:val="24"/>
          <w:lang w:val="en-US" w:eastAsia="zh-CN"/>
        </w:rPr>
        <w:t>甲方</w:t>
      </w:r>
      <w:r>
        <w:rPr>
          <w:rFonts w:hint="eastAsia" w:ascii="宋体" w:hAnsi="宋体" w:eastAsia="宋体" w:cs="宋体"/>
          <w:color w:val="000000"/>
          <w:sz w:val="24"/>
        </w:rPr>
        <w:t>办公地点提供现场法律服务</w:t>
      </w:r>
      <w:r>
        <w:rPr>
          <w:rFonts w:hint="eastAsia" w:ascii="宋体" w:hAnsi="宋体" w:cs="宋体"/>
          <w:color w:val="000000"/>
          <w:sz w:val="24"/>
        </w:rPr>
        <w:t>。具体派驻人员应经甲方审核通过后确定。</w:t>
      </w:r>
      <w:r>
        <w:rPr>
          <w:rFonts w:hint="eastAsia" w:ascii="宋体" w:hAnsi="宋体" w:cs="宋体"/>
          <w:bCs/>
          <w:color w:val="000000"/>
          <w:sz w:val="24"/>
        </w:rPr>
        <w:t>乙方派驻人员一经确定在服务期内不得随意更换。如乙方因合理原因需临时变更派驻人员，应事先征得甲方书面同意，且接替的人员应至少与原派驻人员具有同等资历与资格。</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4.2.3本合同所列的乙方各项常年法律顾问服务内容，甲方可在工作时间内随时与乙方服务团队的顾问律师及律师助理联系并交办服务事项；乙方通过现场服务、电话、传真、信函、电子邮件、专人递交等方式为甲方提供服务。</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4.2.4乙方应当认真履行法律服务职责，遇重大或突发法律事件，乙方应保证有顾问团队负责人或团队核心人员及时到场。</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4.2.5甲方应当指定专人和乙方联系和沟通，乙方也应当就和甲方联系指定专人，指定联系人变更的，应当提前告知对方。</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4.3 服务要求</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4.3.1乙方应当勤勉、尽责地完成属于本合同项下的法律服务内容。</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4.3.2乙方出具法律意见原则上应当在3个工作日内完成；紧急情况下，甲方有特殊要求的，乙方应当按照甲方要求时限完成甲方委托事项；遇到复杂、疑难法律问题，乙方需专题研究讨论，并需要推迟服务时限的，应提前通报甲方并征得甲方同意。甲方要求乙方出具正式版法律意见书的，应由乙方顾问团队负责人签字并加盖乙方公章。</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4.3.3乙方应当以其依据法律作出的判断，向甲方进行法律风险提示，尽最大努力维护甲方权益。</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第5条 服务成果</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5.1乙方应分别于本合同签订之日起3个月、6个月、9个月、12个月末向甲方提交工作台账（包括工作内容、工作耗时等），以电子文件形式提交；</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5.2乙方应于服务期到期前三个月向甲方提交常年法律顾问工作总结报告，以纸质版形式（按甲方要求印制1份）和电子文件形式提交；</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5.3服务到期前三个月，乙方提交不少于一份关于常年法律顾问工作的合规建议或意见的报告，以纸质版形式（按甲方要求印制1份）和电子文件形式提交。</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第6条  甲方的权利和义务</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 甲方的权利</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6.1.1 甲方有权监督乙方的工作机制、工作情况并提出意见，乙方应及时调整或整改。</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6.1.2甲方有权对乙方提供的服务进行验收，验收合格的标志为甲方审查通过。 </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6.1.3甲方有权要求乙方更换不称职的顾问律师。</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6.2 甲方的义务</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6.2.1 甲方应就委托乙方办理的工作事项提供详细资料、信息及有关意图，并指派专人积极配合乙方开展工作。</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6.2.2 甲方应按乙方及其律师的提示使用乙方提供的法律文件以及以其他方式提供的法律意见。若甲方认为必须公开乙方的法律意见，除本合同明确约定的外，应事先征得乙方的同意。</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6.2.3 甲方应及时向乙方支付法律顾问费。</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第7条  乙方的权利和义务</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7.1 乙方的权利</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7.1.1 及时获得进行法律顾问服务所需要的甲方的全面、真实、准确的资料、信息，并可独立自主地决定使用。</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7.1.2 乙方认为有必要时，经甲方同意，有权查阅甲方的章程、规章制度、</w:t>
      </w:r>
      <w:r>
        <w:rPr>
          <w:rFonts w:hint="eastAsia" w:ascii="宋体" w:hAnsi="宋体" w:cs="宋体"/>
          <w:color w:val="000000"/>
          <w:sz w:val="24"/>
          <w:lang w:val="en-US" w:eastAsia="zh-CN"/>
        </w:rPr>
        <w:t>账</w:t>
      </w:r>
      <w:r>
        <w:rPr>
          <w:rFonts w:hint="eastAsia" w:ascii="宋体" w:hAnsi="宋体" w:cs="宋体"/>
          <w:color w:val="000000"/>
          <w:sz w:val="24"/>
        </w:rPr>
        <w:t>册、报表及其他资料以及向甲方有关人员了解、调取有关材料，并对涉及法律顾问工作项下的事务享有建议权。</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7.2 乙方的义务</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7.2.1 诚实、守信、及时、勤勉地提供本合同第4条约定的法律服务内容，维护甲方合法权益。</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7.2.2建立完整业务档案，按甲方要求及时口头或书面报告工作情况。</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7.2.3 严格遵守职业道德，乙方须以保密方式处理自甲方、甲方工作人员或甲方关联机构获得的相关信息、资料、图纸、数据等，或由甲方明确指明为秘密的任何信息</w:t>
      </w:r>
      <w:r>
        <w:rPr>
          <w:rFonts w:hint="eastAsia" w:ascii="宋体" w:hAnsi="宋体" w:cs="宋体"/>
          <w:color w:val="000000"/>
          <w:sz w:val="24"/>
          <w:lang w:eastAsia="zh-CN"/>
        </w:rPr>
        <w:t>，</w:t>
      </w:r>
      <w:r>
        <w:rPr>
          <w:rFonts w:hint="eastAsia" w:ascii="宋体" w:hAnsi="宋体" w:cs="宋体"/>
          <w:color w:val="000000"/>
          <w:sz w:val="24"/>
        </w:rPr>
        <w:t>以及乙方在提供法律顾问服务及其他服务过程中所直接或间接取得、处理或接触的任何其他资料。未经甲方书面在先同意，乙方不得向任何第三方透露与法律顾问服务有关的任何内容，即使向履行本合同有关的顾问律师及其他工作人员提供，也应注意保密并限于履行合同的必需范围，且这些人员应接受至少与本条款同等严格的保密条款的约束。本款约定的保密义务在法律、法规或国家政策另有规定，或经甲方同意，或该秘密已由第三人合法地公开时，得予以解除。无论本合同或本合同其他条款效力是否发生变化，本保密条款始终约束乙方。</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7.2.4 在本合同生效期限内，乙方顾问律师或所有曾参与处理本合同约定法律事务的乙方其他工作人员，不得为与甲方具有法律上利益冲突的另一方就相关法律事务提供法律意见或代理。如乙方顾问律师或所有曾参与处理本合同约定法律事务的乙方其他工作人员在相关法律事务发生前已代理与甲方具有法律上利益冲突的另一方，乙方应当及时向甲方出具书面声明并对该法律事务进行回避。</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7.2.5乙方有维护甲方声誉的义务，不得以甲方名义从事与本合同项下服务内容无关的任何事务。</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7.2.6 乙方应独立完成本项目。未经甲方书面在先同意，乙方不得向任何第三方全部或部分转让本项目。</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7.2.7 除依法及依本合同或其他合同之外，乙方不得谋求或获取其他任何非市场性的收益及利益。</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7.2.8 乙方不得利用在工作期间获得的非公开信息或者便利条件，为本人及所在单位或者他人牟取利益。</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7.2.9 乙方不得以法律顾问的身份从事商业活动以及与法律顾问职责无关的活动。</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第8条  顾问费用及其支付</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8.1 法律顾问费。本合同项下甲方向乙方支付的常年法律顾问服务费用总额（</w:t>
      </w:r>
      <w:r>
        <w:rPr>
          <w:rFonts w:hint="eastAsia" w:ascii="宋体" w:hAnsi="宋体" w:cs="宋体"/>
          <w:bCs/>
          <w:color w:val="000000"/>
          <w:sz w:val="24"/>
        </w:rPr>
        <w:t>包括成本、法定税费和印刷费等完成本项目的一切费用</w:t>
      </w:r>
      <w:r>
        <w:rPr>
          <w:rFonts w:hint="eastAsia" w:ascii="宋体" w:hAnsi="宋体" w:cs="宋体"/>
          <w:color w:val="000000"/>
          <w:sz w:val="24"/>
        </w:rPr>
        <w:t>）为人民币    整（小写：    ）。</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8.2 支付</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8.2.1 本合同签订后，甲方在收到乙方开具的载明相应金额的合格发票后10个工作日内，向乙方指定银行账户支付人民币  元整（￥），即本合同顾问服务费总金额的50%。</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8.2.2乙方将全部服务成果提交给甲方，经甲方审查验收通过后10个工作日内，甲方应在收到乙方开具的载明相应金额的合格发票后，向乙方指定银行账户支付人民币  元整（￥），即本合同顾问服务费总金额的50%。</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8.2.3.本合同项下各期款项均在甲方收到乙方开具的载明相应金额的合格发票后10个工作日内支付，如甲方未及时收到乙方开具的合格发票，甲方付款时间相应顺延。若因甲方付款审批影响支付进度，请乙方予以谅解，并不得就此向甲方索赔。</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8.2.4 乙方银行账户信息：</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户名：</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开户银行：</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银行账号：</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8.3 请款函</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乙方于甲方支付顾问费用之前，应向甲方发出请款函，告知应付法律顾问费的金额。</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第9条  甲方财物的保管</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9.1 乙方和经办律师在提供法律服务的过程中所取得的由甲方提供的正本资料、文件、其它物品以及因案件而取得的执行所得或其它所得（以下简称“甲方财物”）均属于甲方的财产，乙方应当在完成法律服务后，将甲方财物移交给甲方，并应销毁或删除全部副本；</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9.2 如果甲方未接受乙方移交的甲方财物，乙方有权视需要代为保管或将甲方财物移送公证机关提存，由此产生的任何额外的费用，均应由甲方承担。如由乙方代为保管甲方财物，则保管期限不超过2年（自移交之日起算），逾期乙方不承担任何责任，同时，除乙方故意外，保管期间乙方不承担甲方财物毁损、灭失的任何责任。</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9.3 在甲方未按照本合同约定支付顾问费用和其他费用的情况下，乙方有权将甲方财物予以留置，并视情况对留置的财物径行处理而无须通知甲方。</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第10条 保密条款</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10.1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10.2乙方应以保密方式处理在本项目工作过程中自甲方、甲方工作人员或甲方关联机构获得的相关信息、资料、图纸、数据等，或由甲方在履行本合同过程中明确指明为秘密的任何信息，以及乙方因本项目工作内容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10.3乙方实施项目的程序应符合国家安全、保密的有关规定和标准。</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10.4上述保密义务不适用以下情况：</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1.获取的信息已被合法公开；</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2.获得信息拥有方书面许可并在该许可范围内披露；</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3.国家法律、法规规定的情形。</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10.5如乙方违反上述保密条款，甲方有权解除本合同，乙方应在合同解除通知发出之日起10日内向甲方支付本合同服务费总金额20%的违约金，如果违约金无法弥补甲方损失，甲方保留要求乙方赔偿全部损失的权利。</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10.6无论本项目其他条款是否有效，本保密条款始终约束双方。国家秘密的保密期限由国家有关部门确定，工作秘密的保密期限由甲方确定。</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第11条  违约责任</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 如任何一方不履行本合同义务或履行本合同义务不符合约定，应当承担继续履行、采取补救措施或者赔偿损失等违约责任。</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 乙方在工作中如未勤勉尽责出现错误或疏漏并造成甲方直接损失的，或者在工作中违反有关规范性法律文件的规定向甲方提供错误的法律意见并造成甲方直接损失的，甲方有权视乙方已实际提供服务的工作量要求乙方退还部分或者全部已付的法律顾问费，同时，甲方保留要求乙方依法赔偿损失的权利。</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11.3如乙方未事先征得甲方的同意，擅自更换项目团队成员，每擅自更换一人，乙方应向甲方支付本合同总价款5%的违约金。</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11.4本合同履行期间，发生下述情形时，甲方有权解除本合同并有权要求乙方退还甲方已支付的全部款项</w:t>
      </w:r>
      <w:r>
        <w:rPr>
          <w:rFonts w:hint="eastAsia" w:ascii="宋体" w:hAnsi="宋体" w:cs="宋体"/>
          <w:color w:val="000000"/>
          <w:sz w:val="24"/>
          <w:lang w:eastAsia="zh-CN"/>
        </w:rPr>
        <w:t>，</w:t>
      </w:r>
      <w:r>
        <w:rPr>
          <w:rFonts w:hint="eastAsia" w:ascii="宋体" w:hAnsi="宋体" w:cs="宋体"/>
          <w:color w:val="000000"/>
          <w:sz w:val="24"/>
        </w:rPr>
        <w:t>乙方应在合同解除通知发出之日起10日内向甲方支付合同总价款20%的违约金：</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11.4.1.乙方未能按合同约定的日期(含协商延缓的日期)出具法律意见，延误时间超过15个工作日；</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11.4.2.因乙方工作过错或重大过失的原因出具的错误意见导致甲方据以作出的行政行为被提起行政复议、行政诉讼且被认定为不合法的（甲方自身原因除外）；</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11.4.3.乙方未按要求完成利益关系冲突审查义务</w:t>
      </w:r>
      <w:r>
        <w:rPr>
          <w:rFonts w:hint="eastAsia" w:ascii="宋体" w:hAnsi="宋体" w:cs="宋体"/>
          <w:bCs/>
          <w:color w:val="000000"/>
          <w:sz w:val="24"/>
        </w:rPr>
        <w:t>或未报送审查结果</w:t>
      </w:r>
      <w:r>
        <w:rPr>
          <w:rFonts w:hint="eastAsia" w:ascii="宋体" w:hAnsi="宋体" w:cs="宋体"/>
          <w:color w:val="000000"/>
          <w:sz w:val="24"/>
        </w:rPr>
        <w:t>，且出具的法律意见出现瑕疵、错误的，或乙方未按本合同约定主动回避的；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11.4.4.项目负责人未承担本合同项目实质性工作，或未经甲方书面在先同意，乙方擅自更换项目负责人、团队核心人员或派驻人员的；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11.4.5.发现乙方派驻人员（包括派驻律师及派驻工作人员）未按照本合同要求在甲方驻场工作，无故缺勤三次以上，甲方有权通知乙方限期整改或更换派驻人员，期限届满乙方并未进行改善的；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11.4.6.未经甲方书面在先同意，乙方擅自将本合同项目与任何第三方合作，或将本合同标的全部或部分擅自转包或分包给任何第三方，且未按甲方的要求终止与第三方的协议的；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11.4.7.发现乙方或乙方团队成员顾问律师出现全部或部分丧失履行委托服务能力的情况，甲方有权通知乙方限期整改或更换顾问律师，期限届满乙方并未进行改善的；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11.4.8.乙方明确表示或者以自己的行为表明不履行本合同的。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11.5除甲方付款审批影响支付进度外，如甲方未按照本合同约定的时间支付服务费，乙方书面催告甲方并给予不少于5个工作日的履行期限后甲方仍未支付的，乙方有权自该期限届满之日起要求甲方支付应付而未付合同价款每日3‰的逾期违约金。如甲方无正当理由拒绝接受服务，到期明确表示拒付服务款项，乙方有权要求甲方支付本合同项下服务费总金额20%的违约金。</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第12条  完整的合同</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本合同作为乙方和甲方之间的最终的、完整的合同，取代之前双方作出的口头或书面的约定。</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第13条  合同的可分性</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本合同中的任何条款如因任何原因导致全部或部分无效，本合同的其它条款仍保持原有的效力，应当予以履行。</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第14条  合同修改</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本合同经双方协商一致后，可以书面方式进行修改。甲方理解并承诺，如果甲方希望获得本合同约定服务范围以外的法律服务，应当与乙方另行签订法律服务委托合同。</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第15条  联系信息</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甲方：</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乙方：</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第16条  通知</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与本合同履行有关的通知应当以书面方式提交对方，书面方式可以邮寄、挂号邮寄、专人送达、传真、电子邮件等方式送达。乙方和甲方均应视需要选择合适的送达方式。</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若任何一方以邮件邮递发出，则以邮局在信封面盖收邮戳之日起3个工作日后生效。如果以上通讯资料有所变更时，应在变更日起及时书面通知对方，否则，按原通讯地址发出的通知，视为送达。</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第17条  争议的解决</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双方同意，有关本合同签订、履行而发生的任何争议，在无法通过协商解决和调解方式解决的情况下，任何一方均可向深圳前海合作区人民法院起诉。</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第18条  其他规定</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18.1 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1.合同书及补充协议；</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2.中标通知书；</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3.招标文件（编号： ）及其澄清、补正公告；</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4.投标书。</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18.2本合同经双方法定代表人或其授权代表签字并加盖公章之日起生效，有效期为一年。</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18.3本合同附件为合同不可分割的组成部分，与本合同一并加盖骑缝章后具有同等法律效力。若附件与合同正文有任何冲突，以合同正文为准。</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18.4本合同各条标题仅为提示之用，应以条文内容确定各方的权利义务。</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18.5本合同未尽事宜，由双方协商签订补充协议进行约定。补充协议应以书面形式作成，经双方法定代表人或其授权代表签字、盖章后与本合同具有同等法律效力。</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18.6本合同一式四份正本，甲乙双方各执两份，均具同等法律效力。（以下无正文）</w:t>
      </w:r>
    </w:p>
    <w:p>
      <w:pPr>
        <w:spacing w:line="360" w:lineRule="auto"/>
        <w:ind w:firstLine="480" w:firstLineChars="200"/>
        <w:rPr>
          <w:rFonts w:hint="eastAsia" w:ascii="宋体" w:hAnsi="宋体" w:cs="宋体"/>
          <w:color w:val="000000"/>
          <w:sz w:val="24"/>
        </w:rPr>
      </w:pPr>
    </w:p>
    <w:p>
      <w:pPr>
        <w:spacing w:line="360" w:lineRule="auto"/>
        <w:ind w:firstLine="480" w:firstLineChars="200"/>
        <w:rPr>
          <w:rFonts w:hint="eastAsia" w:ascii="宋体" w:hAnsi="宋体" w:cs="宋体"/>
          <w:color w:val="000000"/>
          <w:sz w:val="24"/>
        </w:rPr>
      </w:pPr>
    </w:p>
    <w:p>
      <w:pPr>
        <w:spacing w:line="360" w:lineRule="auto"/>
        <w:ind w:firstLine="480" w:firstLineChars="200"/>
        <w:rPr>
          <w:rFonts w:hint="eastAsia" w:ascii="宋体" w:hAnsi="宋体" w:cs="宋体"/>
          <w:color w:val="000000"/>
          <w:sz w:val="24"/>
        </w:rPr>
      </w:pPr>
    </w:p>
    <w:p>
      <w:pPr>
        <w:spacing w:line="360" w:lineRule="auto"/>
        <w:ind w:firstLine="480" w:firstLineChars="200"/>
        <w:rPr>
          <w:rFonts w:hint="eastAsia" w:ascii="宋体" w:hAnsi="宋体" w:cs="宋体"/>
          <w:color w:val="000000"/>
          <w:sz w:val="24"/>
        </w:rPr>
      </w:pPr>
    </w:p>
    <w:p>
      <w:pPr>
        <w:spacing w:line="360" w:lineRule="auto"/>
        <w:ind w:firstLine="480" w:firstLineChars="200"/>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附件：《中标通知书》《投标文件》</w:t>
      </w:r>
    </w:p>
    <w:p>
      <w:pPr>
        <w:adjustRightInd w:val="0"/>
        <w:snapToGrid w:val="0"/>
        <w:spacing w:line="360" w:lineRule="auto"/>
        <w:ind w:firstLine="720" w:firstLineChars="300"/>
        <w:rPr>
          <w:rFonts w:hint="eastAsia" w:ascii="宋体" w:hAnsi="宋体" w:cs="宋体"/>
          <w:color w:val="000000"/>
          <w:sz w:val="24"/>
        </w:rPr>
      </w:pPr>
    </w:p>
    <w:p>
      <w:pPr>
        <w:adjustRightInd w:val="0"/>
        <w:snapToGrid w:val="0"/>
        <w:spacing w:line="360" w:lineRule="auto"/>
        <w:ind w:firstLine="720" w:firstLineChars="300"/>
        <w:rPr>
          <w:rFonts w:ascii="宋体" w:hAnsi="宋体" w:cs="宋体"/>
          <w:sz w:val="24"/>
        </w:rPr>
      </w:pPr>
    </w:p>
    <w:p>
      <w:pPr>
        <w:adjustRightInd w:val="0"/>
        <w:snapToGrid w:val="0"/>
        <w:spacing w:line="360" w:lineRule="auto"/>
        <w:rPr>
          <w:rFonts w:ascii="宋体" w:hAnsi="宋体" w:cs="宋体"/>
          <w:color w:val="000000"/>
          <w:sz w:val="24"/>
        </w:rPr>
      </w:pPr>
      <w:r>
        <w:rPr>
          <w:rFonts w:hint="eastAsia" w:ascii="宋体" w:hAnsi="宋体"/>
          <w:b/>
          <w:bCs/>
          <w:color w:val="000000"/>
          <w:szCs w:val="21"/>
        </w:rPr>
        <w:t>注：本合同样本仅供参考，具体条款内容采购人和中标人按前海管理局合同样本签订。实际合同样本不改变本招标文件的实质条件</w:t>
      </w:r>
      <w:r>
        <w:rPr>
          <w:rFonts w:hint="eastAsia" w:ascii="宋体" w:hAnsi="宋体" w:cs="宋体"/>
          <w:b/>
          <w:bCs/>
          <w:color w:val="000000"/>
          <w:sz w:val="24"/>
        </w:rPr>
        <w:t>。</w:t>
      </w:r>
    </w:p>
    <w:p>
      <w:pPr>
        <w:snapToGrid w:val="0"/>
        <w:spacing w:line="360" w:lineRule="auto"/>
        <w:rPr>
          <w:rFonts w:ascii="宋体" w:hAnsi="宋体" w:cs="宋体"/>
          <w:color w:val="000000"/>
          <w:sz w:val="24"/>
        </w:rPr>
      </w:pPr>
    </w:p>
    <w:p>
      <w:pPr>
        <w:pStyle w:val="6"/>
        <w:rPr>
          <w:rFonts w:ascii="宋体" w:hAnsi="宋体" w:cs="宋体"/>
          <w:color w:val="000000"/>
        </w:rPr>
      </w:pPr>
    </w:p>
    <w:p/>
    <w:p>
      <w:pPr>
        <w:numPr>
          <w:ilvl w:val="0"/>
          <w:numId w:val="1"/>
        </w:numPr>
        <w:spacing w:line="360" w:lineRule="auto"/>
        <w:jc w:val="center"/>
        <w:outlineLvl w:val="0"/>
        <w:rPr>
          <w:rFonts w:ascii="宋体" w:hAnsi="宋体" w:cs="宋体"/>
          <w:b/>
          <w:bCs/>
          <w:color w:val="000000"/>
          <w:sz w:val="24"/>
        </w:rPr>
      </w:pPr>
      <w:r>
        <w:rPr>
          <w:rFonts w:hint="eastAsia" w:ascii="宋体" w:hAnsi="宋体" w:cs="宋体"/>
          <w:b/>
          <w:bCs/>
          <w:color w:val="000000"/>
          <w:sz w:val="24"/>
        </w:rPr>
        <w:br w:type="page"/>
      </w:r>
      <w:r>
        <w:rPr>
          <w:rFonts w:hint="eastAsia" w:ascii="宋体" w:hAnsi="宋体" w:cs="宋体"/>
          <w:b/>
          <w:bCs/>
          <w:color w:val="000000"/>
          <w:sz w:val="24"/>
        </w:rPr>
        <w:t xml:space="preserve"> </w:t>
      </w:r>
      <w:bookmarkStart w:id="22" w:name="_Toc25518"/>
      <w:r>
        <w:rPr>
          <w:rFonts w:hint="eastAsia" w:ascii="宋体" w:hAnsi="宋体" w:cs="宋体"/>
          <w:b/>
          <w:bCs/>
          <w:color w:val="000000"/>
          <w:sz w:val="24"/>
        </w:rPr>
        <w:t>用户需求书</w:t>
      </w:r>
      <w:bookmarkEnd w:id="22"/>
    </w:p>
    <w:p>
      <w:pPr>
        <w:pStyle w:val="36"/>
        <w:tabs>
          <w:tab w:val="left" w:pos="720"/>
        </w:tabs>
        <w:autoSpaceDE w:val="0"/>
        <w:autoSpaceDN w:val="0"/>
        <w:adjustRightInd w:val="0"/>
        <w:spacing w:line="360" w:lineRule="auto"/>
        <w:ind w:right="17" w:firstLine="482"/>
        <w:jc w:val="left"/>
        <w:outlineLvl w:val="1"/>
        <w:rPr>
          <w:rFonts w:ascii="宋体" w:hAnsi="宋体" w:cs="宋体"/>
          <w:b/>
          <w:color w:val="000000"/>
          <w:sz w:val="24"/>
        </w:rPr>
      </w:pPr>
      <w:bookmarkStart w:id="23" w:name="_Toc11045"/>
      <w:bookmarkStart w:id="24" w:name="_Toc23726"/>
      <w:r>
        <w:rPr>
          <w:rFonts w:hint="eastAsia" w:ascii="宋体" w:hAnsi="宋体" w:cs="宋体"/>
          <w:b/>
          <w:color w:val="000000"/>
          <w:sz w:val="24"/>
        </w:rPr>
        <w:t>说明：本章“用户需求书”的全部内容为本项目正常开展的基本要求，投标人必须完全响应，否则将导致投标无效。</w:t>
      </w:r>
    </w:p>
    <w:bookmarkEnd w:id="23"/>
    <w:bookmarkEnd w:id="24"/>
    <w:p>
      <w:pPr>
        <w:pStyle w:val="36"/>
        <w:tabs>
          <w:tab w:val="left" w:pos="720"/>
        </w:tabs>
        <w:autoSpaceDE w:val="0"/>
        <w:autoSpaceDN w:val="0"/>
        <w:adjustRightInd w:val="0"/>
        <w:spacing w:line="360" w:lineRule="auto"/>
        <w:ind w:right="17" w:firstLine="482"/>
        <w:jc w:val="left"/>
        <w:outlineLvl w:val="1"/>
        <w:rPr>
          <w:rFonts w:hint="eastAsia" w:ascii="宋体" w:hAnsi="宋体" w:cs="宋体"/>
          <w:b/>
          <w:color w:val="000000"/>
          <w:sz w:val="24"/>
        </w:rPr>
      </w:pPr>
      <w:bookmarkStart w:id="25" w:name="OLE_LINK1"/>
      <w:r>
        <w:rPr>
          <w:rFonts w:hint="eastAsia" w:ascii="宋体" w:hAnsi="宋体" w:cs="宋体"/>
          <w:b/>
          <w:color w:val="000000"/>
          <w:sz w:val="24"/>
        </w:rPr>
        <w:t>一、项目背景</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为了加快推进前海中国特色社会主义法治建设示范区的发展，保障招标人承担的开发建设、运营管理、产业发展、法治建设、社会建设促进等各方面工作依法合规顺利开展，维护招标人及其下属企业的合法权益，拟选择法律实务能力卓越，突破创新能力显著，符合招标人实际需求的律师事务所提供法律服务开展本项目。</w:t>
      </w:r>
    </w:p>
    <w:p>
      <w:pPr>
        <w:pStyle w:val="36"/>
        <w:tabs>
          <w:tab w:val="left" w:pos="720"/>
        </w:tabs>
        <w:autoSpaceDE w:val="0"/>
        <w:autoSpaceDN w:val="0"/>
        <w:adjustRightInd w:val="0"/>
        <w:spacing w:line="360" w:lineRule="auto"/>
        <w:ind w:right="17" w:firstLine="482"/>
        <w:jc w:val="left"/>
        <w:outlineLvl w:val="1"/>
        <w:rPr>
          <w:rFonts w:hint="eastAsia" w:ascii="宋体" w:hAnsi="宋体" w:cs="宋体"/>
          <w:b/>
          <w:color w:val="000000"/>
          <w:sz w:val="24"/>
        </w:rPr>
      </w:pPr>
      <w:r>
        <w:rPr>
          <w:rFonts w:hint="eastAsia" w:ascii="宋体" w:hAnsi="宋体" w:cs="宋体"/>
          <w:b/>
          <w:color w:val="000000"/>
          <w:sz w:val="24"/>
        </w:rPr>
        <w:t>二、服务内容</w:t>
      </w:r>
    </w:p>
    <w:p>
      <w:pPr>
        <w:pStyle w:val="36"/>
        <w:tabs>
          <w:tab w:val="left" w:pos="720"/>
        </w:tabs>
        <w:autoSpaceDE w:val="0"/>
        <w:autoSpaceDN w:val="0"/>
        <w:adjustRightInd w:val="0"/>
        <w:spacing w:line="360" w:lineRule="auto"/>
        <w:ind w:right="17" w:firstLine="480"/>
        <w:jc w:val="left"/>
        <w:outlineLvl w:val="1"/>
        <w:rPr>
          <w:rFonts w:hint="eastAsia" w:ascii="宋体" w:hAnsi="宋体" w:eastAsia="宋体" w:cs="宋体"/>
          <w:bCs/>
          <w:color w:val="000000"/>
          <w:sz w:val="24"/>
          <w:lang w:eastAsia="zh-CN"/>
        </w:rPr>
      </w:pPr>
      <w:r>
        <w:rPr>
          <w:rFonts w:hint="eastAsia" w:ascii="宋体" w:hAnsi="宋体" w:cs="宋体"/>
          <w:bCs/>
          <w:color w:val="000000"/>
          <w:sz w:val="24"/>
        </w:rPr>
        <w:t>（一）服务</w:t>
      </w:r>
      <w:r>
        <w:rPr>
          <w:rFonts w:hint="eastAsia" w:ascii="宋体" w:hAnsi="宋体" w:cs="宋体"/>
          <w:bCs/>
          <w:color w:val="000000"/>
          <w:sz w:val="24"/>
          <w:lang w:val="en-US" w:eastAsia="zh-CN"/>
        </w:rPr>
        <w:t>内容</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lang w:val="en-US" w:eastAsia="zh-CN"/>
        </w:rPr>
        <w:t>1、</w:t>
      </w:r>
      <w:r>
        <w:rPr>
          <w:rFonts w:hint="eastAsia" w:ascii="宋体" w:hAnsi="宋体" w:cs="宋体"/>
          <w:bCs/>
          <w:color w:val="000000"/>
          <w:sz w:val="24"/>
        </w:rPr>
        <w:t>常年法律顾问服务</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1.为采购人在经营、管理决策中正确执行国家法律、法规提供专业支持；</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2.必要时列席</w:t>
      </w:r>
      <w:r>
        <w:rPr>
          <w:rFonts w:hint="eastAsia" w:ascii="宋体" w:hAnsi="宋体" w:cs="宋体"/>
          <w:bCs/>
          <w:color w:val="000000"/>
          <w:sz w:val="24"/>
          <w:lang w:eastAsia="zh-CN"/>
        </w:rPr>
        <w:t>采购</w:t>
      </w:r>
      <w:r>
        <w:rPr>
          <w:rFonts w:ascii="宋体" w:hAnsi="宋体" w:cs="宋体"/>
          <w:bCs/>
          <w:color w:val="000000"/>
          <w:sz w:val="24"/>
        </w:rPr>
        <w:t>人</w:t>
      </w:r>
      <w:r>
        <w:rPr>
          <w:rFonts w:hint="eastAsia" w:ascii="宋体" w:hAnsi="宋体" w:cs="宋体"/>
          <w:bCs/>
          <w:color w:val="000000"/>
          <w:sz w:val="24"/>
        </w:rPr>
        <w:t>有关会议，参与有关重大项目或合同的谈判，并就有关议题提供法律咨询，发表或出具法律意见；</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3.对</w:t>
      </w:r>
      <w:r>
        <w:rPr>
          <w:rFonts w:hint="eastAsia" w:ascii="宋体" w:hAnsi="宋体" w:cs="宋体"/>
          <w:bCs/>
          <w:color w:val="000000"/>
          <w:sz w:val="24"/>
          <w:lang w:eastAsia="zh-CN"/>
        </w:rPr>
        <w:t>采购</w:t>
      </w:r>
      <w:r>
        <w:rPr>
          <w:rFonts w:ascii="宋体" w:hAnsi="宋体" w:cs="宋体"/>
          <w:bCs/>
          <w:color w:val="000000"/>
          <w:sz w:val="24"/>
        </w:rPr>
        <w:t>人</w:t>
      </w:r>
      <w:r>
        <w:rPr>
          <w:rFonts w:hint="eastAsia" w:ascii="宋体" w:hAnsi="宋体" w:cs="宋体"/>
          <w:bCs/>
          <w:color w:val="000000"/>
          <w:sz w:val="24"/>
        </w:rPr>
        <w:t>治理结构、管控模式提出法律意见及建议，协助</w:t>
      </w:r>
      <w:r>
        <w:rPr>
          <w:rFonts w:hint="eastAsia" w:ascii="宋体" w:hAnsi="宋体" w:cs="宋体"/>
          <w:bCs/>
          <w:color w:val="000000"/>
          <w:sz w:val="24"/>
          <w:lang w:eastAsia="zh-CN"/>
        </w:rPr>
        <w:t>采购</w:t>
      </w:r>
      <w:r>
        <w:rPr>
          <w:rFonts w:ascii="宋体" w:hAnsi="宋体" w:cs="宋体"/>
          <w:bCs/>
          <w:color w:val="000000"/>
          <w:sz w:val="24"/>
        </w:rPr>
        <w:t>人</w:t>
      </w:r>
      <w:r>
        <w:rPr>
          <w:rFonts w:hint="eastAsia" w:ascii="宋体" w:hAnsi="宋体" w:cs="宋体"/>
          <w:bCs/>
          <w:color w:val="000000"/>
          <w:sz w:val="24"/>
        </w:rPr>
        <w:t>在法定机构运作模式及相关领域进行研究与创新；</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4.协助开展</w:t>
      </w:r>
      <w:r>
        <w:rPr>
          <w:rFonts w:hint="eastAsia" w:ascii="宋体" w:hAnsi="宋体" w:cs="宋体"/>
          <w:bCs/>
          <w:color w:val="000000"/>
          <w:sz w:val="24"/>
          <w:lang w:eastAsia="zh-CN"/>
        </w:rPr>
        <w:t>采购</w:t>
      </w:r>
      <w:r>
        <w:rPr>
          <w:rFonts w:ascii="宋体" w:hAnsi="宋体" w:cs="宋体"/>
          <w:bCs/>
          <w:color w:val="000000"/>
          <w:sz w:val="24"/>
        </w:rPr>
        <w:t>人</w:t>
      </w:r>
      <w:r>
        <w:rPr>
          <w:rFonts w:hint="eastAsia" w:ascii="宋体" w:hAnsi="宋体" w:cs="宋体"/>
          <w:bCs/>
          <w:color w:val="000000"/>
          <w:sz w:val="24"/>
        </w:rPr>
        <w:t>合同管理体系建设工作，包括但不限于：拟定合同管理制度、制作合同示范文本、合同起草、合同审查、参与重大合同谈判、合同履行情况检查等；</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5.根据</w:t>
      </w:r>
      <w:r>
        <w:rPr>
          <w:rFonts w:hint="eastAsia" w:ascii="宋体" w:hAnsi="宋体" w:cs="宋体"/>
          <w:bCs/>
          <w:color w:val="000000"/>
          <w:sz w:val="24"/>
          <w:lang w:eastAsia="zh-CN"/>
        </w:rPr>
        <w:t>采购</w:t>
      </w:r>
      <w:r>
        <w:rPr>
          <w:rFonts w:ascii="宋体" w:hAnsi="宋体" w:cs="宋体"/>
          <w:bCs/>
          <w:color w:val="000000"/>
          <w:sz w:val="24"/>
        </w:rPr>
        <w:t>人</w:t>
      </w:r>
      <w:r>
        <w:rPr>
          <w:rFonts w:hint="eastAsia" w:ascii="宋体" w:hAnsi="宋体" w:cs="宋体"/>
          <w:bCs/>
          <w:color w:val="000000"/>
          <w:sz w:val="24"/>
        </w:rPr>
        <w:t>需要出具香港民商事法律领域有关事务的法律意见；</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6.起草或协助起草</w:t>
      </w:r>
      <w:r>
        <w:rPr>
          <w:rFonts w:hint="eastAsia" w:ascii="宋体" w:hAnsi="宋体" w:cs="宋体"/>
          <w:bCs/>
          <w:color w:val="000000"/>
          <w:sz w:val="24"/>
          <w:lang w:eastAsia="zh-CN"/>
        </w:rPr>
        <w:t>采购</w:t>
      </w:r>
      <w:r>
        <w:rPr>
          <w:rFonts w:ascii="宋体" w:hAnsi="宋体" w:cs="宋体"/>
          <w:bCs/>
          <w:color w:val="000000"/>
          <w:sz w:val="24"/>
        </w:rPr>
        <w:t>人</w:t>
      </w:r>
      <w:r>
        <w:rPr>
          <w:rFonts w:hint="eastAsia" w:ascii="宋体" w:hAnsi="宋体" w:cs="宋体"/>
          <w:bCs/>
          <w:color w:val="000000"/>
          <w:sz w:val="24"/>
        </w:rPr>
        <w:t>经营管理中需要的合同、章程、规章制度、会议文件、对外函件及可能产生法律后果的其它法律文件；</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7.参与</w:t>
      </w:r>
      <w:r>
        <w:rPr>
          <w:rFonts w:hint="eastAsia" w:ascii="宋体" w:hAnsi="宋体" w:cs="宋体"/>
          <w:bCs/>
          <w:color w:val="000000"/>
          <w:sz w:val="24"/>
          <w:lang w:eastAsia="zh-CN"/>
        </w:rPr>
        <w:t>采购</w:t>
      </w:r>
      <w:r>
        <w:rPr>
          <w:rFonts w:ascii="宋体" w:hAnsi="宋体" w:cs="宋体"/>
          <w:bCs/>
          <w:color w:val="000000"/>
          <w:sz w:val="24"/>
        </w:rPr>
        <w:t>人</w:t>
      </w:r>
      <w:r>
        <w:rPr>
          <w:rFonts w:hint="eastAsia" w:ascii="宋体" w:hAnsi="宋体" w:cs="宋体"/>
          <w:bCs/>
          <w:color w:val="000000"/>
          <w:sz w:val="24"/>
        </w:rPr>
        <w:t>重大项目</w:t>
      </w:r>
      <w:r>
        <w:rPr>
          <w:rFonts w:hint="eastAsia" w:ascii="宋体" w:hAnsi="宋体" w:cs="宋体"/>
          <w:bCs/>
          <w:color w:val="000000"/>
          <w:sz w:val="24"/>
          <w:lang w:eastAsia="zh-CN"/>
        </w:rPr>
        <w:t>采购</w:t>
      </w:r>
      <w:r>
        <w:rPr>
          <w:rFonts w:hint="eastAsia" w:ascii="宋体" w:hAnsi="宋体" w:cs="宋体"/>
          <w:bCs/>
          <w:color w:val="000000"/>
          <w:sz w:val="24"/>
        </w:rPr>
        <w:t>管理工作，审查、修改</w:t>
      </w:r>
      <w:r>
        <w:rPr>
          <w:rFonts w:hint="eastAsia" w:ascii="宋体" w:hAnsi="宋体" w:cs="宋体"/>
          <w:bCs/>
          <w:color w:val="000000"/>
          <w:sz w:val="24"/>
          <w:lang w:eastAsia="zh-CN"/>
        </w:rPr>
        <w:t>采购</w:t>
      </w:r>
      <w:r>
        <w:rPr>
          <w:rFonts w:hint="eastAsia" w:ascii="宋体" w:hAnsi="宋体" w:cs="宋体"/>
          <w:bCs/>
          <w:color w:val="000000"/>
          <w:sz w:val="24"/>
        </w:rPr>
        <w:t>文件，必要时参加</w:t>
      </w:r>
      <w:r>
        <w:rPr>
          <w:rFonts w:hint="eastAsia" w:ascii="宋体" w:hAnsi="宋体" w:cs="宋体"/>
          <w:bCs/>
          <w:color w:val="000000"/>
          <w:sz w:val="24"/>
          <w:lang w:eastAsia="zh-CN"/>
        </w:rPr>
        <w:t>采购</w:t>
      </w:r>
      <w:r>
        <w:rPr>
          <w:rFonts w:hint="eastAsia" w:ascii="宋体" w:hAnsi="宋体" w:cs="宋体"/>
          <w:bCs/>
          <w:color w:val="000000"/>
          <w:sz w:val="24"/>
        </w:rPr>
        <w:t>工作会议，确保</w:t>
      </w:r>
      <w:r>
        <w:rPr>
          <w:rFonts w:hint="eastAsia" w:ascii="宋体" w:hAnsi="宋体" w:cs="宋体"/>
          <w:bCs/>
          <w:color w:val="000000"/>
          <w:sz w:val="24"/>
          <w:lang w:eastAsia="zh-CN"/>
        </w:rPr>
        <w:t>采购</w:t>
      </w:r>
      <w:r>
        <w:rPr>
          <w:rFonts w:hint="eastAsia" w:ascii="宋体" w:hAnsi="宋体" w:cs="宋体"/>
          <w:bCs/>
          <w:color w:val="000000"/>
          <w:sz w:val="24"/>
        </w:rPr>
        <w:t>工作合法、合规；</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8.审查、修改政府采购文件，为</w:t>
      </w:r>
      <w:r>
        <w:rPr>
          <w:rFonts w:hint="eastAsia" w:ascii="宋体" w:hAnsi="宋体" w:cs="宋体"/>
          <w:bCs/>
          <w:color w:val="000000"/>
          <w:sz w:val="24"/>
          <w:lang w:eastAsia="zh-CN"/>
        </w:rPr>
        <w:t>采购</w:t>
      </w:r>
      <w:r>
        <w:rPr>
          <w:rFonts w:ascii="宋体" w:hAnsi="宋体" w:cs="宋体"/>
          <w:bCs/>
          <w:color w:val="000000"/>
          <w:sz w:val="24"/>
        </w:rPr>
        <w:t>人</w:t>
      </w:r>
      <w:r>
        <w:rPr>
          <w:rFonts w:hint="eastAsia" w:ascii="宋体" w:hAnsi="宋体" w:cs="宋体"/>
          <w:bCs/>
          <w:color w:val="000000"/>
          <w:sz w:val="24"/>
        </w:rPr>
        <w:t>政府采购活动中遇到的问题提出法律意见及建议；</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9.协助处理局属企业股权管理工作，包括但不限于对局属企业三会（即股东会、董事会、监事会）召开程序、议案内容等进行审查，根据安排协助局属企业召开三会等；</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10.负责收集、整理与</w:t>
      </w:r>
      <w:r>
        <w:rPr>
          <w:rFonts w:hint="eastAsia" w:ascii="宋体" w:hAnsi="宋体" w:cs="宋体"/>
          <w:bCs/>
          <w:color w:val="000000"/>
          <w:sz w:val="24"/>
          <w:lang w:eastAsia="zh-CN"/>
        </w:rPr>
        <w:t>采购</w:t>
      </w:r>
      <w:r>
        <w:rPr>
          <w:rFonts w:ascii="宋体" w:hAnsi="宋体" w:cs="宋体"/>
          <w:bCs/>
          <w:color w:val="000000"/>
          <w:sz w:val="24"/>
        </w:rPr>
        <w:t>人</w:t>
      </w:r>
      <w:r>
        <w:rPr>
          <w:rFonts w:hint="eastAsia" w:ascii="宋体" w:hAnsi="宋体" w:cs="宋体"/>
          <w:bCs/>
          <w:color w:val="000000"/>
          <w:sz w:val="24"/>
        </w:rPr>
        <w:t>运营管理有关的法律、法规、政策文件及相关资料，并提供评价、分析意见或建议；</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11.接受</w:t>
      </w:r>
      <w:r>
        <w:rPr>
          <w:rFonts w:hint="eastAsia" w:ascii="宋体" w:hAnsi="宋体" w:cs="宋体"/>
          <w:bCs/>
          <w:color w:val="000000"/>
          <w:sz w:val="24"/>
          <w:lang w:eastAsia="zh-CN"/>
        </w:rPr>
        <w:t>采购</w:t>
      </w:r>
      <w:r>
        <w:rPr>
          <w:rFonts w:ascii="宋体" w:hAnsi="宋体" w:cs="宋体"/>
          <w:bCs/>
          <w:color w:val="000000"/>
          <w:sz w:val="24"/>
        </w:rPr>
        <w:t>人</w:t>
      </w:r>
      <w:r>
        <w:rPr>
          <w:rFonts w:hint="eastAsia" w:ascii="宋体" w:hAnsi="宋体" w:cs="宋体"/>
          <w:bCs/>
          <w:color w:val="000000"/>
          <w:sz w:val="24"/>
        </w:rPr>
        <w:t>工作人员的业务咨询，解答工作人员工作过程中遇到的法律疑难问题；</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12.根据</w:t>
      </w:r>
      <w:r>
        <w:rPr>
          <w:rFonts w:hint="eastAsia" w:ascii="宋体" w:hAnsi="宋体" w:cs="宋体"/>
          <w:bCs/>
          <w:color w:val="000000"/>
          <w:sz w:val="24"/>
          <w:lang w:eastAsia="zh-CN"/>
        </w:rPr>
        <w:t>采购</w:t>
      </w:r>
      <w:r>
        <w:rPr>
          <w:rFonts w:ascii="宋体" w:hAnsi="宋体" w:cs="宋体"/>
          <w:bCs/>
          <w:color w:val="000000"/>
          <w:sz w:val="24"/>
        </w:rPr>
        <w:t>人</w:t>
      </w:r>
      <w:r>
        <w:rPr>
          <w:rFonts w:hint="eastAsia" w:ascii="宋体" w:hAnsi="宋体" w:cs="宋体"/>
          <w:bCs/>
          <w:color w:val="000000"/>
          <w:sz w:val="24"/>
        </w:rPr>
        <w:t>需要配合开展法治宣传和举办法律培训活动；</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13.负责或配合处理</w:t>
      </w:r>
      <w:r>
        <w:rPr>
          <w:rFonts w:hint="eastAsia" w:ascii="宋体" w:hAnsi="宋体" w:cs="宋体"/>
          <w:bCs/>
          <w:color w:val="000000"/>
          <w:sz w:val="24"/>
          <w:lang w:eastAsia="zh-CN"/>
        </w:rPr>
        <w:t>采购</w:t>
      </w:r>
      <w:r>
        <w:rPr>
          <w:rFonts w:hint="eastAsia" w:ascii="宋体" w:hAnsi="宋体" w:cs="宋体"/>
          <w:bCs/>
          <w:color w:val="000000"/>
          <w:sz w:val="24"/>
        </w:rPr>
        <w:t>人知识产权、商业秘密保护、公证、鉴证等有关法律事务工作；</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14.提供政府信息公开的法律咨询；</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15.</w:t>
      </w:r>
      <w:r>
        <w:rPr>
          <w:rFonts w:hint="eastAsia" w:ascii="宋体" w:hAnsi="宋体" w:cs="宋体"/>
          <w:bCs/>
          <w:color w:val="000000"/>
          <w:sz w:val="24"/>
          <w:lang w:eastAsia="zh-CN"/>
        </w:rPr>
        <w:t>采购</w:t>
      </w:r>
      <w:r>
        <w:rPr>
          <w:rFonts w:ascii="宋体" w:hAnsi="宋体" w:cs="宋体"/>
          <w:bCs/>
          <w:color w:val="000000"/>
          <w:sz w:val="24"/>
        </w:rPr>
        <w:t>人</w:t>
      </w:r>
      <w:r>
        <w:rPr>
          <w:rFonts w:hint="eastAsia" w:ascii="宋体" w:hAnsi="宋体" w:cs="宋体"/>
          <w:bCs/>
          <w:color w:val="000000"/>
          <w:sz w:val="24"/>
        </w:rPr>
        <w:t>交办的其他与本合同服务事项有密切关系的法律事务。</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16.行政复议、行政诉讼案件法律服务。</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中标人在服务期内应</w:t>
      </w:r>
      <w:r>
        <w:rPr>
          <w:rFonts w:hint="eastAsia" w:ascii="宋体" w:hAnsi="宋体" w:cs="宋体"/>
          <w:bCs/>
          <w:color w:val="000000"/>
          <w:sz w:val="24"/>
          <w:lang w:eastAsia="zh-CN"/>
        </w:rPr>
        <w:t>采购</w:t>
      </w:r>
      <w:r>
        <w:rPr>
          <w:rFonts w:hint="eastAsia" w:ascii="宋体" w:hAnsi="宋体" w:cs="宋体"/>
          <w:bCs/>
          <w:color w:val="000000"/>
          <w:sz w:val="24"/>
        </w:rPr>
        <w:t>人要求为</w:t>
      </w:r>
      <w:r>
        <w:rPr>
          <w:rFonts w:hint="eastAsia" w:ascii="宋体" w:hAnsi="宋体" w:cs="宋体"/>
          <w:bCs/>
          <w:color w:val="000000"/>
          <w:sz w:val="24"/>
          <w:lang w:eastAsia="zh-CN"/>
        </w:rPr>
        <w:t>采购</w:t>
      </w:r>
      <w:r>
        <w:rPr>
          <w:rFonts w:hint="eastAsia" w:ascii="宋体" w:hAnsi="宋体" w:cs="宋体"/>
          <w:bCs/>
          <w:color w:val="000000"/>
          <w:sz w:val="24"/>
        </w:rPr>
        <w:t>人提供不超过三宗行政复议或行政诉讼案件专项服务，该等服务不另行收取费用。</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17.中标人提供的法律服务如涉及</w:t>
      </w:r>
      <w:r>
        <w:rPr>
          <w:rFonts w:hint="eastAsia" w:ascii="宋体" w:hAnsi="宋体" w:cs="宋体"/>
          <w:bCs/>
          <w:color w:val="000000"/>
          <w:sz w:val="24"/>
          <w:lang w:eastAsia="zh-CN"/>
        </w:rPr>
        <w:t>采购</w:t>
      </w:r>
      <w:r>
        <w:rPr>
          <w:rFonts w:ascii="宋体" w:hAnsi="宋体" w:cs="宋体"/>
          <w:bCs/>
          <w:color w:val="000000"/>
          <w:sz w:val="24"/>
        </w:rPr>
        <w:t>人</w:t>
      </w:r>
      <w:r>
        <w:rPr>
          <w:rFonts w:hint="eastAsia" w:ascii="宋体" w:hAnsi="宋体" w:cs="宋体"/>
          <w:bCs/>
          <w:color w:val="000000"/>
          <w:sz w:val="24"/>
        </w:rPr>
        <w:t>或其下属公司的重大投融资事项、重大资产处置、股票发行与上市、立法项目、法治创新、金融创新、社会管理创新，需要律师全过程参与、提供全面法律意见，且工作量大、情况复杂、难度较大、投入时间精力多的，或为</w:t>
      </w:r>
      <w:r>
        <w:rPr>
          <w:rFonts w:hint="eastAsia" w:ascii="宋体" w:hAnsi="宋体" w:cs="宋体"/>
          <w:bCs/>
          <w:color w:val="000000"/>
          <w:sz w:val="24"/>
          <w:lang w:eastAsia="zh-CN"/>
        </w:rPr>
        <w:t>采购</w:t>
      </w:r>
      <w:r>
        <w:rPr>
          <w:rFonts w:ascii="宋体" w:hAnsi="宋体" w:cs="宋体"/>
          <w:bCs/>
          <w:color w:val="000000"/>
          <w:sz w:val="24"/>
        </w:rPr>
        <w:t>人</w:t>
      </w:r>
      <w:r>
        <w:rPr>
          <w:rFonts w:hint="eastAsia" w:ascii="宋体" w:hAnsi="宋体" w:cs="宋体"/>
          <w:bCs/>
          <w:color w:val="000000"/>
          <w:sz w:val="24"/>
        </w:rPr>
        <w:t>代理诉讼和仲裁案件，服务周期相对较长，责任较为重大的事项，经双方协商同意，可作为专项法律服务，不计入常年法律顾问的日常服务范围。</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（二）服务团队</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1.中标人应以全所的整体力量为依托，为</w:t>
      </w:r>
      <w:r>
        <w:rPr>
          <w:rFonts w:hint="eastAsia" w:ascii="宋体" w:hAnsi="宋体" w:cs="宋体"/>
          <w:bCs/>
          <w:color w:val="000000"/>
          <w:sz w:val="24"/>
          <w:lang w:val="en-US" w:eastAsia="zh-CN"/>
        </w:rPr>
        <w:t>采购</w:t>
      </w:r>
      <w:r>
        <w:rPr>
          <w:rFonts w:ascii="宋体" w:hAnsi="宋体" w:cs="宋体"/>
          <w:bCs/>
          <w:color w:val="000000"/>
          <w:sz w:val="24"/>
        </w:rPr>
        <w:t>人</w:t>
      </w:r>
      <w:r>
        <w:rPr>
          <w:rFonts w:hint="eastAsia" w:ascii="宋体" w:hAnsi="宋体" w:cs="宋体"/>
          <w:bCs/>
          <w:color w:val="000000"/>
          <w:sz w:val="24"/>
        </w:rPr>
        <w:t>提供高质量的法律服务。</w:t>
      </w:r>
    </w:p>
    <w:p>
      <w:pPr>
        <w:pStyle w:val="36"/>
        <w:tabs>
          <w:tab w:val="left" w:pos="720"/>
        </w:tabs>
        <w:autoSpaceDE w:val="0"/>
        <w:autoSpaceDN w:val="0"/>
        <w:adjustRightInd w:val="0"/>
        <w:spacing w:line="360" w:lineRule="auto"/>
        <w:ind w:right="17" w:firstLine="480"/>
        <w:jc w:val="left"/>
        <w:outlineLvl w:val="1"/>
        <w:rPr>
          <w:rFonts w:hint="eastAsia" w:ascii="宋体" w:hAnsi="宋体" w:eastAsia="宋体" w:cs="宋体"/>
          <w:bCs/>
          <w:color w:val="000000"/>
          <w:sz w:val="24"/>
          <w:lang w:eastAsia="zh-CN"/>
        </w:rPr>
      </w:pPr>
      <w:r>
        <w:rPr>
          <w:rFonts w:hint="eastAsia" w:ascii="宋体" w:hAnsi="宋体" w:cs="宋体"/>
          <w:bCs/>
          <w:color w:val="000000"/>
          <w:sz w:val="24"/>
        </w:rPr>
        <w:t>2.组成固定</w:t>
      </w:r>
      <w:r>
        <w:rPr>
          <w:rFonts w:hint="eastAsia" w:ascii="宋体" w:hAnsi="宋体" w:cs="宋体"/>
          <w:bCs/>
          <w:color w:val="000000"/>
          <w:sz w:val="24"/>
          <w:lang w:val="en-US" w:eastAsia="zh-CN"/>
        </w:rPr>
        <w:t>7人（含7人）以上</w:t>
      </w:r>
      <w:r>
        <w:rPr>
          <w:rFonts w:hint="default" w:ascii="宋体" w:hAnsi="宋体" w:cs="宋体"/>
          <w:bCs/>
          <w:color w:val="000000"/>
          <w:sz w:val="24"/>
          <w:lang w:val="en-US"/>
        </w:rPr>
        <w:t>工作</w:t>
      </w:r>
      <w:r>
        <w:rPr>
          <w:rFonts w:hint="eastAsia" w:ascii="宋体" w:hAnsi="宋体" w:cs="宋体"/>
          <w:bCs/>
          <w:color w:val="000000"/>
          <w:sz w:val="24"/>
        </w:rPr>
        <w:t>团队。</w:t>
      </w:r>
      <w:r>
        <w:rPr>
          <w:rFonts w:hint="eastAsia" w:ascii="宋体" w:hAnsi="宋体" w:cs="宋体"/>
          <w:bCs/>
          <w:color w:val="000000"/>
          <w:sz w:val="24"/>
          <w:lang w:val="en-US" w:eastAsia="zh-CN"/>
        </w:rPr>
        <w:t>其中</w:t>
      </w:r>
      <w:r>
        <w:rPr>
          <w:rFonts w:hint="eastAsia" w:ascii="宋体" w:hAnsi="宋体" w:cs="宋体"/>
          <w:bCs/>
          <w:color w:val="000000"/>
          <w:sz w:val="24"/>
        </w:rPr>
        <w:t>要求至少一位管理/执行合伙人</w:t>
      </w:r>
      <w:r>
        <w:rPr>
          <w:rFonts w:hint="eastAsia" w:ascii="宋体" w:hAnsi="宋体" w:cs="宋体"/>
          <w:bCs/>
          <w:color w:val="000000"/>
          <w:sz w:val="24"/>
          <w:lang w:eastAsia="zh-CN"/>
        </w:rPr>
        <w:t>（</w:t>
      </w:r>
      <w:r>
        <w:rPr>
          <w:rFonts w:hint="eastAsia" w:ascii="宋体" w:hAnsi="宋体" w:cs="宋体"/>
          <w:bCs/>
          <w:color w:val="000000"/>
          <w:sz w:val="24"/>
          <w:lang w:val="en-US" w:eastAsia="zh-CN"/>
        </w:rPr>
        <w:t>团队负责人</w:t>
      </w:r>
      <w:r>
        <w:rPr>
          <w:rFonts w:hint="eastAsia" w:ascii="宋体" w:hAnsi="宋体" w:cs="宋体"/>
          <w:bCs/>
          <w:color w:val="000000"/>
          <w:sz w:val="24"/>
          <w:lang w:eastAsia="zh-CN"/>
        </w:rPr>
        <w:t>）</w:t>
      </w:r>
      <w:r>
        <w:rPr>
          <w:rFonts w:hint="eastAsia" w:ascii="宋体" w:hAnsi="宋体" w:cs="宋体"/>
          <w:bCs/>
          <w:color w:val="000000"/>
          <w:sz w:val="24"/>
        </w:rPr>
        <w:t>、三位律师（</w:t>
      </w:r>
      <w:r>
        <w:rPr>
          <w:rFonts w:hint="eastAsia" w:ascii="宋体" w:hAnsi="宋体" w:cs="宋体"/>
          <w:bCs/>
          <w:color w:val="000000"/>
          <w:sz w:val="24"/>
          <w:lang w:val="en-US" w:eastAsia="zh-CN"/>
        </w:rPr>
        <w:t>以上不含派驻人员及项目负责人，为本项目核心团队人员</w:t>
      </w:r>
      <w:r>
        <w:rPr>
          <w:rFonts w:hint="eastAsia" w:ascii="宋体" w:hAnsi="宋体" w:cs="宋体"/>
          <w:bCs/>
          <w:color w:val="000000"/>
          <w:sz w:val="24"/>
        </w:rPr>
        <w:t>）及三位派驻人员组成相对固定的工作团队。</w:t>
      </w:r>
      <w:r>
        <w:rPr>
          <w:rFonts w:hint="eastAsia" w:ascii="宋体" w:hAnsi="宋体" w:cs="宋体"/>
          <w:bCs/>
          <w:color w:val="000000"/>
          <w:sz w:val="24"/>
          <w:lang w:eastAsia="zh-CN"/>
        </w:rPr>
        <w:t>（</w:t>
      </w:r>
      <w:r>
        <w:rPr>
          <w:rFonts w:hint="eastAsia" w:ascii="宋体" w:hAnsi="宋体" w:cs="宋体"/>
          <w:bCs/>
          <w:color w:val="000000"/>
          <w:sz w:val="24"/>
          <w:lang w:val="en-US" w:eastAsia="zh-CN"/>
        </w:rPr>
        <w:t>人员不可重复，需提供以上团队人员列表，格式自拟</w:t>
      </w:r>
      <w:r>
        <w:rPr>
          <w:rFonts w:hint="eastAsia" w:ascii="宋体" w:hAnsi="宋体" w:cs="宋体"/>
          <w:bCs/>
          <w:color w:val="000000"/>
          <w:sz w:val="24"/>
          <w:lang w:eastAsia="zh-CN"/>
        </w:rPr>
        <w:t>）</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3.中标人</w:t>
      </w:r>
      <w:r>
        <w:rPr>
          <w:rFonts w:hint="eastAsia" w:ascii="宋体" w:hAnsi="宋体" w:cs="宋体"/>
          <w:bCs/>
          <w:color w:val="000000"/>
          <w:sz w:val="24"/>
          <w:lang w:val="en-US" w:eastAsia="zh-CN"/>
        </w:rPr>
        <w:t>安排的</w:t>
      </w:r>
      <w:r>
        <w:rPr>
          <w:rFonts w:hint="eastAsia" w:ascii="宋体" w:hAnsi="宋体" w:cs="宋体"/>
          <w:bCs/>
          <w:color w:val="000000"/>
          <w:sz w:val="24"/>
        </w:rPr>
        <w:t>三位派驻人员</w:t>
      </w:r>
      <w:r>
        <w:rPr>
          <w:rFonts w:hint="eastAsia" w:ascii="宋体" w:hAnsi="宋体" w:cs="宋体"/>
          <w:bCs/>
          <w:color w:val="000000"/>
          <w:sz w:val="24"/>
          <w:lang w:val="en-US" w:eastAsia="zh-CN"/>
        </w:rPr>
        <w:t>中，</w:t>
      </w:r>
      <w:r>
        <w:rPr>
          <w:rFonts w:hint="eastAsia" w:ascii="宋体" w:hAnsi="宋体" w:cs="宋体"/>
          <w:bCs/>
          <w:color w:val="000000"/>
          <w:sz w:val="24"/>
        </w:rPr>
        <w:t>至少</w:t>
      </w:r>
      <w:r>
        <w:rPr>
          <w:rFonts w:hint="eastAsia" w:ascii="宋体" w:hAnsi="宋体" w:cs="宋体"/>
          <w:bCs/>
          <w:color w:val="000000"/>
          <w:sz w:val="24"/>
          <w:lang w:eastAsia="zh-CN"/>
        </w:rPr>
        <w:t>满足</w:t>
      </w:r>
      <w:r>
        <w:rPr>
          <w:rFonts w:hint="eastAsia" w:ascii="宋体" w:hAnsi="宋体" w:cs="宋体"/>
          <w:bCs/>
          <w:color w:val="000000"/>
          <w:sz w:val="24"/>
          <w:lang w:val="en-US" w:eastAsia="zh-CN"/>
        </w:rPr>
        <w:t>有</w:t>
      </w:r>
      <w:r>
        <w:rPr>
          <w:rFonts w:hint="eastAsia" w:ascii="宋体" w:hAnsi="宋体" w:cs="宋体"/>
          <w:bCs/>
          <w:color w:val="000000"/>
          <w:sz w:val="24"/>
        </w:rPr>
        <w:t>1名</w:t>
      </w:r>
      <w:r>
        <w:rPr>
          <w:rFonts w:hint="eastAsia" w:ascii="宋体" w:hAnsi="宋体" w:cs="宋体"/>
          <w:bCs/>
          <w:color w:val="000000"/>
          <w:sz w:val="24"/>
          <w:lang w:val="en-US" w:eastAsia="zh-CN"/>
        </w:rPr>
        <w:t>为</w:t>
      </w:r>
      <w:r>
        <w:rPr>
          <w:rFonts w:hint="eastAsia" w:ascii="宋体" w:hAnsi="宋体" w:cs="宋体"/>
          <w:bCs/>
          <w:color w:val="000000"/>
          <w:sz w:val="24"/>
        </w:rPr>
        <w:t>执业律师</w:t>
      </w:r>
      <w:r>
        <w:rPr>
          <w:rFonts w:hint="eastAsia" w:ascii="宋体" w:hAnsi="宋体" w:cs="宋体"/>
          <w:bCs/>
          <w:color w:val="000000"/>
          <w:sz w:val="24"/>
          <w:lang w:eastAsia="zh-CN"/>
        </w:rPr>
        <w:t>、另外</w:t>
      </w:r>
      <w:r>
        <w:rPr>
          <w:rFonts w:hint="eastAsia" w:ascii="宋体" w:hAnsi="宋体" w:cs="宋体"/>
          <w:bCs/>
          <w:color w:val="000000"/>
          <w:sz w:val="24"/>
          <w:lang w:val="en-US" w:eastAsia="zh-CN"/>
        </w:rPr>
        <w:t>2</w:t>
      </w:r>
      <w:r>
        <w:rPr>
          <w:rFonts w:hint="eastAsia" w:ascii="宋体" w:hAnsi="宋体" w:cs="宋体"/>
          <w:bCs/>
          <w:color w:val="000000"/>
          <w:sz w:val="24"/>
          <w:lang w:eastAsia="zh-CN"/>
        </w:rPr>
        <w:t>名持有法律职业资格证</w:t>
      </w:r>
      <w:r>
        <w:rPr>
          <w:rFonts w:hint="eastAsia" w:ascii="宋体" w:hAnsi="宋体" w:cs="宋体"/>
          <w:b/>
          <w:bCs w:val="0"/>
          <w:color w:val="000000"/>
          <w:sz w:val="24"/>
        </w:rPr>
        <w:t>（需要提供有效的证书复印件或扫描件加盖单位公章）</w:t>
      </w:r>
      <w:r>
        <w:rPr>
          <w:rFonts w:hint="eastAsia" w:ascii="宋体" w:hAnsi="宋体" w:cs="宋体"/>
          <w:bCs/>
          <w:color w:val="000000"/>
          <w:sz w:val="24"/>
        </w:rPr>
        <w:t>。具体派驻人员应经</w:t>
      </w:r>
      <w:r>
        <w:rPr>
          <w:rFonts w:hint="eastAsia" w:ascii="宋体" w:hAnsi="宋体" w:cs="宋体"/>
          <w:bCs/>
          <w:color w:val="000000"/>
          <w:sz w:val="24"/>
          <w:lang w:eastAsia="zh-CN"/>
        </w:rPr>
        <w:t>采购</w:t>
      </w:r>
      <w:r>
        <w:rPr>
          <w:rFonts w:hint="eastAsia" w:ascii="宋体" w:hAnsi="宋体" w:cs="宋体"/>
          <w:bCs/>
          <w:color w:val="000000"/>
          <w:sz w:val="24"/>
        </w:rPr>
        <w:t>人审核通过后确定。中标人派驻人员一经确定在服务期内不得随意更换。如中标人因合理原因需临时变更派驻人员，应事先征得</w:t>
      </w:r>
      <w:r>
        <w:rPr>
          <w:rFonts w:hint="eastAsia" w:ascii="宋体" w:hAnsi="宋体" w:cs="宋体"/>
          <w:bCs/>
          <w:color w:val="000000"/>
          <w:sz w:val="24"/>
          <w:lang w:eastAsia="zh-CN"/>
        </w:rPr>
        <w:t>采购</w:t>
      </w:r>
      <w:r>
        <w:rPr>
          <w:rFonts w:ascii="宋体" w:hAnsi="宋体" w:cs="宋体"/>
          <w:bCs/>
          <w:color w:val="000000"/>
          <w:sz w:val="24"/>
        </w:rPr>
        <w:t>人</w:t>
      </w:r>
      <w:r>
        <w:rPr>
          <w:rFonts w:hint="eastAsia" w:ascii="宋体" w:hAnsi="宋体" w:cs="宋体"/>
          <w:bCs/>
          <w:color w:val="000000"/>
          <w:sz w:val="24"/>
        </w:rPr>
        <w:t>书面同意，且接替的人员应至少与原派驻人员具有同等资历与资格。</w:t>
      </w:r>
    </w:p>
    <w:p>
      <w:pPr>
        <w:pStyle w:val="36"/>
        <w:tabs>
          <w:tab w:val="left" w:pos="720"/>
        </w:tabs>
        <w:autoSpaceDE w:val="0"/>
        <w:autoSpaceDN w:val="0"/>
        <w:adjustRightInd w:val="0"/>
        <w:spacing w:line="360" w:lineRule="auto"/>
        <w:ind w:right="17" w:firstLine="480"/>
        <w:jc w:val="left"/>
        <w:outlineLvl w:val="1"/>
        <w:rPr>
          <w:rFonts w:ascii="宋体" w:hAnsi="宋体" w:cs="宋体"/>
          <w:bCs/>
          <w:color w:val="000000"/>
          <w:sz w:val="24"/>
        </w:rPr>
      </w:pPr>
      <w:r>
        <w:rPr>
          <w:rFonts w:hint="eastAsia" w:ascii="宋体" w:hAnsi="宋体" w:cs="宋体"/>
          <w:bCs/>
          <w:color w:val="000000"/>
          <w:sz w:val="24"/>
        </w:rPr>
        <w:t>4.中标人承诺律师事务所和配备的律师工作团队成员近五年来（</w:t>
      </w:r>
      <w:r>
        <w:rPr>
          <w:rFonts w:hint="eastAsia" w:ascii="宋体" w:hAnsi="宋体" w:cs="宋体"/>
          <w:bCs/>
          <w:color w:val="000000"/>
          <w:sz w:val="24"/>
          <w:lang w:eastAsia="zh-CN"/>
        </w:rPr>
        <w:t>2020年1月1日</w:t>
      </w:r>
      <w:r>
        <w:rPr>
          <w:rFonts w:hint="eastAsia" w:ascii="宋体" w:hAnsi="宋体" w:cs="宋体"/>
          <w:bCs/>
          <w:color w:val="000000"/>
          <w:sz w:val="24"/>
        </w:rPr>
        <w:t>至投标截止日）未受过相关部门处罚并不存在不良执业记录。</w:t>
      </w:r>
      <w:r>
        <w:rPr>
          <w:rFonts w:hint="eastAsia" w:ascii="宋体" w:hAnsi="宋体" w:cs="宋体"/>
          <w:b/>
          <w:bCs w:val="0"/>
          <w:color w:val="000000"/>
          <w:sz w:val="24"/>
        </w:rPr>
        <w:t>并提供加盖投标人单位公章的承诺函，承诺函格式自拟。</w:t>
      </w:r>
    </w:p>
    <w:p>
      <w:pPr>
        <w:pStyle w:val="36"/>
        <w:tabs>
          <w:tab w:val="left" w:pos="720"/>
        </w:tabs>
        <w:autoSpaceDE w:val="0"/>
        <w:autoSpaceDN w:val="0"/>
        <w:adjustRightInd w:val="0"/>
        <w:spacing w:line="360" w:lineRule="auto"/>
        <w:ind w:right="17" w:firstLine="482"/>
        <w:jc w:val="left"/>
        <w:outlineLvl w:val="1"/>
        <w:rPr>
          <w:rFonts w:hint="default" w:ascii="宋体" w:hAnsi="宋体" w:eastAsia="宋体" w:cs="宋体"/>
          <w:b w:val="0"/>
          <w:bCs/>
          <w:color w:val="000000"/>
          <w:sz w:val="24"/>
          <w:lang w:val="en-US" w:eastAsia="zh-CN"/>
        </w:rPr>
      </w:pPr>
      <w:r>
        <w:rPr>
          <w:rFonts w:hint="eastAsia" w:ascii="宋体" w:hAnsi="宋体" w:cs="宋体"/>
          <w:b w:val="0"/>
          <w:bCs/>
          <w:color w:val="000000"/>
          <w:sz w:val="24"/>
        </w:rPr>
        <w:t>（三）</w:t>
      </w:r>
      <w:r>
        <w:rPr>
          <w:rFonts w:hint="eastAsia" w:ascii="宋体" w:hAnsi="宋体" w:cs="宋体"/>
          <w:b w:val="0"/>
          <w:bCs/>
          <w:color w:val="000000"/>
          <w:sz w:val="24"/>
          <w:lang w:val="en-US" w:eastAsia="zh-CN"/>
        </w:rPr>
        <w:t>工作方式</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1.中标人</w:t>
      </w:r>
      <w:r>
        <w:rPr>
          <w:rFonts w:hint="eastAsia" w:ascii="宋体" w:hAnsi="宋体" w:cs="宋体"/>
          <w:color w:val="000000"/>
          <w:sz w:val="24"/>
        </w:rPr>
        <w:t>服务团队在</w:t>
      </w:r>
      <w:r>
        <w:rPr>
          <w:rFonts w:hint="eastAsia" w:ascii="宋体" w:hAnsi="宋体" w:cs="宋体"/>
          <w:color w:val="000000"/>
          <w:sz w:val="24"/>
          <w:lang w:val="en-US" w:eastAsia="zh-CN"/>
        </w:rPr>
        <w:t>采购人</w:t>
      </w:r>
      <w:r>
        <w:rPr>
          <w:rFonts w:hint="eastAsia" w:ascii="宋体" w:hAnsi="宋体" w:cs="宋体"/>
          <w:color w:val="000000"/>
          <w:sz w:val="24"/>
        </w:rPr>
        <w:t>的组织、指导下开展工作；</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中标人</w:t>
      </w:r>
      <w:r>
        <w:rPr>
          <w:rFonts w:hint="eastAsia" w:ascii="宋体" w:hAnsi="宋体" w:cs="宋体"/>
          <w:color w:val="000000"/>
          <w:sz w:val="24"/>
        </w:rPr>
        <w:t>应当</w:t>
      </w:r>
      <w:r>
        <w:rPr>
          <w:rFonts w:hint="eastAsia" w:ascii="宋体" w:hAnsi="宋体" w:cs="宋体"/>
          <w:color w:val="000000"/>
          <w:sz w:val="24"/>
          <w:lang w:val="en-US" w:eastAsia="zh-CN"/>
        </w:rPr>
        <w:t>安排</w:t>
      </w:r>
      <w:r>
        <w:rPr>
          <w:rFonts w:hint="eastAsia" w:ascii="宋体" w:hAnsi="宋体" w:cs="宋体"/>
          <w:bCs/>
          <w:color w:val="000000"/>
          <w:sz w:val="24"/>
        </w:rPr>
        <w:t>三</w:t>
      </w:r>
      <w:r>
        <w:rPr>
          <w:rFonts w:hint="eastAsia" w:ascii="宋体" w:hAnsi="宋体" w:cs="宋体"/>
          <w:bCs/>
          <w:color w:val="000000"/>
          <w:sz w:val="24"/>
          <w:lang w:val="en-US" w:eastAsia="zh-CN"/>
        </w:rPr>
        <w:t>名派驻人员</w:t>
      </w:r>
      <w:r>
        <w:rPr>
          <w:rFonts w:hint="eastAsia" w:ascii="宋体" w:hAnsi="宋体" w:eastAsia="宋体" w:cs="宋体"/>
          <w:bCs w:val="0"/>
          <w:color w:val="000000"/>
          <w:sz w:val="24"/>
          <w:lang w:val="en-US" w:eastAsia="zh-CN"/>
        </w:rPr>
        <w:t>（</w:t>
      </w:r>
      <w:r>
        <w:rPr>
          <w:rFonts w:hint="eastAsia" w:ascii="宋体" w:hAnsi="宋体" w:eastAsia="宋体" w:cs="宋体"/>
          <w:bCs w:val="0"/>
          <w:color w:val="000000"/>
          <w:sz w:val="24"/>
        </w:rPr>
        <w:t>至少</w:t>
      </w:r>
      <w:r>
        <w:rPr>
          <w:rFonts w:hint="eastAsia" w:ascii="宋体" w:hAnsi="宋体" w:eastAsia="宋体" w:cs="宋体"/>
          <w:bCs w:val="0"/>
          <w:color w:val="000000"/>
          <w:sz w:val="24"/>
          <w:lang w:eastAsia="zh-CN"/>
        </w:rPr>
        <w:t>满足</w:t>
      </w:r>
      <w:r>
        <w:rPr>
          <w:rFonts w:hint="eastAsia" w:ascii="宋体" w:hAnsi="宋体" w:eastAsia="宋体" w:cs="宋体"/>
          <w:bCs w:val="0"/>
          <w:color w:val="000000"/>
          <w:sz w:val="24"/>
          <w:lang w:val="en-US" w:eastAsia="zh-CN"/>
        </w:rPr>
        <w:t>一</w:t>
      </w:r>
      <w:r>
        <w:rPr>
          <w:rFonts w:hint="eastAsia" w:ascii="宋体" w:hAnsi="宋体" w:eastAsia="宋体" w:cs="宋体"/>
          <w:bCs w:val="0"/>
          <w:color w:val="000000"/>
          <w:sz w:val="24"/>
        </w:rPr>
        <w:t>名</w:t>
      </w:r>
      <w:r>
        <w:rPr>
          <w:rFonts w:hint="eastAsia" w:ascii="宋体" w:hAnsi="宋体" w:eastAsia="宋体" w:cs="宋体"/>
          <w:bCs w:val="0"/>
          <w:color w:val="000000"/>
          <w:sz w:val="24"/>
          <w:lang w:val="en-US" w:eastAsia="zh-CN"/>
        </w:rPr>
        <w:t>为</w:t>
      </w:r>
      <w:r>
        <w:rPr>
          <w:rFonts w:hint="eastAsia" w:ascii="宋体" w:hAnsi="宋体" w:eastAsia="宋体" w:cs="宋体"/>
          <w:bCs w:val="0"/>
          <w:color w:val="000000"/>
          <w:sz w:val="24"/>
        </w:rPr>
        <w:t>执业律师</w:t>
      </w:r>
      <w:r>
        <w:rPr>
          <w:rFonts w:hint="eastAsia" w:ascii="宋体" w:hAnsi="宋体" w:eastAsia="宋体" w:cs="宋体"/>
          <w:bCs w:val="0"/>
          <w:color w:val="000000"/>
          <w:sz w:val="24"/>
          <w:lang w:eastAsia="zh-CN"/>
        </w:rPr>
        <w:t>，另外两名持有法律职业资格证）</w:t>
      </w:r>
      <w:r>
        <w:rPr>
          <w:rFonts w:hint="eastAsia" w:ascii="宋体" w:hAnsi="宋体" w:cs="宋体"/>
          <w:color w:val="000000"/>
          <w:sz w:val="24"/>
        </w:rPr>
        <w:t>常驻</w:t>
      </w:r>
      <w:r>
        <w:rPr>
          <w:rFonts w:hint="eastAsia" w:ascii="宋体" w:hAnsi="宋体" w:cs="宋体"/>
          <w:color w:val="000000"/>
          <w:sz w:val="24"/>
          <w:lang w:eastAsia="zh-CN"/>
        </w:rPr>
        <w:t>采购人</w:t>
      </w:r>
      <w:r>
        <w:rPr>
          <w:rFonts w:hint="eastAsia" w:ascii="宋体" w:hAnsi="宋体" w:cs="宋体"/>
          <w:color w:val="000000"/>
          <w:sz w:val="24"/>
        </w:rPr>
        <w:t>办公地点提供现场法律服务。具体派驻人员应经</w:t>
      </w:r>
      <w:r>
        <w:rPr>
          <w:rFonts w:hint="eastAsia" w:ascii="宋体" w:hAnsi="宋体" w:cs="宋体"/>
          <w:color w:val="000000"/>
          <w:sz w:val="24"/>
          <w:lang w:eastAsia="zh-CN"/>
        </w:rPr>
        <w:t>采购人</w:t>
      </w:r>
      <w:r>
        <w:rPr>
          <w:rFonts w:hint="eastAsia" w:ascii="宋体" w:hAnsi="宋体" w:cs="宋体"/>
          <w:color w:val="000000"/>
          <w:sz w:val="24"/>
        </w:rPr>
        <w:t>审核通过后确定。</w:t>
      </w:r>
      <w:r>
        <w:rPr>
          <w:rFonts w:hint="eastAsia" w:ascii="宋体" w:hAnsi="宋体" w:cs="宋体"/>
          <w:color w:val="000000"/>
          <w:sz w:val="24"/>
          <w:lang w:val="en-US" w:eastAsia="zh-CN"/>
        </w:rPr>
        <w:t>中标人</w:t>
      </w:r>
      <w:r>
        <w:rPr>
          <w:rFonts w:hint="eastAsia" w:ascii="宋体" w:hAnsi="宋体" w:cs="宋体"/>
          <w:bCs/>
          <w:color w:val="000000"/>
          <w:sz w:val="24"/>
        </w:rPr>
        <w:t>派驻人员一经确定在服务期内不得随意更换。如</w:t>
      </w:r>
      <w:r>
        <w:rPr>
          <w:rFonts w:hint="eastAsia" w:ascii="宋体" w:hAnsi="宋体" w:cs="宋体"/>
          <w:bCs/>
          <w:color w:val="000000"/>
          <w:sz w:val="24"/>
          <w:lang w:eastAsia="zh-CN"/>
        </w:rPr>
        <w:t>中标人</w:t>
      </w:r>
      <w:r>
        <w:rPr>
          <w:rFonts w:hint="eastAsia" w:ascii="宋体" w:hAnsi="宋体" w:cs="宋体"/>
          <w:bCs/>
          <w:color w:val="000000"/>
          <w:sz w:val="24"/>
        </w:rPr>
        <w:t>因合理原因需临时变更派驻人员，应事先征得</w:t>
      </w:r>
      <w:r>
        <w:rPr>
          <w:rFonts w:hint="eastAsia" w:ascii="宋体" w:hAnsi="宋体" w:cs="宋体"/>
          <w:bCs/>
          <w:color w:val="000000"/>
          <w:sz w:val="24"/>
          <w:lang w:eastAsia="zh-CN"/>
        </w:rPr>
        <w:t>采购人</w:t>
      </w:r>
      <w:r>
        <w:rPr>
          <w:rFonts w:hint="eastAsia" w:ascii="宋体" w:hAnsi="宋体" w:cs="宋体"/>
          <w:bCs/>
          <w:color w:val="000000"/>
          <w:sz w:val="24"/>
        </w:rPr>
        <w:t>书面同意，且接替的人员应至少与原派驻人员具有同等资历与资格。</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r>
        <w:rPr>
          <w:rFonts w:hint="eastAsia" w:ascii="宋体" w:hAnsi="宋体" w:cs="宋体"/>
          <w:color w:val="000000"/>
          <w:sz w:val="24"/>
          <w:lang w:eastAsia="zh-CN"/>
        </w:rPr>
        <w:t>.</w:t>
      </w:r>
      <w:r>
        <w:rPr>
          <w:rFonts w:hint="eastAsia" w:ascii="宋体" w:hAnsi="宋体" w:cs="宋体"/>
          <w:color w:val="000000"/>
          <w:sz w:val="24"/>
        </w:rPr>
        <w:t>本合同所列的</w:t>
      </w:r>
      <w:r>
        <w:rPr>
          <w:rFonts w:hint="eastAsia" w:ascii="宋体" w:hAnsi="宋体" w:cs="宋体"/>
          <w:color w:val="000000"/>
          <w:sz w:val="24"/>
          <w:lang w:eastAsia="zh-CN"/>
        </w:rPr>
        <w:t>中标人</w:t>
      </w:r>
      <w:r>
        <w:rPr>
          <w:rFonts w:hint="eastAsia" w:ascii="宋体" w:hAnsi="宋体" w:cs="宋体"/>
          <w:color w:val="000000"/>
          <w:sz w:val="24"/>
        </w:rPr>
        <w:t>各项常年法律顾问服务内容，</w:t>
      </w:r>
      <w:r>
        <w:rPr>
          <w:rFonts w:hint="eastAsia" w:ascii="宋体" w:hAnsi="宋体" w:cs="宋体"/>
          <w:color w:val="000000"/>
          <w:sz w:val="24"/>
          <w:lang w:eastAsia="zh-CN"/>
        </w:rPr>
        <w:t>采购人</w:t>
      </w:r>
      <w:r>
        <w:rPr>
          <w:rFonts w:hint="eastAsia" w:ascii="宋体" w:hAnsi="宋体" w:cs="宋体"/>
          <w:color w:val="000000"/>
          <w:sz w:val="24"/>
        </w:rPr>
        <w:t>可在工作时间内随时与</w:t>
      </w:r>
      <w:r>
        <w:rPr>
          <w:rFonts w:hint="eastAsia" w:ascii="宋体" w:hAnsi="宋体" w:cs="宋体"/>
          <w:color w:val="000000"/>
          <w:sz w:val="24"/>
          <w:lang w:eastAsia="zh-CN"/>
        </w:rPr>
        <w:t>中标人</w:t>
      </w:r>
      <w:r>
        <w:rPr>
          <w:rFonts w:hint="eastAsia" w:ascii="宋体" w:hAnsi="宋体" w:cs="宋体"/>
          <w:color w:val="000000"/>
          <w:sz w:val="24"/>
        </w:rPr>
        <w:t>服务团队的顾问律师及律师助理联系并交办服务事项；</w:t>
      </w:r>
      <w:r>
        <w:rPr>
          <w:rFonts w:hint="eastAsia" w:ascii="宋体" w:hAnsi="宋体" w:cs="宋体"/>
          <w:color w:val="000000"/>
          <w:sz w:val="24"/>
          <w:lang w:eastAsia="zh-CN"/>
        </w:rPr>
        <w:t>中标人</w:t>
      </w:r>
      <w:r>
        <w:rPr>
          <w:rFonts w:hint="eastAsia" w:ascii="宋体" w:hAnsi="宋体" w:cs="宋体"/>
          <w:color w:val="000000"/>
          <w:sz w:val="24"/>
        </w:rPr>
        <w:t>通过现场服务、电话、传真、信函、电子邮件、专人递交等方式为</w:t>
      </w:r>
      <w:r>
        <w:rPr>
          <w:rFonts w:hint="eastAsia" w:ascii="宋体" w:hAnsi="宋体" w:cs="宋体"/>
          <w:color w:val="000000"/>
          <w:sz w:val="24"/>
          <w:lang w:eastAsia="zh-CN"/>
        </w:rPr>
        <w:t>采购人</w:t>
      </w:r>
      <w:r>
        <w:rPr>
          <w:rFonts w:hint="eastAsia" w:ascii="宋体" w:hAnsi="宋体" w:cs="宋体"/>
          <w:color w:val="000000"/>
          <w:sz w:val="24"/>
        </w:rPr>
        <w:t>提供服务。</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w:t>
      </w:r>
      <w:r>
        <w:rPr>
          <w:rFonts w:hint="eastAsia" w:ascii="宋体" w:hAnsi="宋体" w:cs="宋体"/>
          <w:color w:val="000000"/>
          <w:sz w:val="24"/>
          <w:lang w:val="en-US" w:eastAsia="zh-CN"/>
        </w:rPr>
        <w:t>.</w:t>
      </w:r>
      <w:r>
        <w:rPr>
          <w:rFonts w:hint="eastAsia" w:ascii="宋体" w:hAnsi="宋体" w:cs="宋体"/>
          <w:color w:val="000000"/>
          <w:sz w:val="24"/>
          <w:lang w:eastAsia="zh-CN"/>
        </w:rPr>
        <w:t>中标人</w:t>
      </w:r>
      <w:r>
        <w:rPr>
          <w:rFonts w:hint="eastAsia" w:ascii="宋体" w:hAnsi="宋体" w:cs="宋体"/>
          <w:color w:val="000000"/>
          <w:sz w:val="24"/>
        </w:rPr>
        <w:t>应当认真履行法律服务职责，遇重大或突发法律事件，</w:t>
      </w:r>
      <w:r>
        <w:rPr>
          <w:rFonts w:hint="eastAsia" w:ascii="宋体" w:hAnsi="宋体" w:cs="宋体"/>
          <w:color w:val="000000"/>
          <w:sz w:val="24"/>
          <w:lang w:eastAsia="zh-CN"/>
        </w:rPr>
        <w:t>中标人</w:t>
      </w:r>
      <w:r>
        <w:rPr>
          <w:rFonts w:hint="eastAsia" w:ascii="宋体" w:hAnsi="宋体" w:cs="宋体"/>
          <w:color w:val="000000"/>
          <w:sz w:val="24"/>
        </w:rPr>
        <w:t>应保证有顾问团队负责人或团队核心人员及时到场。</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w:t>
      </w:r>
      <w:r>
        <w:rPr>
          <w:rFonts w:hint="eastAsia" w:ascii="宋体" w:hAnsi="宋体" w:cs="宋体"/>
          <w:color w:val="000000"/>
          <w:sz w:val="24"/>
          <w:lang w:eastAsia="zh-CN"/>
        </w:rPr>
        <w:t>采购人</w:t>
      </w:r>
      <w:r>
        <w:rPr>
          <w:rFonts w:hint="eastAsia" w:ascii="宋体" w:hAnsi="宋体" w:cs="宋体"/>
          <w:color w:val="000000"/>
          <w:sz w:val="24"/>
        </w:rPr>
        <w:t>应当指定专人和</w:t>
      </w:r>
      <w:r>
        <w:rPr>
          <w:rFonts w:hint="eastAsia" w:ascii="宋体" w:hAnsi="宋体" w:cs="宋体"/>
          <w:color w:val="000000"/>
          <w:sz w:val="24"/>
          <w:lang w:eastAsia="zh-CN"/>
        </w:rPr>
        <w:t>中标人</w:t>
      </w:r>
      <w:r>
        <w:rPr>
          <w:rFonts w:hint="eastAsia" w:ascii="宋体" w:hAnsi="宋体" w:cs="宋体"/>
          <w:color w:val="000000"/>
          <w:sz w:val="24"/>
        </w:rPr>
        <w:t>联系和沟通，</w:t>
      </w:r>
      <w:r>
        <w:rPr>
          <w:rFonts w:hint="eastAsia" w:ascii="宋体" w:hAnsi="宋体" w:cs="宋体"/>
          <w:color w:val="000000"/>
          <w:sz w:val="24"/>
          <w:lang w:eastAsia="zh-CN"/>
        </w:rPr>
        <w:t>中标人</w:t>
      </w:r>
      <w:r>
        <w:rPr>
          <w:rFonts w:hint="eastAsia" w:ascii="宋体" w:hAnsi="宋体" w:cs="宋体"/>
          <w:color w:val="000000"/>
          <w:sz w:val="24"/>
        </w:rPr>
        <w:t>也应当就和</w:t>
      </w:r>
      <w:r>
        <w:rPr>
          <w:rFonts w:hint="eastAsia" w:ascii="宋体" w:hAnsi="宋体" w:cs="宋体"/>
          <w:color w:val="000000"/>
          <w:sz w:val="24"/>
          <w:lang w:eastAsia="zh-CN"/>
        </w:rPr>
        <w:t>采购人</w:t>
      </w:r>
      <w:r>
        <w:rPr>
          <w:rFonts w:hint="eastAsia" w:ascii="宋体" w:hAnsi="宋体" w:cs="宋体"/>
          <w:color w:val="000000"/>
          <w:sz w:val="24"/>
        </w:rPr>
        <w:t>联系指定专人，指定联系人变更的，应当提前告知对方。</w:t>
      </w:r>
    </w:p>
    <w:p>
      <w:pPr>
        <w:pStyle w:val="36"/>
        <w:tabs>
          <w:tab w:val="left" w:pos="720"/>
        </w:tabs>
        <w:autoSpaceDE w:val="0"/>
        <w:autoSpaceDN w:val="0"/>
        <w:adjustRightInd w:val="0"/>
        <w:spacing w:line="360" w:lineRule="auto"/>
        <w:ind w:right="17" w:firstLine="482"/>
        <w:jc w:val="left"/>
        <w:outlineLvl w:val="1"/>
        <w:rPr>
          <w:rFonts w:hint="eastAsia" w:ascii="宋体" w:hAnsi="宋体" w:cs="宋体"/>
          <w:b w:val="0"/>
          <w:bCs/>
          <w:color w:val="000000"/>
          <w:sz w:val="24"/>
          <w:lang w:val="en-US" w:eastAsia="zh-CN"/>
        </w:rPr>
      </w:pPr>
      <w:r>
        <w:rPr>
          <w:rFonts w:hint="eastAsia" w:ascii="宋体" w:hAnsi="宋体" w:cs="宋体"/>
          <w:b w:val="0"/>
          <w:bCs/>
          <w:color w:val="000000"/>
          <w:sz w:val="24"/>
        </w:rPr>
        <w:t>（</w:t>
      </w:r>
      <w:r>
        <w:rPr>
          <w:rFonts w:hint="eastAsia" w:ascii="宋体" w:hAnsi="宋体" w:cs="宋体"/>
          <w:b w:val="0"/>
          <w:bCs/>
          <w:color w:val="000000"/>
          <w:sz w:val="24"/>
          <w:lang w:val="en-US" w:eastAsia="zh-CN"/>
        </w:rPr>
        <w:t>四</w:t>
      </w:r>
      <w:r>
        <w:rPr>
          <w:rFonts w:hint="eastAsia" w:ascii="宋体" w:hAnsi="宋体" w:cs="宋体"/>
          <w:b w:val="0"/>
          <w:bCs/>
          <w:color w:val="000000"/>
          <w:sz w:val="24"/>
        </w:rPr>
        <w:t>）</w:t>
      </w:r>
      <w:r>
        <w:rPr>
          <w:rFonts w:hint="eastAsia" w:ascii="宋体" w:hAnsi="宋体" w:cs="宋体"/>
          <w:b w:val="0"/>
          <w:bCs/>
          <w:color w:val="000000"/>
          <w:sz w:val="24"/>
          <w:lang w:val="en-US" w:eastAsia="zh-CN"/>
        </w:rPr>
        <w:t>服务要求</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eastAsia="zh-CN"/>
        </w:rPr>
        <w:t>.中标人</w:t>
      </w:r>
      <w:r>
        <w:rPr>
          <w:rFonts w:hint="eastAsia" w:ascii="宋体" w:hAnsi="宋体" w:cs="宋体"/>
          <w:color w:val="000000"/>
          <w:sz w:val="24"/>
        </w:rPr>
        <w:t>应当勤勉、尽责地完成属于合同项下的法律服务内容。</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eastAsia="zh-CN"/>
        </w:rPr>
        <w:t>.中标人</w:t>
      </w:r>
      <w:r>
        <w:rPr>
          <w:rFonts w:hint="eastAsia" w:ascii="宋体" w:hAnsi="宋体" w:cs="宋体"/>
          <w:color w:val="000000"/>
          <w:sz w:val="24"/>
        </w:rPr>
        <w:t>出具法律意见原则上应当在3个工作日内完成；紧急情况下，</w:t>
      </w:r>
      <w:r>
        <w:rPr>
          <w:rFonts w:hint="eastAsia" w:ascii="宋体" w:hAnsi="宋体" w:cs="宋体"/>
          <w:color w:val="000000"/>
          <w:sz w:val="24"/>
          <w:lang w:eastAsia="zh-CN"/>
        </w:rPr>
        <w:t>采购人</w:t>
      </w:r>
      <w:r>
        <w:rPr>
          <w:rFonts w:hint="eastAsia" w:ascii="宋体" w:hAnsi="宋体" w:cs="宋体"/>
          <w:color w:val="000000"/>
          <w:sz w:val="24"/>
        </w:rPr>
        <w:t>有特殊要求的，</w:t>
      </w:r>
      <w:r>
        <w:rPr>
          <w:rFonts w:hint="eastAsia" w:ascii="宋体" w:hAnsi="宋体" w:cs="宋体"/>
          <w:color w:val="000000"/>
          <w:sz w:val="24"/>
          <w:lang w:eastAsia="zh-CN"/>
        </w:rPr>
        <w:t>中标人</w:t>
      </w:r>
      <w:r>
        <w:rPr>
          <w:rFonts w:hint="eastAsia" w:ascii="宋体" w:hAnsi="宋体" w:cs="宋体"/>
          <w:color w:val="000000"/>
          <w:sz w:val="24"/>
        </w:rPr>
        <w:t>应当按照</w:t>
      </w:r>
      <w:r>
        <w:rPr>
          <w:rFonts w:hint="eastAsia" w:ascii="宋体" w:hAnsi="宋体" w:cs="宋体"/>
          <w:color w:val="000000"/>
          <w:sz w:val="24"/>
          <w:lang w:eastAsia="zh-CN"/>
        </w:rPr>
        <w:t>采购人</w:t>
      </w:r>
      <w:r>
        <w:rPr>
          <w:rFonts w:hint="eastAsia" w:ascii="宋体" w:hAnsi="宋体" w:cs="宋体"/>
          <w:color w:val="000000"/>
          <w:sz w:val="24"/>
        </w:rPr>
        <w:t>要求时限完成</w:t>
      </w:r>
      <w:r>
        <w:rPr>
          <w:rFonts w:hint="eastAsia" w:ascii="宋体" w:hAnsi="宋体" w:cs="宋体"/>
          <w:color w:val="000000"/>
          <w:sz w:val="24"/>
          <w:lang w:eastAsia="zh-CN"/>
        </w:rPr>
        <w:t>采购人</w:t>
      </w:r>
      <w:r>
        <w:rPr>
          <w:rFonts w:hint="eastAsia" w:ascii="宋体" w:hAnsi="宋体" w:cs="宋体"/>
          <w:color w:val="000000"/>
          <w:sz w:val="24"/>
        </w:rPr>
        <w:t>委托事项；遇到复杂、疑难法律问题，</w:t>
      </w:r>
      <w:r>
        <w:rPr>
          <w:rFonts w:hint="eastAsia" w:ascii="宋体" w:hAnsi="宋体" w:cs="宋体"/>
          <w:color w:val="000000"/>
          <w:sz w:val="24"/>
          <w:lang w:eastAsia="zh-CN"/>
        </w:rPr>
        <w:t>中标人</w:t>
      </w:r>
      <w:r>
        <w:rPr>
          <w:rFonts w:hint="eastAsia" w:ascii="宋体" w:hAnsi="宋体" w:cs="宋体"/>
          <w:color w:val="000000"/>
          <w:sz w:val="24"/>
        </w:rPr>
        <w:t>需专题研究讨论，并需要推迟服务时限的，应提前通报</w:t>
      </w:r>
      <w:r>
        <w:rPr>
          <w:rFonts w:hint="eastAsia" w:ascii="宋体" w:hAnsi="宋体" w:cs="宋体"/>
          <w:color w:val="000000"/>
          <w:sz w:val="24"/>
          <w:lang w:eastAsia="zh-CN"/>
        </w:rPr>
        <w:t>采购人</w:t>
      </w:r>
      <w:r>
        <w:rPr>
          <w:rFonts w:hint="eastAsia" w:ascii="宋体" w:hAnsi="宋体" w:cs="宋体"/>
          <w:color w:val="000000"/>
          <w:sz w:val="24"/>
        </w:rPr>
        <w:t>并征得</w:t>
      </w:r>
      <w:r>
        <w:rPr>
          <w:rFonts w:hint="eastAsia" w:ascii="宋体" w:hAnsi="宋体" w:cs="宋体"/>
          <w:color w:val="000000"/>
          <w:sz w:val="24"/>
          <w:lang w:eastAsia="zh-CN"/>
        </w:rPr>
        <w:t>采购人</w:t>
      </w:r>
      <w:r>
        <w:rPr>
          <w:rFonts w:hint="eastAsia" w:ascii="宋体" w:hAnsi="宋体" w:cs="宋体"/>
          <w:color w:val="000000"/>
          <w:sz w:val="24"/>
        </w:rPr>
        <w:t>同意。</w:t>
      </w:r>
      <w:r>
        <w:rPr>
          <w:rFonts w:hint="eastAsia" w:ascii="宋体" w:hAnsi="宋体" w:cs="宋体"/>
          <w:color w:val="000000"/>
          <w:sz w:val="24"/>
          <w:lang w:eastAsia="zh-CN"/>
        </w:rPr>
        <w:t>采购人</w:t>
      </w:r>
      <w:r>
        <w:rPr>
          <w:rFonts w:hint="eastAsia" w:ascii="宋体" w:hAnsi="宋体" w:cs="宋体"/>
          <w:color w:val="000000"/>
          <w:sz w:val="24"/>
        </w:rPr>
        <w:t>要求</w:t>
      </w:r>
      <w:r>
        <w:rPr>
          <w:rFonts w:hint="eastAsia" w:ascii="宋体" w:hAnsi="宋体" w:cs="宋体"/>
          <w:color w:val="000000"/>
          <w:sz w:val="24"/>
          <w:lang w:eastAsia="zh-CN"/>
        </w:rPr>
        <w:t>中标人</w:t>
      </w:r>
      <w:r>
        <w:rPr>
          <w:rFonts w:hint="eastAsia" w:ascii="宋体" w:hAnsi="宋体" w:cs="宋体"/>
          <w:color w:val="000000"/>
          <w:sz w:val="24"/>
        </w:rPr>
        <w:t>出具正式版法律意见书的，应由</w:t>
      </w:r>
      <w:r>
        <w:rPr>
          <w:rFonts w:hint="eastAsia" w:ascii="宋体" w:hAnsi="宋体" w:cs="宋体"/>
          <w:color w:val="000000"/>
          <w:sz w:val="24"/>
          <w:lang w:eastAsia="zh-CN"/>
        </w:rPr>
        <w:t>中标人</w:t>
      </w:r>
      <w:r>
        <w:rPr>
          <w:rFonts w:hint="eastAsia" w:ascii="宋体" w:hAnsi="宋体" w:cs="宋体"/>
          <w:color w:val="000000"/>
          <w:sz w:val="24"/>
        </w:rPr>
        <w:t>顾问团队负责人签字并加盖</w:t>
      </w:r>
      <w:r>
        <w:rPr>
          <w:rFonts w:hint="eastAsia" w:ascii="宋体" w:hAnsi="宋体" w:cs="宋体"/>
          <w:color w:val="000000"/>
          <w:sz w:val="24"/>
          <w:lang w:eastAsia="zh-CN"/>
        </w:rPr>
        <w:t>中标人</w:t>
      </w:r>
      <w:r>
        <w:rPr>
          <w:rFonts w:hint="eastAsia" w:ascii="宋体" w:hAnsi="宋体" w:cs="宋体"/>
          <w:color w:val="000000"/>
          <w:sz w:val="24"/>
        </w:rPr>
        <w:t>公章。</w:t>
      </w:r>
    </w:p>
    <w:p>
      <w:pPr>
        <w:pStyle w:val="36"/>
        <w:tabs>
          <w:tab w:val="left" w:pos="720"/>
        </w:tabs>
        <w:autoSpaceDE w:val="0"/>
        <w:autoSpaceDN w:val="0"/>
        <w:adjustRightInd w:val="0"/>
        <w:spacing w:line="360" w:lineRule="auto"/>
        <w:ind w:right="17" w:firstLine="482"/>
        <w:jc w:val="left"/>
        <w:outlineLvl w:val="1"/>
        <w:rPr>
          <w:rFonts w:hint="eastAsia" w:ascii="宋体" w:hAnsi="宋体" w:cs="宋体"/>
          <w:color w:val="000000"/>
          <w:sz w:val="24"/>
        </w:rPr>
      </w:pPr>
      <w:r>
        <w:rPr>
          <w:rFonts w:hint="eastAsia" w:ascii="宋体" w:hAnsi="宋体" w:cs="宋体"/>
          <w:color w:val="000000"/>
          <w:sz w:val="24"/>
        </w:rPr>
        <w:t>3</w:t>
      </w:r>
      <w:r>
        <w:rPr>
          <w:rFonts w:hint="eastAsia" w:ascii="宋体" w:hAnsi="宋体" w:cs="宋体"/>
          <w:color w:val="000000"/>
          <w:sz w:val="24"/>
          <w:lang w:eastAsia="zh-CN"/>
        </w:rPr>
        <w:t>.中标人</w:t>
      </w:r>
      <w:r>
        <w:rPr>
          <w:rFonts w:hint="eastAsia" w:ascii="宋体" w:hAnsi="宋体" w:cs="宋体"/>
          <w:color w:val="000000"/>
          <w:sz w:val="24"/>
        </w:rPr>
        <w:t>应当以其依据法律作出的判断，向</w:t>
      </w:r>
      <w:r>
        <w:rPr>
          <w:rFonts w:hint="eastAsia" w:ascii="宋体" w:hAnsi="宋体" w:cs="宋体"/>
          <w:color w:val="000000"/>
          <w:sz w:val="24"/>
          <w:lang w:eastAsia="zh-CN"/>
        </w:rPr>
        <w:t>采购人</w:t>
      </w:r>
      <w:r>
        <w:rPr>
          <w:rFonts w:hint="eastAsia" w:ascii="宋体" w:hAnsi="宋体" w:cs="宋体"/>
          <w:color w:val="000000"/>
          <w:sz w:val="24"/>
        </w:rPr>
        <w:t>进行法律风险提示，尽最大努力维护</w:t>
      </w:r>
      <w:r>
        <w:rPr>
          <w:rFonts w:hint="eastAsia" w:ascii="宋体" w:hAnsi="宋体" w:cs="宋体"/>
          <w:color w:val="000000"/>
          <w:sz w:val="24"/>
          <w:lang w:eastAsia="zh-CN"/>
        </w:rPr>
        <w:t>采购人</w:t>
      </w:r>
      <w:r>
        <w:rPr>
          <w:rFonts w:hint="eastAsia" w:ascii="宋体" w:hAnsi="宋体" w:cs="宋体"/>
          <w:color w:val="000000"/>
          <w:sz w:val="24"/>
        </w:rPr>
        <w:t>权益。</w:t>
      </w:r>
    </w:p>
    <w:p>
      <w:pPr>
        <w:pStyle w:val="36"/>
        <w:tabs>
          <w:tab w:val="left" w:pos="720"/>
        </w:tabs>
        <w:autoSpaceDE w:val="0"/>
        <w:autoSpaceDN w:val="0"/>
        <w:adjustRightInd w:val="0"/>
        <w:spacing w:line="360" w:lineRule="auto"/>
        <w:ind w:right="17" w:firstLine="482"/>
        <w:jc w:val="left"/>
        <w:outlineLvl w:val="1"/>
        <w:rPr>
          <w:rFonts w:hint="default" w:ascii="宋体" w:hAnsi="宋体" w:eastAsia="宋体" w:cs="宋体"/>
          <w:b w:val="0"/>
          <w:bCs/>
          <w:color w:val="000000"/>
          <w:sz w:val="24"/>
          <w:lang w:val="en-US" w:eastAsia="zh-CN"/>
        </w:rPr>
      </w:pPr>
      <w:r>
        <w:rPr>
          <w:rFonts w:hint="eastAsia" w:ascii="宋体" w:hAnsi="宋体" w:cs="宋体"/>
          <w:b w:val="0"/>
          <w:bCs/>
          <w:color w:val="000000"/>
          <w:sz w:val="24"/>
          <w:lang w:val="en-US" w:eastAsia="zh-CN"/>
        </w:rPr>
        <w:t>（五）考核机制</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lang w:eastAsia="zh-CN"/>
        </w:rPr>
        <w:t>采购</w:t>
      </w:r>
      <w:r>
        <w:rPr>
          <w:rFonts w:hint="eastAsia" w:ascii="宋体" w:hAnsi="宋体" w:cs="宋体"/>
          <w:bCs/>
          <w:color w:val="000000"/>
          <w:sz w:val="24"/>
        </w:rPr>
        <w:t>人对中标人的常年法律顾问服务进行年度考核，考核标准包括：</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（1）中标人提供法律服务的响应时间是否符合合同约定；</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（2）中标人提供的法律服务是否符合合同约定；</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（3）中标人是否按时提交工作成果；</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（4）中标人出具的法律意见是否违反法律规定或存在错误，导致</w:t>
      </w:r>
      <w:r>
        <w:rPr>
          <w:rFonts w:hint="eastAsia" w:ascii="宋体" w:hAnsi="宋体" w:cs="宋体"/>
          <w:bCs/>
          <w:color w:val="000000"/>
          <w:sz w:val="24"/>
          <w:lang w:eastAsia="zh-CN"/>
        </w:rPr>
        <w:t>采购</w:t>
      </w:r>
      <w:r>
        <w:rPr>
          <w:rFonts w:ascii="宋体" w:hAnsi="宋体" w:cs="宋体"/>
          <w:bCs/>
          <w:color w:val="000000"/>
          <w:sz w:val="24"/>
        </w:rPr>
        <w:t>人</w:t>
      </w:r>
      <w:r>
        <w:rPr>
          <w:rFonts w:hint="eastAsia" w:ascii="宋体" w:hAnsi="宋体" w:cs="宋体"/>
          <w:bCs/>
          <w:color w:val="000000"/>
          <w:sz w:val="24"/>
        </w:rPr>
        <w:t>遭受损失。</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（5）派驻人员有无按合同要求在</w:t>
      </w:r>
      <w:r>
        <w:rPr>
          <w:rFonts w:hint="eastAsia" w:ascii="宋体" w:hAnsi="宋体" w:cs="宋体"/>
          <w:bCs/>
          <w:color w:val="000000"/>
          <w:sz w:val="24"/>
          <w:lang w:eastAsia="zh-CN"/>
        </w:rPr>
        <w:t>采购</w:t>
      </w:r>
      <w:r>
        <w:rPr>
          <w:rFonts w:hint="eastAsia" w:ascii="宋体" w:hAnsi="宋体" w:cs="宋体"/>
          <w:bCs/>
          <w:color w:val="000000"/>
          <w:sz w:val="24"/>
        </w:rPr>
        <w:t>人办公场所提供服务。</w:t>
      </w:r>
    </w:p>
    <w:p>
      <w:pPr>
        <w:pStyle w:val="36"/>
        <w:tabs>
          <w:tab w:val="left" w:pos="720"/>
        </w:tabs>
        <w:autoSpaceDE w:val="0"/>
        <w:autoSpaceDN w:val="0"/>
        <w:adjustRightInd w:val="0"/>
        <w:spacing w:line="360" w:lineRule="auto"/>
        <w:ind w:right="17" w:firstLine="480" w:firstLineChars="0"/>
        <w:jc w:val="left"/>
        <w:outlineLvl w:val="1"/>
        <w:rPr>
          <w:rFonts w:hint="eastAsia" w:ascii="宋体" w:hAnsi="宋体" w:cs="宋体"/>
          <w:bCs/>
          <w:color w:val="000000"/>
          <w:sz w:val="24"/>
        </w:rPr>
      </w:pPr>
      <w:r>
        <w:rPr>
          <w:rFonts w:hint="eastAsia" w:ascii="宋体" w:hAnsi="宋体" w:cs="宋体"/>
          <w:bCs/>
          <w:color w:val="000000"/>
          <w:sz w:val="24"/>
        </w:rPr>
        <w:t>具体考核方式由双方另行协商确定。</w:t>
      </w:r>
    </w:p>
    <w:p>
      <w:pPr>
        <w:pStyle w:val="36"/>
        <w:tabs>
          <w:tab w:val="left" w:pos="720"/>
        </w:tabs>
        <w:autoSpaceDE w:val="0"/>
        <w:autoSpaceDN w:val="0"/>
        <w:adjustRightInd w:val="0"/>
        <w:spacing w:line="360" w:lineRule="auto"/>
        <w:ind w:right="17" w:firstLine="482"/>
        <w:jc w:val="left"/>
        <w:outlineLvl w:val="1"/>
        <w:rPr>
          <w:rFonts w:hint="eastAsia" w:ascii="宋体" w:hAnsi="宋体" w:cs="宋体"/>
          <w:b/>
          <w:color w:val="000000"/>
          <w:sz w:val="24"/>
        </w:rPr>
      </w:pPr>
      <w:r>
        <w:rPr>
          <w:rFonts w:hint="eastAsia" w:ascii="宋体" w:hAnsi="宋体" w:cs="宋体"/>
          <w:b/>
          <w:color w:val="000000"/>
          <w:sz w:val="24"/>
        </w:rPr>
        <w:t>（四）服务成果</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1.中标人应分别于合同签订之日起3个月、6个月、9个月、12个月末向</w:t>
      </w:r>
      <w:r>
        <w:rPr>
          <w:rFonts w:hint="eastAsia" w:ascii="宋体" w:hAnsi="宋体" w:cs="宋体"/>
          <w:bCs/>
          <w:color w:val="000000"/>
          <w:sz w:val="24"/>
          <w:lang w:eastAsia="zh-CN"/>
        </w:rPr>
        <w:t>采购</w:t>
      </w:r>
      <w:r>
        <w:rPr>
          <w:rFonts w:ascii="宋体" w:hAnsi="宋体" w:cs="宋体"/>
          <w:bCs/>
          <w:color w:val="000000"/>
          <w:sz w:val="24"/>
        </w:rPr>
        <w:t>人</w:t>
      </w:r>
      <w:r>
        <w:rPr>
          <w:rFonts w:hint="eastAsia" w:ascii="宋体" w:hAnsi="宋体" w:cs="宋体"/>
          <w:bCs/>
          <w:color w:val="000000"/>
          <w:sz w:val="24"/>
        </w:rPr>
        <w:t>提交工作台账（包括工作内容、工作耗时等），以电子文件形式提交；</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2.中标人应于服务期到期前三个月向</w:t>
      </w:r>
      <w:r>
        <w:rPr>
          <w:rFonts w:hint="eastAsia" w:ascii="宋体" w:hAnsi="宋体" w:cs="宋体"/>
          <w:bCs/>
          <w:color w:val="000000"/>
          <w:sz w:val="24"/>
          <w:lang w:eastAsia="zh-CN"/>
        </w:rPr>
        <w:t>采购</w:t>
      </w:r>
      <w:r>
        <w:rPr>
          <w:rFonts w:ascii="宋体" w:hAnsi="宋体" w:cs="宋体"/>
          <w:bCs/>
          <w:color w:val="000000"/>
          <w:sz w:val="24"/>
        </w:rPr>
        <w:t>人</w:t>
      </w:r>
      <w:r>
        <w:rPr>
          <w:rFonts w:hint="eastAsia" w:ascii="宋体" w:hAnsi="宋体" w:cs="宋体"/>
          <w:bCs/>
          <w:color w:val="000000"/>
          <w:sz w:val="24"/>
        </w:rPr>
        <w:t>提交常年法律顾问工作总结报告，以纸质版形式（按</w:t>
      </w:r>
      <w:r>
        <w:rPr>
          <w:rFonts w:hint="eastAsia" w:ascii="宋体" w:hAnsi="宋体" w:cs="宋体"/>
          <w:bCs/>
          <w:color w:val="000000"/>
          <w:sz w:val="24"/>
          <w:lang w:eastAsia="zh-CN"/>
        </w:rPr>
        <w:t>采购</w:t>
      </w:r>
      <w:r>
        <w:rPr>
          <w:rFonts w:hint="eastAsia" w:ascii="宋体" w:hAnsi="宋体" w:cs="宋体"/>
          <w:bCs/>
          <w:color w:val="000000"/>
          <w:sz w:val="24"/>
        </w:rPr>
        <w:t>人要求印制1份）和电子文件形式提交；</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
          <w:color w:val="000000"/>
          <w:sz w:val="24"/>
        </w:rPr>
      </w:pPr>
      <w:r>
        <w:rPr>
          <w:rFonts w:hint="eastAsia" w:ascii="宋体" w:hAnsi="宋体" w:cs="宋体"/>
          <w:bCs/>
          <w:color w:val="000000"/>
          <w:sz w:val="24"/>
        </w:rPr>
        <w:t>3.服务到期前三个月，中标人提交不少于一份关于常年法律顾问工作的合规建议或意见的报告，以纸质版形式（按</w:t>
      </w:r>
      <w:r>
        <w:rPr>
          <w:rFonts w:hint="eastAsia" w:ascii="宋体" w:hAnsi="宋体" w:cs="宋体"/>
          <w:bCs/>
          <w:color w:val="000000"/>
          <w:sz w:val="24"/>
          <w:lang w:eastAsia="zh-CN"/>
        </w:rPr>
        <w:t>采购</w:t>
      </w:r>
      <w:r>
        <w:rPr>
          <w:rFonts w:hint="eastAsia" w:ascii="宋体" w:hAnsi="宋体" w:cs="宋体"/>
          <w:bCs/>
          <w:color w:val="000000"/>
          <w:sz w:val="24"/>
        </w:rPr>
        <w:t>人要求印制1份）和电子文件形式提交。</w:t>
      </w:r>
    </w:p>
    <w:p>
      <w:pPr>
        <w:pStyle w:val="36"/>
        <w:tabs>
          <w:tab w:val="left" w:pos="720"/>
        </w:tabs>
        <w:autoSpaceDE w:val="0"/>
        <w:autoSpaceDN w:val="0"/>
        <w:adjustRightInd w:val="0"/>
        <w:spacing w:line="360" w:lineRule="auto"/>
        <w:ind w:right="17" w:firstLine="482"/>
        <w:jc w:val="left"/>
        <w:outlineLvl w:val="1"/>
        <w:rPr>
          <w:rFonts w:hint="eastAsia" w:ascii="宋体" w:hAnsi="宋体" w:cs="宋体"/>
          <w:b/>
          <w:color w:val="000000"/>
          <w:sz w:val="24"/>
        </w:rPr>
      </w:pPr>
      <w:r>
        <w:rPr>
          <w:rFonts w:hint="eastAsia" w:ascii="宋体" w:hAnsi="宋体" w:cs="宋体"/>
          <w:b/>
          <w:color w:val="000000"/>
          <w:sz w:val="24"/>
        </w:rPr>
        <w:t>三、商务要求</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（一）服务期限：常年法律顾问服务的期限为自本合同签订之日起一年；本项目为长期服务项目，服务期限届满前，如经</w:t>
      </w:r>
      <w:r>
        <w:rPr>
          <w:rFonts w:hint="eastAsia" w:ascii="宋体" w:hAnsi="宋体" w:cs="宋体"/>
          <w:bCs/>
          <w:color w:val="000000"/>
          <w:sz w:val="24"/>
          <w:lang w:eastAsia="zh-CN"/>
        </w:rPr>
        <w:t>采购</w:t>
      </w:r>
      <w:r>
        <w:rPr>
          <w:rFonts w:hint="eastAsia" w:ascii="宋体" w:hAnsi="宋体" w:cs="宋体"/>
          <w:bCs/>
          <w:color w:val="000000"/>
          <w:sz w:val="24"/>
        </w:rPr>
        <w:t>人组织履约评价为优秀，双方可以续签服务合同，最多可续签两次</w:t>
      </w:r>
      <w:r>
        <w:rPr>
          <w:rFonts w:hint="eastAsia" w:ascii="宋体" w:hAnsi="宋体" w:cs="宋体"/>
          <w:color w:val="000000"/>
          <w:sz w:val="24"/>
        </w:rPr>
        <w:t>，续签时间最长不超过二十四个月</w:t>
      </w:r>
      <w:r>
        <w:rPr>
          <w:rFonts w:hint="eastAsia" w:ascii="宋体" w:hAnsi="宋体" w:cs="宋体"/>
          <w:bCs/>
          <w:color w:val="000000"/>
          <w:sz w:val="24"/>
        </w:rPr>
        <w:t>。</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（二）项目预算：80万元</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（三）报价要求：本项目费用采用包干制，投标人报价应包括成本、法定税费和印刷费等完成本项目的一切费用。</w:t>
      </w:r>
    </w:p>
    <w:p>
      <w:pPr>
        <w:pStyle w:val="36"/>
        <w:tabs>
          <w:tab w:val="left" w:pos="720"/>
        </w:tabs>
        <w:autoSpaceDE w:val="0"/>
        <w:autoSpaceDN w:val="0"/>
        <w:adjustRightInd w:val="0"/>
        <w:spacing w:line="360" w:lineRule="auto"/>
        <w:ind w:right="17" w:firstLine="480"/>
        <w:jc w:val="left"/>
        <w:outlineLvl w:val="1"/>
        <w:rPr>
          <w:rFonts w:hint="eastAsia" w:ascii="宋体" w:hAnsi="宋体" w:eastAsia="宋体" w:cs="宋体"/>
          <w:bCs/>
          <w:color w:val="000000"/>
          <w:sz w:val="24"/>
          <w:lang w:val="en-US" w:eastAsia="zh-CN"/>
        </w:rPr>
      </w:pPr>
      <w:r>
        <w:rPr>
          <w:rFonts w:hint="eastAsia" w:ascii="宋体" w:hAnsi="宋体" w:cs="宋体"/>
          <w:bCs/>
          <w:color w:val="000000"/>
          <w:sz w:val="24"/>
        </w:rPr>
        <w:t>（四）付款</w:t>
      </w:r>
      <w:r>
        <w:rPr>
          <w:rFonts w:hint="eastAsia" w:ascii="宋体" w:hAnsi="宋体" w:cs="宋体"/>
          <w:bCs/>
          <w:color w:val="000000"/>
          <w:sz w:val="24"/>
          <w:lang w:val="en-US" w:eastAsia="zh-CN"/>
        </w:rPr>
        <w:t>方式</w:t>
      </w:r>
    </w:p>
    <w:p>
      <w:pPr>
        <w:pStyle w:val="36"/>
        <w:tabs>
          <w:tab w:val="left" w:pos="720"/>
        </w:tabs>
        <w:autoSpaceDE w:val="0"/>
        <w:autoSpaceDN w:val="0"/>
        <w:adjustRightInd w:val="0"/>
        <w:spacing w:line="360" w:lineRule="auto"/>
        <w:ind w:right="17" w:firstLine="480"/>
        <w:jc w:val="left"/>
        <w:outlineLvl w:val="1"/>
        <w:rPr>
          <w:rFonts w:hint="default" w:ascii="宋体" w:hAnsi="宋体" w:eastAsia="宋体" w:cs="宋体"/>
          <w:bCs/>
          <w:color w:val="000000"/>
          <w:sz w:val="24"/>
          <w:lang w:val="en-US" w:eastAsia="zh-CN"/>
        </w:rPr>
      </w:pPr>
      <w:r>
        <w:rPr>
          <w:rFonts w:hint="eastAsia" w:ascii="宋体" w:hAnsi="宋体" w:cs="宋体"/>
          <w:bCs/>
          <w:color w:val="000000"/>
          <w:sz w:val="24"/>
          <w:lang w:val="en-US" w:eastAsia="zh-CN"/>
        </w:rPr>
        <w:t>本合同费用由采购人分2期支付至中标人指定账户：</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1.合同签订后，</w:t>
      </w:r>
      <w:r>
        <w:rPr>
          <w:rFonts w:hint="eastAsia" w:ascii="宋体" w:hAnsi="宋体" w:cs="宋体"/>
          <w:bCs/>
          <w:color w:val="000000"/>
          <w:sz w:val="24"/>
          <w:lang w:eastAsia="zh-CN"/>
        </w:rPr>
        <w:t>采购</w:t>
      </w:r>
      <w:r>
        <w:rPr>
          <w:rFonts w:ascii="宋体" w:hAnsi="宋体" w:cs="宋体"/>
          <w:bCs/>
          <w:color w:val="000000"/>
          <w:sz w:val="24"/>
        </w:rPr>
        <w:t>人</w:t>
      </w:r>
      <w:r>
        <w:rPr>
          <w:rFonts w:hint="eastAsia" w:ascii="宋体" w:hAnsi="宋体" w:cs="宋体"/>
          <w:bCs/>
          <w:color w:val="000000"/>
          <w:sz w:val="24"/>
        </w:rPr>
        <w:t>在收到中标人开具的载明相应金额的合格发票后10个工作日内，向中标人指定银行账户支付合同顾问服务费总金额的50%。</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3.中标人将全部服务成果提交给</w:t>
      </w:r>
      <w:r>
        <w:rPr>
          <w:rFonts w:hint="eastAsia" w:ascii="宋体" w:hAnsi="宋体" w:cs="宋体"/>
          <w:bCs/>
          <w:color w:val="000000"/>
          <w:sz w:val="24"/>
          <w:lang w:eastAsia="zh-CN"/>
        </w:rPr>
        <w:t>采购</w:t>
      </w:r>
      <w:r>
        <w:rPr>
          <w:rFonts w:hint="eastAsia" w:ascii="宋体" w:hAnsi="宋体" w:cs="宋体"/>
          <w:bCs/>
          <w:color w:val="000000"/>
          <w:sz w:val="24"/>
        </w:rPr>
        <w:t>人，经</w:t>
      </w:r>
      <w:r>
        <w:rPr>
          <w:rFonts w:hint="eastAsia" w:ascii="宋体" w:hAnsi="宋体" w:cs="宋体"/>
          <w:bCs/>
          <w:color w:val="000000"/>
          <w:sz w:val="24"/>
          <w:lang w:eastAsia="zh-CN"/>
        </w:rPr>
        <w:t>采购</w:t>
      </w:r>
      <w:r>
        <w:rPr>
          <w:rFonts w:hint="eastAsia" w:ascii="宋体" w:hAnsi="宋体" w:cs="宋体"/>
          <w:bCs/>
          <w:color w:val="000000"/>
          <w:sz w:val="24"/>
        </w:rPr>
        <w:t>人审查验收通过后10个工作日内，</w:t>
      </w:r>
      <w:r>
        <w:rPr>
          <w:rFonts w:hint="eastAsia" w:ascii="宋体" w:hAnsi="宋体" w:cs="宋体"/>
          <w:bCs/>
          <w:color w:val="000000"/>
          <w:sz w:val="24"/>
          <w:lang w:eastAsia="zh-CN"/>
        </w:rPr>
        <w:t>采购</w:t>
      </w:r>
      <w:r>
        <w:rPr>
          <w:rFonts w:hint="eastAsia" w:ascii="宋体" w:hAnsi="宋体" w:cs="宋体"/>
          <w:bCs/>
          <w:color w:val="000000"/>
          <w:sz w:val="24"/>
        </w:rPr>
        <w:t>人应在收到中标人开具的载明相应金额的合格发票后，向中标人指定银行账户支付合同顾问服务费总金额的50%。</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合同项下各期款项均在</w:t>
      </w:r>
      <w:r>
        <w:rPr>
          <w:rFonts w:hint="eastAsia" w:ascii="宋体" w:hAnsi="宋体" w:cs="宋体"/>
          <w:bCs/>
          <w:color w:val="000000"/>
          <w:sz w:val="24"/>
          <w:lang w:eastAsia="zh-CN"/>
        </w:rPr>
        <w:t>采购</w:t>
      </w:r>
      <w:r>
        <w:rPr>
          <w:rFonts w:hint="eastAsia" w:ascii="宋体" w:hAnsi="宋体" w:cs="宋体"/>
          <w:bCs/>
          <w:color w:val="000000"/>
          <w:sz w:val="24"/>
        </w:rPr>
        <w:t>人到中标人开具的载明相应金额的合格发票后10个工作日内支付，如</w:t>
      </w:r>
      <w:r>
        <w:rPr>
          <w:rFonts w:hint="eastAsia" w:ascii="宋体" w:hAnsi="宋体" w:cs="宋体"/>
          <w:bCs/>
          <w:color w:val="000000"/>
          <w:sz w:val="24"/>
          <w:lang w:eastAsia="zh-CN"/>
        </w:rPr>
        <w:t>采购</w:t>
      </w:r>
      <w:r>
        <w:rPr>
          <w:rFonts w:hint="eastAsia" w:ascii="宋体" w:hAnsi="宋体" w:cs="宋体"/>
          <w:bCs/>
          <w:color w:val="000000"/>
          <w:sz w:val="24"/>
        </w:rPr>
        <w:t>人未及时收到中标人开具的合格发票，</w:t>
      </w:r>
      <w:r>
        <w:rPr>
          <w:rFonts w:hint="eastAsia" w:ascii="宋体" w:hAnsi="宋体" w:cs="宋体"/>
          <w:bCs/>
          <w:color w:val="000000"/>
          <w:sz w:val="24"/>
          <w:lang w:eastAsia="zh-CN"/>
        </w:rPr>
        <w:t>采购</w:t>
      </w:r>
      <w:r>
        <w:rPr>
          <w:rFonts w:hint="eastAsia" w:ascii="宋体" w:hAnsi="宋体" w:cs="宋体"/>
          <w:bCs/>
          <w:color w:val="000000"/>
          <w:sz w:val="24"/>
        </w:rPr>
        <w:t>人付款时间相应顺延。若因</w:t>
      </w:r>
      <w:r>
        <w:rPr>
          <w:rFonts w:hint="eastAsia" w:ascii="宋体" w:hAnsi="宋体" w:cs="宋体"/>
          <w:bCs/>
          <w:color w:val="000000"/>
          <w:sz w:val="24"/>
          <w:lang w:eastAsia="zh-CN"/>
        </w:rPr>
        <w:t>采购</w:t>
      </w:r>
      <w:r>
        <w:rPr>
          <w:rFonts w:hint="eastAsia" w:ascii="宋体" w:hAnsi="宋体" w:cs="宋体"/>
          <w:bCs/>
          <w:color w:val="000000"/>
          <w:sz w:val="24"/>
        </w:rPr>
        <w:t>人付款审批影响支付进度，请中标人予以谅解，并不得就此向</w:t>
      </w:r>
      <w:r>
        <w:rPr>
          <w:rFonts w:hint="eastAsia" w:ascii="宋体" w:hAnsi="宋体" w:cs="宋体"/>
          <w:bCs/>
          <w:color w:val="000000"/>
          <w:sz w:val="24"/>
          <w:lang w:eastAsia="zh-CN"/>
        </w:rPr>
        <w:t>采购</w:t>
      </w:r>
      <w:r>
        <w:rPr>
          <w:rFonts w:hint="eastAsia" w:ascii="宋体" w:hAnsi="宋体" w:cs="宋体"/>
          <w:bCs/>
          <w:color w:val="000000"/>
          <w:sz w:val="24"/>
        </w:rPr>
        <w:t>人索赔。</w:t>
      </w:r>
    </w:p>
    <w:p>
      <w:pPr>
        <w:pStyle w:val="36"/>
        <w:tabs>
          <w:tab w:val="left" w:pos="720"/>
        </w:tabs>
        <w:autoSpaceDE w:val="0"/>
        <w:autoSpaceDN w:val="0"/>
        <w:adjustRightInd w:val="0"/>
        <w:spacing w:line="360" w:lineRule="auto"/>
        <w:ind w:right="17" w:firstLine="482"/>
        <w:jc w:val="left"/>
        <w:outlineLvl w:val="1"/>
        <w:rPr>
          <w:rFonts w:hint="eastAsia" w:ascii="宋体" w:hAnsi="宋体" w:cs="宋体"/>
          <w:b/>
          <w:color w:val="000000"/>
          <w:sz w:val="24"/>
        </w:rPr>
      </w:pPr>
      <w:r>
        <w:rPr>
          <w:rFonts w:hint="eastAsia" w:ascii="宋体" w:hAnsi="宋体" w:cs="宋体"/>
          <w:b/>
          <w:color w:val="000000"/>
          <w:sz w:val="24"/>
        </w:rPr>
        <w:t>四、保密条款</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2.中标人应以保密方式处理在本项目工作过程中自</w:t>
      </w:r>
      <w:r>
        <w:rPr>
          <w:rFonts w:hint="eastAsia" w:ascii="宋体" w:hAnsi="宋体" w:cs="宋体"/>
          <w:bCs/>
          <w:color w:val="000000"/>
          <w:sz w:val="24"/>
          <w:lang w:eastAsia="zh-CN"/>
        </w:rPr>
        <w:t>采购</w:t>
      </w:r>
      <w:r>
        <w:rPr>
          <w:rFonts w:ascii="宋体" w:hAnsi="宋体" w:cs="宋体"/>
          <w:bCs/>
          <w:color w:val="000000"/>
          <w:sz w:val="24"/>
        </w:rPr>
        <w:t>人</w:t>
      </w:r>
      <w:r>
        <w:rPr>
          <w:rFonts w:hint="eastAsia" w:ascii="宋体" w:hAnsi="宋体" w:cs="宋体"/>
          <w:bCs/>
          <w:color w:val="000000"/>
          <w:sz w:val="24"/>
        </w:rPr>
        <w:t>、</w:t>
      </w:r>
      <w:r>
        <w:rPr>
          <w:rFonts w:hint="eastAsia" w:ascii="宋体" w:hAnsi="宋体" w:cs="宋体"/>
          <w:bCs/>
          <w:color w:val="000000"/>
          <w:sz w:val="24"/>
          <w:lang w:eastAsia="zh-CN"/>
        </w:rPr>
        <w:t>采购</w:t>
      </w:r>
      <w:r>
        <w:rPr>
          <w:rFonts w:ascii="宋体" w:hAnsi="宋体" w:cs="宋体"/>
          <w:bCs/>
          <w:color w:val="000000"/>
          <w:sz w:val="24"/>
        </w:rPr>
        <w:t>人</w:t>
      </w:r>
      <w:r>
        <w:rPr>
          <w:rFonts w:hint="eastAsia" w:ascii="宋体" w:hAnsi="宋体" w:cs="宋体"/>
          <w:bCs/>
          <w:color w:val="000000"/>
          <w:sz w:val="24"/>
        </w:rPr>
        <w:t>工作人员或</w:t>
      </w:r>
      <w:r>
        <w:rPr>
          <w:rFonts w:hint="eastAsia" w:ascii="宋体" w:hAnsi="宋体" w:cs="宋体"/>
          <w:bCs/>
          <w:color w:val="000000"/>
          <w:sz w:val="24"/>
          <w:lang w:eastAsia="zh-CN"/>
        </w:rPr>
        <w:t>采购</w:t>
      </w:r>
      <w:r>
        <w:rPr>
          <w:rFonts w:hint="eastAsia" w:ascii="宋体" w:hAnsi="宋体" w:cs="宋体"/>
          <w:bCs/>
          <w:color w:val="000000"/>
          <w:sz w:val="24"/>
        </w:rPr>
        <w:t>人关联机构获得的相关信息、资料、图纸、数据等，或由</w:t>
      </w:r>
      <w:r>
        <w:rPr>
          <w:rFonts w:hint="eastAsia" w:ascii="宋体" w:hAnsi="宋体" w:cs="宋体"/>
          <w:bCs/>
          <w:color w:val="000000"/>
          <w:sz w:val="24"/>
          <w:lang w:eastAsia="zh-CN"/>
        </w:rPr>
        <w:t>采购</w:t>
      </w:r>
      <w:r>
        <w:rPr>
          <w:rFonts w:hint="eastAsia" w:ascii="宋体" w:hAnsi="宋体" w:cs="宋体"/>
          <w:bCs/>
          <w:color w:val="000000"/>
          <w:sz w:val="24"/>
        </w:rPr>
        <w:t>人在履行本合同过程中明确指明为秘密的任何信息，以及中标人因本项目工作内容所直接或间接取得、处理或接触的任何其他资料。未经</w:t>
      </w:r>
      <w:r>
        <w:rPr>
          <w:rFonts w:hint="eastAsia" w:ascii="宋体" w:hAnsi="宋体" w:cs="宋体"/>
          <w:bCs/>
          <w:color w:val="000000"/>
          <w:sz w:val="24"/>
          <w:lang w:eastAsia="zh-CN"/>
        </w:rPr>
        <w:t>采购</w:t>
      </w:r>
      <w:r>
        <w:rPr>
          <w:rFonts w:hint="eastAsia" w:ascii="宋体" w:hAnsi="宋体" w:cs="宋体"/>
          <w:bCs/>
          <w:color w:val="000000"/>
          <w:sz w:val="24"/>
        </w:rPr>
        <w:t>人书面在先同意，中标人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3.中标人实施项目的程序应符合国家安全、保密的有关规定和标准。</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4.上述保密义务不适用以下情况：</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（1）获取的信息已被合法公开；</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（2）获得信息拥有方书面许可并在该许可范围内披露；</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（3）国家法律、法规规定的情形。</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5.如中标人违反上述保密条款，</w:t>
      </w:r>
      <w:r>
        <w:rPr>
          <w:rFonts w:hint="eastAsia" w:ascii="宋体" w:hAnsi="宋体" w:cs="宋体"/>
          <w:bCs/>
          <w:color w:val="000000"/>
          <w:sz w:val="24"/>
          <w:lang w:eastAsia="zh-CN"/>
        </w:rPr>
        <w:t>采购</w:t>
      </w:r>
      <w:r>
        <w:rPr>
          <w:rFonts w:hint="eastAsia" w:ascii="宋体" w:hAnsi="宋体" w:cs="宋体"/>
          <w:bCs/>
          <w:color w:val="000000"/>
          <w:sz w:val="24"/>
        </w:rPr>
        <w:t>人有权解除合同，中标人应在合同解除通知发出之日起10日内向</w:t>
      </w:r>
      <w:r>
        <w:rPr>
          <w:rFonts w:hint="eastAsia" w:ascii="宋体" w:hAnsi="宋体" w:cs="宋体"/>
          <w:bCs/>
          <w:color w:val="000000"/>
          <w:sz w:val="24"/>
          <w:lang w:eastAsia="zh-CN"/>
        </w:rPr>
        <w:t>采购</w:t>
      </w:r>
      <w:r>
        <w:rPr>
          <w:rFonts w:hint="eastAsia" w:ascii="宋体" w:hAnsi="宋体" w:cs="宋体"/>
          <w:bCs/>
          <w:color w:val="000000"/>
          <w:sz w:val="24"/>
        </w:rPr>
        <w:t>人支付本合同服务费总金额20%的违约金，如果违约金无法弥补</w:t>
      </w:r>
      <w:r>
        <w:rPr>
          <w:rFonts w:hint="eastAsia" w:ascii="宋体" w:hAnsi="宋体" w:cs="宋体"/>
          <w:bCs/>
          <w:color w:val="000000"/>
          <w:sz w:val="24"/>
          <w:lang w:eastAsia="zh-CN"/>
        </w:rPr>
        <w:t>采购</w:t>
      </w:r>
      <w:r>
        <w:rPr>
          <w:rFonts w:hint="eastAsia" w:ascii="宋体" w:hAnsi="宋体" w:cs="宋体"/>
          <w:bCs/>
          <w:color w:val="000000"/>
          <w:sz w:val="24"/>
        </w:rPr>
        <w:t>人损失，</w:t>
      </w:r>
      <w:r>
        <w:rPr>
          <w:rFonts w:hint="eastAsia" w:ascii="宋体" w:hAnsi="宋体" w:cs="宋体"/>
          <w:bCs/>
          <w:color w:val="000000"/>
          <w:sz w:val="24"/>
          <w:lang w:eastAsia="zh-CN"/>
        </w:rPr>
        <w:t>采购</w:t>
      </w:r>
      <w:r>
        <w:rPr>
          <w:rFonts w:hint="eastAsia" w:ascii="宋体" w:hAnsi="宋体" w:cs="宋体"/>
          <w:bCs/>
          <w:color w:val="000000"/>
          <w:sz w:val="24"/>
        </w:rPr>
        <w:t>人保留要求中标人赔偿全部损失的权利。</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6.无论本项目其他条款是否有效，本保密条款始终约束双方。国家秘密的保密期限由国家有关部门确定，工作秘密的保密期限由</w:t>
      </w:r>
      <w:r>
        <w:rPr>
          <w:rFonts w:hint="eastAsia" w:ascii="宋体" w:hAnsi="宋体" w:cs="宋体"/>
          <w:bCs/>
          <w:color w:val="000000"/>
          <w:sz w:val="24"/>
          <w:lang w:eastAsia="zh-CN"/>
        </w:rPr>
        <w:t>采购</w:t>
      </w:r>
      <w:r>
        <w:rPr>
          <w:rFonts w:hint="eastAsia" w:ascii="宋体" w:hAnsi="宋体" w:cs="宋体"/>
          <w:bCs/>
          <w:color w:val="000000"/>
          <w:sz w:val="24"/>
        </w:rPr>
        <w:t>人确定。</w:t>
      </w:r>
    </w:p>
    <w:p>
      <w:pPr>
        <w:pStyle w:val="36"/>
        <w:tabs>
          <w:tab w:val="left" w:pos="720"/>
        </w:tabs>
        <w:autoSpaceDE w:val="0"/>
        <w:autoSpaceDN w:val="0"/>
        <w:adjustRightInd w:val="0"/>
        <w:spacing w:line="360" w:lineRule="auto"/>
        <w:ind w:right="17" w:firstLine="482"/>
        <w:jc w:val="left"/>
        <w:outlineLvl w:val="1"/>
        <w:rPr>
          <w:rFonts w:hint="eastAsia" w:ascii="宋体" w:hAnsi="宋体" w:cs="宋体"/>
          <w:b/>
          <w:color w:val="000000"/>
          <w:sz w:val="24"/>
        </w:rPr>
      </w:pPr>
      <w:r>
        <w:rPr>
          <w:rFonts w:hint="eastAsia" w:ascii="宋体" w:hAnsi="宋体" w:cs="宋体"/>
          <w:b/>
          <w:color w:val="000000"/>
          <w:sz w:val="24"/>
        </w:rPr>
        <w:t>五、违约责任</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1.如任何一方不履行本合同义务或履行本合同义务不符合约定，应当承担继续履行、采取补救措施或者赔偿损失等违约责任。</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2.中标人在工作中如未勤勉尽责出现错误或疏漏并造成</w:t>
      </w:r>
      <w:r>
        <w:rPr>
          <w:rFonts w:hint="eastAsia" w:ascii="宋体" w:hAnsi="宋体" w:cs="宋体"/>
          <w:bCs/>
          <w:color w:val="000000"/>
          <w:sz w:val="24"/>
          <w:lang w:eastAsia="zh-CN"/>
        </w:rPr>
        <w:t>采购</w:t>
      </w:r>
      <w:r>
        <w:rPr>
          <w:rFonts w:hint="eastAsia" w:ascii="宋体" w:hAnsi="宋体" w:cs="宋体"/>
          <w:bCs/>
          <w:color w:val="000000"/>
          <w:sz w:val="24"/>
        </w:rPr>
        <w:t>人直接损失的，或者在工作中违反有关规范性法律文件的规定向</w:t>
      </w:r>
      <w:r>
        <w:rPr>
          <w:rFonts w:hint="eastAsia" w:ascii="宋体" w:hAnsi="宋体" w:cs="宋体"/>
          <w:bCs/>
          <w:color w:val="000000"/>
          <w:sz w:val="24"/>
          <w:lang w:eastAsia="zh-CN"/>
        </w:rPr>
        <w:t>采购</w:t>
      </w:r>
      <w:r>
        <w:rPr>
          <w:rFonts w:hint="eastAsia" w:ascii="宋体" w:hAnsi="宋体" w:cs="宋体"/>
          <w:bCs/>
          <w:color w:val="000000"/>
          <w:sz w:val="24"/>
        </w:rPr>
        <w:t>人提供错误的法律意见并造成</w:t>
      </w:r>
      <w:r>
        <w:rPr>
          <w:rFonts w:hint="eastAsia" w:ascii="宋体" w:hAnsi="宋体" w:cs="宋体"/>
          <w:bCs/>
          <w:color w:val="000000"/>
          <w:sz w:val="24"/>
          <w:lang w:eastAsia="zh-CN"/>
        </w:rPr>
        <w:t>采购</w:t>
      </w:r>
      <w:r>
        <w:rPr>
          <w:rFonts w:hint="eastAsia" w:ascii="宋体" w:hAnsi="宋体" w:cs="宋体"/>
          <w:bCs/>
          <w:color w:val="000000"/>
          <w:sz w:val="24"/>
        </w:rPr>
        <w:t>人直接损失的，</w:t>
      </w:r>
      <w:r>
        <w:rPr>
          <w:rFonts w:hint="eastAsia" w:ascii="宋体" w:hAnsi="宋体" w:cs="宋体"/>
          <w:bCs/>
          <w:color w:val="000000"/>
          <w:sz w:val="24"/>
          <w:lang w:eastAsia="zh-CN"/>
        </w:rPr>
        <w:t>采购</w:t>
      </w:r>
      <w:r>
        <w:rPr>
          <w:rFonts w:hint="eastAsia" w:ascii="宋体" w:hAnsi="宋体" w:cs="宋体"/>
          <w:bCs/>
          <w:color w:val="000000"/>
          <w:sz w:val="24"/>
        </w:rPr>
        <w:t>人有权视中标人已实际提供服务的工作量要求中标人退还部分或者全部已付的法律顾问费，同时，</w:t>
      </w:r>
      <w:r>
        <w:rPr>
          <w:rFonts w:hint="eastAsia" w:ascii="宋体" w:hAnsi="宋体" w:cs="宋体"/>
          <w:bCs/>
          <w:color w:val="000000"/>
          <w:sz w:val="24"/>
          <w:lang w:eastAsia="zh-CN"/>
        </w:rPr>
        <w:t>采购</w:t>
      </w:r>
      <w:r>
        <w:rPr>
          <w:rFonts w:hint="eastAsia" w:ascii="宋体" w:hAnsi="宋体" w:cs="宋体"/>
          <w:bCs/>
          <w:color w:val="000000"/>
          <w:sz w:val="24"/>
        </w:rPr>
        <w:t>人保留要求中标人依法赔偿损失的权利。</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3.如中标人未事先征得</w:t>
      </w:r>
      <w:r>
        <w:rPr>
          <w:rFonts w:hint="eastAsia" w:ascii="宋体" w:hAnsi="宋体" w:cs="宋体"/>
          <w:bCs/>
          <w:color w:val="000000"/>
          <w:sz w:val="24"/>
          <w:lang w:eastAsia="zh-CN"/>
        </w:rPr>
        <w:t>采购人</w:t>
      </w:r>
      <w:r>
        <w:rPr>
          <w:rFonts w:hint="eastAsia" w:ascii="宋体" w:hAnsi="宋体" w:cs="宋体"/>
          <w:bCs/>
          <w:color w:val="000000"/>
          <w:sz w:val="24"/>
        </w:rPr>
        <w:t>的同意，擅自更换项目团队成员，每擅自更换一人，中标人应向</w:t>
      </w:r>
      <w:r>
        <w:rPr>
          <w:rFonts w:hint="eastAsia" w:ascii="宋体" w:hAnsi="宋体" w:cs="宋体"/>
          <w:bCs/>
          <w:color w:val="000000"/>
          <w:sz w:val="24"/>
          <w:lang w:eastAsia="zh-CN"/>
        </w:rPr>
        <w:t>采购</w:t>
      </w:r>
      <w:r>
        <w:rPr>
          <w:rFonts w:hint="eastAsia" w:ascii="宋体" w:hAnsi="宋体" w:cs="宋体"/>
          <w:bCs/>
          <w:color w:val="000000"/>
          <w:sz w:val="24"/>
        </w:rPr>
        <w:t>人支付合同总价款5%的违约金。</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4.本合同履行期间，发生下述情形时，</w:t>
      </w:r>
      <w:r>
        <w:rPr>
          <w:rFonts w:hint="eastAsia" w:ascii="宋体" w:hAnsi="宋体" w:cs="宋体"/>
          <w:bCs/>
          <w:color w:val="000000"/>
          <w:sz w:val="24"/>
          <w:lang w:eastAsia="zh-CN"/>
        </w:rPr>
        <w:t>采购</w:t>
      </w:r>
      <w:r>
        <w:rPr>
          <w:rFonts w:hint="eastAsia" w:ascii="宋体" w:hAnsi="宋体" w:cs="宋体"/>
          <w:bCs/>
          <w:color w:val="000000"/>
          <w:sz w:val="24"/>
        </w:rPr>
        <w:t>人有权解除本合同并有权要求中标人退还</w:t>
      </w:r>
      <w:r>
        <w:rPr>
          <w:rFonts w:hint="eastAsia" w:ascii="宋体" w:hAnsi="宋体" w:cs="宋体"/>
          <w:bCs/>
          <w:color w:val="000000"/>
          <w:sz w:val="24"/>
          <w:lang w:eastAsia="zh-CN"/>
        </w:rPr>
        <w:t>采购</w:t>
      </w:r>
      <w:r>
        <w:rPr>
          <w:rFonts w:hint="eastAsia" w:ascii="宋体" w:hAnsi="宋体" w:cs="宋体"/>
          <w:bCs/>
          <w:color w:val="000000"/>
          <w:sz w:val="24"/>
        </w:rPr>
        <w:t>人已支付的全部款项</w:t>
      </w:r>
      <w:r>
        <w:rPr>
          <w:rFonts w:hint="eastAsia" w:ascii="宋体" w:hAnsi="宋体" w:cs="宋体"/>
          <w:bCs/>
          <w:color w:val="000000"/>
          <w:sz w:val="24"/>
          <w:lang w:eastAsia="zh-CN"/>
        </w:rPr>
        <w:t>，</w:t>
      </w:r>
      <w:r>
        <w:rPr>
          <w:rFonts w:hint="eastAsia" w:ascii="宋体" w:hAnsi="宋体" w:cs="宋体"/>
          <w:bCs/>
          <w:color w:val="000000"/>
          <w:sz w:val="24"/>
        </w:rPr>
        <w:t>中标人应在合同解除通知发出之日起10日内向</w:t>
      </w:r>
      <w:r>
        <w:rPr>
          <w:rFonts w:hint="eastAsia" w:ascii="宋体" w:hAnsi="宋体" w:cs="宋体"/>
          <w:bCs/>
          <w:color w:val="000000"/>
          <w:sz w:val="24"/>
          <w:lang w:eastAsia="zh-CN"/>
        </w:rPr>
        <w:t>采购</w:t>
      </w:r>
      <w:r>
        <w:rPr>
          <w:rFonts w:hint="eastAsia" w:ascii="宋体" w:hAnsi="宋体" w:cs="宋体"/>
          <w:bCs/>
          <w:color w:val="000000"/>
          <w:sz w:val="24"/>
        </w:rPr>
        <w:t>人支付合同总价款20%的违约金：</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（1）中标人未能按合同约定的日期(含协商延缓的日期)出具法律意见，延误时间超过15个工作日；</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（2）因中标人工作过错或重大过失的原因出具的错误意见导致</w:t>
      </w:r>
      <w:r>
        <w:rPr>
          <w:rFonts w:hint="eastAsia" w:ascii="宋体" w:hAnsi="宋体" w:cs="宋体"/>
          <w:bCs/>
          <w:color w:val="000000"/>
          <w:sz w:val="24"/>
          <w:lang w:eastAsia="zh-CN"/>
        </w:rPr>
        <w:t>采购</w:t>
      </w:r>
      <w:r>
        <w:rPr>
          <w:rFonts w:hint="eastAsia" w:ascii="宋体" w:hAnsi="宋体" w:cs="宋体"/>
          <w:bCs/>
          <w:color w:val="000000"/>
          <w:sz w:val="24"/>
        </w:rPr>
        <w:t>人据以作出的行政行为被提起行政复议、行政诉讼且被认定为不合法的（</w:t>
      </w:r>
      <w:r>
        <w:rPr>
          <w:rFonts w:hint="eastAsia" w:ascii="宋体" w:hAnsi="宋体" w:cs="宋体"/>
          <w:bCs/>
          <w:color w:val="000000"/>
          <w:sz w:val="24"/>
          <w:lang w:eastAsia="zh-CN"/>
        </w:rPr>
        <w:t>采购</w:t>
      </w:r>
      <w:r>
        <w:rPr>
          <w:rFonts w:hint="eastAsia" w:ascii="宋体" w:hAnsi="宋体" w:cs="宋体"/>
          <w:bCs/>
          <w:color w:val="000000"/>
          <w:sz w:val="24"/>
        </w:rPr>
        <w:t>人自身原因除外）；</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（3）中标人未按要求完成利益关系冲突审查义务或未报送审查结果，且出具的法律意见出现瑕疵、错误的，或中标人未按本合同约定主动回避的。</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（4）项目负责人未承担本合同项目实质性工作，或未经</w:t>
      </w:r>
      <w:r>
        <w:rPr>
          <w:rFonts w:hint="eastAsia" w:ascii="宋体" w:hAnsi="宋体" w:cs="宋体"/>
          <w:bCs/>
          <w:color w:val="000000"/>
          <w:sz w:val="24"/>
          <w:lang w:eastAsia="zh-CN"/>
        </w:rPr>
        <w:t>采购</w:t>
      </w:r>
      <w:r>
        <w:rPr>
          <w:rFonts w:hint="eastAsia" w:ascii="宋体" w:hAnsi="宋体" w:cs="宋体"/>
          <w:bCs/>
          <w:color w:val="000000"/>
          <w:sz w:val="24"/>
        </w:rPr>
        <w:t>人书面在先同意，中标人擅自更换项目负责人、团队核心人员或派驻人员的；</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（5）发现中标人派驻人员（包括派驻律师及派驻工作人员）未按照本合同要求在</w:t>
      </w:r>
      <w:r>
        <w:rPr>
          <w:rFonts w:hint="eastAsia" w:ascii="宋体" w:hAnsi="宋体" w:cs="宋体"/>
          <w:bCs/>
          <w:color w:val="000000"/>
          <w:sz w:val="24"/>
          <w:lang w:eastAsia="zh-CN"/>
        </w:rPr>
        <w:t>采购</w:t>
      </w:r>
      <w:r>
        <w:rPr>
          <w:rFonts w:hint="eastAsia" w:ascii="宋体" w:hAnsi="宋体" w:cs="宋体"/>
          <w:bCs/>
          <w:color w:val="000000"/>
          <w:sz w:val="24"/>
        </w:rPr>
        <w:t>人驻场工作，无故缺勤三次以上，</w:t>
      </w:r>
      <w:r>
        <w:rPr>
          <w:rFonts w:hint="eastAsia" w:ascii="宋体" w:hAnsi="宋体" w:cs="宋体"/>
          <w:bCs/>
          <w:color w:val="000000"/>
          <w:sz w:val="24"/>
          <w:lang w:eastAsia="zh-CN"/>
        </w:rPr>
        <w:t>采购</w:t>
      </w:r>
      <w:r>
        <w:rPr>
          <w:rFonts w:hint="eastAsia" w:ascii="宋体" w:hAnsi="宋体" w:cs="宋体"/>
          <w:bCs/>
          <w:color w:val="000000"/>
          <w:sz w:val="24"/>
        </w:rPr>
        <w:t>人有权通知中标人限期整改或更换派驻人员，期限届满中标人并未进行改善的；</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（6）未经</w:t>
      </w:r>
      <w:r>
        <w:rPr>
          <w:rFonts w:hint="eastAsia" w:ascii="宋体" w:hAnsi="宋体" w:cs="宋体"/>
          <w:bCs/>
          <w:color w:val="000000"/>
          <w:sz w:val="24"/>
          <w:lang w:eastAsia="zh-CN"/>
        </w:rPr>
        <w:t>采购</w:t>
      </w:r>
      <w:r>
        <w:rPr>
          <w:rFonts w:hint="eastAsia" w:ascii="宋体" w:hAnsi="宋体" w:cs="宋体"/>
          <w:bCs/>
          <w:color w:val="000000"/>
          <w:sz w:val="24"/>
        </w:rPr>
        <w:t>人书面在先同意，中标人擅自将合同项目与任何第三方合作，或将合同标的全部或部分擅自转包或分包给任何第三方，且未按</w:t>
      </w:r>
      <w:r>
        <w:rPr>
          <w:rFonts w:hint="eastAsia" w:ascii="宋体" w:hAnsi="宋体" w:cs="宋体"/>
          <w:bCs/>
          <w:color w:val="000000"/>
          <w:sz w:val="24"/>
          <w:lang w:eastAsia="zh-CN"/>
        </w:rPr>
        <w:t>采购</w:t>
      </w:r>
      <w:r>
        <w:rPr>
          <w:rFonts w:hint="eastAsia" w:ascii="宋体" w:hAnsi="宋体" w:cs="宋体"/>
          <w:bCs/>
          <w:color w:val="000000"/>
          <w:sz w:val="24"/>
        </w:rPr>
        <w:t>人的要求终止与第三方的协议的；</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（7）发现中标人或</w:t>
      </w:r>
      <w:r>
        <w:rPr>
          <w:rFonts w:hint="eastAsia" w:ascii="宋体" w:hAnsi="宋体" w:cs="宋体"/>
          <w:bCs/>
          <w:color w:val="000000"/>
          <w:sz w:val="24"/>
          <w:lang w:eastAsia="zh-CN"/>
        </w:rPr>
        <w:t>采购</w:t>
      </w:r>
      <w:r>
        <w:rPr>
          <w:rFonts w:hint="eastAsia" w:ascii="宋体" w:hAnsi="宋体" w:cs="宋体"/>
          <w:bCs/>
          <w:color w:val="000000"/>
          <w:sz w:val="24"/>
        </w:rPr>
        <w:t>人团队成员顾问律师出现全部或部分丧失履行委托服务能力的情况，</w:t>
      </w:r>
      <w:r>
        <w:rPr>
          <w:rFonts w:hint="eastAsia" w:ascii="宋体" w:hAnsi="宋体" w:cs="宋体"/>
          <w:bCs/>
          <w:color w:val="000000"/>
          <w:sz w:val="24"/>
          <w:lang w:eastAsia="zh-CN"/>
        </w:rPr>
        <w:t>采购</w:t>
      </w:r>
      <w:r>
        <w:rPr>
          <w:rFonts w:hint="eastAsia" w:ascii="宋体" w:hAnsi="宋体" w:cs="宋体"/>
          <w:bCs/>
          <w:color w:val="000000"/>
          <w:sz w:val="24"/>
        </w:rPr>
        <w:t>人有权通知中标人限期整改或更换顾问律师，期限届满中标人并未进行改善的；</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（8）中标人明确表示或者以自己的行为表明不履行本合同的。</w:t>
      </w:r>
    </w:p>
    <w:p>
      <w:pPr>
        <w:pStyle w:val="36"/>
        <w:tabs>
          <w:tab w:val="left" w:pos="720"/>
        </w:tabs>
        <w:autoSpaceDE w:val="0"/>
        <w:autoSpaceDN w:val="0"/>
        <w:adjustRightInd w:val="0"/>
        <w:spacing w:line="360" w:lineRule="auto"/>
        <w:ind w:right="17" w:firstLine="480"/>
        <w:jc w:val="left"/>
        <w:outlineLvl w:val="1"/>
        <w:rPr>
          <w:rFonts w:hint="eastAsia" w:ascii="宋体" w:hAnsi="宋体" w:cs="宋体"/>
          <w:bCs/>
          <w:color w:val="000000"/>
          <w:sz w:val="24"/>
        </w:rPr>
      </w:pPr>
      <w:r>
        <w:rPr>
          <w:rFonts w:hint="eastAsia" w:ascii="宋体" w:hAnsi="宋体" w:cs="宋体"/>
          <w:bCs/>
          <w:color w:val="000000"/>
          <w:sz w:val="24"/>
        </w:rPr>
        <w:t>5.除</w:t>
      </w:r>
      <w:r>
        <w:rPr>
          <w:rFonts w:hint="eastAsia" w:ascii="宋体" w:hAnsi="宋体" w:cs="宋体"/>
          <w:bCs/>
          <w:color w:val="000000"/>
          <w:sz w:val="24"/>
          <w:lang w:eastAsia="zh-CN"/>
        </w:rPr>
        <w:t>采购</w:t>
      </w:r>
      <w:r>
        <w:rPr>
          <w:rFonts w:hint="eastAsia" w:ascii="宋体" w:hAnsi="宋体" w:cs="宋体"/>
          <w:bCs/>
          <w:color w:val="000000"/>
          <w:sz w:val="24"/>
        </w:rPr>
        <w:t>人付款审批影响支付进度外，如</w:t>
      </w:r>
      <w:r>
        <w:rPr>
          <w:rFonts w:hint="eastAsia" w:ascii="宋体" w:hAnsi="宋体" w:cs="宋体"/>
          <w:bCs/>
          <w:color w:val="000000"/>
          <w:sz w:val="24"/>
          <w:lang w:eastAsia="zh-CN"/>
        </w:rPr>
        <w:t>采购</w:t>
      </w:r>
      <w:r>
        <w:rPr>
          <w:rFonts w:hint="eastAsia" w:ascii="宋体" w:hAnsi="宋体" w:cs="宋体"/>
          <w:bCs/>
          <w:color w:val="000000"/>
          <w:sz w:val="24"/>
        </w:rPr>
        <w:t>人未按照本合同约定的时间支付服务费，中标人书面催告</w:t>
      </w:r>
      <w:r>
        <w:rPr>
          <w:rFonts w:hint="eastAsia" w:ascii="宋体" w:hAnsi="宋体" w:cs="宋体"/>
          <w:bCs/>
          <w:color w:val="000000"/>
          <w:sz w:val="24"/>
          <w:lang w:eastAsia="zh-CN"/>
        </w:rPr>
        <w:t>采购</w:t>
      </w:r>
      <w:r>
        <w:rPr>
          <w:rFonts w:hint="eastAsia" w:ascii="宋体" w:hAnsi="宋体" w:cs="宋体"/>
          <w:bCs/>
          <w:color w:val="000000"/>
          <w:sz w:val="24"/>
        </w:rPr>
        <w:t>人并给予不少于5个工作日的履行期限后</w:t>
      </w:r>
      <w:r>
        <w:rPr>
          <w:rFonts w:hint="eastAsia" w:ascii="宋体" w:hAnsi="宋体" w:cs="宋体"/>
          <w:bCs/>
          <w:color w:val="000000"/>
          <w:sz w:val="24"/>
          <w:lang w:eastAsia="zh-CN"/>
        </w:rPr>
        <w:t>采购</w:t>
      </w:r>
      <w:r>
        <w:rPr>
          <w:rFonts w:hint="eastAsia" w:ascii="宋体" w:hAnsi="宋体" w:cs="宋体"/>
          <w:bCs/>
          <w:color w:val="000000"/>
          <w:sz w:val="24"/>
        </w:rPr>
        <w:t>人仍未支付的，中标人有权自该期限届满之日起要求</w:t>
      </w:r>
      <w:r>
        <w:rPr>
          <w:rFonts w:hint="eastAsia" w:ascii="宋体" w:hAnsi="宋体" w:cs="宋体"/>
          <w:bCs/>
          <w:color w:val="000000"/>
          <w:sz w:val="24"/>
          <w:lang w:eastAsia="zh-CN"/>
        </w:rPr>
        <w:t>采购</w:t>
      </w:r>
      <w:r>
        <w:rPr>
          <w:rFonts w:hint="eastAsia" w:ascii="宋体" w:hAnsi="宋体" w:cs="宋体"/>
          <w:bCs/>
          <w:color w:val="000000"/>
          <w:sz w:val="24"/>
        </w:rPr>
        <w:t>人支付应付而未付合同价款每日3‰的逾期违约金。如</w:t>
      </w:r>
      <w:r>
        <w:rPr>
          <w:rFonts w:hint="eastAsia" w:ascii="宋体" w:hAnsi="宋体" w:cs="宋体"/>
          <w:bCs/>
          <w:color w:val="000000"/>
          <w:sz w:val="24"/>
          <w:lang w:eastAsia="zh-CN"/>
        </w:rPr>
        <w:t>采购</w:t>
      </w:r>
      <w:r>
        <w:rPr>
          <w:rFonts w:hint="eastAsia" w:ascii="宋体" w:hAnsi="宋体" w:cs="宋体"/>
          <w:bCs/>
          <w:color w:val="000000"/>
          <w:sz w:val="24"/>
        </w:rPr>
        <w:t>人无正当理由拒绝接受服务，到期明确表示拒付服务款项，中标人有权要求</w:t>
      </w:r>
      <w:r>
        <w:rPr>
          <w:rFonts w:hint="eastAsia" w:ascii="宋体" w:hAnsi="宋体" w:cs="宋体"/>
          <w:bCs/>
          <w:color w:val="000000"/>
          <w:sz w:val="24"/>
          <w:lang w:eastAsia="zh-CN"/>
        </w:rPr>
        <w:t>采购</w:t>
      </w:r>
      <w:r>
        <w:rPr>
          <w:rFonts w:hint="eastAsia" w:ascii="宋体" w:hAnsi="宋体" w:cs="宋体"/>
          <w:bCs/>
          <w:color w:val="000000"/>
          <w:sz w:val="24"/>
        </w:rPr>
        <w:t>人支付本合同项下服务费总金额20%的违约金。</w:t>
      </w:r>
    </w:p>
    <w:bookmarkEnd w:id="25"/>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br w:type="page"/>
      </w:r>
    </w:p>
    <w:p>
      <w:pPr>
        <w:widowControl/>
        <w:spacing w:line="360" w:lineRule="auto"/>
        <w:ind w:firstLine="482" w:firstLineChars="200"/>
        <w:jc w:val="center"/>
        <w:outlineLvl w:val="0"/>
        <w:rPr>
          <w:rFonts w:ascii="宋体" w:cs="宋体"/>
          <w:b/>
          <w:bCs/>
          <w:color w:val="000000"/>
          <w:sz w:val="24"/>
        </w:rPr>
      </w:pPr>
      <w:bookmarkStart w:id="26" w:name="_Toc23822"/>
      <w:r>
        <w:rPr>
          <w:rFonts w:hint="eastAsia" w:ascii="宋体" w:cs="宋体"/>
          <w:b/>
          <w:bCs/>
          <w:color w:val="000000"/>
          <w:sz w:val="24"/>
        </w:rPr>
        <w:t>第六章 投标文件初审及招标项目评分表</w:t>
      </w:r>
      <w:bookmarkEnd w:id="26"/>
    </w:p>
    <w:p>
      <w:pPr>
        <w:spacing w:line="360" w:lineRule="auto"/>
        <w:jc w:val="center"/>
        <w:rPr>
          <w:rFonts w:ascii="宋体" w:hAnsi="宋体" w:cs="宋体"/>
          <w:b/>
          <w:color w:val="000000"/>
          <w:sz w:val="24"/>
        </w:rPr>
      </w:pPr>
    </w:p>
    <w:p>
      <w:pPr>
        <w:spacing w:line="360" w:lineRule="auto"/>
        <w:jc w:val="center"/>
        <w:rPr>
          <w:rFonts w:ascii="宋体" w:hAnsi="宋体" w:cs="宋体"/>
          <w:b/>
          <w:color w:val="000000"/>
          <w:sz w:val="24"/>
        </w:rPr>
      </w:pPr>
      <w:r>
        <w:rPr>
          <w:rFonts w:hint="eastAsia" w:ascii="宋体" w:hAnsi="宋体" w:cs="宋体"/>
          <w:b/>
          <w:color w:val="000000"/>
          <w:sz w:val="24"/>
        </w:rPr>
        <w:t>投标文件初审表（不可偏离条款）</w:t>
      </w:r>
    </w:p>
    <w:p>
      <w:pPr>
        <w:spacing w:line="360" w:lineRule="auto"/>
        <w:jc w:val="center"/>
        <w:rPr>
          <w:rFonts w:ascii="宋体" w:hAnsi="宋体" w:cs="宋体"/>
          <w:b/>
          <w:color w:val="000000"/>
          <w:sz w:val="24"/>
        </w:rPr>
      </w:pPr>
      <w:r>
        <w:rPr>
          <w:rFonts w:hint="eastAsia" w:ascii="宋体" w:hAnsi="宋体" w:cs="宋体"/>
          <w:b/>
          <w:color w:val="000000"/>
          <w:sz w:val="24"/>
        </w:rPr>
        <w:t>（凡有下列情形之一的，投标文件无效，投标作废标处理）</w:t>
      </w:r>
    </w:p>
    <w:tbl>
      <w:tblPr>
        <w:tblStyle w:val="20"/>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center"/>
          </w:tcPr>
          <w:p>
            <w:pPr>
              <w:jc w:val="center"/>
              <w:rPr>
                <w:rFonts w:hint="eastAsia" w:ascii="宋体" w:hAnsi="宋体" w:cs="宋体"/>
                <w:sz w:val="24"/>
              </w:rPr>
            </w:pPr>
            <w:r>
              <w:rPr>
                <w:rFonts w:hint="eastAsia" w:ascii="宋体" w:hAnsi="宋体" w:cs="宋体"/>
                <w:b/>
                <w:bCs/>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jc w:val="center"/>
              <w:rPr>
                <w:rFonts w:hint="eastAsia" w:ascii="宋体" w:hAnsi="宋体" w:cs="宋体"/>
                <w:sz w:val="24"/>
              </w:rPr>
            </w:pPr>
            <w:r>
              <w:rPr>
                <w:rFonts w:hint="eastAsia" w:ascii="宋体" w:hAnsi="宋体" w:cs="宋体"/>
                <w:sz w:val="24"/>
              </w:rPr>
              <w:t>1</w:t>
            </w:r>
          </w:p>
        </w:tc>
        <w:tc>
          <w:tcPr>
            <w:tcW w:w="7108" w:type="dxa"/>
            <w:noWrap w:val="0"/>
            <w:vAlign w:val="center"/>
          </w:tcPr>
          <w:p>
            <w:pPr>
              <w:rPr>
                <w:rFonts w:hint="eastAsia" w:ascii="宋体" w:hAnsi="宋体" w:cs="宋体"/>
                <w:sz w:val="24"/>
              </w:rPr>
            </w:pPr>
            <w:r>
              <w:rPr>
                <w:rFonts w:hint="eastAsia" w:ascii="宋体" w:hAnsi="宋体" w:cs="宋体"/>
                <w:sz w:val="24"/>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center"/>
          </w:tcPr>
          <w:p>
            <w:pPr>
              <w:jc w:val="center"/>
              <w:rPr>
                <w:rFonts w:hint="eastAsia" w:ascii="宋体" w:hAnsi="宋体" w:cs="宋体"/>
                <w:sz w:val="24"/>
              </w:rPr>
            </w:pPr>
            <w:r>
              <w:rPr>
                <w:rFonts w:hint="eastAsia" w:ascii="宋体" w:hAnsi="宋体" w:cs="宋体"/>
                <w:b/>
                <w:bCs/>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jc w:val="center"/>
              <w:rPr>
                <w:rFonts w:hint="eastAsia" w:ascii="宋体" w:hAnsi="宋体" w:cs="宋体"/>
                <w:sz w:val="24"/>
              </w:rPr>
            </w:pPr>
            <w:r>
              <w:rPr>
                <w:rFonts w:hint="eastAsia" w:ascii="宋体" w:hAnsi="宋体" w:cs="宋体"/>
                <w:sz w:val="24"/>
              </w:rPr>
              <w:t>2</w:t>
            </w:r>
          </w:p>
        </w:tc>
        <w:tc>
          <w:tcPr>
            <w:tcW w:w="7108" w:type="dxa"/>
            <w:noWrap w:val="0"/>
            <w:vAlign w:val="center"/>
          </w:tcPr>
          <w:p>
            <w:pPr>
              <w:rPr>
                <w:rFonts w:hint="eastAsia" w:ascii="宋体" w:hAnsi="宋体" w:cs="宋体"/>
                <w:sz w:val="24"/>
              </w:rPr>
            </w:pPr>
            <w:r>
              <w:rPr>
                <w:rFonts w:hint="eastAsia" w:ascii="宋体" w:hAnsi="宋体" w:cs="宋体"/>
                <w:sz w:val="24"/>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jc w:val="center"/>
              <w:rPr>
                <w:rFonts w:hint="eastAsia" w:ascii="宋体" w:hAnsi="宋体" w:cs="宋体"/>
                <w:sz w:val="24"/>
              </w:rPr>
            </w:pPr>
            <w:r>
              <w:rPr>
                <w:rFonts w:hint="eastAsia" w:ascii="宋体" w:hAnsi="宋体" w:cs="宋体"/>
                <w:sz w:val="24"/>
              </w:rPr>
              <w:t>3</w:t>
            </w:r>
          </w:p>
        </w:tc>
        <w:tc>
          <w:tcPr>
            <w:tcW w:w="7108" w:type="dxa"/>
            <w:noWrap w:val="0"/>
            <w:vAlign w:val="center"/>
          </w:tcPr>
          <w:p>
            <w:pPr>
              <w:rPr>
                <w:rFonts w:hint="eastAsia" w:ascii="宋体" w:hAnsi="宋体" w:cs="宋体"/>
                <w:sz w:val="24"/>
              </w:rPr>
            </w:pPr>
            <w:r>
              <w:rPr>
                <w:rFonts w:hint="eastAsia" w:ascii="宋体" w:hAnsi="宋体" w:cs="宋体"/>
                <w:sz w:val="24"/>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jc w:val="center"/>
              <w:rPr>
                <w:rFonts w:hint="eastAsia" w:ascii="宋体" w:hAnsi="宋体" w:cs="宋体"/>
                <w:sz w:val="24"/>
              </w:rPr>
            </w:pPr>
            <w:r>
              <w:rPr>
                <w:rFonts w:hint="eastAsia" w:ascii="宋体" w:hAnsi="宋体" w:cs="宋体"/>
                <w:sz w:val="24"/>
              </w:rPr>
              <w:t>4</w:t>
            </w:r>
          </w:p>
        </w:tc>
        <w:tc>
          <w:tcPr>
            <w:tcW w:w="7108" w:type="dxa"/>
            <w:noWrap w:val="0"/>
            <w:vAlign w:val="center"/>
          </w:tcPr>
          <w:p>
            <w:pPr>
              <w:rPr>
                <w:rFonts w:hint="eastAsia" w:ascii="宋体" w:hAnsi="宋体" w:cs="宋体"/>
                <w:b/>
                <w:bCs/>
                <w:sz w:val="24"/>
              </w:rPr>
            </w:pPr>
            <w:r>
              <w:rPr>
                <w:rFonts w:hint="eastAsia" w:ascii="宋体" w:hAnsi="宋体" w:cs="宋体"/>
                <w:sz w:val="24"/>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jc w:val="center"/>
              <w:rPr>
                <w:rFonts w:hint="eastAsia" w:ascii="宋体" w:hAnsi="宋体" w:cs="宋体"/>
                <w:sz w:val="24"/>
              </w:rPr>
            </w:pPr>
            <w:r>
              <w:rPr>
                <w:rFonts w:hint="eastAsia" w:ascii="宋体" w:hAnsi="宋体" w:cs="宋体"/>
                <w:sz w:val="24"/>
              </w:rPr>
              <w:t>5</w:t>
            </w:r>
          </w:p>
        </w:tc>
        <w:tc>
          <w:tcPr>
            <w:tcW w:w="7108" w:type="dxa"/>
            <w:noWrap w:val="0"/>
            <w:vAlign w:val="center"/>
          </w:tcPr>
          <w:p>
            <w:pPr>
              <w:rPr>
                <w:rFonts w:hint="eastAsia" w:ascii="宋体" w:hAnsi="宋体" w:cs="宋体"/>
                <w:sz w:val="24"/>
              </w:rPr>
            </w:pPr>
            <w:r>
              <w:rPr>
                <w:rFonts w:hint="eastAsia" w:ascii="宋体" w:hAnsi="宋体" w:cs="宋体"/>
                <w:sz w:val="24"/>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jc w:val="center"/>
              <w:rPr>
                <w:rFonts w:hint="eastAsia" w:ascii="宋体" w:hAnsi="宋体" w:cs="宋体"/>
                <w:sz w:val="24"/>
              </w:rPr>
            </w:pPr>
            <w:r>
              <w:rPr>
                <w:rFonts w:hint="eastAsia" w:ascii="宋体" w:hAnsi="宋体" w:cs="宋体"/>
                <w:sz w:val="24"/>
              </w:rPr>
              <w:t>6</w:t>
            </w:r>
          </w:p>
        </w:tc>
        <w:tc>
          <w:tcPr>
            <w:tcW w:w="7108" w:type="dxa"/>
            <w:noWrap w:val="0"/>
            <w:vAlign w:val="center"/>
          </w:tcPr>
          <w:p>
            <w:pPr>
              <w:rPr>
                <w:rFonts w:hint="eastAsia" w:ascii="宋体" w:hAnsi="宋体" w:cs="宋体"/>
                <w:sz w:val="24"/>
              </w:rPr>
            </w:pPr>
            <w:r>
              <w:rPr>
                <w:rFonts w:hint="eastAsia" w:ascii="宋体" w:hAnsi="宋体" w:cs="宋体"/>
                <w:sz w:val="24"/>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jc w:val="center"/>
              <w:rPr>
                <w:rFonts w:hint="eastAsia" w:ascii="宋体" w:hAnsi="宋体" w:cs="宋体"/>
                <w:sz w:val="24"/>
              </w:rPr>
            </w:pPr>
            <w:r>
              <w:rPr>
                <w:rFonts w:hint="eastAsia" w:ascii="宋体" w:hAnsi="宋体" w:cs="宋体"/>
                <w:sz w:val="24"/>
              </w:rPr>
              <w:t>7</w:t>
            </w:r>
          </w:p>
        </w:tc>
        <w:tc>
          <w:tcPr>
            <w:tcW w:w="7108" w:type="dxa"/>
            <w:noWrap w:val="0"/>
            <w:vAlign w:val="center"/>
          </w:tcPr>
          <w:p>
            <w:pPr>
              <w:rPr>
                <w:rFonts w:hint="eastAsia" w:ascii="宋体" w:hAnsi="宋体" w:cs="宋体"/>
                <w:sz w:val="24"/>
              </w:rPr>
            </w:pPr>
            <w:r>
              <w:rPr>
                <w:rFonts w:hint="eastAsia" w:ascii="宋体" w:hAnsi="宋体" w:cs="宋体"/>
                <w:sz w:val="24"/>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jc w:val="center"/>
              <w:rPr>
                <w:rFonts w:hint="eastAsia" w:ascii="宋体" w:hAnsi="宋体" w:cs="宋体"/>
                <w:sz w:val="24"/>
              </w:rPr>
            </w:pPr>
            <w:r>
              <w:rPr>
                <w:rFonts w:hint="eastAsia" w:ascii="宋体" w:hAnsi="宋体" w:cs="宋体"/>
                <w:sz w:val="24"/>
              </w:rPr>
              <w:t>8</w:t>
            </w:r>
          </w:p>
        </w:tc>
        <w:tc>
          <w:tcPr>
            <w:tcW w:w="7108" w:type="dxa"/>
            <w:noWrap w:val="0"/>
            <w:vAlign w:val="center"/>
          </w:tcPr>
          <w:p>
            <w:pPr>
              <w:rPr>
                <w:rFonts w:hint="eastAsia" w:ascii="宋体" w:hAnsi="宋体" w:cs="宋体"/>
                <w:sz w:val="24"/>
              </w:rPr>
            </w:pPr>
            <w:r>
              <w:rPr>
                <w:rFonts w:hint="eastAsia" w:ascii="宋体" w:hAnsi="宋体" w:cs="宋体"/>
                <w:sz w:val="24"/>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jc w:val="center"/>
              <w:rPr>
                <w:rFonts w:hint="eastAsia" w:ascii="宋体" w:hAnsi="宋体" w:cs="宋体"/>
                <w:sz w:val="24"/>
              </w:rPr>
            </w:pPr>
            <w:r>
              <w:rPr>
                <w:rFonts w:hint="eastAsia" w:ascii="宋体" w:hAnsi="宋体" w:cs="宋体"/>
                <w:sz w:val="24"/>
              </w:rPr>
              <w:t>9</w:t>
            </w:r>
          </w:p>
        </w:tc>
        <w:tc>
          <w:tcPr>
            <w:tcW w:w="7108" w:type="dxa"/>
            <w:noWrap w:val="0"/>
            <w:vAlign w:val="center"/>
          </w:tcPr>
          <w:p>
            <w:pPr>
              <w:rPr>
                <w:rFonts w:hint="eastAsia" w:ascii="宋体" w:hAnsi="宋体" w:cs="宋体"/>
                <w:sz w:val="24"/>
              </w:rPr>
            </w:pPr>
            <w:r>
              <w:rPr>
                <w:rFonts w:hint="eastAsia" w:ascii="宋体" w:hAnsi="宋体" w:cs="宋体"/>
                <w:sz w:val="24"/>
              </w:rPr>
              <w:t>未出现“所投货物或工程或服务在质量、技术、方案等方面没有实质性满足招标文件要求”的情形</w:t>
            </w:r>
          </w:p>
          <w:p>
            <w:pPr>
              <w:rPr>
                <w:rFonts w:hint="eastAsia" w:ascii="宋体" w:hAnsi="宋体" w:cs="宋体"/>
                <w:b/>
                <w:bCs/>
                <w:sz w:val="24"/>
              </w:rPr>
            </w:pPr>
            <w:r>
              <w:rPr>
                <w:rFonts w:hint="eastAsia" w:ascii="宋体" w:hAnsi="宋体" w:cs="宋体"/>
                <w:sz w:val="24"/>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jc w:val="center"/>
              <w:rPr>
                <w:rFonts w:hint="eastAsia" w:ascii="宋体" w:hAnsi="宋体" w:cs="宋体"/>
                <w:sz w:val="24"/>
              </w:rPr>
            </w:pPr>
            <w:r>
              <w:rPr>
                <w:rFonts w:hint="eastAsia" w:ascii="宋体" w:hAnsi="宋体" w:cs="宋体"/>
                <w:sz w:val="24"/>
              </w:rPr>
              <w:t>10</w:t>
            </w:r>
          </w:p>
        </w:tc>
        <w:tc>
          <w:tcPr>
            <w:tcW w:w="7108" w:type="dxa"/>
            <w:noWrap w:val="0"/>
            <w:vAlign w:val="center"/>
          </w:tcPr>
          <w:p>
            <w:pPr>
              <w:rPr>
                <w:rFonts w:hint="eastAsia" w:ascii="宋体" w:hAnsi="宋体" w:cs="宋体"/>
                <w:sz w:val="24"/>
              </w:rPr>
            </w:pPr>
            <w:r>
              <w:rPr>
                <w:rFonts w:hint="eastAsia" w:ascii="宋体" w:hAnsi="宋体" w:cs="宋体"/>
                <w:sz w:val="24"/>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11</w:t>
            </w:r>
          </w:p>
        </w:tc>
        <w:tc>
          <w:tcPr>
            <w:tcW w:w="7108" w:type="dxa"/>
            <w:noWrap w:val="0"/>
            <w:vAlign w:val="center"/>
          </w:tcPr>
          <w:p>
            <w:pPr>
              <w:rPr>
                <w:rFonts w:hint="eastAsia" w:ascii="宋体" w:hAnsi="宋体" w:cs="宋体"/>
                <w:b/>
                <w:bCs/>
                <w:sz w:val="24"/>
              </w:rPr>
            </w:pPr>
            <w:r>
              <w:rPr>
                <w:rFonts w:hint="eastAsia" w:ascii="宋体" w:hAnsi="宋体" w:cs="宋体"/>
                <w:b/>
                <w:bCs/>
                <w:sz w:val="24"/>
              </w:rPr>
              <w:t>报价合理性审查</w:t>
            </w:r>
          </w:p>
          <w:p>
            <w:pPr>
              <w:rPr>
                <w:rFonts w:hint="eastAsia" w:ascii="宋体" w:hAnsi="宋体" w:cs="宋体"/>
                <w:sz w:val="24"/>
              </w:rPr>
            </w:pPr>
            <w:r>
              <w:rPr>
                <w:rFonts w:hint="eastAsia" w:ascii="宋体" w:hAnsi="宋体" w:cs="宋体"/>
                <w:sz w:val="24"/>
              </w:rPr>
              <w:t>供应商出现下列情形之一的，评审委员会应当启动异常低价投标（响应）审查程序，要求相关供应商在评标现场合理的时间内提供书面说明及必要的相关证明材料，对投标（响应）价格作出解释（书面说明、证明材料主要是项目具体成本测算等与报价合理性相关的说明、材料）：</w:t>
            </w:r>
          </w:p>
          <w:p>
            <w:pPr>
              <w:rPr>
                <w:rFonts w:hint="eastAsia" w:ascii="宋体" w:hAnsi="宋体" w:cs="宋体"/>
                <w:sz w:val="24"/>
              </w:rPr>
            </w:pPr>
            <w:r>
              <w:rPr>
                <w:rFonts w:hint="eastAsia" w:ascii="宋体" w:hAnsi="宋体" w:cs="宋体"/>
                <w:sz w:val="24"/>
              </w:rPr>
              <w:t>（一）投标（响应）报价低于全部通过符合性审查供应商投标（响应）报价平均值50%的，即投标（响应）报价&lt;全部通过符合性审查供应商投标（响应）报价平均值×50%；</w:t>
            </w:r>
          </w:p>
          <w:p>
            <w:pPr>
              <w:rPr>
                <w:rFonts w:hint="eastAsia" w:ascii="宋体" w:hAnsi="宋体" w:cs="宋体"/>
                <w:sz w:val="24"/>
              </w:rPr>
            </w:pPr>
            <w:r>
              <w:rPr>
                <w:rFonts w:hint="eastAsia" w:ascii="宋体" w:hAnsi="宋体" w:cs="宋体"/>
                <w:sz w:val="24"/>
              </w:rPr>
              <w:t>（二）投标（响应）报价低于通过符合性审查且报价次低供应商投标（响应）报价50%的，即投标（响应）报价&lt;通过符合性审查且报价次低供应商投标（响应）报价×50%；</w:t>
            </w:r>
          </w:p>
          <w:p>
            <w:pPr>
              <w:rPr>
                <w:rFonts w:hint="eastAsia" w:ascii="宋体" w:hAnsi="宋体" w:cs="宋体"/>
                <w:sz w:val="24"/>
              </w:rPr>
            </w:pPr>
            <w:r>
              <w:rPr>
                <w:rFonts w:hint="eastAsia" w:ascii="宋体" w:hAnsi="宋体" w:cs="宋体"/>
                <w:sz w:val="24"/>
              </w:rPr>
              <w:t>（三）投标（响应）报价低于采购项目最高限价45%的，即投标（响应）报价&lt;采购项目最高限价×45%；</w:t>
            </w:r>
          </w:p>
          <w:p>
            <w:pPr>
              <w:rPr>
                <w:rFonts w:hint="eastAsia" w:ascii="宋体" w:hAnsi="宋体" w:cs="宋体"/>
                <w:sz w:val="24"/>
              </w:rPr>
            </w:pPr>
            <w:r>
              <w:rPr>
                <w:rFonts w:hint="eastAsia" w:ascii="宋体" w:hAnsi="宋体" w:cs="宋体"/>
                <w:sz w:val="24"/>
              </w:rPr>
              <w:t>（四）其他评审委员会认为供应商报价过低，有可能影响产品质量或者不能诚信履约的情形。</w:t>
            </w:r>
          </w:p>
          <w:p>
            <w:pPr>
              <w:rPr>
                <w:rFonts w:hint="eastAsia" w:ascii="宋体" w:hAnsi="宋体" w:cs="宋体"/>
                <w:sz w:val="24"/>
              </w:rPr>
            </w:pPr>
            <w:r>
              <w:rPr>
                <w:rFonts w:hint="eastAsia" w:ascii="宋体" w:hAnsi="宋体" w:cs="宋体"/>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2</w:t>
            </w:r>
          </w:p>
        </w:tc>
        <w:tc>
          <w:tcPr>
            <w:tcW w:w="7108" w:type="dxa"/>
            <w:noWrap w:val="0"/>
            <w:vAlign w:val="center"/>
          </w:tcPr>
          <w:p>
            <w:pPr>
              <w:rPr>
                <w:rFonts w:hint="eastAsia" w:ascii="宋体" w:hAnsi="宋体" w:cs="宋体"/>
                <w:sz w:val="24"/>
              </w:rPr>
            </w:pPr>
            <w:r>
              <w:rPr>
                <w:rFonts w:hint="eastAsia" w:ascii="宋体" w:hAnsi="宋体" w:cs="宋体"/>
                <w:sz w:val="24"/>
              </w:rPr>
              <w:t>未出现法律、法规规定的其他情形</w:t>
            </w:r>
          </w:p>
        </w:tc>
      </w:tr>
    </w:tbl>
    <w:p>
      <w:pPr>
        <w:spacing w:line="360" w:lineRule="auto"/>
        <w:jc w:val="center"/>
        <w:rPr>
          <w:rFonts w:hint="eastAsia" w:ascii="宋体" w:hAnsi="宋体" w:cs="宋体"/>
          <w:b/>
          <w:bCs/>
          <w:color w:val="000000"/>
          <w:sz w:val="24"/>
        </w:rPr>
      </w:pPr>
      <w:r>
        <w:rPr>
          <w:rFonts w:hint="eastAsia" w:ascii="宋体" w:hAnsi="宋体" w:cs="宋体"/>
          <w:b/>
          <w:bCs/>
          <w:color w:val="000000"/>
          <w:sz w:val="24"/>
        </w:rPr>
        <w:br w:type="page"/>
      </w:r>
      <w:r>
        <w:rPr>
          <w:rFonts w:hint="eastAsia" w:ascii="宋体" w:hAnsi="宋体" w:cs="宋体"/>
          <w:b/>
          <w:bCs/>
          <w:color w:val="000000"/>
          <w:sz w:val="24"/>
        </w:rPr>
        <w:t>招标项目评分表</w:t>
      </w:r>
    </w:p>
    <w:tbl>
      <w:tblPr>
        <w:tblStyle w:val="20"/>
        <w:tblW w:w="9347" w:type="dxa"/>
        <w:jc w:val="center"/>
        <w:tblCellSpacing w:w="0" w:type="dxa"/>
        <w:tblLayout w:type="fixed"/>
        <w:tblCellMar>
          <w:top w:w="45" w:type="dxa"/>
          <w:left w:w="45" w:type="dxa"/>
          <w:bottom w:w="45" w:type="dxa"/>
          <w:right w:w="45" w:type="dxa"/>
        </w:tblCellMar>
      </w:tblPr>
      <w:tblGrid>
        <w:gridCol w:w="9347"/>
      </w:tblGrid>
      <w:tr>
        <w:tblPrEx>
          <w:tblCellMar>
            <w:top w:w="45" w:type="dxa"/>
            <w:left w:w="45" w:type="dxa"/>
            <w:bottom w:w="45" w:type="dxa"/>
            <w:right w:w="45" w:type="dxa"/>
          </w:tblCellMar>
        </w:tblPrEx>
        <w:trPr>
          <w:tblCellSpacing w:w="0" w:type="dxa"/>
          <w:jc w:val="center"/>
        </w:trPr>
        <w:tc>
          <w:tcPr>
            <w:tcW w:w="9072" w:type="dxa"/>
            <w:tcBorders>
              <w:top w:val="nil"/>
              <w:left w:val="nil"/>
              <w:bottom w:val="nil"/>
              <w:right w:val="nil"/>
            </w:tcBorders>
            <w:noWrap w:val="0"/>
            <w:vAlign w:val="center"/>
          </w:tcPr>
          <w:p>
            <w:pPr>
              <w:jc w:val="left"/>
              <w:rPr>
                <w:rFonts w:hint="eastAsia" w:ascii="宋体" w:hAnsi="宋体" w:cs="宋体"/>
                <w:b/>
                <w:bCs/>
                <w:sz w:val="24"/>
              </w:rPr>
            </w:pPr>
            <w:r>
              <w:rPr>
                <w:rFonts w:hint="eastAsia" w:ascii="宋体" w:hAnsi="宋体" w:cs="宋体"/>
                <w:b/>
                <w:bCs/>
                <w:sz w:val="24"/>
              </w:rPr>
              <w:t>评标方法：综合评分法</w:t>
            </w:r>
          </w:p>
        </w:tc>
      </w:tr>
      <w:tr>
        <w:tblPrEx>
          <w:tblCellMar>
            <w:top w:w="45" w:type="dxa"/>
            <w:left w:w="45" w:type="dxa"/>
            <w:bottom w:w="45" w:type="dxa"/>
            <w:right w:w="45" w:type="dxa"/>
          </w:tblCellMar>
        </w:tblPrEx>
        <w:trPr>
          <w:tblCellSpacing w:w="0" w:type="dxa"/>
          <w:jc w:val="center"/>
        </w:trPr>
        <w:tc>
          <w:tcPr>
            <w:tcW w:w="9072" w:type="dxa"/>
            <w:tcBorders>
              <w:top w:val="nil"/>
              <w:left w:val="nil"/>
              <w:bottom w:val="nil"/>
              <w:right w:val="nil"/>
            </w:tcBorders>
            <w:noWrap w:val="0"/>
            <w:vAlign w:val="center"/>
          </w:tcPr>
          <w:p>
            <w:pPr>
              <w:pStyle w:val="16"/>
              <w:spacing w:before="0" w:beforeAutospacing="0" w:after="0" w:afterAutospacing="0"/>
              <w:ind w:firstLine="420"/>
              <w:rPr>
                <w:rFonts w:hint="eastAsia"/>
              </w:rPr>
            </w:pPr>
            <w:r>
              <w:rPr>
                <w:rFonts w:hint="eastAsia"/>
              </w:rPr>
              <w:t xml:space="preserve">综合评分法，是指投标文件满足招标文件全部实质性要求，且按照评审因素的量化指标评审得分最高的投标人为中标候选人的评标方法。 </w:t>
            </w:r>
          </w:p>
          <w:p>
            <w:pPr>
              <w:pStyle w:val="16"/>
              <w:spacing w:before="0" w:beforeAutospacing="0" w:after="0" w:afterAutospacing="0"/>
              <w:ind w:firstLine="420"/>
              <w:rPr>
                <w:rFonts w:hint="eastAsia"/>
              </w:rPr>
            </w:pPr>
            <w:r>
              <w:rPr>
                <w:rFonts w:hint="eastAsia"/>
              </w:rPr>
              <w:t>价格分计算方法：</w:t>
            </w:r>
          </w:p>
          <w:p>
            <w:pPr>
              <w:pStyle w:val="16"/>
              <w:spacing w:before="0" w:beforeAutospacing="0" w:after="0" w:afterAutospacing="0"/>
              <w:ind w:firstLine="420"/>
              <w:rPr>
                <w:rFonts w:hint="eastAsia"/>
              </w:rPr>
            </w:pPr>
            <w:r>
              <w:rPr>
                <w:rFonts w:hint="eastAsia"/>
              </w:rPr>
              <w:t xml:space="preserve">采用低价优先法计算，即满足招标文件要求且投标价格最低的投标报价为评标基准价，其价格分为满分。其他投标人的价格分统一按照下列公式计算： </w:t>
            </w:r>
          </w:p>
          <w:p>
            <w:pPr>
              <w:pStyle w:val="16"/>
              <w:spacing w:before="0" w:beforeAutospacing="0" w:after="0" w:afterAutospacing="0"/>
              <w:ind w:firstLine="420"/>
              <w:rPr>
                <w:rFonts w:hint="eastAsia"/>
              </w:rPr>
            </w:pPr>
            <w:r>
              <w:rPr>
                <w:rFonts w:hint="eastAsia"/>
              </w:rPr>
              <w:t>投标报价得分=(评标基准价／投标报价)×价格分值</w:t>
            </w:r>
          </w:p>
          <w:p>
            <w:pPr>
              <w:pStyle w:val="16"/>
              <w:spacing w:before="0" w:beforeAutospacing="0" w:after="0" w:afterAutospacing="0"/>
              <w:ind w:firstLine="420"/>
              <w:rPr>
                <w:rFonts w:hint="eastAsia"/>
              </w:rPr>
            </w:pPr>
            <w:r>
              <w:rPr>
                <w:rFonts w:hint="eastAsia"/>
              </w:rPr>
              <w:t xml:space="preserve">评标过程中，不得去掉报价中的最高报价和最低报价。 </w:t>
            </w:r>
          </w:p>
          <w:p>
            <w:pPr>
              <w:pStyle w:val="16"/>
              <w:spacing w:before="0" w:beforeAutospacing="0" w:after="0" w:afterAutospacing="0"/>
              <w:ind w:firstLine="420"/>
              <w:rPr>
                <w:rFonts w:hint="eastAsia"/>
                <w:b/>
                <w:bCs/>
              </w:rPr>
            </w:pPr>
            <w:r>
              <w:rPr>
                <w:rFonts w:hint="eastAsia"/>
                <w:b/>
                <w:bCs/>
              </w:rPr>
              <w:t>本项目为非专门面向中小企业的项目，用扣除后的价格参与评审，本项目的扣除比例为：</w:t>
            </w:r>
          </w:p>
          <w:p>
            <w:pPr>
              <w:pStyle w:val="16"/>
              <w:spacing w:before="0" w:beforeAutospacing="0" w:after="0" w:afterAutospacing="0"/>
              <w:ind w:firstLine="420"/>
              <w:rPr>
                <w:rFonts w:hint="eastAsia"/>
                <w:b/>
                <w:bCs/>
              </w:rPr>
            </w:pPr>
            <w:r>
              <w:rPr>
                <w:rFonts w:hint="eastAsia"/>
                <w:b/>
                <w:bCs/>
              </w:rPr>
              <w:t>1.小型企业、微型企业、监狱企业和残疾人福利性单位均给予10%的扣除。</w:t>
            </w:r>
          </w:p>
          <w:p>
            <w:pPr>
              <w:pStyle w:val="16"/>
              <w:spacing w:before="0" w:beforeAutospacing="0" w:after="0" w:afterAutospacing="0"/>
              <w:ind w:firstLine="420"/>
              <w:rPr>
                <w:rFonts w:hint="eastAsia"/>
                <w:b/>
                <w:bCs/>
              </w:rPr>
            </w:pPr>
            <w:r>
              <w:rPr>
                <w:rFonts w:hint="eastAsia"/>
                <w:b/>
                <w:bCs/>
              </w:rPr>
              <w:t>2.接受大中型企业与小微企业组成联合体或者允许大中型企业向一家或者多家小微企业分包的采购项目，对于联合协议或者分包意向协议约定小微企业的合同份额占到合同总金额30%以上的，将对联合体或者大中型企业的报价给予4%的扣除。</w:t>
            </w:r>
          </w:p>
          <w:p>
            <w:pPr>
              <w:pStyle w:val="16"/>
              <w:spacing w:before="0" w:beforeAutospacing="0" w:after="0" w:afterAutospacing="0"/>
              <w:ind w:firstLine="420"/>
              <w:rPr>
                <w:rFonts w:hint="eastAsia"/>
              </w:rPr>
            </w:pPr>
            <w:r>
              <w:rPr>
                <w:rFonts w:hint="eastAsia"/>
                <w:b/>
                <w:bCs/>
              </w:rPr>
              <w:t>3.相关证明文件详见投标文件格式要求，投标人同时为小型、微型企业、监狱企业和残疾人福利性单位的，评审中只享受一次价格扣除，不重复进行价格扣除。</w:t>
            </w:r>
          </w:p>
        </w:tc>
      </w:tr>
    </w:tbl>
    <w:p>
      <w:pPr>
        <w:spacing w:line="360" w:lineRule="auto"/>
        <w:jc w:val="center"/>
        <w:rPr>
          <w:rFonts w:hint="eastAsia" w:ascii="宋体" w:hAnsi="宋体" w:cs="宋体"/>
          <w:b/>
          <w:bCs/>
          <w:color w:val="000000"/>
          <w:sz w:val="24"/>
        </w:rPr>
      </w:pPr>
    </w:p>
    <w:tbl>
      <w:tblPr>
        <w:tblStyle w:val="20"/>
        <w:tblW w:w="946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00"/>
        <w:gridCol w:w="701"/>
        <w:gridCol w:w="1129"/>
        <w:gridCol w:w="1025"/>
        <w:gridCol w:w="59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0"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tabs>
                <w:tab w:val="left" w:pos="640"/>
                <w:tab w:val="left" w:pos="1260"/>
                <w:tab w:val="left" w:pos="1418"/>
              </w:tabs>
              <w:spacing w:line="360" w:lineRule="auto"/>
              <w:ind w:right="-420" w:rightChars="-200"/>
              <w:rPr>
                <w:rFonts w:ascii="宋体" w:hAnsi="宋体" w:cs="宋体"/>
                <w:b/>
                <w:bCs/>
                <w:color w:val="000000"/>
                <w:sz w:val="24"/>
              </w:rPr>
            </w:pPr>
            <w:r>
              <w:rPr>
                <w:rFonts w:hint="eastAsia" w:ascii="宋体" w:hAnsi="宋体" w:cs="宋体"/>
                <w:b/>
                <w:bCs/>
                <w:color w:val="000000"/>
                <w:sz w:val="24"/>
              </w:rPr>
              <w:t>序号</w:t>
            </w:r>
          </w:p>
        </w:tc>
        <w:tc>
          <w:tcPr>
            <w:tcW w:w="2855" w:type="dxa"/>
            <w:gridSpan w:val="3"/>
            <w:tcBorders>
              <w:top w:val="single" w:color="000000" w:sz="8" w:space="0"/>
              <w:left w:val="nil"/>
              <w:bottom w:val="single" w:color="000000" w:sz="8" w:space="0"/>
              <w:right w:val="single" w:color="000000" w:sz="8" w:space="0"/>
            </w:tcBorders>
            <w:shd w:val="clear" w:color="auto" w:fill="E6EFFA"/>
            <w:noWrap w:val="0"/>
            <w:vAlign w:val="center"/>
          </w:tcPr>
          <w:p>
            <w:pPr>
              <w:tabs>
                <w:tab w:val="left" w:pos="640"/>
                <w:tab w:val="left" w:pos="1260"/>
                <w:tab w:val="left" w:pos="1418"/>
              </w:tabs>
              <w:spacing w:line="360" w:lineRule="auto"/>
              <w:ind w:right="-420" w:rightChars="-200"/>
              <w:rPr>
                <w:rFonts w:hint="eastAsia" w:ascii="宋体" w:hAnsi="宋体" w:cs="宋体"/>
                <w:b/>
                <w:bCs/>
                <w:color w:val="000000"/>
                <w:sz w:val="24"/>
              </w:rPr>
            </w:pPr>
            <w:r>
              <w:rPr>
                <w:rFonts w:hint="eastAsia" w:ascii="宋体" w:hAnsi="宋体" w:cs="宋体"/>
                <w:b/>
                <w:bCs/>
                <w:color w:val="000000"/>
                <w:sz w:val="24"/>
              </w:rPr>
              <w:t>评分项</w:t>
            </w:r>
          </w:p>
        </w:tc>
        <w:tc>
          <w:tcPr>
            <w:tcW w:w="5908" w:type="dxa"/>
            <w:tcBorders>
              <w:top w:val="single" w:color="000000" w:sz="8" w:space="0"/>
              <w:left w:val="nil"/>
              <w:bottom w:val="single" w:color="000000" w:sz="8" w:space="0"/>
              <w:right w:val="single" w:color="000000" w:sz="8" w:space="0"/>
            </w:tcBorders>
            <w:shd w:val="clear" w:color="auto" w:fill="E6EFFA"/>
            <w:noWrap w:val="0"/>
            <w:vAlign w:val="center"/>
          </w:tcPr>
          <w:p>
            <w:pPr>
              <w:tabs>
                <w:tab w:val="left" w:pos="640"/>
                <w:tab w:val="left" w:pos="1260"/>
                <w:tab w:val="left" w:pos="1418"/>
              </w:tabs>
              <w:spacing w:line="360" w:lineRule="auto"/>
              <w:ind w:right="-420" w:rightChars="-200"/>
              <w:rPr>
                <w:rFonts w:hint="eastAsia" w:ascii="宋体" w:hAnsi="宋体" w:cs="宋体"/>
                <w:b/>
                <w:bCs/>
                <w:color w:val="000000"/>
                <w:sz w:val="24"/>
              </w:rPr>
            </w:pPr>
            <w:r>
              <w:rPr>
                <w:rFonts w:hint="eastAsia" w:ascii="宋体" w:hAnsi="宋体" w:cs="宋体"/>
                <w:b/>
                <w:bCs/>
                <w:color w:val="000000"/>
                <w:sz w:val="24"/>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0" w:type="dxa"/>
            <w:vMerge w:val="restart"/>
            <w:tcBorders>
              <w:top w:val="nil"/>
              <w:left w:val="single" w:color="000000" w:sz="8" w:space="0"/>
              <w:bottom w:val="single" w:color="000000" w:sz="8" w:space="0"/>
              <w:right w:val="single" w:color="000000" w:sz="8" w:space="0"/>
            </w:tcBorders>
            <w:noWrap w:val="0"/>
            <w:vAlign w:val="top"/>
          </w:tcPr>
          <w:p>
            <w:pPr>
              <w:tabs>
                <w:tab w:val="left" w:pos="640"/>
                <w:tab w:val="left" w:pos="1260"/>
                <w:tab w:val="left" w:pos="1418"/>
              </w:tabs>
              <w:spacing w:line="360" w:lineRule="auto"/>
              <w:ind w:right="-420" w:rightChars="-200"/>
              <w:rPr>
                <w:rFonts w:hint="eastAsia" w:ascii="宋体" w:hAnsi="宋体" w:cs="宋体"/>
                <w:b/>
                <w:bCs/>
                <w:color w:val="000000"/>
                <w:sz w:val="24"/>
              </w:rPr>
            </w:pPr>
            <w:r>
              <w:rPr>
                <w:rFonts w:hint="eastAsia" w:ascii="宋体" w:hAnsi="宋体" w:cs="宋体"/>
                <w:b/>
                <w:bCs/>
                <w:color w:val="000000"/>
                <w:sz w:val="24"/>
              </w:rPr>
              <w:t>1</w:t>
            </w:r>
          </w:p>
        </w:tc>
        <w:tc>
          <w:tcPr>
            <w:tcW w:w="2855" w:type="dxa"/>
            <w:gridSpan w:val="3"/>
            <w:tcBorders>
              <w:top w:val="single" w:color="000000" w:sz="8" w:space="0"/>
              <w:left w:val="nil"/>
              <w:bottom w:val="single" w:color="000000" w:sz="8" w:space="0"/>
              <w:right w:val="single" w:color="000000" w:sz="8" w:space="0"/>
            </w:tcBorders>
            <w:noWrap w:val="0"/>
            <w:vAlign w:val="top"/>
          </w:tcPr>
          <w:p>
            <w:pPr>
              <w:tabs>
                <w:tab w:val="left" w:pos="640"/>
                <w:tab w:val="left" w:pos="1260"/>
                <w:tab w:val="left" w:pos="1418"/>
              </w:tabs>
              <w:spacing w:line="360" w:lineRule="auto"/>
              <w:ind w:right="-420" w:rightChars="-200"/>
              <w:jc w:val="center"/>
              <w:rPr>
                <w:rFonts w:hint="eastAsia" w:ascii="宋体" w:hAnsi="宋体" w:cs="宋体"/>
                <w:b/>
                <w:bCs/>
                <w:color w:val="000000"/>
                <w:sz w:val="24"/>
              </w:rPr>
            </w:pPr>
            <w:r>
              <w:rPr>
                <w:rFonts w:hint="eastAsia" w:ascii="宋体" w:hAnsi="宋体" w:cs="宋体"/>
                <w:b/>
                <w:bCs/>
                <w:color w:val="000000"/>
                <w:sz w:val="24"/>
              </w:rPr>
              <w:t>价格</w:t>
            </w:r>
          </w:p>
        </w:tc>
        <w:tc>
          <w:tcPr>
            <w:tcW w:w="5908" w:type="dxa"/>
            <w:tcBorders>
              <w:top w:val="single" w:color="000000" w:sz="8" w:space="0"/>
              <w:left w:val="nil"/>
              <w:bottom w:val="single" w:color="000000" w:sz="8" w:space="0"/>
              <w:right w:val="single" w:color="000000" w:sz="8" w:space="0"/>
            </w:tcBorders>
            <w:noWrap w:val="0"/>
            <w:vAlign w:val="top"/>
          </w:tcPr>
          <w:p>
            <w:pPr>
              <w:tabs>
                <w:tab w:val="left" w:pos="640"/>
                <w:tab w:val="left" w:pos="1260"/>
                <w:tab w:val="left" w:pos="1418"/>
              </w:tabs>
              <w:spacing w:line="360" w:lineRule="auto"/>
              <w:ind w:right="-420" w:rightChars="-200"/>
              <w:jc w:val="center"/>
              <w:rPr>
                <w:rFonts w:hint="eastAsia" w:ascii="宋体" w:hAnsi="宋体" w:cs="宋体"/>
                <w:b/>
                <w:bCs/>
                <w:color w:val="000000"/>
                <w:sz w:val="24"/>
              </w:rPr>
            </w:pPr>
            <w:r>
              <w:rPr>
                <w:rFonts w:hint="eastAsia" w:ascii="宋体" w:hAnsi="宋体" w:cs="宋体"/>
                <w:b/>
                <w:bCs/>
                <w:color w:val="00000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0" w:type="dxa"/>
            <w:vMerge w:val="continue"/>
            <w:tcBorders>
              <w:top w:val="nil"/>
              <w:left w:val="single" w:color="000000" w:sz="8" w:space="0"/>
              <w:bottom w:val="single" w:color="000000" w:sz="8" w:space="0"/>
              <w:right w:val="single" w:color="000000" w:sz="8" w:space="0"/>
            </w:tcBorders>
            <w:noWrap w:val="0"/>
            <w:vAlign w:val="center"/>
          </w:tcPr>
          <w:p>
            <w:pPr>
              <w:tabs>
                <w:tab w:val="left" w:pos="640"/>
                <w:tab w:val="left" w:pos="1260"/>
                <w:tab w:val="left" w:pos="1418"/>
              </w:tabs>
              <w:spacing w:line="360" w:lineRule="auto"/>
              <w:ind w:right="-420" w:rightChars="-200"/>
              <w:rPr>
                <w:rFonts w:ascii="宋体" w:hAnsi="宋体" w:cs="宋体"/>
                <w:b/>
                <w:bCs/>
                <w:color w:val="000000"/>
                <w:sz w:val="24"/>
              </w:rPr>
            </w:pPr>
          </w:p>
        </w:tc>
        <w:tc>
          <w:tcPr>
            <w:tcW w:w="8763" w:type="dxa"/>
            <w:gridSpan w:val="4"/>
            <w:tcBorders>
              <w:top w:val="single" w:color="000000" w:sz="8" w:space="0"/>
              <w:left w:val="nil"/>
              <w:bottom w:val="single" w:color="000000" w:sz="8" w:space="0"/>
              <w:right w:val="single" w:color="000000" w:sz="8" w:space="0"/>
            </w:tcBorders>
            <w:noWrap w:val="0"/>
            <w:vAlign w:val="top"/>
          </w:tcPr>
          <w:p>
            <w:pPr>
              <w:tabs>
                <w:tab w:val="left" w:pos="640"/>
                <w:tab w:val="left" w:pos="1260"/>
                <w:tab w:val="left" w:pos="1418"/>
              </w:tabs>
              <w:spacing w:line="360" w:lineRule="auto"/>
              <w:ind w:right="-420" w:rightChars="-200"/>
              <w:jc w:val="center"/>
              <w:rPr>
                <w:rFonts w:hint="eastAsia" w:ascii="宋体" w:hAnsi="宋体" w:cs="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0" w:type="dxa"/>
            <w:vMerge w:val="restart"/>
            <w:tcBorders>
              <w:top w:val="nil"/>
              <w:left w:val="single" w:color="000000" w:sz="8" w:space="0"/>
              <w:bottom w:val="single" w:color="000000" w:sz="8" w:space="0"/>
              <w:right w:val="single" w:color="000000" w:sz="8" w:space="0"/>
            </w:tcBorders>
            <w:noWrap w:val="0"/>
            <w:vAlign w:val="top"/>
          </w:tcPr>
          <w:p>
            <w:pPr>
              <w:tabs>
                <w:tab w:val="left" w:pos="640"/>
                <w:tab w:val="left" w:pos="1260"/>
                <w:tab w:val="left" w:pos="1418"/>
              </w:tabs>
              <w:spacing w:line="360" w:lineRule="auto"/>
              <w:ind w:right="-420" w:rightChars="-200"/>
              <w:rPr>
                <w:rFonts w:hint="eastAsia" w:ascii="宋体" w:hAnsi="宋体" w:cs="宋体"/>
                <w:b/>
                <w:bCs/>
                <w:color w:val="000000"/>
                <w:sz w:val="24"/>
              </w:rPr>
            </w:pPr>
            <w:r>
              <w:rPr>
                <w:rFonts w:hint="eastAsia" w:ascii="宋体" w:hAnsi="宋体" w:cs="宋体"/>
                <w:b/>
                <w:bCs/>
                <w:color w:val="000000"/>
                <w:sz w:val="24"/>
              </w:rPr>
              <w:t>2</w:t>
            </w:r>
          </w:p>
        </w:tc>
        <w:tc>
          <w:tcPr>
            <w:tcW w:w="2855" w:type="dxa"/>
            <w:gridSpan w:val="3"/>
            <w:tcBorders>
              <w:top w:val="single" w:color="000000" w:sz="8" w:space="0"/>
              <w:left w:val="nil"/>
              <w:bottom w:val="single" w:color="000000" w:sz="8" w:space="0"/>
              <w:right w:val="single" w:color="000000" w:sz="8" w:space="0"/>
            </w:tcBorders>
            <w:noWrap w:val="0"/>
            <w:vAlign w:val="top"/>
          </w:tcPr>
          <w:p>
            <w:pPr>
              <w:tabs>
                <w:tab w:val="left" w:pos="640"/>
                <w:tab w:val="left" w:pos="1260"/>
                <w:tab w:val="left" w:pos="1418"/>
              </w:tabs>
              <w:spacing w:line="360" w:lineRule="auto"/>
              <w:ind w:right="-420" w:rightChars="-200"/>
              <w:jc w:val="center"/>
              <w:rPr>
                <w:rFonts w:hint="eastAsia" w:ascii="宋体" w:hAnsi="宋体" w:cs="宋体"/>
                <w:b/>
                <w:bCs/>
                <w:color w:val="000000"/>
                <w:sz w:val="24"/>
              </w:rPr>
            </w:pPr>
            <w:r>
              <w:rPr>
                <w:rFonts w:hint="eastAsia" w:ascii="宋体" w:hAnsi="宋体" w:cs="宋体"/>
                <w:b/>
                <w:bCs/>
                <w:color w:val="000000"/>
                <w:sz w:val="24"/>
              </w:rPr>
              <w:t>技术部分</w:t>
            </w:r>
          </w:p>
        </w:tc>
        <w:tc>
          <w:tcPr>
            <w:tcW w:w="5908" w:type="dxa"/>
            <w:tcBorders>
              <w:top w:val="single" w:color="000000" w:sz="8" w:space="0"/>
              <w:left w:val="nil"/>
              <w:bottom w:val="single" w:color="000000" w:sz="8" w:space="0"/>
              <w:right w:val="single" w:color="000000" w:sz="8" w:space="0"/>
            </w:tcBorders>
            <w:noWrap w:val="0"/>
            <w:vAlign w:val="top"/>
          </w:tcPr>
          <w:p>
            <w:pPr>
              <w:tabs>
                <w:tab w:val="left" w:pos="640"/>
                <w:tab w:val="left" w:pos="1260"/>
                <w:tab w:val="left" w:pos="1418"/>
              </w:tabs>
              <w:spacing w:line="360" w:lineRule="auto"/>
              <w:ind w:right="-420" w:rightChars="-200"/>
              <w:jc w:val="center"/>
              <w:rPr>
                <w:rFonts w:hint="eastAsia" w:ascii="宋体" w:hAnsi="宋体" w:cs="宋体"/>
                <w:b/>
                <w:bCs/>
                <w:color w:val="000000"/>
                <w:sz w:val="24"/>
              </w:rPr>
            </w:pPr>
            <w:r>
              <w:rPr>
                <w:rFonts w:hint="eastAsia" w:ascii="宋体" w:hAnsi="宋体" w:cs="宋体"/>
                <w:b/>
                <w:bCs/>
                <w:color w:val="000000"/>
                <w:sz w:val="24"/>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0" w:type="dxa"/>
            <w:vMerge w:val="continue"/>
            <w:tcBorders>
              <w:top w:val="single" w:color="auto" w:sz="0" w:space="0"/>
              <w:left w:val="single" w:color="000000" w:sz="8" w:space="0"/>
              <w:bottom w:val="single" w:color="000000" w:sz="8" w:space="0"/>
              <w:right w:val="single" w:color="000000" w:sz="8" w:space="0"/>
            </w:tcBorders>
            <w:shd w:val="clear" w:color="auto" w:fill="auto"/>
            <w:noWrap w:val="0"/>
            <w:vAlign w:val="center"/>
          </w:tcPr>
          <w:p>
            <w:pPr>
              <w:tabs>
                <w:tab w:val="left" w:pos="640"/>
                <w:tab w:val="left" w:pos="1260"/>
                <w:tab w:val="left" w:pos="1418"/>
              </w:tabs>
              <w:spacing w:line="360" w:lineRule="auto"/>
              <w:ind w:right="-420" w:rightChars="-200"/>
              <w:rPr>
                <w:rFonts w:ascii="宋体" w:hAnsi="宋体" w:cs="宋体"/>
                <w:b/>
                <w:bCs/>
                <w:color w:val="000000"/>
                <w:sz w:val="24"/>
              </w:rPr>
            </w:pPr>
          </w:p>
        </w:tc>
        <w:tc>
          <w:tcPr>
            <w:tcW w:w="701" w:type="dxa"/>
            <w:tcBorders>
              <w:top w:val="thinThickLargeGap" w:color="000000" w:sz="6" w:space="0"/>
              <w:left w:val="thinThickLargeGap" w:color="000000" w:sz="6" w:space="0"/>
              <w:bottom w:val="thinThickLargeGap" w:color="000000" w:sz="6" w:space="0"/>
              <w:right w:val="thinThickLargeGap" w:color="000000" w:sz="6" w:space="0"/>
            </w:tcBorders>
            <w:shd w:val="clear" w:color="auto" w:fill="E6EFFA"/>
            <w:noWrap w:val="0"/>
            <w:vAlign w:val="center"/>
          </w:tcPr>
          <w:p>
            <w:pPr>
              <w:tabs>
                <w:tab w:val="left" w:pos="640"/>
                <w:tab w:val="left" w:pos="1260"/>
                <w:tab w:val="left" w:pos="1418"/>
              </w:tabs>
              <w:spacing w:line="360" w:lineRule="auto"/>
              <w:ind w:right="-420" w:rightChars="-200"/>
              <w:rPr>
                <w:rFonts w:hint="eastAsia" w:ascii="宋体" w:hAnsi="宋体" w:cs="宋体"/>
                <w:color w:val="000000"/>
                <w:sz w:val="24"/>
              </w:rPr>
            </w:pPr>
            <w:r>
              <w:rPr>
                <w:rFonts w:hint="eastAsia" w:ascii="宋体" w:hAnsi="宋体" w:cs="宋体"/>
                <w:color w:val="000000"/>
                <w:sz w:val="24"/>
              </w:rPr>
              <w:t>序号</w:t>
            </w:r>
          </w:p>
        </w:tc>
        <w:tc>
          <w:tcPr>
            <w:tcW w:w="1129" w:type="dxa"/>
            <w:tcBorders>
              <w:top w:val="thinThickLargeGap" w:color="000000" w:sz="6" w:space="0"/>
              <w:left w:val="single" w:color="auto" w:sz="0" w:space="0"/>
              <w:bottom w:val="thinThickLargeGap" w:color="000000" w:sz="6" w:space="0"/>
              <w:right w:val="thinThickLargeGap" w:color="000000" w:sz="6" w:space="0"/>
            </w:tcBorders>
            <w:shd w:val="clear" w:color="auto" w:fill="E6EFFA"/>
            <w:noWrap w:val="0"/>
            <w:vAlign w:val="center"/>
          </w:tcPr>
          <w:p>
            <w:pPr>
              <w:tabs>
                <w:tab w:val="left" w:pos="640"/>
                <w:tab w:val="left" w:pos="1260"/>
                <w:tab w:val="left" w:pos="1418"/>
              </w:tabs>
              <w:spacing w:line="360" w:lineRule="auto"/>
              <w:ind w:right="-420" w:rightChars="-200"/>
              <w:rPr>
                <w:rFonts w:hint="eastAsia" w:ascii="宋体" w:hAnsi="宋体" w:cs="宋体"/>
                <w:color w:val="000000"/>
                <w:sz w:val="24"/>
              </w:rPr>
            </w:pPr>
            <w:r>
              <w:rPr>
                <w:rFonts w:hint="eastAsia" w:ascii="宋体" w:hAnsi="宋体" w:cs="宋体"/>
                <w:color w:val="000000"/>
                <w:sz w:val="24"/>
              </w:rPr>
              <w:t>评分因素</w:t>
            </w:r>
          </w:p>
        </w:tc>
        <w:tc>
          <w:tcPr>
            <w:tcW w:w="1025" w:type="dxa"/>
            <w:tcBorders>
              <w:top w:val="thinThickLargeGap" w:color="000000" w:sz="6" w:space="0"/>
              <w:left w:val="single" w:color="auto" w:sz="0" w:space="0"/>
              <w:bottom w:val="thinThickLargeGap" w:color="000000" w:sz="6" w:space="0"/>
              <w:right w:val="thinThickLargeGap" w:color="000000" w:sz="6" w:space="0"/>
            </w:tcBorders>
            <w:shd w:val="clear" w:color="auto" w:fill="E6EFFA"/>
            <w:noWrap w:val="0"/>
            <w:vAlign w:val="center"/>
          </w:tcPr>
          <w:p>
            <w:pPr>
              <w:tabs>
                <w:tab w:val="left" w:pos="640"/>
                <w:tab w:val="left" w:pos="1260"/>
                <w:tab w:val="left" w:pos="1418"/>
              </w:tabs>
              <w:spacing w:line="360" w:lineRule="auto"/>
              <w:ind w:right="-420" w:rightChars="-200"/>
              <w:rPr>
                <w:rFonts w:hint="eastAsia" w:ascii="宋体" w:hAnsi="宋体" w:cs="宋体"/>
                <w:color w:val="000000"/>
                <w:sz w:val="24"/>
              </w:rPr>
            </w:pPr>
            <w:r>
              <w:rPr>
                <w:rFonts w:hint="eastAsia" w:ascii="宋体" w:hAnsi="宋体" w:cs="宋体"/>
                <w:color w:val="000000"/>
                <w:sz w:val="24"/>
              </w:rPr>
              <w:t>分值</w:t>
            </w:r>
          </w:p>
        </w:tc>
        <w:tc>
          <w:tcPr>
            <w:tcW w:w="5908" w:type="dxa"/>
            <w:tcBorders>
              <w:top w:val="thinThickLargeGap" w:color="000000" w:sz="6" w:space="0"/>
              <w:left w:val="single" w:color="auto" w:sz="0" w:space="0"/>
              <w:bottom w:val="thinThickLargeGap" w:color="000000" w:sz="6" w:space="0"/>
              <w:right w:val="thinThickLargeGap" w:color="000000" w:sz="6" w:space="0"/>
            </w:tcBorders>
            <w:shd w:val="clear" w:color="auto" w:fill="E6EFFA"/>
            <w:noWrap w:val="0"/>
            <w:vAlign w:val="center"/>
          </w:tcPr>
          <w:p>
            <w:pPr>
              <w:tabs>
                <w:tab w:val="left" w:pos="640"/>
                <w:tab w:val="left" w:pos="1260"/>
                <w:tab w:val="left" w:pos="1418"/>
              </w:tabs>
              <w:spacing w:line="360" w:lineRule="auto"/>
              <w:ind w:right="-420" w:rightChars="-200"/>
              <w:rPr>
                <w:rFonts w:hint="eastAsia" w:ascii="宋体" w:hAnsi="宋体" w:cs="宋体"/>
                <w:color w:val="000000"/>
                <w:sz w:val="24"/>
              </w:rPr>
            </w:pPr>
            <w:r>
              <w:rPr>
                <w:rFonts w:hint="eastAsia" w:ascii="宋体" w:hAnsi="宋体" w:cs="宋体"/>
                <w:color w:val="000000"/>
                <w:sz w:val="24"/>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0" w:type="dxa"/>
            <w:vMerge w:val="continue"/>
            <w:tcBorders>
              <w:top w:val="nil"/>
              <w:left w:val="single" w:color="000000" w:sz="8" w:space="0"/>
              <w:bottom w:val="single" w:color="000000" w:sz="8" w:space="0"/>
              <w:right w:val="single" w:color="000000" w:sz="8" w:space="0"/>
            </w:tcBorders>
            <w:noWrap w:val="0"/>
            <w:vAlign w:val="center"/>
          </w:tcPr>
          <w:p>
            <w:pPr>
              <w:tabs>
                <w:tab w:val="left" w:pos="640"/>
                <w:tab w:val="left" w:pos="1260"/>
                <w:tab w:val="left" w:pos="1418"/>
              </w:tabs>
              <w:spacing w:line="360" w:lineRule="auto"/>
              <w:ind w:right="-420" w:rightChars="-200"/>
              <w:rPr>
                <w:rFonts w:ascii="宋体" w:hAnsi="宋体" w:cs="宋体"/>
                <w:b/>
                <w:bCs/>
                <w:color w:val="000000"/>
                <w:sz w:val="24"/>
              </w:rPr>
            </w:pPr>
          </w:p>
        </w:tc>
        <w:tc>
          <w:tcPr>
            <w:tcW w:w="701" w:type="dxa"/>
            <w:tcBorders>
              <w:top w:val="single" w:color="000000" w:sz="8" w:space="0"/>
              <w:left w:val="nil"/>
              <w:bottom w:val="single" w:color="000000" w:sz="8" w:space="0"/>
              <w:right w:val="single" w:color="000000" w:sz="8" w:space="0"/>
            </w:tcBorders>
            <w:noWrap w:val="0"/>
            <w:vAlign w:val="center"/>
          </w:tcPr>
          <w:p>
            <w:pPr>
              <w:tabs>
                <w:tab w:val="left" w:pos="640"/>
                <w:tab w:val="left" w:pos="1260"/>
                <w:tab w:val="left" w:pos="1418"/>
              </w:tabs>
              <w:spacing w:line="360" w:lineRule="auto"/>
              <w:ind w:right="-420" w:rightChars="-200"/>
              <w:rPr>
                <w:rFonts w:hint="eastAsia" w:ascii="宋体" w:hAnsi="宋体" w:cs="宋体"/>
                <w:color w:val="000000"/>
                <w:sz w:val="24"/>
              </w:rPr>
            </w:pPr>
            <w:r>
              <w:rPr>
                <w:rFonts w:hint="eastAsia" w:ascii="宋体" w:hAnsi="宋体" w:cs="宋体"/>
                <w:b/>
                <w:color w:val="000000"/>
                <w:sz w:val="24"/>
              </w:rPr>
              <w:t>1</w:t>
            </w:r>
          </w:p>
        </w:tc>
        <w:tc>
          <w:tcPr>
            <w:tcW w:w="1129" w:type="dxa"/>
            <w:tcBorders>
              <w:top w:val="single" w:color="000000" w:sz="8" w:space="0"/>
              <w:left w:val="nil"/>
              <w:bottom w:val="single" w:color="000000" w:sz="8" w:space="0"/>
              <w:right w:val="single" w:color="000000" w:sz="8" w:space="0"/>
            </w:tcBorders>
            <w:noWrap w:val="0"/>
            <w:vAlign w:val="center"/>
          </w:tcPr>
          <w:p>
            <w:pPr>
              <w:autoSpaceDE w:val="0"/>
              <w:autoSpaceDN w:val="0"/>
              <w:adjustRightInd w:val="0"/>
              <w:spacing w:line="360" w:lineRule="auto"/>
              <w:jc w:val="center"/>
              <w:rPr>
                <w:rFonts w:hint="eastAsia" w:ascii="宋体" w:hAnsi="宋体" w:cs="宋体"/>
                <w:color w:val="000000"/>
                <w:sz w:val="24"/>
              </w:rPr>
            </w:pPr>
            <w:r>
              <w:rPr>
                <w:rFonts w:hint="eastAsia" w:ascii="宋体" w:hAnsi="宋体" w:cs="宋体"/>
                <w:color w:val="000000"/>
                <w:sz w:val="24"/>
              </w:rPr>
              <w:t>质量保障措施及方案</w:t>
            </w:r>
          </w:p>
        </w:tc>
        <w:tc>
          <w:tcPr>
            <w:tcW w:w="1025" w:type="dxa"/>
            <w:tcBorders>
              <w:top w:val="single" w:color="000000" w:sz="8" w:space="0"/>
              <w:left w:val="nil"/>
              <w:bottom w:val="single" w:color="000000" w:sz="8" w:space="0"/>
              <w:right w:val="single" w:color="000000" w:sz="8" w:space="0"/>
            </w:tcBorders>
            <w:noWrap w:val="0"/>
            <w:vAlign w:val="center"/>
          </w:tcPr>
          <w:p>
            <w:pPr>
              <w:tabs>
                <w:tab w:val="left" w:pos="640"/>
                <w:tab w:val="left" w:pos="1260"/>
                <w:tab w:val="left" w:pos="1418"/>
              </w:tabs>
              <w:spacing w:line="360" w:lineRule="auto"/>
              <w:ind w:right="-420" w:rightChars="-200"/>
              <w:jc w:val="center"/>
              <w:rPr>
                <w:rFonts w:hint="eastAsia" w:ascii="宋体" w:hAnsi="宋体" w:cs="宋体"/>
                <w:color w:val="000000"/>
                <w:sz w:val="24"/>
              </w:rPr>
            </w:pPr>
            <w:r>
              <w:rPr>
                <w:rFonts w:hint="eastAsia" w:ascii="宋体" w:hAnsi="宋体" w:cs="宋体"/>
                <w:color w:val="000000"/>
                <w:sz w:val="24"/>
              </w:rPr>
              <w:t>15</w:t>
            </w:r>
          </w:p>
        </w:tc>
        <w:tc>
          <w:tcPr>
            <w:tcW w:w="5908" w:type="dxa"/>
            <w:tcBorders>
              <w:top w:val="single" w:color="000000" w:sz="8" w:space="0"/>
              <w:left w:val="nil"/>
              <w:bottom w:val="single" w:color="000000" w:sz="8" w:space="0"/>
              <w:right w:val="single" w:color="000000" w:sz="8" w:space="0"/>
            </w:tcBorders>
            <w:noWrap w:val="0"/>
            <w:vAlign w:val="center"/>
          </w:tcPr>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（一）评审内容：</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根据招标文件的需求和投标文件响应情况，编制项目实施方案。包含但不限于以下内容：</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1、项目组织方案；</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2、项目进度安排方案；</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3、提供具体的保障措施；</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（二）评分标准：</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满足三点得</w:t>
            </w:r>
            <w:r>
              <w:rPr>
                <w:rFonts w:hint="eastAsia" w:ascii="宋体" w:hAnsi="宋体" w:cs="宋体"/>
                <w:color w:val="000000"/>
                <w:sz w:val="24"/>
                <w:lang w:val="en-US" w:eastAsia="zh-CN"/>
              </w:rPr>
              <w:t>9</w:t>
            </w:r>
            <w:r>
              <w:rPr>
                <w:rFonts w:hint="eastAsia" w:ascii="宋体" w:hAnsi="宋体" w:cs="宋体"/>
                <w:color w:val="000000"/>
                <w:sz w:val="24"/>
              </w:rPr>
              <w:t>分，满足任意两点得</w:t>
            </w:r>
            <w:r>
              <w:rPr>
                <w:rFonts w:hint="eastAsia" w:ascii="宋体" w:hAnsi="宋体" w:cs="宋体"/>
                <w:color w:val="000000"/>
                <w:sz w:val="24"/>
                <w:lang w:val="en-US" w:eastAsia="zh-CN"/>
              </w:rPr>
              <w:t>6</w:t>
            </w:r>
            <w:r>
              <w:rPr>
                <w:rFonts w:hint="eastAsia" w:ascii="宋体" w:hAnsi="宋体" w:cs="宋体"/>
                <w:color w:val="000000"/>
                <w:sz w:val="24"/>
              </w:rPr>
              <w:t>分，满足任意一点得</w:t>
            </w:r>
            <w:r>
              <w:rPr>
                <w:rFonts w:hint="eastAsia" w:ascii="宋体" w:hAnsi="宋体" w:cs="宋体"/>
                <w:color w:val="000000"/>
                <w:sz w:val="24"/>
                <w:lang w:val="en-US" w:eastAsia="zh-CN"/>
              </w:rPr>
              <w:t>3</w:t>
            </w:r>
            <w:r>
              <w:rPr>
                <w:rFonts w:hint="eastAsia" w:ascii="宋体" w:hAnsi="宋体" w:cs="宋体"/>
                <w:color w:val="000000"/>
                <w:sz w:val="24"/>
              </w:rPr>
              <w:t>分，未满足不得分。</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在此基础上，专家根据各供应商的具体响应内容按照量化的评审因素指标进一步评审：</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优：项目质量、保障措施及方案可行和合理的；</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良：项目质量、保障措施及方案比较可行和合理的；</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中：项目质量、保障措施及方案基本可行和合理的；</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差：项目质量、保障措施及方案不可行和不合理的。</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评审为优的得</w:t>
            </w:r>
            <w:r>
              <w:rPr>
                <w:rFonts w:hint="eastAsia" w:ascii="宋体" w:hAnsi="宋体" w:cs="宋体"/>
                <w:color w:val="000000"/>
                <w:sz w:val="24"/>
                <w:lang w:val="en-US" w:eastAsia="zh-CN"/>
              </w:rPr>
              <w:t>6</w:t>
            </w:r>
            <w:r>
              <w:rPr>
                <w:rFonts w:hint="eastAsia" w:ascii="宋体" w:hAnsi="宋体" w:cs="宋体"/>
                <w:color w:val="000000"/>
                <w:sz w:val="24"/>
              </w:rPr>
              <w:t>分；评审为良的得</w:t>
            </w:r>
            <w:r>
              <w:rPr>
                <w:rFonts w:hint="eastAsia" w:ascii="宋体" w:hAnsi="宋体" w:cs="宋体"/>
                <w:color w:val="000000"/>
                <w:sz w:val="24"/>
                <w:lang w:val="en-US" w:eastAsia="zh-CN"/>
              </w:rPr>
              <w:t>4</w:t>
            </w:r>
            <w:r>
              <w:rPr>
                <w:rFonts w:hint="eastAsia" w:ascii="宋体" w:hAnsi="宋体" w:cs="宋体"/>
                <w:color w:val="000000"/>
                <w:sz w:val="24"/>
              </w:rPr>
              <w:t>分；评审为中的得</w:t>
            </w:r>
            <w:r>
              <w:rPr>
                <w:rFonts w:hint="eastAsia" w:ascii="宋体" w:hAnsi="宋体" w:cs="宋体"/>
                <w:color w:val="000000"/>
                <w:sz w:val="24"/>
                <w:lang w:val="en-US" w:eastAsia="zh-CN"/>
              </w:rPr>
              <w:t>2</w:t>
            </w:r>
            <w:r>
              <w:rPr>
                <w:rFonts w:hint="eastAsia" w:ascii="宋体" w:hAnsi="宋体" w:cs="宋体"/>
                <w:color w:val="000000"/>
                <w:sz w:val="24"/>
              </w:rPr>
              <w:t>分；评审为差的得0分。</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如果评审为差，要求专家书面说明理由，并记录在档。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0" w:type="dxa"/>
            <w:vMerge w:val="continue"/>
            <w:tcBorders>
              <w:top w:val="nil"/>
              <w:left w:val="single" w:color="000000" w:sz="8" w:space="0"/>
              <w:bottom w:val="single" w:color="000000" w:sz="8" w:space="0"/>
              <w:right w:val="single" w:color="000000" w:sz="8" w:space="0"/>
            </w:tcBorders>
            <w:noWrap w:val="0"/>
            <w:vAlign w:val="center"/>
          </w:tcPr>
          <w:p>
            <w:pPr>
              <w:tabs>
                <w:tab w:val="left" w:pos="640"/>
                <w:tab w:val="left" w:pos="1260"/>
                <w:tab w:val="left" w:pos="1418"/>
              </w:tabs>
              <w:spacing w:line="360" w:lineRule="auto"/>
              <w:ind w:right="-420" w:rightChars="-200"/>
              <w:rPr>
                <w:rFonts w:ascii="宋体" w:hAnsi="宋体" w:cs="宋体"/>
                <w:b/>
                <w:bCs/>
                <w:color w:val="000000"/>
                <w:sz w:val="24"/>
              </w:rPr>
            </w:pPr>
          </w:p>
        </w:tc>
        <w:tc>
          <w:tcPr>
            <w:tcW w:w="701" w:type="dxa"/>
            <w:tcBorders>
              <w:top w:val="single" w:color="000000" w:sz="8" w:space="0"/>
              <w:left w:val="nil"/>
              <w:bottom w:val="single" w:color="000000" w:sz="8" w:space="0"/>
              <w:right w:val="single" w:color="000000" w:sz="8" w:space="0"/>
            </w:tcBorders>
            <w:noWrap w:val="0"/>
            <w:vAlign w:val="center"/>
          </w:tcPr>
          <w:p>
            <w:pPr>
              <w:tabs>
                <w:tab w:val="left" w:pos="640"/>
                <w:tab w:val="left" w:pos="1260"/>
                <w:tab w:val="left" w:pos="1418"/>
              </w:tabs>
              <w:spacing w:line="360" w:lineRule="auto"/>
              <w:ind w:right="-420" w:rightChars="-200"/>
              <w:rPr>
                <w:rFonts w:hint="eastAsia" w:ascii="宋体" w:hAnsi="宋体" w:cs="宋体"/>
                <w:color w:val="000000"/>
                <w:sz w:val="24"/>
              </w:rPr>
            </w:pPr>
            <w:r>
              <w:rPr>
                <w:rFonts w:hint="eastAsia" w:ascii="宋体" w:hAnsi="宋体" w:cs="宋体"/>
                <w:b/>
                <w:color w:val="000000"/>
                <w:sz w:val="24"/>
              </w:rPr>
              <w:t>2</w:t>
            </w:r>
          </w:p>
        </w:tc>
        <w:tc>
          <w:tcPr>
            <w:tcW w:w="1129" w:type="dxa"/>
            <w:tcBorders>
              <w:top w:val="single" w:color="000000" w:sz="8" w:space="0"/>
              <w:left w:val="nil"/>
              <w:bottom w:val="single" w:color="000000" w:sz="8" w:space="0"/>
              <w:right w:val="single" w:color="000000" w:sz="8" w:space="0"/>
            </w:tcBorders>
            <w:noWrap w:val="0"/>
            <w:vAlign w:val="center"/>
          </w:tcPr>
          <w:p>
            <w:pPr>
              <w:autoSpaceDE w:val="0"/>
              <w:autoSpaceDN w:val="0"/>
              <w:adjustRightInd w:val="0"/>
              <w:spacing w:line="360" w:lineRule="auto"/>
              <w:jc w:val="center"/>
              <w:rPr>
                <w:rFonts w:hint="eastAsia" w:ascii="宋体" w:hAnsi="宋体" w:cs="宋体"/>
                <w:color w:val="000000"/>
                <w:sz w:val="24"/>
              </w:rPr>
            </w:pPr>
            <w:r>
              <w:rPr>
                <w:rFonts w:hint="eastAsia" w:ascii="宋体" w:hAnsi="宋体" w:cs="宋体"/>
                <w:color w:val="000000"/>
                <w:sz w:val="24"/>
              </w:rPr>
              <w:t>工作思路</w:t>
            </w:r>
          </w:p>
        </w:tc>
        <w:tc>
          <w:tcPr>
            <w:tcW w:w="1025" w:type="dxa"/>
            <w:tcBorders>
              <w:top w:val="single" w:color="000000" w:sz="8" w:space="0"/>
              <w:left w:val="nil"/>
              <w:bottom w:val="single" w:color="000000" w:sz="8" w:space="0"/>
              <w:right w:val="single" w:color="000000" w:sz="8" w:space="0"/>
            </w:tcBorders>
            <w:noWrap w:val="0"/>
            <w:vAlign w:val="center"/>
          </w:tcPr>
          <w:p>
            <w:pPr>
              <w:tabs>
                <w:tab w:val="left" w:pos="640"/>
                <w:tab w:val="left" w:pos="1260"/>
                <w:tab w:val="left" w:pos="1418"/>
              </w:tabs>
              <w:spacing w:line="360" w:lineRule="auto"/>
              <w:ind w:right="-420" w:rightChars="-200"/>
              <w:jc w:val="center"/>
              <w:rPr>
                <w:rFonts w:hint="eastAsia" w:ascii="宋体" w:hAnsi="宋体" w:cs="宋体"/>
                <w:color w:val="000000"/>
                <w:sz w:val="24"/>
              </w:rPr>
            </w:pPr>
            <w:r>
              <w:rPr>
                <w:rFonts w:hint="eastAsia" w:ascii="宋体" w:hAnsi="宋体" w:cs="宋体"/>
                <w:color w:val="000000"/>
                <w:sz w:val="24"/>
              </w:rPr>
              <w:t>18</w:t>
            </w:r>
          </w:p>
        </w:tc>
        <w:tc>
          <w:tcPr>
            <w:tcW w:w="5908" w:type="dxa"/>
            <w:tcBorders>
              <w:top w:val="single" w:color="000000" w:sz="8" w:space="0"/>
              <w:left w:val="nil"/>
              <w:bottom w:val="single" w:color="000000" w:sz="8" w:space="0"/>
              <w:right w:val="single" w:color="000000" w:sz="8" w:space="0"/>
            </w:tcBorders>
            <w:noWrap w:val="0"/>
            <w:vAlign w:val="center"/>
          </w:tcPr>
          <w:p>
            <w:pPr>
              <w:autoSpaceDE w:val="0"/>
              <w:autoSpaceDN w:val="0"/>
              <w:adjustRightInd w:val="0"/>
              <w:spacing w:line="360" w:lineRule="auto"/>
              <w:jc w:val="left"/>
              <w:rPr>
                <w:rFonts w:hint="eastAsia" w:ascii="宋体" w:hAnsi="宋体" w:cs="宋体"/>
                <w:color w:val="000000"/>
                <w:sz w:val="24"/>
              </w:rPr>
            </w:pPr>
            <w:bookmarkStart w:id="27" w:name="OLE_LINK2"/>
            <w:r>
              <w:rPr>
                <w:rFonts w:hint="eastAsia" w:ascii="宋体" w:hAnsi="宋体" w:cs="宋体"/>
                <w:color w:val="000000"/>
                <w:sz w:val="24"/>
              </w:rPr>
              <w:t>（一）评审内容：</w:t>
            </w:r>
            <w:bookmarkEnd w:id="27"/>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根据投标文件里对工作目标和工作思路的判断情况编制方案，包含但不限于以下内容：</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1.项目目标理解；</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2.工作思路及工作内容；</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（二）评审标准：</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满足两点得</w:t>
            </w:r>
            <w:r>
              <w:rPr>
                <w:rFonts w:hint="eastAsia" w:ascii="宋体" w:hAnsi="宋体" w:cs="宋体"/>
                <w:color w:val="000000"/>
                <w:sz w:val="24"/>
                <w:lang w:val="en-US" w:eastAsia="zh-CN"/>
              </w:rPr>
              <w:t>12</w:t>
            </w:r>
            <w:r>
              <w:rPr>
                <w:rFonts w:hint="eastAsia" w:ascii="宋体" w:hAnsi="宋体" w:cs="宋体"/>
                <w:color w:val="000000"/>
                <w:sz w:val="24"/>
              </w:rPr>
              <w:t>分，满足任意一点得</w:t>
            </w:r>
            <w:r>
              <w:rPr>
                <w:rFonts w:hint="eastAsia" w:ascii="宋体" w:hAnsi="宋体" w:cs="宋体"/>
                <w:color w:val="000000"/>
                <w:sz w:val="24"/>
                <w:lang w:val="en-US" w:eastAsia="zh-CN"/>
              </w:rPr>
              <w:t>6</w:t>
            </w:r>
            <w:r>
              <w:rPr>
                <w:rFonts w:hint="eastAsia" w:ascii="宋体" w:hAnsi="宋体" w:cs="宋体"/>
                <w:color w:val="000000"/>
                <w:sz w:val="24"/>
              </w:rPr>
              <w:t>分，未满足不得分。</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在此基础上，专家根据各供应商的具体响应内容按照量化的评审因素指标进一步评审：</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优：对项目目标理解和把握全面准确</w:t>
            </w:r>
            <w:bookmarkStart w:id="28" w:name="OLE_LINK7"/>
            <w:r>
              <w:rPr>
                <w:rFonts w:hint="eastAsia" w:ascii="宋体" w:hAnsi="宋体" w:cs="宋体"/>
                <w:color w:val="000000"/>
                <w:sz w:val="24"/>
              </w:rPr>
              <w:t>（</w:t>
            </w:r>
            <w:bookmarkEnd w:id="28"/>
            <w:r>
              <w:rPr>
                <w:rFonts w:hint="eastAsia" w:ascii="宋体" w:hAnsi="宋体" w:cs="宋体"/>
                <w:color w:val="000000"/>
                <w:sz w:val="24"/>
              </w:rPr>
              <w:t>全面理解前海规划的整体目标，</w:t>
            </w:r>
            <w:bookmarkStart w:id="29" w:name="OLE_LINK8"/>
            <w:r>
              <w:rPr>
                <w:rFonts w:hint="eastAsia" w:ascii="宋体" w:hAnsi="宋体" w:cs="宋体"/>
                <w:color w:val="000000"/>
                <w:sz w:val="24"/>
              </w:rPr>
              <w:t>包括经济发展（如GDP增长、产业升级）、深港合作（政策协同、跨境服务）、金融创新（跨境金融、数字人民币）、法治建设（</w:t>
            </w:r>
            <w:bookmarkEnd w:id="29"/>
            <w:bookmarkStart w:id="30" w:name="OLE_LINK10"/>
            <w:r>
              <w:rPr>
                <w:rFonts w:hint="eastAsia" w:ascii="宋体" w:hAnsi="宋体" w:cs="宋体"/>
                <w:color w:val="000000"/>
                <w:sz w:val="24"/>
              </w:rPr>
              <w:t>深港法律制度衔接、法治创新</w:t>
            </w:r>
            <w:bookmarkEnd w:id="30"/>
            <w:r>
              <w:rPr>
                <w:rFonts w:hint="eastAsia" w:ascii="宋体" w:hAnsi="宋体" w:cs="宋体"/>
                <w:color w:val="000000"/>
                <w:sz w:val="24"/>
              </w:rPr>
              <w:t>）、产业招商（重点产业布局）等多方面内容），工作思路内容与深度符合招标文件要求（工作思路具有创新性和可操作性，内容深度能够满足前海规划的高标准要求，涵盖金融创新、法治建设、产业招商等，有深度服务经验，方案匹配）；</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良：对项目目标理解和把握比较全面准确（</w:t>
            </w:r>
            <w:bookmarkStart w:id="31" w:name="OLE_LINK9"/>
            <w:r>
              <w:rPr>
                <w:rFonts w:hint="eastAsia" w:ascii="宋体" w:hAnsi="宋体" w:cs="宋体"/>
                <w:color w:val="000000"/>
                <w:sz w:val="24"/>
              </w:rPr>
              <w:t>全面理解前海规划的整体目标，包括经济发展（如GDP增长、产业升级）、深港合作（政策协同、跨境服务）、金融创新（跨境金融、数字人民币）、法治建设（深港法律制度衔接、制度创新）、产业招商（重点产业布局）等多方面内容，</w:t>
            </w:r>
            <w:bookmarkEnd w:id="31"/>
            <w:r>
              <w:rPr>
                <w:rFonts w:hint="eastAsia" w:ascii="宋体" w:hAnsi="宋体" w:cs="宋体"/>
                <w:color w:val="000000"/>
                <w:sz w:val="24"/>
              </w:rPr>
              <w:t>覆盖大部分子点</w:t>
            </w:r>
            <w:r>
              <w:rPr>
                <w:rFonts w:hint="eastAsia" w:ascii="宋体" w:hAnsi="宋体" w:cs="宋体"/>
                <w:color w:val="000000"/>
                <w:sz w:val="24"/>
                <w:lang w:eastAsia="zh-CN"/>
              </w:rPr>
              <w:t>，</w:t>
            </w:r>
            <w:r>
              <w:rPr>
                <w:rFonts w:hint="eastAsia" w:ascii="宋体" w:hAnsi="宋体" w:cs="宋体"/>
                <w:color w:val="000000"/>
                <w:sz w:val="24"/>
              </w:rPr>
              <w:t>工作思路内容与深度比较符合招标文件要求（较创新，内容较深，但略有不足，无深度服务经验，方案部分匹配）；</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中：对项目目标理解和把握基本准确（全面理解前海规划的整体目标，</w:t>
            </w:r>
            <w:bookmarkStart w:id="43" w:name="_GoBack"/>
            <w:bookmarkEnd w:id="43"/>
            <w:r>
              <w:rPr>
                <w:rFonts w:hint="eastAsia" w:ascii="宋体" w:hAnsi="宋体" w:cs="宋体"/>
                <w:color w:val="000000"/>
                <w:sz w:val="24"/>
              </w:rPr>
              <w:t>包括经济发展（如GDP增长、产业升级）、深港合作（政策协同、跨境服务）、金融创新（跨境金融、数字人民币）、法治建设（国际法律衔接）、产业招商（重点产业布局）等多方面内容，基本覆盖主要点，工作思路内容与深度较符合招标文件要求（一般，缺乏创新或深度不足）；</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差：对项目目标理解和把握不大准确。</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评价为优得</w:t>
            </w:r>
            <w:r>
              <w:rPr>
                <w:rFonts w:hint="eastAsia" w:ascii="宋体" w:hAnsi="宋体" w:cs="宋体"/>
                <w:color w:val="000000"/>
                <w:sz w:val="24"/>
                <w:lang w:val="en-US" w:eastAsia="zh-CN"/>
              </w:rPr>
              <w:t>6</w:t>
            </w:r>
            <w:r>
              <w:rPr>
                <w:rFonts w:hint="eastAsia" w:ascii="宋体" w:hAnsi="宋体" w:cs="宋体"/>
                <w:color w:val="000000"/>
                <w:sz w:val="24"/>
              </w:rPr>
              <w:t>分；评价为良得</w:t>
            </w:r>
            <w:r>
              <w:rPr>
                <w:rFonts w:hint="eastAsia" w:ascii="宋体" w:hAnsi="宋体" w:cs="宋体"/>
                <w:color w:val="000000"/>
                <w:sz w:val="24"/>
                <w:lang w:val="en-US" w:eastAsia="zh-CN"/>
              </w:rPr>
              <w:t>4</w:t>
            </w:r>
            <w:r>
              <w:rPr>
                <w:rFonts w:hint="eastAsia" w:ascii="宋体" w:hAnsi="宋体" w:cs="宋体"/>
                <w:color w:val="000000"/>
                <w:sz w:val="24"/>
              </w:rPr>
              <w:t>分；评价为中得</w:t>
            </w:r>
            <w:r>
              <w:rPr>
                <w:rFonts w:hint="eastAsia" w:ascii="宋体" w:hAnsi="宋体" w:cs="宋体"/>
                <w:color w:val="000000"/>
                <w:sz w:val="24"/>
                <w:lang w:val="en-US" w:eastAsia="zh-CN"/>
              </w:rPr>
              <w:t>2</w:t>
            </w:r>
            <w:r>
              <w:rPr>
                <w:rFonts w:hint="eastAsia" w:ascii="宋体" w:hAnsi="宋体" w:cs="宋体"/>
                <w:color w:val="000000"/>
                <w:sz w:val="24"/>
              </w:rPr>
              <w:t>分；评价为差得0分。</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如果评审为差，要求专家书面说明理由，并记录在档。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0" w:type="dxa"/>
            <w:vMerge w:val="continue"/>
            <w:tcBorders>
              <w:top w:val="nil"/>
              <w:left w:val="single" w:color="000000" w:sz="8" w:space="0"/>
              <w:bottom w:val="single" w:color="000000" w:sz="8" w:space="0"/>
              <w:right w:val="single" w:color="000000" w:sz="8" w:space="0"/>
            </w:tcBorders>
            <w:noWrap w:val="0"/>
            <w:vAlign w:val="center"/>
          </w:tcPr>
          <w:p>
            <w:pPr>
              <w:tabs>
                <w:tab w:val="left" w:pos="640"/>
                <w:tab w:val="left" w:pos="1260"/>
                <w:tab w:val="left" w:pos="1418"/>
              </w:tabs>
              <w:spacing w:line="360" w:lineRule="auto"/>
              <w:ind w:right="-420" w:rightChars="-200"/>
              <w:rPr>
                <w:rFonts w:ascii="宋体" w:hAnsi="宋体" w:cs="宋体"/>
                <w:b/>
                <w:bCs/>
                <w:color w:val="000000"/>
                <w:sz w:val="24"/>
              </w:rPr>
            </w:pPr>
          </w:p>
        </w:tc>
        <w:tc>
          <w:tcPr>
            <w:tcW w:w="701" w:type="dxa"/>
            <w:tcBorders>
              <w:top w:val="single" w:color="000000" w:sz="8" w:space="0"/>
              <w:left w:val="nil"/>
              <w:bottom w:val="single" w:color="000000" w:sz="8" w:space="0"/>
              <w:right w:val="single" w:color="000000" w:sz="8" w:space="0"/>
            </w:tcBorders>
            <w:noWrap w:val="0"/>
            <w:vAlign w:val="center"/>
          </w:tcPr>
          <w:p>
            <w:pPr>
              <w:tabs>
                <w:tab w:val="left" w:pos="640"/>
                <w:tab w:val="left" w:pos="1260"/>
                <w:tab w:val="left" w:pos="1418"/>
              </w:tabs>
              <w:spacing w:line="360" w:lineRule="auto"/>
              <w:ind w:right="-420" w:rightChars="-200"/>
              <w:rPr>
                <w:rFonts w:hint="eastAsia" w:ascii="宋体" w:hAnsi="宋体" w:cs="宋体"/>
                <w:color w:val="000000"/>
                <w:sz w:val="24"/>
              </w:rPr>
            </w:pPr>
            <w:r>
              <w:rPr>
                <w:rFonts w:hint="eastAsia" w:ascii="宋体" w:hAnsi="宋体" w:cs="宋体"/>
                <w:b/>
                <w:color w:val="000000"/>
                <w:sz w:val="24"/>
              </w:rPr>
              <w:t>3</w:t>
            </w:r>
          </w:p>
        </w:tc>
        <w:tc>
          <w:tcPr>
            <w:tcW w:w="1129" w:type="dxa"/>
            <w:tcBorders>
              <w:top w:val="single" w:color="000000" w:sz="8" w:space="0"/>
              <w:left w:val="nil"/>
              <w:bottom w:val="single" w:color="000000" w:sz="8" w:space="0"/>
              <w:right w:val="single" w:color="000000" w:sz="8" w:space="0"/>
            </w:tcBorders>
            <w:noWrap w:val="0"/>
            <w:vAlign w:val="center"/>
          </w:tcPr>
          <w:p>
            <w:pPr>
              <w:autoSpaceDE w:val="0"/>
              <w:autoSpaceDN w:val="0"/>
              <w:adjustRightInd w:val="0"/>
              <w:spacing w:line="360" w:lineRule="auto"/>
              <w:jc w:val="center"/>
              <w:rPr>
                <w:rFonts w:hint="eastAsia" w:ascii="宋体" w:hAnsi="宋体" w:cs="宋体"/>
                <w:color w:val="000000"/>
                <w:sz w:val="24"/>
              </w:rPr>
            </w:pPr>
            <w:r>
              <w:rPr>
                <w:rFonts w:hint="eastAsia" w:ascii="宋体" w:hAnsi="宋体" w:cs="宋体"/>
                <w:color w:val="000000"/>
                <w:sz w:val="24"/>
              </w:rPr>
              <w:t>诉讼、仲裁及行政复议服务方案</w:t>
            </w:r>
          </w:p>
        </w:tc>
        <w:tc>
          <w:tcPr>
            <w:tcW w:w="1025" w:type="dxa"/>
            <w:tcBorders>
              <w:top w:val="single" w:color="000000" w:sz="8" w:space="0"/>
              <w:left w:val="nil"/>
              <w:bottom w:val="single" w:color="000000" w:sz="8" w:space="0"/>
              <w:right w:val="single" w:color="000000" w:sz="8" w:space="0"/>
            </w:tcBorders>
            <w:noWrap w:val="0"/>
            <w:vAlign w:val="center"/>
          </w:tcPr>
          <w:p>
            <w:pPr>
              <w:tabs>
                <w:tab w:val="left" w:pos="640"/>
                <w:tab w:val="left" w:pos="1260"/>
                <w:tab w:val="left" w:pos="1418"/>
              </w:tabs>
              <w:spacing w:line="360" w:lineRule="auto"/>
              <w:ind w:right="-420" w:rightChars="-200"/>
              <w:jc w:val="center"/>
              <w:rPr>
                <w:rFonts w:hint="eastAsia" w:ascii="宋体" w:hAnsi="宋体" w:cs="宋体"/>
                <w:color w:val="000000"/>
                <w:sz w:val="24"/>
              </w:rPr>
            </w:pPr>
            <w:r>
              <w:rPr>
                <w:rFonts w:hint="eastAsia" w:ascii="宋体" w:hAnsi="宋体" w:cs="宋体"/>
                <w:color w:val="000000"/>
                <w:sz w:val="24"/>
              </w:rPr>
              <w:t>7</w:t>
            </w:r>
          </w:p>
        </w:tc>
        <w:tc>
          <w:tcPr>
            <w:tcW w:w="5908" w:type="dxa"/>
            <w:tcBorders>
              <w:top w:val="single" w:color="000000" w:sz="8" w:space="0"/>
              <w:left w:val="nil"/>
              <w:bottom w:val="single" w:color="000000" w:sz="8" w:space="0"/>
              <w:right w:val="single" w:color="000000" w:sz="8" w:space="0"/>
            </w:tcBorders>
            <w:noWrap w:val="0"/>
            <w:vAlign w:val="center"/>
          </w:tcPr>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（一）评审内容：</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根据招标文件的需求和投标文件响应情况，编制诉讼、仲裁、行政复议方案。包含但不限于以下内容：</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1.发生诉讼的处理方案；</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2.发生仲裁的处理方案；</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3.发生行政复议的处理方案。</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（二）评分标准：</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满足三点得</w:t>
            </w:r>
            <w:r>
              <w:rPr>
                <w:rFonts w:hint="eastAsia" w:ascii="宋体" w:hAnsi="宋体" w:cs="宋体"/>
                <w:color w:val="000000"/>
                <w:sz w:val="24"/>
                <w:lang w:val="en-US" w:eastAsia="zh-CN"/>
              </w:rPr>
              <w:t>4</w:t>
            </w:r>
            <w:r>
              <w:rPr>
                <w:rFonts w:hint="eastAsia" w:ascii="宋体" w:hAnsi="宋体" w:cs="宋体"/>
                <w:color w:val="000000"/>
                <w:sz w:val="24"/>
              </w:rPr>
              <w:t>分，满足任意两点得2分，满足任意一点得1分，未满足不得分。</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在此基础上，专家根据各供应商的具体响应内容按照量化的评审因素指标进一步评审；</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1、服务方案思路明确、逻辑清晰；</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2、服务方案准确、全面；</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3、解决重点难点问题的方案措施合理且有针对性；</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4、解决重点难点问题的建议科学、可行性高。</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满足4点的评价为优得</w:t>
            </w:r>
            <w:r>
              <w:rPr>
                <w:rFonts w:hint="eastAsia" w:ascii="宋体" w:hAnsi="宋体" w:cs="宋体"/>
                <w:color w:val="000000"/>
                <w:sz w:val="24"/>
                <w:lang w:val="en-US" w:eastAsia="zh-CN"/>
              </w:rPr>
              <w:t>3</w:t>
            </w:r>
            <w:r>
              <w:rPr>
                <w:rFonts w:hint="eastAsia" w:ascii="宋体" w:hAnsi="宋体" w:cs="宋体"/>
                <w:color w:val="000000"/>
                <w:sz w:val="24"/>
              </w:rPr>
              <w:t>分；满足3点的评价为良得2分；满足2点的评价为中得1分；满足1点的评价为差得0分。</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如果评审为差，要求专家书面说明理由，并记录在档。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0" w:type="dxa"/>
            <w:vMerge w:val="restart"/>
            <w:tcBorders>
              <w:top w:val="nil"/>
              <w:left w:val="single" w:color="000000" w:sz="8" w:space="0"/>
              <w:bottom w:val="single" w:color="auto" w:sz="8" w:space="0"/>
              <w:right w:val="single" w:color="000000" w:sz="8" w:space="0"/>
            </w:tcBorders>
            <w:noWrap w:val="0"/>
            <w:vAlign w:val="top"/>
          </w:tcPr>
          <w:p>
            <w:pPr>
              <w:tabs>
                <w:tab w:val="left" w:pos="640"/>
                <w:tab w:val="left" w:pos="1260"/>
                <w:tab w:val="left" w:pos="1418"/>
              </w:tabs>
              <w:spacing w:line="360" w:lineRule="auto"/>
              <w:ind w:right="-420" w:rightChars="-200"/>
              <w:rPr>
                <w:rFonts w:hint="eastAsia" w:ascii="宋体" w:hAnsi="宋体" w:cs="宋体"/>
                <w:b/>
                <w:bCs/>
                <w:color w:val="000000"/>
                <w:sz w:val="24"/>
              </w:rPr>
            </w:pPr>
            <w:r>
              <w:rPr>
                <w:rFonts w:hint="eastAsia" w:ascii="宋体" w:hAnsi="宋体" w:cs="宋体"/>
                <w:b/>
                <w:bCs/>
                <w:color w:val="000000"/>
                <w:sz w:val="24"/>
              </w:rPr>
              <w:t>3</w:t>
            </w:r>
          </w:p>
        </w:tc>
        <w:tc>
          <w:tcPr>
            <w:tcW w:w="2855" w:type="dxa"/>
            <w:gridSpan w:val="3"/>
            <w:tcBorders>
              <w:top w:val="single" w:color="000000" w:sz="8" w:space="0"/>
              <w:left w:val="nil"/>
              <w:bottom w:val="single" w:color="000000" w:sz="8" w:space="0"/>
              <w:right w:val="single" w:color="000000" w:sz="8" w:space="0"/>
            </w:tcBorders>
            <w:noWrap w:val="0"/>
            <w:vAlign w:val="top"/>
          </w:tcPr>
          <w:p>
            <w:pPr>
              <w:tabs>
                <w:tab w:val="left" w:pos="640"/>
                <w:tab w:val="left" w:pos="1260"/>
                <w:tab w:val="left" w:pos="1418"/>
              </w:tabs>
              <w:spacing w:line="360" w:lineRule="auto"/>
              <w:ind w:right="-420" w:rightChars="-200"/>
              <w:jc w:val="center"/>
              <w:rPr>
                <w:rFonts w:hint="eastAsia" w:ascii="宋体" w:hAnsi="宋体" w:cs="宋体"/>
                <w:b/>
                <w:bCs/>
                <w:color w:val="000000"/>
                <w:sz w:val="24"/>
              </w:rPr>
            </w:pPr>
            <w:r>
              <w:rPr>
                <w:rFonts w:hint="eastAsia" w:ascii="宋体" w:hAnsi="宋体" w:cs="宋体"/>
                <w:b/>
                <w:bCs/>
                <w:color w:val="000000"/>
                <w:sz w:val="24"/>
              </w:rPr>
              <w:t>商务部分</w:t>
            </w:r>
          </w:p>
        </w:tc>
        <w:tc>
          <w:tcPr>
            <w:tcW w:w="5908" w:type="dxa"/>
            <w:tcBorders>
              <w:top w:val="single" w:color="000000" w:sz="8" w:space="0"/>
              <w:left w:val="nil"/>
              <w:bottom w:val="single" w:color="000000" w:sz="8" w:space="0"/>
              <w:right w:val="single" w:color="000000" w:sz="8" w:space="0"/>
            </w:tcBorders>
            <w:noWrap w:val="0"/>
            <w:vAlign w:val="top"/>
          </w:tcPr>
          <w:p>
            <w:pPr>
              <w:tabs>
                <w:tab w:val="left" w:pos="640"/>
                <w:tab w:val="left" w:pos="1260"/>
                <w:tab w:val="left" w:pos="1418"/>
              </w:tabs>
              <w:spacing w:line="360" w:lineRule="auto"/>
              <w:ind w:right="-420" w:rightChars="-200"/>
              <w:jc w:val="center"/>
              <w:rPr>
                <w:rFonts w:hint="eastAsia" w:ascii="宋体" w:hAnsi="宋体" w:cs="宋体"/>
                <w:b/>
                <w:bCs/>
                <w:color w:val="000000"/>
                <w:sz w:val="24"/>
              </w:rPr>
            </w:pPr>
            <w:r>
              <w:rPr>
                <w:rFonts w:hint="eastAsia" w:ascii="宋体" w:hAnsi="宋体" w:cs="宋体"/>
                <w:b/>
                <w:bCs/>
                <w:color w:val="000000"/>
                <w:sz w:val="24"/>
              </w:rPr>
              <w:t>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0" w:type="dxa"/>
            <w:vMerge w:val="continue"/>
            <w:tcBorders>
              <w:top w:val="single" w:color="auto" w:sz="0" w:space="0"/>
              <w:left w:val="single" w:color="000000" w:sz="8" w:space="0"/>
              <w:bottom w:val="single" w:color="auto" w:sz="8" w:space="0"/>
              <w:right w:val="single" w:color="000000" w:sz="8" w:space="0"/>
            </w:tcBorders>
            <w:shd w:val="clear" w:color="auto" w:fill="auto"/>
            <w:noWrap w:val="0"/>
            <w:vAlign w:val="center"/>
          </w:tcPr>
          <w:p>
            <w:pPr>
              <w:tabs>
                <w:tab w:val="left" w:pos="640"/>
                <w:tab w:val="left" w:pos="1260"/>
                <w:tab w:val="left" w:pos="1418"/>
              </w:tabs>
              <w:spacing w:line="360" w:lineRule="auto"/>
              <w:ind w:right="-420" w:rightChars="-200"/>
              <w:rPr>
                <w:rFonts w:ascii="宋体" w:hAnsi="宋体" w:cs="宋体"/>
                <w:b/>
                <w:bCs/>
                <w:color w:val="000000"/>
                <w:sz w:val="24"/>
              </w:rPr>
            </w:pPr>
          </w:p>
        </w:tc>
        <w:tc>
          <w:tcPr>
            <w:tcW w:w="701" w:type="dxa"/>
            <w:tcBorders>
              <w:top w:val="thinThickLargeGap" w:color="000000" w:sz="6" w:space="0"/>
              <w:left w:val="thinThickLargeGap" w:color="000000" w:sz="6" w:space="0"/>
              <w:bottom w:val="thinThickLargeGap" w:color="000000" w:sz="6" w:space="0"/>
              <w:right w:val="thinThickLargeGap" w:color="000000" w:sz="6" w:space="0"/>
            </w:tcBorders>
            <w:shd w:val="clear" w:color="auto" w:fill="E6EFFA"/>
            <w:noWrap w:val="0"/>
            <w:vAlign w:val="center"/>
          </w:tcPr>
          <w:p>
            <w:pPr>
              <w:tabs>
                <w:tab w:val="left" w:pos="640"/>
                <w:tab w:val="left" w:pos="1260"/>
                <w:tab w:val="left" w:pos="1418"/>
              </w:tabs>
              <w:spacing w:line="360" w:lineRule="auto"/>
              <w:ind w:right="-420" w:rightChars="-200"/>
              <w:rPr>
                <w:rFonts w:hint="eastAsia" w:ascii="宋体" w:hAnsi="宋体" w:cs="宋体"/>
                <w:color w:val="000000"/>
                <w:sz w:val="24"/>
              </w:rPr>
            </w:pPr>
            <w:r>
              <w:rPr>
                <w:rFonts w:hint="eastAsia" w:ascii="宋体" w:hAnsi="宋体" w:cs="宋体"/>
                <w:color w:val="000000"/>
                <w:sz w:val="24"/>
              </w:rPr>
              <w:t>序号</w:t>
            </w:r>
          </w:p>
        </w:tc>
        <w:tc>
          <w:tcPr>
            <w:tcW w:w="1129" w:type="dxa"/>
            <w:tcBorders>
              <w:top w:val="thinThickLargeGap" w:color="000000" w:sz="6" w:space="0"/>
              <w:left w:val="single" w:color="auto" w:sz="0" w:space="0"/>
              <w:bottom w:val="thinThickLargeGap" w:color="000000" w:sz="6" w:space="0"/>
              <w:right w:val="thinThickLargeGap" w:color="000000" w:sz="6" w:space="0"/>
            </w:tcBorders>
            <w:shd w:val="clear" w:color="auto" w:fill="E6EFFA"/>
            <w:noWrap w:val="0"/>
            <w:vAlign w:val="center"/>
          </w:tcPr>
          <w:p>
            <w:pPr>
              <w:tabs>
                <w:tab w:val="left" w:pos="640"/>
                <w:tab w:val="left" w:pos="1260"/>
                <w:tab w:val="left" w:pos="1418"/>
              </w:tabs>
              <w:spacing w:line="360" w:lineRule="auto"/>
              <w:ind w:right="-420" w:rightChars="-200"/>
              <w:rPr>
                <w:rFonts w:hint="eastAsia" w:ascii="宋体" w:hAnsi="宋体" w:cs="宋体"/>
                <w:color w:val="000000"/>
                <w:sz w:val="24"/>
              </w:rPr>
            </w:pPr>
            <w:r>
              <w:rPr>
                <w:rFonts w:hint="eastAsia" w:ascii="宋体" w:hAnsi="宋体" w:cs="宋体"/>
                <w:color w:val="000000"/>
                <w:sz w:val="24"/>
              </w:rPr>
              <w:t>评分因素</w:t>
            </w:r>
          </w:p>
        </w:tc>
        <w:tc>
          <w:tcPr>
            <w:tcW w:w="1025" w:type="dxa"/>
            <w:tcBorders>
              <w:top w:val="thinThickLargeGap" w:color="000000" w:sz="6" w:space="0"/>
              <w:left w:val="single" w:color="auto" w:sz="0" w:space="0"/>
              <w:bottom w:val="thinThickLargeGap" w:color="000000" w:sz="6" w:space="0"/>
              <w:right w:val="thinThickLargeGap" w:color="000000" w:sz="6" w:space="0"/>
            </w:tcBorders>
            <w:shd w:val="clear" w:color="auto" w:fill="E6EFFA"/>
            <w:noWrap w:val="0"/>
            <w:vAlign w:val="center"/>
          </w:tcPr>
          <w:p>
            <w:pPr>
              <w:tabs>
                <w:tab w:val="left" w:pos="640"/>
                <w:tab w:val="left" w:pos="1260"/>
                <w:tab w:val="left" w:pos="1418"/>
              </w:tabs>
              <w:spacing w:line="360" w:lineRule="auto"/>
              <w:ind w:right="-420" w:rightChars="-200"/>
              <w:rPr>
                <w:rFonts w:hint="eastAsia" w:ascii="宋体" w:hAnsi="宋体" w:cs="宋体"/>
                <w:color w:val="000000"/>
                <w:sz w:val="24"/>
              </w:rPr>
            </w:pPr>
            <w:r>
              <w:rPr>
                <w:rFonts w:hint="eastAsia" w:ascii="宋体" w:hAnsi="宋体" w:cs="宋体"/>
                <w:color w:val="000000"/>
                <w:sz w:val="24"/>
              </w:rPr>
              <w:t>分值</w:t>
            </w:r>
          </w:p>
        </w:tc>
        <w:tc>
          <w:tcPr>
            <w:tcW w:w="5908" w:type="dxa"/>
            <w:tcBorders>
              <w:top w:val="thinThickLargeGap" w:color="000000" w:sz="6" w:space="0"/>
              <w:left w:val="single" w:color="auto" w:sz="0" w:space="0"/>
              <w:bottom w:val="thinThickLargeGap" w:color="000000" w:sz="6" w:space="0"/>
              <w:right w:val="thinThickLargeGap" w:color="000000" w:sz="6" w:space="0"/>
            </w:tcBorders>
            <w:shd w:val="clear" w:color="auto" w:fill="E6EFFA"/>
            <w:noWrap w:val="0"/>
            <w:vAlign w:val="center"/>
          </w:tcPr>
          <w:p>
            <w:pPr>
              <w:tabs>
                <w:tab w:val="left" w:pos="640"/>
                <w:tab w:val="left" w:pos="1260"/>
                <w:tab w:val="left" w:pos="1418"/>
              </w:tabs>
              <w:spacing w:line="360" w:lineRule="auto"/>
              <w:ind w:right="-420" w:rightChars="-200"/>
              <w:rPr>
                <w:rFonts w:hint="eastAsia" w:ascii="宋体" w:hAnsi="宋体" w:cs="宋体"/>
                <w:color w:val="000000"/>
                <w:sz w:val="24"/>
              </w:rPr>
            </w:pPr>
            <w:r>
              <w:rPr>
                <w:rFonts w:hint="eastAsia" w:ascii="宋体" w:hAnsi="宋体" w:cs="宋体"/>
                <w:color w:val="000000"/>
                <w:sz w:val="24"/>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0" w:type="dxa"/>
            <w:vMerge w:val="continue"/>
            <w:tcBorders>
              <w:top w:val="nil"/>
              <w:left w:val="single" w:color="000000" w:sz="8" w:space="0"/>
              <w:bottom w:val="single" w:color="auto" w:sz="8" w:space="0"/>
              <w:right w:val="single" w:color="000000" w:sz="8" w:space="0"/>
            </w:tcBorders>
            <w:noWrap w:val="0"/>
            <w:vAlign w:val="center"/>
          </w:tcPr>
          <w:p>
            <w:pPr>
              <w:tabs>
                <w:tab w:val="left" w:pos="640"/>
                <w:tab w:val="left" w:pos="1260"/>
                <w:tab w:val="left" w:pos="1418"/>
              </w:tabs>
              <w:spacing w:line="360" w:lineRule="auto"/>
              <w:ind w:right="-420" w:rightChars="-200"/>
              <w:rPr>
                <w:rFonts w:ascii="宋体" w:hAnsi="宋体" w:cs="宋体"/>
                <w:b/>
                <w:bCs/>
                <w:color w:val="000000"/>
                <w:sz w:val="24"/>
              </w:rPr>
            </w:pPr>
          </w:p>
        </w:tc>
        <w:tc>
          <w:tcPr>
            <w:tcW w:w="701" w:type="dxa"/>
            <w:tcBorders>
              <w:top w:val="single" w:color="000000" w:sz="8" w:space="0"/>
              <w:left w:val="nil"/>
              <w:bottom w:val="single" w:color="000000" w:sz="8" w:space="0"/>
              <w:right w:val="single" w:color="000000" w:sz="8" w:space="0"/>
            </w:tcBorders>
            <w:noWrap w:val="0"/>
            <w:vAlign w:val="center"/>
          </w:tcPr>
          <w:p>
            <w:pPr>
              <w:tabs>
                <w:tab w:val="left" w:pos="640"/>
                <w:tab w:val="left" w:pos="1260"/>
                <w:tab w:val="left" w:pos="1418"/>
              </w:tabs>
              <w:spacing w:line="360" w:lineRule="auto"/>
              <w:ind w:right="-420" w:rightChars="-200"/>
              <w:rPr>
                <w:rFonts w:hint="eastAsia" w:ascii="宋体" w:hAnsi="宋体" w:cs="宋体"/>
                <w:color w:val="000000"/>
                <w:sz w:val="24"/>
              </w:rPr>
            </w:pPr>
            <w:r>
              <w:rPr>
                <w:rFonts w:hint="eastAsia" w:ascii="宋体" w:hAnsi="宋体" w:cs="宋体"/>
                <w:b/>
                <w:color w:val="000000"/>
                <w:sz w:val="24"/>
              </w:rPr>
              <w:t>1</w:t>
            </w:r>
          </w:p>
        </w:tc>
        <w:tc>
          <w:tcPr>
            <w:tcW w:w="1129" w:type="dxa"/>
            <w:tcBorders>
              <w:top w:val="single" w:color="000000" w:sz="8" w:space="0"/>
              <w:left w:val="nil"/>
              <w:bottom w:val="single" w:color="000000" w:sz="8" w:space="0"/>
              <w:right w:val="single" w:color="000000" w:sz="8" w:space="0"/>
            </w:tcBorders>
            <w:noWrap w:val="0"/>
            <w:vAlign w:val="center"/>
          </w:tcPr>
          <w:p>
            <w:pPr>
              <w:autoSpaceDE w:val="0"/>
              <w:autoSpaceDN w:val="0"/>
              <w:adjustRightInd w:val="0"/>
              <w:spacing w:line="360" w:lineRule="auto"/>
              <w:jc w:val="center"/>
              <w:rPr>
                <w:rFonts w:hint="eastAsia" w:ascii="宋体" w:hAnsi="宋体" w:eastAsia="宋体" w:cs="宋体"/>
                <w:color w:val="000000"/>
                <w:sz w:val="24"/>
                <w:lang w:eastAsia="zh-CN"/>
              </w:rPr>
            </w:pPr>
            <w:r>
              <w:rPr>
                <w:rFonts w:hint="eastAsia" w:ascii="宋体" w:hAnsi="宋体" w:cs="宋体"/>
                <w:color w:val="000000"/>
                <w:sz w:val="24"/>
              </w:rPr>
              <w:t>拟派服务团队负责人</w:t>
            </w:r>
            <w:r>
              <w:rPr>
                <w:rFonts w:hint="eastAsia" w:ascii="宋体" w:hAnsi="宋体" w:cs="宋体"/>
                <w:color w:val="000000"/>
                <w:sz w:val="24"/>
                <w:lang w:eastAsia="zh-CN"/>
              </w:rPr>
              <w:t>（</w:t>
            </w:r>
            <w:r>
              <w:rPr>
                <w:rFonts w:hint="eastAsia" w:ascii="宋体" w:hAnsi="宋体" w:cs="宋体"/>
                <w:color w:val="000000"/>
                <w:sz w:val="24"/>
                <w:lang w:val="en-US" w:eastAsia="zh-CN"/>
              </w:rPr>
              <w:t>仅1人</w:t>
            </w:r>
            <w:r>
              <w:rPr>
                <w:rFonts w:hint="eastAsia" w:ascii="宋体" w:hAnsi="宋体" w:cs="宋体"/>
                <w:color w:val="000000"/>
                <w:sz w:val="24"/>
                <w:lang w:eastAsia="zh-CN"/>
              </w:rPr>
              <w:t>）</w:t>
            </w:r>
          </w:p>
        </w:tc>
        <w:tc>
          <w:tcPr>
            <w:tcW w:w="1025" w:type="dxa"/>
            <w:tcBorders>
              <w:top w:val="single" w:color="000000" w:sz="8" w:space="0"/>
              <w:left w:val="nil"/>
              <w:bottom w:val="single" w:color="000000" w:sz="8" w:space="0"/>
              <w:right w:val="single" w:color="000000" w:sz="8" w:space="0"/>
            </w:tcBorders>
            <w:noWrap w:val="0"/>
            <w:vAlign w:val="center"/>
          </w:tcPr>
          <w:p>
            <w:pPr>
              <w:tabs>
                <w:tab w:val="left" w:pos="640"/>
                <w:tab w:val="left" w:pos="1260"/>
                <w:tab w:val="left" w:pos="1418"/>
              </w:tabs>
              <w:spacing w:line="360" w:lineRule="auto"/>
              <w:ind w:right="-420" w:rightChars="-200"/>
              <w:rPr>
                <w:rFonts w:hint="eastAsia" w:ascii="宋体" w:hAnsi="宋体" w:cs="宋体"/>
                <w:color w:val="000000"/>
                <w:sz w:val="24"/>
              </w:rPr>
            </w:pPr>
            <w:r>
              <w:rPr>
                <w:rFonts w:hint="eastAsia" w:ascii="宋体" w:hAnsi="宋体" w:cs="宋体"/>
                <w:color w:val="000000"/>
                <w:sz w:val="24"/>
              </w:rPr>
              <w:t>6</w:t>
            </w:r>
          </w:p>
        </w:tc>
        <w:tc>
          <w:tcPr>
            <w:tcW w:w="5908" w:type="dxa"/>
            <w:tcBorders>
              <w:top w:val="single" w:color="000000" w:sz="8" w:space="0"/>
              <w:left w:val="nil"/>
              <w:bottom w:val="single" w:color="000000" w:sz="8" w:space="0"/>
              <w:right w:val="single" w:color="000000" w:sz="8" w:space="0"/>
            </w:tcBorders>
            <w:noWrap w:val="0"/>
            <w:vAlign w:val="top"/>
          </w:tcPr>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（一）评分内容：</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1.拟派的服务团队负责人执业年限在15年</w:t>
            </w:r>
            <w:r>
              <w:rPr>
                <w:rFonts w:hint="eastAsia" w:ascii="宋体" w:hAnsi="宋体" w:cs="宋体"/>
                <w:color w:val="000000"/>
                <w:sz w:val="24"/>
                <w:lang w:eastAsia="zh-CN"/>
              </w:rPr>
              <w:t>（</w:t>
            </w:r>
            <w:r>
              <w:rPr>
                <w:rFonts w:hint="eastAsia" w:ascii="宋体" w:hAnsi="宋体" w:cs="宋体"/>
                <w:color w:val="000000"/>
                <w:sz w:val="24"/>
                <w:lang w:val="en-US" w:eastAsia="zh-CN"/>
              </w:rPr>
              <w:t>含</w:t>
            </w:r>
            <w:r>
              <w:rPr>
                <w:rFonts w:hint="eastAsia" w:ascii="宋体" w:hAnsi="宋体" w:cs="宋体"/>
                <w:color w:val="000000"/>
                <w:sz w:val="24"/>
                <w:lang w:eastAsia="zh-CN"/>
              </w:rPr>
              <w:t>）</w:t>
            </w:r>
            <w:r>
              <w:rPr>
                <w:rFonts w:hint="eastAsia" w:ascii="宋体" w:hAnsi="宋体" w:cs="宋体"/>
                <w:color w:val="000000"/>
                <w:sz w:val="24"/>
              </w:rPr>
              <w:t>或以上的，得4分；拟派的服务团队负责人执业年限在15年</w:t>
            </w:r>
            <w:r>
              <w:rPr>
                <w:rFonts w:hint="eastAsia" w:ascii="宋体" w:hAnsi="宋体" w:cs="宋体"/>
                <w:color w:val="000000"/>
                <w:sz w:val="24"/>
                <w:lang w:eastAsia="zh-CN"/>
              </w:rPr>
              <w:t>（</w:t>
            </w:r>
            <w:r>
              <w:rPr>
                <w:rFonts w:hint="eastAsia" w:ascii="宋体" w:hAnsi="宋体" w:cs="宋体"/>
                <w:color w:val="000000"/>
                <w:sz w:val="24"/>
                <w:lang w:val="en-US" w:eastAsia="zh-CN"/>
              </w:rPr>
              <w:t>不含</w:t>
            </w:r>
            <w:r>
              <w:rPr>
                <w:rFonts w:hint="eastAsia" w:ascii="宋体" w:hAnsi="宋体" w:cs="宋体"/>
                <w:color w:val="000000"/>
                <w:sz w:val="24"/>
                <w:lang w:eastAsia="zh-CN"/>
              </w:rPr>
              <w:t>）</w:t>
            </w:r>
            <w:r>
              <w:rPr>
                <w:rFonts w:hint="eastAsia" w:ascii="宋体" w:hAnsi="宋体" w:cs="宋体"/>
                <w:color w:val="000000"/>
                <w:sz w:val="24"/>
              </w:rPr>
              <w:t>或以</w:t>
            </w:r>
            <w:r>
              <w:rPr>
                <w:rFonts w:hint="eastAsia" w:ascii="宋体" w:hAnsi="宋体" w:cs="宋体"/>
                <w:color w:val="000000"/>
                <w:sz w:val="24"/>
                <w:lang w:val="en-US" w:eastAsia="zh-CN"/>
              </w:rPr>
              <w:t>下，10年（或）以上</w:t>
            </w:r>
            <w:r>
              <w:rPr>
                <w:rFonts w:hint="eastAsia" w:ascii="宋体" w:hAnsi="宋体" w:cs="宋体"/>
                <w:color w:val="000000"/>
                <w:sz w:val="24"/>
              </w:rPr>
              <w:t>的，得</w:t>
            </w:r>
            <w:r>
              <w:rPr>
                <w:rFonts w:hint="eastAsia" w:ascii="宋体" w:hAnsi="宋体" w:cs="宋体"/>
                <w:color w:val="000000"/>
                <w:sz w:val="24"/>
                <w:lang w:val="en-US" w:eastAsia="zh-CN"/>
              </w:rPr>
              <w:t>1</w:t>
            </w:r>
            <w:r>
              <w:rPr>
                <w:rFonts w:hint="eastAsia" w:ascii="宋体" w:hAnsi="宋体" w:cs="宋体"/>
                <w:color w:val="000000"/>
                <w:sz w:val="24"/>
              </w:rPr>
              <w:t>分；</w:t>
            </w:r>
            <w:r>
              <w:rPr>
                <w:rFonts w:hint="eastAsia" w:ascii="宋体" w:hAnsi="宋体" w:cs="宋体"/>
                <w:color w:val="000000"/>
                <w:sz w:val="24"/>
                <w:lang w:val="en-US" w:eastAsia="zh-CN"/>
              </w:rPr>
              <w:t>其他情况不得分；</w:t>
            </w:r>
            <w:r>
              <w:rPr>
                <w:rFonts w:hint="eastAsia" w:ascii="宋体" w:hAnsi="宋体" w:cs="宋体"/>
                <w:color w:val="000000"/>
                <w:sz w:val="24"/>
              </w:rPr>
              <w:t>本小项最高得4分；</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2.拟派的投标人服务团队负责人曾担任过常年法律顾问服务类项目团队负责人的，得2分；本小项最高得2分；</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3.本项最高得6分。同一项目续签合同不可重复计分，按得分高计。</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（二）评分依据：</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1.提供投标人为期缴纳的近三个月（2025年3月-2025年5月）任意1个月的社保证明加盖公章，原件备查，未提供或提供不齐全或无法分辨的不得分。如开标日上一个月的社保材料因社保或税务部门原因暂时无法取得，则可以往前顺延一个月。如投标人为新成立企业且成立时间不足1个月的可提供加盖公章的情况说明或其他相关证明材料亦可</w:t>
            </w:r>
            <w:r>
              <w:rPr>
                <w:rFonts w:hint="eastAsia" w:ascii="宋体" w:hAnsi="宋体" w:cs="宋体"/>
                <w:color w:val="000000"/>
                <w:sz w:val="24"/>
                <w:lang w:val="zh-CN"/>
              </w:rPr>
              <w:t>（项目负责人</w:t>
            </w:r>
            <w:r>
              <w:rPr>
                <w:rFonts w:hint="eastAsia" w:ascii="宋体" w:hAnsi="宋体" w:cs="宋体"/>
                <w:color w:val="000000"/>
                <w:sz w:val="24"/>
              </w:rPr>
              <w:t>或</w:t>
            </w:r>
            <w:r>
              <w:rPr>
                <w:rFonts w:hint="eastAsia" w:ascii="宋体" w:hAnsi="宋体" w:cs="宋体"/>
                <w:color w:val="000000"/>
                <w:sz w:val="24"/>
                <w:lang w:val="zh-CN"/>
              </w:rPr>
              <w:t>项目团队成员若为法定代表人，则无需提供社保证明）。</w:t>
            </w:r>
            <w:r>
              <w:rPr>
                <w:rFonts w:hint="eastAsia" w:ascii="宋体" w:hAnsi="宋体" w:cs="宋体"/>
                <w:color w:val="000000"/>
                <w:sz w:val="24"/>
              </w:rPr>
              <w:t>本项目不接受退休返聘人员。</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2.涉及考察执业年限的需以经年审有效的律师执业证中发证日期开始计算执业年限，或提供全国律师执业诚信信息公示平台(credit.acla.org.cn)查询截图，以首次批准执业日期为准。</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3.提供上述项目法律顾问的相关材料（如合同关键页（关键页包含但不限于合同封面、服务内容页、服务人员页、双方盖章页等）或加盖甲方公章（或业务章）的委托函或履约评价证明）复印件（或扫描件）加盖公章，原件备查。合同关键信息页不能体现项目负责人参与情况的，可提供合同甲方开具的加盖合同甲方公章（或业务章）的书面证明。未提供或提供不齐全或无法分辨的不得分。</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注：以联合体形式进行投标的，</w:t>
            </w:r>
            <w:r>
              <w:rPr>
                <w:rFonts w:hint="eastAsia" w:ascii="宋体" w:hAnsi="宋体" w:cs="宋体"/>
                <w:color w:val="000000"/>
                <w:sz w:val="24"/>
                <w:lang w:val="en-US" w:eastAsia="zh-CN"/>
              </w:rPr>
              <w:t>人员</w:t>
            </w:r>
            <w:r>
              <w:rPr>
                <w:rFonts w:hint="eastAsia" w:ascii="宋体" w:hAnsi="宋体" w:cs="宋体"/>
                <w:color w:val="000000"/>
                <w:sz w:val="24"/>
              </w:rPr>
              <w:t>情况不累加计算得分，仅计算得分较高的联合体成员该项分值。项目负责人可为联合体任意一方成员。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0" w:type="dxa"/>
            <w:vMerge w:val="continue"/>
            <w:tcBorders>
              <w:top w:val="nil"/>
              <w:left w:val="single" w:color="000000" w:sz="8" w:space="0"/>
              <w:bottom w:val="single" w:color="auto" w:sz="8" w:space="0"/>
              <w:right w:val="single" w:color="000000" w:sz="8" w:space="0"/>
            </w:tcBorders>
            <w:noWrap w:val="0"/>
            <w:vAlign w:val="center"/>
          </w:tcPr>
          <w:p>
            <w:pPr>
              <w:tabs>
                <w:tab w:val="left" w:pos="640"/>
                <w:tab w:val="left" w:pos="1260"/>
                <w:tab w:val="left" w:pos="1418"/>
              </w:tabs>
              <w:spacing w:line="360" w:lineRule="auto"/>
              <w:ind w:right="-420" w:rightChars="-200"/>
              <w:rPr>
                <w:rFonts w:ascii="宋体" w:hAnsi="宋体" w:cs="宋体"/>
                <w:b/>
                <w:bCs/>
                <w:color w:val="000000"/>
                <w:sz w:val="24"/>
              </w:rPr>
            </w:pPr>
          </w:p>
        </w:tc>
        <w:tc>
          <w:tcPr>
            <w:tcW w:w="701" w:type="dxa"/>
            <w:tcBorders>
              <w:top w:val="single" w:color="000000" w:sz="8" w:space="0"/>
              <w:left w:val="nil"/>
              <w:bottom w:val="single" w:color="000000" w:sz="8" w:space="0"/>
              <w:right w:val="single" w:color="000000" w:sz="8" w:space="0"/>
            </w:tcBorders>
            <w:noWrap w:val="0"/>
            <w:vAlign w:val="center"/>
          </w:tcPr>
          <w:p>
            <w:pPr>
              <w:tabs>
                <w:tab w:val="left" w:pos="640"/>
                <w:tab w:val="left" w:pos="1260"/>
                <w:tab w:val="left" w:pos="1418"/>
              </w:tabs>
              <w:spacing w:line="360" w:lineRule="auto"/>
              <w:ind w:right="-420" w:rightChars="-200"/>
              <w:rPr>
                <w:rFonts w:hint="eastAsia" w:ascii="宋体" w:hAnsi="宋体" w:cs="宋体"/>
                <w:color w:val="000000"/>
                <w:sz w:val="24"/>
              </w:rPr>
            </w:pPr>
            <w:r>
              <w:rPr>
                <w:rFonts w:hint="eastAsia" w:ascii="宋体" w:hAnsi="宋体" w:cs="宋体"/>
                <w:b/>
                <w:color w:val="000000"/>
                <w:sz w:val="24"/>
              </w:rPr>
              <w:t>2</w:t>
            </w:r>
          </w:p>
        </w:tc>
        <w:tc>
          <w:tcPr>
            <w:tcW w:w="1129" w:type="dxa"/>
            <w:tcBorders>
              <w:top w:val="single" w:color="000000" w:sz="8" w:space="0"/>
              <w:left w:val="nil"/>
              <w:bottom w:val="single" w:color="000000" w:sz="8" w:space="0"/>
              <w:right w:val="single" w:color="000000" w:sz="8" w:space="0"/>
            </w:tcBorders>
            <w:noWrap w:val="0"/>
            <w:vAlign w:val="center"/>
          </w:tcPr>
          <w:p>
            <w:pPr>
              <w:autoSpaceDE w:val="0"/>
              <w:autoSpaceDN w:val="0"/>
              <w:adjustRightInd w:val="0"/>
              <w:spacing w:line="360" w:lineRule="auto"/>
              <w:jc w:val="center"/>
              <w:rPr>
                <w:rFonts w:hint="eastAsia" w:ascii="宋体" w:hAnsi="宋体" w:cs="宋体"/>
                <w:color w:val="000000"/>
                <w:sz w:val="24"/>
              </w:rPr>
            </w:pPr>
            <w:r>
              <w:rPr>
                <w:rFonts w:hint="eastAsia" w:ascii="宋体" w:hAnsi="宋体" w:cs="宋体"/>
                <w:color w:val="000000"/>
                <w:sz w:val="24"/>
              </w:rPr>
              <w:t>拟派服务团队核心</w:t>
            </w:r>
            <w:r>
              <w:rPr>
                <w:rFonts w:hint="eastAsia" w:ascii="宋体" w:hAnsi="宋体" w:cs="宋体"/>
                <w:color w:val="000000"/>
                <w:sz w:val="24"/>
                <w:lang w:val="en-US" w:eastAsia="zh-CN"/>
              </w:rPr>
              <w:t>人</w:t>
            </w:r>
            <w:r>
              <w:rPr>
                <w:rFonts w:hint="eastAsia" w:ascii="宋体" w:hAnsi="宋体" w:cs="宋体"/>
                <w:color w:val="000000"/>
                <w:sz w:val="24"/>
              </w:rPr>
              <w:t>员（不含负责人）</w:t>
            </w:r>
          </w:p>
        </w:tc>
        <w:tc>
          <w:tcPr>
            <w:tcW w:w="1025" w:type="dxa"/>
            <w:tcBorders>
              <w:top w:val="single" w:color="000000" w:sz="8" w:space="0"/>
              <w:left w:val="nil"/>
              <w:bottom w:val="single" w:color="000000" w:sz="8" w:space="0"/>
              <w:right w:val="single" w:color="000000" w:sz="8" w:space="0"/>
            </w:tcBorders>
            <w:noWrap w:val="0"/>
            <w:vAlign w:val="center"/>
          </w:tcPr>
          <w:p>
            <w:pPr>
              <w:tabs>
                <w:tab w:val="left" w:pos="640"/>
                <w:tab w:val="left" w:pos="1260"/>
                <w:tab w:val="left" w:pos="1418"/>
              </w:tabs>
              <w:spacing w:line="360" w:lineRule="auto"/>
              <w:ind w:right="-420" w:rightChars="-200"/>
              <w:rPr>
                <w:rFonts w:hint="eastAsia" w:ascii="宋体" w:hAnsi="宋体" w:cs="宋体"/>
                <w:color w:val="000000"/>
                <w:sz w:val="24"/>
              </w:rPr>
            </w:pPr>
            <w:r>
              <w:rPr>
                <w:rFonts w:hint="eastAsia" w:ascii="宋体" w:hAnsi="宋体" w:cs="宋体"/>
                <w:color w:val="000000"/>
                <w:sz w:val="24"/>
              </w:rPr>
              <w:t>6</w:t>
            </w:r>
          </w:p>
        </w:tc>
        <w:tc>
          <w:tcPr>
            <w:tcW w:w="5908" w:type="dxa"/>
            <w:tcBorders>
              <w:top w:val="single" w:color="000000" w:sz="8" w:space="0"/>
              <w:left w:val="nil"/>
              <w:bottom w:val="single" w:color="000000" w:sz="8" w:space="0"/>
              <w:right w:val="single" w:color="000000" w:sz="8" w:space="0"/>
            </w:tcBorders>
            <w:noWrap w:val="0"/>
            <w:vAlign w:val="top"/>
          </w:tcPr>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（一）评分内容：</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1.为本项目拟派的投标人服务团队核心</w:t>
            </w:r>
            <w:r>
              <w:rPr>
                <w:rFonts w:hint="eastAsia" w:ascii="宋体" w:hAnsi="宋体" w:cs="宋体"/>
                <w:color w:val="000000"/>
                <w:sz w:val="24"/>
                <w:lang w:val="en-US" w:eastAsia="zh-CN"/>
              </w:rPr>
              <w:t>人</w:t>
            </w:r>
            <w:r>
              <w:rPr>
                <w:rFonts w:hint="eastAsia" w:ascii="宋体" w:hAnsi="宋体" w:cs="宋体"/>
                <w:color w:val="000000"/>
                <w:sz w:val="24"/>
              </w:rPr>
              <w:t>员由执业年限在5年或以上的执业律师</w:t>
            </w:r>
            <w:r>
              <w:rPr>
                <w:rFonts w:hint="eastAsia" w:ascii="宋体" w:hAnsi="宋体" w:cs="宋体"/>
                <w:color w:val="000000"/>
                <w:sz w:val="24"/>
                <w:lang w:val="en-US" w:eastAsia="zh-CN"/>
              </w:rPr>
              <w:t>3</w:t>
            </w:r>
            <w:r>
              <w:rPr>
                <w:rFonts w:hint="eastAsia" w:ascii="宋体" w:hAnsi="宋体" w:cs="宋体"/>
                <w:color w:val="000000"/>
                <w:sz w:val="24"/>
              </w:rPr>
              <w:t>人(含)以上组成</w:t>
            </w:r>
            <w:r>
              <w:rPr>
                <w:rFonts w:hint="eastAsia" w:ascii="宋体" w:hAnsi="宋体" w:cs="宋体"/>
                <w:color w:val="000000"/>
                <w:sz w:val="24"/>
                <w:lang w:eastAsia="zh-CN"/>
              </w:rPr>
              <w:t>，</w:t>
            </w:r>
            <w:r>
              <w:rPr>
                <w:rFonts w:hint="eastAsia" w:ascii="宋体" w:hAnsi="宋体" w:cs="宋体"/>
                <w:color w:val="000000"/>
                <w:sz w:val="24"/>
                <w:lang w:val="en-US" w:eastAsia="zh-CN"/>
              </w:rPr>
              <w:t>得2分；</w:t>
            </w:r>
            <w:r>
              <w:rPr>
                <w:rFonts w:hint="eastAsia" w:ascii="宋体" w:hAnsi="宋体" w:cs="宋体"/>
                <w:color w:val="000000"/>
                <w:sz w:val="24"/>
              </w:rPr>
              <w:t>为本项目拟派的投标人服务团队核心</w:t>
            </w:r>
            <w:r>
              <w:rPr>
                <w:rFonts w:hint="eastAsia" w:ascii="宋体" w:hAnsi="宋体" w:cs="宋体"/>
                <w:color w:val="000000"/>
                <w:sz w:val="24"/>
                <w:lang w:val="en-US" w:eastAsia="zh-CN"/>
              </w:rPr>
              <w:t>人</w:t>
            </w:r>
            <w:r>
              <w:rPr>
                <w:rFonts w:hint="eastAsia" w:ascii="宋体" w:hAnsi="宋体" w:cs="宋体"/>
                <w:color w:val="000000"/>
                <w:sz w:val="24"/>
              </w:rPr>
              <w:t>员由执业年限在5年</w:t>
            </w:r>
            <w:r>
              <w:rPr>
                <w:rFonts w:hint="eastAsia" w:ascii="宋体" w:hAnsi="宋体" w:cs="宋体"/>
                <w:color w:val="000000"/>
                <w:sz w:val="24"/>
                <w:lang w:eastAsia="zh-CN"/>
              </w:rPr>
              <w:t>（</w:t>
            </w:r>
            <w:r>
              <w:rPr>
                <w:rFonts w:hint="eastAsia" w:ascii="宋体" w:hAnsi="宋体" w:cs="宋体"/>
                <w:color w:val="000000"/>
                <w:sz w:val="24"/>
                <w:lang w:val="en-US" w:eastAsia="zh-CN"/>
              </w:rPr>
              <w:t>不含</w:t>
            </w:r>
            <w:r>
              <w:rPr>
                <w:rFonts w:hint="eastAsia" w:ascii="宋体" w:hAnsi="宋体" w:cs="宋体"/>
                <w:color w:val="000000"/>
                <w:sz w:val="24"/>
                <w:lang w:eastAsia="zh-CN"/>
              </w:rPr>
              <w:t>）</w:t>
            </w:r>
            <w:r>
              <w:rPr>
                <w:rFonts w:hint="eastAsia" w:ascii="宋体" w:hAnsi="宋体" w:cs="宋体"/>
                <w:color w:val="000000"/>
                <w:sz w:val="24"/>
                <w:lang w:val="en-US" w:eastAsia="zh-CN"/>
              </w:rPr>
              <w:t>以下</w:t>
            </w:r>
            <w:r>
              <w:rPr>
                <w:rFonts w:hint="eastAsia" w:ascii="宋体" w:hAnsi="宋体" w:cs="宋体"/>
                <w:color w:val="000000"/>
                <w:sz w:val="24"/>
              </w:rPr>
              <w:t>的执业律师</w:t>
            </w:r>
            <w:r>
              <w:rPr>
                <w:rFonts w:hint="eastAsia" w:ascii="宋体" w:hAnsi="宋体" w:cs="宋体"/>
                <w:color w:val="000000"/>
                <w:sz w:val="24"/>
                <w:lang w:val="en-US" w:eastAsia="zh-CN"/>
              </w:rPr>
              <w:t>3</w:t>
            </w:r>
            <w:r>
              <w:rPr>
                <w:rFonts w:hint="eastAsia" w:ascii="宋体" w:hAnsi="宋体" w:cs="宋体"/>
                <w:color w:val="000000"/>
                <w:sz w:val="24"/>
              </w:rPr>
              <w:t>人(含)以上组成</w:t>
            </w:r>
            <w:r>
              <w:rPr>
                <w:rFonts w:hint="eastAsia" w:ascii="宋体" w:hAnsi="宋体" w:cs="宋体"/>
                <w:color w:val="000000"/>
                <w:sz w:val="24"/>
                <w:lang w:eastAsia="zh-CN"/>
              </w:rPr>
              <w:t>，</w:t>
            </w:r>
            <w:r>
              <w:rPr>
                <w:rFonts w:hint="eastAsia" w:ascii="宋体" w:hAnsi="宋体" w:cs="宋体"/>
                <w:color w:val="000000"/>
                <w:sz w:val="24"/>
                <w:lang w:val="en-US" w:eastAsia="zh-CN"/>
              </w:rPr>
              <w:t>得1分；其他情况不得分。</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2.为本项目拟派的投标人服务团队核心成员具备常年法律顾问服务经验，每个业绩得1分；本小项最高得2分；</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3.为本项目拟派的投标人服务团队核心成员2022年</w:t>
            </w:r>
            <w:r>
              <w:rPr>
                <w:rFonts w:hint="eastAsia" w:ascii="宋体" w:hAnsi="宋体" w:cs="宋体"/>
                <w:color w:val="000000"/>
                <w:sz w:val="24"/>
                <w:lang w:val="en-US" w:eastAsia="zh-CN"/>
              </w:rPr>
              <w:t>1</w:t>
            </w:r>
            <w:r>
              <w:rPr>
                <w:rFonts w:hint="eastAsia" w:ascii="宋体" w:hAnsi="宋体" w:cs="宋体"/>
                <w:color w:val="000000"/>
                <w:sz w:val="24"/>
              </w:rPr>
              <w:t>月1日至本项目投标截止日</w:t>
            </w:r>
            <w:r>
              <w:rPr>
                <w:rFonts w:hint="eastAsia" w:ascii="宋体" w:hAnsi="宋体" w:cs="宋体"/>
                <w:color w:val="000000"/>
                <w:sz w:val="24"/>
                <w:lang w:eastAsia="zh-CN"/>
              </w:rPr>
              <w:t>（</w:t>
            </w:r>
            <w:r>
              <w:rPr>
                <w:rFonts w:hint="eastAsia" w:ascii="宋体" w:hAnsi="宋体" w:cs="宋体"/>
                <w:color w:val="000000"/>
                <w:sz w:val="24"/>
                <w:lang w:val="en-US" w:eastAsia="zh-CN"/>
              </w:rPr>
              <w:t>以合同签订时间为准</w:t>
            </w:r>
            <w:r>
              <w:rPr>
                <w:rFonts w:hint="eastAsia" w:ascii="宋体" w:hAnsi="宋体" w:cs="宋体"/>
                <w:color w:val="000000"/>
                <w:sz w:val="24"/>
                <w:lang w:eastAsia="zh-CN"/>
              </w:rPr>
              <w:t>，如供应商提供委托函或履约评价证明，</w:t>
            </w:r>
            <w:r>
              <w:rPr>
                <w:rFonts w:hint="eastAsia" w:ascii="宋体" w:hAnsi="宋体" w:cs="宋体"/>
                <w:color w:val="000000"/>
                <w:sz w:val="24"/>
                <w:lang w:val="en-US" w:eastAsia="zh-CN"/>
              </w:rPr>
              <w:t>以委托函或履约评价证明落款时间为准</w:t>
            </w:r>
            <w:r>
              <w:rPr>
                <w:rFonts w:hint="eastAsia" w:ascii="宋体" w:hAnsi="宋体" w:cs="宋体"/>
                <w:color w:val="000000"/>
                <w:sz w:val="24"/>
                <w:lang w:eastAsia="zh-CN"/>
              </w:rPr>
              <w:t>）</w:t>
            </w:r>
            <w:r>
              <w:rPr>
                <w:rFonts w:hint="eastAsia" w:ascii="宋体" w:hAnsi="宋体" w:cs="宋体"/>
                <w:color w:val="000000"/>
                <w:sz w:val="24"/>
                <w:lang w:val="en-US" w:eastAsia="zh-CN"/>
              </w:rPr>
              <w:t>具备</w:t>
            </w:r>
            <w:r>
              <w:rPr>
                <w:rFonts w:hint="eastAsia" w:ascii="宋体" w:hAnsi="宋体" w:cs="宋体"/>
                <w:color w:val="000000"/>
                <w:sz w:val="24"/>
              </w:rPr>
              <w:t>专项法律顾问服务</w:t>
            </w:r>
            <w:r>
              <w:rPr>
                <w:rFonts w:hint="eastAsia" w:ascii="宋体" w:hAnsi="宋体" w:cs="宋体"/>
                <w:color w:val="000000"/>
                <w:sz w:val="24"/>
                <w:lang w:val="en-US" w:eastAsia="zh-CN"/>
              </w:rPr>
              <w:t>经验</w:t>
            </w:r>
            <w:r>
              <w:rPr>
                <w:rFonts w:hint="eastAsia" w:ascii="宋体" w:hAnsi="宋体" w:cs="宋体"/>
                <w:color w:val="000000"/>
                <w:sz w:val="24"/>
              </w:rPr>
              <w:t>，每个业绩得1分，本小项最高得2分；</w:t>
            </w:r>
          </w:p>
          <w:p>
            <w:pPr>
              <w:autoSpaceDE w:val="0"/>
              <w:autoSpaceDN w:val="0"/>
              <w:adjustRightInd w:val="0"/>
              <w:spacing w:line="360" w:lineRule="auto"/>
              <w:jc w:val="left"/>
              <w:rPr>
                <w:rFonts w:hint="default" w:ascii="宋体" w:hAnsi="宋体" w:eastAsia="宋体" w:cs="宋体"/>
                <w:color w:val="000000"/>
                <w:sz w:val="24"/>
                <w:lang w:val="en-US" w:eastAsia="zh-CN"/>
              </w:rPr>
            </w:pPr>
            <w:r>
              <w:rPr>
                <w:rFonts w:hint="eastAsia" w:ascii="宋体" w:hAnsi="宋体" w:cs="宋体"/>
                <w:color w:val="000000"/>
                <w:sz w:val="24"/>
                <w:lang w:val="en-US" w:eastAsia="zh-CN"/>
              </w:rPr>
              <w:t>同一项目多人参与可重复计分。同一人员提供多个项目（多类型项目）可重复计分。</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（二）评分依据：</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1.提供投标人为期缴纳的近三月（2025年3月-2025年5月）任意1个月的社保证明加盖公章，原件备查，未提供或提供不齐全或无法分辨的不得分。如开标日上一个月的社保材料因社保或税务部门原因暂时无法取得，则可以往前顺延一个月。如投标人为新成立企业且成立时间不足1个月的可提供加盖公章的情况说明或其他相关证明材料亦可</w:t>
            </w:r>
            <w:r>
              <w:rPr>
                <w:rFonts w:hint="eastAsia" w:ascii="宋体" w:hAnsi="宋体" w:cs="宋体"/>
                <w:color w:val="000000"/>
                <w:sz w:val="24"/>
                <w:lang w:val="zh-CN"/>
              </w:rPr>
              <w:t>（项目负责人</w:t>
            </w:r>
            <w:r>
              <w:rPr>
                <w:rFonts w:hint="eastAsia" w:ascii="宋体" w:hAnsi="宋体" w:cs="宋体"/>
                <w:color w:val="000000"/>
                <w:sz w:val="24"/>
              </w:rPr>
              <w:t>或</w:t>
            </w:r>
            <w:r>
              <w:rPr>
                <w:rFonts w:hint="eastAsia" w:ascii="宋体" w:hAnsi="宋体" w:cs="宋体"/>
                <w:color w:val="000000"/>
                <w:sz w:val="24"/>
                <w:lang w:val="zh-CN"/>
              </w:rPr>
              <w:t>项目团队成员或采编记者若为法定代表人，则无需提供社保证明）。</w:t>
            </w:r>
            <w:r>
              <w:rPr>
                <w:rFonts w:hint="eastAsia" w:ascii="宋体" w:hAnsi="宋体" w:cs="宋体"/>
                <w:color w:val="000000"/>
                <w:sz w:val="24"/>
              </w:rPr>
              <w:t>本项目不接受退休返聘人员。</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2.涉及考察执业年限的需以经年审有效的律师执业证中发证日期开始计算执业年限，或提供全国律师执业诚信信息公示平台(credit.acla.org.cn)查询截图，以首次批准执业日期为准。</w:t>
            </w:r>
          </w:p>
          <w:p>
            <w:pPr>
              <w:autoSpaceDE w:val="0"/>
              <w:autoSpaceDN w:val="0"/>
              <w:adjustRightInd w:val="0"/>
              <w:spacing w:line="360" w:lineRule="auto"/>
              <w:jc w:val="left"/>
              <w:rPr>
                <w:rFonts w:hint="eastAsia" w:ascii="宋体" w:hAnsi="宋体" w:eastAsia="宋体" w:cs="宋体"/>
                <w:color w:val="000000"/>
                <w:sz w:val="24"/>
                <w:lang w:val="en-US" w:eastAsia="zh-CN"/>
              </w:rPr>
            </w:pPr>
            <w:r>
              <w:rPr>
                <w:rFonts w:hint="eastAsia" w:ascii="宋体" w:hAnsi="宋体" w:cs="宋体"/>
                <w:color w:val="000000"/>
                <w:sz w:val="24"/>
              </w:rPr>
              <w:t>3.提供上述项目法律顾问的相关材料（如合同关键页（关键页包含但不限于合同封面、服务内容页、服务人员页、双方盖章页等）或加盖甲方公章（或业务章）的委托函或履约评价证明）复印件（或扫描件）加盖公章，原件备查。合同关键信息页不能体现</w:t>
            </w:r>
            <w:r>
              <w:rPr>
                <w:rFonts w:hint="eastAsia" w:ascii="宋体" w:hAnsi="宋体" w:cs="宋体"/>
                <w:color w:val="000000"/>
                <w:sz w:val="24"/>
                <w:lang w:val="en-US" w:eastAsia="zh-CN"/>
              </w:rPr>
              <w:t>团队成员</w:t>
            </w:r>
            <w:r>
              <w:rPr>
                <w:rFonts w:hint="eastAsia" w:ascii="宋体" w:hAnsi="宋体" w:cs="宋体"/>
                <w:color w:val="000000"/>
                <w:sz w:val="24"/>
              </w:rPr>
              <w:t>参与情况的，可提供合同甲方开具的加盖合同甲方公章（或业务章）的书面证明。未提供或提供不齐全或无法分辨的不得分。</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注：以联合体形式进行投标的，</w:t>
            </w:r>
            <w:r>
              <w:rPr>
                <w:rFonts w:hint="eastAsia" w:ascii="宋体" w:hAnsi="宋体" w:cs="宋体"/>
                <w:color w:val="000000"/>
                <w:sz w:val="24"/>
                <w:lang w:val="en-US" w:eastAsia="zh-CN"/>
              </w:rPr>
              <w:t>人员</w:t>
            </w:r>
            <w:r>
              <w:rPr>
                <w:rFonts w:hint="eastAsia" w:ascii="宋体" w:hAnsi="宋体" w:cs="宋体"/>
                <w:color w:val="000000"/>
                <w:sz w:val="24"/>
              </w:rPr>
              <w:t>情况不累加计算得分，仅计算得分较高的联合体成员该项分值。团队核心成员可为联合体任意一方成员。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0" w:type="dxa"/>
            <w:vMerge w:val="continue"/>
            <w:tcBorders>
              <w:top w:val="nil"/>
              <w:left w:val="single" w:color="000000" w:sz="8" w:space="0"/>
              <w:bottom w:val="single" w:color="auto" w:sz="8" w:space="0"/>
              <w:right w:val="single" w:color="000000" w:sz="8" w:space="0"/>
            </w:tcBorders>
            <w:noWrap w:val="0"/>
            <w:vAlign w:val="center"/>
          </w:tcPr>
          <w:p>
            <w:pPr>
              <w:tabs>
                <w:tab w:val="left" w:pos="640"/>
                <w:tab w:val="left" w:pos="1260"/>
                <w:tab w:val="left" w:pos="1418"/>
              </w:tabs>
              <w:spacing w:line="360" w:lineRule="auto"/>
              <w:ind w:right="-420" w:rightChars="-200"/>
              <w:rPr>
                <w:rFonts w:ascii="宋体" w:hAnsi="宋体" w:cs="宋体"/>
                <w:b/>
                <w:bCs/>
                <w:color w:val="000000"/>
                <w:sz w:val="24"/>
              </w:rPr>
            </w:pPr>
          </w:p>
        </w:tc>
        <w:tc>
          <w:tcPr>
            <w:tcW w:w="701" w:type="dxa"/>
            <w:tcBorders>
              <w:top w:val="single" w:color="000000" w:sz="8" w:space="0"/>
              <w:left w:val="nil"/>
              <w:bottom w:val="single" w:color="000000" w:sz="8" w:space="0"/>
              <w:right w:val="single" w:color="000000" w:sz="8" w:space="0"/>
            </w:tcBorders>
            <w:noWrap w:val="0"/>
            <w:vAlign w:val="center"/>
          </w:tcPr>
          <w:p>
            <w:pPr>
              <w:tabs>
                <w:tab w:val="left" w:pos="640"/>
                <w:tab w:val="left" w:pos="1260"/>
                <w:tab w:val="left" w:pos="1418"/>
              </w:tabs>
              <w:spacing w:line="360" w:lineRule="auto"/>
              <w:ind w:right="-420" w:rightChars="-200"/>
              <w:rPr>
                <w:rFonts w:ascii="宋体" w:hAnsi="宋体" w:cs="宋体"/>
                <w:color w:val="000000"/>
                <w:sz w:val="24"/>
              </w:rPr>
            </w:pPr>
            <w:r>
              <w:rPr>
                <w:rFonts w:hint="eastAsia" w:ascii="宋体" w:hAnsi="宋体" w:cs="宋体"/>
                <w:b/>
                <w:color w:val="000000"/>
                <w:sz w:val="24"/>
              </w:rPr>
              <w:t>3</w:t>
            </w:r>
          </w:p>
        </w:tc>
        <w:tc>
          <w:tcPr>
            <w:tcW w:w="1129" w:type="dxa"/>
            <w:tcBorders>
              <w:top w:val="single" w:color="000000" w:sz="8" w:space="0"/>
              <w:left w:val="nil"/>
              <w:bottom w:val="single" w:color="000000" w:sz="8" w:space="0"/>
              <w:right w:val="single" w:color="000000" w:sz="8" w:space="0"/>
            </w:tcBorders>
            <w:noWrap w:val="0"/>
            <w:vAlign w:val="center"/>
          </w:tcPr>
          <w:p>
            <w:pPr>
              <w:autoSpaceDE w:val="0"/>
              <w:autoSpaceDN w:val="0"/>
              <w:adjustRightInd w:val="0"/>
              <w:spacing w:line="360" w:lineRule="auto"/>
              <w:jc w:val="center"/>
              <w:rPr>
                <w:rFonts w:hint="eastAsia" w:ascii="宋体" w:hAnsi="宋体" w:cs="宋体"/>
                <w:color w:val="000000"/>
                <w:sz w:val="24"/>
              </w:rPr>
            </w:pPr>
            <w:r>
              <w:rPr>
                <w:rFonts w:hint="eastAsia" w:ascii="宋体" w:hAnsi="宋体" w:cs="宋体"/>
                <w:color w:val="000000"/>
                <w:sz w:val="24"/>
              </w:rPr>
              <w:t>行政诉讼或复议业绩</w:t>
            </w:r>
          </w:p>
        </w:tc>
        <w:tc>
          <w:tcPr>
            <w:tcW w:w="1025" w:type="dxa"/>
            <w:tcBorders>
              <w:top w:val="single" w:color="000000" w:sz="8" w:space="0"/>
              <w:left w:val="nil"/>
              <w:bottom w:val="single" w:color="000000" w:sz="8" w:space="0"/>
              <w:right w:val="single" w:color="000000" w:sz="8" w:space="0"/>
            </w:tcBorders>
            <w:noWrap w:val="0"/>
            <w:vAlign w:val="center"/>
          </w:tcPr>
          <w:p>
            <w:pPr>
              <w:tabs>
                <w:tab w:val="left" w:pos="640"/>
                <w:tab w:val="left" w:pos="1260"/>
                <w:tab w:val="left" w:pos="1418"/>
              </w:tabs>
              <w:spacing w:line="360" w:lineRule="auto"/>
              <w:ind w:right="-420" w:rightChars="-200"/>
              <w:rPr>
                <w:rFonts w:hint="eastAsia" w:ascii="宋体" w:hAnsi="宋体" w:cs="宋体"/>
                <w:color w:val="000000"/>
                <w:sz w:val="24"/>
              </w:rPr>
            </w:pPr>
            <w:r>
              <w:rPr>
                <w:rFonts w:hint="eastAsia" w:ascii="宋体" w:hAnsi="宋体" w:cs="宋体"/>
                <w:color w:val="000000"/>
                <w:sz w:val="24"/>
              </w:rPr>
              <w:t>8</w:t>
            </w:r>
          </w:p>
        </w:tc>
        <w:tc>
          <w:tcPr>
            <w:tcW w:w="5908" w:type="dxa"/>
            <w:tcBorders>
              <w:top w:val="single" w:color="000000" w:sz="8" w:space="0"/>
              <w:left w:val="nil"/>
              <w:bottom w:val="single" w:color="000000" w:sz="8" w:space="0"/>
              <w:right w:val="single" w:color="000000" w:sz="8" w:space="0"/>
            </w:tcBorders>
            <w:noWrap w:val="0"/>
            <w:vAlign w:val="top"/>
          </w:tcPr>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（一）评分内容：</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投标人2022年</w:t>
            </w:r>
            <w:r>
              <w:rPr>
                <w:rFonts w:hint="eastAsia" w:ascii="宋体" w:hAnsi="宋体" w:cs="宋体"/>
                <w:color w:val="000000"/>
                <w:sz w:val="24"/>
                <w:lang w:val="en-US" w:eastAsia="zh-CN"/>
              </w:rPr>
              <w:t>1</w:t>
            </w:r>
            <w:r>
              <w:rPr>
                <w:rFonts w:hint="eastAsia" w:ascii="宋体" w:hAnsi="宋体" w:cs="宋体"/>
                <w:color w:val="000000"/>
                <w:sz w:val="24"/>
              </w:rPr>
              <w:t>月1日至本项目投标截止日（以合同签订时间为准</w:t>
            </w:r>
            <w:r>
              <w:rPr>
                <w:rFonts w:hint="eastAsia" w:ascii="宋体" w:hAnsi="宋体" w:cs="宋体"/>
                <w:color w:val="000000"/>
                <w:sz w:val="24"/>
                <w:lang w:eastAsia="zh-CN"/>
              </w:rPr>
              <w:t>，如供应商提供委托函或履约评价证明，</w:t>
            </w:r>
            <w:r>
              <w:rPr>
                <w:rFonts w:hint="eastAsia" w:ascii="宋体" w:hAnsi="宋体" w:cs="宋体"/>
                <w:color w:val="000000"/>
                <w:sz w:val="24"/>
                <w:lang w:val="en-US" w:eastAsia="zh-CN"/>
              </w:rPr>
              <w:t>以委托函或履约评价证明落款时间为准</w:t>
            </w:r>
            <w:r>
              <w:rPr>
                <w:rFonts w:hint="eastAsia" w:ascii="宋体" w:hAnsi="宋体" w:cs="宋体"/>
                <w:color w:val="000000"/>
                <w:sz w:val="24"/>
              </w:rPr>
              <w:t>）曾</w:t>
            </w:r>
            <w:r>
              <w:rPr>
                <w:rFonts w:hint="eastAsia" w:ascii="宋体" w:hAnsi="宋体" w:cs="宋体"/>
                <w:color w:val="000000"/>
                <w:sz w:val="24"/>
                <w:lang w:val="en-US" w:eastAsia="zh-CN"/>
              </w:rPr>
              <w:t>具备</w:t>
            </w:r>
            <w:r>
              <w:rPr>
                <w:rFonts w:hint="eastAsia" w:ascii="宋体" w:hAnsi="宋体" w:cs="宋体"/>
                <w:color w:val="000000"/>
                <w:sz w:val="24"/>
              </w:rPr>
              <w:t>行政诉讼或行政复议的代理服务的，每1个业绩得2分，最高得8分。本项最高得8分。</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（二）评分依据：</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1.提供可证明投标人担任上述项目法律顾问的相关材料（如合同关键页（关键页包含但不限于合同封面、服务内容页、双方盖章页等）或加盖甲方公章（或业务章）的委托函或履约评价证明）复印件（或扫描件）加盖公章，原件备查，未提供或提供不齐全或无法分辨的不得分。</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注：以联合体形式进行投标的，可提供联合体任意一方业绩，但业绩情况不累加计算得分，仅计算得分较高的联合体成员该项分值。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0" w:type="dxa"/>
            <w:vMerge w:val="continue"/>
            <w:tcBorders>
              <w:top w:val="nil"/>
              <w:left w:val="single" w:color="000000" w:sz="8" w:space="0"/>
              <w:bottom w:val="single" w:color="auto" w:sz="8" w:space="0"/>
              <w:right w:val="single" w:color="000000" w:sz="8" w:space="0"/>
            </w:tcBorders>
            <w:noWrap w:val="0"/>
            <w:vAlign w:val="center"/>
          </w:tcPr>
          <w:p>
            <w:pPr>
              <w:tabs>
                <w:tab w:val="left" w:pos="640"/>
                <w:tab w:val="left" w:pos="1260"/>
                <w:tab w:val="left" w:pos="1418"/>
              </w:tabs>
              <w:spacing w:line="360" w:lineRule="auto"/>
              <w:ind w:right="-420" w:rightChars="-200"/>
              <w:rPr>
                <w:rFonts w:ascii="宋体" w:hAnsi="宋体" w:cs="宋体"/>
                <w:b/>
                <w:bCs/>
                <w:color w:val="000000"/>
                <w:sz w:val="24"/>
              </w:rPr>
            </w:pPr>
          </w:p>
        </w:tc>
        <w:tc>
          <w:tcPr>
            <w:tcW w:w="701" w:type="dxa"/>
            <w:tcBorders>
              <w:top w:val="single" w:color="000000" w:sz="8" w:space="0"/>
              <w:left w:val="nil"/>
              <w:bottom w:val="single" w:color="000000" w:sz="8" w:space="0"/>
              <w:right w:val="single" w:color="000000" w:sz="8" w:space="0"/>
            </w:tcBorders>
            <w:noWrap w:val="0"/>
            <w:vAlign w:val="center"/>
          </w:tcPr>
          <w:p>
            <w:pPr>
              <w:tabs>
                <w:tab w:val="left" w:pos="640"/>
                <w:tab w:val="left" w:pos="1260"/>
                <w:tab w:val="left" w:pos="1418"/>
              </w:tabs>
              <w:spacing w:line="360" w:lineRule="auto"/>
              <w:ind w:right="-420" w:rightChars="-200"/>
              <w:rPr>
                <w:rFonts w:hint="eastAsia" w:ascii="宋体" w:hAnsi="宋体" w:cs="宋体"/>
                <w:color w:val="000000"/>
                <w:sz w:val="24"/>
              </w:rPr>
            </w:pPr>
            <w:r>
              <w:rPr>
                <w:rFonts w:hint="eastAsia" w:ascii="宋体" w:hAnsi="宋体" w:cs="宋体"/>
                <w:b/>
                <w:color w:val="000000"/>
                <w:sz w:val="24"/>
              </w:rPr>
              <w:t>4</w:t>
            </w:r>
          </w:p>
        </w:tc>
        <w:tc>
          <w:tcPr>
            <w:tcW w:w="1129" w:type="dxa"/>
            <w:tcBorders>
              <w:top w:val="single" w:color="000000" w:sz="8" w:space="0"/>
              <w:left w:val="nil"/>
              <w:bottom w:val="single" w:color="000000" w:sz="8" w:space="0"/>
              <w:right w:val="single" w:color="000000" w:sz="8" w:space="0"/>
            </w:tcBorders>
            <w:noWrap w:val="0"/>
            <w:vAlign w:val="center"/>
          </w:tcPr>
          <w:p>
            <w:pPr>
              <w:autoSpaceDE w:val="0"/>
              <w:autoSpaceDN w:val="0"/>
              <w:adjustRightInd w:val="0"/>
              <w:spacing w:line="360" w:lineRule="auto"/>
              <w:jc w:val="center"/>
              <w:rPr>
                <w:rFonts w:hint="eastAsia" w:ascii="宋体" w:hAnsi="宋体" w:cs="宋体"/>
                <w:color w:val="000000"/>
                <w:sz w:val="24"/>
              </w:rPr>
            </w:pPr>
            <w:r>
              <w:rPr>
                <w:rFonts w:hint="eastAsia" w:ascii="宋体" w:hAnsi="宋体" w:cs="宋体"/>
                <w:color w:val="000000"/>
                <w:sz w:val="24"/>
                <w:lang w:val="en-US" w:eastAsia="zh-CN"/>
              </w:rPr>
              <w:t>境外（含港澳台）</w:t>
            </w:r>
            <w:r>
              <w:rPr>
                <w:rFonts w:hint="eastAsia" w:ascii="宋体" w:hAnsi="宋体" w:cs="宋体"/>
                <w:color w:val="000000"/>
                <w:sz w:val="24"/>
              </w:rPr>
              <w:t>规则衔接类课题</w:t>
            </w:r>
          </w:p>
        </w:tc>
        <w:tc>
          <w:tcPr>
            <w:tcW w:w="1025" w:type="dxa"/>
            <w:tcBorders>
              <w:top w:val="single" w:color="000000" w:sz="8" w:space="0"/>
              <w:left w:val="nil"/>
              <w:bottom w:val="single" w:color="000000" w:sz="8" w:space="0"/>
              <w:right w:val="single" w:color="000000" w:sz="8" w:space="0"/>
            </w:tcBorders>
            <w:noWrap w:val="0"/>
            <w:vAlign w:val="center"/>
          </w:tcPr>
          <w:p>
            <w:pPr>
              <w:tabs>
                <w:tab w:val="left" w:pos="640"/>
                <w:tab w:val="left" w:pos="1260"/>
                <w:tab w:val="left" w:pos="1418"/>
              </w:tabs>
              <w:spacing w:line="360" w:lineRule="auto"/>
              <w:ind w:right="-420" w:rightChars="-200"/>
              <w:rPr>
                <w:rFonts w:hint="eastAsia" w:ascii="宋体" w:hAnsi="宋体" w:cs="宋体"/>
                <w:color w:val="000000"/>
                <w:sz w:val="24"/>
              </w:rPr>
            </w:pPr>
            <w:r>
              <w:rPr>
                <w:rFonts w:hint="eastAsia" w:ascii="宋体" w:hAnsi="宋体" w:cs="宋体"/>
                <w:color w:val="000000"/>
                <w:sz w:val="24"/>
              </w:rPr>
              <w:t>6</w:t>
            </w:r>
          </w:p>
        </w:tc>
        <w:tc>
          <w:tcPr>
            <w:tcW w:w="5908" w:type="dxa"/>
            <w:tcBorders>
              <w:top w:val="single" w:color="000000" w:sz="8" w:space="0"/>
              <w:left w:val="nil"/>
              <w:bottom w:val="single" w:color="000000" w:sz="8" w:space="0"/>
              <w:right w:val="single" w:color="000000" w:sz="8" w:space="0"/>
            </w:tcBorders>
            <w:noWrap w:val="0"/>
            <w:vAlign w:val="top"/>
          </w:tcPr>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（一）评分内容：</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1.投标人2022年</w:t>
            </w:r>
            <w:r>
              <w:rPr>
                <w:rFonts w:hint="eastAsia" w:ascii="宋体" w:hAnsi="宋体" w:cs="宋体"/>
                <w:color w:val="000000"/>
                <w:sz w:val="24"/>
                <w:lang w:val="en-US" w:eastAsia="zh-CN"/>
              </w:rPr>
              <w:t>1</w:t>
            </w:r>
            <w:r>
              <w:rPr>
                <w:rFonts w:hint="eastAsia" w:ascii="宋体" w:hAnsi="宋体" w:cs="宋体"/>
                <w:color w:val="000000"/>
                <w:sz w:val="24"/>
              </w:rPr>
              <w:t>月1日至本项目投标截止日（以合同签订时间为准</w:t>
            </w:r>
            <w:r>
              <w:rPr>
                <w:rFonts w:hint="eastAsia" w:ascii="宋体" w:hAnsi="宋体" w:cs="宋体"/>
                <w:color w:val="000000"/>
                <w:sz w:val="24"/>
                <w:lang w:eastAsia="zh-CN"/>
              </w:rPr>
              <w:t>，如供应商提供委托函或履约评价证明，</w:t>
            </w:r>
            <w:r>
              <w:rPr>
                <w:rFonts w:hint="eastAsia" w:ascii="宋体" w:hAnsi="宋体" w:cs="宋体"/>
                <w:color w:val="000000"/>
                <w:sz w:val="24"/>
                <w:lang w:val="en-US" w:eastAsia="zh-CN"/>
              </w:rPr>
              <w:t>以委托函或履约评价证明落款时间为准</w:t>
            </w:r>
            <w:r>
              <w:rPr>
                <w:rFonts w:hint="eastAsia" w:ascii="宋体" w:hAnsi="宋体" w:cs="宋体"/>
                <w:color w:val="000000"/>
                <w:sz w:val="24"/>
              </w:rPr>
              <w:t>）</w:t>
            </w:r>
            <w:r>
              <w:rPr>
                <w:rFonts w:hint="eastAsia" w:ascii="宋体" w:hAnsi="宋体" w:cs="宋体"/>
                <w:color w:val="000000"/>
                <w:sz w:val="24"/>
                <w:lang w:val="en-US" w:eastAsia="zh-CN"/>
              </w:rPr>
              <w:t>具有境外（含港澳台）</w:t>
            </w:r>
            <w:r>
              <w:rPr>
                <w:rFonts w:hint="eastAsia" w:ascii="宋体" w:hAnsi="宋体" w:cs="宋体"/>
                <w:color w:val="000000"/>
                <w:sz w:val="24"/>
              </w:rPr>
              <w:t>规则衔接的课题研究或专项法律服务的，每1个业绩得2分，最高得6分。同一项目续签不可重复计分。</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（二）评分依据：</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1.提供可证明投标人担任上述项目法律顾问的相关材料（如合同关键页（关键页包含但不限于合同封面、服务内容页、双方盖章页等）或加盖甲方公章（或业务章）的委托函或履约评价证明）复印件（或扫描件）加盖公章，原件备查，未提供或提供不齐全或无法分辨的不得分。</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注：以联合体形式进行投标的，可提供联合体任意一方业绩，但项目业绩情况不累加计算得分，仅计算得分较高的联合体成员该项分值。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0" w:type="dxa"/>
            <w:vMerge w:val="continue"/>
            <w:tcBorders>
              <w:top w:val="nil"/>
              <w:left w:val="single" w:color="000000" w:sz="8" w:space="0"/>
              <w:bottom w:val="single" w:color="auto" w:sz="8" w:space="0"/>
              <w:right w:val="single" w:color="000000" w:sz="8" w:space="0"/>
            </w:tcBorders>
            <w:noWrap w:val="0"/>
            <w:vAlign w:val="center"/>
          </w:tcPr>
          <w:p>
            <w:pPr>
              <w:tabs>
                <w:tab w:val="left" w:pos="640"/>
                <w:tab w:val="left" w:pos="1260"/>
                <w:tab w:val="left" w:pos="1418"/>
              </w:tabs>
              <w:spacing w:line="360" w:lineRule="auto"/>
              <w:ind w:right="-420" w:rightChars="-200"/>
              <w:rPr>
                <w:rFonts w:ascii="宋体" w:hAnsi="宋体" w:cs="宋体"/>
                <w:b/>
                <w:bCs/>
                <w:color w:val="000000"/>
                <w:sz w:val="24"/>
              </w:rPr>
            </w:pPr>
          </w:p>
        </w:tc>
        <w:tc>
          <w:tcPr>
            <w:tcW w:w="701" w:type="dxa"/>
            <w:tcBorders>
              <w:top w:val="single" w:color="000000" w:sz="8" w:space="0"/>
              <w:left w:val="nil"/>
              <w:bottom w:val="single" w:color="000000" w:sz="8" w:space="0"/>
              <w:right w:val="single" w:color="000000" w:sz="8" w:space="0"/>
            </w:tcBorders>
            <w:noWrap w:val="0"/>
            <w:vAlign w:val="center"/>
          </w:tcPr>
          <w:p>
            <w:pPr>
              <w:tabs>
                <w:tab w:val="left" w:pos="640"/>
                <w:tab w:val="left" w:pos="1260"/>
                <w:tab w:val="left" w:pos="1418"/>
              </w:tabs>
              <w:spacing w:line="360" w:lineRule="auto"/>
              <w:ind w:right="-420" w:rightChars="-200"/>
              <w:rPr>
                <w:rFonts w:hint="eastAsia" w:ascii="宋体" w:hAnsi="宋体" w:cs="宋体"/>
                <w:color w:val="000000"/>
                <w:sz w:val="24"/>
              </w:rPr>
            </w:pPr>
            <w:r>
              <w:rPr>
                <w:rFonts w:hint="eastAsia" w:ascii="宋体" w:hAnsi="宋体" w:cs="宋体"/>
                <w:b/>
                <w:color w:val="000000"/>
                <w:sz w:val="24"/>
              </w:rPr>
              <w:t>5</w:t>
            </w:r>
          </w:p>
        </w:tc>
        <w:tc>
          <w:tcPr>
            <w:tcW w:w="1129" w:type="dxa"/>
            <w:tcBorders>
              <w:top w:val="single" w:color="000000" w:sz="8" w:space="0"/>
              <w:left w:val="nil"/>
              <w:bottom w:val="single" w:color="000000" w:sz="8" w:space="0"/>
              <w:right w:val="single" w:color="000000" w:sz="8" w:space="0"/>
            </w:tcBorders>
            <w:noWrap w:val="0"/>
            <w:vAlign w:val="center"/>
          </w:tcPr>
          <w:p>
            <w:pPr>
              <w:autoSpaceDE w:val="0"/>
              <w:autoSpaceDN w:val="0"/>
              <w:adjustRightInd w:val="0"/>
              <w:spacing w:line="360" w:lineRule="auto"/>
              <w:jc w:val="center"/>
              <w:rPr>
                <w:rFonts w:hint="eastAsia" w:ascii="宋体" w:hAnsi="宋体" w:cs="宋体"/>
                <w:color w:val="000000"/>
                <w:sz w:val="24"/>
              </w:rPr>
            </w:pPr>
            <w:r>
              <w:rPr>
                <w:rFonts w:hint="eastAsia" w:ascii="宋体" w:hAnsi="宋体" w:cs="宋体"/>
                <w:color w:val="000000"/>
                <w:sz w:val="24"/>
              </w:rPr>
              <w:t>涉外法律服务业绩</w:t>
            </w:r>
          </w:p>
        </w:tc>
        <w:tc>
          <w:tcPr>
            <w:tcW w:w="1025" w:type="dxa"/>
            <w:tcBorders>
              <w:top w:val="single" w:color="000000" w:sz="8" w:space="0"/>
              <w:left w:val="nil"/>
              <w:bottom w:val="single" w:color="000000" w:sz="8" w:space="0"/>
              <w:right w:val="single" w:color="000000" w:sz="8" w:space="0"/>
            </w:tcBorders>
            <w:noWrap w:val="0"/>
            <w:vAlign w:val="center"/>
          </w:tcPr>
          <w:p>
            <w:pPr>
              <w:tabs>
                <w:tab w:val="left" w:pos="640"/>
                <w:tab w:val="left" w:pos="1260"/>
                <w:tab w:val="left" w:pos="1418"/>
              </w:tabs>
              <w:spacing w:line="360" w:lineRule="auto"/>
              <w:ind w:right="-420" w:rightChars="-200"/>
              <w:rPr>
                <w:rFonts w:hint="eastAsia" w:ascii="宋体" w:hAnsi="宋体" w:cs="宋体"/>
                <w:color w:val="000000"/>
                <w:sz w:val="24"/>
              </w:rPr>
            </w:pPr>
            <w:r>
              <w:rPr>
                <w:rFonts w:hint="eastAsia" w:ascii="宋体" w:hAnsi="宋体" w:cs="宋体"/>
                <w:color w:val="000000"/>
                <w:sz w:val="24"/>
              </w:rPr>
              <w:t>8</w:t>
            </w:r>
          </w:p>
        </w:tc>
        <w:tc>
          <w:tcPr>
            <w:tcW w:w="5908" w:type="dxa"/>
            <w:tcBorders>
              <w:top w:val="single" w:color="000000" w:sz="8" w:space="0"/>
              <w:left w:val="nil"/>
              <w:bottom w:val="single" w:color="000000" w:sz="8" w:space="0"/>
              <w:right w:val="single" w:color="000000" w:sz="8" w:space="0"/>
            </w:tcBorders>
            <w:noWrap w:val="0"/>
            <w:vAlign w:val="top"/>
          </w:tcPr>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（一）评分内容：</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2022年</w:t>
            </w:r>
            <w:r>
              <w:rPr>
                <w:rFonts w:hint="eastAsia" w:ascii="宋体" w:hAnsi="宋体" w:cs="宋体"/>
                <w:color w:val="000000"/>
                <w:sz w:val="24"/>
                <w:lang w:val="en-US" w:eastAsia="zh-CN"/>
              </w:rPr>
              <w:t>1</w:t>
            </w:r>
            <w:r>
              <w:rPr>
                <w:rFonts w:hint="eastAsia" w:ascii="宋体" w:hAnsi="宋体" w:cs="宋体"/>
                <w:color w:val="000000"/>
                <w:sz w:val="24"/>
              </w:rPr>
              <w:t>月1日至本项目投标截止日（以合同签订时间为准</w:t>
            </w:r>
            <w:r>
              <w:rPr>
                <w:rFonts w:hint="eastAsia" w:ascii="宋体" w:hAnsi="宋体" w:cs="宋体"/>
                <w:color w:val="000000"/>
                <w:sz w:val="24"/>
                <w:lang w:eastAsia="zh-CN"/>
              </w:rPr>
              <w:t>，如供应商提供委托函或履约评价证明，</w:t>
            </w:r>
            <w:r>
              <w:rPr>
                <w:rFonts w:hint="eastAsia" w:ascii="宋体" w:hAnsi="宋体" w:cs="宋体"/>
                <w:color w:val="000000"/>
                <w:sz w:val="24"/>
                <w:lang w:val="en-US" w:eastAsia="zh-CN"/>
              </w:rPr>
              <w:t>以委托函或履约评价证明落款时间为准</w:t>
            </w:r>
            <w:r>
              <w:rPr>
                <w:rFonts w:hint="eastAsia" w:ascii="宋体" w:hAnsi="宋体" w:cs="宋体"/>
                <w:color w:val="000000"/>
                <w:sz w:val="24"/>
              </w:rPr>
              <w:t>）曾接受委托而开展的涉外（含港澳台地区）的法律服务【包括诉讼和非诉讼服务，但不含见证、出具律师函业务】的业绩，有10个或以上服务业绩案例的，得8分；有7个或以上，不足10个服务业绩案例的，得6分；有4个或以上，不足7个服务业绩案例的，得4分；有1个或以上，不足4个服务业绩案例的，得2分。本小项最高得8分；同一项合同不可重复计分，同一项目续签合同不重复计分，按得分高计。</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（二）评分依据：</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1.提供可证明投标人参与上述起草工作的相关材料（如合同关键页（关键页包含但不限于合同封面、服务内容页、双方盖章页等）或加盖甲方公章（或业务章）的委托函或履约评价证明复印件（或扫描件）加盖公章，原件备查，未提供或提供不齐全或无法分辨的不得分。</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注：以联合体形式进行投标的，可提供联合体任意一方业绩，但项目业绩情况不累加计算得分，仅计算得分较高的联合体成员该项分值。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0" w:type="dxa"/>
            <w:vMerge w:val="continue"/>
            <w:tcBorders>
              <w:top w:val="nil"/>
              <w:left w:val="single" w:color="000000" w:sz="8" w:space="0"/>
              <w:bottom w:val="single" w:color="auto" w:sz="8" w:space="0"/>
              <w:right w:val="single" w:color="000000" w:sz="8" w:space="0"/>
            </w:tcBorders>
            <w:noWrap w:val="0"/>
            <w:vAlign w:val="center"/>
          </w:tcPr>
          <w:p>
            <w:pPr>
              <w:tabs>
                <w:tab w:val="left" w:pos="640"/>
                <w:tab w:val="left" w:pos="1260"/>
                <w:tab w:val="left" w:pos="1418"/>
              </w:tabs>
              <w:spacing w:line="360" w:lineRule="auto"/>
              <w:ind w:right="-420" w:rightChars="-200"/>
              <w:rPr>
                <w:rFonts w:ascii="宋体" w:hAnsi="宋体" w:cs="宋体"/>
                <w:b/>
                <w:bCs/>
                <w:color w:val="000000"/>
                <w:sz w:val="24"/>
              </w:rPr>
            </w:pPr>
          </w:p>
        </w:tc>
        <w:tc>
          <w:tcPr>
            <w:tcW w:w="701" w:type="dxa"/>
            <w:tcBorders>
              <w:top w:val="single" w:color="000000" w:sz="8" w:space="0"/>
              <w:left w:val="nil"/>
              <w:bottom w:val="single" w:color="000000" w:sz="8" w:space="0"/>
              <w:right w:val="single" w:color="000000" w:sz="8" w:space="0"/>
            </w:tcBorders>
            <w:noWrap w:val="0"/>
            <w:vAlign w:val="center"/>
          </w:tcPr>
          <w:p>
            <w:pPr>
              <w:tabs>
                <w:tab w:val="left" w:pos="640"/>
                <w:tab w:val="left" w:pos="1260"/>
                <w:tab w:val="left" w:pos="1418"/>
              </w:tabs>
              <w:spacing w:line="360" w:lineRule="auto"/>
              <w:ind w:right="-420" w:rightChars="-200"/>
              <w:rPr>
                <w:rFonts w:hint="eastAsia" w:ascii="宋体" w:hAnsi="宋体" w:cs="宋体"/>
                <w:color w:val="000000"/>
                <w:sz w:val="24"/>
              </w:rPr>
            </w:pPr>
            <w:r>
              <w:rPr>
                <w:rFonts w:hint="eastAsia" w:ascii="宋体" w:hAnsi="宋体" w:cs="宋体"/>
                <w:b/>
                <w:color w:val="000000"/>
                <w:sz w:val="24"/>
              </w:rPr>
              <w:t>6</w:t>
            </w:r>
          </w:p>
        </w:tc>
        <w:tc>
          <w:tcPr>
            <w:tcW w:w="1129" w:type="dxa"/>
            <w:tcBorders>
              <w:top w:val="single" w:color="000000" w:sz="8" w:space="0"/>
              <w:left w:val="nil"/>
              <w:bottom w:val="single" w:color="000000" w:sz="8" w:space="0"/>
              <w:right w:val="single" w:color="000000" w:sz="8" w:space="0"/>
            </w:tcBorders>
            <w:noWrap w:val="0"/>
            <w:vAlign w:val="center"/>
          </w:tcPr>
          <w:p>
            <w:pPr>
              <w:autoSpaceDE w:val="0"/>
              <w:autoSpaceDN w:val="0"/>
              <w:adjustRightInd w:val="0"/>
              <w:spacing w:line="360" w:lineRule="auto"/>
              <w:jc w:val="center"/>
              <w:rPr>
                <w:rFonts w:hint="eastAsia" w:ascii="宋体" w:hAnsi="宋体" w:cs="宋体"/>
                <w:color w:val="000000"/>
                <w:sz w:val="24"/>
              </w:rPr>
            </w:pPr>
            <w:r>
              <w:rPr>
                <w:rFonts w:hint="eastAsia" w:ascii="宋体" w:hAnsi="宋体" w:cs="宋体"/>
                <w:color w:val="000000"/>
                <w:sz w:val="24"/>
              </w:rPr>
              <w:t>合规法律服务业绩</w:t>
            </w:r>
          </w:p>
        </w:tc>
        <w:tc>
          <w:tcPr>
            <w:tcW w:w="1025" w:type="dxa"/>
            <w:tcBorders>
              <w:top w:val="single" w:color="000000" w:sz="8" w:space="0"/>
              <w:left w:val="nil"/>
              <w:bottom w:val="single" w:color="000000" w:sz="8" w:space="0"/>
              <w:right w:val="single" w:color="000000" w:sz="8" w:space="0"/>
            </w:tcBorders>
            <w:noWrap w:val="0"/>
            <w:vAlign w:val="center"/>
          </w:tcPr>
          <w:p>
            <w:pPr>
              <w:tabs>
                <w:tab w:val="left" w:pos="640"/>
                <w:tab w:val="left" w:pos="1260"/>
                <w:tab w:val="left" w:pos="1418"/>
              </w:tabs>
              <w:spacing w:line="360" w:lineRule="auto"/>
              <w:ind w:right="-420" w:rightChars="-200"/>
              <w:rPr>
                <w:rFonts w:hint="eastAsia" w:ascii="宋体" w:hAnsi="宋体" w:cs="宋体"/>
                <w:color w:val="000000"/>
                <w:sz w:val="24"/>
              </w:rPr>
            </w:pPr>
            <w:r>
              <w:rPr>
                <w:rFonts w:hint="eastAsia" w:ascii="宋体" w:hAnsi="宋体" w:cs="宋体"/>
                <w:color w:val="000000"/>
                <w:sz w:val="24"/>
              </w:rPr>
              <w:t>8</w:t>
            </w:r>
          </w:p>
        </w:tc>
        <w:tc>
          <w:tcPr>
            <w:tcW w:w="5908" w:type="dxa"/>
            <w:tcBorders>
              <w:top w:val="single" w:color="000000" w:sz="8" w:space="0"/>
              <w:left w:val="nil"/>
              <w:bottom w:val="single" w:color="000000" w:sz="8" w:space="0"/>
              <w:right w:val="single" w:color="000000" w:sz="8" w:space="0"/>
            </w:tcBorders>
            <w:noWrap w:val="0"/>
            <w:vAlign w:val="top"/>
          </w:tcPr>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（一）评分内容：</w:t>
            </w:r>
          </w:p>
          <w:p>
            <w:pPr>
              <w:autoSpaceDE w:val="0"/>
              <w:autoSpaceDN w:val="0"/>
              <w:adjustRightInd w:val="0"/>
              <w:spacing w:line="360" w:lineRule="auto"/>
              <w:jc w:val="left"/>
              <w:rPr>
                <w:rFonts w:hint="eastAsia" w:ascii="宋体" w:hAnsi="宋体" w:eastAsia="宋体" w:cs="宋体"/>
                <w:color w:val="000000"/>
                <w:sz w:val="24"/>
                <w:lang w:eastAsia="zh-CN"/>
              </w:rPr>
            </w:pPr>
            <w:r>
              <w:rPr>
                <w:rFonts w:hint="eastAsia" w:ascii="宋体" w:hAnsi="宋体" w:cs="宋体"/>
                <w:color w:val="000000"/>
                <w:sz w:val="24"/>
              </w:rPr>
              <w:t>投标人2022年4月1日至本项目投标截止日（以合同签订时间为准</w:t>
            </w:r>
            <w:r>
              <w:rPr>
                <w:rFonts w:hint="eastAsia" w:ascii="宋体" w:hAnsi="宋体" w:cs="宋体"/>
                <w:color w:val="000000"/>
                <w:sz w:val="24"/>
                <w:lang w:eastAsia="zh-CN"/>
              </w:rPr>
              <w:t>，如供应商提供委托函或履约评价证明，</w:t>
            </w:r>
            <w:r>
              <w:rPr>
                <w:rFonts w:hint="eastAsia" w:ascii="宋体" w:hAnsi="宋体" w:cs="宋体"/>
                <w:color w:val="000000"/>
                <w:sz w:val="24"/>
                <w:lang w:val="en-US" w:eastAsia="zh-CN"/>
              </w:rPr>
              <w:t>以委托函或履约评价证明落款时间为准</w:t>
            </w:r>
            <w:r>
              <w:rPr>
                <w:rFonts w:hint="eastAsia" w:ascii="宋体" w:hAnsi="宋体" w:cs="宋体"/>
                <w:color w:val="000000"/>
                <w:sz w:val="24"/>
              </w:rPr>
              <w:t>）</w:t>
            </w:r>
            <w:r>
              <w:rPr>
                <w:rFonts w:hint="eastAsia" w:ascii="宋体" w:hAnsi="宋体" w:cs="宋体"/>
                <w:color w:val="000000"/>
                <w:sz w:val="24"/>
                <w:lang w:val="en-US" w:eastAsia="zh-CN"/>
              </w:rPr>
              <w:t>具备</w:t>
            </w:r>
            <w:r>
              <w:rPr>
                <w:rFonts w:hint="eastAsia" w:ascii="宋体" w:hAnsi="宋体" w:cs="宋体"/>
                <w:color w:val="000000"/>
                <w:sz w:val="24"/>
              </w:rPr>
              <w:t>合规或普法等法律服务</w:t>
            </w:r>
            <w:r>
              <w:rPr>
                <w:rFonts w:hint="eastAsia" w:ascii="宋体" w:hAnsi="宋体" w:cs="宋体"/>
                <w:color w:val="000000"/>
                <w:sz w:val="24"/>
                <w:lang w:val="en-US" w:eastAsia="zh-CN"/>
              </w:rPr>
              <w:t>经验</w:t>
            </w:r>
            <w:r>
              <w:rPr>
                <w:rFonts w:hint="eastAsia" w:ascii="宋体" w:hAnsi="宋体" w:cs="宋体"/>
                <w:color w:val="000000"/>
                <w:sz w:val="24"/>
              </w:rPr>
              <w:t>的，每1个业绩得2分，本项最高得8分。同一项目续签合同不重复计分</w:t>
            </w:r>
            <w:r>
              <w:rPr>
                <w:rFonts w:hint="eastAsia" w:ascii="宋体" w:hAnsi="宋体" w:cs="宋体"/>
                <w:color w:val="000000"/>
                <w:sz w:val="24"/>
                <w:lang w:eastAsia="zh-CN"/>
              </w:rPr>
              <w:t>。</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（二）评分依据：</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1.提供可证明投标人提供合规或普法等法律服务的相关材料（如合同关键页（关键页包含但不限于合同封面、服务内容页、双方盖章页等）或加盖甲方公章（或业务章）的委托函或履约评价证明）复印件（或扫描件）加盖公章，原件备查，未提供或提供不齐全或无法分辨的不得分。</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2.以联合体形式进行投标的，可提供联合体任意一方研究情况，但企业合规法律研究情况不累加计算得分，仅计算得分较高的联合体成员该项分值。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0" w:type="dxa"/>
            <w:vMerge w:val="continue"/>
            <w:tcBorders>
              <w:top w:val="nil"/>
              <w:left w:val="single" w:color="000000" w:sz="8" w:space="0"/>
              <w:bottom w:val="single" w:color="auto" w:sz="8" w:space="0"/>
              <w:right w:val="single" w:color="000000" w:sz="8" w:space="0"/>
            </w:tcBorders>
            <w:noWrap w:val="0"/>
            <w:vAlign w:val="center"/>
          </w:tcPr>
          <w:p>
            <w:pPr>
              <w:tabs>
                <w:tab w:val="left" w:pos="640"/>
                <w:tab w:val="left" w:pos="1260"/>
                <w:tab w:val="left" w:pos="1418"/>
              </w:tabs>
              <w:spacing w:line="360" w:lineRule="auto"/>
              <w:ind w:right="-420" w:rightChars="-200"/>
              <w:rPr>
                <w:rFonts w:ascii="宋体" w:hAnsi="宋体" w:cs="宋体"/>
                <w:b/>
                <w:bCs/>
                <w:color w:val="000000"/>
                <w:sz w:val="24"/>
              </w:rPr>
            </w:pPr>
          </w:p>
        </w:tc>
        <w:tc>
          <w:tcPr>
            <w:tcW w:w="701" w:type="dxa"/>
            <w:tcBorders>
              <w:top w:val="single" w:color="000000" w:sz="8" w:space="0"/>
              <w:left w:val="nil"/>
              <w:bottom w:val="single" w:color="000000" w:sz="8" w:space="0"/>
              <w:right w:val="single" w:color="000000" w:sz="8" w:space="0"/>
            </w:tcBorders>
            <w:noWrap w:val="0"/>
            <w:vAlign w:val="center"/>
          </w:tcPr>
          <w:p>
            <w:pPr>
              <w:tabs>
                <w:tab w:val="left" w:pos="640"/>
                <w:tab w:val="left" w:pos="1260"/>
                <w:tab w:val="left" w:pos="1418"/>
              </w:tabs>
              <w:spacing w:line="360" w:lineRule="auto"/>
              <w:ind w:right="-420" w:rightChars="-200"/>
              <w:rPr>
                <w:rFonts w:hint="eastAsia" w:ascii="宋体" w:hAnsi="宋体" w:cs="宋体"/>
                <w:color w:val="000000"/>
                <w:sz w:val="24"/>
              </w:rPr>
            </w:pPr>
            <w:r>
              <w:rPr>
                <w:rFonts w:hint="eastAsia" w:ascii="宋体" w:hAnsi="宋体" w:cs="宋体"/>
                <w:b/>
                <w:color w:val="000000"/>
                <w:sz w:val="24"/>
              </w:rPr>
              <w:t>7</w:t>
            </w:r>
          </w:p>
        </w:tc>
        <w:tc>
          <w:tcPr>
            <w:tcW w:w="1129" w:type="dxa"/>
            <w:tcBorders>
              <w:top w:val="single" w:color="000000" w:sz="8" w:space="0"/>
              <w:left w:val="nil"/>
              <w:bottom w:val="single" w:color="000000" w:sz="8" w:space="0"/>
              <w:right w:val="single" w:color="000000" w:sz="8" w:space="0"/>
            </w:tcBorders>
            <w:noWrap w:val="0"/>
            <w:vAlign w:val="center"/>
          </w:tcPr>
          <w:p>
            <w:pPr>
              <w:autoSpaceDE w:val="0"/>
              <w:autoSpaceDN w:val="0"/>
              <w:adjustRightInd w:val="0"/>
              <w:spacing w:line="360" w:lineRule="auto"/>
              <w:jc w:val="center"/>
              <w:rPr>
                <w:rFonts w:hint="eastAsia" w:ascii="宋体" w:hAnsi="宋体" w:cs="宋体"/>
                <w:color w:val="000000"/>
                <w:sz w:val="24"/>
              </w:rPr>
            </w:pPr>
            <w:r>
              <w:rPr>
                <w:rFonts w:hint="eastAsia" w:ascii="宋体" w:hAnsi="宋体" w:cs="宋体"/>
                <w:color w:val="000000"/>
                <w:sz w:val="24"/>
              </w:rPr>
              <w:t>承诺服务响应时间</w:t>
            </w:r>
          </w:p>
        </w:tc>
        <w:tc>
          <w:tcPr>
            <w:tcW w:w="1025" w:type="dxa"/>
            <w:tcBorders>
              <w:top w:val="single" w:color="000000" w:sz="8" w:space="0"/>
              <w:left w:val="nil"/>
              <w:bottom w:val="single" w:color="000000" w:sz="8" w:space="0"/>
              <w:right w:val="single" w:color="000000" w:sz="8" w:space="0"/>
            </w:tcBorders>
            <w:noWrap w:val="0"/>
            <w:vAlign w:val="center"/>
          </w:tcPr>
          <w:p>
            <w:pPr>
              <w:tabs>
                <w:tab w:val="left" w:pos="640"/>
                <w:tab w:val="left" w:pos="1260"/>
                <w:tab w:val="left" w:pos="1418"/>
              </w:tabs>
              <w:spacing w:line="360" w:lineRule="auto"/>
              <w:ind w:right="-420" w:rightChars="-200"/>
              <w:rPr>
                <w:rFonts w:hint="eastAsia" w:ascii="宋体" w:hAnsi="宋体" w:cs="宋体"/>
                <w:color w:val="000000"/>
                <w:sz w:val="24"/>
              </w:rPr>
            </w:pPr>
            <w:r>
              <w:rPr>
                <w:rFonts w:hint="eastAsia" w:ascii="宋体" w:hAnsi="宋体" w:cs="宋体"/>
                <w:color w:val="000000"/>
                <w:sz w:val="24"/>
              </w:rPr>
              <w:t>4</w:t>
            </w:r>
          </w:p>
        </w:tc>
        <w:tc>
          <w:tcPr>
            <w:tcW w:w="5908" w:type="dxa"/>
            <w:tcBorders>
              <w:top w:val="single" w:color="000000" w:sz="8" w:space="0"/>
              <w:left w:val="nil"/>
              <w:bottom w:val="single" w:color="000000" w:sz="8" w:space="0"/>
              <w:right w:val="single" w:color="000000" w:sz="8" w:space="0"/>
            </w:tcBorders>
            <w:noWrap w:val="0"/>
            <w:vAlign w:val="top"/>
          </w:tcPr>
          <w:p>
            <w:pPr>
              <w:autoSpaceDE w:val="0"/>
              <w:autoSpaceDN w:val="0"/>
              <w:adjustRightInd w:val="0"/>
              <w:spacing w:line="360" w:lineRule="auto"/>
              <w:jc w:val="left"/>
              <w:rPr>
                <w:rFonts w:hint="eastAsia" w:ascii="宋体" w:hAnsi="宋体" w:eastAsia="宋体" w:cs="宋体"/>
                <w:color w:val="000000"/>
                <w:sz w:val="24"/>
                <w:lang w:eastAsia="zh-CN"/>
              </w:rPr>
            </w:pPr>
            <w:r>
              <w:rPr>
                <w:rFonts w:hint="eastAsia" w:ascii="宋体" w:hAnsi="宋体" w:cs="宋体"/>
                <w:color w:val="000000"/>
                <w:sz w:val="24"/>
              </w:rPr>
              <w:t>（一）评分内容：承诺在招标人提出要求后1小时内到达招标人指定地点提供服务的，得4分；承诺在招标人提出要求后2小时内到达招标人指定地点提供服务的，得3分；承诺在招标人提出要求后3小时内到达招标人指定地点提供服务的，得1分</w:t>
            </w:r>
            <w:r>
              <w:rPr>
                <w:rFonts w:hint="eastAsia" w:ascii="宋体" w:hAnsi="宋体" w:cs="宋体"/>
                <w:color w:val="000000"/>
                <w:sz w:val="24"/>
                <w:lang w:eastAsia="zh-CN"/>
              </w:rPr>
              <w:t>。</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（二）评分依据：投标人提供服务响应时间承诺书加盖公章，格式自拟。</w:t>
            </w:r>
          </w:p>
          <w:p>
            <w:pPr>
              <w:autoSpaceDE w:val="0"/>
              <w:autoSpaceDN w:val="0"/>
              <w:adjustRightInd w:val="0"/>
              <w:spacing w:line="360" w:lineRule="auto"/>
              <w:jc w:val="left"/>
              <w:rPr>
                <w:rFonts w:hint="default" w:ascii="宋体" w:hAnsi="宋体" w:eastAsia="宋体" w:cs="宋体"/>
                <w:color w:val="000000"/>
                <w:sz w:val="24"/>
                <w:lang w:val="en-US" w:eastAsia="zh-CN"/>
              </w:rPr>
            </w:pPr>
            <w:r>
              <w:rPr>
                <w:rFonts w:hint="eastAsia" w:ascii="宋体" w:hAnsi="宋体" w:cs="宋体"/>
                <w:color w:val="000000"/>
                <w:sz w:val="24"/>
              </w:rPr>
              <w:t>以联合体形式进行投标的，</w:t>
            </w:r>
            <w:r>
              <w:rPr>
                <w:rFonts w:hint="eastAsia" w:ascii="宋体" w:hAnsi="宋体" w:cs="宋体"/>
                <w:color w:val="000000"/>
                <w:sz w:val="24"/>
                <w:lang w:val="en-US" w:eastAsia="zh-CN"/>
              </w:rPr>
              <w:t>仅联合体牵头方提供。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0" w:type="dxa"/>
            <w:vMerge w:val="continue"/>
            <w:tcBorders>
              <w:top w:val="nil"/>
              <w:left w:val="single" w:color="000000" w:sz="8" w:space="0"/>
              <w:bottom w:val="single" w:color="auto" w:sz="8" w:space="0"/>
              <w:right w:val="single" w:color="000000" w:sz="8" w:space="0"/>
            </w:tcBorders>
            <w:noWrap w:val="0"/>
            <w:vAlign w:val="center"/>
          </w:tcPr>
          <w:p>
            <w:pPr>
              <w:tabs>
                <w:tab w:val="left" w:pos="640"/>
                <w:tab w:val="left" w:pos="1260"/>
                <w:tab w:val="left" w:pos="1418"/>
              </w:tabs>
              <w:spacing w:line="360" w:lineRule="auto"/>
              <w:ind w:right="-420" w:rightChars="-200"/>
              <w:rPr>
                <w:rFonts w:ascii="宋体" w:hAnsi="宋体" w:cs="宋体"/>
                <w:b/>
                <w:bCs/>
                <w:color w:val="000000"/>
                <w:sz w:val="24"/>
              </w:rPr>
            </w:pPr>
          </w:p>
        </w:tc>
        <w:tc>
          <w:tcPr>
            <w:tcW w:w="701" w:type="dxa"/>
            <w:tcBorders>
              <w:top w:val="single" w:color="000000" w:sz="8" w:space="0"/>
              <w:left w:val="nil"/>
              <w:bottom w:val="single" w:color="000000" w:sz="8" w:space="0"/>
              <w:right w:val="single" w:color="000000" w:sz="8" w:space="0"/>
            </w:tcBorders>
            <w:noWrap w:val="0"/>
            <w:vAlign w:val="center"/>
          </w:tcPr>
          <w:p>
            <w:pPr>
              <w:tabs>
                <w:tab w:val="left" w:pos="640"/>
                <w:tab w:val="left" w:pos="1260"/>
                <w:tab w:val="left" w:pos="1418"/>
              </w:tabs>
              <w:spacing w:line="360" w:lineRule="auto"/>
              <w:ind w:right="-420" w:rightChars="-200"/>
              <w:jc w:val="center"/>
              <w:rPr>
                <w:rFonts w:hint="eastAsia" w:ascii="宋体" w:hAnsi="宋体" w:cs="宋体"/>
                <w:color w:val="000000"/>
                <w:sz w:val="24"/>
              </w:rPr>
            </w:pPr>
            <w:r>
              <w:rPr>
                <w:rFonts w:hint="eastAsia" w:ascii="宋体" w:hAnsi="宋体" w:cs="宋体"/>
                <w:color w:val="000000"/>
                <w:sz w:val="24"/>
              </w:rPr>
              <w:t>8</w:t>
            </w:r>
          </w:p>
        </w:tc>
        <w:tc>
          <w:tcPr>
            <w:tcW w:w="1129" w:type="dxa"/>
            <w:tcBorders>
              <w:top w:val="single" w:color="000000" w:sz="8" w:space="0"/>
              <w:left w:val="nil"/>
              <w:bottom w:val="single" w:color="000000" w:sz="8" w:space="0"/>
              <w:right w:val="single" w:color="000000" w:sz="8" w:space="0"/>
            </w:tcBorders>
            <w:noWrap w:val="0"/>
            <w:vAlign w:val="center"/>
          </w:tcPr>
          <w:p>
            <w:pPr>
              <w:autoSpaceDE w:val="0"/>
              <w:autoSpaceDN w:val="0"/>
              <w:adjustRightInd w:val="0"/>
              <w:spacing w:line="360" w:lineRule="auto"/>
              <w:jc w:val="center"/>
              <w:rPr>
                <w:rFonts w:hint="eastAsia" w:ascii="宋体" w:hAnsi="宋体" w:cs="宋体"/>
                <w:color w:val="000000"/>
                <w:sz w:val="24"/>
              </w:rPr>
            </w:pPr>
            <w:r>
              <w:rPr>
                <w:rFonts w:hint="eastAsia" w:ascii="宋体" w:hAnsi="宋体" w:cs="宋体"/>
                <w:color w:val="000000"/>
                <w:sz w:val="24"/>
              </w:rPr>
              <w:t>诚信管理情况</w:t>
            </w:r>
          </w:p>
        </w:tc>
        <w:tc>
          <w:tcPr>
            <w:tcW w:w="1025" w:type="dxa"/>
            <w:tcBorders>
              <w:top w:val="single" w:color="000000" w:sz="8" w:space="0"/>
              <w:left w:val="nil"/>
              <w:bottom w:val="single" w:color="000000" w:sz="8" w:space="0"/>
              <w:right w:val="single" w:color="000000" w:sz="8" w:space="0"/>
            </w:tcBorders>
            <w:noWrap w:val="0"/>
            <w:vAlign w:val="center"/>
          </w:tcPr>
          <w:p>
            <w:pPr>
              <w:tabs>
                <w:tab w:val="left" w:pos="640"/>
                <w:tab w:val="left" w:pos="1260"/>
                <w:tab w:val="left" w:pos="1418"/>
              </w:tabs>
              <w:spacing w:line="360" w:lineRule="auto"/>
              <w:ind w:right="-420" w:rightChars="-200"/>
              <w:rPr>
                <w:rFonts w:hint="eastAsia" w:ascii="宋体" w:hAnsi="宋体" w:cs="宋体"/>
                <w:color w:val="000000"/>
                <w:sz w:val="24"/>
              </w:rPr>
            </w:pPr>
            <w:r>
              <w:rPr>
                <w:rFonts w:hint="eastAsia" w:ascii="宋体" w:hAnsi="宋体" w:cs="宋体"/>
                <w:color w:val="000000"/>
                <w:sz w:val="24"/>
              </w:rPr>
              <w:t>4</w:t>
            </w:r>
          </w:p>
        </w:tc>
        <w:tc>
          <w:tcPr>
            <w:tcW w:w="5908" w:type="dxa"/>
            <w:tcBorders>
              <w:top w:val="single" w:color="000000" w:sz="8" w:space="0"/>
              <w:left w:val="nil"/>
              <w:bottom w:val="single" w:color="000000" w:sz="8" w:space="0"/>
              <w:right w:val="single" w:color="000000" w:sz="8" w:space="0"/>
            </w:tcBorders>
            <w:noWrap w:val="0"/>
            <w:vAlign w:val="top"/>
          </w:tcPr>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（一）评分内容：</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（二）评分依据：</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1、投标人提供企业诚信声明与承诺加盖公章；</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2、采购代理机构通过信用信息查询渠道，包括“信用中国”（www.creditchina.gov.cn）、“中国政府采购网”（www.ccgp.gov.cn）、“深圳市政府采购监管网”（http://zfcg.sz.gov.cn）以及市、区财政部门认定的其他渠道查询供应商信用信息。</w:t>
            </w:r>
          </w:p>
          <w:p>
            <w:pPr>
              <w:autoSpaceDE w:val="0"/>
              <w:autoSpaceDN w:val="0"/>
              <w:adjustRightInd w:val="0"/>
              <w:spacing w:line="360" w:lineRule="auto"/>
              <w:jc w:val="left"/>
              <w:rPr>
                <w:rFonts w:hint="eastAsia" w:ascii="宋体" w:hAnsi="宋体" w:cs="宋体"/>
                <w:color w:val="000000"/>
                <w:sz w:val="24"/>
              </w:rPr>
            </w:pPr>
            <w:r>
              <w:rPr>
                <w:rFonts w:hint="eastAsia" w:ascii="宋体" w:hAnsi="宋体" w:cs="宋体"/>
                <w:color w:val="000000"/>
                <w:sz w:val="24"/>
              </w:rPr>
              <w:t>以联合体形式进行投标的，</w:t>
            </w:r>
            <w:r>
              <w:rPr>
                <w:rFonts w:hint="eastAsia" w:ascii="宋体" w:hAnsi="宋体" w:cs="宋体"/>
                <w:color w:val="000000"/>
                <w:sz w:val="24"/>
                <w:lang w:val="en-US" w:eastAsia="zh-CN"/>
              </w:rPr>
              <w:t>联合体双方均需满足，方可得分。</w:t>
            </w:r>
          </w:p>
        </w:tc>
      </w:tr>
    </w:tbl>
    <w:p>
      <w:pPr>
        <w:tabs>
          <w:tab w:val="left" w:pos="640"/>
          <w:tab w:val="left" w:pos="1260"/>
          <w:tab w:val="left" w:pos="1418"/>
        </w:tabs>
        <w:spacing w:line="360" w:lineRule="auto"/>
        <w:ind w:right="-420" w:rightChars="-200"/>
        <w:rPr>
          <w:rFonts w:ascii="宋体" w:hAnsi="宋体" w:cs="宋体"/>
          <w:color w:val="000000"/>
          <w:sz w:val="24"/>
          <w:lang w:val="fr-CH"/>
        </w:rPr>
        <w:sectPr>
          <w:pgSz w:w="11906" w:h="16838"/>
          <w:pgMar w:top="850" w:right="1803" w:bottom="709" w:left="1803" w:header="851" w:footer="992" w:gutter="0"/>
          <w:cols w:space="720" w:num="1"/>
          <w:docGrid w:type="lines" w:linePitch="319" w:charSpace="0"/>
        </w:sectPr>
      </w:pPr>
    </w:p>
    <w:p>
      <w:pPr>
        <w:spacing w:line="360" w:lineRule="auto"/>
        <w:jc w:val="center"/>
        <w:outlineLvl w:val="0"/>
        <w:rPr>
          <w:rFonts w:ascii="宋体" w:hAnsi="宋体" w:cs="宋体"/>
          <w:b/>
          <w:bCs/>
          <w:color w:val="000000"/>
          <w:sz w:val="24"/>
        </w:rPr>
      </w:pPr>
      <w:bookmarkStart w:id="32" w:name="_Toc9548"/>
      <w:bookmarkStart w:id="33" w:name="_Hlk28269117"/>
      <w:r>
        <w:rPr>
          <w:rFonts w:hint="eastAsia" w:ascii="宋体" w:hAnsi="宋体" w:cs="宋体"/>
          <w:b/>
          <w:bCs/>
          <w:color w:val="000000"/>
          <w:sz w:val="24"/>
        </w:rPr>
        <w:t>第七章 附件（投标文件格式）</w:t>
      </w:r>
      <w:bookmarkEnd w:id="32"/>
    </w:p>
    <w:p>
      <w:pPr>
        <w:keepNext/>
        <w:keepLines/>
        <w:spacing w:before="260" w:after="260" w:line="440" w:lineRule="exact"/>
        <w:jc w:val="center"/>
        <w:outlineLvl w:val="1"/>
        <w:rPr>
          <w:rFonts w:ascii="宋体" w:hAnsi="宋体" w:cs="宋体"/>
          <w:b/>
          <w:bCs/>
          <w:color w:val="000000"/>
          <w:sz w:val="24"/>
        </w:rPr>
      </w:pPr>
      <w:bookmarkStart w:id="34" w:name="_Toc6548"/>
      <w:bookmarkStart w:id="35" w:name="_Toc5116"/>
      <w:bookmarkStart w:id="36" w:name="_Toc19494"/>
      <w:bookmarkStart w:id="37" w:name="_Toc31827"/>
      <w:r>
        <w:rPr>
          <w:rFonts w:hint="eastAsia" w:ascii="宋体" w:hAnsi="宋体" w:cs="宋体"/>
          <w:b/>
          <w:bCs/>
          <w:color w:val="000000"/>
          <w:sz w:val="24"/>
        </w:rPr>
        <w:t>1、投标文件密封袋/封面参考</w:t>
      </w:r>
      <w:bookmarkEnd w:id="34"/>
      <w:bookmarkEnd w:id="35"/>
      <w:bookmarkEnd w:id="36"/>
      <w:bookmarkEnd w:id="37"/>
    </w:p>
    <w:tbl>
      <w:tblPr>
        <w:tblStyle w:val="20"/>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noWrap w:val="0"/>
            <w:vAlign w:val="top"/>
          </w:tcPr>
          <w:p>
            <w:pPr>
              <w:pStyle w:val="6"/>
              <w:tabs>
                <w:tab w:val="left" w:pos="562"/>
                <w:tab w:val="left" w:pos="3372"/>
                <w:tab w:val="left" w:pos="3653"/>
              </w:tabs>
              <w:spacing w:line="360" w:lineRule="auto"/>
              <w:rPr>
                <w:rFonts w:ascii="仿宋_GB2312" w:eastAsia="仿宋_GB2312"/>
                <w:b/>
                <w:color w:val="000000"/>
                <w:sz w:val="32"/>
              </w:rPr>
            </w:pPr>
          </w:p>
          <w:p>
            <w:pPr>
              <w:pStyle w:val="6"/>
              <w:tabs>
                <w:tab w:val="left" w:pos="562"/>
                <w:tab w:val="left" w:pos="3372"/>
                <w:tab w:val="left" w:pos="3653"/>
              </w:tabs>
              <w:spacing w:line="360" w:lineRule="auto"/>
              <w:jc w:val="center"/>
              <w:rPr>
                <w:rFonts w:ascii="黑体" w:eastAsia="黑体"/>
                <w:b/>
                <w:color w:val="000000"/>
                <w:sz w:val="72"/>
                <w:szCs w:val="72"/>
              </w:rPr>
            </w:pPr>
          </w:p>
          <w:p>
            <w:pPr>
              <w:pStyle w:val="6"/>
              <w:tabs>
                <w:tab w:val="left" w:pos="562"/>
                <w:tab w:val="left" w:pos="3372"/>
                <w:tab w:val="left" w:pos="3653"/>
              </w:tabs>
              <w:spacing w:line="360" w:lineRule="auto"/>
              <w:jc w:val="center"/>
              <w:rPr>
                <w:rFonts w:ascii="黑体" w:eastAsia="黑体"/>
                <w:b/>
                <w:color w:val="000000"/>
                <w:sz w:val="72"/>
                <w:szCs w:val="72"/>
              </w:rPr>
            </w:pPr>
            <w:r>
              <w:rPr>
                <w:rFonts w:hint="eastAsia" w:ascii="黑体" w:eastAsia="黑体"/>
                <w:b/>
                <w:color w:val="000000"/>
                <w:sz w:val="72"/>
                <w:szCs w:val="72"/>
              </w:rPr>
              <w:t>投 标 文 件</w:t>
            </w:r>
          </w:p>
          <w:p>
            <w:pPr>
              <w:pStyle w:val="6"/>
              <w:tabs>
                <w:tab w:val="left" w:pos="562"/>
                <w:tab w:val="left" w:pos="3372"/>
                <w:tab w:val="left" w:pos="3653"/>
              </w:tabs>
              <w:spacing w:line="360" w:lineRule="auto"/>
              <w:jc w:val="center"/>
              <w:rPr>
                <w:rFonts w:ascii="黑体" w:eastAsia="黑体"/>
                <w:b/>
                <w:strike/>
                <w:color w:val="000000"/>
                <w:sz w:val="32"/>
              </w:rPr>
            </w:pPr>
          </w:p>
          <w:p>
            <w:pPr>
              <w:spacing w:after="120" w:line="360" w:lineRule="auto"/>
              <w:ind w:firstLine="3385" w:firstLineChars="651"/>
              <w:textAlignment w:val="baseline"/>
              <w:rPr>
                <w:rFonts w:ascii="黑体" w:eastAsia="黑体"/>
                <w:color w:val="000000"/>
                <w:sz w:val="32"/>
              </w:rPr>
            </w:pPr>
            <w:r>
              <w:rPr>
                <w:rFonts w:hint="eastAsia" w:ascii="黑体" w:eastAsia="黑体"/>
                <w:color w:val="000000"/>
                <w:sz w:val="52"/>
                <w:szCs w:val="52"/>
              </w:rPr>
              <w:t xml:space="preserve">口 </w:t>
            </w:r>
            <w:r>
              <w:rPr>
                <w:rFonts w:hint="eastAsia" w:ascii="黑体" w:eastAsia="黑体"/>
                <w:color w:val="000000"/>
                <w:sz w:val="32"/>
              </w:rPr>
              <w:t>正本</w:t>
            </w:r>
          </w:p>
          <w:p>
            <w:pPr>
              <w:spacing w:after="120" w:line="360" w:lineRule="auto"/>
              <w:ind w:firstLine="3385" w:firstLineChars="651"/>
              <w:textAlignment w:val="baseline"/>
              <w:rPr>
                <w:rFonts w:ascii="黑体" w:eastAsia="黑体"/>
                <w:color w:val="000000"/>
                <w:sz w:val="32"/>
              </w:rPr>
            </w:pPr>
            <w:r>
              <w:rPr>
                <w:rFonts w:hint="eastAsia" w:ascii="黑体" w:eastAsia="黑体"/>
                <w:color w:val="000000"/>
                <w:sz w:val="52"/>
                <w:szCs w:val="52"/>
              </w:rPr>
              <w:t xml:space="preserve">口 </w:t>
            </w:r>
            <w:r>
              <w:rPr>
                <w:rFonts w:hint="eastAsia" w:ascii="黑体" w:eastAsia="黑体"/>
                <w:color w:val="000000"/>
                <w:sz w:val="32"/>
              </w:rPr>
              <w:t>副本</w:t>
            </w:r>
          </w:p>
          <w:p>
            <w:pPr>
              <w:pStyle w:val="6"/>
              <w:tabs>
                <w:tab w:val="left" w:pos="562"/>
                <w:tab w:val="left" w:pos="3372"/>
                <w:tab w:val="left" w:pos="3653"/>
              </w:tabs>
              <w:spacing w:line="360" w:lineRule="auto"/>
              <w:rPr>
                <w:rFonts w:ascii="仿宋_GB2312" w:eastAsia="仿宋_GB2312"/>
                <w:b/>
                <w:color w:val="000000"/>
                <w:sz w:val="32"/>
              </w:rPr>
            </w:pPr>
          </w:p>
          <w:p>
            <w:pPr>
              <w:rPr>
                <w:color w:val="000000"/>
              </w:rPr>
            </w:pPr>
          </w:p>
          <w:p>
            <w:pPr>
              <w:pStyle w:val="6"/>
              <w:tabs>
                <w:tab w:val="left" w:pos="562"/>
                <w:tab w:val="left" w:pos="3372"/>
                <w:tab w:val="left" w:pos="3653"/>
              </w:tabs>
              <w:spacing w:line="400" w:lineRule="exact"/>
              <w:ind w:firstLine="900" w:firstLineChars="320"/>
              <w:rPr>
                <w:rFonts w:ascii="仿宋_GB2312" w:eastAsia="仿宋_GB2312"/>
                <w:b/>
                <w:color w:val="000000"/>
                <w:sz w:val="28"/>
                <w:szCs w:val="28"/>
              </w:rPr>
            </w:pPr>
          </w:p>
          <w:p>
            <w:pPr>
              <w:pStyle w:val="6"/>
              <w:tabs>
                <w:tab w:val="left" w:pos="562"/>
                <w:tab w:val="left" w:pos="3372"/>
                <w:tab w:val="left" w:pos="3653"/>
              </w:tabs>
              <w:spacing w:line="400" w:lineRule="exact"/>
              <w:ind w:firstLine="900" w:firstLineChars="320"/>
              <w:rPr>
                <w:rFonts w:ascii="宋体" w:hAnsi="宋体" w:cs="宋体"/>
                <w:b/>
                <w:color w:val="000000"/>
                <w:sz w:val="28"/>
                <w:szCs w:val="28"/>
              </w:rPr>
            </w:pPr>
            <w:r>
              <w:rPr>
                <w:rFonts w:hint="eastAsia" w:ascii="宋体" w:hAnsi="宋体" w:cs="宋体"/>
                <w:b/>
                <w:color w:val="000000"/>
                <w:sz w:val="28"/>
                <w:szCs w:val="28"/>
              </w:rPr>
              <w:t>项目编号：</w:t>
            </w:r>
            <w:r>
              <w:rPr>
                <w:rFonts w:hint="eastAsia" w:ascii="宋体" w:hAnsi="宋体" w:cs="Arial"/>
                <w:b/>
                <w:bCs/>
                <w:color w:val="000000"/>
                <w:sz w:val="28"/>
                <w:szCs w:val="28"/>
                <w:u w:val="single"/>
              </w:rPr>
              <w:t xml:space="preserve">                                   </w:t>
            </w:r>
          </w:p>
          <w:p>
            <w:pPr>
              <w:pStyle w:val="6"/>
              <w:tabs>
                <w:tab w:val="left" w:pos="562"/>
                <w:tab w:val="left" w:pos="3372"/>
                <w:tab w:val="left" w:pos="3653"/>
              </w:tabs>
              <w:spacing w:line="400" w:lineRule="exact"/>
              <w:ind w:firstLine="900" w:firstLineChars="320"/>
              <w:rPr>
                <w:rFonts w:ascii="宋体" w:hAnsi="宋体" w:cs="宋体"/>
                <w:b/>
                <w:color w:val="000000"/>
                <w:sz w:val="28"/>
                <w:szCs w:val="28"/>
              </w:rPr>
            </w:pPr>
            <w:r>
              <w:rPr>
                <w:rFonts w:hint="eastAsia" w:ascii="宋体" w:hAnsi="宋体" w:cs="宋体"/>
                <w:b/>
                <w:color w:val="000000"/>
                <w:sz w:val="28"/>
                <w:szCs w:val="28"/>
              </w:rPr>
              <w:t>项目名称：</w:t>
            </w:r>
            <w:r>
              <w:rPr>
                <w:rFonts w:hint="eastAsia" w:ascii="宋体" w:hAnsi="宋体" w:cs="Arial"/>
                <w:b/>
                <w:bCs/>
                <w:color w:val="000000"/>
                <w:sz w:val="28"/>
                <w:szCs w:val="28"/>
                <w:u w:val="single"/>
              </w:rPr>
              <w:t xml:space="preserve">                                   </w:t>
            </w:r>
          </w:p>
          <w:p>
            <w:pPr>
              <w:pStyle w:val="6"/>
              <w:tabs>
                <w:tab w:val="left" w:pos="562"/>
                <w:tab w:val="left" w:pos="3372"/>
                <w:tab w:val="left" w:pos="3653"/>
              </w:tabs>
              <w:spacing w:line="400" w:lineRule="exact"/>
              <w:ind w:firstLine="900" w:firstLineChars="320"/>
              <w:rPr>
                <w:rFonts w:ascii="宋体" w:hAnsi="宋体" w:cs="宋体"/>
                <w:b/>
                <w:color w:val="000000"/>
                <w:sz w:val="28"/>
                <w:szCs w:val="28"/>
              </w:rPr>
            </w:pPr>
            <w:r>
              <w:rPr>
                <w:rFonts w:hint="eastAsia" w:ascii="宋体" w:hAnsi="宋体" w:cs="宋体"/>
                <w:b/>
                <w:color w:val="000000"/>
                <w:sz w:val="28"/>
                <w:szCs w:val="28"/>
              </w:rPr>
              <w:t>投标人名称：</w:t>
            </w:r>
            <w:r>
              <w:rPr>
                <w:rFonts w:hint="eastAsia" w:ascii="宋体" w:hAnsi="宋体" w:cs="Arial"/>
                <w:b/>
                <w:bCs/>
                <w:color w:val="000000"/>
                <w:sz w:val="28"/>
                <w:szCs w:val="28"/>
                <w:u w:val="single"/>
              </w:rPr>
              <w:t xml:space="preserve">                     （加盖公章）</w:t>
            </w:r>
          </w:p>
          <w:p>
            <w:pPr>
              <w:pStyle w:val="6"/>
              <w:tabs>
                <w:tab w:val="left" w:pos="562"/>
                <w:tab w:val="left" w:pos="3372"/>
                <w:tab w:val="left" w:pos="3653"/>
              </w:tabs>
              <w:spacing w:line="400" w:lineRule="exact"/>
              <w:ind w:firstLine="900" w:firstLineChars="320"/>
              <w:rPr>
                <w:rFonts w:ascii="宋体" w:hAnsi="宋体" w:cs="Arial"/>
                <w:b/>
                <w:bCs/>
                <w:color w:val="000000"/>
                <w:sz w:val="28"/>
                <w:szCs w:val="28"/>
                <w:u w:val="single"/>
              </w:rPr>
            </w:pPr>
            <w:r>
              <w:rPr>
                <w:rFonts w:hint="eastAsia" w:ascii="宋体" w:hAnsi="宋体" w:cs="宋体"/>
                <w:b/>
                <w:color w:val="000000"/>
                <w:sz w:val="28"/>
                <w:szCs w:val="28"/>
              </w:rPr>
              <w:t>投标人地址：</w:t>
            </w:r>
            <w:r>
              <w:rPr>
                <w:rFonts w:hint="eastAsia" w:ascii="宋体" w:hAnsi="宋体" w:cs="Arial"/>
                <w:b/>
                <w:bCs/>
                <w:color w:val="000000"/>
                <w:sz w:val="28"/>
                <w:szCs w:val="28"/>
                <w:u w:val="single"/>
              </w:rPr>
              <w:t xml:space="preserve">                                 </w:t>
            </w:r>
          </w:p>
          <w:p>
            <w:pPr>
              <w:pStyle w:val="6"/>
              <w:tabs>
                <w:tab w:val="left" w:pos="562"/>
                <w:tab w:val="left" w:pos="3372"/>
                <w:tab w:val="left" w:pos="3653"/>
              </w:tabs>
              <w:spacing w:line="400" w:lineRule="exact"/>
              <w:ind w:firstLine="900" w:firstLineChars="320"/>
              <w:rPr>
                <w:rFonts w:ascii="宋体" w:hAnsi="宋体" w:cs="Arial"/>
                <w:b/>
                <w:bCs/>
                <w:color w:val="000000"/>
                <w:sz w:val="28"/>
                <w:szCs w:val="28"/>
                <w:u w:val="single"/>
              </w:rPr>
            </w:pPr>
            <w:r>
              <w:rPr>
                <w:rFonts w:hint="eastAsia" w:ascii="宋体" w:hAnsi="宋体" w:cs="Arial"/>
                <w:b/>
                <w:bCs/>
                <w:color w:val="000000"/>
                <w:sz w:val="28"/>
                <w:szCs w:val="28"/>
              </w:rPr>
              <w:t>法定代表人/被授权人：</w:t>
            </w:r>
            <w:r>
              <w:rPr>
                <w:rFonts w:hint="eastAsia" w:ascii="宋体" w:hAnsi="宋体" w:cs="Arial"/>
                <w:b/>
                <w:bCs/>
                <w:color w:val="000000"/>
                <w:sz w:val="28"/>
                <w:szCs w:val="28"/>
                <w:u w:val="single"/>
              </w:rPr>
              <w:t xml:space="preserve">                        </w:t>
            </w:r>
          </w:p>
          <w:p>
            <w:pPr>
              <w:pStyle w:val="6"/>
              <w:tabs>
                <w:tab w:val="left" w:pos="562"/>
                <w:tab w:val="left" w:pos="3372"/>
                <w:tab w:val="left" w:pos="3653"/>
              </w:tabs>
              <w:spacing w:line="400" w:lineRule="exact"/>
              <w:ind w:firstLine="900" w:firstLineChars="320"/>
              <w:rPr>
                <w:rFonts w:ascii="宋体" w:hAnsi="宋体" w:cs="宋体"/>
                <w:b/>
                <w:color w:val="000000"/>
                <w:sz w:val="28"/>
                <w:szCs w:val="28"/>
              </w:rPr>
            </w:pPr>
            <w:r>
              <w:rPr>
                <w:rFonts w:hint="eastAsia" w:ascii="宋体" w:hAnsi="宋体" w:cs="Arial"/>
                <w:b/>
                <w:bCs/>
                <w:color w:val="000000"/>
                <w:sz w:val="28"/>
                <w:szCs w:val="28"/>
              </w:rPr>
              <w:t>联系电话：</w:t>
            </w:r>
            <w:r>
              <w:rPr>
                <w:rFonts w:hint="eastAsia" w:ascii="宋体" w:hAnsi="宋体" w:cs="Arial"/>
                <w:b/>
                <w:bCs/>
                <w:color w:val="000000"/>
                <w:sz w:val="28"/>
                <w:szCs w:val="28"/>
                <w:u w:val="single"/>
              </w:rPr>
              <w:t xml:space="preserve">                                   </w:t>
            </w:r>
          </w:p>
          <w:p>
            <w:pPr>
              <w:spacing w:line="360" w:lineRule="auto"/>
              <w:jc w:val="center"/>
              <w:rPr>
                <w:rFonts w:ascii="宋体" w:hAnsi="宋体" w:cs="Arial"/>
                <w:b/>
                <w:bCs/>
                <w:color w:val="000000"/>
                <w:sz w:val="28"/>
                <w:szCs w:val="28"/>
              </w:rPr>
            </w:pPr>
          </w:p>
          <w:p>
            <w:pPr>
              <w:spacing w:line="360" w:lineRule="auto"/>
              <w:jc w:val="center"/>
              <w:rPr>
                <w:rFonts w:ascii="宋体" w:hAnsi="宋体" w:cs="Arial"/>
                <w:b/>
                <w:bCs/>
                <w:color w:val="000000"/>
                <w:sz w:val="28"/>
                <w:szCs w:val="28"/>
              </w:rPr>
            </w:pPr>
          </w:p>
          <w:p>
            <w:pPr>
              <w:spacing w:line="360" w:lineRule="auto"/>
              <w:jc w:val="center"/>
              <w:rPr>
                <w:rFonts w:ascii="仿宋_GB2312" w:eastAsia="仿宋_GB2312"/>
                <w:b/>
                <w:color w:val="000000"/>
                <w:sz w:val="32"/>
              </w:rPr>
            </w:pPr>
            <w:r>
              <w:rPr>
                <w:rFonts w:hint="eastAsia" w:ascii="宋体" w:hAnsi="宋体" w:cs="Arial"/>
                <w:b/>
                <w:bCs/>
                <w:color w:val="000000"/>
                <w:sz w:val="28"/>
                <w:szCs w:val="28"/>
              </w:rPr>
              <w:t>【年月日时分之前不得启封。】</w:t>
            </w:r>
          </w:p>
        </w:tc>
      </w:tr>
    </w:tbl>
    <w:p>
      <w:pPr>
        <w:spacing w:line="360" w:lineRule="auto"/>
        <w:jc w:val="center"/>
        <w:rPr>
          <w:rFonts w:ascii="宋体" w:hAnsi="宋体" w:cs="宋体"/>
          <w:b/>
          <w:bCs/>
          <w:color w:val="000000"/>
          <w:sz w:val="24"/>
        </w:rPr>
      </w:pPr>
    </w:p>
    <w:p>
      <w:pPr>
        <w:spacing w:before="100" w:beforeAutospacing="1" w:after="100" w:afterAutospacing="1"/>
        <w:jc w:val="center"/>
        <w:outlineLvl w:val="1"/>
        <w:rPr>
          <w:rFonts w:ascii="宋体" w:hAnsi="宋体" w:cs="宋体"/>
          <w:b/>
          <w:color w:val="000000"/>
          <w:sz w:val="24"/>
        </w:rPr>
      </w:pPr>
      <w:bookmarkStart w:id="38" w:name="_Toc16724"/>
      <w:r>
        <w:rPr>
          <w:rFonts w:hint="eastAsia" w:ascii="宋体" w:hAnsi="宋体" w:cs="宋体"/>
          <w:b/>
          <w:color w:val="000000"/>
          <w:sz w:val="24"/>
        </w:rPr>
        <w:t>2、投标文件—目录</w:t>
      </w:r>
      <w:bookmarkEnd w:id="38"/>
    </w:p>
    <w:p>
      <w:pPr>
        <w:spacing w:line="360" w:lineRule="auto"/>
        <w:rPr>
          <w:rFonts w:ascii="宋体" w:hAnsi="宋体" w:cs="宋体"/>
          <w:b/>
          <w:bCs/>
          <w:color w:val="000000"/>
          <w:sz w:val="24"/>
        </w:rPr>
      </w:pPr>
      <w:r>
        <w:rPr>
          <w:rFonts w:hint="eastAsia" w:ascii="宋体" w:hAnsi="宋体" w:cs="宋体"/>
          <w:b/>
          <w:bCs/>
          <w:color w:val="000000"/>
          <w:sz w:val="24"/>
        </w:rPr>
        <w:t>（一）</w:t>
      </w:r>
      <w:r>
        <w:rPr>
          <w:rFonts w:hint="eastAsia" w:ascii="宋体" w:hAnsi="宋体" w:cs="宋体"/>
          <w:b/>
          <w:bCs/>
          <w:color w:val="000000"/>
          <w:sz w:val="24"/>
          <w:lang w:val="zh-CN"/>
        </w:rPr>
        <w:t>价格部分</w:t>
      </w:r>
    </w:p>
    <w:p>
      <w:pPr>
        <w:numPr>
          <w:ilvl w:val="0"/>
          <w:numId w:val="4"/>
        </w:numPr>
        <w:tabs>
          <w:tab w:val="left" w:pos="640"/>
          <w:tab w:val="clear" w:pos="425"/>
        </w:tabs>
        <w:spacing w:line="360" w:lineRule="auto"/>
        <w:ind w:left="625" w:hanging="625"/>
        <w:rPr>
          <w:rFonts w:ascii="宋体" w:hAnsi="宋体" w:cs="宋体"/>
          <w:color w:val="000000"/>
          <w:sz w:val="24"/>
        </w:rPr>
      </w:pPr>
      <w:r>
        <w:rPr>
          <w:rFonts w:hint="eastAsia" w:ascii="宋体" w:hAnsi="宋体" w:cs="宋体"/>
          <w:color w:val="000000"/>
          <w:sz w:val="24"/>
        </w:rPr>
        <w:t>投标一览表；</w:t>
      </w:r>
    </w:p>
    <w:p>
      <w:pPr>
        <w:numPr>
          <w:ilvl w:val="0"/>
          <w:numId w:val="4"/>
        </w:numPr>
        <w:tabs>
          <w:tab w:val="left" w:pos="640"/>
          <w:tab w:val="clear" w:pos="425"/>
        </w:tabs>
        <w:spacing w:line="360" w:lineRule="auto"/>
        <w:ind w:left="625" w:hanging="625"/>
        <w:rPr>
          <w:rFonts w:ascii="宋体" w:hAnsi="宋体" w:cs="宋体"/>
          <w:color w:val="000000"/>
          <w:sz w:val="24"/>
        </w:rPr>
      </w:pPr>
      <w:r>
        <w:rPr>
          <w:rFonts w:hint="eastAsia" w:ascii="宋体" w:hAnsi="宋体" w:cs="宋体"/>
          <w:color w:val="000000"/>
          <w:sz w:val="24"/>
        </w:rPr>
        <w:t>分类报价明细表；</w:t>
      </w:r>
    </w:p>
    <w:p>
      <w:pPr>
        <w:spacing w:line="360" w:lineRule="auto"/>
        <w:rPr>
          <w:rFonts w:ascii="宋体" w:hAnsi="宋体" w:cs="宋体"/>
          <w:b/>
          <w:bCs/>
          <w:color w:val="000000"/>
          <w:sz w:val="24"/>
          <w:u w:val="wave"/>
        </w:rPr>
      </w:pPr>
      <w:r>
        <w:rPr>
          <w:rFonts w:hint="eastAsia" w:ascii="宋体" w:hAnsi="宋体" w:cs="宋体"/>
          <w:b/>
          <w:bCs/>
          <w:color w:val="000000"/>
          <w:sz w:val="24"/>
        </w:rPr>
        <w:t>（二）商务部分</w:t>
      </w:r>
    </w:p>
    <w:p>
      <w:pPr>
        <w:numPr>
          <w:ilvl w:val="0"/>
          <w:numId w:val="0"/>
        </w:numPr>
        <w:tabs>
          <w:tab w:val="left" w:pos="640"/>
          <w:tab w:val="left" w:pos="1260"/>
          <w:tab w:val="left" w:pos="1418"/>
        </w:tabs>
        <w:spacing w:line="360" w:lineRule="auto"/>
        <w:ind w:left="845" w:hanging="845"/>
        <w:rPr>
          <w:rFonts w:ascii="宋体" w:hAnsi="宋体" w:cs="宋体"/>
          <w:color w:val="000000"/>
          <w:sz w:val="24"/>
        </w:rPr>
      </w:pPr>
      <w:r>
        <w:rPr>
          <w:rFonts w:hint="default" w:ascii="宋体" w:hAnsi="宋体" w:cs="宋体"/>
          <w:color w:val="000000"/>
          <w:kern w:val="2"/>
          <w:sz w:val="24"/>
          <w:szCs w:val="24"/>
          <w:lang w:val="en-US" w:eastAsia="zh-CN" w:bidi="ar-SA"/>
        </w:rPr>
        <w:t>（1）</w:t>
      </w:r>
      <w:r>
        <w:rPr>
          <w:rFonts w:hint="eastAsia" w:ascii="宋体" w:hAnsi="宋体" w:cs="宋体"/>
          <w:color w:val="000000"/>
          <w:sz w:val="24"/>
        </w:rPr>
        <w:t>投标响应书；</w:t>
      </w:r>
    </w:p>
    <w:p>
      <w:pPr>
        <w:numPr>
          <w:ilvl w:val="0"/>
          <w:numId w:val="0"/>
        </w:numPr>
        <w:tabs>
          <w:tab w:val="left" w:pos="640"/>
          <w:tab w:val="left" w:pos="1260"/>
          <w:tab w:val="left" w:pos="1418"/>
        </w:tabs>
        <w:spacing w:line="360" w:lineRule="auto"/>
        <w:ind w:left="645" w:hanging="645"/>
        <w:rPr>
          <w:rFonts w:hint="default" w:ascii="宋体" w:hAnsi="宋体" w:cs="宋体"/>
          <w:color w:val="000000"/>
          <w:kern w:val="2"/>
          <w:sz w:val="24"/>
          <w:szCs w:val="24"/>
          <w:lang w:val="fr-CH" w:eastAsia="zh-CN" w:bidi="ar-SA"/>
        </w:rPr>
      </w:pPr>
      <w:r>
        <w:rPr>
          <w:rFonts w:hint="eastAsia" w:ascii="宋体" w:hAnsi="宋体" w:cs="宋体"/>
          <w:color w:val="000000"/>
          <w:kern w:val="2"/>
          <w:sz w:val="24"/>
          <w:szCs w:val="24"/>
          <w:lang w:val="fr-CH" w:eastAsia="zh-CN" w:bidi="ar-SA"/>
        </w:rPr>
        <w:t>（</w:t>
      </w:r>
      <w:r>
        <w:rPr>
          <w:rFonts w:hint="eastAsia" w:ascii="宋体" w:hAnsi="宋体" w:cs="宋体"/>
          <w:color w:val="000000"/>
          <w:kern w:val="2"/>
          <w:sz w:val="24"/>
          <w:szCs w:val="24"/>
          <w:lang w:val="en-US" w:eastAsia="zh-CN" w:bidi="ar-SA"/>
        </w:rPr>
        <w:t>2</w:t>
      </w:r>
      <w:r>
        <w:rPr>
          <w:rFonts w:hint="eastAsia" w:ascii="宋体" w:hAnsi="宋体" w:cs="宋体"/>
          <w:color w:val="000000"/>
          <w:kern w:val="2"/>
          <w:sz w:val="24"/>
          <w:szCs w:val="24"/>
          <w:lang w:val="fr-CH" w:eastAsia="zh-CN" w:bidi="ar-SA"/>
        </w:rPr>
        <w:t>）</w:t>
      </w:r>
      <w:r>
        <w:rPr>
          <w:rFonts w:hint="default" w:ascii="宋体" w:hAnsi="宋体" w:cs="宋体"/>
          <w:color w:val="000000"/>
          <w:kern w:val="2"/>
          <w:sz w:val="24"/>
          <w:szCs w:val="24"/>
          <w:lang w:val="fr-CH" w:eastAsia="zh-CN" w:bidi="ar-SA"/>
        </w:rPr>
        <w:t>联合体协议；</w:t>
      </w:r>
      <w:r>
        <w:rPr>
          <w:rFonts w:hint="eastAsia" w:ascii="宋体" w:hAnsi="宋体" w:cs="宋体"/>
          <w:color w:val="000000"/>
          <w:kern w:val="2"/>
          <w:sz w:val="24"/>
          <w:szCs w:val="24"/>
          <w:lang w:val="fr-CH" w:eastAsia="zh-CN" w:bidi="ar-SA"/>
        </w:rPr>
        <w:t>（</w:t>
      </w:r>
      <w:r>
        <w:rPr>
          <w:rFonts w:hint="eastAsia" w:ascii="宋体" w:hAnsi="宋体" w:cs="宋体"/>
          <w:color w:val="000000"/>
          <w:kern w:val="2"/>
          <w:sz w:val="24"/>
          <w:szCs w:val="24"/>
          <w:lang w:val="en-US" w:eastAsia="zh-CN" w:bidi="ar-SA"/>
        </w:rPr>
        <w:t>格式自拟</w:t>
      </w:r>
      <w:r>
        <w:rPr>
          <w:rFonts w:hint="eastAsia" w:ascii="宋体" w:hAnsi="宋体" w:cs="宋体"/>
          <w:color w:val="000000"/>
          <w:kern w:val="2"/>
          <w:sz w:val="24"/>
          <w:szCs w:val="24"/>
          <w:lang w:val="fr-CH" w:eastAsia="zh-CN" w:bidi="ar-SA"/>
        </w:rPr>
        <w:t>）</w:t>
      </w:r>
    </w:p>
    <w:p>
      <w:pPr>
        <w:numPr>
          <w:ilvl w:val="0"/>
          <w:numId w:val="0"/>
        </w:numPr>
        <w:tabs>
          <w:tab w:val="left" w:pos="640"/>
          <w:tab w:val="left" w:pos="1260"/>
          <w:tab w:val="left" w:pos="1418"/>
        </w:tabs>
        <w:spacing w:line="360" w:lineRule="auto"/>
        <w:ind w:left="645" w:hanging="645"/>
        <w:rPr>
          <w:rFonts w:ascii="宋体" w:hAnsi="宋体" w:cs="宋体"/>
          <w:color w:val="000000"/>
          <w:sz w:val="24"/>
          <w:lang w:val="fr-CH"/>
        </w:rPr>
      </w:pPr>
      <w:r>
        <w:rPr>
          <w:rFonts w:hint="default" w:ascii="宋体" w:hAnsi="宋体" w:cs="宋体"/>
          <w:color w:val="000000"/>
          <w:kern w:val="2"/>
          <w:sz w:val="24"/>
          <w:szCs w:val="24"/>
          <w:lang w:val="fr-CH" w:eastAsia="zh-CN" w:bidi="ar-SA"/>
        </w:rPr>
        <w:t>（</w:t>
      </w:r>
      <w:r>
        <w:rPr>
          <w:rFonts w:hint="eastAsia" w:ascii="宋体" w:hAnsi="宋体" w:cs="宋体"/>
          <w:color w:val="000000"/>
          <w:kern w:val="2"/>
          <w:sz w:val="24"/>
          <w:szCs w:val="24"/>
          <w:lang w:val="en-US" w:eastAsia="zh-CN" w:bidi="ar-SA"/>
        </w:rPr>
        <w:t>3</w:t>
      </w:r>
      <w:r>
        <w:rPr>
          <w:rFonts w:hint="default" w:ascii="宋体" w:hAnsi="宋体" w:cs="宋体"/>
          <w:color w:val="000000"/>
          <w:kern w:val="2"/>
          <w:sz w:val="24"/>
          <w:szCs w:val="24"/>
          <w:lang w:val="fr-CH" w:eastAsia="zh-CN" w:bidi="ar-SA"/>
        </w:rPr>
        <w:t>）</w:t>
      </w:r>
      <w:r>
        <w:rPr>
          <w:rFonts w:hint="eastAsia" w:ascii="宋体" w:hAnsi="宋体" w:cs="宋体"/>
          <w:color w:val="000000"/>
          <w:kern w:val="0"/>
          <w:sz w:val="24"/>
        </w:rPr>
        <w:t>投标人须为经司法行政部门批准成立并有效存续的律师事务所，具备有效的《律师事务所执业许可证》（提供《律师事务所执业许可证》复印件，加盖公章，原件备查）（分所投标须提供《律师事务所分所执业许可证》和总所的《律师事务所执业许可证》</w:t>
      </w:r>
      <w:r>
        <w:rPr>
          <w:rFonts w:hint="eastAsia" w:ascii="宋体" w:hAnsi="宋体" w:cs="宋体"/>
          <w:color w:val="000000"/>
          <w:kern w:val="0"/>
          <w:sz w:val="24"/>
          <w:lang w:eastAsia="zh-CN"/>
        </w:rPr>
        <w:t>，</w:t>
      </w:r>
      <w:r>
        <w:rPr>
          <w:rFonts w:hint="eastAsia" w:ascii="宋体" w:hAnsi="宋体" w:cs="宋体"/>
          <w:color w:val="000000"/>
          <w:kern w:val="0"/>
          <w:sz w:val="24"/>
        </w:rPr>
        <w:t>以及由总所出具的愿为其参与本项目投标、履约等行为承担民事责任的承诺函，承诺函格式自拟，以上材料须提供复印件加盖公章，原件备查）</w:t>
      </w:r>
      <w:r>
        <w:rPr>
          <w:rFonts w:hint="eastAsia" w:ascii="宋体" w:hAnsi="宋体" w:cs="宋体"/>
          <w:color w:val="000000"/>
          <w:sz w:val="24"/>
          <w:lang w:val="fr-CH"/>
        </w:rPr>
        <w:t>；</w:t>
      </w:r>
    </w:p>
    <w:p>
      <w:pPr>
        <w:numPr>
          <w:ilvl w:val="0"/>
          <w:numId w:val="0"/>
        </w:numPr>
        <w:tabs>
          <w:tab w:val="left" w:pos="640"/>
          <w:tab w:val="left" w:pos="1260"/>
          <w:tab w:val="left" w:pos="1418"/>
        </w:tabs>
        <w:spacing w:line="360" w:lineRule="auto"/>
        <w:ind w:left="645" w:hanging="645"/>
        <w:rPr>
          <w:rFonts w:ascii="宋体" w:hAnsi="宋体" w:cs="宋体"/>
          <w:b w:val="0"/>
          <w:bCs w:val="0"/>
          <w:color w:val="000000"/>
          <w:sz w:val="24"/>
          <w:lang w:val="fr-CH"/>
        </w:rPr>
      </w:pPr>
      <w:r>
        <w:rPr>
          <w:rFonts w:hint="default" w:ascii="宋体" w:hAnsi="宋体" w:cs="宋体"/>
          <w:b w:val="0"/>
          <w:bCs w:val="0"/>
          <w:color w:val="000000"/>
          <w:kern w:val="2"/>
          <w:sz w:val="24"/>
          <w:szCs w:val="24"/>
          <w:lang w:val="fr-CH" w:eastAsia="zh-CN" w:bidi="ar-SA"/>
        </w:rPr>
        <w:t>（</w:t>
      </w:r>
      <w:r>
        <w:rPr>
          <w:rFonts w:hint="eastAsia" w:ascii="宋体" w:hAnsi="宋体" w:cs="宋体"/>
          <w:b w:val="0"/>
          <w:bCs w:val="0"/>
          <w:color w:val="000000"/>
          <w:kern w:val="2"/>
          <w:sz w:val="24"/>
          <w:szCs w:val="24"/>
          <w:lang w:val="en-US" w:eastAsia="zh-CN" w:bidi="ar-SA"/>
        </w:rPr>
        <w:t>4</w:t>
      </w:r>
      <w:r>
        <w:rPr>
          <w:rFonts w:hint="default" w:ascii="宋体" w:hAnsi="宋体" w:cs="宋体"/>
          <w:b w:val="0"/>
          <w:bCs w:val="0"/>
          <w:color w:val="000000"/>
          <w:kern w:val="2"/>
          <w:sz w:val="24"/>
          <w:szCs w:val="24"/>
          <w:lang w:val="fr-CH" w:eastAsia="zh-CN" w:bidi="ar-SA"/>
        </w:rPr>
        <w:t>）</w:t>
      </w:r>
      <w:r>
        <w:rPr>
          <w:rFonts w:hint="eastAsia" w:ascii="宋体" w:hAnsi="宋体" w:cs="宋体"/>
          <w:b w:val="0"/>
          <w:bCs w:val="0"/>
          <w:color w:val="000000"/>
          <w:sz w:val="24"/>
          <w:lang w:val="fr-CH"/>
        </w:rPr>
        <w:t>政府采购投标及履约承诺函；</w:t>
      </w:r>
    </w:p>
    <w:p>
      <w:pPr>
        <w:numPr>
          <w:ilvl w:val="0"/>
          <w:numId w:val="0"/>
        </w:numPr>
        <w:tabs>
          <w:tab w:val="left" w:pos="640"/>
          <w:tab w:val="left" w:pos="1260"/>
          <w:tab w:val="left" w:pos="1418"/>
        </w:tabs>
        <w:spacing w:line="360" w:lineRule="auto"/>
        <w:ind w:left="645" w:hanging="645"/>
        <w:rPr>
          <w:rFonts w:hint="eastAsia" w:ascii="宋体" w:hAnsi="宋体" w:cs="宋体"/>
          <w:b w:val="0"/>
          <w:bCs w:val="0"/>
          <w:sz w:val="24"/>
          <w:highlight w:val="none"/>
          <w:lang w:val="fr-CH" w:eastAsia="zh-CN"/>
        </w:rPr>
      </w:pPr>
      <w:r>
        <w:rPr>
          <w:rFonts w:hint="default" w:ascii="宋体" w:hAnsi="宋体" w:cs="宋体"/>
          <w:b w:val="0"/>
          <w:bCs w:val="0"/>
          <w:color w:val="000000"/>
          <w:kern w:val="2"/>
          <w:sz w:val="24"/>
          <w:szCs w:val="24"/>
          <w:lang w:val="fr-CH" w:eastAsia="zh-CN" w:bidi="ar-SA"/>
        </w:rPr>
        <w:t>（</w:t>
      </w:r>
      <w:r>
        <w:rPr>
          <w:rFonts w:hint="eastAsia" w:ascii="宋体" w:hAnsi="宋体" w:cs="宋体"/>
          <w:b w:val="0"/>
          <w:bCs w:val="0"/>
          <w:color w:val="000000"/>
          <w:kern w:val="2"/>
          <w:sz w:val="24"/>
          <w:szCs w:val="24"/>
          <w:lang w:val="en-US" w:eastAsia="zh-CN" w:bidi="ar-SA"/>
        </w:rPr>
        <w:t>5</w:t>
      </w:r>
      <w:r>
        <w:rPr>
          <w:rFonts w:hint="default" w:ascii="宋体" w:hAnsi="宋体" w:cs="宋体"/>
          <w:b w:val="0"/>
          <w:bCs w:val="0"/>
          <w:color w:val="000000"/>
          <w:kern w:val="2"/>
          <w:sz w:val="24"/>
          <w:szCs w:val="24"/>
          <w:lang w:val="fr-CH" w:eastAsia="zh-CN" w:bidi="ar-SA"/>
        </w:rPr>
        <w:t>）</w:t>
      </w:r>
      <w:r>
        <w:rPr>
          <w:rFonts w:hint="eastAsia" w:ascii="宋体" w:hAnsi="宋体" w:cs="宋体"/>
          <w:b w:val="0"/>
          <w:bCs w:val="0"/>
          <w:sz w:val="24"/>
          <w:highlight w:val="none"/>
          <w:lang w:val="fr-CH" w:eastAsia="zh-CN"/>
        </w:rPr>
        <w:t>政府采购违法行为风险知悉确认书</w:t>
      </w:r>
    </w:p>
    <w:p>
      <w:pPr>
        <w:numPr>
          <w:ilvl w:val="0"/>
          <w:numId w:val="0"/>
        </w:numPr>
        <w:tabs>
          <w:tab w:val="left" w:pos="640"/>
          <w:tab w:val="left" w:pos="1260"/>
          <w:tab w:val="left" w:pos="1418"/>
        </w:tabs>
        <w:spacing w:line="360" w:lineRule="auto"/>
        <w:ind w:left="645" w:hanging="645"/>
        <w:rPr>
          <w:rFonts w:ascii="宋体" w:hAnsi="宋体" w:cs="宋体"/>
          <w:b w:val="0"/>
          <w:bCs w:val="0"/>
          <w:color w:val="000000"/>
          <w:sz w:val="24"/>
          <w:lang w:val="fr-CH"/>
        </w:rPr>
      </w:pPr>
      <w:r>
        <w:rPr>
          <w:rFonts w:hint="eastAsia" w:ascii="宋体" w:hAnsi="宋体" w:cs="宋体"/>
          <w:b w:val="0"/>
          <w:bCs w:val="0"/>
          <w:sz w:val="24"/>
          <w:highlight w:val="none"/>
          <w:lang w:val="fr-CH" w:eastAsia="zh-CN"/>
        </w:rPr>
        <w:t>（</w:t>
      </w:r>
      <w:r>
        <w:rPr>
          <w:rFonts w:hint="eastAsia" w:ascii="宋体" w:hAnsi="宋体" w:cs="宋体"/>
          <w:b w:val="0"/>
          <w:bCs w:val="0"/>
          <w:sz w:val="24"/>
          <w:highlight w:val="none"/>
          <w:lang w:val="en-US" w:eastAsia="zh-CN"/>
        </w:rPr>
        <w:t>6</w:t>
      </w:r>
      <w:r>
        <w:rPr>
          <w:rFonts w:hint="eastAsia" w:ascii="宋体" w:hAnsi="宋体" w:cs="宋体"/>
          <w:b w:val="0"/>
          <w:bCs w:val="0"/>
          <w:sz w:val="24"/>
          <w:highlight w:val="none"/>
          <w:lang w:val="fr-CH" w:eastAsia="zh-CN"/>
        </w:rPr>
        <w:t>）</w:t>
      </w:r>
      <w:r>
        <w:rPr>
          <w:rFonts w:hint="eastAsia" w:ascii="宋体" w:hAnsi="宋体" w:cs="宋体"/>
          <w:b w:val="0"/>
          <w:bCs w:val="0"/>
          <w:color w:val="000000"/>
          <w:sz w:val="24"/>
          <w:lang w:val="fr-CH"/>
        </w:rPr>
        <w:t>关于资格的声明函；</w:t>
      </w:r>
    </w:p>
    <w:p>
      <w:pPr>
        <w:numPr>
          <w:ilvl w:val="0"/>
          <w:numId w:val="0"/>
        </w:numPr>
        <w:tabs>
          <w:tab w:val="left" w:pos="640"/>
          <w:tab w:val="left" w:pos="1260"/>
          <w:tab w:val="left" w:pos="1418"/>
        </w:tabs>
        <w:spacing w:line="360" w:lineRule="auto"/>
        <w:ind w:left="645" w:hanging="645"/>
        <w:rPr>
          <w:rFonts w:hint="eastAsia" w:ascii="宋体" w:hAnsi="宋体" w:cs="宋体"/>
          <w:b w:val="0"/>
          <w:bCs w:val="0"/>
          <w:kern w:val="2"/>
          <w:sz w:val="24"/>
          <w:szCs w:val="24"/>
          <w:highlight w:val="none"/>
          <w:lang w:val="fr-CH"/>
        </w:rPr>
      </w:pPr>
      <w:r>
        <w:rPr>
          <w:rFonts w:hint="default" w:ascii="宋体" w:hAnsi="宋体" w:cs="宋体"/>
          <w:b w:val="0"/>
          <w:bCs w:val="0"/>
          <w:color w:val="000000"/>
          <w:kern w:val="2"/>
          <w:sz w:val="24"/>
          <w:szCs w:val="24"/>
          <w:lang w:val="fr-CH" w:eastAsia="zh-CN" w:bidi="ar-SA"/>
        </w:rPr>
        <w:t>（</w:t>
      </w:r>
      <w:r>
        <w:rPr>
          <w:rFonts w:hint="eastAsia" w:ascii="宋体" w:hAnsi="宋体" w:cs="宋体"/>
          <w:b w:val="0"/>
          <w:bCs w:val="0"/>
          <w:color w:val="000000"/>
          <w:kern w:val="2"/>
          <w:sz w:val="24"/>
          <w:szCs w:val="24"/>
          <w:lang w:val="en-US" w:eastAsia="zh-CN" w:bidi="ar-SA"/>
        </w:rPr>
        <w:t>7</w:t>
      </w:r>
      <w:r>
        <w:rPr>
          <w:rFonts w:hint="default" w:ascii="宋体" w:hAnsi="宋体" w:cs="宋体"/>
          <w:b w:val="0"/>
          <w:bCs w:val="0"/>
          <w:color w:val="000000"/>
          <w:kern w:val="2"/>
          <w:sz w:val="24"/>
          <w:szCs w:val="24"/>
          <w:lang w:val="fr-CH" w:eastAsia="zh-CN" w:bidi="ar-SA"/>
        </w:rPr>
        <w:t>）</w:t>
      </w:r>
      <w:r>
        <w:rPr>
          <w:rFonts w:hint="eastAsia" w:ascii="宋体" w:hAnsi="宋体" w:cs="宋体"/>
          <w:b w:val="0"/>
          <w:bCs w:val="0"/>
          <w:kern w:val="2"/>
          <w:sz w:val="24"/>
          <w:szCs w:val="24"/>
          <w:highlight w:val="none"/>
          <w:lang w:val="fr-CH"/>
        </w:rPr>
        <w:t>企业诚信声明与承诺；</w:t>
      </w:r>
    </w:p>
    <w:p>
      <w:pPr>
        <w:numPr>
          <w:ilvl w:val="0"/>
          <w:numId w:val="0"/>
        </w:numPr>
        <w:tabs>
          <w:tab w:val="left" w:pos="640"/>
          <w:tab w:val="left" w:pos="1260"/>
          <w:tab w:val="left" w:pos="1418"/>
        </w:tabs>
        <w:spacing w:line="360" w:lineRule="auto"/>
        <w:ind w:left="645" w:hanging="645"/>
        <w:rPr>
          <w:rFonts w:ascii="宋体" w:hAnsi="宋体" w:cs="宋体"/>
          <w:b w:val="0"/>
          <w:bCs w:val="0"/>
          <w:color w:val="000000"/>
          <w:sz w:val="24"/>
          <w:lang w:val="fr-CH"/>
        </w:rPr>
      </w:pPr>
      <w:r>
        <w:rPr>
          <w:rFonts w:hint="eastAsia" w:ascii="宋体" w:hAnsi="宋体" w:cs="宋体"/>
          <w:b w:val="0"/>
          <w:bCs w:val="0"/>
          <w:kern w:val="2"/>
          <w:sz w:val="24"/>
          <w:szCs w:val="24"/>
          <w:highlight w:val="none"/>
          <w:lang w:val="fr-CH" w:eastAsia="zh-CN"/>
        </w:rPr>
        <w:t>（</w:t>
      </w:r>
      <w:r>
        <w:rPr>
          <w:rFonts w:hint="eastAsia" w:ascii="宋体" w:hAnsi="宋体" w:cs="宋体"/>
          <w:b w:val="0"/>
          <w:bCs w:val="0"/>
          <w:kern w:val="2"/>
          <w:sz w:val="24"/>
          <w:szCs w:val="24"/>
          <w:highlight w:val="none"/>
          <w:lang w:val="en-US" w:eastAsia="zh-CN"/>
        </w:rPr>
        <w:t>8</w:t>
      </w:r>
      <w:r>
        <w:rPr>
          <w:rFonts w:hint="eastAsia" w:ascii="宋体" w:hAnsi="宋体" w:cs="宋体"/>
          <w:b w:val="0"/>
          <w:bCs w:val="0"/>
          <w:kern w:val="2"/>
          <w:sz w:val="24"/>
          <w:szCs w:val="24"/>
          <w:highlight w:val="none"/>
          <w:lang w:val="fr-CH" w:eastAsia="zh-CN"/>
        </w:rPr>
        <w:t>）法定代表人/单位负责人证明书及身份证明</w:t>
      </w:r>
      <w:r>
        <w:rPr>
          <w:rFonts w:hint="eastAsia" w:ascii="宋体" w:hAnsi="宋体" w:cs="宋体"/>
          <w:b w:val="0"/>
          <w:bCs w:val="0"/>
          <w:color w:val="000000"/>
          <w:sz w:val="24"/>
          <w:lang w:val="fr-CH"/>
        </w:rPr>
        <w:t>；</w:t>
      </w:r>
    </w:p>
    <w:p>
      <w:pPr>
        <w:numPr>
          <w:ilvl w:val="0"/>
          <w:numId w:val="0"/>
        </w:numPr>
        <w:tabs>
          <w:tab w:val="left" w:pos="640"/>
          <w:tab w:val="left" w:pos="1260"/>
          <w:tab w:val="left" w:pos="1418"/>
        </w:tabs>
        <w:spacing w:line="360" w:lineRule="auto"/>
        <w:ind w:left="845" w:hanging="845"/>
        <w:rPr>
          <w:rFonts w:ascii="宋体" w:hAnsi="宋体" w:cs="宋体"/>
          <w:b w:val="0"/>
          <w:bCs w:val="0"/>
          <w:color w:val="000000"/>
          <w:sz w:val="24"/>
          <w:lang w:val="fr-CH"/>
        </w:rPr>
      </w:pPr>
      <w:r>
        <w:rPr>
          <w:rFonts w:hint="default" w:ascii="宋体" w:hAnsi="宋体" w:cs="宋体"/>
          <w:b w:val="0"/>
          <w:bCs w:val="0"/>
          <w:color w:val="000000"/>
          <w:kern w:val="2"/>
          <w:sz w:val="24"/>
          <w:szCs w:val="24"/>
          <w:lang w:val="fr-CH" w:eastAsia="zh-CN" w:bidi="ar-SA"/>
        </w:rPr>
        <w:t>（</w:t>
      </w:r>
      <w:r>
        <w:rPr>
          <w:rFonts w:hint="eastAsia" w:ascii="宋体" w:hAnsi="宋体" w:cs="宋体"/>
          <w:b w:val="0"/>
          <w:bCs w:val="0"/>
          <w:color w:val="000000"/>
          <w:kern w:val="2"/>
          <w:sz w:val="24"/>
          <w:szCs w:val="24"/>
          <w:lang w:val="en-US" w:eastAsia="zh-CN" w:bidi="ar-SA"/>
        </w:rPr>
        <w:t>9</w:t>
      </w:r>
      <w:r>
        <w:rPr>
          <w:rFonts w:hint="default" w:ascii="宋体" w:hAnsi="宋体" w:cs="宋体"/>
          <w:b w:val="0"/>
          <w:bCs w:val="0"/>
          <w:color w:val="000000"/>
          <w:kern w:val="2"/>
          <w:sz w:val="24"/>
          <w:szCs w:val="24"/>
          <w:lang w:val="fr-CH" w:eastAsia="zh-CN" w:bidi="ar-SA"/>
        </w:rPr>
        <w:t>）法定代表人/单位负责人授权书及身份证明</w:t>
      </w:r>
      <w:r>
        <w:rPr>
          <w:rFonts w:hint="eastAsia" w:ascii="宋体" w:hAnsi="宋体" w:cs="宋体"/>
          <w:b w:val="0"/>
          <w:bCs w:val="0"/>
          <w:color w:val="000000"/>
          <w:sz w:val="24"/>
          <w:lang w:val="fr-CH"/>
        </w:rPr>
        <w:t>；</w:t>
      </w:r>
    </w:p>
    <w:p>
      <w:pPr>
        <w:numPr>
          <w:ilvl w:val="0"/>
          <w:numId w:val="0"/>
        </w:numPr>
        <w:tabs>
          <w:tab w:val="left" w:pos="640"/>
          <w:tab w:val="left" w:pos="1260"/>
          <w:tab w:val="left" w:pos="1418"/>
        </w:tabs>
        <w:spacing w:line="360" w:lineRule="auto"/>
        <w:ind w:left="845" w:hanging="845"/>
        <w:rPr>
          <w:rFonts w:ascii="宋体" w:hAnsi="宋体" w:cs="宋体"/>
          <w:b w:val="0"/>
          <w:bCs w:val="0"/>
          <w:color w:val="000000"/>
          <w:sz w:val="24"/>
          <w:lang w:val="fr-CH"/>
        </w:rPr>
      </w:pPr>
      <w:r>
        <w:rPr>
          <w:rFonts w:hint="default" w:ascii="宋体" w:hAnsi="宋体" w:cs="宋体"/>
          <w:b w:val="0"/>
          <w:bCs w:val="0"/>
          <w:color w:val="000000"/>
          <w:kern w:val="2"/>
          <w:sz w:val="24"/>
          <w:szCs w:val="24"/>
          <w:lang w:val="fr-CH" w:eastAsia="zh-CN" w:bidi="ar-SA"/>
        </w:rPr>
        <w:t>（</w:t>
      </w:r>
      <w:r>
        <w:rPr>
          <w:rFonts w:hint="eastAsia" w:ascii="宋体" w:hAnsi="宋体" w:cs="宋体"/>
          <w:b w:val="0"/>
          <w:bCs w:val="0"/>
          <w:color w:val="000000"/>
          <w:kern w:val="2"/>
          <w:sz w:val="24"/>
          <w:szCs w:val="24"/>
          <w:lang w:val="en-US" w:eastAsia="zh-CN" w:bidi="ar-SA"/>
        </w:rPr>
        <w:t>10</w:t>
      </w:r>
      <w:r>
        <w:rPr>
          <w:rFonts w:hint="default" w:ascii="宋体" w:hAnsi="宋体" w:cs="宋体"/>
          <w:b w:val="0"/>
          <w:bCs w:val="0"/>
          <w:color w:val="000000"/>
          <w:kern w:val="2"/>
          <w:sz w:val="24"/>
          <w:szCs w:val="24"/>
          <w:lang w:val="fr-CH" w:eastAsia="zh-CN" w:bidi="ar-SA"/>
        </w:rPr>
        <w:t>）</w:t>
      </w:r>
      <w:r>
        <w:rPr>
          <w:rFonts w:hint="eastAsia" w:ascii="宋体" w:hAnsi="宋体" w:cs="宋体"/>
          <w:b w:val="0"/>
          <w:bCs w:val="0"/>
          <w:color w:val="000000"/>
          <w:sz w:val="24"/>
          <w:lang w:val="fr-CH"/>
        </w:rPr>
        <w:t>招标代理服务费承诺书；</w:t>
      </w:r>
    </w:p>
    <w:p>
      <w:pPr>
        <w:numPr>
          <w:ilvl w:val="0"/>
          <w:numId w:val="0"/>
        </w:numPr>
        <w:tabs>
          <w:tab w:val="left" w:pos="640"/>
          <w:tab w:val="left" w:pos="1260"/>
          <w:tab w:val="left" w:pos="1418"/>
        </w:tabs>
        <w:spacing w:line="360" w:lineRule="auto"/>
        <w:ind w:left="845" w:hanging="845"/>
        <w:rPr>
          <w:rFonts w:ascii="宋体" w:hAnsi="宋体" w:cs="宋体"/>
          <w:b w:val="0"/>
          <w:bCs w:val="0"/>
          <w:color w:val="000000"/>
          <w:sz w:val="24"/>
          <w:lang w:val="fr-CH"/>
        </w:rPr>
      </w:pPr>
      <w:r>
        <w:rPr>
          <w:rFonts w:hint="default" w:ascii="宋体" w:hAnsi="宋体" w:cs="宋体"/>
          <w:b w:val="0"/>
          <w:bCs w:val="0"/>
          <w:color w:val="000000"/>
          <w:kern w:val="2"/>
          <w:sz w:val="24"/>
          <w:szCs w:val="24"/>
          <w:lang w:val="fr-CH" w:eastAsia="zh-CN" w:bidi="ar-SA"/>
        </w:rPr>
        <w:t>（</w:t>
      </w:r>
      <w:r>
        <w:rPr>
          <w:rFonts w:hint="eastAsia" w:ascii="宋体" w:hAnsi="宋体" w:cs="宋体"/>
          <w:b w:val="0"/>
          <w:bCs w:val="0"/>
          <w:color w:val="000000"/>
          <w:kern w:val="2"/>
          <w:sz w:val="24"/>
          <w:szCs w:val="24"/>
          <w:lang w:val="en-US" w:eastAsia="zh-CN" w:bidi="ar-SA"/>
        </w:rPr>
        <w:t>11</w:t>
      </w:r>
      <w:r>
        <w:rPr>
          <w:rFonts w:hint="default" w:ascii="宋体" w:hAnsi="宋体" w:cs="宋体"/>
          <w:b w:val="0"/>
          <w:bCs w:val="0"/>
          <w:color w:val="000000"/>
          <w:kern w:val="2"/>
          <w:sz w:val="24"/>
          <w:szCs w:val="24"/>
          <w:lang w:val="fr-CH" w:eastAsia="zh-CN" w:bidi="ar-SA"/>
        </w:rPr>
        <w:t>）</w:t>
      </w:r>
      <w:r>
        <w:rPr>
          <w:rFonts w:hint="eastAsia" w:ascii="宋体" w:hAnsi="宋体" w:cs="宋体"/>
          <w:b w:val="0"/>
          <w:bCs w:val="0"/>
          <w:color w:val="000000"/>
          <w:sz w:val="24"/>
          <w:lang w:val="fr-CH"/>
        </w:rPr>
        <w:t>投标人简介</w:t>
      </w:r>
      <w:r>
        <w:rPr>
          <w:rFonts w:hint="eastAsia" w:ascii="宋体" w:hAnsi="宋体" w:cs="宋体"/>
          <w:b w:val="0"/>
          <w:bCs w:val="0"/>
          <w:sz w:val="24"/>
          <w:highlight w:val="none"/>
          <w:lang w:val="fr-CH" w:eastAsia="zh-CN"/>
        </w:rPr>
        <w:t>（供应商基本情况表）</w:t>
      </w:r>
      <w:r>
        <w:rPr>
          <w:rFonts w:hint="eastAsia" w:ascii="宋体" w:hAnsi="宋体" w:cs="宋体"/>
          <w:b w:val="0"/>
          <w:bCs w:val="0"/>
          <w:color w:val="000000"/>
          <w:sz w:val="24"/>
          <w:lang w:val="fr-CH"/>
        </w:rPr>
        <w:t>；</w:t>
      </w:r>
    </w:p>
    <w:p>
      <w:pPr>
        <w:numPr>
          <w:ilvl w:val="0"/>
          <w:numId w:val="0"/>
        </w:numPr>
        <w:tabs>
          <w:tab w:val="left" w:pos="640"/>
          <w:tab w:val="left" w:pos="840"/>
          <w:tab w:val="left" w:pos="1260"/>
          <w:tab w:val="left" w:pos="1418"/>
        </w:tabs>
        <w:spacing w:line="360" w:lineRule="auto"/>
        <w:ind w:left="845" w:hanging="845"/>
        <w:rPr>
          <w:rFonts w:hint="eastAsia" w:ascii="宋体" w:hAnsi="宋体" w:cs="宋体"/>
          <w:b w:val="0"/>
          <w:bCs w:val="0"/>
          <w:color w:val="auto"/>
          <w:sz w:val="24"/>
          <w:lang w:val="fr-CH"/>
        </w:rPr>
      </w:pPr>
      <w:r>
        <w:rPr>
          <w:rFonts w:hint="default" w:ascii="宋体" w:hAnsi="宋体" w:cs="宋体"/>
          <w:b w:val="0"/>
          <w:bCs w:val="0"/>
          <w:color w:val="auto"/>
          <w:kern w:val="2"/>
          <w:sz w:val="24"/>
          <w:szCs w:val="24"/>
          <w:lang w:val="fr-CH" w:eastAsia="zh-CN" w:bidi="ar-SA"/>
        </w:rPr>
        <w:t>（</w:t>
      </w:r>
      <w:r>
        <w:rPr>
          <w:rFonts w:hint="eastAsia" w:ascii="宋体" w:hAnsi="宋体" w:cs="宋体"/>
          <w:b w:val="0"/>
          <w:bCs w:val="0"/>
          <w:color w:val="auto"/>
          <w:kern w:val="2"/>
          <w:sz w:val="24"/>
          <w:szCs w:val="24"/>
          <w:lang w:val="en-US" w:eastAsia="zh-CN" w:bidi="ar-SA"/>
        </w:rPr>
        <w:t>12</w:t>
      </w:r>
      <w:r>
        <w:rPr>
          <w:rFonts w:hint="default" w:ascii="宋体" w:hAnsi="宋体" w:cs="宋体"/>
          <w:b w:val="0"/>
          <w:bCs w:val="0"/>
          <w:color w:val="auto"/>
          <w:kern w:val="2"/>
          <w:sz w:val="24"/>
          <w:szCs w:val="24"/>
          <w:lang w:val="fr-CH" w:eastAsia="zh-CN" w:bidi="ar-SA"/>
        </w:rPr>
        <w:t>）拟派服务团队负责人（仅1人）</w:t>
      </w:r>
      <w:r>
        <w:rPr>
          <w:rFonts w:hint="eastAsia" w:ascii="宋体" w:hAnsi="宋体" w:cs="宋体"/>
          <w:b w:val="0"/>
          <w:bCs w:val="0"/>
          <w:color w:val="auto"/>
          <w:sz w:val="24"/>
          <w:lang w:val="fr-CH"/>
        </w:rPr>
        <w:t>；</w:t>
      </w:r>
    </w:p>
    <w:p>
      <w:pPr>
        <w:numPr>
          <w:ilvl w:val="0"/>
          <w:numId w:val="0"/>
        </w:numPr>
        <w:tabs>
          <w:tab w:val="left" w:pos="640"/>
          <w:tab w:val="left" w:pos="840"/>
          <w:tab w:val="left" w:pos="1260"/>
          <w:tab w:val="left" w:pos="1418"/>
        </w:tabs>
        <w:spacing w:line="360" w:lineRule="auto"/>
        <w:ind w:left="845" w:hanging="845"/>
        <w:rPr>
          <w:rFonts w:hint="eastAsia" w:ascii="宋体" w:hAnsi="宋体" w:cs="宋体"/>
          <w:b w:val="0"/>
          <w:bCs w:val="0"/>
          <w:color w:val="auto"/>
          <w:sz w:val="24"/>
          <w:lang w:val="fr-CH"/>
        </w:rPr>
      </w:pPr>
      <w:r>
        <w:rPr>
          <w:rFonts w:hint="default" w:ascii="宋体" w:hAnsi="宋体" w:cs="宋体"/>
          <w:b w:val="0"/>
          <w:bCs w:val="0"/>
          <w:color w:val="auto"/>
          <w:kern w:val="2"/>
          <w:sz w:val="24"/>
          <w:szCs w:val="24"/>
          <w:lang w:val="fr-CH" w:eastAsia="zh-CN" w:bidi="ar-SA"/>
        </w:rPr>
        <w:t>（1</w:t>
      </w:r>
      <w:r>
        <w:rPr>
          <w:rFonts w:hint="eastAsia" w:ascii="宋体" w:hAnsi="宋体" w:cs="宋体"/>
          <w:b w:val="0"/>
          <w:bCs w:val="0"/>
          <w:color w:val="auto"/>
          <w:kern w:val="2"/>
          <w:sz w:val="24"/>
          <w:szCs w:val="24"/>
          <w:lang w:val="en-US" w:eastAsia="zh-CN" w:bidi="ar-SA"/>
        </w:rPr>
        <w:t>3</w:t>
      </w:r>
      <w:r>
        <w:rPr>
          <w:rFonts w:hint="default" w:ascii="宋体" w:hAnsi="宋体" w:cs="宋体"/>
          <w:b w:val="0"/>
          <w:bCs w:val="0"/>
          <w:color w:val="auto"/>
          <w:kern w:val="2"/>
          <w:sz w:val="24"/>
          <w:szCs w:val="24"/>
          <w:lang w:val="fr-CH" w:eastAsia="zh-CN" w:bidi="ar-SA"/>
        </w:rPr>
        <w:t>）拟派服务团队核心人员（不含负责人）</w:t>
      </w:r>
      <w:r>
        <w:rPr>
          <w:rFonts w:hint="eastAsia" w:ascii="宋体" w:hAnsi="宋体" w:cs="宋体"/>
          <w:b w:val="0"/>
          <w:bCs w:val="0"/>
          <w:color w:val="auto"/>
          <w:sz w:val="24"/>
          <w:lang w:val="fr-CH"/>
        </w:rPr>
        <w:t>；</w:t>
      </w:r>
    </w:p>
    <w:p>
      <w:pPr>
        <w:numPr>
          <w:ilvl w:val="0"/>
          <w:numId w:val="0"/>
        </w:numPr>
        <w:tabs>
          <w:tab w:val="left" w:pos="640"/>
          <w:tab w:val="left" w:pos="840"/>
          <w:tab w:val="left" w:pos="1260"/>
          <w:tab w:val="left" w:pos="1418"/>
        </w:tabs>
        <w:spacing w:line="360" w:lineRule="auto"/>
        <w:ind w:left="845" w:hanging="845"/>
        <w:rPr>
          <w:rFonts w:ascii="宋体" w:hAnsi="宋体" w:cs="宋体"/>
          <w:b w:val="0"/>
          <w:bCs w:val="0"/>
          <w:color w:val="auto"/>
          <w:sz w:val="24"/>
          <w:lang w:val="fr-CH"/>
        </w:rPr>
      </w:pPr>
      <w:r>
        <w:rPr>
          <w:rFonts w:hint="default" w:ascii="宋体" w:hAnsi="宋体" w:cs="宋体"/>
          <w:b w:val="0"/>
          <w:bCs w:val="0"/>
          <w:color w:val="auto"/>
          <w:kern w:val="2"/>
          <w:sz w:val="24"/>
          <w:szCs w:val="24"/>
          <w:lang w:val="fr-CH" w:eastAsia="zh-CN" w:bidi="ar-SA"/>
        </w:rPr>
        <w:t>（1</w:t>
      </w:r>
      <w:r>
        <w:rPr>
          <w:rFonts w:hint="eastAsia" w:ascii="宋体" w:hAnsi="宋体" w:cs="宋体"/>
          <w:b w:val="0"/>
          <w:bCs w:val="0"/>
          <w:color w:val="auto"/>
          <w:kern w:val="2"/>
          <w:sz w:val="24"/>
          <w:szCs w:val="24"/>
          <w:lang w:val="en-US" w:eastAsia="zh-CN" w:bidi="ar-SA"/>
        </w:rPr>
        <w:t>4</w:t>
      </w:r>
      <w:r>
        <w:rPr>
          <w:rFonts w:hint="default" w:ascii="宋体" w:hAnsi="宋体" w:cs="宋体"/>
          <w:b w:val="0"/>
          <w:bCs w:val="0"/>
          <w:color w:val="auto"/>
          <w:kern w:val="2"/>
          <w:sz w:val="24"/>
          <w:szCs w:val="24"/>
          <w:lang w:val="fr-CH" w:eastAsia="zh-CN" w:bidi="ar-SA"/>
        </w:rPr>
        <w:t>）行政诉讼或复议业绩</w:t>
      </w:r>
      <w:r>
        <w:rPr>
          <w:rFonts w:hint="eastAsia" w:ascii="宋体" w:hAnsi="宋体" w:cs="宋体"/>
          <w:b w:val="0"/>
          <w:bCs w:val="0"/>
          <w:color w:val="auto"/>
          <w:sz w:val="24"/>
          <w:lang w:val="fr-CH"/>
        </w:rPr>
        <w:t>；</w:t>
      </w:r>
    </w:p>
    <w:p>
      <w:pPr>
        <w:numPr>
          <w:ilvl w:val="0"/>
          <w:numId w:val="0"/>
        </w:numPr>
        <w:tabs>
          <w:tab w:val="left" w:pos="640"/>
          <w:tab w:val="left" w:pos="840"/>
          <w:tab w:val="left" w:pos="1260"/>
          <w:tab w:val="left" w:pos="1418"/>
        </w:tabs>
        <w:spacing w:line="360" w:lineRule="auto"/>
        <w:ind w:left="845" w:hanging="845"/>
        <w:rPr>
          <w:rFonts w:ascii="宋体" w:hAnsi="宋体" w:cs="宋体"/>
          <w:b w:val="0"/>
          <w:bCs w:val="0"/>
          <w:color w:val="auto"/>
          <w:sz w:val="24"/>
          <w:lang w:val="fr-CH"/>
        </w:rPr>
      </w:pPr>
      <w:r>
        <w:rPr>
          <w:rFonts w:hint="default" w:ascii="宋体" w:hAnsi="宋体" w:cs="宋体"/>
          <w:b w:val="0"/>
          <w:bCs w:val="0"/>
          <w:color w:val="auto"/>
          <w:kern w:val="2"/>
          <w:sz w:val="24"/>
          <w:szCs w:val="24"/>
          <w:lang w:val="fr-CH" w:eastAsia="zh-CN" w:bidi="ar-SA"/>
        </w:rPr>
        <w:t>（1</w:t>
      </w:r>
      <w:r>
        <w:rPr>
          <w:rFonts w:hint="eastAsia" w:ascii="宋体" w:hAnsi="宋体" w:cs="宋体"/>
          <w:b w:val="0"/>
          <w:bCs w:val="0"/>
          <w:color w:val="auto"/>
          <w:kern w:val="2"/>
          <w:sz w:val="24"/>
          <w:szCs w:val="24"/>
          <w:lang w:val="en-US" w:eastAsia="zh-CN" w:bidi="ar-SA"/>
        </w:rPr>
        <w:t>5</w:t>
      </w:r>
      <w:r>
        <w:rPr>
          <w:rFonts w:hint="default" w:ascii="宋体" w:hAnsi="宋体" w:cs="宋体"/>
          <w:b w:val="0"/>
          <w:bCs w:val="0"/>
          <w:color w:val="auto"/>
          <w:kern w:val="2"/>
          <w:sz w:val="24"/>
          <w:szCs w:val="24"/>
          <w:lang w:val="fr-CH" w:eastAsia="zh-CN" w:bidi="ar-SA"/>
        </w:rPr>
        <w:t>）境外（含港澳台）规则衔接类课题</w:t>
      </w:r>
      <w:r>
        <w:rPr>
          <w:rFonts w:hint="eastAsia" w:ascii="宋体" w:hAnsi="宋体" w:cs="宋体"/>
          <w:b w:val="0"/>
          <w:bCs w:val="0"/>
          <w:color w:val="auto"/>
          <w:sz w:val="24"/>
          <w:lang w:val="fr-CH"/>
        </w:rPr>
        <w:t>；</w:t>
      </w:r>
    </w:p>
    <w:p>
      <w:pPr>
        <w:numPr>
          <w:ilvl w:val="0"/>
          <w:numId w:val="0"/>
        </w:numPr>
        <w:tabs>
          <w:tab w:val="left" w:pos="640"/>
          <w:tab w:val="left" w:pos="840"/>
          <w:tab w:val="left" w:pos="1260"/>
          <w:tab w:val="left" w:pos="1418"/>
        </w:tabs>
        <w:spacing w:line="360" w:lineRule="auto"/>
        <w:ind w:left="845" w:hanging="845"/>
        <w:rPr>
          <w:rFonts w:ascii="宋体" w:hAnsi="宋体" w:cs="宋体"/>
          <w:b w:val="0"/>
          <w:bCs w:val="0"/>
          <w:color w:val="auto"/>
          <w:sz w:val="24"/>
          <w:lang w:val="fr-CH"/>
        </w:rPr>
      </w:pPr>
      <w:r>
        <w:rPr>
          <w:rFonts w:hint="default" w:ascii="宋体" w:hAnsi="宋体" w:cs="宋体"/>
          <w:b w:val="0"/>
          <w:bCs w:val="0"/>
          <w:color w:val="auto"/>
          <w:kern w:val="2"/>
          <w:sz w:val="24"/>
          <w:szCs w:val="24"/>
          <w:lang w:val="fr-CH" w:eastAsia="zh-CN" w:bidi="ar-SA"/>
        </w:rPr>
        <w:t>（1</w:t>
      </w:r>
      <w:r>
        <w:rPr>
          <w:rFonts w:hint="eastAsia" w:ascii="宋体" w:hAnsi="宋体" w:cs="宋体"/>
          <w:b w:val="0"/>
          <w:bCs w:val="0"/>
          <w:color w:val="auto"/>
          <w:kern w:val="2"/>
          <w:sz w:val="24"/>
          <w:szCs w:val="24"/>
          <w:lang w:val="en-US" w:eastAsia="zh-CN" w:bidi="ar-SA"/>
        </w:rPr>
        <w:t>6</w:t>
      </w:r>
      <w:r>
        <w:rPr>
          <w:rFonts w:hint="default" w:ascii="宋体" w:hAnsi="宋体" w:cs="宋体"/>
          <w:b w:val="0"/>
          <w:bCs w:val="0"/>
          <w:color w:val="auto"/>
          <w:kern w:val="2"/>
          <w:sz w:val="24"/>
          <w:szCs w:val="24"/>
          <w:lang w:val="fr-CH" w:eastAsia="zh-CN" w:bidi="ar-SA"/>
        </w:rPr>
        <w:t>）涉外法律服务业绩</w:t>
      </w:r>
      <w:r>
        <w:rPr>
          <w:rFonts w:hint="eastAsia" w:ascii="宋体" w:hAnsi="宋体" w:cs="宋体"/>
          <w:b w:val="0"/>
          <w:bCs w:val="0"/>
          <w:color w:val="auto"/>
          <w:sz w:val="24"/>
          <w:lang w:val="fr-CH"/>
        </w:rPr>
        <w:t>；</w:t>
      </w:r>
    </w:p>
    <w:p>
      <w:pPr>
        <w:numPr>
          <w:ilvl w:val="0"/>
          <w:numId w:val="0"/>
        </w:numPr>
        <w:tabs>
          <w:tab w:val="left" w:pos="640"/>
          <w:tab w:val="left" w:pos="840"/>
          <w:tab w:val="left" w:pos="1260"/>
          <w:tab w:val="left" w:pos="1418"/>
        </w:tabs>
        <w:spacing w:line="360" w:lineRule="auto"/>
        <w:ind w:left="845" w:hanging="845"/>
        <w:rPr>
          <w:rFonts w:ascii="宋体" w:hAnsi="宋体" w:cs="宋体"/>
          <w:color w:val="auto"/>
          <w:sz w:val="24"/>
          <w:lang w:val="fr-CH"/>
        </w:rPr>
      </w:pPr>
      <w:r>
        <w:rPr>
          <w:rFonts w:hint="default" w:ascii="宋体" w:hAnsi="宋体" w:cs="宋体"/>
          <w:b w:val="0"/>
          <w:bCs w:val="0"/>
          <w:color w:val="auto"/>
          <w:kern w:val="2"/>
          <w:sz w:val="24"/>
          <w:szCs w:val="24"/>
          <w:lang w:val="fr-CH" w:eastAsia="zh-CN" w:bidi="ar-SA"/>
        </w:rPr>
        <w:t>（1</w:t>
      </w:r>
      <w:r>
        <w:rPr>
          <w:rFonts w:hint="eastAsia" w:ascii="宋体" w:hAnsi="宋体" w:cs="宋体"/>
          <w:b w:val="0"/>
          <w:bCs w:val="0"/>
          <w:color w:val="auto"/>
          <w:kern w:val="2"/>
          <w:sz w:val="24"/>
          <w:szCs w:val="24"/>
          <w:lang w:val="en-US" w:eastAsia="zh-CN" w:bidi="ar-SA"/>
        </w:rPr>
        <w:t>7</w:t>
      </w:r>
      <w:r>
        <w:rPr>
          <w:rFonts w:hint="default" w:ascii="宋体" w:hAnsi="宋体" w:cs="宋体"/>
          <w:b w:val="0"/>
          <w:bCs w:val="0"/>
          <w:color w:val="auto"/>
          <w:kern w:val="2"/>
          <w:sz w:val="24"/>
          <w:szCs w:val="24"/>
          <w:lang w:val="fr-CH" w:eastAsia="zh-CN" w:bidi="ar-SA"/>
        </w:rPr>
        <w:t>）合</w:t>
      </w:r>
      <w:r>
        <w:rPr>
          <w:rFonts w:hint="default" w:ascii="宋体" w:hAnsi="宋体" w:cs="宋体"/>
          <w:color w:val="auto"/>
          <w:kern w:val="2"/>
          <w:sz w:val="24"/>
          <w:szCs w:val="24"/>
          <w:lang w:val="fr-CH" w:eastAsia="zh-CN" w:bidi="ar-SA"/>
        </w:rPr>
        <w:t>规法律服务业绩</w:t>
      </w:r>
      <w:r>
        <w:rPr>
          <w:rFonts w:hint="eastAsia" w:ascii="宋体" w:hAnsi="宋体" w:cs="宋体"/>
          <w:color w:val="auto"/>
          <w:sz w:val="24"/>
          <w:lang w:val="fr-CH"/>
        </w:rPr>
        <w:t>；</w:t>
      </w:r>
    </w:p>
    <w:p>
      <w:pPr>
        <w:numPr>
          <w:ilvl w:val="0"/>
          <w:numId w:val="0"/>
        </w:numPr>
        <w:tabs>
          <w:tab w:val="left" w:pos="640"/>
          <w:tab w:val="left" w:pos="840"/>
          <w:tab w:val="left" w:pos="1260"/>
          <w:tab w:val="left" w:pos="1418"/>
        </w:tabs>
        <w:spacing w:line="360" w:lineRule="auto"/>
        <w:ind w:left="845" w:hanging="845"/>
        <w:rPr>
          <w:rFonts w:ascii="宋体" w:hAnsi="宋体" w:cs="宋体"/>
          <w:color w:val="000000"/>
          <w:sz w:val="24"/>
          <w:lang w:val="fr-CH"/>
        </w:rPr>
      </w:pPr>
      <w:r>
        <w:rPr>
          <w:rFonts w:hint="default" w:ascii="宋体" w:hAnsi="宋体" w:cs="宋体"/>
          <w:color w:val="000000"/>
          <w:kern w:val="2"/>
          <w:sz w:val="24"/>
          <w:szCs w:val="24"/>
          <w:lang w:val="fr-CH" w:eastAsia="zh-CN" w:bidi="ar-SA"/>
        </w:rPr>
        <w:t>（1</w:t>
      </w:r>
      <w:r>
        <w:rPr>
          <w:rFonts w:hint="eastAsia" w:ascii="宋体" w:hAnsi="宋体" w:cs="宋体"/>
          <w:color w:val="000000"/>
          <w:kern w:val="2"/>
          <w:sz w:val="24"/>
          <w:szCs w:val="24"/>
          <w:lang w:val="en-US" w:eastAsia="zh-CN" w:bidi="ar-SA"/>
        </w:rPr>
        <w:t>8</w:t>
      </w:r>
      <w:r>
        <w:rPr>
          <w:rFonts w:hint="default" w:ascii="宋体" w:hAnsi="宋体" w:cs="宋体"/>
          <w:color w:val="000000"/>
          <w:kern w:val="2"/>
          <w:sz w:val="24"/>
          <w:szCs w:val="24"/>
          <w:lang w:val="fr-CH" w:eastAsia="zh-CN" w:bidi="ar-SA"/>
        </w:rPr>
        <w:t>）承诺服务响应时间</w:t>
      </w:r>
      <w:r>
        <w:rPr>
          <w:rFonts w:hint="eastAsia" w:ascii="宋体" w:hAnsi="宋体" w:cs="宋体"/>
          <w:color w:val="000000"/>
          <w:sz w:val="24"/>
          <w:lang w:val="fr-CH"/>
        </w:rPr>
        <w:t>；</w:t>
      </w:r>
    </w:p>
    <w:p>
      <w:pPr>
        <w:numPr>
          <w:ilvl w:val="0"/>
          <w:numId w:val="0"/>
        </w:numPr>
        <w:tabs>
          <w:tab w:val="left" w:pos="640"/>
          <w:tab w:val="left" w:pos="840"/>
          <w:tab w:val="left" w:pos="1260"/>
          <w:tab w:val="left" w:pos="1418"/>
        </w:tabs>
        <w:spacing w:line="360" w:lineRule="auto"/>
        <w:ind w:left="845" w:hanging="845"/>
        <w:rPr>
          <w:rFonts w:ascii="宋体" w:hAnsi="宋体" w:cs="宋体"/>
          <w:color w:val="000000"/>
          <w:sz w:val="24"/>
        </w:rPr>
      </w:pPr>
      <w:r>
        <w:rPr>
          <w:rFonts w:hint="default" w:ascii="宋体" w:hAnsi="宋体" w:cs="宋体"/>
          <w:color w:val="000000"/>
          <w:kern w:val="2"/>
          <w:sz w:val="24"/>
          <w:szCs w:val="24"/>
          <w:lang w:val="en-US" w:eastAsia="zh-CN" w:bidi="ar-SA"/>
        </w:rPr>
        <w:t>（19）</w:t>
      </w:r>
      <w:r>
        <w:rPr>
          <w:rFonts w:hint="eastAsia" w:ascii="宋体" w:hAnsi="宋体" w:cs="宋体"/>
          <w:color w:val="000000"/>
          <w:sz w:val="24"/>
        </w:rPr>
        <w:t>投标人认为有必要提供的其他材料。</w:t>
      </w:r>
    </w:p>
    <w:p>
      <w:pPr>
        <w:spacing w:line="360" w:lineRule="auto"/>
        <w:rPr>
          <w:rFonts w:ascii="宋体" w:hAnsi="宋体" w:cs="宋体"/>
          <w:b/>
          <w:bCs/>
          <w:color w:val="000000"/>
          <w:sz w:val="24"/>
        </w:rPr>
      </w:pPr>
      <w:r>
        <w:rPr>
          <w:rFonts w:hint="eastAsia" w:ascii="宋体" w:hAnsi="宋体" w:cs="宋体"/>
          <w:b/>
          <w:bCs/>
          <w:color w:val="000000"/>
          <w:sz w:val="24"/>
        </w:rPr>
        <w:t>（三）技术部分</w:t>
      </w:r>
    </w:p>
    <w:p>
      <w:pPr>
        <w:numPr>
          <w:ilvl w:val="0"/>
          <w:numId w:val="0"/>
        </w:numPr>
        <w:tabs>
          <w:tab w:val="left" w:pos="640"/>
          <w:tab w:val="left" w:pos="1260"/>
          <w:tab w:val="left" w:pos="1418"/>
        </w:tabs>
        <w:spacing w:line="360" w:lineRule="auto"/>
        <w:ind w:left="640" w:leftChars="0" w:right="-420" w:rightChars="-200" w:hanging="640" w:firstLineChars="0"/>
        <w:rPr>
          <w:rFonts w:ascii="宋体" w:hAnsi="宋体" w:cs="宋体"/>
          <w:color w:val="000000"/>
          <w:sz w:val="24"/>
          <w:lang w:val="fr-CH"/>
        </w:rPr>
      </w:pPr>
      <w:r>
        <w:rPr>
          <w:rFonts w:hint="default" w:ascii="宋体" w:hAnsi="宋体" w:cs="宋体"/>
          <w:color w:val="000000"/>
          <w:kern w:val="2"/>
          <w:sz w:val="24"/>
          <w:szCs w:val="24"/>
          <w:lang w:val="fr-CH" w:eastAsia="zh-CN" w:bidi="ar-SA"/>
        </w:rPr>
        <w:t>（1）</w:t>
      </w:r>
      <w:r>
        <w:rPr>
          <w:rFonts w:hint="eastAsia" w:ascii="宋体" w:hAnsi="宋体" w:cs="宋体"/>
          <w:color w:val="000000"/>
          <w:sz w:val="24"/>
          <w:lang w:val="fr-CH"/>
        </w:rPr>
        <w:t>用户需求响应表；</w:t>
      </w:r>
    </w:p>
    <w:p>
      <w:pPr>
        <w:numPr>
          <w:ilvl w:val="0"/>
          <w:numId w:val="0"/>
        </w:numPr>
        <w:tabs>
          <w:tab w:val="left" w:pos="640"/>
          <w:tab w:val="left" w:pos="1260"/>
          <w:tab w:val="left" w:pos="1418"/>
        </w:tabs>
        <w:spacing w:line="360" w:lineRule="auto"/>
        <w:ind w:left="845" w:leftChars="0" w:right="-420" w:rightChars="-200" w:hanging="845" w:firstLineChars="0"/>
        <w:rPr>
          <w:rFonts w:hint="eastAsia" w:ascii="宋体" w:hAnsi="宋体" w:cs="宋体"/>
          <w:color w:val="auto"/>
          <w:sz w:val="24"/>
          <w:lang w:val="fr-CH"/>
        </w:rPr>
      </w:pPr>
      <w:r>
        <w:rPr>
          <w:rFonts w:hint="default" w:ascii="宋体" w:hAnsi="宋体" w:cs="宋体"/>
          <w:color w:val="auto"/>
          <w:kern w:val="2"/>
          <w:sz w:val="24"/>
          <w:szCs w:val="24"/>
          <w:lang w:val="fr-CH" w:eastAsia="zh-CN" w:bidi="ar-SA"/>
        </w:rPr>
        <w:t>（2）</w:t>
      </w:r>
      <w:r>
        <w:rPr>
          <w:rFonts w:hint="eastAsia" w:ascii="宋体" w:hAnsi="宋体" w:cs="宋体"/>
          <w:color w:val="auto"/>
          <w:sz w:val="24"/>
          <w:lang w:val="fr-CH"/>
        </w:rPr>
        <w:t>质量保障措施及方案；</w:t>
      </w:r>
    </w:p>
    <w:p>
      <w:pPr>
        <w:numPr>
          <w:ilvl w:val="0"/>
          <w:numId w:val="0"/>
        </w:numPr>
        <w:tabs>
          <w:tab w:val="left" w:pos="640"/>
          <w:tab w:val="left" w:pos="1260"/>
          <w:tab w:val="left" w:pos="1418"/>
        </w:tabs>
        <w:spacing w:line="360" w:lineRule="auto"/>
        <w:ind w:left="845" w:leftChars="0" w:right="-420" w:rightChars="-200" w:hanging="845" w:firstLineChars="0"/>
        <w:rPr>
          <w:rFonts w:hint="eastAsia" w:ascii="宋体" w:hAnsi="宋体" w:cs="宋体"/>
          <w:color w:val="auto"/>
          <w:sz w:val="24"/>
          <w:lang w:val="fr-CH"/>
        </w:rPr>
      </w:pPr>
      <w:r>
        <w:rPr>
          <w:rFonts w:hint="default" w:ascii="宋体" w:hAnsi="宋体" w:cs="宋体"/>
          <w:color w:val="auto"/>
          <w:kern w:val="2"/>
          <w:sz w:val="24"/>
          <w:szCs w:val="24"/>
          <w:lang w:val="fr-CH" w:eastAsia="zh-CN" w:bidi="ar-SA"/>
        </w:rPr>
        <w:t>（3）</w:t>
      </w:r>
      <w:r>
        <w:rPr>
          <w:rFonts w:hint="eastAsia" w:ascii="宋体" w:hAnsi="宋体" w:cs="宋体"/>
          <w:color w:val="auto"/>
          <w:sz w:val="24"/>
          <w:lang w:val="fr-CH"/>
        </w:rPr>
        <w:t>工作思路；</w:t>
      </w:r>
    </w:p>
    <w:p>
      <w:pPr>
        <w:numPr>
          <w:ilvl w:val="0"/>
          <w:numId w:val="0"/>
        </w:numPr>
        <w:tabs>
          <w:tab w:val="left" w:pos="640"/>
          <w:tab w:val="left" w:pos="1260"/>
          <w:tab w:val="left" w:pos="1418"/>
        </w:tabs>
        <w:spacing w:line="360" w:lineRule="auto"/>
        <w:ind w:left="845" w:leftChars="0" w:right="-420" w:rightChars="-200" w:hanging="845" w:firstLineChars="0"/>
        <w:rPr>
          <w:rFonts w:hint="eastAsia" w:ascii="宋体" w:hAnsi="宋体" w:cs="宋体"/>
          <w:color w:val="auto"/>
          <w:sz w:val="24"/>
          <w:lang w:val="fr-CH"/>
        </w:rPr>
      </w:pPr>
      <w:r>
        <w:rPr>
          <w:rFonts w:hint="default" w:ascii="宋体" w:hAnsi="宋体" w:cs="宋体"/>
          <w:color w:val="auto"/>
          <w:kern w:val="2"/>
          <w:sz w:val="24"/>
          <w:szCs w:val="24"/>
          <w:lang w:val="fr-CH" w:eastAsia="zh-CN" w:bidi="ar-SA"/>
        </w:rPr>
        <w:t>（4）</w:t>
      </w:r>
      <w:r>
        <w:rPr>
          <w:rFonts w:hint="eastAsia" w:ascii="宋体" w:hAnsi="宋体" w:cs="宋体"/>
          <w:color w:val="auto"/>
          <w:sz w:val="24"/>
          <w:lang w:val="fr-CH"/>
        </w:rPr>
        <w:t>诉讼、仲裁及行政复议服务方案；</w:t>
      </w:r>
    </w:p>
    <w:p>
      <w:pPr>
        <w:numPr>
          <w:ilvl w:val="0"/>
          <w:numId w:val="0"/>
        </w:numPr>
        <w:tabs>
          <w:tab w:val="left" w:pos="640"/>
          <w:tab w:val="left" w:pos="1260"/>
          <w:tab w:val="left" w:pos="1418"/>
        </w:tabs>
        <w:spacing w:line="360" w:lineRule="auto"/>
        <w:ind w:left="845" w:leftChars="0" w:right="-420" w:rightChars="-200" w:hanging="845" w:firstLineChars="0"/>
        <w:rPr>
          <w:rFonts w:ascii="宋体" w:hAnsi="宋体" w:cs="宋体"/>
          <w:color w:val="000000"/>
          <w:sz w:val="24"/>
          <w:lang w:val="fr-CH"/>
        </w:rPr>
      </w:pPr>
      <w:r>
        <w:rPr>
          <w:rFonts w:hint="default" w:ascii="宋体" w:hAnsi="宋体" w:cs="宋体"/>
          <w:color w:val="000000"/>
          <w:kern w:val="2"/>
          <w:sz w:val="24"/>
          <w:szCs w:val="24"/>
          <w:lang w:val="fr-CH" w:eastAsia="zh-CN" w:bidi="ar-SA"/>
        </w:rPr>
        <w:t>（5）</w:t>
      </w:r>
      <w:r>
        <w:rPr>
          <w:rFonts w:hint="eastAsia" w:ascii="宋体" w:hAnsi="宋体" w:cs="宋体"/>
          <w:color w:val="000000"/>
          <w:sz w:val="24"/>
          <w:lang w:val="fr-CH"/>
        </w:rPr>
        <w:t>投标人认为有必要提供的其他材料。</w:t>
      </w:r>
    </w:p>
    <w:p>
      <w:pPr>
        <w:outlineLvl w:val="2"/>
        <w:rPr>
          <w:rFonts w:ascii="宋体" w:hAnsi="宋体" w:cs="宋体"/>
          <w:b/>
          <w:bCs/>
          <w:color w:val="000000"/>
          <w:sz w:val="24"/>
        </w:rPr>
      </w:pPr>
      <w:r>
        <w:rPr>
          <w:rFonts w:hint="eastAsia" w:ascii="宋体" w:hAnsi="宋体" w:cs="宋体"/>
          <w:b/>
          <w:bCs/>
          <w:color w:val="000000"/>
          <w:sz w:val="24"/>
        </w:rPr>
        <w:br w:type="page"/>
      </w:r>
      <w:r>
        <w:rPr>
          <w:rFonts w:hint="eastAsia" w:ascii="宋体" w:hAnsi="宋体" w:cs="宋体"/>
          <w:b/>
          <w:bCs/>
          <w:color w:val="000000"/>
          <w:sz w:val="24"/>
        </w:rPr>
        <w:t>（一）</w:t>
      </w:r>
      <w:r>
        <w:rPr>
          <w:rFonts w:hint="eastAsia" w:ascii="宋体" w:hAnsi="宋体" w:cs="宋体"/>
          <w:b/>
          <w:bCs/>
          <w:color w:val="000000"/>
          <w:sz w:val="24"/>
          <w:lang w:val="zh-CN"/>
        </w:rPr>
        <w:t>价格部分</w:t>
      </w:r>
    </w:p>
    <w:p>
      <w:pPr>
        <w:spacing w:line="360" w:lineRule="auto"/>
        <w:jc w:val="center"/>
        <w:rPr>
          <w:rFonts w:ascii="宋体" w:hAnsi="宋体" w:cs="宋体"/>
          <w:b/>
          <w:bCs/>
          <w:color w:val="000000"/>
          <w:sz w:val="24"/>
        </w:rPr>
      </w:pPr>
      <w:r>
        <w:rPr>
          <w:rFonts w:hint="eastAsia" w:ascii="宋体" w:hAnsi="宋体" w:eastAsia="宋体" w:cs="宋体"/>
          <w:b/>
          <w:bCs/>
          <w:color w:val="000000"/>
          <w:sz w:val="24"/>
          <w:lang w:val="en-US" w:eastAsia="zh-CN"/>
        </w:rPr>
        <w:t>1、</w:t>
      </w:r>
      <w:r>
        <w:rPr>
          <w:rFonts w:hint="eastAsia" w:ascii="宋体" w:hAnsi="宋体" w:eastAsia="宋体" w:cs="宋体"/>
          <w:b/>
          <w:bCs/>
          <w:color w:val="000000"/>
          <w:sz w:val="24"/>
        </w:rPr>
        <w:t>投</w:t>
      </w:r>
      <w:r>
        <w:rPr>
          <w:rFonts w:hint="eastAsia" w:ascii="宋体" w:hAnsi="宋体" w:cs="宋体"/>
          <w:b/>
          <w:bCs/>
          <w:color w:val="000000"/>
          <w:sz w:val="24"/>
        </w:rPr>
        <w:t>标一览表</w:t>
      </w:r>
    </w:p>
    <w:p>
      <w:pPr>
        <w:spacing w:line="360" w:lineRule="auto"/>
        <w:rPr>
          <w:rFonts w:ascii="宋体" w:hAnsi="宋体" w:cs="宋体"/>
          <w:color w:val="000000"/>
          <w:sz w:val="24"/>
        </w:rPr>
      </w:pPr>
      <w:r>
        <w:rPr>
          <w:rFonts w:hint="eastAsia" w:ascii="宋体" w:hAnsi="宋体" w:cs="宋体"/>
          <w:color w:val="000000"/>
          <w:sz w:val="24"/>
        </w:rPr>
        <w:t>投标供应商名称：（公章）</w:t>
      </w:r>
      <w:r>
        <w:rPr>
          <w:rFonts w:hint="eastAsia" w:ascii="宋体" w:hAnsi="宋体" w:cs="宋体"/>
          <w:color w:val="000000"/>
          <w:sz w:val="24"/>
          <w:u w:val="single"/>
        </w:rPr>
        <w:t xml:space="preserve">                             </w:t>
      </w:r>
    </w:p>
    <w:p>
      <w:pPr>
        <w:spacing w:line="360" w:lineRule="auto"/>
        <w:rPr>
          <w:rFonts w:ascii="宋体" w:hAnsi="宋体" w:cs="宋体"/>
          <w:color w:val="000000"/>
          <w:sz w:val="24"/>
          <w:u w:val="single"/>
        </w:rPr>
      </w:pPr>
      <w:r>
        <w:rPr>
          <w:rFonts w:hint="eastAsia" w:ascii="宋体" w:hAnsi="宋体" w:cs="宋体"/>
          <w:color w:val="000000"/>
          <w:sz w:val="24"/>
        </w:rPr>
        <w:t>招标编号：</w:t>
      </w:r>
      <w:r>
        <w:rPr>
          <w:rFonts w:hint="eastAsia" w:ascii="宋体" w:hAnsi="宋体" w:cs="宋体"/>
          <w:color w:val="000000"/>
          <w:sz w:val="24"/>
          <w:u w:val="single"/>
        </w:rPr>
        <w:t xml:space="preserve">                                      </w:t>
      </w:r>
    </w:p>
    <w:tbl>
      <w:tblPr>
        <w:tblStyle w:val="20"/>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noWrap w:val="0"/>
            <w:vAlign w:val="center"/>
          </w:tcPr>
          <w:p>
            <w:pPr>
              <w:spacing w:after="60" w:line="360" w:lineRule="auto"/>
              <w:jc w:val="center"/>
              <w:rPr>
                <w:rFonts w:ascii="宋体" w:hAnsi="宋体" w:cs="宋体"/>
                <w:color w:val="000000"/>
                <w:sz w:val="24"/>
              </w:rPr>
            </w:pPr>
            <w:r>
              <w:rPr>
                <w:rFonts w:hint="eastAsia" w:ascii="宋体" w:hAnsi="宋体" w:cs="宋体"/>
                <w:color w:val="000000"/>
                <w:sz w:val="24"/>
              </w:rPr>
              <w:t>项目名称</w:t>
            </w:r>
          </w:p>
        </w:tc>
        <w:tc>
          <w:tcPr>
            <w:tcW w:w="2896" w:type="dxa"/>
            <w:noWrap w:val="0"/>
            <w:vAlign w:val="center"/>
          </w:tcPr>
          <w:p>
            <w:pPr>
              <w:spacing w:after="60" w:line="360" w:lineRule="auto"/>
              <w:jc w:val="center"/>
              <w:rPr>
                <w:rFonts w:ascii="宋体" w:hAnsi="宋体" w:cs="宋体"/>
                <w:color w:val="000000"/>
                <w:sz w:val="24"/>
              </w:rPr>
            </w:pPr>
            <w:r>
              <w:rPr>
                <w:rFonts w:hint="eastAsia" w:ascii="宋体" w:hAnsi="宋体" w:cs="宋体"/>
                <w:color w:val="000000"/>
                <w:sz w:val="24"/>
              </w:rPr>
              <w:t>投标价</w:t>
            </w:r>
          </w:p>
          <w:p>
            <w:pPr>
              <w:spacing w:after="60" w:line="360" w:lineRule="auto"/>
              <w:jc w:val="center"/>
              <w:rPr>
                <w:rFonts w:ascii="宋体" w:hAnsi="宋体" w:cs="宋体"/>
                <w:color w:val="000000"/>
                <w:sz w:val="24"/>
              </w:rPr>
            </w:pPr>
            <w:r>
              <w:rPr>
                <w:rFonts w:hint="eastAsia" w:ascii="宋体" w:hAnsi="宋体" w:cs="宋体"/>
                <w:color w:val="000000"/>
                <w:sz w:val="24"/>
              </w:rPr>
              <w:t>（人民币）</w:t>
            </w:r>
          </w:p>
        </w:tc>
        <w:tc>
          <w:tcPr>
            <w:tcW w:w="1318" w:type="dxa"/>
            <w:noWrap w:val="0"/>
            <w:vAlign w:val="center"/>
          </w:tcPr>
          <w:p>
            <w:pPr>
              <w:spacing w:after="60" w:line="360" w:lineRule="auto"/>
              <w:jc w:val="center"/>
              <w:rPr>
                <w:rFonts w:ascii="宋体" w:hAnsi="宋体" w:cs="宋体"/>
                <w:color w:val="000000"/>
                <w:sz w:val="24"/>
              </w:rPr>
            </w:pPr>
            <w:r>
              <w:rPr>
                <w:rFonts w:hint="eastAsia" w:ascii="宋体" w:hAnsi="宋体" w:cs="宋体"/>
                <w:color w:val="000000"/>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noWrap w:val="0"/>
            <w:vAlign w:val="center"/>
          </w:tcPr>
          <w:p>
            <w:pPr>
              <w:spacing w:line="360" w:lineRule="auto"/>
              <w:jc w:val="center"/>
              <w:rPr>
                <w:rFonts w:ascii="宋体" w:hAnsi="宋体" w:cs="宋体"/>
                <w:color w:val="000000"/>
                <w:sz w:val="24"/>
                <w:u w:val="single"/>
              </w:rPr>
            </w:pPr>
          </w:p>
        </w:tc>
        <w:tc>
          <w:tcPr>
            <w:tcW w:w="2896" w:type="dxa"/>
            <w:noWrap w:val="0"/>
            <w:vAlign w:val="center"/>
          </w:tcPr>
          <w:p>
            <w:pPr>
              <w:spacing w:line="360" w:lineRule="auto"/>
              <w:jc w:val="center"/>
              <w:rPr>
                <w:rFonts w:ascii="宋体" w:hAnsi="宋体" w:cs="宋体"/>
                <w:color w:val="000000"/>
                <w:sz w:val="24"/>
                <w:u w:val="single"/>
              </w:rPr>
            </w:pPr>
          </w:p>
        </w:tc>
        <w:tc>
          <w:tcPr>
            <w:tcW w:w="1318" w:type="dxa"/>
            <w:noWrap w:val="0"/>
            <w:vAlign w:val="center"/>
          </w:tcPr>
          <w:p>
            <w:pPr>
              <w:spacing w:line="360" w:lineRule="auto"/>
              <w:jc w:val="center"/>
              <w:rPr>
                <w:rFonts w:ascii="宋体" w:hAnsi="宋体" w:cs="宋体"/>
                <w:color w:val="000000"/>
                <w:sz w:val="24"/>
                <w:u w:val="single"/>
              </w:rPr>
            </w:pPr>
          </w:p>
        </w:tc>
      </w:tr>
    </w:tbl>
    <w:p>
      <w:pPr>
        <w:spacing w:line="360" w:lineRule="auto"/>
        <w:rPr>
          <w:rFonts w:ascii="宋体" w:hAnsi="宋体" w:cs="宋体"/>
          <w:color w:val="000000"/>
          <w:sz w:val="24"/>
        </w:rPr>
      </w:pPr>
    </w:p>
    <w:p>
      <w:pPr>
        <w:spacing w:line="360" w:lineRule="auto"/>
        <w:rPr>
          <w:rFonts w:ascii="宋体" w:hAnsi="宋体" w:cs="宋体"/>
          <w:color w:val="000000"/>
          <w:sz w:val="24"/>
        </w:rPr>
      </w:pPr>
      <w:r>
        <w:rPr>
          <w:rFonts w:hint="eastAsia" w:ascii="宋体" w:hAnsi="宋体" w:cs="宋体"/>
          <w:color w:val="000000"/>
          <w:sz w:val="24"/>
        </w:rPr>
        <w:t>投标供应商授权代表：</w:t>
      </w:r>
      <w:r>
        <w:rPr>
          <w:rFonts w:hint="eastAsia" w:ascii="宋体" w:hAnsi="宋体" w:cs="宋体"/>
          <w:color w:val="000000"/>
          <w:sz w:val="24"/>
          <w:u w:val="single"/>
        </w:rPr>
        <w:t xml:space="preserve">                   </w:t>
      </w:r>
    </w:p>
    <w:p>
      <w:pPr>
        <w:spacing w:line="360" w:lineRule="auto"/>
        <w:rPr>
          <w:rFonts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360" w:lineRule="auto"/>
        <w:rPr>
          <w:rFonts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pStyle w:val="6"/>
        <w:rPr>
          <w:color w:val="000000"/>
        </w:rPr>
      </w:pPr>
    </w:p>
    <w:p>
      <w:pPr>
        <w:spacing w:line="360" w:lineRule="auto"/>
        <w:jc w:val="center"/>
        <w:rPr>
          <w:rFonts w:ascii="宋体" w:hAnsi="宋体" w:cs="宋体"/>
          <w:b/>
          <w:bCs/>
          <w:color w:val="000000"/>
          <w:sz w:val="24"/>
        </w:rPr>
      </w:pPr>
      <w:r>
        <w:rPr>
          <w:rFonts w:hint="eastAsia" w:ascii="宋体" w:hAnsi="宋体" w:eastAsia="宋体" w:cs="宋体"/>
          <w:b/>
          <w:bCs/>
          <w:color w:val="000000"/>
          <w:kern w:val="2"/>
          <w:sz w:val="24"/>
          <w:szCs w:val="24"/>
          <w:lang w:val="en-US" w:eastAsia="zh-CN" w:bidi="ar-SA"/>
        </w:rPr>
        <w:br w:type="page"/>
      </w:r>
      <w:r>
        <w:rPr>
          <w:rFonts w:hint="eastAsia" w:ascii="宋体" w:hAnsi="宋体" w:eastAsia="宋体" w:cs="宋体"/>
          <w:b/>
          <w:bCs/>
          <w:color w:val="000000"/>
          <w:kern w:val="2"/>
          <w:sz w:val="24"/>
          <w:szCs w:val="24"/>
          <w:lang w:val="en-US" w:eastAsia="zh-CN" w:bidi="ar-SA"/>
        </w:rPr>
        <w:t>2、</w:t>
      </w:r>
      <w:r>
        <w:rPr>
          <w:rFonts w:hint="eastAsia" w:ascii="宋体" w:hAnsi="宋体" w:eastAsia="宋体" w:cs="宋体"/>
          <w:b/>
          <w:bCs/>
          <w:color w:val="000000"/>
          <w:sz w:val="24"/>
        </w:rPr>
        <w:t>分项报价</w:t>
      </w:r>
      <w:r>
        <w:rPr>
          <w:rFonts w:hint="eastAsia" w:ascii="宋体" w:hAnsi="宋体" w:cs="宋体"/>
          <w:b/>
          <w:bCs/>
          <w:color w:val="000000"/>
          <w:sz w:val="24"/>
        </w:rPr>
        <w:t>清单</w:t>
      </w:r>
    </w:p>
    <w:p>
      <w:pPr>
        <w:spacing w:line="360" w:lineRule="auto"/>
        <w:rPr>
          <w:rFonts w:ascii="宋体" w:hAnsi="宋体" w:cs="宋体"/>
          <w:color w:val="000000"/>
          <w:sz w:val="24"/>
        </w:rPr>
      </w:pPr>
    </w:p>
    <w:p>
      <w:pPr>
        <w:spacing w:line="360" w:lineRule="auto"/>
        <w:rPr>
          <w:rFonts w:ascii="宋体" w:hAnsi="宋体" w:cs="宋体"/>
          <w:color w:val="000000"/>
          <w:sz w:val="24"/>
        </w:rPr>
      </w:pPr>
      <w:r>
        <w:rPr>
          <w:rFonts w:hint="eastAsia" w:ascii="宋体" w:hAnsi="宋体" w:cs="宋体"/>
          <w:color w:val="000000"/>
          <w:sz w:val="24"/>
        </w:rPr>
        <w:t>投标供应商名称：（公章）</w:t>
      </w:r>
      <w:r>
        <w:rPr>
          <w:rFonts w:hint="eastAsia" w:ascii="宋体" w:hAnsi="宋体" w:cs="宋体"/>
          <w:color w:val="000000"/>
          <w:sz w:val="24"/>
          <w:u w:val="single"/>
        </w:rPr>
        <w:t xml:space="preserve">                             </w:t>
      </w:r>
    </w:p>
    <w:p>
      <w:pPr>
        <w:spacing w:line="360" w:lineRule="auto"/>
        <w:rPr>
          <w:rFonts w:ascii="宋体" w:hAnsi="宋体" w:cs="宋体"/>
          <w:color w:val="000000"/>
          <w:sz w:val="24"/>
          <w:u w:val="single"/>
        </w:rPr>
      </w:pPr>
      <w:r>
        <w:rPr>
          <w:rFonts w:hint="eastAsia" w:ascii="宋体" w:hAnsi="宋体" w:cs="宋体"/>
          <w:color w:val="000000"/>
          <w:sz w:val="24"/>
        </w:rPr>
        <w:t>招标编号：</w:t>
      </w:r>
      <w:r>
        <w:rPr>
          <w:rFonts w:hint="eastAsia" w:ascii="宋体" w:hAnsi="宋体" w:cs="宋体"/>
          <w:color w:val="000000"/>
          <w:sz w:val="24"/>
          <w:u w:val="single"/>
        </w:rPr>
        <w:t xml:space="preserve">                                      </w:t>
      </w:r>
    </w:p>
    <w:p>
      <w:pPr>
        <w:spacing w:line="360" w:lineRule="auto"/>
        <w:rPr>
          <w:rFonts w:ascii="宋体" w:hAnsi="宋体" w:cs="宋体"/>
          <w:color w:val="000000"/>
          <w:sz w:val="24"/>
          <w:u w:val="single"/>
        </w:rPr>
      </w:pPr>
    </w:p>
    <w:tbl>
      <w:tblPr>
        <w:tblStyle w:val="20"/>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noWrap w:val="0"/>
            <w:vAlign w:val="bottom"/>
          </w:tcPr>
          <w:p>
            <w:pPr>
              <w:pStyle w:val="9"/>
              <w:spacing w:line="360" w:lineRule="auto"/>
              <w:jc w:val="center"/>
              <w:rPr>
                <w:rFonts w:hAnsi="宋体" w:cs="宋体"/>
                <w:color w:val="000000"/>
                <w:sz w:val="24"/>
              </w:rPr>
            </w:pPr>
            <w:r>
              <w:rPr>
                <w:rFonts w:hint="eastAsia" w:hAnsi="宋体" w:cs="宋体"/>
                <w:color w:val="000000"/>
                <w:sz w:val="24"/>
              </w:rPr>
              <w:t>序号</w:t>
            </w:r>
          </w:p>
        </w:tc>
        <w:tc>
          <w:tcPr>
            <w:tcW w:w="2212" w:type="dxa"/>
            <w:noWrap w:val="0"/>
            <w:vAlign w:val="center"/>
          </w:tcPr>
          <w:p>
            <w:pPr>
              <w:pStyle w:val="9"/>
              <w:spacing w:line="360" w:lineRule="auto"/>
              <w:jc w:val="center"/>
              <w:rPr>
                <w:rFonts w:hAnsi="宋体" w:cs="宋体"/>
                <w:color w:val="000000"/>
                <w:sz w:val="24"/>
              </w:rPr>
            </w:pPr>
            <w:r>
              <w:rPr>
                <w:rFonts w:hint="eastAsia" w:hAnsi="宋体" w:cs="宋体"/>
                <w:color w:val="000000"/>
                <w:sz w:val="24"/>
              </w:rPr>
              <w:t>项目名称、内容</w:t>
            </w:r>
          </w:p>
        </w:tc>
        <w:tc>
          <w:tcPr>
            <w:tcW w:w="720" w:type="dxa"/>
            <w:noWrap w:val="0"/>
            <w:vAlign w:val="center"/>
          </w:tcPr>
          <w:p>
            <w:pPr>
              <w:pStyle w:val="9"/>
              <w:spacing w:line="360" w:lineRule="auto"/>
              <w:jc w:val="center"/>
              <w:rPr>
                <w:rFonts w:hAnsi="宋体" w:cs="宋体"/>
                <w:color w:val="000000"/>
                <w:sz w:val="24"/>
              </w:rPr>
            </w:pPr>
            <w:r>
              <w:rPr>
                <w:rFonts w:hint="eastAsia" w:hAnsi="宋体" w:cs="宋体"/>
                <w:color w:val="000000"/>
                <w:sz w:val="24"/>
              </w:rPr>
              <w:t>单位</w:t>
            </w:r>
          </w:p>
        </w:tc>
        <w:tc>
          <w:tcPr>
            <w:tcW w:w="1800" w:type="dxa"/>
            <w:noWrap w:val="0"/>
            <w:vAlign w:val="center"/>
          </w:tcPr>
          <w:p>
            <w:pPr>
              <w:pStyle w:val="9"/>
              <w:spacing w:line="360" w:lineRule="auto"/>
              <w:jc w:val="center"/>
              <w:rPr>
                <w:rFonts w:hAnsi="宋体" w:cs="宋体"/>
                <w:color w:val="000000"/>
                <w:sz w:val="24"/>
              </w:rPr>
            </w:pPr>
            <w:r>
              <w:rPr>
                <w:rFonts w:hint="eastAsia" w:hAnsi="宋体" w:cs="宋体"/>
                <w:color w:val="000000"/>
                <w:sz w:val="24"/>
              </w:rPr>
              <w:t>数量（工作量）</w:t>
            </w:r>
          </w:p>
        </w:tc>
        <w:tc>
          <w:tcPr>
            <w:tcW w:w="1620" w:type="dxa"/>
            <w:noWrap w:val="0"/>
            <w:vAlign w:val="center"/>
          </w:tcPr>
          <w:p>
            <w:pPr>
              <w:pStyle w:val="9"/>
              <w:spacing w:line="360" w:lineRule="auto"/>
              <w:jc w:val="center"/>
              <w:rPr>
                <w:rFonts w:hAnsi="宋体" w:cs="宋体"/>
                <w:color w:val="000000"/>
                <w:sz w:val="24"/>
              </w:rPr>
            </w:pPr>
            <w:r>
              <w:rPr>
                <w:rFonts w:hint="eastAsia" w:hAnsi="宋体" w:cs="宋体"/>
                <w:color w:val="000000"/>
                <w:sz w:val="24"/>
              </w:rPr>
              <w:t>单价</w:t>
            </w:r>
          </w:p>
        </w:tc>
        <w:tc>
          <w:tcPr>
            <w:tcW w:w="1620" w:type="dxa"/>
            <w:noWrap w:val="0"/>
            <w:vAlign w:val="center"/>
          </w:tcPr>
          <w:p>
            <w:pPr>
              <w:pStyle w:val="9"/>
              <w:spacing w:line="360" w:lineRule="auto"/>
              <w:jc w:val="center"/>
              <w:rPr>
                <w:rFonts w:hAnsi="宋体" w:cs="宋体"/>
                <w:color w:val="000000"/>
                <w:sz w:val="24"/>
              </w:rPr>
            </w:pPr>
            <w:r>
              <w:rPr>
                <w:rFonts w:hint="eastAsia" w:hAnsi="宋体" w:cs="宋体"/>
                <w:color w:val="000000"/>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noWrap w:val="0"/>
            <w:vAlign w:val="bottom"/>
          </w:tcPr>
          <w:p>
            <w:pPr>
              <w:pStyle w:val="9"/>
              <w:spacing w:line="360" w:lineRule="auto"/>
              <w:jc w:val="center"/>
              <w:rPr>
                <w:rFonts w:hAnsi="宋体" w:cs="宋体"/>
                <w:color w:val="000000"/>
                <w:sz w:val="24"/>
              </w:rPr>
            </w:pPr>
            <w:r>
              <w:rPr>
                <w:rFonts w:hint="eastAsia" w:hAnsi="宋体" w:cs="宋体"/>
                <w:color w:val="000000"/>
                <w:sz w:val="24"/>
              </w:rPr>
              <w:t>1</w:t>
            </w:r>
          </w:p>
        </w:tc>
        <w:tc>
          <w:tcPr>
            <w:tcW w:w="2212" w:type="dxa"/>
            <w:noWrap w:val="0"/>
            <w:vAlign w:val="center"/>
          </w:tcPr>
          <w:p>
            <w:pPr>
              <w:pStyle w:val="9"/>
              <w:spacing w:line="360" w:lineRule="auto"/>
              <w:jc w:val="center"/>
              <w:rPr>
                <w:rFonts w:hAnsi="宋体" w:cs="宋体"/>
                <w:color w:val="000000"/>
                <w:sz w:val="24"/>
              </w:rPr>
            </w:pPr>
          </w:p>
        </w:tc>
        <w:tc>
          <w:tcPr>
            <w:tcW w:w="720" w:type="dxa"/>
            <w:noWrap w:val="0"/>
            <w:vAlign w:val="center"/>
          </w:tcPr>
          <w:p>
            <w:pPr>
              <w:pStyle w:val="9"/>
              <w:spacing w:line="360" w:lineRule="auto"/>
              <w:jc w:val="center"/>
              <w:rPr>
                <w:rFonts w:hAnsi="宋体" w:cs="宋体"/>
                <w:color w:val="000000"/>
                <w:sz w:val="24"/>
              </w:rPr>
            </w:pPr>
          </w:p>
        </w:tc>
        <w:tc>
          <w:tcPr>
            <w:tcW w:w="1800" w:type="dxa"/>
            <w:noWrap w:val="0"/>
            <w:vAlign w:val="center"/>
          </w:tcPr>
          <w:p>
            <w:pPr>
              <w:pStyle w:val="9"/>
              <w:spacing w:line="360" w:lineRule="auto"/>
              <w:jc w:val="center"/>
              <w:rPr>
                <w:rFonts w:hAnsi="宋体" w:cs="宋体"/>
                <w:color w:val="000000"/>
                <w:sz w:val="24"/>
              </w:rPr>
            </w:pPr>
          </w:p>
        </w:tc>
        <w:tc>
          <w:tcPr>
            <w:tcW w:w="1620" w:type="dxa"/>
            <w:noWrap w:val="0"/>
            <w:vAlign w:val="center"/>
          </w:tcPr>
          <w:p>
            <w:pPr>
              <w:pStyle w:val="9"/>
              <w:spacing w:line="360" w:lineRule="auto"/>
              <w:jc w:val="center"/>
              <w:rPr>
                <w:rFonts w:hAnsi="宋体" w:cs="宋体"/>
                <w:color w:val="000000"/>
                <w:sz w:val="24"/>
              </w:rPr>
            </w:pPr>
          </w:p>
        </w:tc>
        <w:tc>
          <w:tcPr>
            <w:tcW w:w="1620" w:type="dxa"/>
            <w:noWrap w:val="0"/>
            <w:vAlign w:val="center"/>
          </w:tcPr>
          <w:p>
            <w:pPr>
              <w:pStyle w:val="9"/>
              <w:spacing w:line="360" w:lineRule="auto"/>
              <w:jc w:val="center"/>
              <w:rPr>
                <w:rFonts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noWrap w:val="0"/>
            <w:vAlign w:val="bottom"/>
          </w:tcPr>
          <w:p>
            <w:pPr>
              <w:pStyle w:val="9"/>
              <w:spacing w:line="360" w:lineRule="auto"/>
              <w:jc w:val="center"/>
              <w:rPr>
                <w:rFonts w:hAnsi="宋体" w:cs="宋体"/>
                <w:color w:val="000000"/>
                <w:sz w:val="24"/>
              </w:rPr>
            </w:pPr>
            <w:r>
              <w:rPr>
                <w:rFonts w:hint="eastAsia" w:hAnsi="宋体" w:cs="宋体"/>
                <w:color w:val="000000"/>
                <w:sz w:val="24"/>
              </w:rPr>
              <w:t>2</w:t>
            </w:r>
          </w:p>
        </w:tc>
        <w:tc>
          <w:tcPr>
            <w:tcW w:w="2212" w:type="dxa"/>
            <w:noWrap w:val="0"/>
            <w:vAlign w:val="center"/>
          </w:tcPr>
          <w:p>
            <w:pPr>
              <w:autoSpaceDE w:val="0"/>
              <w:autoSpaceDN w:val="0"/>
              <w:adjustRightInd w:val="0"/>
              <w:spacing w:line="360" w:lineRule="auto"/>
              <w:jc w:val="center"/>
              <w:rPr>
                <w:rFonts w:ascii="宋体" w:hAnsi="宋体" w:cs="宋体"/>
                <w:color w:val="000000"/>
                <w:sz w:val="24"/>
              </w:rPr>
            </w:pPr>
          </w:p>
        </w:tc>
        <w:tc>
          <w:tcPr>
            <w:tcW w:w="720" w:type="dxa"/>
            <w:noWrap w:val="0"/>
            <w:vAlign w:val="center"/>
          </w:tcPr>
          <w:p>
            <w:pPr>
              <w:pStyle w:val="9"/>
              <w:spacing w:line="360" w:lineRule="auto"/>
              <w:jc w:val="center"/>
              <w:rPr>
                <w:rFonts w:hAnsi="宋体" w:cs="宋体"/>
                <w:color w:val="000000"/>
                <w:sz w:val="24"/>
              </w:rPr>
            </w:pPr>
          </w:p>
        </w:tc>
        <w:tc>
          <w:tcPr>
            <w:tcW w:w="1800" w:type="dxa"/>
            <w:noWrap w:val="0"/>
            <w:vAlign w:val="center"/>
          </w:tcPr>
          <w:p>
            <w:pPr>
              <w:pStyle w:val="9"/>
              <w:spacing w:line="360" w:lineRule="auto"/>
              <w:jc w:val="center"/>
              <w:rPr>
                <w:rFonts w:hAnsi="宋体" w:cs="宋体"/>
                <w:color w:val="000000"/>
                <w:sz w:val="24"/>
              </w:rPr>
            </w:pPr>
          </w:p>
        </w:tc>
        <w:tc>
          <w:tcPr>
            <w:tcW w:w="1620" w:type="dxa"/>
            <w:noWrap w:val="0"/>
            <w:vAlign w:val="center"/>
          </w:tcPr>
          <w:p>
            <w:pPr>
              <w:pStyle w:val="9"/>
              <w:spacing w:line="360" w:lineRule="auto"/>
              <w:jc w:val="center"/>
              <w:rPr>
                <w:rFonts w:hAnsi="宋体" w:cs="宋体"/>
                <w:color w:val="000000"/>
                <w:sz w:val="24"/>
              </w:rPr>
            </w:pPr>
          </w:p>
        </w:tc>
        <w:tc>
          <w:tcPr>
            <w:tcW w:w="1620" w:type="dxa"/>
            <w:noWrap w:val="0"/>
            <w:vAlign w:val="center"/>
          </w:tcPr>
          <w:p>
            <w:pPr>
              <w:pStyle w:val="9"/>
              <w:spacing w:line="360" w:lineRule="auto"/>
              <w:jc w:val="center"/>
              <w:rPr>
                <w:rFonts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noWrap w:val="0"/>
            <w:vAlign w:val="bottom"/>
          </w:tcPr>
          <w:p>
            <w:pPr>
              <w:pStyle w:val="9"/>
              <w:spacing w:line="360" w:lineRule="auto"/>
              <w:jc w:val="center"/>
              <w:rPr>
                <w:rFonts w:hAnsi="宋体" w:cs="宋体"/>
                <w:color w:val="000000"/>
                <w:sz w:val="24"/>
              </w:rPr>
            </w:pPr>
            <w:r>
              <w:rPr>
                <w:rFonts w:hint="eastAsia" w:hAnsi="宋体" w:cs="宋体"/>
                <w:color w:val="000000"/>
                <w:sz w:val="24"/>
              </w:rPr>
              <w:t>3</w:t>
            </w:r>
          </w:p>
        </w:tc>
        <w:tc>
          <w:tcPr>
            <w:tcW w:w="2212" w:type="dxa"/>
            <w:noWrap w:val="0"/>
            <w:vAlign w:val="center"/>
          </w:tcPr>
          <w:p>
            <w:pPr>
              <w:autoSpaceDE w:val="0"/>
              <w:autoSpaceDN w:val="0"/>
              <w:adjustRightInd w:val="0"/>
              <w:spacing w:line="360" w:lineRule="auto"/>
              <w:jc w:val="center"/>
              <w:rPr>
                <w:rFonts w:ascii="宋体" w:hAnsi="宋体" w:cs="宋体"/>
                <w:color w:val="000000"/>
                <w:sz w:val="24"/>
              </w:rPr>
            </w:pPr>
          </w:p>
        </w:tc>
        <w:tc>
          <w:tcPr>
            <w:tcW w:w="720" w:type="dxa"/>
            <w:noWrap w:val="0"/>
            <w:vAlign w:val="center"/>
          </w:tcPr>
          <w:p>
            <w:pPr>
              <w:pStyle w:val="9"/>
              <w:spacing w:line="360" w:lineRule="auto"/>
              <w:jc w:val="center"/>
              <w:rPr>
                <w:rFonts w:hAnsi="宋体" w:cs="宋体"/>
                <w:color w:val="000000"/>
                <w:sz w:val="24"/>
              </w:rPr>
            </w:pPr>
          </w:p>
        </w:tc>
        <w:tc>
          <w:tcPr>
            <w:tcW w:w="1800" w:type="dxa"/>
            <w:noWrap w:val="0"/>
            <w:vAlign w:val="center"/>
          </w:tcPr>
          <w:p>
            <w:pPr>
              <w:pStyle w:val="9"/>
              <w:spacing w:line="360" w:lineRule="auto"/>
              <w:jc w:val="center"/>
              <w:rPr>
                <w:rFonts w:hAnsi="宋体" w:cs="宋体"/>
                <w:color w:val="000000"/>
                <w:sz w:val="24"/>
              </w:rPr>
            </w:pPr>
          </w:p>
        </w:tc>
        <w:tc>
          <w:tcPr>
            <w:tcW w:w="1620" w:type="dxa"/>
            <w:noWrap w:val="0"/>
            <w:vAlign w:val="center"/>
          </w:tcPr>
          <w:p>
            <w:pPr>
              <w:pStyle w:val="9"/>
              <w:spacing w:line="360" w:lineRule="auto"/>
              <w:jc w:val="center"/>
              <w:rPr>
                <w:rFonts w:hAnsi="宋体" w:cs="宋体"/>
                <w:color w:val="000000"/>
                <w:sz w:val="24"/>
              </w:rPr>
            </w:pPr>
          </w:p>
        </w:tc>
        <w:tc>
          <w:tcPr>
            <w:tcW w:w="1620" w:type="dxa"/>
            <w:noWrap w:val="0"/>
            <w:vAlign w:val="center"/>
          </w:tcPr>
          <w:p>
            <w:pPr>
              <w:pStyle w:val="9"/>
              <w:spacing w:line="360" w:lineRule="auto"/>
              <w:jc w:val="center"/>
              <w:rPr>
                <w:rFonts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noWrap w:val="0"/>
            <w:vAlign w:val="bottom"/>
          </w:tcPr>
          <w:p>
            <w:pPr>
              <w:pStyle w:val="9"/>
              <w:spacing w:line="360" w:lineRule="auto"/>
              <w:jc w:val="center"/>
              <w:rPr>
                <w:rFonts w:hAnsi="宋体" w:cs="宋体"/>
                <w:color w:val="000000"/>
                <w:sz w:val="24"/>
              </w:rPr>
            </w:pPr>
            <w:r>
              <w:rPr>
                <w:rFonts w:hint="eastAsia" w:hAnsi="宋体" w:cs="宋体"/>
                <w:color w:val="000000"/>
                <w:sz w:val="24"/>
              </w:rPr>
              <w:t>4</w:t>
            </w:r>
          </w:p>
        </w:tc>
        <w:tc>
          <w:tcPr>
            <w:tcW w:w="2212" w:type="dxa"/>
            <w:noWrap w:val="0"/>
            <w:vAlign w:val="center"/>
          </w:tcPr>
          <w:p>
            <w:pPr>
              <w:autoSpaceDE w:val="0"/>
              <w:autoSpaceDN w:val="0"/>
              <w:adjustRightInd w:val="0"/>
              <w:spacing w:line="360" w:lineRule="auto"/>
              <w:jc w:val="center"/>
              <w:rPr>
                <w:rFonts w:ascii="宋体" w:hAnsi="宋体" w:cs="宋体"/>
                <w:color w:val="000000"/>
                <w:sz w:val="24"/>
              </w:rPr>
            </w:pPr>
          </w:p>
        </w:tc>
        <w:tc>
          <w:tcPr>
            <w:tcW w:w="720" w:type="dxa"/>
            <w:noWrap w:val="0"/>
            <w:vAlign w:val="center"/>
          </w:tcPr>
          <w:p>
            <w:pPr>
              <w:pStyle w:val="9"/>
              <w:spacing w:line="360" w:lineRule="auto"/>
              <w:jc w:val="center"/>
              <w:rPr>
                <w:rFonts w:hAnsi="宋体" w:cs="宋体"/>
                <w:color w:val="000000"/>
                <w:sz w:val="24"/>
              </w:rPr>
            </w:pPr>
          </w:p>
        </w:tc>
        <w:tc>
          <w:tcPr>
            <w:tcW w:w="1800" w:type="dxa"/>
            <w:noWrap w:val="0"/>
            <w:vAlign w:val="center"/>
          </w:tcPr>
          <w:p>
            <w:pPr>
              <w:pStyle w:val="9"/>
              <w:spacing w:line="360" w:lineRule="auto"/>
              <w:jc w:val="center"/>
              <w:rPr>
                <w:rFonts w:hAnsi="宋体" w:cs="宋体"/>
                <w:color w:val="000000"/>
                <w:sz w:val="24"/>
              </w:rPr>
            </w:pPr>
          </w:p>
        </w:tc>
        <w:tc>
          <w:tcPr>
            <w:tcW w:w="1620" w:type="dxa"/>
            <w:noWrap w:val="0"/>
            <w:vAlign w:val="center"/>
          </w:tcPr>
          <w:p>
            <w:pPr>
              <w:pStyle w:val="9"/>
              <w:spacing w:line="360" w:lineRule="auto"/>
              <w:jc w:val="center"/>
              <w:rPr>
                <w:rFonts w:hAnsi="宋体" w:cs="宋体"/>
                <w:color w:val="000000"/>
                <w:sz w:val="24"/>
              </w:rPr>
            </w:pPr>
          </w:p>
        </w:tc>
        <w:tc>
          <w:tcPr>
            <w:tcW w:w="1620" w:type="dxa"/>
            <w:noWrap w:val="0"/>
            <w:vAlign w:val="center"/>
          </w:tcPr>
          <w:p>
            <w:pPr>
              <w:pStyle w:val="9"/>
              <w:spacing w:line="360" w:lineRule="auto"/>
              <w:jc w:val="center"/>
              <w:rPr>
                <w:rFonts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9"/>
              <w:spacing w:line="360" w:lineRule="auto"/>
              <w:jc w:val="center"/>
              <w:rPr>
                <w:rFonts w:hAnsi="宋体" w:cs="宋体"/>
                <w:color w:val="000000"/>
                <w:sz w:val="24"/>
              </w:rPr>
            </w:pPr>
            <w:r>
              <w:rPr>
                <w:rFonts w:hint="eastAsia" w:hAnsi="宋体" w:cs="宋体"/>
                <w:color w:val="000000"/>
                <w:sz w:val="24"/>
              </w:rPr>
              <w:t>5</w:t>
            </w:r>
          </w:p>
        </w:tc>
        <w:tc>
          <w:tcPr>
            <w:tcW w:w="2212" w:type="dxa"/>
            <w:noWrap w:val="0"/>
            <w:vAlign w:val="center"/>
          </w:tcPr>
          <w:p>
            <w:pPr>
              <w:autoSpaceDE w:val="0"/>
              <w:autoSpaceDN w:val="0"/>
              <w:adjustRightInd w:val="0"/>
              <w:spacing w:line="360" w:lineRule="auto"/>
              <w:jc w:val="center"/>
              <w:rPr>
                <w:rFonts w:ascii="宋体" w:hAnsi="宋体" w:cs="宋体"/>
                <w:color w:val="000000"/>
                <w:sz w:val="24"/>
              </w:rPr>
            </w:pPr>
          </w:p>
        </w:tc>
        <w:tc>
          <w:tcPr>
            <w:tcW w:w="720" w:type="dxa"/>
            <w:noWrap w:val="0"/>
            <w:vAlign w:val="center"/>
          </w:tcPr>
          <w:p>
            <w:pPr>
              <w:pStyle w:val="9"/>
              <w:spacing w:line="360" w:lineRule="auto"/>
              <w:jc w:val="center"/>
              <w:rPr>
                <w:rFonts w:hAnsi="宋体" w:cs="宋体"/>
                <w:color w:val="000000"/>
                <w:sz w:val="24"/>
              </w:rPr>
            </w:pPr>
          </w:p>
        </w:tc>
        <w:tc>
          <w:tcPr>
            <w:tcW w:w="1800" w:type="dxa"/>
            <w:noWrap w:val="0"/>
            <w:vAlign w:val="center"/>
          </w:tcPr>
          <w:p>
            <w:pPr>
              <w:pStyle w:val="9"/>
              <w:spacing w:line="360" w:lineRule="auto"/>
              <w:jc w:val="center"/>
              <w:rPr>
                <w:rFonts w:hAnsi="宋体" w:cs="宋体"/>
                <w:color w:val="000000"/>
                <w:sz w:val="24"/>
              </w:rPr>
            </w:pPr>
          </w:p>
        </w:tc>
        <w:tc>
          <w:tcPr>
            <w:tcW w:w="1620" w:type="dxa"/>
            <w:noWrap w:val="0"/>
            <w:vAlign w:val="center"/>
          </w:tcPr>
          <w:p>
            <w:pPr>
              <w:pStyle w:val="9"/>
              <w:spacing w:line="360" w:lineRule="auto"/>
              <w:jc w:val="center"/>
              <w:rPr>
                <w:rFonts w:hAnsi="宋体" w:cs="宋体"/>
                <w:color w:val="000000"/>
                <w:sz w:val="24"/>
              </w:rPr>
            </w:pPr>
          </w:p>
        </w:tc>
        <w:tc>
          <w:tcPr>
            <w:tcW w:w="1620" w:type="dxa"/>
            <w:noWrap w:val="0"/>
            <w:vAlign w:val="center"/>
          </w:tcPr>
          <w:p>
            <w:pPr>
              <w:pStyle w:val="9"/>
              <w:spacing w:line="360" w:lineRule="auto"/>
              <w:jc w:val="center"/>
              <w:rPr>
                <w:rFonts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9"/>
              <w:spacing w:line="360" w:lineRule="auto"/>
              <w:jc w:val="center"/>
              <w:rPr>
                <w:rFonts w:hAnsi="宋体" w:cs="宋体"/>
                <w:color w:val="000000"/>
                <w:sz w:val="24"/>
              </w:rPr>
            </w:pPr>
            <w:r>
              <w:rPr>
                <w:rFonts w:hint="eastAsia" w:hAnsi="宋体" w:cs="宋体"/>
                <w:color w:val="000000"/>
                <w:sz w:val="24"/>
              </w:rPr>
              <w:t>6</w:t>
            </w:r>
          </w:p>
        </w:tc>
        <w:tc>
          <w:tcPr>
            <w:tcW w:w="2212" w:type="dxa"/>
            <w:noWrap w:val="0"/>
            <w:vAlign w:val="center"/>
          </w:tcPr>
          <w:p>
            <w:pPr>
              <w:autoSpaceDE w:val="0"/>
              <w:autoSpaceDN w:val="0"/>
              <w:adjustRightInd w:val="0"/>
              <w:spacing w:line="360" w:lineRule="auto"/>
              <w:jc w:val="center"/>
              <w:rPr>
                <w:rFonts w:ascii="宋体" w:hAnsi="宋体" w:cs="宋体"/>
                <w:color w:val="000000"/>
                <w:sz w:val="24"/>
              </w:rPr>
            </w:pPr>
          </w:p>
        </w:tc>
        <w:tc>
          <w:tcPr>
            <w:tcW w:w="720" w:type="dxa"/>
            <w:noWrap w:val="0"/>
            <w:vAlign w:val="center"/>
          </w:tcPr>
          <w:p>
            <w:pPr>
              <w:pStyle w:val="9"/>
              <w:spacing w:line="360" w:lineRule="auto"/>
              <w:jc w:val="center"/>
              <w:rPr>
                <w:rFonts w:hAnsi="宋体" w:cs="宋体"/>
                <w:color w:val="000000"/>
                <w:sz w:val="24"/>
              </w:rPr>
            </w:pPr>
          </w:p>
        </w:tc>
        <w:tc>
          <w:tcPr>
            <w:tcW w:w="1800" w:type="dxa"/>
            <w:noWrap w:val="0"/>
            <w:vAlign w:val="center"/>
          </w:tcPr>
          <w:p>
            <w:pPr>
              <w:pStyle w:val="9"/>
              <w:spacing w:line="360" w:lineRule="auto"/>
              <w:jc w:val="center"/>
              <w:rPr>
                <w:rFonts w:hAnsi="宋体" w:cs="宋体"/>
                <w:color w:val="000000"/>
                <w:sz w:val="24"/>
              </w:rPr>
            </w:pPr>
          </w:p>
        </w:tc>
        <w:tc>
          <w:tcPr>
            <w:tcW w:w="1620" w:type="dxa"/>
            <w:noWrap w:val="0"/>
            <w:vAlign w:val="center"/>
          </w:tcPr>
          <w:p>
            <w:pPr>
              <w:pStyle w:val="9"/>
              <w:spacing w:line="360" w:lineRule="auto"/>
              <w:jc w:val="center"/>
              <w:rPr>
                <w:rFonts w:hAnsi="宋体" w:cs="宋体"/>
                <w:color w:val="000000"/>
                <w:sz w:val="24"/>
              </w:rPr>
            </w:pPr>
          </w:p>
        </w:tc>
        <w:tc>
          <w:tcPr>
            <w:tcW w:w="1620" w:type="dxa"/>
            <w:noWrap w:val="0"/>
            <w:vAlign w:val="center"/>
          </w:tcPr>
          <w:p>
            <w:pPr>
              <w:pStyle w:val="9"/>
              <w:spacing w:line="360" w:lineRule="auto"/>
              <w:jc w:val="center"/>
              <w:rPr>
                <w:rFonts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9"/>
              <w:spacing w:line="360" w:lineRule="auto"/>
              <w:jc w:val="center"/>
              <w:rPr>
                <w:rFonts w:hAnsi="宋体" w:cs="宋体"/>
                <w:color w:val="000000"/>
                <w:sz w:val="24"/>
              </w:rPr>
            </w:pPr>
            <w:r>
              <w:rPr>
                <w:rFonts w:hint="eastAsia" w:hAnsi="宋体" w:cs="宋体"/>
                <w:color w:val="000000"/>
                <w:sz w:val="24"/>
              </w:rPr>
              <w:t>7</w:t>
            </w:r>
          </w:p>
        </w:tc>
        <w:tc>
          <w:tcPr>
            <w:tcW w:w="2212" w:type="dxa"/>
            <w:noWrap w:val="0"/>
            <w:vAlign w:val="center"/>
          </w:tcPr>
          <w:p>
            <w:pPr>
              <w:autoSpaceDE w:val="0"/>
              <w:autoSpaceDN w:val="0"/>
              <w:adjustRightInd w:val="0"/>
              <w:spacing w:line="360" w:lineRule="auto"/>
              <w:jc w:val="center"/>
              <w:rPr>
                <w:rFonts w:ascii="宋体" w:hAnsi="宋体" w:cs="宋体"/>
                <w:color w:val="000000"/>
                <w:sz w:val="24"/>
              </w:rPr>
            </w:pPr>
          </w:p>
        </w:tc>
        <w:tc>
          <w:tcPr>
            <w:tcW w:w="720" w:type="dxa"/>
            <w:noWrap w:val="0"/>
            <w:vAlign w:val="center"/>
          </w:tcPr>
          <w:p>
            <w:pPr>
              <w:pStyle w:val="9"/>
              <w:spacing w:line="360" w:lineRule="auto"/>
              <w:jc w:val="center"/>
              <w:rPr>
                <w:rFonts w:hAnsi="宋体" w:cs="宋体"/>
                <w:color w:val="000000"/>
                <w:sz w:val="24"/>
              </w:rPr>
            </w:pPr>
          </w:p>
        </w:tc>
        <w:tc>
          <w:tcPr>
            <w:tcW w:w="1800" w:type="dxa"/>
            <w:noWrap w:val="0"/>
            <w:vAlign w:val="center"/>
          </w:tcPr>
          <w:p>
            <w:pPr>
              <w:pStyle w:val="9"/>
              <w:spacing w:line="360" w:lineRule="auto"/>
              <w:jc w:val="center"/>
              <w:rPr>
                <w:rFonts w:hAnsi="宋体" w:cs="宋体"/>
                <w:color w:val="000000"/>
                <w:sz w:val="24"/>
              </w:rPr>
            </w:pPr>
          </w:p>
        </w:tc>
        <w:tc>
          <w:tcPr>
            <w:tcW w:w="1620" w:type="dxa"/>
            <w:noWrap w:val="0"/>
            <w:vAlign w:val="center"/>
          </w:tcPr>
          <w:p>
            <w:pPr>
              <w:pStyle w:val="9"/>
              <w:spacing w:line="360" w:lineRule="auto"/>
              <w:jc w:val="center"/>
              <w:rPr>
                <w:rFonts w:hAnsi="宋体" w:cs="宋体"/>
                <w:color w:val="000000"/>
                <w:sz w:val="24"/>
              </w:rPr>
            </w:pPr>
          </w:p>
        </w:tc>
        <w:tc>
          <w:tcPr>
            <w:tcW w:w="1620" w:type="dxa"/>
            <w:noWrap w:val="0"/>
            <w:vAlign w:val="center"/>
          </w:tcPr>
          <w:p>
            <w:pPr>
              <w:pStyle w:val="9"/>
              <w:spacing w:line="360" w:lineRule="auto"/>
              <w:jc w:val="center"/>
              <w:rPr>
                <w:rFonts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9"/>
              <w:spacing w:line="360" w:lineRule="auto"/>
              <w:jc w:val="center"/>
              <w:rPr>
                <w:rFonts w:hAnsi="宋体" w:cs="宋体"/>
                <w:color w:val="000000"/>
                <w:sz w:val="24"/>
              </w:rPr>
            </w:pPr>
            <w:r>
              <w:rPr>
                <w:rFonts w:hint="eastAsia" w:hAnsi="宋体" w:cs="宋体"/>
                <w:color w:val="000000"/>
                <w:sz w:val="24"/>
              </w:rPr>
              <w:t>8</w:t>
            </w:r>
          </w:p>
        </w:tc>
        <w:tc>
          <w:tcPr>
            <w:tcW w:w="2212" w:type="dxa"/>
            <w:noWrap w:val="0"/>
            <w:vAlign w:val="center"/>
          </w:tcPr>
          <w:p>
            <w:pPr>
              <w:autoSpaceDE w:val="0"/>
              <w:autoSpaceDN w:val="0"/>
              <w:adjustRightInd w:val="0"/>
              <w:spacing w:line="360" w:lineRule="auto"/>
              <w:jc w:val="center"/>
              <w:rPr>
                <w:rFonts w:ascii="宋体" w:hAnsi="宋体" w:cs="宋体"/>
                <w:color w:val="000000"/>
                <w:sz w:val="24"/>
              </w:rPr>
            </w:pPr>
          </w:p>
        </w:tc>
        <w:tc>
          <w:tcPr>
            <w:tcW w:w="720" w:type="dxa"/>
            <w:noWrap w:val="0"/>
            <w:vAlign w:val="center"/>
          </w:tcPr>
          <w:p>
            <w:pPr>
              <w:pStyle w:val="9"/>
              <w:spacing w:line="360" w:lineRule="auto"/>
              <w:jc w:val="center"/>
              <w:rPr>
                <w:rFonts w:hAnsi="宋体" w:cs="宋体"/>
                <w:color w:val="000000"/>
                <w:sz w:val="24"/>
              </w:rPr>
            </w:pPr>
          </w:p>
        </w:tc>
        <w:tc>
          <w:tcPr>
            <w:tcW w:w="1800" w:type="dxa"/>
            <w:noWrap w:val="0"/>
            <w:vAlign w:val="center"/>
          </w:tcPr>
          <w:p>
            <w:pPr>
              <w:pStyle w:val="9"/>
              <w:spacing w:line="360" w:lineRule="auto"/>
              <w:jc w:val="center"/>
              <w:rPr>
                <w:rFonts w:hAnsi="宋体" w:cs="宋体"/>
                <w:color w:val="000000"/>
                <w:sz w:val="24"/>
              </w:rPr>
            </w:pPr>
          </w:p>
        </w:tc>
        <w:tc>
          <w:tcPr>
            <w:tcW w:w="1620" w:type="dxa"/>
            <w:noWrap w:val="0"/>
            <w:vAlign w:val="center"/>
          </w:tcPr>
          <w:p>
            <w:pPr>
              <w:pStyle w:val="9"/>
              <w:spacing w:line="360" w:lineRule="auto"/>
              <w:jc w:val="center"/>
              <w:rPr>
                <w:rFonts w:hAnsi="宋体" w:cs="宋体"/>
                <w:color w:val="000000"/>
                <w:sz w:val="24"/>
              </w:rPr>
            </w:pPr>
          </w:p>
        </w:tc>
        <w:tc>
          <w:tcPr>
            <w:tcW w:w="1620" w:type="dxa"/>
            <w:noWrap w:val="0"/>
            <w:vAlign w:val="center"/>
          </w:tcPr>
          <w:p>
            <w:pPr>
              <w:pStyle w:val="9"/>
              <w:spacing w:line="360" w:lineRule="auto"/>
              <w:jc w:val="center"/>
              <w:rPr>
                <w:rFonts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9"/>
              <w:spacing w:line="360" w:lineRule="auto"/>
              <w:jc w:val="center"/>
              <w:rPr>
                <w:rFonts w:hAnsi="宋体" w:cs="宋体"/>
                <w:color w:val="000000"/>
                <w:sz w:val="24"/>
              </w:rPr>
            </w:pPr>
            <w:r>
              <w:rPr>
                <w:rFonts w:hint="eastAsia" w:hAnsi="宋体" w:cs="宋体"/>
                <w:color w:val="000000"/>
                <w:sz w:val="24"/>
              </w:rPr>
              <w:t>9</w:t>
            </w:r>
          </w:p>
        </w:tc>
        <w:tc>
          <w:tcPr>
            <w:tcW w:w="2212" w:type="dxa"/>
            <w:noWrap w:val="0"/>
            <w:vAlign w:val="center"/>
          </w:tcPr>
          <w:p>
            <w:pPr>
              <w:autoSpaceDE w:val="0"/>
              <w:autoSpaceDN w:val="0"/>
              <w:adjustRightInd w:val="0"/>
              <w:spacing w:line="360" w:lineRule="auto"/>
              <w:jc w:val="center"/>
              <w:rPr>
                <w:rFonts w:ascii="宋体" w:hAnsi="宋体" w:cs="宋体"/>
                <w:color w:val="000000"/>
                <w:sz w:val="24"/>
              </w:rPr>
            </w:pPr>
          </w:p>
        </w:tc>
        <w:tc>
          <w:tcPr>
            <w:tcW w:w="720" w:type="dxa"/>
            <w:noWrap w:val="0"/>
            <w:vAlign w:val="center"/>
          </w:tcPr>
          <w:p>
            <w:pPr>
              <w:pStyle w:val="9"/>
              <w:spacing w:line="360" w:lineRule="auto"/>
              <w:jc w:val="center"/>
              <w:rPr>
                <w:rFonts w:hAnsi="宋体" w:cs="宋体"/>
                <w:color w:val="000000"/>
                <w:sz w:val="24"/>
              </w:rPr>
            </w:pPr>
          </w:p>
        </w:tc>
        <w:tc>
          <w:tcPr>
            <w:tcW w:w="1800" w:type="dxa"/>
            <w:noWrap w:val="0"/>
            <w:vAlign w:val="center"/>
          </w:tcPr>
          <w:p>
            <w:pPr>
              <w:pStyle w:val="9"/>
              <w:spacing w:line="360" w:lineRule="auto"/>
              <w:jc w:val="center"/>
              <w:rPr>
                <w:rFonts w:hAnsi="宋体" w:cs="宋体"/>
                <w:color w:val="000000"/>
                <w:sz w:val="24"/>
              </w:rPr>
            </w:pPr>
          </w:p>
        </w:tc>
        <w:tc>
          <w:tcPr>
            <w:tcW w:w="1620" w:type="dxa"/>
            <w:noWrap w:val="0"/>
            <w:vAlign w:val="center"/>
          </w:tcPr>
          <w:p>
            <w:pPr>
              <w:pStyle w:val="9"/>
              <w:spacing w:line="360" w:lineRule="auto"/>
              <w:jc w:val="center"/>
              <w:rPr>
                <w:rFonts w:hAnsi="宋体" w:cs="宋体"/>
                <w:color w:val="000000"/>
                <w:sz w:val="24"/>
              </w:rPr>
            </w:pPr>
          </w:p>
        </w:tc>
        <w:tc>
          <w:tcPr>
            <w:tcW w:w="1620" w:type="dxa"/>
            <w:noWrap w:val="0"/>
            <w:vAlign w:val="center"/>
          </w:tcPr>
          <w:p>
            <w:pPr>
              <w:pStyle w:val="9"/>
              <w:spacing w:line="360" w:lineRule="auto"/>
              <w:jc w:val="center"/>
              <w:rPr>
                <w:rFonts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9"/>
              <w:spacing w:line="360" w:lineRule="auto"/>
              <w:jc w:val="center"/>
              <w:rPr>
                <w:rFonts w:hAnsi="宋体" w:cs="宋体"/>
                <w:color w:val="000000"/>
                <w:sz w:val="24"/>
              </w:rPr>
            </w:pPr>
            <w:r>
              <w:rPr>
                <w:rFonts w:hint="eastAsia" w:hAnsi="宋体" w:cs="宋体"/>
                <w:color w:val="000000"/>
                <w:sz w:val="24"/>
              </w:rPr>
              <w:t>…</w:t>
            </w:r>
          </w:p>
        </w:tc>
        <w:tc>
          <w:tcPr>
            <w:tcW w:w="2212" w:type="dxa"/>
            <w:noWrap w:val="0"/>
            <w:vAlign w:val="center"/>
          </w:tcPr>
          <w:p>
            <w:pPr>
              <w:pStyle w:val="9"/>
              <w:spacing w:line="360" w:lineRule="auto"/>
              <w:jc w:val="center"/>
              <w:rPr>
                <w:rFonts w:hAnsi="宋体" w:cs="宋体"/>
                <w:color w:val="000000"/>
                <w:sz w:val="24"/>
              </w:rPr>
            </w:pPr>
            <w:r>
              <w:rPr>
                <w:rFonts w:hint="eastAsia" w:hAnsi="宋体" w:cs="宋体"/>
                <w:color w:val="000000"/>
                <w:sz w:val="24"/>
              </w:rPr>
              <w:t>…</w:t>
            </w:r>
          </w:p>
        </w:tc>
        <w:tc>
          <w:tcPr>
            <w:tcW w:w="720" w:type="dxa"/>
            <w:noWrap w:val="0"/>
            <w:vAlign w:val="center"/>
          </w:tcPr>
          <w:p>
            <w:pPr>
              <w:pStyle w:val="9"/>
              <w:spacing w:line="360" w:lineRule="auto"/>
              <w:jc w:val="center"/>
              <w:rPr>
                <w:rFonts w:hAnsi="宋体" w:cs="宋体"/>
                <w:color w:val="000000"/>
                <w:sz w:val="24"/>
              </w:rPr>
            </w:pPr>
          </w:p>
        </w:tc>
        <w:tc>
          <w:tcPr>
            <w:tcW w:w="1800" w:type="dxa"/>
            <w:noWrap w:val="0"/>
            <w:vAlign w:val="center"/>
          </w:tcPr>
          <w:p>
            <w:pPr>
              <w:pStyle w:val="9"/>
              <w:spacing w:line="360" w:lineRule="auto"/>
              <w:jc w:val="center"/>
              <w:rPr>
                <w:rFonts w:hAnsi="宋体" w:cs="宋体"/>
                <w:color w:val="000000"/>
                <w:sz w:val="24"/>
              </w:rPr>
            </w:pPr>
          </w:p>
        </w:tc>
        <w:tc>
          <w:tcPr>
            <w:tcW w:w="1620" w:type="dxa"/>
            <w:noWrap w:val="0"/>
            <w:vAlign w:val="center"/>
          </w:tcPr>
          <w:p>
            <w:pPr>
              <w:pStyle w:val="9"/>
              <w:spacing w:line="360" w:lineRule="auto"/>
              <w:jc w:val="center"/>
              <w:rPr>
                <w:rFonts w:hAnsi="宋体" w:cs="宋体"/>
                <w:color w:val="000000"/>
                <w:sz w:val="24"/>
              </w:rPr>
            </w:pPr>
          </w:p>
        </w:tc>
        <w:tc>
          <w:tcPr>
            <w:tcW w:w="1620" w:type="dxa"/>
            <w:noWrap w:val="0"/>
            <w:vAlign w:val="center"/>
          </w:tcPr>
          <w:p>
            <w:pPr>
              <w:pStyle w:val="9"/>
              <w:spacing w:line="360" w:lineRule="auto"/>
              <w:jc w:val="center"/>
              <w:rPr>
                <w:rFonts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noWrap w:val="0"/>
            <w:vAlign w:val="top"/>
          </w:tcPr>
          <w:p>
            <w:pPr>
              <w:pStyle w:val="9"/>
              <w:spacing w:line="360" w:lineRule="auto"/>
              <w:rPr>
                <w:rFonts w:hAnsi="宋体" w:cs="宋体"/>
                <w:color w:val="000000"/>
                <w:sz w:val="24"/>
              </w:rPr>
            </w:pPr>
            <w:r>
              <w:rPr>
                <w:rFonts w:hint="eastAsia" w:hAnsi="宋体" w:cs="宋体"/>
                <w:color w:val="000000"/>
                <w:sz w:val="24"/>
              </w:rPr>
              <w:t>报价合计</w:t>
            </w:r>
          </w:p>
        </w:tc>
      </w:tr>
    </w:tbl>
    <w:p>
      <w:pPr>
        <w:spacing w:line="360" w:lineRule="auto"/>
        <w:rPr>
          <w:rFonts w:ascii="宋体" w:hAnsi="宋体" w:cs="宋体"/>
          <w:color w:val="000000"/>
          <w:sz w:val="24"/>
        </w:rPr>
      </w:pPr>
    </w:p>
    <w:p>
      <w:pPr>
        <w:spacing w:line="360" w:lineRule="auto"/>
        <w:rPr>
          <w:rFonts w:ascii="宋体" w:hAnsi="宋体" w:cs="宋体"/>
          <w:color w:val="000000"/>
          <w:sz w:val="24"/>
        </w:rPr>
      </w:pPr>
      <w:r>
        <w:rPr>
          <w:rFonts w:hint="eastAsia" w:ascii="宋体" w:hAnsi="宋体" w:cs="宋体"/>
          <w:color w:val="000000"/>
          <w:sz w:val="24"/>
        </w:rPr>
        <w:t>投标供应商授权代表： ________________________</w:t>
      </w:r>
    </w:p>
    <w:p>
      <w:pPr>
        <w:spacing w:line="360" w:lineRule="auto"/>
        <w:rPr>
          <w:rFonts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360" w:lineRule="auto"/>
        <w:rPr>
          <w:rFonts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spacing w:line="360" w:lineRule="auto"/>
        <w:jc w:val="center"/>
        <w:rPr>
          <w:rFonts w:hint="eastAsia"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3、《中小企业声明函》或《残疾人福利性单位声明函》或《监狱企业声明函》（参与价格扣减的投标人应提供）；</w:t>
      </w:r>
    </w:p>
    <w:p>
      <w:pPr>
        <w:spacing w:line="360" w:lineRule="auto"/>
        <w:jc w:val="left"/>
        <w:outlineLvl w:val="2"/>
        <w:rPr>
          <w:rFonts w:ascii="宋体" w:hAnsi="宋体" w:cs="宋体"/>
          <w:b/>
          <w:bCs/>
          <w:color w:val="000000"/>
          <w:sz w:val="24"/>
          <w:u w:val="wave"/>
        </w:rPr>
      </w:pPr>
      <w:r>
        <w:rPr>
          <w:rFonts w:hint="eastAsia" w:ascii="宋体" w:hAnsi="宋体" w:cs="宋体"/>
          <w:b/>
          <w:bCs/>
          <w:sz w:val="24"/>
          <w:highlight w:val="none"/>
          <w:lang w:val="en-US" w:eastAsia="zh-CN"/>
        </w:rPr>
        <w:t>（具体详见“附件：相关政策”）</w:t>
      </w:r>
      <w:r>
        <w:rPr>
          <w:rFonts w:hint="eastAsia" w:ascii="宋体" w:hAnsi="宋体" w:cs="宋体"/>
          <w:b/>
          <w:bCs/>
          <w:color w:val="000000"/>
          <w:sz w:val="24"/>
        </w:rPr>
        <w:br w:type="page"/>
      </w:r>
      <w:r>
        <w:rPr>
          <w:rFonts w:hint="eastAsia" w:ascii="宋体" w:hAnsi="宋体" w:cs="宋体"/>
          <w:b/>
          <w:bCs/>
          <w:color w:val="000000"/>
          <w:sz w:val="24"/>
        </w:rPr>
        <w:t>（二）商务部分</w:t>
      </w:r>
    </w:p>
    <w:p>
      <w:pPr>
        <w:spacing w:line="360" w:lineRule="auto"/>
        <w:jc w:val="center"/>
        <w:rPr>
          <w:rFonts w:ascii="宋体" w:hAnsi="宋体" w:cs="宋体"/>
          <w:b/>
          <w:bCs/>
          <w:color w:val="000000"/>
          <w:sz w:val="24"/>
        </w:rPr>
      </w:pPr>
      <w:r>
        <w:rPr>
          <w:rFonts w:hint="eastAsia" w:ascii="宋体" w:hAnsi="宋体" w:eastAsia="宋体" w:cs="宋体"/>
          <w:b/>
          <w:bCs/>
          <w:color w:val="000000"/>
          <w:sz w:val="24"/>
          <w:lang w:val="en-US" w:eastAsia="zh-CN"/>
        </w:rPr>
        <w:t>1、</w:t>
      </w:r>
      <w:r>
        <w:rPr>
          <w:rFonts w:hint="eastAsia" w:ascii="宋体" w:hAnsi="宋体" w:eastAsia="宋体" w:cs="宋体"/>
          <w:b/>
          <w:bCs/>
          <w:color w:val="000000"/>
          <w:sz w:val="24"/>
        </w:rPr>
        <w:t>投</w:t>
      </w:r>
      <w:r>
        <w:rPr>
          <w:rFonts w:hint="eastAsia" w:ascii="宋体" w:hAnsi="宋体" w:cs="宋体"/>
          <w:b/>
          <w:bCs/>
          <w:color w:val="000000"/>
          <w:sz w:val="24"/>
        </w:rPr>
        <w:t>标响应书</w:t>
      </w:r>
    </w:p>
    <w:p>
      <w:pPr>
        <w:spacing w:line="360" w:lineRule="auto"/>
        <w:rPr>
          <w:rFonts w:ascii="宋体" w:hAnsi="宋体" w:cs="宋体"/>
          <w:color w:val="000000"/>
          <w:sz w:val="24"/>
        </w:rPr>
      </w:pPr>
    </w:p>
    <w:p>
      <w:pPr>
        <w:spacing w:line="360" w:lineRule="auto"/>
        <w:rPr>
          <w:rFonts w:ascii="宋体" w:hAnsi="宋体" w:cs="宋体"/>
          <w:color w:val="000000"/>
          <w:sz w:val="24"/>
          <w:u w:val="single"/>
        </w:rPr>
      </w:pPr>
      <w:r>
        <w:rPr>
          <w:rFonts w:hint="eastAsia" w:ascii="宋体" w:hAnsi="宋体" w:cs="宋体"/>
          <w:color w:val="000000"/>
          <w:sz w:val="24"/>
        </w:rPr>
        <w:t>致：</w:t>
      </w:r>
      <w:r>
        <w:rPr>
          <w:rFonts w:hint="eastAsia" w:ascii="宋体" w:hAnsi="宋体" w:cs="宋体"/>
          <w:color w:val="000000"/>
          <w:sz w:val="24"/>
          <w:u w:val="single"/>
        </w:rPr>
        <w:t xml:space="preserve">                    </w:t>
      </w:r>
    </w:p>
    <w:p>
      <w:pPr>
        <w:spacing w:line="360" w:lineRule="auto"/>
        <w:ind w:firstLine="494" w:firstLineChars="206"/>
        <w:rPr>
          <w:rFonts w:ascii="宋体" w:hAnsi="宋体" w:cs="宋体"/>
          <w:color w:val="000000"/>
          <w:sz w:val="24"/>
        </w:rPr>
      </w:pPr>
      <w:r>
        <w:rPr>
          <w:rFonts w:hint="eastAsia" w:ascii="宋体" w:hAnsi="宋体" w:cs="宋体"/>
          <w:color w:val="000000"/>
          <w:sz w:val="24"/>
        </w:rPr>
        <w:t>根据贵方为</w:t>
      </w:r>
      <w:r>
        <w:rPr>
          <w:rFonts w:hint="eastAsia" w:ascii="宋体" w:hAnsi="宋体" w:cs="宋体"/>
          <w:color w:val="000000"/>
          <w:sz w:val="24"/>
          <w:u w:val="single"/>
        </w:rPr>
        <w:t xml:space="preserve">            </w:t>
      </w:r>
      <w:r>
        <w:rPr>
          <w:rFonts w:hint="eastAsia" w:ascii="宋体" w:hAnsi="宋体" w:cs="宋体"/>
          <w:color w:val="000000"/>
          <w:sz w:val="24"/>
        </w:rPr>
        <w:t>项目采购的邀请</w:t>
      </w:r>
      <w:r>
        <w:rPr>
          <w:rFonts w:hint="eastAsia" w:ascii="宋体" w:hAnsi="宋体" w:cs="宋体"/>
          <w:color w:val="000000"/>
          <w:sz w:val="24"/>
          <w:u w:val="single"/>
        </w:rPr>
        <w:t xml:space="preserve">                   </w:t>
      </w:r>
      <w:r>
        <w:rPr>
          <w:rFonts w:hint="eastAsia" w:ascii="宋体" w:hAnsi="宋体" w:cs="宋体"/>
          <w:color w:val="000000"/>
          <w:sz w:val="24"/>
        </w:rPr>
        <w:t>（招标文件编号         ），签字代表</w:t>
      </w:r>
      <w:r>
        <w:rPr>
          <w:rFonts w:hint="eastAsia" w:ascii="宋体" w:hAnsi="宋体" w:cs="宋体"/>
          <w:color w:val="000000"/>
          <w:sz w:val="24"/>
          <w:u w:val="single"/>
        </w:rPr>
        <w:t xml:space="preserve">                        </w:t>
      </w:r>
      <w:r>
        <w:rPr>
          <w:rFonts w:hint="eastAsia" w:ascii="宋体" w:hAnsi="宋体" w:cs="宋体"/>
          <w:color w:val="000000"/>
          <w:sz w:val="24"/>
        </w:rPr>
        <w:t>（全名、职务）经正式授权并代表供应商</w:t>
      </w:r>
      <w:r>
        <w:rPr>
          <w:rFonts w:hint="eastAsia" w:ascii="宋体" w:hAnsi="宋体" w:cs="宋体"/>
          <w:color w:val="000000"/>
          <w:sz w:val="24"/>
          <w:u w:val="single"/>
        </w:rPr>
        <w:t xml:space="preserve">                                  </w:t>
      </w:r>
      <w:r>
        <w:rPr>
          <w:rFonts w:hint="eastAsia" w:ascii="宋体" w:hAnsi="宋体" w:cs="宋体"/>
          <w:color w:val="000000"/>
          <w:sz w:val="24"/>
        </w:rPr>
        <w:t>（供应商方名称、地址）提交</w:t>
      </w:r>
      <w:r>
        <w:rPr>
          <w:rFonts w:hint="eastAsia" w:ascii="宋体" w:hAnsi="宋体" w:cs="宋体"/>
          <w:b/>
          <w:color w:val="000000"/>
          <w:sz w:val="24"/>
        </w:rPr>
        <w:t>一份正本四份副本以及1份电子文档的</w:t>
      </w:r>
      <w:r>
        <w:rPr>
          <w:rFonts w:hint="eastAsia" w:ascii="宋体" w:hAnsi="宋体" w:cs="宋体"/>
          <w:color w:val="000000"/>
          <w:sz w:val="24"/>
        </w:rPr>
        <w:t>投标文件。</w:t>
      </w:r>
    </w:p>
    <w:p>
      <w:pPr>
        <w:spacing w:line="360" w:lineRule="auto"/>
        <w:rPr>
          <w:rFonts w:ascii="宋体" w:hAnsi="宋体" w:cs="宋体"/>
          <w:color w:val="000000"/>
          <w:sz w:val="24"/>
        </w:rPr>
      </w:pPr>
      <w:r>
        <w:rPr>
          <w:rFonts w:hint="eastAsia" w:ascii="宋体" w:hAnsi="宋体" w:cs="宋体"/>
          <w:color w:val="000000"/>
          <w:sz w:val="24"/>
        </w:rPr>
        <w:t xml:space="preserve">  据此函，签字代表宣布同意如下：</w:t>
      </w:r>
    </w:p>
    <w:p>
      <w:pPr>
        <w:spacing w:line="360" w:lineRule="auto"/>
        <w:rPr>
          <w:rFonts w:ascii="宋体" w:hAnsi="宋体" w:cs="宋体"/>
          <w:color w:val="000000"/>
          <w:sz w:val="24"/>
        </w:rPr>
      </w:pPr>
      <w:r>
        <w:rPr>
          <w:rFonts w:hint="eastAsia" w:ascii="宋体" w:hAnsi="宋体" w:cs="宋体"/>
          <w:color w:val="000000"/>
          <w:sz w:val="24"/>
        </w:rPr>
        <w:t>1、供应商方将按招标文件的规定履行合同责任和义务。</w:t>
      </w:r>
    </w:p>
    <w:p>
      <w:pPr>
        <w:spacing w:line="360" w:lineRule="auto"/>
        <w:rPr>
          <w:rFonts w:ascii="宋体" w:hAnsi="宋体" w:cs="宋体"/>
          <w:color w:val="000000"/>
          <w:sz w:val="24"/>
        </w:rPr>
      </w:pPr>
      <w:r>
        <w:rPr>
          <w:rFonts w:hint="eastAsia" w:ascii="宋体" w:hAnsi="宋体" w:cs="宋体"/>
          <w:color w:val="000000"/>
          <w:sz w:val="24"/>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color w:val="000000"/>
          <w:sz w:val="24"/>
        </w:rPr>
      </w:pPr>
      <w:r>
        <w:rPr>
          <w:rFonts w:hint="eastAsia" w:ascii="宋体" w:hAnsi="宋体" w:cs="宋体"/>
          <w:color w:val="000000"/>
          <w:sz w:val="24"/>
        </w:rPr>
        <w:t>3、与本投标项目有关的一切正式往来通讯请寄：</w:t>
      </w:r>
    </w:p>
    <w:p>
      <w:pPr>
        <w:spacing w:line="360" w:lineRule="auto"/>
        <w:rPr>
          <w:rFonts w:ascii="宋体" w:hAnsi="宋体" w:cs="宋体"/>
          <w:color w:val="000000"/>
          <w:sz w:val="24"/>
          <w:u w:val="single"/>
        </w:rPr>
      </w:pPr>
      <w:r>
        <w:rPr>
          <w:rFonts w:hint="eastAsia" w:ascii="宋体" w:hAnsi="宋体" w:cs="宋体"/>
          <w:color w:val="000000"/>
          <w:sz w:val="24"/>
        </w:rPr>
        <w:t>地址：</w:t>
      </w:r>
      <w:r>
        <w:rPr>
          <w:rFonts w:hint="eastAsia" w:ascii="宋体" w:hAnsi="宋体" w:cs="宋体"/>
          <w:color w:val="000000"/>
          <w:sz w:val="24"/>
          <w:u w:val="single"/>
        </w:rPr>
        <w:t xml:space="preserve">                              </w:t>
      </w:r>
      <w:r>
        <w:rPr>
          <w:rFonts w:hint="eastAsia" w:ascii="宋体" w:hAnsi="宋体" w:cs="宋体"/>
          <w:color w:val="000000"/>
          <w:sz w:val="24"/>
        </w:rPr>
        <w:t xml:space="preserve">     邮编：</w:t>
      </w:r>
      <w:r>
        <w:rPr>
          <w:rFonts w:hint="eastAsia" w:ascii="宋体" w:hAnsi="宋体" w:cs="宋体"/>
          <w:color w:val="000000"/>
          <w:sz w:val="24"/>
          <w:u w:val="single"/>
        </w:rPr>
        <w:t xml:space="preserve">                      </w:t>
      </w:r>
    </w:p>
    <w:p>
      <w:pPr>
        <w:spacing w:line="360" w:lineRule="auto"/>
        <w:rPr>
          <w:rFonts w:ascii="宋体" w:hAnsi="宋体" w:cs="宋体"/>
          <w:color w:val="000000"/>
          <w:sz w:val="24"/>
          <w:u w:val="single"/>
        </w:rPr>
      </w:pPr>
      <w:r>
        <w:rPr>
          <w:rFonts w:hint="eastAsia" w:ascii="宋体" w:hAnsi="宋体" w:cs="宋体"/>
          <w:color w:val="000000"/>
          <w:sz w:val="24"/>
        </w:rPr>
        <w:t>电话：</w:t>
      </w:r>
      <w:r>
        <w:rPr>
          <w:rFonts w:hint="eastAsia" w:ascii="宋体" w:hAnsi="宋体" w:cs="宋体"/>
          <w:color w:val="000000"/>
          <w:sz w:val="24"/>
          <w:u w:val="single"/>
        </w:rPr>
        <w:t xml:space="preserve">                              </w:t>
      </w:r>
      <w:r>
        <w:rPr>
          <w:rFonts w:hint="eastAsia" w:ascii="宋体" w:hAnsi="宋体" w:cs="宋体"/>
          <w:color w:val="000000"/>
          <w:sz w:val="24"/>
        </w:rPr>
        <w:t xml:space="preserve">     传真：</w:t>
      </w:r>
      <w:r>
        <w:rPr>
          <w:rFonts w:hint="eastAsia" w:ascii="宋体" w:hAnsi="宋体" w:cs="宋体"/>
          <w:color w:val="000000"/>
          <w:sz w:val="24"/>
          <w:u w:val="single"/>
        </w:rPr>
        <w:t xml:space="preserve">                      </w:t>
      </w:r>
    </w:p>
    <w:p>
      <w:pPr>
        <w:spacing w:line="360" w:lineRule="auto"/>
        <w:rPr>
          <w:rFonts w:ascii="宋体" w:hAnsi="宋体" w:cs="宋体"/>
          <w:color w:val="000000"/>
          <w:sz w:val="24"/>
        </w:rPr>
      </w:pPr>
      <w:r>
        <w:rPr>
          <w:rFonts w:hint="eastAsia" w:ascii="宋体" w:hAnsi="宋体" w:cs="宋体"/>
          <w:color w:val="000000"/>
          <w:sz w:val="24"/>
        </w:rPr>
        <w:t>邮箱：</w:t>
      </w:r>
      <w:r>
        <w:rPr>
          <w:rFonts w:hint="eastAsia" w:ascii="宋体" w:hAnsi="宋体" w:cs="宋体"/>
          <w:color w:val="000000"/>
          <w:sz w:val="24"/>
          <w:u w:val="single"/>
        </w:rPr>
        <w:t xml:space="preserve">                              </w:t>
      </w:r>
    </w:p>
    <w:p>
      <w:pPr>
        <w:spacing w:line="360" w:lineRule="auto"/>
        <w:rPr>
          <w:rFonts w:ascii="宋体" w:hAnsi="宋体" w:cs="宋体"/>
          <w:color w:val="000000"/>
          <w:sz w:val="24"/>
          <w:u w:val="single"/>
        </w:rPr>
      </w:pPr>
      <w:r>
        <w:rPr>
          <w:rFonts w:hint="eastAsia" w:ascii="宋体" w:hAnsi="宋体" w:cs="宋体"/>
          <w:color w:val="000000"/>
          <w:sz w:val="24"/>
        </w:rPr>
        <w:t>投标供应商授权代表、职务（印刷体）：</w:t>
      </w:r>
      <w:r>
        <w:rPr>
          <w:rFonts w:hint="eastAsia" w:ascii="宋体" w:hAnsi="宋体" w:cs="宋体"/>
          <w:color w:val="000000"/>
          <w:sz w:val="24"/>
          <w:u w:val="single"/>
        </w:rPr>
        <w:t xml:space="preserve">                                      </w:t>
      </w:r>
    </w:p>
    <w:p>
      <w:pPr>
        <w:spacing w:line="360" w:lineRule="auto"/>
        <w:rPr>
          <w:rFonts w:ascii="宋体" w:hAnsi="宋体" w:cs="宋体"/>
          <w:color w:val="000000"/>
          <w:sz w:val="24"/>
          <w:u w:val="single"/>
        </w:rPr>
      </w:pPr>
      <w:r>
        <w:rPr>
          <w:rFonts w:hint="eastAsia" w:ascii="宋体" w:hAnsi="宋体" w:cs="宋体"/>
          <w:color w:val="000000"/>
          <w:sz w:val="24"/>
        </w:rPr>
        <w:t>投标供应商名称：</w:t>
      </w:r>
      <w:r>
        <w:rPr>
          <w:rFonts w:hint="eastAsia" w:ascii="宋体" w:hAnsi="宋体" w:cs="宋体"/>
          <w:color w:val="000000"/>
          <w:sz w:val="24"/>
          <w:u w:val="single"/>
        </w:rPr>
        <w:t xml:space="preserve">                             </w:t>
      </w:r>
    </w:p>
    <w:p>
      <w:pPr>
        <w:spacing w:line="360" w:lineRule="auto"/>
        <w:rPr>
          <w:rFonts w:ascii="宋体" w:hAnsi="宋体" w:cs="宋体"/>
          <w:color w:val="000000"/>
          <w:sz w:val="24"/>
          <w:u w:val="single"/>
        </w:rPr>
      </w:pPr>
      <w:r>
        <w:rPr>
          <w:rFonts w:hint="eastAsia" w:ascii="宋体" w:hAnsi="宋体" w:cs="宋体"/>
          <w:color w:val="000000"/>
          <w:sz w:val="24"/>
        </w:rPr>
        <w:t>（公  章）：</w:t>
      </w:r>
      <w:r>
        <w:rPr>
          <w:rFonts w:hint="eastAsia" w:ascii="宋体" w:hAnsi="宋体" w:cs="宋体"/>
          <w:color w:val="000000"/>
          <w:sz w:val="24"/>
          <w:u w:val="single"/>
        </w:rPr>
        <w:t xml:space="preserve">                                 </w:t>
      </w:r>
    </w:p>
    <w:p>
      <w:pPr>
        <w:spacing w:line="360" w:lineRule="auto"/>
        <w:rPr>
          <w:rFonts w:ascii="宋体" w:hAnsi="宋体" w:cs="宋体"/>
          <w:color w:val="000000"/>
          <w:sz w:val="24"/>
        </w:rPr>
      </w:pPr>
      <w:r>
        <w:rPr>
          <w:rFonts w:hint="eastAsia" w:ascii="宋体" w:hAnsi="宋体" w:cs="宋体"/>
          <w:color w:val="000000"/>
          <w:sz w:val="24"/>
        </w:rPr>
        <w:t>日      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spacing w:line="360" w:lineRule="auto"/>
        <w:rPr>
          <w:rFonts w:ascii="宋体" w:hAnsi="宋体" w:cs="宋体"/>
          <w:b/>
          <w:bCs/>
          <w:color w:val="000000"/>
          <w:sz w:val="24"/>
        </w:rPr>
      </w:pPr>
      <w:r>
        <w:rPr>
          <w:rFonts w:hint="eastAsia" w:ascii="宋体" w:hAnsi="宋体" w:cs="宋体"/>
          <w:color w:val="000000"/>
          <w:sz w:val="24"/>
        </w:rPr>
        <w:t>投标供应商授权代表：</w:t>
      </w:r>
      <w:r>
        <w:rPr>
          <w:rFonts w:hint="eastAsia" w:ascii="宋体" w:hAnsi="宋体" w:cs="宋体"/>
          <w:color w:val="000000"/>
          <w:sz w:val="24"/>
          <w:u w:val="single"/>
        </w:rPr>
        <w:t xml:space="preserve">                           </w:t>
      </w:r>
    </w:p>
    <w:p>
      <w:pPr>
        <w:pStyle w:val="6"/>
        <w:rPr>
          <w:color w:val="000000"/>
        </w:rPr>
      </w:pPr>
    </w:p>
    <w:p>
      <w:pPr>
        <w:pStyle w:val="9"/>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br w:type="page"/>
      </w:r>
      <w:r>
        <w:rPr>
          <w:rFonts w:hint="eastAsia" w:ascii="宋体" w:hAnsi="宋体" w:eastAsia="宋体" w:cs="宋体"/>
          <w:b/>
          <w:bCs/>
          <w:kern w:val="2"/>
          <w:sz w:val="24"/>
          <w:szCs w:val="24"/>
          <w:highlight w:val="none"/>
          <w:lang w:val="en-US" w:eastAsia="zh-CN" w:bidi="ar-SA"/>
        </w:rPr>
        <w:t>2、联合体协议</w:t>
      </w:r>
    </w:p>
    <w:p>
      <w:pPr>
        <w:pStyle w:val="9"/>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（格式自拟）</w:t>
      </w:r>
    </w:p>
    <w:p>
      <w:pPr>
        <w:numPr>
          <w:ilvl w:val="0"/>
          <w:numId w:val="0"/>
        </w:numPr>
        <w:tabs>
          <w:tab w:val="left" w:pos="640"/>
          <w:tab w:val="left" w:pos="1260"/>
          <w:tab w:val="left" w:pos="1418"/>
        </w:tabs>
        <w:spacing w:line="360" w:lineRule="auto"/>
        <w:ind w:left="645" w:hanging="645"/>
        <w:rPr>
          <w:rFonts w:hint="eastAsia" w:ascii="宋体" w:hAnsi="宋体" w:eastAsia="宋体" w:cs="宋体"/>
          <w:b/>
          <w:bCs/>
          <w:kern w:val="2"/>
          <w:sz w:val="24"/>
          <w:highlight w:val="none"/>
          <w:lang w:val="fr-CH"/>
        </w:rPr>
      </w:pPr>
      <w:r>
        <w:rPr>
          <w:rFonts w:hint="eastAsia" w:ascii="宋体" w:hAnsi="宋体" w:cs="宋体"/>
          <w:color w:val="000000"/>
          <w:sz w:val="24"/>
          <w:lang w:val="fr-CH"/>
        </w:rPr>
        <w:br w:type="page"/>
      </w:r>
      <w:r>
        <w:rPr>
          <w:rFonts w:hint="eastAsia" w:ascii="宋体" w:hAnsi="宋体" w:eastAsia="宋体" w:cs="宋体"/>
          <w:b/>
          <w:bCs/>
          <w:kern w:val="2"/>
          <w:sz w:val="24"/>
          <w:highlight w:val="none"/>
          <w:lang w:val="en-US" w:eastAsia="zh-CN"/>
        </w:rPr>
        <w:t>3、</w:t>
      </w:r>
      <w:r>
        <w:rPr>
          <w:rFonts w:hint="eastAsia" w:ascii="宋体" w:hAnsi="宋体" w:eastAsia="宋体" w:cs="宋体"/>
          <w:b/>
          <w:bCs/>
          <w:kern w:val="2"/>
          <w:sz w:val="24"/>
          <w:highlight w:val="none"/>
          <w:lang w:val="fr-CH"/>
        </w:rPr>
        <w:t>投标人须为经司法行政部门批准成立并有效存续的律师事务所，具备有效的《律师事务所执业许可证》（提供《律师事务所执业许可证》复印件，加盖公章，原件备查）（分所投标须提供《律师事务所分所执业许可证》和总所的《律师事务所执业许可证》</w:t>
      </w:r>
      <w:r>
        <w:rPr>
          <w:rFonts w:hint="eastAsia" w:ascii="宋体" w:hAnsi="宋体" w:eastAsia="宋体" w:cs="宋体"/>
          <w:b/>
          <w:bCs/>
          <w:kern w:val="2"/>
          <w:sz w:val="24"/>
          <w:highlight w:val="none"/>
          <w:lang w:val="fr-CH" w:eastAsia="zh-CN"/>
        </w:rPr>
        <w:t>，</w:t>
      </w:r>
      <w:r>
        <w:rPr>
          <w:rFonts w:hint="eastAsia" w:ascii="宋体" w:hAnsi="宋体" w:eastAsia="宋体" w:cs="宋体"/>
          <w:b/>
          <w:bCs/>
          <w:kern w:val="2"/>
          <w:sz w:val="24"/>
          <w:highlight w:val="none"/>
          <w:lang w:val="fr-CH"/>
        </w:rPr>
        <w:t>以及由总所出具的愿为其参与本项目投标、履约等行为承担民事责任的承诺函，承诺函格式自拟，以上材料须提供复印件加盖公章，原件备查）</w:t>
      </w:r>
    </w:p>
    <w:p>
      <w:pPr>
        <w:numPr>
          <w:ilvl w:val="0"/>
          <w:numId w:val="0"/>
        </w:numPr>
        <w:tabs>
          <w:tab w:val="left" w:pos="640"/>
          <w:tab w:val="left" w:pos="1260"/>
          <w:tab w:val="left" w:pos="1418"/>
        </w:tabs>
        <w:spacing w:line="360" w:lineRule="auto"/>
        <w:ind w:left="645" w:hanging="645"/>
        <w:jc w:val="center"/>
        <w:rPr>
          <w:rFonts w:ascii="宋体" w:hAnsi="宋体" w:cs="宋体"/>
          <w:b/>
          <w:bCs/>
          <w:color w:val="000000"/>
          <w:sz w:val="24"/>
          <w:lang w:val="fr-CH"/>
        </w:rPr>
      </w:pPr>
      <w:r>
        <w:rPr>
          <w:rFonts w:hint="eastAsia" w:ascii="宋体" w:hAnsi="宋体" w:eastAsia="宋体" w:cs="宋体"/>
          <w:b/>
          <w:bCs/>
          <w:kern w:val="2"/>
          <w:sz w:val="24"/>
          <w:highlight w:val="none"/>
          <w:lang w:val="fr-CH"/>
        </w:rPr>
        <w:br w:type="page"/>
      </w:r>
      <w:r>
        <w:rPr>
          <w:rFonts w:hint="eastAsia" w:ascii="宋体" w:hAnsi="宋体" w:eastAsia="宋体" w:cs="宋体"/>
          <w:b/>
          <w:bCs/>
          <w:kern w:val="2"/>
          <w:sz w:val="24"/>
          <w:highlight w:val="none"/>
          <w:lang w:val="en-US" w:eastAsia="zh-CN"/>
        </w:rPr>
        <w:t>4、</w:t>
      </w:r>
      <w:r>
        <w:rPr>
          <w:rFonts w:hint="eastAsia" w:ascii="宋体" w:hAnsi="宋体" w:cs="宋体"/>
          <w:b/>
          <w:bCs/>
          <w:color w:val="000000"/>
          <w:sz w:val="24"/>
          <w:lang w:val="fr-CH"/>
        </w:rPr>
        <w:t>政府采购投标及履约承诺函</w:t>
      </w:r>
    </w:p>
    <w:p>
      <w:pPr>
        <w:spacing w:line="360" w:lineRule="auto"/>
        <w:rPr>
          <w:rFonts w:ascii="宋体" w:hAnsi="宋体" w:cs="宋体"/>
          <w:color w:val="000000"/>
          <w:sz w:val="24"/>
        </w:rPr>
      </w:pPr>
      <w:r>
        <w:rPr>
          <w:rFonts w:hint="eastAsia" w:ascii="宋体" w:hAnsi="宋体" w:cs="宋体"/>
          <w:color w:val="000000"/>
          <w:sz w:val="24"/>
        </w:rPr>
        <w:t>（采购单位名称/代理机构名称）：</w:t>
      </w:r>
    </w:p>
    <w:p>
      <w:pPr>
        <w:spacing w:line="360" w:lineRule="auto"/>
        <w:ind w:firstLine="480" w:firstLineChars="200"/>
        <w:rPr>
          <w:rFonts w:ascii="宋体" w:hAnsi="宋体" w:cs="宋体"/>
          <w:color w:val="000000"/>
          <w:sz w:val="24"/>
        </w:rPr>
      </w:pPr>
      <w:r>
        <w:rPr>
          <w:rFonts w:hint="eastAsia" w:ascii="宋体" w:hAnsi="宋体" w:cs="宋体"/>
          <w:color w:val="000000"/>
          <w:sz w:val="24"/>
        </w:rPr>
        <w:t>我单位深知本项目对贵局的重要性和紧迫性，亦了解贵局对廉政建设的相关要求，因此我单位承诺如下：</w:t>
      </w:r>
    </w:p>
    <w:p>
      <w:pPr>
        <w:numPr>
          <w:ilvl w:val="0"/>
          <w:numId w:val="5"/>
        </w:numPr>
        <w:spacing w:line="360" w:lineRule="auto"/>
        <w:ind w:firstLine="480" w:firstLineChars="200"/>
        <w:rPr>
          <w:rFonts w:ascii="宋体" w:hAnsi="宋体" w:cs="宋体"/>
          <w:color w:val="000000"/>
          <w:sz w:val="24"/>
        </w:rPr>
      </w:pPr>
      <w:r>
        <w:rPr>
          <w:rFonts w:hint="eastAsia" w:ascii="宋体" w:hAnsi="宋体" w:cs="宋体"/>
          <w:color w:val="000000"/>
          <w:sz w:val="24"/>
        </w:rPr>
        <w:t>我单位本招标项目所提供的货物或服务未侵犯知识产权。</w:t>
      </w:r>
    </w:p>
    <w:p>
      <w:pPr>
        <w:widowControl/>
        <w:numPr>
          <w:ilvl w:val="0"/>
          <w:numId w:val="5"/>
        </w:numPr>
        <w:shd w:val="clear" w:color="auto" w:fill="FFFFFF"/>
        <w:spacing w:line="360" w:lineRule="auto"/>
        <w:ind w:right="-4" w:firstLine="480" w:firstLineChars="200"/>
        <w:jc w:val="left"/>
        <w:rPr>
          <w:rFonts w:ascii="宋体" w:hAnsi="宋体" w:cs="宋体"/>
          <w:color w:val="000000"/>
          <w:kern w:val="0"/>
          <w:sz w:val="24"/>
        </w:rPr>
      </w:pPr>
      <w:r>
        <w:rPr>
          <w:rFonts w:hint="eastAsia" w:ascii="宋体" w:hAnsi="宋体" w:cs="宋体"/>
          <w:color w:val="000000"/>
          <w:sz w:val="24"/>
        </w:rPr>
        <w:t>我单位</w:t>
      </w:r>
      <w:r>
        <w:rPr>
          <w:rFonts w:hint="eastAsia" w:ascii="宋体" w:hAnsi="宋体" w:cs="宋体"/>
          <w:color w:val="000000"/>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5"/>
        </w:numPr>
        <w:shd w:val="clear" w:color="auto" w:fill="FFFFFF"/>
        <w:spacing w:line="360" w:lineRule="auto"/>
        <w:ind w:right="-4" w:firstLine="480" w:firstLineChars="200"/>
        <w:jc w:val="left"/>
        <w:rPr>
          <w:rFonts w:ascii="宋体" w:hAnsi="宋体" w:cs="宋体"/>
          <w:color w:val="000000"/>
          <w:kern w:val="0"/>
          <w:sz w:val="24"/>
        </w:rPr>
      </w:pPr>
      <w:r>
        <w:rPr>
          <w:rFonts w:hint="eastAsia" w:ascii="宋体" w:hAnsi="宋体" w:cs="宋体"/>
          <w:color w:val="000000"/>
          <w:sz w:val="24"/>
        </w:rPr>
        <w:t>我单位</w:t>
      </w:r>
      <w:r>
        <w:rPr>
          <w:rFonts w:hint="eastAsia" w:ascii="宋体" w:hAnsi="宋体" w:cs="宋体"/>
          <w:color w:val="000000"/>
          <w:kern w:val="0"/>
          <w:sz w:val="24"/>
        </w:rPr>
        <w:t>及其法定代表人近三年内（投标人成立不足三年的可从成立之日起算）无行贿犯罪记录；</w:t>
      </w:r>
    </w:p>
    <w:p>
      <w:pPr>
        <w:numPr>
          <w:ilvl w:val="0"/>
          <w:numId w:val="5"/>
        </w:numPr>
        <w:spacing w:line="360" w:lineRule="auto"/>
        <w:ind w:firstLine="480" w:firstLineChars="200"/>
        <w:rPr>
          <w:rFonts w:ascii="宋体" w:hAnsi="宋体" w:cs="宋体"/>
          <w:color w:val="000000"/>
          <w:sz w:val="24"/>
        </w:rPr>
      </w:pPr>
      <w:r>
        <w:rPr>
          <w:rFonts w:hint="eastAsia" w:ascii="宋体" w:hAnsi="宋体" w:cs="宋体"/>
          <w:color w:val="000000"/>
          <w:sz w:val="24"/>
        </w:rPr>
        <w:t>我单位具备《中华人民共和国政府采购法》第二十二条第一款的条件。</w:t>
      </w:r>
    </w:p>
    <w:p>
      <w:pPr>
        <w:numPr>
          <w:ilvl w:val="0"/>
          <w:numId w:val="5"/>
        </w:numPr>
        <w:spacing w:line="360" w:lineRule="auto"/>
        <w:ind w:firstLine="480" w:firstLineChars="200"/>
        <w:rPr>
          <w:rFonts w:ascii="宋体" w:hAnsi="宋体" w:cs="宋体"/>
          <w:color w:val="000000"/>
          <w:sz w:val="24"/>
        </w:rPr>
      </w:pPr>
      <w:r>
        <w:rPr>
          <w:rFonts w:hint="eastAsia" w:ascii="宋体" w:hAnsi="宋体" w:cs="宋体"/>
          <w:color w:val="000000"/>
          <w:kern w:val="0"/>
          <w:sz w:val="24"/>
          <w:lang w:bidi="ar"/>
        </w:rPr>
        <w:t>符合财政部和深圳市财政局关于诚信管理的要求，</w:t>
      </w:r>
      <w:r>
        <w:rPr>
          <w:rFonts w:hint="eastAsia" w:ascii="宋体" w:hAnsi="宋体" w:cs="宋体"/>
          <w:color w:val="000000"/>
          <w:kern w:val="0"/>
          <w:sz w:val="24"/>
        </w:rPr>
        <w:t>至投标截止时间，我单位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w:t>
      </w:r>
      <w:r>
        <w:rPr>
          <w:rFonts w:hint="eastAsia" w:ascii="宋体" w:hAnsi="宋体" w:cs="宋体"/>
          <w:color w:val="000000"/>
          <w:sz w:val="24"/>
        </w:rPr>
        <w:t>。</w:t>
      </w:r>
    </w:p>
    <w:p>
      <w:pPr>
        <w:numPr>
          <w:ilvl w:val="0"/>
          <w:numId w:val="5"/>
        </w:numPr>
        <w:spacing w:line="360" w:lineRule="auto"/>
        <w:ind w:firstLine="480" w:firstLineChars="200"/>
        <w:rPr>
          <w:rFonts w:ascii="宋体" w:hAnsi="宋体" w:cs="宋体"/>
          <w:color w:val="000000"/>
          <w:sz w:val="24"/>
        </w:rPr>
      </w:pPr>
      <w:r>
        <w:rPr>
          <w:rFonts w:hint="eastAsia" w:ascii="宋体" w:hAnsi="宋体" w:cs="宋体"/>
          <w:color w:val="000000"/>
          <w:sz w:val="24"/>
        </w:rPr>
        <w:t>我单位不存在单位法定代表人为同一人或者存在直接控股、管理关系的不同供应商，同时参加本项目投标之情形；我公司未为本项目提供过整体设计、规范编制或者项目管理、监理、检测等服务。</w:t>
      </w:r>
      <w:r>
        <w:rPr>
          <w:rFonts w:hint="eastAsia" w:ascii="宋体" w:hAnsi="宋体" w:cs="宋体"/>
          <w:color w:val="000000"/>
          <w:sz w:val="24"/>
          <w:lang w:eastAsia="zh-CN"/>
        </w:rPr>
        <w:t>我单位承诺与其他不同供应商的法定代表人、主要经营负责人、投标授权代表人、项目负责人（如有）、</w:t>
      </w:r>
      <w:r>
        <w:rPr>
          <w:rFonts w:hint="eastAsia" w:ascii="宋体" w:hAnsi="宋体" w:cs="宋体"/>
          <w:color w:val="000000"/>
          <w:sz w:val="24"/>
          <w:lang w:val="en-US" w:eastAsia="zh-CN"/>
        </w:rPr>
        <w:t>主要技术人员（如有）</w:t>
      </w:r>
      <w:r>
        <w:rPr>
          <w:rFonts w:hint="eastAsia" w:ascii="宋体" w:hAnsi="宋体" w:cs="宋体"/>
          <w:color w:val="000000"/>
          <w:sz w:val="24"/>
          <w:lang w:eastAsia="zh-CN"/>
        </w:rPr>
        <w:t>不存在为同一人、属同一单位或者在同一单位缴纳社会保险的情形。</w:t>
      </w:r>
    </w:p>
    <w:p>
      <w:pPr>
        <w:numPr>
          <w:ilvl w:val="0"/>
          <w:numId w:val="5"/>
        </w:numPr>
        <w:spacing w:line="360" w:lineRule="auto"/>
        <w:ind w:firstLine="480" w:firstLineChars="200"/>
        <w:rPr>
          <w:rFonts w:ascii="宋体" w:hAnsi="宋体" w:cs="宋体"/>
          <w:color w:val="000000"/>
          <w:sz w:val="24"/>
        </w:rPr>
      </w:pPr>
      <w:r>
        <w:rPr>
          <w:rFonts w:hint="eastAsia" w:ascii="宋体" w:hAnsi="宋体" w:cs="宋体"/>
          <w:color w:val="000000"/>
          <w:sz w:val="24"/>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5"/>
        </w:numPr>
        <w:spacing w:line="360" w:lineRule="auto"/>
        <w:ind w:firstLine="480" w:firstLineChars="200"/>
        <w:rPr>
          <w:rFonts w:ascii="宋体" w:hAnsi="宋体" w:cs="宋体"/>
          <w:color w:val="000000"/>
          <w:sz w:val="24"/>
        </w:rPr>
      </w:pPr>
      <w:r>
        <w:rPr>
          <w:rFonts w:hint="eastAsia" w:ascii="宋体" w:hAnsi="宋体" w:cs="宋体"/>
          <w:color w:val="000000"/>
          <w:sz w:val="24"/>
        </w:rPr>
        <w:t>我单位如果中标，做到诚实守信，依照本项目招标文件需求内容、签署的采购合同及本单位在投标中所作的一切承诺履约；不非法转包、分包。</w:t>
      </w:r>
    </w:p>
    <w:p>
      <w:pPr>
        <w:numPr>
          <w:ilvl w:val="0"/>
          <w:numId w:val="5"/>
        </w:numPr>
        <w:spacing w:line="360" w:lineRule="auto"/>
        <w:ind w:firstLine="480" w:firstLineChars="200"/>
        <w:rPr>
          <w:rFonts w:ascii="宋体" w:hAnsi="宋体" w:cs="宋体"/>
          <w:color w:val="000000"/>
          <w:sz w:val="24"/>
        </w:rPr>
      </w:pPr>
      <w:r>
        <w:rPr>
          <w:rFonts w:hint="eastAsia" w:ascii="宋体" w:hAnsi="宋体" w:cs="宋体"/>
          <w:color w:val="000000"/>
          <w:sz w:val="24"/>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5"/>
        </w:numPr>
        <w:spacing w:line="360" w:lineRule="auto"/>
        <w:ind w:firstLine="480" w:firstLineChars="200"/>
        <w:rPr>
          <w:rFonts w:ascii="宋体" w:hAnsi="宋体" w:cs="宋体"/>
          <w:color w:val="000000"/>
          <w:sz w:val="24"/>
        </w:rPr>
      </w:pPr>
      <w:r>
        <w:rPr>
          <w:rFonts w:hint="eastAsia" w:ascii="宋体" w:hAnsi="宋体" w:cs="宋体"/>
          <w:color w:val="000000"/>
          <w:sz w:val="24"/>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5"/>
        </w:numPr>
        <w:spacing w:line="360" w:lineRule="auto"/>
        <w:ind w:firstLine="480" w:firstLineChars="200"/>
        <w:rPr>
          <w:rFonts w:ascii="宋体" w:hAnsi="宋体" w:cs="宋体"/>
          <w:color w:val="000000"/>
          <w:sz w:val="24"/>
        </w:rPr>
      </w:pPr>
      <w:r>
        <w:rPr>
          <w:rFonts w:hint="eastAsia" w:ascii="宋体" w:hAnsi="宋体" w:cs="宋体"/>
          <w:color w:val="000000"/>
          <w:sz w:val="24"/>
        </w:rPr>
        <w:t>我单位承诺未参与本项目的采购需求、技术指标、商务指标等内容的设定，不存在对其他投标单位不公平的行为。</w:t>
      </w:r>
    </w:p>
    <w:p>
      <w:pPr>
        <w:numPr>
          <w:ilvl w:val="0"/>
          <w:numId w:val="5"/>
        </w:numPr>
        <w:spacing w:line="360" w:lineRule="auto"/>
        <w:ind w:firstLine="480" w:firstLineChars="200"/>
        <w:rPr>
          <w:rFonts w:ascii="宋体" w:hAnsi="宋体" w:cs="宋体"/>
          <w:color w:val="000000"/>
          <w:sz w:val="24"/>
        </w:rPr>
      </w:pPr>
      <w:r>
        <w:rPr>
          <w:rFonts w:hint="eastAsia" w:ascii="宋体" w:hAnsi="宋体" w:cs="宋体"/>
          <w:color w:val="000000"/>
          <w:sz w:val="24"/>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color w:val="000000"/>
          <w:sz w:val="24"/>
        </w:rPr>
      </w:pPr>
      <w:r>
        <w:rPr>
          <w:rFonts w:hint="eastAsia" w:ascii="宋体" w:hAnsi="宋体" w:cs="宋体"/>
          <w:color w:val="000000"/>
          <w:sz w:val="24"/>
        </w:rPr>
        <w:t>13.我单位承诺本单位（公司）不存在《深圳市财政局政府采购供应商信用信息管理办法》（深财规〔2023〕3号）列明的严重违法失信行为。</w:t>
      </w:r>
    </w:p>
    <w:p>
      <w:pPr>
        <w:spacing w:line="360" w:lineRule="auto"/>
        <w:ind w:firstLine="480" w:firstLineChars="200"/>
        <w:rPr>
          <w:rFonts w:ascii="宋体" w:hAnsi="宋体" w:cs="宋体"/>
          <w:color w:val="000000"/>
          <w:sz w:val="24"/>
        </w:rPr>
      </w:pPr>
      <w:r>
        <w:rPr>
          <w:rFonts w:hint="eastAsia" w:ascii="宋体" w:hAnsi="宋体" w:cs="宋体"/>
          <w:color w:val="000000"/>
          <w:sz w:val="24"/>
        </w:rPr>
        <w:t>以上承诺，如有违反，愿依照国家相关法律处理，并承担由此给采购人带来的损失。</w:t>
      </w:r>
    </w:p>
    <w:p>
      <w:pPr>
        <w:spacing w:line="360" w:lineRule="auto"/>
        <w:ind w:firstLine="480" w:firstLineChars="200"/>
        <w:rPr>
          <w:rFonts w:ascii="宋体" w:hAnsi="宋体" w:cs="宋体"/>
          <w:color w:val="000000"/>
          <w:sz w:val="24"/>
        </w:rPr>
      </w:pPr>
    </w:p>
    <w:p>
      <w:pPr>
        <w:tabs>
          <w:tab w:val="left" w:pos="4860"/>
        </w:tabs>
        <w:adjustRightInd w:val="0"/>
        <w:snapToGrid w:val="0"/>
        <w:spacing w:line="360" w:lineRule="auto"/>
        <w:ind w:right="105" w:rightChars="50" w:firstLine="240" w:firstLineChars="100"/>
        <w:rPr>
          <w:rFonts w:ascii="宋体" w:hAnsi="宋体" w:cs="宋体"/>
          <w:color w:val="000000"/>
          <w:sz w:val="24"/>
        </w:rPr>
      </w:pPr>
      <w:r>
        <w:rPr>
          <w:rFonts w:hint="eastAsia" w:ascii="宋体" w:hAnsi="宋体" w:cs="宋体"/>
          <w:color w:val="000000"/>
          <w:sz w:val="24"/>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ascii="宋体" w:hAnsi="宋体" w:cs="宋体"/>
          <w:color w:val="000000"/>
          <w:sz w:val="24"/>
        </w:rPr>
      </w:pPr>
      <w:r>
        <w:rPr>
          <w:rFonts w:hint="eastAsia" w:ascii="宋体" w:hAnsi="宋体" w:cs="宋体"/>
          <w:color w:val="000000"/>
          <w:sz w:val="24"/>
        </w:rPr>
        <w:t>投标供应商名称（盖章）：</w:t>
      </w:r>
    </w:p>
    <w:p>
      <w:pPr>
        <w:tabs>
          <w:tab w:val="left" w:pos="4860"/>
        </w:tabs>
        <w:adjustRightInd w:val="0"/>
        <w:snapToGrid w:val="0"/>
        <w:spacing w:line="360" w:lineRule="auto"/>
        <w:ind w:right="105" w:rightChars="50" w:firstLine="240" w:firstLineChars="100"/>
        <w:rPr>
          <w:rFonts w:ascii="宋体" w:hAnsi="宋体" w:cs="宋体"/>
          <w:color w:val="000000"/>
          <w:sz w:val="24"/>
        </w:rPr>
      </w:pPr>
      <w:r>
        <w:rPr>
          <w:rFonts w:hint="eastAsia" w:ascii="宋体" w:hAnsi="宋体" w:cs="宋体"/>
          <w:color w:val="000000"/>
          <w:sz w:val="24"/>
        </w:rPr>
        <w:t>日期：   年  月   日</w:t>
      </w:r>
    </w:p>
    <w:p>
      <w:pPr>
        <w:pStyle w:val="6"/>
        <w:spacing w:line="560" w:lineRule="exact"/>
        <w:jc w:val="center"/>
        <w:rPr>
          <w:b/>
          <w:sz w:val="24"/>
          <w:highlight w:val="none"/>
          <w:lang w:val="fr-CH"/>
        </w:rPr>
      </w:pPr>
      <w:r>
        <w:rPr>
          <w:rFonts w:hint="eastAsia" w:ascii="宋体" w:hAnsi="宋体" w:cs="宋体"/>
          <w:b/>
          <w:bCs/>
          <w:color w:val="000000"/>
          <w:sz w:val="24"/>
        </w:rPr>
        <w:br w:type="page"/>
      </w:r>
      <w:r>
        <w:rPr>
          <w:rFonts w:hint="eastAsia"/>
          <w:b/>
          <w:sz w:val="24"/>
          <w:highlight w:val="none"/>
          <w:lang w:val="en-US" w:eastAsia="zh-CN"/>
        </w:rPr>
        <w:t>5</w:t>
      </w:r>
      <w:r>
        <w:rPr>
          <w:rFonts w:hint="eastAsia"/>
          <w:b/>
          <w:sz w:val="24"/>
          <w:highlight w:val="none"/>
          <w:lang w:val="fr-CH"/>
        </w:rPr>
        <w:t>、政府采购违法行为风险知悉确认书</w:t>
      </w:r>
    </w:p>
    <w:p>
      <w:pPr>
        <w:spacing w:after="120" w:line="560" w:lineRule="exact"/>
        <w:ind w:firstLine="480" w:firstLineChars="200"/>
        <w:rPr>
          <w:sz w:val="24"/>
          <w:highlight w:val="none"/>
          <w:lang w:val="fr-CH"/>
        </w:rPr>
      </w:pPr>
      <w:r>
        <w:rPr>
          <w:rFonts w:hint="eastAsia"/>
          <w:sz w:val="24"/>
          <w:highlight w:val="none"/>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ind w:firstLine="480" w:firstLineChars="200"/>
        <w:rPr>
          <w:sz w:val="24"/>
          <w:highlight w:val="none"/>
          <w:lang w:val="fr-CH"/>
        </w:rPr>
      </w:pPr>
      <w:r>
        <w:rPr>
          <w:rFonts w:hint="eastAsia"/>
          <w:sz w:val="24"/>
          <w:highlight w:val="none"/>
          <w:lang w:val="fr-CH"/>
        </w:rPr>
        <w:t>一、本公司已充分知悉“隐瞒真实情况，提供虚假资料”的法定情形，相关情形包括但不限于：</w:t>
      </w:r>
    </w:p>
    <w:p>
      <w:pPr>
        <w:spacing w:after="120" w:line="560" w:lineRule="exact"/>
        <w:ind w:firstLine="480" w:firstLineChars="200"/>
        <w:rPr>
          <w:sz w:val="24"/>
          <w:highlight w:val="none"/>
          <w:lang w:val="fr-CH"/>
        </w:rPr>
      </w:pPr>
      <w:r>
        <w:rPr>
          <w:rFonts w:hint="eastAsia"/>
          <w:sz w:val="24"/>
          <w:highlight w:val="none"/>
          <w:lang w:val="fr-CH"/>
        </w:rPr>
        <w:t>（一）通过转让或者租借等方式从其他单位获取资格或者资质证书投标的。</w:t>
      </w:r>
    </w:p>
    <w:p>
      <w:pPr>
        <w:spacing w:after="120" w:line="560" w:lineRule="exact"/>
        <w:ind w:firstLine="480" w:firstLineChars="200"/>
        <w:rPr>
          <w:sz w:val="24"/>
          <w:highlight w:val="none"/>
          <w:lang w:val="fr-CH"/>
        </w:rPr>
      </w:pPr>
      <w:r>
        <w:rPr>
          <w:rFonts w:hint="eastAsia"/>
          <w:sz w:val="24"/>
          <w:highlight w:val="none"/>
          <w:lang w:val="fr-CH"/>
        </w:rPr>
        <w:t>（二）由其他单位或者其他单位负责人在投标供应商编制的投标文件上加盖印章或者签字的。</w:t>
      </w:r>
    </w:p>
    <w:p>
      <w:pPr>
        <w:spacing w:after="120" w:line="560" w:lineRule="exact"/>
        <w:ind w:firstLine="480" w:firstLineChars="200"/>
        <w:rPr>
          <w:sz w:val="24"/>
          <w:highlight w:val="none"/>
          <w:lang w:val="fr-CH"/>
        </w:rPr>
      </w:pPr>
      <w:r>
        <w:rPr>
          <w:rFonts w:hint="eastAsia"/>
          <w:sz w:val="24"/>
          <w:highlight w:val="none"/>
          <w:lang w:val="fr-CH"/>
        </w:rPr>
        <w:t>（三）项目负责人或者主要技术人员不是本单位人员的。</w:t>
      </w:r>
    </w:p>
    <w:p>
      <w:pPr>
        <w:spacing w:after="120" w:line="560" w:lineRule="exact"/>
        <w:ind w:firstLine="480" w:firstLineChars="200"/>
        <w:rPr>
          <w:sz w:val="24"/>
          <w:highlight w:val="none"/>
          <w:lang w:val="fr-CH"/>
        </w:rPr>
      </w:pPr>
      <w:r>
        <w:rPr>
          <w:rFonts w:hint="eastAsia"/>
          <w:sz w:val="24"/>
          <w:highlight w:val="none"/>
          <w:lang w:val="fr-CH"/>
        </w:rPr>
        <w:t>（四）投标保证金不是从投标供应商基本账户转出的。</w:t>
      </w:r>
    </w:p>
    <w:p>
      <w:pPr>
        <w:spacing w:after="120" w:line="560" w:lineRule="exact"/>
        <w:ind w:firstLine="480" w:firstLineChars="200"/>
        <w:rPr>
          <w:sz w:val="24"/>
          <w:highlight w:val="none"/>
          <w:lang w:val="fr-CH"/>
        </w:rPr>
      </w:pPr>
      <w:r>
        <w:rPr>
          <w:rFonts w:hint="eastAsia"/>
          <w:sz w:val="24"/>
          <w:highlight w:val="none"/>
          <w:lang w:val="fr-CH"/>
        </w:rPr>
        <w:t>（五）其他隐瞒真实情况、提供虚假资料的行为。</w:t>
      </w:r>
    </w:p>
    <w:p>
      <w:pPr>
        <w:spacing w:after="120" w:line="560" w:lineRule="exact"/>
        <w:ind w:firstLine="480" w:firstLineChars="200"/>
        <w:rPr>
          <w:sz w:val="24"/>
          <w:highlight w:val="none"/>
          <w:lang w:val="fr-CH"/>
        </w:rPr>
      </w:pPr>
      <w:r>
        <w:rPr>
          <w:rFonts w:hint="eastAsia"/>
          <w:sz w:val="24"/>
          <w:highlight w:val="none"/>
          <w:lang w:val="fr-CH"/>
        </w:rPr>
        <w:t>二、本公司已充分知悉“与其他采购参加人串通投标”的法定情形，相关情形包括但不限于：</w:t>
      </w:r>
    </w:p>
    <w:p>
      <w:pPr>
        <w:spacing w:after="120" w:line="560" w:lineRule="exact"/>
        <w:ind w:firstLine="480" w:firstLineChars="200"/>
        <w:rPr>
          <w:sz w:val="24"/>
          <w:highlight w:val="none"/>
          <w:lang w:val="fr-CH"/>
        </w:rPr>
      </w:pPr>
      <w:r>
        <w:rPr>
          <w:rFonts w:hint="eastAsia"/>
          <w:sz w:val="24"/>
          <w:highlight w:val="none"/>
          <w:lang w:val="fr-CH"/>
        </w:rPr>
        <w:t>（一）投标供应商之间相互约定给予未中标的供应商利益补偿。</w:t>
      </w:r>
    </w:p>
    <w:p>
      <w:pPr>
        <w:spacing w:after="120" w:line="560" w:lineRule="exact"/>
        <w:ind w:firstLine="480" w:firstLineChars="200"/>
        <w:rPr>
          <w:sz w:val="24"/>
          <w:highlight w:val="none"/>
          <w:lang w:val="fr-CH"/>
        </w:rPr>
      </w:pPr>
      <w:r>
        <w:rPr>
          <w:rFonts w:hint="eastAsia"/>
          <w:sz w:val="24"/>
          <w:highlight w:val="none"/>
          <w:lang w:val="fr-CH"/>
        </w:rPr>
        <w:t>（二）不同投标供应商的法定代表人、主要经营负责人、项目投标授权代表人、项目负责人、主要技术人员为同一人、属同一单位或者在同一单位缴纳社会保险。</w:t>
      </w:r>
    </w:p>
    <w:p>
      <w:pPr>
        <w:spacing w:after="120" w:line="560" w:lineRule="exact"/>
        <w:ind w:firstLine="480" w:firstLineChars="200"/>
        <w:rPr>
          <w:sz w:val="24"/>
          <w:highlight w:val="none"/>
          <w:lang w:val="fr-CH"/>
        </w:rPr>
      </w:pPr>
      <w:r>
        <w:rPr>
          <w:rFonts w:hint="eastAsia"/>
          <w:sz w:val="24"/>
          <w:highlight w:val="none"/>
          <w:lang w:val="fr-CH"/>
        </w:rPr>
        <w:t>（三）不同投标供应商的投标文件由同一单位或者同一人编制，或者由同一人分阶段参与编制的。</w:t>
      </w:r>
    </w:p>
    <w:p>
      <w:pPr>
        <w:spacing w:after="120" w:line="560" w:lineRule="exact"/>
        <w:ind w:firstLine="480" w:firstLineChars="200"/>
        <w:rPr>
          <w:sz w:val="24"/>
          <w:highlight w:val="none"/>
          <w:lang w:val="fr-CH"/>
        </w:rPr>
      </w:pPr>
      <w:r>
        <w:rPr>
          <w:rFonts w:hint="eastAsia"/>
          <w:sz w:val="24"/>
          <w:highlight w:val="none"/>
          <w:lang w:val="fr-CH"/>
        </w:rPr>
        <w:t>（四）不同投标供应商的投标文件或部分投标文件相互混装。</w:t>
      </w:r>
    </w:p>
    <w:p>
      <w:pPr>
        <w:spacing w:after="120" w:line="560" w:lineRule="exact"/>
        <w:ind w:firstLine="480" w:firstLineChars="200"/>
        <w:rPr>
          <w:sz w:val="24"/>
          <w:highlight w:val="none"/>
          <w:lang w:val="fr-CH"/>
        </w:rPr>
      </w:pPr>
      <w:r>
        <w:rPr>
          <w:rFonts w:hint="eastAsia"/>
          <w:sz w:val="24"/>
          <w:highlight w:val="none"/>
          <w:lang w:val="fr-CH"/>
        </w:rPr>
        <w:t>（五）不同投标供应商的投标文件内容存在非正常一致。</w:t>
      </w:r>
    </w:p>
    <w:p>
      <w:pPr>
        <w:spacing w:after="120" w:line="560" w:lineRule="exact"/>
        <w:ind w:firstLine="480" w:firstLineChars="200"/>
        <w:rPr>
          <w:sz w:val="24"/>
          <w:highlight w:val="none"/>
          <w:lang w:val="fr-CH"/>
        </w:rPr>
      </w:pPr>
      <w:r>
        <w:rPr>
          <w:rFonts w:hint="eastAsia"/>
          <w:sz w:val="24"/>
          <w:highlight w:val="none"/>
          <w:lang w:val="fr-CH"/>
        </w:rPr>
        <w:t>（六）由同一单位工作人员为两家以上（含两家）供应商进行同一项投标活动的。</w:t>
      </w:r>
    </w:p>
    <w:p>
      <w:pPr>
        <w:spacing w:after="120" w:line="560" w:lineRule="exact"/>
        <w:ind w:firstLine="480" w:firstLineChars="200"/>
        <w:rPr>
          <w:sz w:val="24"/>
          <w:highlight w:val="none"/>
          <w:lang w:val="fr-CH"/>
        </w:rPr>
      </w:pPr>
      <w:r>
        <w:rPr>
          <w:rFonts w:hint="eastAsia"/>
          <w:sz w:val="24"/>
          <w:highlight w:val="none"/>
          <w:lang w:val="fr-CH"/>
        </w:rPr>
        <w:t>（七）不同投标人的投标报价呈规律性差异。</w:t>
      </w:r>
    </w:p>
    <w:p>
      <w:pPr>
        <w:spacing w:after="120" w:line="560" w:lineRule="exact"/>
        <w:ind w:firstLine="480" w:firstLineChars="200"/>
        <w:rPr>
          <w:sz w:val="24"/>
          <w:highlight w:val="none"/>
          <w:lang w:val="fr-CH"/>
        </w:rPr>
      </w:pPr>
      <w:r>
        <w:rPr>
          <w:rFonts w:hint="eastAsia"/>
          <w:sz w:val="24"/>
          <w:highlight w:val="none"/>
          <w:lang w:val="fr-CH"/>
        </w:rPr>
        <w:t>（八）不同投标人的投标保证金从同一单位或者个人的账户转出。</w:t>
      </w:r>
    </w:p>
    <w:p>
      <w:pPr>
        <w:spacing w:after="120" w:line="560" w:lineRule="exact"/>
        <w:ind w:firstLine="480" w:firstLineChars="200"/>
        <w:rPr>
          <w:sz w:val="24"/>
          <w:highlight w:val="none"/>
          <w:lang w:val="fr-CH"/>
        </w:rPr>
      </w:pPr>
      <w:r>
        <w:rPr>
          <w:rFonts w:hint="eastAsia"/>
          <w:sz w:val="24"/>
          <w:highlight w:val="none"/>
          <w:lang w:val="fr-CH"/>
        </w:rPr>
        <w:t>（九）主管部门依照法律、法规认定的其他情形。</w:t>
      </w:r>
    </w:p>
    <w:p>
      <w:pPr>
        <w:spacing w:after="120" w:line="560" w:lineRule="exact"/>
        <w:ind w:firstLine="480" w:firstLineChars="200"/>
        <w:rPr>
          <w:sz w:val="24"/>
          <w:highlight w:val="none"/>
          <w:lang w:val="fr-CH"/>
        </w:rPr>
      </w:pPr>
      <w:r>
        <w:rPr>
          <w:rFonts w:hint="eastAsia"/>
          <w:sz w:val="24"/>
          <w:highlight w:val="none"/>
          <w:lang w:val="fr-CH"/>
        </w:rPr>
        <w:t>三、本公司已充分知悉下列情形所对应的法律风险，并在投标前已对相关风险事项进行排查。</w:t>
      </w:r>
    </w:p>
    <w:p>
      <w:pPr>
        <w:spacing w:after="120" w:line="560" w:lineRule="exact"/>
        <w:ind w:firstLine="480" w:firstLineChars="200"/>
        <w:rPr>
          <w:sz w:val="24"/>
          <w:highlight w:val="none"/>
          <w:lang w:val="fr-CH"/>
        </w:rPr>
      </w:pPr>
      <w:r>
        <w:rPr>
          <w:rFonts w:hint="eastAsia"/>
          <w:sz w:val="24"/>
          <w:highlight w:val="none"/>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ind w:firstLine="480" w:firstLineChars="200"/>
        <w:rPr>
          <w:sz w:val="24"/>
          <w:highlight w:val="none"/>
          <w:lang w:val="fr-CH"/>
        </w:rPr>
      </w:pPr>
      <w:r>
        <w:rPr>
          <w:rFonts w:hint="eastAsia"/>
          <w:sz w:val="24"/>
          <w:highlight w:val="none"/>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ind w:firstLine="480" w:firstLineChars="200"/>
        <w:rPr>
          <w:sz w:val="24"/>
          <w:highlight w:val="none"/>
          <w:lang w:val="fr-CH"/>
        </w:rPr>
      </w:pPr>
      <w:r>
        <w:rPr>
          <w:rFonts w:hint="eastAsia"/>
          <w:sz w:val="24"/>
          <w:highlight w:val="none"/>
          <w:lang w:val="fr-CH"/>
        </w:rPr>
        <w:t>（三）对于涉及安全生产、特种作业、抢险救灾、防疫等政府采购项目，供应商实施提供虚假资料、串通投标等违法行为的，主管部门将依法从严处理。</w:t>
      </w:r>
    </w:p>
    <w:p>
      <w:pPr>
        <w:spacing w:after="120" w:line="560" w:lineRule="exact"/>
        <w:ind w:firstLine="480" w:firstLineChars="200"/>
        <w:rPr>
          <w:sz w:val="24"/>
          <w:highlight w:val="none"/>
          <w:lang w:val="fr-CH"/>
        </w:rPr>
      </w:pPr>
      <w:r>
        <w:rPr>
          <w:rFonts w:hint="eastAsia"/>
          <w:sz w:val="24"/>
          <w:highlight w:val="none"/>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ind w:firstLine="480" w:firstLineChars="200"/>
        <w:rPr>
          <w:sz w:val="24"/>
          <w:highlight w:val="none"/>
          <w:lang w:val="fr-CH"/>
        </w:rPr>
      </w:pPr>
      <w:r>
        <w:rPr>
          <w:rFonts w:hint="eastAsia"/>
          <w:sz w:val="24"/>
          <w:highlight w:val="none"/>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ind w:firstLine="480" w:firstLineChars="200"/>
        <w:rPr>
          <w:sz w:val="24"/>
          <w:highlight w:val="none"/>
          <w:lang w:val="fr-CH"/>
        </w:rPr>
      </w:pPr>
      <w:r>
        <w:rPr>
          <w:rFonts w:hint="eastAsia"/>
          <w:sz w:val="24"/>
          <w:highlight w:val="none"/>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ind w:firstLine="480" w:firstLineChars="200"/>
        <w:rPr>
          <w:sz w:val="24"/>
          <w:highlight w:val="none"/>
          <w:lang w:val="fr-CH"/>
        </w:rPr>
      </w:pPr>
      <w:r>
        <w:rPr>
          <w:rFonts w:hint="eastAsia"/>
          <w:sz w:val="24"/>
          <w:highlight w:val="none"/>
          <w:lang w:val="fr-CH"/>
        </w:rPr>
        <w:t>四、本公司已充分知悉政府采购违法、违规行为的法律后果。</w:t>
      </w:r>
    </w:p>
    <w:p>
      <w:pPr>
        <w:spacing w:after="120" w:line="560" w:lineRule="exact"/>
        <w:ind w:firstLine="480" w:firstLineChars="200"/>
        <w:rPr>
          <w:sz w:val="24"/>
          <w:highlight w:val="none"/>
          <w:lang w:val="fr-CH"/>
        </w:rPr>
      </w:pPr>
      <w:r>
        <w:rPr>
          <w:rFonts w:hint="eastAsia"/>
          <w:sz w:val="24"/>
          <w:highlight w:val="none"/>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ind w:firstLine="480" w:firstLineChars="200"/>
        <w:rPr>
          <w:rFonts w:ascii="宋体" w:hAnsi="宋体" w:cs="宋体"/>
          <w:sz w:val="24"/>
          <w:highlight w:val="none"/>
        </w:rPr>
      </w:pPr>
      <w:r>
        <w:rPr>
          <w:rFonts w:hint="eastAsia" w:ascii="宋体" w:hAnsi="宋体" w:cs="宋体"/>
          <w:sz w:val="24"/>
          <w:highlight w:val="none"/>
        </w:rPr>
        <w:t>以下文字请投标供应商抄写并确认：“本公司已仔细阅读《政府采购违法行为风险知悉确认书》，充分知悉违法行为的法律后果，并承诺将严谨、诚信、依法依规参与政府采购活动”。</w:t>
      </w:r>
    </w:p>
    <w:p>
      <w:pPr>
        <w:spacing w:line="560" w:lineRule="exact"/>
        <w:rPr>
          <w:highlight w:val="none"/>
          <w:lang w:val="fr-CH"/>
        </w:rPr>
      </w:pPr>
    </w:p>
    <w:p>
      <w:pPr>
        <w:spacing w:after="120" w:line="560" w:lineRule="exact"/>
        <w:rPr>
          <w:sz w:val="24"/>
          <w:highlight w:val="none"/>
          <w:lang w:val="fr-CH"/>
        </w:rPr>
      </w:pPr>
      <w:r>
        <w:rPr>
          <w:sz w:val="24"/>
          <w:highlight w:val="none"/>
          <w:lang w:val="fr-CH"/>
        </w:rPr>
        <w:t xml:space="preserve">                                                                                              </w:t>
      </w:r>
    </w:p>
    <w:p>
      <w:pPr>
        <w:spacing w:after="120" w:line="560" w:lineRule="exact"/>
        <w:rPr>
          <w:sz w:val="24"/>
          <w:highlight w:val="none"/>
          <w:lang w:val="fr-CH"/>
        </w:rPr>
      </w:pPr>
      <w:r>
        <w:rPr>
          <w:sz w:val="24"/>
          <w:highlight w:val="none"/>
          <w:lang w:val="fr-CH"/>
        </w:rPr>
        <w:t xml:space="preserve">                                                                             </w:t>
      </w:r>
    </w:p>
    <w:p>
      <w:pPr>
        <w:spacing w:after="120" w:line="560" w:lineRule="exact"/>
        <w:rPr>
          <w:sz w:val="24"/>
          <w:highlight w:val="none"/>
          <w:lang w:val="fr-CH"/>
        </w:rPr>
      </w:pPr>
      <w:r>
        <w:rPr>
          <w:rFonts w:hint="eastAsia"/>
          <w:sz w:val="24"/>
          <w:highlight w:val="none"/>
          <w:lang w:val="fr-CH"/>
        </w:rPr>
        <w:t>负责人/投标授权代表签名：</w:t>
      </w:r>
    </w:p>
    <w:p>
      <w:pPr>
        <w:spacing w:after="120" w:line="560" w:lineRule="exact"/>
        <w:rPr>
          <w:sz w:val="24"/>
          <w:highlight w:val="none"/>
          <w:lang w:val="fr-CH"/>
        </w:rPr>
      </w:pPr>
      <w:r>
        <w:rPr>
          <w:rFonts w:hint="eastAsia"/>
          <w:sz w:val="24"/>
          <w:highlight w:val="none"/>
          <w:lang w:val="fr-CH"/>
        </w:rPr>
        <w:t>知悉人（公章）：</w:t>
      </w:r>
    </w:p>
    <w:p>
      <w:pPr>
        <w:spacing w:after="120" w:line="560" w:lineRule="exact"/>
        <w:rPr>
          <w:sz w:val="24"/>
          <w:highlight w:val="none"/>
          <w:lang w:val="fr-CH"/>
        </w:rPr>
      </w:pPr>
      <w:r>
        <w:rPr>
          <w:rFonts w:hint="eastAsia"/>
          <w:sz w:val="24"/>
          <w:highlight w:val="none"/>
          <w:lang w:val="fr-CH"/>
        </w:rPr>
        <w:t>日期：</w:t>
      </w:r>
    </w:p>
    <w:p>
      <w:pPr>
        <w:pStyle w:val="6"/>
        <w:rPr>
          <w:highlight w:val="none"/>
          <w:lang w:val="fr-CH"/>
        </w:rPr>
      </w:pPr>
    </w:p>
    <w:p>
      <w:pPr>
        <w:tabs>
          <w:tab w:val="left" w:pos="640"/>
          <w:tab w:val="left" w:pos="1260"/>
          <w:tab w:val="left" w:pos="1418"/>
        </w:tabs>
        <w:spacing w:line="360" w:lineRule="auto"/>
        <w:jc w:val="center"/>
        <w:rPr>
          <w:rFonts w:ascii="宋体" w:hAnsi="宋体" w:cs="宋体"/>
          <w:b/>
          <w:bCs/>
          <w:sz w:val="24"/>
          <w:highlight w:val="none"/>
          <w:lang w:val="fr-CH"/>
        </w:rPr>
        <w:sectPr>
          <w:pgSz w:w="11906" w:h="16838"/>
          <w:pgMar w:top="1440" w:right="1650" w:bottom="1440" w:left="1650" w:header="851" w:footer="992" w:gutter="0"/>
          <w:pgNumType w:fmt="decimal"/>
          <w:cols w:space="720" w:num="1"/>
          <w:docGrid w:type="lines" w:linePitch="319" w:charSpace="0"/>
        </w:sectPr>
      </w:pPr>
    </w:p>
    <w:p>
      <w:pPr>
        <w:tabs>
          <w:tab w:val="left" w:pos="640"/>
          <w:tab w:val="left" w:pos="1260"/>
          <w:tab w:val="left" w:pos="1418"/>
        </w:tabs>
        <w:spacing w:line="360" w:lineRule="auto"/>
        <w:jc w:val="center"/>
        <w:rPr>
          <w:rFonts w:ascii="宋体" w:hAnsi="宋体" w:cs="宋体"/>
          <w:b/>
          <w:bCs/>
          <w:sz w:val="24"/>
          <w:highlight w:val="none"/>
        </w:rPr>
      </w:pPr>
      <w:r>
        <w:rPr>
          <w:rFonts w:hint="eastAsia" w:ascii="宋体" w:hAnsi="宋体" w:cs="宋体"/>
          <w:b/>
          <w:bCs/>
          <w:sz w:val="24"/>
          <w:highlight w:val="none"/>
          <w:lang w:val="en-US" w:eastAsia="zh-CN"/>
        </w:rPr>
        <w:t>6</w:t>
      </w:r>
      <w:r>
        <w:rPr>
          <w:rFonts w:hint="eastAsia" w:ascii="宋体" w:hAnsi="宋体" w:cs="宋体"/>
          <w:b/>
          <w:bCs/>
          <w:sz w:val="24"/>
          <w:highlight w:val="none"/>
        </w:rPr>
        <w:t>、关于资格的声明函</w:t>
      </w:r>
    </w:p>
    <w:p>
      <w:pPr>
        <w:spacing w:line="360" w:lineRule="auto"/>
        <w:rPr>
          <w:rFonts w:ascii="宋体" w:hAnsi="宋体" w:cs="宋体"/>
          <w:sz w:val="24"/>
          <w:highlight w:val="none"/>
        </w:rPr>
      </w:pPr>
      <w:r>
        <w:rPr>
          <w:rFonts w:hint="eastAsia" w:ascii="宋体" w:hAnsi="宋体" w:cs="宋体"/>
          <w:sz w:val="24"/>
          <w:highlight w:val="none"/>
        </w:rPr>
        <w:t>（采购单位名称/代理机构名称）：</w:t>
      </w:r>
    </w:p>
    <w:p>
      <w:pPr>
        <w:spacing w:line="360" w:lineRule="auto"/>
        <w:ind w:firstLine="566" w:firstLineChars="236"/>
        <w:rPr>
          <w:rFonts w:ascii="宋体" w:hAnsi="宋体" w:cs="宋体"/>
          <w:sz w:val="24"/>
          <w:highlight w:val="none"/>
        </w:rPr>
      </w:pPr>
      <w:r>
        <w:rPr>
          <w:rFonts w:hint="eastAsia" w:ascii="宋体" w:hAnsi="宋体" w:cs="宋体"/>
          <w:sz w:val="24"/>
          <w:highlight w:val="none"/>
          <w:u w:val="single"/>
        </w:rPr>
        <w:t xml:space="preserve"> （ 投标人名称）    </w:t>
      </w:r>
      <w:r>
        <w:rPr>
          <w:rFonts w:hint="eastAsia" w:ascii="宋体" w:hAnsi="宋体" w:cs="宋体"/>
          <w:sz w:val="24"/>
          <w:highlight w:val="none"/>
        </w:rPr>
        <w:t xml:space="preserve"> 参与了</w:t>
      </w:r>
      <w:r>
        <w:rPr>
          <w:rFonts w:hint="eastAsia" w:ascii="宋体" w:hAnsi="宋体" w:cs="宋体"/>
          <w:sz w:val="24"/>
          <w:highlight w:val="none"/>
          <w:u w:val="single"/>
        </w:rPr>
        <w:t xml:space="preserve"> （项目名称 、招标编号） </w:t>
      </w:r>
      <w:r>
        <w:rPr>
          <w:rFonts w:hint="eastAsia" w:ascii="宋体" w:hAnsi="宋体" w:cs="宋体"/>
          <w:sz w:val="24"/>
          <w:highlight w:val="none"/>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highlight w:val="none"/>
        </w:rPr>
      </w:pPr>
      <w:r>
        <w:rPr>
          <w:rFonts w:hint="eastAsia" w:ascii="宋体" w:hAnsi="宋体" w:cs="宋体"/>
          <w:sz w:val="24"/>
          <w:highlight w:val="none"/>
        </w:rPr>
        <w:t>特此承诺！</w:t>
      </w:r>
    </w:p>
    <w:p>
      <w:pPr>
        <w:spacing w:line="360" w:lineRule="auto"/>
        <w:ind w:left="420"/>
        <w:rPr>
          <w:rFonts w:ascii="宋体" w:hAnsi="宋体" w:cs="宋体"/>
          <w:sz w:val="24"/>
          <w:highlight w:val="none"/>
        </w:rPr>
      </w:pPr>
    </w:p>
    <w:p>
      <w:pPr>
        <w:pStyle w:val="9"/>
        <w:spacing w:line="360" w:lineRule="auto"/>
        <w:jc w:val="center"/>
        <w:rPr>
          <w:rFonts w:hAnsi="宋体" w:cs="宋体"/>
          <w:sz w:val="24"/>
          <w:highlight w:val="none"/>
        </w:rPr>
      </w:pPr>
      <w:r>
        <w:rPr>
          <w:rFonts w:hint="eastAsia" w:hAnsi="宋体" w:cs="宋体"/>
          <w:sz w:val="24"/>
          <w:highlight w:val="none"/>
        </w:rPr>
        <w:t xml:space="preserve">                投标人名称（投标人法人公章）：</w:t>
      </w:r>
    </w:p>
    <w:p>
      <w:pPr>
        <w:spacing w:line="360" w:lineRule="auto"/>
        <w:jc w:val="center"/>
        <w:rPr>
          <w:rFonts w:ascii="宋体" w:hAnsi="宋体" w:cs="宋体"/>
          <w:kern w:val="0"/>
          <w:sz w:val="24"/>
          <w:highlight w:val="none"/>
        </w:rPr>
      </w:pPr>
      <w:r>
        <w:rPr>
          <w:rFonts w:hint="eastAsia" w:ascii="宋体" w:hAnsi="宋体" w:cs="宋体"/>
          <w:sz w:val="24"/>
          <w:highlight w:val="none"/>
        </w:rPr>
        <w:t xml:space="preserve">             承诺日期：   年     月     日</w:t>
      </w:r>
    </w:p>
    <w:p>
      <w:pPr>
        <w:tabs>
          <w:tab w:val="left" w:pos="640"/>
          <w:tab w:val="left" w:pos="1260"/>
          <w:tab w:val="left" w:pos="1418"/>
        </w:tabs>
        <w:spacing w:line="360" w:lineRule="auto"/>
        <w:rPr>
          <w:rFonts w:ascii="宋体" w:hAnsi="宋体" w:cs="宋体"/>
          <w:sz w:val="24"/>
          <w:highlight w:val="none"/>
          <w:lang w:val="fr-CH"/>
        </w:rPr>
      </w:pPr>
    </w:p>
    <w:p>
      <w:pPr>
        <w:spacing w:before="120" w:after="120" w:line="360" w:lineRule="auto"/>
        <w:jc w:val="center"/>
        <w:rPr>
          <w:rFonts w:ascii="宋体" w:hAnsi="宋体" w:cs="宋体"/>
          <w:b/>
          <w:sz w:val="24"/>
          <w:highlight w:val="none"/>
        </w:rPr>
      </w:pPr>
    </w:p>
    <w:p>
      <w:pPr>
        <w:pStyle w:val="35"/>
        <w:ind w:firstLine="482"/>
        <w:rPr>
          <w:rFonts w:ascii="宋体" w:hAnsi="宋体" w:cs="宋体"/>
          <w:b/>
          <w:sz w:val="24"/>
          <w:highlight w:val="none"/>
        </w:rPr>
      </w:pPr>
    </w:p>
    <w:p>
      <w:pPr>
        <w:pStyle w:val="35"/>
        <w:ind w:firstLine="482"/>
        <w:rPr>
          <w:rFonts w:ascii="宋体" w:hAnsi="宋体" w:cs="宋体"/>
          <w:b/>
          <w:sz w:val="24"/>
          <w:highlight w:val="none"/>
        </w:rPr>
      </w:pPr>
    </w:p>
    <w:p>
      <w:pPr>
        <w:pStyle w:val="35"/>
        <w:ind w:firstLine="482"/>
        <w:rPr>
          <w:rFonts w:ascii="宋体" w:hAnsi="宋体" w:cs="宋体"/>
          <w:b/>
          <w:sz w:val="24"/>
          <w:highlight w:val="none"/>
        </w:rPr>
      </w:pPr>
    </w:p>
    <w:p>
      <w:pPr>
        <w:pStyle w:val="35"/>
        <w:ind w:firstLine="482"/>
        <w:rPr>
          <w:rFonts w:ascii="宋体" w:hAnsi="宋体" w:cs="宋体"/>
          <w:b/>
          <w:sz w:val="24"/>
          <w:highlight w:val="none"/>
        </w:rPr>
      </w:pPr>
    </w:p>
    <w:p>
      <w:pPr>
        <w:pStyle w:val="35"/>
        <w:ind w:firstLine="482"/>
        <w:rPr>
          <w:rFonts w:ascii="宋体" w:hAnsi="宋体" w:cs="宋体"/>
          <w:b/>
          <w:sz w:val="24"/>
          <w:highlight w:val="none"/>
        </w:rPr>
      </w:pPr>
    </w:p>
    <w:p>
      <w:pPr>
        <w:pStyle w:val="35"/>
        <w:ind w:firstLine="482"/>
        <w:rPr>
          <w:rFonts w:ascii="宋体" w:hAnsi="宋体" w:cs="宋体"/>
          <w:b/>
          <w:sz w:val="24"/>
          <w:highlight w:val="none"/>
        </w:rPr>
      </w:pPr>
    </w:p>
    <w:p>
      <w:pPr>
        <w:pStyle w:val="35"/>
        <w:ind w:firstLine="482"/>
        <w:rPr>
          <w:rFonts w:ascii="宋体" w:hAnsi="宋体" w:cs="宋体"/>
          <w:b/>
          <w:sz w:val="24"/>
          <w:highlight w:val="none"/>
        </w:rPr>
      </w:pPr>
    </w:p>
    <w:p>
      <w:pPr>
        <w:pStyle w:val="35"/>
        <w:ind w:firstLine="482"/>
        <w:rPr>
          <w:rFonts w:ascii="宋体" w:hAnsi="宋体" w:cs="宋体"/>
          <w:b/>
          <w:sz w:val="24"/>
          <w:highlight w:val="none"/>
        </w:rPr>
      </w:pPr>
    </w:p>
    <w:p>
      <w:pPr>
        <w:jc w:val="left"/>
        <w:rPr>
          <w:rFonts w:ascii="宋体" w:hAnsi="宋体" w:cs="宋体"/>
          <w:b/>
          <w:bCs/>
          <w:sz w:val="24"/>
          <w:highlight w:val="none"/>
        </w:rPr>
      </w:pPr>
      <w:r>
        <w:rPr>
          <w:rFonts w:hint="eastAsia" w:ascii="宋体" w:hAnsi="宋体" w:cs="宋体"/>
          <w:b/>
          <w:bCs/>
          <w:sz w:val="24"/>
          <w:highlight w:val="none"/>
        </w:rPr>
        <w:br w:type="page"/>
      </w:r>
    </w:p>
    <w:p>
      <w:pPr>
        <w:spacing w:line="360" w:lineRule="auto"/>
        <w:jc w:val="center"/>
        <w:rPr>
          <w:rFonts w:ascii="宋体" w:hAnsi="宋体" w:cs="宋体"/>
          <w:b/>
          <w:bCs/>
          <w:sz w:val="24"/>
          <w:highlight w:val="none"/>
        </w:rPr>
      </w:pPr>
      <w:r>
        <w:rPr>
          <w:rFonts w:hint="eastAsia" w:ascii="宋体" w:hAnsi="宋体" w:cs="宋体"/>
          <w:b/>
          <w:bCs/>
          <w:sz w:val="24"/>
          <w:highlight w:val="none"/>
          <w:lang w:val="en-US" w:eastAsia="zh-CN"/>
        </w:rPr>
        <w:t>7</w:t>
      </w:r>
      <w:r>
        <w:rPr>
          <w:rFonts w:hint="eastAsia" w:ascii="宋体" w:hAnsi="宋体" w:cs="宋体"/>
          <w:b/>
          <w:bCs/>
          <w:sz w:val="24"/>
          <w:highlight w:val="none"/>
        </w:rPr>
        <w:t>、企业诚信声明与承诺</w:t>
      </w:r>
    </w:p>
    <w:p>
      <w:pPr>
        <w:spacing w:line="360" w:lineRule="auto"/>
        <w:rPr>
          <w:rFonts w:ascii="宋体" w:hAnsi="宋体" w:cs="宋体"/>
          <w:b/>
          <w:bCs/>
          <w:sz w:val="24"/>
          <w:highlight w:val="none"/>
        </w:rPr>
      </w:pPr>
      <w:r>
        <w:rPr>
          <w:rFonts w:hint="eastAsia" w:ascii="宋体" w:hAnsi="宋体" w:cs="宋体"/>
          <w:b/>
          <w:bCs/>
          <w:sz w:val="24"/>
          <w:highlight w:val="none"/>
        </w:rPr>
        <w:t>深圳交易咨询集团有限公司：</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  我公司参与贵代理机构组织的项目（项目编号：</w:t>
      </w:r>
      <w:r>
        <w:rPr>
          <w:rFonts w:hint="eastAsia" w:ascii="宋体" w:hAnsi="宋体" w:cs="宋体"/>
          <w:sz w:val="24"/>
          <w:highlight w:val="none"/>
          <w:lang w:val="en-US" w:eastAsia="zh-CN"/>
        </w:rPr>
        <w:t xml:space="preserve">   </w:t>
      </w:r>
      <w:r>
        <w:rPr>
          <w:rFonts w:hint="eastAsia" w:ascii="宋体" w:hAnsi="宋体" w:cs="宋体"/>
          <w:sz w:val="24"/>
          <w:highlight w:val="none"/>
        </w:rPr>
        <w:t>）投标，现就企业诚信作如下声明与承诺：</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我司对上述内容的真实性负责。如有虚假，将依法承担相应责任。</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特此声明与承诺！</w:t>
      </w:r>
    </w:p>
    <w:p>
      <w:pPr>
        <w:spacing w:line="360" w:lineRule="auto"/>
        <w:jc w:val="left"/>
        <w:rPr>
          <w:rFonts w:ascii="宋体" w:hAnsi="宋体" w:cs="宋体"/>
          <w:sz w:val="24"/>
          <w:highlight w:val="none"/>
        </w:rPr>
      </w:pPr>
    </w:p>
    <w:p>
      <w:pPr>
        <w:spacing w:line="360" w:lineRule="auto"/>
        <w:jc w:val="left"/>
        <w:rPr>
          <w:rFonts w:ascii="宋体" w:hAnsi="宋体" w:cs="宋体"/>
          <w:sz w:val="24"/>
          <w:highlight w:val="none"/>
        </w:rPr>
      </w:pPr>
    </w:p>
    <w:p>
      <w:pPr>
        <w:widowControl/>
        <w:autoSpaceDE w:val="0"/>
        <w:autoSpaceDN w:val="0"/>
        <w:spacing w:line="360" w:lineRule="auto"/>
        <w:ind w:right="893"/>
        <w:jc w:val="center"/>
        <w:textAlignment w:val="bottom"/>
        <w:rPr>
          <w:rFonts w:ascii="宋体" w:hAnsi="宋体" w:cs="宋体"/>
          <w:sz w:val="24"/>
          <w:highlight w:val="none"/>
        </w:rPr>
      </w:pPr>
      <w:r>
        <w:rPr>
          <w:rFonts w:hint="eastAsia" w:ascii="宋体" w:hAnsi="宋体" w:cs="宋体"/>
          <w:sz w:val="24"/>
          <w:highlight w:val="none"/>
        </w:rPr>
        <w:t xml:space="preserve">                                       供应商名称：（法人公章）</w:t>
      </w:r>
    </w:p>
    <w:p>
      <w:pPr>
        <w:pStyle w:val="9"/>
        <w:spacing w:line="360" w:lineRule="auto"/>
        <w:jc w:val="center"/>
        <w:rPr>
          <w:rFonts w:hAnsi="宋体" w:cs="宋体"/>
          <w:sz w:val="24"/>
          <w:highlight w:val="none"/>
        </w:rPr>
      </w:pPr>
      <w:r>
        <w:rPr>
          <w:rFonts w:hint="eastAsia" w:hAnsi="宋体" w:cs="宋体"/>
          <w:sz w:val="24"/>
          <w:highlight w:val="none"/>
        </w:rPr>
        <w:t xml:space="preserve">                                  承诺日期：    年  月  日</w:t>
      </w:r>
    </w:p>
    <w:p>
      <w:pPr>
        <w:pStyle w:val="9"/>
        <w:spacing w:line="360" w:lineRule="auto"/>
        <w:jc w:val="left"/>
        <w:rPr>
          <w:rFonts w:hAnsi="宋体" w:cs="宋体"/>
          <w:sz w:val="24"/>
          <w:highlight w:val="none"/>
        </w:rPr>
      </w:pPr>
    </w:p>
    <w:p>
      <w:pPr>
        <w:pStyle w:val="9"/>
        <w:spacing w:line="360" w:lineRule="auto"/>
        <w:jc w:val="left"/>
        <w:rPr>
          <w:rFonts w:hAnsi="宋体" w:cs="宋体"/>
          <w:sz w:val="24"/>
          <w:highlight w:val="none"/>
        </w:rPr>
      </w:pPr>
    </w:p>
    <w:p>
      <w:pPr>
        <w:spacing w:before="100" w:beforeAutospacing="1" w:after="100" w:afterAutospacing="1" w:line="360" w:lineRule="auto"/>
        <w:rPr>
          <w:rFonts w:ascii="宋体" w:hAnsi="宋体" w:cs="宋体"/>
          <w:b/>
          <w:bCs/>
          <w:sz w:val="24"/>
          <w:highlight w:val="none"/>
        </w:rPr>
      </w:pPr>
      <w:r>
        <w:rPr>
          <w:rFonts w:hint="eastAsia" w:ascii="宋体" w:hAnsi="宋体" w:cs="宋体"/>
          <w:b/>
          <w:bCs/>
          <w:sz w:val="24"/>
          <w:highlight w:val="none"/>
        </w:rPr>
        <w:t>注：近三年内，如投标人有任何违法违规、受惩罚和禁止、不良信用等记录，必须列明记载，并附网络截图（加盖公章）。</w:t>
      </w:r>
    </w:p>
    <w:p>
      <w:pPr>
        <w:pStyle w:val="6"/>
        <w:spacing w:line="360" w:lineRule="auto"/>
        <w:rPr>
          <w:highlight w:val="none"/>
          <w:lang w:val="fr-CH"/>
        </w:rPr>
      </w:pPr>
    </w:p>
    <w:p>
      <w:pPr>
        <w:rPr>
          <w:highlight w:val="none"/>
          <w:lang w:val="fr-CH"/>
        </w:rPr>
      </w:pPr>
    </w:p>
    <w:p>
      <w:pPr>
        <w:pStyle w:val="35"/>
        <w:ind w:firstLine="420"/>
        <w:rPr>
          <w:highlight w:val="none"/>
          <w:lang w:val="fr-CH"/>
        </w:rPr>
      </w:pPr>
    </w:p>
    <w:p>
      <w:pPr>
        <w:pStyle w:val="35"/>
        <w:ind w:firstLine="420"/>
        <w:rPr>
          <w:highlight w:val="none"/>
          <w:lang w:val="fr-CH"/>
        </w:rPr>
      </w:pPr>
    </w:p>
    <w:p>
      <w:pPr>
        <w:pStyle w:val="35"/>
        <w:ind w:firstLine="420"/>
        <w:rPr>
          <w:highlight w:val="none"/>
          <w:lang w:val="fr-CH"/>
        </w:rPr>
      </w:pPr>
    </w:p>
    <w:p>
      <w:pPr>
        <w:tabs>
          <w:tab w:val="left" w:pos="640"/>
          <w:tab w:val="left" w:pos="840"/>
          <w:tab w:val="left" w:pos="1260"/>
          <w:tab w:val="left" w:pos="1418"/>
        </w:tabs>
        <w:spacing w:line="360" w:lineRule="auto"/>
        <w:rPr>
          <w:rFonts w:ascii="宋体" w:hAnsi="宋体" w:cs="宋体"/>
          <w:sz w:val="24"/>
          <w:highlight w:val="none"/>
        </w:rPr>
      </w:pPr>
    </w:p>
    <w:p>
      <w:pPr>
        <w:spacing w:before="120" w:after="120" w:line="360" w:lineRule="auto"/>
        <w:jc w:val="center"/>
        <w:rPr>
          <w:rFonts w:ascii="宋体" w:hAnsi="宋体" w:cs="宋体"/>
          <w:color w:val="000000"/>
          <w:sz w:val="24"/>
          <w:u w:val="single"/>
        </w:rPr>
      </w:pPr>
      <w:r>
        <w:rPr>
          <w:rFonts w:hint="eastAsia" w:ascii="宋体" w:hAnsi="宋体" w:cs="宋体"/>
          <w:b/>
          <w:sz w:val="24"/>
          <w:highlight w:val="none"/>
        </w:rPr>
        <w:br w:type="page"/>
      </w:r>
      <w:r>
        <w:rPr>
          <w:rFonts w:hint="eastAsia" w:ascii="宋体" w:hAnsi="宋体" w:cs="宋体"/>
          <w:b/>
          <w:sz w:val="24"/>
          <w:highlight w:val="none"/>
          <w:lang w:val="en-US" w:eastAsia="zh-CN"/>
        </w:rPr>
        <w:t>8</w:t>
      </w:r>
      <w:r>
        <w:rPr>
          <w:rFonts w:hint="eastAsia" w:ascii="宋体" w:hAnsi="宋体" w:cs="宋体"/>
          <w:b/>
          <w:sz w:val="24"/>
          <w:highlight w:val="none"/>
        </w:rPr>
        <w:t>、法定代表人</w:t>
      </w:r>
      <w:r>
        <w:rPr>
          <w:rFonts w:hint="eastAsia" w:ascii="宋体" w:hAnsi="宋体" w:cs="宋体"/>
          <w:b/>
          <w:sz w:val="24"/>
          <w:highlight w:val="none"/>
          <w:lang w:val="fr-CH"/>
        </w:rPr>
        <w:t>/单位负责人</w:t>
      </w:r>
      <w:r>
        <w:rPr>
          <w:rFonts w:hint="eastAsia" w:ascii="宋体" w:hAnsi="宋体" w:cs="宋体"/>
          <w:b/>
          <w:sz w:val="24"/>
          <w:highlight w:val="none"/>
        </w:rPr>
        <w:t>证明书</w:t>
      </w:r>
      <w:r>
        <w:rPr>
          <w:rFonts w:hint="eastAsia" w:ascii="宋体" w:hAnsi="宋体" w:cs="宋体"/>
          <w:b/>
          <w:sz w:val="24"/>
          <w:highlight w:val="none"/>
          <w:lang w:val="fr-CH"/>
        </w:rPr>
        <w:t>及身份证明</w:t>
      </w:r>
    </w:p>
    <w:p>
      <w:pPr>
        <w:spacing w:line="360" w:lineRule="auto"/>
        <w:ind w:firstLine="480" w:firstLineChars="200"/>
        <w:rPr>
          <w:rFonts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同志，现任我单位职务，为法定代表人，特此证明。</w:t>
      </w:r>
    </w:p>
    <w:p>
      <w:pPr>
        <w:spacing w:line="360" w:lineRule="auto"/>
        <w:rPr>
          <w:rFonts w:ascii="宋体" w:hAnsi="宋体" w:cs="宋体"/>
          <w:color w:val="000000"/>
          <w:sz w:val="24"/>
        </w:rPr>
      </w:pPr>
      <w:r>
        <w:rPr>
          <w:rFonts w:hint="eastAsia" w:ascii="宋体" w:hAnsi="宋体" w:cs="宋体"/>
          <w:color w:val="000000"/>
          <w:sz w:val="24"/>
        </w:rPr>
        <w:t xml:space="preserve">签发日期：             有效日期：         单位：              </w:t>
      </w:r>
    </w:p>
    <w:p>
      <w:pPr>
        <w:spacing w:line="360" w:lineRule="auto"/>
        <w:rPr>
          <w:rFonts w:ascii="宋体" w:hAnsi="宋体" w:cs="宋体"/>
          <w:color w:val="000000"/>
          <w:sz w:val="24"/>
        </w:rPr>
      </w:pPr>
      <w:r>
        <w:rPr>
          <w:rFonts w:hint="eastAsia" w:ascii="宋体" w:hAnsi="宋体" w:cs="宋体"/>
          <w:color w:val="000000"/>
          <w:sz w:val="24"/>
        </w:rPr>
        <w:t>附：代表人性别：   年龄：      身份证号码：</w:t>
      </w:r>
    </w:p>
    <w:p>
      <w:pPr>
        <w:spacing w:line="360" w:lineRule="auto"/>
        <w:rPr>
          <w:rFonts w:ascii="宋体" w:hAnsi="宋体" w:cs="宋体"/>
          <w:color w:val="000000"/>
          <w:sz w:val="24"/>
        </w:rPr>
      </w:pPr>
      <w:r>
        <w:rPr>
          <w:rFonts w:hint="eastAsia" w:ascii="宋体" w:hAnsi="宋体" w:cs="宋体"/>
          <w:color w:val="000000"/>
          <w:sz w:val="24"/>
        </w:rPr>
        <w:t>营业执照号码：                 经济性质：</w:t>
      </w:r>
    </w:p>
    <w:p>
      <w:pPr>
        <w:spacing w:line="360" w:lineRule="auto"/>
        <w:rPr>
          <w:rFonts w:ascii="宋体" w:hAnsi="宋体" w:cs="宋体"/>
          <w:color w:val="000000"/>
          <w:sz w:val="24"/>
        </w:rPr>
      </w:pPr>
      <w:r>
        <w:rPr>
          <w:rFonts w:hint="eastAsia" w:ascii="宋体" w:hAnsi="宋体" w:cs="宋体"/>
          <w:color w:val="000000"/>
          <w:sz w:val="24"/>
        </w:rPr>
        <w:t>主营（产）：</w:t>
      </w:r>
    </w:p>
    <w:p>
      <w:pPr>
        <w:spacing w:line="360" w:lineRule="auto"/>
        <w:rPr>
          <w:rFonts w:ascii="宋体" w:hAnsi="宋体" w:cs="宋体"/>
          <w:color w:val="000000"/>
          <w:sz w:val="24"/>
        </w:rPr>
      </w:pPr>
      <w:r>
        <w:rPr>
          <w:rFonts w:hint="eastAsia" w:ascii="宋体" w:hAnsi="宋体" w:cs="宋体"/>
          <w:color w:val="000000"/>
          <w:sz w:val="24"/>
        </w:rPr>
        <w:t>兼营（产）：</w:t>
      </w:r>
    </w:p>
    <w:p>
      <w:pPr>
        <w:spacing w:line="360" w:lineRule="auto"/>
        <w:rPr>
          <w:rFonts w:ascii="宋体" w:hAnsi="宋体" w:cs="宋体"/>
          <w:color w:val="000000"/>
          <w:sz w:val="24"/>
        </w:rPr>
      </w:pPr>
      <w:r>
        <w:rPr>
          <w:rFonts w:hint="eastAsia" w:ascii="宋体" w:hAnsi="宋体" w:cs="宋体"/>
          <w:color w:val="000000"/>
          <w:sz w:val="24"/>
        </w:rPr>
        <w:t>进口物品经营许可证号码：</w:t>
      </w:r>
    </w:p>
    <w:p>
      <w:pPr>
        <w:spacing w:line="360" w:lineRule="auto"/>
        <w:rPr>
          <w:rFonts w:ascii="宋体" w:hAnsi="宋体" w:cs="宋体"/>
          <w:color w:val="000000"/>
          <w:sz w:val="24"/>
        </w:rPr>
      </w:pPr>
      <w:r>
        <w:rPr>
          <w:rFonts w:hint="eastAsia" w:ascii="宋体" w:hAnsi="宋体" w:cs="宋体"/>
          <w:color w:val="000000"/>
          <w:sz w:val="24"/>
        </w:rPr>
        <w:t>主营：</w:t>
      </w:r>
    </w:p>
    <w:p>
      <w:pPr>
        <w:spacing w:line="360" w:lineRule="auto"/>
        <w:rPr>
          <w:rFonts w:ascii="宋体" w:hAnsi="宋体" w:cs="宋体"/>
          <w:color w:val="000000"/>
          <w:sz w:val="24"/>
        </w:rPr>
      </w:pPr>
      <w:r>
        <w:rPr>
          <w:rFonts w:hint="eastAsia" w:ascii="宋体" w:hAnsi="宋体" w:cs="宋体"/>
          <w:color w:val="000000"/>
          <w:sz w:val="24"/>
        </w:rPr>
        <w:t>兼营：</w:t>
      </w:r>
    </w:p>
    <w:p>
      <w:pPr>
        <w:spacing w:line="360" w:lineRule="auto"/>
        <w:rPr>
          <w:rFonts w:ascii="宋体" w:hAnsi="宋体" w:cs="宋体"/>
          <w:color w:val="000000"/>
          <w:sz w:val="24"/>
        </w:rPr>
      </w:pPr>
      <w:r>
        <w:rPr>
          <w:rFonts w:hint="eastAsia" w:ascii="宋体" w:hAnsi="宋体" w:cs="宋体"/>
          <w:color w:val="000000"/>
          <w:sz w:val="24"/>
        </w:rPr>
        <w:t>说明：1、法定代表人为企业事业单位、国家机关、社会团体的主要行政负责人。</w:t>
      </w:r>
    </w:p>
    <w:p>
      <w:pPr>
        <w:spacing w:line="360" w:lineRule="auto"/>
        <w:rPr>
          <w:rFonts w:hint="eastAsia" w:ascii="宋体" w:hAnsi="宋体" w:eastAsia="宋体" w:cs="宋体"/>
          <w:color w:val="000000"/>
          <w:sz w:val="24"/>
          <w:lang w:eastAsia="zh-CN"/>
        </w:rPr>
      </w:pPr>
      <w:r>
        <w:rPr>
          <w:rFonts w:hint="eastAsia" w:ascii="宋体" w:hAnsi="宋体" w:cs="宋体"/>
          <w:color w:val="000000"/>
          <w:sz w:val="24"/>
        </w:rPr>
        <w:t xml:space="preserve">      2、内容必须填写真实、清楚，涂改无效，不得转让、买卖</w:t>
      </w:r>
      <w:r>
        <w:rPr>
          <w:rFonts w:hint="eastAsia" w:ascii="宋体" w:hAnsi="宋体" w:cs="宋体"/>
          <w:color w:val="000000"/>
          <w:sz w:val="24"/>
          <w:lang w:eastAsia="zh-CN"/>
        </w:rPr>
        <w:t>。</w:t>
      </w:r>
    </w:p>
    <w:p>
      <w:pPr>
        <w:tabs>
          <w:tab w:val="left" w:pos="3780"/>
        </w:tabs>
        <w:spacing w:line="360" w:lineRule="auto"/>
        <w:rPr>
          <w:rFonts w:ascii="宋体" w:hAnsi="宋体" w:cs="宋体"/>
          <w:color w:val="000000"/>
          <w:sz w:val="24"/>
        </w:rPr>
      </w:pPr>
      <w:r>
        <w:rPr>
          <w:rFonts w:hint="eastAsia" w:ascii="宋体" w:hAnsi="宋体" w:cs="宋体"/>
          <w:color w:val="000000"/>
          <w:sz w:val="24"/>
        </w:rPr>
        <w:t>投标供应商名称（盖章）：</w:t>
      </w:r>
    </w:p>
    <w:p>
      <w:pPr>
        <w:tabs>
          <w:tab w:val="left" w:pos="3780"/>
        </w:tabs>
        <w:spacing w:line="360" w:lineRule="auto"/>
        <w:rPr>
          <w:rFonts w:ascii="宋体" w:hAnsi="宋体" w:cs="宋体"/>
          <w:color w:val="000000"/>
          <w:sz w:val="24"/>
        </w:rPr>
      </w:pPr>
      <w:r>
        <w:rPr>
          <w:rFonts w:hint="eastAsia" w:ascii="宋体" w:hAnsi="宋体" w:cs="宋体"/>
          <w:color w:val="000000"/>
          <w:sz w:val="24"/>
        </w:rPr>
        <w:t>法定代表人（签字或签章）：</w:t>
      </w:r>
    </w:p>
    <w:p>
      <w:pPr>
        <w:spacing w:before="120" w:after="120"/>
        <w:jc w:val="left"/>
        <w:rPr>
          <w:rFonts w:ascii="宋体" w:hAnsi="宋体" w:cs="宋体"/>
          <w:color w:val="000000"/>
          <w:szCs w:val="21"/>
        </w:rPr>
      </w:pPr>
    </w:p>
    <w:p>
      <w:pPr>
        <w:spacing w:before="120" w:after="120" w:line="360" w:lineRule="auto"/>
        <w:jc w:val="left"/>
        <w:rPr>
          <w:rFonts w:ascii="宋体" w:hAnsi="宋体" w:cs="宋体"/>
          <w:b/>
          <w:color w:val="000000"/>
          <w:sz w:val="24"/>
        </w:rPr>
      </w:pPr>
      <w:r>
        <w:rPr>
          <w:rFonts w:hint="eastAsia" w:ascii="宋体" w:hAnsi="宋体" w:cs="宋体"/>
          <w:b/>
          <w:color w:val="000000"/>
          <w:sz w:val="24"/>
        </w:rPr>
        <w:t>附身份证正反面</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noWrap w:val="0"/>
            <w:vAlign w:val="top"/>
          </w:tcPr>
          <w:p>
            <w:pPr>
              <w:pStyle w:val="9"/>
              <w:spacing w:line="360" w:lineRule="auto"/>
              <w:rPr>
                <w:rFonts w:ascii="Arial Narrow" w:hAnsi="Arial Narrow"/>
                <w:b/>
                <w:bCs/>
                <w:color w:val="000000"/>
                <w:szCs w:val="21"/>
              </w:rPr>
            </w:pPr>
          </w:p>
        </w:tc>
        <w:tc>
          <w:tcPr>
            <w:tcW w:w="4240" w:type="dxa"/>
            <w:noWrap w:val="0"/>
            <w:vAlign w:val="top"/>
          </w:tcPr>
          <w:p>
            <w:pPr>
              <w:pStyle w:val="9"/>
              <w:spacing w:line="360" w:lineRule="auto"/>
              <w:rPr>
                <w:rFonts w:ascii="Arial Narrow" w:hAnsi="Arial Narrow"/>
                <w:b/>
                <w:bCs/>
                <w:color w:val="000000"/>
                <w:szCs w:val="21"/>
              </w:rPr>
            </w:pPr>
          </w:p>
        </w:tc>
      </w:tr>
    </w:tbl>
    <w:p>
      <w:pPr>
        <w:pStyle w:val="6"/>
        <w:rPr>
          <w:color w:val="000000"/>
          <w:lang w:val="fr-CH"/>
        </w:rPr>
      </w:pPr>
    </w:p>
    <w:p>
      <w:pPr>
        <w:pStyle w:val="9"/>
        <w:spacing w:line="360" w:lineRule="auto"/>
        <w:jc w:val="center"/>
        <w:rPr>
          <w:rFonts w:hAnsi="宋体" w:cs="宋体"/>
          <w:b/>
          <w:color w:val="000000"/>
          <w:sz w:val="24"/>
        </w:rPr>
      </w:pPr>
    </w:p>
    <w:p>
      <w:pPr>
        <w:pStyle w:val="9"/>
        <w:spacing w:line="360" w:lineRule="auto"/>
        <w:jc w:val="center"/>
        <w:rPr>
          <w:rFonts w:hAnsi="宋体" w:cs="宋体"/>
          <w:b/>
          <w:color w:val="000000"/>
          <w:sz w:val="24"/>
        </w:rPr>
      </w:pPr>
      <w:r>
        <w:rPr>
          <w:rFonts w:hint="eastAsia" w:hAnsi="宋体" w:cs="宋体"/>
          <w:b/>
          <w:sz w:val="24"/>
          <w:highlight w:val="none"/>
          <w:lang w:val="en-US" w:eastAsia="zh-CN"/>
        </w:rPr>
        <w:br w:type="page"/>
      </w:r>
      <w:r>
        <w:rPr>
          <w:rFonts w:hint="eastAsia" w:hAnsi="宋体" w:cs="宋体"/>
          <w:b/>
          <w:sz w:val="24"/>
          <w:highlight w:val="none"/>
          <w:lang w:val="en-US" w:eastAsia="zh-CN"/>
        </w:rPr>
        <w:t>9</w:t>
      </w:r>
      <w:r>
        <w:rPr>
          <w:rFonts w:hint="eastAsia" w:hAnsi="宋体" w:cs="宋体"/>
          <w:b/>
          <w:sz w:val="24"/>
          <w:highlight w:val="none"/>
        </w:rPr>
        <w:t>、法定代表人/单位负责人授权书</w:t>
      </w:r>
      <w:r>
        <w:rPr>
          <w:rFonts w:hint="eastAsia" w:hAnsi="宋体" w:cs="宋体"/>
          <w:b/>
          <w:sz w:val="24"/>
          <w:highlight w:val="none"/>
          <w:lang w:val="fr-CH"/>
        </w:rPr>
        <w:t>及身份证明</w:t>
      </w:r>
    </w:p>
    <w:p>
      <w:pPr>
        <w:pStyle w:val="9"/>
        <w:spacing w:line="360" w:lineRule="auto"/>
        <w:rPr>
          <w:rFonts w:hAnsi="宋体" w:cs="宋体"/>
          <w:color w:val="000000"/>
          <w:sz w:val="24"/>
        </w:rPr>
      </w:pPr>
    </w:p>
    <w:p>
      <w:pPr>
        <w:pStyle w:val="9"/>
        <w:spacing w:line="360" w:lineRule="auto"/>
        <w:rPr>
          <w:rFonts w:hAnsi="宋体" w:cs="宋体"/>
          <w:color w:val="000000"/>
          <w:sz w:val="24"/>
        </w:rPr>
      </w:pPr>
      <w:r>
        <w:rPr>
          <w:rFonts w:hint="eastAsia" w:hAnsi="宋体" w:cs="宋体"/>
          <w:b/>
          <w:color w:val="000000"/>
          <w:sz w:val="24"/>
        </w:rPr>
        <w:t>深圳市前海深港现代服务业合作区管理局：</w:t>
      </w:r>
    </w:p>
    <w:p>
      <w:pPr>
        <w:pStyle w:val="9"/>
        <w:spacing w:line="360" w:lineRule="auto"/>
        <w:ind w:firstLine="420"/>
        <w:rPr>
          <w:rFonts w:hAnsi="宋体" w:cs="宋体"/>
          <w:color w:val="000000"/>
          <w:sz w:val="24"/>
        </w:rPr>
      </w:pPr>
      <w:r>
        <w:rPr>
          <w:rFonts w:hint="eastAsia" w:hAnsi="宋体" w:cs="宋体"/>
          <w:color w:val="000000"/>
          <w:sz w:val="24"/>
        </w:rPr>
        <w:t>本授权书声明：注册于</w:t>
      </w:r>
      <w:r>
        <w:rPr>
          <w:rFonts w:hint="eastAsia" w:hAnsi="宋体" w:cs="宋体"/>
          <w:color w:val="000000"/>
          <w:sz w:val="24"/>
          <w:u w:val="single"/>
        </w:rPr>
        <w:t xml:space="preserve">     </w:t>
      </w:r>
      <w:r>
        <w:rPr>
          <w:rFonts w:hint="eastAsia" w:hAnsi="宋体" w:cs="宋体"/>
          <w:color w:val="000000"/>
          <w:sz w:val="24"/>
        </w:rPr>
        <w:t>（国家或地区）的</w:t>
      </w:r>
      <w:r>
        <w:rPr>
          <w:rFonts w:hint="eastAsia" w:hAnsi="宋体" w:cs="宋体"/>
          <w:color w:val="000000"/>
          <w:sz w:val="24"/>
          <w:u w:val="single"/>
        </w:rPr>
        <w:t xml:space="preserve">     </w:t>
      </w:r>
      <w:r>
        <w:rPr>
          <w:rFonts w:hint="eastAsia" w:hAnsi="宋体" w:cs="宋体"/>
          <w:color w:val="000000"/>
          <w:sz w:val="24"/>
        </w:rPr>
        <w:t>（投标人名称）的在下面签字的</w:t>
      </w:r>
      <w:r>
        <w:rPr>
          <w:rFonts w:hint="eastAsia" w:hAnsi="宋体" w:cs="宋体"/>
          <w:color w:val="000000"/>
          <w:sz w:val="24"/>
          <w:u w:val="single"/>
        </w:rPr>
        <w:t xml:space="preserve">     </w:t>
      </w:r>
      <w:r>
        <w:rPr>
          <w:rFonts w:hint="eastAsia" w:hAnsi="宋体" w:cs="宋体"/>
          <w:color w:val="000000"/>
          <w:sz w:val="24"/>
        </w:rPr>
        <w:t xml:space="preserve"> （法定代表人姓名、职务）代表本公司授权在下面签字的</w:t>
      </w:r>
      <w:r>
        <w:rPr>
          <w:rFonts w:hint="eastAsia" w:hAnsi="宋体" w:cs="宋体"/>
          <w:color w:val="000000"/>
          <w:sz w:val="24"/>
          <w:u w:val="single"/>
        </w:rPr>
        <w:t xml:space="preserve">     </w:t>
      </w:r>
      <w:r>
        <w:rPr>
          <w:rFonts w:hint="eastAsia" w:hAnsi="宋体" w:cs="宋体"/>
          <w:color w:val="000000"/>
          <w:sz w:val="24"/>
        </w:rPr>
        <w:t>（被授权人的姓名、职务）为本公司的合法代表人，就</w:t>
      </w:r>
      <w:r>
        <w:rPr>
          <w:rFonts w:hint="eastAsia" w:hAnsi="宋体" w:cs="宋体"/>
          <w:color w:val="000000"/>
          <w:sz w:val="24"/>
          <w:u w:val="single"/>
        </w:rPr>
        <w:t xml:space="preserve">       </w:t>
      </w:r>
      <w:r>
        <w:rPr>
          <w:rFonts w:hint="eastAsia" w:hAnsi="宋体" w:cs="宋体"/>
          <w:color w:val="000000"/>
          <w:sz w:val="24"/>
        </w:rPr>
        <w:t>[招标编号为：</w:t>
      </w:r>
      <w:r>
        <w:rPr>
          <w:rFonts w:hint="eastAsia" w:hAnsi="宋体" w:cs="宋体"/>
          <w:color w:val="000000"/>
          <w:sz w:val="24"/>
          <w:u w:val="single"/>
        </w:rPr>
        <w:t xml:space="preserve">     </w:t>
      </w:r>
      <w:r>
        <w:rPr>
          <w:rFonts w:hint="eastAsia" w:hAnsi="宋体" w:cs="宋体"/>
          <w:color w:val="000000"/>
          <w:sz w:val="24"/>
        </w:rPr>
        <w:t>]的投标和合同执行，以我方的名义处理一切与之有关的事宜。</w:t>
      </w:r>
    </w:p>
    <w:p>
      <w:pPr>
        <w:pStyle w:val="9"/>
        <w:spacing w:line="360" w:lineRule="auto"/>
        <w:rPr>
          <w:rFonts w:hAnsi="宋体" w:cs="宋体"/>
          <w:color w:val="000000"/>
          <w:sz w:val="24"/>
        </w:rPr>
      </w:pPr>
    </w:p>
    <w:p>
      <w:pPr>
        <w:spacing w:line="360" w:lineRule="auto"/>
        <w:ind w:firstLine="570"/>
        <w:rPr>
          <w:rFonts w:ascii="宋体" w:hAnsi="宋体" w:cs="宋体"/>
          <w:color w:val="000000"/>
          <w:sz w:val="24"/>
        </w:rPr>
      </w:pPr>
      <w:r>
        <w:rPr>
          <w:rFonts w:hint="eastAsia" w:ascii="宋体" w:hAnsi="宋体" w:cs="宋体"/>
          <w:color w:val="000000"/>
          <w:sz w:val="24"/>
        </w:rPr>
        <w:t>本授权书于</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日签字生效，特此声明。</w:t>
      </w:r>
    </w:p>
    <w:p>
      <w:pPr>
        <w:spacing w:line="360" w:lineRule="auto"/>
        <w:rPr>
          <w:rFonts w:ascii="宋体" w:hAnsi="宋体" w:cs="宋体"/>
          <w:color w:val="000000"/>
          <w:sz w:val="24"/>
        </w:rPr>
      </w:pPr>
    </w:p>
    <w:p>
      <w:pPr>
        <w:spacing w:line="360" w:lineRule="auto"/>
        <w:rPr>
          <w:rFonts w:ascii="宋体" w:hAnsi="宋体" w:cs="宋体"/>
          <w:color w:val="000000"/>
          <w:sz w:val="24"/>
        </w:rPr>
      </w:pPr>
    </w:p>
    <w:p>
      <w:pPr>
        <w:tabs>
          <w:tab w:val="left" w:pos="3780"/>
        </w:tabs>
        <w:spacing w:line="360" w:lineRule="auto"/>
        <w:jc w:val="left"/>
        <w:rPr>
          <w:rFonts w:ascii="宋体" w:hAnsi="宋体" w:cs="宋体"/>
          <w:color w:val="000000"/>
          <w:sz w:val="24"/>
        </w:rPr>
      </w:pPr>
      <w:r>
        <w:rPr>
          <w:rFonts w:hint="eastAsia" w:ascii="宋体" w:hAnsi="宋体" w:cs="宋体"/>
          <w:color w:val="000000"/>
          <w:sz w:val="24"/>
        </w:rPr>
        <w:t>投标供应商名称（盖章）：</w:t>
      </w:r>
    </w:p>
    <w:p>
      <w:pPr>
        <w:tabs>
          <w:tab w:val="left" w:pos="3780"/>
        </w:tabs>
        <w:spacing w:line="360" w:lineRule="auto"/>
        <w:jc w:val="left"/>
        <w:rPr>
          <w:rFonts w:ascii="宋体" w:hAnsi="宋体" w:cs="宋体"/>
          <w:color w:val="000000"/>
          <w:sz w:val="24"/>
        </w:rPr>
      </w:pPr>
      <w:r>
        <w:rPr>
          <w:rFonts w:hint="eastAsia" w:ascii="宋体" w:hAnsi="宋体" w:cs="宋体"/>
          <w:color w:val="000000"/>
          <w:sz w:val="24"/>
        </w:rPr>
        <w:t>法定代表人（签字或签章）：</w:t>
      </w:r>
    </w:p>
    <w:p>
      <w:pPr>
        <w:tabs>
          <w:tab w:val="left" w:pos="3780"/>
        </w:tabs>
        <w:spacing w:line="360" w:lineRule="auto"/>
        <w:jc w:val="left"/>
        <w:rPr>
          <w:rFonts w:ascii="宋体" w:hAnsi="宋体" w:cs="宋体"/>
          <w:color w:val="000000"/>
          <w:sz w:val="24"/>
        </w:rPr>
      </w:pPr>
      <w:r>
        <w:rPr>
          <w:rFonts w:hint="eastAsia" w:ascii="宋体" w:hAnsi="宋体" w:cs="宋体"/>
          <w:color w:val="000000"/>
          <w:sz w:val="24"/>
        </w:rPr>
        <w:t>被授权人代表（签字或签章）：</w:t>
      </w:r>
    </w:p>
    <w:p>
      <w:pPr>
        <w:tabs>
          <w:tab w:val="left" w:pos="640"/>
          <w:tab w:val="left" w:pos="1260"/>
          <w:tab w:val="left" w:pos="1418"/>
        </w:tabs>
        <w:spacing w:line="360" w:lineRule="auto"/>
        <w:rPr>
          <w:rFonts w:ascii="宋体" w:hAnsi="宋体" w:cs="宋体"/>
          <w:b/>
          <w:color w:val="000000"/>
          <w:sz w:val="24"/>
        </w:rPr>
      </w:pPr>
    </w:p>
    <w:p>
      <w:pPr>
        <w:tabs>
          <w:tab w:val="left" w:pos="640"/>
          <w:tab w:val="left" w:pos="1260"/>
          <w:tab w:val="left" w:pos="1418"/>
        </w:tabs>
        <w:spacing w:line="360" w:lineRule="auto"/>
        <w:rPr>
          <w:rFonts w:ascii="宋体" w:hAnsi="宋体" w:cs="宋体"/>
          <w:b/>
          <w:color w:val="000000"/>
          <w:sz w:val="24"/>
        </w:rPr>
      </w:pPr>
      <w:r>
        <w:rPr>
          <w:rFonts w:hint="eastAsia" w:ascii="宋体" w:hAnsi="宋体" w:cs="宋体"/>
          <w:b/>
          <w:color w:val="000000"/>
          <w:sz w:val="24"/>
        </w:rPr>
        <w:t>附身份证正反面</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noWrap w:val="0"/>
            <w:vAlign w:val="top"/>
          </w:tcPr>
          <w:p>
            <w:pPr>
              <w:pStyle w:val="9"/>
              <w:spacing w:line="360" w:lineRule="auto"/>
              <w:rPr>
                <w:rFonts w:ascii="Arial Narrow" w:hAnsi="Arial Narrow"/>
                <w:b/>
                <w:bCs/>
                <w:color w:val="000000"/>
                <w:szCs w:val="21"/>
              </w:rPr>
            </w:pPr>
          </w:p>
        </w:tc>
        <w:tc>
          <w:tcPr>
            <w:tcW w:w="4677" w:type="dxa"/>
            <w:noWrap w:val="0"/>
            <w:vAlign w:val="top"/>
          </w:tcPr>
          <w:p>
            <w:pPr>
              <w:pStyle w:val="9"/>
              <w:spacing w:line="360" w:lineRule="auto"/>
              <w:rPr>
                <w:rFonts w:ascii="Arial Narrow" w:hAnsi="Arial Narrow"/>
                <w:b/>
                <w:bCs/>
                <w:color w:val="000000"/>
                <w:szCs w:val="21"/>
              </w:rPr>
            </w:pPr>
          </w:p>
        </w:tc>
      </w:tr>
    </w:tbl>
    <w:p>
      <w:pPr>
        <w:numPr>
          <w:ilvl w:val="0"/>
          <w:numId w:val="0"/>
        </w:numPr>
        <w:tabs>
          <w:tab w:val="left" w:pos="640"/>
          <w:tab w:val="left" w:pos="1260"/>
          <w:tab w:val="left" w:pos="1418"/>
        </w:tabs>
        <w:spacing w:line="360" w:lineRule="auto"/>
        <w:ind w:left="640" w:hanging="640"/>
        <w:rPr>
          <w:rFonts w:ascii="宋体" w:hAnsi="宋体" w:cs="宋体"/>
          <w:color w:val="000000"/>
          <w:sz w:val="24"/>
          <w:lang w:val="fr-CH"/>
        </w:rPr>
      </w:pPr>
      <w:r>
        <w:rPr>
          <w:rFonts w:hint="eastAsia" w:ascii="宋体" w:hAnsi="宋体" w:cs="宋体"/>
          <w:color w:val="000000"/>
          <w:sz w:val="24"/>
          <w:lang w:val="fr-CH"/>
        </w:rPr>
        <w:br w:type="page"/>
      </w:r>
    </w:p>
    <w:p>
      <w:pPr>
        <w:widowControl/>
        <w:autoSpaceDE w:val="0"/>
        <w:autoSpaceDN w:val="0"/>
        <w:spacing w:line="360" w:lineRule="auto"/>
        <w:ind w:left="359" w:right="26" w:hanging="357"/>
        <w:jc w:val="center"/>
        <w:textAlignment w:val="bottom"/>
        <w:rPr>
          <w:rFonts w:ascii="宋体" w:hAnsi="宋体" w:cs="宋体"/>
          <w:b/>
          <w:bCs/>
          <w:color w:val="000000"/>
          <w:sz w:val="24"/>
          <w:lang w:val="fr-CH"/>
        </w:rPr>
      </w:pPr>
      <w:r>
        <w:rPr>
          <w:rFonts w:hint="eastAsia" w:ascii="宋体" w:hAnsi="宋体" w:cs="宋体"/>
          <w:b/>
          <w:bCs/>
          <w:color w:val="000000"/>
          <w:sz w:val="24"/>
          <w:lang w:val="en-US" w:eastAsia="zh-CN"/>
        </w:rPr>
        <w:t>10、</w:t>
      </w:r>
      <w:r>
        <w:rPr>
          <w:rFonts w:hint="eastAsia" w:ascii="宋体" w:hAnsi="宋体" w:cs="宋体"/>
          <w:b/>
          <w:bCs/>
          <w:color w:val="000000"/>
          <w:sz w:val="24"/>
          <w:lang w:val="fr-CH"/>
        </w:rPr>
        <w:t>招标代理服务费承诺书</w:t>
      </w:r>
    </w:p>
    <w:p>
      <w:pPr>
        <w:widowControl/>
        <w:autoSpaceDE w:val="0"/>
        <w:autoSpaceDN w:val="0"/>
        <w:spacing w:line="360" w:lineRule="auto"/>
        <w:ind w:left="359" w:right="26" w:hanging="357"/>
        <w:textAlignment w:val="bottom"/>
        <w:rPr>
          <w:rFonts w:hint="eastAsia" w:ascii="宋体" w:hAnsi="宋体" w:cs="宋体"/>
          <w:color w:val="000000"/>
          <w:sz w:val="24"/>
        </w:rPr>
      </w:pPr>
      <w:r>
        <w:rPr>
          <w:rFonts w:hint="eastAsia" w:ascii="宋体" w:hAnsi="宋体" w:cs="宋体"/>
          <w:color w:val="000000"/>
          <w:sz w:val="24"/>
        </w:rPr>
        <w:t>致：深圳交易咨询集团有限公司</w:t>
      </w:r>
    </w:p>
    <w:p>
      <w:pPr>
        <w:widowControl/>
        <w:autoSpaceDE w:val="0"/>
        <w:autoSpaceDN w:val="0"/>
        <w:spacing w:line="360" w:lineRule="auto"/>
        <w:ind w:right="26" w:firstLine="540"/>
        <w:textAlignment w:val="bottom"/>
        <w:rPr>
          <w:rFonts w:ascii="宋体" w:hAnsi="宋体" w:cs="宋体"/>
          <w:color w:val="000000"/>
          <w:sz w:val="24"/>
        </w:rPr>
      </w:pPr>
      <w:r>
        <w:rPr>
          <w:rFonts w:hint="eastAsia" w:ascii="宋体" w:hAnsi="宋体" w:cs="宋体"/>
          <w:color w:val="000000"/>
          <w:sz w:val="24"/>
        </w:rPr>
        <w:t>我们在贵司代理的</w:t>
      </w:r>
      <w:r>
        <w:rPr>
          <w:rFonts w:hint="eastAsia" w:ascii="宋体" w:hAnsi="宋体" w:cs="宋体"/>
          <w:color w:val="000000"/>
          <w:sz w:val="24"/>
          <w:u w:val="single"/>
        </w:rPr>
        <w:t xml:space="preserve">           </w:t>
      </w:r>
      <w:r>
        <w:rPr>
          <w:rFonts w:hint="eastAsia" w:ascii="宋体" w:hAnsi="宋体" w:cs="宋体"/>
          <w:color w:val="000000"/>
          <w:sz w:val="24"/>
        </w:rPr>
        <w:t>项目（招标编号：</w:t>
      </w:r>
      <w:r>
        <w:rPr>
          <w:rFonts w:hint="eastAsia" w:ascii="宋体" w:hAnsi="宋体" w:cs="宋体"/>
          <w:color w:val="000000"/>
          <w:sz w:val="24"/>
          <w:u w:val="single"/>
        </w:rPr>
        <w:t xml:space="preserve">           </w:t>
      </w:r>
      <w:r>
        <w:rPr>
          <w:rFonts w:hint="eastAsia" w:ascii="宋体" w:hAnsi="宋体" w:cs="宋体"/>
          <w:color w:val="000000"/>
          <w:sz w:val="24"/>
        </w:rPr>
        <w:t>）（货物/服务/工程）招标中若获中标，我们保证在收到中标通知书后5日内按招标文件的规定，以现金或电汇向贵公司指定的银行账号支付全额招标代理服务费。招标代理服务费按照</w:t>
      </w:r>
      <w:r>
        <w:rPr>
          <w:rFonts w:hint="eastAsia" w:ascii="宋体" w:hAnsi="宋体" w:cs="宋体"/>
          <w:color w:val="000000"/>
          <w:sz w:val="24"/>
          <w:u w:val="single"/>
        </w:rPr>
        <w:t>招标文件中的规定</w:t>
      </w:r>
      <w:r>
        <w:rPr>
          <w:rFonts w:hint="eastAsia" w:ascii="宋体" w:hAnsi="宋体" w:cs="宋体"/>
          <w:color w:val="000000"/>
          <w:sz w:val="24"/>
        </w:rPr>
        <w:t>计算。</w:t>
      </w:r>
    </w:p>
    <w:p>
      <w:pPr>
        <w:widowControl/>
        <w:autoSpaceDE w:val="0"/>
        <w:autoSpaceDN w:val="0"/>
        <w:spacing w:line="360" w:lineRule="auto"/>
        <w:ind w:right="26" w:firstLine="540"/>
        <w:textAlignment w:val="bottom"/>
        <w:rPr>
          <w:rFonts w:ascii="宋体" w:hAnsi="宋体" w:cs="宋体"/>
          <w:color w:val="000000"/>
          <w:sz w:val="24"/>
        </w:rPr>
      </w:pPr>
      <w:r>
        <w:rPr>
          <w:rFonts w:hint="eastAsia" w:ascii="宋体" w:hAnsi="宋体" w:cs="宋体"/>
          <w:color w:val="000000"/>
          <w:sz w:val="24"/>
        </w:rPr>
        <w:t>特此承诺。</w:t>
      </w:r>
    </w:p>
    <w:p>
      <w:pPr>
        <w:tabs>
          <w:tab w:val="left" w:pos="3780"/>
        </w:tabs>
        <w:spacing w:line="360" w:lineRule="auto"/>
        <w:jc w:val="left"/>
        <w:rPr>
          <w:rFonts w:ascii="宋体" w:hAnsi="宋体" w:cs="宋体"/>
          <w:color w:val="000000"/>
          <w:sz w:val="24"/>
        </w:rPr>
      </w:pPr>
    </w:p>
    <w:p>
      <w:pPr>
        <w:tabs>
          <w:tab w:val="left" w:pos="3780"/>
        </w:tabs>
        <w:spacing w:line="360" w:lineRule="auto"/>
        <w:jc w:val="left"/>
        <w:rPr>
          <w:rFonts w:ascii="宋体" w:hAnsi="宋体" w:cs="宋体"/>
          <w:color w:val="000000"/>
          <w:sz w:val="24"/>
        </w:rPr>
      </w:pPr>
      <w:r>
        <w:rPr>
          <w:rFonts w:hint="eastAsia" w:ascii="宋体" w:hAnsi="宋体" w:cs="宋体"/>
          <w:color w:val="000000"/>
          <w:sz w:val="24"/>
        </w:rPr>
        <w:t>投标供应商名称（盖章）：</w:t>
      </w:r>
    </w:p>
    <w:p>
      <w:pPr>
        <w:widowControl/>
        <w:autoSpaceDE w:val="0"/>
        <w:autoSpaceDN w:val="0"/>
        <w:spacing w:line="360" w:lineRule="auto"/>
        <w:ind w:left="359" w:right="26" w:hanging="357"/>
        <w:textAlignment w:val="bottom"/>
        <w:rPr>
          <w:rFonts w:ascii="宋体" w:hAnsi="宋体" w:cs="宋体"/>
          <w:color w:val="000000"/>
          <w:sz w:val="24"/>
        </w:rPr>
      </w:pPr>
      <w:r>
        <w:rPr>
          <w:rFonts w:hint="eastAsia" w:ascii="宋体" w:hAnsi="宋体" w:cs="宋体"/>
          <w:color w:val="000000"/>
          <w:sz w:val="24"/>
        </w:rPr>
        <w:t>投标供应商地址：</w:t>
      </w:r>
    </w:p>
    <w:p>
      <w:pPr>
        <w:widowControl/>
        <w:autoSpaceDE w:val="0"/>
        <w:autoSpaceDN w:val="0"/>
        <w:spacing w:line="360" w:lineRule="auto"/>
        <w:ind w:left="359" w:right="26" w:hanging="357"/>
        <w:textAlignment w:val="bottom"/>
        <w:rPr>
          <w:rFonts w:ascii="宋体" w:hAnsi="宋体" w:cs="宋体"/>
          <w:color w:val="000000"/>
          <w:sz w:val="24"/>
        </w:rPr>
      </w:pPr>
      <w:r>
        <w:rPr>
          <w:rFonts w:hint="eastAsia" w:ascii="宋体" w:hAnsi="宋体" w:cs="宋体"/>
          <w:color w:val="000000"/>
          <w:sz w:val="24"/>
        </w:rPr>
        <w:t xml:space="preserve">电话：         </w:t>
      </w:r>
    </w:p>
    <w:p>
      <w:pPr>
        <w:widowControl/>
        <w:autoSpaceDE w:val="0"/>
        <w:autoSpaceDN w:val="0"/>
        <w:spacing w:line="360" w:lineRule="auto"/>
        <w:ind w:left="359" w:right="26" w:hanging="357"/>
        <w:textAlignment w:val="bottom"/>
        <w:rPr>
          <w:rFonts w:ascii="宋体" w:hAnsi="宋体" w:cs="宋体"/>
          <w:color w:val="000000"/>
          <w:sz w:val="24"/>
        </w:rPr>
      </w:pPr>
      <w:r>
        <w:rPr>
          <w:rFonts w:hint="eastAsia" w:ascii="宋体" w:hAnsi="宋体" w:cs="宋体"/>
          <w:color w:val="000000"/>
          <w:sz w:val="24"/>
        </w:rPr>
        <w:t>传真：</w:t>
      </w:r>
    </w:p>
    <w:p>
      <w:pPr>
        <w:spacing w:line="360" w:lineRule="auto"/>
        <w:jc w:val="left"/>
        <w:rPr>
          <w:rFonts w:ascii="宋体" w:hAnsi="宋体" w:cs="宋体"/>
          <w:color w:val="000000"/>
          <w:sz w:val="24"/>
        </w:rPr>
      </w:pPr>
      <w:r>
        <w:rPr>
          <w:rFonts w:hint="eastAsia" w:ascii="宋体" w:hAnsi="宋体" w:cs="宋体"/>
          <w:color w:val="000000"/>
          <w:sz w:val="24"/>
        </w:rPr>
        <w:t>日期：   年     月     日</w:t>
      </w:r>
    </w:p>
    <w:p>
      <w:pPr>
        <w:pStyle w:val="6"/>
        <w:rPr>
          <w:color w:val="000000"/>
          <w:lang w:val="fr-CH"/>
        </w:rPr>
      </w:pPr>
    </w:p>
    <w:p>
      <w:pPr>
        <w:tabs>
          <w:tab w:val="left" w:pos="640"/>
          <w:tab w:val="left" w:pos="1260"/>
          <w:tab w:val="left" w:pos="1418"/>
        </w:tabs>
        <w:spacing w:line="360" w:lineRule="auto"/>
        <w:rPr>
          <w:rFonts w:ascii="宋体" w:hAnsi="宋体" w:cs="宋体"/>
          <w:color w:val="000000"/>
          <w:sz w:val="24"/>
          <w:lang w:val="fr-CH"/>
        </w:rPr>
      </w:pPr>
    </w:p>
    <w:p>
      <w:pPr>
        <w:widowControl/>
        <w:autoSpaceDE w:val="0"/>
        <w:autoSpaceDN w:val="0"/>
        <w:spacing w:line="360" w:lineRule="auto"/>
        <w:ind w:right="26"/>
        <w:jc w:val="center"/>
        <w:textAlignment w:val="bottom"/>
        <w:rPr>
          <w:rFonts w:hint="eastAsia" w:ascii="宋体" w:hAnsi="宋体" w:eastAsia="宋体" w:cs="宋体"/>
          <w:b/>
          <w:bCs/>
          <w:sz w:val="24"/>
          <w:highlight w:val="none"/>
          <w:lang w:val="fr-CH"/>
        </w:rPr>
      </w:pPr>
      <w:r>
        <w:rPr>
          <w:rFonts w:hint="eastAsia" w:ascii="宋体" w:hAnsi="宋体" w:cs="宋体"/>
          <w:color w:val="000000"/>
          <w:sz w:val="24"/>
          <w:lang w:val="fr-CH"/>
        </w:rPr>
        <w:br w:type="page"/>
      </w:r>
      <w:r>
        <w:rPr>
          <w:rFonts w:hint="eastAsia" w:ascii="宋体" w:hAnsi="宋体" w:cs="宋体"/>
          <w:b/>
          <w:bCs/>
          <w:sz w:val="24"/>
          <w:highlight w:val="none"/>
          <w:lang w:val="en-US" w:eastAsia="zh-CN"/>
        </w:rPr>
        <w:t>11</w:t>
      </w:r>
      <w:r>
        <w:rPr>
          <w:rFonts w:hint="eastAsia" w:ascii="宋体" w:hAnsi="宋体" w:eastAsia="宋体" w:cs="宋体"/>
          <w:b/>
          <w:bCs/>
          <w:sz w:val="24"/>
          <w:highlight w:val="none"/>
          <w:lang w:val="en-US" w:eastAsia="zh-CN"/>
        </w:rPr>
        <w:t>、</w:t>
      </w:r>
      <w:r>
        <w:rPr>
          <w:rFonts w:hint="eastAsia" w:ascii="宋体" w:hAnsi="宋体" w:eastAsia="宋体" w:cs="宋体"/>
          <w:b/>
          <w:bCs/>
          <w:sz w:val="24"/>
          <w:highlight w:val="none"/>
          <w:lang w:val="fr-CH"/>
        </w:rPr>
        <w:t>投标人简介</w:t>
      </w:r>
    </w:p>
    <w:p>
      <w:pPr>
        <w:pStyle w:val="5"/>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供应商基本情况表</w:t>
      </w:r>
    </w:p>
    <w:p>
      <w:pPr>
        <w:pStyle w:val="5"/>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b/>
          <w:bCs/>
          <w:sz w:val="28"/>
          <w:szCs w:val="36"/>
        </w:rPr>
      </w:pPr>
      <w:r>
        <w:rPr>
          <w:rFonts w:hint="eastAsia"/>
          <w:b/>
          <w:bCs/>
          <w:sz w:val="28"/>
          <w:szCs w:val="36"/>
        </w:rPr>
        <w:t>填表单位：（加盖单位公章）</w:t>
      </w:r>
      <w:r>
        <w:rPr>
          <w:rFonts w:hint="eastAsia"/>
          <w:b/>
          <w:bCs/>
          <w:sz w:val="28"/>
          <w:szCs w:val="36"/>
        </w:rPr>
        <w:tab/>
      </w:r>
      <w:r>
        <w:rPr>
          <w:rFonts w:hint="eastAsia"/>
          <w:b/>
          <w:bCs/>
          <w:sz w:val="28"/>
          <w:szCs w:val="36"/>
        </w:rPr>
        <w:tab/>
      </w:r>
      <w:r>
        <w:rPr>
          <w:rFonts w:hint="eastAsia"/>
          <w:b/>
          <w:bCs/>
          <w:sz w:val="28"/>
          <w:szCs w:val="36"/>
        </w:rPr>
        <w:t xml:space="preserve">   填表日期：    年   月   日</w:t>
      </w:r>
    </w:p>
    <w:tbl>
      <w:tblPr>
        <w:tblStyle w:val="21"/>
        <w:tblW w:w="9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采购人</w:t>
            </w:r>
          </w:p>
        </w:tc>
        <w:tc>
          <w:tcPr>
            <w:tcW w:w="2553"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2985"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w:t>
            </w:r>
          </w:p>
        </w:tc>
        <w:tc>
          <w:tcPr>
            <w:tcW w:w="2553"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供应商统一社会信用代码</w:t>
            </w:r>
          </w:p>
        </w:tc>
        <w:tc>
          <w:tcPr>
            <w:tcW w:w="2985"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2282"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职务</w:t>
            </w:r>
          </w:p>
        </w:tc>
        <w:tc>
          <w:tcPr>
            <w:tcW w:w="947"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991"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身份证号码</w:t>
            </w:r>
          </w:p>
        </w:tc>
        <w:tc>
          <w:tcPr>
            <w:tcW w:w="1500" w:type="dxa"/>
            <w:tcBorders>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劳动合同</w:t>
            </w:r>
          </w:p>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关系单位</w:t>
            </w:r>
          </w:p>
        </w:tc>
        <w:tc>
          <w:tcPr>
            <w:tcW w:w="1485" w:type="dxa"/>
            <w:tcBorders>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缴纳社会</w:t>
            </w:r>
          </w:p>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bidi="ar"/>
              </w:rPr>
              <w:t>3</w:t>
            </w:r>
          </w:p>
        </w:tc>
        <w:tc>
          <w:tcPr>
            <w:tcW w:w="2282" w:type="dxa"/>
            <w:gridSpan w:val="2"/>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rPr>
              <w:t>项目负责人</w:t>
            </w:r>
          </w:p>
        </w:tc>
        <w:tc>
          <w:tcPr>
            <w:tcW w:w="947" w:type="dxa"/>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bidi="ar"/>
              </w:rPr>
              <w:t>4</w:t>
            </w:r>
          </w:p>
        </w:tc>
        <w:tc>
          <w:tcPr>
            <w:tcW w:w="2282"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rPr>
              <w:t>主要技术人员</w:t>
            </w:r>
          </w:p>
        </w:tc>
        <w:tc>
          <w:tcPr>
            <w:tcW w:w="94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bidi="ar"/>
              </w:rPr>
              <w:t>5</w:t>
            </w:r>
          </w:p>
        </w:tc>
        <w:tc>
          <w:tcPr>
            <w:tcW w:w="2282" w:type="dxa"/>
            <w:gridSpan w:val="2"/>
            <w:noWrap w:val="0"/>
            <w:vAlign w:val="center"/>
          </w:tcPr>
          <w:p>
            <w:pPr>
              <w:pStyle w:val="5"/>
              <w:keepNext w:val="0"/>
              <w:keepLines w:val="0"/>
              <w:suppressLineNumbers w:val="0"/>
              <w:snapToGrid w:val="0"/>
              <w:spacing w:before="0" w:beforeAutospacing="0" w:after="0" w:afterAutospacing="0"/>
              <w:ind w:left="0" w:leftChars="0" w:right="0" w:firstLine="0" w:firstLineChars="0"/>
              <w:jc w:val="center"/>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eastAsia="zh-CN"/>
              </w:rPr>
              <w:t>编制人员</w:t>
            </w:r>
          </w:p>
        </w:tc>
        <w:tc>
          <w:tcPr>
            <w:tcW w:w="94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bidi="ar"/>
              </w:rPr>
            </w:pPr>
            <w:r>
              <w:rPr>
                <w:rFonts w:hint="eastAsia" w:ascii="宋体" w:hAnsi="宋体" w:eastAsia="宋体" w:cs="宋体"/>
                <w:sz w:val="21"/>
                <w:szCs w:val="21"/>
                <w:vertAlign w:val="baseline"/>
                <w:lang w:val="en-US" w:eastAsia="zh-CN" w:bidi="ar"/>
              </w:rPr>
              <w:t>序号</w:t>
            </w:r>
          </w:p>
        </w:tc>
        <w:tc>
          <w:tcPr>
            <w:tcW w:w="2282"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关联关系类型</w:t>
            </w:r>
          </w:p>
        </w:tc>
        <w:tc>
          <w:tcPr>
            <w:tcW w:w="1738"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关联主体名称</w:t>
            </w:r>
          </w:p>
        </w:tc>
        <w:tc>
          <w:tcPr>
            <w:tcW w:w="4185" w:type="dxa"/>
            <w:gridSpan w:val="3"/>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bidi="ar"/>
              </w:rPr>
            </w:pPr>
            <w:r>
              <w:rPr>
                <w:rFonts w:hint="eastAsia" w:ascii="宋体" w:hAnsi="宋体" w:eastAsia="宋体" w:cs="宋体"/>
                <w:sz w:val="21"/>
                <w:szCs w:val="21"/>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bidi="ar"/>
              </w:rPr>
            </w:pPr>
            <w:r>
              <w:rPr>
                <w:rFonts w:hint="eastAsia" w:ascii="宋体" w:hAnsi="宋体" w:eastAsia="宋体" w:cs="宋体"/>
                <w:sz w:val="21"/>
                <w:szCs w:val="21"/>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说明：同一关联关系类型有多个主体的，应分行填写。</w:t>
            </w:r>
          </w:p>
        </w:tc>
      </w:tr>
    </w:tbl>
    <w:p>
      <w:pPr>
        <w:autoSpaceDE w:val="0"/>
        <w:autoSpaceDN w:val="0"/>
        <w:adjustRightInd w:val="0"/>
        <w:snapToGrid w:val="0"/>
        <w:jc w:val="left"/>
        <w:rPr>
          <w:rFonts w:ascii="宋体" w:hAnsi="宋体"/>
          <w:b/>
          <w:bCs/>
          <w:szCs w:val="21"/>
        </w:rPr>
      </w:pPr>
      <w:r>
        <w:rPr>
          <w:rFonts w:hint="eastAsia" w:ascii="宋体" w:hAnsi="宋体"/>
          <w:b/>
          <w:bCs/>
          <w:szCs w:val="21"/>
        </w:rPr>
        <w:t>注：</w:t>
      </w:r>
    </w:p>
    <w:p>
      <w:pPr>
        <w:autoSpaceDE w:val="0"/>
        <w:autoSpaceDN w:val="0"/>
        <w:adjustRightInd w:val="0"/>
        <w:snapToGrid w:val="0"/>
        <w:jc w:val="left"/>
        <w:rPr>
          <w:rFonts w:ascii="宋体" w:hAnsi="宋体"/>
          <w:bCs/>
          <w:szCs w:val="21"/>
        </w:rPr>
      </w:pPr>
      <w:r>
        <w:rPr>
          <w:rFonts w:hint="eastAsia" w:ascii="宋体" w:hAnsi="宋体"/>
          <w:bCs/>
          <w:szCs w:val="21"/>
        </w:rPr>
        <w:t>1、</w:t>
      </w:r>
      <w:r>
        <w:rPr>
          <w:rFonts w:ascii="宋体" w:hAnsi="宋体"/>
          <w:bCs/>
          <w:szCs w:val="21"/>
        </w:rPr>
        <w:t>根据财政部编著的释义，单位负责人，是指单位法定代表人或者法律、行政法规规定代表单位行使职权的主要负责人。控股关系，是指单位或个人股东的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上述规定的控股、管理关系仅限于直接控股、直接管理关系，不包括间接的控股或管理关系。</w:t>
      </w:r>
    </w:p>
    <w:p>
      <w:pPr>
        <w:autoSpaceDE w:val="0"/>
        <w:autoSpaceDN w:val="0"/>
        <w:adjustRightInd w:val="0"/>
        <w:snapToGrid w:val="0"/>
        <w:jc w:val="left"/>
        <w:rPr>
          <w:rFonts w:ascii="宋体" w:hAnsi="宋体"/>
          <w:bCs/>
          <w:szCs w:val="21"/>
        </w:rPr>
      </w:pPr>
      <w:r>
        <w:rPr>
          <w:rFonts w:hint="eastAsia" w:ascii="宋体" w:hAnsi="宋体"/>
          <w:bCs/>
          <w:szCs w:val="21"/>
        </w:rPr>
        <w:t>2、投标人需如实填写上述信息，如查实上述信息与实际不符，视为提供虚假证明材料骗取中标，投标人应承担相应法律后果。</w:t>
      </w:r>
    </w:p>
    <w:p>
      <w:pPr>
        <w:spacing w:line="440" w:lineRule="exact"/>
        <w:rPr>
          <w:rFonts w:ascii="宋体" w:hAnsi="宋体" w:eastAsia="宋体"/>
        </w:rPr>
      </w:pPr>
    </w:p>
    <w:p>
      <w:pPr>
        <w:tabs>
          <w:tab w:val="left" w:pos="640"/>
        </w:tabs>
        <w:spacing w:line="360" w:lineRule="auto"/>
        <w:rPr>
          <w:rFonts w:hint="eastAsia" w:ascii="宋体" w:hAnsi="宋体" w:eastAsia="宋体" w:cs="宋体"/>
          <w:b/>
          <w:bCs/>
          <w:sz w:val="24"/>
          <w:highlight w:val="none"/>
          <w:lang w:val="fr-CH"/>
        </w:rPr>
      </w:pPr>
      <w:r>
        <w:rPr>
          <w:rFonts w:hint="eastAsia" w:ascii="宋体" w:hAnsi="宋体" w:eastAsia="宋体"/>
          <w:b/>
        </w:rPr>
        <w:t>备注：</w:t>
      </w:r>
      <w:r>
        <w:rPr>
          <w:rFonts w:hint="eastAsia" w:ascii="宋体" w:hAnsi="宋体" w:eastAsia="宋体"/>
        </w:rPr>
        <w:t>以上资质证明材料必须在投标文件中如实提供，一旦发现虚报、造假等违规行为，立即取消其投标资格并追究其相应法律责任。</w:t>
      </w:r>
      <w:r>
        <w:rPr>
          <w:rFonts w:hint="eastAsia" w:ascii="宋体" w:hAnsi="宋体" w:cs="宋体"/>
          <w:color w:val="000000"/>
          <w:sz w:val="24"/>
          <w:lang w:val="fr-CH"/>
        </w:rPr>
        <w:br w:type="page"/>
      </w:r>
      <w:r>
        <w:rPr>
          <w:rFonts w:hint="eastAsia" w:ascii="宋体" w:hAnsi="宋体" w:eastAsia="宋体" w:cs="宋体"/>
          <w:b/>
          <w:bCs/>
          <w:sz w:val="24"/>
          <w:highlight w:val="none"/>
          <w:lang w:val="fr-CH"/>
        </w:rPr>
        <w:t>1</w:t>
      </w:r>
      <w:r>
        <w:rPr>
          <w:rFonts w:hint="eastAsia" w:ascii="宋体" w:hAnsi="宋体" w:eastAsia="宋体" w:cs="宋体"/>
          <w:b/>
          <w:bCs/>
          <w:sz w:val="24"/>
          <w:highlight w:val="none"/>
          <w:lang w:val="en-US" w:eastAsia="zh-CN"/>
        </w:rPr>
        <w:t>2</w:t>
      </w:r>
      <w:r>
        <w:rPr>
          <w:rFonts w:hint="eastAsia" w:ascii="宋体" w:hAnsi="宋体" w:eastAsia="宋体" w:cs="宋体"/>
          <w:b/>
          <w:bCs/>
          <w:sz w:val="24"/>
          <w:highlight w:val="none"/>
          <w:lang w:val="fr-CH"/>
        </w:rPr>
        <w:t>、</w:t>
      </w:r>
      <w:r>
        <w:rPr>
          <w:rFonts w:hint="eastAsia" w:ascii="宋体" w:hAnsi="宋体" w:eastAsia="宋体" w:cs="宋体"/>
          <w:b/>
          <w:bCs/>
          <w:sz w:val="24"/>
          <w:highlight w:val="none"/>
          <w:lang w:val="fr-CH" w:eastAsia="zh-CN"/>
        </w:rPr>
        <w:t>拟派服务团队负责人（仅1人）</w:t>
      </w:r>
      <w:r>
        <w:rPr>
          <w:rFonts w:hint="eastAsia" w:ascii="宋体" w:hAnsi="宋体" w:eastAsia="宋体" w:cs="宋体"/>
          <w:b/>
          <w:bCs/>
          <w:sz w:val="24"/>
          <w:highlight w:val="none"/>
          <w:lang w:val="fr-CH"/>
        </w:rPr>
        <w:t>（格式自拟）</w:t>
      </w:r>
    </w:p>
    <w:p>
      <w:pPr>
        <w:tabs>
          <w:tab w:val="left" w:pos="640"/>
          <w:tab w:val="left" w:pos="1260"/>
          <w:tab w:val="left" w:pos="1418"/>
        </w:tabs>
        <w:spacing w:line="360" w:lineRule="auto"/>
        <w:rPr>
          <w:rFonts w:hint="eastAsia" w:ascii="宋体" w:hAnsi="宋体" w:eastAsia="宋体" w:cs="宋体"/>
          <w:b/>
          <w:bCs/>
          <w:sz w:val="24"/>
          <w:highlight w:val="none"/>
          <w:lang w:val="fr-CH"/>
        </w:rPr>
      </w:pPr>
      <w:r>
        <w:rPr>
          <w:rFonts w:hint="eastAsia" w:ascii="宋体" w:hAnsi="宋体" w:eastAsia="宋体" w:cs="宋体"/>
          <w:b/>
          <w:bCs/>
          <w:sz w:val="24"/>
          <w:highlight w:val="none"/>
          <w:lang w:val="fr-CH"/>
        </w:rPr>
        <w:t>1</w:t>
      </w:r>
      <w:r>
        <w:rPr>
          <w:rFonts w:hint="eastAsia" w:ascii="宋体" w:hAnsi="宋体" w:eastAsia="宋体" w:cs="宋体"/>
          <w:b/>
          <w:bCs/>
          <w:sz w:val="24"/>
          <w:highlight w:val="none"/>
          <w:lang w:val="en-US" w:eastAsia="zh-CN"/>
        </w:rPr>
        <w:t>3</w:t>
      </w:r>
      <w:r>
        <w:rPr>
          <w:rFonts w:hint="eastAsia" w:ascii="宋体" w:hAnsi="宋体" w:eastAsia="宋体" w:cs="宋体"/>
          <w:b/>
          <w:bCs/>
          <w:sz w:val="24"/>
          <w:highlight w:val="none"/>
          <w:lang w:val="fr-CH"/>
        </w:rPr>
        <w:t>、</w:t>
      </w:r>
      <w:r>
        <w:rPr>
          <w:rFonts w:hint="eastAsia" w:ascii="宋体" w:hAnsi="宋体" w:eastAsia="宋体" w:cs="宋体"/>
          <w:b/>
          <w:bCs/>
          <w:sz w:val="24"/>
          <w:highlight w:val="none"/>
          <w:lang w:val="fr-CH" w:eastAsia="zh-CN"/>
        </w:rPr>
        <w:t>拟派服务团队核心人员（不含负责人）</w:t>
      </w:r>
      <w:r>
        <w:rPr>
          <w:rFonts w:hint="eastAsia" w:ascii="宋体" w:hAnsi="宋体" w:eastAsia="宋体" w:cs="宋体"/>
          <w:b/>
          <w:bCs/>
          <w:sz w:val="24"/>
          <w:highlight w:val="none"/>
          <w:lang w:val="fr-CH"/>
        </w:rPr>
        <w:t>（格式自拟）</w:t>
      </w:r>
    </w:p>
    <w:p>
      <w:pPr>
        <w:tabs>
          <w:tab w:val="left" w:pos="640"/>
          <w:tab w:val="left" w:pos="1260"/>
          <w:tab w:val="left" w:pos="1418"/>
        </w:tabs>
        <w:spacing w:line="360" w:lineRule="auto"/>
        <w:rPr>
          <w:rFonts w:hint="eastAsia" w:ascii="宋体" w:hAnsi="宋体" w:eastAsia="宋体" w:cs="宋体"/>
          <w:b/>
          <w:bCs/>
          <w:sz w:val="24"/>
          <w:highlight w:val="none"/>
          <w:lang w:val="fr-CH"/>
        </w:rPr>
      </w:pPr>
      <w:r>
        <w:rPr>
          <w:rFonts w:hint="eastAsia" w:ascii="宋体" w:hAnsi="宋体" w:eastAsia="宋体" w:cs="宋体"/>
          <w:b/>
          <w:bCs/>
          <w:sz w:val="24"/>
          <w:highlight w:val="none"/>
          <w:lang w:val="fr-CH"/>
        </w:rPr>
        <w:t>1</w:t>
      </w:r>
      <w:r>
        <w:rPr>
          <w:rFonts w:hint="eastAsia" w:ascii="宋体" w:hAnsi="宋体" w:eastAsia="宋体" w:cs="宋体"/>
          <w:b/>
          <w:bCs/>
          <w:sz w:val="24"/>
          <w:highlight w:val="none"/>
          <w:lang w:val="en-US" w:eastAsia="zh-CN"/>
        </w:rPr>
        <w:t>4</w:t>
      </w:r>
      <w:r>
        <w:rPr>
          <w:rFonts w:hint="eastAsia" w:ascii="宋体" w:hAnsi="宋体" w:eastAsia="宋体" w:cs="宋体"/>
          <w:b/>
          <w:bCs/>
          <w:sz w:val="24"/>
          <w:highlight w:val="none"/>
          <w:lang w:val="fr-CH"/>
        </w:rPr>
        <w:t>、</w:t>
      </w:r>
      <w:r>
        <w:rPr>
          <w:rFonts w:hint="eastAsia" w:ascii="宋体" w:hAnsi="宋体" w:eastAsia="宋体" w:cs="宋体"/>
          <w:b/>
          <w:bCs/>
          <w:sz w:val="24"/>
          <w:highlight w:val="none"/>
          <w:lang w:val="fr-CH" w:eastAsia="zh-CN"/>
        </w:rPr>
        <w:t>行政诉讼或复议业绩</w:t>
      </w:r>
      <w:r>
        <w:rPr>
          <w:rFonts w:hint="eastAsia" w:ascii="宋体" w:hAnsi="宋体" w:eastAsia="宋体" w:cs="宋体"/>
          <w:b/>
          <w:bCs/>
          <w:sz w:val="24"/>
          <w:highlight w:val="none"/>
          <w:lang w:val="fr-CH"/>
        </w:rPr>
        <w:t>（格式自拟）</w:t>
      </w:r>
    </w:p>
    <w:p>
      <w:pPr>
        <w:tabs>
          <w:tab w:val="left" w:pos="640"/>
          <w:tab w:val="left" w:pos="1260"/>
          <w:tab w:val="left" w:pos="1418"/>
        </w:tabs>
        <w:spacing w:line="360" w:lineRule="auto"/>
        <w:rPr>
          <w:rFonts w:hint="eastAsia" w:ascii="宋体" w:hAnsi="宋体" w:eastAsia="宋体" w:cs="宋体"/>
          <w:b/>
          <w:bCs/>
          <w:sz w:val="24"/>
          <w:highlight w:val="none"/>
          <w:lang w:val="fr-CH"/>
        </w:rPr>
      </w:pPr>
      <w:r>
        <w:rPr>
          <w:rFonts w:hint="eastAsia" w:ascii="宋体" w:hAnsi="宋体" w:eastAsia="宋体" w:cs="宋体"/>
          <w:b/>
          <w:bCs/>
          <w:sz w:val="24"/>
          <w:highlight w:val="none"/>
          <w:lang w:val="fr-CH"/>
        </w:rPr>
        <w:t>1</w:t>
      </w:r>
      <w:r>
        <w:rPr>
          <w:rFonts w:hint="eastAsia" w:ascii="宋体" w:hAnsi="宋体" w:eastAsia="宋体" w:cs="宋体"/>
          <w:b/>
          <w:bCs/>
          <w:sz w:val="24"/>
          <w:highlight w:val="none"/>
          <w:lang w:val="en-US" w:eastAsia="zh-CN"/>
        </w:rPr>
        <w:t>5</w:t>
      </w:r>
      <w:r>
        <w:rPr>
          <w:rFonts w:hint="eastAsia" w:ascii="宋体" w:hAnsi="宋体" w:eastAsia="宋体" w:cs="宋体"/>
          <w:b/>
          <w:bCs/>
          <w:sz w:val="24"/>
          <w:highlight w:val="none"/>
          <w:lang w:val="fr-CH"/>
        </w:rPr>
        <w:t>、</w:t>
      </w:r>
      <w:r>
        <w:rPr>
          <w:rFonts w:hint="eastAsia" w:ascii="宋体" w:hAnsi="宋体" w:eastAsia="宋体" w:cs="宋体"/>
          <w:b/>
          <w:bCs/>
          <w:sz w:val="24"/>
          <w:highlight w:val="none"/>
          <w:lang w:val="fr-CH" w:eastAsia="zh-CN"/>
        </w:rPr>
        <w:t>境外（含港澳台）规则衔接类课题</w:t>
      </w:r>
      <w:r>
        <w:rPr>
          <w:rFonts w:hint="eastAsia" w:ascii="宋体" w:hAnsi="宋体" w:eastAsia="宋体" w:cs="宋体"/>
          <w:b/>
          <w:bCs/>
          <w:sz w:val="24"/>
          <w:highlight w:val="none"/>
          <w:lang w:val="fr-CH"/>
        </w:rPr>
        <w:t>（格式自拟）</w:t>
      </w:r>
    </w:p>
    <w:p>
      <w:pPr>
        <w:tabs>
          <w:tab w:val="left" w:pos="640"/>
          <w:tab w:val="left" w:pos="1260"/>
          <w:tab w:val="left" w:pos="1418"/>
        </w:tabs>
        <w:spacing w:line="360" w:lineRule="auto"/>
        <w:rPr>
          <w:rFonts w:hint="eastAsia" w:ascii="宋体" w:hAnsi="宋体" w:eastAsia="宋体" w:cs="宋体"/>
          <w:b/>
          <w:bCs/>
          <w:sz w:val="24"/>
          <w:highlight w:val="none"/>
          <w:lang w:val="fr-CH" w:eastAsia="zh-CN"/>
        </w:rPr>
      </w:pPr>
      <w:r>
        <w:rPr>
          <w:rFonts w:hint="eastAsia" w:ascii="宋体" w:hAnsi="宋体" w:eastAsia="宋体" w:cs="宋体"/>
          <w:b/>
          <w:bCs/>
          <w:sz w:val="24"/>
          <w:highlight w:val="none"/>
          <w:lang w:val="fr-CH" w:eastAsia="zh-CN"/>
        </w:rPr>
        <w:t>1</w:t>
      </w:r>
      <w:r>
        <w:rPr>
          <w:rFonts w:hint="eastAsia" w:ascii="宋体" w:hAnsi="宋体" w:eastAsia="宋体" w:cs="宋体"/>
          <w:b/>
          <w:bCs/>
          <w:sz w:val="24"/>
          <w:highlight w:val="none"/>
          <w:lang w:val="en-US" w:eastAsia="zh-CN"/>
        </w:rPr>
        <w:t>6</w:t>
      </w:r>
      <w:r>
        <w:rPr>
          <w:rFonts w:hint="eastAsia" w:ascii="宋体" w:hAnsi="宋体" w:eastAsia="宋体" w:cs="宋体"/>
          <w:b/>
          <w:bCs/>
          <w:sz w:val="24"/>
          <w:highlight w:val="none"/>
          <w:lang w:val="fr-CH" w:eastAsia="zh-CN"/>
        </w:rPr>
        <w:t>、涉外法律服务业绩</w:t>
      </w:r>
      <w:r>
        <w:rPr>
          <w:rFonts w:hint="eastAsia" w:ascii="宋体" w:hAnsi="宋体" w:eastAsia="宋体" w:cs="宋体"/>
          <w:b/>
          <w:bCs/>
          <w:sz w:val="24"/>
          <w:highlight w:val="none"/>
          <w:lang w:val="fr-CH"/>
        </w:rPr>
        <w:t>（格式自拟）</w:t>
      </w:r>
    </w:p>
    <w:p>
      <w:pPr>
        <w:tabs>
          <w:tab w:val="left" w:pos="640"/>
          <w:tab w:val="left" w:pos="1260"/>
          <w:tab w:val="left" w:pos="1418"/>
        </w:tabs>
        <w:spacing w:line="360" w:lineRule="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17、合规法律服务业绩</w:t>
      </w:r>
      <w:r>
        <w:rPr>
          <w:rFonts w:hint="eastAsia" w:ascii="宋体" w:hAnsi="宋体" w:eastAsia="宋体" w:cs="宋体"/>
          <w:b/>
          <w:bCs/>
          <w:sz w:val="24"/>
          <w:highlight w:val="none"/>
          <w:lang w:val="fr-CH"/>
        </w:rPr>
        <w:t>（格式自拟）</w:t>
      </w:r>
    </w:p>
    <w:p>
      <w:pPr>
        <w:tabs>
          <w:tab w:val="left" w:pos="640"/>
          <w:tab w:val="left" w:pos="1260"/>
          <w:tab w:val="left" w:pos="1418"/>
        </w:tabs>
        <w:spacing w:line="360" w:lineRule="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18、承诺服务响应时间</w:t>
      </w:r>
      <w:r>
        <w:rPr>
          <w:rFonts w:hint="eastAsia" w:ascii="宋体" w:hAnsi="宋体" w:eastAsia="宋体" w:cs="宋体"/>
          <w:b/>
          <w:bCs/>
          <w:sz w:val="24"/>
          <w:highlight w:val="none"/>
          <w:lang w:val="fr-CH"/>
        </w:rPr>
        <w:t>（格式自拟）</w:t>
      </w:r>
    </w:p>
    <w:p>
      <w:pPr>
        <w:tabs>
          <w:tab w:val="left" w:pos="640"/>
          <w:tab w:val="left" w:pos="1260"/>
          <w:tab w:val="left" w:pos="1418"/>
        </w:tabs>
        <w:spacing w:line="360" w:lineRule="auto"/>
        <w:rPr>
          <w:rFonts w:hint="eastAsia" w:ascii="宋体" w:hAnsi="宋体" w:eastAsia="宋体" w:cs="宋体"/>
          <w:b/>
          <w:bCs/>
          <w:sz w:val="24"/>
          <w:highlight w:val="none"/>
          <w:lang w:val="fr-CH"/>
        </w:rPr>
      </w:pPr>
      <w:r>
        <w:rPr>
          <w:rFonts w:hint="eastAsia" w:ascii="宋体" w:hAnsi="宋体" w:eastAsia="宋体" w:cs="宋体"/>
          <w:b/>
          <w:bCs/>
          <w:sz w:val="24"/>
          <w:highlight w:val="none"/>
          <w:lang w:val="en-US" w:eastAsia="zh-CN"/>
        </w:rPr>
        <w:t>19、投标人认为有必要提供的其他材料</w:t>
      </w:r>
      <w:r>
        <w:rPr>
          <w:rFonts w:hint="eastAsia" w:ascii="宋体" w:hAnsi="宋体" w:eastAsia="宋体" w:cs="宋体"/>
          <w:b/>
          <w:bCs/>
          <w:sz w:val="24"/>
          <w:highlight w:val="none"/>
          <w:lang w:val="fr-CH"/>
        </w:rPr>
        <w:t>（格式自拟）</w:t>
      </w:r>
    </w:p>
    <w:p>
      <w:pPr>
        <w:tabs>
          <w:tab w:val="left" w:pos="640"/>
          <w:tab w:val="left" w:pos="1260"/>
          <w:tab w:val="left" w:pos="1418"/>
        </w:tabs>
        <w:spacing w:line="360" w:lineRule="auto"/>
        <w:rPr>
          <w:rFonts w:hint="eastAsia" w:ascii="宋体" w:hAnsi="宋体" w:eastAsia="宋体" w:cs="宋体"/>
          <w:b/>
          <w:bCs/>
          <w:sz w:val="24"/>
          <w:highlight w:val="none"/>
          <w:lang w:val="fr-CH"/>
        </w:rPr>
      </w:pPr>
    </w:p>
    <w:p>
      <w:pPr>
        <w:tabs>
          <w:tab w:val="left" w:pos="640"/>
          <w:tab w:val="left" w:pos="1260"/>
          <w:tab w:val="left" w:pos="1418"/>
        </w:tabs>
        <w:spacing w:line="360" w:lineRule="auto"/>
        <w:rPr>
          <w:rFonts w:ascii="宋体" w:hAnsi="宋体" w:cs="宋体"/>
          <w:b/>
          <w:bCs/>
          <w:color w:val="000000"/>
          <w:sz w:val="24"/>
        </w:rPr>
      </w:pPr>
      <w:r>
        <w:rPr>
          <w:rFonts w:hint="eastAsia" w:ascii="宋体" w:hAnsi="宋体" w:eastAsia="宋体" w:cs="宋体"/>
          <w:b/>
          <w:bCs/>
          <w:sz w:val="24"/>
          <w:highlight w:val="none"/>
          <w:lang w:val="fr-CH"/>
        </w:rPr>
        <w:t>注：以上各项请根据“招标项目评分表”中的要求自行填写并提供相应的证明</w:t>
      </w:r>
      <w:r>
        <w:rPr>
          <w:rFonts w:hint="eastAsia" w:ascii="宋体" w:hAnsi="宋体" w:cs="宋体"/>
          <w:b/>
          <w:bCs/>
          <w:color w:val="000000"/>
          <w:sz w:val="24"/>
        </w:rPr>
        <w:t>材料。</w:t>
      </w:r>
    </w:p>
    <w:p>
      <w:pPr>
        <w:spacing w:line="360" w:lineRule="auto"/>
        <w:jc w:val="center"/>
        <w:rPr>
          <w:rFonts w:ascii="宋体" w:hAnsi="宋体" w:cs="宋体"/>
          <w:b/>
          <w:bCs/>
          <w:sz w:val="24"/>
          <w:highlight w:val="none"/>
        </w:rPr>
      </w:pPr>
      <w:r>
        <w:rPr>
          <w:rFonts w:hint="eastAsia" w:ascii="宋体" w:hAnsi="宋体" w:cs="宋体"/>
          <w:color w:val="000000"/>
          <w:sz w:val="24"/>
          <w:lang w:val="fr-CH"/>
        </w:rPr>
        <w:br w:type="page"/>
      </w:r>
      <w:bookmarkEnd w:id="33"/>
      <w:r>
        <w:rPr>
          <w:rFonts w:hint="eastAsia" w:ascii="宋体" w:hAnsi="宋体" w:cs="宋体"/>
          <w:b/>
          <w:bCs/>
          <w:sz w:val="24"/>
          <w:highlight w:val="none"/>
        </w:rPr>
        <w:t>（三）技术部分</w:t>
      </w:r>
    </w:p>
    <w:p>
      <w:pPr>
        <w:spacing w:after="78" w:line="360" w:lineRule="auto"/>
        <w:jc w:val="center"/>
        <w:rPr>
          <w:rFonts w:ascii="宋体" w:hAnsi="宋体" w:cs="宋体"/>
          <w:b/>
          <w:bCs/>
          <w:sz w:val="24"/>
          <w:highlight w:val="none"/>
          <w:lang w:val="fr-CH"/>
        </w:rPr>
      </w:pPr>
      <w:r>
        <w:rPr>
          <w:rFonts w:hint="eastAsia" w:ascii="宋体" w:hAnsi="宋体" w:cs="宋体"/>
          <w:b/>
          <w:bCs/>
          <w:sz w:val="24"/>
          <w:highlight w:val="none"/>
        </w:rPr>
        <w:t>1、</w:t>
      </w:r>
      <w:r>
        <w:rPr>
          <w:rFonts w:hint="eastAsia" w:ascii="宋体" w:hAnsi="宋体" w:cs="宋体"/>
          <w:b/>
          <w:bCs/>
          <w:sz w:val="24"/>
          <w:highlight w:val="none"/>
          <w:lang w:val="fr-CH"/>
        </w:rPr>
        <w:t>用户需求响应表</w:t>
      </w:r>
    </w:p>
    <w:p>
      <w:pPr>
        <w:spacing w:after="78" w:line="360" w:lineRule="auto"/>
        <w:rPr>
          <w:rFonts w:ascii="宋体" w:hAnsi="宋体" w:cs="宋体"/>
          <w:sz w:val="24"/>
          <w:highlight w:val="none"/>
        </w:rPr>
      </w:pPr>
      <w:r>
        <w:rPr>
          <w:rFonts w:hint="eastAsia" w:ascii="宋体" w:hAnsi="宋体" w:cs="宋体"/>
          <w:sz w:val="24"/>
          <w:highlight w:val="none"/>
        </w:rPr>
        <w:t>投标人名称____________________          招标编号____________________</w:t>
      </w:r>
    </w:p>
    <w:p>
      <w:pPr>
        <w:spacing w:after="78" w:line="360" w:lineRule="auto"/>
        <w:rPr>
          <w:rFonts w:ascii="宋体" w:hAnsi="宋体" w:cs="宋体"/>
          <w:bCs/>
          <w:sz w:val="24"/>
          <w:highlight w:val="none"/>
        </w:rPr>
      </w:pPr>
      <w:r>
        <w:rPr>
          <w:rFonts w:hint="eastAsia" w:ascii="宋体" w:hAnsi="宋体" w:cs="宋体"/>
          <w:bCs/>
          <w:sz w:val="24"/>
          <w:highlight w:val="none"/>
        </w:rPr>
        <w:t>据招标文件要求，我公司承诺响应如下：</w:t>
      </w:r>
    </w:p>
    <w:tbl>
      <w:tblPr>
        <w:tblStyle w:val="20"/>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序号</w:t>
            </w:r>
          </w:p>
        </w:tc>
        <w:tc>
          <w:tcPr>
            <w:tcW w:w="3507"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招标文件要求</w:t>
            </w:r>
          </w:p>
        </w:tc>
        <w:tc>
          <w:tcPr>
            <w:tcW w:w="3241"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投标文件响应</w:t>
            </w:r>
          </w:p>
        </w:tc>
        <w:tc>
          <w:tcPr>
            <w:tcW w:w="1917"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1</w:t>
            </w:r>
          </w:p>
        </w:tc>
        <w:tc>
          <w:tcPr>
            <w:tcW w:w="3507" w:type="dxa"/>
            <w:noWrap w:val="0"/>
            <w:vAlign w:val="center"/>
          </w:tcPr>
          <w:p>
            <w:pPr>
              <w:keepNext w:val="0"/>
              <w:keepLines w:val="0"/>
              <w:suppressLineNumbers w:val="0"/>
              <w:spacing w:before="0" w:beforeAutospacing="0" w:after="78" w:afterAutospacing="0" w:line="360" w:lineRule="auto"/>
              <w:ind w:left="0" w:right="0"/>
              <w:rPr>
                <w:rFonts w:hint="default" w:ascii="宋体" w:hAnsi="宋体" w:cs="宋体"/>
                <w:bCs/>
                <w:sz w:val="24"/>
                <w:highlight w:val="none"/>
              </w:rPr>
            </w:pPr>
            <w:r>
              <w:rPr>
                <w:rFonts w:hint="eastAsia" w:ascii="宋体" w:hAnsi="宋体" w:cs="宋体"/>
                <w:bCs/>
                <w:sz w:val="24"/>
                <w:highlight w:val="none"/>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noWrap w:val="0"/>
            <w:vAlign w:val="center"/>
          </w:tcPr>
          <w:p>
            <w:pPr>
              <w:keepNext w:val="0"/>
              <w:keepLines w:val="0"/>
              <w:suppressLineNumbers w:val="0"/>
              <w:spacing w:before="0" w:beforeAutospacing="0" w:after="0" w:afterAutospacing="0" w:line="360" w:lineRule="auto"/>
              <w:ind w:left="0" w:right="0"/>
              <w:jc w:val="left"/>
              <w:rPr>
                <w:rFonts w:hint="default" w:ascii="宋体" w:hAnsi="宋体" w:cs="宋体"/>
                <w:bCs/>
                <w:sz w:val="24"/>
                <w:highlight w:val="none"/>
              </w:rPr>
            </w:pPr>
            <w:r>
              <w:rPr>
                <w:rFonts w:hint="eastAsia" w:ascii="宋体" w:hAnsi="宋体" w:cs="宋体"/>
                <w:bCs/>
                <w:sz w:val="24"/>
                <w:highlight w:val="none"/>
              </w:rPr>
              <w:t>填写说明：此项投标人必须完全响应满足，请投标人于“投标文件响应”栏中填写“投标人完全响应满足招标文件“第五章 用户需求书”的全部内容”即可；</w:t>
            </w:r>
          </w:p>
          <w:p>
            <w:pPr>
              <w:keepNext w:val="0"/>
              <w:keepLines w:val="0"/>
              <w:suppressLineNumbers w:val="0"/>
              <w:spacing w:before="0" w:beforeAutospacing="0" w:after="0" w:afterAutospacing="0" w:line="360" w:lineRule="auto"/>
              <w:ind w:left="0" w:right="0"/>
              <w:jc w:val="left"/>
              <w:rPr>
                <w:rFonts w:hint="default" w:ascii="宋体" w:hAnsi="宋体" w:cs="宋体"/>
                <w:bCs/>
                <w:sz w:val="24"/>
                <w:highlight w:val="none"/>
              </w:rPr>
            </w:pPr>
            <w:r>
              <w:rPr>
                <w:rFonts w:hint="eastAsia" w:ascii="宋体" w:hAnsi="宋体" w:cs="宋体"/>
                <w:bCs/>
                <w:sz w:val="24"/>
                <w:highlight w:val="none"/>
              </w:rPr>
              <w:t>无需另行编制填写内容。</w:t>
            </w:r>
          </w:p>
        </w:tc>
        <w:tc>
          <w:tcPr>
            <w:tcW w:w="1917"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p>
        </w:tc>
      </w:tr>
    </w:tbl>
    <w:p>
      <w:pPr>
        <w:spacing w:after="78" w:line="360" w:lineRule="auto"/>
        <w:rPr>
          <w:rFonts w:ascii="宋体" w:hAnsi="宋体" w:cs="宋体"/>
          <w:bCs/>
          <w:sz w:val="24"/>
          <w:highlight w:val="none"/>
        </w:rPr>
      </w:pPr>
    </w:p>
    <w:p>
      <w:pPr>
        <w:spacing w:after="78" w:line="360" w:lineRule="auto"/>
        <w:rPr>
          <w:rFonts w:ascii="宋体" w:hAnsi="宋体" w:cs="宋体"/>
          <w:bCs/>
          <w:sz w:val="24"/>
          <w:highlight w:val="none"/>
        </w:rPr>
      </w:pPr>
      <w:r>
        <w:rPr>
          <w:rFonts w:hint="eastAsia" w:ascii="宋体" w:hAnsi="宋体" w:cs="宋体"/>
          <w:bCs/>
          <w:sz w:val="24"/>
          <w:highlight w:val="none"/>
        </w:rPr>
        <w:t>若响应情况优于招标要求，应作详细说明；“偏离情况”栏中根据响应情况填写，没有达到要求的填“负偏离”，达到要求的填“符合”，优于要求的填“正偏离”。</w:t>
      </w:r>
    </w:p>
    <w:p>
      <w:pPr>
        <w:spacing w:after="78" w:line="360" w:lineRule="auto"/>
        <w:rPr>
          <w:rFonts w:ascii="宋体" w:hAnsi="宋体" w:cs="宋体"/>
          <w:bCs/>
          <w:sz w:val="24"/>
          <w:highlight w:val="none"/>
        </w:rPr>
      </w:pPr>
    </w:p>
    <w:p>
      <w:pPr>
        <w:pStyle w:val="9"/>
        <w:spacing w:line="360" w:lineRule="auto"/>
        <w:ind w:firstLine="5760" w:firstLineChars="2400"/>
        <w:rPr>
          <w:rFonts w:hAnsi="宋体" w:cs="宋体"/>
          <w:bCs/>
          <w:sz w:val="24"/>
          <w:highlight w:val="none"/>
        </w:rPr>
      </w:pPr>
      <w:r>
        <w:rPr>
          <w:rFonts w:hint="eastAsia" w:hAnsi="宋体" w:cs="宋体"/>
          <w:bCs/>
          <w:sz w:val="24"/>
          <w:highlight w:val="none"/>
        </w:rPr>
        <w:t>供应商：（公章）</w:t>
      </w:r>
    </w:p>
    <w:p>
      <w:pPr>
        <w:spacing w:line="360" w:lineRule="auto"/>
        <w:ind w:firstLine="5589" w:firstLineChars="2329"/>
        <w:rPr>
          <w:rFonts w:ascii="宋体" w:hAnsi="宋体" w:cs="宋体"/>
          <w:bCs/>
          <w:sz w:val="24"/>
          <w:highlight w:val="none"/>
        </w:rPr>
      </w:pPr>
      <w:r>
        <w:rPr>
          <w:rFonts w:hint="eastAsia" w:ascii="宋体" w:hAnsi="宋体" w:cs="宋体"/>
          <w:bCs/>
          <w:sz w:val="24"/>
          <w:highlight w:val="none"/>
        </w:rPr>
        <w:t>日期：  年   月  日</w:t>
      </w:r>
    </w:p>
    <w:p>
      <w:pPr>
        <w:pStyle w:val="6"/>
        <w:spacing w:line="360" w:lineRule="auto"/>
        <w:rPr>
          <w:rFonts w:hint="eastAsia"/>
          <w:b/>
          <w:bCs/>
          <w:color w:val="auto"/>
          <w:highlight w:val="yellow"/>
          <w:lang w:val="en-US" w:eastAsia="zh-CN"/>
        </w:rPr>
      </w:pPr>
      <w:r>
        <w:rPr>
          <w:rFonts w:hint="eastAsia"/>
          <w:b/>
          <w:bCs/>
          <w:color w:val="auto"/>
          <w:highlight w:val="yellow"/>
          <w:lang w:val="en-US" w:eastAsia="zh-CN"/>
        </w:rPr>
        <w:t>投标人需要提供完全响应满足招标文件人员要求的相关证明材料：</w:t>
      </w:r>
    </w:p>
    <w:p>
      <w:pPr>
        <w:pStyle w:val="6"/>
        <w:spacing w:line="240" w:lineRule="auto"/>
        <w:rPr>
          <w:rFonts w:hint="eastAsia" w:ascii="Times New Roman" w:hAnsi="Times New Roman" w:eastAsia="宋体" w:cs="Times New Roman"/>
          <w:b/>
          <w:bCs/>
          <w:color w:val="auto"/>
          <w:highlight w:val="yellow"/>
          <w:lang w:val="en-US" w:eastAsia="zh-CN"/>
        </w:rPr>
      </w:pPr>
      <w:r>
        <w:rPr>
          <w:rFonts w:hint="eastAsia" w:ascii="Times New Roman" w:hAnsi="Times New Roman" w:eastAsia="宋体" w:cs="Times New Roman"/>
          <w:b/>
          <w:bCs/>
          <w:color w:val="auto"/>
          <w:highlight w:val="yellow"/>
          <w:lang w:val="en-US" w:eastAsia="zh-CN"/>
        </w:rPr>
        <w:t>1、组成固定7人（含7人）以上工作团队。其中要求至少一位管理/执行合伙人（团队负责人）、三位律师（以上不含派驻人员及项目负责人</w:t>
      </w:r>
      <w:r>
        <w:rPr>
          <w:rFonts w:hint="eastAsia" w:ascii="宋体" w:hAnsi="宋体" w:cs="宋体"/>
          <w:b/>
          <w:bCs/>
          <w:color w:val="auto"/>
          <w:sz w:val="24"/>
          <w:highlight w:val="yellow"/>
          <w:lang w:val="en-US" w:eastAsia="zh-CN"/>
        </w:rPr>
        <w:t>，为本项目核心团队人员</w:t>
      </w:r>
      <w:r>
        <w:rPr>
          <w:rFonts w:hint="eastAsia" w:ascii="Times New Roman" w:hAnsi="Times New Roman" w:eastAsia="宋体" w:cs="Times New Roman"/>
          <w:b/>
          <w:bCs/>
          <w:color w:val="auto"/>
          <w:highlight w:val="yellow"/>
          <w:lang w:val="en-US" w:eastAsia="zh-CN"/>
        </w:rPr>
        <w:t>）及三位派驻人员组成相对固定的工作团队。（人员不可重复，需提供以上团队人员列表，格式自拟）</w:t>
      </w:r>
    </w:p>
    <w:p>
      <w:pPr>
        <w:pStyle w:val="6"/>
        <w:spacing w:line="240" w:lineRule="auto"/>
        <w:rPr>
          <w:rFonts w:hint="eastAsia" w:ascii="Times New Roman" w:hAnsi="Times New Roman" w:eastAsia="宋体" w:cs="Times New Roman"/>
          <w:b/>
          <w:bCs/>
          <w:color w:val="auto"/>
          <w:highlight w:val="yellow"/>
          <w:lang w:val="en-US" w:eastAsia="zh-CN"/>
        </w:rPr>
      </w:pPr>
      <w:r>
        <w:rPr>
          <w:rFonts w:hint="eastAsia" w:ascii="Times New Roman" w:hAnsi="Times New Roman" w:eastAsia="宋体" w:cs="Times New Roman"/>
          <w:b/>
          <w:bCs/>
          <w:color w:val="auto"/>
          <w:highlight w:val="yellow"/>
          <w:lang w:val="en-US" w:eastAsia="zh-CN"/>
        </w:rPr>
        <w:t>2、投标人安排的三位派驻人员中，至少满足有1名为执业律师、另外2名持有法律职业资格证（需要提供有效的证书复印件或扫描件加盖单位公章）；</w:t>
      </w:r>
    </w:p>
    <w:p>
      <w:pPr>
        <w:pStyle w:val="6"/>
        <w:spacing w:line="240" w:lineRule="auto"/>
        <w:rPr>
          <w:rFonts w:hint="eastAsia" w:ascii="Times New Roman" w:hAnsi="Times New Roman" w:eastAsia="宋体" w:cs="Times New Roman"/>
          <w:b/>
          <w:bCs/>
          <w:color w:val="auto"/>
          <w:highlight w:val="yellow"/>
          <w:lang w:val="en-US" w:eastAsia="zh-CN"/>
        </w:rPr>
      </w:pPr>
      <w:r>
        <w:rPr>
          <w:rFonts w:hint="eastAsia" w:ascii="Times New Roman" w:hAnsi="Times New Roman" w:eastAsia="宋体" w:cs="Times New Roman"/>
          <w:b/>
          <w:bCs/>
          <w:color w:val="auto"/>
          <w:highlight w:val="yellow"/>
          <w:lang w:val="en-US" w:eastAsia="zh-CN"/>
        </w:rPr>
        <w:t>3、投标人需提供律师事务所和配备的律师工作团队成员近五年来（2020年1月1日至投标截止日）未受过相关部门处罚并不存在不良执业记录的承诺函并加盖投标人公章，承诺函格式自拟。</w:t>
      </w:r>
    </w:p>
    <w:p>
      <w:pPr>
        <w:pStyle w:val="6"/>
        <w:spacing w:line="240" w:lineRule="auto"/>
        <w:rPr>
          <w:rFonts w:hint="default" w:ascii="Times New Roman" w:hAnsi="Times New Roman" w:eastAsia="宋体" w:cs="Times New Roman"/>
          <w:b/>
          <w:bCs/>
          <w:color w:val="FF0000"/>
          <w:sz w:val="24"/>
          <w:szCs w:val="24"/>
          <w:highlight w:val="yellow"/>
          <w:lang w:val="en-US" w:eastAsia="zh-CN"/>
        </w:rPr>
      </w:pPr>
      <w:r>
        <w:rPr>
          <w:rFonts w:hint="eastAsia" w:ascii="Times New Roman" w:hAnsi="Times New Roman" w:eastAsia="宋体" w:cs="Times New Roman"/>
          <w:b/>
          <w:bCs/>
          <w:color w:val="FF0000"/>
          <w:sz w:val="24"/>
          <w:szCs w:val="24"/>
          <w:highlight w:val="yellow"/>
          <w:lang w:val="en-US" w:eastAsia="zh-CN"/>
        </w:rPr>
        <w:t>注：若投标人未按要求附相关证明文件将按照不满足符合性检查表“《用户需求响应表》未按要求填写，经评审委员会认定存在不明或不实的”的要求，做投标人未通过符合性审查处理。</w:t>
      </w:r>
    </w:p>
    <w:p>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sz w:val="24"/>
          <w:highlight w:val="none"/>
          <w:lang w:val="sq-AL"/>
        </w:rPr>
        <w:br w:type="page"/>
      </w:r>
      <w:r>
        <w:rPr>
          <w:rFonts w:hint="eastAsia" w:ascii="宋体" w:hAnsi="宋体" w:cs="宋体"/>
          <w:b/>
          <w:bCs/>
          <w:sz w:val="24"/>
          <w:highlight w:val="none"/>
          <w:lang w:val="fr-CH"/>
        </w:rPr>
        <w:t>2、质量保障措施及方案（格式自拟）</w:t>
      </w:r>
    </w:p>
    <w:p>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b/>
          <w:bCs/>
          <w:sz w:val="24"/>
          <w:highlight w:val="none"/>
          <w:lang w:val="fr-CH"/>
        </w:rPr>
        <w:t>3、工作思路（格式自拟）</w:t>
      </w:r>
    </w:p>
    <w:p>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b/>
          <w:bCs/>
          <w:sz w:val="24"/>
          <w:highlight w:val="none"/>
          <w:lang w:val="fr-CH"/>
        </w:rPr>
        <w:t>4、诉讼、仲裁及行政复议服务方案（格式自拟）</w:t>
      </w:r>
    </w:p>
    <w:p>
      <w:pPr>
        <w:rPr>
          <w:rFonts w:hint="eastAsia" w:ascii="宋体" w:hAnsi="宋体" w:cs="宋体"/>
          <w:b/>
          <w:bCs/>
          <w:sz w:val="24"/>
          <w:highlight w:val="none"/>
          <w:lang w:val="fr-CH"/>
        </w:rPr>
      </w:pPr>
      <w:r>
        <w:rPr>
          <w:rFonts w:hint="eastAsia" w:ascii="宋体" w:hAnsi="宋体" w:cs="宋体"/>
          <w:b/>
          <w:bCs/>
          <w:sz w:val="24"/>
          <w:highlight w:val="none"/>
          <w:lang w:val="fr-CH"/>
        </w:rPr>
        <w:br w:type="page"/>
      </w:r>
      <w:r>
        <w:rPr>
          <w:rFonts w:hint="eastAsia" w:ascii="宋体" w:hAnsi="宋体" w:cs="宋体"/>
          <w:b/>
          <w:bCs/>
          <w:sz w:val="24"/>
          <w:highlight w:val="none"/>
          <w:lang w:val="fr-CH"/>
        </w:rPr>
        <w:t>5、投标单位认为有必要提供的其他材料（</w:t>
      </w:r>
      <w:r>
        <w:rPr>
          <w:rFonts w:hint="eastAsia" w:ascii="宋体" w:hAnsi="宋体" w:cs="宋体"/>
          <w:b/>
          <w:bCs/>
          <w:sz w:val="24"/>
          <w:highlight w:val="none"/>
          <w:lang w:val="en-US" w:eastAsia="zh-CN"/>
        </w:rPr>
        <w:t>包括但不限于以下内容</w:t>
      </w:r>
      <w:r>
        <w:rPr>
          <w:rFonts w:hint="eastAsia" w:ascii="宋体" w:hAnsi="宋体" w:cs="宋体"/>
          <w:b/>
          <w:bCs/>
          <w:sz w:val="24"/>
          <w:highlight w:val="none"/>
          <w:lang w:val="fr-CH"/>
        </w:rPr>
        <w:t>）</w:t>
      </w:r>
    </w:p>
    <w:p>
      <w:pPr>
        <w:numPr>
          <w:ilvl w:val="0"/>
          <w:numId w:val="0"/>
        </w:numPr>
        <w:spacing w:line="440" w:lineRule="exact"/>
        <w:ind w:firstLine="0" w:firstLineChars="0"/>
        <w:jc w:val="left"/>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w:t>
      </w:r>
      <w:r>
        <w:rPr>
          <w:rFonts w:hint="eastAsia" w:ascii="宋体" w:hAnsi="宋体"/>
          <w:color w:val="000000"/>
          <w:szCs w:val="21"/>
        </w:rPr>
        <w:t>最近三年本公司牵涉的主要诉讼案件</w:t>
      </w:r>
    </w:p>
    <w:p>
      <w:pPr>
        <w:spacing w:line="440" w:lineRule="exact"/>
        <w:jc w:val="left"/>
        <w:rPr>
          <w:rFonts w:hint="eastAsia" w:ascii="宋体" w:hAnsi="宋体"/>
          <w:color w:val="000000"/>
          <w:szCs w:val="21"/>
        </w:rPr>
      </w:pPr>
    </w:p>
    <w:p>
      <w:pPr>
        <w:spacing w:line="440" w:lineRule="exact"/>
        <w:jc w:val="left"/>
        <w:rPr>
          <w:rFonts w:hint="eastAsia" w:ascii="宋体" w:hAnsi="宋体"/>
        </w:rPr>
      </w:pPr>
      <w:r>
        <w:rPr>
          <w:rFonts w:hint="eastAsia" w:ascii="宋体" w:hAnsi="宋体"/>
          <w:color w:val="000000"/>
          <w:szCs w:val="21"/>
        </w:rPr>
        <w:t>2、</w:t>
      </w:r>
      <w:r>
        <w:rPr>
          <w:rFonts w:hint="eastAsia" w:ascii="宋体" w:hAnsi="宋体"/>
          <w:b/>
          <w:bCs/>
        </w:rPr>
        <w:t>投标时提供主要经营负责人、项目投标授权代表人、项目负责人、主要技术人员近三个月（含开标当月）中的任意一个月的社会保险证明。</w:t>
      </w:r>
    </w:p>
    <w:p>
      <w:pPr>
        <w:spacing w:line="440" w:lineRule="exact"/>
        <w:jc w:val="left"/>
        <w:rPr>
          <w:rFonts w:hint="eastAsia" w:ascii="宋体" w:hAnsi="宋体"/>
        </w:rPr>
      </w:pPr>
      <w:r>
        <w:rPr>
          <w:rFonts w:hint="eastAsia" w:ascii="宋体" w:hAnsi="宋体"/>
        </w:rPr>
        <w:t>注：</w:t>
      </w:r>
    </w:p>
    <w:p>
      <w:pPr>
        <w:spacing w:line="440" w:lineRule="exact"/>
        <w:jc w:val="left"/>
        <w:rPr>
          <w:rFonts w:hint="eastAsia" w:ascii="宋体" w:hAnsi="宋体"/>
        </w:rPr>
      </w:pPr>
      <w:r>
        <w:rPr>
          <w:rFonts w:hint="eastAsia" w:ascii="宋体" w:hAnsi="宋体"/>
        </w:rPr>
        <w:t>1.投标人应如实提供上述人员的社会保险证明，如上述人员的社会保险未由投标人缴纳，亦须提供相应单位为其缴纳的社会保险证明。</w:t>
      </w:r>
    </w:p>
    <w:p>
      <w:pPr>
        <w:spacing w:line="440" w:lineRule="exact"/>
        <w:jc w:val="left"/>
        <w:rPr>
          <w:rFonts w:hint="eastAsia" w:ascii="宋体" w:hAnsi="宋体"/>
        </w:rPr>
      </w:pPr>
      <w:r>
        <w:rPr>
          <w:rFonts w:hint="eastAsia" w:ascii="宋体" w:hAnsi="宋体"/>
        </w:rPr>
        <w:t>2.投标人为新成立企业且成立时间不足一个月可提供加盖投标人公章的情况说明或者证明材料亦视为符合。</w:t>
      </w:r>
    </w:p>
    <w:p>
      <w:pPr>
        <w:spacing w:line="440" w:lineRule="exact"/>
        <w:jc w:val="left"/>
        <w:rPr>
          <w:rFonts w:hint="eastAsia" w:ascii="宋体" w:hAnsi="宋体"/>
        </w:rPr>
      </w:pPr>
      <w:r>
        <w:rPr>
          <w:rFonts w:hint="eastAsia" w:ascii="宋体" w:hAnsi="宋体"/>
        </w:rPr>
        <w:t>3.若为退休人员，提供退休证明。</w:t>
      </w:r>
    </w:p>
    <w:p>
      <w:pPr>
        <w:spacing w:line="440" w:lineRule="exact"/>
        <w:jc w:val="left"/>
        <w:rPr>
          <w:rFonts w:hint="eastAsia" w:ascii="宋体" w:hAnsi="宋体"/>
        </w:rPr>
      </w:pPr>
      <w:r>
        <w:rPr>
          <w:rFonts w:hint="eastAsia" w:ascii="宋体" w:hAnsi="宋体"/>
        </w:rPr>
        <w:t>4.如依法不需要缴纳社会保险的，应提供相应文件证明。</w:t>
      </w:r>
    </w:p>
    <w:p>
      <w:pPr>
        <w:spacing w:line="440" w:lineRule="exact"/>
        <w:jc w:val="left"/>
        <w:rPr>
          <w:rFonts w:hint="eastAsia" w:ascii="宋体" w:hAnsi="宋体"/>
        </w:rPr>
      </w:pPr>
      <w:r>
        <w:rPr>
          <w:rFonts w:hint="eastAsia" w:ascii="宋体" w:hAnsi="宋体"/>
        </w:rPr>
        <w:t>5.若因为社保部门或税务部门原因无法提供的，需提供劳动合同及社保部门或税务部门官方通知证明（或官网公告截图）。</w:t>
      </w:r>
    </w:p>
    <w:p>
      <w:pPr>
        <w:spacing w:line="440" w:lineRule="exact"/>
        <w:jc w:val="left"/>
        <w:rPr>
          <w:rFonts w:hint="eastAsia" w:ascii="宋体" w:hAnsi="宋体"/>
        </w:rPr>
      </w:pPr>
      <w:r>
        <w:rPr>
          <w:rFonts w:hint="eastAsia" w:ascii="宋体" w:hAnsi="宋体"/>
        </w:rPr>
        <w:t>6.如本项目未安排项目投标授权代表人、项目负责人、主要技术人员的，无需提供投标授权代表人、项目负责人、主要技术人员的社保。</w:t>
      </w:r>
    </w:p>
    <w:p>
      <w:pPr>
        <w:spacing w:line="440" w:lineRule="exact"/>
        <w:jc w:val="left"/>
        <w:rPr>
          <w:rFonts w:hint="eastAsia" w:ascii="宋体" w:hAnsi="宋体"/>
        </w:rPr>
      </w:pPr>
      <w:r>
        <w:rPr>
          <w:rFonts w:hint="eastAsia" w:ascii="宋体" w:hAnsi="宋体"/>
          <w:lang w:val="en-US" w:eastAsia="zh-CN"/>
        </w:rPr>
        <w:t>7</w:t>
      </w:r>
      <w:r>
        <w:rPr>
          <w:rFonts w:hint="eastAsia" w:ascii="宋体" w:hAnsi="宋体"/>
        </w:rPr>
        <w:t>.如是联合体投标的，需提供各方的。</w:t>
      </w:r>
    </w:p>
    <w:p>
      <w:pPr>
        <w:spacing w:line="440" w:lineRule="exact"/>
        <w:jc w:val="left"/>
        <w:rPr>
          <w:rFonts w:hint="eastAsia" w:ascii="宋体" w:hAnsi="宋体"/>
        </w:rPr>
      </w:pPr>
    </w:p>
    <w:p>
      <w:pPr>
        <w:tabs>
          <w:tab w:val="left" w:pos="640"/>
          <w:tab w:val="left" w:pos="1260"/>
          <w:tab w:val="left" w:pos="1418"/>
        </w:tabs>
        <w:spacing w:line="360" w:lineRule="auto"/>
        <w:rPr>
          <w:rFonts w:hint="eastAsia"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rPr>
        <w:t>其他招标文件要求和投标人认为有必要的内容</w:t>
      </w:r>
    </w:p>
    <w:p>
      <w:pPr>
        <w:tabs>
          <w:tab w:val="left" w:pos="640"/>
          <w:tab w:val="left" w:pos="1260"/>
          <w:tab w:val="left" w:pos="1418"/>
        </w:tabs>
        <w:spacing w:line="360" w:lineRule="auto"/>
        <w:rPr>
          <w:rFonts w:hint="eastAsia" w:ascii="宋体" w:hAnsi="宋体" w:cs="宋体"/>
          <w:b/>
          <w:bCs/>
          <w:sz w:val="24"/>
          <w:highlight w:val="none"/>
        </w:rPr>
      </w:pPr>
    </w:p>
    <w:p>
      <w:pPr>
        <w:tabs>
          <w:tab w:val="left" w:pos="640"/>
          <w:tab w:val="left" w:pos="1260"/>
          <w:tab w:val="left" w:pos="1418"/>
        </w:tabs>
        <w:spacing w:line="360" w:lineRule="auto"/>
        <w:rPr>
          <w:rFonts w:ascii="宋体" w:hAnsi="宋体" w:cs="宋体"/>
          <w:b/>
          <w:bCs/>
          <w:sz w:val="24"/>
          <w:highlight w:val="none"/>
        </w:rPr>
      </w:pPr>
      <w:r>
        <w:rPr>
          <w:rFonts w:hint="eastAsia" w:ascii="宋体" w:hAnsi="宋体" w:cs="宋体"/>
          <w:b/>
          <w:bCs/>
          <w:sz w:val="24"/>
          <w:highlight w:val="none"/>
        </w:rPr>
        <w:t>注：以上各项请根据“招标项目评分表”中的要求自行填写并提供相应的证明材料。</w:t>
      </w:r>
    </w:p>
    <w:p>
      <w:pPr>
        <w:tabs>
          <w:tab w:val="left" w:pos="425"/>
          <w:tab w:val="left" w:pos="640"/>
          <w:tab w:val="left" w:pos="1260"/>
          <w:tab w:val="left" w:pos="1418"/>
        </w:tabs>
        <w:spacing w:line="360" w:lineRule="auto"/>
        <w:ind w:right="-420" w:rightChars="-200"/>
        <w:jc w:val="center"/>
        <w:outlineLvl w:val="0"/>
        <w:rPr>
          <w:rFonts w:ascii="宋体" w:hAnsi="宋体" w:cs="宋体"/>
          <w:b/>
          <w:bCs/>
          <w:sz w:val="24"/>
          <w:highlight w:val="none"/>
        </w:rPr>
      </w:pPr>
      <w:r>
        <w:rPr>
          <w:rFonts w:hint="eastAsia" w:ascii="宋体" w:hAnsi="宋体" w:cs="宋体"/>
          <w:sz w:val="24"/>
          <w:highlight w:val="none"/>
          <w:lang w:val="fr-CH"/>
        </w:rPr>
        <w:br w:type="page"/>
      </w:r>
      <w:bookmarkStart w:id="39" w:name="_Toc6251"/>
      <w:bookmarkStart w:id="40" w:name="_Toc3166"/>
      <w:r>
        <w:rPr>
          <w:rFonts w:hint="eastAsia" w:ascii="宋体" w:hAnsi="宋体" w:cs="宋体"/>
          <w:b/>
          <w:bCs/>
          <w:sz w:val="24"/>
          <w:highlight w:val="none"/>
        </w:rPr>
        <w:t>附件：相关政策</w:t>
      </w:r>
      <w:bookmarkEnd w:id="39"/>
      <w:bookmarkEnd w:id="40"/>
    </w:p>
    <w:p>
      <w:pPr>
        <w:tabs>
          <w:tab w:val="left" w:pos="360"/>
        </w:tabs>
        <w:spacing w:line="360" w:lineRule="auto"/>
        <w:outlineLvl w:val="1"/>
        <w:rPr>
          <w:rFonts w:ascii="宋体" w:hAnsi="宋体" w:cs="宋体"/>
          <w:b/>
          <w:bCs/>
          <w:sz w:val="24"/>
          <w:highlight w:val="none"/>
        </w:rPr>
      </w:pPr>
      <w:r>
        <w:rPr>
          <w:rFonts w:hint="eastAsia" w:ascii="宋体" w:hAnsi="宋体" w:cs="宋体"/>
          <w:b/>
          <w:bCs/>
          <w:sz w:val="24"/>
          <w:highlight w:val="none"/>
        </w:rPr>
        <w:t>1、财政部、工业和信息化部《关于印发〈政府采购促进中小企业发展管理办法〉的通知》（财库〔2020〕46 号）</w:t>
      </w:r>
    </w:p>
    <w:p>
      <w:pPr>
        <w:pStyle w:val="6"/>
        <w:tabs>
          <w:tab w:val="left" w:pos="562"/>
          <w:tab w:val="left" w:pos="3372"/>
          <w:tab w:val="left" w:pos="3653"/>
        </w:tabs>
        <w:spacing w:line="360" w:lineRule="auto"/>
        <w:rPr>
          <w:rFonts w:ascii="宋体" w:hAnsi="宋体" w:cs="宋体"/>
          <w:sz w:val="24"/>
          <w:highlight w:val="none"/>
        </w:rPr>
      </w:pPr>
    </w:p>
    <w:p>
      <w:pPr>
        <w:widowControl/>
        <w:shd w:val="clear" w:color="auto" w:fill="FFFFFF"/>
        <w:spacing w:line="360" w:lineRule="auto"/>
        <w:jc w:val="center"/>
        <w:rPr>
          <w:rFonts w:ascii="宋体" w:hAnsi="宋体" w:cs="宋体"/>
          <w:kern w:val="0"/>
          <w:sz w:val="24"/>
          <w:highlight w:val="none"/>
        </w:rPr>
      </w:pPr>
      <w:r>
        <w:rPr>
          <w:rFonts w:hint="eastAsia" w:ascii="宋体" w:hAnsi="宋体" w:cs="宋体"/>
          <w:kern w:val="0"/>
          <w:sz w:val="24"/>
          <w:highlight w:val="none"/>
        </w:rPr>
        <w:t>关于印发《政府采购促进中小企业发展管理办法》的通知</w:t>
      </w:r>
    </w:p>
    <w:p>
      <w:pPr>
        <w:widowControl/>
        <w:shd w:val="clear" w:color="auto" w:fill="FFFFFF"/>
        <w:spacing w:after="240" w:line="360" w:lineRule="auto"/>
        <w:jc w:val="center"/>
        <w:rPr>
          <w:rFonts w:ascii="宋体" w:hAnsi="宋体" w:cs="宋体"/>
          <w:kern w:val="0"/>
          <w:sz w:val="24"/>
          <w:highlight w:val="none"/>
        </w:rPr>
      </w:pPr>
      <w:r>
        <w:rPr>
          <w:rFonts w:hint="eastAsia" w:ascii="宋体" w:hAnsi="宋体" w:cs="宋体"/>
          <w:kern w:val="0"/>
          <w:sz w:val="24"/>
          <w:highlight w:val="none"/>
        </w:rPr>
        <w:t>财库〔2020〕46号</w:t>
      </w:r>
    </w:p>
    <w:p>
      <w:pPr>
        <w:widowControl/>
        <w:shd w:val="clear" w:color="auto" w:fill="FFFFFF"/>
        <w:spacing w:after="240" w:line="360" w:lineRule="auto"/>
        <w:jc w:val="left"/>
        <w:rPr>
          <w:rFonts w:ascii="宋体" w:hAnsi="宋体" w:cs="宋体"/>
          <w:kern w:val="0"/>
          <w:sz w:val="24"/>
          <w:highlight w:val="none"/>
        </w:rPr>
      </w:pPr>
      <w:r>
        <w:rPr>
          <w:rFonts w:hint="eastAsia" w:ascii="宋体" w:hAnsi="宋体" w:cs="宋体"/>
          <w:kern w:val="0"/>
          <w:sz w:val="24"/>
          <w:highlight w:val="none"/>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附件：政府采购促进中小企业发展管理办法</w:t>
      </w:r>
    </w:p>
    <w:p>
      <w:pPr>
        <w:widowControl/>
        <w:shd w:val="clear" w:color="auto" w:fill="FFFFFF"/>
        <w:spacing w:line="360" w:lineRule="auto"/>
        <w:jc w:val="right"/>
        <w:rPr>
          <w:rFonts w:ascii="宋体" w:hAnsi="宋体" w:cs="宋体"/>
          <w:kern w:val="0"/>
          <w:sz w:val="24"/>
          <w:highlight w:val="none"/>
        </w:rPr>
      </w:pPr>
      <w:r>
        <w:rPr>
          <w:rFonts w:hint="eastAsia" w:ascii="宋体" w:hAnsi="宋体" w:cs="宋体"/>
          <w:kern w:val="0"/>
          <w:sz w:val="24"/>
          <w:highlight w:val="none"/>
        </w:rPr>
        <w:t>财  政  部</w:t>
      </w:r>
    </w:p>
    <w:p>
      <w:pPr>
        <w:widowControl/>
        <w:shd w:val="clear" w:color="auto" w:fill="FFFFFF"/>
        <w:spacing w:line="360" w:lineRule="auto"/>
        <w:jc w:val="right"/>
        <w:rPr>
          <w:rFonts w:ascii="宋体" w:hAnsi="宋体" w:cs="宋体"/>
          <w:kern w:val="0"/>
          <w:sz w:val="24"/>
          <w:highlight w:val="none"/>
        </w:rPr>
      </w:pPr>
      <w:r>
        <w:rPr>
          <w:rFonts w:hint="eastAsia" w:ascii="宋体" w:hAnsi="宋体" w:cs="宋体"/>
          <w:kern w:val="0"/>
          <w:sz w:val="24"/>
          <w:highlight w:val="none"/>
        </w:rPr>
        <w:t>工业和信息化部</w:t>
      </w:r>
    </w:p>
    <w:p>
      <w:pPr>
        <w:widowControl/>
        <w:shd w:val="clear" w:color="auto" w:fill="FFFFFF"/>
        <w:spacing w:line="360" w:lineRule="auto"/>
        <w:jc w:val="right"/>
        <w:rPr>
          <w:rFonts w:ascii="宋体" w:hAnsi="宋体" w:cs="宋体"/>
          <w:kern w:val="0"/>
          <w:sz w:val="24"/>
          <w:highlight w:val="none"/>
        </w:rPr>
      </w:pPr>
      <w:r>
        <w:rPr>
          <w:rFonts w:hint="eastAsia" w:ascii="宋体" w:hAnsi="宋体" w:cs="宋体"/>
          <w:kern w:val="0"/>
          <w:sz w:val="24"/>
          <w:highlight w:val="none"/>
        </w:rPr>
        <w:t>2020年12月18日</w:t>
      </w:r>
    </w:p>
    <w:p>
      <w:pPr>
        <w:autoSpaceDE w:val="0"/>
        <w:autoSpaceDN w:val="0"/>
        <w:adjustRightInd w:val="0"/>
        <w:spacing w:line="360" w:lineRule="auto"/>
        <w:jc w:val="left"/>
        <w:rPr>
          <w:rFonts w:ascii="宋体" w:hAnsi="宋体" w:cs="宋体"/>
          <w:kern w:val="0"/>
          <w:sz w:val="24"/>
          <w:highlight w:val="none"/>
        </w:rPr>
      </w:pPr>
    </w:p>
    <w:p>
      <w:pPr>
        <w:rPr>
          <w:rFonts w:ascii="宋体" w:hAnsi="宋体" w:cs="宋体"/>
          <w:b/>
          <w:bCs/>
          <w:sz w:val="24"/>
          <w:highlight w:val="none"/>
        </w:rPr>
      </w:pPr>
      <w:r>
        <w:rPr>
          <w:rFonts w:hint="eastAsia" w:ascii="宋体" w:hAnsi="宋体" w:cs="宋体"/>
          <w:b/>
          <w:bCs/>
          <w:sz w:val="24"/>
          <w:highlight w:val="none"/>
        </w:rPr>
        <w:br w:type="page"/>
      </w:r>
    </w:p>
    <w:p>
      <w:pPr>
        <w:spacing w:line="360" w:lineRule="auto"/>
        <w:jc w:val="center"/>
        <w:rPr>
          <w:rFonts w:ascii="宋体" w:hAnsi="宋体" w:cs="宋体"/>
          <w:b/>
          <w:bCs/>
          <w:sz w:val="24"/>
          <w:highlight w:val="none"/>
        </w:rPr>
      </w:pPr>
      <w:r>
        <w:rPr>
          <w:rFonts w:hint="eastAsia" w:ascii="宋体" w:hAnsi="宋体" w:cs="宋体"/>
          <w:b/>
          <w:bCs/>
          <w:sz w:val="24"/>
          <w:highlight w:val="none"/>
        </w:rPr>
        <w:t>政府采购促进中小企业发展管理办法</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第一条 为了发挥政府采购的政策功能，促进中小企业健康发展，根据《中华人民共和国政府采购法》、《中华人民共和国中小企业促进法》等有关法律法规，制定本办法。</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第三条 采购人在政府采购活动中应当通过加强采购需求管理，落实预留采购份额、价格评审优惠、优先采购等 措施，提高中小企业在政府采购中的份额，支持中小企业发展。</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第四条 在政府采购活动中，供应商提供的货物、工程或者服务符合下列情形的，享受本办法规定的中小企业扶持政策：</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（一）在货物采购项目中，货物由中小企业制造，即货 物由中小企业生产且使用该中小企业商号或者注册商标；</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（二）在工程采购项目中，工程由中小企业承建，即工 程施工单位为中小企业；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（三）在服务采购项目中，服务由中小企业承接，即提供服务的人员为中小企业依照《中华人民共和国劳动合同法》订立劳动合同的从业人员。</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在货物采购项目中，供应商提供的货物既有中小企业制造货物，也有大型企业制造货物的，不享受本办法规定的中小企业扶持政策。</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6"/>
        <w:tabs>
          <w:tab w:val="left" w:pos="562"/>
          <w:tab w:val="left" w:pos="3372"/>
          <w:tab w:val="left" w:pos="3653"/>
        </w:tabs>
        <w:spacing w:line="360" w:lineRule="auto"/>
        <w:ind w:firstLine="480" w:firstLineChars="200"/>
        <w:rPr>
          <w:rFonts w:ascii="宋体" w:hAnsi="宋体" w:cs="宋体"/>
          <w:sz w:val="24"/>
          <w:highlight w:val="none"/>
        </w:rPr>
      </w:pPr>
      <w:r>
        <w:rPr>
          <w:rFonts w:hint="eastAsia" w:ascii="宋体" w:hAnsi="宋体" w:cs="宋体"/>
          <w:kern w:val="0"/>
          <w:sz w:val="24"/>
          <w:highlight w:val="none"/>
        </w:rPr>
        <w:t>符合下列情形之一的，可不专门面向中小企业预留采购</w:t>
      </w:r>
      <w:r>
        <w:rPr>
          <w:rFonts w:hint="eastAsia" w:ascii="宋体" w:hAnsi="宋体" w:cs="宋体"/>
          <w:sz w:val="24"/>
          <w:highlight w:val="none"/>
        </w:rPr>
        <w:t>份额：</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（一）法律法规和国家有关政策明确规定优先或者应当面向事业单位、社会组织等非企业主体采购的；</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（二）因确需使用不可替代的专利、专有技术，基础设施限制，或者提供特定公共服务等原因，只能从中小企业之外的供应商处采购的；</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（三）按照本办法规定预留采购份额无法确保充分供应、充分竞争，或者存在可能影响政府采购目标实现的情形；</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（四）框架协议采购项目；</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（五）省级以上人民政府财政部门规定的其他情形。 除上述情形外，其他均为适宜由中小企业提供的情形。</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第七条</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采购限额标准以上，200万元以下的货物和服务采购项目、400 万元以下的工程采购项目，适宜由中小企业提供的，采购人应当专门面向中小企业采购。</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（一）将采购项目整体或者设置采购包专门面向中小企业采购；</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（二）要求供应商以联合体形式参加采购活动，且联合体中中小企业承担的部分达到一定比例；</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（三）要求获得采购合同的供应商将采购项目中的一定比例分包给一家或者多家中小企业。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组成联合体或者接受分包合同的中小企业与联合体内 其他企业、分包企业之间不得存在直接控股、管理关系。</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第十二条 采购项目涉及中小企业采购的，采购文件应当明确以下内容：</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（一）预留份额的采购项目或者采购包，明确该项目或相关采购包专门面向中小企业采购，以及相关标的及预算金额；</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（二）要求以联合体形式参加或者合同分包的，明确联合协议或者分包意向协议中中小企业合同金额应当达到的 比例，并作为供应商资格条件；</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（三）非预留份额的采购项目或者采购包，明确有关价格扣除比例或者价格分加分比例；</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（四）规定依据本办法规定享受扶持政策获得政府采购合同的，小微企业不得将合同分包给大中型企业，中型企业不得将合同分包给大型企业；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（五）采购人认为具备相关条件的，明确对中小企业在资金支付期限、预付款比例等方面的优惠措施；</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（六）明确采购标的对应的中小企业划分标准所属行业；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（七）法律法规和省级以上人民政府财政部门规定的其他事项。</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第十三条 中标、成交供应商享受本办法规定的中小企业扶持政策的，采购人、采购代理机构应当随中标、成交结果公开中标、成交供应商的《中小企业声明函》。</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适用招标投标法的政府采购工程建设项目，应当在公示中标候选人时公开中标候选人的《中小企业声明函》。</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第十五条 鼓励各地区、各部门在采购活动中允许中小企业引入信用担保手段，为中小企业在投标（响应）保证、履约保证等方面提供专业化服务。鼓励中小企业依法合规通过政府采购合同融资。</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第十六条 政府采购监督检查、投诉处理及政府采购行政处罚中对中小企业的认定，由货物制造商或者工程、服务供应商注册登记所在地的县级以上人民政府中小企业主管部门负责。</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中小企业主管部门应当在收到财政部门或者有关招标 投标行政监督部门关于协助开展中小企业认定函后 10 个工作日内做出书面答复。</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第二十条 供应商按照本办法规定提供声明函内容不实的，属于提供虚假材料谋取中标、成交，依照《中华人民共和国政府采购法》等国家有关规定追究相应责任。</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适用招标投标法的政府采购工程建设项目，投标人按照 本办法规定提供声明函内容不实的，属于弄虚作假骗取中标，依照《中华人民共和国招标投标法》等国家有关规定追究相应责任。</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第二十二条 对外援助项目、国家相关资格或者资质管理制度另有规定的项目，不适用本办法。</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第二十三条 关于视同中小企业的其他主体的政府采购扶持政策，由财政部会同有关部门另行规定。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第二十四条 省级财政部门可以会同中小企业主管部门根据本办法的规定制定具体实施办法。</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第二十五条 本办法自 2021 年 1 月 1 日起施行。《财政部 工业和信息化部关于印发〈政府采购促进中小企业发展暂行办法〉的通知》（财库﹝2011﹞181 号）同时废止。</w:t>
      </w:r>
    </w:p>
    <w:p>
      <w:pPr>
        <w:pStyle w:val="6"/>
        <w:tabs>
          <w:tab w:val="left" w:pos="562"/>
          <w:tab w:val="left" w:pos="3372"/>
          <w:tab w:val="left" w:pos="3653"/>
        </w:tabs>
        <w:spacing w:before="5" w:line="360" w:lineRule="auto"/>
        <w:rPr>
          <w:rFonts w:ascii="宋体" w:hAnsi="宋体" w:cs="宋体"/>
          <w:sz w:val="24"/>
          <w:highlight w:val="none"/>
        </w:rPr>
      </w:pP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附：1.中小企业声明函</w:t>
      </w:r>
    </w:p>
    <w:p>
      <w:pPr>
        <w:pStyle w:val="6"/>
        <w:tabs>
          <w:tab w:val="left" w:pos="562"/>
          <w:tab w:val="left" w:pos="3372"/>
          <w:tab w:val="left" w:pos="3653"/>
        </w:tabs>
        <w:spacing w:line="360" w:lineRule="auto"/>
        <w:ind w:firstLine="960" w:firstLineChars="400"/>
        <w:rPr>
          <w:rFonts w:ascii="宋体" w:hAnsi="宋体" w:cs="宋体"/>
          <w:kern w:val="0"/>
          <w:sz w:val="24"/>
          <w:highlight w:val="none"/>
        </w:rPr>
      </w:pPr>
      <w:r>
        <w:rPr>
          <w:rFonts w:hint="eastAsia" w:ascii="宋体" w:hAnsi="宋体" w:cs="宋体"/>
          <w:kern w:val="0"/>
          <w:sz w:val="24"/>
          <w:highlight w:val="none"/>
        </w:rPr>
        <w:t>2.面向中小企业预留项目执行情况公告</w:t>
      </w:r>
    </w:p>
    <w:p>
      <w:pPr>
        <w:pStyle w:val="6"/>
        <w:tabs>
          <w:tab w:val="left" w:pos="562"/>
          <w:tab w:val="left" w:pos="3372"/>
          <w:tab w:val="left" w:pos="3653"/>
        </w:tabs>
        <w:spacing w:before="30" w:line="360" w:lineRule="auto"/>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附 1</w:t>
      </w:r>
    </w:p>
    <w:p>
      <w:pPr>
        <w:spacing w:after="319" w:afterLines="100" w:line="360" w:lineRule="auto"/>
        <w:jc w:val="center"/>
        <w:rPr>
          <w:rFonts w:ascii="宋体" w:hAnsi="宋体" w:cs="宋体"/>
          <w:sz w:val="24"/>
          <w:highlight w:val="none"/>
        </w:rPr>
      </w:pPr>
      <w:r>
        <w:rPr>
          <w:rFonts w:hint="eastAsia" w:ascii="宋体" w:hAnsi="宋体" w:cs="宋体"/>
          <w:sz w:val="24"/>
          <w:highlight w:val="none"/>
        </w:rPr>
        <w:t>中小企业声明函（货物）</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本公司（联合体）郑重声明，根据《政府采购促进中小企业发展管理办法》（财库﹝2020﹞46 号）的规定，本公司（联合体）参加（</w:t>
      </w:r>
      <w:r>
        <w:rPr>
          <w:rFonts w:hint="eastAsia" w:ascii="宋体" w:hAnsi="宋体" w:cs="宋体"/>
          <w:spacing w:val="-2"/>
          <w:sz w:val="24"/>
          <w:highlight w:val="none"/>
          <w:u w:val="single"/>
        </w:rPr>
        <w:t>单位名称</w:t>
      </w:r>
      <w:r>
        <w:rPr>
          <w:rFonts w:hint="eastAsia" w:ascii="宋体" w:hAnsi="宋体" w:cs="宋体"/>
          <w:spacing w:val="-2"/>
          <w:sz w:val="24"/>
          <w:highlight w:val="none"/>
        </w:rPr>
        <w:t>）的（</w:t>
      </w:r>
      <w:r>
        <w:rPr>
          <w:rFonts w:hint="eastAsia" w:ascii="宋体" w:hAnsi="宋体" w:cs="宋体"/>
          <w:spacing w:val="-2"/>
          <w:sz w:val="24"/>
          <w:highlight w:val="none"/>
          <w:u w:val="single"/>
        </w:rPr>
        <w:t>项目名称</w:t>
      </w:r>
      <w:r>
        <w:rPr>
          <w:rFonts w:hint="eastAsia" w:ascii="宋体" w:hAnsi="宋体" w:cs="宋体"/>
          <w:spacing w:val="-2"/>
          <w:sz w:val="24"/>
          <w:highlight w:val="none"/>
        </w:rPr>
        <w:t>）采购活动，提供的货物全部由符合政策要求的中小企业制造。相关企业（含联合体中的中小企业、签订分包意向协议的中小企业） 的具体情况如下：</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kern w:val="0"/>
          <w:sz w:val="24"/>
          <w:highlight w:val="none"/>
          <w:u w:val="single"/>
        </w:rPr>
        <w:t>标的名称</w:t>
      </w:r>
      <w:r>
        <w:rPr>
          <w:rFonts w:hint="eastAsia" w:ascii="宋体" w:hAnsi="宋体" w:cs="宋体"/>
          <w:kern w:val="0"/>
          <w:sz w:val="24"/>
          <w:highlight w:val="none"/>
        </w:rPr>
        <w:t>），属于（</w:t>
      </w:r>
      <w:r>
        <w:rPr>
          <w:rFonts w:hint="eastAsia" w:ascii="宋体" w:hAnsi="宋体" w:cs="宋体"/>
          <w:kern w:val="0"/>
          <w:sz w:val="24"/>
          <w:highlight w:val="none"/>
          <w:u w:val="single"/>
          <w:lang w:eastAsia="zh-Hans"/>
        </w:rPr>
        <w:t>采购文件中明确的所属行业</w:t>
      </w:r>
      <w:r>
        <w:rPr>
          <w:rFonts w:hint="eastAsia" w:ascii="宋体" w:hAnsi="宋体" w:cs="宋体"/>
          <w:kern w:val="0"/>
          <w:sz w:val="24"/>
          <w:highlight w:val="none"/>
        </w:rPr>
        <w:t>）；制造商为（</w:t>
      </w:r>
      <w:r>
        <w:rPr>
          <w:rFonts w:hint="eastAsia" w:ascii="宋体" w:hAnsi="宋体" w:cs="宋体"/>
          <w:kern w:val="0"/>
          <w:sz w:val="24"/>
          <w:highlight w:val="none"/>
          <w:u w:val="single"/>
        </w:rPr>
        <w:t>企业名称</w:t>
      </w:r>
      <w:r>
        <w:rPr>
          <w:rFonts w:hint="eastAsia" w:ascii="宋体" w:hAnsi="宋体" w:cs="宋体"/>
          <w:kern w:val="0"/>
          <w:sz w:val="24"/>
          <w:highlight w:val="none"/>
        </w:rPr>
        <w:t>），从业人员</w:t>
      </w:r>
      <w:r>
        <w:rPr>
          <w:rFonts w:hint="eastAsia" w:ascii="宋体" w:hAnsi="宋体" w:cs="宋体"/>
          <w:kern w:val="0"/>
          <w:sz w:val="24"/>
          <w:highlight w:val="none"/>
          <w:u w:val="single"/>
        </w:rPr>
        <w:tab/>
      </w:r>
      <w:r>
        <w:rPr>
          <w:rFonts w:hint="eastAsia" w:ascii="宋体" w:hAnsi="宋体" w:cs="宋体"/>
          <w:kern w:val="0"/>
          <w:sz w:val="24"/>
          <w:highlight w:val="none"/>
        </w:rPr>
        <w:t xml:space="preserve">人，营业收入为 </w:t>
      </w:r>
      <w:r>
        <w:rPr>
          <w:rFonts w:hint="eastAsia" w:ascii="宋体" w:hAnsi="宋体" w:cs="宋体"/>
          <w:kern w:val="0"/>
          <w:sz w:val="24"/>
          <w:highlight w:val="none"/>
          <w:u w:val="single"/>
        </w:rPr>
        <w:tab/>
      </w:r>
      <w:r>
        <w:rPr>
          <w:rFonts w:hint="eastAsia" w:ascii="宋体" w:hAnsi="宋体" w:cs="宋体"/>
          <w:kern w:val="0"/>
          <w:sz w:val="24"/>
          <w:highlight w:val="none"/>
        </w:rPr>
        <w:t>万元，资产总额为</w:t>
      </w:r>
      <w:r>
        <w:rPr>
          <w:rFonts w:hint="eastAsia" w:ascii="宋体" w:hAnsi="宋体" w:cs="宋体"/>
          <w:kern w:val="0"/>
          <w:sz w:val="24"/>
          <w:highlight w:val="none"/>
          <w:u w:val="single"/>
        </w:rPr>
        <w:tab/>
      </w:r>
      <w:r>
        <w:rPr>
          <w:rFonts w:hint="eastAsia" w:ascii="宋体" w:hAnsi="宋体" w:cs="宋体"/>
          <w:kern w:val="0"/>
          <w:sz w:val="24"/>
          <w:highlight w:val="none"/>
          <w:u w:val="single"/>
        </w:rPr>
        <w:t xml:space="preserve"> </w:t>
      </w:r>
      <w:r>
        <w:rPr>
          <w:rFonts w:hint="eastAsia" w:ascii="宋体" w:hAnsi="宋体" w:cs="宋体"/>
          <w:kern w:val="0"/>
          <w:sz w:val="24"/>
          <w:highlight w:val="none"/>
        </w:rPr>
        <w:t>万元，属于（</w:t>
      </w:r>
      <w:r>
        <w:rPr>
          <w:rFonts w:hint="eastAsia" w:ascii="宋体" w:hAnsi="宋体" w:cs="宋体"/>
          <w:kern w:val="0"/>
          <w:sz w:val="24"/>
          <w:highlight w:val="none"/>
          <w:u w:val="single"/>
        </w:rPr>
        <w:t>中型企业、小型企业、微型企业</w:t>
      </w:r>
      <w:r>
        <w:rPr>
          <w:rFonts w:hint="eastAsia" w:ascii="宋体" w:hAnsi="宋体" w:cs="宋体"/>
          <w:kern w:val="0"/>
          <w:sz w:val="24"/>
          <w:highlight w:val="none"/>
        </w:rPr>
        <w:t>）；</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2、（</w:t>
      </w:r>
      <w:r>
        <w:rPr>
          <w:rFonts w:hint="eastAsia" w:ascii="宋体" w:hAnsi="宋体" w:cs="宋体"/>
          <w:spacing w:val="-2"/>
          <w:sz w:val="24"/>
          <w:highlight w:val="none"/>
          <w:u w:val="single"/>
        </w:rPr>
        <w:t>标的名称</w:t>
      </w:r>
      <w:r>
        <w:rPr>
          <w:rFonts w:hint="eastAsia" w:ascii="宋体" w:hAnsi="宋体" w:cs="宋体"/>
          <w:spacing w:val="-2"/>
          <w:sz w:val="24"/>
          <w:highlight w:val="none"/>
        </w:rPr>
        <w:t>），属于（</w:t>
      </w:r>
      <w:r>
        <w:rPr>
          <w:rFonts w:hint="eastAsia" w:ascii="宋体" w:hAnsi="宋体" w:cs="宋体"/>
          <w:kern w:val="0"/>
          <w:sz w:val="24"/>
          <w:highlight w:val="none"/>
          <w:u w:val="single"/>
          <w:lang w:eastAsia="zh-Hans"/>
        </w:rPr>
        <w:t>采购文件中明确的所属行业</w:t>
      </w:r>
      <w:r>
        <w:rPr>
          <w:rFonts w:hint="eastAsia" w:ascii="宋体" w:hAnsi="宋体" w:cs="宋体"/>
          <w:spacing w:val="-2"/>
          <w:sz w:val="24"/>
          <w:highlight w:val="none"/>
        </w:rPr>
        <w:t>）；制造商为（</w:t>
      </w:r>
      <w:r>
        <w:rPr>
          <w:rFonts w:hint="eastAsia" w:ascii="宋体" w:hAnsi="宋体" w:cs="宋体"/>
          <w:spacing w:val="-2"/>
          <w:sz w:val="24"/>
          <w:highlight w:val="none"/>
          <w:u w:val="single"/>
        </w:rPr>
        <w:t>企业名称</w:t>
      </w:r>
      <w:r>
        <w:rPr>
          <w:rFonts w:hint="eastAsia" w:ascii="宋体" w:hAnsi="宋体" w:cs="宋体"/>
          <w:spacing w:val="-2"/>
          <w:sz w:val="24"/>
          <w:highlight w:val="none"/>
        </w:rPr>
        <w:t>），从业人员</w:t>
      </w:r>
      <w:r>
        <w:rPr>
          <w:rFonts w:hint="eastAsia" w:ascii="宋体" w:hAnsi="宋体" w:cs="宋体"/>
          <w:spacing w:val="-2"/>
          <w:sz w:val="24"/>
          <w:highlight w:val="none"/>
          <w:u w:val="single"/>
        </w:rPr>
        <w:t xml:space="preserve">    </w:t>
      </w:r>
      <w:r>
        <w:rPr>
          <w:rFonts w:hint="eastAsia" w:ascii="宋体" w:hAnsi="宋体" w:cs="宋体"/>
          <w:spacing w:val="-2"/>
          <w:sz w:val="24"/>
          <w:highlight w:val="none"/>
        </w:rPr>
        <w:t>人，营业收入为</w:t>
      </w:r>
      <w:r>
        <w:rPr>
          <w:rFonts w:hint="eastAsia" w:ascii="宋体" w:hAnsi="宋体" w:cs="宋体"/>
          <w:spacing w:val="-2"/>
          <w:sz w:val="24"/>
          <w:highlight w:val="none"/>
          <w:u w:val="single"/>
        </w:rPr>
        <w:tab/>
      </w:r>
      <w:r>
        <w:rPr>
          <w:rFonts w:hint="eastAsia" w:ascii="宋体" w:hAnsi="宋体" w:cs="宋体"/>
          <w:spacing w:val="-2"/>
          <w:sz w:val="24"/>
          <w:highlight w:val="none"/>
        </w:rPr>
        <w:t>万元，资产总额为</w:t>
      </w:r>
      <w:r>
        <w:rPr>
          <w:rFonts w:hint="eastAsia" w:ascii="宋体" w:hAnsi="宋体" w:cs="宋体"/>
          <w:spacing w:val="-2"/>
          <w:sz w:val="24"/>
          <w:highlight w:val="none"/>
          <w:u w:val="single"/>
        </w:rPr>
        <w:t xml:space="preserve">   </w:t>
      </w:r>
      <w:r>
        <w:rPr>
          <w:rFonts w:hint="eastAsia" w:ascii="宋体" w:hAnsi="宋体" w:cs="宋体"/>
          <w:spacing w:val="-2"/>
          <w:sz w:val="24"/>
          <w:highlight w:val="none"/>
        </w:rPr>
        <w:t>万元，属于（</w:t>
      </w:r>
      <w:r>
        <w:rPr>
          <w:rFonts w:hint="eastAsia" w:ascii="宋体" w:hAnsi="宋体" w:cs="宋体"/>
          <w:spacing w:val="-2"/>
          <w:sz w:val="24"/>
          <w:highlight w:val="none"/>
          <w:u w:val="single"/>
        </w:rPr>
        <w:t>中型企业、小型企业、微型企业</w:t>
      </w:r>
      <w:r>
        <w:rPr>
          <w:rFonts w:hint="eastAsia" w:ascii="宋体" w:hAnsi="宋体" w:cs="宋体"/>
          <w:spacing w:val="-2"/>
          <w:sz w:val="24"/>
          <w:highlight w:val="none"/>
        </w:rPr>
        <w:t>）；</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以上企业，不属于大企业的分支机构，不存在控股股东为大企业的情形，也不存在与大企业的负责人为同一人的情形。</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本企业对上述声明内容的真实性负责。如有虚假，将依法承担相应责任。</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spacing w:line="360" w:lineRule="auto"/>
        <w:ind w:left="4200" w:leftChars="2000"/>
        <w:rPr>
          <w:rFonts w:ascii="宋体" w:hAnsi="宋体" w:cs="宋体"/>
          <w:sz w:val="24"/>
          <w:highlight w:val="none"/>
        </w:rPr>
      </w:pPr>
      <w:r>
        <w:rPr>
          <w:rFonts w:hint="eastAsia" w:ascii="宋体" w:hAnsi="宋体" w:cs="宋体"/>
          <w:spacing w:val="-2"/>
          <w:sz w:val="24"/>
          <w:highlight w:val="none"/>
        </w:rPr>
        <w:t>企业名称（盖章）日期：</w:t>
      </w:r>
    </w:p>
    <w:p>
      <w:pPr>
        <w:pStyle w:val="6"/>
        <w:tabs>
          <w:tab w:val="left" w:pos="562"/>
          <w:tab w:val="left" w:pos="3372"/>
          <w:tab w:val="left" w:pos="3653"/>
        </w:tabs>
        <w:spacing w:line="360" w:lineRule="auto"/>
        <w:jc w:val="left"/>
        <w:rPr>
          <w:rFonts w:ascii="宋体" w:hAnsi="宋体" w:cs="宋体"/>
          <w:spacing w:val="-2"/>
          <w:sz w:val="24"/>
          <w:highlight w:val="none"/>
        </w:rPr>
      </w:pPr>
      <w:r>
        <w:rPr>
          <w:rFonts w:hint="eastAsia" w:ascii="宋体" w:hAnsi="宋体" w:cs="宋体"/>
          <w:spacing w:val="-2"/>
          <w:sz w:val="24"/>
          <w:highlight w:val="none"/>
        </w:rPr>
        <w:t>从业人员、营业收入、资产总额填报上一年度数据，无上一年度数据的新成立企业可不填报。</w:t>
      </w:r>
    </w:p>
    <w:p>
      <w:pPr>
        <w:spacing w:after="319" w:afterLines="100" w:line="360" w:lineRule="auto"/>
        <w:jc w:val="center"/>
        <w:rPr>
          <w:rFonts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中小企业声明函（工程、服务）</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本公司（联合体）郑重声明，根据《政府采购促进中小企业发展管理办法》（财库﹝2020﹞46 号）的规定，本公司（联合体）参加（</w:t>
      </w:r>
      <w:r>
        <w:rPr>
          <w:rFonts w:hint="eastAsia" w:ascii="宋体" w:hAnsi="宋体" w:cs="宋体"/>
          <w:spacing w:val="-2"/>
          <w:sz w:val="24"/>
          <w:highlight w:val="none"/>
          <w:u w:val="single"/>
        </w:rPr>
        <w:t>单位名称</w:t>
      </w:r>
      <w:r>
        <w:rPr>
          <w:rFonts w:hint="eastAsia" w:ascii="宋体" w:hAnsi="宋体" w:cs="宋体"/>
          <w:spacing w:val="-2"/>
          <w:sz w:val="24"/>
          <w:highlight w:val="none"/>
        </w:rPr>
        <w:t>）的（</w:t>
      </w:r>
      <w:r>
        <w:rPr>
          <w:rFonts w:hint="eastAsia" w:ascii="宋体" w:hAnsi="宋体" w:cs="宋体"/>
          <w:spacing w:val="-2"/>
          <w:sz w:val="24"/>
          <w:highlight w:val="none"/>
          <w:u w:val="single"/>
        </w:rPr>
        <w:t>项目名称</w:t>
      </w:r>
      <w:r>
        <w:rPr>
          <w:rFonts w:hint="eastAsia" w:ascii="宋体" w:hAnsi="宋体" w:cs="宋体"/>
          <w:spacing w:val="-2"/>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1、（</w:t>
      </w:r>
      <w:r>
        <w:rPr>
          <w:rFonts w:hint="eastAsia" w:ascii="宋体" w:hAnsi="宋体" w:cs="宋体"/>
          <w:spacing w:val="-2"/>
          <w:sz w:val="24"/>
          <w:highlight w:val="none"/>
          <w:u w:val="single"/>
        </w:rPr>
        <w:t>标的名称</w:t>
      </w:r>
      <w:r>
        <w:rPr>
          <w:rFonts w:hint="eastAsia" w:ascii="宋体" w:hAnsi="宋体" w:cs="宋体"/>
          <w:spacing w:val="-2"/>
          <w:sz w:val="24"/>
          <w:highlight w:val="none"/>
        </w:rPr>
        <w:t>），属于（</w:t>
      </w:r>
      <w:r>
        <w:rPr>
          <w:rFonts w:hint="eastAsia" w:ascii="宋体" w:hAnsi="宋体" w:cs="宋体"/>
          <w:spacing w:val="-2"/>
          <w:sz w:val="24"/>
          <w:highlight w:val="none"/>
          <w:u w:val="single"/>
        </w:rPr>
        <w:t>采购文件中明确的所属行业：</w:t>
      </w:r>
      <w:r>
        <w:rPr>
          <w:rFonts w:hint="eastAsia" w:ascii="宋体" w:hAnsi="宋体" w:cs="宋体"/>
          <w:b/>
          <w:bCs/>
          <w:spacing w:val="-2"/>
          <w:sz w:val="24"/>
          <w:highlight w:val="none"/>
          <w:u w:val="single"/>
          <w:lang w:val="en-US" w:eastAsia="zh-CN"/>
        </w:rPr>
        <w:t xml:space="preserve">    </w:t>
      </w:r>
      <w:r>
        <w:rPr>
          <w:rFonts w:hint="eastAsia" w:ascii="宋体" w:hAnsi="宋体" w:cs="宋体"/>
          <w:spacing w:val="-2"/>
          <w:sz w:val="24"/>
          <w:highlight w:val="none"/>
        </w:rPr>
        <w:t>）；承建（承接）企业为（</w:t>
      </w:r>
      <w:r>
        <w:rPr>
          <w:rFonts w:hint="eastAsia" w:ascii="宋体" w:hAnsi="宋体" w:cs="宋体"/>
          <w:spacing w:val="-2"/>
          <w:sz w:val="24"/>
          <w:highlight w:val="none"/>
          <w:u w:val="single"/>
        </w:rPr>
        <w:t>企业名称</w:t>
      </w:r>
      <w:r>
        <w:rPr>
          <w:rFonts w:hint="eastAsia" w:ascii="宋体" w:hAnsi="宋体" w:cs="宋体"/>
          <w:spacing w:val="-2"/>
          <w:sz w:val="24"/>
          <w:highlight w:val="none"/>
        </w:rPr>
        <w:t>），从业人员</w:t>
      </w:r>
      <w:r>
        <w:rPr>
          <w:rFonts w:hint="eastAsia" w:ascii="宋体" w:hAnsi="宋体" w:cs="宋体"/>
          <w:spacing w:val="-2"/>
          <w:sz w:val="24"/>
          <w:highlight w:val="none"/>
          <w:u w:val="single"/>
        </w:rPr>
        <w:tab/>
      </w:r>
      <w:r>
        <w:rPr>
          <w:rFonts w:hint="eastAsia" w:ascii="宋体" w:hAnsi="宋体" w:cs="宋体"/>
          <w:spacing w:val="-2"/>
          <w:sz w:val="24"/>
          <w:highlight w:val="none"/>
        </w:rPr>
        <w:t>人，营业收入为</w:t>
      </w:r>
      <w:r>
        <w:rPr>
          <w:rFonts w:hint="eastAsia" w:ascii="宋体" w:hAnsi="宋体" w:cs="宋体"/>
          <w:spacing w:val="-2"/>
          <w:sz w:val="24"/>
          <w:highlight w:val="none"/>
          <w:u w:val="single"/>
        </w:rPr>
        <w:tab/>
      </w:r>
      <w:r>
        <w:rPr>
          <w:rFonts w:hint="eastAsia" w:ascii="宋体" w:hAnsi="宋体" w:cs="宋体"/>
          <w:spacing w:val="-2"/>
          <w:sz w:val="24"/>
          <w:highlight w:val="none"/>
        </w:rPr>
        <w:t>万元，资产总额为</w:t>
      </w:r>
      <w:r>
        <w:rPr>
          <w:rFonts w:hint="eastAsia" w:ascii="宋体" w:hAnsi="宋体" w:cs="宋体"/>
          <w:spacing w:val="-2"/>
          <w:sz w:val="24"/>
          <w:highlight w:val="none"/>
          <w:u w:val="single"/>
        </w:rPr>
        <w:tab/>
      </w:r>
      <w:r>
        <w:rPr>
          <w:rFonts w:hint="eastAsia" w:ascii="宋体" w:hAnsi="宋体" w:cs="宋体"/>
          <w:spacing w:val="-2"/>
          <w:sz w:val="24"/>
          <w:highlight w:val="none"/>
        </w:rPr>
        <w:t>万元，属于（</w:t>
      </w:r>
      <w:r>
        <w:rPr>
          <w:rFonts w:hint="eastAsia" w:ascii="宋体" w:hAnsi="宋体" w:cs="宋体"/>
          <w:spacing w:val="-2"/>
          <w:sz w:val="24"/>
          <w:highlight w:val="none"/>
          <w:u w:val="single"/>
        </w:rPr>
        <w:t>中型企业、小型企业、微型企业</w:t>
      </w:r>
      <w:r>
        <w:rPr>
          <w:rFonts w:hint="eastAsia" w:ascii="宋体" w:hAnsi="宋体" w:cs="宋体"/>
          <w:spacing w:val="-2"/>
          <w:sz w:val="24"/>
          <w:highlight w:val="none"/>
        </w:rPr>
        <w:t>）。</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2、（</w:t>
      </w:r>
      <w:r>
        <w:rPr>
          <w:rFonts w:hint="eastAsia" w:ascii="宋体" w:hAnsi="宋体" w:cs="宋体"/>
          <w:spacing w:val="-2"/>
          <w:sz w:val="24"/>
          <w:highlight w:val="none"/>
          <w:u w:val="single"/>
        </w:rPr>
        <w:t>标的名称</w:t>
      </w:r>
      <w:r>
        <w:rPr>
          <w:rFonts w:hint="eastAsia" w:ascii="宋体" w:hAnsi="宋体" w:cs="宋体"/>
          <w:spacing w:val="-2"/>
          <w:sz w:val="24"/>
          <w:highlight w:val="none"/>
        </w:rPr>
        <w:t>），属于（</w:t>
      </w:r>
      <w:r>
        <w:rPr>
          <w:rFonts w:hint="eastAsia" w:ascii="宋体" w:hAnsi="宋体" w:cs="宋体"/>
          <w:spacing w:val="-2"/>
          <w:sz w:val="24"/>
          <w:highlight w:val="none"/>
          <w:u w:val="single"/>
        </w:rPr>
        <w:t>采购文件中明确的所属行业：</w:t>
      </w:r>
      <w:r>
        <w:rPr>
          <w:rFonts w:hint="eastAsia" w:ascii="宋体" w:hAnsi="宋体" w:cs="宋体"/>
          <w:b/>
          <w:bCs/>
          <w:spacing w:val="-2"/>
          <w:sz w:val="24"/>
          <w:highlight w:val="none"/>
          <w:u w:val="single"/>
          <w:lang w:val="en-US" w:eastAsia="zh-CN"/>
        </w:rPr>
        <w:t xml:space="preserve">     </w:t>
      </w:r>
      <w:r>
        <w:rPr>
          <w:rFonts w:hint="eastAsia" w:ascii="宋体" w:hAnsi="宋体" w:cs="宋体"/>
          <w:spacing w:val="-2"/>
          <w:sz w:val="24"/>
          <w:highlight w:val="none"/>
        </w:rPr>
        <w:t>） ；承建（承接）企业为（</w:t>
      </w:r>
      <w:r>
        <w:rPr>
          <w:rFonts w:hint="eastAsia" w:ascii="宋体" w:hAnsi="宋体" w:cs="宋体"/>
          <w:spacing w:val="-2"/>
          <w:sz w:val="24"/>
          <w:highlight w:val="none"/>
          <w:u w:val="single"/>
        </w:rPr>
        <w:t>企业名称</w:t>
      </w:r>
      <w:r>
        <w:rPr>
          <w:rFonts w:hint="eastAsia" w:ascii="宋体" w:hAnsi="宋体" w:cs="宋体"/>
          <w:spacing w:val="-2"/>
          <w:sz w:val="24"/>
          <w:highlight w:val="none"/>
        </w:rPr>
        <w:t>），从业人员</w:t>
      </w:r>
      <w:r>
        <w:rPr>
          <w:rFonts w:hint="eastAsia" w:ascii="宋体" w:hAnsi="宋体" w:cs="宋体"/>
          <w:spacing w:val="-2"/>
          <w:sz w:val="24"/>
          <w:highlight w:val="none"/>
          <w:u w:val="single"/>
        </w:rPr>
        <w:tab/>
      </w:r>
      <w:r>
        <w:rPr>
          <w:rFonts w:hint="eastAsia" w:ascii="宋体" w:hAnsi="宋体" w:cs="宋体"/>
          <w:spacing w:val="-2"/>
          <w:sz w:val="24"/>
          <w:highlight w:val="none"/>
        </w:rPr>
        <w:t>人，营业收入为</w:t>
      </w:r>
      <w:r>
        <w:rPr>
          <w:rFonts w:hint="eastAsia" w:ascii="宋体" w:hAnsi="宋体" w:cs="宋体"/>
          <w:spacing w:val="-2"/>
          <w:sz w:val="24"/>
          <w:highlight w:val="none"/>
          <w:u w:val="single"/>
        </w:rPr>
        <w:tab/>
      </w:r>
      <w:r>
        <w:rPr>
          <w:rFonts w:hint="eastAsia" w:ascii="宋体" w:hAnsi="宋体" w:cs="宋体"/>
          <w:spacing w:val="-2"/>
          <w:sz w:val="24"/>
          <w:highlight w:val="none"/>
        </w:rPr>
        <w:t>万元，资产总额为</w:t>
      </w:r>
      <w:r>
        <w:rPr>
          <w:rFonts w:hint="eastAsia" w:ascii="宋体" w:hAnsi="宋体" w:cs="宋体"/>
          <w:spacing w:val="-2"/>
          <w:sz w:val="24"/>
          <w:highlight w:val="none"/>
          <w:u w:val="single"/>
        </w:rPr>
        <w:tab/>
      </w:r>
      <w:r>
        <w:rPr>
          <w:rFonts w:hint="eastAsia" w:ascii="宋体" w:hAnsi="宋体" w:cs="宋体"/>
          <w:spacing w:val="-2"/>
          <w:sz w:val="24"/>
          <w:highlight w:val="none"/>
        </w:rPr>
        <w:t>万元，属于（</w:t>
      </w:r>
      <w:r>
        <w:rPr>
          <w:rFonts w:hint="eastAsia" w:ascii="宋体" w:hAnsi="宋体" w:cs="宋体"/>
          <w:spacing w:val="-2"/>
          <w:sz w:val="24"/>
          <w:highlight w:val="none"/>
          <w:u w:val="single"/>
        </w:rPr>
        <w:t>中型企业、小型企业、微型企业</w:t>
      </w:r>
      <w:r>
        <w:rPr>
          <w:rFonts w:hint="eastAsia" w:ascii="宋体" w:hAnsi="宋体" w:cs="宋体"/>
          <w:spacing w:val="-2"/>
          <w:sz w:val="24"/>
          <w:highlight w:val="none"/>
        </w:rPr>
        <w:t>）；</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以上企业，不属于大企业的分支机构，不存在控股股东为大企业的情形，也不存在与大企业的负责人为同一人的情形。</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本企业对上述声明内容的真实性负责。如有虚假，将依法承担相应责任。</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spacing w:line="360" w:lineRule="auto"/>
        <w:ind w:left="4200" w:leftChars="2000"/>
        <w:rPr>
          <w:rFonts w:ascii="宋体" w:hAnsi="宋体" w:cs="宋体"/>
          <w:spacing w:val="-2"/>
          <w:sz w:val="24"/>
          <w:highlight w:val="none"/>
        </w:rPr>
      </w:pPr>
    </w:p>
    <w:p>
      <w:pPr>
        <w:pStyle w:val="6"/>
        <w:tabs>
          <w:tab w:val="left" w:pos="562"/>
          <w:tab w:val="left" w:pos="3372"/>
          <w:tab w:val="left" w:pos="3653"/>
        </w:tabs>
        <w:spacing w:line="360" w:lineRule="auto"/>
        <w:ind w:left="4200" w:leftChars="2000"/>
        <w:rPr>
          <w:rFonts w:ascii="宋体" w:hAnsi="宋体" w:cs="宋体"/>
          <w:spacing w:val="-2"/>
          <w:sz w:val="24"/>
          <w:highlight w:val="none"/>
        </w:rPr>
      </w:pPr>
      <w:r>
        <w:rPr>
          <w:rFonts w:hint="eastAsia" w:ascii="宋体" w:hAnsi="宋体" w:cs="宋体"/>
          <w:spacing w:val="-2"/>
          <w:sz w:val="24"/>
          <w:highlight w:val="none"/>
        </w:rPr>
        <w:t>企业名称（盖章）日期：</w:t>
      </w:r>
    </w:p>
    <w:p>
      <w:pPr>
        <w:pStyle w:val="6"/>
        <w:tabs>
          <w:tab w:val="left" w:pos="562"/>
          <w:tab w:val="left" w:pos="3372"/>
          <w:tab w:val="left" w:pos="3653"/>
        </w:tabs>
        <w:spacing w:before="30" w:line="360" w:lineRule="auto"/>
        <w:rPr>
          <w:rFonts w:ascii="宋体" w:hAnsi="宋体" w:cs="宋体"/>
          <w:sz w:val="24"/>
          <w:highlight w:val="none"/>
        </w:rPr>
      </w:pPr>
      <w:r>
        <w:rPr>
          <w:rFonts w:hint="eastAsia" w:ascii="宋体" w:hAnsi="宋体" w:cs="宋体"/>
          <w:spacing w:val="-2"/>
          <w:sz w:val="24"/>
          <w:highlight w:val="none"/>
        </w:rPr>
        <w:t>从业人员、营业收入、资产总额填报上一年度数据，无上一年度数据的新成立企业可不填报。</w:t>
      </w:r>
      <w:r>
        <w:rPr>
          <w:rFonts w:hint="eastAsia" w:ascii="宋体" w:hAnsi="宋体" w:cs="宋体"/>
          <w:sz w:val="24"/>
          <w:highlight w:val="none"/>
        </w:rPr>
        <w:br w:type="page"/>
      </w:r>
      <w:r>
        <w:rPr>
          <w:rFonts w:hint="eastAsia" w:ascii="宋体" w:hAnsi="宋体" w:cs="宋体"/>
          <w:b/>
          <w:bCs/>
          <w:sz w:val="24"/>
          <w:highlight w:val="none"/>
        </w:rPr>
        <w:t>附 2</w:t>
      </w:r>
    </w:p>
    <w:p>
      <w:pPr>
        <w:jc w:val="center"/>
        <w:rPr>
          <w:rFonts w:ascii="宋体" w:hAnsi="宋体" w:cs="宋体"/>
          <w:b/>
          <w:sz w:val="24"/>
          <w:highlight w:val="none"/>
        </w:rPr>
      </w:pPr>
      <w:r>
        <w:rPr>
          <w:rFonts w:hint="eastAsia" w:ascii="宋体" w:hAnsi="宋体" w:cs="宋体"/>
          <w:spacing w:val="-3"/>
          <w:sz w:val="24"/>
          <w:highlight w:val="none"/>
          <w:u w:val="single" w:color="000000"/>
        </w:rPr>
        <w:t>（单位名称）</w:t>
      </w:r>
      <w:r>
        <w:rPr>
          <w:rFonts w:hint="eastAsia" w:ascii="宋体" w:hAnsi="宋体" w:cs="宋体"/>
          <w:spacing w:val="-29"/>
          <w:sz w:val="24"/>
          <w:highlight w:val="none"/>
        </w:rPr>
        <w:t>××</w:t>
      </w:r>
      <w:r>
        <w:rPr>
          <w:rFonts w:hint="eastAsia" w:ascii="宋体" w:hAnsi="宋体" w:cs="宋体"/>
          <w:b/>
          <w:sz w:val="24"/>
          <w:highlight w:val="none"/>
        </w:rPr>
        <w:t>年面向中小企业预留项目执行情况公告</w:t>
      </w:r>
    </w:p>
    <w:p>
      <w:pPr>
        <w:pStyle w:val="6"/>
        <w:tabs>
          <w:tab w:val="left" w:pos="562"/>
          <w:tab w:val="left" w:pos="3372"/>
          <w:tab w:val="left" w:pos="3653"/>
        </w:tabs>
        <w:ind w:firstLine="480" w:firstLineChars="200"/>
        <w:rPr>
          <w:rFonts w:ascii="宋体" w:hAnsi="宋体" w:cs="宋体"/>
          <w:sz w:val="24"/>
          <w:highlight w:val="none"/>
        </w:rPr>
      </w:pPr>
      <w:r>
        <w:rPr>
          <w:rFonts w:hint="eastAsia" w:ascii="宋体" w:hAnsi="宋体" w:cs="宋体"/>
          <w:sz w:val="24"/>
          <w:highlight w:val="none"/>
        </w:rPr>
        <w:t>根据《政府采购促进中小企业发展管理办法》（财库﹝2020﹞46</w:t>
      </w:r>
      <w:r>
        <w:rPr>
          <w:rFonts w:hint="eastAsia" w:ascii="宋体" w:hAnsi="宋体" w:cs="宋体"/>
          <w:spacing w:val="-47"/>
          <w:sz w:val="24"/>
          <w:highlight w:val="none"/>
        </w:rPr>
        <w:t xml:space="preserve"> 号</w:t>
      </w:r>
      <w:r>
        <w:rPr>
          <w:rFonts w:hint="eastAsia" w:ascii="宋体" w:hAnsi="宋体" w:cs="宋体"/>
          <w:spacing w:val="-22"/>
          <w:sz w:val="24"/>
          <w:highlight w:val="none"/>
        </w:rPr>
        <w:t>）</w:t>
      </w:r>
      <w:r>
        <w:rPr>
          <w:rFonts w:hint="eastAsia" w:ascii="宋体" w:hAnsi="宋体" w:cs="宋体"/>
          <w:spacing w:val="-7"/>
          <w:sz w:val="24"/>
          <w:highlight w:val="none"/>
        </w:rPr>
        <w:t>要求，现对本部门</w:t>
      </w:r>
      <w:r>
        <w:rPr>
          <w:rFonts w:hint="eastAsia" w:ascii="宋体" w:hAnsi="宋体" w:cs="宋体"/>
          <w:spacing w:val="-3"/>
          <w:sz w:val="24"/>
          <w:highlight w:val="none"/>
        </w:rPr>
        <w:t>（</w:t>
      </w:r>
      <w:r>
        <w:rPr>
          <w:rFonts w:hint="eastAsia" w:ascii="宋体" w:hAnsi="宋体" w:cs="宋体"/>
          <w:sz w:val="24"/>
          <w:highlight w:val="none"/>
        </w:rPr>
        <w:t>单位</w:t>
      </w:r>
      <w:r>
        <w:rPr>
          <w:rFonts w:hint="eastAsia" w:ascii="宋体" w:hAnsi="宋体" w:cs="宋体"/>
          <w:spacing w:val="-7"/>
          <w:sz w:val="24"/>
          <w:highlight w:val="none"/>
        </w:rPr>
        <w:t>）</w:t>
      </w:r>
      <w:r>
        <w:rPr>
          <w:rFonts w:hint="eastAsia" w:ascii="宋体" w:hAnsi="宋体" w:cs="宋体"/>
          <w:spacing w:val="-4"/>
          <w:sz w:val="24"/>
          <w:highlight w:val="none"/>
        </w:rPr>
        <w:t>××年面向中小企业预留项目执行情况公告如下：</w:t>
      </w:r>
    </w:p>
    <w:p>
      <w:pPr>
        <w:pStyle w:val="6"/>
        <w:tabs>
          <w:tab w:val="left" w:pos="562"/>
          <w:tab w:val="left" w:pos="3372"/>
          <w:tab w:val="left" w:pos="3653"/>
        </w:tabs>
        <w:ind w:firstLine="480" w:firstLineChars="200"/>
        <w:rPr>
          <w:rFonts w:ascii="宋体" w:hAnsi="宋体" w:cs="宋体"/>
          <w:sz w:val="24"/>
          <w:highlight w:val="none"/>
        </w:rPr>
      </w:pPr>
      <w:r>
        <w:rPr>
          <w:rFonts w:hint="eastAsia" w:ascii="宋体" w:hAnsi="宋体" w:cs="宋体"/>
          <w:sz w:val="24"/>
          <w:highlight w:val="none"/>
        </w:rPr>
        <w:t>本部门（单位）××年预留项目面向中小企业采购共计××万元，其中，面向小微企业采购××万元，占××%。</w:t>
      </w:r>
    </w:p>
    <w:p>
      <w:pPr>
        <w:pStyle w:val="6"/>
        <w:tabs>
          <w:tab w:val="left" w:pos="562"/>
          <w:tab w:val="left" w:pos="3372"/>
          <w:tab w:val="left" w:pos="3653"/>
        </w:tabs>
        <w:jc w:val="center"/>
        <w:rPr>
          <w:rFonts w:ascii="宋体" w:hAnsi="宋体" w:cs="宋体"/>
          <w:b/>
          <w:bCs/>
          <w:sz w:val="24"/>
          <w:highlight w:val="none"/>
        </w:rPr>
      </w:pPr>
      <w:r>
        <w:rPr>
          <w:rFonts w:hint="eastAsia" w:ascii="宋体" w:hAnsi="宋体" w:cs="宋体"/>
          <w:b/>
          <w:bCs/>
          <w:sz w:val="24"/>
          <w:highlight w:val="none"/>
        </w:rPr>
        <w:t>面向中小企业预留项目明细</w:t>
      </w:r>
    </w:p>
    <w:tbl>
      <w:tblPr>
        <w:tblStyle w:val="20"/>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38"/>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序号</w:t>
            </w:r>
          </w:p>
        </w:tc>
        <w:tc>
          <w:tcPr>
            <w:tcW w:w="1866" w:type="dxa"/>
            <w:noWrap w:val="0"/>
            <w:vAlign w:val="center"/>
          </w:tcPr>
          <w:p>
            <w:pPr>
              <w:pStyle w:val="38"/>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项目名称</w:t>
            </w:r>
          </w:p>
        </w:tc>
        <w:tc>
          <w:tcPr>
            <w:tcW w:w="2010" w:type="dxa"/>
            <w:noWrap w:val="0"/>
            <w:vAlign w:val="center"/>
          </w:tcPr>
          <w:p>
            <w:pPr>
              <w:pStyle w:val="38"/>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预留选项</w:t>
            </w:r>
          </w:p>
        </w:tc>
        <w:tc>
          <w:tcPr>
            <w:tcW w:w="2296" w:type="dxa"/>
            <w:noWrap w:val="0"/>
            <w:vAlign w:val="center"/>
          </w:tcPr>
          <w:p>
            <w:pPr>
              <w:pStyle w:val="38"/>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面向中小企业采购金额</w:t>
            </w:r>
          </w:p>
        </w:tc>
        <w:tc>
          <w:tcPr>
            <w:tcW w:w="1784" w:type="dxa"/>
            <w:noWrap w:val="0"/>
            <w:vAlign w:val="center"/>
          </w:tcPr>
          <w:p>
            <w:pPr>
              <w:pStyle w:val="38"/>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noWrap w:val="0"/>
            <w:vAlign w:val="center"/>
          </w:tcPr>
          <w:p>
            <w:pPr>
              <w:pStyle w:val="38"/>
              <w:keepNext w:val="0"/>
              <w:keepLines w:val="0"/>
              <w:suppressLineNumbers w:val="0"/>
              <w:spacing w:before="0" w:beforeAutospacing="0" w:after="0" w:afterAutospacing="0"/>
              <w:ind w:left="0" w:right="0"/>
              <w:jc w:val="center"/>
              <w:rPr>
                <w:rFonts w:hint="default"/>
                <w:sz w:val="24"/>
                <w:szCs w:val="24"/>
                <w:highlight w:val="none"/>
              </w:rPr>
            </w:pPr>
          </w:p>
        </w:tc>
        <w:tc>
          <w:tcPr>
            <w:tcW w:w="1866" w:type="dxa"/>
            <w:tcBorders>
              <w:bottom w:val="nil"/>
            </w:tcBorders>
            <w:noWrap w:val="0"/>
            <w:vAlign w:val="center"/>
          </w:tcPr>
          <w:p>
            <w:pPr>
              <w:pStyle w:val="38"/>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bottom w:val="nil"/>
            </w:tcBorders>
            <w:noWrap w:val="0"/>
            <w:vAlign w:val="center"/>
          </w:tcPr>
          <w:p>
            <w:pPr>
              <w:pStyle w:val="3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（填写“采购项</w:t>
            </w:r>
          </w:p>
        </w:tc>
        <w:tc>
          <w:tcPr>
            <w:tcW w:w="2296" w:type="dxa"/>
            <w:tcBorders>
              <w:bottom w:val="nil"/>
            </w:tcBorders>
            <w:noWrap w:val="0"/>
            <w:vAlign w:val="center"/>
          </w:tcPr>
          <w:p>
            <w:pPr>
              <w:pStyle w:val="38"/>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restart"/>
            <w:noWrap w:val="0"/>
            <w:vAlign w:val="center"/>
          </w:tcPr>
          <w:p>
            <w:pPr>
              <w:pStyle w:val="38"/>
              <w:keepNext w:val="0"/>
              <w:keepLines w:val="0"/>
              <w:suppressLineNumbers w:val="0"/>
              <w:spacing w:before="0" w:beforeAutospacing="0" w:after="0" w:afterAutospacing="0"/>
              <w:ind w:left="0" w:right="0"/>
              <w:jc w:val="center"/>
              <w:rPr>
                <w:rFonts w:hint="default"/>
                <w:sz w:val="24"/>
                <w:szCs w:val="24"/>
                <w:highlight w:val="none"/>
              </w:rPr>
            </w:pPr>
          </w:p>
          <w:p>
            <w:pPr>
              <w:pStyle w:val="38"/>
              <w:keepNext w:val="0"/>
              <w:keepLines w:val="0"/>
              <w:suppressLineNumbers w:val="0"/>
              <w:spacing w:before="0" w:beforeAutospacing="0" w:after="0" w:afterAutospacing="0"/>
              <w:ind w:left="0" w:right="0"/>
              <w:jc w:val="center"/>
              <w:rPr>
                <w:rFonts w:hint="default"/>
                <w:sz w:val="24"/>
                <w:szCs w:val="24"/>
                <w:highlight w:val="none"/>
              </w:rPr>
            </w:pPr>
          </w:p>
          <w:p>
            <w:pPr>
              <w:pStyle w:val="3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noWrap w:val="0"/>
            <w:vAlign w:val="center"/>
          </w:tcPr>
          <w:p>
            <w:pPr>
              <w:pStyle w:val="38"/>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noWrap w:val="0"/>
            <w:vAlign w:val="center"/>
          </w:tcPr>
          <w:p>
            <w:pPr>
              <w:pStyle w:val="3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目整体预留”、</w:t>
            </w:r>
          </w:p>
        </w:tc>
        <w:tc>
          <w:tcPr>
            <w:tcW w:w="2296" w:type="dxa"/>
            <w:tcBorders>
              <w:top w:val="nil"/>
              <w:bottom w:val="nil"/>
            </w:tcBorders>
            <w:noWrap w:val="0"/>
            <w:vAlign w:val="center"/>
          </w:tcPr>
          <w:p>
            <w:pPr>
              <w:pStyle w:val="38"/>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noWrap w:val="0"/>
            <w:vAlign w:val="center"/>
          </w:tcPr>
          <w:p>
            <w:pPr>
              <w:pStyle w:val="38"/>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noWrap w:val="0"/>
            <w:vAlign w:val="center"/>
          </w:tcPr>
          <w:p>
            <w:pPr>
              <w:pStyle w:val="3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“设置专门采购</w:t>
            </w:r>
          </w:p>
        </w:tc>
        <w:tc>
          <w:tcPr>
            <w:tcW w:w="2296" w:type="dxa"/>
            <w:tcBorders>
              <w:top w:val="nil"/>
              <w:bottom w:val="nil"/>
            </w:tcBorders>
            <w:noWrap w:val="0"/>
            <w:vAlign w:val="center"/>
          </w:tcPr>
          <w:p>
            <w:pPr>
              <w:pStyle w:val="38"/>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noWrap w:val="0"/>
            <w:vAlign w:val="center"/>
          </w:tcPr>
          <w:p>
            <w:pPr>
              <w:pStyle w:val="3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（填写集中采</w:t>
            </w:r>
          </w:p>
        </w:tc>
        <w:tc>
          <w:tcPr>
            <w:tcW w:w="2010" w:type="dxa"/>
            <w:tcBorders>
              <w:top w:val="nil"/>
              <w:bottom w:val="nil"/>
            </w:tcBorders>
            <w:noWrap w:val="0"/>
            <w:vAlign w:val="center"/>
          </w:tcPr>
          <w:p>
            <w:pPr>
              <w:pStyle w:val="3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包”、“要求以</w:t>
            </w:r>
          </w:p>
        </w:tc>
        <w:tc>
          <w:tcPr>
            <w:tcW w:w="2296" w:type="dxa"/>
            <w:tcBorders>
              <w:top w:val="nil"/>
              <w:bottom w:val="nil"/>
            </w:tcBorders>
            <w:noWrap w:val="0"/>
            <w:vAlign w:val="center"/>
          </w:tcPr>
          <w:p>
            <w:pPr>
              <w:pStyle w:val="38"/>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noWrap w:val="0"/>
            <w:vAlign w:val="center"/>
          </w:tcPr>
          <w:p>
            <w:pPr>
              <w:pStyle w:val="3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购目录以内或</w:t>
            </w:r>
          </w:p>
        </w:tc>
        <w:tc>
          <w:tcPr>
            <w:tcW w:w="2010" w:type="dxa"/>
            <w:tcBorders>
              <w:top w:val="nil"/>
              <w:bottom w:val="nil"/>
            </w:tcBorders>
            <w:noWrap w:val="0"/>
            <w:vAlign w:val="center"/>
          </w:tcPr>
          <w:p>
            <w:pPr>
              <w:pStyle w:val="3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联合体形式参</w:t>
            </w:r>
          </w:p>
        </w:tc>
        <w:tc>
          <w:tcPr>
            <w:tcW w:w="2296" w:type="dxa"/>
            <w:tcBorders>
              <w:top w:val="nil"/>
              <w:bottom w:val="nil"/>
            </w:tcBorders>
            <w:noWrap w:val="0"/>
            <w:vAlign w:val="center"/>
          </w:tcPr>
          <w:p>
            <w:pPr>
              <w:pStyle w:val="3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（精确到万元）</w:t>
            </w:r>
          </w:p>
        </w:tc>
        <w:tc>
          <w:tcPr>
            <w:tcW w:w="1784" w:type="dxa"/>
            <w:vMerge w:val="continue"/>
            <w:tcBorders>
              <w:top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noWrap w:val="0"/>
            <w:vAlign w:val="center"/>
          </w:tcPr>
          <w:p>
            <w:pPr>
              <w:pStyle w:val="3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者采购限额标</w:t>
            </w:r>
          </w:p>
        </w:tc>
        <w:tc>
          <w:tcPr>
            <w:tcW w:w="2010" w:type="dxa"/>
            <w:tcBorders>
              <w:top w:val="nil"/>
              <w:bottom w:val="nil"/>
            </w:tcBorders>
            <w:noWrap w:val="0"/>
            <w:vAlign w:val="center"/>
          </w:tcPr>
          <w:p>
            <w:pPr>
              <w:pStyle w:val="3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加”或者“要求</w:t>
            </w:r>
          </w:p>
        </w:tc>
        <w:tc>
          <w:tcPr>
            <w:tcW w:w="2296" w:type="dxa"/>
            <w:tcBorders>
              <w:top w:val="nil"/>
              <w:bottom w:val="nil"/>
            </w:tcBorders>
            <w:noWrap w:val="0"/>
            <w:vAlign w:val="center"/>
          </w:tcPr>
          <w:p>
            <w:pPr>
              <w:pStyle w:val="38"/>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noWrap w:val="0"/>
            <w:vAlign w:val="center"/>
          </w:tcPr>
          <w:p>
            <w:pPr>
              <w:pStyle w:val="3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准以上的采购项目</w:t>
            </w:r>
          </w:p>
        </w:tc>
        <w:tc>
          <w:tcPr>
            <w:tcW w:w="2010" w:type="dxa"/>
            <w:tcBorders>
              <w:top w:val="nil"/>
              <w:bottom w:val="nil"/>
            </w:tcBorders>
            <w:noWrap w:val="0"/>
            <w:vAlign w:val="center"/>
          </w:tcPr>
          <w:p>
            <w:pPr>
              <w:pStyle w:val="3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合同分包”，除</w:t>
            </w:r>
          </w:p>
        </w:tc>
        <w:tc>
          <w:tcPr>
            <w:tcW w:w="2296" w:type="dxa"/>
            <w:tcBorders>
              <w:top w:val="nil"/>
              <w:bottom w:val="nil"/>
            </w:tcBorders>
            <w:noWrap w:val="0"/>
            <w:vAlign w:val="center"/>
          </w:tcPr>
          <w:p>
            <w:pPr>
              <w:pStyle w:val="38"/>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noWrap w:val="0"/>
            <w:vAlign w:val="center"/>
          </w:tcPr>
          <w:p>
            <w:pPr>
              <w:pStyle w:val="38"/>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noWrap w:val="0"/>
            <w:vAlign w:val="center"/>
          </w:tcPr>
          <w:p>
            <w:pPr>
              <w:pStyle w:val="3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“采购项目全部</w:t>
            </w:r>
          </w:p>
        </w:tc>
        <w:tc>
          <w:tcPr>
            <w:tcW w:w="2296" w:type="dxa"/>
            <w:tcBorders>
              <w:top w:val="nil"/>
              <w:bottom w:val="nil"/>
            </w:tcBorders>
            <w:noWrap w:val="0"/>
            <w:vAlign w:val="center"/>
          </w:tcPr>
          <w:p>
            <w:pPr>
              <w:pStyle w:val="38"/>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noWrap w:val="0"/>
            <w:vAlign w:val="center"/>
          </w:tcPr>
          <w:p>
            <w:pPr>
              <w:pStyle w:val="38"/>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noWrap w:val="0"/>
            <w:vAlign w:val="center"/>
          </w:tcPr>
          <w:p>
            <w:pPr>
              <w:pStyle w:val="3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预留”外，还应</w:t>
            </w:r>
          </w:p>
        </w:tc>
        <w:tc>
          <w:tcPr>
            <w:tcW w:w="2296" w:type="dxa"/>
            <w:tcBorders>
              <w:top w:val="nil"/>
              <w:bottom w:val="nil"/>
            </w:tcBorders>
            <w:noWrap w:val="0"/>
            <w:vAlign w:val="center"/>
          </w:tcPr>
          <w:p>
            <w:pPr>
              <w:pStyle w:val="38"/>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noWrap w:val="0"/>
            <w:vAlign w:val="center"/>
          </w:tcPr>
          <w:p>
            <w:pPr>
              <w:pStyle w:val="38"/>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noWrap w:val="0"/>
            <w:vAlign w:val="center"/>
          </w:tcPr>
          <w:p>
            <w:pPr>
              <w:pStyle w:val="3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当填写预留给中</w:t>
            </w:r>
          </w:p>
        </w:tc>
        <w:tc>
          <w:tcPr>
            <w:tcW w:w="2296" w:type="dxa"/>
            <w:tcBorders>
              <w:top w:val="nil"/>
              <w:bottom w:val="nil"/>
            </w:tcBorders>
            <w:noWrap w:val="0"/>
            <w:vAlign w:val="center"/>
          </w:tcPr>
          <w:p>
            <w:pPr>
              <w:pStyle w:val="38"/>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tcBorders>
            <w:noWrap w:val="0"/>
            <w:vAlign w:val="center"/>
          </w:tcPr>
          <w:p>
            <w:pPr>
              <w:pStyle w:val="38"/>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tcBorders>
            <w:noWrap w:val="0"/>
            <w:vAlign w:val="center"/>
          </w:tcPr>
          <w:p>
            <w:pPr>
              <w:pStyle w:val="3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小企业的比例）</w:t>
            </w:r>
          </w:p>
        </w:tc>
        <w:tc>
          <w:tcPr>
            <w:tcW w:w="2296" w:type="dxa"/>
            <w:tcBorders>
              <w:top w:val="nil"/>
            </w:tcBorders>
            <w:noWrap w:val="0"/>
            <w:vAlign w:val="center"/>
          </w:tcPr>
          <w:p>
            <w:pPr>
              <w:pStyle w:val="38"/>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3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c>
          <w:tcPr>
            <w:tcW w:w="1866" w:type="dxa"/>
            <w:noWrap w:val="0"/>
            <w:vAlign w:val="center"/>
          </w:tcPr>
          <w:p>
            <w:pPr>
              <w:pStyle w:val="3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c>
          <w:tcPr>
            <w:tcW w:w="2010" w:type="dxa"/>
            <w:noWrap w:val="0"/>
            <w:vAlign w:val="center"/>
          </w:tcPr>
          <w:p>
            <w:pPr>
              <w:pStyle w:val="3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c>
          <w:tcPr>
            <w:tcW w:w="2296" w:type="dxa"/>
            <w:noWrap w:val="0"/>
            <w:vAlign w:val="center"/>
          </w:tcPr>
          <w:p>
            <w:pPr>
              <w:pStyle w:val="3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c>
          <w:tcPr>
            <w:tcW w:w="1784" w:type="dxa"/>
            <w:noWrap w:val="0"/>
            <w:vAlign w:val="center"/>
          </w:tcPr>
          <w:p>
            <w:pPr>
              <w:pStyle w:val="3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r>
    </w:tbl>
    <w:p>
      <w:pPr>
        <w:pStyle w:val="6"/>
        <w:tabs>
          <w:tab w:val="left" w:pos="562"/>
          <w:tab w:val="left" w:pos="3372"/>
          <w:tab w:val="left" w:pos="3653"/>
        </w:tabs>
        <w:spacing w:before="128"/>
        <w:ind w:left="4220" w:right="1843"/>
        <w:rPr>
          <w:rFonts w:hint="eastAsia" w:ascii="宋体" w:hAnsi="宋体" w:cs="宋体"/>
          <w:sz w:val="24"/>
          <w:highlight w:val="none"/>
        </w:rPr>
      </w:pPr>
    </w:p>
    <w:p>
      <w:pPr>
        <w:pStyle w:val="6"/>
        <w:tabs>
          <w:tab w:val="left" w:pos="562"/>
          <w:tab w:val="left" w:pos="3372"/>
          <w:tab w:val="left" w:pos="3653"/>
        </w:tabs>
        <w:spacing w:before="128"/>
        <w:ind w:left="4220" w:right="1843"/>
        <w:rPr>
          <w:rFonts w:hint="eastAsia" w:ascii="宋体" w:hAnsi="宋体" w:cs="宋体"/>
          <w:sz w:val="24"/>
          <w:highlight w:val="none"/>
        </w:rPr>
      </w:pPr>
      <w:r>
        <w:rPr>
          <w:rFonts w:hint="eastAsia" w:ascii="宋体" w:hAnsi="宋体" w:cs="宋体"/>
          <w:sz w:val="24"/>
          <w:highlight w:val="none"/>
        </w:rPr>
        <w:t xml:space="preserve">部门（单位）名称： </w:t>
      </w:r>
    </w:p>
    <w:p>
      <w:pPr>
        <w:pStyle w:val="6"/>
        <w:tabs>
          <w:tab w:val="left" w:pos="562"/>
          <w:tab w:val="left" w:pos="3372"/>
          <w:tab w:val="left" w:pos="3653"/>
        </w:tabs>
        <w:spacing w:before="128"/>
        <w:ind w:left="4220" w:right="1843"/>
        <w:rPr>
          <w:rFonts w:ascii="宋体" w:hAnsi="宋体" w:cs="宋体"/>
          <w:sz w:val="24"/>
          <w:highlight w:val="none"/>
        </w:rPr>
      </w:pPr>
      <w:r>
        <w:rPr>
          <w:rFonts w:hint="eastAsia" w:ascii="宋体" w:hAnsi="宋体" w:cs="宋体"/>
          <w:sz w:val="24"/>
          <w:highlight w:val="none"/>
        </w:rPr>
        <w:t>日期：</w:t>
      </w:r>
    </w:p>
    <w:p>
      <w:pPr>
        <w:pStyle w:val="6"/>
        <w:tabs>
          <w:tab w:val="left" w:pos="562"/>
          <w:tab w:val="left" w:pos="3372"/>
          <w:tab w:val="left" w:pos="3653"/>
        </w:tabs>
        <w:rPr>
          <w:rFonts w:ascii="宋体" w:hAnsi="宋体" w:cs="宋体"/>
          <w:sz w:val="24"/>
          <w:highlight w:val="none"/>
        </w:rPr>
      </w:pPr>
    </w:p>
    <w:p>
      <w:pPr>
        <w:pStyle w:val="17"/>
        <w:jc w:val="both"/>
        <w:outlineLvl w:val="9"/>
        <w:rPr>
          <w:rFonts w:ascii="宋体" w:hAnsi="宋体" w:eastAsia="宋体" w:cs="宋体"/>
          <w:sz w:val="24"/>
          <w:szCs w:val="24"/>
          <w:highlight w:val="none"/>
        </w:rPr>
      </w:pPr>
    </w:p>
    <w:p>
      <w:pPr>
        <w:tabs>
          <w:tab w:val="left" w:pos="360"/>
        </w:tabs>
        <w:spacing w:line="360" w:lineRule="auto"/>
        <w:outlineLvl w:val="1"/>
        <w:rPr>
          <w:rFonts w:ascii="宋体" w:hAnsi="宋体" w:cs="宋体"/>
          <w:b/>
          <w:bCs/>
          <w:sz w:val="24"/>
          <w:highlight w:val="none"/>
        </w:rPr>
      </w:pPr>
      <w:r>
        <w:rPr>
          <w:rFonts w:hint="eastAsia" w:ascii="宋体" w:hAnsi="宋体" w:cs="宋体"/>
          <w:sz w:val="24"/>
          <w:highlight w:val="none"/>
        </w:rPr>
        <w:br w:type="page"/>
      </w:r>
      <w:r>
        <w:rPr>
          <w:rFonts w:hint="eastAsia" w:ascii="宋体" w:hAnsi="宋体" w:cs="宋体"/>
          <w:b/>
          <w:bCs/>
          <w:sz w:val="24"/>
          <w:highlight w:val="none"/>
        </w:rPr>
        <w:t>2、工业</w:t>
      </w:r>
      <w:r>
        <w:rPr>
          <w:rFonts w:hint="eastAsia" w:ascii="宋体" w:hAnsi="宋体" w:cs="宋体"/>
          <w:b/>
          <w:bCs/>
          <w:sz w:val="24"/>
          <w:highlight w:val="none"/>
          <w:lang w:val="en-US" w:eastAsia="zh-CN"/>
        </w:rPr>
        <w:t>和</w:t>
      </w:r>
      <w:r>
        <w:rPr>
          <w:rFonts w:hint="eastAsia" w:ascii="宋体" w:hAnsi="宋体" w:cs="宋体"/>
          <w:b/>
          <w:bCs/>
          <w:sz w:val="24"/>
          <w:highlight w:val="none"/>
        </w:rPr>
        <w:t>信息化部、国家统计局、国家发展和改革委员会、财政部《关于印发〈中小企业划型标准规定〉的通知》（工信部联企〔2011〕300 号）</w:t>
      </w:r>
    </w:p>
    <w:p>
      <w:pPr>
        <w:pStyle w:val="6"/>
        <w:tabs>
          <w:tab w:val="left" w:pos="562"/>
          <w:tab w:val="left" w:pos="3372"/>
          <w:tab w:val="left" w:pos="3653"/>
        </w:tabs>
        <w:spacing w:line="360" w:lineRule="auto"/>
        <w:rPr>
          <w:rFonts w:ascii="宋体" w:hAnsi="宋体" w:cs="宋体"/>
          <w:sz w:val="24"/>
          <w:highlight w:val="none"/>
        </w:rPr>
      </w:pPr>
    </w:p>
    <w:p>
      <w:pPr>
        <w:spacing w:line="360" w:lineRule="auto"/>
        <w:jc w:val="center"/>
        <w:rPr>
          <w:rFonts w:ascii="宋体" w:hAnsi="宋体" w:cs="宋体"/>
          <w:b/>
          <w:bCs/>
          <w:sz w:val="24"/>
          <w:highlight w:val="none"/>
        </w:rPr>
      </w:pPr>
      <w:r>
        <w:rPr>
          <w:rFonts w:hint="eastAsia" w:ascii="宋体" w:hAnsi="宋体" w:cs="宋体"/>
          <w:b/>
          <w:bCs/>
          <w:sz w:val="24"/>
          <w:highlight w:val="none"/>
        </w:rPr>
        <w:t>关于印发中小企业划型标准规定的通知</w:t>
      </w:r>
    </w:p>
    <w:p>
      <w:pPr>
        <w:spacing w:line="360" w:lineRule="auto"/>
        <w:jc w:val="center"/>
        <w:rPr>
          <w:rFonts w:ascii="宋体" w:hAnsi="宋体" w:cs="宋体"/>
          <w:sz w:val="24"/>
          <w:highlight w:val="none"/>
        </w:rPr>
      </w:pPr>
      <w:r>
        <w:rPr>
          <w:rFonts w:hint="eastAsia" w:ascii="宋体" w:hAnsi="宋体" w:cs="宋体"/>
          <w:sz w:val="24"/>
          <w:highlight w:val="none"/>
        </w:rPr>
        <w:t>工信部联企业〔2011〕300号</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各省、自治区、直辖市人民政府，国务院各部委、各直属机构及有关单位：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工业和信息化部 国家统计局</w:t>
      </w: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国家发展和改革委员会 财政部</w:t>
      </w: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二○一一年六月十八日</w:t>
      </w:r>
    </w:p>
    <w:p>
      <w:pPr>
        <w:spacing w:line="360" w:lineRule="auto"/>
        <w:ind w:firstLine="480" w:firstLineChars="200"/>
        <w:rPr>
          <w:rFonts w:ascii="宋体" w:hAnsi="宋体" w:cs="宋体"/>
          <w:sz w:val="24"/>
          <w:highlight w:val="none"/>
        </w:rPr>
      </w:pPr>
    </w:p>
    <w:p>
      <w:pPr>
        <w:pStyle w:val="6"/>
        <w:rPr>
          <w:rFonts w:ascii="宋体" w:hAnsi="宋体" w:cs="宋体"/>
          <w:sz w:val="24"/>
          <w:highlight w:val="none"/>
        </w:rPr>
      </w:pPr>
    </w:p>
    <w:p>
      <w:pPr>
        <w:rPr>
          <w:rFonts w:ascii="宋体" w:hAnsi="宋体" w:cs="宋体"/>
          <w:sz w:val="24"/>
          <w:highlight w:val="none"/>
        </w:rPr>
      </w:pPr>
    </w:p>
    <w:p>
      <w:pPr>
        <w:pStyle w:val="6"/>
        <w:rPr>
          <w:rFonts w:ascii="宋体" w:hAnsi="宋体" w:cs="宋体"/>
          <w:sz w:val="24"/>
          <w:highlight w:val="none"/>
        </w:rPr>
      </w:pPr>
    </w:p>
    <w:p>
      <w:pPr>
        <w:rPr>
          <w:rFonts w:ascii="宋体" w:hAnsi="宋体" w:cs="宋体"/>
          <w:sz w:val="24"/>
          <w:highlight w:val="none"/>
        </w:rPr>
      </w:pPr>
    </w:p>
    <w:p>
      <w:pPr>
        <w:rPr>
          <w:highlight w:val="none"/>
        </w:rPr>
      </w:pPr>
    </w:p>
    <w:p>
      <w:pPr>
        <w:pStyle w:val="6"/>
        <w:rPr>
          <w:highlight w:val="none"/>
        </w:rPr>
      </w:pP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rPr>
          <w:rFonts w:ascii="宋体" w:hAnsi="宋体" w:cs="宋体"/>
          <w:b/>
          <w:bCs/>
          <w:sz w:val="24"/>
          <w:highlight w:val="none"/>
        </w:rPr>
      </w:pPr>
      <w:r>
        <w:rPr>
          <w:rFonts w:hint="eastAsia" w:ascii="宋体" w:hAnsi="宋体" w:cs="宋体"/>
          <w:b/>
          <w:bCs/>
          <w:sz w:val="24"/>
          <w:highlight w:val="none"/>
        </w:rPr>
        <w:br w:type="page"/>
      </w:r>
    </w:p>
    <w:p>
      <w:pPr>
        <w:spacing w:line="360" w:lineRule="auto"/>
        <w:jc w:val="center"/>
        <w:rPr>
          <w:rFonts w:ascii="宋体" w:hAnsi="宋体" w:cs="宋体"/>
          <w:b/>
          <w:bCs/>
          <w:sz w:val="24"/>
          <w:highlight w:val="none"/>
        </w:rPr>
      </w:pPr>
      <w:r>
        <w:rPr>
          <w:rFonts w:hint="eastAsia" w:ascii="宋体" w:hAnsi="宋体" w:cs="宋体"/>
          <w:b/>
          <w:bCs/>
          <w:sz w:val="24"/>
          <w:highlight w:val="none"/>
        </w:rPr>
        <w:t xml:space="preserve">中小企业划型标准规定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一、根据《中华人民共和国中小企业促进法》和《国务院关于进一步促进中小企业发展的若干意见》(国发〔2009〕36号)，制定本规定。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二、中小企业划分为中型、小型、微型三种类型，具体标准根据企业从业人员、营业收入、资产总额等指标，结合行业特点制定。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四、各行业划型标准为：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五、企业类型的划分以统计部门的统计数据为依据。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八、本规定由工业和信息化部、国家统计局会同有关部门根据《国民经济行业分类》修订情况和企业发展变化情况适时修订。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九、本规定由工业和信息化部、国家统计局会同有关部门负责解释。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十、本规定自发布之日起执行，原国家经贸委、原国家计委、财政部和国家统计局2003年颁布的《中小企业标准暂行规定》同时废止。</w:t>
      </w:r>
    </w:p>
    <w:p>
      <w:pPr>
        <w:ind w:firstLine="480" w:firstLineChars="200"/>
        <w:rPr>
          <w:rFonts w:ascii="宋体" w:hAnsi="宋体" w:cs="宋体"/>
          <w:sz w:val="24"/>
          <w:highlight w:val="none"/>
        </w:rPr>
      </w:pPr>
    </w:p>
    <w:p>
      <w:pPr>
        <w:pStyle w:val="17"/>
        <w:jc w:val="both"/>
        <w:outlineLvl w:val="9"/>
        <w:rPr>
          <w:rFonts w:ascii="宋体" w:hAnsi="宋体" w:eastAsia="宋体" w:cs="宋体"/>
          <w:sz w:val="24"/>
          <w:szCs w:val="24"/>
          <w:highlight w:val="none"/>
        </w:rPr>
      </w:pPr>
    </w:p>
    <w:p>
      <w:pPr>
        <w:tabs>
          <w:tab w:val="left" w:pos="360"/>
        </w:tabs>
        <w:spacing w:line="360" w:lineRule="auto"/>
        <w:outlineLvl w:val="1"/>
        <w:rPr>
          <w:rFonts w:ascii="宋体" w:hAnsi="宋体" w:cs="宋体"/>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3、国家统计局《关于印发〈统计上大中小微型企业划分办法（2017）〉的通知》</w:t>
      </w:r>
    </w:p>
    <w:p>
      <w:pPr>
        <w:widowControl/>
        <w:shd w:val="clear" w:color="auto" w:fill="FFFFFF"/>
        <w:spacing w:line="360" w:lineRule="auto"/>
        <w:jc w:val="center"/>
        <w:rPr>
          <w:rFonts w:ascii="宋体" w:hAnsi="宋体" w:cs="宋体"/>
          <w:b/>
          <w:bCs/>
          <w:kern w:val="0"/>
          <w:sz w:val="24"/>
          <w:highlight w:val="none"/>
        </w:rPr>
      </w:pPr>
    </w:p>
    <w:p>
      <w:pPr>
        <w:widowControl/>
        <w:shd w:val="clear" w:color="auto" w:fill="FFFFFF"/>
        <w:spacing w:line="360" w:lineRule="auto"/>
        <w:jc w:val="center"/>
        <w:rPr>
          <w:rFonts w:ascii="宋体" w:hAnsi="宋体" w:cs="宋体"/>
          <w:b/>
          <w:kern w:val="0"/>
          <w:sz w:val="24"/>
          <w:highlight w:val="none"/>
        </w:rPr>
      </w:pPr>
      <w:r>
        <w:rPr>
          <w:rFonts w:hint="eastAsia" w:ascii="宋体" w:hAnsi="宋体" w:cs="宋体"/>
          <w:b/>
          <w:bCs/>
          <w:kern w:val="0"/>
          <w:sz w:val="24"/>
          <w:highlight w:val="none"/>
        </w:rPr>
        <w:t>国家统计局关于印发《统计上大中小微型企业划分办法（2017）》的通知</w:t>
      </w:r>
    </w:p>
    <w:p>
      <w:pPr>
        <w:widowControl/>
        <w:shd w:val="clear" w:color="auto" w:fill="FFFFFF"/>
        <w:spacing w:line="360" w:lineRule="auto"/>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附件：《统计上大中小微型企业划分办法（2017）》修订说明</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right"/>
        <w:rPr>
          <w:rFonts w:ascii="宋体" w:hAnsi="宋体" w:cs="宋体"/>
          <w:kern w:val="0"/>
          <w:sz w:val="24"/>
          <w:highlight w:val="none"/>
        </w:rPr>
      </w:pPr>
      <w:r>
        <w:rPr>
          <w:rFonts w:hint="eastAsia" w:ascii="宋体" w:hAnsi="宋体" w:cs="宋体"/>
          <w:kern w:val="0"/>
          <w:sz w:val="24"/>
          <w:highlight w:val="none"/>
        </w:rPr>
        <w:t>国家统计局</w:t>
      </w:r>
    </w:p>
    <w:p>
      <w:pPr>
        <w:widowControl/>
        <w:shd w:val="clear" w:color="auto" w:fill="FFFFFF"/>
        <w:spacing w:line="360" w:lineRule="auto"/>
        <w:ind w:firstLine="480" w:firstLineChars="200"/>
        <w:jc w:val="right"/>
        <w:rPr>
          <w:rFonts w:ascii="宋体" w:hAnsi="宋体" w:cs="宋体"/>
          <w:kern w:val="0"/>
          <w:sz w:val="24"/>
          <w:highlight w:val="none"/>
        </w:rPr>
      </w:pPr>
      <w:r>
        <w:rPr>
          <w:rFonts w:hint="eastAsia" w:ascii="宋体" w:hAnsi="宋体" w:cs="宋体"/>
          <w:kern w:val="0"/>
          <w:sz w:val="24"/>
          <w:highlight w:val="none"/>
        </w:rPr>
        <w:t>2017年12月28日</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pStyle w:val="6"/>
        <w:rPr>
          <w:rFonts w:ascii="宋体" w:hAnsi="宋体" w:cs="宋体"/>
          <w:kern w:val="0"/>
          <w:sz w:val="24"/>
          <w:highlight w:val="none"/>
        </w:rPr>
      </w:pPr>
    </w:p>
    <w:p>
      <w:pPr>
        <w:rPr>
          <w:rFonts w:ascii="宋体" w:hAnsi="宋体" w:cs="宋体"/>
          <w:kern w:val="0"/>
          <w:sz w:val="24"/>
          <w:highlight w:val="none"/>
        </w:rPr>
      </w:pPr>
    </w:p>
    <w:p>
      <w:pPr>
        <w:pStyle w:val="6"/>
        <w:rPr>
          <w:rFonts w:ascii="宋体" w:hAnsi="宋体" w:cs="宋体"/>
          <w:kern w:val="0"/>
          <w:sz w:val="24"/>
          <w:highlight w:val="none"/>
        </w:rPr>
      </w:pPr>
    </w:p>
    <w:p>
      <w:pPr>
        <w:widowControl/>
        <w:shd w:val="clear" w:color="auto" w:fill="FFFFFF"/>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br w:type="page"/>
      </w:r>
      <w:r>
        <w:rPr>
          <w:rFonts w:hint="eastAsia" w:ascii="宋体" w:hAnsi="宋体" w:cs="宋体"/>
          <w:b/>
          <w:bCs/>
          <w:kern w:val="0"/>
          <w:sz w:val="24"/>
          <w:highlight w:val="none"/>
        </w:rPr>
        <w:t>统计上大中小微型企业划分办法（2017）</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附表：统计上大中小微型企业划分标准</w:t>
      </w:r>
    </w:p>
    <w:p>
      <w:pPr>
        <w:widowControl/>
        <w:spacing w:line="360" w:lineRule="auto"/>
        <w:jc w:val="left"/>
        <w:rPr>
          <w:rFonts w:ascii="宋体" w:hAnsi="宋体" w:cs="宋体"/>
          <w:kern w:val="0"/>
          <w:sz w:val="24"/>
          <w:highlight w:val="none"/>
        </w:rPr>
      </w:pPr>
    </w:p>
    <w:p>
      <w:pPr>
        <w:pStyle w:val="6"/>
        <w:rPr>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附表：</w:t>
      </w:r>
    </w:p>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统计上大中小微型企业划分标准</w:t>
      </w:r>
    </w:p>
    <w:tbl>
      <w:tblPr>
        <w:tblStyle w:val="20"/>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行业名称</w:t>
            </w:r>
          </w:p>
        </w:tc>
        <w:tc>
          <w:tcPr>
            <w:tcW w:w="1462"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指标名称</w:t>
            </w:r>
          </w:p>
        </w:tc>
        <w:tc>
          <w:tcPr>
            <w:tcW w:w="727"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bCs/>
                <w:kern w:val="0"/>
                <w:sz w:val="24"/>
                <w:highlight w:val="none"/>
              </w:rPr>
            </w:pPr>
            <w:r>
              <w:rPr>
                <w:rFonts w:hint="eastAsia" w:ascii="宋体" w:hAnsi="宋体" w:cs="宋体"/>
                <w:b/>
                <w:bCs/>
                <w:kern w:val="0"/>
                <w:sz w:val="24"/>
                <w:highlight w:val="none"/>
              </w:rPr>
              <w:t>计量</w:t>
            </w:r>
          </w:p>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单位</w:t>
            </w:r>
          </w:p>
        </w:tc>
        <w:tc>
          <w:tcPr>
            <w:tcW w:w="1011"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大型</w:t>
            </w:r>
          </w:p>
        </w:tc>
        <w:tc>
          <w:tcPr>
            <w:tcW w:w="166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中型</w:t>
            </w:r>
          </w:p>
        </w:tc>
        <w:tc>
          <w:tcPr>
            <w:tcW w:w="1446"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小型</w:t>
            </w:r>
          </w:p>
        </w:tc>
        <w:tc>
          <w:tcPr>
            <w:tcW w:w="793"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农、林、牧、渔业</w:t>
            </w:r>
          </w:p>
        </w:tc>
        <w:tc>
          <w:tcPr>
            <w:tcW w:w="1462"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Y≥20000</w:t>
            </w:r>
          </w:p>
        </w:tc>
        <w:tc>
          <w:tcPr>
            <w:tcW w:w="166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500≤Y＜20000</w:t>
            </w:r>
          </w:p>
        </w:tc>
        <w:tc>
          <w:tcPr>
            <w:tcW w:w="1446"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50≤Y＜500</w:t>
            </w:r>
          </w:p>
        </w:tc>
        <w:tc>
          <w:tcPr>
            <w:tcW w:w="793"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工业 *</w:t>
            </w:r>
          </w:p>
        </w:tc>
        <w:tc>
          <w:tcPr>
            <w:tcW w:w="1462"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X≥1000</w:t>
            </w:r>
          </w:p>
        </w:tc>
        <w:tc>
          <w:tcPr>
            <w:tcW w:w="166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300≤X＜1000</w:t>
            </w:r>
          </w:p>
        </w:tc>
        <w:tc>
          <w:tcPr>
            <w:tcW w:w="1446"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20≤X＜300</w:t>
            </w:r>
          </w:p>
        </w:tc>
        <w:tc>
          <w:tcPr>
            <w:tcW w:w="793"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Y≥40000</w:t>
            </w:r>
          </w:p>
        </w:tc>
        <w:tc>
          <w:tcPr>
            <w:tcW w:w="166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2000≤Y＜40000</w:t>
            </w:r>
          </w:p>
        </w:tc>
        <w:tc>
          <w:tcPr>
            <w:tcW w:w="1446"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300≤Y＜2000</w:t>
            </w:r>
          </w:p>
        </w:tc>
        <w:tc>
          <w:tcPr>
            <w:tcW w:w="793"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建筑业</w:t>
            </w:r>
          </w:p>
        </w:tc>
        <w:tc>
          <w:tcPr>
            <w:tcW w:w="1462"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Y≥80000</w:t>
            </w:r>
          </w:p>
        </w:tc>
        <w:tc>
          <w:tcPr>
            <w:tcW w:w="166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6000≤Y＜80000</w:t>
            </w:r>
          </w:p>
        </w:tc>
        <w:tc>
          <w:tcPr>
            <w:tcW w:w="1446"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300≤Y＜6000</w:t>
            </w:r>
          </w:p>
        </w:tc>
        <w:tc>
          <w:tcPr>
            <w:tcW w:w="793"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资产总额(Z)</w:t>
            </w:r>
          </w:p>
        </w:tc>
        <w:tc>
          <w:tcPr>
            <w:tcW w:w="727"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Z≥80000</w:t>
            </w:r>
          </w:p>
        </w:tc>
        <w:tc>
          <w:tcPr>
            <w:tcW w:w="166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5000≤Z＜80000</w:t>
            </w:r>
          </w:p>
        </w:tc>
        <w:tc>
          <w:tcPr>
            <w:tcW w:w="1446"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300≤Z＜5000</w:t>
            </w:r>
          </w:p>
        </w:tc>
        <w:tc>
          <w:tcPr>
            <w:tcW w:w="793"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批发业</w:t>
            </w:r>
          </w:p>
        </w:tc>
        <w:tc>
          <w:tcPr>
            <w:tcW w:w="1462"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X≥200</w:t>
            </w:r>
          </w:p>
        </w:tc>
        <w:tc>
          <w:tcPr>
            <w:tcW w:w="166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20≤X＜200</w:t>
            </w:r>
          </w:p>
        </w:tc>
        <w:tc>
          <w:tcPr>
            <w:tcW w:w="1446"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5≤X＜20</w:t>
            </w:r>
          </w:p>
        </w:tc>
        <w:tc>
          <w:tcPr>
            <w:tcW w:w="793"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Y≥40000</w:t>
            </w:r>
          </w:p>
        </w:tc>
        <w:tc>
          <w:tcPr>
            <w:tcW w:w="166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5000≤Y＜40000</w:t>
            </w:r>
          </w:p>
        </w:tc>
        <w:tc>
          <w:tcPr>
            <w:tcW w:w="1446"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1000≤Y＜5000</w:t>
            </w:r>
          </w:p>
        </w:tc>
        <w:tc>
          <w:tcPr>
            <w:tcW w:w="793"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零售业</w:t>
            </w:r>
          </w:p>
        </w:tc>
        <w:tc>
          <w:tcPr>
            <w:tcW w:w="1462"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50≤X＜300</w:t>
            </w:r>
          </w:p>
        </w:tc>
        <w:tc>
          <w:tcPr>
            <w:tcW w:w="1446"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10≤X＜50</w:t>
            </w:r>
          </w:p>
        </w:tc>
        <w:tc>
          <w:tcPr>
            <w:tcW w:w="793"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Y≥20000</w:t>
            </w:r>
          </w:p>
        </w:tc>
        <w:tc>
          <w:tcPr>
            <w:tcW w:w="166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500≤Y＜20000</w:t>
            </w:r>
          </w:p>
        </w:tc>
        <w:tc>
          <w:tcPr>
            <w:tcW w:w="1446"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100≤Y＜500</w:t>
            </w:r>
          </w:p>
        </w:tc>
        <w:tc>
          <w:tcPr>
            <w:tcW w:w="793"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交通运输业 *</w:t>
            </w:r>
          </w:p>
        </w:tc>
        <w:tc>
          <w:tcPr>
            <w:tcW w:w="1462"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X≥1000</w:t>
            </w:r>
          </w:p>
        </w:tc>
        <w:tc>
          <w:tcPr>
            <w:tcW w:w="166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300≤X＜1000</w:t>
            </w:r>
          </w:p>
        </w:tc>
        <w:tc>
          <w:tcPr>
            <w:tcW w:w="1446"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20≤X＜300</w:t>
            </w:r>
          </w:p>
        </w:tc>
        <w:tc>
          <w:tcPr>
            <w:tcW w:w="793"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Y≥30000</w:t>
            </w:r>
          </w:p>
        </w:tc>
        <w:tc>
          <w:tcPr>
            <w:tcW w:w="166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3000≤Y＜30000</w:t>
            </w:r>
          </w:p>
        </w:tc>
        <w:tc>
          <w:tcPr>
            <w:tcW w:w="1446"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200≤Y＜3000</w:t>
            </w:r>
          </w:p>
        </w:tc>
        <w:tc>
          <w:tcPr>
            <w:tcW w:w="793"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仓储业*</w:t>
            </w:r>
          </w:p>
        </w:tc>
        <w:tc>
          <w:tcPr>
            <w:tcW w:w="1462"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X≥200</w:t>
            </w:r>
          </w:p>
        </w:tc>
        <w:tc>
          <w:tcPr>
            <w:tcW w:w="166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100≤X＜200</w:t>
            </w:r>
          </w:p>
        </w:tc>
        <w:tc>
          <w:tcPr>
            <w:tcW w:w="1446"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20≤X＜100</w:t>
            </w:r>
          </w:p>
        </w:tc>
        <w:tc>
          <w:tcPr>
            <w:tcW w:w="793"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Y≥30000</w:t>
            </w:r>
          </w:p>
        </w:tc>
        <w:tc>
          <w:tcPr>
            <w:tcW w:w="166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1000≤Y＜30000</w:t>
            </w:r>
          </w:p>
        </w:tc>
        <w:tc>
          <w:tcPr>
            <w:tcW w:w="1446"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100≤Y＜1000</w:t>
            </w:r>
          </w:p>
        </w:tc>
        <w:tc>
          <w:tcPr>
            <w:tcW w:w="793"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邮政业</w:t>
            </w:r>
          </w:p>
        </w:tc>
        <w:tc>
          <w:tcPr>
            <w:tcW w:w="1462"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X≥1000</w:t>
            </w:r>
          </w:p>
        </w:tc>
        <w:tc>
          <w:tcPr>
            <w:tcW w:w="166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300≤X＜1000</w:t>
            </w:r>
          </w:p>
        </w:tc>
        <w:tc>
          <w:tcPr>
            <w:tcW w:w="1446"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20≤X＜300</w:t>
            </w:r>
          </w:p>
        </w:tc>
        <w:tc>
          <w:tcPr>
            <w:tcW w:w="793"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Y≥30000</w:t>
            </w:r>
          </w:p>
        </w:tc>
        <w:tc>
          <w:tcPr>
            <w:tcW w:w="166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2000≤Y＜30000</w:t>
            </w:r>
          </w:p>
        </w:tc>
        <w:tc>
          <w:tcPr>
            <w:tcW w:w="1446"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100≤Y＜2000</w:t>
            </w:r>
          </w:p>
        </w:tc>
        <w:tc>
          <w:tcPr>
            <w:tcW w:w="793"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住宿业</w:t>
            </w:r>
          </w:p>
        </w:tc>
        <w:tc>
          <w:tcPr>
            <w:tcW w:w="1462"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Y≥10000</w:t>
            </w:r>
          </w:p>
        </w:tc>
        <w:tc>
          <w:tcPr>
            <w:tcW w:w="166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2000≤Y＜10000</w:t>
            </w:r>
          </w:p>
        </w:tc>
        <w:tc>
          <w:tcPr>
            <w:tcW w:w="1446"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100≤Y＜2000</w:t>
            </w:r>
          </w:p>
        </w:tc>
        <w:tc>
          <w:tcPr>
            <w:tcW w:w="793"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餐饮业</w:t>
            </w:r>
          </w:p>
        </w:tc>
        <w:tc>
          <w:tcPr>
            <w:tcW w:w="1462"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Y≥10000</w:t>
            </w:r>
          </w:p>
        </w:tc>
        <w:tc>
          <w:tcPr>
            <w:tcW w:w="166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2000≤Y＜10000</w:t>
            </w:r>
          </w:p>
        </w:tc>
        <w:tc>
          <w:tcPr>
            <w:tcW w:w="1446"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100≤Y＜2000</w:t>
            </w:r>
          </w:p>
        </w:tc>
        <w:tc>
          <w:tcPr>
            <w:tcW w:w="793"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信息传输业 *</w:t>
            </w:r>
          </w:p>
        </w:tc>
        <w:tc>
          <w:tcPr>
            <w:tcW w:w="1462"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X≥2000</w:t>
            </w:r>
          </w:p>
        </w:tc>
        <w:tc>
          <w:tcPr>
            <w:tcW w:w="166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100≤X＜2000</w:t>
            </w:r>
          </w:p>
        </w:tc>
        <w:tc>
          <w:tcPr>
            <w:tcW w:w="1446"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Y≥100000</w:t>
            </w:r>
          </w:p>
        </w:tc>
        <w:tc>
          <w:tcPr>
            <w:tcW w:w="166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1000≤Y＜100000</w:t>
            </w:r>
          </w:p>
        </w:tc>
        <w:tc>
          <w:tcPr>
            <w:tcW w:w="1446"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100≤Y＜1000</w:t>
            </w:r>
          </w:p>
        </w:tc>
        <w:tc>
          <w:tcPr>
            <w:tcW w:w="793"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软件和信息技术服务业</w:t>
            </w:r>
          </w:p>
        </w:tc>
        <w:tc>
          <w:tcPr>
            <w:tcW w:w="1462"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Y≥10000</w:t>
            </w:r>
          </w:p>
        </w:tc>
        <w:tc>
          <w:tcPr>
            <w:tcW w:w="166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1000≤Y＜10000</w:t>
            </w:r>
          </w:p>
        </w:tc>
        <w:tc>
          <w:tcPr>
            <w:tcW w:w="1446"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50≤Y＜1000</w:t>
            </w:r>
          </w:p>
        </w:tc>
        <w:tc>
          <w:tcPr>
            <w:tcW w:w="793"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房地产开发经营</w:t>
            </w:r>
          </w:p>
        </w:tc>
        <w:tc>
          <w:tcPr>
            <w:tcW w:w="1462"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Y≥200000</w:t>
            </w:r>
          </w:p>
        </w:tc>
        <w:tc>
          <w:tcPr>
            <w:tcW w:w="166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1000≤Y＜200000</w:t>
            </w:r>
          </w:p>
        </w:tc>
        <w:tc>
          <w:tcPr>
            <w:tcW w:w="1446"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100≤Y＜1000</w:t>
            </w:r>
          </w:p>
        </w:tc>
        <w:tc>
          <w:tcPr>
            <w:tcW w:w="793"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资产总额(Z)</w:t>
            </w:r>
          </w:p>
        </w:tc>
        <w:tc>
          <w:tcPr>
            <w:tcW w:w="727"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Z≥10000</w:t>
            </w:r>
          </w:p>
        </w:tc>
        <w:tc>
          <w:tcPr>
            <w:tcW w:w="166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5000≤Z＜10000</w:t>
            </w:r>
          </w:p>
        </w:tc>
        <w:tc>
          <w:tcPr>
            <w:tcW w:w="1446"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2000≤Z＜5000</w:t>
            </w:r>
          </w:p>
        </w:tc>
        <w:tc>
          <w:tcPr>
            <w:tcW w:w="793"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物业管理</w:t>
            </w:r>
          </w:p>
        </w:tc>
        <w:tc>
          <w:tcPr>
            <w:tcW w:w="1462"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X≥1000</w:t>
            </w:r>
          </w:p>
        </w:tc>
        <w:tc>
          <w:tcPr>
            <w:tcW w:w="166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300≤X＜1000</w:t>
            </w:r>
          </w:p>
        </w:tc>
        <w:tc>
          <w:tcPr>
            <w:tcW w:w="1446"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793"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Y≥5000</w:t>
            </w:r>
          </w:p>
        </w:tc>
        <w:tc>
          <w:tcPr>
            <w:tcW w:w="166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1000≤Y＜5000</w:t>
            </w:r>
          </w:p>
        </w:tc>
        <w:tc>
          <w:tcPr>
            <w:tcW w:w="1446"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500≤Y＜1000</w:t>
            </w:r>
          </w:p>
        </w:tc>
        <w:tc>
          <w:tcPr>
            <w:tcW w:w="793"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租赁和商务服务业</w:t>
            </w:r>
          </w:p>
        </w:tc>
        <w:tc>
          <w:tcPr>
            <w:tcW w:w="1462"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资产总额(Z)</w:t>
            </w:r>
          </w:p>
        </w:tc>
        <w:tc>
          <w:tcPr>
            <w:tcW w:w="727"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Z≥120000</w:t>
            </w:r>
          </w:p>
        </w:tc>
        <w:tc>
          <w:tcPr>
            <w:tcW w:w="166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8000≤Z＜120000</w:t>
            </w:r>
          </w:p>
        </w:tc>
        <w:tc>
          <w:tcPr>
            <w:tcW w:w="1446"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100≤Z＜8000</w:t>
            </w:r>
          </w:p>
        </w:tc>
        <w:tc>
          <w:tcPr>
            <w:tcW w:w="793"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其他未列明行业 *</w:t>
            </w:r>
          </w:p>
        </w:tc>
        <w:tc>
          <w:tcPr>
            <w:tcW w:w="1462"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bl>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说明：</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宋体" w:hAnsi="宋体" w:cs="宋体"/>
          <w:kern w:val="0"/>
          <w:sz w:val="24"/>
          <w:highlight w:val="none"/>
          <w:lang w:eastAsia="zh-CN"/>
        </w:rPr>
        <w:t>；</w:t>
      </w:r>
      <w:r>
        <w:rPr>
          <w:rFonts w:hint="eastAsia" w:ascii="宋体" w:hAnsi="宋体" w:cs="宋体"/>
          <w:kern w:val="0"/>
          <w:sz w:val="24"/>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6"/>
        <w:tabs>
          <w:tab w:val="left" w:pos="562"/>
          <w:tab w:val="left" w:pos="3372"/>
          <w:tab w:val="left" w:pos="3653"/>
        </w:tabs>
        <w:spacing w:line="360" w:lineRule="auto"/>
        <w:rPr>
          <w:rFonts w:ascii="宋体" w:hAnsi="宋体" w:cs="宋体"/>
          <w:sz w:val="24"/>
          <w:highlight w:val="none"/>
        </w:rPr>
      </w:pPr>
    </w:p>
    <w:p>
      <w:pPr>
        <w:tabs>
          <w:tab w:val="left" w:pos="360"/>
        </w:tabs>
        <w:spacing w:line="360" w:lineRule="auto"/>
        <w:outlineLvl w:val="1"/>
        <w:rPr>
          <w:rFonts w:ascii="宋体" w:hAnsi="宋体" w:cs="宋体"/>
          <w:sz w:val="24"/>
          <w:highlight w:val="none"/>
        </w:rPr>
      </w:pPr>
      <w:r>
        <w:rPr>
          <w:rFonts w:hint="eastAsia" w:ascii="宋体" w:hAnsi="宋体" w:cs="宋体"/>
          <w:sz w:val="24"/>
          <w:highlight w:val="none"/>
        </w:rPr>
        <w:br w:type="page"/>
      </w:r>
      <w:r>
        <w:rPr>
          <w:rFonts w:hint="eastAsia" w:ascii="宋体" w:hAnsi="宋体" w:cs="宋体"/>
          <w:b/>
          <w:bCs/>
          <w:sz w:val="24"/>
          <w:highlight w:val="none"/>
        </w:rPr>
        <w:t>4、财政部、民政部、中国残联《关于促进残疾人就业政府采购政策的通知》（财库〔2017〕141 号）</w:t>
      </w:r>
    </w:p>
    <w:p>
      <w:pPr>
        <w:shd w:val="clear" w:color="auto" w:fill="FFFFFF"/>
        <w:spacing w:line="360" w:lineRule="auto"/>
        <w:rPr>
          <w:rFonts w:ascii="宋体" w:hAnsi="宋体" w:cs="宋体"/>
          <w:bCs/>
          <w:sz w:val="24"/>
          <w:highlight w:val="none"/>
        </w:rPr>
      </w:pPr>
    </w:p>
    <w:p>
      <w:pPr>
        <w:shd w:val="clear" w:color="auto" w:fill="FFFFFF"/>
        <w:spacing w:line="360" w:lineRule="auto"/>
        <w:rPr>
          <w:rFonts w:ascii="宋体" w:hAnsi="宋体" w:cs="宋体"/>
          <w:bCs/>
          <w:sz w:val="24"/>
          <w:highlight w:val="none"/>
        </w:rPr>
      </w:pPr>
      <w:r>
        <w:rPr>
          <w:rFonts w:hint="eastAsia" w:ascii="宋体" w:hAnsi="宋体" w:cs="宋体"/>
          <w:bCs/>
          <w:sz w:val="24"/>
          <w:highlight w:val="none"/>
        </w:rPr>
        <w:t>关于促进残疾人就业政府采购政策的通知</w:t>
      </w:r>
    </w:p>
    <w:p>
      <w:pPr>
        <w:pStyle w:val="16"/>
        <w:shd w:val="clear" w:color="auto" w:fill="FFFFFF"/>
        <w:spacing w:before="0" w:beforeAutospacing="0" w:after="0" w:afterAutospacing="0" w:line="360" w:lineRule="auto"/>
        <w:jc w:val="center"/>
        <w:rPr>
          <w:highlight w:val="none"/>
        </w:rPr>
      </w:pPr>
      <w:r>
        <w:rPr>
          <w:rFonts w:hint="eastAsia"/>
          <w:highlight w:val="none"/>
        </w:rPr>
        <w:t>　　</w:t>
      </w:r>
      <w:bookmarkStart w:id="41" w:name="sendNo"/>
      <w:r>
        <w:rPr>
          <w:rFonts w:hint="eastAsia"/>
          <w:highlight w:val="none"/>
        </w:rPr>
        <w:t>财库〔</w:t>
      </w:r>
      <w:bookmarkEnd w:id="41"/>
      <w:r>
        <w:rPr>
          <w:rFonts w:hint="eastAsia"/>
          <w:highlight w:val="none"/>
        </w:rPr>
        <w:t>2017〕141号</w:t>
      </w:r>
    </w:p>
    <w:p>
      <w:pPr>
        <w:pStyle w:val="16"/>
        <w:shd w:val="clear" w:color="auto" w:fill="FFFFFF"/>
        <w:spacing w:before="0" w:beforeAutospacing="0" w:after="0" w:afterAutospacing="0" w:line="360" w:lineRule="auto"/>
        <w:ind w:firstLine="480" w:firstLineChars="200"/>
        <w:rPr>
          <w:highlight w:val="none"/>
        </w:rPr>
      </w:pPr>
      <w:bookmarkStart w:id="42" w:name="toDeptId"/>
      <w:r>
        <w:rPr>
          <w:rFonts w:hint="eastAsia"/>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42"/>
      <w:r>
        <w:rPr>
          <w:rFonts w:hint="eastAsia"/>
          <w:highlight w:val="none"/>
        </w:rPr>
        <w:t>：</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为了发挥政府采购促进残疾人就业的作用，进一步保障残疾人权益，依照《政府采购法》、《残疾人保障法》等法律法规及相关规定，现就促进残疾人就业政府采购政策通知如下：</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一、享受政府采购支持政策的残疾人福利性单位应当同时满足以下条件：</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（一）安置的残疾人占本单位在职职工人数的比例不低于25%（含25%），并且安置的残疾人人数不少于10人（含10人）；</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（二）依法与安置的每位残疾人签订了一年以上（含一年）的劳动合同或服务协议；</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（三）为安置的每位残疾人按月足额缴纳了基本养老保险、基本医疗保险、失业保险、工伤保险和生育保险等社会保险费；</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（四）通过银行等金融机构向安置的每位残疾人，按月支付了不低于单位所在区县适用的经省级人民政府批准的月最低工资标准的工资；</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（五）提供本单位制造的货物、承担的工程或者服务（以下简称产品），或者提供其他残疾人福利性单位制造的货物（不包括使用非残疾人福利性单位注册商标的货物）。</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中标、成交供应商为残疾人福利性单位的，采购人或者其委托的采购代理机构应当随中标、成交结果同时公告其《残疾人福利性单位声明函》，接受社会监督。</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供应商提供的《残疾人福利性单位声明函》与事实不符的，依照《政府采购法》第七十七条第一款的规定追究法律责任。</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四、采购人采购公开招标数额标准以上的货物或者服务，因落实促进残疾人就业政策的需要，依法履行有关报批程序后，可采用公开招标以外的采购方式。</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七、本通知自2017年10月1日起执行。</w:t>
      </w:r>
    </w:p>
    <w:p>
      <w:pPr>
        <w:pStyle w:val="16"/>
        <w:shd w:val="clear" w:color="auto" w:fill="FFFFFF"/>
        <w:spacing w:before="0" w:beforeAutospacing="0" w:after="0" w:afterAutospacing="0" w:line="360" w:lineRule="auto"/>
        <w:ind w:firstLine="480" w:firstLineChars="200"/>
        <w:jc w:val="right"/>
        <w:rPr>
          <w:highlight w:val="none"/>
        </w:rPr>
      </w:pPr>
      <w:r>
        <w:rPr>
          <w:rFonts w:hint="eastAsia"/>
          <w:highlight w:val="none"/>
        </w:rPr>
        <w:t>财政部 民政部 中国残疾人联合会</w:t>
      </w:r>
    </w:p>
    <w:p>
      <w:pPr>
        <w:pStyle w:val="16"/>
        <w:shd w:val="clear" w:color="auto" w:fill="FFFFFF"/>
        <w:spacing w:before="0" w:beforeAutospacing="0" w:after="0" w:afterAutospacing="0" w:line="360" w:lineRule="auto"/>
        <w:ind w:firstLine="480" w:firstLineChars="200"/>
        <w:jc w:val="right"/>
        <w:rPr>
          <w:highlight w:val="none"/>
        </w:rPr>
      </w:pPr>
      <w:r>
        <w:rPr>
          <w:rFonts w:hint="eastAsia"/>
          <w:highlight w:val="none"/>
        </w:rPr>
        <w:t>2017年8月22日</w:t>
      </w:r>
    </w:p>
    <w:p>
      <w:pPr>
        <w:pStyle w:val="39"/>
        <w:shd w:val="clear" w:color="auto" w:fill="FFFFFF"/>
        <w:spacing w:before="0" w:beforeAutospacing="0" w:after="0" w:afterAutospacing="0" w:line="360" w:lineRule="auto"/>
        <w:jc w:val="both"/>
        <w:rPr>
          <w:highlight w:val="none"/>
        </w:rPr>
      </w:pPr>
    </w:p>
    <w:p>
      <w:pPr>
        <w:pStyle w:val="39"/>
        <w:shd w:val="clear" w:color="auto" w:fill="FFFFFF"/>
        <w:spacing w:before="0" w:beforeAutospacing="0" w:after="0" w:afterAutospacing="0" w:line="360" w:lineRule="auto"/>
        <w:jc w:val="both"/>
        <w:rPr>
          <w:highlight w:val="none"/>
        </w:rPr>
      </w:pPr>
    </w:p>
    <w:p>
      <w:pPr>
        <w:pStyle w:val="39"/>
        <w:shd w:val="clear" w:color="auto" w:fill="FFFFFF"/>
        <w:spacing w:before="0" w:beforeAutospacing="0" w:after="0" w:afterAutospacing="0" w:line="360" w:lineRule="auto"/>
        <w:jc w:val="both"/>
        <w:rPr>
          <w:highlight w:val="none"/>
        </w:rPr>
      </w:pPr>
    </w:p>
    <w:p>
      <w:pPr>
        <w:pStyle w:val="39"/>
        <w:shd w:val="clear" w:color="auto" w:fill="FFFFFF"/>
        <w:spacing w:before="0" w:beforeAutospacing="0" w:after="0" w:afterAutospacing="0" w:line="360" w:lineRule="auto"/>
        <w:jc w:val="both"/>
        <w:rPr>
          <w:highlight w:val="none"/>
        </w:rPr>
      </w:pPr>
    </w:p>
    <w:p>
      <w:pPr>
        <w:pStyle w:val="39"/>
        <w:shd w:val="clear" w:color="auto" w:fill="FFFFFF"/>
        <w:spacing w:before="0" w:beforeAutospacing="0" w:after="0" w:afterAutospacing="0" w:line="360" w:lineRule="auto"/>
        <w:jc w:val="both"/>
        <w:rPr>
          <w:highlight w:val="none"/>
        </w:rPr>
      </w:pPr>
    </w:p>
    <w:p>
      <w:pPr>
        <w:pStyle w:val="39"/>
        <w:shd w:val="clear" w:color="auto" w:fill="FFFFFF"/>
        <w:spacing w:before="0" w:beforeAutospacing="0" w:after="0" w:afterAutospacing="0" w:line="360" w:lineRule="auto"/>
        <w:jc w:val="both"/>
        <w:rPr>
          <w:highlight w:val="none"/>
        </w:rPr>
      </w:pPr>
    </w:p>
    <w:p>
      <w:pPr>
        <w:rPr>
          <w:highlight w:val="none"/>
        </w:rPr>
      </w:pPr>
      <w:r>
        <w:rPr>
          <w:rFonts w:hint="eastAsia"/>
          <w:highlight w:val="none"/>
        </w:rPr>
        <w:br w:type="page"/>
      </w:r>
    </w:p>
    <w:p>
      <w:pPr>
        <w:pStyle w:val="39"/>
        <w:shd w:val="clear" w:color="auto" w:fill="FFFFFF"/>
        <w:spacing w:before="0" w:beforeAutospacing="0" w:after="0" w:afterAutospacing="0" w:line="360" w:lineRule="auto"/>
        <w:jc w:val="both"/>
        <w:rPr>
          <w:highlight w:val="none"/>
        </w:rPr>
      </w:pPr>
      <w:r>
        <w:rPr>
          <w:rFonts w:hint="eastAsia"/>
          <w:highlight w:val="none"/>
        </w:rPr>
        <w:t>附件：</w:t>
      </w:r>
    </w:p>
    <w:p>
      <w:pPr>
        <w:pStyle w:val="39"/>
        <w:shd w:val="clear" w:color="auto" w:fill="FFFFFF"/>
        <w:spacing w:before="0" w:beforeAutospacing="0" w:after="0" w:afterAutospacing="0" w:line="360" w:lineRule="auto"/>
        <w:ind w:firstLine="482" w:firstLineChars="200"/>
        <w:jc w:val="center"/>
        <w:rPr>
          <w:highlight w:val="none"/>
        </w:rPr>
      </w:pPr>
      <w:r>
        <w:rPr>
          <w:rStyle w:val="40"/>
          <w:rFonts w:hint="eastAsia"/>
          <w:b/>
          <w:bCs/>
          <w:highlight w:val="none"/>
        </w:rPr>
        <w:t>残疾人福利性单位声明函</w:t>
      </w:r>
    </w:p>
    <w:p>
      <w:pPr>
        <w:pStyle w:val="39"/>
        <w:shd w:val="clear" w:color="auto" w:fill="FFFFFF"/>
        <w:spacing w:before="0" w:beforeAutospacing="0" w:after="0" w:afterAutospacing="0" w:line="360" w:lineRule="auto"/>
        <w:ind w:firstLine="480" w:firstLineChars="200"/>
        <w:jc w:val="both"/>
        <w:rPr>
          <w:highlight w:val="none"/>
        </w:rPr>
      </w:pPr>
    </w:p>
    <w:p>
      <w:pPr>
        <w:pStyle w:val="39"/>
        <w:shd w:val="clear" w:color="auto" w:fill="FFFFFF"/>
        <w:spacing w:before="0" w:beforeAutospacing="0" w:after="0" w:afterAutospacing="0" w:line="360" w:lineRule="auto"/>
        <w:ind w:firstLine="480" w:firstLineChars="200"/>
        <w:jc w:val="both"/>
        <w:rPr>
          <w:highlight w:val="none"/>
        </w:rPr>
      </w:pPr>
      <w:r>
        <w:rPr>
          <w:rStyle w:val="40"/>
          <w:rFonts w:hint="eastAsia"/>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9"/>
        <w:shd w:val="clear" w:color="auto" w:fill="FFFFFF"/>
        <w:spacing w:before="0" w:beforeAutospacing="0" w:after="0" w:afterAutospacing="0" w:line="360" w:lineRule="auto"/>
        <w:ind w:firstLine="480" w:firstLineChars="200"/>
        <w:jc w:val="both"/>
        <w:rPr>
          <w:highlight w:val="none"/>
        </w:rPr>
      </w:pPr>
      <w:r>
        <w:rPr>
          <w:rStyle w:val="40"/>
          <w:rFonts w:hint="eastAsia"/>
          <w:highlight w:val="none"/>
        </w:rPr>
        <w:t>本单位对上述声明的真实性负责。如有虚假，将依法承担相应责任。</w:t>
      </w:r>
    </w:p>
    <w:p>
      <w:pPr>
        <w:pStyle w:val="39"/>
        <w:shd w:val="clear" w:color="auto" w:fill="FFFFFF"/>
        <w:spacing w:before="0" w:beforeAutospacing="0" w:after="0" w:afterAutospacing="0" w:line="360" w:lineRule="auto"/>
        <w:ind w:firstLine="480" w:firstLineChars="200"/>
        <w:jc w:val="both"/>
        <w:rPr>
          <w:highlight w:val="none"/>
        </w:rPr>
      </w:pPr>
      <w:r>
        <w:rPr>
          <w:rFonts w:hint="eastAsia"/>
          <w:highlight w:val="none"/>
        </w:rPr>
        <w:t>投标人已知悉《关于促进残疾人就业政府采购政策的通知》（财库〔2017〕141 号）的规定，承诺提供的声明函内容是真实的，如提供声明函内容不实，则依法追究相关法律责任。</w:t>
      </w:r>
    </w:p>
    <w:p>
      <w:pPr>
        <w:pStyle w:val="39"/>
        <w:shd w:val="clear" w:color="auto" w:fill="FFFFFF"/>
        <w:spacing w:before="0" w:beforeAutospacing="0" w:after="0" w:afterAutospacing="0" w:line="360" w:lineRule="auto"/>
        <w:ind w:firstLine="480" w:firstLineChars="200"/>
        <w:jc w:val="both"/>
        <w:rPr>
          <w:highlight w:val="none"/>
        </w:rPr>
      </w:pPr>
    </w:p>
    <w:p>
      <w:pPr>
        <w:pStyle w:val="39"/>
        <w:shd w:val="clear" w:color="auto" w:fill="FFFFFF"/>
        <w:spacing w:before="0" w:beforeAutospacing="0" w:after="0" w:afterAutospacing="0" w:line="360" w:lineRule="auto"/>
        <w:ind w:right="2100" w:rightChars="1000"/>
        <w:jc w:val="right"/>
        <w:rPr>
          <w:highlight w:val="none"/>
        </w:rPr>
      </w:pPr>
      <w:r>
        <w:rPr>
          <w:rStyle w:val="40"/>
          <w:rFonts w:hint="eastAsia"/>
          <w:highlight w:val="none"/>
        </w:rPr>
        <w:t>单位名称（盖章）：</w:t>
      </w:r>
    </w:p>
    <w:p>
      <w:pPr>
        <w:pStyle w:val="39"/>
        <w:shd w:val="clear" w:color="auto" w:fill="FFFFFF"/>
        <w:spacing w:before="0" w:beforeAutospacing="0" w:after="0" w:afterAutospacing="0" w:line="360" w:lineRule="auto"/>
        <w:ind w:right="2100" w:rightChars="1000"/>
        <w:jc w:val="right"/>
        <w:rPr>
          <w:highlight w:val="none"/>
          <w:lang w:val="fr-CH"/>
        </w:rPr>
      </w:pPr>
      <w:r>
        <w:rPr>
          <w:rStyle w:val="40"/>
          <w:rFonts w:hint="eastAsia"/>
          <w:highlight w:val="none"/>
        </w:rPr>
        <w:t>日 期：</w:t>
      </w:r>
    </w:p>
    <w:p>
      <w:pPr>
        <w:tabs>
          <w:tab w:val="left" w:pos="640"/>
          <w:tab w:val="left" w:pos="1260"/>
          <w:tab w:val="left" w:pos="1418"/>
        </w:tabs>
        <w:spacing w:line="360" w:lineRule="auto"/>
        <w:ind w:right="-420" w:rightChars="-200"/>
        <w:rPr>
          <w:rFonts w:ascii="宋体" w:hAnsi="宋体" w:cs="宋体"/>
          <w:sz w:val="24"/>
          <w:highlight w:val="none"/>
          <w:lang w:val="fr-CH"/>
        </w:rPr>
      </w:pPr>
    </w:p>
    <w:p>
      <w:pPr>
        <w:rPr>
          <w:highlight w:val="none"/>
        </w:rPr>
      </w:pPr>
    </w:p>
    <w:p>
      <w:pPr>
        <w:rPr>
          <w:color w:val="000000"/>
        </w:rPr>
      </w:pPr>
    </w:p>
    <w:sectPr>
      <w:headerReference r:id="rId7" w:type="first"/>
      <w:headerReference r:id="rId5" w:type="default"/>
      <w:headerReference r:id="rId6" w:type="even"/>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Narrow">
    <w:altName w:val="Arial"/>
    <w:panose1 w:val="020B0606020202030204"/>
    <w:charset w:val="00"/>
    <w:family w:val="swiss"/>
    <w:pitch w:val="default"/>
    <w:sig w:usb0="00000000" w:usb1="00000000" w:usb2="00000000" w:usb3="00000000" w:csb0="2000009F" w:csb1="DFD7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39</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12</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1026"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胡锦鑫20240304" style="font-family:&amp;quot;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1025"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40304" style="font-family:&amp;quot;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7657F5"/>
    <w:multiLevelType w:val="singleLevel"/>
    <w:tmpl w:val="A77657F5"/>
    <w:lvl w:ilvl="0" w:tentative="0">
      <w:start w:val="1"/>
      <w:numFmt w:val="decimal"/>
      <w:suff w:val="nothing"/>
      <w:lvlText w:val="（%1）"/>
      <w:lvlJc w:val="left"/>
    </w:lvl>
  </w:abstractNum>
  <w:abstractNum w:abstractNumId="1">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2">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3">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4">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IwYTFkMDUyN2RmOGI2OTNiMWRjYmY5MjBlYTUifQ=="/>
    <w:docVar w:name="KSO_WPS_MARK_KEY" w:val="6c52a594-fa24-4eda-8bdf-1df5baad3362"/>
  </w:docVars>
  <w:rsids>
    <w:rsidRoot w:val="6F152D9A"/>
    <w:rsid w:val="000821F1"/>
    <w:rsid w:val="001109FF"/>
    <w:rsid w:val="00291AA1"/>
    <w:rsid w:val="00304B53"/>
    <w:rsid w:val="003168D7"/>
    <w:rsid w:val="00333A2A"/>
    <w:rsid w:val="0036576E"/>
    <w:rsid w:val="003F562F"/>
    <w:rsid w:val="0046340A"/>
    <w:rsid w:val="004819BA"/>
    <w:rsid w:val="00497811"/>
    <w:rsid w:val="004B5B75"/>
    <w:rsid w:val="004E616D"/>
    <w:rsid w:val="004E7A11"/>
    <w:rsid w:val="005737FF"/>
    <w:rsid w:val="00576960"/>
    <w:rsid w:val="00591ED4"/>
    <w:rsid w:val="005B3EB6"/>
    <w:rsid w:val="005D6B88"/>
    <w:rsid w:val="006A5E20"/>
    <w:rsid w:val="006D41AA"/>
    <w:rsid w:val="007743C7"/>
    <w:rsid w:val="00785F49"/>
    <w:rsid w:val="007A51B4"/>
    <w:rsid w:val="007F6682"/>
    <w:rsid w:val="00824069"/>
    <w:rsid w:val="00832935"/>
    <w:rsid w:val="00845CEE"/>
    <w:rsid w:val="00870BFD"/>
    <w:rsid w:val="00924AE0"/>
    <w:rsid w:val="009C337D"/>
    <w:rsid w:val="009D033E"/>
    <w:rsid w:val="009E70F5"/>
    <w:rsid w:val="009F1B47"/>
    <w:rsid w:val="00A06AAF"/>
    <w:rsid w:val="00A263FC"/>
    <w:rsid w:val="00A56871"/>
    <w:rsid w:val="00A6459B"/>
    <w:rsid w:val="00A73F84"/>
    <w:rsid w:val="00A81D22"/>
    <w:rsid w:val="00A955D9"/>
    <w:rsid w:val="00AC7D6D"/>
    <w:rsid w:val="00B30C0F"/>
    <w:rsid w:val="00BE0740"/>
    <w:rsid w:val="00BF1095"/>
    <w:rsid w:val="00C33D8C"/>
    <w:rsid w:val="00C7677C"/>
    <w:rsid w:val="00CA5316"/>
    <w:rsid w:val="00CE3236"/>
    <w:rsid w:val="00D2452C"/>
    <w:rsid w:val="00D36E8A"/>
    <w:rsid w:val="00DC7C1D"/>
    <w:rsid w:val="00DE5743"/>
    <w:rsid w:val="00DF15AF"/>
    <w:rsid w:val="00E6198E"/>
    <w:rsid w:val="00F3460E"/>
    <w:rsid w:val="00F52A8D"/>
    <w:rsid w:val="00F80C5D"/>
    <w:rsid w:val="00F87FEB"/>
    <w:rsid w:val="00F95D82"/>
    <w:rsid w:val="00FC1BE0"/>
    <w:rsid w:val="01070590"/>
    <w:rsid w:val="010D47BB"/>
    <w:rsid w:val="011D7606"/>
    <w:rsid w:val="01211AD4"/>
    <w:rsid w:val="012B1DC1"/>
    <w:rsid w:val="01361F25"/>
    <w:rsid w:val="013B4944"/>
    <w:rsid w:val="013B7FED"/>
    <w:rsid w:val="0140411C"/>
    <w:rsid w:val="0159301C"/>
    <w:rsid w:val="01623C7B"/>
    <w:rsid w:val="017E0CD4"/>
    <w:rsid w:val="018C0929"/>
    <w:rsid w:val="01995E38"/>
    <w:rsid w:val="01AA3877"/>
    <w:rsid w:val="01AF6971"/>
    <w:rsid w:val="01B12E58"/>
    <w:rsid w:val="01B40563"/>
    <w:rsid w:val="01B8192A"/>
    <w:rsid w:val="01C87BD5"/>
    <w:rsid w:val="01CC1A40"/>
    <w:rsid w:val="01D379F0"/>
    <w:rsid w:val="01D86637"/>
    <w:rsid w:val="01E27A17"/>
    <w:rsid w:val="02064DFC"/>
    <w:rsid w:val="020B6A0C"/>
    <w:rsid w:val="022618D2"/>
    <w:rsid w:val="02274EC8"/>
    <w:rsid w:val="02306473"/>
    <w:rsid w:val="02370927"/>
    <w:rsid w:val="023A5F04"/>
    <w:rsid w:val="026305F6"/>
    <w:rsid w:val="02685C0C"/>
    <w:rsid w:val="026A53CC"/>
    <w:rsid w:val="02863423"/>
    <w:rsid w:val="02881E0B"/>
    <w:rsid w:val="02947948"/>
    <w:rsid w:val="02A92B78"/>
    <w:rsid w:val="02AD5464"/>
    <w:rsid w:val="02CB7F49"/>
    <w:rsid w:val="02DC6BB1"/>
    <w:rsid w:val="02EB738D"/>
    <w:rsid w:val="031134B4"/>
    <w:rsid w:val="031C47EB"/>
    <w:rsid w:val="033428E6"/>
    <w:rsid w:val="0334777F"/>
    <w:rsid w:val="0341645D"/>
    <w:rsid w:val="035F5FAE"/>
    <w:rsid w:val="03634626"/>
    <w:rsid w:val="03635BA2"/>
    <w:rsid w:val="036D53D0"/>
    <w:rsid w:val="0375269E"/>
    <w:rsid w:val="0375603F"/>
    <w:rsid w:val="0376310C"/>
    <w:rsid w:val="037A0E7B"/>
    <w:rsid w:val="038A0222"/>
    <w:rsid w:val="038A3EC6"/>
    <w:rsid w:val="03990047"/>
    <w:rsid w:val="03A82039"/>
    <w:rsid w:val="03BE360A"/>
    <w:rsid w:val="03D96696"/>
    <w:rsid w:val="03DD6186"/>
    <w:rsid w:val="03E219EE"/>
    <w:rsid w:val="03F5191B"/>
    <w:rsid w:val="04137DFA"/>
    <w:rsid w:val="041A1188"/>
    <w:rsid w:val="042277B0"/>
    <w:rsid w:val="042F2A80"/>
    <w:rsid w:val="043343BF"/>
    <w:rsid w:val="044004C3"/>
    <w:rsid w:val="0442248D"/>
    <w:rsid w:val="04474B37"/>
    <w:rsid w:val="044959C1"/>
    <w:rsid w:val="046E2054"/>
    <w:rsid w:val="04724631"/>
    <w:rsid w:val="04A005CC"/>
    <w:rsid w:val="04A35474"/>
    <w:rsid w:val="04B50EB1"/>
    <w:rsid w:val="04C63705"/>
    <w:rsid w:val="04E377CC"/>
    <w:rsid w:val="04E725CC"/>
    <w:rsid w:val="04F740E6"/>
    <w:rsid w:val="04FF037E"/>
    <w:rsid w:val="05062697"/>
    <w:rsid w:val="050D3A03"/>
    <w:rsid w:val="051A0D14"/>
    <w:rsid w:val="051A4FE6"/>
    <w:rsid w:val="052E47BF"/>
    <w:rsid w:val="053973EC"/>
    <w:rsid w:val="054B35C3"/>
    <w:rsid w:val="055E50A5"/>
    <w:rsid w:val="057C4BBE"/>
    <w:rsid w:val="05804BC2"/>
    <w:rsid w:val="05850883"/>
    <w:rsid w:val="058E7EB0"/>
    <w:rsid w:val="0594022D"/>
    <w:rsid w:val="05AA653C"/>
    <w:rsid w:val="05C80C71"/>
    <w:rsid w:val="05CD1439"/>
    <w:rsid w:val="05D67331"/>
    <w:rsid w:val="05D74AE1"/>
    <w:rsid w:val="05D9775C"/>
    <w:rsid w:val="05FD2B10"/>
    <w:rsid w:val="062A1B9B"/>
    <w:rsid w:val="06336033"/>
    <w:rsid w:val="06515344"/>
    <w:rsid w:val="06625C39"/>
    <w:rsid w:val="06753CC9"/>
    <w:rsid w:val="068A098C"/>
    <w:rsid w:val="069C665E"/>
    <w:rsid w:val="069E458D"/>
    <w:rsid w:val="06A74AA2"/>
    <w:rsid w:val="06B47256"/>
    <w:rsid w:val="06BC14B2"/>
    <w:rsid w:val="06BE2A9A"/>
    <w:rsid w:val="06C44D16"/>
    <w:rsid w:val="06C50397"/>
    <w:rsid w:val="06CC4290"/>
    <w:rsid w:val="06D00EEB"/>
    <w:rsid w:val="06E23AB3"/>
    <w:rsid w:val="06E332E1"/>
    <w:rsid w:val="06F30D45"/>
    <w:rsid w:val="06F32700"/>
    <w:rsid w:val="07046BC9"/>
    <w:rsid w:val="070D6D82"/>
    <w:rsid w:val="07235607"/>
    <w:rsid w:val="072D6233"/>
    <w:rsid w:val="072F63A4"/>
    <w:rsid w:val="07501AE3"/>
    <w:rsid w:val="07521B5C"/>
    <w:rsid w:val="0769037B"/>
    <w:rsid w:val="07787DB5"/>
    <w:rsid w:val="077961C6"/>
    <w:rsid w:val="07994850"/>
    <w:rsid w:val="079D51FE"/>
    <w:rsid w:val="07AA45D1"/>
    <w:rsid w:val="07AC659B"/>
    <w:rsid w:val="07B13BB2"/>
    <w:rsid w:val="07B714A8"/>
    <w:rsid w:val="07CB4548"/>
    <w:rsid w:val="07E75482"/>
    <w:rsid w:val="07E8334B"/>
    <w:rsid w:val="07EA2C20"/>
    <w:rsid w:val="07FD54F6"/>
    <w:rsid w:val="080A32D3"/>
    <w:rsid w:val="08206FE1"/>
    <w:rsid w:val="082D5BAF"/>
    <w:rsid w:val="08497AA6"/>
    <w:rsid w:val="085D7D94"/>
    <w:rsid w:val="086E091D"/>
    <w:rsid w:val="087C541A"/>
    <w:rsid w:val="088300A5"/>
    <w:rsid w:val="088F5575"/>
    <w:rsid w:val="08950582"/>
    <w:rsid w:val="08AC0E08"/>
    <w:rsid w:val="08CE609D"/>
    <w:rsid w:val="08E57A87"/>
    <w:rsid w:val="08E92ED7"/>
    <w:rsid w:val="08F16230"/>
    <w:rsid w:val="08F43C68"/>
    <w:rsid w:val="09002C6E"/>
    <w:rsid w:val="090306E4"/>
    <w:rsid w:val="090931C4"/>
    <w:rsid w:val="090A34E0"/>
    <w:rsid w:val="090C38B9"/>
    <w:rsid w:val="09300B06"/>
    <w:rsid w:val="093305F6"/>
    <w:rsid w:val="09353038"/>
    <w:rsid w:val="093822B1"/>
    <w:rsid w:val="09491BC8"/>
    <w:rsid w:val="09575898"/>
    <w:rsid w:val="09592469"/>
    <w:rsid w:val="096F55F7"/>
    <w:rsid w:val="09823515"/>
    <w:rsid w:val="09A42169"/>
    <w:rsid w:val="09AF2373"/>
    <w:rsid w:val="09B73345"/>
    <w:rsid w:val="09C84ED3"/>
    <w:rsid w:val="09F77876"/>
    <w:rsid w:val="0A0C5A96"/>
    <w:rsid w:val="0A2A768E"/>
    <w:rsid w:val="0A3B3C06"/>
    <w:rsid w:val="0A570F70"/>
    <w:rsid w:val="0A5B7D15"/>
    <w:rsid w:val="0A5E16A3"/>
    <w:rsid w:val="0A602146"/>
    <w:rsid w:val="0A6A44EC"/>
    <w:rsid w:val="0A896457"/>
    <w:rsid w:val="0A8A693C"/>
    <w:rsid w:val="0A97236A"/>
    <w:rsid w:val="0A99092D"/>
    <w:rsid w:val="0A9B6453"/>
    <w:rsid w:val="0AA51080"/>
    <w:rsid w:val="0AA72E75"/>
    <w:rsid w:val="0AB80AEB"/>
    <w:rsid w:val="0AB85257"/>
    <w:rsid w:val="0AD731CB"/>
    <w:rsid w:val="0AE20526"/>
    <w:rsid w:val="0AE37DDF"/>
    <w:rsid w:val="0B036509"/>
    <w:rsid w:val="0B0C40B2"/>
    <w:rsid w:val="0B140280"/>
    <w:rsid w:val="0B246449"/>
    <w:rsid w:val="0B260413"/>
    <w:rsid w:val="0B352F5D"/>
    <w:rsid w:val="0B3D39AE"/>
    <w:rsid w:val="0B445AA4"/>
    <w:rsid w:val="0B5519C9"/>
    <w:rsid w:val="0B6719E5"/>
    <w:rsid w:val="0B7B37EB"/>
    <w:rsid w:val="0B885586"/>
    <w:rsid w:val="0B925AA8"/>
    <w:rsid w:val="0B984E94"/>
    <w:rsid w:val="0BAB25C9"/>
    <w:rsid w:val="0BAE21B6"/>
    <w:rsid w:val="0BB275A6"/>
    <w:rsid w:val="0BB91DF1"/>
    <w:rsid w:val="0BCB4B16"/>
    <w:rsid w:val="0BCD088E"/>
    <w:rsid w:val="0BD240F7"/>
    <w:rsid w:val="0BD31C1D"/>
    <w:rsid w:val="0BD75BB1"/>
    <w:rsid w:val="0BE62205"/>
    <w:rsid w:val="0BF92B66"/>
    <w:rsid w:val="0C115BEF"/>
    <w:rsid w:val="0C1C5727"/>
    <w:rsid w:val="0C2B0B3A"/>
    <w:rsid w:val="0C45359F"/>
    <w:rsid w:val="0C70493E"/>
    <w:rsid w:val="0C760F5D"/>
    <w:rsid w:val="0C7A124E"/>
    <w:rsid w:val="0C822ACA"/>
    <w:rsid w:val="0C946488"/>
    <w:rsid w:val="0CAB21EE"/>
    <w:rsid w:val="0CAC4948"/>
    <w:rsid w:val="0CB0538F"/>
    <w:rsid w:val="0CB70393"/>
    <w:rsid w:val="0CBB0F79"/>
    <w:rsid w:val="0CBB2DDD"/>
    <w:rsid w:val="0CD65E68"/>
    <w:rsid w:val="0CE56A55"/>
    <w:rsid w:val="0CEF0CD8"/>
    <w:rsid w:val="0CF956B3"/>
    <w:rsid w:val="0CFA3905"/>
    <w:rsid w:val="0D0429D6"/>
    <w:rsid w:val="0D046532"/>
    <w:rsid w:val="0D1946A3"/>
    <w:rsid w:val="0D1954AC"/>
    <w:rsid w:val="0D1B3405"/>
    <w:rsid w:val="0D1F336B"/>
    <w:rsid w:val="0D200E92"/>
    <w:rsid w:val="0D2C7836"/>
    <w:rsid w:val="0D396D82"/>
    <w:rsid w:val="0D3F1CF7"/>
    <w:rsid w:val="0D4402D3"/>
    <w:rsid w:val="0D447276"/>
    <w:rsid w:val="0D5374B9"/>
    <w:rsid w:val="0D5C11EF"/>
    <w:rsid w:val="0D5C54A5"/>
    <w:rsid w:val="0D624FA8"/>
    <w:rsid w:val="0D6E7E4F"/>
    <w:rsid w:val="0D7E4CC4"/>
    <w:rsid w:val="0D9B4B4C"/>
    <w:rsid w:val="0D9F3011"/>
    <w:rsid w:val="0DB22432"/>
    <w:rsid w:val="0DC34AA9"/>
    <w:rsid w:val="0DD46C7B"/>
    <w:rsid w:val="0DDA3736"/>
    <w:rsid w:val="0DDC6E3D"/>
    <w:rsid w:val="0DF052B3"/>
    <w:rsid w:val="0E076811"/>
    <w:rsid w:val="0E0A5DCA"/>
    <w:rsid w:val="0E193C3D"/>
    <w:rsid w:val="0E303356"/>
    <w:rsid w:val="0E3C1CFB"/>
    <w:rsid w:val="0E430BBB"/>
    <w:rsid w:val="0E4B0853"/>
    <w:rsid w:val="0E567030"/>
    <w:rsid w:val="0E59465B"/>
    <w:rsid w:val="0E6800DA"/>
    <w:rsid w:val="0E745939"/>
    <w:rsid w:val="0E9953A0"/>
    <w:rsid w:val="0E9B1118"/>
    <w:rsid w:val="0EA25A44"/>
    <w:rsid w:val="0EA53D44"/>
    <w:rsid w:val="0EA77ABC"/>
    <w:rsid w:val="0EB86C56"/>
    <w:rsid w:val="0EC73CBB"/>
    <w:rsid w:val="0ED40186"/>
    <w:rsid w:val="0EDC703A"/>
    <w:rsid w:val="0EDF7256"/>
    <w:rsid w:val="0EE83D6C"/>
    <w:rsid w:val="0EEE550D"/>
    <w:rsid w:val="0F052A35"/>
    <w:rsid w:val="0F0E3698"/>
    <w:rsid w:val="0F18170A"/>
    <w:rsid w:val="0F2A5DFB"/>
    <w:rsid w:val="0F3570A3"/>
    <w:rsid w:val="0F474BA3"/>
    <w:rsid w:val="0F5B2655"/>
    <w:rsid w:val="0F6063AF"/>
    <w:rsid w:val="0F670FFA"/>
    <w:rsid w:val="0F7D081D"/>
    <w:rsid w:val="0F7F4EC6"/>
    <w:rsid w:val="0F8D51EE"/>
    <w:rsid w:val="0F932761"/>
    <w:rsid w:val="0F9E73B8"/>
    <w:rsid w:val="0FA07629"/>
    <w:rsid w:val="0FAC4C5F"/>
    <w:rsid w:val="0FB00BF3"/>
    <w:rsid w:val="0FC4644C"/>
    <w:rsid w:val="0FDE750E"/>
    <w:rsid w:val="0FDF48E7"/>
    <w:rsid w:val="0FE254EF"/>
    <w:rsid w:val="0FE96BFE"/>
    <w:rsid w:val="0FF5D091"/>
    <w:rsid w:val="0FFF663B"/>
    <w:rsid w:val="10134CDE"/>
    <w:rsid w:val="101747CE"/>
    <w:rsid w:val="102A0B24"/>
    <w:rsid w:val="102C5B1A"/>
    <w:rsid w:val="102D2243"/>
    <w:rsid w:val="10365E2E"/>
    <w:rsid w:val="10394744"/>
    <w:rsid w:val="104355C3"/>
    <w:rsid w:val="105B405A"/>
    <w:rsid w:val="105B4B37"/>
    <w:rsid w:val="10634BF3"/>
    <w:rsid w:val="1065378B"/>
    <w:rsid w:val="10686DD7"/>
    <w:rsid w:val="10792762"/>
    <w:rsid w:val="10836104"/>
    <w:rsid w:val="10857989"/>
    <w:rsid w:val="108B0D18"/>
    <w:rsid w:val="108B4148"/>
    <w:rsid w:val="10993F47"/>
    <w:rsid w:val="10B40C48"/>
    <w:rsid w:val="10D40911"/>
    <w:rsid w:val="10EA0134"/>
    <w:rsid w:val="10FB7C09"/>
    <w:rsid w:val="10FE773C"/>
    <w:rsid w:val="11066A1E"/>
    <w:rsid w:val="112371A2"/>
    <w:rsid w:val="113F222E"/>
    <w:rsid w:val="114951EA"/>
    <w:rsid w:val="116E61A6"/>
    <w:rsid w:val="117218C6"/>
    <w:rsid w:val="117D68B3"/>
    <w:rsid w:val="11933975"/>
    <w:rsid w:val="119473B4"/>
    <w:rsid w:val="11990174"/>
    <w:rsid w:val="11A5590F"/>
    <w:rsid w:val="11B16FFC"/>
    <w:rsid w:val="11D42AA6"/>
    <w:rsid w:val="11DF131B"/>
    <w:rsid w:val="11E626AA"/>
    <w:rsid w:val="11FE3E97"/>
    <w:rsid w:val="12220029"/>
    <w:rsid w:val="123376EC"/>
    <w:rsid w:val="12431D83"/>
    <w:rsid w:val="12437AFC"/>
    <w:rsid w:val="125875C4"/>
    <w:rsid w:val="125B755A"/>
    <w:rsid w:val="12616CD8"/>
    <w:rsid w:val="12723F3D"/>
    <w:rsid w:val="12771554"/>
    <w:rsid w:val="12820336"/>
    <w:rsid w:val="129567E6"/>
    <w:rsid w:val="12AA7B7B"/>
    <w:rsid w:val="12D149BF"/>
    <w:rsid w:val="12D65CA8"/>
    <w:rsid w:val="12E84200"/>
    <w:rsid w:val="12E91C37"/>
    <w:rsid w:val="12FC6E07"/>
    <w:rsid w:val="13021765"/>
    <w:rsid w:val="130D18FD"/>
    <w:rsid w:val="130F4553"/>
    <w:rsid w:val="13160D6D"/>
    <w:rsid w:val="13242E4C"/>
    <w:rsid w:val="13426006"/>
    <w:rsid w:val="13623D17"/>
    <w:rsid w:val="1369544C"/>
    <w:rsid w:val="137139FA"/>
    <w:rsid w:val="1373154F"/>
    <w:rsid w:val="137B2173"/>
    <w:rsid w:val="137FA8DD"/>
    <w:rsid w:val="138A5087"/>
    <w:rsid w:val="13951544"/>
    <w:rsid w:val="139B74C4"/>
    <w:rsid w:val="13A1291C"/>
    <w:rsid w:val="13CE1647"/>
    <w:rsid w:val="13D76995"/>
    <w:rsid w:val="13DA0C71"/>
    <w:rsid w:val="13DB5B12"/>
    <w:rsid w:val="13E90B4A"/>
    <w:rsid w:val="13F57F6C"/>
    <w:rsid w:val="14077981"/>
    <w:rsid w:val="14082865"/>
    <w:rsid w:val="14096B23"/>
    <w:rsid w:val="140E7C96"/>
    <w:rsid w:val="14151024"/>
    <w:rsid w:val="14386534"/>
    <w:rsid w:val="144B713C"/>
    <w:rsid w:val="144E5BAF"/>
    <w:rsid w:val="145B077C"/>
    <w:rsid w:val="14691987"/>
    <w:rsid w:val="148F7029"/>
    <w:rsid w:val="14904B4F"/>
    <w:rsid w:val="149363ED"/>
    <w:rsid w:val="149A5B83"/>
    <w:rsid w:val="14A45DAC"/>
    <w:rsid w:val="14BE346A"/>
    <w:rsid w:val="14C64A14"/>
    <w:rsid w:val="14CF4106"/>
    <w:rsid w:val="14D17C89"/>
    <w:rsid w:val="14D83808"/>
    <w:rsid w:val="14D94748"/>
    <w:rsid w:val="14F5090E"/>
    <w:rsid w:val="14FE7D0A"/>
    <w:rsid w:val="1528122B"/>
    <w:rsid w:val="15293404"/>
    <w:rsid w:val="15334DC3"/>
    <w:rsid w:val="15347304"/>
    <w:rsid w:val="153823D3"/>
    <w:rsid w:val="153B4ABB"/>
    <w:rsid w:val="15567B46"/>
    <w:rsid w:val="15610299"/>
    <w:rsid w:val="1569013A"/>
    <w:rsid w:val="15897F1C"/>
    <w:rsid w:val="1597466A"/>
    <w:rsid w:val="15A52514"/>
    <w:rsid w:val="15BC1451"/>
    <w:rsid w:val="15C70A44"/>
    <w:rsid w:val="15CF7A00"/>
    <w:rsid w:val="15EA028F"/>
    <w:rsid w:val="15FF1F8C"/>
    <w:rsid w:val="16027A14"/>
    <w:rsid w:val="160C1181"/>
    <w:rsid w:val="16104199"/>
    <w:rsid w:val="162A366D"/>
    <w:rsid w:val="16322361"/>
    <w:rsid w:val="1633052E"/>
    <w:rsid w:val="163F247B"/>
    <w:rsid w:val="164B3423"/>
    <w:rsid w:val="164D01D9"/>
    <w:rsid w:val="16511B6C"/>
    <w:rsid w:val="165A18B8"/>
    <w:rsid w:val="16610551"/>
    <w:rsid w:val="16644571"/>
    <w:rsid w:val="166E3DB9"/>
    <w:rsid w:val="167A7865"/>
    <w:rsid w:val="16817906"/>
    <w:rsid w:val="16945039"/>
    <w:rsid w:val="16B46578"/>
    <w:rsid w:val="16C3745D"/>
    <w:rsid w:val="16C52AF8"/>
    <w:rsid w:val="16C531D6"/>
    <w:rsid w:val="16C87CA3"/>
    <w:rsid w:val="16CF7BB0"/>
    <w:rsid w:val="16D8450A"/>
    <w:rsid w:val="16E80C72"/>
    <w:rsid w:val="17033CFE"/>
    <w:rsid w:val="171D5762"/>
    <w:rsid w:val="171F4A71"/>
    <w:rsid w:val="1732767F"/>
    <w:rsid w:val="17361B83"/>
    <w:rsid w:val="17396DCE"/>
    <w:rsid w:val="173F4503"/>
    <w:rsid w:val="174A0D2D"/>
    <w:rsid w:val="176431CF"/>
    <w:rsid w:val="178A03DE"/>
    <w:rsid w:val="17A322AC"/>
    <w:rsid w:val="17A4103D"/>
    <w:rsid w:val="17B01E78"/>
    <w:rsid w:val="17CC40F0"/>
    <w:rsid w:val="17D11706"/>
    <w:rsid w:val="17FD60AF"/>
    <w:rsid w:val="180C2F5C"/>
    <w:rsid w:val="180D7774"/>
    <w:rsid w:val="183A22A9"/>
    <w:rsid w:val="1844467D"/>
    <w:rsid w:val="184B770B"/>
    <w:rsid w:val="1853182C"/>
    <w:rsid w:val="18822A00"/>
    <w:rsid w:val="188C7AF9"/>
    <w:rsid w:val="18C46036"/>
    <w:rsid w:val="18CE748A"/>
    <w:rsid w:val="18D25736"/>
    <w:rsid w:val="18E667DE"/>
    <w:rsid w:val="19045FB6"/>
    <w:rsid w:val="190B1AB7"/>
    <w:rsid w:val="190E1E92"/>
    <w:rsid w:val="190E4E8A"/>
    <w:rsid w:val="191A18F8"/>
    <w:rsid w:val="191E2C88"/>
    <w:rsid w:val="191E47AE"/>
    <w:rsid w:val="19213D00"/>
    <w:rsid w:val="192E19B5"/>
    <w:rsid w:val="19362985"/>
    <w:rsid w:val="193E2DCB"/>
    <w:rsid w:val="194A5C14"/>
    <w:rsid w:val="194B4539"/>
    <w:rsid w:val="19524450"/>
    <w:rsid w:val="195A7AB6"/>
    <w:rsid w:val="19677F5C"/>
    <w:rsid w:val="198166C6"/>
    <w:rsid w:val="198729C4"/>
    <w:rsid w:val="199FA76B"/>
    <w:rsid w:val="19A15F01"/>
    <w:rsid w:val="19A8293B"/>
    <w:rsid w:val="19AA0461"/>
    <w:rsid w:val="19C137C8"/>
    <w:rsid w:val="19D63004"/>
    <w:rsid w:val="19ED121F"/>
    <w:rsid w:val="19EF3664"/>
    <w:rsid w:val="1A0256C7"/>
    <w:rsid w:val="1A051B3B"/>
    <w:rsid w:val="1A0F6EBC"/>
    <w:rsid w:val="1A165AF6"/>
    <w:rsid w:val="1A3C3E2A"/>
    <w:rsid w:val="1A3D12D5"/>
    <w:rsid w:val="1A571CAA"/>
    <w:rsid w:val="1A5F56EF"/>
    <w:rsid w:val="1A680537"/>
    <w:rsid w:val="1A8A3DEE"/>
    <w:rsid w:val="1A8E78C8"/>
    <w:rsid w:val="1A914D5C"/>
    <w:rsid w:val="1A9A2283"/>
    <w:rsid w:val="1A9B5FFB"/>
    <w:rsid w:val="1AAE5E28"/>
    <w:rsid w:val="1AC27A2C"/>
    <w:rsid w:val="1AC535E0"/>
    <w:rsid w:val="1AD46734"/>
    <w:rsid w:val="1AD87250"/>
    <w:rsid w:val="1ADF413A"/>
    <w:rsid w:val="1AED4941"/>
    <w:rsid w:val="1AED6666"/>
    <w:rsid w:val="1AF264E1"/>
    <w:rsid w:val="1AF37BE5"/>
    <w:rsid w:val="1AF745BC"/>
    <w:rsid w:val="1B155DAE"/>
    <w:rsid w:val="1B244243"/>
    <w:rsid w:val="1B33402F"/>
    <w:rsid w:val="1B3B1CB8"/>
    <w:rsid w:val="1B417F7A"/>
    <w:rsid w:val="1B5508A0"/>
    <w:rsid w:val="1B58491A"/>
    <w:rsid w:val="1B5E1503"/>
    <w:rsid w:val="1B5E3AB8"/>
    <w:rsid w:val="1B822B4E"/>
    <w:rsid w:val="1B834AAE"/>
    <w:rsid w:val="1B9637E8"/>
    <w:rsid w:val="1BB235FD"/>
    <w:rsid w:val="1BB9498B"/>
    <w:rsid w:val="1BC947C4"/>
    <w:rsid w:val="1BD27C70"/>
    <w:rsid w:val="1BD96DDB"/>
    <w:rsid w:val="1BEC00F8"/>
    <w:rsid w:val="1C00080C"/>
    <w:rsid w:val="1C0F6CA1"/>
    <w:rsid w:val="1C163F7C"/>
    <w:rsid w:val="1C2344FA"/>
    <w:rsid w:val="1C2529FF"/>
    <w:rsid w:val="1C27223D"/>
    <w:rsid w:val="1C427076"/>
    <w:rsid w:val="1C522596"/>
    <w:rsid w:val="1C5648D0"/>
    <w:rsid w:val="1C5B5A42"/>
    <w:rsid w:val="1C6F14EE"/>
    <w:rsid w:val="1C9211BE"/>
    <w:rsid w:val="1C9A5E8A"/>
    <w:rsid w:val="1CA23671"/>
    <w:rsid w:val="1CA266AD"/>
    <w:rsid w:val="1CAB4C1C"/>
    <w:rsid w:val="1CB425E3"/>
    <w:rsid w:val="1CB43DBF"/>
    <w:rsid w:val="1CD31A7D"/>
    <w:rsid w:val="1CEF358F"/>
    <w:rsid w:val="1CF7709A"/>
    <w:rsid w:val="1D174D30"/>
    <w:rsid w:val="1D2247B2"/>
    <w:rsid w:val="1D22678A"/>
    <w:rsid w:val="1D274825"/>
    <w:rsid w:val="1D2B18B9"/>
    <w:rsid w:val="1D2E12C2"/>
    <w:rsid w:val="1D3D5280"/>
    <w:rsid w:val="1D44297A"/>
    <w:rsid w:val="1D552DD9"/>
    <w:rsid w:val="1D716241"/>
    <w:rsid w:val="1D734FE3"/>
    <w:rsid w:val="1D7414B2"/>
    <w:rsid w:val="1D815FCC"/>
    <w:rsid w:val="1D927B8A"/>
    <w:rsid w:val="1D9D43F0"/>
    <w:rsid w:val="1DB26E14"/>
    <w:rsid w:val="1DC42A0B"/>
    <w:rsid w:val="1DCA2E80"/>
    <w:rsid w:val="1DCD7725"/>
    <w:rsid w:val="1DCF4116"/>
    <w:rsid w:val="1DFB6F31"/>
    <w:rsid w:val="1E024641"/>
    <w:rsid w:val="1E03038B"/>
    <w:rsid w:val="1E2361D4"/>
    <w:rsid w:val="1E25455A"/>
    <w:rsid w:val="1E2F362A"/>
    <w:rsid w:val="1E340C41"/>
    <w:rsid w:val="1E403142"/>
    <w:rsid w:val="1E6B7566"/>
    <w:rsid w:val="1E7024CE"/>
    <w:rsid w:val="1E781388"/>
    <w:rsid w:val="1E923BA9"/>
    <w:rsid w:val="1E9B2886"/>
    <w:rsid w:val="1EA47B74"/>
    <w:rsid w:val="1EAE454F"/>
    <w:rsid w:val="1EB25197"/>
    <w:rsid w:val="1EC51899"/>
    <w:rsid w:val="1ECC5479"/>
    <w:rsid w:val="1EEF7754"/>
    <w:rsid w:val="1F006CA5"/>
    <w:rsid w:val="1F27593E"/>
    <w:rsid w:val="1F394761"/>
    <w:rsid w:val="1F4D21A9"/>
    <w:rsid w:val="1F5275D0"/>
    <w:rsid w:val="1F6A2B6C"/>
    <w:rsid w:val="1F7114FD"/>
    <w:rsid w:val="1F745799"/>
    <w:rsid w:val="1F8D685B"/>
    <w:rsid w:val="1F902E99"/>
    <w:rsid w:val="1F923E71"/>
    <w:rsid w:val="1F9BB067"/>
    <w:rsid w:val="1F9E45C4"/>
    <w:rsid w:val="1FA31BDA"/>
    <w:rsid w:val="1FB47A5D"/>
    <w:rsid w:val="1FCB7383"/>
    <w:rsid w:val="1FCD30FB"/>
    <w:rsid w:val="1FCF0C21"/>
    <w:rsid w:val="1FD4509C"/>
    <w:rsid w:val="1FF42436"/>
    <w:rsid w:val="1FFF00F8"/>
    <w:rsid w:val="200655C0"/>
    <w:rsid w:val="200E78F3"/>
    <w:rsid w:val="20126D60"/>
    <w:rsid w:val="201C198C"/>
    <w:rsid w:val="20266068"/>
    <w:rsid w:val="205729C2"/>
    <w:rsid w:val="20717F2A"/>
    <w:rsid w:val="207417C9"/>
    <w:rsid w:val="20790B8D"/>
    <w:rsid w:val="20827A42"/>
    <w:rsid w:val="209C776B"/>
    <w:rsid w:val="20AA3CDC"/>
    <w:rsid w:val="20AB09C3"/>
    <w:rsid w:val="20B23D8A"/>
    <w:rsid w:val="20C51022"/>
    <w:rsid w:val="20C56C00"/>
    <w:rsid w:val="20C75D9C"/>
    <w:rsid w:val="20D54766"/>
    <w:rsid w:val="20D626D7"/>
    <w:rsid w:val="20DD55C0"/>
    <w:rsid w:val="20F86993"/>
    <w:rsid w:val="20FD531A"/>
    <w:rsid w:val="213760C2"/>
    <w:rsid w:val="213D22F1"/>
    <w:rsid w:val="213F6706"/>
    <w:rsid w:val="2143651C"/>
    <w:rsid w:val="21457A73"/>
    <w:rsid w:val="2165078C"/>
    <w:rsid w:val="216A647F"/>
    <w:rsid w:val="217557F8"/>
    <w:rsid w:val="218B0B78"/>
    <w:rsid w:val="21A63C04"/>
    <w:rsid w:val="21A734D8"/>
    <w:rsid w:val="21B53E47"/>
    <w:rsid w:val="21CF315A"/>
    <w:rsid w:val="21F030D1"/>
    <w:rsid w:val="220628F4"/>
    <w:rsid w:val="221C2372"/>
    <w:rsid w:val="2221328A"/>
    <w:rsid w:val="22235254"/>
    <w:rsid w:val="22266AF2"/>
    <w:rsid w:val="22274D44"/>
    <w:rsid w:val="2245341D"/>
    <w:rsid w:val="22462A8A"/>
    <w:rsid w:val="224D70E7"/>
    <w:rsid w:val="22543B20"/>
    <w:rsid w:val="22574EFE"/>
    <w:rsid w:val="22696FF6"/>
    <w:rsid w:val="226A4C31"/>
    <w:rsid w:val="22916066"/>
    <w:rsid w:val="22993768"/>
    <w:rsid w:val="229B431D"/>
    <w:rsid w:val="229F2035"/>
    <w:rsid w:val="229F66F7"/>
    <w:rsid w:val="22B67E76"/>
    <w:rsid w:val="22B7264E"/>
    <w:rsid w:val="22B73217"/>
    <w:rsid w:val="22C87E82"/>
    <w:rsid w:val="22E569AE"/>
    <w:rsid w:val="22E83DA8"/>
    <w:rsid w:val="22F81E30"/>
    <w:rsid w:val="22F8223D"/>
    <w:rsid w:val="23006025"/>
    <w:rsid w:val="230102D9"/>
    <w:rsid w:val="23052BAC"/>
    <w:rsid w:val="230B7162"/>
    <w:rsid w:val="230C1C0F"/>
    <w:rsid w:val="232748D0"/>
    <w:rsid w:val="23353491"/>
    <w:rsid w:val="233A6376"/>
    <w:rsid w:val="23445482"/>
    <w:rsid w:val="234731C4"/>
    <w:rsid w:val="23517B9F"/>
    <w:rsid w:val="23531B69"/>
    <w:rsid w:val="23664217"/>
    <w:rsid w:val="236B0C61"/>
    <w:rsid w:val="238E2BA1"/>
    <w:rsid w:val="23915FA1"/>
    <w:rsid w:val="23A5639B"/>
    <w:rsid w:val="23A67435"/>
    <w:rsid w:val="23BC770E"/>
    <w:rsid w:val="23F724F4"/>
    <w:rsid w:val="23FE3883"/>
    <w:rsid w:val="240708CD"/>
    <w:rsid w:val="240F5A90"/>
    <w:rsid w:val="24106476"/>
    <w:rsid w:val="24162D28"/>
    <w:rsid w:val="2424417A"/>
    <w:rsid w:val="242867EA"/>
    <w:rsid w:val="24293F8F"/>
    <w:rsid w:val="242A697A"/>
    <w:rsid w:val="243674C1"/>
    <w:rsid w:val="24380CC8"/>
    <w:rsid w:val="243A63CC"/>
    <w:rsid w:val="246C10ED"/>
    <w:rsid w:val="24904744"/>
    <w:rsid w:val="249F3FA9"/>
    <w:rsid w:val="24B50A8F"/>
    <w:rsid w:val="24C62058"/>
    <w:rsid w:val="24C745BD"/>
    <w:rsid w:val="24CB1A37"/>
    <w:rsid w:val="24D83DB6"/>
    <w:rsid w:val="24E54522"/>
    <w:rsid w:val="24F70BE8"/>
    <w:rsid w:val="2505221B"/>
    <w:rsid w:val="25181323"/>
    <w:rsid w:val="251F222D"/>
    <w:rsid w:val="25237319"/>
    <w:rsid w:val="25276E09"/>
    <w:rsid w:val="252F6C1F"/>
    <w:rsid w:val="25333A00"/>
    <w:rsid w:val="25561143"/>
    <w:rsid w:val="256440B7"/>
    <w:rsid w:val="256F64AA"/>
    <w:rsid w:val="257B7047"/>
    <w:rsid w:val="25B43E15"/>
    <w:rsid w:val="25B44CD6"/>
    <w:rsid w:val="25D53C59"/>
    <w:rsid w:val="25DF4AD8"/>
    <w:rsid w:val="25E75A1D"/>
    <w:rsid w:val="25E76599"/>
    <w:rsid w:val="25F07BA6"/>
    <w:rsid w:val="25FA2770"/>
    <w:rsid w:val="25FC2044"/>
    <w:rsid w:val="26025181"/>
    <w:rsid w:val="260F2A28"/>
    <w:rsid w:val="26151358"/>
    <w:rsid w:val="26176E7E"/>
    <w:rsid w:val="26201D24"/>
    <w:rsid w:val="26322643"/>
    <w:rsid w:val="263631A5"/>
    <w:rsid w:val="2637667A"/>
    <w:rsid w:val="26655E3B"/>
    <w:rsid w:val="269F15EB"/>
    <w:rsid w:val="26A26863"/>
    <w:rsid w:val="26AA1AA0"/>
    <w:rsid w:val="26BE19EF"/>
    <w:rsid w:val="26D7485F"/>
    <w:rsid w:val="26E24FAE"/>
    <w:rsid w:val="26F7280B"/>
    <w:rsid w:val="26FD42C6"/>
    <w:rsid w:val="270D387F"/>
    <w:rsid w:val="27167136"/>
    <w:rsid w:val="27545EB0"/>
    <w:rsid w:val="276B4013"/>
    <w:rsid w:val="27734588"/>
    <w:rsid w:val="27742917"/>
    <w:rsid w:val="27781B9E"/>
    <w:rsid w:val="277F4CDB"/>
    <w:rsid w:val="2780146B"/>
    <w:rsid w:val="2786250D"/>
    <w:rsid w:val="278B2E18"/>
    <w:rsid w:val="27914CC8"/>
    <w:rsid w:val="27985D9D"/>
    <w:rsid w:val="279D1605"/>
    <w:rsid w:val="27A12E18"/>
    <w:rsid w:val="27A42993"/>
    <w:rsid w:val="27AA2337"/>
    <w:rsid w:val="27AC7A9A"/>
    <w:rsid w:val="27CF7A19"/>
    <w:rsid w:val="27D019DA"/>
    <w:rsid w:val="27D43A93"/>
    <w:rsid w:val="27D52687"/>
    <w:rsid w:val="27D6739B"/>
    <w:rsid w:val="27DA0163"/>
    <w:rsid w:val="27E45F94"/>
    <w:rsid w:val="27E70AD2"/>
    <w:rsid w:val="28131C63"/>
    <w:rsid w:val="28150C75"/>
    <w:rsid w:val="282F222C"/>
    <w:rsid w:val="283B3016"/>
    <w:rsid w:val="283F47D7"/>
    <w:rsid w:val="284A32BF"/>
    <w:rsid w:val="284E5C00"/>
    <w:rsid w:val="28626D75"/>
    <w:rsid w:val="286F3F95"/>
    <w:rsid w:val="287B7F79"/>
    <w:rsid w:val="28A4024E"/>
    <w:rsid w:val="28B135BA"/>
    <w:rsid w:val="28B9528A"/>
    <w:rsid w:val="28BC481A"/>
    <w:rsid w:val="28C01A4F"/>
    <w:rsid w:val="28D306DD"/>
    <w:rsid w:val="28D92B11"/>
    <w:rsid w:val="28F13D40"/>
    <w:rsid w:val="28F24E95"/>
    <w:rsid w:val="28F434A6"/>
    <w:rsid w:val="28FC23EA"/>
    <w:rsid w:val="29053273"/>
    <w:rsid w:val="290B69C6"/>
    <w:rsid w:val="290C61FF"/>
    <w:rsid w:val="291458F7"/>
    <w:rsid w:val="29162311"/>
    <w:rsid w:val="2916341D"/>
    <w:rsid w:val="291853E7"/>
    <w:rsid w:val="291E2E7B"/>
    <w:rsid w:val="292875F4"/>
    <w:rsid w:val="29290FE4"/>
    <w:rsid w:val="29376315"/>
    <w:rsid w:val="29501633"/>
    <w:rsid w:val="29567BFF"/>
    <w:rsid w:val="295F5B00"/>
    <w:rsid w:val="2973086F"/>
    <w:rsid w:val="298C02A2"/>
    <w:rsid w:val="29934A6D"/>
    <w:rsid w:val="29980BDA"/>
    <w:rsid w:val="29A0362E"/>
    <w:rsid w:val="29AA3515"/>
    <w:rsid w:val="29AE04FA"/>
    <w:rsid w:val="29C25353"/>
    <w:rsid w:val="29CD4DD1"/>
    <w:rsid w:val="29D62BAC"/>
    <w:rsid w:val="29D86924"/>
    <w:rsid w:val="29ED6BDD"/>
    <w:rsid w:val="29EF3D8C"/>
    <w:rsid w:val="29FA073B"/>
    <w:rsid w:val="2A042187"/>
    <w:rsid w:val="2A1B0BED"/>
    <w:rsid w:val="2A200E38"/>
    <w:rsid w:val="2A431C41"/>
    <w:rsid w:val="2A445BEE"/>
    <w:rsid w:val="2A4912BC"/>
    <w:rsid w:val="2A500BB0"/>
    <w:rsid w:val="2A5341FD"/>
    <w:rsid w:val="2A554419"/>
    <w:rsid w:val="2A5A1A2F"/>
    <w:rsid w:val="2A602202"/>
    <w:rsid w:val="2A6237E6"/>
    <w:rsid w:val="2A665D56"/>
    <w:rsid w:val="2A797E51"/>
    <w:rsid w:val="2A7FF3BA"/>
    <w:rsid w:val="2A85159C"/>
    <w:rsid w:val="2A97058D"/>
    <w:rsid w:val="2AA1533C"/>
    <w:rsid w:val="2AC670C5"/>
    <w:rsid w:val="2ACB0237"/>
    <w:rsid w:val="2B004385"/>
    <w:rsid w:val="2B033E75"/>
    <w:rsid w:val="2B0674C1"/>
    <w:rsid w:val="2B1716CE"/>
    <w:rsid w:val="2B26670B"/>
    <w:rsid w:val="2B353322"/>
    <w:rsid w:val="2B37239C"/>
    <w:rsid w:val="2B3D7387"/>
    <w:rsid w:val="2B3E6C5B"/>
    <w:rsid w:val="2B5400F2"/>
    <w:rsid w:val="2B617885"/>
    <w:rsid w:val="2B6A63EC"/>
    <w:rsid w:val="2B7348A5"/>
    <w:rsid w:val="2B892C7C"/>
    <w:rsid w:val="2B94791E"/>
    <w:rsid w:val="2BA50E41"/>
    <w:rsid w:val="2BB9468C"/>
    <w:rsid w:val="2BBE7D9C"/>
    <w:rsid w:val="2BC2163A"/>
    <w:rsid w:val="2BC51EC5"/>
    <w:rsid w:val="2BD55811"/>
    <w:rsid w:val="2BD73CFD"/>
    <w:rsid w:val="2C0A4E6A"/>
    <w:rsid w:val="2C111901"/>
    <w:rsid w:val="2C155109"/>
    <w:rsid w:val="2C163734"/>
    <w:rsid w:val="2C2422F5"/>
    <w:rsid w:val="2C2474F0"/>
    <w:rsid w:val="2C2A71DF"/>
    <w:rsid w:val="2C3562B0"/>
    <w:rsid w:val="2C372028"/>
    <w:rsid w:val="2C41042A"/>
    <w:rsid w:val="2C5B3F43"/>
    <w:rsid w:val="2C642FEA"/>
    <w:rsid w:val="2C6827D5"/>
    <w:rsid w:val="2C6B0F62"/>
    <w:rsid w:val="2C6F14EE"/>
    <w:rsid w:val="2C882884"/>
    <w:rsid w:val="2C892158"/>
    <w:rsid w:val="2C8965FC"/>
    <w:rsid w:val="2C8F2CCE"/>
    <w:rsid w:val="2C9C632F"/>
    <w:rsid w:val="2CB71165"/>
    <w:rsid w:val="2CC7543A"/>
    <w:rsid w:val="2CCF5161"/>
    <w:rsid w:val="2D051C58"/>
    <w:rsid w:val="2D067C4C"/>
    <w:rsid w:val="2D0D0C0E"/>
    <w:rsid w:val="2D2B30FF"/>
    <w:rsid w:val="2D546C0A"/>
    <w:rsid w:val="2D5B7F98"/>
    <w:rsid w:val="2D614E83"/>
    <w:rsid w:val="2D6D7CCB"/>
    <w:rsid w:val="2D7352E2"/>
    <w:rsid w:val="2D8017AD"/>
    <w:rsid w:val="2DAA375A"/>
    <w:rsid w:val="2DD077B2"/>
    <w:rsid w:val="2DE955A4"/>
    <w:rsid w:val="2DF301D1"/>
    <w:rsid w:val="2E183793"/>
    <w:rsid w:val="2E1B3283"/>
    <w:rsid w:val="2E1E4B22"/>
    <w:rsid w:val="2E220AB6"/>
    <w:rsid w:val="2E362C91"/>
    <w:rsid w:val="2E433D29"/>
    <w:rsid w:val="2E5C2311"/>
    <w:rsid w:val="2E615CCD"/>
    <w:rsid w:val="2E727BB5"/>
    <w:rsid w:val="2E976DAE"/>
    <w:rsid w:val="2EA35514"/>
    <w:rsid w:val="2EB17CF3"/>
    <w:rsid w:val="2EDF60B9"/>
    <w:rsid w:val="2EF04710"/>
    <w:rsid w:val="2EF97A69"/>
    <w:rsid w:val="2EFE507F"/>
    <w:rsid w:val="2F155F25"/>
    <w:rsid w:val="2F1E127D"/>
    <w:rsid w:val="2F3445FD"/>
    <w:rsid w:val="2F37730B"/>
    <w:rsid w:val="2F4A02C4"/>
    <w:rsid w:val="2F634EE2"/>
    <w:rsid w:val="2F705FB8"/>
    <w:rsid w:val="2F7C41F6"/>
    <w:rsid w:val="2F827A5E"/>
    <w:rsid w:val="2F8A6913"/>
    <w:rsid w:val="2F940B9B"/>
    <w:rsid w:val="2FAC3D7D"/>
    <w:rsid w:val="2FAF6379"/>
    <w:rsid w:val="2FB83480"/>
    <w:rsid w:val="2FBE65BC"/>
    <w:rsid w:val="2FCF2577"/>
    <w:rsid w:val="2FE364D9"/>
    <w:rsid w:val="2FF11F73"/>
    <w:rsid w:val="2FF6EBD2"/>
    <w:rsid w:val="300761B5"/>
    <w:rsid w:val="301E2414"/>
    <w:rsid w:val="302610FC"/>
    <w:rsid w:val="303E132E"/>
    <w:rsid w:val="30403475"/>
    <w:rsid w:val="3043586B"/>
    <w:rsid w:val="304C5976"/>
    <w:rsid w:val="3058256D"/>
    <w:rsid w:val="305A38D0"/>
    <w:rsid w:val="306E648F"/>
    <w:rsid w:val="30766E97"/>
    <w:rsid w:val="309243C0"/>
    <w:rsid w:val="309D2676"/>
    <w:rsid w:val="30A47610"/>
    <w:rsid w:val="30A87D63"/>
    <w:rsid w:val="30B71989"/>
    <w:rsid w:val="30C46588"/>
    <w:rsid w:val="30D03962"/>
    <w:rsid w:val="30E33504"/>
    <w:rsid w:val="30F4201C"/>
    <w:rsid w:val="30F524B2"/>
    <w:rsid w:val="30FA3624"/>
    <w:rsid w:val="30FF4B22"/>
    <w:rsid w:val="310B6BF3"/>
    <w:rsid w:val="311D3DF9"/>
    <w:rsid w:val="312B3FDA"/>
    <w:rsid w:val="314B12AF"/>
    <w:rsid w:val="31501496"/>
    <w:rsid w:val="31532D34"/>
    <w:rsid w:val="31572ED1"/>
    <w:rsid w:val="315C727B"/>
    <w:rsid w:val="31666F0B"/>
    <w:rsid w:val="316B4522"/>
    <w:rsid w:val="316D0BA9"/>
    <w:rsid w:val="3186331C"/>
    <w:rsid w:val="31A36B64"/>
    <w:rsid w:val="31A627B9"/>
    <w:rsid w:val="31A62D61"/>
    <w:rsid w:val="31C9211B"/>
    <w:rsid w:val="31DD64FD"/>
    <w:rsid w:val="31EB31CE"/>
    <w:rsid w:val="31F60A7B"/>
    <w:rsid w:val="31F938DC"/>
    <w:rsid w:val="31FC517A"/>
    <w:rsid w:val="32024E86"/>
    <w:rsid w:val="32075FF9"/>
    <w:rsid w:val="321A7A9C"/>
    <w:rsid w:val="32236C2E"/>
    <w:rsid w:val="32326DEE"/>
    <w:rsid w:val="32432DA9"/>
    <w:rsid w:val="32496611"/>
    <w:rsid w:val="32607DFF"/>
    <w:rsid w:val="3281224F"/>
    <w:rsid w:val="329B2BE5"/>
    <w:rsid w:val="329E6B50"/>
    <w:rsid w:val="329F256E"/>
    <w:rsid w:val="329F32EA"/>
    <w:rsid w:val="32AA0489"/>
    <w:rsid w:val="32BB5035"/>
    <w:rsid w:val="32C43EEA"/>
    <w:rsid w:val="32C4706E"/>
    <w:rsid w:val="32C65EB4"/>
    <w:rsid w:val="32EB0B99"/>
    <w:rsid w:val="32EE540A"/>
    <w:rsid w:val="32F30451"/>
    <w:rsid w:val="32F50547"/>
    <w:rsid w:val="33154745"/>
    <w:rsid w:val="331704BD"/>
    <w:rsid w:val="33265EB1"/>
    <w:rsid w:val="332A5CC2"/>
    <w:rsid w:val="3330332D"/>
    <w:rsid w:val="3332198B"/>
    <w:rsid w:val="333D443C"/>
    <w:rsid w:val="333F4E52"/>
    <w:rsid w:val="335245EC"/>
    <w:rsid w:val="33557238"/>
    <w:rsid w:val="335A65FC"/>
    <w:rsid w:val="335A7075"/>
    <w:rsid w:val="335D7410"/>
    <w:rsid w:val="336D3EA4"/>
    <w:rsid w:val="33835B53"/>
    <w:rsid w:val="3384586B"/>
    <w:rsid w:val="33951EF8"/>
    <w:rsid w:val="339A10EE"/>
    <w:rsid w:val="33A342A9"/>
    <w:rsid w:val="33AC6E70"/>
    <w:rsid w:val="33B66E47"/>
    <w:rsid w:val="33C64EB5"/>
    <w:rsid w:val="33D44600"/>
    <w:rsid w:val="33DC674E"/>
    <w:rsid w:val="33E107F3"/>
    <w:rsid w:val="33EC6C5A"/>
    <w:rsid w:val="33F22CD8"/>
    <w:rsid w:val="33F62699"/>
    <w:rsid w:val="33FE78CF"/>
    <w:rsid w:val="34000D04"/>
    <w:rsid w:val="340622E0"/>
    <w:rsid w:val="34316ACF"/>
    <w:rsid w:val="343E641F"/>
    <w:rsid w:val="344468FB"/>
    <w:rsid w:val="34526541"/>
    <w:rsid w:val="3464195E"/>
    <w:rsid w:val="34822F8B"/>
    <w:rsid w:val="34897199"/>
    <w:rsid w:val="34924BC9"/>
    <w:rsid w:val="349879D5"/>
    <w:rsid w:val="34AF1476"/>
    <w:rsid w:val="34C74165"/>
    <w:rsid w:val="34E00D83"/>
    <w:rsid w:val="34E751DD"/>
    <w:rsid w:val="34E87837"/>
    <w:rsid w:val="34E924AB"/>
    <w:rsid w:val="34EB5A9A"/>
    <w:rsid w:val="34F860CC"/>
    <w:rsid w:val="35066A3B"/>
    <w:rsid w:val="35284929"/>
    <w:rsid w:val="352F64C7"/>
    <w:rsid w:val="3532618A"/>
    <w:rsid w:val="35351167"/>
    <w:rsid w:val="353C7D87"/>
    <w:rsid w:val="354406EB"/>
    <w:rsid w:val="35460218"/>
    <w:rsid w:val="35615866"/>
    <w:rsid w:val="358A409C"/>
    <w:rsid w:val="35A57EBA"/>
    <w:rsid w:val="35BC17F0"/>
    <w:rsid w:val="35BF6BEA"/>
    <w:rsid w:val="35C012AA"/>
    <w:rsid w:val="35C249F4"/>
    <w:rsid w:val="35CF32D1"/>
    <w:rsid w:val="35D17237"/>
    <w:rsid w:val="35F30AB5"/>
    <w:rsid w:val="35FC3D7E"/>
    <w:rsid w:val="362058DB"/>
    <w:rsid w:val="36246BDF"/>
    <w:rsid w:val="363932F5"/>
    <w:rsid w:val="363D4FB8"/>
    <w:rsid w:val="363D6170"/>
    <w:rsid w:val="36446039"/>
    <w:rsid w:val="36525CB0"/>
    <w:rsid w:val="36570DD6"/>
    <w:rsid w:val="36590DED"/>
    <w:rsid w:val="367125DA"/>
    <w:rsid w:val="36760F87"/>
    <w:rsid w:val="36873BAC"/>
    <w:rsid w:val="36973B48"/>
    <w:rsid w:val="36AF6603"/>
    <w:rsid w:val="36B87D9D"/>
    <w:rsid w:val="36BB5604"/>
    <w:rsid w:val="36C4095C"/>
    <w:rsid w:val="36C546D4"/>
    <w:rsid w:val="36D528EF"/>
    <w:rsid w:val="37205FF6"/>
    <w:rsid w:val="372633C5"/>
    <w:rsid w:val="374E46CA"/>
    <w:rsid w:val="375D6566"/>
    <w:rsid w:val="37602480"/>
    <w:rsid w:val="376676D7"/>
    <w:rsid w:val="37865C12"/>
    <w:rsid w:val="379876F3"/>
    <w:rsid w:val="379A16BD"/>
    <w:rsid w:val="379F45EE"/>
    <w:rsid w:val="37CD1A92"/>
    <w:rsid w:val="37CE6DD4"/>
    <w:rsid w:val="37E06FFE"/>
    <w:rsid w:val="37F907C2"/>
    <w:rsid w:val="3832770C"/>
    <w:rsid w:val="383907FA"/>
    <w:rsid w:val="383B1F8D"/>
    <w:rsid w:val="384855BD"/>
    <w:rsid w:val="38575800"/>
    <w:rsid w:val="386027CC"/>
    <w:rsid w:val="38624A88"/>
    <w:rsid w:val="38664899"/>
    <w:rsid w:val="386C12AB"/>
    <w:rsid w:val="38A670D3"/>
    <w:rsid w:val="38AC5B4C"/>
    <w:rsid w:val="38AE714C"/>
    <w:rsid w:val="38B1729A"/>
    <w:rsid w:val="38B60778"/>
    <w:rsid w:val="38DC3EDC"/>
    <w:rsid w:val="38F55A97"/>
    <w:rsid w:val="38FA68B7"/>
    <w:rsid w:val="38FB98C4"/>
    <w:rsid w:val="38FF20BA"/>
    <w:rsid w:val="391B4A7F"/>
    <w:rsid w:val="39202096"/>
    <w:rsid w:val="393618B9"/>
    <w:rsid w:val="393873DF"/>
    <w:rsid w:val="39394B01"/>
    <w:rsid w:val="394D26E1"/>
    <w:rsid w:val="396E2E01"/>
    <w:rsid w:val="39777F08"/>
    <w:rsid w:val="39874323"/>
    <w:rsid w:val="39987E7E"/>
    <w:rsid w:val="3999642E"/>
    <w:rsid w:val="39A64349"/>
    <w:rsid w:val="39A700C1"/>
    <w:rsid w:val="39B62C55"/>
    <w:rsid w:val="39BA1BA2"/>
    <w:rsid w:val="39C03AB0"/>
    <w:rsid w:val="39CD5D7A"/>
    <w:rsid w:val="39D62E7E"/>
    <w:rsid w:val="39D709A6"/>
    <w:rsid w:val="39DC643C"/>
    <w:rsid w:val="39E94680"/>
    <w:rsid w:val="39F50E2C"/>
    <w:rsid w:val="39F63BBE"/>
    <w:rsid w:val="3A0B0091"/>
    <w:rsid w:val="3A0B7AD3"/>
    <w:rsid w:val="3A241712"/>
    <w:rsid w:val="3A2A623E"/>
    <w:rsid w:val="3A30455A"/>
    <w:rsid w:val="3A3F654C"/>
    <w:rsid w:val="3A47599D"/>
    <w:rsid w:val="3A4F6014"/>
    <w:rsid w:val="3A573895"/>
    <w:rsid w:val="3A6477A9"/>
    <w:rsid w:val="3A7E52C6"/>
    <w:rsid w:val="3A950543"/>
    <w:rsid w:val="3A9E7716"/>
    <w:rsid w:val="3AA23F47"/>
    <w:rsid w:val="3AAA1C17"/>
    <w:rsid w:val="3AB31FC8"/>
    <w:rsid w:val="3ABE2449"/>
    <w:rsid w:val="3AD849D6"/>
    <w:rsid w:val="3ADA56C8"/>
    <w:rsid w:val="3AE35129"/>
    <w:rsid w:val="3AE91E38"/>
    <w:rsid w:val="3AF37A62"/>
    <w:rsid w:val="3B00217F"/>
    <w:rsid w:val="3B00310D"/>
    <w:rsid w:val="3B06492D"/>
    <w:rsid w:val="3B082DE1"/>
    <w:rsid w:val="3B20012B"/>
    <w:rsid w:val="3B2509B2"/>
    <w:rsid w:val="3B290BEA"/>
    <w:rsid w:val="3B2A60E9"/>
    <w:rsid w:val="3B3360B0"/>
    <w:rsid w:val="3B4007CD"/>
    <w:rsid w:val="3B4E2EEA"/>
    <w:rsid w:val="3B506A3A"/>
    <w:rsid w:val="3B561D9F"/>
    <w:rsid w:val="3B5B2B94"/>
    <w:rsid w:val="3B7566C9"/>
    <w:rsid w:val="3B7641EF"/>
    <w:rsid w:val="3B792ECF"/>
    <w:rsid w:val="3B81793A"/>
    <w:rsid w:val="3B827166"/>
    <w:rsid w:val="3B855DC3"/>
    <w:rsid w:val="3B9052B1"/>
    <w:rsid w:val="3B974891"/>
    <w:rsid w:val="3B9D279F"/>
    <w:rsid w:val="3BB16FD5"/>
    <w:rsid w:val="3BBA0580"/>
    <w:rsid w:val="3BBD4321"/>
    <w:rsid w:val="3BD056AD"/>
    <w:rsid w:val="3BD21711"/>
    <w:rsid w:val="3BD54987"/>
    <w:rsid w:val="3BD80F0D"/>
    <w:rsid w:val="3BDA2944"/>
    <w:rsid w:val="3BDB85C8"/>
    <w:rsid w:val="3BE467D1"/>
    <w:rsid w:val="3BFF8581"/>
    <w:rsid w:val="3C1C38AF"/>
    <w:rsid w:val="3C1C4D96"/>
    <w:rsid w:val="3C215F09"/>
    <w:rsid w:val="3C230959"/>
    <w:rsid w:val="3C233840"/>
    <w:rsid w:val="3C31001D"/>
    <w:rsid w:val="3C3A6AB5"/>
    <w:rsid w:val="3C4165AB"/>
    <w:rsid w:val="3C4B11D8"/>
    <w:rsid w:val="3C641CA7"/>
    <w:rsid w:val="3C676D43"/>
    <w:rsid w:val="3C6D55F2"/>
    <w:rsid w:val="3C6F5B2F"/>
    <w:rsid w:val="3C7249B6"/>
    <w:rsid w:val="3C926E07"/>
    <w:rsid w:val="3CAA4DD1"/>
    <w:rsid w:val="3CAD59EE"/>
    <w:rsid w:val="3CB26F41"/>
    <w:rsid w:val="3CC17DD4"/>
    <w:rsid w:val="3CC22338"/>
    <w:rsid w:val="3CDC4526"/>
    <w:rsid w:val="3CDD2778"/>
    <w:rsid w:val="3CDE204C"/>
    <w:rsid w:val="3CE277AA"/>
    <w:rsid w:val="3CE8111C"/>
    <w:rsid w:val="3CEA279F"/>
    <w:rsid w:val="3CF46FDB"/>
    <w:rsid w:val="3D0E6ACF"/>
    <w:rsid w:val="3D0F157F"/>
    <w:rsid w:val="3D123AC2"/>
    <w:rsid w:val="3D42082D"/>
    <w:rsid w:val="3D5F3C0A"/>
    <w:rsid w:val="3D6320AE"/>
    <w:rsid w:val="3D7737D1"/>
    <w:rsid w:val="3D7F382F"/>
    <w:rsid w:val="3D8F31BA"/>
    <w:rsid w:val="3D9B4E64"/>
    <w:rsid w:val="3D9F51E0"/>
    <w:rsid w:val="3D9F76BF"/>
    <w:rsid w:val="3DA70690"/>
    <w:rsid w:val="3DAE6EE2"/>
    <w:rsid w:val="3DC54FBA"/>
    <w:rsid w:val="3DFB09DB"/>
    <w:rsid w:val="3DFD6502"/>
    <w:rsid w:val="3E0205C4"/>
    <w:rsid w:val="3E0C3BB5"/>
    <w:rsid w:val="3E12336F"/>
    <w:rsid w:val="3E154BCF"/>
    <w:rsid w:val="3E241CE0"/>
    <w:rsid w:val="3E342BCE"/>
    <w:rsid w:val="3E3A37E1"/>
    <w:rsid w:val="3E3D1B80"/>
    <w:rsid w:val="3E4C39D8"/>
    <w:rsid w:val="3E6432A1"/>
    <w:rsid w:val="3E6842C3"/>
    <w:rsid w:val="3E6B3DB3"/>
    <w:rsid w:val="3E90273A"/>
    <w:rsid w:val="3E955132"/>
    <w:rsid w:val="3EA352FB"/>
    <w:rsid w:val="3EA719A5"/>
    <w:rsid w:val="3EA846BF"/>
    <w:rsid w:val="3EAD6F0F"/>
    <w:rsid w:val="3EBE3EE3"/>
    <w:rsid w:val="3EC62D97"/>
    <w:rsid w:val="3ED835C0"/>
    <w:rsid w:val="3ED94E54"/>
    <w:rsid w:val="3EE14075"/>
    <w:rsid w:val="3EE22D6A"/>
    <w:rsid w:val="3EE33949"/>
    <w:rsid w:val="3EF7239A"/>
    <w:rsid w:val="3EF97772"/>
    <w:rsid w:val="3EFF671D"/>
    <w:rsid w:val="3F0062A9"/>
    <w:rsid w:val="3F1A33BE"/>
    <w:rsid w:val="3F2859A4"/>
    <w:rsid w:val="3F2F48E2"/>
    <w:rsid w:val="3F3B3785"/>
    <w:rsid w:val="3F3C7CCF"/>
    <w:rsid w:val="3F5D194E"/>
    <w:rsid w:val="3F6031EC"/>
    <w:rsid w:val="3F6251B6"/>
    <w:rsid w:val="3F7722E4"/>
    <w:rsid w:val="3F7B6278"/>
    <w:rsid w:val="3F8C5D8F"/>
    <w:rsid w:val="3FB86FB3"/>
    <w:rsid w:val="3FBBF901"/>
    <w:rsid w:val="3FC4377B"/>
    <w:rsid w:val="3FCC669D"/>
    <w:rsid w:val="3FD00372"/>
    <w:rsid w:val="3FD753EE"/>
    <w:rsid w:val="3FD80FD4"/>
    <w:rsid w:val="3FDD241B"/>
    <w:rsid w:val="3FDD483D"/>
    <w:rsid w:val="3FE07E89"/>
    <w:rsid w:val="3FE69656"/>
    <w:rsid w:val="3FE77F14"/>
    <w:rsid w:val="3FEE56A1"/>
    <w:rsid w:val="3FF77793"/>
    <w:rsid w:val="3FFD0A3B"/>
    <w:rsid w:val="3FFF2802"/>
    <w:rsid w:val="40271D55"/>
    <w:rsid w:val="402F22B4"/>
    <w:rsid w:val="405110D6"/>
    <w:rsid w:val="406D6805"/>
    <w:rsid w:val="40740110"/>
    <w:rsid w:val="407A652F"/>
    <w:rsid w:val="407D110C"/>
    <w:rsid w:val="40827192"/>
    <w:rsid w:val="40835244"/>
    <w:rsid w:val="40864ED4"/>
    <w:rsid w:val="408C3992"/>
    <w:rsid w:val="40915918"/>
    <w:rsid w:val="40A05314"/>
    <w:rsid w:val="40B732E0"/>
    <w:rsid w:val="40F71321"/>
    <w:rsid w:val="41114D6F"/>
    <w:rsid w:val="41140064"/>
    <w:rsid w:val="411B561D"/>
    <w:rsid w:val="411C3143"/>
    <w:rsid w:val="41200E85"/>
    <w:rsid w:val="41326E0A"/>
    <w:rsid w:val="41361B95"/>
    <w:rsid w:val="41515EEF"/>
    <w:rsid w:val="41526B64"/>
    <w:rsid w:val="41546D80"/>
    <w:rsid w:val="4185213A"/>
    <w:rsid w:val="418A27A2"/>
    <w:rsid w:val="418D4040"/>
    <w:rsid w:val="418E2292"/>
    <w:rsid w:val="41970AE1"/>
    <w:rsid w:val="41994793"/>
    <w:rsid w:val="419E624E"/>
    <w:rsid w:val="41A35612"/>
    <w:rsid w:val="41A760C3"/>
    <w:rsid w:val="41AE7C60"/>
    <w:rsid w:val="41B617E9"/>
    <w:rsid w:val="41C37A62"/>
    <w:rsid w:val="41CC6917"/>
    <w:rsid w:val="41CD4939"/>
    <w:rsid w:val="41CE08E1"/>
    <w:rsid w:val="41D35EF7"/>
    <w:rsid w:val="41E87DEF"/>
    <w:rsid w:val="41F1637D"/>
    <w:rsid w:val="420A5691"/>
    <w:rsid w:val="421C7965"/>
    <w:rsid w:val="422619BB"/>
    <w:rsid w:val="423A7D24"/>
    <w:rsid w:val="42436F8A"/>
    <w:rsid w:val="425410BD"/>
    <w:rsid w:val="426B3072"/>
    <w:rsid w:val="426D63FE"/>
    <w:rsid w:val="428F6994"/>
    <w:rsid w:val="42957651"/>
    <w:rsid w:val="4297632A"/>
    <w:rsid w:val="429E4757"/>
    <w:rsid w:val="42A15FF5"/>
    <w:rsid w:val="42AB29D0"/>
    <w:rsid w:val="42B21705"/>
    <w:rsid w:val="42D31F27"/>
    <w:rsid w:val="42D55690"/>
    <w:rsid w:val="42DE3E28"/>
    <w:rsid w:val="42DF22D8"/>
    <w:rsid w:val="430B0D34"/>
    <w:rsid w:val="431C567C"/>
    <w:rsid w:val="432D2509"/>
    <w:rsid w:val="434075BC"/>
    <w:rsid w:val="43421586"/>
    <w:rsid w:val="434370AD"/>
    <w:rsid w:val="43470AA6"/>
    <w:rsid w:val="434F15AD"/>
    <w:rsid w:val="436E5EB8"/>
    <w:rsid w:val="437466E4"/>
    <w:rsid w:val="43900783"/>
    <w:rsid w:val="43947392"/>
    <w:rsid w:val="439971FA"/>
    <w:rsid w:val="439A3100"/>
    <w:rsid w:val="43A833B4"/>
    <w:rsid w:val="43AC4C52"/>
    <w:rsid w:val="43AF64F0"/>
    <w:rsid w:val="43B42418"/>
    <w:rsid w:val="43BD6E5F"/>
    <w:rsid w:val="43C33D49"/>
    <w:rsid w:val="43D16909"/>
    <w:rsid w:val="43F213F1"/>
    <w:rsid w:val="43F41FD8"/>
    <w:rsid w:val="43FD1DA6"/>
    <w:rsid w:val="44006D4C"/>
    <w:rsid w:val="440209A9"/>
    <w:rsid w:val="440E76BA"/>
    <w:rsid w:val="441B3B85"/>
    <w:rsid w:val="443C7F5E"/>
    <w:rsid w:val="444B19C8"/>
    <w:rsid w:val="446C30C9"/>
    <w:rsid w:val="44774926"/>
    <w:rsid w:val="4484067C"/>
    <w:rsid w:val="448B0BED"/>
    <w:rsid w:val="449B01B0"/>
    <w:rsid w:val="44B95E1F"/>
    <w:rsid w:val="44BA0916"/>
    <w:rsid w:val="44D65FFB"/>
    <w:rsid w:val="44DE708D"/>
    <w:rsid w:val="44F16CA0"/>
    <w:rsid w:val="44FC290E"/>
    <w:rsid w:val="45061A4C"/>
    <w:rsid w:val="45237196"/>
    <w:rsid w:val="45244CBC"/>
    <w:rsid w:val="452B268D"/>
    <w:rsid w:val="4535500F"/>
    <w:rsid w:val="457271D8"/>
    <w:rsid w:val="457F1EF2"/>
    <w:rsid w:val="45857508"/>
    <w:rsid w:val="458D79D2"/>
    <w:rsid w:val="459E4D98"/>
    <w:rsid w:val="45F66658"/>
    <w:rsid w:val="46001285"/>
    <w:rsid w:val="4605689B"/>
    <w:rsid w:val="46115240"/>
    <w:rsid w:val="461A0599"/>
    <w:rsid w:val="461B60BF"/>
    <w:rsid w:val="46362EF9"/>
    <w:rsid w:val="463E3F42"/>
    <w:rsid w:val="4649255C"/>
    <w:rsid w:val="464A30E5"/>
    <w:rsid w:val="46765CB1"/>
    <w:rsid w:val="467E27F8"/>
    <w:rsid w:val="46841EBD"/>
    <w:rsid w:val="46843C64"/>
    <w:rsid w:val="46883812"/>
    <w:rsid w:val="46974134"/>
    <w:rsid w:val="469C746C"/>
    <w:rsid w:val="46B10E38"/>
    <w:rsid w:val="46B651A1"/>
    <w:rsid w:val="46CA433A"/>
    <w:rsid w:val="46EB19AA"/>
    <w:rsid w:val="46EF285D"/>
    <w:rsid w:val="46F245F5"/>
    <w:rsid w:val="470114A9"/>
    <w:rsid w:val="47113E40"/>
    <w:rsid w:val="47120309"/>
    <w:rsid w:val="472015A9"/>
    <w:rsid w:val="47234906"/>
    <w:rsid w:val="47354BD4"/>
    <w:rsid w:val="473632F0"/>
    <w:rsid w:val="474C3E81"/>
    <w:rsid w:val="474E4E09"/>
    <w:rsid w:val="475D6A59"/>
    <w:rsid w:val="47717CFB"/>
    <w:rsid w:val="477D2D36"/>
    <w:rsid w:val="47867568"/>
    <w:rsid w:val="479A733C"/>
    <w:rsid w:val="479D7445"/>
    <w:rsid w:val="47A00374"/>
    <w:rsid w:val="47A27E30"/>
    <w:rsid w:val="47BA490B"/>
    <w:rsid w:val="47CF53B3"/>
    <w:rsid w:val="47DF5D98"/>
    <w:rsid w:val="47E57A30"/>
    <w:rsid w:val="47E66258"/>
    <w:rsid w:val="480014B3"/>
    <w:rsid w:val="48083249"/>
    <w:rsid w:val="480E7A25"/>
    <w:rsid w:val="48180B08"/>
    <w:rsid w:val="48483421"/>
    <w:rsid w:val="484E4529"/>
    <w:rsid w:val="48531B40"/>
    <w:rsid w:val="485D476D"/>
    <w:rsid w:val="485D6071"/>
    <w:rsid w:val="48614BFD"/>
    <w:rsid w:val="487B4BF3"/>
    <w:rsid w:val="48B1532F"/>
    <w:rsid w:val="48B73AEB"/>
    <w:rsid w:val="48C26B67"/>
    <w:rsid w:val="48C81442"/>
    <w:rsid w:val="48E85B1A"/>
    <w:rsid w:val="48F051D0"/>
    <w:rsid w:val="490168B9"/>
    <w:rsid w:val="49080B7C"/>
    <w:rsid w:val="49465201"/>
    <w:rsid w:val="494E3636"/>
    <w:rsid w:val="49523359"/>
    <w:rsid w:val="496E7D41"/>
    <w:rsid w:val="498A4BF8"/>
    <w:rsid w:val="49997A26"/>
    <w:rsid w:val="499C7517"/>
    <w:rsid w:val="49A62143"/>
    <w:rsid w:val="49C36851"/>
    <w:rsid w:val="49D36A87"/>
    <w:rsid w:val="49DE06CA"/>
    <w:rsid w:val="49EF3AEA"/>
    <w:rsid w:val="49EF5898"/>
    <w:rsid w:val="4A034605"/>
    <w:rsid w:val="4A065C48"/>
    <w:rsid w:val="4A1B40A3"/>
    <w:rsid w:val="4A2B43F6"/>
    <w:rsid w:val="4A301681"/>
    <w:rsid w:val="4A314103"/>
    <w:rsid w:val="4A396B13"/>
    <w:rsid w:val="4A3D7F21"/>
    <w:rsid w:val="4A5A7D7A"/>
    <w:rsid w:val="4A5E4C5F"/>
    <w:rsid w:val="4A6F3D98"/>
    <w:rsid w:val="4A8E5FA5"/>
    <w:rsid w:val="4A9560CC"/>
    <w:rsid w:val="4A9877F6"/>
    <w:rsid w:val="4AA04DE4"/>
    <w:rsid w:val="4ABD14F2"/>
    <w:rsid w:val="4AC37F0A"/>
    <w:rsid w:val="4AC408E4"/>
    <w:rsid w:val="4ACC3E2B"/>
    <w:rsid w:val="4ADD3943"/>
    <w:rsid w:val="4AE5022F"/>
    <w:rsid w:val="4AE7656F"/>
    <w:rsid w:val="4AF313B8"/>
    <w:rsid w:val="4AFD3FE5"/>
    <w:rsid w:val="4AFE15E2"/>
    <w:rsid w:val="4B272E10"/>
    <w:rsid w:val="4B4E34A1"/>
    <w:rsid w:val="4B4E4840"/>
    <w:rsid w:val="4B582E12"/>
    <w:rsid w:val="4B59382B"/>
    <w:rsid w:val="4B713354"/>
    <w:rsid w:val="4B74348F"/>
    <w:rsid w:val="4B7778F3"/>
    <w:rsid w:val="4B79502C"/>
    <w:rsid w:val="4B8169C4"/>
    <w:rsid w:val="4B9761E7"/>
    <w:rsid w:val="4BA60AB1"/>
    <w:rsid w:val="4BA95231"/>
    <w:rsid w:val="4BAF1783"/>
    <w:rsid w:val="4BB2670B"/>
    <w:rsid w:val="4BB365B5"/>
    <w:rsid w:val="4BC114B6"/>
    <w:rsid w:val="4BCB7C3F"/>
    <w:rsid w:val="4BE34546"/>
    <w:rsid w:val="4BE76F02"/>
    <w:rsid w:val="4BEB02E1"/>
    <w:rsid w:val="4BF37AF5"/>
    <w:rsid w:val="4BF43ADF"/>
    <w:rsid w:val="4BF60521"/>
    <w:rsid w:val="4BF74ED8"/>
    <w:rsid w:val="4BF94C2F"/>
    <w:rsid w:val="4C0220AA"/>
    <w:rsid w:val="4C0575F5"/>
    <w:rsid w:val="4C0A0767"/>
    <w:rsid w:val="4C0C0983"/>
    <w:rsid w:val="4C2832E3"/>
    <w:rsid w:val="4C40062D"/>
    <w:rsid w:val="4C545E87"/>
    <w:rsid w:val="4C5A0B23"/>
    <w:rsid w:val="4C5F53EA"/>
    <w:rsid w:val="4C6A56AA"/>
    <w:rsid w:val="4C906769"/>
    <w:rsid w:val="4CA666C3"/>
    <w:rsid w:val="4CA74208"/>
    <w:rsid w:val="4CA961D2"/>
    <w:rsid w:val="4CB44B77"/>
    <w:rsid w:val="4CD55FF3"/>
    <w:rsid w:val="4CDD7C2A"/>
    <w:rsid w:val="4CE40E7D"/>
    <w:rsid w:val="4CE74F4D"/>
    <w:rsid w:val="4CF07945"/>
    <w:rsid w:val="4CF51418"/>
    <w:rsid w:val="4D0B0C3B"/>
    <w:rsid w:val="4D1473C4"/>
    <w:rsid w:val="4D1A2C2C"/>
    <w:rsid w:val="4D1D07FC"/>
    <w:rsid w:val="4D2E2B7B"/>
    <w:rsid w:val="4D346504"/>
    <w:rsid w:val="4D3B0DF4"/>
    <w:rsid w:val="4D61085B"/>
    <w:rsid w:val="4D930AB9"/>
    <w:rsid w:val="4D96420E"/>
    <w:rsid w:val="4DB20189"/>
    <w:rsid w:val="4DB35167"/>
    <w:rsid w:val="4DDF102B"/>
    <w:rsid w:val="4DE33966"/>
    <w:rsid w:val="4DE96C85"/>
    <w:rsid w:val="4DEB6377"/>
    <w:rsid w:val="4DEF7282"/>
    <w:rsid w:val="4E077171"/>
    <w:rsid w:val="4E1844A1"/>
    <w:rsid w:val="4E1C6E78"/>
    <w:rsid w:val="4E376C89"/>
    <w:rsid w:val="4E4468A4"/>
    <w:rsid w:val="4E5B75AC"/>
    <w:rsid w:val="4E5E1120"/>
    <w:rsid w:val="4E9208C3"/>
    <w:rsid w:val="4EA62829"/>
    <w:rsid w:val="4EAF3848"/>
    <w:rsid w:val="4ED60DD5"/>
    <w:rsid w:val="4EDD2163"/>
    <w:rsid w:val="4EDE6657"/>
    <w:rsid w:val="4EFB6C2C"/>
    <w:rsid w:val="4EFE20DA"/>
    <w:rsid w:val="4F0A0AD1"/>
    <w:rsid w:val="4F0C76FA"/>
    <w:rsid w:val="4F165675"/>
    <w:rsid w:val="4F212F50"/>
    <w:rsid w:val="4F226DC8"/>
    <w:rsid w:val="4F234ACC"/>
    <w:rsid w:val="4F2A7373"/>
    <w:rsid w:val="4F2E053D"/>
    <w:rsid w:val="4F3E697A"/>
    <w:rsid w:val="4F493C9D"/>
    <w:rsid w:val="4F5C1026"/>
    <w:rsid w:val="4F5D14F6"/>
    <w:rsid w:val="4F5E53C7"/>
    <w:rsid w:val="4F6351A5"/>
    <w:rsid w:val="4F7EFCB4"/>
    <w:rsid w:val="4F7F44DF"/>
    <w:rsid w:val="4F854876"/>
    <w:rsid w:val="4F912F4E"/>
    <w:rsid w:val="4FA71C3F"/>
    <w:rsid w:val="4FAE5BAC"/>
    <w:rsid w:val="4FB01626"/>
    <w:rsid w:val="4FB11910"/>
    <w:rsid w:val="4FB84E80"/>
    <w:rsid w:val="4FB854F8"/>
    <w:rsid w:val="4FBA3692"/>
    <w:rsid w:val="4FDC1ACA"/>
    <w:rsid w:val="4FE16F9A"/>
    <w:rsid w:val="4FE985C7"/>
    <w:rsid w:val="4FF30059"/>
    <w:rsid w:val="500C08AC"/>
    <w:rsid w:val="500E56FC"/>
    <w:rsid w:val="501C6CBB"/>
    <w:rsid w:val="501F0559"/>
    <w:rsid w:val="502703FE"/>
    <w:rsid w:val="50435400"/>
    <w:rsid w:val="5043693E"/>
    <w:rsid w:val="504E4B13"/>
    <w:rsid w:val="505C668F"/>
    <w:rsid w:val="50601F36"/>
    <w:rsid w:val="507329BF"/>
    <w:rsid w:val="50811214"/>
    <w:rsid w:val="50964CC0"/>
    <w:rsid w:val="50AB003F"/>
    <w:rsid w:val="50B36711"/>
    <w:rsid w:val="50D25854"/>
    <w:rsid w:val="50D852D8"/>
    <w:rsid w:val="50FE0AB7"/>
    <w:rsid w:val="51042AC7"/>
    <w:rsid w:val="51085492"/>
    <w:rsid w:val="510A120A"/>
    <w:rsid w:val="512978E2"/>
    <w:rsid w:val="51346847"/>
    <w:rsid w:val="51475669"/>
    <w:rsid w:val="514A5AAA"/>
    <w:rsid w:val="515D758B"/>
    <w:rsid w:val="5161537B"/>
    <w:rsid w:val="51624BA2"/>
    <w:rsid w:val="51655FC2"/>
    <w:rsid w:val="516C5CF7"/>
    <w:rsid w:val="517174DB"/>
    <w:rsid w:val="51770F71"/>
    <w:rsid w:val="517B1124"/>
    <w:rsid w:val="518071D1"/>
    <w:rsid w:val="51867B3E"/>
    <w:rsid w:val="51956D25"/>
    <w:rsid w:val="51987112"/>
    <w:rsid w:val="519D3E2C"/>
    <w:rsid w:val="519D660F"/>
    <w:rsid w:val="51A575B0"/>
    <w:rsid w:val="51B5605F"/>
    <w:rsid w:val="51C25FE7"/>
    <w:rsid w:val="51C969CF"/>
    <w:rsid w:val="51D33CF1"/>
    <w:rsid w:val="51FF4AE6"/>
    <w:rsid w:val="51FF6894"/>
    <w:rsid w:val="520774F7"/>
    <w:rsid w:val="520A63D6"/>
    <w:rsid w:val="520C5A74"/>
    <w:rsid w:val="520E24F1"/>
    <w:rsid w:val="521340EE"/>
    <w:rsid w:val="52157A39"/>
    <w:rsid w:val="522E717A"/>
    <w:rsid w:val="523676EA"/>
    <w:rsid w:val="52555BF0"/>
    <w:rsid w:val="525564B4"/>
    <w:rsid w:val="52567651"/>
    <w:rsid w:val="525B75EF"/>
    <w:rsid w:val="526341EB"/>
    <w:rsid w:val="52666914"/>
    <w:rsid w:val="5267529D"/>
    <w:rsid w:val="5272350A"/>
    <w:rsid w:val="52902DFA"/>
    <w:rsid w:val="529B502E"/>
    <w:rsid w:val="529C40E3"/>
    <w:rsid w:val="52C0323E"/>
    <w:rsid w:val="52C55BC9"/>
    <w:rsid w:val="52CC1C82"/>
    <w:rsid w:val="52CD6993"/>
    <w:rsid w:val="52D94894"/>
    <w:rsid w:val="52DB2E5E"/>
    <w:rsid w:val="52DC2732"/>
    <w:rsid w:val="52E568C3"/>
    <w:rsid w:val="530D2143"/>
    <w:rsid w:val="530E3233"/>
    <w:rsid w:val="53135B7C"/>
    <w:rsid w:val="5314011E"/>
    <w:rsid w:val="53146A66"/>
    <w:rsid w:val="53191BD8"/>
    <w:rsid w:val="53192FFD"/>
    <w:rsid w:val="531C0F71"/>
    <w:rsid w:val="5320466B"/>
    <w:rsid w:val="53302A15"/>
    <w:rsid w:val="53360094"/>
    <w:rsid w:val="5339302E"/>
    <w:rsid w:val="5369210C"/>
    <w:rsid w:val="536B319B"/>
    <w:rsid w:val="536E11E4"/>
    <w:rsid w:val="53755060"/>
    <w:rsid w:val="538A6632"/>
    <w:rsid w:val="53A476F3"/>
    <w:rsid w:val="53A6051D"/>
    <w:rsid w:val="53AF2171"/>
    <w:rsid w:val="53B37937"/>
    <w:rsid w:val="53B60FA0"/>
    <w:rsid w:val="53B611D5"/>
    <w:rsid w:val="53B92BD0"/>
    <w:rsid w:val="53C27B7A"/>
    <w:rsid w:val="53C300EE"/>
    <w:rsid w:val="53C6405C"/>
    <w:rsid w:val="53DD3D8D"/>
    <w:rsid w:val="53E61F03"/>
    <w:rsid w:val="53E81EA7"/>
    <w:rsid w:val="53ED0769"/>
    <w:rsid w:val="53FB0263"/>
    <w:rsid w:val="5406215C"/>
    <w:rsid w:val="542E6C2A"/>
    <w:rsid w:val="54470E62"/>
    <w:rsid w:val="54640C31"/>
    <w:rsid w:val="547215A0"/>
    <w:rsid w:val="549C03CB"/>
    <w:rsid w:val="54A71B6F"/>
    <w:rsid w:val="54A772FA"/>
    <w:rsid w:val="54BE47E5"/>
    <w:rsid w:val="54BE5581"/>
    <w:rsid w:val="54C3413E"/>
    <w:rsid w:val="54C343AC"/>
    <w:rsid w:val="54C53A56"/>
    <w:rsid w:val="54C824D5"/>
    <w:rsid w:val="54E202BD"/>
    <w:rsid w:val="54E3424B"/>
    <w:rsid w:val="54E67898"/>
    <w:rsid w:val="5507618C"/>
    <w:rsid w:val="550C37A2"/>
    <w:rsid w:val="55124B31"/>
    <w:rsid w:val="55195ED1"/>
    <w:rsid w:val="55356592"/>
    <w:rsid w:val="55363B79"/>
    <w:rsid w:val="553757FC"/>
    <w:rsid w:val="553920BD"/>
    <w:rsid w:val="553B086B"/>
    <w:rsid w:val="55523CC0"/>
    <w:rsid w:val="55561A9C"/>
    <w:rsid w:val="55684AE1"/>
    <w:rsid w:val="55690BF5"/>
    <w:rsid w:val="556E259A"/>
    <w:rsid w:val="55741981"/>
    <w:rsid w:val="55886BA1"/>
    <w:rsid w:val="55A0038E"/>
    <w:rsid w:val="55A531BA"/>
    <w:rsid w:val="55A559A5"/>
    <w:rsid w:val="55B00149"/>
    <w:rsid w:val="55C30E9C"/>
    <w:rsid w:val="55D37310"/>
    <w:rsid w:val="55E4027B"/>
    <w:rsid w:val="55F12998"/>
    <w:rsid w:val="55F85AD5"/>
    <w:rsid w:val="56067E2E"/>
    <w:rsid w:val="56102E1E"/>
    <w:rsid w:val="56113BC9"/>
    <w:rsid w:val="562C774E"/>
    <w:rsid w:val="56323B98"/>
    <w:rsid w:val="563A60ED"/>
    <w:rsid w:val="563F6BD5"/>
    <w:rsid w:val="56491610"/>
    <w:rsid w:val="56567054"/>
    <w:rsid w:val="56572452"/>
    <w:rsid w:val="565E627F"/>
    <w:rsid w:val="565F3775"/>
    <w:rsid w:val="565F486A"/>
    <w:rsid w:val="56621F53"/>
    <w:rsid w:val="566500E3"/>
    <w:rsid w:val="566D4FAA"/>
    <w:rsid w:val="566D64C3"/>
    <w:rsid w:val="5677F382"/>
    <w:rsid w:val="568052DE"/>
    <w:rsid w:val="568245C0"/>
    <w:rsid w:val="56867584"/>
    <w:rsid w:val="56AC60A3"/>
    <w:rsid w:val="56AD68BF"/>
    <w:rsid w:val="56AF6ADB"/>
    <w:rsid w:val="56B2576C"/>
    <w:rsid w:val="56B9194B"/>
    <w:rsid w:val="56C33BDD"/>
    <w:rsid w:val="56CB31E9"/>
    <w:rsid w:val="56DA167E"/>
    <w:rsid w:val="56E40324"/>
    <w:rsid w:val="56EFBCE7"/>
    <w:rsid w:val="56F79C35"/>
    <w:rsid w:val="571006E4"/>
    <w:rsid w:val="57191362"/>
    <w:rsid w:val="5735078A"/>
    <w:rsid w:val="57785D2A"/>
    <w:rsid w:val="57AA1051"/>
    <w:rsid w:val="57E502DB"/>
    <w:rsid w:val="581F559B"/>
    <w:rsid w:val="582B27FF"/>
    <w:rsid w:val="583D01CF"/>
    <w:rsid w:val="5844151B"/>
    <w:rsid w:val="586475A6"/>
    <w:rsid w:val="58810003"/>
    <w:rsid w:val="5886386C"/>
    <w:rsid w:val="588A3598"/>
    <w:rsid w:val="588D0504"/>
    <w:rsid w:val="58975164"/>
    <w:rsid w:val="58C63C68"/>
    <w:rsid w:val="58D50A2B"/>
    <w:rsid w:val="58DE5456"/>
    <w:rsid w:val="58EB36CF"/>
    <w:rsid w:val="58EC0D07"/>
    <w:rsid w:val="58F702C5"/>
    <w:rsid w:val="591A2160"/>
    <w:rsid w:val="59367040"/>
    <w:rsid w:val="593F501F"/>
    <w:rsid w:val="59401C6C"/>
    <w:rsid w:val="59487733"/>
    <w:rsid w:val="596949DD"/>
    <w:rsid w:val="59707498"/>
    <w:rsid w:val="597F1167"/>
    <w:rsid w:val="59AC3549"/>
    <w:rsid w:val="59C363FA"/>
    <w:rsid w:val="59C74AA1"/>
    <w:rsid w:val="59D66164"/>
    <w:rsid w:val="59E25784"/>
    <w:rsid w:val="59E60318"/>
    <w:rsid w:val="59EE3177"/>
    <w:rsid w:val="59EF0EB5"/>
    <w:rsid w:val="59F111B9"/>
    <w:rsid w:val="5A0013FC"/>
    <w:rsid w:val="5A1D015B"/>
    <w:rsid w:val="5A3E07A1"/>
    <w:rsid w:val="5A407A4A"/>
    <w:rsid w:val="5A4E09B0"/>
    <w:rsid w:val="5A56B2A4"/>
    <w:rsid w:val="5A6A4308"/>
    <w:rsid w:val="5A736072"/>
    <w:rsid w:val="5A7B0A82"/>
    <w:rsid w:val="5A7B6CD4"/>
    <w:rsid w:val="5A876EE7"/>
    <w:rsid w:val="5A975B2D"/>
    <w:rsid w:val="5AA13369"/>
    <w:rsid w:val="5AA44386"/>
    <w:rsid w:val="5AA94A6E"/>
    <w:rsid w:val="5AB05047"/>
    <w:rsid w:val="5ABA15AB"/>
    <w:rsid w:val="5AE26D53"/>
    <w:rsid w:val="5AE723C6"/>
    <w:rsid w:val="5AEA041D"/>
    <w:rsid w:val="5AF01470"/>
    <w:rsid w:val="5AF80757"/>
    <w:rsid w:val="5AFD7032"/>
    <w:rsid w:val="5B0C047E"/>
    <w:rsid w:val="5B116199"/>
    <w:rsid w:val="5B1834F7"/>
    <w:rsid w:val="5BB97AB4"/>
    <w:rsid w:val="5BD743DE"/>
    <w:rsid w:val="5BF07EDE"/>
    <w:rsid w:val="5BF24C58"/>
    <w:rsid w:val="5BF60D08"/>
    <w:rsid w:val="5C0021B9"/>
    <w:rsid w:val="5C0C052C"/>
    <w:rsid w:val="5C171031"/>
    <w:rsid w:val="5C237623"/>
    <w:rsid w:val="5C2631A6"/>
    <w:rsid w:val="5C2740AC"/>
    <w:rsid w:val="5C276FB7"/>
    <w:rsid w:val="5C4D4754"/>
    <w:rsid w:val="5C4E644E"/>
    <w:rsid w:val="5C6F429B"/>
    <w:rsid w:val="5C700ABB"/>
    <w:rsid w:val="5C9C6B0B"/>
    <w:rsid w:val="5C9D3DA7"/>
    <w:rsid w:val="5CA249EC"/>
    <w:rsid w:val="5CA644DC"/>
    <w:rsid w:val="5CA7449A"/>
    <w:rsid w:val="5CB9526D"/>
    <w:rsid w:val="5CBD35D4"/>
    <w:rsid w:val="5CC81D5B"/>
    <w:rsid w:val="5CCE6402"/>
    <w:rsid w:val="5CCE7ECF"/>
    <w:rsid w:val="5CD94B1D"/>
    <w:rsid w:val="5CDC6150"/>
    <w:rsid w:val="5CDD5541"/>
    <w:rsid w:val="5CDF2FF9"/>
    <w:rsid w:val="5D131446"/>
    <w:rsid w:val="5D192F00"/>
    <w:rsid w:val="5D1A517B"/>
    <w:rsid w:val="5D1D4002"/>
    <w:rsid w:val="5D4476A0"/>
    <w:rsid w:val="5D605600"/>
    <w:rsid w:val="5D635829"/>
    <w:rsid w:val="5D6D3B91"/>
    <w:rsid w:val="5D6D6856"/>
    <w:rsid w:val="5D801B4F"/>
    <w:rsid w:val="5DA9371D"/>
    <w:rsid w:val="5DB03139"/>
    <w:rsid w:val="5DB94316"/>
    <w:rsid w:val="5DBB5D65"/>
    <w:rsid w:val="5DBC1009"/>
    <w:rsid w:val="5DE80B25"/>
    <w:rsid w:val="5DEA6951"/>
    <w:rsid w:val="5DFC408A"/>
    <w:rsid w:val="5E106C49"/>
    <w:rsid w:val="5E316028"/>
    <w:rsid w:val="5E343D6A"/>
    <w:rsid w:val="5E436EA1"/>
    <w:rsid w:val="5E473A9D"/>
    <w:rsid w:val="5E6737F7"/>
    <w:rsid w:val="5E6E5F24"/>
    <w:rsid w:val="5E9C4600"/>
    <w:rsid w:val="5EA06D09"/>
    <w:rsid w:val="5EAB4A36"/>
    <w:rsid w:val="5EB21B8E"/>
    <w:rsid w:val="5EB6477F"/>
    <w:rsid w:val="5EB729BA"/>
    <w:rsid w:val="5EDE43FB"/>
    <w:rsid w:val="5EEC0726"/>
    <w:rsid w:val="5EF07C91"/>
    <w:rsid w:val="5EFD31B1"/>
    <w:rsid w:val="5EFF1C82"/>
    <w:rsid w:val="5F132FF0"/>
    <w:rsid w:val="5F180F96"/>
    <w:rsid w:val="5F1A6ABC"/>
    <w:rsid w:val="5F1E0A25"/>
    <w:rsid w:val="5F2A371A"/>
    <w:rsid w:val="5F2F656F"/>
    <w:rsid w:val="5F314579"/>
    <w:rsid w:val="5F335DCF"/>
    <w:rsid w:val="5F337B7D"/>
    <w:rsid w:val="5F3B6141"/>
    <w:rsid w:val="5F544336"/>
    <w:rsid w:val="5F5572F2"/>
    <w:rsid w:val="5F6103B4"/>
    <w:rsid w:val="5F6CADD2"/>
    <w:rsid w:val="5F6E2BE4"/>
    <w:rsid w:val="5F710660"/>
    <w:rsid w:val="5FC86518"/>
    <w:rsid w:val="5FD01870"/>
    <w:rsid w:val="5FE77D07"/>
    <w:rsid w:val="5FEFCB6A"/>
    <w:rsid w:val="5FF90DC7"/>
    <w:rsid w:val="60036E23"/>
    <w:rsid w:val="60152F95"/>
    <w:rsid w:val="60200102"/>
    <w:rsid w:val="60204437"/>
    <w:rsid w:val="60211516"/>
    <w:rsid w:val="602378D7"/>
    <w:rsid w:val="602D143E"/>
    <w:rsid w:val="60301004"/>
    <w:rsid w:val="60382473"/>
    <w:rsid w:val="603B26DF"/>
    <w:rsid w:val="603E67DA"/>
    <w:rsid w:val="604A1623"/>
    <w:rsid w:val="605E3790"/>
    <w:rsid w:val="606E0145"/>
    <w:rsid w:val="606F1089"/>
    <w:rsid w:val="607C3983"/>
    <w:rsid w:val="607E751E"/>
    <w:rsid w:val="60820DBC"/>
    <w:rsid w:val="60835300"/>
    <w:rsid w:val="60940AF0"/>
    <w:rsid w:val="609B1E7E"/>
    <w:rsid w:val="609D0781"/>
    <w:rsid w:val="609E54CA"/>
    <w:rsid w:val="60AC4F46"/>
    <w:rsid w:val="60CA5C5B"/>
    <w:rsid w:val="60E45417"/>
    <w:rsid w:val="60F87F99"/>
    <w:rsid w:val="61161505"/>
    <w:rsid w:val="612956DC"/>
    <w:rsid w:val="612B67C4"/>
    <w:rsid w:val="613227E3"/>
    <w:rsid w:val="61333E65"/>
    <w:rsid w:val="613876CD"/>
    <w:rsid w:val="613E7BD6"/>
    <w:rsid w:val="614C5210"/>
    <w:rsid w:val="61501C21"/>
    <w:rsid w:val="616404C2"/>
    <w:rsid w:val="616A6E87"/>
    <w:rsid w:val="618F2C11"/>
    <w:rsid w:val="61936344"/>
    <w:rsid w:val="619E1C26"/>
    <w:rsid w:val="61C97E28"/>
    <w:rsid w:val="61D94A0C"/>
    <w:rsid w:val="61E45BE1"/>
    <w:rsid w:val="61EF2482"/>
    <w:rsid w:val="61F25ACE"/>
    <w:rsid w:val="61FC06FB"/>
    <w:rsid w:val="62052C58"/>
    <w:rsid w:val="620E7C5F"/>
    <w:rsid w:val="62143C96"/>
    <w:rsid w:val="62161BC7"/>
    <w:rsid w:val="62327299"/>
    <w:rsid w:val="623B56C7"/>
    <w:rsid w:val="62403290"/>
    <w:rsid w:val="62417C19"/>
    <w:rsid w:val="624F2F20"/>
    <w:rsid w:val="627838A0"/>
    <w:rsid w:val="627A1670"/>
    <w:rsid w:val="62944DD7"/>
    <w:rsid w:val="62966DA1"/>
    <w:rsid w:val="62C162DF"/>
    <w:rsid w:val="62C31218"/>
    <w:rsid w:val="62C52604"/>
    <w:rsid w:val="62C54F90"/>
    <w:rsid w:val="62CF7510"/>
    <w:rsid w:val="63017C85"/>
    <w:rsid w:val="6341070D"/>
    <w:rsid w:val="63493E13"/>
    <w:rsid w:val="634C56B2"/>
    <w:rsid w:val="635D78BF"/>
    <w:rsid w:val="63770981"/>
    <w:rsid w:val="637901FC"/>
    <w:rsid w:val="637B2DD2"/>
    <w:rsid w:val="63882ED5"/>
    <w:rsid w:val="638C3E3F"/>
    <w:rsid w:val="638C7C76"/>
    <w:rsid w:val="639808F7"/>
    <w:rsid w:val="63A075C4"/>
    <w:rsid w:val="63A53E53"/>
    <w:rsid w:val="63A92582"/>
    <w:rsid w:val="63BB361B"/>
    <w:rsid w:val="63C27722"/>
    <w:rsid w:val="63C52A41"/>
    <w:rsid w:val="63CF0C67"/>
    <w:rsid w:val="63E40472"/>
    <w:rsid w:val="63F81C40"/>
    <w:rsid w:val="642C2FFF"/>
    <w:rsid w:val="64373C6C"/>
    <w:rsid w:val="643833E7"/>
    <w:rsid w:val="64427DEE"/>
    <w:rsid w:val="644B139F"/>
    <w:rsid w:val="644B3C9B"/>
    <w:rsid w:val="644F5459"/>
    <w:rsid w:val="64547F2D"/>
    <w:rsid w:val="64760C38"/>
    <w:rsid w:val="64793B97"/>
    <w:rsid w:val="649176F3"/>
    <w:rsid w:val="64C64FF0"/>
    <w:rsid w:val="64D12312"/>
    <w:rsid w:val="64E421D7"/>
    <w:rsid w:val="64E536C8"/>
    <w:rsid w:val="64EF27FA"/>
    <w:rsid w:val="65000502"/>
    <w:rsid w:val="65171144"/>
    <w:rsid w:val="65177B21"/>
    <w:rsid w:val="653603C7"/>
    <w:rsid w:val="654900FB"/>
    <w:rsid w:val="65660CAD"/>
    <w:rsid w:val="65662D40"/>
    <w:rsid w:val="656B62C3"/>
    <w:rsid w:val="658E3D60"/>
    <w:rsid w:val="65975ABE"/>
    <w:rsid w:val="65980C88"/>
    <w:rsid w:val="659A5970"/>
    <w:rsid w:val="65A42948"/>
    <w:rsid w:val="65AB2B63"/>
    <w:rsid w:val="65DA7C44"/>
    <w:rsid w:val="65E358B9"/>
    <w:rsid w:val="65FC3B45"/>
    <w:rsid w:val="66094559"/>
    <w:rsid w:val="660B1854"/>
    <w:rsid w:val="661B7749"/>
    <w:rsid w:val="66486604"/>
    <w:rsid w:val="664D59C9"/>
    <w:rsid w:val="665065E3"/>
    <w:rsid w:val="66542793"/>
    <w:rsid w:val="6677416F"/>
    <w:rsid w:val="667E2026"/>
    <w:rsid w:val="66903B07"/>
    <w:rsid w:val="66CB066F"/>
    <w:rsid w:val="66D41C46"/>
    <w:rsid w:val="66EA3BE6"/>
    <w:rsid w:val="66FE6CC3"/>
    <w:rsid w:val="6721001D"/>
    <w:rsid w:val="67334BBF"/>
    <w:rsid w:val="6739419F"/>
    <w:rsid w:val="673C307E"/>
    <w:rsid w:val="674768BC"/>
    <w:rsid w:val="67696832"/>
    <w:rsid w:val="678629DB"/>
    <w:rsid w:val="679259FF"/>
    <w:rsid w:val="679744DF"/>
    <w:rsid w:val="67980EC5"/>
    <w:rsid w:val="679F2254"/>
    <w:rsid w:val="67A413F1"/>
    <w:rsid w:val="67A45ABC"/>
    <w:rsid w:val="67B841A0"/>
    <w:rsid w:val="67C47140"/>
    <w:rsid w:val="67CB482E"/>
    <w:rsid w:val="67CF572D"/>
    <w:rsid w:val="67CF642B"/>
    <w:rsid w:val="67E4410B"/>
    <w:rsid w:val="67FA392E"/>
    <w:rsid w:val="682E5386"/>
    <w:rsid w:val="68354427"/>
    <w:rsid w:val="684921C0"/>
    <w:rsid w:val="686F41A0"/>
    <w:rsid w:val="6873723D"/>
    <w:rsid w:val="687C5E53"/>
    <w:rsid w:val="687E455F"/>
    <w:rsid w:val="689C6793"/>
    <w:rsid w:val="68A16CAB"/>
    <w:rsid w:val="68B7625C"/>
    <w:rsid w:val="68CA77A4"/>
    <w:rsid w:val="68D12617"/>
    <w:rsid w:val="68D75A1D"/>
    <w:rsid w:val="68DE6DAC"/>
    <w:rsid w:val="68F14D31"/>
    <w:rsid w:val="68F16ADF"/>
    <w:rsid w:val="68F55EA4"/>
    <w:rsid w:val="68FA02C2"/>
    <w:rsid w:val="68FB170C"/>
    <w:rsid w:val="68FB795E"/>
    <w:rsid w:val="68FC7232"/>
    <w:rsid w:val="69001CCB"/>
    <w:rsid w:val="69064ECD"/>
    <w:rsid w:val="69117181"/>
    <w:rsid w:val="691B590A"/>
    <w:rsid w:val="69344C1E"/>
    <w:rsid w:val="69436EE9"/>
    <w:rsid w:val="6944742F"/>
    <w:rsid w:val="694F07A9"/>
    <w:rsid w:val="69613711"/>
    <w:rsid w:val="696C6E31"/>
    <w:rsid w:val="69746CC5"/>
    <w:rsid w:val="697E02E2"/>
    <w:rsid w:val="69B018C1"/>
    <w:rsid w:val="69C2047C"/>
    <w:rsid w:val="69EE7718"/>
    <w:rsid w:val="69F85C4B"/>
    <w:rsid w:val="69FF1A78"/>
    <w:rsid w:val="6A010FA4"/>
    <w:rsid w:val="6A130CD7"/>
    <w:rsid w:val="6A22006E"/>
    <w:rsid w:val="6A2A7525"/>
    <w:rsid w:val="6A302FE4"/>
    <w:rsid w:val="6A3846AF"/>
    <w:rsid w:val="6A436FC0"/>
    <w:rsid w:val="6A446A13"/>
    <w:rsid w:val="6A5F4F63"/>
    <w:rsid w:val="6A5F748C"/>
    <w:rsid w:val="6A7C062B"/>
    <w:rsid w:val="6A7E399C"/>
    <w:rsid w:val="6A841D70"/>
    <w:rsid w:val="6A933BC6"/>
    <w:rsid w:val="6AE85CC0"/>
    <w:rsid w:val="6AF61265"/>
    <w:rsid w:val="6AFC5785"/>
    <w:rsid w:val="6B083125"/>
    <w:rsid w:val="6B0845B4"/>
    <w:rsid w:val="6B0A032C"/>
    <w:rsid w:val="6B0A3E88"/>
    <w:rsid w:val="6B0B007F"/>
    <w:rsid w:val="6B122D3D"/>
    <w:rsid w:val="6B297183"/>
    <w:rsid w:val="6B2D5DC9"/>
    <w:rsid w:val="6B6748E5"/>
    <w:rsid w:val="6B8A321B"/>
    <w:rsid w:val="6B9179B8"/>
    <w:rsid w:val="6BA53BB1"/>
    <w:rsid w:val="6BB6110A"/>
    <w:rsid w:val="6BBA12EE"/>
    <w:rsid w:val="6BC57F00"/>
    <w:rsid w:val="6BCA6420"/>
    <w:rsid w:val="6BD5488C"/>
    <w:rsid w:val="6BE26BB3"/>
    <w:rsid w:val="6BE741CA"/>
    <w:rsid w:val="6BEC3CD0"/>
    <w:rsid w:val="6BEC4DD2"/>
    <w:rsid w:val="6C0C1E82"/>
    <w:rsid w:val="6C134FBF"/>
    <w:rsid w:val="6C1C3133"/>
    <w:rsid w:val="6C330ED2"/>
    <w:rsid w:val="6C3527D4"/>
    <w:rsid w:val="6C3D4941"/>
    <w:rsid w:val="6C4510B0"/>
    <w:rsid w:val="6C4812C9"/>
    <w:rsid w:val="6C5B0466"/>
    <w:rsid w:val="6C643B3D"/>
    <w:rsid w:val="6C674CA3"/>
    <w:rsid w:val="6C7C7008"/>
    <w:rsid w:val="6C845EBC"/>
    <w:rsid w:val="6C847C6A"/>
    <w:rsid w:val="6C892993"/>
    <w:rsid w:val="6CA546B6"/>
    <w:rsid w:val="6CA82DB4"/>
    <w:rsid w:val="6CC369E5"/>
    <w:rsid w:val="6CC47E5A"/>
    <w:rsid w:val="6CC856ED"/>
    <w:rsid w:val="6CD26C28"/>
    <w:rsid w:val="6CD96208"/>
    <w:rsid w:val="6CDE737B"/>
    <w:rsid w:val="6CED272F"/>
    <w:rsid w:val="6CFE7A1D"/>
    <w:rsid w:val="6D055865"/>
    <w:rsid w:val="6D150F8E"/>
    <w:rsid w:val="6D152C7A"/>
    <w:rsid w:val="6D196605"/>
    <w:rsid w:val="6D3276C6"/>
    <w:rsid w:val="6D3708FB"/>
    <w:rsid w:val="6D3E250F"/>
    <w:rsid w:val="6D401DE3"/>
    <w:rsid w:val="6D443964"/>
    <w:rsid w:val="6D5835D1"/>
    <w:rsid w:val="6D632B13"/>
    <w:rsid w:val="6D7B2E1B"/>
    <w:rsid w:val="6D8749FD"/>
    <w:rsid w:val="6D8A305E"/>
    <w:rsid w:val="6D8C6AB1"/>
    <w:rsid w:val="6D8D2B4F"/>
    <w:rsid w:val="6D9050BE"/>
    <w:rsid w:val="6D964261"/>
    <w:rsid w:val="6DB36A59"/>
    <w:rsid w:val="6DB41A6A"/>
    <w:rsid w:val="6DEF3809"/>
    <w:rsid w:val="6DF332FA"/>
    <w:rsid w:val="6DF901E4"/>
    <w:rsid w:val="6E386F5E"/>
    <w:rsid w:val="6E4A456A"/>
    <w:rsid w:val="6E5518BE"/>
    <w:rsid w:val="6E5F273D"/>
    <w:rsid w:val="6E777A87"/>
    <w:rsid w:val="6E7F3C61"/>
    <w:rsid w:val="6E9835C9"/>
    <w:rsid w:val="6E9B56B7"/>
    <w:rsid w:val="6E9D0F19"/>
    <w:rsid w:val="6EA13F6B"/>
    <w:rsid w:val="6EA7082B"/>
    <w:rsid w:val="6EA70C12"/>
    <w:rsid w:val="6EB81E4D"/>
    <w:rsid w:val="6EEA46FD"/>
    <w:rsid w:val="6F045092"/>
    <w:rsid w:val="6F101C89"/>
    <w:rsid w:val="6F152D9A"/>
    <w:rsid w:val="6F5B1846"/>
    <w:rsid w:val="6F600666"/>
    <w:rsid w:val="6F692830"/>
    <w:rsid w:val="6F7F3C85"/>
    <w:rsid w:val="6F87083E"/>
    <w:rsid w:val="6FA526CF"/>
    <w:rsid w:val="6FA64098"/>
    <w:rsid w:val="6FAF15DE"/>
    <w:rsid w:val="6FB44B27"/>
    <w:rsid w:val="6FB865A9"/>
    <w:rsid w:val="6FBE2D32"/>
    <w:rsid w:val="6FD107B4"/>
    <w:rsid w:val="6FE4739E"/>
    <w:rsid w:val="6FEF5D43"/>
    <w:rsid w:val="6FF3138F"/>
    <w:rsid w:val="6FF525A0"/>
    <w:rsid w:val="6FFA135B"/>
    <w:rsid w:val="6FFF7C0E"/>
    <w:rsid w:val="700D06A2"/>
    <w:rsid w:val="701D01BA"/>
    <w:rsid w:val="70357BF9"/>
    <w:rsid w:val="70384FF4"/>
    <w:rsid w:val="7049709F"/>
    <w:rsid w:val="70607750"/>
    <w:rsid w:val="706B361B"/>
    <w:rsid w:val="7073599E"/>
    <w:rsid w:val="70736AC3"/>
    <w:rsid w:val="707515C1"/>
    <w:rsid w:val="707FDCA3"/>
    <w:rsid w:val="70865C9C"/>
    <w:rsid w:val="708A4D58"/>
    <w:rsid w:val="708F6BDE"/>
    <w:rsid w:val="708F7DEE"/>
    <w:rsid w:val="70A37239"/>
    <w:rsid w:val="70A42689"/>
    <w:rsid w:val="70AE6A31"/>
    <w:rsid w:val="70B15EE2"/>
    <w:rsid w:val="70CB04E6"/>
    <w:rsid w:val="70D27294"/>
    <w:rsid w:val="71124D16"/>
    <w:rsid w:val="71286E22"/>
    <w:rsid w:val="71381023"/>
    <w:rsid w:val="7143236C"/>
    <w:rsid w:val="71434477"/>
    <w:rsid w:val="71544FA7"/>
    <w:rsid w:val="716E5065"/>
    <w:rsid w:val="717D5BC9"/>
    <w:rsid w:val="71984E98"/>
    <w:rsid w:val="71A566B9"/>
    <w:rsid w:val="71B2527A"/>
    <w:rsid w:val="71CA25C3"/>
    <w:rsid w:val="71D31FA7"/>
    <w:rsid w:val="71D376CA"/>
    <w:rsid w:val="71DB20DB"/>
    <w:rsid w:val="71DB657E"/>
    <w:rsid w:val="71DC5974"/>
    <w:rsid w:val="71F15DA2"/>
    <w:rsid w:val="72231699"/>
    <w:rsid w:val="72273572"/>
    <w:rsid w:val="722C6DDA"/>
    <w:rsid w:val="723D0FE7"/>
    <w:rsid w:val="72583E79"/>
    <w:rsid w:val="725A654C"/>
    <w:rsid w:val="72602357"/>
    <w:rsid w:val="72872262"/>
    <w:rsid w:val="728A3B01"/>
    <w:rsid w:val="72994176"/>
    <w:rsid w:val="72B172DF"/>
    <w:rsid w:val="72C45265"/>
    <w:rsid w:val="72D15F08"/>
    <w:rsid w:val="72D361F9"/>
    <w:rsid w:val="72D60AF4"/>
    <w:rsid w:val="72DD425C"/>
    <w:rsid w:val="72E115A8"/>
    <w:rsid w:val="72F85FEB"/>
    <w:rsid w:val="73013DC3"/>
    <w:rsid w:val="73153BB6"/>
    <w:rsid w:val="731A6C33"/>
    <w:rsid w:val="731C29AB"/>
    <w:rsid w:val="731E31D8"/>
    <w:rsid w:val="73243F55"/>
    <w:rsid w:val="73305DFD"/>
    <w:rsid w:val="733C304D"/>
    <w:rsid w:val="734D5117"/>
    <w:rsid w:val="734F61F6"/>
    <w:rsid w:val="735D680B"/>
    <w:rsid w:val="735E0EFB"/>
    <w:rsid w:val="735F61C1"/>
    <w:rsid w:val="736016CF"/>
    <w:rsid w:val="737547B1"/>
    <w:rsid w:val="737650A4"/>
    <w:rsid w:val="73836ECE"/>
    <w:rsid w:val="738531BD"/>
    <w:rsid w:val="738A2DD7"/>
    <w:rsid w:val="73905147"/>
    <w:rsid w:val="73915B78"/>
    <w:rsid w:val="73941CCC"/>
    <w:rsid w:val="73993FFB"/>
    <w:rsid w:val="739E74A3"/>
    <w:rsid w:val="73A02BD2"/>
    <w:rsid w:val="73A34E7A"/>
    <w:rsid w:val="73AA26AC"/>
    <w:rsid w:val="73AE12EC"/>
    <w:rsid w:val="73AF3118"/>
    <w:rsid w:val="73B272DC"/>
    <w:rsid w:val="73B452D9"/>
    <w:rsid w:val="73BBD34C"/>
    <w:rsid w:val="73D830DC"/>
    <w:rsid w:val="73F277FB"/>
    <w:rsid w:val="73F751C6"/>
    <w:rsid w:val="74035F8D"/>
    <w:rsid w:val="740E65A7"/>
    <w:rsid w:val="7416389E"/>
    <w:rsid w:val="74176CBA"/>
    <w:rsid w:val="74222C41"/>
    <w:rsid w:val="74263F24"/>
    <w:rsid w:val="743467DF"/>
    <w:rsid w:val="744213FF"/>
    <w:rsid w:val="744A1799"/>
    <w:rsid w:val="74714F78"/>
    <w:rsid w:val="74884070"/>
    <w:rsid w:val="7491607B"/>
    <w:rsid w:val="74B15F95"/>
    <w:rsid w:val="74D308E9"/>
    <w:rsid w:val="74DB6895"/>
    <w:rsid w:val="74DEE34C"/>
    <w:rsid w:val="74E0413E"/>
    <w:rsid w:val="74F31E31"/>
    <w:rsid w:val="74FE3011"/>
    <w:rsid w:val="751029E3"/>
    <w:rsid w:val="751A06EA"/>
    <w:rsid w:val="75322959"/>
    <w:rsid w:val="75331E77"/>
    <w:rsid w:val="7539754B"/>
    <w:rsid w:val="754228B9"/>
    <w:rsid w:val="754B3A1B"/>
    <w:rsid w:val="755201BF"/>
    <w:rsid w:val="75521133"/>
    <w:rsid w:val="75532CC9"/>
    <w:rsid w:val="75616D9B"/>
    <w:rsid w:val="75640639"/>
    <w:rsid w:val="75672928"/>
    <w:rsid w:val="75715B57"/>
    <w:rsid w:val="757F36C5"/>
    <w:rsid w:val="75AA195E"/>
    <w:rsid w:val="75AE7D3B"/>
    <w:rsid w:val="75B01F58"/>
    <w:rsid w:val="75B45DE3"/>
    <w:rsid w:val="75B51DBC"/>
    <w:rsid w:val="75CB7DAE"/>
    <w:rsid w:val="75CE4A51"/>
    <w:rsid w:val="75D27C98"/>
    <w:rsid w:val="75D86AF4"/>
    <w:rsid w:val="75DF5F11"/>
    <w:rsid w:val="75ED32D4"/>
    <w:rsid w:val="75FD7964"/>
    <w:rsid w:val="75FF7042"/>
    <w:rsid w:val="7603295D"/>
    <w:rsid w:val="760905A3"/>
    <w:rsid w:val="760925E8"/>
    <w:rsid w:val="76191423"/>
    <w:rsid w:val="763570DB"/>
    <w:rsid w:val="763F79BD"/>
    <w:rsid w:val="76487F5B"/>
    <w:rsid w:val="76524935"/>
    <w:rsid w:val="76726D86"/>
    <w:rsid w:val="76832D41"/>
    <w:rsid w:val="768F354A"/>
    <w:rsid w:val="76934ECB"/>
    <w:rsid w:val="7696746C"/>
    <w:rsid w:val="76BD3B8F"/>
    <w:rsid w:val="76D57A40"/>
    <w:rsid w:val="76EF79DF"/>
    <w:rsid w:val="76F0340D"/>
    <w:rsid w:val="76F58E6F"/>
    <w:rsid w:val="76FD6F97"/>
    <w:rsid w:val="770164D0"/>
    <w:rsid w:val="77076AA4"/>
    <w:rsid w:val="770C0F88"/>
    <w:rsid w:val="77107490"/>
    <w:rsid w:val="771A4CBB"/>
    <w:rsid w:val="772269FE"/>
    <w:rsid w:val="7723408E"/>
    <w:rsid w:val="77424D1F"/>
    <w:rsid w:val="7754671E"/>
    <w:rsid w:val="77597EB6"/>
    <w:rsid w:val="77692D92"/>
    <w:rsid w:val="777233CA"/>
    <w:rsid w:val="777A05E8"/>
    <w:rsid w:val="77807586"/>
    <w:rsid w:val="77976AA4"/>
    <w:rsid w:val="77AC6ED5"/>
    <w:rsid w:val="77B20707"/>
    <w:rsid w:val="77C11D73"/>
    <w:rsid w:val="77C61FA0"/>
    <w:rsid w:val="77C81353"/>
    <w:rsid w:val="77CB0E43"/>
    <w:rsid w:val="77CD4BBB"/>
    <w:rsid w:val="77D17A45"/>
    <w:rsid w:val="77D744B6"/>
    <w:rsid w:val="77DA638B"/>
    <w:rsid w:val="77E97F88"/>
    <w:rsid w:val="77ED294E"/>
    <w:rsid w:val="77FE2FC7"/>
    <w:rsid w:val="7800397B"/>
    <w:rsid w:val="78055809"/>
    <w:rsid w:val="78125870"/>
    <w:rsid w:val="78267E28"/>
    <w:rsid w:val="78336E8F"/>
    <w:rsid w:val="7836450F"/>
    <w:rsid w:val="783F195D"/>
    <w:rsid w:val="78454752"/>
    <w:rsid w:val="78485FF0"/>
    <w:rsid w:val="785A48DB"/>
    <w:rsid w:val="78623556"/>
    <w:rsid w:val="786728C9"/>
    <w:rsid w:val="786C7F30"/>
    <w:rsid w:val="787B73E6"/>
    <w:rsid w:val="78811502"/>
    <w:rsid w:val="78827687"/>
    <w:rsid w:val="78850FF2"/>
    <w:rsid w:val="78867F50"/>
    <w:rsid w:val="789B33E9"/>
    <w:rsid w:val="78A7540C"/>
    <w:rsid w:val="78C22246"/>
    <w:rsid w:val="78DB3308"/>
    <w:rsid w:val="78E82ECC"/>
    <w:rsid w:val="78F74CE4"/>
    <w:rsid w:val="79061938"/>
    <w:rsid w:val="790F6B0E"/>
    <w:rsid w:val="79157058"/>
    <w:rsid w:val="791B1604"/>
    <w:rsid w:val="79277E07"/>
    <w:rsid w:val="793D4922"/>
    <w:rsid w:val="795471DE"/>
    <w:rsid w:val="795D5ACB"/>
    <w:rsid w:val="79616AF5"/>
    <w:rsid w:val="797362B4"/>
    <w:rsid w:val="797572B9"/>
    <w:rsid w:val="798153CC"/>
    <w:rsid w:val="79960FDD"/>
    <w:rsid w:val="79A82AF9"/>
    <w:rsid w:val="79A90D10"/>
    <w:rsid w:val="79B0209F"/>
    <w:rsid w:val="79BF480D"/>
    <w:rsid w:val="79C67B14"/>
    <w:rsid w:val="79CE4C1B"/>
    <w:rsid w:val="79CF5E40"/>
    <w:rsid w:val="79D32B34"/>
    <w:rsid w:val="79DB2301"/>
    <w:rsid w:val="79E66321"/>
    <w:rsid w:val="7A0643B5"/>
    <w:rsid w:val="7A293F92"/>
    <w:rsid w:val="7A2A28FE"/>
    <w:rsid w:val="7A2F1E3C"/>
    <w:rsid w:val="7A2F7FBA"/>
    <w:rsid w:val="7A344A7E"/>
    <w:rsid w:val="7A4455AE"/>
    <w:rsid w:val="7A4D6A17"/>
    <w:rsid w:val="7A5F5873"/>
    <w:rsid w:val="7A613399"/>
    <w:rsid w:val="7A886B78"/>
    <w:rsid w:val="7A9A7EC7"/>
    <w:rsid w:val="7A9C0875"/>
    <w:rsid w:val="7AD048D5"/>
    <w:rsid w:val="7ADF6323"/>
    <w:rsid w:val="7AF608E4"/>
    <w:rsid w:val="7B2C1BF9"/>
    <w:rsid w:val="7B315461"/>
    <w:rsid w:val="7B3B25D2"/>
    <w:rsid w:val="7B4D23D0"/>
    <w:rsid w:val="7B5178B1"/>
    <w:rsid w:val="7B606A67"/>
    <w:rsid w:val="7B6334FC"/>
    <w:rsid w:val="7B6A2721"/>
    <w:rsid w:val="7B71585E"/>
    <w:rsid w:val="7B7E4AEF"/>
    <w:rsid w:val="7B7F7F7B"/>
    <w:rsid w:val="7B9854E0"/>
    <w:rsid w:val="7B9D74A9"/>
    <w:rsid w:val="7BA615A2"/>
    <w:rsid w:val="7BAD2EC7"/>
    <w:rsid w:val="7BB8348D"/>
    <w:rsid w:val="7BBD1C97"/>
    <w:rsid w:val="7BBF715B"/>
    <w:rsid w:val="7BD06A28"/>
    <w:rsid w:val="7BD55536"/>
    <w:rsid w:val="7BDE554C"/>
    <w:rsid w:val="7BE14DA1"/>
    <w:rsid w:val="7BF546E1"/>
    <w:rsid w:val="7BF71835"/>
    <w:rsid w:val="7BFF585B"/>
    <w:rsid w:val="7C031C34"/>
    <w:rsid w:val="7C1459E2"/>
    <w:rsid w:val="7C1F175E"/>
    <w:rsid w:val="7C1F1BD0"/>
    <w:rsid w:val="7C4756E9"/>
    <w:rsid w:val="7C550F05"/>
    <w:rsid w:val="7C5B4CE6"/>
    <w:rsid w:val="7C5D696C"/>
    <w:rsid w:val="7C611D76"/>
    <w:rsid w:val="7C6F6241"/>
    <w:rsid w:val="7C7B014B"/>
    <w:rsid w:val="7C833A9B"/>
    <w:rsid w:val="7C8616B1"/>
    <w:rsid w:val="7C8617DD"/>
    <w:rsid w:val="7C883B40"/>
    <w:rsid w:val="7C8A5143"/>
    <w:rsid w:val="7C907F65"/>
    <w:rsid w:val="7CA0464C"/>
    <w:rsid w:val="7CAE2D60"/>
    <w:rsid w:val="7CBA4FE2"/>
    <w:rsid w:val="7CBB1486"/>
    <w:rsid w:val="7CCD2F68"/>
    <w:rsid w:val="7CD267D0"/>
    <w:rsid w:val="7CDFA69B"/>
    <w:rsid w:val="7CE7D27C"/>
    <w:rsid w:val="7CF209C2"/>
    <w:rsid w:val="7D006117"/>
    <w:rsid w:val="7D0D15B6"/>
    <w:rsid w:val="7D171AF4"/>
    <w:rsid w:val="7D23036F"/>
    <w:rsid w:val="7D2A03BA"/>
    <w:rsid w:val="7D2E4B27"/>
    <w:rsid w:val="7D337C34"/>
    <w:rsid w:val="7D366D5F"/>
    <w:rsid w:val="7D382AD7"/>
    <w:rsid w:val="7D40373A"/>
    <w:rsid w:val="7D4A0A5C"/>
    <w:rsid w:val="7D4B0826"/>
    <w:rsid w:val="7D580E3B"/>
    <w:rsid w:val="7D5C044C"/>
    <w:rsid w:val="7D60202E"/>
    <w:rsid w:val="7D7E6B8B"/>
    <w:rsid w:val="7D9046C1"/>
    <w:rsid w:val="7D9615AC"/>
    <w:rsid w:val="7DBFAEB0"/>
    <w:rsid w:val="7DCD02A0"/>
    <w:rsid w:val="7DD563A4"/>
    <w:rsid w:val="7DEB3451"/>
    <w:rsid w:val="7DF12C86"/>
    <w:rsid w:val="7DFD08B0"/>
    <w:rsid w:val="7DFF5852"/>
    <w:rsid w:val="7E144772"/>
    <w:rsid w:val="7E2748F9"/>
    <w:rsid w:val="7E3257BC"/>
    <w:rsid w:val="7E376756"/>
    <w:rsid w:val="7E3D5ECB"/>
    <w:rsid w:val="7E4E1E86"/>
    <w:rsid w:val="7E4F6F2D"/>
    <w:rsid w:val="7E584026"/>
    <w:rsid w:val="7E5F4093"/>
    <w:rsid w:val="7E681432"/>
    <w:rsid w:val="7E6B34F5"/>
    <w:rsid w:val="7E6D7E18"/>
    <w:rsid w:val="7E7B1E6F"/>
    <w:rsid w:val="7E7B3A3F"/>
    <w:rsid w:val="7E807A39"/>
    <w:rsid w:val="7E821A3B"/>
    <w:rsid w:val="7E8A7C9B"/>
    <w:rsid w:val="7E8B30DA"/>
    <w:rsid w:val="7E8C2368"/>
    <w:rsid w:val="7E9401E1"/>
    <w:rsid w:val="7E9C6F9B"/>
    <w:rsid w:val="7EAB72D9"/>
    <w:rsid w:val="7EAF501B"/>
    <w:rsid w:val="7EB45671"/>
    <w:rsid w:val="7EBF4B32"/>
    <w:rsid w:val="7EC5039A"/>
    <w:rsid w:val="7EC91358"/>
    <w:rsid w:val="7ED7DDCE"/>
    <w:rsid w:val="7EEB3B79"/>
    <w:rsid w:val="7EED1546"/>
    <w:rsid w:val="7F07550C"/>
    <w:rsid w:val="7F0D1D41"/>
    <w:rsid w:val="7F0E47C4"/>
    <w:rsid w:val="7F126204"/>
    <w:rsid w:val="7F126E6A"/>
    <w:rsid w:val="7F141322"/>
    <w:rsid w:val="7F1453DB"/>
    <w:rsid w:val="7F1475B9"/>
    <w:rsid w:val="7F1629A4"/>
    <w:rsid w:val="7F1E1CCB"/>
    <w:rsid w:val="7F2876AC"/>
    <w:rsid w:val="7F323556"/>
    <w:rsid w:val="7F341DFF"/>
    <w:rsid w:val="7F590AE3"/>
    <w:rsid w:val="7F6E9CB6"/>
    <w:rsid w:val="7F7FE64A"/>
    <w:rsid w:val="7F956761"/>
    <w:rsid w:val="7F9B49B0"/>
    <w:rsid w:val="7F9F4B02"/>
    <w:rsid w:val="7FB422C4"/>
    <w:rsid w:val="7FDC3989"/>
    <w:rsid w:val="7FEA09E2"/>
    <w:rsid w:val="7FEC1957"/>
    <w:rsid w:val="7FF37189"/>
    <w:rsid w:val="7FF642BE"/>
    <w:rsid w:val="8DDC2330"/>
    <w:rsid w:val="9FBD6E3A"/>
    <w:rsid w:val="ABB51C1B"/>
    <w:rsid w:val="AFBBF067"/>
    <w:rsid w:val="B5FF2DC1"/>
    <w:rsid w:val="B7D75C42"/>
    <w:rsid w:val="B9F775B7"/>
    <w:rsid w:val="BC936312"/>
    <w:rsid w:val="BDFF1568"/>
    <w:rsid w:val="BDFFED4C"/>
    <w:rsid w:val="BEDF50DF"/>
    <w:rsid w:val="BF7F7A46"/>
    <w:rsid w:val="BFD75EF3"/>
    <w:rsid w:val="BFEA60F3"/>
    <w:rsid w:val="BFF4EE88"/>
    <w:rsid w:val="C6DF4D2C"/>
    <w:rsid w:val="CDDF8D29"/>
    <w:rsid w:val="CF7B6F3E"/>
    <w:rsid w:val="D2B781E6"/>
    <w:rsid w:val="D47FFD19"/>
    <w:rsid w:val="D6C7FF08"/>
    <w:rsid w:val="D8FF9E66"/>
    <w:rsid w:val="DB2EA37C"/>
    <w:rsid w:val="DEFAD7D8"/>
    <w:rsid w:val="DFB72C70"/>
    <w:rsid w:val="DFFA7DB7"/>
    <w:rsid w:val="E3FD2631"/>
    <w:rsid w:val="E4EB1C6E"/>
    <w:rsid w:val="E75F9682"/>
    <w:rsid w:val="E7BBB46B"/>
    <w:rsid w:val="EA0B12A9"/>
    <w:rsid w:val="EBF68805"/>
    <w:rsid w:val="EEE7E7A4"/>
    <w:rsid w:val="EFF60C47"/>
    <w:rsid w:val="F1F511E9"/>
    <w:rsid w:val="F68F70A5"/>
    <w:rsid w:val="F7BBF211"/>
    <w:rsid w:val="F7DEF1EE"/>
    <w:rsid w:val="F7F38D57"/>
    <w:rsid w:val="F7FF55DE"/>
    <w:rsid w:val="F98567CE"/>
    <w:rsid w:val="F9ADDDEB"/>
    <w:rsid w:val="F9BEFF0E"/>
    <w:rsid w:val="F9EFC684"/>
    <w:rsid w:val="FADDB4F8"/>
    <w:rsid w:val="FAE9CD5D"/>
    <w:rsid w:val="FB5F9FE3"/>
    <w:rsid w:val="FB692196"/>
    <w:rsid w:val="FD7DC39C"/>
    <w:rsid w:val="FDAD4A42"/>
    <w:rsid w:val="FDEC5532"/>
    <w:rsid w:val="FDFDD994"/>
    <w:rsid w:val="FDFE196F"/>
    <w:rsid w:val="FDFFA531"/>
    <w:rsid w:val="FE7FAA5B"/>
    <w:rsid w:val="FEBDE989"/>
    <w:rsid w:val="FEBF0BE3"/>
    <w:rsid w:val="FEF5BAD6"/>
    <w:rsid w:val="FEF97E6E"/>
    <w:rsid w:val="FF572B2E"/>
    <w:rsid w:val="FF7B0A41"/>
    <w:rsid w:val="FF7B3FA7"/>
    <w:rsid w:val="FFDF63B8"/>
    <w:rsid w:val="FFE70018"/>
    <w:rsid w:val="FFFAA7B2"/>
    <w:rsid w:val="FFFDC16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rPr>
      <w:szCs w:val="20"/>
    </w:rPr>
  </w:style>
  <w:style w:type="paragraph" w:styleId="6">
    <w:name w:val="Body Text"/>
    <w:basedOn w:val="1"/>
    <w:next w:val="1"/>
    <w:unhideWhenUsed/>
    <w:qFormat/>
    <w:uiPriority w:val="0"/>
    <w:pPr>
      <w:spacing w:after="120"/>
    </w:pPr>
    <w:rPr>
      <w:sz w:val="24"/>
    </w:rPr>
  </w:style>
  <w:style w:type="paragraph" w:styleId="7">
    <w:name w:val="annotation text"/>
    <w:basedOn w:val="1"/>
    <w:link w:val="28"/>
    <w:unhideWhenUsed/>
    <w:qFormat/>
    <w:uiPriority w:val="0"/>
    <w:pPr>
      <w:jc w:val="left"/>
    </w:pPr>
    <w:rPr>
      <w:kern w:val="0"/>
      <w:sz w:val="20"/>
    </w:rPr>
  </w:style>
  <w:style w:type="paragraph" w:styleId="8">
    <w:name w:val="Body Text Indent"/>
    <w:basedOn w:val="1"/>
    <w:unhideWhenUsed/>
    <w:qFormat/>
    <w:uiPriority w:val="99"/>
    <w:pPr>
      <w:spacing w:after="120"/>
      <w:ind w:left="420" w:leftChars="200"/>
    </w:pPr>
    <w:rPr>
      <w:kern w:val="0"/>
      <w:sz w:val="20"/>
      <w:szCs w:val="20"/>
    </w:rPr>
  </w:style>
  <w:style w:type="paragraph" w:styleId="9">
    <w:name w:val="Plain Text"/>
    <w:basedOn w:val="1"/>
    <w:qFormat/>
    <w:uiPriority w:val="0"/>
    <w:rPr>
      <w:rFonts w:ascii="宋体" w:hAnsi="Courier New"/>
    </w:rPr>
  </w:style>
  <w:style w:type="paragraph" w:styleId="10">
    <w:name w:val="Balloon Text"/>
    <w:basedOn w:val="1"/>
    <w:link w:val="29"/>
    <w:qFormat/>
    <w:uiPriority w:val="99"/>
    <w:rPr>
      <w:sz w:val="18"/>
      <w:szCs w:val="18"/>
    </w:rPr>
  </w:style>
  <w:style w:type="paragraph" w:styleId="11">
    <w:name w:val="footer"/>
    <w:basedOn w:val="1"/>
    <w:unhideWhenUsed/>
    <w:qFormat/>
    <w:uiPriority w:val="99"/>
    <w:pPr>
      <w:tabs>
        <w:tab w:val="center" w:pos="4153"/>
        <w:tab w:val="right" w:pos="8306"/>
      </w:tabs>
      <w:snapToGrid w:val="0"/>
      <w:jc w:val="left"/>
    </w:pPr>
    <w:rPr>
      <w:kern w:val="0"/>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unhideWhenUsed/>
    <w:qFormat/>
    <w:uiPriority w:val="39"/>
  </w:style>
  <w:style w:type="paragraph" w:styleId="14">
    <w:name w:val="toc 2"/>
    <w:basedOn w:val="1"/>
    <w:next w:val="1"/>
    <w:qFormat/>
    <w:uiPriority w:val="0"/>
    <w:pPr>
      <w:spacing w:line="600" w:lineRule="exact"/>
      <w:ind w:firstLine="880" w:firstLineChars="200"/>
    </w:pPr>
    <w:rPr>
      <w:rFonts w:eastAsia="仿宋_GB2312"/>
      <w:sz w:val="32"/>
    </w:rPr>
  </w:style>
  <w:style w:type="paragraph" w:styleId="15">
    <w:name w:val="Body Text 2"/>
    <w:basedOn w:val="1"/>
    <w:qFormat/>
    <w:uiPriority w:val="99"/>
    <w:pPr>
      <w:widowControl w:val="0"/>
      <w:spacing w:before="240"/>
      <w:jc w:val="both"/>
    </w:pPr>
    <w:rPr>
      <w:rFonts w:ascii="Calibri" w:hAnsi="Calibri" w:eastAsia="宋体" w:cs="Times New Roman"/>
      <w:color w:val="FF0000"/>
      <w:kern w:val="2"/>
      <w:sz w:val="21"/>
      <w:szCs w:val="24"/>
      <w:lang w:val="en-US" w:eastAsia="zh-CN" w:bidi="ar-SA"/>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0"/>
    <w:pPr>
      <w:spacing w:before="240" w:after="60"/>
      <w:jc w:val="center"/>
      <w:outlineLvl w:val="0"/>
    </w:pPr>
    <w:rPr>
      <w:rFonts w:ascii="Arial" w:hAnsi="Arial" w:eastAsia="隶书"/>
      <w:b/>
      <w:bCs/>
      <w:sz w:val="32"/>
      <w:szCs w:val="32"/>
    </w:rPr>
  </w:style>
  <w:style w:type="paragraph" w:styleId="18">
    <w:name w:val="annotation subject"/>
    <w:basedOn w:val="7"/>
    <w:next w:val="7"/>
    <w:link w:val="30"/>
    <w:qFormat/>
    <w:uiPriority w:val="0"/>
    <w:rPr>
      <w:b/>
      <w:bCs/>
      <w:kern w:val="2"/>
      <w:sz w:val="21"/>
    </w:rPr>
  </w:style>
  <w:style w:type="paragraph" w:styleId="19">
    <w:name w:val="Body Text First Indent"/>
    <w:basedOn w:val="6"/>
    <w:qFormat/>
    <w:uiPriority w:val="0"/>
    <w:pPr>
      <w:widowControl w:val="0"/>
      <w:snapToGrid w:val="0"/>
      <w:spacing w:line="560" w:lineRule="exact"/>
      <w:ind w:firstLine="200" w:firstLineChars="200"/>
      <w:jc w:val="both"/>
    </w:pPr>
    <w:rPr>
      <w:rFonts w:ascii="仿宋" w:hAnsi="仿宋" w:cs="仿宋"/>
    </w:rPr>
  </w:style>
  <w:style w:type="table" w:styleId="21">
    <w:name w:val="Table Grid"/>
    <w:basedOn w:val="2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rPr>
  </w:style>
  <w:style w:type="character" w:styleId="24">
    <w:name w:val="page number"/>
    <w:qFormat/>
    <w:uiPriority w:val="0"/>
  </w:style>
  <w:style w:type="character" w:styleId="25">
    <w:name w:val="FollowedHyperlink"/>
    <w:qFormat/>
    <w:uiPriority w:val="0"/>
    <w:rPr>
      <w:color w:val="800080"/>
      <w:u w:val="none"/>
    </w:rPr>
  </w:style>
  <w:style w:type="character" w:styleId="26">
    <w:name w:val="Hyperlink"/>
    <w:qFormat/>
    <w:uiPriority w:val="0"/>
    <w:rPr>
      <w:color w:val="0000FF"/>
      <w:u w:val="none"/>
    </w:rPr>
  </w:style>
  <w:style w:type="character" w:styleId="27">
    <w:name w:val="annotation reference"/>
    <w:qFormat/>
    <w:uiPriority w:val="0"/>
    <w:rPr>
      <w:sz w:val="21"/>
      <w:szCs w:val="21"/>
    </w:rPr>
  </w:style>
  <w:style w:type="character" w:customStyle="1" w:styleId="28">
    <w:name w:val="批注文字 字符"/>
    <w:link w:val="7"/>
    <w:qFormat/>
    <w:uiPriority w:val="0"/>
    <w:rPr>
      <w:szCs w:val="24"/>
    </w:rPr>
  </w:style>
  <w:style w:type="character" w:customStyle="1" w:styleId="29">
    <w:name w:val="批注框文本 字符"/>
    <w:link w:val="10"/>
    <w:qFormat/>
    <w:uiPriority w:val="99"/>
    <w:rPr>
      <w:kern w:val="2"/>
      <w:sz w:val="18"/>
      <w:szCs w:val="18"/>
    </w:rPr>
  </w:style>
  <w:style w:type="character" w:customStyle="1" w:styleId="30">
    <w:name w:val="批注主题 字符"/>
    <w:link w:val="18"/>
    <w:qFormat/>
    <w:uiPriority w:val="0"/>
    <w:rPr>
      <w:b/>
      <w:bCs/>
      <w:kern w:val="2"/>
      <w:sz w:val="21"/>
      <w:szCs w:val="24"/>
    </w:rPr>
  </w:style>
  <w:style w:type="paragraph" w:customStyle="1" w:styleId="3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32">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33">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34">
    <w:name w:val="正文格式"/>
    <w:basedOn w:val="8"/>
    <w:qFormat/>
    <w:uiPriority w:val="99"/>
    <w:pPr>
      <w:spacing w:after="0" w:line="360" w:lineRule="auto"/>
      <w:ind w:left="0" w:leftChars="0" w:firstLine="600"/>
    </w:pPr>
    <w:rPr>
      <w:rFonts w:eastAsia="仿宋_GB2312"/>
      <w:sz w:val="30"/>
      <w:szCs w:val="30"/>
    </w:rPr>
  </w:style>
  <w:style w:type="paragraph" w:customStyle="1" w:styleId="35">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styleId="36">
    <w:name w:val="List Paragraph"/>
    <w:basedOn w:val="1"/>
    <w:qFormat/>
    <w:uiPriority w:val="34"/>
    <w:pPr>
      <w:ind w:firstLine="420" w:firstLineChars="200"/>
    </w:pPr>
  </w:style>
  <w:style w:type="paragraph" w:customStyle="1" w:styleId="37">
    <w:name w:val="（）列表模式"/>
    <w:basedOn w:val="1"/>
    <w:qFormat/>
    <w:uiPriority w:val="0"/>
    <w:pPr>
      <w:tabs>
        <w:tab w:val="left" w:pos="960"/>
        <w:tab w:val="left" w:pos="1470"/>
      </w:tabs>
      <w:spacing w:line="360" w:lineRule="auto"/>
      <w:ind w:left="1470" w:hanging="420"/>
    </w:pPr>
    <w:rPr>
      <w:sz w:val="24"/>
      <w:szCs w:val="20"/>
    </w:rPr>
  </w:style>
  <w:style w:type="paragraph" w:customStyle="1" w:styleId="38">
    <w:name w:val="Table Paragraph"/>
    <w:basedOn w:val="1"/>
    <w:qFormat/>
    <w:uiPriority w:val="0"/>
    <w:pPr>
      <w:autoSpaceDE w:val="0"/>
      <w:autoSpaceDN w:val="0"/>
      <w:jc w:val="left"/>
    </w:pPr>
    <w:rPr>
      <w:rFonts w:ascii="宋体" w:hAnsi="宋体" w:cs="宋体"/>
      <w:kern w:val="0"/>
      <w:sz w:val="22"/>
      <w:szCs w:val="22"/>
    </w:rPr>
  </w:style>
  <w:style w:type="paragraph" w:customStyle="1" w:styleId="39">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40">
    <w:name w:val="qowt-font5-gb2312"/>
    <w:qFormat/>
    <w:uiPriority w:val="0"/>
  </w:style>
  <w:style w:type="paragraph" w:customStyle="1" w:styleId="41">
    <w:name w:val="正文 New New New New New"/>
    <w:qFormat/>
    <w:uiPriority w:val="0"/>
    <w:pPr>
      <w:widowControl w:val="0"/>
      <w:jc w:val="both"/>
    </w:pPr>
    <w:rPr>
      <w:rFonts w:ascii="等线" w:hAnsi="等线" w:eastAsia="等线" w:cs="等线"/>
      <w:kern w:val="2"/>
      <w:sz w:val="21"/>
      <w:szCs w:val="24"/>
      <w:lang w:val="en-US" w:eastAsia="zh-CN" w:bidi="ar-SA"/>
    </w:rPr>
  </w:style>
  <w:style w:type="paragraph" w:customStyle="1" w:styleId="42">
    <w:name w:val="_Style 1"/>
    <w:qFormat/>
    <w:uiPriority w:val="1"/>
    <w:pPr>
      <w:adjustRightInd w:val="0"/>
      <w:snapToGrid w:val="0"/>
      <w:ind w:firstLine="200" w:firstLineChars="200"/>
    </w:pPr>
    <w:rPr>
      <w:rFonts w:ascii="宋体" w:hAnsi="宋体" w:eastAsia="仿宋_GB2312" w:cs="Times New Roman"/>
      <w:sz w:val="32"/>
      <w:szCs w:val="21"/>
      <w:lang w:val="en-US" w:eastAsia="zh-CN" w:bidi="ar-SA"/>
    </w:rPr>
  </w:style>
  <w:style w:type="paragraph" w:customStyle="1" w:styleId="43">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4">
    <w:name w:val="修订2"/>
    <w:unhideWhenUsed/>
    <w:qFormat/>
    <w:uiPriority w:val="99"/>
    <w:rPr>
      <w:rFonts w:ascii="Times New Roman" w:hAnsi="Times New Roman" w:eastAsia="宋体" w:cs="Times New Roman"/>
      <w:kern w:val="2"/>
      <w:sz w:val="21"/>
      <w:szCs w:val="24"/>
      <w:lang w:val="en-US" w:eastAsia="zh-CN" w:bidi="ar-SA"/>
    </w:rPr>
  </w:style>
  <w:style w:type="character" w:customStyle="1" w:styleId="45">
    <w:name w:val="NormalCharacter"/>
    <w:qFormat/>
    <w:uiPriority w:val="0"/>
    <w:rPr>
      <w:kern w:val="2"/>
      <w:sz w:val="21"/>
      <w:szCs w:val="24"/>
      <w:lang w:val="en-US" w:eastAsia="zh-CN" w:bidi="ar-SA"/>
    </w:rPr>
  </w:style>
  <w:style w:type="paragraph" w:customStyle="1" w:styleId="46">
    <w:name w:val="样式 标题 2 + 段前: 12 磅 行距: 单倍行距"/>
    <w:basedOn w:val="3"/>
    <w:qFormat/>
    <w:uiPriority w:val="0"/>
    <w:pPr>
      <w:spacing w:before="300" w:line="500" w:lineRule="exact"/>
      <w:ind w:left="567" w:hanging="567"/>
    </w:pPr>
    <w:rPr>
      <w:rFonts w:eastAsia="仿宋_GB2312"/>
      <w:sz w:val="28"/>
    </w:rPr>
  </w:style>
  <w:style w:type="paragraph" w:customStyle="1" w:styleId="47">
    <w:name w:val="msolistparagraph"/>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48">
    <w:name w:val="_Style 47"/>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91</Pages>
  <Words>11301</Words>
  <Characters>11825</Characters>
  <Lines>410</Lines>
  <Paragraphs>115</Paragraphs>
  <TotalTime>21</TotalTime>
  <ScaleCrop>false</ScaleCrop>
  <LinksUpToDate>false</LinksUpToDate>
  <CharactersWithSpaces>12073</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2025-04-23T17:14:00Z</dcterms:created>
  <dc:creator>姬崽</dc:creator>
  <cp:lastModifiedBy>黎俊</cp:lastModifiedBy>
  <dcterms:modified xsi:type="dcterms:W3CDTF">2025-07-07T03:07:43Z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3F5935E378AF4A2695FDD3091E1CD074_13</vt:lpwstr>
  </property>
  <property fmtid="{D5CDD505-2E9C-101B-9397-08002B2CF9AE}" pid="4" name="KSOTemplateDocerSaveRecord">
    <vt:lpwstr>eyJoZGlkIjoiMWViNjU1YjYxMmE1ZjA1ZGI4YzZiMWU4ZDg3Zjk4MWMiLCJ1c2VySWQiOiIxNDg2ODI2MzgyIn0=</vt:lpwstr>
  </property>
</Properties>
</file>