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宋体" w:eastAsia="方正小标宋_GBK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南山区促进产业高质量发展专项资金——区文化广电旅游体育局分项资金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宋体" w:eastAsia="方正小标宋_GBK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支持文体产业空间塑造品牌、扩大知名度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宋体" w:eastAsia="方正小标宋_GBK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项目操作规程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eastAsia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eastAsia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一、政策内容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对经认定的文化、体育产业园区、孵化器等产业空间，运营单位在空间内举办较有影响力的品牌活动，对其中一项按实际发生费用的50％给予资助。每个产业空间每年最高不超过100万元。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为鼓励园区发挥主观能动性，提升园区运营服务水平，进一步做大做强，提升竞争力和招商吸引力，根据《南山区促进产业高质量发展专项资金管理办法》和《</w:t>
      </w:r>
      <w:r>
        <w:rPr>
          <w:rFonts w:hint="eastAsia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南山区促进文化旅游体育产业发展专项扶持措施</w:t>
      </w:r>
      <w:r>
        <w:rPr>
          <w:rFonts w:hint="eastAsia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》，制定本操作规程。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基本条件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、在南山辖区内登记注册、经营、具有独立法人资格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、守法经营、诚实守信、有规范健全的财务制度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按照国家相关统计报表制度规定，正常履行统计报表义务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4、最终资助金额需大于等于1万元。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（二）有下列情况之一的，本项资金不予资助：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被依法依规纳入严重失信主体名单或失信惩戒措施清单的；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提出资助申请后，申报主体注册地或在地统计关系发生变化，不再符合申报条件的。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黑体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四、申请说明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申报主体为经认定的市级以上文化（体育）产业园区运营单位，详见附表《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南山区“市级以上文化（体育）产业园区”名单（2024</w:t>
      </w:r>
      <w:bookmarkStart w:id="1" w:name="_GoBack"/>
      <w:bookmarkEnd w:id="1"/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年）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上年度园区运营单位在报刊、广播电视、互联网等媒体上针对本园区进行的宣传推广，可申请资助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上年度园区运营单位在本园区内举办的较有影响力的品牌活动，可选择一项申请资助；申请资助之品牌活动，需先报区文化广电旅游体育局</w:t>
      </w:r>
      <w:bookmarkStart w:id="0" w:name="OLE_LINK10"/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备案</w:t>
      </w:r>
      <w:bookmarkEnd w:id="0"/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运营单位在空间内举办较有影响力的品牌活动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，具体指：符合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文化、体育产业园区、孵化器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品牌定位，并经产业主管部门备案的品牌活动，按照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50%进行资助。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（五）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品牌活动可补贴的费用包括布展费、宣传费（广告费、印刷费、材料费）、会务费（咨询服务费、策划费、翻译费、设备租赁费）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（六）被评为国家级文化产业（示范）园区的单位，每年最高不超过100万元。被评为省级文化产业（示范）园区的，每年最高不超过80万元。被评为市级体育产业（示范）园区的，每年最高不超过50万元。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（七）最终资助金额需大于等于1万元。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、资助方式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本项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资助属于核准类项目，坚持公平、公开、公正的原则，实行自愿申报、科学决策和绩效评估的管理制度，采取无偿资助方式和事后补贴制，受资助项目无需验收。</w:t>
      </w:r>
    </w:p>
    <w:p>
      <w:pPr>
        <w:spacing w:after="0" w:line="560" w:lineRule="exact"/>
        <w:ind w:firstLine="640" w:firstLineChars="200"/>
        <w:contextualSpacing/>
        <w:rPr>
          <w:rFonts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/>
          <w:bCs/>
          <w:color w:val="000000" w:themeColor="text1"/>
          <w:kern w:val="2"/>
          <w:sz w:val="32"/>
          <w:szCs w:val="32"/>
          <w:lang w:eastAsia="zh-CN" w:bidi="ar-SA"/>
          <w14:textFill>
            <w14:solidFill>
              <w14:schemeClr w14:val="tx1"/>
            </w14:solidFill>
          </w14:textFill>
        </w:rPr>
        <w:t>办理流程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（一）申报</w:t>
      </w:r>
      <w:r>
        <w:rPr>
          <w:rFonts w:ascii="仿宋_GB2312" w:hAnsi="ˎ̥" w:eastAsia="仿宋_GB2312" w:cs="宋体"/>
          <w:color w:val="000000" w:themeColor="text1"/>
          <w:sz w:val="32"/>
          <w:szCs w:val="32"/>
          <w:lang w:eastAsia="zh-CN" w:bidi="ar-SA"/>
          <w14:textFill>
            <w14:solidFill>
              <w14:schemeClr w14:val="tx1"/>
            </w14:solidFill>
          </w14:textFill>
        </w:rPr>
        <w:t>主体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登陆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i南山企业服务综合平台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/>
          <w:color w:val="000000" w:themeColor="text1"/>
          <w:kern w:val="2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https://www.inanshan.org.cn/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，网上提交项目申报材料；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（二）区企业发展服务中心受理</w:t>
      </w:r>
      <w:r>
        <w:rPr>
          <w:rFonts w:hint="eastAsia" w:ascii="仿宋_GB2312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申请，对申报材料进行形式性审核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，区局复审项目申报材料； 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（三）区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文化广电旅游体育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局拟定资助计划；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（四）区统计局对申报主体在地统计开展情况进行核查，</w:t>
      </w:r>
      <w:r>
        <w:rPr>
          <w:rFonts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区企业发展服务中心组织对申报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主体</w:t>
      </w:r>
      <w:r>
        <w:rPr>
          <w:rFonts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的注册情况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不良信用记录等情况进行核查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区企业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发展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服务中心将拟资助项目向社会公示5个工作日，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对公示期满，无有效投诉的项目资助计划，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文化广电旅游体育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局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再按照相应审核程序提交会议审议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）经审议后，由区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文化广电旅游体育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局直接行文下达资金计划；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（七）区财政部门及时安排资金，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文化广电旅游体育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局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办理资金拨付手续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、所需材料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14:textFill>
            <w14:solidFill>
              <w14:schemeClr w14:val="tx1"/>
            </w14:solidFill>
          </w14:textFill>
        </w:rPr>
        <w:t>登录“i南山企业服务综合平台”（https://www.inanshan.org.cn/）在线填写</w:t>
      </w:r>
      <w:r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《支持文体产业空间塑造品牌、扩大知名度项目》申请书。(注：申请书编号以最终提交申请书生成为准，附件清单材料为佐证材料。)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537"/>
        <w:gridCol w:w="1140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537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附件名称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是否必备材料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网上提交资料要求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537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新版</w:t>
            </w:r>
            <w:r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三证合一</w:t>
            </w:r>
            <w:r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营业执照（事业单位提交新版“三证合一”法人证书）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770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原件彩色扫描；P</w:t>
            </w:r>
            <w:r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DF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格式上传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537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法定代表人身份证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537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税务部门提供的单位上一年度的纳税证明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37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园区宣传推广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品牌活动媒体发布情况及截图、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活动照片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品牌活动备案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537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宣传推广/品牌活动相关费用的合同、发票及银行往来凭证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hint="default" w:ascii="楷体" w:hAnsi="楷体" w:eastAsia="楷体"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楷体" w:hAnsi="楷体" w:eastAsia="楷体"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537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申请书签字盖章版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楷体" w:hAnsi="楷体" w:eastAsia="楷体"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4537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其它证明材料（如有）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560" w:lineRule="exact"/>
        <w:ind w:firstLine="537" w:firstLineChars="168"/>
        <w:rPr>
          <w:rFonts w:hint="eastAsia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八、其他事项</w:t>
      </w:r>
    </w:p>
    <w:p>
      <w:pPr>
        <w:spacing w:after="0" w:line="560" w:lineRule="exact"/>
        <w:ind w:firstLine="640" w:firstLineChars="200"/>
        <w:contextualSpacing/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请本项目资助的企业应保证其申报材料的完整性、真实性、准确性及合法性，并承担所提交的项目申报材料的相关法律责任，如有虚假或侵权等行为，该项目申请无效，如事后发现存在以上行为，本资金主管部门将保留依法追究其法律责任的权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九、附则</w:t>
      </w:r>
    </w:p>
    <w:p>
      <w:pPr>
        <w:spacing w:after="0" w:line="560" w:lineRule="exact"/>
        <w:ind w:firstLine="640" w:firstLineChars="200"/>
        <w:contextualSpacing/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本项目责任部门为区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文化广电旅游体育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局，本操作规程由其负责解释，自发布之日起施行。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00" w:lineRule="auto"/>
        <w:jc w:val="left"/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00" w:lineRule="auto"/>
        <w:jc w:val="left"/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00" w:lineRule="auto"/>
        <w:jc w:val="left"/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00" w:lineRule="auto"/>
        <w:jc w:val="left"/>
        <w:rPr>
          <w:rFonts w:ascii="仿宋_GB2312" w:hAnsi="宋体" w:eastAsia="仿宋_GB2312" w:cs="宋体"/>
          <w:color w:val="000000" w:themeColor="text1"/>
          <w:spacing w:val="4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附表：</w:t>
      </w:r>
    </w:p>
    <w:p>
      <w:pPr>
        <w:jc w:val="center"/>
        <w:rPr>
          <w:rFonts w:asciiTheme="majorEastAsia" w:hAnsiTheme="majorEastAsia" w:eastAsiaTheme="majorEastAsia" w:cstheme="majorEastAsia"/>
          <w:color w:val="000000" w:themeColor="text1"/>
          <w:spacing w:val="4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南山区“市级以上</w:t>
      </w:r>
      <w:r>
        <w:rPr>
          <w:rFonts w:hint="eastAsia" w:asciiTheme="majorEastAsia" w:hAnsiTheme="majorEastAsia" w:eastAsiaTheme="majorEastAsia" w:cstheme="majorEastAsia"/>
          <w:color w:val="000000" w:themeColor="text1"/>
          <w:spacing w:val="4"/>
          <w:sz w:val="44"/>
          <w:szCs w:val="44"/>
          <w14:textFill>
            <w14:solidFill>
              <w14:schemeClr w14:val="tx1"/>
            </w14:solidFill>
          </w14:textFill>
        </w:rPr>
        <w:t>文化（体育）产业园区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Theme="majorEastAsia" w:hAnsiTheme="majorEastAsia" w:eastAsiaTheme="majorEastAsia" w:cstheme="majorEastAsia"/>
          <w:color w:val="000000" w:themeColor="text1"/>
          <w:spacing w:val="4"/>
          <w:sz w:val="44"/>
          <w:szCs w:val="44"/>
          <w14:textFill>
            <w14:solidFill>
              <w14:schemeClr w14:val="tx1"/>
            </w14:solidFill>
          </w14:textFill>
        </w:rPr>
        <w:t>名单（</w:t>
      </w:r>
      <w:r>
        <w:rPr>
          <w:rFonts w:hint="eastAsia" w:asciiTheme="majorEastAsia" w:hAnsiTheme="majorEastAsia" w:eastAsiaTheme="majorEastAsia" w:cstheme="majorEastAsia"/>
          <w:color w:val="000000" w:themeColor="text1"/>
          <w:spacing w:val="4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Theme="majorEastAsia" w:hAnsiTheme="majorEastAsia" w:eastAsiaTheme="majorEastAsia" w:cstheme="majorEastAsia"/>
          <w:color w:val="000000" w:themeColor="text1"/>
          <w:spacing w:val="4"/>
          <w:sz w:val="44"/>
          <w:szCs w:val="44"/>
          <w14:textFill>
            <w14:solidFill>
              <w14:schemeClr w14:val="tx1"/>
            </w14:solidFill>
          </w14:textFill>
        </w:rPr>
        <w:t>年）</w:t>
      </w:r>
    </w:p>
    <w:p>
      <w:pPr>
        <w:adjustRightInd w:val="0"/>
        <w:snapToGrid w:val="0"/>
        <w:spacing w:line="300" w:lineRule="auto"/>
        <w:rPr>
          <w:rFonts w:ascii="仿宋_GB2312" w:hAnsi="宋体" w:eastAsia="仿宋_GB2312"/>
          <w:color w:val="000000" w:themeColor="text1"/>
          <w:spacing w:val="4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00" w:lineRule="auto"/>
        <w:ind w:firstLine="656" w:firstLineChars="200"/>
        <w:rPr>
          <w:rFonts w:ascii="仿宋_GB2312" w:hAnsi="宋体" w:eastAsia="仿宋_GB2312"/>
          <w:color w:val="000000" w:themeColor="text1"/>
          <w:spacing w:val="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pacing w:val="4"/>
          <w:sz w:val="32"/>
          <w:szCs w:val="32"/>
          <w14:textFill>
            <w14:solidFill>
              <w14:schemeClr w14:val="tx1"/>
            </w14:solidFill>
          </w14:textFill>
        </w:rPr>
        <w:t>南山区</w:t>
      </w:r>
      <w:r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14:textFill>
            <w14:solidFill>
              <w14:schemeClr w14:val="tx1"/>
            </w14:solidFill>
          </w14:textFill>
        </w:rPr>
        <w:t>获得市级及以上文化（体育）产业园区认定或复审合格的</w:t>
      </w:r>
      <w:r>
        <w:rPr>
          <w:rFonts w:hint="eastAsia" w:ascii="仿宋_GB2312" w:hAnsi="宋体" w:eastAsia="仿宋_GB2312"/>
          <w:color w:val="000000" w:themeColor="text1"/>
          <w:spacing w:val="4"/>
          <w:sz w:val="32"/>
          <w:szCs w:val="32"/>
          <w14:textFill>
            <w14:solidFill>
              <w14:schemeClr w14:val="tx1"/>
            </w14:solidFill>
          </w14:textFill>
        </w:rPr>
        <w:t>园区包括以下1</w:t>
      </w:r>
      <w:r>
        <w:rPr>
          <w:rFonts w:hint="default" w:ascii="仿宋_GB2312" w:hAnsi="宋体" w:eastAsia="仿宋_GB2312"/>
          <w:color w:val="000000" w:themeColor="text1"/>
          <w:spacing w:val="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宋体" w:eastAsia="仿宋_GB2312"/>
          <w:color w:val="000000" w:themeColor="text1"/>
          <w:spacing w:val="4"/>
          <w:sz w:val="32"/>
          <w:szCs w:val="32"/>
          <w14:textFill>
            <w14:solidFill>
              <w14:schemeClr w14:val="tx1"/>
            </w14:solidFill>
          </w14:textFill>
        </w:rPr>
        <w:t>个（排名不分先后）：</w:t>
      </w:r>
    </w:p>
    <w:tbl>
      <w:tblPr>
        <w:tblStyle w:val="8"/>
        <w:tblW w:w="889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3345"/>
        <w:gridCol w:w="47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园区名称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运营单位名称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华侨城创意文化园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深圳市华侨城创意园文化发展有限公司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UTCP大学城创意园集聚区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深圳大学城创意园投资管理有限公司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蛇口滨海文化创意产业带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招商局蛇口工业区控股股份有限公司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珠光文化科技产业服务基地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深圳市瑞丰创新产业园投资管理有限公司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天健创智中心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深圳市天健置业有限公司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南山睿园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深圳市恒誉洋实业有限公司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南头古城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深圳万通南头城管理运营有限公司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T6艺术区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深圳市瑞丰文化发展有限公司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世外桃源创意园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深圳市瑞丰文化发展有限公司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蛇口网谷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深圳市招商创业有限公司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南海意库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招商局蛇口工业区控股股份有限公司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深圳动漫园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润杨集团（深圳）有限公司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南山互联网创新创意服务基地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深圳市瑞丰创新产业园投资管理有限公司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万科云设计公社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深圳市万科云城商业有限公司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高北十六创意园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深圳市盈致未来文创管理有限公司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科兴科学园文化产业园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深圳科兴物业经营管理有限公司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新视艺创客公园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深圳市新美达产业发展有限公司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深圳智恒文化科技产业园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深圳市安乐联队投资发展有限公司</w:t>
            </w:r>
          </w:p>
        </w:tc>
      </w:tr>
    </w:tbl>
    <w:p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00" w:lineRule="auto"/>
        <w:jc w:val="left"/>
        <w:rPr>
          <w:rFonts w:hint="eastAsia" w:ascii="仿宋_GB2312" w:hAnsi="宋体" w:eastAsia="仿宋_GB2312" w:cs="宋体"/>
          <w:color w:val="000000" w:themeColor="text1"/>
          <w:spacing w:val="4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ˎ̥">
    <w:altName w:val="华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OTVjMjVlZTU3MjBlMDIzM2FkMDQ2NDA5MWMzMGEifQ=="/>
  </w:docVars>
  <w:rsids>
    <w:rsidRoot w:val="1E9B000F"/>
    <w:rsid w:val="06CB48B5"/>
    <w:rsid w:val="095C7285"/>
    <w:rsid w:val="09C724A3"/>
    <w:rsid w:val="104D08F5"/>
    <w:rsid w:val="168B0344"/>
    <w:rsid w:val="17240753"/>
    <w:rsid w:val="18414DA5"/>
    <w:rsid w:val="1D596809"/>
    <w:rsid w:val="1DCB4732"/>
    <w:rsid w:val="1E395720"/>
    <w:rsid w:val="1E9B000F"/>
    <w:rsid w:val="23B349ED"/>
    <w:rsid w:val="2D7F175D"/>
    <w:rsid w:val="2E0B13A2"/>
    <w:rsid w:val="2F4B7EB7"/>
    <w:rsid w:val="32880B83"/>
    <w:rsid w:val="365F39E8"/>
    <w:rsid w:val="3BC813FD"/>
    <w:rsid w:val="42D91274"/>
    <w:rsid w:val="431D4C7D"/>
    <w:rsid w:val="432C2634"/>
    <w:rsid w:val="46961490"/>
    <w:rsid w:val="5EC351D4"/>
    <w:rsid w:val="5F8C3268"/>
    <w:rsid w:val="5FEE9996"/>
    <w:rsid w:val="62A72E7A"/>
    <w:rsid w:val="63DA3203"/>
    <w:rsid w:val="67FDD287"/>
    <w:rsid w:val="6D3414FD"/>
    <w:rsid w:val="6F8B67D2"/>
    <w:rsid w:val="70257FF6"/>
    <w:rsid w:val="7A5A15E5"/>
    <w:rsid w:val="7B9F162D"/>
    <w:rsid w:val="7D9C7CC2"/>
    <w:rsid w:val="7FBF31C9"/>
    <w:rsid w:val="BB2F8D1A"/>
    <w:rsid w:val="BCFFC5F9"/>
    <w:rsid w:val="C3BD941F"/>
    <w:rsid w:val="E77FBBFB"/>
    <w:rsid w:val="FBE698F5"/>
    <w:rsid w:val="FEFE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黑体"/>
      <w:bCs/>
      <w:kern w:val="44"/>
      <w:szCs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ind w:firstLine="200" w:firstLineChars="200"/>
      <w:outlineLvl w:val="1"/>
    </w:pPr>
    <w:rPr>
      <w:rFonts w:eastAsia="楷体_GB2312" w:asciiTheme="majorHAnsi" w:hAnsiTheme="majorHAnsi" w:cstheme="majorBidi"/>
      <w:b/>
      <w:bCs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4"/>
    <w:basedOn w:val="1"/>
    <w:next w:val="1"/>
    <w:qFormat/>
    <w:uiPriority w:val="0"/>
    <w:pPr>
      <w:keepNext/>
      <w:keepLines/>
      <w:spacing w:before="280" w:after="290" w:line="376" w:lineRule="auto"/>
      <w:textAlignment w:val="baseline"/>
    </w:pPr>
    <w:rPr>
      <w:rFonts w:ascii="Cambria" w:hAnsi="Cambria" w:eastAsia="宋体" w:cs="Times New Roman"/>
      <w:b/>
      <w:bCs/>
      <w:sz w:val="28"/>
      <w:szCs w:val="28"/>
    </w:rPr>
  </w:style>
  <w:style w:type="paragraph" w:styleId="5">
    <w:name w:val="Body Text Indent"/>
    <w:basedOn w:val="1"/>
    <w:qFormat/>
    <w:uiPriority w:val="0"/>
    <w:pPr>
      <w:adjustRightInd w:val="0"/>
      <w:snapToGrid w:val="0"/>
      <w:spacing w:line="300" w:lineRule="auto"/>
      <w:ind w:firstLine="720" w:firstLineChars="225"/>
    </w:pPr>
    <w:rPr>
      <w:rFonts w:ascii="仿宋_GB2312" w:eastAsia="仿宋_GB2312"/>
      <w:color w:val="000000"/>
      <w:sz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font5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1859</Words>
  <Characters>1928</Characters>
  <Lines>0</Lines>
  <Paragraphs>0</Paragraphs>
  <TotalTime>3</TotalTime>
  <ScaleCrop>false</ScaleCrop>
  <LinksUpToDate>false</LinksUpToDate>
  <CharactersWithSpaces>1929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2021-04-26T09:41:00Z</dcterms:created>
  <dc:creator>王榕</dc:creator>
  <cp:lastModifiedBy>杨璐源</cp:lastModifiedBy>
  <cp:lastPrinted>2021-06-07T03:15:00Z</cp:lastPrinted>
  <dcterms:modified xsi:type="dcterms:W3CDTF">2025-06-23T09:59:37Z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BC40AEF63477446682A28C9B7409DA48</vt:lpwstr>
  </property>
</Properties>
</file>