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630A770">
      <w:pPr>
        <w:pStyle w:val="3"/>
        <w:spacing w:line="560" w:lineRule="exact"/>
        <w:ind w:left="0" w:leftChars="0"/>
        <w:rPr>
          <w:rFonts w:hint="eastAsia" w:ascii="黑体" w:hAnsi="黑体" w:eastAsia="黑体" w:cs="黑体"/>
          <w:sz w:val="32"/>
          <w:szCs w:val="40"/>
          <w:lang w:val="en-US" w:eastAsia="zh-CN"/>
        </w:rPr>
      </w:pPr>
      <w:r>
        <w:rPr>
          <w:rFonts w:hint="eastAsia" w:ascii="黑体" w:hAnsi="黑体" w:eastAsia="黑体" w:cs="黑体"/>
          <w:sz w:val="32"/>
          <w:szCs w:val="40"/>
        </w:rPr>
        <w:t>附件</w:t>
      </w:r>
      <w:r>
        <w:rPr>
          <w:rFonts w:hint="eastAsia" w:ascii="黑体" w:hAnsi="黑体" w:eastAsia="黑体" w:cs="黑体"/>
          <w:sz w:val="32"/>
          <w:szCs w:val="40"/>
          <w:lang w:val="en-US" w:eastAsia="zh-CN"/>
        </w:rPr>
        <w:t>2</w:t>
      </w:r>
      <w:bookmarkStart w:id="0" w:name="_GoBack"/>
      <w:bookmarkEnd w:id="0"/>
    </w:p>
    <w:p w14:paraId="006683C5">
      <w:pPr>
        <w:pStyle w:val="3"/>
        <w:spacing w:line="560" w:lineRule="exact"/>
        <w:ind w:left="0" w:leftChars="0"/>
        <w:rPr>
          <w:rFonts w:ascii="Times New Roman" w:hAnsi="Times New Roman" w:eastAsia="黑体"/>
          <w:sz w:val="32"/>
          <w:szCs w:val="40"/>
        </w:rPr>
      </w:pPr>
    </w:p>
    <w:p w14:paraId="12D85C61">
      <w:pPr>
        <w:spacing w:line="560" w:lineRule="exact"/>
        <w:jc w:val="center"/>
        <w:rPr>
          <w:rFonts w:ascii="Times New Roman" w:hAnsi="Times New Roman" w:eastAsia="方正小标宋简体"/>
          <w:sz w:val="40"/>
          <w:szCs w:val="40"/>
        </w:rPr>
      </w:pPr>
      <w:r>
        <w:rPr>
          <w:rFonts w:ascii="Times New Roman" w:hAnsi="Times New Roman" w:eastAsia="方正小标宋简体"/>
          <w:sz w:val="40"/>
          <w:szCs w:val="40"/>
        </w:rPr>
        <w:t>制造业数字化转型通用评估问卷</w:t>
      </w:r>
    </w:p>
    <w:p w14:paraId="40E3F70C">
      <w:pPr>
        <w:spacing w:line="560" w:lineRule="exact"/>
        <w:ind w:firstLine="640" w:firstLineChars="200"/>
        <w:rPr>
          <w:rFonts w:ascii="Times New Roman" w:hAnsi="Times New Roman" w:eastAsia="仿宋_GB2312"/>
          <w:sz w:val="32"/>
          <w:szCs w:val="32"/>
        </w:rPr>
      </w:pPr>
    </w:p>
    <w:p w14:paraId="5415CC91">
      <w:pPr>
        <w:spacing w:line="560" w:lineRule="exact"/>
        <w:ind w:firstLine="643" w:firstLineChars="200"/>
        <w:rPr>
          <w:rFonts w:ascii="Times New Roman" w:hAnsi="Times New Roman" w:eastAsia="仿宋_GB2312"/>
          <w:b/>
          <w:bCs/>
          <w:sz w:val="32"/>
          <w:szCs w:val="32"/>
        </w:rPr>
      </w:pPr>
      <w:r>
        <w:rPr>
          <w:rFonts w:ascii="Times New Roman" w:hAnsi="Times New Roman" w:eastAsia="仿宋_GB2312"/>
          <w:b/>
          <w:bCs/>
          <w:sz w:val="32"/>
          <w:szCs w:val="32"/>
        </w:rPr>
        <w:t>请在填写前仔细阅读须知：</w:t>
      </w:r>
    </w:p>
    <w:p w14:paraId="70FB4535">
      <w:pPr>
        <w:spacing w:line="56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1.企业结合自身实际数字化现状水平，根据等级描述判断所处的水平等级（L0-L5），分别代表</w:t>
      </w:r>
      <w:r>
        <w:rPr>
          <w:rFonts w:ascii="Times New Roman" w:hAnsi="Times New Roman" w:eastAsia="仿宋_GB2312"/>
          <w:b/>
          <w:bCs/>
          <w:sz w:val="32"/>
          <w:szCs w:val="32"/>
        </w:rPr>
        <w:t>未开展数字化转型、起步建设、重点改造、综合集成、优化创新和智能引领</w:t>
      </w:r>
      <w:r>
        <w:rPr>
          <w:rFonts w:ascii="Times New Roman" w:hAnsi="Times New Roman" w:eastAsia="仿宋_GB2312"/>
          <w:sz w:val="32"/>
          <w:szCs w:val="32"/>
        </w:rPr>
        <w:t>（具体含义见表1），重点依据不同数字化水平的根本性、关键性行为和效果进行判断。</w:t>
      </w:r>
    </w:p>
    <w:p w14:paraId="09F9C5FA">
      <w:pPr>
        <w:widowControl/>
        <w:spacing w:line="360" w:lineRule="auto"/>
        <w:jc w:val="center"/>
        <w:rPr>
          <w:rFonts w:ascii="Times New Roman" w:hAnsi="Times New Roman" w:eastAsia="楷体_GB2312"/>
          <w:color w:val="000000"/>
          <w:kern w:val="0"/>
          <w:sz w:val="24"/>
        </w:rPr>
      </w:pPr>
      <w:r>
        <w:rPr>
          <w:rFonts w:ascii="Times New Roman" w:hAnsi="Times New Roman" w:eastAsia="楷体_GB2312"/>
          <w:color w:val="000000"/>
          <w:kern w:val="0"/>
          <w:sz w:val="24"/>
        </w:rPr>
        <w:t>表1 能力评价指标等级含义</w:t>
      </w:r>
    </w:p>
    <w:tbl>
      <w:tblPr>
        <w:tblStyle w:val="6"/>
        <w:tblW w:w="907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250"/>
        <w:gridCol w:w="5821"/>
      </w:tblGrid>
      <w:tr w14:paraId="574828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972" w:type="dxa"/>
            <w:shd w:val="clear" w:color="auto" w:fill="auto"/>
            <w:noWrap w:val="0"/>
            <w:vAlign w:val="center"/>
          </w:tcPr>
          <w:p w14:paraId="26D0AFE8">
            <w:pPr>
              <w:jc w:val="center"/>
              <w:rPr>
                <w:rFonts w:ascii="Times New Roman" w:hAnsi="Times New Roman" w:eastAsia="楷体_GB2312"/>
                <w:b/>
                <w:bCs/>
                <w:kern w:val="0"/>
                <w:sz w:val="24"/>
              </w:rPr>
            </w:pPr>
            <w:r>
              <w:rPr>
                <w:rFonts w:ascii="Times New Roman" w:hAnsi="Times New Roman" w:eastAsia="楷体_GB2312"/>
                <w:b/>
                <w:bCs/>
                <w:kern w:val="0"/>
                <w:sz w:val="24"/>
              </w:rPr>
              <w:t>等级</w:t>
            </w:r>
          </w:p>
        </w:tc>
        <w:tc>
          <w:tcPr>
            <w:tcW w:w="5324" w:type="dxa"/>
            <w:shd w:val="clear" w:color="auto" w:fill="auto"/>
            <w:noWrap w:val="0"/>
            <w:vAlign w:val="center"/>
          </w:tcPr>
          <w:p w14:paraId="6DE35FBD">
            <w:pPr>
              <w:jc w:val="center"/>
              <w:rPr>
                <w:rFonts w:ascii="Times New Roman" w:hAnsi="Times New Roman" w:eastAsia="楷体_GB2312"/>
                <w:b/>
                <w:bCs/>
                <w:kern w:val="0"/>
                <w:sz w:val="24"/>
              </w:rPr>
            </w:pPr>
            <w:r>
              <w:rPr>
                <w:rFonts w:ascii="Times New Roman" w:hAnsi="Times New Roman" w:eastAsia="楷体_GB2312"/>
                <w:b/>
                <w:bCs/>
                <w:kern w:val="0"/>
                <w:sz w:val="24"/>
              </w:rPr>
              <w:t>含义</w:t>
            </w:r>
          </w:p>
        </w:tc>
      </w:tr>
      <w:tr w14:paraId="55F81E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972" w:type="dxa"/>
            <w:shd w:val="clear" w:color="auto" w:fill="auto"/>
            <w:noWrap w:val="0"/>
            <w:vAlign w:val="center"/>
          </w:tcPr>
          <w:p w14:paraId="15615CB8">
            <w:pPr>
              <w:jc w:val="center"/>
              <w:rPr>
                <w:rFonts w:ascii="Times New Roman" w:hAnsi="Times New Roman" w:eastAsia="楷体_GB2312"/>
                <w:kern w:val="0"/>
                <w:sz w:val="24"/>
              </w:rPr>
            </w:pPr>
            <w:r>
              <w:rPr>
                <w:rFonts w:ascii="Times New Roman" w:hAnsi="Times New Roman" w:eastAsia="楷体_GB2312"/>
                <w:kern w:val="0"/>
                <w:sz w:val="24"/>
              </w:rPr>
              <w:t>L0</w:t>
            </w:r>
          </w:p>
          <w:p w14:paraId="7B27AFEE">
            <w:pPr>
              <w:jc w:val="center"/>
              <w:rPr>
                <w:rFonts w:ascii="Times New Roman" w:hAnsi="Times New Roman" w:eastAsia="楷体_GB2312"/>
                <w:kern w:val="0"/>
                <w:sz w:val="24"/>
              </w:rPr>
            </w:pPr>
            <w:r>
              <w:rPr>
                <w:rFonts w:ascii="Times New Roman" w:hAnsi="Times New Roman" w:eastAsia="楷体_GB2312"/>
                <w:kern w:val="0"/>
                <w:sz w:val="24"/>
              </w:rPr>
              <w:t>（未开展数字化转型）</w:t>
            </w:r>
          </w:p>
        </w:tc>
        <w:tc>
          <w:tcPr>
            <w:tcW w:w="5324" w:type="dxa"/>
            <w:shd w:val="clear" w:color="auto" w:fill="auto"/>
            <w:noWrap w:val="0"/>
            <w:vAlign w:val="center"/>
          </w:tcPr>
          <w:p w14:paraId="1A0DA138">
            <w:pPr>
              <w:rPr>
                <w:rFonts w:ascii="Times New Roman" w:hAnsi="Times New Roman" w:eastAsia="楷体_GB2312"/>
                <w:kern w:val="0"/>
                <w:sz w:val="24"/>
              </w:rPr>
            </w:pPr>
            <w:r>
              <w:rPr>
                <w:rFonts w:ascii="Times New Roman" w:hAnsi="Times New Roman" w:eastAsia="楷体_GB2312"/>
                <w:kern w:val="0"/>
                <w:sz w:val="24"/>
              </w:rPr>
              <w:t>企业尚未开展数字化改造。</w:t>
            </w:r>
          </w:p>
        </w:tc>
      </w:tr>
      <w:tr w14:paraId="10CA5A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972" w:type="dxa"/>
            <w:shd w:val="clear" w:color="auto" w:fill="auto"/>
            <w:noWrap w:val="0"/>
            <w:vAlign w:val="center"/>
          </w:tcPr>
          <w:p w14:paraId="16AAB4E6">
            <w:pPr>
              <w:jc w:val="center"/>
              <w:rPr>
                <w:rFonts w:ascii="Times New Roman" w:hAnsi="Times New Roman" w:eastAsia="楷体_GB2312"/>
                <w:kern w:val="0"/>
                <w:sz w:val="24"/>
              </w:rPr>
            </w:pPr>
            <w:r>
              <w:rPr>
                <w:rFonts w:ascii="Times New Roman" w:hAnsi="Times New Roman" w:eastAsia="楷体_GB2312"/>
                <w:kern w:val="0"/>
                <w:sz w:val="24"/>
              </w:rPr>
              <w:t>L1</w:t>
            </w:r>
          </w:p>
          <w:p w14:paraId="718CDC86">
            <w:pPr>
              <w:jc w:val="center"/>
              <w:rPr>
                <w:rFonts w:ascii="Times New Roman" w:hAnsi="Times New Roman" w:eastAsia="楷体_GB2312"/>
                <w:kern w:val="0"/>
                <w:sz w:val="24"/>
              </w:rPr>
            </w:pPr>
            <w:r>
              <w:rPr>
                <w:rFonts w:ascii="Times New Roman" w:hAnsi="Times New Roman" w:eastAsia="楷体_GB2312"/>
                <w:kern w:val="0"/>
                <w:sz w:val="24"/>
              </w:rPr>
              <w:t>（起步建设）</w:t>
            </w:r>
          </w:p>
        </w:tc>
        <w:tc>
          <w:tcPr>
            <w:tcW w:w="5324" w:type="dxa"/>
            <w:shd w:val="clear" w:color="auto" w:fill="auto"/>
            <w:noWrap w:val="0"/>
            <w:vAlign w:val="center"/>
          </w:tcPr>
          <w:p w14:paraId="7B135C92">
            <w:pPr>
              <w:rPr>
                <w:rFonts w:ascii="Times New Roman" w:hAnsi="Times New Roman" w:eastAsia="楷体_GB2312"/>
                <w:kern w:val="0"/>
                <w:sz w:val="24"/>
              </w:rPr>
            </w:pPr>
            <w:r>
              <w:rPr>
                <w:rFonts w:ascii="Times New Roman" w:hAnsi="Times New Roman" w:eastAsia="楷体_GB2312"/>
                <w:kern w:val="0"/>
                <w:sz w:val="24"/>
              </w:rPr>
              <w:t>企业尝试运用了基础性数字化工具，实现了单个环节的效率提升。</w:t>
            </w:r>
          </w:p>
        </w:tc>
      </w:tr>
      <w:tr w14:paraId="702318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972" w:type="dxa"/>
            <w:shd w:val="clear" w:color="auto" w:fill="auto"/>
            <w:noWrap w:val="0"/>
            <w:vAlign w:val="center"/>
          </w:tcPr>
          <w:p w14:paraId="70DDE852">
            <w:pPr>
              <w:jc w:val="center"/>
              <w:rPr>
                <w:rFonts w:ascii="Times New Roman" w:hAnsi="Times New Roman" w:eastAsia="楷体_GB2312"/>
                <w:kern w:val="0"/>
                <w:sz w:val="24"/>
              </w:rPr>
            </w:pPr>
            <w:r>
              <w:rPr>
                <w:rFonts w:ascii="Times New Roman" w:hAnsi="Times New Roman" w:eastAsia="楷体_GB2312"/>
                <w:kern w:val="0"/>
                <w:sz w:val="24"/>
              </w:rPr>
              <w:t>L2</w:t>
            </w:r>
          </w:p>
          <w:p w14:paraId="41ED5C0F">
            <w:pPr>
              <w:jc w:val="center"/>
              <w:rPr>
                <w:rFonts w:ascii="Times New Roman" w:hAnsi="Times New Roman" w:eastAsia="楷体_GB2312"/>
                <w:kern w:val="0"/>
                <w:sz w:val="24"/>
              </w:rPr>
            </w:pPr>
            <w:r>
              <w:rPr>
                <w:rFonts w:ascii="Times New Roman" w:hAnsi="Times New Roman" w:eastAsia="楷体_GB2312"/>
                <w:kern w:val="0"/>
                <w:sz w:val="24"/>
              </w:rPr>
              <w:t>（重点改造）</w:t>
            </w:r>
          </w:p>
        </w:tc>
        <w:tc>
          <w:tcPr>
            <w:tcW w:w="5324" w:type="dxa"/>
            <w:shd w:val="clear" w:color="auto" w:fill="auto"/>
            <w:noWrap w:val="0"/>
            <w:vAlign w:val="center"/>
          </w:tcPr>
          <w:p w14:paraId="06B11839">
            <w:pPr>
              <w:rPr>
                <w:rFonts w:ascii="Times New Roman" w:hAnsi="Times New Roman" w:eastAsia="楷体_GB2312"/>
                <w:kern w:val="0"/>
                <w:sz w:val="24"/>
              </w:rPr>
            </w:pPr>
            <w:r>
              <w:rPr>
                <w:rFonts w:ascii="Times New Roman" w:hAnsi="Times New Roman" w:eastAsia="楷体_GB2312"/>
                <w:kern w:val="0"/>
                <w:sz w:val="24"/>
              </w:rPr>
              <w:t>企业在重点业务环节运用了专业性数字化系统，实现了业务场景改造升级。</w:t>
            </w:r>
          </w:p>
        </w:tc>
      </w:tr>
      <w:tr w14:paraId="405149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972" w:type="dxa"/>
            <w:shd w:val="clear" w:color="auto" w:fill="auto"/>
            <w:noWrap w:val="0"/>
            <w:vAlign w:val="center"/>
          </w:tcPr>
          <w:p w14:paraId="65B265AD">
            <w:pPr>
              <w:jc w:val="center"/>
              <w:rPr>
                <w:rFonts w:ascii="Times New Roman" w:hAnsi="Times New Roman" w:eastAsia="楷体_GB2312"/>
                <w:kern w:val="0"/>
                <w:sz w:val="24"/>
              </w:rPr>
            </w:pPr>
            <w:r>
              <w:rPr>
                <w:rFonts w:ascii="Times New Roman" w:hAnsi="Times New Roman" w:eastAsia="楷体_GB2312"/>
                <w:kern w:val="0"/>
                <w:sz w:val="24"/>
              </w:rPr>
              <w:t>L3</w:t>
            </w:r>
          </w:p>
          <w:p w14:paraId="7843892F">
            <w:pPr>
              <w:jc w:val="center"/>
              <w:rPr>
                <w:rFonts w:ascii="Times New Roman" w:hAnsi="Times New Roman" w:eastAsia="楷体_GB2312"/>
                <w:kern w:val="0"/>
                <w:sz w:val="24"/>
              </w:rPr>
            </w:pPr>
            <w:r>
              <w:rPr>
                <w:rFonts w:ascii="Times New Roman" w:hAnsi="Times New Roman" w:eastAsia="楷体_GB2312"/>
                <w:kern w:val="0"/>
                <w:sz w:val="24"/>
              </w:rPr>
              <w:t>（综合集成）</w:t>
            </w:r>
          </w:p>
        </w:tc>
        <w:tc>
          <w:tcPr>
            <w:tcW w:w="5324" w:type="dxa"/>
            <w:shd w:val="clear" w:color="auto" w:fill="auto"/>
            <w:noWrap w:val="0"/>
            <w:vAlign w:val="center"/>
          </w:tcPr>
          <w:p w14:paraId="5D6C35D5">
            <w:pPr>
              <w:rPr>
                <w:rFonts w:ascii="Times New Roman" w:hAnsi="Times New Roman" w:eastAsia="楷体_GB2312"/>
                <w:kern w:val="0"/>
                <w:sz w:val="24"/>
              </w:rPr>
            </w:pPr>
            <w:r>
              <w:rPr>
                <w:rFonts w:ascii="Times New Roman" w:hAnsi="Times New Roman" w:eastAsia="楷体_GB2312"/>
                <w:kern w:val="0"/>
                <w:sz w:val="24"/>
              </w:rPr>
              <w:t>企业各业务环节的系统和设备的数据能够集成打通，并开展初步分析优化。</w:t>
            </w:r>
          </w:p>
        </w:tc>
      </w:tr>
      <w:tr w14:paraId="491F80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972" w:type="dxa"/>
            <w:shd w:val="clear" w:color="auto" w:fill="auto"/>
            <w:noWrap w:val="0"/>
            <w:vAlign w:val="center"/>
          </w:tcPr>
          <w:p w14:paraId="52D1EF42">
            <w:pPr>
              <w:jc w:val="center"/>
              <w:rPr>
                <w:rFonts w:ascii="Times New Roman" w:hAnsi="Times New Roman" w:eastAsia="楷体_GB2312"/>
                <w:kern w:val="0"/>
                <w:sz w:val="24"/>
              </w:rPr>
            </w:pPr>
            <w:r>
              <w:rPr>
                <w:rFonts w:ascii="Times New Roman" w:hAnsi="Times New Roman" w:eastAsia="楷体_GB2312"/>
                <w:kern w:val="0"/>
                <w:sz w:val="24"/>
              </w:rPr>
              <w:t>L4</w:t>
            </w:r>
          </w:p>
          <w:p w14:paraId="67C2762A">
            <w:pPr>
              <w:jc w:val="center"/>
              <w:rPr>
                <w:rFonts w:ascii="Times New Roman" w:hAnsi="Times New Roman" w:eastAsia="楷体_GB2312"/>
                <w:kern w:val="0"/>
                <w:sz w:val="24"/>
              </w:rPr>
            </w:pPr>
            <w:r>
              <w:rPr>
                <w:rFonts w:ascii="Times New Roman" w:hAnsi="Times New Roman" w:eastAsia="楷体_GB2312"/>
                <w:kern w:val="0"/>
                <w:sz w:val="24"/>
              </w:rPr>
              <w:t>（优化创新）</w:t>
            </w:r>
          </w:p>
        </w:tc>
        <w:tc>
          <w:tcPr>
            <w:tcW w:w="5324" w:type="dxa"/>
            <w:shd w:val="clear" w:color="auto" w:fill="auto"/>
            <w:noWrap w:val="0"/>
            <w:vAlign w:val="center"/>
          </w:tcPr>
          <w:p w14:paraId="1BE9E630">
            <w:pPr>
              <w:rPr>
                <w:rFonts w:ascii="Times New Roman" w:hAnsi="Times New Roman" w:eastAsia="楷体_GB2312"/>
                <w:kern w:val="0"/>
                <w:sz w:val="24"/>
              </w:rPr>
            </w:pPr>
            <w:r>
              <w:rPr>
                <w:rFonts w:ascii="Times New Roman" w:hAnsi="Times New Roman" w:eastAsia="楷体_GB2312"/>
                <w:kern w:val="0"/>
                <w:sz w:val="24"/>
              </w:rPr>
              <w:t>企业实现了各业务环节的综合集成和协同优化，以及产业链上下游联动，形成生产运营创新模式。</w:t>
            </w:r>
          </w:p>
        </w:tc>
      </w:tr>
      <w:tr w14:paraId="260DCE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972" w:type="dxa"/>
            <w:shd w:val="clear" w:color="auto" w:fill="auto"/>
            <w:noWrap w:val="0"/>
            <w:vAlign w:val="center"/>
          </w:tcPr>
          <w:p w14:paraId="48C3C832">
            <w:pPr>
              <w:jc w:val="center"/>
              <w:rPr>
                <w:rFonts w:ascii="Times New Roman" w:hAnsi="Times New Roman" w:eastAsia="楷体_GB2312"/>
                <w:kern w:val="0"/>
                <w:sz w:val="24"/>
              </w:rPr>
            </w:pPr>
            <w:r>
              <w:rPr>
                <w:rFonts w:ascii="Times New Roman" w:hAnsi="Times New Roman" w:eastAsia="楷体_GB2312"/>
                <w:kern w:val="0"/>
                <w:sz w:val="24"/>
              </w:rPr>
              <w:t>L5</w:t>
            </w:r>
          </w:p>
          <w:p w14:paraId="635C9451">
            <w:pPr>
              <w:jc w:val="center"/>
              <w:rPr>
                <w:rFonts w:ascii="Times New Roman" w:hAnsi="Times New Roman" w:eastAsia="楷体_GB2312"/>
                <w:kern w:val="0"/>
                <w:sz w:val="24"/>
              </w:rPr>
            </w:pPr>
            <w:r>
              <w:rPr>
                <w:rFonts w:ascii="Times New Roman" w:hAnsi="Times New Roman" w:eastAsia="楷体_GB2312"/>
                <w:kern w:val="0"/>
                <w:sz w:val="24"/>
              </w:rPr>
              <w:t>（智能引领）</w:t>
            </w:r>
          </w:p>
        </w:tc>
        <w:tc>
          <w:tcPr>
            <w:tcW w:w="5324" w:type="dxa"/>
            <w:shd w:val="clear" w:color="auto" w:fill="auto"/>
            <w:noWrap w:val="0"/>
            <w:vAlign w:val="center"/>
          </w:tcPr>
          <w:p w14:paraId="5411684A">
            <w:pPr>
              <w:rPr>
                <w:rFonts w:ascii="Times New Roman" w:hAnsi="Times New Roman" w:eastAsia="楷体_GB2312"/>
                <w:kern w:val="0"/>
                <w:sz w:val="24"/>
              </w:rPr>
            </w:pPr>
            <w:r>
              <w:rPr>
                <w:rFonts w:ascii="Times New Roman" w:hAnsi="Times New Roman" w:eastAsia="楷体_GB2312"/>
                <w:kern w:val="0"/>
                <w:sz w:val="24"/>
              </w:rPr>
              <w:t>企业运用人工智能等前沿技术，在各业务领域实现高度智能化的预测分析和全局决策。</w:t>
            </w:r>
          </w:p>
        </w:tc>
      </w:tr>
    </w:tbl>
    <w:p w14:paraId="4A7A99D2">
      <w:pPr>
        <w:spacing w:line="56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2.企业在选定所处的等级后，依据企业与该等级描述的符合程度，参照“基本符合”、“比较符合”和“非常符合”在等级分段内从低到高划分3个小分段（见表2），并进行自主打分。</w:t>
      </w:r>
    </w:p>
    <w:p w14:paraId="77F5365E">
      <w:pPr>
        <w:pStyle w:val="2"/>
        <w:rPr>
          <w:rFonts w:ascii="Times New Roman" w:hAnsi="Times New Roman"/>
        </w:rPr>
      </w:pPr>
    </w:p>
    <w:p w14:paraId="3A7CB12B">
      <w:pPr>
        <w:widowControl/>
        <w:spacing w:line="360" w:lineRule="auto"/>
        <w:jc w:val="center"/>
        <w:rPr>
          <w:rFonts w:ascii="Times New Roman" w:hAnsi="Times New Roman" w:eastAsia="楷体_GB2312"/>
          <w:color w:val="000000"/>
          <w:kern w:val="0"/>
          <w:sz w:val="24"/>
        </w:rPr>
      </w:pPr>
    </w:p>
    <w:p w14:paraId="7818588F">
      <w:pPr>
        <w:widowControl/>
        <w:spacing w:line="360" w:lineRule="auto"/>
        <w:jc w:val="center"/>
        <w:rPr>
          <w:rFonts w:ascii="Times New Roman" w:hAnsi="Times New Roman" w:eastAsia="楷体_GB2312"/>
          <w:color w:val="000000"/>
          <w:kern w:val="0"/>
          <w:sz w:val="24"/>
        </w:rPr>
      </w:pPr>
    </w:p>
    <w:p w14:paraId="49CC5580">
      <w:pPr>
        <w:widowControl/>
        <w:spacing w:line="360" w:lineRule="auto"/>
        <w:jc w:val="center"/>
        <w:rPr>
          <w:rFonts w:ascii="Times New Roman" w:hAnsi="Times New Roman" w:eastAsia="楷体_GB2312"/>
          <w:color w:val="000000"/>
          <w:kern w:val="0"/>
          <w:sz w:val="24"/>
        </w:rPr>
      </w:pPr>
    </w:p>
    <w:p w14:paraId="75467956">
      <w:pPr>
        <w:widowControl/>
        <w:spacing w:line="360" w:lineRule="auto"/>
        <w:jc w:val="center"/>
        <w:rPr>
          <w:rFonts w:ascii="Times New Roman" w:hAnsi="Times New Roman" w:eastAsia="楷体_GB2312"/>
          <w:color w:val="000000"/>
          <w:kern w:val="0"/>
          <w:sz w:val="24"/>
        </w:rPr>
      </w:pPr>
      <w:r>
        <w:rPr>
          <w:rFonts w:ascii="Times New Roman" w:hAnsi="Times New Roman" w:eastAsia="楷体_GB2312"/>
          <w:color w:val="000000"/>
          <w:kern w:val="0"/>
          <w:sz w:val="24"/>
        </w:rPr>
        <w:t>表2 能力评价指标等级分段</w:t>
      </w:r>
    </w:p>
    <w:tbl>
      <w:tblPr>
        <w:tblStyle w:val="6"/>
        <w:tblW w:w="907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00"/>
        <w:gridCol w:w="3100"/>
        <w:gridCol w:w="4271"/>
      </w:tblGrid>
      <w:tr w14:paraId="020A04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7" w:type="pct"/>
            <w:shd w:val="clear" w:color="auto" w:fill="auto"/>
            <w:noWrap w:val="0"/>
            <w:vAlign w:val="center"/>
          </w:tcPr>
          <w:p w14:paraId="0F422DB8">
            <w:pPr>
              <w:jc w:val="center"/>
              <w:rPr>
                <w:rFonts w:ascii="Times New Roman" w:hAnsi="Times New Roman" w:eastAsia="楷体_GB2312"/>
                <w:b/>
                <w:bCs/>
                <w:kern w:val="0"/>
                <w:sz w:val="24"/>
              </w:rPr>
            </w:pPr>
            <w:r>
              <w:rPr>
                <w:rFonts w:ascii="Times New Roman" w:hAnsi="Times New Roman" w:eastAsia="楷体_GB2312"/>
                <w:b/>
                <w:bCs/>
                <w:kern w:val="0"/>
                <w:sz w:val="24"/>
              </w:rPr>
              <w:t>等级</w:t>
            </w:r>
          </w:p>
        </w:tc>
        <w:tc>
          <w:tcPr>
            <w:tcW w:w="1709" w:type="pct"/>
            <w:shd w:val="clear" w:color="auto" w:fill="auto"/>
            <w:noWrap w:val="0"/>
            <w:vAlign w:val="top"/>
          </w:tcPr>
          <w:p w14:paraId="430B3677">
            <w:pPr>
              <w:jc w:val="center"/>
              <w:rPr>
                <w:rFonts w:ascii="Times New Roman" w:hAnsi="Times New Roman" w:eastAsia="楷体_GB2312"/>
                <w:b/>
                <w:bCs/>
                <w:kern w:val="0"/>
                <w:sz w:val="24"/>
              </w:rPr>
            </w:pPr>
            <w:r>
              <w:rPr>
                <w:rFonts w:ascii="Times New Roman" w:hAnsi="Times New Roman" w:eastAsia="楷体_GB2312"/>
                <w:b/>
                <w:bCs/>
                <w:kern w:val="0"/>
                <w:sz w:val="24"/>
              </w:rPr>
              <w:t>符合程度</w:t>
            </w:r>
          </w:p>
        </w:tc>
        <w:tc>
          <w:tcPr>
            <w:tcW w:w="2354" w:type="pct"/>
            <w:shd w:val="clear" w:color="auto" w:fill="auto"/>
            <w:noWrap w:val="0"/>
            <w:vAlign w:val="center"/>
          </w:tcPr>
          <w:p w14:paraId="622CF84C">
            <w:pPr>
              <w:jc w:val="center"/>
              <w:rPr>
                <w:rFonts w:ascii="Times New Roman" w:hAnsi="Times New Roman" w:eastAsia="楷体_GB2312"/>
                <w:b/>
                <w:bCs/>
                <w:kern w:val="0"/>
                <w:sz w:val="24"/>
              </w:rPr>
            </w:pPr>
            <w:r>
              <w:rPr>
                <w:rFonts w:ascii="Times New Roman" w:hAnsi="Times New Roman" w:eastAsia="楷体_GB2312"/>
                <w:b/>
                <w:bCs/>
                <w:kern w:val="0"/>
                <w:sz w:val="24"/>
              </w:rPr>
              <w:t>打分分段</w:t>
            </w:r>
          </w:p>
        </w:tc>
      </w:tr>
      <w:tr w14:paraId="4D8262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7" w:type="pct"/>
            <w:shd w:val="clear" w:color="auto" w:fill="auto"/>
            <w:noWrap w:val="0"/>
            <w:vAlign w:val="center"/>
          </w:tcPr>
          <w:p w14:paraId="49574313">
            <w:pPr>
              <w:jc w:val="center"/>
              <w:rPr>
                <w:rFonts w:ascii="Times New Roman" w:hAnsi="Times New Roman" w:eastAsia="楷体_GB2312"/>
                <w:b/>
                <w:bCs/>
                <w:kern w:val="0"/>
                <w:sz w:val="24"/>
              </w:rPr>
            </w:pPr>
            <w:r>
              <w:rPr>
                <w:rFonts w:ascii="Times New Roman" w:hAnsi="Times New Roman" w:eastAsia="楷体_GB2312"/>
                <w:kern w:val="0"/>
                <w:sz w:val="24"/>
              </w:rPr>
              <w:t>L0</w:t>
            </w:r>
          </w:p>
        </w:tc>
        <w:tc>
          <w:tcPr>
            <w:tcW w:w="1709" w:type="pct"/>
            <w:shd w:val="clear" w:color="auto" w:fill="auto"/>
            <w:noWrap w:val="0"/>
            <w:vAlign w:val="top"/>
          </w:tcPr>
          <w:p w14:paraId="6607FCEB">
            <w:pPr>
              <w:jc w:val="center"/>
              <w:rPr>
                <w:rFonts w:ascii="Times New Roman" w:hAnsi="Times New Roman" w:eastAsia="楷体_GB2312"/>
                <w:b/>
                <w:bCs/>
                <w:kern w:val="0"/>
                <w:sz w:val="24"/>
              </w:rPr>
            </w:pPr>
            <w:r>
              <w:rPr>
                <w:rFonts w:ascii="Times New Roman" w:hAnsi="Times New Roman" w:eastAsia="楷体_GB2312"/>
                <w:b/>
                <w:bCs/>
                <w:kern w:val="0"/>
                <w:sz w:val="24"/>
              </w:rPr>
              <w:t>——</w:t>
            </w:r>
          </w:p>
        </w:tc>
        <w:tc>
          <w:tcPr>
            <w:tcW w:w="2354" w:type="pct"/>
            <w:shd w:val="clear" w:color="auto" w:fill="auto"/>
            <w:noWrap w:val="0"/>
            <w:vAlign w:val="center"/>
          </w:tcPr>
          <w:p w14:paraId="77708C11">
            <w:pPr>
              <w:jc w:val="center"/>
              <w:rPr>
                <w:rFonts w:ascii="Times New Roman" w:hAnsi="Times New Roman" w:eastAsia="楷体_GB2312"/>
                <w:b/>
                <w:bCs/>
                <w:kern w:val="0"/>
                <w:sz w:val="24"/>
              </w:rPr>
            </w:pPr>
            <w:r>
              <w:rPr>
                <w:rFonts w:ascii="Times New Roman" w:hAnsi="Times New Roman" w:eastAsia="宋体"/>
                <w:color w:val="000000"/>
                <w:kern w:val="0"/>
                <w:sz w:val="24"/>
              </w:rPr>
              <w:t>0</w:t>
            </w:r>
          </w:p>
        </w:tc>
      </w:tr>
      <w:tr w14:paraId="5CCB4C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7" w:type="pct"/>
            <w:vMerge w:val="restart"/>
            <w:shd w:val="clear" w:color="auto" w:fill="auto"/>
            <w:noWrap w:val="0"/>
            <w:vAlign w:val="center"/>
          </w:tcPr>
          <w:p w14:paraId="5A65E236">
            <w:pPr>
              <w:jc w:val="center"/>
              <w:rPr>
                <w:rFonts w:ascii="Times New Roman" w:hAnsi="Times New Roman" w:eastAsia="楷体_GB2312"/>
                <w:kern w:val="0"/>
                <w:sz w:val="24"/>
              </w:rPr>
            </w:pPr>
            <w:r>
              <w:rPr>
                <w:rFonts w:ascii="Times New Roman" w:hAnsi="Times New Roman" w:eastAsia="楷体_GB2312"/>
                <w:kern w:val="0"/>
                <w:sz w:val="24"/>
              </w:rPr>
              <w:t>L1</w:t>
            </w:r>
          </w:p>
        </w:tc>
        <w:tc>
          <w:tcPr>
            <w:tcW w:w="1709" w:type="pct"/>
            <w:shd w:val="clear" w:color="auto" w:fill="auto"/>
            <w:noWrap w:val="0"/>
            <w:vAlign w:val="top"/>
          </w:tcPr>
          <w:p w14:paraId="0A9BF21D">
            <w:pPr>
              <w:jc w:val="center"/>
              <w:rPr>
                <w:rFonts w:ascii="Times New Roman" w:hAnsi="Times New Roman" w:eastAsia="楷体_GB2312"/>
                <w:kern w:val="0"/>
                <w:sz w:val="24"/>
              </w:rPr>
            </w:pPr>
            <w:r>
              <w:rPr>
                <w:rFonts w:ascii="Times New Roman" w:hAnsi="Times New Roman" w:eastAsia="楷体_GB2312"/>
                <w:kern w:val="0"/>
                <w:sz w:val="24"/>
              </w:rPr>
              <w:t>基本符合</w:t>
            </w:r>
          </w:p>
        </w:tc>
        <w:tc>
          <w:tcPr>
            <w:tcW w:w="2354" w:type="pct"/>
            <w:shd w:val="clear" w:color="auto" w:fill="auto"/>
            <w:noWrap w:val="0"/>
            <w:vAlign w:val="top"/>
          </w:tcPr>
          <w:p w14:paraId="66CBBE0B">
            <w:pPr>
              <w:jc w:val="center"/>
              <w:rPr>
                <w:rFonts w:ascii="Times New Roman" w:hAnsi="Times New Roman" w:eastAsia="楷体_GB2312"/>
                <w:kern w:val="0"/>
                <w:sz w:val="24"/>
              </w:rPr>
            </w:pPr>
            <w:r>
              <w:rPr>
                <w:rFonts w:ascii="Times New Roman" w:hAnsi="Times New Roman" w:eastAsia="宋体"/>
                <w:color w:val="000000"/>
                <w:kern w:val="0"/>
                <w:sz w:val="24"/>
              </w:rPr>
              <w:t>(0-7)</w:t>
            </w:r>
          </w:p>
        </w:tc>
      </w:tr>
      <w:tr w14:paraId="03F4DE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7" w:type="pct"/>
            <w:vMerge w:val="continue"/>
            <w:shd w:val="clear" w:color="auto" w:fill="auto"/>
            <w:noWrap w:val="0"/>
            <w:vAlign w:val="center"/>
          </w:tcPr>
          <w:p w14:paraId="493B3F64">
            <w:pPr>
              <w:jc w:val="center"/>
              <w:rPr>
                <w:rFonts w:ascii="Times New Roman" w:hAnsi="Times New Roman" w:eastAsia="楷体_GB2312"/>
                <w:kern w:val="0"/>
                <w:sz w:val="24"/>
              </w:rPr>
            </w:pPr>
          </w:p>
        </w:tc>
        <w:tc>
          <w:tcPr>
            <w:tcW w:w="1709" w:type="pct"/>
            <w:shd w:val="clear" w:color="auto" w:fill="auto"/>
            <w:noWrap w:val="0"/>
            <w:vAlign w:val="top"/>
          </w:tcPr>
          <w:p w14:paraId="7DB7B0F9">
            <w:pPr>
              <w:jc w:val="center"/>
              <w:rPr>
                <w:rFonts w:ascii="Times New Roman" w:hAnsi="Times New Roman" w:eastAsia="楷体_GB2312"/>
                <w:kern w:val="0"/>
                <w:sz w:val="24"/>
              </w:rPr>
            </w:pPr>
            <w:r>
              <w:rPr>
                <w:rFonts w:ascii="Times New Roman" w:hAnsi="Times New Roman" w:eastAsia="楷体_GB2312"/>
                <w:kern w:val="0"/>
                <w:sz w:val="24"/>
              </w:rPr>
              <w:t>比较符合</w:t>
            </w:r>
          </w:p>
        </w:tc>
        <w:tc>
          <w:tcPr>
            <w:tcW w:w="2354" w:type="pct"/>
            <w:shd w:val="clear" w:color="auto" w:fill="auto"/>
            <w:noWrap w:val="0"/>
            <w:vAlign w:val="top"/>
          </w:tcPr>
          <w:p w14:paraId="7E49656A">
            <w:pPr>
              <w:jc w:val="center"/>
              <w:rPr>
                <w:rFonts w:ascii="Times New Roman" w:hAnsi="Times New Roman" w:eastAsia="楷体_GB2312"/>
                <w:kern w:val="0"/>
                <w:sz w:val="24"/>
              </w:rPr>
            </w:pPr>
            <w:r>
              <w:rPr>
                <w:rFonts w:ascii="Times New Roman" w:hAnsi="Times New Roman" w:eastAsia="宋体"/>
                <w:color w:val="000000"/>
                <w:kern w:val="0"/>
                <w:sz w:val="24"/>
              </w:rPr>
              <w:t>[7-14)</w:t>
            </w:r>
          </w:p>
        </w:tc>
      </w:tr>
      <w:tr w14:paraId="1EB04E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7" w:type="pct"/>
            <w:vMerge w:val="continue"/>
            <w:shd w:val="clear" w:color="auto" w:fill="auto"/>
            <w:noWrap w:val="0"/>
            <w:vAlign w:val="center"/>
          </w:tcPr>
          <w:p w14:paraId="57EB8179">
            <w:pPr>
              <w:jc w:val="center"/>
              <w:rPr>
                <w:rFonts w:ascii="Times New Roman" w:hAnsi="Times New Roman" w:eastAsia="楷体_GB2312"/>
                <w:kern w:val="0"/>
                <w:sz w:val="24"/>
              </w:rPr>
            </w:pPr>
          </w:p>
        </w:tc>
        <w:tc>
          <w:tcPr>
            <w:tcW w:w="1709" w:type="pct"/>
            <w:shd w:val="clear" w:color="auto" w:fill="auto"/>
            <w:noWrap w:val="0"/>
            <w:vAlign w:val="top"/>
          </w:tcPr>
          <w:p w14:paraId="28AFA7F9">
            <w:pPr>
              <w:jc w:val="center"/>
              <w:rPr>
                <w:rFonts w:ascii="Times New Roman" w:hAnsi="Times New Roman" w:eastAsia="楷体_GB2312"/>
                <w:kern w:val="0"/>
                <w:sz w:val="24"/>
              </w:rPr>
            </w:pPr>
            <w:r>
              <w:rPr>
                <w:rFonts w:ascii="Times New Roman" w:hAnsi="Times New Roman" w:eastAsia="楷体_GB2312"/>
                <w:kern w:val="0"/>
                <w:sz w:val="24"/>
              </w:rPr>
              <w:t>非常符合</w:t>
            </w:r>
          </w:p>
        </w:tc>
        <w:tc>
          <w:tcPr>
            <w:tcW w:w="2354" w:type="pct"/>
            <w:shd w:val="clear" w:color="auto" w:fill="auto"/>
            <w:noWrap w:val="0"/>
            <w:vAlign w:val="top"/>
          </w:tcPr>
          <w:p w14:paraId="484F4544">
            <w:pPr>
              <w:jc w:val="center"/>
              <w:rPr>
                <w:rFonts w:ascii="Times New Roman" w:hAnsi="Times New Roman" w:eastAsia="楷体_GB2312"/>
                <w:kern w:val="0"/>
                <w:sz w:val="24"/>
              </w:rPr>
            </w:pPr>
            <w:r>
              <w:rPr>
                <w:rFonts w:ascii="Times New Roman" w:hAnsi="Times New Roman" w:eastAsia="宋体"/>
                <w:color w:val="000000"/>
                <w:kern w:val="0"/>
                <w:sz w:val="24"/>
              </w:rPr>
              <w:t>[14-20)</w:t>
            </w:r>
          </w:p>
        </w:tc>
      </w:tr>
      <w:tr w14:paraId="219DF8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7" w:type="pct"/>
            <w:vMerge w:val="restart"/>
            <w:shd w:val="clear" w:color="auto" w:fill="auto"/>
            <w:noWrap w:val="0"/>
            <w:vAlign w:val="center"/>
          </w:tcPr>
          <w:p w14:paraId="451D8FAF">
            <w:pPr>
              <w:jc w:val="center"/>
              <w:rPr>
                <w:rFonts w:ascii="Times New Roman" w:hAnsi="Times New Roman" w:eastAsia="楷体_GB2312"/>
                <w:kern w:val="0"/>
                <w:sz w:val="24"/>
              </w:rPr>
            </w:pPr>
            <w:r>
              <w:rPr>
                <w:rFonts w:ascii="Times New Roman" w:hAnsi="Times New Roman" w:eastAsia="楷体_GB2312"/>
                <w:kern w:val="0"/>
                <w:sz w:val="24"/>
              </w:rPr>
              <w:t>L2</w:t>
            </w:r>
          </w:p>
        </w:tc>
        <w:tc>
          <w:tcPr>
            <w:tcW w:w="1709" w:type="pct"/>
            <w:shd w:val="clear" w:color="auto" w:fill="auto"/>
            <w:noWrap w:val="0"/>
            <w:vAlign w:val="top"/>
          </w:tcPr>
          <w:p w14:paraId="158464A8">
            <w:pPr>
              <w:jc w:val="center"/>
              <w:rPr>
                <w:rFonts w:ascii="Times New Roman" w:hAnsi="Times New Roman" w:eastAsia="楷体_GB2312"/>
                <w:kern w:val="0"/>
                <w:sz w:val="24"/>
              </w:rPr>
            </w:pPr>
            <w:r>
              <w:rPr>
                <w:rFonts w:ascii="Times New Roman" w:hAnsi="Times New Roman" w:eastAsia="楷体_GB2312"/>
                <w:kern w:val="0"/>
                <w:sz w:val="24"/>
              </w:rPr>
              <w:t>基本符合</w:t>
            </w:r>
          </w:p>
        </w:tc>
        <w:tc>
          <w:tcPr>
            <w:tcW w:w="2354" w:type="pct"/>
            <w:shd w:val="clear" w:color="auto" w:fill="auto"/>
            <w:noWrap w:val="0"/>
            <w:vAlign w:val="top"/>
          </w:tcPr>
          <w:p w14:paraId="14E75A84">
            <w:pPr>
              <w:jc w:val="center"/>
              <w:rPr>
                <w:rFonts w:ascii="Times New Roman" w:hAnsi="Times New Roman" w:eastAsia="楷体_GB2312"/>
                <w:kern w:val="0"/>
                <w:sz w:val="24"/>
              </w:rPr>
            </w:pPr>
            <w:r>
              <w:rPr>
                <w:rFonts w:ascii="Times New Roman" w:hAnsi="Times New Roman" w:eastAsia="宋体"/>
                <w:color w:val="000000"/>
                <w:kern w:val="0"/>
                <w:sz w:val="24"/>
              </w:rPr>
              <w:t>[20-27)</w:t>
            </w:r>
          </w:p>
        </w:tc>
      </w:tr>
      <w:tr w14:paraId="51F57D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7" w:type="pct"/>
            <w:vMerge w:val="continue"/>
            <w:shd w:val="clear" w:color="auto" w:fill="auto"/>
            <w:noWrap w:val="0"/>
            <w:vAlign w:val="center"/>
          </w:tcPr>
          <w:p w14:paraId="0ACBF148">
            <w:pPr>
              <w:jc w:val="center"/>
              <w:rPr>
                <w:rFonts w:ascii="Times New Roman" w:hAnsi="Times New Roman" w:eastAsia="楷体_GB2312"/>
                <w:kern w:val="0"/>
                <w:sz w:val="24"/>
              </w:rPr>
            </w:pPr>
          </w:p>
        </w:tc>
        <w:tc>
          <w:tcPr>
            <w:tcW w:w="1709" w:type="pct"/>
            <w:shd w:val="clear" w:color="auto" w:fill="auto"/>
            <w:noWrap w:val="0"/>
            <w:vAlign w:val="top"/>
          </w:tcPr>
          <w:p w14:paraId="6F4A4A89">
            <w:pPr>
              <w:jc w:val="center"/>
              <w:rPr>
                <w:rFonts w:ascii="Times New Roman" w:hAnsi="Times New Roman" w:eastAsia="楷体_GB2312"/>
                <w:kern w:val="0"/>
                <w:sz w:val="24"/>
              </w:rPr>
            </w:pPr>
            <w:r>
              <w:rPr>
                <w:rFonts w:ascii="Times New Roman" w:hAnsi="Times New Roman" w:eastAsia="楷体_GB2312"/>
                <w:kern w:val="0"/>
                <w:sz w:val="24"/>
              </w:rPr>
              <w:t>比较符合</w:t>
            </w:r>
          </w:p>
        </w:tc>
        <w:tc>
          <w:tcPr>
            <w:tcW w:w="2354" w:type="pct"/>
            <w:shd w:val="clear" w:color="auto" w:fill="auto"/>
            <w:noWrap w:val="0"/>
            <w:vAlign w:val="top"/>
          </w:tcPr>
          <w:p w14:paraId="2A783D7B">
            <w:pPr>
              <w:jc w:val="center"/>
              <w:rPr>
                <w:rFonts w:ascii="Times New Roman" w:hAnsi="Times New Roman" w:eastAsia="宋体"/>
                <w:color w:val="000000"/>
                <w:kern w:val="0"/>
                <w:sz w:val="24"/>
              </w:rPr>
            </w:pPr>
            <w:r>
              <w:rPr>
                <w:rFonts w:ascii="Times New Roman" w:hAnsi="Times New Roman" w:eastAsia="宋体"/>
                <w:color w:val="000000"/>
                <w:kern w:val="0"/>
                <w:sz w:val="24"/>
              </w:rPr>
              <w:t>[27-34)</w:t>
            </w:r>
          </w:p>
        </w:tc>
      </w:tr>
      <w:tr w14:paraId="4B8451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7" w:type="pct"/>
            <w:vMerge w:val="continue"/>
            <w:shd w:val="clear" w:color="auto" w:fill="auto"/>
            <w:noWrap w:val="0"/>
            <w:vAlign w:val="center"/>
          </w:tcPr>
          <w:p w14:paraId="212732A8">
            <w:pPr>
              <w:jc w:val="center"/>
              <w:rPr>
                <w:rFonts w:ascii="Times New Roman" w:hAnsi="Times New Roman" w:eastAsia="楷体_GB2312"/>
                <w:kern w:val="0"/>
                <w:sz w:val="24"/>
              </w:rPr>
            </w:pPr>
          </w:p>
        </w:tc>
        <w:tc>
          <w:tcPr>
            <w:tcW w:w="1709" w:type="pct"/>
            <w:shd w:val="clear" w:color="auto" w:fill="auto"/>
            <w:noWrap w:val="0"/>
            <w:vAlign w:val="top"/>
          </w:tcPr>
          <w:p w14:paraId="6EC44363">
            <w:pPr>
              <w:jc w:val="center"/>
              <w:rPr>
                <w:rFonts w:ascii="Times New Roman" w:hAnsi="Times New Roman" w:eastAsia="楷体_GB2312"/>
                <w:kern w:val="0"/>
                <w:sz w:val="24"/>
              </w:rPr>
            </w:pPr>
            <w:r>
              <w:rPr>
                <w:rFonts w:ascii="Times New Roman" w:hAnsi="Times New Roman" w:eastAsia="楷体_GB2312"/>
                <w:kern w:val="0"/>
                <w:sz w:val="24"/>
              </w:rPr>
              <w:t>非常符合</w:t>
            </w:r>
          </w:p>
        </w:tc>
        <w:tc>
          <w:tcPr>
            <w:tcW w:w="2354" w:type="pct"/>
            <w:shd w:val="clear" w:color="auto" w:fill="auto"/>
            <w:noWrap w:val="0"/>
            <w:vAlign w:val="top"/>
          </w:tcPr>
          <w:p w14:paraId="38A2AD69">
            <w:pPr>
              <w:jc w:val="center"/>
              <w:rPr>
                <w:rFonts w:ascii="Times New Roman" w:hAnsi="Times New Roman" w:eastAsia="宋体"/>
                <w:color w:val="000000"/>
                <w:kern w:val="0"/>
                <w:sz w:val="24"/>
              </w:rPr>
            </w:pPr>
            <w:r>
              <w:rPr>
                <w:rFonts w:ascii="Times New Roman" w:hAnsi="Times New Roman" w:eastAsia="宋体"/>
                <w:color w:val="000000"/>
                <w:kern w:val="0"/>
                <w:sz w:val="24"/>
              </w:rPr>
              <w:t>[34-40)</w:t>
            </w:r>
          </w:p>
        </w:tc>
      </w:tr>
      <w:tr w14:paraId="40965F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7" w:type="pct"/>
            <w:vMerge w:val="restart"/>
            <w:shd w:val="clear" w:color="auto" w:fill="auto"/>
            <w:noWrap w:val="0"/>
            <w:vAlign w:val="center"/>
          </w:tcPr>
          <w:p w14:paraId="246816E4">
            <w:pPr>
              <w:jc w:val="center"/>
              <w:rPr>
                <w:rFonts w:ascii="Times New Roman" w:hAnsi="Times New Roman" w:eastAsia="楷体_GB2312"/>
                <w:kern w:val="0"/>
                <w:sz w:val="24"/>
              </w:rPr>
            </w:pPr>
            <w:r>
              <w:rPr>
                <w:rFonts w:ascii="Times New Roman" w:hAnsi="Times New Roman" w:eastAsia="楷体_GB2312"/>
                <w:kern w:val="0"/>
                <w:sz w:val="24"/>
              </w:rPr>
              <w:t>L3</w:t>
            </w:r>
          </w:p>
        </w:tc>
        <w:tc>
          <w:tcPr>
            <w:tcW w:w="1709" w:type="pct"/>
            <w:shd w:val="clear" w:color="auto" w:fill="auto"/>
            <w:noWrap w:val="0"/>
            <w:vAlign w:val="top"/>
          </w:tcPr>
          <w:p w14:paraId="33CB7602">
            <w:pPr>
              <w:jc w:val="center"/>
              <w:rPr>
                <w:rFonts w:ascii="Times New Roman" w:hAnsi="Times New Roman" w:eastAsia="楷体_GB2312"/>
                <w:kern w:val="0"/>
                <w:sz w:val="24"/>
              </w:rPr>
            </w:pPr>
            <w:r>
              <w:rPr>
                <w:rFonts w:ascii="Times New Roman" w:hAnsi="Times New Roman" w:eastAsia="楷体_GB2312"/>
                <w:kern w:val="0"/>
                <w:sz w:val="24"/>
              </w:rPr>
              <w:t>基本符合</w:t>
            </w:r>
          </w:p>
        </w:tc>
        <w:tc>
          <w:tcPr>
            <w:tcW w:w="2354" w:type="pct"/>
            <w:shd w:val="clear" w:color="auto" w:fill="auto"/>
            <w:noWrap w:val="0"/>
            <w:vAlign w:val="top"/>
          </w:tcPr>
          <w:p w14:paraId="1DEB56C8">
            <w:pPr>
              <w:jc w:val="center"/>
              <w:rPr>
                <w:rFonts w:ascii="Times New Roman" w:hAnsi="Times New Roman" w:eastAsia="楷体_GB2312"/>
                <w:kern w:val="0"/>
                <w:sz w:val="24"/>
              </w:rPr>
            </w:pPr>
            <w:r>
              <w:rPr>
                <w:rFonts w:ascii="Times New Roman" w:hAnsi="Times New Roman" w:eastAsia="宋体"/>
                <w:color w:val="000000"/>
                <w:kern w:val="0"/>
                <w:sz w:val="24"/>
              </w:rPr>
              <w:t>[40-47)</w:t>
            </w:r>
          </w:p>
        </w:tc>
      </w:tr>
      <w:tr w14:paraId="4EA88D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7" w:type="pct"/>
            <w:vMerge w:val="continue"/>
            <w:shd w:val="clear" w:color="auto" w:fill="auto"/>
            <w:noWrap w:val="0"/>
            <w:vAlign w:val="center"/>
          </w:tcPr>
          <w:p w14:paraId="6B2BF58B">
            <w:pPr>
              <w:jc w:val="center"/>
              <w:rPr>
                <w:rFonts w:ascii="Times New Roman" w:hAnsi="Times New Roman" w:eastAsia="楷体_GB2312"/>
                <w:kern w:val="0"/>
                <w:sz w:val="24"/>
              </w:rPr>
            </w:pPr>
          </w:p>
        </w:tc>
        <w:tc>
          <w:tcPr>
            <w:tcW w:w="1709" w:type="pct"/>
            <w:shd w:val="clear" w:color="auto" w:fill="auto"/>
            <w:noWrap w:val="0"/>
            <w:vAlign w:val="top"/>
          </w:tcPr>
          <w:p w14:paraId="69AE728E">
            <w:pPr>
              <w:jc w:val="center"/>
              <w:rPr>
                <w:rFonts w:ascii="Times New Roman" w:hAnsi="Times New Roman" w:eastAsia="楷体_GB2312"/>
                <w:kern w:val="0"/>
                <w:sz w:val="24"/>
              </w:rPr>
            </w:pPr>
            <w:r>
              <w:rPr>
                <w:rFonts w:ascii="Times New Roman" w:hAnsi="Times New Roman" w:eastAsia="楷体_GB2312"/>
                <w:kern w:val="0"/>
                <w:sz w:val="24"/>
              </w:rPr>
              <w:t>比较符合</w:t>
            </w:r>
          </w:p>
        </w:tc>
        <w:tc>
          <w:tcPr>
            <w:tcW w:w="2354" w:type="pct"/>
            <w:shd w:val="clear" w:color="auto" w:fill="auto"/>
            <w:noWrap w:val="0"/>
            <w:vAlign w:val="top"/>
          </w:tcPr>
          <w:p w14:paraId="6D4FE0D6">
            <w:pPr>
              <w:jc w:val="center"/>
              <w:rPr>
                <w:rFonts w:ascii="Times New Roman" w:hAnsi="Times New Roman" w:eastAsia="宋体"/>
                <w:color w:val="000000"/>
                <w:kern w:val="0"/>
                <w:sz w:val="24"/>
              </w:rPr>
            </w:pPr>
            <w:r>
              <w:rPr>
                <w:rFonts w:ascii="Times New Roman" w:hAnsi="Times New Roman" w:eastAsia="宋体"/>
                <w:color w:val="000000"/>
                <w:kern w:val="0"/>
                <w:sz w:val="24"/>
              </w:rPr>
              <w:t>[47-54)</w:t>
            </w:r>
          </w:p>
        </w:tc>
      </w:tr>
      <w:tr w14:paraId="7A4323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7" w:type="pct"/>
            <w:vMerge w:val="continue"/>
            <w:shd w:val="clear" w:color="auto" w:fill="auto"/>
            <w:noWrap w:val="0"/>
            <w:vAlign w:val="center"/>
          </w:tcPr>
          <w:p w14:paraId="50A5796E">
            <w:pPr>
              <w:jc w:val="center"/>
              <w:rPr>
                <w:rFonts w:ascii="Times New Roman" w:hAnsi="Times New Roman" w:eastAsia="楷体_GB2312"/>
                <w:kern w:val="0"/>
                <w:sz w:val="24"/>
              </w:rPr>
            </w:pPr>
          </w:p>
        </w:tc>
        <w:tc>
          <w:tcPr>
            <w:tcW w:w="1709" w:type="pct"/>
            <w:shd w:val="clear" w:color="auto" w:fill="auto"/>
            <w:noWrap w:val="0"/>
            <w:vAlign w:val="top"/>
          </w:tcPr>
          <w:p w14:paraId="7E8C717D">
            <w:pPr>
              <w:jc w:val="center"/>
              <w:rPr>
                <w:rFonts w:ascii="Times New Roman" w:hAnsi="Times New Roman" w:eastAsia="楷体_GB2312"/>
                <w:kern w:val="0"/>
                <w:sz w:val="24"/>
              </w:rPr>
            </w:pPr>
            <w:r>
              <w:rPr>
                <w:rFonts w:ascii="Times New Roman" w:hAnsi="Times New Roman" w:eastAsia="楷体_GB2312"/>
                <w:kern w:val="0"/>
                <w:sz w:val="24"/>
              </w:rPr>
              <w:t>非常符合</w:t>
            </w:r>
          </w:p>
        </w:tc>
        <w:tc>
          <w:tcPr>
            <w:tcW w:w="2354" w:type="pct"/>
            <w:shd w:val="clear" w:color="auto" w:fill="auto"/>
            <w:noWrap w:val="0"/>
            <w:vAlign w:val="top"/>
          </w:tcPr>
          <w:p w14:paraId="2C4B26A7">
            <w:pPr>
              <w:jc w:val="center"/>
              <w:rPr>
                <w:rFonts w:ascii="Times New Roman" w:hAnsi="Times New Roman" w:eastAsia="宋体"/>
                <w:color w:val="000000"/>
                <w:kern w:val="0"/>
                <w:sz w:val="24"/>
              </w:rPr>
            </w:pPr>
            <w:r>
              <w:rPr>
                <w:rFonts w:ascii="Times New Roman" w:hAnsi="Times New Roman" w:eastAsia="宋体"/>
                <w:color w:val="000000"/>
                <w:kern w:val="0"/>
                <w:sz w:val="24"/>
              </w:rPr>
              <w:t>[54-60)</w:t>
            </w:r>
          </w:p>
        </w:tc>
      </w:tr>
      <w:tr w14:paraId="7F3B5D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7" w:type="pct"/>
            <w:vMerge w:val="restart"/>
            <w:shd w:val="clear" w:color="auto" w:fill="auto"/>
            <w:noWrap w:val="0"/>
            <w:vAlign w:val="center"/>
          </w:tcPr>
          <w:p w14:paraId="7AD6DC98">
            <w:pPr>
              <w:jc w:val="center"/>
              <w:rPr>
                <w:rFonts w:ascii="Times New Roman" w:hAnsi="Times New Roman" w:eastAsia="楷体_GB2312"/>
                <w:kern w:val="0"/>
                <w:sz w:val="24"/>
              </w:rPr>
            </w:pPr>
            <w:r>
              <w:rPr>
                <w:rFonts w:ascii="Times New Roman" w:hAnsi="Times New Roman" w:eastAsia="楷体_GB2312"/>
                <w:kern w:val="0"/>
                <w:sz w:val="24"/>
              </w:rPr>
              <w:t>L4</w:t>
            </w:r>
          </w:p>
        </w:tc>
        <w:tc>
          <w:tcPr>
            <w:tcW w:w="1709" w:type="pct"/>
            <w:shd w:val="clear" w:color="auto" w:fill="auto"/>
            <w:noWrap w:val="0"/>
            <w:vAlign w:val="top"/>
          </w:tcPr>
          <w:p w14:paraId="5EE519E9">
            <w:pPr>
              <w:jc w:val="center"/>
              <w:rPr>
                <w:rFonts w:ascii="Times New Roman" w:hAnsi="Times New Roman" w:eastAsia="楷体_GB2312"/>
                <w:kern w:val="0"/>
                <w:sz w:val="24"/>
              </w:rPr>
            </w:pPr>
            <w:r>
              <w:rPr>
                <w:rFonts w:ascii="Times New Roman" w:hAnsi="Times New Roman" w:eastAsia="楷体_GB2312"/>
                <w:kern w:val="0"/>
                <w:sz w:val="24"/>
              </w:rPr>
              <w:t>基本符合</w:t>
            </w:r>
          </w:p>
        </w:tc>
        <w:tc>
          <w:tcPr>
            <w:tcW w:w="2354" w:type="pct"/>
            <w:shd w:val="clear" w:color="auto" w:fill="auto"/>
            <w:noWrap w:val="0"/>
            <w:vAlign w:val="top"/>
          </w:tcPr>
          <w:p w14:paraId="79526DFE">
            <w:pPr>
              <w:jc w:val="center"/>
              <w:rPr>
                <w:rFonts w:ascii="Times New Roman" w:hAnsi="Times New Roman" w:eastAsia="楷体_GB2312"/>
                <w:kern w:val="0"/>
                <w:sz w:val="24"/>
              </w:rPr>
            </w:pPr>
            <w:r>
              <w:rPr>
                <w:rFonts w:ascii="Times New Roman" w:hAnsi="Times New Roman" w:eastAsia="宋体"/>
                <w:color w:val="000000"/>
                <w:kern w:val="0"/>
                <w:sz w:val="24"/>
              </w:rPr>
              <w:t>[60-67)</w:t>
            </w:r>
          </w:p>
        </w:tc>
      </w:tr>
      <w:tr w14:paraId="02871E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7" w:type="pct"/>
            <w:vMerge w:val="continue"/>
            <w:shd w:val="clear" w:color="auto" w:fill="auto"/>
            <w:noWrap w:val="0"/>
            <w:vAlign w:val="center"/>
          </w:tcPr>
          <w:p w14:paraId="6930B416">
            <w:pPr>
              <w:jc w:val="center"/>
              <w:rPr>
                <w:rFonts w:ascii="Times New Roman" w:hAnsi="Times New Roman" w:eastAsia="楷体_GB2312"/>
                <w:kern w:val="0"/>
                <w:sz w:val="24"/>
              </w:rPr>
            </w:pPr>
          </w:p>
        </w:tc>
        <w:tc>
          <w:tcPr>
            <w:tcW w:w="1709" w:type="pct"/>
            <w:shd w:val="clear" w:color="auto" w:fill="auto"/>
            <w:noWrap w:val="0"/>
            <w:vAlign w:val="top"/>
          </w:tcPr>
          <w:p w14:paraId="7FA77E35">
            <w:pPr>
              <w:jc w:val="center"/>
              <w:rPr>
                <w:rFonts w:ascii="Times New Roman" w:hAnsi="Times New Roman" w:eastAsia="楷体_GB2312"/>
                <w:kern w:val="0"/>
                <w:sz w:val="24"/>
              </w:rPr>
            </w:pPr>
            <w:r>
              <w:rPr>
                <w:rFonts w:ascii="Times New Roman" w:hAnsi="Times New Roman" w:eastAsia="楷体_GB2312"/>
                <w:kern w:val="0"/>
                <w:sz w:val="24"/>
              </w:rPr>
              <w:t>比较符合</w:t>
            </w:r>
          </w:p>
        </w:tc>
        <w:tc>
          <w:tcPr>
            <w:tcW w:w="2354" w:type="pct"/>
            <w:shd w:val="clear" w:color="auto" w:fill="auto"/>
            <w:noWrap w:val="0"/>
            <w:vAlign w:val="top"/>
          </w:tcPr>
          <w:p w14:paraId="7AF85231">
            <w:pPr>
              <w:jc w:val="center"/>
              <w:rPr>
                <w:rFonts w:ascii="Times New Roman" w:hAnsi="Times New Roman" w:eastAsia="宋体"/>
                <w:color w:val="000000"/>
                <w:kern w:val="0"/>
                <w:sz w:val="24"/>
              </w:rPr>
            </w:pPr>
            <w:r>
              <w:rPr>
                <w:rFonts w:ascii="Times New Roman" w:hAnsi="Times New Roman" w:eastAsia="宋体"/>
                <w:color w:val="000000"/>
                <w:kern w:val="0"/>
                <w:sz w:val="24"/>
              </w:rPr>
              <w:t>[67-74)</w:t>
            </w:r>
          </w:p>
        </w:tc>
      </w:tr>
      <w:tr w14:paraId="3B1E45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7" w:type="pct"/>
            <w:vMerge w:val="continue"/>
            <w:shd w:val="clear" w:color="auto" w:fill="auto"/>
            <w:noWrap w:val="0"/>
            <w:vAlign w:val="center"/>
          </w:tcPr>
          <w:p w14:paraId="27E68656">
            <w:pPr>
              <w:jc w:val="center"/>
              <w:rPr>
                <w:rFonts w:ascii="Times New Roman" w:hAnsi="Times New Roman" w:eastAsia="楷体_GB2312"/>
                <w:kern w:val="0"/>
                <w:sz w:val="24"/>
              </w:rPr>
            </w:pPr>
          </w:p>
        </w:tc>
        <w:tc>
          <w:tcPr>
            <w:tcW w:w="1709" w:type="pct"/>
            <w:shd w:val="clear" w:color="auto" w:fill="auto"/>
            <w:noWrap w:val="0"/>
            <w:vAlign w:val="top"/>
          </w:tcPr>
          <w:p w14:paraId="666430AC">
            <w:pPr>
              <w:jc w:val="center"/>
              <w:rPr>
                <w:rFonts w:ascii="Times New Roman" w:hAnsi="Times New Roman" w:eastAsia="楷体_GB2312"/>
                <w:kern w:val="0"/>
                <w:sz w:val="24"/>
              </w:rPr>
            </w:pPr>
            <w:r>
              <w:rPr>
                <w:rFonts w:ascii="Times New Roman" w:hAnsi="Times New Roman" w:eastAsia="楷体_GB2312"/>
                <w:kern w:val="0"/>
                <w:sz w:val="24"/>
              </w:rPr>
              <w:t>非常符合</w:t>
            </w:r>
          </w:p>
        </w:tc>
        <w:tc>
          <w:tcPr>
            <w:tcW w:w="2354" w:type="pct"/>
            <w:shd w:val="clear" w:color="auto" w:fill="auto"/>
            <w:noWrap w:val="0"/>
            <w:vAlign w:val="top"/>
          </w:tcPr>
          <w:p w14:paraId="0CB7EF30">
            <w:pPr>
              <w:jc w:val="center"/>
              <w:rPr>
                <w:rFonts w:ascii="Times New Roman" w:hAnsi="Times New Roman" w:eastAsia="宋体"/>
                <w:color w:val="000000"/>
                <w:kern w:val="0"/>
                <w:sz w:val="24"/>
              </w:rPr>
            </w:pPr>
            <w:r>
              <w:rPr>
                <w:rFonts w:ascii="Times New Roman" w:hAnsi="Times New Roman" w:eastAsia="宋体"/>
                <w:color w:val="000000"/>
                <w:kern w:val="0"/>
                <w:sz w:val="24"/>
              </w:rPr>
              <w:t>[74-80)</w:t>
            </w:r>
          </w:p>
        </w:tc>
      </w:tr>
      <w:tr w14:paraId="6B6039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7" w:type="pct"/>
            <w:vMerge w:val="restart"/>
            <w:shd w:val="clear" w:color="auto" w:fill="auto"/>
            <w:noWrap w:val="0"/>
            <w:vAlign w:val="center"/>
          </w:tcPr>
          <w:p w14:paraId="2DD5C65B">
            <w:pPr>
              <w:jc w:val="center"/>
              <w:rPr>
                <w:rFonts w:ascii="Times New Roman" w:hAnsi="Times New Roman" w:eastAsia="楷体_GB2312"/>
                <w:kern w:val="0"/>
                <w:sz w:val="24"/>
              </w:rPr>
            </w:pPr>
            <w:r>
              <w:rPr>
                <w:rFonts w:ascii="Times New Roman" w:hAnsi="Times New Roman" w:eastAsia="楷体_GB2312"/>
                <w:kern w:val="0"/>
                <w:sz w:val="24"/>
              </w:rPr>
              <w:t>L5</w:t>
            </w:r>
          </w:p>
        </w:tc>
        <w:tc>
          <w:tcPr>
            <w:tcW w:w="1709" w:type="pct"/>
            <w:shd w:val="clear" w:color="auto" w:fill="auto"/>
            <w:noWrap w:val="0"/>
            <w:vAlign w:val="top"/>
          </w:tcPr>
          <w:p w14:paraId="5746B0EE">
            <w:pPr>
              <w:jc w:val="center"/>
              <w:rPr>
                <w:rFonts w:ascii="Times New Roman" w:hAnsi="Times New Roman" w:eastAsia="楷体_GB2312"/>
                <w:kern w:val="0"/>
                <w:sz w:val="24"/>
              </w:rPr>
            </w:pPr>
            <w:r>
              <w:rPr>
                <w:rFonts w:ascii="Times New Roman" w:hAnsi="Times New Roman" w:eastAsia="楷体_GB2312"/>
                <w:kern w:val="0"/>
                <w:sz w:val="24"/>
              </w:rPr>
              <w:t>基本符合</w:t>
            </w:r>
          </w:p>
        </w:tc>
        <w:tc>
          <w:tcPr>
            <w:tcW w:w="2354" w:type="pct"/>
            <w:shd w:val="clear" w:color="auto" w:fill="auto"/>
            <w:noWrap w:val="0"/>
            <w:vAlign w:val="top"/>
          </w:tcPr>
          <w:p w14:paraId="79A308E9">
            <w:pPr>
              <w:jc w:val="center"/>
              <w:rPr>
                <w:rFonts w:ascii="Times New Roman" w:hAnsi="Times New Roman" w:eastAsia="楷体_GB2312"/>
                <w:kern w:val="0"/>
                <w:sz w:val="24"/>
              </w:rPr>
            </w:pPr>
            <w:r>
              <w:rPr>
                <w:rFonts w:ascii="Times New Roman" w:hAnsi="Times New Roman" w:eastAsia="宋体"/>
                <w:color w:val="000000"/>
                <w:kern w:val="0"/>
                <w:sz w:val="24"/>
              </w:rPr>
              <w:t>[80-87)</w:t>
            </w:r>
          </w:p>
        </w:tc>
      </w:tr>
      <w:tr w14:paraId="3C9A66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7" w:type="pct"/>
            <w:vMerge w:val="continue"/>
            <w:shd w:val="clear" w:color="auto" w:fill="auto"/>
            <w:noWrap w:val="0"/>
            <w:vAlign w:val="center"/>
          </w:tcPr>
          <w:p w14:paraId="089850DF">
            <w:pPr>
              <w:jc w:val="center"/>
              <w:rPr>
                <w:rFonts w:ascii="Times New Roman" w:hAnsi="Times New Roman" w:eastAsia="楷体_GB2312"/>
                <w:kern w:val="0"/>
                <w:sz w:val="24"/>
              </w:rPr>
            </w:pPr>
          </w:p>
        </w:tc>
        <w:tc>
          <w:tcPr>
            <w:tcW w:w="1709" w:type="pct"/>
            <w:shd w:val="clear" w:color="auto" w:fill="auto"/>
            <w:noWrap w:val="0"/>
            <w:vAlign w:val="top"/>
          </w:tcPr>
          <w:p w14:paraId="2585431D">
            <w:pPr>
              <w:jc w:val="center"/>
              <w:rPr>
                <w:rFonts w:ascii="Times New Roman" w:hAnsi="Times New Roman" w:eastAsia="楷体_GB2312"/>
                <w:kern w:val="0"/>
                <w:sz w:val="24"/>
              </w:rPr>
            </w:pPr>
            <w:r>
              <w:rPr>
                <w:rFonts w:ascii="Times New Roman" w:hAnsi="Times New Roman" w:eastAsia="楷体_GB2312"/>
                <w:kern w:val="0"/>
                <w:sz w:val="24"/>
              </w:rPr>
              <w:t>比较符合</w:t>
            </w:r>
          </w:p>
        </w:tc>
        <w:tc>
          <w:tcPr>
            <w:tcW w:w="2354" w:type="pct"/>
            <w:shd w:val="clear" w:color="auto" w:fill="auto"/>
            <w:noWrap w:val="0"/>
            <w:vAlign w:val="top"/>
          </w:tcPr>
          <w:p w14:paraId="31DC9D22">
            <w:pPr>
              <w:jc w:val="center"/>
              <w:rPr>
                <w:rFonts w:ascii="Times New Roman" w:hAnsi="Times New Roman" w:eastAsia="楷体_GB2312"/>
                <w:kern w:val="0"/>
                <w:sz w:val="24"/>
              </w:rPr>
            </w:pPr>
            <w:r>
              <w:rPr>
                <w:rFonts w:ascii="Times New Roman" w:hAnsi="Times New Roman" w:eastAsia="宋体"/>
                <w:color w:val="000000"/>
                <w:kern w:val="0"/>
                <w:sz w:val="24"/>
              </w:rPr>
              <w:t>[87-94)</w:t>
            </w:r>
          </w:p>
        </w:tc>
      </w:tr>
      <w:tr w14:paraId="1521C4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7" w:type="pct"/>
            <w:vMerge w:val="continue"/>
            <w:shd w:val="clear" w:color="auto" w:fill="auto"/>
            <w:noWrap w:val="0"/>
            <w:vAlign w:val="center"/>
          </w:tcPr>
          <w:p w14:paraId="52F514CF">
            <w:pPr>
              <w:jc w:val="center"/>
              <w:rPr>
                <w:rFonts w:ascii="Times New Roman" w:hAnsi="Times New Roman" w:eastAsia="楷体_GB2312"/>
                <w:kern w:val="0"/>
                <w:sz w:val="24"/>
              </w:rPr>
            </w:pPr>
          </w:p>
        </w:tc>
        <w:tc>
          <w:tcPr>
            <w:tcW w:w="1709" w:type="pct"/>
            <w:shd w:val="clear" w:color="auto" w:fill="auto"/>
            <w:noWrap w:val="0"/>
            <w:vAlign w:val="top"/>
          </w:tcPr>
          <w:p w14:paraId="4D337BC0">
            <w:pPr>
              <w:jc w:val="center"/>
              <w:rPr>
                <w:rFonts w:ascii="Times New Roman" w:hAnsi="Times New Roman" w:eastAsia="楷体_GB2312"/>
                <w:kern w:val="0"/>
                <w:sz w:val="24"/>
              </w:rPr>
            </w:pPr>
            <w:r>
              <w:rPr>
                <w:rFonts w:ascii="Times New Roman" w:hAnsi="Times New Roman" w:eastAsia="楷体_GB2312"/>
                <w:kern w:val="0"/>
                <w:sz w:val="24"/>
              </w:rPr>
              <w:t>非常符合</w:t>
            </w:r>
          </w:p>
        </w:tc>
        <w:tc>
          <w:tcPr>
            <w:tcW w:w="2354" w:type="pct"/>
            <w:shd w:val="clear" w:color="auto" w:fill="auto"/>
            <w:noWrap w:val="0"/>
            <w:vAlign w:val="top"/>
          </w:tcPr>
          <w:p w14:paraId="15F14B4D">
            <w:pPr>
              <w:jc w:val="center"/>
              <w:rPr>
                <w:rFonts w:ascii="Times New Roman" w:hAnsi="Times New Roman" w:eastAsia="楷体_GB2312"/>
                <w:kern w:val="0"/>
                <w:sz w:val="24"/>
              </w:rPr>
            </w:pPr>
            <w:r>
              <w:rPr>
                <w:rFonts w:ascii="Times New Roman" w:hAnsi="Times New Roman" w:eastAsia="宋体"/>
                <w:color w:val="000000"/>
                <w:kern w:val="0"/>
                <w:sz w:val="24"/>
              </w:rPr>
              <w:t>[94-100)</w:t>
            </w:r>
          </w:p>
        </w:tc>
      </w:tr>
    </w:tbl>
    <w:p w14:paraId="0C3DF9C9">
      <w:pPr>
        <w:spacing w:line="56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3.部分题目等级选项中以“或”并列出现多种数字化场景水平描述的，满足任意一种即可视为达到该等级水平</w:t>
      </w:r>
    </w:p>
    <w:p w14:paraId="46DB2B2B">
      <w:pPr>
        <w:pStyle w:val="2"/>
        <w:spacing w:after="0" w:line="560" w:lineRule="exact"/>
        <w:ind w:firstLine="420"/>
        <w:rPr>
          <w:rFonts w:ascii="Times New Roman" w:hAnsi="Times New Roman"/>
          <w:sz w:val="32"/>
          <w:szCs w:val="32"/>
        </w:rPr>
      </w:pPr>
    </w:p>
    <w:p w14:paraId="33EDF3FE">
      <w:pPr>
        <w:spacing w:line="560" w:lineRule="exact"/>
        <w:ind w:firstLine="640" w:firstLineChars="200"/>
        <w:outlineLvl w:val="0"/>
        <w:rPr>
          <w:rFonts w:ascii="Times New Roman" w:hAnsi="Times New Roman" w:eastAsia="黑体"/>
          <w:sz w:val="32"/>
          <w:szCs w:val="32"/>
        </w:rPr>
      </w:pPr>
      <w:r>
        <w:rPr>
          <w:rFonts w:ascii="Times New Roman" w:hAnsi="Times New Roman" w:eastAsia="黑体"/>
          <w:sz w:val="32"/>
          <w:szCs w:val="32"/>
        </w:rPr>
        <w:t>一、数字化能力水平评估</w:t>
      </w:r>
    </w:p>
    <w:p w14:paraId="541331A6">
      <w:pPr>
        <w:spacing w:line="560" w:lineRule="exact"/>
        <w:ind w:firstLine="643" w:firstLineChars="200"/>
        <w:outlineLvl w:val="1"/>
        <w:rPr>
          <w:rFonts w:ascii="Times New Roman" w:hAnsi="Times New Roman" w:eastAsia="楷体_GB2312"/>
          <w:b/>
          <w:bCs/>
          <w:sz w:val="32"/>
          <w:szCs w:val="32"/>
        </w:rPr>
      </w:pPr>
      <w:r>
        <w:rPr>
          <w:rFonts w:ascii="Times New Roman" w:hAnsi="Times New Roman" w:eastAsia="楷体_GB2312"/>
          <w:b/>
          <w:bCs/>
          <w:sz w:val="32"/>
          <w:szCs w:val="32"/>
        </w:rPr>
        <w:t>（一）应用能力</w:t>
      </w:r>
    </w:p>
    <w:p w14:paraId="5C4D26BB">
      <w:pPr>
        <w:spacing w:line="560" w:lineRule="exact"/>
        <w:ind w:firstLine="643" w:firstLineChars="200"/>
        <w:rPr>
          <w:rFonts w:ascii="Times New Roman" w:hAnsi="Times New Roman" w:eastAsia="仿宋_GB2312"/>
          <w:b/>
          <w:bCs/>
          <w:sz w:val="32"/>
          <w:szCs w:val="32"/>
        </w:rPr>
      </w:pPr>
      <w:r>
        <w:rPr>
          <w:rFonts w:ascii="Times New Roman" w:hAnsi="Times New Roman" w:eastAsia="仿宋_GB2312"/>
          <w:b/>
          <w:bCs/>
          <w:sz w:val="32"/>
          <w:szCs w:val="32"/>
        </w:rPr>
        <w:t>1.企业研发设计数字化水平等级为</w:t>
      </w:r>
      <w:r>
        <w:rPr>
          <w:rFonts w:ascii="Times New Roman" w:hAnsi="Times New Roman" w:eastAsia="仿宋_GB2312"/>
          <w:b/>
          <w:bCs/>
          <w:sz w:val="32"/>
          <w:szCs w:val="32"/>
          <w:u w:val="single"/>
        </w:rPr>
        <w:t xml:space="preserve">   </w:t>
      </w:r>
      <w:r>
        <w:rPr>
          <w:rFonts w:ascii="Times New Roman" w:hAnsi="Times New Roman" w:eastAsia="仿宋_GB2312"/>
          <w:b/>
          <w:bCs/>
          <w:sz w:val="32"/>
          <w:szCs w:val="32"/>
        </w:rPr>
        <w:t>，打分为</w:t>
      </w:r>
      <w:r>
        <w:rPr>
          <w:rFonts w:ascii="Times New Roman" w:hAnsi="Times New Roman" w:eastAsia="仿宋_GB2312"/>
          <w:b/>
          <w:bCs/>
          <w:sz w:val="32"/>
          <w:szCs w:val="32"/>
          <w:u w:val="single"/>
        </w:rPr>
        <w:t xml:space="preserve">   </w:t>
      </w:r>
      <w:r>
        <w:rPr>
          <w:rFonts w:ascii="Times New Roman" w:hAnsi="Times New Roman" w:eastAsia="仿宋_GB2312"/>
          <w:b/>
          <w:bCs/>
          <w:sz w:val="32"/>
          <w:szCs w:val="32"/>
        </w:rPr>
        <w:t>。</w:t>
      </w:r>
    </w:p>
    <w:p w14:paraId="712378C2">
      <w:pPr>
        <w:spacing w:line="560" w:lineRule="exact"/>
        <w:ind w:firstLine="640" w:firstLineChars="200"/>
        <w:rPr>
          <w:rFonts w:ascii="Times New Roman" w:hAnsi="Times New Roman" w:eastAsia="楷体_GB2312"/>
          <w:sz w:val="32"/>
          <w:szCs w:val="32"/>
        </w:rPr>
      </w:pPr>
      <w:r>
        <w:rPr>
          <w:rFonts w:ascii="Times New Roman" w:hAnsi="Times New Roman" w:eastAsia="楷体_GB2312"/>
          <w:sz w:val="32"/>
          <w:szCs w:val="32"/>
        </w:rPr>
        <w:t>□不涉及本环节。</w:t>
      </w:r>
    </w:p>
    <w:p w14:paraId="54BC35D9">
      <w:pPr>
        <w:spacing w:line="560" w:lineRule="exact"/>
        <w:ind w:firstLine="640" w:firstLineChars="200"/>
        <w:rPr>
          <w:rFonts w:ascii="Times New Roman" w:hAnsi="Times New Roman" w:eastAsia="楷体_GB2312"/>
          <w:sz w:val="32"/>
          <w:szCs w:val="32"/>
        </w:rPr>
      </w:pPr>
      <w:r>
        <w:rPr>
          <w:rFonts w:ascii="Times New Roman" w:hAnsi="Times New Roman" w:eastAsia="楷体_GB2312"/>
          <w:sz w:val="32"/>
          <w:szCs w:val="32"/>
        </w:rPr>
        <w:t>□L0：企业以传统</w:t>
      </w:r>
      <w:r>
        <w:rPr>
          <w:rFonts w:ascii="Times New Roman" w:hAnsi="Times New Roman" w:eastAsia="楷体_GB2312"/>
          <w:b/>
          <w:bCs/>
          <w:sz w:val="32"/>
          <w:szCs w:val="32"/>
        </w:rPr>
        <w:t>手工方式</w:t>
      </w:r>
      <w:r>
        <w:rPr>
          <w:rFonts w:ascii="Times New Roman" w:hAnsi="Times New Roman" w:eastAsia="楷体_GB2312"/>
          <w:sz w:val="32"/>
          <w:szCs w:val="32"/>
        </w:rPr>
        <w:t>绘制产品图纸与设计工艺流程，以</w:t>
      </w:r>
      <w:r>
        <w:rPr>
          <w:rFonts w:ascii="Times New Roman" w:hAnsi="Times New Roman" w:eastAsia="楷体_GB2312"/>
          <w:b/>
          <w:bCs/>
          <w:sz w:val="32"/>
          <w:szCs w:val="32"/>
        </w:rPr>
        <w:t>纸质文档</w:t>
      </w:r>
      <w:r>
        <w:rPr>
          <w:rFonts w:ascii="Times New Roman" w:hAnsi="Times New Roman" w:eastAsia="楷体_GB2312"/>
          <w:sz w:val="32"/>
          <w:szCs w:val="32"/>
        </w:rPr>
        <w:t>方式管理产品相关的信息。</w:t>
      </w:r>
    </w:p>
    <w:p w14:paraId="58CEF84C">
      <w:pPr>
        <w:spacing w:line="560" w:lineRule="exact"/>
        <w:ind w:firstLine="640" w:firstLineChars="200"/>
        <w:rPr>
          <w:rFonts w:ascii="Times New Roman" w:hAnsi="Times New Roman" w:eastAsia="楷体_GB2312"/>
          <w:sz w:val="32"/>
          <w:szCs w:val="32"/>
        </w:rPr>
      </w:pPr>
      <w:r>
        <w:rPr>
          <w:rFonts w:ascii="Times New Roman" w:hAnsi="Times New Roman" w:eastAsia="楷体_GB2312"/>
          <w:sz w:val="32"/>
          <w:szCs w:val="32"/>
        </w:rPr>
        <w:t>□L1：企业已经运用</w:t>
      </w:r>
      <w:r>
        <w:rPr>
          <w:rFonts w:ascii="Times New Roman" w:hAnsi="Times New Roman" w:eastAsia="楷体_GB2312"/>
          <w:b/>
          <w:bCs/>
          <w:sz w:val="32"/>
          <w:szCs w:val="32"/>
        </w:rPr>
        <w:t>数字化研发工具</w:t>
      </w:r>
      <w:r>
        <w:rPr>
          <w:rFonts w:ascii="Times New Roman" w:hAnsi="Times New Roman" w:eastAsia="微软雅黑"/>
          <w:b/>
          <w:bCs/>
          <w:sz w:val="32"/>
          <w:szCs w:val="32"/>
        </w:rPr>
        <w:t>①</w:t>
      </w:r>
      <w:r>
        <w:rPr>
          <w:rFonts w:ascii="Times New Roman" w:hAnsi="Times New Roman" w:eastAsia="楷体_GB2312"/>
          <w:b/>
          <w:bCs/>
          <w:sz w:val="32"/>
          <w:szCs w:val="32"/>
        </w:rPr>
        <w:t>（如离散行业的二维或三维 CAD，或流程行业的产品配方信息化建模工具</w:t>
      </w:r>
      <w:r>
        <w:rPr>
          <w:rFonts w:ascii="Times New Roman" w:hAnsi="Times New Roman" w:eastAsia="楷体_GB2312"/>
          <w:sz w:val="32"/>
          <w:szCs w:val="32"/>
        </w:rPr>
        <w:t>等</w:t>
      </w:r>
      <w:r>
        <w:rPr>
          <w:rFonts w:ascii="Times New Roman" w:hAnsi="Times New Roman" w:eastAsia="楷体_GB2312"/>
          <w:b/>
          <w:bCs/>
          <w:sz w:val="32"/>
          <w:szCs w:val="32"/>
        </w:rPr>
        <w:t>）</w:t>
      </w:r>
      <w:r>
        <w:rPr>
          <w:rFonts w:ascii="Times New Roman" w:hAnsi="Times New Roman" w:eastAsia="楷体_GB2312"/>
          <w:sz w:val="32"/>
          <w:szCs w:val="32"/>
        </w:rPr>
        <w:t>辅助进行产品研发或工艺设计，并以电子文档等方式初步开展</w:t>
      </w:r>
      <w:r>
        <w:rPr>
          <w:rFonts w:ascii="Times New Roman" w:hAnsi="Times New Roman" w:eastAsia="楷体_GB2312"/>
          <w:b/>
          <w:bCs/>
          <w:sz w:val="32"/>
          <w:szCs w:val="32"/>
        </w:rPr>
        <w:t>产品、工艺数据文档化管理</w:t>
      </w:r>
      <w:r>
        <w:rPr>
          <w:rFonts w:ascii="Times New Roman" w:hAnsi="Times New Roman" w:eastAsia="微软雅黑"/>
          <w:b/>
          <w:bCs/>
          <w:sz w:val="32"/>
          <w:szCs w:val="32"/>
        </w:rPr>
        <w:t>②</w:t>
      </w:r>
      <w:r>
        <w:rPr>
          <w:rFonts w:ascii="Times New Roman" w:hAnsi="Times New Roman" w:eastAsia="楷体_GB2312"/>
          <w:sz w:val="32"/>
          <w:szCs w:val="32"/>
        </w:rPr>
        <w:t>。</w:t>
      </w:r>
    </w:p>
    <w:p w14:paraId="0C9F93EC">
      <w:pPr>
        <w:spacing w:line="560" w:lineRule="exact"/>
        <w:ind w:firstLine="640" w:firstLineChars="200"/>
        <w:rPr>
          <w:rFonts w:ascii="Times New Roman" w:hAnsi="Times New Roman" w:eastAsia="楷体_GB2312"/>
          <w:sz w:val="32"/>
          <w:szCs w:val="32"/>
        </w:rPr>
      </w:pPr>
      <w:r>
        <w:rPr>
          <w:rFonts w:ascii="Times New Roman" w:hAnsi="Times New Roman" w:eastAsia="楷体_GB2312"/>
          <w:sz w:val="32"/>
          <w:szCs w:val="32"/>
        </w:rPr>
        <w:t>□L2：企业在运用数字化研发工具的基础上，部署实施PDM/PLM类系统，实现产品、工艺</w:t>
      </w:r>
      <w:r>
        <w:rPr>
          <w:rFonts w:ascii="Times New Roman" w:hAnsi="Times New Roman" w:eastAsia="楷体_GB2312"/>
          <w:b/>
          <w:bCs/>
          <w:sz w:val="32"/>
          <w:szCs w:val="32"/>
        </w:rPr>
        <w:t>数据集成和研发过程管理</w:t>
      </w:r>
      <w:r>
        <w:rPr>
          <w:rFonts w:ascii="Times New Roman" w:hAnsi="Times New Roman" w:eastAsia="楷体_GB2312"/>
          <w:sz w:val="32"/>
          <w:szCs w:val="32"/>
        </w:rPr>
        <w:t>。</w:t>
      </w:r>
    </w:p>
    <w:p w14:paraId="3BDAE75D">
      <w:pPr>
        <w:spacing w:line="560" w:lineRule="exact"/>
        <w:ind w:firstLine="640" w:firstLineChars="200"/>
        <w:rPr>
          <w:rFonts w:ascii="Times New Roman" w:hAnsi="Times New Roman" w:eastAsia="楷体_GB2312"/>
          <w:sz w:val="32"/>
          <w:szCs w:val="32"/>
        </w:rPr>
      </w:pPr>
      <w:r>
        <w:rPr>
          <w:rFonts w:ascii="Times New Roman" w:hAnsi="Times New Roman" w:eastAsia="楷体_GB2312"/>
          <w:sz w:val="32"/>
          <w:szCs w:val="32"/>
        </w:rPr>
        <w:t>□L3：企业开始积累沉淀</w:t>
      </w:r>
      <w:r>
        <w:rPr>
          <w:rFonts w:ascii="Times New Roman" w:hAnsi="Times New Roman" w:eastAsia="楷体_GB2312"/>
          <w:b/>
          <w:bCs/>
          <w:sz w:val="32"/>
          <w:szCs w:val="32"/>
        </w:rPr>
        <w:t>设计组件库</w:t>
      </w:r>
      <w:r>
        <w:rPr>
          <w:rFonts w:ascii="Times New Roman" w:hAnsi="Times New Roman" w:eastAsia="微软雅黑"/>
          <w:b/>
          <w:bCs/>
          <w:sz w:val="32"/>
          <w:szCs w:val="32"/>
        </w:rPr>
        <w:t>③</w:t>
      </w:r>
      <w:r>
        <w:rPr>
          <w:rFonts w:ascii="Times New Roman" w:hAnsi="Times New Roman" w:eastAsia="楷体_GB2312"/>
          <w:b/>
          <w:bCs/>
          <w:sz w:val="32"/>
          <w:szCs w:val="32"/>
        </w:rPr>
        <w:t>或工艺知识库</w:t>
      </w:r>
      <w:r>
        <w:rPr>
          <w:rFonts w:ascii="Times New Roman" w:hAnsi="Times New Roman" w:eastAsia="微软雅黑"/>
          <w:b/>
          <w:bCs/>
          <w:sz w:val="32"/>
          <w:szCs w:val="32"/>
        </w:rPr>
        <w:t>④</w:t>
      </w:r>
      <w:r>
        <w:rPr>
          <w:rFonts w:ascii="Times New Roman" w:hAnsi="Times New Roman" w:eastAsia="楷体_GB2312"/>
          <w:sz w:val="32"/>
          <w:szCs w:val="32"/>
        </w:rPr>
        <w:t>，能够进行产品功能、性能仿真分析或工艺</w:t>
      </w:r>
      <w:r>
        <w:rPr>
          <w:rFonts w:ascii="Times New Roman" w:hAnsi="Times New Roman" w:eastAsia="楷体_GB2312"/>
          <w:b/>
          <w:bCs/>
          <w:sz w:val="32"/>
          <w:szCs w:val="32"/>
        </w:rPr>
        <w:t>仿真分析</w:t>
      </w:r>
      <w:r>
        <w:rPr>
          <w:rFonts w:ascii="Times New Roman" w:hAnsi="Times New Roman" w:eastAsia="楷体_GB2312"/>
          <w:sz w:val="32"/>
          <w:szCs w:val="32"/>
        </w:rPr>
        <w:t>，实现覆盖产品生命周期关键环节的</w:t>
      </w:r>
      <w:r>
        <w:rPr>
          <w:rFonts w:ascii="Times New Roman" w:hAnsi="Times New Roman" w:eastAsia="楷体_GB2312"/>
          <w:b/>
          <w:bCs/>
          <w:sz w:val="32"/>
          <w:szCs w:val="32"/>
        </w:rPr>
        <w:t>数据贯通和初步业务协同</w:t>
      </w:r>
      <w:r>
        <w:rPr>
          <w:rFonts w:ascii="Times New Roman" w:hAnsi="Times New Roman" w:eastAsia="楷体_GB2312"/>
          <w:sz w:val="32"/>
          <w:szCs w:val="32"/>
        </w:rPr>
        <w:t>。</w:t>
      </w:r>
    </w:p>
    <w:p w14:paraId="0D3896B3">
      <w:pPr>
        <w:spacing w:line="560" w:lineRule="exact"/>
        <w:ind w:firstLine="640" w:firstLineChars="200"/>
        <w:rPr>
          <w:rFonts w:ascii="Times New Roman" w:hAnsi="Times New Roman" w:eastAsia="楷体_GB2312"/>
          <w:sz w:val="32"/>
          <w:szCs w:val="32"/>
        </w:rPr>
      </w:pPr>
      <w:r>
        <w:rPr>
          <w:rFonts w:ascii="Times New Roman" w:hAnsi="Times New Roman" w:eastAsia="楷体_GB2312"/>
          <w:sz w:val="32"/>
          <w:szCs w:val="32"/>
        </w:rPr>
        <w:t>□L4：企业</w:t>
      </w:r>
      <w:r>
        <w:rPr>
          <w:rFonts w:ascii="Times New Roman" w:hAnsi="Times New Roman" w:eastAsia="楷体_GB2312"/>
          <w:b/>
          <w:bCs/>
          <w:sz w:val="32"/>
          <w:szCs w:val="32"/>
        </w:rPr>
        <w:t>以模型为核心</w:t>
      </w:r>
      <w:r>
        <w:rPr>
          <w:rFonts w:ascii="Times New Roman" w:hAnsi="Times New Roman" w:eastAsia="楷体_GB2312"/>
          <w:sz w:val="32"/>
          <w:szCs w:val="32"/>
        </w:rPr>
        <w:t>开展覆盖产品全生命周期的集成应用，打造基于行业特色的内部协同研发模式；</w:t>
      </w:r>
      <w:r>
        <w:rPr>
          <w:rFonts w:ascii="Times New Roman" w:hAnsi="Times New Roman" w:eastAsia="楷体_GB2312"/>
          <w:b/>
          <w:bCs/>
          <w:sz w:val="32"/>
          <w:szCs w:val="32"/>
        </w:rPr>
        <w:t>或</w:t>
      </w:r>
      <w:r>
        <w:rPr>
          <w:rFonts w:ascii="Times New Roman" w:hAnsi="Times New Roman" w:eastAsia="楷体_GB2312"/>
          <w:sz w:val="32"/>
          <w:szCs w:val="32"/>
        </w:rPr>
        <w:t>能够实现跨区域、跨领域的</w:t>
      </w:r>
      <w:r>
        <w:rPr>
          <w:rFonts w:ascii="Times New Roman" w:hAnsi="Times New Roman" w:eastAsia="楷体_GB2312"/>
          <w:b/>
          <w:bCs/>
          <w:sz w:val="32"/>
          <w:szCs w:val="32"/>
        </w:rPr>
        <w:t>网络化协同设计</w:t>
      </w:r>
      <w:r>
        <w:rPr>
          <w:rFonts w:ascii="Times New Roman" w:hAnsi="Times New Roman" w:eastAsia="微软雅黑"/>
          <w:b/>
          <w:bCs/>
          <w:sz w:val="32"/>
          <w:szCs w:val="32"/>
        </w:rPr>
        <w:t>⑤</w:t>
      </w:r>
      <w:r>
        <w:rPr>
          <w:rFonts w:ascii="Times New Roman" w:hAnsi="Times New Roman" w:eastAsia="楷体_GB2312"/>
          <w:sz w:val="32"/>
          <w:szCs w:val="32"/>
        </w:rPr>
        <w:t>。</w:t>
      </w:r>
    </w:p>
    <w:p w14:paraId="47304DAA">
      <w:pPr>
        <w:spacing w:line="560" w:lineRule="exact"/>
        <w:ind w:firstLine="640" w:firstLineChars="200"/>
        <w:rPr>
          <w:rFonts w:ascii="Times New Roman" w:hAnsi="Times New Roman" w:eastAsia="楷体_GB2312"/>
          <w:sz w:val="32"/>
          <w:szCs w:val="32"/>
        </w:rPr>
      </w:pPr>
      <w:r>
        <w:rPr>
          <w:rFonts w:ascii="Times New Roman" w:hAnsi="Times New Roman" w:eastAsia="楷体_GB2312"/>
          <w:sz w:val="32"/>
          <w:szCs w:val="32"/>
        </w:rPr>
        <w:t>□L5：企业打造</w:t>
      </w:r>
      <w:r>
        <w:rPr>
          <w:rFonts w:ascii="Times New Roman" w:hAnsi="Times New Roman" w:eastAsia="楷体_GB2312"/>
          <w:b/>
          <w:bCs/>
          <w:sz w:val="32"/>
          <w:szCs w:val="32"/>
        </w:rPr>
        <w:t>产品数字孪生</w:t>
      </w:r>
      <w:r>
        <w:rPr>
          <w:rFonts w:ascii="Times New Roman" w:hAnsi="Times New Roman" w:eastAsia="微软雅黑"/>
          <w:b/>
          <w:bCs/>
          <w:sz w:val="32"/>
          <w:szCs w:val="32"/>
        </w:rPr>
        <w:t>⑥</w:t>
      </w:r>
      <w:r>
        <w:rPr>
          <w:rFonts w:ascii="Times New Roman" w:hAnsi="Times New Roman" w:eastAsia="楷体_GB2312"/>
          <w:sz w:val="32"/>
          <w:szCs w:val="32"/>
        </w:rPr>
        <w:t>，以高精度、高保真的虚拟试验替代传统实物验证过程，对包括产品研发全过程在内的全生命周期进行分析预测；</w:t>
      </w:r>
      <w:r>
        <w:rPr>
          <w:rFonts w:ascii="Times New Roman" w:hAnsi="Times New Roman" w:eastAsia="楷体_GB2312"/>
          <w:b/>
          <w:bCs/>
          <w:sz w:val="32"/>
          <w:szCs w:val="32"/>
        </w:rPr>
        <w:t>或</w:t>
      </w:r>
      <w:r>
        <w:rPr>
          <w:rFonts w:ascii="Times New Roman" w:hAnsi="Times New Roman" w:eastAsia="楷体_GB2312"/>
          <w:sz w:val="32"/>
          <w:szCs w:val="32"/>
        </w:rPr>
        <w:t>运用人工智能大模型技术开展</w:t>
      </w:r>
      <w:r>
        <w:rPr>
          <w:rFonts w:ascii="Times New Roman" w:hAnsi="Times New Roman" w:eastAsia="楷体_GB2312"/>
          <w:b/>
          <w:bCs/>
          <w:sz w:val="32"/>
          <w:szCs w:val="32"/>
        </w:rPr>
        <w:t>创成式设计</w:t>
      </w:r>
      <w:r>
        <w:rPr>
          <w:rFonts w:ascii="Times New Roman" w:hAnsi="Times New Roman" w:eastAsia="微软雅黑"/>
          <w:b/>
          <w:bCs/>
          <w:sz w:val="32"/>
          <w:szCs w:val="32"/>
        </w:rPr>
        <w:t>⑦</w:t>
      </w:r>
      <w:r>
        <w:rPr>
          <w:rFonts w:ascii="Times New Roman" w:hAnsi="Times New Roman" w:eastAsia="楷体_GB2312"/>
          <w:sz w:val="32"/>
          <w:szCs w:val="32"/>
        </w:rPr>
        <w:t>。</w:t>
      </w:r>
    </w:p>
    <w:p w14:paraId="1C80D4E3">
      <w:pPr>
        <w:widowControl/>
        <w:spacing w:line="360" w:lineRule="auto"/>
        <w:jc w:val="center"/>
        <w:rPr>
          <w:rFonts w:ascii="Times New Roman" w:hAnsi="Times New Roman" w:eastAsia="楷体_GB2312"/>
          <w:color w:val="000000"/>
          <w:kern w:val="0"/>
          <w:sz w:val="24"/>
        </w:rPr>
      </w:pPr>
      <w:r>
        <w:rPr>
          <w:rFonts w:ascii="Times New Roman" w:hAnsi="Times New Roman" w:eastAsia="楷体_GB2312"/>
          <w:color w:val="000000"/>
          <w:kern w:val="0"/>
          <w:sz w:val="24"/>
        </w:rPr>
        <w:t>表1 研发设计数字化水平指标注释表</w:t>
      </w:r>
    </w:p>
    <w:tbl>
      <w:tblPr>
        <w:tblStyle w:val="6"/>
        <w:tblW w:w="907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17"/>
        <w:gridCol w:w="2560"/>
        <w:gridCol w:w="5494"/>
      </w:tblGrid>
      <w:tr w14:paraId="1A9501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 w:hRule="atLeast"/>
          <w:jc w:val="center"/>
        </w:trPr>
        <w:tc>
          <w:tcPr>
            <w:tcW w:w="809" w:type="dxa"/>
            <w:shd w:val="clear" w:color="auto" w:fill="auto"/>
            <w:noWrap w:val="0"/>
            <w:vAlign w:val="center"/>
          </w:tcPr>
          <w:p w14:paraId="07ED644F">
            <w:pPr>
              <w:widowControl/>
              <w:adjustRightInd w:val="0"/>
              <w:snapToGrid w:val="0"/>
              <w:jc w:val="center"/>
              <w:textAlignment w:val="center"/>
              <w:rPr>
                <w:rFonts w:ascii="Times New Roman" w:hAnsi="Times New Roman" w:eastAsia="仿宋_GB2312"/>
                <w:b/>
                <w:bCs/>
                <w:color w:val="000000"/>
                <w:sz w:val="24"/>
              </w:rPr>
            </w:pPr>
            <w:r>
              <w:rPr>
                <w:rFonts w:ascii="Times New Roman" w:hAnsi="Times New Roman" w:eastAsia="仿宋_GB2312"/>
                <w:b/>
                <w:bCs/>
                <w:color w:val="000000"/>
                <w:sz w:val="24"/>
              </w:rPr>
              <w:t>序号</w:t>
            </w:r>
          </w:p>
        </w:tc>
        <w:tc>
          <w:tcPr>
            <w:tcW w:w="2036" w:type="dxa"/>
            <w:shd w:val="clear" w:color="auto" w:fill="auto"/>
            <w:noWrap w:val="0"/>
            <w:vAlign w:val="center"/>
          </w:tcPr>
          <w:p w14:paraId="4B4BEF7D">
            <w:pPr>
              <w:widowControl/>
              <w:adjustRightInd w:val="0"/>
              <w:snapToGrid w:val="0"/>
              <w:jc w:val="center"/>
              <w:textAlignment w:val="center"/>
              <w:rPr>
                <w:rFonts w:ascii="Times New Roman" w:hAnsi="Times New Roman" w:eastAsia="仿宋_GB2312"/>
                <w:b/>
                <w:bCs/>
                <w:color w:val="000000"/>
                <w:sz w:val="24"/>
              </w:rPr>
            </w:pPr>
            <w:r>
              <w:rPr>
                <w:rFonts w:ascii="Times New Roman" w:hAnsi="Times New Roman" w:eastAsia="仿宋_GB2312"/>
                <w:b/>
                <w:bCs/>
                <w:color w:val="000000"/>
                <w:sz w:val="24"/>
              </w:rPr>
              <w:t>关键词</w:t>
            </w:r>
          </w:p>
        </w:tc>
        <w:tc>
          <w:tcPr>
            <w:tcW w:w="4370" w:type="dxa"/>
            <w:shd w:val="clear" w:color="auto" w:fill="auto"/>
            <w:noWrap w:val="0"/>
            <w:vAlign w:val="center"/>
          </w:tcPr>
          <w:p w14:paraId="7C6CA704">
            <w:pPr>
              <w:widowControl/>
              <w:adjustRightInd w:val="0"/>
              <w:snapToGrid w:val="0"/>
              <w:jc w:val="center"/>
              <w:textAlignment w:val="center"/>
              <w:rPr>
                <w:rFonts w:ascii="Times New Roman" w:hAnsi="Times New Roman" w:eastAsia="仿宋_GB2312"/>
                <w:b/>
                <w:bCs/>
                <w:color w:val="000000"/>
                <w:sz w:val="24"/>
              </w:rPr>
            </w:pPr>
            <w:r>
              <w:rPr>
                <w:rFonts w:ascii="Times New Roman" w:hAnsi="Times New Roman" w:eastAsia="仿宋_GB2312"/>
                <w:b/>
                <w:bCs/>
                <w:color w:val="000000"/>
                <w:sz w:val="24"/>
              </w:rPr>
              <w:t>注释</w:t>
            </w:r>
          </w:p>
        </w:tc>
      </w:tr>
      <w:tr w14:paraId="6F144B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 w:hRule="atLeast"/>
          <w:jc w:val="center"/>
        </w:trPr>
        <w:tc>
          <w:tcPr>
            <w:tcW w:w="809" w:type="dxa"/>
            <w:shd w:val="clear" w:color="auto" w:fill="auto"/>
            <w:noWrap w:val="0"/>
            <w:vAlign w:val="center"/>
          </w:tcPr>
          <w:p w14:paraId="06C4D9F6">
            <w:pPr>
              <w:widowControl/>
              <w:adjustRightInd w:val="0"/>
              <w:snapToGrid w:val="0"/>
              <w:jc w:val="center"/>
              <w:textAlignment w:val="center"/>
              <w:rPr>
                <w:rFonts w:ascii="Times New Roman" w:hAnsi="Times New Roman" w:eastAsia="仿宋_GB2312"/>
                <w:sz w:val="24"/>
              </w:rPr>
            </w:pPr>
            <w:r>
              <w:rPr>
                <w:rFonts w:ascii="Times New Roman" w:hAnsi="Times New Roman" w:eastAsia="仿宋_GB2312"/>
                <w:sz w:val="24"/>
              </w:rPr>
              <w:t>1</w:t>
            </w:r>
          </w:p>
        </w:tc>
        <w:tc>
          <w:tcPr>
            <w:tcW w:w="2036" w:type="dxa"/>
            <w:shd w:val="clear" w:color="auto" w:fill="auto"/>
            <w:noWrap w:val="0"/>
            <w:vAlign w:val="center"/>
          </w:tcPr>
          <w:p w14:paraId="446BBF86">
            <w:pPr>
              <w:widowControl/>
              <w:adjustRightInd w:val="0"/>
              <w:snapToGrid w:val="0"/>
              <w:jc w:val="center"/>
              <w:textAlignment w:val="center"/>
              <w:rPr>
                <w:rFonts w:ascii="Times New Roman" w:hAnsi="Times New Roman" w:eastAsia="仿宋_GB2312"/>
                <w:b/>
                <w:bCs/>
                <w:sz w:val="24"/>
              </w:rPr>
            </w:pPr>
            <w:r>
              <w:rPr>
                <w:rFonts w:ascii="Times New Roman" w:hAnsi="Times New Roman" w:eastAsia="仿宋_GB2312"/>
                <w:b/>
                <w:bCs/>
                <w:sz w:val="24"/>
              </w:rPr>
              <w:t>数字化研发工具</w:t>
            </w:r>
          </w:p>
        </w:tc>
        <w:tc>
          <w:tcPr>
            <w:tcW w:w="4370" w:type="dxa"/>
            <w:shd w:val="clear" w:color="auto" w:fill="auto"/>
            <w:noWrap w:val="0"/>
            <w:vAlign w:val="center"/>
          </w:tcPr>
          <w:p w14:paraId="420988A4">
            <w:pPr>
              <w:widowControl/>
              <w:adjustRightInd w:val="0"/>
              <w:snapToGrid w:val="0"/>
              <w:jc w:val="left"/>
              <w:textAlignment w:val="center"/>
              <w:rPr>
                <w:rFonts w:ascii="Times New Roman" w:hAnsi="Times New Roman" w:eastAsia="仿宋_GB2312"/>
                <w:sz w:val="18"/>
                <w:szCs w:val="18"/>
              </w:rPr>
            </w:pPr>
            <w:r>
              <w:rPr>
                <w:rFonts w:ascii="Times New Roman" w:hAnsi="Times New Roman" w:eastAsia="仿宋_GB2312"/>
                <w:sz w:val="18"/>
                <w:szCs w:val="18"/>
              </w:rPr>
              <w:t>包含CAD、UG、ProE、Solidworks、3DMAX等。</w:t>
            </w:r>
          </w:p>
        </w:tc>
      </w:tr>
      <w:tr w14:paraId="7D139A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 w:hRule="atLeast"/>
          <w:jc w:val="center"/>
        </w:trPr>
        <w:tc>
          <w:tcPr>
            <w:tcW w:w="809" w:type="dxa"/>
            <w:shd w:val="clear" w:color="auto" w:fill="auto"/>
            <w:noWrap w:val="0"/>
            <w:vAlign w:val="center"/>
          </w:tcPr>
          <w:p w14:paraId="21B7690B">
            <w:pPr>
              <w:widowControl/>
              <w:adjustRightInd w:val="0"/>
              <w:snapToGrid w:val="0"/>
              <w:jc w:val="center"/>
              <w:textAlignment w:val="center"/>
              <w:rPr>
                <w:rFonts w:ascii="Times New Roman" w:hAnsi="Times New Roman" w:eastAsia="仿宋_GB2312"/>
                <w:sz w:val="24"/>
              </w:rPr>
            </w:pPr>
            <w:r>
              <w:rPr>
                <w:rFonts w:ascii="Times New Roman" w:hAnsi="Times New Roman" w:eastAsia="仿宋_GB2312"/>
                <w:sz w:val="24"/>
              </w:rPr>
              <w:t>2</w:t>
            </w:r>
          </w:p>
        </w:tc>
        <w:tc>
          <w:tcPr>
            <w:tcW w:w="2036" w:type="dxa"/>
            <w:shd w:val="clear" w:color="auto" w:fill="auto"/>
            <w:noWrap w:val="0"/>
            <w:vAlign w:val="center"/>
          </w:tcPr>
          <w:p w14:paraId="2DC297EF">
            <w:pPr>
              <w:widowControl/>
              <w:adjustRightInd w:val="0"/>
              <w:snapToGrid w:val="0"/>
              <w:jc w:val="center"/>
              <w:textAlignment w:val="center"/>
              <w:rPr>
                <w:rFonts w:ascii="Times New Roman" w:hAnsi="Times New Roman" w:eastAsia="仿宋_GB2312"/>
                <w:b/>
                <w:bCs/>
                <w:sz w:val="24"/>
              </w:rPr>
            </w:pPr>
            <w:r>
              <w:rPr>
                <w:rFonts w:ascii="Times New Roman" w:hAnsi="Times New Roman" w:eastAsia="仿宋_GB2312"/>
                <w:b/>
                <w:bCs/>
                <w:sz w:val="24"/>
              </w:rPr>
              <w:t>产品、工艺数据文档化管理</w:t>
            </w:r>
          </w:p>
        </w:tc>
        <w:tc>
          <w:tcPr>
            <w:tcW w:w="4370" w:type="dxa"/>
            <w:shd w:val="clear" w:color="auto" w:fill="auto"/>
            <w:noWrap w:val="0"/>
            <w:vAlign w:val="center"/>
          </w:tcPr>
          <w:p w14:paraId="7F71DD47">
            <w:pPr>
              <w:widowControl/>
              <w:adjustRightInd w:val="0"/>
              <w:snapToGrid w:val="0"/>
              <w:jc w:val="left"/>
              <w:textAlignment w:val="center"/>
              <w:rPr>
                <w:rFonts w:ascii="Times New Roman" w:hAnsi="Times New Roman" w:eastAsia="仿宋_GB2312"/>
                <w:sz w:val="18"/>
                <w:szCs w:val="18"/>
              </w:rPr>
            </w:pPr>
            <w:r>
              <w:rPr>
                <w:rFonts w:ascii="Times New Roman" w:hAnsi="Times New Roman" w:eastAsia="仿宋_GB2312"/>
                <w:sz w:val="18"/>
                <w:szCs w:val="18"/>
              </w:rPr>
              <w:t>包含产品设计文档、工程图纸、测试报告、用户手册、工艺图纸、工艺过程卡、作业指导书、工艺参数、程序、配方等文档和数据的归档、查阅的管理制度。</w:t>
            </w:r>
          </w:p>
        </w:tc>
      </w:tr>
      <w:tr w14:paraId="394958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 w:hRule="atLeast"/>
          <w:jc w:val="center"/>
        </w:trPr>
        <w:tc>
          <w:tcPr>
            <w:tcW w:w="809" w:type="dxa"/>
            <w:shd w:val="clear" w:color="auto" w:fill="auto"/>
            <w:noWrap w:val="0"/>
            <w:vAlign w:val="center"/>
          </w:tcPr>
          <w:p w14:paraId="71A05775">
            <w:pPr>
              <w:widowControl/>
              <w:adjustRightInd w:val="0"/>
              <w:snapToGrid w:val="0"/>
              <w:jc w:val="center"/>
              <w:textAlignment w:val="center"/>
              <w:rPr>
                <w:rFonts w:ascii="Times New Roman" w:hAnsi="Times New Roman" w:eastAsia="仿宋_GB2312"/>
                <w:sz w:val="24"/>
              </w:rPr>
            </w:pPr>
            <w:r>
              <w:rPr>
                <w:rFonts w:ascii="Times New Roman" w:hAnsi="Times New Roman" w:eastAsia="仿宋_GB2312"/>
                <w:sz w:val="24"/>
              </w:rPr>
              <w:t>3</w:t>
            </w:r>
          </w:p>
        </w:tc>
        <w:tc>
          <w:tcPr>
            <w:tcW w:w="2036" w:type="dxa"/>
            <w:shd w:val="clear" w:color="auto" w:fill="auto"/>
            <w:noWrap w:val="0"/>
            <w:vAlign w:val="center"/>
          </w:tcPr>
          <w:p w14:paraId="3377F19E">
            <w:pPr>
              <w:widowControl/>
              <w:adjustRightInd w:val="0"/>
              <w:snapToGrid w:val="0"/>
              <w:jc w:val="center"/>
              <w:textAlignment w:val="center"/>
              <w:rPr>
                <w:rFonts w:ascii="Times New Roman" w:hAnsi="Times New Roman" w:eastAsia="仿宋_GB2312"/>
                <w:b/>
                <w:bCs/>
                <w:sz w:val="24"/>
              </w:rPr>
            </w:pPr>
            <w:r>
              <w:rPr>
                <w:rFonts w:ascii="Times New Roman" w:hAnsi="Times New Roman" w:eastAsia="仿宋_GB2312"/>
                <w:b/>
                <w:bCs/>
                <w:sz w:val="24"/>
              </w:rPr>
              <w:t>设计组件库</w:t>
            </w:r>
          </w:p>
        </w:tc>
        <w:tc>
          <w:tcPr>
            <w:tcW w:w="4370" w:type="dxa"/>
            <w:shd w:val="clear" w:color="auto" w:fill="auto"/>
            <w:noWrap w:val="0"/>
            <w:vAlign w:val="center"/>
          </w:tcPr>
          <w:p w14:paraId="3D7142C9">
            <w:pPr>
              <w:widowControl/>
              <w:adjustRightInd w:val="0"/>
              <w:snapToGrid w:val="0"/>
              <w:jc w:val="left"/>
              <w:textAlignment w:val="center"/>
              <w:rPr>
                <w:rFonts w:ascii="Times New Roman" w:hAnsi="Times New Roman" w:eastAsia="仿宋_GB2312"/>
                <w:sz w:val="18"/>
                <w:szCs w:val="18"/>
              </w:rPr>
            </w:pPr>
            <w:r>
              <w:rPr>
                <w:rFonts w:ascii="Times New Roman" w:hAnsi="Times New Roman" w:eastAsia="仿宋_GB2312"/>
                <w:sz w:val="18"/>
                <w:szCs w:val="18"/>
              </w:rPr>
              <w:t>指一套专为工业产品设计和制造过程中使用的标准化、可复用的界面和功能组件集合，它包括了各种设计元素和模块。</w:t>
            </w:r>
          </w:p>
        </w:tc>
      </w:tr>
      <w:tr w14:paraId="0469E5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6" w:hRule="atLeast"/>
          <w:jc w:val="center"/>
        </w:trPr>
        <w:tc>
          <w:tcPr>
            <w:tcW w:w="809" w:type="dxa"/>
            <w:shd w:val="clear" w:color="auto" w:fill="auto"/>
            <w:noWrap w:val="0"/>
            <w:vAlign w:val="center"/>
          </w:tcPr>
          <w:p w14:paraId="2423C3CB">
            <w:pPr>
              <w:widowControl/>
              <w:adjustRightInd w:val="0"/>
              <w:snapToGrid w:val="0"/>
              <w:jc w:val="center"/>
              <w:textAlignment w:val="center"/>
              <w:rPr>
                <w:rFonts w:ascii="Times New Roman" w:hAnsi="Times New Roman" w:eastAsia="仿宋_GB2312"/>
                <w:sz w:val="24"/>
              </w:rPr>
            </w:pPr>
            <w:r>
              <w:rPr>
                <w:rFonts w:ascii="Times New Roman" w:hAnsi="Times New Roman" w:eastAsia="仿宋_GB2312"/>
                <w:sz w:val="24"/>
              </w:rPr>
              <w:t>4</w:t>
            </w:r>
          </w:p>
        </w:tc>
        <w:tc>
          <w:tcPr>
            <w:tcW w:w="2036" w:type="dxa"/>
            <w:shd w:val="clear" w:color="auto" w:fill="auto"/>
            <w:noWrap w:val="0"/>
            <w:vAlign w:val="center"/>
          </w:tcPr>
          <w:p w14:paraId="6B6005B3">
            <w:pPr>
              <w:widowControl/>
              <w:adjustRightInd w:val="0"/>
              <w:snapToGrid w:val="0"/>
              <w:jc w:val="center"/>
              <w:textAlignment w:val="center"/>
              <w:rPr>
                <w:rFonts w:ascii="Times New Roman" w:hAnsi="Times New Roman" w:eastAsia="仿宋_GB2312"/>
                <w:b/>
                <w:bCs/>
                <w:sz w:val="24"/>
              </w:rPr>
            </w:pPr>
            <w:r>
              <w:rPr>
                <w:rFonts w:ascii="Times New Roman" w:hAnsi="Times New Roman" w:eastAsia="仿宋_GB2312"/>
                <w:b/>
                <w:bCs/>
                <w:sz w:val="24"/>
              </w:rPr>
              <w:t>工艺知识库</w:t>
            </w:r>
          </w:p>
        </w:tc>
        <w:tc>
          <w:tcPr>
            <w:tcW w:w="4370" w:type="dxa"/>
            <w:shd w:val="clear" w:color="auto" w:fill="auto"/>
            <w:noWrap w:val="0"/>
            <w:vAlign w:val="center"/>
          </w:tcPr>
          <w:p w14:paraId="1F044B1D">
            <w:pPr>
              <w:widowControl/>
              <w:adjustRightInd w:val="0"/>
              <w:snapToGrid w:val="0"/>
              <w:jc w:val="left"/>
              <w:textAlignment w:val="center"/>
              <w:rPr>
                <w:rFonts w:ascii="Times New Roman" w:hAnsi="Times New Roman" w:eastAsia="仿宋_GB2312"/>
                <w:sz w:val="18"/>
                <w:szCs w:val="18"/>
              </w:rPr>
            </w:pPr>
            <w:r>
              <w:rPr>
                <w:rFonts w:ascii="Times New Roman" w:hAnsi="Times New Roman" w:eastAsia="仿宋_GB2312"/>
                <w:sz w:val="18"/>
                <w:szCs w:val="18"/>
              </w:rPr>
              <w:t>指积累的工艺设计、制造过程中的知识集合，包含了工艺理论、工艺方法、工艺经验等结构化的知识点，以数字化的形式存储，便于工艺设计人员在设计过程中快速检索、应用，以提高工艺设计的效率和质量。</w:t>
            </w:r>
          </w:p>
        </w:tc>
      </w:tr>
      <w:tr w14:paraId="4D0660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 w:hRule="atLeast"/>
          <w:jc w:val="center"/>
        </w:trPr>
        <w:tc>
          <w:tcPr>
            <w:tcW w:w="809" w:type="dxa"/>
            <w:shd w:val="clear" w:color="auto" w:fill="auto"/>
            <w:noWrap w:val="0"/>
            <w:vAlign w:val="center"/>
          </w:tcPr>
          <w:p w14:paraId="456E4719">
            <w:pPr>
              <w:widowControl/>
              <w:adjustRightInd w:val="0"/>
              <w:snapToGrid w:val="0"/>
              <w:jc w:val="center"/>
              <w:textAlignment w:val="center"/>
              <w:rPr>
                <w:rFonts w:ascii="Times New Roman" w:hAnsi="Times New Roman" w:eastAsia="仿宋_GB2312"/>
                <w:sz w:val="24"/>
              </w:rPr>
            </w:pPr>
            <w:r>
              <w:rPr>
                <w:rFonts w:ascii="Times New Roman" w:hAnsi="Times New Roman" w:eastAsia="仿宋_GB2312"/>
                <w:sz w:val="24"/>
              </w:rPr>
              <w:t>5</w:t>
            </w:r>
          </w:p>
        </w:tc>
        <w:tc>
          <w:tcPr>
            <w:tcW w:w="2036" w:type="dxa"/>
            <w:shd w:val="clear" w:color="auto" w:fill="auto"/>
            <w:noWrap w:val="0"/>
            <w:vAlign w:val="center"/>
          </w:tcPr>
          <w:p w14:paraId="5769E7C5">
            <w:pPr>
              <w:widowControl/>
              <w:adjustRightInd w:val="0"/>
              <w:snapToGrid w:val="0"/>
              <w:jc w:val="center"/>
              <w:textAlignment w:val="center"/>
              <w:rPr>
                <w:rFonts w:ascii="Times New Roman" w:hAnsi="Times New Roman" w:eastAsia="仿宋_GB2312"/>
                <w:b/>
                <w:bCs/>
                <w:sz w:val="24"/>
              </w:rPr>
            </w:pPr>
            <w:r>
              <w:rPr>
                <w:rFonts w:ascii="Times New Roman" w:hAnsi="Times New Roman" w:eastAsia="仿宋_GB2312"/>
                <w:b/>
                <w:bCs/>
                <w:sz w:val="24"/>
              </w:rPr>
              <w:t>网络化协同设计</w:t>
            </w:r>
          </w:p>
        </w:tc>
        <w:tc>
          <w:tcPr>
            <w:tcW w:w="4370" w:type="dxa"/>
            <w:shd w:val="clear" w:color="auto" w:fill="auto"/>
            <w:noWrap w:val="0"/>
            <w:vAlign w:val="center"/>
          </w:tcPr>
          <w:p w14:paraId="72D5AD4E">
            <w:pPr>
              <w:widowControl/>
              <w:adjustRightInd w:val="0"/>
              <w:snapToGrid w:val="0"/>
              <w:jc w:val="left"/>
              <w:textAlignment w:val="center"/>
              <w:rPr>
                <w:rFonts w:ascii="Times New Roman" w:hAnsi="Times New Roman" w:eastAsia="仿宋_GB2312"/>
                <w:sz w:val="18"/>
                <w:szCs w:val="18"/>
              </w:rPr>
            </w:pPr>
            <w:r>
              <w:rPr>
                <w:rFonts w:ascii="Times New Roman" w:hAnsi="Times New Roman" w:eastAsia="仿宋_GB2312"/>
                <w:sz w:val="18"/>
                <w:szCs w:val="18"/>
              </w:rPr>
              <w:t>指利用数字化技术，实现跨地域、跨组织的设计团队之间的协作与沟通，通过共享数据和资源，提高设计效率和质量，促进创新的新型设计模式。</w:t>
            </w:r>
          </w:p>
        </w:tc>
      </w:tr>
      <w:tr w14:paraId="7D5230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 w:hRule="atLeast"/>
          <w:jc w:val="center"/>
        </w:trPr>
        <w:tc>
          <w:tcPr>
            <w:tcW w:w="809" w:type="dxa"/>
            <w:shd w:val="clear" w:color="auto" w:fill="auto"/>
            <w:noWrap w:val="0"/>
            <w:vAlign w:val="center"/>
          </w:tcPr>
          <w:p w14:paraId="015B087C">
            <w:pPr>
              <w:widowControl/>
              <w:adjustRightInd w:val="0"/>
              <w:snapToGrid w:val="0"/>
              <w:jc w:val="center"/>
              <w:textAlignment w:val="center"/>
              <w:rPr>
                <w:rFonts w:ascii="Times New Roman" w:hAnsi="Times New Roman" w:eastAsia="仿宋_GB2312"/>
                <w:sz w:val="24"/>
              </w:rPr>
            </w:pPr>
            <w:r>
              <w:rPr>
                <w:rFonts w:ascii="Times New Roman" w:hAnsi="Times New Roman" w:eastAsia="仿宋_GB2312"/>
                <w:sz w:val="24"/>
              </w:rPr>
              <w:t>6</w:t>
            </w:r>
          </w:p>
        </w:tc>
        <w:tc>
          <w:tcPr>
            <w:tcW w:w="2036" w:type="dxa"/>
            <w:shd w:val="clear" w:color="auto" w:fill="auto"/>
            <w:noWrap w:val="0"/>
            <w:vAlign w:val="center"/>
          </w:tcPr>
          <w:p w14:paraId="3335B7F2">
            <w:pPr>
              <w:widowControl/>
              <w:adjustRightInd w:val="0"/>
              <w:snapToGrid w:val="0"/>
              <w:jc w:val="center"/>
              <w:textAlignment w:val="center"/>
              <w:rPr>
                <w:rFonts w:ascii="Times New Roman" w:hAnsi="Times New Roman" w:eastAsia="仿宋_GB2312"/>
                <w:b/>
                <w:bCs/>
                <w:sz w:val="24"/>
              </w:rPr>
            </w:pPr>
            <w:r>
              <w:rPr>
                <w:rFonts w:ascii="Times New Roman" w:hAnsi="Times New Roman" w:eastAsia="仿宋_GB2312"/>
                <w:b/>
                <w:bCs/>
                <w:sz w:val="24"/>
              </w:rPr>
              <w:t>产品数字孪生</w:t>
            </w:r>
          </w:p>
        </w:tc>
        <w:tc>
          <w:tcPr>
            <w:tcW w:w="4370" w:type="dxa"/>
            <w:shd w:val="clear" w:color="auto" w:fill="auto"/>
            <w:noWrap w:val="0"/>
            <w:vAlign w:val="center"/>
          </w:tcPr>
          <w:p w14:paraId="37010D8C">
            <w:pPr>
              <w:widowControl/>
              <w:adjustRightInd w:val="0"/>
              <w:snapToGrid w:val="0"/>
              <w:jc w:val="left"/>
              <w:textAlignment w:val="center"/>
              <w:rPr>
                <w:rFonts w:ascii="Times New Roman" w:hAnsi="Times New Roman" w:eastAsia="仿宋_GB2312"/>
                <w:sz w:val="18"/>
                <w:szCs w:val="18"/>
              </w:rPr>
            </w:pPr>
            <w:r>
              <w:rPr>
                <w:rFonts w:ascii="Times New Roman" w:hAnsi="Times New Roman" w:eastAsia="仿宋_GB2312"/>
                <w:sz w:val="18"/>
                <w:szCs w:val="18"/>
              </w:rPr>
              <w:t>指在虚拟空间创建产品的物理实体的数字化映射，通过实时数据和算法模型模拟、预测、优化产品性能，实现对产品全生命周期的管理和优化。</w:t>
            </w:r>
          </w:p>
        </w:tc>
      </w:tr>
      <w:tr w14:paraId="3DBFB1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 w:hRule="atLeast"/>
          <w:jc w:val="center"/>
        </w:trPr>
        <w:tc>
          <w:tcPr>
            <w:tcW w:w="809" w:type="dxa"/>
            <w:shd w:val="clear" w:color="auto" w:fill="auto"/>
            <w:noWrap w:val="0"/>
            <w:vAlign w:val="center"/>
          </w:tcPr>
          <w:p w14:paraId="1EAC9116">
            <w:pPr>
              <w:widowControl/>
              <w:adjustRightInd w:val="0"/>
              <w:snapToGrid w:val="0"/>
              <w:jc w:val="center"/>
              <w:textAlignment w:val="center"/>
              <w:rPr>
                <w:rFonts w:ascii="Times New Roman" w:hAnsi="Times New Roman" w:eastAsia="仿宋_GB2312"/>
                <w:sz w:val="24"/>
              </w:rPr>
            </w:pPr>
            <w:r>
              <w:rPr>
                <w:rFonts w:ascii="Times New Roman" w:hAnsi="Times New Roman" w:eastAsia="仿宋_GB2312"/>
                <w:sz w:val="24"/>
              </w:rPr>
              <w:t>7</w:t>
            </w:r>
          </w:p>
        </w:tc>
        <w:tc>
          <w:tcPr>
            <w:tcW w:w="2036" w:type="dxa"/>
            <w:shd w:val="clear" w:color="auto" w:fill="auto"/>
            <w:noWrap w:val="0"/>
            <w:vAlign w:val="center"/>
          </w:tcPr>
          <w:p w14:paraId="097ADC94">
            <w:pPr>
              <w:widowControl/>
              <w:adjustRightInd w:val="0"/>
              <w:snapToGrid w:val="0"/>
              <w:jc w:val="center"/>
              <w:textAlignment w:val="center"/>
              <w:rPr>
                <w:rFonts w:ascii="Times New Roman" w:hAnsi="Times New Roman" w:eastAsia="仿宋_GB2312"/>
                <w:b/>
                <w:bCs/>
                <w:sz w:val="24"/>
              </w:rPr>
            </w:pPr>
            <w:r>
              <w:rPr>
                <w:rFonts w:ascii="Times New Roman" w:hAnsi="Times New Roman" w:eastAsia="仿宋_GB2312"/>
                <w:b/>
                <w:bCs/>
                <w:sz w:val="24"/>
              </w:rPr>
              <w:t>创成式设计</w:t>
            </w:r>
          </w:p>
        </w:tc>
        <w:tc>
          <w:tcPr>
            <w:tcW w:w="4370" w:type="dxa"/>
            <w:shd w:val="clear" w:color="auto" w:fill="auto"/>
            <w:noWrap w:val="0"/>
            <w:vAlign w:val="center"/>
          </w:tcPr>
          <w:p w14:paraId="119C07FB">
            <w:pPr>
              <w:widowControl/>
              <w:adjustRightInd w:val="0"/>
              <w:snapToGrid w:val="0"/>
              <w:jc w:val="left"/>
              <w:textAlignment w:val="center"/>
              <w:rPr>
                <w:rFonts w:ascii="Times New Roman" w:hAnsi="Times New Roman" w:eastAsia="仿宋_GB2312"/>
                <w:sz w:val="18"/>
                <w:szCs w:val="18"/>
              </w:rPr>
            </w:pPr>
            <w:r>
              <w:rPr>
                <w:rFonts w:ascii="Times New Roman" w:hAnsi="Times New Roman" w:eastAsia="仿宋_GB2312"/>
                <w:sz w:val="18"/>
                <w:szCs w:val="18"/>
              </w:rPr>
              <w:t>利用算法和计算能力来探索和生成设计方案的过程，通过定义设计目标、材料、约束和性能要求，自动产生多种设计方案供设计师选择和优化。</w:t>
            </w:r>
          </w:p>
        </w:tc>
      </w:tr>
    </w:tbl>
    <w:p w14:paraId="433820DC">
      <w:pPr>
        <w:spacing w:line="540" w:lineRule="exact"/>
        <w:ind w:firstLine="643" w:firstLineChars="200"/>
        <w:rPr>
          <w:rFonts w:ascii="Times New Roman" w:hAnsi="Times New Roman" w:eastAsia="仿宋_GB2312"/>
          <w:b/>
          <w:bCs/>
          <w:sz w:val="32"/>
          <w:szCs w:val="32"/>
        </w:rPr>
      </w:pPr>
      <w:r>
        <w:rPr>
          <w:rFonts w:ascii="Times New Roman" w:hAnsi="Times New Roman" w:eastAsia="仿宋_GB2312"/>
          <w:b/>
          <w:bCs/>
          <w:sz w:val="32"/>
          <w:szCs w:val="32"/>
        </w:rPr>
        <w:t>2.企业生产作业数字化水平等级为</w:t>
      </w:r>
      <w:r>
        <w:rPr>
          <w:rFonts w:ascii="Times New Roman" w:hAnsi="Times New Roman" w:eastAsia="仿宋_GB2312"/>
          <w:b/>
          <w:bCs/>
          <w:sz w:val="32"/>
          <w:szCs w:val="32"/>
          <w:u w:val="single"/>
        </w:rPr>
        <w:t xml:space="preserve">   </w:t>
      </w:r>
      <w:r>
        <w:rPr>
          <w:rFonts w:ascii="Times New Roman" w:hAnsi="Times New Roman" w:eastAsia="仿宋_GB2312"/>
          <w:b/>
          <w:bCs/>
          <w:sz w:val="32"/>
          <w:szCs w:val="32"/>
        </w:rPr>
        <w:t>，打分为</w:t>
      </w:r>
      <w:r>
        <w:rPr>
          <w:rFonts w:ascii="Times New Roman" w:hAnsi="Times New Roman" w:eastAsia="仿宋_GB2312"/>
          <w:b/>
          <w:bCs/>
          <w:sz w:val="32"/>
          <w:szCs w:val="32"/>
          <w:u w:val="single"/>
        </w:rPr>
        <w:t xml:space="preserve">   </w:t>
      </w:r>
      <w:r>
        <w:rPr>
          <w:rFonts w:ascii="Times New Roman" w:hAnsi="Times New Roman" w:eastAsia="仿宋_GB2312"/>
          <w:b/>
          <w:bCs/>
          <w:sz w:val="32"/>
          <w:szCs w:val="32"/>
        </w:rPr>
        <w:t>。</w:t>
      </w:r>
    </w:p>
    <w:p w14:paraId="3362A597">
      <w:pPr>
        <w:spacing w:line="540" w:lineRule="exact"/>
        <w:ind w:firstLine="560"/>
        <w:rPr>
          <w:rFonts w:ascii="Times New Roman" w:hAnsi="Times New Roman" w:eastAsia="楷体_GB2312"/>
          <w:sz w:val="32"/>
          <w:szCs w:val="32"/>
        </w:rPr>
      </w:pPr>
      <w:r>
        <w:rPr>
          <w:rFonts w:ascii="Times New Roman" w:hAnsi="Times New Roman" w:eastAsia="楷体_GB2312"/>
          <w:sz w:val="32"/>
          <w:szCs w:val="32"/>
        </w:rPr>
        <w:t>□L0：企业生产设备操作</w:t>
      </w:r>
      <w:r>
        <w:rPr>
          <w:rFonts w:ascii="Times New Roman" w:hAnsi="Times New Roman" w:eastAsia="楷体_GB2312"/>
          <w:b/>
          <w:bCs/>
          <w:sz w:val="32"/>
          <w:szCs w:val="32"/>
        </w:rPr>
        <w:t>高度依赖人工</w:t>
      </w:r>
      <w:r>
        <w:rPr>
          <w:rFonts w:ascii="Times New Roman" w:hAnsi="Times New Roman" w:eastAsia="楷体_GB2312"/>
          <w:sz w:val="32"/>
          <w:szCs w:val="32"/>
        </w:rPr>
        <w:t>，关键生产作业环节</w:t>
      </w:r>
      <w:r>
        <w:rPr>
          <w:rFonts w:ascii="Times New Roman" w:hAnsi="Times New Roman" w:eastAsia="楷体_GB2312"/>
          <w:b/>
          <w:bCs/>
          <w:sz w:val="32"/>
          <w:szCs w:val="32"/>
        </w:rPr>
        <w:t>未实现自动化</w:t>
      </w:r>
      <w:r>
        <w:rPr>
          <w:rFonts w:ascii="Times New Roman" w:hAnsi="Times New Roman" w:eastAsia="楷体_GB2312"/>
          <w:sz w:val="32"/>
          <w:szCs w:val="32"/>
        </w:rPr>
        <w:t>。</w:t>
      </w:r>
    </w:p>
    <w:p w14:paraId="7C026E00">
      <w:pPr>
        <w:spacing w:line="540" w:lineRule="exact"/>
        <w:ind w:firstLine="560"/>
        <w:rPr>
          <w:rFonts w:ascii="Times New Roman" w:hAnsi="Times New Roman" w:eastAsia="楷体_GB2312"/>
          <w:sz w:val="32"/>
          <w:szCs w:val="32"/>
        </w:rPr>
      </w:pPr>
      <w:r>
        <w:rPr>
          <w:rFonts w:ascii="Times New Roman" w:hAnsi="Times New Roman" w:eastAsia="楷体_GB2312"/>
          <w:sz w:val="32"/>
          <w:szCs w:val="32"/>
        </w:rPr>
        <w:t>□L1：企业开展关键生产工序自动化改造，关键工序数控化率</w:t>
      </w:r>
      <w:r>
        <w:rPr>
          <w:rFonts w:ascii="Times New Roman" w:hAnsi="Times New Roman" w:eastAsia="微软雅黑"/>
          <w:sz w:val="32"/>
          <w:szCs w:val="32"/>
        </w:rPr>
        <w:t>①</w:t>
      </w:r>
      <w:r>
        <w:rPr>
          <w:rFonts w:ascii="Times New Roman" w:hAnsi="Times New Roman" w:eastAsia="楷体_GB2312"/>
          <w:sz w:val="32"/>
          <w:szCs w:val="32"/>
        </w:rPr>
        <w:t>大于30%，实现</w:t>
      </w:r>
      <w:r>
        <w:rPr>
          <w:rFonts w:ascii="Times New Roman" w:hAnsi="Times New Roman" w:eastAsia="楷体_GB2312"/>
          <w:b/>
          <w:bCs/>
          <w:sz w:val="32"/>
          <w:szCs w:val="32"/>
        </w:rPr>
        <w:t>部分生产作业环节的自动化</w:t>
      </w:r>
      <w:r>
        <w:rPr>
          <w:rFonts w:ascii="Times New Roman" w:hAnsi="Times New Roman" w:eastAsia="楷体_GB2312"/>
          <w:sz w:val="32"/>
          <w:szCs w:val="32"/>
        </w:rPr>
        <w:t>。</w:t>
      </w:r>
    </w:p>
    <w:p w14:paraId="26C8A56D">
      <w:pPr>
        <w:spacing w:line="540" w:lineRule="exact"/>
        <w:ind w:firstLine="560"/>
        <w:rPr>
          <w:rFonts w:ascii="Times New Roman" w:hAnsi="Times New Roman" w:eastAsia="楷体_GB2312"/>
          <w:sz w:val="32"/>
          <w:szCs w:val="32"/>
        </w:rPr>
      </w:pPr>
      <w:r>
        <w:rPr>
          <w:rFonts w:ascii="Times New Roman" w:hAnsi="Times New Roman" w:eastAsia="楷体_GB2312"/>
          <w:sz w:val="32"/>
          <w:szCs w:val="32"/>
        </w:rPr>
        <w:t>□L2：企业规模化推动</w:t>
      </w:r>
      <w:r>
        <w:rPr>
          <w:rFonts w:ascii="Times New Roman" w:hAnsi="Times New Roman" w:eastAsia="楷体_GB2312"/>
          <w:b/>
          <w:bCs/>
          <w:sz w:val="32"/>
          <w:szCs w:val="32"/>
        </w:rPr>
        <w:t>“哑”设备数字化改造升级</w:t>
      </w:r>
      <w:r>
        <w:rPr>
          <w:rFonts w:ascii="Times New Roman" w:hAnsi="Times New Roman" w:eastAsia="楷体_GB2312"/>
          <w:sz w:val="32"/>
          <w:szCs w:val="32"/>
        </w:rPr>
        <w:t>，50%以上设备实现数据采集上传和互联互通，实现</w:t>
      </w:r>
      <w:r>
        <w:rPr>
          <w:rFonts w:ascii="Times New Roman" w:hAnsi="Times New Roman" w:eastAsia="楷体_GB2312"/>
          <w:b/>
          <w:bCs/>
          <w:sz w:val="32"/>
          <w:szCs w:val="32"/>
        </w:rPr>
        <w:t>生产作业过程可视化</w:t>
      </w:r>
      <w:r>
        <w:rPr>
          <w:rFonts w:ascii="Times New Roman" w:hAnsi="Times New Roman" w:eastAsia="微软雅黑"/>
          <w:b/>
          <w:bCs/>
          <w:sz w:val="32"/>
          <w:szCs w:val="32"/>
        </w:rPr>
        <w:t>②</w:t>
      </w:r>
      <w:r>
        <w:rPr>
          <w:rFonts w:ascii="Times New Roman" w:hAnsi="Times New Roman" w:eastAsia="楷体_GB2312"/>
          <w:sz w:val="32"/>
          <w:szCs w:val="32"/>
        </w:rPr>
        <w:t>。</w:t>
      </w:r>
    </w:p>
    <w:p w14:paraId="1AFA2EA7">
      <w:pPr>
        <w:spacing w:line="540" w:lineRule="exact"/>
        <w:ind w:firstLine="560"/>
        <w:rPr>
          <w:rFonts w:ascii="Times New Roman" w:hAnsi="Times New Roman" w:eastAsia="楷体_GB2312"/>
          <w:sz w:val="32"/>
          <w:szCs w:val="32"/>
        </w:rPr>
      </w:pPr>
      <w:r>
        <w:rPr>
          <w:rFonts w:ascii="Times New Roman" w:hAnsi="Times New Roman" w:eastAsia="楷体_GB2312"/>
          <w:sz w:val="32"/>
          <w:szCs w:val="32"/>
        </w:rPr>
        <w:t>□L3：企业基于设备数据采集和网络化连接实现不同生产工序之间的自动衔接和集中控制，打造</w:t>
      </w:r>
      <w:r>
        <w:rPr>
          <w:rFonts w:ascii="Times New Roman" w:hAnsi="Times New Roman" w:eastAsia="楷体_GB2312"/>
          <w:b/>
          <w:bCs/>
          <w:sz w:val="32"/>
          <w:szCs w:val="32"/>
        </w:rPr>
        <w:t>全自动化产线或车间</w:t>
      </w:r>
      <w:r>
        <w:rPr>
          <w:rFonts w:ascii="Times New Roman" w:hAnsi="Times New Roman" w:eastAsia="微软雅黑"/>
          <w:b/>
          <w:bCs/>
          <w:sz w:val="32"/>
          <w:szCs w:val="32"/>
        </w:rPr>
        <w:t>③</w:t>
      </w:r>
      <w:r>
        <w:rPr>
          <w:rFonts w:ascii="Times New Roman" w:hAnsi="Times New Roman" w:eastAsia="楷体_GB2312"/>
          <w:sz w:val="32"/>
          <w:szCs w:val="32"/>
        </w:rPr>
        <w:t>。</w:t>
      </w:r>
    </w:p>
    <w:p w14:paraId="40AA7FFD">
      <w:pPr>
        <w:spacing w:line="540" w:lineRule="exact"/>
        <w:ind w:firstLine="560"/>
        <w:rPr>
          <w:rFonts w:ascii="Times New Roman" w:hAnsi="Times New Roman" w:eastAsia="楷体_GB2312"/>
          <w:sz w:val="32"/>
          <w:szCs w:val="32"/>
        </w:rPr>
      </w:pPr>
      <w:r>
        <w:rPr>
          <w:rFonts w:ascii="Times New Roman" w:hAnsi="Times New Roman" w:eastAsia="楷体_GB2312"/>
          <w:sz w:val="32"/>
          <w:szCs w:val="32"/>
        </w:rPr>
        <w:t>□L4：企业能够进行生产工艺和流程的自动切换，实现</w:t>
      </w:r>
      <w:r>
        <w:rPr>
          <w:rFonts w:ascii="Times New Roman" w:hAnsi="Times New Roman" w:eastAsia="楷体_GB2312"/>
          <w:b/>
          <w:bCs/>
          <w:sz w:val="32"/>
          <w:szCs w:val="32"/>
        </w:rPr>
        <w:t>混线柔性生产</w:t>
      </w:r>
      <w:r>
        <w:rPr>
          <w:rFonts w:ascii="Times New Roman" w:hAnsi="Times New Roman" w:eastAsia="微软雅黑"/>
          <w:b/>
          <w:bCs/>
          <w:sz w:val="32"/>
          <w:szCs w:val="32"/>
        </w:rPr>
        <w:t>④</w:t>
      </w:r>
      <w:r>
        <w:rPr>
          <w:rFonts w:ascii="Times New Roman" w:hAnsi="Times New Roman" w:eastAsia="楷体_GB2312"/>
          <w:sz w:val="32"/>
          <w:szCs w:val="32"/>
        </w:rPr>
        <w:t>；</w:t>
      </w:r>
      <w:r>
        <w:rPr>
          <w:rFonts w:ascii="Times New Roman" w:hAnsi="Times New Roman" w:eastAsia="楷体_GB2312"/>
          <w:b/>
          <w:bCs/>
          <w:sz w:val="32"/>
          <w:szCs w:val="32"/>
        </w:rPr>
        <w:t>或</w:t>
      </w:r>
      <w:r>
        <w:rPr>
          <w:rFonts w:ascii="Times New Roman" w:hAnsi="Times New Roman" w:eastAsia="楷体_GB2312"/>
          <w:sz w:val="32"/>
          <w:szCs w:val="32"/>
        </w:rPr>
        <w:t>能够实现设备租赁、产能共享等</w:t>
      </w:r>
      <w:r>
        <w:rPr>
          <w:rFonts w:ascii="Times New Roman" w:hAnsi="Times New Roman" w:eastAsia="楷体_GB2312"/>
          <w:b/>
          <w:bCs/>
          <w:sz w:val="32"/>
          <w:szCs w:val="32"/>
        </w:rPr>
        <w:t>协同制造新模式</w:t>
      </w:r>
      <w:r>
        <w:rPr>
          <w:rFonts w:ascii="Times New Roman" w:hAnsi="Times New Roman" w:eastAsia="楷体_GB2312"/>
          <w:sz w:val="32"/>
          <w:szCs w:val="32"/>
        </w:rPr>
        <w:t>。</w:t>
      </w:r>
    </w:p>
    <w:p w14:paraId="72059009">
      <w:pPr>
        <w:spacing w:line="540" w:lineRule="exact"/>
        <w:ind w:firstLine="560"/>
        <w:rPr>
          <w:rFonts w:ascii="Times New Roman" w:hAnsi="Times New Roman" w:eastAsia="楷体_GB2312"/>
          <w:sz w:val="32"/>
          <w:szCs w:val="32"/>
        </w:rPr>
      </w:pPr>
      <w:r>
        <w:rPr>
          <w:rFonts w:ascii="Times New Roman" w:hAnsi="Times New Roman" w:eastAsia="楷体_GB2312"/>
          <w:sz w:val="32"/>
          <w:szCs w:val="32"/>
        </w:rPr>
        <w:t>□L5：企业基于人工智能、数字孪生、工业元宇宙等技术，打造至少一个无人化产线或黑灯工厂，实现</w:t>
      </w:r>
      <w:r>
        <w:rPr>
          <w:rFonts w:ascii="Times New Roman" w:hAnsi="Times New Roman" w:eastAsia="楷体_GB2312"/>
          <w:b/>
          <w:bCs/>
          <w:sz w:val="32"/>
          <w:szCs w:val="32"/>
        </w:rPr>
        <w:t>生产全过程自感知、自学习、自决策、自执行、自适应</w:t>
      </w:r>
      <w:r>
        <w:rPr>
          <w:rFonts w:ascii="Times New Roman" w:hAnsi="Times New Roman" w:eastAsia="微软雅黑"/>
          <w:b/>
          <w:bCs/>
          <w:sz w:val="32"/>
          <w:szCs w:val="32"/>
        </w:rPr>
        <w:t>⑤</w:t>
      </w:r>
      <w:r>
        <w:rPr>
          <w:rFonts w:ascii="Times New Roman" w:hAnsi="Times New Roman" w:eastAsia="楷体_GB2312"/>
          <w:sz w:val="32"/>
          <w:szCs w:val="32"/>
        </w:rPr>
        <w:t>。</w:t>
      </w:r>
    </w:p>
    <w:p w14:paraId="1F1A9F68">
      <w:pPr>
        <w:widowControl/>
        <w:spacing w:line="360" w:lineRule="auto"/>
        <w:jc w:val="center"/>
        <w:rPr>
          <w:rFonts w:ascii="Times New Roman" w:hAnsi="Times New Roman" w:eastAsia="楷体_GB2312"/>
          <w:color w:val="000000"/>
          <w:kern w:val="0"/>
          <w:sz w:val="24"/>
        </w:rPr>
      </w:pPr>
      <w:r>
        <w:rPr>
          <w:rFonts w:ascii="Times New Roman" w:hAnsi="Times New Roman" w:eastAsia="楷体_GB2312"/>
          <w:color w:val="000000"/>
          <w:kern w:val="0"/>
          <w:sz w:val="24"/>
        </w:rPr>
        <w:t>表2 生产作业数字化水平指标注释表</w:t>
      </w:r>
    </w:p>
    <w:tbl>
      <w:tblPr>
        <w:tblStyle w:val="6"/>
        <w:tblW w:w="907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17"/>
        <w:gridCol w:w="2560"/>
        <w:gridCol w:w="5494"/>
      </w:tblGrid>
      <w:tr w14:paraId="587218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 w:hRule="atLeast"/>
          <w:jc w:val="center"/>
        </w:trPr>
        <w:tc>
          <w:tcPr>
            <w:tcW w:w="809" w:type="dxa"/>
            <w:shd w:val="clear" w:color="auto" w:fill="auto"/>
            <w:noWrap w:val="0"/>
            <w:vAlign w:val="center"/>
          </w:tcPr>
          <w:p w14:paraId="000A2B9C">
            <w:pPr>
              <w:widowControl/>
              <w:adjustRightInd w:val="0"/>
              <w:snapToGrid w:val="0"/>
              <w:jc w:val="center"/>
              <w:textAlignment w:val="center"/>
              <w:rPr>
                <w:rFonts w:ascii="Times New Roman" w:hAnsi="Times New Roman" w:eastAsia="仿宋_GB2312"/>
                <w:b/>
                <w:bCs/>
                <w:color w:val="000000"/>
                <w:sz w:val="24"/>
              </w:rPr>
            </w:pPr>
            <w:r>
              <w:rPr>
                <w:rFonts w:ascii="Times New Roman" w:hAnsi="Times New Roman" w:eastAsia="仿宋_GB2312"/>
                <w:b/>
                <w:bCs/>
                <w:color w:val="000000"/>
                <w:sz w:val="24"/>
              </w:rPr>
              <w:t>序号</w:t>
            </w:r>
          </w:p>
        </w:tc>
        <w:tc>
          <w:tcPr>
            <w:tcW w:w="2036" w:type="dxa"/>
            <w:shd w:val="clear" w:color="auto" w:fill="auto"/>
            <w:noWrap w:val="0"/>
            <w:vAlign w:val="center"/>
          </w:tcPr>
          <w:p w14:paraId="5D99A6D6">
            <w:pPr>
              <w:widowControl/>
              <w:adjustRightInd w:val="0"/>
              <w:snapToGrid w:val="0"/>
              <w:jc w:val="center"/>
              <w:textAlignment w:val="center"/>
              <w:rPr>
                <w:rFonts w:ascii="Times New Roman" w:hAnsi="Times New Roman" w:eastAsia="仿宋_GB2312"/>
                <w:b/>
                <w:bCs/>
                <w:color w:val="000000"/>
                <w:sz w:val="24"/>
              </w:rPr>
            </w:pPr>
            <w:r>
              <w:rPr>
                <w:rFonts w:ascii="Times New Roman" w:hAnsi="Times New Roman" w:eastAsia="仿宋_GB2312"/>
                <w:b/>
                <w:bCs/>
                <w:color w:val="000000"/>
                <w:sz w:val="24"/>
              </w:rPr>
              <w:t>关键词</w:t>
            </w:r>
          </w:p>
        </w:tc>
        <w:tc>
          <w:tcPr>
            <w:tcW w:w="4370" w:type="dxa"/>
            <w:shd w:val="clear" w:color="auto" w:fill="auto"/>
            <w:noWrap w:val="0"/>
            <w:vAlign w:val="center"/>
          </w:tcPr>
          <w:p w14:paraId="7E119872">
            <w:pPr>
              <w:widowControl/>
              <w:adjustRightInd w:val="0"/>
              <w:snapToGrid w:val="0"/>
              <w:jc w:val="center"/>
              <w:textAlignment w:val="center"/>
              <w:rPr>
                <w:rFonts w:ascii="Times New Roman" w:hAnsi="Times New Roman" w:eastAsia="仿宋_GB2312"/>
                <w:b/>
                <w:bCs/>
                <w:color w:val="000000"/>
                <w:sz w:val="24"/>
              </w:rPr>
            </w:pPr>
            <w:r>
              <w:rPr>
                <w:rFonts w:ascii="Times New Roman" w:hAnsi="Times New Roman" w:eastAsia="仿宋_GB2312"/>
                <w:b/>
                <w:bCs/>
                <w:color w:val="000000"/>
                <w:sz w:val="24"/>
              </w:rPr>
              <w:t>注释</w:t>
            </w:r>
          </w:p>
        </w:tc>
      </w:tr>
      <w:tr w14:paraId="7519EA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 w:hRule="atLeast"/>
          <w:jc w:val="center"/>
        </w:trPr>
        <w:tc>
          <w:tcPr>
            <w:tcW w:w="809" w:type="dxa"/>
            <w:shd w:val="clear" w:color="auto" w:fill="auto"/>
            <w:noWrap w:val="0"/>
            <w:vAlign w:val="center"/>
          </w:tcPr>
          <w:p w14:paraId="0D213D76">
            <w:pPr>
              <w:widowControl/>
              <w:adjustRightInd w:val="0"/>
              <w:snapToGrid w:val="0"/>
              <w:jc w:val="center"/>
              <w:textAlignment w:val="center"/>
              <w:rPr>
                <w:rFonts w:ascii="Times New Roman" w:hAnsi="Times New Roman" w:eastAsia="仿宋_GB2312"/>
                <w:sz w:val="24"/>
              </w:rPr>
            </w:pPr>
            <w:r>
              <w:rPr>
                <w:rFonts w:ascii="Times New Roman" w:hAnsi="Times New Roman" w:eastAsia="仿宋_GB2312"/>
                <w:sz w:val="24"/>
              </w:rPr>
              <w:t>1</w:t>
            </w:r>
          </w:p>
        </w:tc>
        <w:tc>
          <w:tcPr>
            <w:tcW w:w="2036" w:type="dxa"/>
            <w:shd w:val="clear" w:color="auto" w:fill="auto"/>
            <w:noWrap w:val="0"/>
            <w:vAlign w:val="center"/>
          </w:tcPr>
          <w:p w14:paraId="33FC71B6">
            <w:pPr>
              <w:widowControl/>
              <w:adjustRightInd w:val="0"/>
              <w:snapToGrid w:val="0"/>
              <w:jc w:val="center"/>
              <w:textAlignment w:val="center"/>
              <w:rPr>
                <w:rFonts w:ascii="Times New Roman" w:hAnsi="Times New Roman" w:eastAsia="仿宋_GB2312"/>
                <w:b/>
                <w:bCs/>
                <w:sz w:val="24"/>
              </w:rPr>
            </w:pPr>
            <w:r>
              <w:rPr>
                <w:rFonts w:ascii="Times New Roman" w:hAnsi="Times New Roman" w:eastAsia="仿宋_GB2312"/>
                <w:b/>
                <w:bCs/>
                <w:sz w:val="24"/>
              </w:rPr>
              <w:t>关键工序数控化率</w:t>
            </w:r>
          </w:p>
        </w:tc>
        <w:tc>
          <w:tcPr>
            <w:tcW w:w="4370" w:type="dxa"/>
            <w:shd w:val="clear" w:color="auto" w:fill="auto"/>
            <w:noWrap w:val="0"/>
            <w:vAlign w:val="center"/>
          </w:tcPr>
          <w:p w14:paraId="10943BAC">
            <w:pPr>
              <w:widowControl/>
              <w:adjustRightInd w:val="0"/>
              <w:snapToGrid w:val="0"/>
              <w:jc w:val="left"/>
              <w:textAlignment w:val="center"/>
              <w:rPr>
                <w:rFonts w:ascii="Times New Roman" w:hAnsi="Times New Roman" w:eastAsia="仿宋_GB2312"/>
                <w:sz w:val="18"/>
                <w:szCs w:val="18"/>
              </w:rPr>
            </w:pPr>
            <w:r>
              <w:rPr>
                <w:rFonts w:ascii="Times New Roman" w:hAnsi="Times New Roman" w:eastAsia="仿宋_GB2312"/>
                <w:sz w:val="18"/>
                <w:szCs w:val="18"/>
              </w:rPr>
              <w:t>关键工序中过程控制系统(例如PLC、DCS、PCS等)或数控系统(例如NC、DNC、CNC、FMC等)的覆盖率。</w:t>
            </w:r>
          </w:p>
        </w:tc>
      </w:tr>
      <w:tr w14:paraId="37975B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 w:hRule="atLeast"/>
          <w:jc w:val="center"/>
        </w:trPr>
        <w:tc>
          <w:tcPr>
            <w:tcW w:w="809" w:type="dxa"/>
            <w:shd w:val="clear" w:color="auto" w:fill="auto"/>
            <w:noWrap w:val="0"/>
            <w:vAlign w:val="center"/>
          </w:tcPr>
          <w:p w14:paraId="17947080">
            <w:pPr>
              <w:widowControl/>
              <w:adjustRightInd w:val="0"/>
              <w:snapToGrid w:val="0"/>
              <w:jc w:val="center"/>
              <w:textAlignment w:val="center"/>
              <w:rPr>
                <w:rFonts w:ascii="Times New Roman" w:hAnsi="Times New Roman" w:eastAsia="仿宋_GB2312"/>
                <w:sz w:val="24"/>
              </w:rPr>
            </w:pPr>
            <w:r>
              <w:rPr>
                <w:rFonts w:ascii="Times New Roman" w:hAnsi="Times New Roman" w:eastAsia="仿宋_GB2312"/>
                <w:sz w:val="24"/>
              </w:rPr>
              <w:t>2</w:t>
            </w:r>
          </w:p>
        </w:tc>
        <w:tc>
          <w:tcPr>
            <w:tcW w:w="2036" w:type="dxa"/>
            <w:shd w:val="clear" w:color="auto" w:fill="auto"/>
            <w:noWrap w:val="0"/>
            <w:vAlign w:val="center"/>
          </w:tcPr>
          <w:p w14:paraId="390CEA08">
            <w:pPr>
              <w:widowControl/>
              <w:adjustRightInd w:val="0"/>
              <w:snapToGrid w:val="0"/>
              <w:jc w:val="center"/>
              <w:textAlignment w:val="center"/>
              <w:rPr>
                <w:rFonts w:ascii="Times New Roman" w:hAnsi="Times New Roman" w:eastAsia="仿宋_GB2312"/>
                <w:b/>
                <w:bCs/>
                <w:sz w:val="24"/>
              </w:rPr>
            </w:pPr>
            <w:r>
              <w:rPr>
                <w:rFonts w:ascii="Times New Roman" w:hAnsi="Times New Roman" w:eastAsia="仿宋_GB2312"/>
                <w:b/>
                <w:bCs/>
                <w:sz w:val="24"/>
              </w:rPr>
              <w:t>生产作业过程可视化</w:t>
            </w:r>
          </w:p>
        </w:tc>
        <w:tc>
          <w:tcPr>
            <w:tcW w:w="4370" w:type="dxa"/>
            <w:shd w:val="clear" w:color="auto" w:fill="auto"/>
            <w:noWrap w:val="0"/>
            <w:vAlign w:val="center"/>
          </w:tcPr>
          <w:p w14:paraId="411D3CED">
            <w:pPr>
              <w:widowControl/>
              <w:adjustRightInd w:val="0"/>
              <w:snapToGrid w:val="0"/>
              <w:jc w:val="left"/>
              <w:textAlignment w:val="center"/>
              <w:rPr>
                <w:rFonts w:ascii="Times New Roman" w:hAnsi="Times New Roman" w:eastAsia="仿宋_GB2312"/>
                <w:sz w:val="18"/>
                <w:szCs w:val="18"/>
              </w:rPr>
            </w:pPr>
            <w:r>
              <w:rPr>
                <w:rFonts w:ascii="Times New Roman" w:hAnsi="Times New Roman" w:eastAsia="仿宋_GB2312"/>
                <w:sz w:val="18"/>
                <w:szCs w:val="18"/>
              </w:rPr>
              <w:t>看板自动获取并显示相关的图纸、工艺文件、作业指导书、配方等图文资料。</w:t>
            </w:r>
          </w:p>
        </w:tc>
      </w:tr>
      <w:tr w14:paraId="36EAD1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 w:hRule="atLeast"/>
          <w:jc w:val="center"/>
        </w:trPr>
        <w:tc>
          <w:tcPr>
            <w:tcW w:w="809" w:type="dxa"/>
            <w:shd w:val="clear" w:color="auto" w:fill="auto"/>
            <w:noWrap w:val="0"/>
            <w:vAlign w:val="center"/>
          </w:tcPr>
          <w:p w14:paraId="76E32685">
            <w:pPr>
              <w:widowControl/>
              <w:adjustRightInd w:val="0"/>
              <w:snapToGrid w:val="0"/>
              <w:jc w:val="center"/>
              <w:textAlignment w:val="center"/>
              <w:rPr>
                <w:rFonts w:ascii="Times New Roman" w:hAnsi="Times New Roman" w:eastAsia="仿宋_GB2312"/>
                <w:sz w:val="24"/>
              </w:rPr>
            </w:pPr>
            <w:r>
              <w:rPr>
                <w:rFonts w:ascii="Times New Roman" w:hAnsi="Times New Roman" w:eastAsia="仿宋_GB2312"/>
                <w:sz w:val="24"/>
              </w:rPr>
              <w:t>3</w:t>
            </w:r>
          </w:p>
        </w:tc>
        <w:tc>
          <w:tcPr>
            <w:tcW w:w="2036" w:type="dxa"/>
            <w:shd w:val="clear" w:color="auto" w:fill="auto"/>
            <w:noWrap w:val="0"/>
            <w:vAlign w:val="center"/>
          </w:tcPr>
          <w:p w14:paraId="2E09B96A">
            <w:pPr>
              <w:widowControl/>
              <w:adjustRightInd w:val="0"/>
              <w:snapToGrid w:val="0"/>
              <w:jc w:val="center"/>
              <w:textAlignment w:val="center"/>
              <w:rPr>
                <w:rFonts w:ascii="Times New Roman" w:hAnsi="Times New Roman" w:eastAsia="仿宋_GB2312"/>
                <w:b/>
                <w:bCs/>
                <w:sz w:val="24"/>
              </w:rPr>
            </w:pPr>
            <w:r>
              <w:rPr>
                <w:rFonts w:ascii="Times New Roman" w:hAnsi="Times New Roman" w:eastAsia="仿宋_GB2312"/>
                <w:b/>
                <w:bCs/>
                <w:sz w:val="24"/>
              </w:rPr>
              <w:t>全自动化产线或车间</w:t>
            </w:r>
          </w:p>
        </w:tc>
        <w:tc>
          <w:tcPr>
            <w:tcW w:w="4370" w:type="dxa"/>
            <w:shd w:val="clear" w:color="auto" w:fill="auto"/>
            <w:noWrap w:val="0"/>
            <w:vAlign w:val="center"/>
          </w:tcPr>
          <w:p w14:paraId="3F5FB6B0">
            <w:pPr>
              <w:widowControl/>
              <w:adjustRightInd w:val="0"/>
              <w:snapToGrid w:val="0"/>
              <w:jc w:val="left"/>
              <w:textAlignment w:val="center"/>
              <w:rPr>
                <w:rFonts w:ascii="Times New Roman" w:hAnsi="Times New Roman" w:eastAsia="仿宋_GB2312"/>
                <w:sz w:val="18"/>
                <w:szCs w:val="18"/>
              </w:rPr>
            </w:pPr>
            <w:r>
              <w:rPr>
                <w:rFonts w:ascii="Times New Roman" w:hAnsi="Times New Roman" w:eastAsia="仿宋_GB2312"/>
                <w:sz w:val="18"/>
                <w:szCs w:val="18"/>
              </w:rPr>
              <w:t>大部分或全部制造过程都由自动化设备和系统控制的产线或车间，其生产过程基本不需要人工干预。</w:t>
            </w:r>
          </w:p>
        </w:tc>
      </w:tr>
      <w:tr w14:paraId="6BF912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6" w:hRule="atLeast"/>
          <w:jc w:val="center"/>
        </w:trPr>
        <w:tc>
          <w:tcPr>
            <w:tcW w:w="809" w:type="dxa"/>
            <w:shd w:val="clear" w:color="auto" w:fill="auto"/>
            <w:noWrap w:val="0"/>
            <w:vAlign w:val="center"/>
          </w:tcPr>
          <w:p w14:paraId="189A0FC5">
            <w:pPr>
              <w:widowControl/>
              <w:adjustRightInd w:val="0"/>
              <w:snapToGrid w:val="0"/>
              <w:jc w:val="center"/>
              <w:textAlignment w:val="center"/>
              <w:rPr>
                <w:rFonts w:ascii="Times New Roman" w:hAnsi="Times New Roman" w:eastAsia="仿宋_GB2312"/>
                <w:sz w:val="24"/>
              </w:rPr>
            </w:pPr>
            <w:r>
              <w:rPr>
                <w:rFonts w:ascii="Times New Roman" w:hAnsi="Times New Roman" w:eastAsia="仿宋_GB2312"/>
                <w:sz w:val="24"/>
              </w:rPr>
              <w:t>4</w:t>
            </w:r>
          </w:p>
        </w:tc>
        <w:tc>
          <w:tcPr>
            <w:tcW w:w="2036" w:type="dxa"/>
            <w:shd w:val="clear" w:color="auto" w:fill="auto"/>
            <w:noWrap w:val="0"/>
            <w:vAlign w:val="center"/>
          </w:tcPr>
          <w:p w14:paraId="00DA57AA">
            <w:pPr>
              <w:widowControl/>
              <w:adjustRightInd w:val="0"/>
              <w:snapToGrid w:val="0"/>
              <w:jc w:val="center"/>
              <w:textAlignment w:val="center"/>
              <w:rPr>
                <w:rFonts w:ascii="Times New Roman" w:hAnsi="Times New Roman" w:eastAsia="仿宋_GB2312"/>
                <w:b/>
                <w:bCs/>
                <w:sz w:val="24"/>
              </w:rPr>
            </w:pPr>
            <w:r>
              <w:rPr>
                <w:rFonts w:ascii="Times New Roman" w:hAnsi="Times New Roman" w:eastAsia="仿宋_GB2312"/>
                <w:b/>
                <w:bCs/>
                <w:sz w:val="24"/>
              </w:rPr>
              <w:t>混线柔性生产</w:t>
            </w:r>
          </w:p>
        </w:tc>
        <w:tc>
          <w:tcPr>
            <w:tcW w:w="4370" w:type="dxa"/>
            <w:shd w:val="clear" w:color="auto" w:fill="auto"/>
            <w:noWrap w:val="0"/>
            <w:vAlign w:val="center"/>
          </w:tcPr>
          <w:p w14:paraId="6691550B">
            <w:pPr>
              <w:widowControl/>
              <w:adjustRightInd w:val="0"/>
              <w:snapToGrid w:val="0"/>
              <w:jc w:val="left"/>
              <w:textAlignment w:val="center"/>
              <w:rPr>
                <w:rFonts w:ascii="Times New Roman" w:hAnsi="Times New Roman" w:eastAsia="仿宋_GB2312"/>
                <w:sz w:val="18"/>
                <w:szCs w:val="18"/>
              </w:rPr>
            </w:pPr>
            <w:r>
              <w:rPr>
                <w:rFonts w:ascii="Times New Roman" w:hAnsi="Times New Roman" w:eastAsia="仿宋_GB2312"/>
                <w:sz w:val="18"/>
                <w:szCs w:val="18"/>
              </w:rPr>
              <w:t>通过生产工艺和流程的自动切换，能够实现同一产线生产不同的组件或产品。</w:t>
            </w:r>
          </w:p>
        </w:tc>
      </w:tr>
      <w:tr w14:paraId="0A279C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 w:hRule="atLeast"/>
          <w:jc w:val="center"/>
        </w:trPr>
        <w:tc>
          <w:tcPr>
            <w:tcW w:w="809" w:type="dxa"/>
            <w:shd w:val="clear" w:color="auto" w:fill="auto"/>
            <w:noWrap w:val="0"/>
            <w:vAlign w:val="center"/>
          </w:tcPr>
          <w:p w14:paraId="5234D8FB">
            <w:pPr>
              <w:widowControl/>
              <w:adjustRightInd w:val="0"/>
              <w:snapToGrid w:val="0"/>
              <w:jc w:val="center"/>
              <w:textAlignment w:val="center"/>
              <w:rPr>
                <w:rFonts w:ascii="Times New Roman" w:hAnsi="Times New Roman" w:eastAsia="仿宋_GB2312"/>
                <w:sz w:val="24"/>
              </w:rPr>
            </w:pPr>
            <w:r>
              <w:rPr>
                <w:rFonts w:ascii="Times New Roman" w:hAnsi="Times New Roman" w:eastAsia="仿宋_GB2312"/>
                <w:sz w:val="24"/>
              </w:rPr>
              <w:t>5</w:t>
            </w:r>
          </w:p>
        </w:tc>
        <w:tc>
          <w:tcPr>
            <w:tcW w:w="2036" w:type="dxa"/>
            <w:shd w:val="clear" w:color="auto" w:fill="auto"/>
            <w:noWrap w:val="0"/>
            <w:vAlign w:val="center"/>
          </w:tcPr>
          <w:p w14:paraId="3154CDB5">
            <w:pPr>
              <w:widowControl/>
              <w:adjustRightInd w:val="0"/>
              <w:snapToGrid w:val="0"/>
              <w:jc w:val="center"/>
              <w:textAlignment w:val="center"/>
              <w:rPr>
                <w:rFonts w:ascii="Times New Roman" w:hAnsi="Times New Roman" w:eastAsia="仿宋_GB2312"/>
                <w:b/>
                <w:bCs/>
                <w:sz w:val="24"/>
              </w:rPr>
            </w:pPr>
            <w:r>
              <w:rPr>
                <w:rFonts w:ascii="Times New Roman" w:hAnsi="Times New Roman" w:eastAsia="仿宋_GB2312"/>
                <w:b/>
                <w:bCs/>
                <w:sz w:val="24"/>
              </w:rPr>
              <w:t>生产全过程自感知、自学习、自决策、自执行、自适应</w:t>
            </w:r>
          </w:p>
        </w:tc>
        <w:tc>
          <w:tcPr>
            <w:tcW w:w="4370" w:type="dxa"/>
            <w:shd w:val="clear" w:color="auto" w:fill="auto"/>
            <w:noWrap w:val="0"/>
            <w:vAlign w:val="center"/>
          </w:tcPr>
          <w:p w14:paraId="7C5C9294">
            <w:pPr>
              <w:widowControl/>
              <w:adjustRightInd w:val="0"/>
              <w:snapToGrid w:val="0"/>
              <w:jc w:val="left"/>
              <w:textAlignment w:val="center"/>
              <w:rPr>
                <w:rFonts w:ascii="Times New Roman" w:hAnsi="Times New Roman" w:eastAsia="仿宋_GB2312"/>
                <w:sz w:val="18"/>
                <w:szCs w:val="18"/>
              </w:rPr>
            </w:pPr>
            <w:r>
              <w:rPr>
                <w:rFonts w:ascii="Times New Roman" w:hAnsi="Times New Roman" w:eastAsia="仿宋_GB2312"/>
                <w:sz w:val="18"/>
                <w:szCs w:val="18"/>
              </w:rPr>
              <w:t>生产过程具备实时监测、数据分析、自主决策和自动调整的能力，能够对外部环境变化快速做出反应。</w:t>
            </w:r>
          </w:p>
        </w:tc>
      </w:tr>
    </w:tbl>
    <w:p w14:paraId="7FBCDB30">
      <w:pPr>
        <w:spacing w:line="540" w:lineRule="exact"/>
        <w:ind w:firstLine="643" w:firstLineChars="200"/>
        <w:rPr>
          <w:rFonts w:ascii="Times New Roman" w:hAnsi="Times New Roman" w:eastAsia="仿宋_GB2312"/>
          <w:b/>
          <w:bCs/>
          <w:sz w:val="32"/>
          <w:szCs w:val="32"/>
        </w:rPr>
      </w:pPr>
      <w:r>
        <w:rPr>
          <w:rFonts w:ascii="Times New Roman" w:hAnsi="Times New Roman" w:eastAsia="仿宋_GB2312"/>
          <w:b/>
          <w:bCs/>
          <w:sz w:val="32"/>
          <w:szCs w:val="32"/>
        </w:rPr>
        <w:t>3.企业生产管理数字化水平等级为</w:t>
      </w:r>
      <w:r>
        <w:rPr>
          <w:rFonts w:ascii="Times New Roman" w:hAnsi="Times New Roman" w:eastAsia="仿宋_GB2312"/>
          <w:b/>
          <w:bCs/>
          <w:sz w:val="32"/>
          <w:szCs w:val="32"/>
          <w:u w:val="single"/>
        </w:rPr>
        <w:t xml:space="preserve">   </w:t>
      </w:r>
      <w:r>
        <w:rPr>
          <w:rFonts w:ascii="Times New Roman" w:hAnsi="Times New Roman" w:eastAsia="仿宋_GB2312"/>
          <w:b/>
          <w:bCs/>
          <w:sz w:val="32"/>
          <w:szCs w:val="32"/>
        </w:rPr>
        <w:t>，打分为</w:t>
      </w:r>
      <w:r>
        <w:rPr>
          <w:rFonts w:ascii="Times New Roman" w:hAnsi="Times New Roman" w:eastAsia="仿宋_GB2312"/>
          <w:b/>
          <w:bCs/>
          <w:sz w:val="32"/>
          <w:szCs w:val="32"/>
          <w:u w:val="single"/>
        </w:rPr>
        <w:t xml:space="preserve">   </w:t>
      </w:r>
      <w:r>
        <w:rPr>
          <w:rFonts w:ascii="Times New Roman" w:hAnsi="Times New Roman" w:eastAsia="仿宋_GB2312"/>
          <w:b/>
          <w:bCs/>
          <w:sz w:val="32"/>
          <w:szCs w:val="32"/>
        </w:rPr>
        <w:t>。</w:t>
      </w:r>
    </w:p>
    <w:p w14:paraId="61E665F7">
      <w:pPr>
        <w:spacing w:line="540" w:lineRule="exact"/>
        <w:ind w:firstLine="560"/>
        <w:rPr>
          <w:rFonts w:ascii="Times New Roman" w:hAnsi="Times New Roman" w:eastAsia="楷体_GB2312"/>
          <w:sz w:val="32"/>
          <w:szCs w:val="32"/>
        </w:rPr>
      </w:pPr>
      <w:r>
        <w:rPr>
          <w:rFonts w:ascii="Times New Roman" w:hAnsi="Times New Roman" w:eastAsia="楷体_GB2312"/>
          <w:sz w:val="32"/>
          <w:szCs w:val="32"/>
        </w:rPr>
        <w:t>□L0：企业应用纸质工单进行生产管理，手动制定生产计划，生产</w:t>
      </w:r>
      <w:r>
        <w:rPr>
          <w:rFonts w:ascii="Times New Roman" w:hAnsi="Times New Roman" w:eastAsia="楷体_GB2312"/>
          <w:b/>
          <w:bCs/>
          <w:sz w:val="32"/>
          <w:szCs w:val="32"/>
        </w:rPr>
        <w:t>管理过程依赖人工经验</w:t>
      </w:r>
      <w:r>
        <w:rPr>
          <w:rFonts w:ascii="Times New Roman" w:hAnsi="Times New Roman" w:eastAsia="楷体_GB2312"/>
          <w:sz w:val="32"/>
          <w:szCs w:val="32"/>
        </w:rPr>
        <w:t>，尚未对生产关键数据进行采集记录。</w:t>
      </w:r>
    </w:p>
    <w:p w14:paraId="11B61627">
      <w:pPr>
        <w:spacing w:line="540" w:lineRule="exact"/>
        <w:ind w:firstLine="560"/>
        <w:rPr>
          <w:rFonts w:ascii="Times New Roman" w:hAnsi="Times New Roman" w:eastAsia="楷体_GB2312"/>
          <w:sz w:val="32"/>
          <w:szCs w:val="32"/>
        </w:rPr>
      </w:pPr>
      <w:r>
        <w:rPr>
          <w:rFonts w:ascii="Times New Roman" w:hAnsi="Times New Roman" w:eastAsia="楷体_GB2312"/>
          <w:sz w:val="32"/>
          <w:szCs w:val="32"/>
        </w:rPr>
        <w:t>□L1：企业应用电子表格或小程序等简易数字化工具开展无纸化工单流转，辅助制定生产计划，</w:t>
      </w:r>
      <w:r>
        <w:rPr>
          <w:rFonts w:ascii="Times New Roman" w:hAnsi="Times New Roman" w:eastAsia="楷体_GB2312"/>
          <w:b/>
          <w:bCs/>
          <w:sz w:val="32"/>
          <w:szCs w:val="32"/>
        </w:rPr>
        <w:t>提升生产管理基础水平</w:t>
      </w:r>
      <w:r>
        <w:rPr>
          <w:rFonts w:ascii="Times New Roman" w:hAnsi="Times New Roman" w:eastAsia="楷体_GB2312"/>
          <w:sz w:val="32"/>
          <w:szCs w:val="32"/>
        </w:rPr>
        <w:t>，并对设备、质量、能源等某一领域进行</w:t>
      </w:r>
      <w:r>
        <w:rPr>
          <w:rFonts w:ascii="Times New Roman" w:hAnsi="Times New Roman" w:eastAsia="楷体_GB2312"/>
          <w:b/>
          <w:bCs/>
          <w:sz w:val="32"/>
          <w:szCs w:val="32"/>
        </w:rPr>
        <w:t>关键数据采集记录</w:t>
      </w:r>
      <w:r>
        <w:rPr>
          <w:rFonts w:ascii="Times New Roman" w:hAnsi="Times New Roman" w:eastAsia="微软雅黑"/>
          <w:b/>
          <w:bCs/>
          <w:sz w:val="32"/>
          <w:szCs w:val="32"/>
        </w:rPr>
        <w:t>①</w:t>
      </w:r>
      <w:r>
        <w:rPr>
          <w:rFonts w:ascii="Times New Roman" w:hAnsi="Times New Roman" w:eastAsia="楷体_GB2312"/>
          <w:b/>
          <w:bCs/>
          <w:sz w:val="32"/>
          <w:szCs w:val="32"/>
        </w:rPr>
        <w:t>。</w:t>
      </w:r>
    </w:p>
    <w:p w14:paraId="70E86E37">
      <w:pPr>
        <w:spacing w:line="540" w:lineRule="exact"/>
        <w:ind w:firstLine="560"/>
        <w:rPr>
          <w:rFonts w:ascii="Times New Roman" w:hAnsi="Times New Roman" w:eastAsia="楷体_GB2312"/>
          <w:sz w:val="32"/>
          <w:szCs w:val="32"/>
        </w:rPr>
      </w:pPr>
      <w:r>
        <w:rPr>
          <w:rFonts w:ascii="Times New Roman" w:hAnsi="Times New Roman" w:eastAsia="楷体_GB2312"/>
          <w:sz w:val="32"/>
          <w:szCs w:val="32"/>
        </w:rPr>
        <w:t>□L2：企业应用MES系统等专业工业软件（包括云化软件）开展</w:t>
      </w:r>
      <w:r>
        <w:rPr>
          <w:rFonts w:ascii="Times New Roman" w:hAnsi="Times New Roman" w:eastAsia="楷体_GB2312"/>
          <w:b/>
          <w:bCs/>
          <w:sz w:val="32"/>
          <w:szCs w:val="32"/>
        </w:rPr>
        <w:t>可视化、精益化生产管理</w:t>
      </w:r>
      <w:r>
        <w:rPr>
          <w:rFonts w:ascii="Times New Roman" w:hAnsi="Times New Roman" w:eastAsia="微软雅黑"/>
          <w:b/>
          <w:bCs/>
          <w:sz w:val="32"/>
          <w:szCs w:val="32"/>
        </w:rPr>
        <w:t>②</w:t>
      </w:r>
      <w:r>
        <w:rPr>
          <w:rFonts w:ascii="Times New Roman" w:hAnsi="Times New Roman" w:eastAsia="楷体_GB2312"/>
          <w:sz w:val="32"/>
          <w:szCs w:val="32"/>
        </w:rPr>
        <w:t>，如主生产计划自动生成</w:t>
      </w:r>
      <w:r>
        <w:rPr>
          <w:rFonts w:ascii="Times New Roman" w:hAnsi="Times New Roman" w:eastAsia="微软雅黑"/>
          <w:sz w:val="32"/>
          <w:szCs w:val="32"/>
        </w:rPr>
        <w:t>③</w:t>
      </w:r>
      <w:r>
        <w:rPr>
          <w:rFonts w:ascii="Times New Roman" w:hAnsi="Times New Roman" w:eastAsia="楷体_GB2312"/>
          <w:sz w:val="32"/>
          <w:szCs w:val="32"/>
        </w:rPr>
        <w:t>，开展设备、质量、能源关键领域的生产参数监控</w:t>
      </w:r>
      <w:r>
        <w:rPr>
          <w:rFonts w:ascii="Times New Roman" w:hAnsi="Times New Roman" w:eastAsia="楷体_GB2312"/>
          <w:b/>
          <w:bCs/>
          <w:sz w:val="32"/>
          <w:szCs w:val="32"/>
        </w:rPr>
        <w:t>。</w:t>
      </w:r>
    </w:p>
    <w:p w14:paraId="3260215C">
      <w:pPr>
        <w:spacing w:line="540" w:lineRule="exact"/>
        <w:ind w:firstLine="560"/>
        <w:rPr>
          <w:rFonts w:ascii="Times New Roman" w:hAnsi="Times New Roman" w:eastAsia="楷体_GB2312"/>
          <w:sz w:val="32"/>
          <w:szCs w:val="32"/>
        </w:rPr>
      </w:pPr>
      <w:r>
        <w:rPr>
          <w:rFonts w:ascii="Times New Roman" w:hAnsi="Times New Roman" w:eastAsia="楷体_GB2312"/>
          <w:sz w:val="32"/>
          <w:szCs w:val="32"/>
        </w:rPr>
        <w:t>□L3：企业开展涵盖计划排产、设备管理、质量管理、能耗管理等</w:t>
      </w:r>
      <w:r>
        <w:rPr>
          <w:rFonts w:ascii="Times New Roman" w:hAnsi="Times New Roman" w:eastAsia="楷体_GB2312"/>
          <w:b/>
          <w:bCs/>
          <w:sz w:val="32"/>
          <w:szCs w:val="32"/>
        </w:rPr>
        <w:t>生产现场全过程综合管控</w:t>
      </w:r>
      <w:r>
        <w:rPr>
          <w:rFonts w:ascii="Times New Roman" w:hAnsi="Times New Roman" w:eastAsia="微软雅黑"/>
          <w:b/>
          <w:bCs/>
          <w:sz w:val="32"/>
          <w:szCs w:val="32"/>
        </w:rPr>
        <w:t>④</w:t>
      </w:r>
      <w:r>
        <w:rPr>
          <w:rFonts w:ascii="Times New Roman" w:hAnsi="Times New Roman" w:eastAsia="楷体_GB2312"/>
          <w:sz w:val="32"/>
          <w:szCs w:val="32"/>
        </w:rPr>
        <w:t>，并开展</w:t>
      </w:r>
      <w:r>
        <w:rPr>
          <w:rFonts w:ascii="Times New Roman" w:hAnsi="Times New Roman" w:eastAsia="楷体_GB2312"/>
          <w:b/>
          <w:bCs/>
          <w:sz w:val="32"/>
          <w:szCs w:val="32"/>
        </w:rPr>
        <w:t>生产管理数据分析应用</w:t>
      </w:r>
      <w:r>
        <w:rPr>
          <w:rFonts w:ascii="Times New Roman" w:hAnsi="Times New Roman" w:eastAsia="楷体_GB2312"/>
          <w:sz w:val="32"/>
          <w:szCs w:val="32"/>
        </w:rPr>
        <w:t>，在设备故障运维、质量在线检测、质量追溯、能耗管控、安全生产等方面打造至少一个典型应用。</w:t>
      </w:r>
    </w:p>
    <w:p w14:paraId="165A9D9A">
      <w:pPr>
        <w:spacing w:line="540" w:lineRule="exact"/>
        <w:ind w:firstLine="560"/>
        <w:rPr>
          <w:rFonts w:ascii="Times New Roman" w:hAnsi="Times New Roman" w:eastAsia="楷体_GB2312"/>
          <w:sz w:val="32"/>
          <w:szCs w:val="32"/>
        </w:rPr>
      </w:pPr>
      <w:r>
        <w:rPr>
          <w:rFonts w:ascii="Times New Roman" w:hAnsi="Times New Roman" w:eastAsia="楷体_GB2312"/>
          <w:sz w:val="32"/>
          <w:szCs w:val="32"/>
        </w:rPr>
        <w:t>□L4：企业实现</w:t>
      </w:r>
      <w:r>
        <w:rPr>
          <w:rFonts w:ascii="Times New Roman" w:hAnsi="Times New Roman" w:eastAsia="楷体_GB2312"/>
          <w:b/>
          <w:bCs/>
          <w:sz w:val="32"/>
          <w:szCs w:val="32"/>
        </w:rPr>
        <w:t>生产管理环节与其他运营管理环节集成</w:t>
      </w:r>
      <w:r>
        <w:rPr>
          <w:rFonts w:ascii="Times New Roman" w:hAnsi="Times New Roman" w:eastAsia="楷体_GB2312"/>
          <w:sz w:val="32"/>
          <w:szCs w:val="32"/>
        </w:rPr>
        <w:t>，生产制造管理系统与企业研发管理、企业资源计划、仓储管理、安全运营管理等至少一个系统进行数据打通，在企业内部更大范围开展业务协同，如设计制造一体化</w:t>
      </w:r>
      <w:r>
        <w:rPr>
          <w:rFonts w:ascii="Times New Roman" w:hAnsi="Times New Roman" w:eastAsia="微软雅黑"/>
          <w:sz w:val="32"/>
          <w:szCs w:val="32"/>
        </w:rPr>
        <w:t>⑤</w:t>
      </w:r>
      <w:r>
        <w:rPr>
          <w:rFonts w:ascii="Times New Roman" w:hAnsi="Times New Roman" w:eastAsia="楷体_GB2312"/>
          <w:sz w:val="32"/>
          <w:szCs w:val="32"/>
        </w:rPr>
        <w:t>、产供销一体化、精准物料配送、安全应急处置等。</w:t>
      </w:r>
    </w:p>
    <w:p w14:paraId="49282B9A">
      <w:pPr>
        <w:spacing w:line="540" w:lineRule="exact"/>
        <w:ind w:firstLine="560"/>
        <w:rPr>
          <w:rFonts w:ascii="Times New Roman" w:hAnsi="Times New Roman" w:eastAsia="楷体_GB2312"/>
          <w:sz w:val="32"/>
          <w:szCs w:val="32"/>
        </w:rPr>
      </w:pPr>
      <w:r>
        <w:rPr>
          <w:rFonts w:ascii="Times New Roman" w:hAnsi="Times New Roman" w:eastAsia="楷体_GB2312"/>
          <w:sz w:val="32"/>
          <w:szCs w:val="32"/>
        </w:rPr>
        <w:t>□L5：企业在生产管理中应用大数据分析、人工智能等技术，构建系统级生产运行实时模型，面向计划排产、设备、质量、能源关键领域开展</w:t>
      </w:r>
      <w:r>
        <w:rPr>
          <w:rFonts w:ascii="Times New Roman" w:hAnsi="Times New Roman" w:eastAsia="楷体_GB2312"/>
          <w:b/>
          <w:bCs/>
          <w:sz w:val="32"/>
          <w:szCs w:val="32"/>
        </w:rPr>
        <w:t>综合数据分析</w:t>
      </w:r>
      <w:r>
        <w:rPr>
          <w:rFonts w:ascii="Times New Roman" w:hAnsi="Times New Roman" w:eastAsia="楷体_GB2312"/>
          <w:sz w:val="32"/>
          <w:szCs w:val="32"/>
        </w:rPr>
        <w:t>与</w:t>
      </w:r>
      <w:r>
        <w:rPr>
          <w:rFonts w:ascii="Times New Roman" w:hAnsi="Times New Roman" w:eastAsia="楷体_GB2312"/>
          <w:b/>
          <w:bCs/>
          <w:sz w:val="32"/>
          <w:szCs w:val="32"/>
        </w:rPr>
        <w:t>全局决策优化</w:t>
      </w:r>
      <w:r>
        <w:rPr>
          <w:rFonts w:ascii="Times New Roman" w:hAnsi="Times New Roman" w:eastAsia="微软雅黑"/>
          <w:b/>
          <w:bCs/>
          <w:sz w:val="32"/>
          <w:szCs w:val="32"/>
        </w:rPr>
        <w:t>⑥</w:t>
      </w:r>
      <w:r>
        <w:rPr>
          <w:rFonts w:ascii="Times New Roman" w:hAnsi="Times New Roman" w:eastAsia="楷体_GB2312"/>
          <w:sz w:val="32"/>
          <w:szCs w:val="32"/>
        </w:rPr>
        <w:t>。</w:t>
      </w:r>
    </w:p>
    <w:p w14:paraId="54C7509B">
      <w:pPr>
        <w:widowControl/>
        <w:spacing w:line="360" w:lineRule="auto"/>
        <w:jc w:val="center"/>
        <w:rPr>
          <w:rFonts w:ascii="Times New Roman" w:hAnsi="Times New Roman" w:eastAsia="楷体_GB2312"/>
          <w:color w:val="000000"/>
          <w:kern w:val="0"/>
          <w:sz w:val="24"/>
        </w:rPr>
      </w:pPr>
      <w:r>
        <w:rPr>
          <w:rFonts w:ascii="Times New Roman" w:hAnsi="Times New Roman" w:eastAsia="楷体_GB2312"/>
          <w:color w:val="000000"/>
          <w:kern w:val="0"/>
          <w:sz w:val="24"/>
        </w:rPr>
        <w:t>表3 生产管理数字化水平指标注释表</w:t>
      </w:r>
    </w:p>
    <w:tbl>
      <w:tblPr>
        <w:tblStyle w:val="6"/>
        <w:tblW w:w="907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73"/>
        <w:gridCol w:w="2933"/>
        <w:gridCol w:w="5365"/>
      </w:tblGrid>
      <w:tr w14:paraId="09E96D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 w:hRule="atLeast"/>
          <w:jc w:val="center"/>
        </w:trPr>
        <w:tc>
          <w:tcPr>
            <w:tcW w:w="773" w:type="dxa"/>
            <w:shd w:val="clear" w:color="auto" w:fill="auto"/>
            <w:noWrap w:val="0"/>
            <w:vAlign w:val="center"/>
          </w:tcPr>
          <w:p w14:paraId="5DA3702B">
            <w:pPr>
              <w:widowControl/>
              <w:adjustRightInd w:val="0"/>
              <w:snapToGrid w:val="0"/>
              <w:jc w:val="center"/>
              <w:textAlignment w:val="center"/>
              <w:rPr>
                <w:rFonts w:ascii="Times New Roman" w:hAnsi="Times New Roman" w:eastAsia="仿宋_GB2312"/>
                <w:b/>
                <w:bCs/>
                <w:color w:val="000000"/>
                <w:sz w:val="24"/>
              </w:rPr>
            </w:pPr>
            <w:r>
              <w:rPr>
                <w:rFonts w:ascii="Times New Roman" w:hAnsi="Times New Roman" w:eastAsia="仿宋_GB2312"/>
                <w:b/>
                <w:bCs/>
                <w:color w:val="000000"/>
                <w:sz w:val="24"/>
              </w:rPr>
              <w:t>序号</w:t>
            </w:r>
          </w:p>
        </w:tc>
        <w:tc>
          <w:tcPr>
            <w:tcW w:w="2933" w:type="dxa"/>
            <w:shd w:val="clear" w:color="auto" w:fill="auto"/>
            <w:noWrap w:val="0"/>
            <w:vAlign w:val="center"/>
          </w:tcPr>
          <w:p w14:paraId="67AC582C">
            <w:pPr>
              <w:widowControl/>
              <w:adjustRightInd w:val="0"/>
              <w:snapToGrid w:val="0"/>
              <w:jc w:val="center"/>
              <w:textAlignment w:val="center"/>
              <w:rPr>
                <w:rFonts w:ascii="Times New Roman" w:hAnsi="Times New Roman" w:eastAsia="仿宋_GB2312"/>
                <w:b/>
                <w:bCs/>
                <w:color w:val="000000"/>
                <w:sz w:val="24"/>
              </w:rPr>
            </w:pPr>
            <w:r>
              <w:rPr>
                <w:rFonts w:ascii="Times New Roman" w:hAnsi="Times New Roman" w:eastAsia="仿宋_GB2312"/>
                <w:b/>
                <w:bCs/>
                <w:color w:val="000000"/>
                <w:sz w:val="24"/>
              </w:rPr>
              <w:t>关键词</w:t>
            </w:r>
          </w:p>
        </w:tc>
        <w:tc>
          <w:tcPr>
            <w:tcW w:w="5365" w:type="dxa"/>
            <w:shd w:val="clear" w:color="auto" w:fill="auto"/>
            <w:noWrap w:val="0"/>
            <w:vAlign w:val="center"/>
          </w:tcPr>
          <w:p w14:paraId="297E4B23">
            <w:pPr>
              <w:widowControl/>
              <w:adjustRightInd w:val="0"/>
              <w:snapToGrid w:val="0"/>
              <w:jc w:val="center"/>
              <w:textAlignment w:val="center"/>
              <w:rPr>
                <w:rFonts w:ascii="Times New Roman" w:hAnsi="Times New Roman" w:eastAsia="仿宋_GB2312"/>
                <w:b/>
                <w:bCs/>
                <w:color w:val="000000"/>
                <w:sz w:val="24"/>
              </w:rPr>
            </w:pPr>
            <w:r>
              <w:rPr>
                <w:rFonts w:ascii="Times New Roman" w:hAnsi="Times New Roman" w:eastAsia="仿宋_GB2312"/>
                <w:b/>
                <w:bCs/>
                <w:color w:val="000000"/>
                <w:sz w:val="24"/>
              </w:rPr>
              <w:t>注释</w:t>
            </w:r>
          </w:p>
        </w:tc>
      </w:tr>
      <w:tr w14:paraId="758B93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 w:hRule="atLeast"/>
          <w:jc w:val="center"/>
        </w:trPr>
        <w:tc>
          <w:tcPr>
            <w:tcW w:w="773" w:type="dxa"/>
            <w:shd w:val="clear" w:color="auto" w:fill="auto"/>
            <w:noWrap w:val="0"/>
            <w:vAlign w:val="center"/>
          </w:tcPr>
          <w:p w14:paraId="20E6A44D">
            <w:pPr>
              <w:widowControl/>
              <w:adjustRightInd w:val="0"/>
              <w:snapToGrid w:val="0"/>
              <w:jc w:val="center"/>
              <w:textAlignment w:val="center"/>
              <w:rPr>
                <w:rFonts w:ascii="Times New Roman" w:hAnsi="Times New Roman" w:eastAsia="仿宋_GB2312"/>
                <w:sz w:val="24"/>
              </w:rPr>
            </w:pPr>
            <w:r>
              <w:rPr>
                <w:rFonts w:ascii="Times New Roman" w:hAnsi="Times New Roman" w:eastAsia="仿宋_GB2312"/>
                <w:sz w:val="24"/>
              </w:rPr>
              <w:t>1</w:t>
            </w:r>
          </w:p>
        </w:tc>
        <w:tc>
          <w:tcPr>
            <w:tcW w:w="2933" w:type="dxa"/>
            <w:shd w:val="clear" w:color="auto" w:fill="auto"/>
            <w:noWrap w:val="0"/>
            <w:vAlign w:val="center"/>
          </w:tcPr>
          <w:p w14:paraId="14294BF4">
            <w:pPr>
              <w:widowControl/>
              <w:adjustRightInd w:val="0"/>
              <w:snapToGrid w:val="0"/>
              <w:jc w:val="center"/>
              <w:textAlignment w:val="center"/>
              <w:rPr>
                <w:rFonts w:ascii="Times New Roman" w:hAnsi="Times New Roman" w:eastAsia="仿宋_GB2312"/>
                <w:b/>
                <w:bCs/>
                <w:sz w:val="24"/>
              </w:rPr>
            </w:pPr>
            <w:r>
              <w:rPr>
                <w:rFonts w:ascii="Times New Roman" w:hAnsi="Times New Roman" w:eastAsia="仿宋_GB2312"/>
                <w:b/>
                <w:bCs/>
                <w:sz w:val="24"/>
              </w:rPr>
              <w:t>关键数据采集记录</w:t>
            </w:r>
          </w:p>
        </w:tc>
        <w:tc>
          <w:tcPr>
            <w:tcW w:w="5365" w:type="dxa"/>
            <w:shd w:val="clear" w:color="auto" w:fill="auto"/>
            <w:noWrap w:val="0"/>
            <w:vAlign w:val="center"/>
          </w:tcPr>
          <w:p w14:paraId="41CEEAAA">
            <w:pPr>
              <w:widowControl/>
              <w:adjustRightInd w:val="0"/>
              <w:snapToGrid w:val="0"/>
              <w:jc w:val="left"/>
              <w:textAlignment w:val="center"/>
              <w:rPr>
                <w:rFonts w:ascii="Times New Roman" w:hAnsi="Times New Roman" w:eastAsia="仿宋_GB2312"/>
                <w:sz w:val="18"/>
                <w:szCs w:val="18"/>
              </w:rPr>
            </w:pPr>
            <w:r>
              <w:rPr>
                <w:rFonts w:ascii="Times New Roman" w:hAnsi="Times New Roman" w:eastAsia="仿宋_GB2312"/>
                <w:sz w:val="18"/>
                <w:szCs w:val="18"/>
              </w:rPr>
              <w:t>指直接从业务系统中自动获得数据，数据从产生的源头抓取，数据不落地、不可更改。</w:t>
            </w:r>
          </w:p>
        </w:tc>
      </w:tr>
      <w:tr w14:paraId="78A2FA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 w:hRule="atLeast"/>
          <w:jc w:val="center"/>
        </w:trPr>
        <w:tc>
          <w:tcPr>
            <w:tcW w:w="773" w:type="dxa"/>
            <w:shd w:val="clear" w:color="auto" w:fill="auto"/>
            <w:noWrap w:val="0"/>
            <w:vAlign w:val="center"/>
          </w:tcPr>
          <w:p w14:paraId="3B6D9728">
            <w:pPr>
              <w:widowControl/>
              <w:adjustRightInd w:val="0"/>
              <w:snapToGrid w:val="0"/>
              <w:jc w:val="center"/>
              <w:textAlignment w:val="center"/>
              <w:rPr>
                <w:rFonts w:ascii="Times New Roman" w:hAnsi="Times New Roman" w:eastAsia="仿宋_GB2312"/>
                <w:sz w:val="24"/>
              </w:rPr>
            </w:pPr>
            <w:r>
              <w:rPr>
                <w:rFonts w:ascii="Times New Roman" w:hAnsi="Times New Roman" w:eastAsia="仿宋_GB2312"/>
                <w:sz w:val="24"/>
              </w:rPr>
              <w:t>2</w:t>
            </w:r>
          </w:p>
        </w:tc>
        <w:tc>
          <w:tcPr>
            <w:tcW w:w="2933" w:type="dxa"/>
            <w:shd w:val="clear" w:color="auto" w:fill="auto"/>
            <w:noWrap w:val="0"/>
            <w:vAlign w:val="center"/>
          </w:tcPr>
          <w:p w14:paraId="1CBFCAF2">
            <w:pPr>
              <w:widowControl/>
              <w:adjustRightInd w:val="0"/>
              <w:snapToGrid w:val="0"/>
              <w:jc w:val="center"/>
              <w:textAlignment w:val="center"/>
              <w:rPr>
                <w:rFonts w:ascii="Times New Roman" w:hAnsi="Times New Roman" w:eastAsia="仿宋_GB2312"/>
                <w:b/>
                <w:bCs/>
                <w:sz w:val="24"/>
              </w:rPr>
            </w:pPr>
            <w:r>
              <w:rPr>
                <w:rFonts w:ascii="Times New Roman" w:hAnsi="Times New Roman" w:eastAsia="仿宋_GB2312"/>
                <w:b/>
                <w:bCs/>
                <w:sz w:val="24"/>
              </w:rPr>
              <w:t>可视化、精益化生产管理</w:t>
            </w:r>
          </w:p>
        </w:tc>
        <w:tc>
          <w:tcPr>
            <w:tcW w:w="5365" w:type="dxa"/>
            <w:shd w:val="clear" w:color="auto" w:fill="auto"/>
            <w:noWrap w:val="0"/>
            <w:vAlign w:val="center"/>
          </w:tcPr>
          <w:p w14:paraId="487DD5AC">
            <w:pPr>
              <w:widowControl/>
              <w:adjustRightInd w:val="0"/>
              <w:snapToGrid w:val="0"/>
              <w:jc w:val="left"/>
              <w:textAlignment w:val="center"/>
              <w:rPr>
                <w:rFonts w:ascii="Times New Roman" w:hAnsi="Times New Roman" w:eastAsia="仿宋_GB2312"/>
                <w:sz w:val="18"/>
                <w:szCs w:val="18"/>
              </w:rPr>
            </w:pPr>
            <w:r>
              <w:rPr>
                <w:rFonts w:ascii="Times New Roman" w:hAnsi="Times New Roman" w:eastAsia="仿宋_GB2312"/>
                <w:sz w:val="18"/>
                <w:szCs w:val="18"/>
              </w:rPr>
              <w:t>能够实现部分关键业务生产过程、物料成本、产品交期、订单执行等进度的实时管控，能够对部分关键业务的人、机、料进行精益管理。</w:t>
            </w:r>
          </w:p>
        </w:tc>
      </w:tr>
      <w:tr w14:paraId="080A89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 w:hRule="atLeast"/>
          <w:jc w:val="center"/>
        </w:trPr>
        <w:tc>
          <w:tcPr>
            <w:tcW w:w="773" w:type="dxa"/>
            <w:shd w:val="clear" w:color="auto" w:fill="auto"/>
            <w:noWrap w:val="0"/>
            <w:vAlign w:val="center"/>
          </w:tcPr>
          <w:p w14:paraId="2FB96CA1">
            <w:pPr>
              <w:widowControl/>
              <w:adjustRightInd w:val="0"/>
              <w:snapToGrid w:val="0"/>
              <w:jc w:val="center"/>
              <w:textAlignment w:val="center"/>
              <w:rPr>
                <w:rFonts w:ascii="Times New Roman" w:hAnsi="Times New Roman" w:eastAsia="仿宋_GB2312"/>
                <w:sz w:val="24"/>
              </w:rPr>
            </w:pPr>
            <w:r>
              <w:rPr>
                <w:rFonts w:ascii="Times New Roman" w:hAnsi="Times New Roman" w:eastAsia="仿宋_GB2312"/>
                <w:sz w:val="24"/>
              </w:rPr>
              <w:t>3</w:t>
            </w:r>
          </w:p>
        </w:tc>
        <w:tc>
          <w:tcPr>
            <w:tcW w:w="2933" w:type="dxa"/>
            <w:shd w:val="clear" w:color="auto" w:fill="auto"/>
            <w:noWrap w:val="0"/>
            <w:vAlign w:val="center"/>
          </w:tcPr>
          <w:p w14:paraId="78517EE3">
            <w:pPr>
              <w:widowControl/>
              <w:adjustRightInd w:val="0"/>
              <w:snapToGrid w:val="0"/>
              <w:jc w:val="center"/>
              <w:textAlignment w:val="center"/>
              <w:rPr>
                <w:rFonts w:ascii="Times New Roman" w:hAnsi="Times New Roman" w:eastAsia="仿宋_GB2312"/>
                <w:b/>
                <w:bCs/>
                <w:sz w:val="24"/>
              </w:rPr>
            </w:pPr>
            <w:r>
              <w:rPr>
                <w:rFonts w:ascii="Times New Roman" w:hAnsi="Times New Roman" w:eastAsia="仿宋_GB2312"/>
                <w:b/>
                <w:bCs/>
                <w:sz w:val="24"/>
              </w:rPr>
              <w:t>主生产计划自动生成</w:t>
            </w:r>
          </w:p>
        </w:tc>
        <w:tc>
          <w:tcPr>
            <w:tcW w:w="5365" w:type="dxa"/>
            <w:shd w:val="clear" w:color="auto" w:fill="auto"/>
            <w:noWrap w:val="0"/>
            <w:vAlign w:val="center"/>
          </w:tcPr>
          <w:p w14:paraId="79D18DEA">
            <w:pPr>
              <w:widowControl/>
              <w:adjustRightInd w:val="0"/>
              <w:snapToGrid w:val="0"/>
              <w:jc w:val="left"/>
              <w:textAlignment w:val="center"/>
              <w:rPr>
                <w:rFonts w:ascii="Times New Roman" w:hAnsi="Times New Roman" w:eastAsia="仿宋_GB2312"/>
                <w:sz w:val="18"/>
                <w:szCs w:val="18"/>
              </w:rPr>
            </w:pPr>
            <w:r>
              <w:rPr>
                <w:rFonts w:ascii="Times New Roman" w:hAnsi="Times New Roman" w:eastAsia="仿宋_GB2312"/>
                <w:sz w:val="18"/>
                <w:szCs w:val="18"/>
              </w:rPr>
              <w:t>物料需求计算(MRP)，建立产品物料清单(BOM)，结合物料现有安全库存，采购提前期、生产提前期实现物料需求计划运算，能自动生成物料需求计划。</w:t>
            </w:r>
          </w:p>
        </w:tc>
      </w:tr>
      <w:tr w14:paraId="2B5BF5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6" w:hRule="atLeast"/>
          <w:jc w:val="center"/>
        </w:trPr>
        <w:tc>
          <w:tcPr>
            <w:tcW w:w="773" w:type="dxa"/>
            <w:shd w:val="clear" w:color="auto" w:fill="auto"/>
            <w:noWrap w:val="0"/>
            <w:vAlign w:val="center"/>
          </w:tcPr>
          <w:p w14:paraId="593745E2">
            <w:pPr>
              <w:widowControl/>
              <w:adjustRightInd w:val="0"/>
              <w:snapToGrid w:val="0"/>
              <w:jc w:val="center"/>
              <w:textAlignment w:val="center"/>
              <w:rPr>
                <w:rFonts w:ascii="Times New Roman" w:hAnsi="Times New Roman" w:eastAsia="仿宋_GB2312"/>
                <w:sz w:val="24"/>
              </w:rPr>
            </w:pPr>
            <w:r>
              <w:rPr>
                <w:rFonts w:ascii="Times New Roman" w:hAnsi="Times New Roman" w:eastAsia="仿宋_GB2312"/>
                <w:sz w:val="24"/>
              </w:rPr>
              <w:t>4</w:t>
            </w:r>
          </w:p>
        </w:tc>
        <w:tc>
          <w:tcPr>
            <w:tcW w:w="2933" w:type="dxa"/>
            <w:shd w:val="clear" w:color="auto" w:fill="auto"/>
            <w:noWrap w:val="0"/>
            <w:vAlign w:val="center"/>
          </w:tcPr>
          <w:p w14:paraId="70E8E56D">
            <w:pPr>
              <w:widowControl/>
              <w:adjustRightInd w:val="0"/>
              <w:snapToGrid w:val="0"/>
              <w:jc w:val="center"/>
              <w:textAlignment w:val="center"/>
              <w:rPr>
                <w:rFonts w:ascii="Times New Roman" w:hAnsi="Times New Roman" w:eastAsia="仿宋_GB2312"/>
                <w:b/>
                <w:bCs/>
                <w:sz w:val="24"/>
              </w:rPr>
            </w:pPr>
            <w:r>
              <w:rPr>
                <w:rFonts w:ascii="Times New Roman" w:hAnsi="Times New Roman" w:eastAsia="仿宋_GB2312"/>
                <w:b/>
                <w:bCs/>
                <w:sz w:val="24"/>
              </w:rPr>
              <w:t>生产现场全过程综合管控</w:t>
            </w:r>
          </w:p>
        </w:tc>
        <w:tc>
          <w:tcPr>
            <w:tcW w:w="5365" w:type="dxa"/>
            <w:shd w:val="clear" w:color="auto" w:fill="auto"/>
            <w:noWrap w:val="0"/>
            <w:vAlign w:val="center"/>
          </w:tcPr>
          <w:p w14:paraId="2C33BEF4">
            <w:pPr>
              <w:widowControl/>
              <w:adjustRightInd w:val="0"/>
              <w:snapToGrid w:val="0"/>
              <w:jc w:val="left"/>
              <w:textAlignment w:val="center"/>
              <w:rPr>
                <w:rFonts w:ascii="Times New Roman" w:hAnsi="Times New Roman" w:eastAsia="仿宋_GB2312"/>
                <w:sz w:val="18"/>
                <w:szCs w:val="18"/>
              </w:rPr>
            </w:pPr>
            <w:r>
              <w:rPr>
                <w:rFonts w:ascii="Times New Roman" w:hAnsi="Times New Roman" w:eastAsia="仿宋_GB2312"/>
                <w:sz w:val="18"/>
                <w:szCs w:val="18"/>
              </w:rPr>
              <w:t>对生产现场涉及人、机、料、法、环等关键要素实现全方位数据收集与管理。</w:t>
            </w:r>
          </w:p>
        </w:tc>
      </w:tr>
      <w:tr w14:paraId="651C9D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 w:hRule="atLeast"/>
          <w:jc w:val="center"/>
        </w:trPr>
        <w:tc>
          <w:tcPr>
            <w:tcW w:w="773" w:type="dxa"/>
            <w:shd w:val="clear" w:color="auto" w:fill="auto"/>
            <w:noWrap w:val="0"/>
            <w:vAlign w:val="center"/>
          </w:tcPr>
          <w:p w14:paraId="70F86951">
            <w:pPr>
              <w:widowControl/>
              <w:adjustRightInd w:val="0"/>
              <w:snapToGrid w:val="0"/>
              <w:jc w:val="center"/>
              <w:textAlignment w:val="center"/>
              <w:rPr>
                <w:rFonts w:ascii="Times New Roman" w:hAnsi="Times New Roman" w:eastAsia="仿宋_GB2312"/>
                <w:sz w:val="24"/>
              </w:rPr>
            </w:pPr>
            <w:r>
              <w:rPr>
                <w:rFonts w:ascii="Times New Roman" w:hAnsi="Times New Roman" w:eastAsia="仿宋_GB2312"/>
                <w:sz w:val="24"/>
              </w:rPr>
              <w:t>5</w:t>
            </w:r>
          </w:p>
        </w:tc>
        <w:tc>
          <w:tcPr>
            <w:tcW w:w="2933" w:type="dxa"/>
            <w:shd w:val="clear" w:color="auto" w:fill="auto"/>
            <w:noWrap w:val="0"/>
            <w:vAlign w:val="center"/>
          </w:tcPr>
          <w:p w14:paraId="13689E4D">
            <w:pPr>
              <w:widowControl/>
              <w:adjustRightInd w:val="0"/>
              <w:snapToGrid w:val="0"/>
              <w:jc w:val="center"/>
              <w:textAlignment w:val="center"/>
              <w:rPr>
                <w:rFonts w:ascii="Times New Roman" w:hAnsi="Times New Roman" w:eastAsia="仿宋_GB2312"/>
                <w:b/>
                <w:bCs/>
                <w:sz w:val="24"/>
              </w:rPr>
            </w:pPr>
            <w:r>
              <w:rPr>
                <w:rFonts w:ascii="Times New Roman" w:hAnsi="Times New Roman" w:eastAsia="仿宋_GB2312"/>
                <w:b/>
                <w:bCs/>
                <w:sz w:val="24"/>
              </w:rPr>
              <w:t>设计制造一体化</w:t>
            </w:r>
          </w:p>
        </w:tc>
        <w:tc>
          <w:tcPr>
            <w:tcW w:w="5365" w:type="dxa"/>
            <w:shd w:val="clear" w:color="auto" w:fill="auto"/>
            <w:noWrap w:val="0"/>
            <w:vAlign w:val="center"/>
          </w:tcPr>
          <w:p w14:paraId="2E9405F1">
            <w:pPr>
              <w:widowControl/>
              <w:adjustRightInd w:val="0"/>
              <w:snapToGrid w:val="0"/>
              <w:jc w:val="left"/>
              <w:textAlignment w:val="center"/>
              <w:rPr>
                <w:rFonts w:ascii="Times New Roman" w:hAnsi="Times New Roman" w:eastAsia="仿宋_GB2312"/>
                <w:sz w:val="18"/>
                <w:szCs w:val="18"/>
              </w:rPr>
            </w:pPr>
            <w:r>
              <w:rPr>
                <w:rFonts w:ascii="Times New Roman" w:hAnsi="Times New Roman" w:eastAsia="仿宋_GB2312"/>
                <w:sz w:val="18"/>
                <w:szCs w:val="18"/>
              </w:rPr>
              <w:t>将产品设计和制造过程紧密结合，提高产品开发效率、降低成本、缩短上市时间，并提升产品质量。</w:t>
            </w:r>
          </w:p>
        </w:tc>
      </w:tr>
      <w:tr w14:paraId="6F2006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6" w:hRule="atLeast"/>
          <w:jc w:val="center"/>
        </w:trPr>
        <w:tc>
          <w:tcPr>
            <w:tcW w:w="773" w:type="dxa"/>
            <w:shd w:val="clear" w:color="auto" w:fill="auto"/>
            <w:noWrap w:val="0"/>
            <w:vAlign w:val="center"/>
          </w:tcPr>
          <w:p w14:paraId="36967C88">
            <w:pPr>
              <w:widowControl/>
              <w:adjustRightInd w:val="0"/>
              <w:snapToGrid w:val="0"/>
              <w:jc w:val="center"/>
              <w:textAlignment w:val="center"/>
              <w:rPr>
                <w:rFonts w:ascii="Times New Roman" w:hAnsi="Times New Roman" w:eastAsia="仿宋_GB2312"/>
                <w:sz w:val="24"/>
              </w:rPr>
            </w:pPr>
            <w:r>
              <w:rPr>
                <w:rFonts w:ascii="Times New Roman" w:hAnsi="Times New Roman" w:eastAsia="仿宋_GB2312"/>
                <w:sz w:val="24"/>
              </w:rPr>
              <w:t>6</w:t>
            </w:r>
          </w:p>
        </w:tc>
        <w:tc>
          <w:tcPr>
            <w:tcW w:w="2933" w:type="dxa"/>
            <w:shd w:val="clear" w:color="auto" w:fill="auto"/>
            <w:noWrap w:val="0"/>
            <w:vAlign w:val="center"/>
          </w:tcPr>
          <w:p w14:paraId="22E7B227">
            <w:pPr>
              <w:widowControl/>
              <w:adjustRightInd w:val="0"/>
              <w:snapToGrid w:val="0"/>
              <w:jc w:val="center"/>
              <w:textAlignment w:val="center"/>
              <w:rPr>
                <w:rFonts w:ascii="Times New Roman" w:hAnsi="Times New Roman" w:eastAsia="仿宋_GB2312"/>
                <w:b/>
                <w:bCs/>
                <w:sz w:val="24"/>
              </w:rPr>
            </w:pPr>
            <w:r>
              <w:rPr>
                <w:rFonts w:ascii="Times New Roman" w:hAnsi="Times New Roman" w:eastAsia="仿宋_GB2312"/>
                <w:b/>
                <w:bCs/>
                <w:sz w:val="24"/>
              </w:rPr>
              <w:t>全局决策优化</w:t>
            </w:r>
          </w:p>
        </w:tc>
        <w:tc>
          <w:tcPr>
            <w:tcW w:w="5365" w:type="dxa"/>
            <w:shd w:val="clear" w:color="auto" w:fill="auto"/>
            <w:noWrap w:val="0"/>
            <w:vAlign w:val="center"/>
          </w:tcPr>
          <w:p w14:paraId="107AE15E">
            <w:pPr>
              <w:widowControl/>
              <w:adjustRightInd w:val="0"/>
              <w:snapToGrid w:val="0"/>
              <w:jc w:val="left"/>
              <w:textAlignment w:val="center"/>
              <w:rPr>
                <w:rFonts w:ascii="Times New Roman" w:hAnsi="Times New Roman" w:eastAsia="仿宋_GB2312"/>
                <w:sz w:val="18"/>
                <w:szCs w:val="18"/>
              </w:rPr>
            </w:pPr>
            <w:r>
              <w:rPr>
                <w:rFonts w:ascii="Times New Roman" w:hAnsi="Times New Roman" w:eastAsia="仿宋_GB2312"/>
                <w:sz w:val="18"/>
                <w:szCs w:val="18"/>
              </w:rPr>
              <w:t>应用关键技术和生产数据，在包括但不限于生产调度、路径规划、资源分配等场景的复杂系统中做出最优的决策。</w:t>
            </w:r>
          </w:p>
        </w:tc>
      </w:tr>
    </w:tbl>
    <w:p w14:paraId="0B154718">
      <w:pPr>
        <w:spacing w:line="560" w:lineRule="exact"/>
        <w:ind w:firstLine="643" w:firstLineChars="200"/>
        <w:rPr>
          <w:rFonts w:ascii="Times New Roman" w:hAnsi="Times New Roman" w:eastAsia="仿宋_GB2312"/>
          <w:b/>
          <w:bCs/>
          <w:sz w:val="32"/>
          <w:szCs w:val="32"/>
        </w:rPr>
      </w:pPr>
      <w:r>
        <w:rPr>
          <w:rFonts w:ascii="Times New Roman" w:hAnsi="Times New Roman" w:eastAsia="仿宋_GB2312"/>
          <w:b/>
          <w:bCs/>
          <w:sz w:val="32"/>
          <w:szCs w:val="32"/>
        </w:rPr>
        <w:t>4.企业经营管理数字化水平等级为</w:t>
      </w:r>
      <w:r>
        <w:rPr>
          <w:rFonts w:ascii="Times New Roman" w:hAnsi="Times New Roman" w:eastAsia="仿宋_GB2312"/>
          <w:b/>
          <w:bCs/>
          <w:sz w:val="32"/>
          <w:szCs w:val="32"/>
          <w:u w:val="single"/>
        </w:rPr>
        <w:t xml:space="preserve">   </w:t>
      </w:r>
      <w:r>
        <w:rPr>
          <w:rFonts w:ascii="Times New Roman" w:hAnsi="Times New Roman" w:eastAsia="仿宋_GB2312"/>
          <w:b/>
          <w:bCs/>
          <w:sz w:val="32"/>
          <w:szCs w:val="32"/>
        </w:rPr>
        <w:t>，打分为</w:t>
      </w:r>
      <w:r>
        <w:rPr>
          <w:rFonts w:ascii="Times New Roman" w:hAnsi="Times New Roman" w:eastAsia="仿宋_GB2312"/>
          <w:b/>
          <w:bCs/>
          <w:sz w:val="32"/>
          <w:szCs w:val="32"/>
          <w:u w:val="single"/>
        </w:rPr>
        <w:t xml:space="preserve">   </w:t>
      </w:r>
      <w:r>
        <w:rPr>
          <w:rFonts w:ascii="Times New Roman" w:hAnsi="Times New Roman" w:eastAsia="仿宋_GB2312"/>
          <w:b/>
          <w:bCs/>
          <w:sz w:val="32"/>
          <w:szCs w:val="32"/>
        </w:rPr>
        <w:t>。</w:t>
      </w:r>
    </w:p>
    <w:p w14:paraId="11080FBB">
      <w:pPr>
        <w:spacing w:line="560" w:lineRule="exact"/>
        <w:ind w:firstLine="560"/>
        <w:rPr>
          <w:rFonts w:ascii="Times New Roman" w:hAnsi="Times New Roman" w:eastAsia="楷体_GB2312"/>
          <w:sz w:val="32"/>
          <w:szCs w:val="32"/>
        </w:rPr>
      </w:pPr>
      <w:r>
        <w:rPr>
          <w:rFonts w:ascii="Times New Roman" w:hAnsi="Times New Roman" w:eastAsia="楷体_GB2312"/>
          <w:sz w:val="32"/>
          <w:szCs w:val="32"/>
        </w:rPr>
        <w:t>□L0：企业采用</w:t>
      </w:r>
      <w:r>
        <w:rPr>
          <w:rFonts w:ascii="Times New Roman" w:hAnsi="Times New Roman" w:eastAsia="楷体_GB2312"/>
          <w:b/>
          <w:bCs/>
          <w:sz w:val="32"/>
          <w:szCs w:val="32"/>
        </w:rPr>
        <w:t>纸质化、经验化</w:t>
      </w:r>
      <w:r>
        <w:rPr>
          <w:rFonts w:ascii="Times New Roman" w:hAnsi="Times New Roman" w:eastAsia="楷体_GB2312"/>
          <w:sz w:val="32"/>
          <w:szCs w:val="32"/>
        </w:rPr>
        <w:t>等方式在办公、财务、采购、人力等领域进行经营管理，未使用数字化工具。</w:t>
      </w:r>
    </w:p>
    <w:p w14:paraId="636D2EF8">
      <w:pPr>
        <w:spacing w:line="560" w:lineRule="exact"/>
        <w:ind w:firstLine="560"/>
        <w:rPr>
          <w:rFonts w:ascii="Times New Roman" w:hAnsi="Times New Roman" w:eastAsia="楷体_GB2312"/>
          <w:sz w:val="32"/>
          <w:szCs w:val="32"/>
        </w:rPr>
      </w:pPr>
      <w:r>
        <w:rPr>
          <w:rFonts w:ascii="Times New Roman" w:hAnsi="Times New Roman" w:eastAsia="楷体_GB2312"/>
          <w:sz w:val="32"/>
          <w:szCs w:val="32"/>
        </w:rPr>
        <w:t>□L1：企业在日常经营管理活动中，在办公、财务、采购、人力等至少一个领域应用部署数字化软件工具，实现该领域</w:t>
      </w:r>
      <w:r>
        <w:rPr>
          <w:rFonts w:ascii="Times New Roman" w:hAnsi="Times New Roman" w:eastAsia="楷体_GB2312"/>
          <w:b/>
          <w:bCs/>
          <w:sz w:val="32"/>
          <w:szCs w:val="32"/>
        </w:rPr>
        <w:t>标准化、规范化管理</w:t>
      </w:r>
      <w:r>
        <w:rPr>
          <w:rFonts w:ascii="Times New Roman" w:hAnsi="Times New Roman" w:eastAsia="楷体_GB2312"/>
          <w:sz w:val="32"/>
          <w:szCs w:val="32"/>
        </w:rPr>
        <w:t>。</w:t>
      </w:r>
    </w:p>
    <w:p w14:paraId="015E318B">
      <w:pPr>
        <w:spacing w:line="560" w:lineRule="exact"/>
        <w:ind w:firstLine="560"/>
        <w:rPr>
          <w:rFonts w:ascii="Times New Roman" w:hAnsi="Times New Roman" w:eastAsia="楷体_GB2312"/>
          <w:sz w:val="32"/>
          <w:szCs w:val="32"/>
        </w:rPr>
      </w:pPr>
      <w:r>
        <w:rPr>
          <w:rFonts w:ascii="Times New Roman" w:hAnsi="Times New Roman" w:eastAsia="楷体_GB2312"/>
          <w:sz w:val="32"/>
          <w:szCs w:val="32"/>
        </w:rPr>
        <w:t>□L2：企业部署应用ERP类软件产品，实现采购、财务、人力等多个领域的</w:t>
      </w:r>
      <w:r>
        <w:rPr>
          <w:rFonts w:ascii="Times New Roman" w:hAnsi="Times New Roman" w:eastAsia="楷体_GB2312"/>
          <w:b/>
          <w:bCs/>
          <w:sz w:val="32"/>
          <w:szCs w:val="32"/>
        </w:rPr>
        <w:t>综合性规范管理</w:t>
      </w:r>
      <w:r>
        <w:rPr>
          <w:rFonts w:ascii="Times New Roman" w:hAnsi="Times New Roman" w:eastAsia="楷体_GB2312"/>
          <w:sz w:val="32"/>
          <w:szCs w:val="32"/>
        </w:rPr>
        <w:t xml:space="preserve">。 </w:t>
      </w:r>
    </w:p>
    <w:p w14:paraId="77701702">
      <w:pPr>
        <w:spacing w:line="560" w:lineRule="exact"/>
        <w:ind w:firstLine="560"/>
        <w:rPr>
          <w:rFonts w:ascii="Times New Roman" w:hAnsi="Times New Roman" w:eastAsia="楷体_GB2312"/>
          <w:sz w:val="32"/>
          <w:szCs w:val="32"/>
        </w:rPr>
      </w:pPr>
      <w:r>
        <w:rPr>
          <w:rFonts w:ascii="Times New Roman" w:hAnsi="Times New Roman" w:eastAsia="楷体_GB2312"/>
          <w:sz w:val="32"/>
          <w:szCs w:val="32"/>
        </w:rPr>
        <w:t>□L3：企业构建商业BI系统</w:t>
      </w:r>
      <w:r>
        <w:rPr>
          <w:rFonts w:ascii="Times New Roman" w:hAnsi="Times New Roman" w:eastAsia="微软雅黑"/>
          <w:sz w:val="32"/>
          <w:szCs w:val="32"/>
        </w:rPr>
        <w:t>①</w:t>
      </w:r>
      <w:r>
        <w:rPr>
          <w:rFonts w:ascii="Times New Roman" w:hAnsi="Times New Roman" w:eastAsia="楷体_GB2312"/>
          <w:sz w:val="32"/>
          <w:szCs w:val="32"/>
        </w:rPr>
        <w:t>，打通采购、财务、人力等各类数据，实现</w:t>
      </w:r>
      <w:r>
        <w:rPr>
          <w:rFonts w:ascii="Times New Roman" w:hAnsi="Times New Roman" w:eastAsia="楷体_GB2312"/>
          <w:b/>
          <w:bCs/>
          <w:sz w:val="32"/>
          <w:szCs w:val="32"/>
        </w:rPr>
        <w:t>关键经营指标统计分析</w:t>
      </w:r>
      <w:r>
        <w:rPr>
          <w:rFonts w:ascii="Times New Roman" w:hAnsi="Times New Roman" w:eastAsia="楷体_GB2312"/>
          <w:sz w:val="32"/>
          <w:szCs w:val="32"/>
        </w:rPr>
        <w:t>，辅助企业管理人员决策。</w:t>
      </w:r>
    </w:p>
    <w:p w14:paraId="0B1A86A2">
      <w:pPr>
        <w:spacing w:line="560" w:lineRule="exact"/>
        <w:ind w:firstLine="560"/>
        <w:rPr>
          <w:rFonts w:ascii="Times New Roman" w:hAnsi="Times New Roman" w:eastAsia="楷体_GB2312"/>
          <w:sz w:val="32"/>
          <w:szCs w:val="32"/>
        </w:rPr>
      </w:pPr>
      <w:r>
        <w:rPr>
          <w:rFonts w:ascii="Times New Roman" w:hAnsi="Times New Roman" w:eastAsia="楷体_GB2312"/>
          <w:sz w:val="32"/>
          <w:szCs w:val="32"/>
        </w:rPr>
        <w:t>□L4：企业基于</w:t>
      </w:r>
      <w:r>
        <w:rPr>
          <w:rFonts w:ascii="Times New Roman" w:hAnsi="Times New Roman" w:eastAsia="楷体_GB2312"/>
          <w:b/>
          <w:bCs/>
          <w:sz w:val="32"/>
          <w:szCs w:val="32"/>
        </w:rPr>
        <w:t>统一技术底座</w:t>
      </w:r>
      <w:r>
        <w:rPr>
          <w:rFonts w:ascii="Times New Roman" w:hAnsi="Times New Roman" w:eastAsia="微软雅黑"/>
          <w:b/>
          <w:bCs/>
          <w:sz w:val="32"/>
          <w:szCs w:val="32"/>
        </w:rPr>
        <w:t>②</w:t>
      </w:r>
      <w:r>
        <w:rPr>
          <w:rFonts w:ascii="Times New Roman" w:hAnsi="Times New Roman" w:eastAsia="楷体_GB2312"/>
          <w:sz w:val="32"/>
          <w:szCs w:val="32"/>
        </w:rPr>
        <w:t>实现企业各业务领域数字化管理和信息互通，并提供</w:t>
      </w:r>
      <w:r>
        <w:rPr>
          <w:rFonts w:ascii="Times New Roman" w:hAnsi="Times New Roman" w:eastAsia="楷体_GB2312"/>
          <w:b/>
          <w:bCs/>
          <w:sz w:val="32"/>
          <w:szCs w:val="32"/>
        </w:rPr>
        <w:t>数据驱动</w:t>
      </w:r>
      <w:r>
        <w:rPr>
          <w:rFonts w:ascii="Times New Roman" w:hAnsi="Times New Roman" w:eastAsia="微软雅黑"/>
          <w:b/>
          <w:bCs/>
          <w:sz w:val="32"/>
          <w:szCs w:val="32"/>
        </w:rPr>
        <w:t>③</w:t>
      </w:r>
      <w:r>
        <w:rPr>
          <w:rFonts w:ascii="Times New Roman" w:hAnsi="Times New Roman" w:eastAsia="楷体_GB2312"/>
          <w:b/>
          <w:bCs/>
          <w:sz w:val="32"/>
          <w:szCs w:val="32"/>
        </w:rPr>
        <w:t>的决策建议</w:t>
      </w:r>
      <w:r>
        <w:rPr>
          <w:rFonts w:ascii="Times New Roman" w:hAnsi="Times New Roman" w:eastAsia="楷体_GB2312"/>
          <w:sz w:val="32"/>
          <w:szCs w:val="32"/>
        </w:rPr>
        <w:t>。</w:t>
      </w:r>
    </w:p>
    <w:p w14:paraId="41022249">
      <w:pPr>
        <w:spacing w:line="560" w:lineRule="exact"/>
        <w:ind w:firstLine="560"/>
        <w:rPr>
          <w:rFonts w:ascii="Times New Roman" w:hAnsi="Times New Roman" w:eastAsia="楷体_GB2312"/>
          <w:sz w:val="32"/>
          <w:szCs w:val="32"/>
        </w:rPr>
      </w:pPr>
      <w:r>
        <w:rPr>
          <w:rFonts w:ascii="Times New Roman" w:hAnsi="Times New Roman" w:eastAsia="楷体_GB2312"/>
          <w:sz w:val="32"/>
          <w:szCs w:val="32"/>
        </w:rPr>
        <w:t>□L5：企业采用人工智能大模型技术实现</w:t>
      </w:r>
      <w:r>
        <w:rPr>
          <w:rFonts w:ascii="Times New Roman" w:hAnsi="Times New Roman" w:eastAsia="楷体_GB2312"/>
          <w:b/>
          <w:bCs/>
          <w:sz w:val="32"/>
          <w:szCs w:val="32"/>
        </w:rPr>
        <w:t>预测分析和智能化决策</w:t>
      </w:r>
      <w:r>
        <w:rPr>
          <w:rFonts w:ascii="Times New Roman" w:hAnsi="Times New Roman" w:eastAsia="楷体_GB2312"/>
          <w:sz w:val="32"/>
          <w:szCs w:val="32"/>
        </w:rPr>
        <w:t>，优化经营管理，创新商业模式和创造新价值。</w:t>
      </w:r>
    </w:p>
    <w:p w14:paraId="014BEEFA">
      <w:pPr>
        <w:widowControl/>
        <w:spacing w:line="360" w:lineRule="auto"/>
        <w:jc w:val="center"/>
        <w:rPr>
          <w:rFonts w:ascii="Times New Roman" w:hAnsi="Times New Roman" w:eastAsia="楷体_GB2312"/>
          <w:color w:val="000000"/>
          <w:kern w:val="0"/>
          <w:sz w:val="24"/>
        </w:rPr>
      </w:pPr>
      <w:r>
        <w:rPr>
          <w:rFonts w:ascii="Times New Roman" w:hAnsi="Times New Roman" w:eastAsia="楷体_GB2312"/>
          <w:color w:val="000000"/>
          <w:kern w:val="0"/>
          <w:sz w:val="24"/>
        </w:rPr>
        <w:t>表4 经营管理数字化水平指标注释表</w:t>
      </w:r>
    </w:p>
    <w:tbl>
      <w:tblPr>
        <w:tblStyle w:val="6"/>
        <w:tblW w:w="907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17"/>
        <w:gridCol w:w="2560"/>
        <w:gridCol w:w="5494"/>
      </w:tblGrid>
      <w:tr w14:paraId="7C8DE9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8" w:hRule="atLeast"/>
          <w:jc w:val="center"/>
        </w:trPr>
        <w:tc>
          <w:tcPr>
            <w:tcW w:w="809" w:type="dxa"/>
            <w:shd w:val="clear" w:color="auto" w:fill="auto"/>
            <w:noWrap w:val="0"/>
            <w:vAlign w:val="center"/>
          </w:tcPr>
          <w:p w14:paraId="24211D10">
            <w:pPr>
              <w:widowControl/>
              <w:adjustRightInd w:val="0"/>
              <w:snapToGrid w:val="0"/>
              <w:jc w:val="center"/>
              <w:textAlignment w:val="center"/>
              <w:rPr>
                <w:rFonts w:ascii="Times New Roman" w:hAnsi="Times New Roman" w:eastAsia="仿宋_GB2312"/>
                <w:b/>
                <w:bCs/>
                <w:color w:val="000000"/>
                <w:sz w:val="24"/>
              </w:rPr>
            </w:pPr>
            <w:r>
              <w:rPr>
                <w:rFonts w:ascii="Times New Roman" w:hAnsi="Times New Roman" w:eastAsia="仿宋_GB2312"/>
                <w:b/>
                <w:bCs/>
                <w:color w:val="000000"/>
                <w:sz w:val="24"/>
              </w:rPr>
              <w:t>序号</w:t>
            </w:r>
          </w:p>
        </w:tc>
        <w:tc>
          <w:tcPr>
            <w:tcW w:w="2036" w:type="dxa"/>
            <w:shd w:val="clear" w:color="auto" w:fill="auto"/>
            <w:noWrap w:val="0"/>
            <w:vAlign w:val="center"/>
          </w:tcPr>
          <w:p w14:paraId="4F02DFB1">
            <w:pPr>
              <w:widowControl/>
              <w:adjustRightInd w:val="0"/>
              <w:snapToGrid w:val="0"/>
              <w:jc w:val="center"/>
              <w:textAlignment w:val="center"/>
              <w:rPr>
                <w:rFonts w:ascii="Times New Roman" w:hAnsi="Times New Roman" w:eastAsia="仿宋_GB2312"/>
                <w:b/>
                <w:bCs/>
                <w:color w:val="000000"/>
                <w:sz w:val="24"/>
              </w:rPr>
            </w:pPr>
            <w:r>
              <w:rPr>
                <w:rFonts w:ascii="Times New Roman" w:hAnsi="Times New Roman" w:eastAsia="仿宋_GB2312"/>
                <w:b/>
                <w:bCs/>
                <w:color w:val="000000"/>
                <w:sz w:val="24"/>
              </w:rPr>
              <w:t>关键词</w:t>
            </w:r>
          </w:p>
        </w:tc>
        <w:tc>
          <w:tcPr>
            <w:tcW w:w="4370" w:type="dxa"/>
            <w:shd w:val="clear" w:color="auto" w:fill="auto"/>
            <w:noWrap w:val="0"/>
            <w:vAlign w:val="center"/>
          </w:tcPr>
          <w:p w14:paraId="1D44C8EB">
            <w:pPr>
              <w:widowControl/>
              <w:adjustRightInd w:val="0"/>
              <w:snapToGrid w:val="0"/>
              <w:jc w:val="center"/>
              <w:textAlignment w:val="center"/>
              <w:rPr>
                <w:rFonts w:ascii="Times New Roman" w:hAnsi="Times New Roman" w:eastAsia="仿宋_GB2312"/>
                <w:b/>
                <w:bCs/>
                <w:color w:val="000000"/>
                <w:sz w:val="24"/>
              </w:rPr>
            </w:pPr>
            <w:r>
              <w:rPr>
                <w:rFonts w:ascii="Times New Roman" w:hAnsi="Times New Roman" w:eastAsia="仿宋_GB2312"/>
                <w:b/>
                <w:bCs/>
                <w:color w:val="000000"/>
                <w:sz w:val="24"/>
              </w:rPr>
              <w:t>注释</w:t>
            </w:r>
          </w:p>
        </w:tc>
      </w:tr>
      <w:tr w14:paraId="059D2F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8" w:hRule="atLeast"/>
          <w:jc w:val="center"/>
        </w:trPr>
        <w:tc>
          <w:tcPr>
            <w:tcW w:w="809" w:type="dxa"/>
            <w:shd w:val="clear" w:color="auto" w:fill="auto"/>
            <w:noWrap w:val="0"/>
            <w:vAlign w:val="center"/>
          </w:tcPr>
          <w:p w14:paraId="4715EBE2">
            <w:pPr>
              <w:widowControl/>
              <w:adjustRightInd w:val="0"/>
              <w:snapToGrid w:val="0"/>
              <w:jc w:val="center"/>
              <w:textAlignment w:val="center"/>
              <w:rPr>
                <w:rFonts w:ascii="Times New Roman" w:hAnsi="Times New Roman" w:eastAsia="仿宋_GB2312"/>
                <w:sz w:val="24"/>
              </w:rPr>
            </w:pPr>
            <w:r>
              <w:rPr>
                <w:rFonts w:ascii="Times New Roman" w:hAnsi="Times New Roman" w:eastAsia="仿宋_GB2312"/>
                <w:sz w:val="24"/>
              </w:rPr>
              <w:t>1</w:t>
            </w:r>
          </w:p>
        </w:tc>
        <w:tc>
          <w:tcPr>
            <w:tcW w:w="2036" w:type="dxa"/>
            <w:shd w:val="clear" w:color="auto" w:fill="auto"/>
            <w:noWrap w:val="0"/>
            <w:vAlign w:val="center"/>
          </w:tcPr>
          <w:p w14:paraId="062BCB6D">
            <w:pPr>
              <w:widowControl/>
              <w:adjustRightInd w:val="0"/>
              <w:snapToGrid w:val="0"/>
              <w:jc w:val="center"/>
              <w:textAlignment w:val="center"/>
              <w:rPr>
                <w:rFonts w:ascii="Times New Roman" w:hAnsi="Times New Roman" w:eastAsia="仿宋_GB2312"/>
                <w:b/>
                <w:bCs/>
                <w:sz w:val="24"/>
              </w:rPr>
            </w:pPr>
            <w:r>
              <w:rPr>
                <w:rFonts w:ascii="Times New Roman" w:hAnsi="Times New Roman" w:eastAsia="仿宋_GB2312"/>
                <w:b/>
                <w:bCs/>
                <w:sz w:val="24"/>
              </w:rPr>
              <w:t>商业BI系统</w:t>
            </w:r>
          </w:p>
        </w:tc>
        <w:tc>
          <w:tcPr>
            <w:tcW w:w="4370" w:type="dxa"/>
            <w:shd w:val="clear" w:color="auto" w:fill="auto"/>
            <w:noWrap w:val="0"/>
            <w:vAlign w:val="center"/>
          </w:tcPr>
          <w:p w14:paraId="59C64572">
            <w:pPr>
              <w:widowControl/>
              <w:adjustRightInd w:val="0"/>
              <w:snapToGrid w:val="0"/>
              <w:jc w:val="left"/>
              <w:textAlignment w:val="center"/>
              <w:rPr>
                <w:rFonts w:ascii="Times New Roman" w:hAnsi="Times New Roman" w:eastAsia="仿宋_GB2312"/>
                <w:sz w:val="18"/>
                <w:szCs w:val="18"/>
              </w:rPr>
            </w:pPr>
            <w:r>
              <w:rPr>
                <w:rFonts w:ascii="Times New Roman" w:hAnsi="Times New Roman" w:eastAsia="仿宋_GB2312"/>
                <w:sz w:val="18"/>
                <w:szCs w:val="18"/>
              </w:rPr>
              <w:t>指用于工业领域的数据分析和商业智能系统，主要功能包括数据收集、数据处理、数据分析、可视化展示、决策支持。它通过对生产、制造、物流等工业环节中的数据进行收集、处理和分析，为企业提供决策支持。</w:t>
            </w:r>
          </w:p>
        </w:tc>
      </w:tr>
      <w:tr w14:paraId="38F213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8" w:hRule="atLeast"/>
          <w:jc w:val="center"/>
        </w:trPr>
        <w:tc>
          <w:tcPr>
            <w:tcW w:w="809" w:type="dxa"/>
            <w:shd w:val="clear" w:color="auto" w:fill="auto"/>
            <w:noWrap w:val="0"/>
            <w:vAlign w:val="center"/>
          </w:tcPr>
          <w:p w14:paraId="1857D2D4">
            <w:pPr>
              <w:widowControl/>
              <w:adjustRightInd w:val="0"/>
              <w:snapToGrid w:val="0"/>
              <w:jc w:val="center"/>
              <w:textAlignment w:val="center"/>
              <w:rPr>
                <w:rFonts w:ascii="Times New Roman" w:hAnsi="Times New Roman" w:eastAsia="仿宋_GB2312"/>
                <w:sz w:val="24"/>
              </w:rPr>
            </w:pPr>
            <w:r>
              <w:rPr>
                <w:rFonts w:ascii="Times New Roman" w:hAnsi="Times New Roman" w:eastAsia="仿宋_GB2312"/>
                <w:sz w:val="24"/>
              </w:rPr>
              <w:t>2</w:t>
            </w:r>
          </w:p>
        </w:tc>
        <w:tc>
          <w:tcPr>
            <w:tcW w:w="2036" w:type="dxa"/>
            <w:shd w:val="clear" w:color="auto" w:fill="auto"/>
            <w:noWrap w:val="0"/>
            <w:vAlign w:val="center"/>
          </w:tcPr>
          <w:p w14:paraId="0A1EFAA3">
            <w:pPr>
              <w:widowControl/>
              <w:adjustRightInd w:val="0"/>
              <w:snapToGrid w:val="0"/>
              <w:jc w:val="center"/>
              <w:textAlignment w:val="center"/>
              <w:rPr>
                <w:rFonts w:ascii="Times New Roman" w:hAnsi="Times New Roman" w:eastAsia="仿宋_GB2312"/>
                <w:b/>
                <w:bCs/>
                <w:sz w:val="24"/>
              </w:rPr>
            </w:pPr>
            <w:r>
              <w:rPr>
                <w:rFonts w:ascii="Times New Roman" w:hAnsi="Times New Roman" w:eastAsia="仿宋_GB2312"/>
                <w:b/>
                <w:bCs/>
                <w:sz w:val="24"/>
              </w:rPr>
              <w:t>统一技术底座</w:t>
            </w:r>
          </w:p>
        </w:tc>
        <w:tc>
          <w:tcPr>
            <w:tcW w:w="4370" w:type="dxa"/>
            <w:shd w:val="clear" w:color="auto" w:fill="auto"/>
            <w:noWrap w:val="0"/>
            <w:vAlign w:val="center"/>
          </w:tcPr>
          <w:p w14:paraId="5892CF68">
            <w:pPr>
              <w:widowControl/>
              <w:adjustRightInd w:val="0"/>
              <w:snapToGrid w:val="0"/>
              <w:jc w:val="left"/>
              <w:textAlignment w:val="center"/>
              <w:rPr>
                <w:rFonts w:ascii="Times New Roman" w:hAnsi="Times New Roman" w:eastAsia="仿宋_GB2312"/>
                <w:sz w:val="18"/>
                <w:szCs w:val="18"/>
              </w:rPr>
            </w:pPr>
            <w:r>
              <w:rPr>
                <w:rFonts w:ascii="Times New Roman" w:hAnsi="Times New Roman" w:eastAsia="仿宋_GB2312"/>
                <w:sz w:val="18"/>
                <w:szCs w:val="18"/>
              </w:rPr>
              <w:t>指为工业企业提供的一套标准化、集成化的技术平台，包括了数据采集、处理、分析和应用等关键功能，能够支撑企业在数字化、网络化、智能化方面的转型升级。通常涵盖了边缘计算、云计算、大数据、人工智能等先进技术，以及相应的软硬件资源，帮助企业实现资源优化配置、生产效率的提升和商业模式的创新。</w:t>
            </w:r>
          </w:p>
        </w:tc>
      </w:tr>
      <w:tr w14:paraId="078C68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8" w:hRule="atLeast"/>
          <w:jc w:val="center"/>
        </w:trPr>
        <w:tc>
          <w:tcPr>
            <w:tcW w:w="809" w:type="dxa"/>
            <w:shd w:val="clear" w:color="auto" w:fill="auto"/>
            <w:noWrap w:val="0"/>
            <w:vAlign w:val="center"/>
          </w:tcPr>
          <w:p w14:paraId="0D21AA0F">
            <w:pPr>
              <w:widowControl/>
              <w:adjustRightInd w:val="0"/>
              <w:snapToGrid w:val="0"/>
              <w:jc w:val="center"/>
              <w:textAlignment w:val="center"/>
              <w:rPr>
                <w:rFonts w:ascii="Times New Roman" w:hAnsi="Times New Roman" w:eastAsia="仿宋_GB2312"/>
                <w:sz w:val="24"/>
              </w:rPr>
            </w:pPr>
            <w:r>
              <w:rPr>
                <w:rFonts w:ascii="Times New Roman" w:hAnsi="Times New Roman" w:eastAsia="仿宋_GB2312"/>
                <w:sz w:val="24"/>
              </w:rPr>
              <w:t>3</w:t>
            </w:r>
          </w:p>
        </w:tc>
        <w:tc>
          <w:tcPr>
            <w:tcW w:w="2036" w:type="dxa"/>
            <w:shd w:val="clear" w:color="auto" w:fill="auto"/>
            <w:noWrap w:val="0"/>
            <w:vAlign w:val="center"/>
          </w:tcPr>
          <w:p w14:paraId="292E7A49">
            <w:pPr>
              <w:widowControl/>
              <w:adjustRightInd w:val="0"/>
              <w:snapToGrid w:val="0"/>
              <w:jc w:val="center"/>
              <w:textAlignment w:val="center"/>
              <w:rPr>
                <w:rFonts w:ascii="Times New Roman" w:hAnsi="Times New Roman" w:eastAsia="仿宋_GB2312"/>
                <w:b/>
                <w:bCs/>
                <w:sz w:val="24"/>
              </w:rPr>
            </w:pPr>
            <w:r>
              <w:rPr>
                <w:rFonts w:ascii="Times New Roman" w:hAnsi="Times New Roman" w:eastAsia="仿宋_GB2312"/>
                <w:b/>
                <w:bCs/>
                <w:sz w:val="24"/>
              </w:rPr>
              <w:t>数据驱动</w:t>
            </w:r>
          </w:p>
        </w:tc>
        <w:tc>
          <w:tcPr>
            <w:tcW w:w="4370" w:type="dxa"/>
            <w:shd w:val="clear" w:color="auto" w:fill="auto"/>
            <w:noWrap w:val="0"/>
            <w:vAlign w:val="center"/>
          </w:tcPr>
          <w:p w14:paraId="3C62FC4C">
            <w:pPr>
              <w:widowControl/>
              <w:adjustRightInd w:val="0"/>
              <w:snapToGrid w:val="0"/>
              <w:jc w:val="left"/>
              <w:textAlignment w:val="center"/>
              <w:rPr>
                <w:rFonts w:ascii="Times New Roman" w:hAnsi="Times New Roman" w:eastAsia="仿宋_GB2312"/>
                <w:sz w:val="18"/>
                <w:szCs w:val="18"/>
              </w:rPr>
            </w:pPr>
            <w:r>
              <w:rPr>
                <w:rFonts w:ascii="Times New Roman" w:hAnsi="Times New Roman" w:eastAsia="仿宋_GB2312"/>
                <w:sz w:val="18"/>
                <w:szCs w:val="18"/>
              </w:rPr>
              <w:t>指利用数据分析技术，从工业生产和运营中产生的大量数据中提取有价值的信息和知识，以优化生产流程、提高效率、降低成本，并推动决策制定的过程。</w:t>
            </w:r>
          </w:p>
        </w:tc>
      </w:tr>
    </w:tbl>
    <w:p w14:paraId="79FBE1D4">
      <w:pPr>
        <w:spacing w:line="560" w:lineRule="exact"/>
        <w:ind w:firstLine="643" w:firstLineChars="200"/>
        <w:rPr>
          <w:rFonts w:ascii="Times New Roman" w:hAnsi="Times New Roman" w:eastAsia="仿宋_GB2312"/>
          <w:b/>
          <w:bCs/>
          <w:sz w:val="32"/>
          <w:szCs w:val="32"/>
        </w:rPr>
      </w:pPr>
      <w:r>
        <w:rPr>
          <w:rFonts w:ascii="Times New Roman" w:hAnsi="Times New Roman" w:eastAsia="仿宋_GB2312"/>
          <w:b/>
          <w:bCs/>
          <w:sz w:val="32"/>
          <w:szCs w:val="32"/>
        </w:rPr>
        <w:t>5.企业营销服务数字化水平等级为</w:t>
      </w:r>
      <w:r>
        <w:rPr>
          <w:rFonts w:ascii="Times New Roman" w:hAnsi="Times New Roman" w:eastAsia="仿宋_GB2312"/>
          <w:b/>
          <w:bCs/>
          <w:sz w:val="32"/>
          <w:szCs w:val="32"/>
          <w:u w:val="single"/>
        </w:rPr>
        <w:t xml:space="preserve">   </w:t>
      </w:r>
      <w:r>
        <w:rPr>
          <w:rFonts w:ascii="Times New Roman" w:hAnsi="Times New Roman" w:eastAsia="仿宋_GB2312"/>
          <w:b/>
          <w:bCs/>
          <w:sz w:val="32"/>
          <w:szCs w:val="32"/>
        </w:rPr>
        <w:t>，打分为</w:t>
      </w:r>
      <w:r>
        <w:rPr>
          <w:rFonts w:ascii="Times New Roman" w:hAnsi="Times New Roman" w:eastAsia="仿宋_GB2312"/>
          <w:b/>
          <w:bCs/>
          <w:sz w:val="32"/>
          <w:szCs w:val="32"/>
          <w:u w:val="single"/>
        </w:rPr>
        <w:t xml:space="preserve">   </w:t>
      </w:r>
      <w:r>
        <w:rPr>
          <w:rFonts w:ascii="Times New Roman" w:hAnsi="Times New Roman" w:eastAsia="仿宋_GB2312"/>
          <w:b/>
          <w:bCs/>
          <w:sz w:val="32"/>
          <w:szCs w:val="32"/>
        </w:rPr>
        <w:t>。</w:t>
      </w:r>
    </w:p>
    <w:p w14:paraId="005DE47A">
      <w:pPr>
        <w:spacing w:line="560" w:lineRule="exact"/>
        <w:ind w:firstLine="560"/>
        <w:rPr>
          <w:rFonts w:ascii="Times New Roman" w:hAnsi="Times New Roman" w:eastAsia="楷体_GB2312"/>
          <w:sz w:val="28"/>
          <w:szCs w:val="28"/>
        </w:rPr>
      </w:pPr>
      <w:r>
        <w:rPr>
          <w:rFonts w:ascii="Times New Roman" w:hAnsi="Times New Roman" w:eastAsia="楷体_GB2312"/>
          <w:sz w:val="28"/>
          <w:szCs w:val="28"/>
        </w:rPr>
        <w:t>□不涉及本环节。</w:t>
      </w:r>
    </w:p>
    <w:p w14:paraId="0BB64505">
      <w:pPr>
        <w:spacing w:line="560" w:lineRule="exact"/>
        <w:ind w:firstLine="560"/>
        <w:rPr>
          <w:rFonts w:ascii="Times New Roman" w:hAnsi="Times New Roman" w:eastAsia="楷体_GB2312"/>
          <w:sz w:val="28"/>
          <w:szCs w:val="28"/>
        </w:rPr>
      </w:pPr>
      <w:r>
        <w:rPr>
          <w:rFonts w:ascii="Times New Roman" w:hAnsi="Times New Roman" w:eastAsia="楷体_GB2312"/>
          <w:sz w:val="28"/>
          <w:szCs w:val="28"/>
        </w:rPr>
        <w:t>□L0：企业采用</w:t>
      </w:r>
      <w:r>
        <w:rPr>
          <w:rFonts w:ascii="Times New Roman" w:hAnsi="Times New Roman" w:eastAsia="楷体_GB2312"/>
          <w:b/>
          <w:bCs/>
          <w:sz w:val="28"/>
          <w:szCs w:val="28"/>
        </w:rPr>
        <w:t>线下、电话、邮件等传统方式</w:t>
      </w:r>
      <w:r>
        <w:rPr>
          <w:rFonts w:ascii="Times New Roman" w:hAnsi="Times New Roman" w:eastAsia="楷体_GB2312"/>
          <w:sz w:val="28"/>
          <w:szCs w:val="28"/>
        </w:rPr>
        <w:t>开展销售和服务，销售信息和客户信息以</w:t>
      </w:r>
      <w:r>
        <w:rPr>
          <w:rFonts w:ascii="Times New Roman" w:hAnsi="Times New Roman" w:eastAsia="楷体_GB2312"/>
          <w:b/>
          <w:bCs/>
          <w:sz w:val="28"/>
          <w:szCs w:val="28"/>
        </w:rPr>
        <w:t>纸质文档</w:t>
      </w:r>
      <w:r>
        <w:rPr>
          <w:rFonts w:ascii="Times New Roman" w:hAnsi="Times New Roman" w:eastAsia="楷体_GB2312"/>
          <w:sz w:val="28"/>
          <w:szCs w:val="28"/>
        </w:rPr>
        <w:t>方式管理。</w:t>
      </w:r>
    </w:p>
    <w:p w14:paraId="3B7292C4">
      <w:pPr>
        <w:spacing w:line="560" w:lineRule="exact"/>
        <w:ind w:firstLine="560"/>
        <w:rPr>
          <w:rFonts w:ascii="Times New Roman" w:hAnsi="Times New Roman" w:eastAsia="楷体_GB2312"/>
          <w:sz w:val="28"/>
          <w:szCs w:val="28"/>
        </w:rPr>
      </w:pPr>
      <w:r>
        <w:rPr>
          <w:rFonts w:ascii="Times New Roman" w:hAnsi="Times New Roman" w:eastAsia="楷体_GB2312"/>
          <w:sz w:val="28"/>
          <w:szCs w:val="28"/>
        </w:rPr>
        <w:t>□L1：企业运用小程序等轻量化软件工具辅助开展</w:t>
      </w:r>
      <w:r>
        <w:rPr>
          <w:rFonts w:ascii="Times New Roman" w:hAnsi="Times New Roman" w:eastAsia="楷体_GB2312"/>
          <w:b/>
          <w:bCs/>
          <w:sz w:val="28"/>
          <w:szCs w:val="28"/>
        </w:rPr>
        <w:t>基本营销、售后管理</w:t>
      </w:r>
      <w:r>
        <w:rPr>
          <w:rFonts w:ascii="Times New Roman" w:hAnsi="Times New Roman" w:eastAsia="楷体_GB2312"/>
          <w:sz w:val="28"/>
          <w:szCs w:val="28"/>
        </w:rPr>
        <w:t>；</w:t>
      </w:r>
      <w:r>
        <w:rPr>
          <w:rFonts w:ascii="Times New Roman" w:hAnsi="Times New Roman" w:eastAsia="楷体_GB2312"/>
          <w:b/>
          <w:bCs/>
          <w:sz w:val="28"/>
          <w:szCs w:val="28"/>
        </w:rPr>
        <w:t>或</w:t>
      </w:r>
      <w:r>
        <w:rPr>
          <w:rFonts w:ascii="Times New Roman" w:hAnsi="Times New Roman" w:eastAsia="楷体_GB2312"/>
          <w:sz w:val="28"/>
          <w:szCs w:val="28"/>
        </w:rPr>
        <w:t>开始探索电子商务、直播带货等</w:t>
      </w:r>
      <w:r>
        <w:rPr>
          <w:rFonts w:ascii="Times New Roman" w:hAnsi="Times New Roman" w:eastAsia="楷体_GB2312"/>
          <w:b/>
          <w:bCs/>
          <w:sz w:val="28"/>
          <w:szCs w:val="28"/>
        </w:rPr>
        <w:t>互联网营销</w:t>
      </w:r>
      <w:r>
        <w:rPr>
          <w:rFonts w:ascii="Times New Roman" w:hAnsi="Times New Roman" w:eastAsia="微软雅黑"/>
          <w:b/>
          <w:bCs/>
          <w:sz w:val="28"/>
          <w:szCs w:val="28"/>
        </w:rPr>
        <w:t>①</w:t>
      </w:r>
      <w:r>
        <w:rPr>
          <w:rFonts w:ascii="Times New Roman" w:hAnsi="Times New Roman" w:eastAsia="楷体_GB2312"/>
          <w:b/>
          <w:bCs/>
          <w:sz w:val="28"/>
          <w:szCs w:val="28"/>
        </w:rPr>
        <w:t>模式</w:t>
      </w:r>
      <w:r>
        <w:rPr>
          <w:rFonts w:ascii="Times New Roman" w:hAnsi="Times New Roman" w:eastAsia="楷体_GB2312"/>
          <w:sz w:val="28"/>
          <w:szCs w:val="28"/>
        </w:rPr>
        <w:t>。</w:t>
      </w:r>
    </w:p>
    <w:p w14:paraId="63E8F226">
      <w:pPr>
        <w:spacing w:line="560" w:lineRule="exact"/>
        <w:ind w:firstLine="561"/>
        <w:rPr>
          <w:rFonts w:ascii="Times New Roman" w:hAnsi="Times New Roman" w:eastAsia="楷体_GB2312"/>
          <w:sz w:val="28"/>
          <w:szCs w:val="28"/>
        </w:rPr>
      </w:pPr>
      <w:r>
        <w:rPr>
          <w:rFonts w:ascii="Times New Roman" w:hAnsi="Times New Roman" w:eastAsia="楷体_GB2312"/>
          <w:sz w:val="28"/>
          <w:szCs w:val="28"/>
        </w:rPr>
        <w:t>□L2：企业部署专业化市场营销管理软件，对营销及服务流程与数据进行</w:t>
      </w:r>
      <w:r>
        <w:rPr>
          <w:rFonts w:ascii="Times New Roman" w:hAnsi="Times New Roman" w:eastAsia="楷体_GB2312"/>
          <w:b/>
          <w:bCs/>
          <w:sz w:val="28"/>
          <w:szCs w:val="28"/>
        </w:rPr>
        <w:t>规范化管理</w:t>
      </w:r>
      <w:r>
        <w:rPr>
          <w:rFonts w:ascii="Times New Roman" w:hAnsi="Times New Roman" w:eastAsia="楷体_GB2312"/>
          <w:sz w:val="28"/>
          <w:szCs w:val="28"/>
        </w:rPr>
        <w:t>；</w:t>
      </w:r>
      <w:r>
        <w:rPr>
          <w:rFonts w:ascii="Times New Roman" w:hAnsi="Times New Roman" w:eastAsia="楷体_GB2312"/>
          <w:b/>
          <w:bCs/>
          <w:sz w:val="28"/>
          <w:szCs w:val="28"/>
        </w:rPr>
        <w:t>或</w:t>
      </w:r>
      <w:r>
        <w:rPr>
          <w:rFonts w:ascii="Times New Roman" w:hAnsi="Times New Roman" w:eastAsia="楷体_GB2312"/>
          <w:sz w:val="28"/>
          <w:szCs w:val="28"/>
        </w:rPr>
        <w:t>互联网营销成为企业</w:t>
      </w:r>
      <w:r>
        <w:rPr>
          <w:rFonts w:ascii="Times New Roman" w:hAnsi="Times New Roman" w:eastAsia="楷体_GB2312"/>
          <w:b/>
          <w:bCs/>
          <w:sz w:val="28"/>
          <w:szCs w:val="28"/>
        </w:rPr>
        <w:t>主要营销渠道</w:t>
      </w:r>
      <w:r>
        <w:rPr>
          <w:rFonts w:ascii="Times New Roman" w:hAnsi="Times New Roman" w:eastAsia="楷体_GB2312"/>
          <w:sz w:val="28"/>
          <w:szCs w:val="28"/>
        </w:rPr>
        <w:t>之一。</w:t>
      </w:r>
    </w:p>
    <w:p w14:paraId="1C0079D3">
      <w:pPr>
        <w:spacing w:line="560" w:lineRule="exact"/>
        <w:ind w:firstLine="561"/>
        <w:rPr>
          <w:rFonts w:ascii="Times New Roman" w:hAnsi="Times New Roman" w:eastAsia="楷体_GB2312"/>
          <w:sz w:val="28"/>
          <w:szCs w:val="28"/>
        </w:rPr>
      </w:pPr>
      <w:r>
        <w:rPr>
          <w:rFonts w:ascii="Times New Roman" w:hAnsi="Times New Roman" w:eastAsia="楷体_GB2312"/>
          <w:sz w:val="28"/>
          <w:szCs w:val="28"/>
        </w:rPr>
        <w:t>□L3：企业运用数字化工具进行</w:t>
      </w:r>
      <w:r>
        <w:rPr>
          <w:rFonts w:ascii="Times New Roman" w:hAnsi="Times New Roman" w:eastAsia="楷体_GB2312"/>
          <w:b/>
          <w:bCs/>
          <w:sz w:val="28"/>
          <w:szCs w:val="28"/>
        </w:rPr>
        <w:t>销售需求分析</w:t>
      </w:r>
      <w:r>
        <w:rPr>
          <w:rFonts w:ascii="Times New Roman" w:hAnsi="Times New Roman" w:eastAsia="楷体_GB2312"/>
          <w:sz w:val="28"/>
          <w:szCs w:val="28"/>
        </w:rPr>
        <w:t>，辅助生成销售计划，能够根据客户需求拉动采购、生产和物流计划，初步实现</w:t>
      </w:r>
      <w:r>
        <w:rPr>
          <w:rFonts w:ascii="Times New Roman" w:hAnsi="Times New Roman" w:eastAsia="楷体_GB2312"/>
          <w:b/>
          <w:bCs/>
          <w:sz w:val="28"/>
          <w:szCs w:val="28"/>
        </w:rPr>
        <w:t>产供销协同</w:t>
      </w:r>
      <w:r>
        <w:rPr>
          <w:rFonts w:ascii="Times New Roman" w:hAnsi="Times New Roman" w:eastAsia="微软雅黑"/>
          <w:b/>
          <w:bCs/>
          <w:sz w:val="28"/>
          <w:szCs w:val="28"/>
        </w:rPr>
        <w:t>②</w:t>
      </w:r>
      <w:r>
        <w:rPr>
          <w:rFonts w:ascii="Times New Roman" w:hAnsi="Times New Roman" w:eastAsia="楷体_GB2312"/>
          <w:sz w:val="28"/>
          <w:szCs w:val="28"/>
        </w:rPr>
        <w:t>；</w:t>
      </w:r>
      <w:r>
        <w:rPr>
          <w:rFonts w:ascii="Times New Roman" w:hAnsi="Times New Roman" w:eastAsia="楷体_GB2312"/>
          <w:b/>
          <w:bCs/>
          <w:sz w:val="28"/>
          <w:szCs w:val="28"/>
        </w:rPr>
        <w:t>或</w:t>
      </w:r>
      <w:r>
        <w:rPr>
          <w:rFonts w:ascii="Times New Roman" w:hAnsi="Times New Roman" w:eastAsia="楷体_GB2312"/>
          <w:sz w:val="28"/>
          <w:szCs w:val="28"/>
        </w:rPr>
        <w:t>企业内部系统与电商平台数据打通，实现销售与服务</w:t>
      </w:r>
      <w:r>
        <w:rPr>
          <w:rFonts w:ascii="Times New Roman" w:hAnsi="Times New Roman" w:eastAsia="楷体_GB2312"/>
          <w:b/>
          <w:bCs/>
          <w:sz w:val="28"/>
          <w:szCs w:val="28"/>
        </w:rPr>
        <w:t>线上线下协同；或</w:t>
      </w:r>
      <w:r>
        <w:rPr>
          <w:rFonts w:ascii="Times New Roman" w:hAnsi="Times New Roman" w:eastAsia="楷体_GB2312"/>
          <w:sz w:val="28"/>
          <w:szCs w:val="28"/>
        </w:rPr>
        <w:t>产品具有数据采集、存储、网络通信等功能，实现</w:t>
      </w:r>
      <w:r>
        <w:rPr>
          <w:rFonts w:ascii="Times New Roman" w:hAnsi="Times New Roman" w:eastAsia="楷体_GB2312"/>
          <w:b/>
          <w:bCs/>
          <w:sz w:val="28"/>
          <w:szCs w:val="28"/>
        </w:rPr>
        <w:t>状态远程监测</w:t>
      </w:r>
      <w:r>
        <w:rPr>
          <w:rFonts w:ascii="Times New Roman" w:hAnsi="Times New Roman" w:eastAsia="微软雅黑"/>
          <w:b/>
          <w:bCs/>
          <w:sz w:val="28"/>
          <w:szCs w:val="28"/>
        </w:rPr>
        <w:t>③</w:t>
      </w:r>
      <w:r>
        <w:rPr>
          <w:rFonts w:ascii="Times New Roman" w:hAnsi="Times New Roman" w:eastAsia="楷体_GB2312"/>
          <w:sz w:val="28"/>
          <w:szCs w:val="28"/>
        </w:rPr>
        <w:t>。</w:t>
      </w:r>
    </w:p>
    <w:p w14:paraId="1F28476B">
      <w:pPr>
        <w:spacing w:line="560" w:lineRule="exact"/>
        <w:ind w:firstLine="561"/>
        <w:rPr>
          <w:rFonts w:ascii="Times New Roman" w:hAnsi="Times New Roman" w:eastAsia="楷体_GB2312"/>
          <w:sz w:val="28"/>
          <w:szCs w:val="28"/>
        </w:rPr>
      </w:pPr>
      <w:r>
        <w:rPr>
          <w:rFonts w:ascii="Times New Roman" w:hAnsi="Times New Roman" w:eastAsia="楷体_GB2312"/>
          <w:sz w:val="28"/>
          <w:szCs w:val="28"/>
        </w:rPr>
        <w:t>□L4：企业能够对客户信息进行深度挖掘、分析，建立并优化客户</w:t>
      </w:r>
      <w:r>
        <w:rPr>
          <w:rFonts w:ascii="Times New Roman" w:hAnsi="Times New Roman" w:eastAsia="楷体_GB2312"/>
          <w:b/>
          <w:bCs/>
          <w:sz w:val="28"/>
          <w:szCs w:val="28"/>
        </w:rPr>
        <w:t>需求预测</w:t>
      </w:r>
      <w:r>
        <w:rPr>
          <w:rFonts w:ascii="Times New Roman" w:hAnsi="Times New Roman" w:eastAsia="楷体_GB2312"/>
          <w:sz w:val="28"/>
          <w:szCs w:val="28"/>
        </w:rPr>
        <w:t>模型，能够</w:t>
      </w:r>
      <w:r>
        <w:rPr>
          <w:rFonts w:ascii="Times New Roman" w:hAnsi="Times New Roman" w:eastAsia="楷体_GB2312"/>
          <w:b/>
          <w:bCs/>
          <w:sz w:val="28"/>
          <w:szCs w:val="28"/>
        </w:rPr>
        <w:t>根据需求变化动态调整</w:t>
      </w:r>
      <w:r>
        <w:rPr>
          <w:rFonts w:ascii="Times New Roman" w:hAnsi="Times New Roman" w:eastAsia="楷体_GB2312"/>
          <w:sz w:val="28"/>
          <w:szCs w:val="28"/>
        </w:rPr>
        <w:t>研发、采购、生产、物流，提供</w:t>
      </w:r>
      <w:r>
        <w:rPr>
          <w:rFonts w:ascii="Times New Roman" w:hAnsi="Times New Roman" w:eastAsia="楷体_GB2312"/>
          <w:b/>
          <w:bCs/>
          <w:sz w:val="28"/>
          <w:szCs w:val="28"/>
        </w:rPr>
        <w:t>主动式精准服务；或</w:t>
      </w:r>
      <w:r>
        <w:rPr>
          <w:rFonts w:ascii="Times New Roman" w:hAnsi="Times New Roman" w:eastAsia="楷体_GB2312"/>
          <w:sz w:val="28"/>
          <w:szCs w:val="28"/>
        </w:rPr>
        <w:t>依托电商数据开展大数据分析，进行客户精准画像，实现</w:t>
      </w:r>
      <w:r>
        <w:rPr>
          <w:rFonts w:ascii="Times New Roman" w:hAnsi="Times New Roman" w:eastAsia="楷体_GB2312"/>
          <w:b/>
          <w:bCs/>
          <w:sz w:val="28"/>
          <w:szCs w:val="28"/>
        </w:rPr>
        <w:t>精准营销</w:t>
      </w:r>
      <w:r>
        <w:rPr>
          <w:rFonts w:ascii="Times New Roman" w:hAnsi="Times New Roman" w:eastAsia="微软雅黑"/>
          <w:b/>
          <w:bCs/>
          <w:sz w:val="28"/>
          <w:szCs w:val="28"/>
        </w:rPr>
        <w:t>④</w:t>
      </w:r>
      <w:r>
        <w:rPr>
          <w:rFonts w:ascii="Times New Roman" w:hAnsi="Times New Roman" w:eastAsia="楷体_GB2312"/>
          <w:sz w:val="28"/>
          <w:szCs w:val="28"/>
        </w:rPr>
        <w:t>；</w:t>
      </w:r>
      <w:r>
        <w:rPr>
          <w:rFonts w:ascii="Times New Roman" w:hAnsi="Times New Roman" w:eastAsia="楷体_GB2312"/>
          <w:b/>
          <w:bCs/>
          <w:sz w:val="28"/>
          <w:szCs w:val="28"/>
        </w:rPr>
        <w:t>或</w:t>
      </w:r>
      <w:r>
        <w:rPr>
          <w:rFonts w:ascii="Times New Roman" w:hAnsi="Times New Roman" w:eastAsia="楷体_GB2312"/>
          <w:sz w:val="28"/>
          <w:szCs w:val="28"/>
        </w:rPr>
        <w:t>搭建产品服务平台，提供远程运维或</w:t>
      </w:r>
      <w:r>
        <w:rPr>
          <w:rFonts w:ascii="Times New Roman" w:hAnsi="Times New Roman" w:eastAsia="楷体_GB2312"/>
          <w:b/>
          <w:bCs/>
          <w:sz w:val="28"/>
          <w:szCs w:val="28"/>
        </w:rPr>
        <w:t>预测性运维</w:t>
      </w:r>
      <w:r>
        <w:rPr>
          <w:rFonts w:ascii="Times New Roman" w:hAnsi="Times New Roman" w:eastAsia="微软雅黑"/>
          <w:b/>
          <w:bCs/>
          <w:sz w:val="28"/>
          <w:szCs w:val="28"/>
        </w:rPr>
        <w:t>⑤</w:t>
      </w:r>
      <w:r>
        <w:rPr>
          <w:rFonts w:ascii="Times New Roman" w:hAnsi="Times New Roman" w:eastAsia="楷体_GB2312"/>
          <w:b/>
          <w:bCs/>
          <w:sz w:val="28"/>
          <w:szCs w:val="28"/>
        </w:rPr>
        <w:t>服务</w:t>
      </w:r>
      <w:r>
        <w:rPr>
          <w:rFonts w:ascii="Times New Roman" w:hAnsi="Times New Roman" w:eastAsia="楷体_GB2312"/>
          <w:sz w:val="28"/>
          <w:szCs w:val="28"/>
        </w:rPr>
        <w:t>。</w:t>
      </w:r>
    </w:p>
    <w:p w14:paraId="59C353F5">
      <w:pPr>
        <w:spacing w:line="560" w:lineRule="exact"/>
        <w:ind w:firstLine="561"/>
        <w:rPr>
          <w:rFonts w:ascii="Times New Roman" w:hAnsi="Times New Roman" w:eastAsia="楷体_GB2312"/>
          <w:sz w:val="28"/>
          <w:szCs w:val="28"/>
        </w:rPr>
      </w:pPr>
      <w:r>
        <w:rPr>
          <w:rFonts w:ascii="Times New Roman" w:hAnsi="Times New Roman" w:eastAsia="楷体_GB2312"/>
          <w:sz w:val="28"/>
          <w:szCs w:val="28"/>
        </w:rPr>
        <w:t>□L5：企业深度挖掘用户个性化需求，整合跨区域、跨界服务资源，深化产供销协同应用，打造</w:t>
      </w:r>
      <w:r>
        <w:rPr>
          <w:rFonts w:ascii="Times New Roman" w:hAnsi="Times New Roman" w:eastAsia="楷体_GB2312"/>
          <w:b/>
          <w:bCs/>
          <w:sz w:val="28"/>
          <w:szCs w:val="28"/>
        </w:rPr>
        <w:t>规模化定制</w:t>
      </w:r>
      <w:r>
        <w:rPr>
          <w:rFonts w:ascii="Times New Roman" w:hAnsi="Times New Roman" w:eastAsia="微软雅黑"/>
          <w:b/>
          <w:bCs/>
          <w:sz w:val="28"/>
          <w:szCs w:val="28"/>
        </w:rPr>
        <w:t>⑥</w:t>
      </w:r>
      <w:r>
        <w:rPr>
          <w:rFonts w:ascii="Times New Roman" w:hAnsi="Times New Roman" w:eastAsia="楷体_GB2312"/>
          <w:sz w:val="28"/>
          <w:szCs w:val="28"/>
        </w:rPr>
        <w:t>新模式，构建</w:t>
      </w:r>
      <w:r>
        <w:rPr>
          <w:rFonts w:ascii="Times New Roman" w:hAnsi="Times New Roman" w:eastAsia="楷体_GB2312"/>
          <w:b/>
          <w:bCs/>
          <w:sz w:val="28"/>
          <w:szCs w:val="28"/>
        </w:rPr>
        <w:t>服务生态</w:t>
      </w:r>
      <w:r>
        <w:rPr>
          <w:rFonts w:ascii="Times New Roman" w:hAnsi="Times New Roman" w:eastAsia="楷体_GB2312"/>
          <w:sz w:val="28"/>
          <w:szCs w:val="28"/>
        </w:rPr>
        <w:t>；</w:t>
      </w:r>
      <w:r>
        <w:rPr>
          <w:rFonts w:ascii="Times New Roman" w:hAnsi="Times New Roman" w:eastAsia="楷体_GB2312"/>
          <w:b/>
          <w:bCs/>
          <w:sz w:val="28"/>
          <w:szCs w:val="28"/>
        </w:rPr>
        <w:t>或</w:t>
      </w:r>
      <w:r>
        <w:rPr>
          <w:rFonts w:ascii="Times New Roman" w:hAnsi="Times New Roman" w:eastAsia="楷体_GB2312"/>
          <w:sz w:val="28"/>
          <w:szCs w:val="28"/>
        </w:rPr>
        <w:t>运用人工智能大模型、虚拟现实等技术打造</w:t>
      </w:r>
      <w:r>
        <w:rPr>
          <w:rFonts w:ascii="Times New Roman" w:hAnsi="Times New Roman" w:eastAsia="楷体_GB2312"/>
          <w:b/>
          <w:bCs/>
          <w:sz w:val="28"/>
          <w:szCs w:val="28"/>
        </w:rPr>
        <w:t>智能客服</w:t>
      </w:r>
      <w:r>
        <w:rPr>
          <w:rFonts w:ascii="Times New Roman" w:hAnsi="Times New Roman" w:eastAsia="楷体_GB2312"/>
          <w:sz w:val="28"/>
          <w:szCs w:val="28"/>
        </w:rPr>
        <w:t>助手，实现自然语言交互和智能化服务。</w:t>
      </w:r>
    </w:p>
    <w:p w14:paraId="23A3AA3A">
      <w:pPr>
        <w:widowControl/>
        <w:spacing w:line="360" w:lineRule="auto"/>
        <w:jc w:val="center"/>
        <w:rPr>
          <w:rFonts w:ascii="Times New Roman" w:hAnsi="Times New Roman" w:eastAsia="楷体_GB2312"/>
          <w:color w:val="000000"/>
          <w:kern w:val="0"/>
          <w:sz w:val="24"/>
        </w:rPr>
      </w:pPr>
      <w:r>
        <w:rPr>
          <w:rFonts w:ascii="Times New Roman" w:hAnsi="Times New Roman" w:eastAsia="楷体_GB2312"/>
          <w:color w:val="000000"/>
          <w:kern w:val="0"/>
          <w:sz w:val="24"/>
        </w:rPr>
        <w:t>表5 营销服务数字化水平指标注释表</w:t>
      </w:r>
    </w:p>
    <w:tbl>
      <w:tblPr>
        <w:tblStyle w:val="6"/>
        <w:tblW w:w="907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17"/>
        <w:gridCol w:w="2560"/>
        <w:gridCol w:w="5494"/>
      </w:tblGrid>
      <w:tr w14:paraId="7050E0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9" w:hRule="atLeast"/>
          <w:jc w:val="center"/>
        </w:trPr>
        <w:tc>
          <w:tcPr>
            <w:tcW w:w="809" w:type="dxa"/>
            <w:shd w:val="clear" w:color="auto" w:fill="auto"/>
            <w:noWrap w:val="0"/>
            <w:vAlign w:val="center"/>
          </w:tcPr>
          <w:p w14:paraId="7B42FC5D">
            <w:pPr>
              <w:widowControl/>
              <w:adjustRightInd w:val="0"/>
              <w:snapToGrid w:val="0"/>
              <w:jc w:val="center"/>
              <w:textAlignment w:val="center"/>
              <w:rPr>
                <w:rFonts w:ascii="Times New Roman" w:hAnsi="Times New Roman" w:eastAsia="仿宋_GB2312"/>
                <w:b/>
                <w:bCs/>
                <w:color w:val="000000"/>
                <w:sz w:val="24"/>
              </w:rPr>
            </w:pPr>
            <w:r>
              <w:rPr>
                <w:rFonts w:ascii="Times New Roman" w:hAnsi="Times New Roman" w:eastAsia="仿宋_GB2312"/>
                <w:b/>
                <w:bCs/>
                <w:color w:val="000000"/>
                <w:sz w:val="24"/>
              </w:rPr>
              <w:t>序号</w:t>
            </w:r>
          </w:p>
        </w:tc>
        <w:tc>
          <w:tcPr>
            <w:tcW w:w="2036" w:type="dxa"/>
            <w:shd w:val="clear" w:color="auto" w:fill="auto"/>
            <w:noWrap w:val="0"/>
            <w:vAlign w:val="center"/>
          </w:tcPr>
          <w:p w14:paraId="099D0E8B">
            <w:pPr>
              <w:widowControl/>
              <w:adjustRightInd w:val="0"/>
              <w:snapToGrid w:val="0"/>
              <w:jc w:val="center"/>
              <w:textAlignment w:val="center"/>
              <w:rPr>
                <w:rFonts w:ascii="Times New Roman" w:hAnsi="Times New Roman" w:eastAsia="仿宋_GB2312"/>
                <w:b/>
                <w:bCs/>
                <w:color w:val="000000"/>
                <w:sz w:val="24"/>
              </w:rPr>
            </w:pPr>
            <w:r>
              <w:rPr>
                <w:rFonts w:ascii="Times New Roman" w:hAnsi="Times New Roman" w:eastAsia="仿宋_GB2312"/>
                <w:b/>
                <w:bCs/>
                <w:color w:val="000000"/>
                <w:sz w:val="24"/>
              </w:rPr>
              <w:t>关键词</w:t>
            </w:r>
          </w:p>
        </w:tc>
        <w:tc>
          <w:tcPr>
            <w:tcW w:w="4370" w:type="dxa"/>
            <w:shd w:val="clear" w:color="auto" w:fill="auto"/>
            <w:noWrap w:val="0"/>
            <w:vAlign w:val="center"/>
          </w:tcPr>
          <w:p w14:paraId="0BB09192">
            <w:pPr>
              <w:widowControl/>
              <w:adjustRightInd w:val="0"/>
              <w:snapToGrid w:val="0"/>
              <w:jc w:val="center"/>
              <w:textAlignment w:val="center"/>
              <w:rPr>
                <w:rFonts w:ascii="Times New Roman" w:hAnsi="Times New Roman" w:eastAsia="仿宋_GB2312"/>
                <w:b/>
                <w:bCs/>
                <w:color w:val="000000"/>
                <w:sz w:val="24"/>
              </w:rPr>
            </w:pPr>
            <w:r>
              <w:rPr>
                <w:rFonts w:ascii="Times New Roman" w:hAnsi="Times New Roman" w:eastAsia="仿宋_GB2312"/>
                <w:b/>
                <w:bCs/>
                <w:color w:val="000000"/>
                <w:sz w:val="24"/>
              </w:rPr>
              <w:t>注释</w:t>
            </w:r>
          </w:p>
        </w:tc>
      </w:tr>
      <w:tr w14:paraId="57D52C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9" w:hRule="atLeast"/>
          <w:jc w:val="center"/>
        </w:trPr>
        <w:tc>
          <w:tcPr>
            <w:tcW w:w="809" w:type="dxa"/>
            <w:shd w:val="clear" w:color="auto" w:fill="auto"/>
            <w:noWrap w:val="0"/>
            <w:vAlign w:val="center"/>
          </w:tcPr>
          <w:p w14:paraId="1EFD2A3C">
            <w:pPr>
              <w:widowControl/>
              <w:adjustRightInd w:val="0"/>
              <w:snapToGrid w:val="0"/>
              <w:jc w:val="center"/>
              <w:textAlignment w:val="center"/>
              <w:rPr>
                <w:rFonts w:ascii="Times New Roman" w:hAnsi="Times New Roman" w:eastAsia="仿宋_GB2312"/>
                <w:sz w:val="24"/>
              </w:rPr>
            </w:pPr>
            <w:r>
              <w:rPr>
                <w:rFonts w:ascii="Times New Roman" w:hAnsi="Times New Roman" w:eastAsia="仿宋_GB2312"/>
                <w:sz w:val="24"/>
              </w:rPr>
              <w:t>1</w:t>
            </w:r>
          </w:p>
        </w:tc>
        <w:tc>
          <w:tcPr>
            <w:tcW w:w="2036" w:type="dxa"/>
            <w:shd w:val="clear" w:color="auto" w:fill="auto"/>
            <w:noWrap w:val="0"/>
            <w:vAlign w:val="center"/>
          </w:tcPr>
          <w:p w14:paraId="20217303">
            <w:pPr>
              <w:widowControl/>
              <w:adjustRightInd w:val="0"/>
              <w:snapToGrid w:val="0"/>
              <w:jc w:val="center"/>
              <w:textAlignment w:val="center"/>
              <w:rPr>
                <w:rFonts w:ascii="Times New Roman" w:hAnsi="Times New Roman" w:eastAsia="仿宋_GB2312"/>
                <w:b/>
                <w:bCs/>
                <w:sz w:val="24"/>
              </w:rPr>
            </w:pPr>
            <w:r>
              <w:rPr>
                <w:rFonts w:ascii="Times New Roman" w:hAnsi="Times New Roman" w:eastAsia="仿宋_GB2312"/>
                <w:b/>
                <w:bCs/>
                <w:sz w:val="24"/>
              </w:rPr>
              <w:t>互联网营销</w:t>
            </w:r>
          </w:p>
        </w:tc>
        <w:tc>
          <w:tcPr>
            <w:tcW w:w="4370" w:type="dxa"/>
            <w:shd w:val="clear" w:color="auto" w:fill="auto"/>
            <w:noWrap w:val="0"/>
            <w:vAlign w:val="center"/>
          </w:tcPr>
          <w:p w14:paraId="18B10CAE">
            <w:pPr>
              <w:widowControl/>
              <w:adjustRightInd w:val="0"/>
              <w:snapToGrid w:val="0"/>
              <w:jc w:val="left"/>
              <w:textAlignment w:val="center"/>
              <w:rPr>
                <w:rFonts w:ascii="Times New Roman" w:hAnsi="Times New Roman" w:eastAsia="仿宋_GB2312"/>
                <w:sz w:val="18"/>
                <w:szCs w:val="18"/>
              </w:rPr>
            </w:pPr>
            <w:r>
              <w:rPr>
                <w:rFonts w:ascii="Times New Roman" w:hAnsi="Times New Roman" w:eastAsia="仿宋_GB2312"/>
                <w:sz w:val="18"/>
                <w:szCs w:val="18"/>
              </w:rPr>
              <w:t>指产品或服务的销售可以通过网络平台进行订单处理和推广营销。支付环节和产品交付或服务实施可以是在线完成也可以选择线下进行。订单处理与营销推广不包括通过电话、传真或电子邮件等传统方式进行。</w:t>
            </w:r>
          </w:p>
        </w:tc>
      </w:tr>
      <w:tr w14:paraId="62AD5C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8" w:hRule="atLeast"/>
          <w:jc w:val="center"/>
        </w:trPr>
        <w:tc>
          <w:tcPr>
            <w:tcW w:w="809" w:type="dxa"/>
            <w:shd w:val="clear" w:color="auto" w:fill="auto"/>
            <w:noWrap w:val="0"/>
            <w:vAlign w:val="center"/>
          </w:tcPr>
          <w:p w14:paraId="2B5517CC">
            <w:pPr>
              <w:widowControl/>
              <w:adjustRightInd w:val="0"/>
              <w:snapToGrid w:val="0"/>
              <w:jc w:val="center"/>
              <w:textAlignment w:val="center"/>
              <w:rPr>
                <w:rFonts w:ascii="Times New Roman" w:hAnsi="Times New Roman" w:eastAsia="仿宋_GB2312"/>
                <w:sz w:val="24"/>
              </w:rPr>
            </w:pPr>
            <w:r>
              <w:rPr>
                <w:rFonts w:ascii="Times New Roman" w:hAnsi="Times New Roman" w:eastAsia="仿宋_GB2312"/>
                <w:sz w:val="24"/>
              </w:rPr>
              <w:t>2</w:t>
            </w:r>
          </w:p>
        </w:tc>
        <w:tc>
          <w:tcPr>
            <w:tcW w:w="2036" w:type="dxa"/>
            <w:shd w:val="clear" w:color="auto" w:fill="auto"/>
            <w:noWrap w:val="0"/>
            <w:vAlign w:val="center"/>
          </w:tcPr>
          <w:p w14:paraId="7196A66D">
            <w:pPr>
              <w:widowControl/>
              <w:adjustRightInd w:val="0"/>
              <w:snapToGrid w:val="0"/>
              <w:jc w:val="center"/>
              <w:textAlignment w:val="center"/>
              <w:rPr>
                <w:rFonts w:ascii="Times New Roman" w:hAnsi="Times New Roman" w:eastAsia="仿宋_GB2312"/>
                <w:b/>
                <w:bCs/>
                <w:sz w:val="24"/>
              </w:rPr>
            </w:pPr>
            <w:r>
              <w:rPr>
                <w:rFonts w:ascii="Times New Roman" w:hAnsi="Times New Roman" w:eastAsia="仿宋_GB2312"/>
                <w:b/>
                <w:bCs/>
                <w:sz w:val="24"/>
              </w:rPr>
              <w:t>产供销协同</w:t>
            </w:r>
          </w:p>
        </w:tc>
        <w:tc>
          <w:tcPr>
            <w:tcW w:w="4370" w:type="dxa"/>
            <w:shd w:val="clear" w:color="auto" w:fill="auto"/>
            <w:noWrap w:val="0"/>
            <w:vAlign w:val="center"/>
          </w:tcPr>
          <w:p w14:paraId="0BC14A97">
            <w:pPr>
              <w:widowControl/>
              <w:adjustRightInd w:val="0"/>
              <w:snapToGrid w:val="0"/>
              <w:jc w:val="left"/>
              <w:textAlignment w:val="center"/>
              <w:rPr>
                <w:rFonts w:ascii="Times New Roman" w:hAnsi="Times New Roman" w:eastAsia="仿宋_GB2312"/>
                <w:sz w:val="18"/>
                <w:szCs w:val="18"/>
              </w:rPr>
            </w:pPr>
            <w:r>
              <w:rPr>
                <w:rFonts w:ascii="Times New Roman" w:hAnsi="Times New Roman" w:eastAsia="仿宋_GB2312"/>
                <w:sz w:val="18"/>
                <w:szCs w:val="18"/>
              </w:rPr>
              <w:t>指通过整合企业内部的生产、供应链和销售等环节，以及与外部合作伙伴的协同，实现资源优化配置、流程高效运转和市场快速响应的管理模式。</w:t>
            </w:r>
          </w:p>
        </w:tc>
      </w:tr>
      <w:tr w14:paraId="1EB257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8" w:hRule="atLeast"/>
          <w:jc w:val="center"/>
        </w:trPr>
        <w:tc>
          <w:tcPr>
            <w:tcW w:w="809" w:type="dxa"/>
            <w:shd w:val="clear" w:color="auto" w:fill="auto"/>
            <w:noWrap w:val="0"/>
            <w:vAlign w:val="center"/>
          </w:tcPr>
          <w:p w14:paraId="1E841755">
            <w:pPr>
              <w:widowControl/>
              <w:adjustRightInd w:val="0"/>
              <w:snapToGrid w:val="0"/>
              <w:jc w:val="center"/>
              <w:textAlignment w:val="center"/>
              <w:rPr>
                <w:rFonts w:ascii="Times New Roman" w:hAnsi="Times New Roman" w:eastAsia="仿宋_GB2312"/>
                <w:sz w:val="24"/>
              </w:rPr>
            </w:pPr>
            <w:r>
              <w:rPr>
                <w:rFonts w:ascii="Times New Roman" w:hAnsi="Times New Roman" w:eastAsia="仿宋_GB2312"/>
                <w:sz w:val="24"/>
              </w:rPr>
              <w:t>3</w:t>
            </w:r>
          </w:p>
        </w:tc>
        <w:tc>
          <w:tcPr>
            <w:tcW w:w="2036" w:type="dxa"/>
            <w:shd w:val="clear" w:color="auto" w:fill="auto"/>
            <w:noWrap w:val="0"/>
            <w:vAlign w:val="center"/>
          </w:tcPr>
          <w:p w14:paraId="5F96513F">
            <w:pPr>
              <w:widowControl/>
              <w:adjustRightInd w:val="0"/>
              <w:snapToGrid w:val="0"/>
              <w:jc w:val="center"/>
              <w:textAlignment w:val="center"/>
              <w:rPr>
                <w:rFonts w:ascii="Times New Roman" w:hAnsi="Times New Roman" w:eastAsia="仿宋_GB2312"/>
                <w:b/>
                <w:bCs/>
                <w:sz w:val="24"/>
              </w:rPr>
            </w:pPr>
            <w:r>
              <w:rPr>
                <w:rFonts w:ascii="Times New Roman" w:hAnsi="Times New Roman" w:eastAsia="仿宋_GB2312"/>
                <w:b/>
                <w:bCs/>
                <w:sz w:val="24"/>
              </w:rPr>
              <w:t>状态远程监测</w:t>
            </w:r>
          </w:p>
        </w:tc>
        <w:tc>
          <w:tcPr>
            <w:tcW w:w="4370" w:type="dxa"/>
            <w:shd w:val="clear" w:color="auto" w:fill="auto"/>
            <w:noWrap w:val="0"/>
            <w:vAlign w:val="center"/>
          </w:tcPr>
          <w:p w14:paraId="4B5CCAA0">
            <w:pPr>
              <w:widowControl/>
              <w:adjustRightInd w:val="0"/>
              <w:snapToGrid w:val="0"/>
              <w:jc w:val="left"/>
              <w:textAlignment w:val="center"/>
              <w:rPr>
                <w:rFonts w:ascii="Times New Roman" w:hAnsi="Times New Roman" w:eastAsia="仿宋_GB2312"/>
                <w:sz w:val="18"/>
                <w:szCs w:val="18"/>
              </w:rPr>
            </w:pPr>
            <w:r>
              <w:rPr>
                <w:rFonts w:ascii="Times New Roman" w:hAnsi="Times New Roman" w:eastAsia="仿宋_GB2312"/>
                <w:sz w:val="18"/>
                <w:szCs w:val="18"/>
              </w:rPr>
              <w:t>指利用传感器、物联网技术和数据分析工具，对工业产品在实际运行环境中的状态进行实时监控和数据分析，以便及时发现异常、预测潜在故障并采取维护措施，从而提高产品质量和服务效率。</w:t>
            </w:r>
          </w:p>
        </w:tc>
      </w:tr>
      <w:tr w14:paraId="7BBD90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8" w:hRule="atLeast"/>
          <w:jc w:val="center"/>
        </w:trPr>
        <w:tc>
          <w:tcPr>
            <w:tcW w:w="809" w:type="dxa"/>
            <w:shd w:val="clear" w:color="auto" w:fill="auto"/>
            <w:noWrap w:val="0"/>
            <w:vAlign w:val="center"/>
          </w:tcPr>
          <w:p w14:paraId="31F0008B">
            <w:pPr>
              <w:widowControl/>
              <w:adjustRightInd w:val="0"/>
              <w:snapToGrid w:val="0"/>
              <w:jc w:val="center"/>
              <w:textAlignment w:val="center"/>
              <w:rPr>
                <w:rFonts w:ascii="Times New Roman" w:hAnsi="Times New Roman" w:eastAsia="仿宋_GB2312"/>
                <w:sz w:val="24"/>
              </w:rPr>
            </w:pPr>
            <w:r>
              <w:rPr>
                <w:rFonts w:ascii="Times New Roman" w:hAnsi="Times New Roman" w:eastAsia="仿宋_GB2312"/>
                <w:sz w:val="24"/>
              </w:rPr>
              <w:t>4</w:t>
            </w:r>
          </w:p>
        </w:tc>
        <w:tc>
          <w:tcPr>
            <w:tcW w:w="2036" w:type="dxa"/>
            <w:shd w:val="clear" w:color="auto" w:fill="auto"/>
            <w:noWrap w:val="0"/>
            <w:vAlign w:val="center"/>
          </w:tcPr>
          <w:p w14:paraId="7AEA7752">
            <w:pPr>
              <w:widowControl/>
              <w:adjustRightInd w:val="0"/>
              <w:snapToGrid w:val="0"/>
              <w:jc w:val="center"/>
              <w:textAlignment w:val="center"/>
              <w:rPr>
                <w:rFonts w:ascii="Times New Roman" w:hAnsi="Times New Roman" w:eastAsia="仿宋_GB2312"/>
                <w:b/>
                <w:bCs/>
                <w:sz w:val="24"/>
              </w:rPr>
            </w:pPr>
            <w:r>
              <w:rPr>
                <w:rFonts w:ascii="Times New Roman" w:hAnsi="Times New Roman" w:eastAsia="仿宋_GB2312"/>
                <w:b/>
                <w:bCs/>
                <w:sz w:val="24"/>
              </w:rPr>
              <w:t>精准营销</w:t>
            </w:r>
          </w:p>
        </w:tc>
        <w:tc>
          <w:tcPr>
            <w:tcW w:w="4370" w:type="dxa"/>
            <w:shd w:val="clear" w:color="auto" w:fill="auto"/>
            <w:noWrap w:val="0"/>
            <w:vAlign w:val="center"/>
          </w:tcPr>
          <w:p w14:paraId="24E495F2">
            <w:pPr>
              <w:widowControl/>
              <w:adjustRightInd w:val="0"/>
              <w:snapToGrid w:val="0"/>
              <w:jc w:val="left"/>
              <w:textAlignment w:val="center"/>
              <w:rPr>
                <w:rFonts w:ascii="Times New Roman" w:hAnsi="Times New Roman" w:eastAsia="仿宋_GB2312"/>
                <w:sz w:val="18"/>
                <w:szCs w:val="18"/>
              </w:rPr>
            </w:pPr>
            <w:r>
              <w:rPr>
                <w:rFonts w:ascii="Times New Roman" w:hAnsi="Times New Roman" w:eastAsia="仿宋_GB2312"/>
                <w:sz w:val="18"/>
                <w:szCs w:val="18"/>
              </w:rPr>
              <w:t>指通过深入分析目标客户群体的需求和特征，运用数据分析和信息技术手段，实现对特定客户群体的精确定位和个性化沟通，以提高营销效率和效果的营销策略。</w:t>
            </w:r>
          </w:p>
        </w:tc>
      </w:tr>
      <w:tr w14:paraId="0D93D9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8" w:hRule="atLeast"/>
          <w:jc w:val="center"/>
        </w:trPr>
        <w:tc>
          <w:tcPr>
            <w:tcW w:w="809" w:type="dxa"/>
            <w:shd w:val="clear" w:color="auto" w:fill="auto"/>
            <w:noWrap w:val="0"/>
            <w:vAlign w:val="center"/>
          </w:tcPr>
          <w:p w14:paraId="6D655755">
            <w:pPr>
              <w:widowControl/>
              <w:adjustRightInd w:val="0"/>
              <w:snapToGrid w:val="0"/>
              <w:jc w:val="center"/>
              <w:textAlignment w:val="center"/>
              <w:rPr>
                <w:rFonts w:ascii="Times New Roman" w:hAnsi="Times New Roman" w:eastAsia="仿宋_GB2312"/>
                <w:sz w:val="24"/>
              </w:rPr>
            </w:pPr>
            <w:r>
              <w:rPr>
                <w:rFonts w:ascii="Times New Roman" w:hAnsi="Times New Roman" w:eastAsia="仿宋_GB2312"/>
                <w:sz w:val="24"/>
              </w:rPr>
              <w:t>5</w:t>
            </w:r>
          </w:p>
        </w:tc>
        <w:tc>
          <w:tcPr>
            <w:tcW w:w="2036" w:type="dxa"/>
            <w:shd w:val="clear" w:color="auto" w:fill="auto"/>
            <w:noWrap w:val="0"/>
            <w:vAlign w:val="center"/>
          </w:tcPr>
          <w:p w14:paraId="3C99B792">
            <w:pPr>
              <w:widowControl/>
              <w:adjustRightInd w:val="0"/>
              <w:snapToGrid w:val="0"/>
              <w:jc w:val="center"/>
              <w:textAlignment w:val="center"/>
              <w:rPr>
                <w:rFonts w:ascii="Times New Roman" w:hAnsi="Times New Roman" w:eastAsia="仿宋_GB2312"/>
                <w:b/>
                <w:bCs/>
                <w:sz w:val="24"/>
              </w:rPr>
            </w:pPr>
            <w:r>
              <w:rPr>
                <w:rFonts w:ascii="Times New Roman" w:hAnsi="Times New Roman" w:eastAsia="仿宋_GB2312"/>
                <w:b/>
                <w:bCs/>
                <w:sz w:val="24"/>
              </w:rPr>
              <w:t>预测性运维服务</w:t>
            </w:r>
          </w:p>
        </w:tc>
        <w:tc>
          <w:tcPr>
            <w:tcW w:w="4370" w:type="dxa"/>
            <w:shd w:val="clear" w:color="auto" w:fill="auto"/>
            <w:noWrap w:val="0"/>
            <w:vAlign w:val="center"/>
          </w:tcPr>
          <w:p w14:paraId="56C19F52">
            <w:pPr>
              <w:widowControl/>
              <w:adjustRightInd w:val="0"/>
              <w:snapToGrid w:val="0"/>
              <w:jc w:val="left"/>
              <w:textAlignment w:val="center"/>
              <w:rPr>
                <w:rFonts w:ascii="Times New Roman" w:hAnsi="Times New Roman" w:eastAsia="仿宋_GB2312"/>
                <w:sz w:val="18"/>
                <w:szCs w:val="18"/>
              </w:rPr>
            </w:pPr>
            <w:r>
              <w:rPr>
                <w:rFonts w:ascii="Times New Roman" w:hAnsi="Times New Roman" w:eastAsia="仿宋_GB2312"/>
                <w:sz w:val="18"/>
                <w:szCs w:val="18"/>
              </w:rPr>
              <w:t>以状态为依据的维护，在产品运行时，对它的主要(或需要)部位进行定期(或连续)的状态监测和故障诊断，判定产品所处的状态，预测产品状态未来的发展趋势，依据产品的状态发展趋势和可能的故障模式，预先制定预测性维修计划，确定产品应该修理的时间、内容、方式和必需的技术和物资支持。</w:t>
            </w:r>
          </w:p>
        </w:tc>
      </w:tr>
      <w:tr w14:paraId="33F7AB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8" w:hRule="atLeast"/>
          <w:jc w:val="center"/>
        </w:trPr>
        <w:tc>
          <w:tcPr>
            <w:tcW w:w="809" w:type="dxa"/>
            <w:shd w:val="clear" w:color="auto" w:fill="auto"/>
            <w:noWrap w:val="0"/>
            <w:vAlign w:val="center"/>
          </w:tcPr>
          <w:p w14:paraId="38B056A2">
            <w:pPr>
              <w:widowControl/>
              <w:adjustRightInd w:val="0"/>
              <w:snapToGrid w:val="0"/>
              <w:jc w:val="center"/>
              <w:textAlignment w:val="center"/>
              <w:rPr>
                <w:rFonts w:ascii="Times New Roman" w:hAnsi="Times New Roman" w:eastAsia="仿宋_GB2312"/>
                <w:sz w:val="24"/>
              </w:rPr>
            </w:pPr>
            <w:r>
              <w:rPr>
                <w:rFonts w:ascii="Times New Roman" w:hAnsi="Times New Roman" w:eastAsia="仿宋_GB2312"/>
                <w:sz w:val="24"/>
              </w:rPr>
              <w:t>6</w:t>
            </w:r>
          </w:p>
        </w:tc>
        <w:tc>
          <w:tcPr>
            <w:tcW w:w="2036" w:type="dxa"/>
            <w:shd w:val="clear" w:color="auto" w:fill="auto"/>
            <w:noWrap w:val="0"/>
            <w:vAlign w:val="center"/>
          </w:tcPr>
          <w:p w14:paraId="3C17E3D1">
            <w:pPr>
              <w:widowControl/>
              <w:adjustRightInd w:val="0"/>
              <w:snapToGrid w:val="0"/>
              <w:jc w:val="center"/>
              <w:textAlignment w:val="center"/>
              <w:rPr>
                <w:rFonts w:ascii="Times New Roman" w:hAnsi="Times New Roman" w:eastAsia="仿宋_GB2312"/>
                <w:b/>
                <w:bCs/>
                <w:sz w:val="24"/>
              </w:rPr>
            </w:pPr>
            <w:r>
              <w:rPr>
                <w:rFonts w:ascii="Times New Roman" w:hAnsi="Times New Roman" w:eastAsia="仿宋_GB2312"/>
                <w:b/>
                <w:bCs/>
                <w:sz w:val="24"/>
              </w:rPr>
              <w:t>规模化定制</w:t>
            </w:r>
          </w:p>
        </w:tc>
        <w:tc>
          <w:tcPr>
            <w:tcW w:w="4370" w:type="dxa"/>
            <w:shd w:val="clear" w:color="auto" w:fill="auto"/>
            <w:noWrap w:val="0"/>
            <w:vAlign w:val="center"/>
          </w:tcPr>
          <w:p w14:paraId="664FDC49">
            <w:pPr>
              <w:widowControl/>
              <w:adjustRightInd w:val="0"/>
              <w:snapToGrid w:val="0"/>
              <w:jc w:val="left"/>
              <w:textAlignment w:val="center"/>
              <w:rPr>
                <w:rFonts w:ascii="Times New Roman" w:hAnsi="Times New Roman" w:eastAsia="仿宋_GB2312"/>
                <w:sz w:val="18"/>
                <w:szCs w:val="18"/>
              </w:rPr>
            </w:pPr>
            <w:r>
              <w:rPr>
                <w:rFonts w:ascii="Times New Roman" w:hAnsi="Times New Roman" w:eastAsia="仿宋_GB2312"/>
                <w:sz w:val="18"/>
                <w:szCs w:val="18"/>
              </w:rPr>
              <w:t>指结合了大规模生产和定制化生产的最优特点，通过模块化设计和柔性制造系统等，以接近大规模生产的成本和效率，生产出满足每个客户个性化需求的产品的模式。企业能够提供多样化的产品，而不会增加过多的成本，同时响应市场和消费者的个性化需求。</w:t>
            </w:r>
          </w:p>
        </w:tc>
      </w:tr>
    </w:tbl>
    <w:p w14:paraId="329385B7">
      <w:pPr>
        <w:spacing w:line="560" w:lineRule="exact"/>
        <w:ind w:firstLine="643" w:firstLineChars="200"/>
        <w:rPr>
          <w:rFonts w:ascii="Times New Roman" w:hAnsi="Times New Roman" w:eastAsia="仿宋_GB2312"/>
          <w:b/>
          <w:bCs/>
          <w:sz w:val="32"/>
          <w:szCs w:val="32"/>
        </w:rPr>
      </w:pPr>
      <w:r>
        <w:rPr>
          <w:rFonts w:ascii="Times New Roman" w:hAnsi="Times New Roman" w:eastAsia="仿宋_GB2312"/>
          <w:b/>
          <w:bCs/>
          <w:sz w:val="32"/>
          <w:szCs w:val="32"/>
        </w:rPr>
        <w:t>6.企业产业链供应链协同数字化水平等级为</w:t>
      </w:r>
      <w:r>
        <w:rPr>
          <w:rFonts w:ascii="Times New Roman" w:hAnsi="Times New Roman" w:eastAsia="仿宋_GB2312"/>
          <w:b/>
          <w:bCs/>
          <w:sz w:val="32"/>
          <w:szCs w:val="32"/>
          <w:u w:val="single"/>
        </w:rPr>
        <w:t xml:space="preserve">   </w:t>
      </w:r>
      <w:r>
        <w:rPr>
          <w:rFonts w:ascii="Times New Roman" w:hAnsi="Times New Roman" w:eastAsia="仿宋_GB2312"/>
          <w:b/>
          <w:bCs/>
          <w:sz w:val="32"/>
          <w:szCs w:val="32"/>
        </w:rPr>
        <w:t>，打分为</w:t>
      </w:r>
      <w:r>
        <w:rPr>
          <w:rFonts w:ascii="Times New Roman" w:hAnsi="Times New Roman" w:eastAsia="仿宋_GB2312"/>
          <w:b/>
          <w:bCs/>
          <w:sz w:val="32"/>
          <w:szCs w:val="32"/>
          <w:u w:val="single"/>
        </w:rPr>
        <w:t xml:space="preserve">   </w:t>
      </w:r>
      <w:r>
        <w:rPr>
          <w:rFonts w:ascii="Times New Roman" w:hAnsi="Times New Roman" w:eastAsia="仿宋_GB2312"/>
          <w:b/>
          <w:bCs/>
          <w:sz w:val="32"/>
          <w:szCs w:val="32"/>
        </w:rPr>
        <w:t>。</w:t>
      </w:r>
    </w:p>
    <w:p w14:paraId="5AB8C2D3">
      <w:pPr>
        <w:spacing w:line="560" w:lineRule="exact"/>
        <w:ind w:firstLine="560"/>
        <w:rPr>
          <w:rFonts w:ascii="Times New Roman" w:hAnsi="Times New Roman" w:eastAsia="楷体_GB2312"/>
          <w:sz w:val="32"/>
          <w:szCs w:val="32"/>
        </w:rPr>
      </w:pPr>
      <w:r>
        <w:rPr>
          <w:rFonts w:ascii="Times New Roman" w:hAnsi="Times New Roman" w:eastAsia="楷体_GB2312"/>
          <w:sz w:val="32"/>
          <w:szCs w:val="32"/>
        </w:rPr>
        <w:t>□不涉及本环节。</w:t>
      </w:r>
    </w:p>
    <w:p w14:paraId="2F72940C">
      <w:pPr>
        <w:spacing w:line="560" w:lineRule="exact"/>
        <w:ind w:firstLine="560"/>
        <w:rPr>
          <w:rFonts w:ascii="Times New Roman" w:hAnsi="Times New Roman" w:eastAsia="楷体_GB2312"/>
          <w:sz w:val="32"/>
          <w:szCs w:val="32"/>
        </w:rPr>
      </w:pPr>
      <w:r>
        <w:rPr>
          <w:rFonts w:ascii="Times New Roman" w:hAnsi="Times New Roman" w:eastAsia="楷体_GB2312"/>
          <w:sz w:val="32"/>
          <w:szCs w:val="32"/>
        </w:rPr>
        <w:t>□L0：企业采用</w:t>
      </w:r>
      <w:r>
        <w:rPr>
          <w:rFonts w:ascii="Times New Roman" w:hAnsi="Times New Roman" w:eastAsia="楷体_GB2312"/>
          <w:b/>
          <w:bCs/>
          <w:sz w:val="32"/>
          <w:szCs w:val="32"/>
        </w:rPr>
        <w:t>纸质文档</w:t>
      </w:r>
      <w:r>
        <w:rPr>
          <w:rFonts w:ascii="Times New Roman" w:hAnsi="Times New Roman" w:eastAsia="楷体_GB2312"/>
          <w:sz w:val="32"/>
          <w:szCs w:val="32"/>
        </w:rPr>
        <w:t>进行仓储和物流的人工盘点，未使用数字化工具。</w:t>
      </w:r>
    </w:p>
    <w:p w14:paraId="40DD387A">
      <w:pPr>
        <w:spacing w:line="560" w:lineRule="exact"/>
        <w:ind w:firstLine="560"/>
        <w:rPr>
          <w:rFonts w:ascii="Times New Roman" w:hAnsi="Times New Roman" w:eastAsia="楷体_GB2312"/>
          <w:sz w:val="32"/>
          <w:szCs w:val="32"/>
        </w:rPr>
      </w:pPr>
      <w:r>
        <w:rPr>
          <w:rFonts w:ascii="Times New Roman" w:hAnsi="Times New Roman" w:eastAsia="楷体_GB2312"/>
          <w:sz w:val="32"/>
          <w:szCs w:val="32"/>
        </w:rPr>
        <w:t>□L1：企业应用感知设备</w:t>
      </w:r>
      <w:r>
        <w:rPr>
          <w:rFonts w:ascii="Times New Roman" w:hAnsi="Times New Roman" w:eastAsia="微软雅黑"/>
          <w:sz w:val="32"/>
          <w:szCs w:val="32"/>
        </w:rPr>
        <w:t>①</w:t>
      </w:r>
      <w:r>
        <w:rPr>
          <w:rFonts w:ascii="Times New Roman" w:hAnsi="Times New Roman" w:eastAsia="楷体_GB2312"/>
          <w:sz w:val="32"/>
          <w:szCs w:val="32"/>
        </w:rPr>
        <w:t>进行仓储、物料数字化盘点，利用轻量化软件工具</w:t>
      </w:r>
      <w:r>
        <w:rPr>
          <w:rFonts w:ascii="Times New Roman" w:hAnsi="Times New Roman" w:eastAsia="楷体_GB2312"/>
          <w:b/>
          <w:bCs/>
          <w:sz w:val="32"/>
          <w:szCs w:val="32"/>
        </w:rPr>
        <w:t>辅助进行库存管理</w:t>
      </w:r>
      <w:r>
        <w:rPr>
          <w:rFonts w:ascii="Times New Roman" w:hAnsi="Times New Roman" w:eastAsia="楷体_GB2312"/>
          <w:sz w:val="32"/>
          <w:szCs w:val="32"/>
        </w:rPr>
        <w:t>。</w:t>
      </w:r>
    </w:p>
    <w:p w14:paraId="310D0E9D">
      <w:pPr>
        <w:spacing w:line="560" w:lineRule="exact"/>
        <w:ind w:firstLine="560"/>
        <w:rPr>
          <w:rFonts w:ascii="Times New Roman" w:hAnsi="Times New Roman" w:eastAsia="楷体_GB2312"/>
          <w:sz w:val="32"/>
          <w:szCs w:val="32"/>
        </w:rPr>
      </w:pPr>
      <w:r>
        <w:rPr>
          <w:rFonts w:ascii="Times New Roman" w:hAnsi="Times New Roman" w:eastAsia="楷体_GB2312"/>
          <w:sz w:val="32"/>
          <w:szCs w:val="32"/>
        </w:rPr>
        <w:t>□L2：企业应用数字化设备</w:t>
      </w:r>
      <w:r>
        <w:rPr>
          <w:rFonts w:ascii="Times New Roman" w:hAnsi="Times New Roman" w:eastAsia="微软雅黑"/>
          <w:sz w:val="32"/>
          <w:szCs w:val="32"/>
        </w:rPr>
        <w:t>②</w:t>
      </w:r>
      <w:r>
        <w:rPr>
          <w:rFonts w:ascii="Times New Roman" w:hAnsi="Times New Roman" w:eastAsia="楷体_GB2312"/>
          <w:sz w:val="32"/>
          <w:szCs w:val="32"/>
        </w:rPr>
        <w:t>实现</w:t>
      </w:r>
      <w:r>
        <w:rPr>
          <w:rFonts w:ascii="Times New Roman" w:hAnsi="Times New Roman" w:eastAsia="楷体_GB2312"/>
          <w:b/>
          <w:bCs/>
          <w:sz w:val="32"/>
          <w:szCs w:val="32"/>
        </w:rPr>
        <w:t>半自动或自动化出入库</w:t>
      </w:r>
      <w:r>
        <w:rPr>
          <w:rFonts w:ascii="Times New Roman" w:hAnsi="Times New Roman" w:eastAsia="楷体_GB2312"/>
          <w:sz w:val="32"/>
          <w:szCs w:val="32"/>
        </w:rPr>
        <w:t>，并部署仓储管理系统</w:t>
      </w:r>
      <w:r>
        <w:rPr>
          <w:rFonts w:ascii="Times New Roman" w:hAnsi="Times New Roman" w:eastAsia="微软雅黑"/>
          <w:sz w:val="32"/>
          <w:szCs w:val="32"/>
        </w:rPr>
        <w:t>③</w:t>
      </w:r>
      <w:r>
        <w:rPr>
          <w:rFonts w:ascii="Times New Roman" w:hAnsi="Times New Roman" w:eastAsia="楷体_GB2312"/>
          <w:sz w:val="32"/>
          <w:szCs w:val="32"/>
        </w:rPr>
        <w:t>，实现</w:t>
      </w:r>
      <w:r>
        <w:rPr>
          <w:rFonts w:ascii="Times New Roman" w:hAnsi="Times New Roman" w:eastAsia="楷体_GB2312"/>
          <w:b/>
          <w:bCs/>
          <w:sz w:val="32"/>
          <w:szCs w:val="32"/>
        </w:rPr>
        <w:t>库存信息与采购信息拉通</w:t>
      </w:r>
      <w:r>
        <w:rPr>
          <w:rFonts w:ascii="Times New Roman" w:hAnsi="Times New Roman" w:eastAsia="楷体_GB2312"/>
          <w:sz w:val="32"/>
          <w:szCs w:val="32"/>
        </w:rPr>
        <w:t>，能够基于物料消耗情况发起采购需求；</w:t>
      </w:r>
      <w:r>
        <w:rPr>
          <w:rFonts w:ascii="Times New Roman" w:hAnsi="Times New Roman" w:eastAsia="楷体_GB2312"/>
          <w:b/>
          <w:bCs/>
          <w:sz w:val="32"/>
          <w:szCs w:val="32"/>
        </w:rPr>
        <w:t>或</w:t>
      </w:r>
      <w:r>
        <w:rPr>
          <w:rFonts w:ascii="Times New Roman" w:hAnsi="Times New Roman" w:eastAsia="楷体_GB2312"/>
          <w:sz w:val="32"/>
          <w:szCs w:val="32"/>
        </w:rPr>
        <w:t>建立罐区管理系统</w:t>
      </w:r>
      <w:r>
        <w:rPr>
          <w:rFonts w:ascii="Times New Roman" w:hAnsi="Times New Roman" w:eastAsia="微软雅黑"/>
          <w:sz w:val="32"/>
          <w:szCs w:val="32"/>
        </w:rPr>
        <w:t>④</w:t>
      </w:r>
      <w:r>
        <w:rPr>
          <w:rFonts w:ascii="Times New Roman" w:hAnsi="Times New Roman" w:eastAsia="楷体_GB2312"/>
          <w:sz w:val="32"/>
          <w:szCs w:val="32"/>
        </w:rPr>
        <w:t>，实现储罐中介质相关数据的采集和监控，进行</w:t>
      </w:r>
      <w:r>
        <w:rPr>
          <w:rFonts w:ascii="Times New Roman" w:hAnsi="Times New Roman" w:eastAsia="楷体_GB2312"/>
          <w:b/>
          <w:bCs/>
          <w:sz w:val="32"/>
          <w:szCs w:val="32"/>
        </w:rPr>
        <w:t>介质存储状态可视化管理</w:t>
      </w:r>
      <w:r>
        <w:rPr>
          <w:rFonts w:ascii="Times New Roman" w:hAnsi="Times New Roman" w:eastAsia="楷体_GB2312"/>
          <w:sz w:val="32"/>
          <w:szCs w:val="32"/>
        </w:rPr>
        <w:t>。</w:t>
      </w:r>
    </w:p>
    <w:p w14:paraId="34B87E3E">
      <w:pPr>
        <w:spacing w:line="560" w:lineRule="exact"/>
        <w:ind w:firstLine="560"/>
        <w:rPr>
          <w:rFonts w:ascii="Times New Roman" w:hAnsi="Times New Roman" w:eastAsia="楷体_GB2312"/>
          <w:sz w:val="32"/>
          <w:szCs w:val="32"/>
        </w:rPr>
      </w:pPr>
      <w:r>
        <w:rPr>
          <w:rFonts w:ascii="Times New Roman" w:hAnsi="Times New Roman" w:eastAsia="楷体_GB2312"/>
          <w:sz w:val="32"/>
          <w:szCs w:val="32"/>
        </w:rPr>
        <w:t>□L3：企业以库存和订单、采购、生产信息的打通支撑采购计划和生产计划自生成，并与供应商实现系统集成打通，开展</w:t>
      </w:r>
      <w:r>
        <w:rPr>
          <w:rFonts w:ascii="Times New Roman" w:hAnsi="Times New Roman" w:eastAsia="楷体_GB2312"/>
          <w:b/>
          <w:bCs/>
          <w:sz w:val="32"/>
          <w:szCs w:val="32"/>
        </w:rPr>
        <w:t>供货计划协同</w:t>
      </w:r>
      <w:r>
        <w:rPr>
          <w:rFonts w:ascii="Times New Roman" w:hAnsi="Times New Roman" w:eastAsia="楷体_GB2312"/>
          <w:sz w:val="32"/>
          <w:szCs w:val="32"/>
        </w:rPr>
        <w:t>；</w:t>
      </w:r>
      <w:r>
        <w:rPr>
          <w:rFonts w:ascii="Times New Roman" w:hAnsi="Times New Roman" w:eastAsia="楷体_GB2312"/>
          <w:b/>
          <w:bCs/>
          <w:sz w:val="32"/>
          <w:szCs w:val="32"/>
        </w:rPr>
        <w:t>或</w:t>
      </w:r>
      <w:r>
        <w:rPr>
          <w:rFonts w:ascii="Times New Roman" w:hAnsi="Times New Roman" w:eastAsia="楷体_GB2312"/>
          <w:sz w:val="32"/>
          <w:szCs w:val="32"/>
        </w:rPr>
        <w:t>将罐区相关信息自动采集至罐区管理系统，在储罐状态异常时可</w:t>
      </w:r>
      <w:r>
        <w:rPr>
          <w:rFonts w:ascii="Times New Roman" w:hAnsi="Times New Roman" w:eastAsia="楷体_GB2312"/>
          <w:b/>
          <w:bCs/>
          <w:sz w:val="32"/>
          <w:szCs w:val="32"/>
        </w:rPr>
        <w:t>自动报警</w:t>
      </w:r>
      <w:r>
        <w:rPr>
          <w:rFonts w:ascii="Times New Roman" w:hAnsi="Times New Roman" w:eastAsia="楷体_GB2312"/>
          <w:sz w:val="32"/>
          <w:szCs w:val="32"/>
        </w:rPr>
        <w:t>，避免冒罐事故发生。</w:t>
      </w:r>
    </w:p>
    <w:p w14:paraId="29982608">
      <w:pPr>
        <w:spacing w:line="560" w:lineRule="exact"/>
        <w:ind w:firstLine="560"/>
        <w:rPr>
          <w:rFonts w:ascii="Times New Roman" w:hAnsi="Times New Roman" w:eastAsia="楷体_GB2312"/>
          <w:sz w:val="32"/>
          <w:szCs w:val="32"/>
        </w:rPr>
      </w:pPr>
      <w:r>
        <w:rPr>
          <w:rFonts w:ascii="Times New Roman" w:hAnsi="Times New Roman" w:eastAsia="楷体_GB2312"/>
          <w:sz w:val="32"/>
          <w:szCs w:val="32"/>
        </w:rPr>
        <w:t>□L4：企业能够与上下游企业在产品设计、生产作业、质量管控、物流运输、绿色低碳等某个或多个领域开展深度协同，打造</w:t>
      </w:r>
      <w:r>
        <w:rPr>
          <w:rFonts w:ascii="Times New Roman" w:hAnsi="Times New Roman" w:eastAsia="楷体_GB2312"/>
          <w:b/>
          <w:bCs/>
          <w:sz w:val="32"/>
          <w:szCs w:val="32"/>
        </w:rPr>
        <w:t>产业链供应链协同新模式</w:t>
      </w:r>
      <w:r>
        <w:rPr>
          <w:rFonts w:ascii="Times New Roman" w:hAnsi="Times New Roman" w:eastAsia="楷体_GB2312"/>
          <w:sz w:val="32"/>
          <w:szCs w:val="32"/>
        </w:rPr>
        <w:t>。</w:t>
      </w:r>
    </w:p>
    <w:p w14:paraId="07A2C635">
      <w:pPr>
        <w:spacing w:line="560" w:lineRule="exact"/>
        <w:ind w:firstLine="560"/>
        <w:rPr>
          <w:rFonts w:ascii="Times New Roman" w:hAnsi="Times New Roman" w:eastAsia="楷体_GB2312"/>
          <w:sz w:val="32"/>
          <w:szCs w:val="32"/>
        </w:rPr>
      </w:pPr>
      <w:r>
        <w:rPr>
          <w:rFonts w:ascii="Times New Roman" w:hAnsi="Times New Roman" w:eastAsia="楷体_GB2312"/>
          <w:sz w:val="32"/>
          <w:szCs w:val="32"/>
        </w:rPr>
        <w:t>□L5：企业广泛汇聚产业数据，运用人工智能大模型技术进行实时预测分析，实现</w:t>
      </w:r>
      <w:r>
        <w:rPr>
          <w:rFonts w:ascii="Times New Roman" w:hAnsi="Times New Roman" w:eastAsia="楷体_GB2312"/>
          <w:b/>
          <w:bCs/>
          <w:sz w:val="32"/>
          <w:szCs w:val="32"/>
        </w:rPr>
        <w:t>供应链风险预警并自动生成解决方案</w:t>
      </w:r>
      <w:r>
        <w:rPr>
          <w:rFonts w:ascii="Times New Roman" w:hAnsi="Times New Roman" w:eastAsia="楷体_GB2312"/>
          <w:sz w:val="32"/>
          <w:szCs w:val="32"/>
        </w:rPr>
        <w:t>。</w:t>
      </w:r>
    </w:p>
    <w:p w14:paraId="74D4DB39">
      <w:pPr>
        <w:widowControl/>
        <w:spacing w:line="360" w:lineRule="auto"/>
        <w:jc w:val="center"/>
        <w:rPr>
          <w:rFonts w:ascii="Times New Roman" w:hAnsi="Times New Roman" w:eastAsia="楷体_GB2312"/>
          <w:color w:val="000000"/>
          <w:kern w:val="0"/>
          <w:sz w:val="24"/>
        </w:rPr>
      </w:pPr>
      <w:r>
        <w:rPr>
          <w:rFonts w:ascii="Times New Roman" w:hAnsi="Times New Roman" w:eastAsia="楷体_GB2312"/>
          <w:color w:val="000000"/>
          <w:kern w:val="0"/>
          <w:sz w:val="24"/>
        </w:rPr>
        <w:t>表6 产业链供应链协同数字化水平指标注释表</w:t>
      </w:r>
    </w:p>
    <w:tbl>
      <w:tblPr>
        <w:tblStyle w:val="6"/>
        <w:tblW w:w="907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17"/>
        <w:gridCol w:w="2560"/>
        <w:gridCol w:w="5494"/>
      </w:tblGrid>
      <w:tr w14:paraId="7266D3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8" w:hRule="atLeast"/>
          <w:jc w:val="center"/>
        </w:trPr>
        <w:tc>
          <w:tcPr>
            <w:tcW w:w="809" w:type="dxa"/>
            <w:shd w:val="clear" w:color="auto" w:fill="auto"/>
            <w:noWrap w:val="0"/>
            <w:vAlign w:val="center"/>
          </w:tcPr>
          <w:p w14:paraId="24FC15F1">
            <w:pPr>
              <w:widowControl/>
              <w:adjustRightInd w:val="0"/>
              <w:snapToGrid w:val="0"/>
              <w:jc w:val="center"/>
              <w:textAlignment w:val="center"/>
              <w:rPr>
                <w:rFonts w:ascii="Times New Roman" w:hAnsi="Times New Roman" w:eastAsia="仿宋_GB2312"/>
                <w:b/>
                <w:bCs/>
                <w:color w:val="000000"/>
                <w:sz w:val="24"/>
              </w:rPr>
            </w:pPr>
            <w:r>
              <w:rPr>
                <w:rFonts w:ascii="Times New Roman" w:hAnsi="Times New Roman" w:eastAsia="仿宋_GB2312"/>
                <w:b/>
                <w:bCs/>
                <w:color w:val="000000"/>
                <w:sz w:val="24"/>
              </w:rPr>
              <w:t>序号</w:t>
            </w:r>
          </w:p>
        </w:tc>
        <w:tc>
          <w:tcPr>
            <w:tcW w:w="2036" w:type="dxa"/>
            <w:shd w:val="clear" w:color="auto" w:fill="auto"/>
            <w:noWrap w:val="0"/>
            <w:vAlign w:val="center"/>
          </w:tcPr>
          <w:p w14:paraId="7794EF8F">
            <w:pPr>
              <w:widowControl/>
              <w:adjustRightInd w:val="0"/>
              <w:snapToGrid w:val="0"/>
              <w:jc w:val="center"/>
              <w:textAlignment w:val="center"/>
              <w:rPr>
                <w:rFonts w:ascii="Times New Roman" w:hAnsi="Times New Roman" w:eastAsia="仿宋_GB2312"/>
                <w:b/>
                <w:bCs/>
                <w:color w:val="000000"/>
                <w:sz w:val="24"/>
              </w:rPr>
            </w:pPr>
            <w:r>
              <w:rPr>
                <w:rFonts w:ascii="Times New Roman" w:hAnsi="Times New Roman" w:eastAsia="仿宋_GB2312"/>
                <w:b/>
                <w:bCs/>
                <w:color w:val="000000"/>
                <w:sz w:val="24"/>
              </w:rPr>
              <w:t>关键词</w:t>
            </w:r>
          </w:p>
        </w:tc>
        <w:tc>
          <w:tcPr>
            <w:tcW w:w="4370" w:type="dxa"/>
            <w:shd w:val="clear" w:color="auto" w:fill="auto"/>
            <w:noWrap w:val="0"/>
            <w:vAlign w:val="center"/>
          </w:tcPr>
          <w:p w14:paraId="356C7204">
            <w:pPr>
              <w:widowControl/>
              <w:adjustRightInd w:val="0"/>
              <w:snapToGrid w:val="0"/>
              <w:jc w:val="center"/>
              <w:textAlignment w:val="center"/>
              <w:rPr>
                <w:rFonts w:ascii="Times New Roman" w:hAnsi="Times New Roman" w:eastAsia="仿宋_GB2312"/>
                <w:b/>
                <w:bCs/>
                <w:color w:val="000000"/>
                <w:sz w:val="24"/>
              </w:rPr>
            </w:pPr>
            <w:r>
              <w:rPr>
                <w:rFonts w:ascii="Times New Roman" w:hAnsi="Times New Roman" w:eastAsia="仿宋_GB2312"/>
                <w:b/>
                <w:bCs/>
                <w:color w:val="000000"/>
                <w:sz w:val="24"/>
              </w:rPr>
              <w:t>注释</w:t>
            </w:r>
          </w:p>
        </w:tc>
      </w:tr>
      <w:tr w14:paraId="4314AE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8" w:hRule="atLeast"/>
          <w:jc w:val="center"/>
        </w:trPr>
        <w:tc>
          <w:tcPr>
            <w:tcW w:w="809" w:type="dxa"/>
            <w:shd w:val="clear" w:color="auto" w:fill="auto"/>
            <w:noWrap w:val="0"/>
            <w:vAlign w:val="center"/>
          </w:tcPr>
          <w:p w14:paraId="7A72EEB1">
            <w:pPr>
              <w:widowControl/>
              <w:adjustRightInd w:val="0"/>
              <w:snapToGrid w:val="0"/>
              <w:jc w:val="center"/>
              <w:textAlignment w:val="center"/>
              <w:rPr>
                <w:rFonts w:ascii="Times New Roman" w:hAnsi="Times New Roman" w:eastAsia="仿宋_GB2312"/>
                <w:sz w:val="24"/>
              </w:rPr>
            </w:pPr>
            <w:r>
              <w:rPr>
                <w:rFonts w:ascii="Times New Roman" w:hAnsi="Times New Roman" w:eastAsia="仿宋_GB2312"/>
                <w:sz w:val="24"/>
              </w:rPr>
              <w:t>1</w:t>
            </w:r>
          </w:p>
        </w:tc>
        <w:tc>
          <w:tcPr>
            <w:tcW w:w="2036" w:type="dxa"/>
            <w:shd w:val="clear" w:color="auto" w:fill="auto"/>
            <w:noWrap w:val="0"/>
            <w:vAlign w:val="center"/>
          </w:tcPr>
          <w:p w14:paraId="3CADAC68">
            <w:pPr>
              <w:widowControl/>
              <w:adjustRightInd w:val="0"/>
              <w:snapToGrid w:val="0"/>
              <w:jc w:val="center"/>
              <w:textAlignment w:val="center"/>
              <w:rPr>
                <w:rFonts w:ascii="Times New Roman" w:hAnsi="Times New Roman" w:eastAsia="仿宋_GB2312"/>
                <w:b/>
                <w:bCs/>
                <w:sz w:val="24"/>
              </w:rPr>
            </w:pPr>
            <w:r>
              <w:rPr>
                <w:rFonts w:ascii="Times New Roman" w:hAnsi="Times New Roman" w:eastAsia="仿宋_GB2312"/>
                <w:b/>
                <w:bCs/>
                <w:sz w:val="24"/>
              </w:rPr>
              <w:t>感知设备</w:t>
            </w:r>
          </w:p>
        </w:tc>
        <w:tc>
          <w:tcPr>
            <w:tcW w:w="4370" w:type="dxa"/>
            <w:shd w:val="clear" w:color="auto" w:fill="auto"/>
            <w:noWrap w:val="0"/>
            <w:vAlign w:val="center"/>
          </w:tcPr>
          <w:p w14:paraId="7E9BD9F6">
            <w:pPr>
              <w:widowControl/>
              <w:adjustRightInd w:val="0"/>
              <w:snapToGrid w:val="0"/>
              <w:jc w:val="left"/>
              <w:textAlignment w:val="center"/>
              <w:rPr>
                <w:rFonts w:ascii="Times New Roman" w:hAnsi="Times New Roman" w:eastAsia="仿宋_GB2312"/>
                <w:sz w:val="18"/>
                <w:szCs w:val="18"/>
              </w:rPr>
            </w:pPr>
            <w:r>
              <w:rPr>
                <w:rFonts w:ascii="Times New Roman" w:hAnsi="Times New Roman" w:eastAsia="仿宋_GB2312"/>
                <w:sz w:val="18"/>
                <w:szCs w:val="18"/>
              </w:rPr>
              <w:t>如RFID读写器、传感器等。</w:t>
            </w:r>
          </w:p>
        </w:tc>
      </w:tr>
      <w:tr w14:paraId="3A14D5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8" w:hRule="atLeast"/>
          <w:jc w:val="center"/>
        </w:trPr>
        <w:tc>
          <w:tcPr>
            <w:tcW w:w="809" w:type="dxa"/>
            <w:shd w:val="clear" w:color="auto" w:fill="auto"/>
            <w:noWrap w:val="0"/>
            <w:vAlign w:val="center"/>
          </w:tcPr>
          <w:p w14:paraId="1221473F">
            <w:pPr>
              <w:widowControl/>
              <w:adjustRightInd w:val="0"/>
              <w:snapToGrid w:val="0"/>
              <w:jc w:val="center"/>
              <w:textAlignment w:val="center"/>
              <w:rPr>
                <w:rFonts w:ascii="Times New Roman" w:hAnsi="Times New Roman" w:eastAsia="仿宋_GB2312"/>
                <w:sz w:val="24"/>
              </w:rPr>
            </w:pPr>
            <w:r>
              <w:rPr>
                <w:rFonts w:ascii="Times New Roman" w:hAnsi="Times New Roman" w:eastAsia="仿宋_GB2312"/>
                <w:sz w:val="24"/>
              </w:rPr>
              <w:t>2</w:t>
            </w:r>
          </w:p>
        </w:tc>
        <w:tc>
          <w:tcPr>
            <w:tcW w:w="2036" w:type="dxa"/>
            <w:shd w:val="clear" w:color="auto" w:fill="auto"/>
            <w:noWrap w:val="0"/>
            <w:vAlign w:val="center"/>
          </w:tcPr>
          <w:p w14:paraId="7F2CA3C9">
            <w:pPr>
              <w:widowControl/>
              <w:adjustRightInd w:val="0"/>
              <w:snapToGrid w:val="0"/>
              <w:jc w:val="center"/>
              <w:textAlignment w:val="center"/>
              <w:rPr>
                <w:rFonts w:ascii="Times New Roman" w:hAnsi="Times New Roman" w:eastAsia="仿宋_GB2312"/>
                <w:b/>
                <w:bCs/>
                <w:sz w:val="24"/>
              </w:rPr>
            </w:pPr>
            <w:r>
              <w:rPr>
                <w:rFonts w:ascii="Times New Roman" w:hAnsi="Times New Roman" w:eastAsia="仿宋_GB2312"/>
                <w:b/>
                <w:bCs/>
                <w:sz w:val="24"/>
              </w:rPr>
              <w:t>数字化设备</w:t>
            </w:r>
          </w:p>
        </w:tc>
        <w:tc>
          <w:tcPr>
            <w:tcW w:w="4370" w:type="dxa"/>
            <w:shd w:val="clear" w:color="auto" w:fill="auto"/>
            <w:noWrap w:val="0"/>
            <w:vAlign w:val="center"/>
          </w:tcPr>
          <w:p w14:paraId="1B4FB647">
            <w:pPr>
              <w:widowControl/>
              <w:adjustRightInd w:val="0"/>
              <w:snapToGrid w:val="0"/>
              <w:jc w:val="left"/>
              <w:textAlignment w:val="center"/>
              <w:rPr>
                <w:rFonts w:ascii="Times New Roman" w:hAnsi="Times New Roman" w:eastAsia="仿宋_GB2312"/>
                <w:sz w:val="18"/>
                <w:szCs w:val="18"/>
              </w:rPr>
            </w:pPr>
            <w:r>
              <w:rPr>
                <w:rFonts w:ascii="Times New Roman" w:hAnsi="Times New Roman" w:eastAsia="仿宋_GB2312"/>
                <w:sz w:val="18"/>
                <w:szCs w:val="18"/>
              </w:rPr>
              <w:t>如亮灯货架、智能立体货柜、AGV分拣系统、自动立体库、AGV、RGV、AMR、桁架机器⼈、智能输送带等。（智能制造能力成熟度）。</w:t>
            </w:r>
          </w:p>
        </w:tc>
      </w:tr>
      <w:tr w14:paraId="5BDA91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8" w:hRule="atLeast"/>
          <w:jc w:val="center"/>
        </w:trPr>
        <w:tc>
          <w:tcPr>
            <w:tcW w:w="809" w:type="dxa"/>
            <w:shd w:val="clear" w:color="auto" w:fill="auto"/>
            <w:noWrap w:val="0"/>
            <w:vAlign w:val="center"/>
          </w:tcPr>
          <w:p w14:paraId="17E2AA00">
            <w:pPr>
              <w:widowControl/>
              <w:adjustRightInd w:val="0"/>
              <w:snapToGrid w:val="0"/>
              <w:jc w:val="center"/>
              <w:textAlignment w:val="center"/>
              <w:rPr>
                <w:rFonts w:ascii="Times New Roman" w:hAnsi="Times New Roman" w:eastAsia="仿宋_GB2312"/>
                <w:sz w:val="24"/>
              </w:rPr>
            </w:pPr>
            <w:r>
              <w:rPr>
                <w:rFonts w:ascii="Times New Roman" w:hAnsi="Times New Roman" w:eastAsia="仿宋_GB2312"/>
                <w:sz w:val="24"/>
              </w:rPr>
              <w:t>3</w:t>
            </w:r>
          </w:p>
        </w:tc>
        <w:tc>
          <w:tcPr>
            <w:tcW w:w="2036" w:type="dxa"/>
            <w:shd w:val="clear" w:color="auto" w:fill="auto"/>
            <w:noWrap w:val="0"/>
            <w:vAlign w:val="center"/>
          </w:tcPr>
          <w:p w14:paraId="6E88B178">
            <w:pPr>
              <w:widowControl/>
              <w:adjustRightInd w:val="0"/>
              <w:snapToGrid w:val="0"/>
              <w:jc w:val="center"/>
              <w:textAlignment w:val="center"/>
              <w:rPr>
                <w:rFonts w:ascii="Times New Roman" w:hAnsi="Times New Roman" w:eastAsia="仿宋_GB2312"/>
                <w:b/>
                <w:bCs/>
                <w:sz w:val="24"/>
              </w:rPr>
            </w:pPr>
            <w:r>
              <w:rPr>
                <w:rFonts w:ascii="Times New Roman" w:hAnsi="Times New Roman" w:eastAsia="仿宋_GB2312"/>
                <w:b/>
                <w:bCs/>
                <w:sz w:val="24"/>
              </w:rPr>
              <w:t>仓储管理系统</w:t>
            </w:r>
          </w:p>
        </w:tc>
        <w:tc>
          <w:tcPr>
            <w:tcW w:w="4370" w:type="dxa"/>
            <w:shd w:val="clear" w:color="auto" w:fill="auto"/>
            <w:noWrap w:val="0"/>
            <w:vAlign w:val="center"/>
          </w:tcPr>
          <w:p w14:paraId="19FCA42B">
            <w:pPr>
              <w:widowControl/>
              <w:adjustRightInd w:val="0"/>
              <w:snapToGrid w:val="0"/>
              <w:jc w:val="left"/>
              <w:textAlignment w:val="center"/>
              <w:rPr>
                <w:rFonts w:ascii="Times New Roman" w:hAnsi="Times New Roman" w:eastAsia="仿宋_GB2312"/>
                <w:sz w:val="18"/>
                <w:szCs w:val="18"/>
              </w:rPr>
            </w:pPr>
            <w:r>
              <w:rPr>
                <w:rFonts w:ascii="Times New Roman" w:hAnsi="Times New Roman" w:eastAsia="仿宋_GB2312"/>
                <w:sz w:val="18"/>
                <w:szCs w:val="18"/>
              </w:rPr>
              <w:t>指通过对仓库内的物资进行准确、高效的入库、出库和库存管理，帮助企业实现仓库的自动化、智能化管理的软件系统。</w:t>
            </w:r>
          </w:p>
        </w:tc>
      </w:tr>
      <w:tr w14:paraId="022393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8" w:hRule="atLeast"/>
          <w:jc w:val="center"/>
        </w:trPr>
        <w:tc>
          <w:tcPr>
            <w:tcW w:w="809" w:type="dxa"/>
            <w:shd w:val="clear" w:color="auto" w:fill="auto"/>
            <w:noWrap w:val="0"/>
            <w:vAlign w:val="center"/>
          </w:tcPr>
          <w:p w14:paraId="3605ED9B">
            <w:pPr>
              <w:widowControl/>
              <w:adjustRightInd w:val="0"/>
              <w:snapToGrid w:val="0"/>
              <w:jc w:val="center"/>
              <w:textAlignment w:val="center"/>
              <w:rPr>
                <w:rFonts w:ascii="Times New Roman" w:hAnsi="Times New Roman" w:eastAsia="仿宋_GB2312"/>
                <w:sz w:val="24"/>
              </w:rPr>
            </w:pPr>
            <w:r>
              <w:rPr>
                <w:rFonts w:ascii="Times New Roman" w:hAnsi="Times New Roman" w:eastAsia="仿宋_GB2312"/>
                <w:sz w:val="24"/>
              </w:rPr>
              <w:t>4</w:t>
            </w:r>
          </w:p>
        </w:tc>
        <w:tc>
          <w:tcPr>
            <w:tcW w:w="2036" w:type="dxa"/>
            <w:shd w:val="clear" w:color="auto" w:fill="auto"/>
            <w:noWrap w:val="0"/>
            <w:vAlign w:val="center"/>
          </w:tcPr>
          <w:p w14:paraId="2A9DFB2D">
            <w:pPr>
              <w:widowControl/>
              <w:adjustRightInd w:val="0"/>
              <w:snapToGrid w:val="0"/>
              <w:jc w:val="center"/>
              <w:textAlignment w:val="center"/>
              <w:rPr>
                <w:rFonts w:ascii="Times New Roman" w:hAnsi="Times New Roman" w:eastAsia="仿宋_GB2312"/>
                <w:b/>
                <w:bCs/>
                <w:sz w:val="24"/>
              </w:rPr>
            </w:pPr>
            <w:r>
              <w:rPr>
                <w:rFonts w:ascii="Times New Roman" w:hAnsi="Times New Roman" w:eastAsia="仿宋_GB2312"/>
                <w:b/>
                <w:bCs/>
                <w:sz w:val="24"/>
              </w:rPr>
              <w:t>罐区管理系统</w:t>
            </w:r>
          </w:p>
        </w:tc>
        <w:tc>
          <w:tcPr>
            <w:tcW w:w="4370" w:type="dxa"/>
            <w:shd w:val="clear" w:color="auto" w:fill="auto"/>
            <w:noWrap w:val="0"/>
            <w:vAlign w:val="center"/>
          </w:tcPr>
          <w:p w14:paraId="119EF247">
            <w:pPr>
              <w:widowControl/>
              <w:adjustRightInd w:val="0"/>
              <w:snapToGrid w:val="0"/>
              <w:jc w:val="left"/>
              <w:textAlignment w:val="center"/>
              <w:rPr>
                <w:rFonts w:ascii="Times New Roman" w:hAnsi="Times New Roman" w:eastAsia="仿宋_GB2312"/>
                <w:sz w:val="18"/>
                <w:szCs w:val="18"/>
              </w:rPr>
            </w:pPr>
            <w:r>
              <w:rPr>
                <w:rFonts w:ascii="Times New Roman" w:hAnsi="Times New Roman" w:eastAsia="仿宋_GB2312"/>
                <w:sz w:val="18"/>
                <w:szCs w:val="18"/>
              </w:rPr>
              <w:t>指通过贯穿罐区操作业务过程的集成管理，完成整个罐区生产业务流程操作和管理的软件系统。</w:t>
            </w:r>
          </w:p>
        </w:tc>
      </w:tr>
    </w:tbl>
    <w:p w14:paraId="0F628211">
      <w:pPr>
        <w:spacing w:line="560" w:lineRule="exact"/>
        <w:ind w:firstLine="643" w:firstLineChars="200"/>
        <w:outlineLvl w:val="1"/>
        <w:rPr>
          <w:rFonts w:ascii="Times New Roman" w:hAnsi="Times New Roman" w:eastAsia="楷体_GB2312"/>
          <w:b/>
          <w:bCs/>
          <w:sz w:val="32"/>
          <w:szCs w:val="32"/>
        </w:rPr>
      </w:pPr>
      <w:r>
        <w:rPr>
          <w:rFonts w:ascii="Times New Roman" w:hAnsi="Times New Roman" w:eastAsia="楷体_GB2312"/>
          <w:b/>
          <w:bCs/>
          <w:sz w:val="32"/>
          <w:szCs w:val="32"/>
        </w:rPr>
        <w:t>（二）支撑能力</w:t>
      </w:r>
    </w:p>
    <w:p w14:paraId="7FD97A5D">
      <w:pPr>
        <w:spacing w:line="560" w:lineRule="exact"/>
        <w:ind w:firstLine="643" w:firstLineChars="200"/>
        <w:rPr>
          <w:rFonts w:ascii="Times New Roman" w:hAnsi="Times New Roman" w:eastAsia="仿宋_GB2312"/>
          <w:b/>
          <w:bCs/>
          <w:sz w:val="32"/>
          <w:szCs w:val="32"/>
        </w:rPr>
      </w:pPr>
      <w:r>
        <w:rPr>
          <w:rFonts w:ascii="Times New Roman" w:hAnsi="Times New Roman" w:eastAsia="仿宋_GB2312"/>
          <w:b/>
          <w:bCs/>
          <w:sz w:val="32"/>
          <w:szCs w:val="32"/>
        </w:rPr>
        <w:t>7.企业数字化投入规模为</w:t>
      </w:r>
      <w:r>
        <w:rPr>
          <w:rFonts w:ascii="Times New Roman" w:hAnsi="Times New Roman" w:eastAsia="仿宋_GB2312"/>
          <w:b/>
          <w:bCs/>
          <w:sz w:val="32"/>
          <w:szCs w:val="32"/>
          <w:u w:val="single"/>
        </w:rPr>
        <w:t xml:space="preserve">     </w:t>
      </w:r>
      <w:r>
        <w:rPr>
          <w:rFonts w:ascii="Times New Roman" w:hAnsi="Times New Roman" w:eastAsia="仿宋_GB2312"/>
          <w:b/>
          <w:bCs/>
          <w:sz w:val="32"/>
          <w:szCs w:val="32"/>
        </w:rPr>
        <w:t>万元。</w:t>
      </w:r>
    </w:p>
    <w:p w14:paraId="04A91A10">
      <w:pPr>
        <w:spacing w:line="560" w:lineRule="exact"/>
        <w:ind w:firstLine="640" w:firstLineChars="200"/>
        <w:rPr>
          <w:rFonts w:ascii="Times New Roman" w:hAnsi="Times New Roman" w:eastAsia="楷体_GB2312"/>
          <w:sz w:val="32"/>
          <w:szCs w:val="32"/>
        </w:rPr>
      </w:pPr>
      <w:r>
        <w:rPr>
          <w:rFonts w:ascii="Times New Roman" w:hAnsi="Times New Roman" w:eastAsia="楷体_GB2312"/>
          <w:sz w:val="32"/>
          <w:szCs w:val="32"/>
        </w:rPr>
        <w:t>数字化投入规模指的是企业在各类数字化系统和设备的总投入金额，具体来说，是企业自2014年以来，在数字化改造方面采购</w:t>
      </w:r>
      <w:r>
        <w:rPr>
          <w:rFonts w:ascii="Times New Roman" w:hAnsi="Times New Roman" w:eastAsia="楷体_GB2312"/>
          <w:b/>
          <w:bCs/>
          <w:sz w:val="32"/>
          <w:szCs w:val="32"/>
        </w:rPr>
        <w:t>软件系统、解决方案和硬件设备</w:t>
      </w:r>
      <w:r>
        <w:rPr>
          <w:rFonts w:ascii="Times New Roman" w:hAnsi="Times New Roman" w:eastAsia="楷体_GB2312"/>
          <w:sz w:val="32"/>
          <w:szCs w:val="32"/>
        </w:rPr>
        <w:t>的总金额（不含研发人员费用）。</w:t>
      </w:r>
    </w:p>
    <w:p w14:paraId="7D5DEEC2">
      <w:pPr>
        <w:spacing w:line="560" w:lineRule="exact"/>
        <w:ind w:firstLine="640" w:firstLineChars="200"/>
        <w:rPr>
          <w:rFonts w:ascii="Times New Roman" w:hAnsi="Times New Roman" w:eastAsia="楷体_GB2312"/>
          <w:sz w:val="32"/>
          <w:szCs w:val="32"/>
        </w:rPr>
      </w:pPr>
      <w:r>
        <w:rPr>
          <w:rFonts w:ascii="Times New Roman" w:hAnsi="Times New Roman" w:eastAsia="楷体_GB2312"/>
          <w:sz w:val="32"/>
          <w:szCs w:val="32"/>
        </w:rPr>
        <w:t>【后台注释】：本指标需要企业填报数字化投入规模量化数值，并根据数值大小划分L0-L5等级及打分。</w:t>
      </w:r>
    </w:p>
    <w:p w14:paraId="268C90CC">
      <w:pPr>
        <w:spacing w:line="560" w:lineRule="exact"/>
        <w:ind w:firstLine="640" w:firstLineChars="200"/>
        <w:rPr>
          <w:rFonts w:ascii="Times New Roman" w:hAnsi="Times New Roman" w:eastAsia="楷体_GB2312"/>
          <w:sz w:val="32"/>
          <w:szCs w:val="32"/>
        </w:rPr>
      </w:pPr>
      <w:r>
        <w:rPr>
          <w:rFonts w:ascii="Times New Roman" w:hAnsi="Times New Roman" w:eastAsia="楷体_GB2312"/>
          <w:sz w:val="32"/>
          <w:szCs w:val="32"/>
        </w:rPr>
        <w:t>L0（0分）：数字化投入规模＜1万元。</w:t>
      </w:r>
    </w:p>
    <w:p w14:paraId="4E458F2E">
      <w:pPr>
        <w:spacing w:line="560" w:lineRule="exact"/>
        <w:ind w:firstLine="640" w:firstLineChars="200"/>
        <w:rPr>
          <w:rFonts w:ascii="Times New Roman" w:hAnsi="Times New Roman" w:eastAsia="楷体_GB2312"/>
          <w:sz w:val="32"/>
          <w:szCs w:val="32"/>
        </w:rPr>
      </w:pPr>
      <w:r>
        <w:rPr>
          <w:rFonts w:ascii="Times New Roman" w:hAnsi="Times New Roman" w:eastAsia="楷体_GB2312"/>
          <w:sz w:val="32"/>
          <w:szCs w:val="32"/>
        </w:rPr>
        <w:t>L1（20分）：1万元≤数字化投入规模＜100万元。</w:t>
      </w:r>
    </w:p>
    <w:p w14:paraId="6BF620D4">
      <w:pPr>
        <w:spacing w:line="560" w:lineRule="exact"/>
        <w:ind w:firstLine="640" w:firstLineChars="200"/>
        <w:rPr>
          <w:rFonts w:ascii="Times New Roman" w:hAnsi="Times New Roman" w:eastAsia="楷体_GB2312"/>
          <w:sz w:val="32"/>
          <w:szCs w:val="32"/>
        </w:rPr>
      </w:pPr>
      <w:r>
        <w:rPr>
          <w:rFonts w:ascii="Times New Roman" w:hAnsi="Times New Roman" w:eastAsia="楷体_GB2312"/>
          <w:sz w:val="32"/>
          <w:szCs w:val="32"/>
        </w:rPr>
        <w:t>L2（40分）：100万元≤数字化投入规模＜500万元。</w:t>
      </w:r>
    </w:p>
    <w:p w14:paraId="54891BFF">
      <w:pPr>
        <w:spacing w:line="560" w:lineRule="exact"/>
        <w:ind w:firstLine="640" w:firstLineChars="200"/>
        <w:rPr>
          <w:rFonts w:ascii="Times New Roman" w:hAnsi="Times New Roman" w:eastAsia="楷体_GB2312"/>
          <w:sz w:val="32"/>
          <w:szCs w:val="32"/>
        </w:rPr>
      </w:pPr>
      <w:r>
        <w:rPr>
          <w:rFonts w:ascii="Times New Roman" w:hAnsi="Times New Roman" w:eastAsia="楷体_GB2312"/>
          <w:sz w:val="32"/>
          <w:szCs w:val="32"/>
        </w:rPr>
        <w:t>L3（60分）：500万元≤数字化投入规模＜5000万元。</w:t>
      </w:r>
    </w:p>
    <w:p w14:paraId="6F040BB3">
      <w:pPr>
        <w:spacing w:line="560" w:lineRule="exact"/>
        <w:ind w:firstLine="640" w:firstLineChars="200"/>
        <w:rPr>
          <w:rFonts w:ascii="Times New Roman" w:hAnsi="Times New Roman" w:eastAsia="楷体_GB2312"/>
          <w:sz w:val="32"/>
          <w:szCs w:val="32"/>
        </w:rPr>
      </w:pPr>
      <w:r>
        <w:rPr>
          <w:rFonts w:ascii="Times New Roman" w:hAnsi="Times New Roman" w:eastAsia="楷体_GB2312"/>
          <w:sz w:val="32"/>
          <w:szCs w:val="32"/>
        </w:rPr>
        <w:t>L4（80分）：5000万元≤数字化投入规模＜1亿元。</w:t>
      </w:r>
    </w:p>
    <w:p w14:paraId="20D88146">
      <w:pPr>
        <w:spacing w:line="560" w:lineRule="exact"/>
        <w:ind w:firstLine="640" w:firstLineChars="200"/>
        <w:rPr>
          <w:rFonts w:ascii="Times New Roman" w:hAnsi="Times New Roman" w:eastAsia="楷体_GB2312"/>
          <w:sz w:val="32"/>
          <w:szCs w:val="32"/>
        </w:rPr>
      </w:pPr>
      <w:r>
        <w:rPr>
          <w:rFonts w:ascii="Times New Roman" w:hAnsi="Times New Roman" w:eastAsia="楷体_GB2312"/>
          <w:sz w:val="32"/>
          <w:szCs w:val="32"/>
        </w:rPr>
        <w:t>L5（100分）：数字化投入规模≥1亿元。</w:t>
      </w:r>
    </w:p>
    <w:p w14:paraId="1C188E29">
      <w:pPr>
        <w:spacing w:line="560" w:lineRule="exact"/>
        <w:ind w:firstLine="643" w:firstLineChars="200"/>
        <w:rPr>
          <w:rFonts w:ascii="Times New Roman" w:hAnsi="Times New Roman" w:eastAsia="仿宋_GB2312"/>
          <w:b/>
          <w:bCs/>
          <w:sz w:val="32"/>
          <w:szCs w:val="32"/>
        </w:rPr>
      </w:pPr>
      <w:r>
        <w:rPr>
          <w:rFonts w:ascii="Times New Roman" w:hAnsi="Times New Roman" w:eastAsia="仿宋_GB2312"/>
          <w:b/>
          <w:bCs/>
          <w:sz w:val="32"/>
          <w:szCs w:val="32"/>
        </w:rPr>
        <w:t>8.企业网络与安全水平等级为</w:t>
      </w:r>
      <w:r>
        <w:rPr>
          <w:rFonts w:ascii="Times New Roman" w:hAnsi="Times New Roman" w:eastAsia="仿宋_GB2312"/>
          <w:b/>
          <w:bCs/>
          <w:sz w:val="32"/>
          <w:szCs w:val="32"/>
          <w:u w:val="single"/>
        </w:rPr>
        <w:t xml:space="preserve">   </w:t>
      </w:r>
      <w:r>
        <w:rPr>
          <w:rFonts w:ascii="Times New Roman" w:hAnsi="Times New Roman" w:eastAsia="仿宋_GB2312"/>
          <w:b/>
          <w:bCs/>
          <w:sz w:val="32"/>
          <w:szCs w:val="32"/>
        </w:rPr>
        <w:t>，打分为</w:t>
      </w:r>
      <w:r>
        <w:rPr>
          <w:rFonts w:ascii="Times New Roman" w:hAnsi="Times New Roman" w:eastAsia="仿宋_GB2312"/>
          <w:b/>
          <w:bCs/>
          <w:sz w:val="32"/>
          <w:szCs w:val="32"/>
          <w:u w:val="single"/>
        </w:rPr>
        <w:t xml:space="preserve">   </w:t>
      </w:r>
      <w:r>
        <w:rPr>
          <w:rFonts w:ascii="Times New Roman" w:hAnsi="Times New Roman" w:eastAsia="仿宋_GB2312"/>
          <w:b/>
          <w:bCs/>
          <w:sz w:val="32"/>
          <w:szCs w:val="32"/>
        </w:rPr>
        <w:t>。</w:t>
      </w:r>
    </w:p>
    <w:p w14:paraId="79CEA6D5">
      <w:pPr>
        <w:spacing w:line="560" w:lineRule="exact"/>
        <w:ind w:firstLine="640" w:firstLineChars="200"/>
        <w:rPr>
          <w:rFonts w:ascii="Times New Roman" w:hAnsi="Times New Roman" w:eastAsia="楷体_GB2312"/>
          <w:sz w:val="32"/>
          <w:szCs w:val="32"/>
        </w:rPr>
      </w:pPr>
      <w:r>
        <w:rPr>
          <w:rFonts w:ascii="Times New Roman" w:hAnsi="Times New Roman" w:eastAsia="楷体_GB2312"/>
          <w:sz w:val="32"/>
          <w:szCs w:val="32"/>
        </w:rPr>
        <w:t>□L0：企业</w:t>
      </w:r>
      <w:r>
        <w:rPr>
          <w:rFonts w:ascii="Times New Roman" w:hAnsi="Times New Roman" w:eastAsia="楷体_GB2312"/>
          <w:b/>
          <w:bCs/>
          <w:sz w:val="32"/>
          <w:szCs w:val="32"/>
        </w:rPr>
        <w:t>尚未接入网络或应用局域网</w:t>
      </w:r>
      <w:r>
        <w:rPr>
          <w:rFonts w:ascii="Times New Roman" w:hAnsi="Times New Roman" w:eastAsia="楷体_GB2312"/>
          <w:sz w:val="32"/>
          <w:szCs w:val="32"/>
        </w:rPr>
        <w:t>开展业务，极少部署防火墙、杀毒软件等基础网络安全防护措施，内部</w:t>
      </w:r>
      <w:r>
        <w:rPr>
          <w:rFonts w:ascii="Times New Roman" w:hAnsi="Times New Roman" w:eastAsia="楷体_GB2312"/>
          <w:b/>
          <w:bCs/>
          <w:sz w:val="32"/>
          <w:szCs w:val="32"/>
        </w:rPr>
        <w:t>尚未形成网络安全管理规范</w:t>
      </w:r>
      <w:r>
        <w:rPr>
          <w:rFonts w:ascii="Times New Roman" w:hAnsi="Times New Roman" w:eastAsia="楷体_GB2312"/>
          <w:sz w:val="32"/>
          <w:szCs w:val="32"/>
        </w:rPr>
        <w:t>。</w:t>
      </w:r>
    </w:p>
    <w:p w14:paraId="14C6ACDB">
      <w:pPr>
        <w:spacing w:line="560" w:lineRule="exact"/>
        <w:ind w:firstLine="640" w:firstLineChars="200"/>
        <w:rPr>
          <w:rFonts w:ascii="Times New Roman" w:hAnsi="Times New Roman" w:eastAsia="楷体_GB2312"/>
          <w:sz w:val="32"/>
          <w:szCs w:val="32"/>
        </w:rPr>
      </w:pPr>
      <w:r>
        <w:rPr>
          <w:rFonts w:ascii="Times New Roman" w:hAnsi="Times New Roman" w:eastAsia="楷体_GB2312"/>
          <w:sz w:val="32"/>
          <w:szCs w:val="32"/>
        </w:rPr>
        <w:t>□L1：企业已建成</w:t>
      </w:r>
      <w:r>
        <w:rPr>
          <w:rFonts w:ascii="Times New Roman" w:hAnsi="Times New Roman" w:eastAsia="楷体_GB2312"/>
          <w:b/>
          <w:bCs/>
          <w:sz w:val="32"/>
          <w:szCs w:val="32"/>
        </w:rPr>
        <w:t>企业级网络</w:t>
      </w:r>
      <w:r>
        <w:rPr>
          <w:rFonts w:ascii="Times New Roman" w:hAnsi="Times New Roman" w:eastAsia="楷体_GB2312"/>
          <w:sz w:val="32"/>
          <w:szCs w:val="32"/>
        </w:rPr>
        <w:t>，部署应用防火墙、杀毒软件等</w:t>
      </w:r>
      <w:r>
        <w:rPr>
          <w:rFonts w:ascii="Times New Roman" w:hAnsi="Times New Roman" w:eastAsia="楷体_GB2312"/>
          <w:b/>
          <w:bCs/>
          <w:sz w:val="32"/>
          <w:szCs w:val="32"/>
        </w:rPr>
        <w:t>基础网络安全防护措施</w:t>
      </w:r>
      <w:r>
        <w:rPr>
          <w:rFonts w:ascii="Times New Roman" w:hAnsi="Times New Roman" w:eastAsia="楷体_GB2312"/>
          <w:sz w:val="32"/>
          <w:szCs w:val="32"/>
        </w:rPr>
        <w:t>，并制定明确的网络</w:t>
      </w:r>
      <w:r>
        <w:rPr>
          <w:rFonts w:ascii="Times New Roman" w:hAnsi="Times New Roman" w:eastAsia="楷体_GB2312"/>
          <w:b/>
          <w:bCs/>
          <w:sz w:val="32"/>
          <w:szCs w:val="32"/>
        </w:rPr>
        <w:t>信息安全管理规范</w:t>
      </w:r>
      <w:r>
        <w:rPr>
          <w:rFonts w:ascii="Times New Roman" w:hAnsi="Times New Roman" w:eastAsia="楷体_GB2312"/>
          <w:sz w:val="32"/>
          <w:szCs w:val="32"/>
        </w:rPr>
        <w:t>。</w:t>
      </w:r>
    </w:p>
    <w:p w14:paraId="54CD8A0F">
      <w:pPr>
        <w:spacing w:line="560" w:lineRule="exact"/>
        <w:ind w:firstLine="640" w:firstLineChars="200"/>
        <w:rPr>
          <w:rFonts w:ascii="Times New Roman" w:hAnsi="Times New Roman" w:eastAsia="楷体_GB2312"/>
          <w:sz w:val="32"/>
          <w:szCs w:val="32"/>
        </w:rPr>
      </w:pPr>
      <w:r>
        <w:rPr>
          <w:rFonts w:ascii="Times New Roman" w:hAnsi="Times New Roman" w:eastAsia="楷体_GB2312"/>
          <w:sz w:val="32"/>
          <w:szCs w:val="32"/>
        </w:rPr>
        <w:t>□L2：企业通过工业通信协议</w:t>
      </w:r>
      <w:r>
        <w:rPr>
          <w:rFonts w:ascii="Times New Roman" w:hAnsi="Times New Roman" w:eastAsia="微软雅黑"/>
          <w:sz w:val="32"/>
          <w:szCs w:val="32"/>
        </w:rPr>
        <w:t>①</w:t>
      </w:r>
      <w:r>
        <w:rPr>
          <w:rFonts w:ascii="Times New Roman" w:hAnsi="Times New Roman" w:eastAsia="楷体_GB2312"/>
          <w:sz w:val="32"/>
          <w:szCs w:val="32"/>
        </w:rPr>
        <w:t>实现若干</w:t>
      </w:r>
      <w:r>
        <w:rPr>
          <w:rFonts w:ascii="Times New Roman" w:hAnsi="Times New Roman" w:eastAsia="楷体_GB2312"/>
          <w:b/>
          <w:bCs/>
          <w:sz w:val="32"/>
          <w:szCs w:val="32"/>
        </w:rPr>
        <w:t>生产设备之间局部网络互联</w:t>
      </w:r>
      <w:r>
        <w:rPr>
          <w:rFonts w:ascii="Times New Roman" w:hAnsi="Times New Roman" w:eastAsia="楷体_GB2312"/>
          <w:sz w:val="32"/>
          <w:szCs w:val="32"/>
        </w:rPr>
        <w:t>，初步具备隔离防护、访问控制、身份认证等</w:t>
      </w:r>
      <w:r>
        <w:rPr>
          <w:rFonts w:ascii="Times New Roman" w:hAnsi="Times New Roman" w:eastAsia="楷体_GB2312"/>
          <w:b/>
          <w:bCs/>
          <w:sz w:val="32"/>
          <w:szCs w:val="32"/>
        </w:rPr>
        <w:t>基础工控安全防护功能</w:t>
      </w:r>
      <w:r>
        <w:rPr>
          <w:rFonts w:ascii="Times New Roman" w:hAnsi="Times New Roman" w:eastAsia="楷体_GB2312"/>
          <w:sz w:val="32"/>
          <w:szCs w:val="32"/>
        </w:rPr>
        <w:t>。</w:t>
      </w:r>
    </w:p>
    <w:p w14:paraId="74D96092">
      <w:pPr>
        <w:spacing w:line="560" w:lineRule="exact"/>
        <w:ind w:firstLine="640" w:firstLineChars="200"/>
        <w:rPr>
          <w:rFonts w:ascii="Times New Roman" w:hAnsi="Times New Roman" w:eastAsia="楷体_GB2312"/>
          <w:sz w:val="32"/>
          <w:szCs w:val="32"/>
        </w:rPr>
      </w:pPr>
      <w:r>
        <w:rPr>
          <w:rFonts w:ascii="Times New Roman" w:hAnsi="Times New Roman" w:eastAsia="楷体_GB2312"/>
          <w:sz w:val="32"/>
          <w:szCs w:val="32"/>
        </w:rPr>
        <w:t>□L3：企业网络能够满足</w:t>
      </w:r>
      <w:r>
        <w:rPr>
          <w:rFonts w:ascii="Times New Roman" w:hAnsi="Times New Roman" w:eastAsia="楷体_GB2312"/>
          <w:b/>
          <w:bCs/>
          <w:sz w:val="32"/>
          <w:szCs w:val="32"/>
        </w:rPr>
        <w:t>跨部门的工业控制与数据集成需求</w:t>
      </w:r>
      <w:r>
        <w:rPr>
          <w:rFonts w:ascii="Times New Roman" w:hAnsi="Times New Roman" w:eastAsia="楷体_GB2312"/>
          <w:sz w:val="32"/>
          <w:szCs w:val="32"/>
        </w:rPr>
        <w:t>，在工业主机</w:t>
      </w:r>
      <w:r>
        <w:rPr>
          <w:rFonts w:ascii="Times New Roman" w:hAnsi="Times New Roman" w:eastAsia="微软雅黑"/>
          <w:sz w:val="32"/>
          <w:szCs w:val="32"/>
        </w:rPr>
        <w:t>②</w:t>
      </w:r>
      <w:r>
        <w:rPr>
          <w:rFonts w:ascii="Times New Roman" w:hAnsi="Times New Roman" w:eastAsia="楷体_GB2312"/>
          <w:sz w:val="32"/>
          <w:szCs w:val="32"/>
        </w:rPr>
        <w:t>及关键信息系统上安装</w:t>
      </w:r>
      <w:r>
        <w:rPr>
          <w:rFonts w:ascii="Times New Roman" w:hAnsi="Times New Roman" w:eastAsia="楷体_GB2312"/>
          <w:b/>
          <w:bCs/>
          <w:sz w:val="32"/>
          <w:szCs w:val="32"/>
        </w:rPr>
        <w:t>工业防病毒软件和工业防火墙</w:t>
      </w:r>
      <w:r>
        <w:rPr>
          <w:rFonts w:ascii="Times New Roman" w:hAnsi="Times New Roman" w:eastAsia="楷体_GB2312"/>
          <w:sz w:val="32"/>
          <w:szCs w:val="32"/>
        </w:rPr>
        <w:t>，定期开展信息安全风险评估、安全配置和补丁管理等</w:t>
      </w:r>
      <w:r>
        <w:rPr>
          <w:rFonts w:ascii="Times New Roman" w:hAnsi="Times New Roman" w:eastAsia="楷体_GB2312"/>
          <w:b/>
          <w:bCs/>
          <w:sz w:val="32"/>
          <w:szCs w:val="32"/>
        </w:rPr>
        <w:t>常态化安全管理</w:t>
      </w:r>
      <w:r>
        <w:rPr>
          <w:rFonts w:ascii="Times New Roman" w:hAnsi="Times New Roman" w:eastAsia="楷体_GB2312"/>
          <w:sz w:val="32"/>
          <w:szCs w:val="32"/>
        </w:rPr>
        <w:t>。</w:t>
      </w:r>
    </w:p>
    <w:p w14:paraId="5E02EB5D">
      <w:pPr>
        <w:spacing w:line="560" w:lineRule="exact"/>
        <w:ind w:firstLine="640" w:firstLineChars="200"/>
        <w:rPr>
          <w:rFonts w:ascii="Times New Roman" w:hAnsi="Times New Roman" w:eastAsia="楷体_GB2312"/>
          <w:sz w:val="32"/>
          <w:szCs w:val="32"/>
        </w:rPr>
      </w:pPr>
      <w:r>
        <w:rPr>
          <w:rFonts w:ascii="Times New Roman" w:hAnsi="Times New Roman" w:eastAsia="楷体_GB2312"/>
          <w:sz w:val="32"/>
          <w:szCs w:val="32"/>
        </w:rPr>
        <w:t>□L4：企业网络可实现</w:t>
      </w:r>
      <w:r>
        <w:rPr>
          <w:rFonts w:ascii="Times New Roman" w:hAnsi="Times New Roman" w:eastAsia="楷体_GB2312"/>
          <w:b/>
          <w:bCs/>
          <w:sz w:val="32"/>
          <w:szCs w:val="32"/>
        </w:rPr>
        <w:t>IT/OT融合</w:t>
      </w:r>
      <w:r>
        <w:rPr>
          <w:rFonts w:ascii="Times New Roman" w:hAnsi="Times New Roman" w:eastAsia="楷体_GB2312"/>
          <w:sz w:val="32"/>
          <w:szCs w:val="32"/>
        </w:rPr>
        <w:t>，满足</w:t>
      </w:r>
      <w:r>
        <w:rPr>
          <w:rFonts w:ascii="Times New Roman" w:hAnsi="Times New Roman" w:eastAsia="楷体_GB2312"/>
          <w:b/>
          <w:bCs/>
          <w:sz w:val="32"/>
          <w:szCs w:val="32"/>
        </w:rPr>
        <w:t>企业内部以及产业链企业间</w:t>
      </w:r>
      <w:r>
        <w:rPr>
          <w:rFonts w:ascii="Times New Roman" w:hAnsi="Times New Roman" w:eastAsia="楷体_GB2312"/>
          <w:sz w:val="32"/>
          <w:szCs w:val="32"/>
        </w:rPr>
        <w:t>的业务低延时协同需求，可</w:t>
      </w:r>
      <w:r>
        <w:rPr>
          <w:rFonts w:ascii="Times New Roman" w:hAnsi="Times New Roman" w:eastAsia="楷体_GB2312"/>
          <w:b/>
          <w:bCs/>
          <w:sz w:val="32"/>
          <w:szCs w:val="32"/>
        </w:rPr>
        <w:t>实时获取并自动响应</w:t>
      </w:r>
      <w:r>
        <w:rPr>
          <w:rFonts w:ascii="Times New Roman" w:hAnsi="Times New Roman" w:eastAsia="楷体_GB2312"/>
          <w:sz w:val="32"/>
          <w:szCs w:val="32"/>
        </w:rPr>
        <w:t>安全威胁情报，并通过数据模型</w:t>
      </w:r>
      <w:r>
        <w:rPr>
          <w:rFonts w:ascii="Times New Roman" w:hAnsi="Times New Roman" w:eastAsia="微软雅黑"/>
          <w:sz w:val="32"/>
          <w:szCs w:val="32"/>
        </w:rPr>
        <w:t>③</w:t>
      </w:r>
      <w:r>
        <w:rPr>
          <w:rFonts w:ascii="Times New Roman" w:hAnsi="Times New Roman" w:eastAsia="楷体_GB2312"/>
          <w:b/>
          <w:bCs/>
          <w:sz w:val="32"/>
          <w:szCs w:val="32"/>
        </w:rPr>
        <w:t>动态研判</w:t>
      </w:r>
      <w:r>
        <w:rPr>
          <w:rFonts w:ascii="Times New Roman" w:hAnsi="Times New Roman" w:eastAsia="楷体_GB2312"/>
          <w:sz w:val="32"/>
          <w:szCs w:val="32"/>
        </w:rPr>
        <w:t>信息安全态势。</w:t>
      </w:r>
    </w:p>
    <w:p w14:paraId="43108A1E">
      <w:pPr>
        <w:spacing w:line="560" w:lineRule="exact"/>
        <w:ind w:firstLine="640" w:firstLineChars="200"/>
        <w:rPr>
          <w:rFonts w:ascii="Times New Roman" w:hAnsi="Times New Roman" w:eastAsia="楷体_GB2312"/>
          <w:sz w:val="32"/>
          <w:szCs w:val="32"/>
        </w:rPr>
      </w:pPr>
      <w:r>
        <w:rPr>
          <w:rFonts w:ascii="Times New Roman" w:hAnsi="Times New Roman" w:eastAsia="楷体_GB2312"/>
          <w:sz w:val="32"/>
          <w:szCs w:val="32"/>
        </w:rPr>
        <w:t>□L5：企业建成分布式工业控制网络</w:t>
      </w:r>
      <w:r>
        <w:rPr>
          <w:rFonts w:ascii="Times New Roman" w:hAnsi="Times New Roman" w:eastAsia="微软雅黑"/>
          <w:sz w:val="32"/>
          <w:szCs w:val="32"/>
        </w:rPr>
        <w:t>④</w:t>
      </w:r>
      <w:r>
        <w:rPr>
          <w:rFonts w:ascii="Times New Roman" w:hAnsi="Times New Roman" w:eastAsia="楷体_GB2312"/>
          <w:sz w:val="32"/>
          <w:szCs w:val="32"/>
        </w:rPr>
        <w:t>和基于SDN（软件定义网络）</w:t>
      </w:r>
      <w:r>
        <w:rPr>
          <w:rFonts w:ascii="Times New Roman" w:hAnsi="Times New Roman" w:eastAsia="微软雅黑"/>
          <w:sz w:val="32"/>
          <w:szCs w:val="32"/>
        </w:rPr>
        <w:t>⑤</w:t>
      </w:r>
      <w:r>
        <w:rPr>
          <w:rFonts w:ascii="Times New Roman" w:hAnsi="Times New Roman" w:eastAsia="楷体_GB2312"/>
          <w:sz w:val="32"/>
          <w:szCs w:val="32"/>
        </w:rPr>
        <w:t>的</w:t>
      </w:r>
      <w:r>
        <w:rPr>
          <w:rFonts w:ascii="Times New Roman" w:hAnsi="Times New Roman" w:eastAsia="楷体_GB2312"/>
          <w:b/>
          <w:bCs/>
          <w:sz w:val="32"/>
          <w:szCs w:val="32"/>
        </w:rPr>
        <w:t>敏捷网络</w:t>
      </w:r>
      <w:r>
        <w:rPr>
          <w:rFonts w:ascii="Times New Roman" w:hAnsi="Times New Roman" w:eastAsia="楷体_GB2312"/>
          <w:sz w:val="32"/>
          <w:szCs w:val="32"/>
        </w:rPr>
        <w:t>，实现多种网络的融合和网络资源的</w:t>
      </w:r>
      <w:r>
        <w:rPr>
          <w:rFonts w:ascii="Times New Roman" w:hAnsi="Times New Roman" w:eastAsia="楷体_GB2312"/>
          <w:b/>
          <w:bCs/>
          <w:sz w:val="32"/>
          <w:szCs w:val="32"/>
        </w:rPr>
        <w:t>智能化配置</w:t>
      </w:r>
      <w:r>
        <w:rPr>
          <w:rFonts w:ascii="Times New Roman" w:hAnsi="Times New Roman" w:eastAsia="楷体_GB2312"/>
          <w:sz w:val="32"/>
          <w:szCs w:val="32"/>
        </w:rPr>
        <w:t>，应用人工智能等新技术探索应用具备</w:t>
      </w:r>
      <w:r>
        <w:rPr>
          <w:rFonts w:ascii="Times New Roman" w:hAnsi="Times New Roman" w:eastAsia="楷体_GB2312"/>
          <w:b/>
          <w:bCs/>
          <w:sz w:val="32"/>
          <w:szCs w:val="32"/>
        </w:rPr>
        <w:t>自学习、自优化功能的安全防护措施</w:t>
      </w:r>
      <w:r>
        <w:rPr>
          <w:rFonts w:ascii="Times New Roman" w:hAnsi="Times New Roman" w:eastAsia="楷体_GB2312"/>
          <w:sz w:val="32"/>
          <w:szCs w:val="32"/>
        </w:rPr>
        <w:t>。</w:t>
      </w:r>
    </w:p>
    <w:p w14:paraId="27D732E9">
      <w:pPr>
        <w:widowControl/>
        <w:spacing w:line="360" w:lineRule="auto"/>
        <w:jc w:val="center"/>
        <w:rPr>
          <w:rFonts w:ascii="Times New Roman" w:hAnsi="Times New Roman" w:eastAsia="楷体_GB2312"/>
          <w:color w:val="000000"/>
          <w:kern w:val="0"/>
          <w:sz w:val="24"/>
        </w:rPr>
      </w:pPr>
      <w:r>
        <w:rPr>
          <w:rFonts w:ascii="Times New Roman" w:hAnsi="Times New Roman" w:eastAsia="楷体_GB2312"/>
          <w:color w:val="000000"/>
          <w:kern w:val="0"/>
          <w:sz w:val="24"/>
        </w:rPr>
        <w:t>表7 网络与安全水平指标注释表</w:t>
      </w:r>
    </w:p>
    <w:tbl>
      <w:tblPr>
        <w:tblStyle w:val="6"/>
        <w:tblW w:w="907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17"/>
        <w:gridCol w:w="2560"/>
        <w:gridCol w:w="5494"/>
      </w:tblGrid>
      <w:tr w14:paraId="0241F9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8" w:hRule="atLeast"/>
          <w:jc w:val="center"/>
        </w:trPr>
        <w:tc>
          <w:tcPr>
            <w:tcW w:w="809" w:type="dxa"/>
            <w:shd w:val="clear" w:color="auto" w:fill="auto"/>
            <w:noWrap w:val="0"/>
            <w:vAlign w:val="center"/>
          </w:tcPr>
          <w:p w14:paraId="1F3D0E7D">
            <w:pPr>
              <w:widowControl/>
              <w:adjustRightInd w:val="0"/>
              <w:snapToGrid w:val="0"/>
              <w:jc w:val="center"/>
              <w:textAlignment w:val="center"/>
              <w:rPr>
                <w:rFonts w:ascii="Times New Roman" w:hAnsi="Times New Roman" w:eastAsia="仿宋_GB2312"/>
                <w:b/>
                <w:bCs/>
                <w:color w:val="000000"/>
                <w:sz w:val="24"/>
              </w:rPr>
            </w:pPr>
            <w:r>
              <w:rPr>
                <w:rFonts w:ascii="Times New Roman" w:hAnsi="Times New Roman" w:eastAsia="仿宋_GB2312"/>
                <w:b/>
                <w:bCs/>
                <w:color w:val="000000"/>
                <w:sz w:val="24"/>
              </w:rPr>
              <w:t>序号</w:t>
            </w:r>
          </w:p>
        </w:tc>
        <w:tc>
          <w:tcPr>
            <w:tcW w:w="2036" w:type="dxa"/>
            <w:shd w:val="clear" w:color="auto" w:fill="auto"/>
            <w:noWrap w:val="0"/>
            <w:vAlign w:val="center"/>
          </w:tcPr>
          <w:p w14:paraId="31918797">
            <w:pPr>
              <w:widowControl/>
              <w:adjustRightInd w:val="0"/>
              <w:snapToGrid w:val="0"/>
              <w:jc w:val="center"/>
              <w:textAlignment w:val="center"/>
              <w:rPr>
                <w:rFonts w:ascii="Times New Roman" w:hAnsi="Times New Roman" w:eastAsia="仿宋_GB2312"/>
                <w:b/>
                <w:bCs/>
                <w:color w:val="000000"/>
                <w:sz w:val="24"/>
              </w:rPr>
            </w:pPr>
            <w:r>
              <w:rPr>
                <w:rFonts w:ascii="Times New Roman" w:hAnsi="Times New Roman" w:eastAsia="仿宋_GB2312"/>
                <w:b/>
                <w:bCs/>
                <w:color w:val="000000"/>
                <w:sz w:val="24"/>
              </w:rPr>
              <w:t>关键词</w:t>
            </w:r>
          </w:p>
        </w:tc>
        <w:tc>
          <w:tcPr>
            <w:tcW w:w="4370" w:type="dxa"/>
            <w:shd w:val="clear" w:color="auto" w:fill="auto"/>
            <w:noWrap w:val="0"/>
            <w:vAlign w:val="center"/>
          </w:tcPr>
          <w:p w14:paraId="7082DB45">
            <w:pPr>
              <w:widowControl/>
              <w:adjustRightInd w:val="0"/>
              <w:snapToGrid w:val="0"/>
              <w:jc w:val="center"/>
              <w:textAlignment w:val="center"/>
              <w:rPr>
                <w:rFonts w:ascii="Times New Roman" w:hAnsi="Times New Roman" w:eastAsia="仿宋_GB2312"/>
                <w:b/>
                <w:bCs/>
                <w:color w:val="000000"/>
                <w:sz w:val="24"/>
              </w:rPr>
            </w:pPr>
            <w:r>
              <w:rPr>
                <w:rFonts w:ascii="Times New Roman" w:hAnsi="Times New Roman" w:eastAsia="仿宋_GB2312"/>
                <w:b/>
                <w:bCs/>
                <w:color w:val="000000"/>
                <w:sz w:val="24"/>
              </w:rPr>
              <w:t>注释</w:t>
            </w:r>
          </w:p>
        </w:tc>
      </w:tr>
      <w:tr w14:paraId="734BC3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8" w:hRule="atLeast"/>
          <w:jc w:val="center"/>
        </w:trPr>
        <w:tc>
          <w:tcPr>
            <w:tcW w:w="809" w:type="dxa"/>
            <w:shd w:val="clear" w:color="auto" w:fill="auto"/>
            <w:noWrap w:val="0"/>
            <w:vAlign w:val="center"/>
          </w:tcPr>
          <w:p w14:paraId="10A5DB36">
            <w:pPr>
              <w:widowControl/>
              <w:adjustRightInd w:val="0"/>
              <w:snapToGrid w:val="0"/>
              <w:jc w:val="center"/>
              <w:textAlignment w:val="center"/>
              <w:rPr>
                <w:rFonts w:ascii="Times New Roman" w:hAnsi="Times New Roman" w:eastAsia="仿宋_GB2312"/>
                <w:sz w:val="24"/>
              </w:rPr>
            </w:pPr>
            <w:r>
              <w:rPr>
                <w:rFonts w:ascii="Times New Roman" w:hAnsi="Times New Roman" w:eastAsia="仿宋_GB2312"/>
                <w:sz w:val="24"/>
              </w:rPr>
              <w:t>1</w:t>
            </w:r>
          </w:p>
        </w:tc>
        <w:tc>
          <w:tcPr>
            <w:tcW w:w="2036" w:type="dxa"/>
            <w:shd w:val="clear" w:color="auto" w:fill="auto"/>
            <w:noWrap w:val="0"/>
            <w:vAlign w:val="center"/>
          </w:tcPr>
          <w:p w14:paraId="2ACFB92D">
            <w:pPr>
              <w:widowControl/>
              <w:adjustRightInd w:val="0"/>
              <w:snapToGrid w:val="0"/>
              <w:jc w:val="center"/>
              <w:textAlignment w:val="center"/>
              <w:rPr>
                <w:rFonts w:ascii="Times New Roman" w:hAnsi="Times New Roman" w:eastAsia="仿宋_GB2312"/>
                <w:b/>
                <w:bCs/>
                <w:sz w:val="24"/>
              </w:rPr>
            </w:pPr>
            <w:r>
              <w:rPr>
                <w:rFonts w:ascii="Times New Roman" w:hAnsi="Times New Roman" w:eastAsia="仿宋_GB2312"/>
                <w:b/>
                <w:bCs/>
                <w:sz w:val="24"/>
              </w:rPr>
              <w:t>工业通信协议</w:t>
            </w:r>
          </w:p>
        </w:tc>
        <w:tc>
          <w:tcPr>
            <w:tcW w:w="4370" w:type="dxa"/>
            <w:shd w:val="clear" w:color="auto" w:fill="auto"/>
            <w:noWrap w:val="0"/>
            <w:vAlign w:val="center"/>
          </w:tcPr>
          <w:p w14:paraId="1B46B020">
            <w:pPr>
              <w:widowControl/>
              <w:adjustRightInd w:val="0"/>
              <w:snapToGrid w:val="0"/>
              <w:jc w:val="left"/>
              <w:textAlignment w:val="center"/>
              <w:rPr>
                <w:rFonts w:ascii="Times New Roman" w:hAnsi="Times New Roman" w:eastAsia="仿宋_GB2312"/>
                <w:sz w:val="18"/>
                <w:szCs w:val="18"/>
              </w:rPr>
            </w:pPr>
            <w:r>
              <w:rPr>
                <w:rFonts w:ascii="Times New Roman" w:hAnsi="Times New Roman" w:eastAsia="仿宋_GB2312"/>
                <w:sz w:val="18"/>
                <w:szCs w:val="18"/>
              </w:rPr>
              <w:t>包括设备数据采集的接口和协议，如:RJ45、RS232、RS485接口和OPC/OPC UA、MODBUS、PROFIBUS等协议。</w:t>
            </w:r>
          </w:p>
        </w:tc>
      </w:tr>
      <w:tr w14:paraId="01F512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8" w:hRule="atLeast"/>
          <w:jc w:val="center"/>
        </w:trPr>
        <w:tc>
          <w:tcPr>
            <w:tcW w:w="809" w:type="dxa"/>
            <w:shd w:val="clear" w:color="auto" w:fill="auto"/>
            <w:noWrap w:val="0"/>
            <w:vAlign w:val="center"/>
          </w:tcPr>
          <w:p w14:paraId="57972DC8">
            <w:pPr>
              <w:widowControl/>
              <w:adjustRightInd w:val="0"/>
              <w:snapToGrid w:val="0"/>
              <w:jc w:val="center"/>
              <w:textAlignment w:val="center"/>
              <w:rPr>
                <w:rFonts w:ascii="Times New Roman" w:hAnsi="Times New Roman" w:eastAsia="仿宋_GB2312"/>
                <w:sz w:val="24"/>
              </w:rPr>
            </w:pPr>
            <w:r>
              <w:rPr>
                <w:rFonts w:ascii="Times New Roman" w:hAnsi="Times New Roman" w:eastAsia="仿宋_GB2312"/>
                <w:sz w:val="24"/>
              </w:rPr>
              <w:t>2</w:t>
            </w:r>
          </w:p>
        </w:tc>
        <w:tc>
          <w:tcPr>
            <w:tcW w:w="2036" w:type="dxa"/>
            <w:shd w:val="clear" w:color="auto" w:fill="auto"/>
            <w:noWrap w:val="0"/>
            <w:vAlign w:val="center"/>
          </w:tcPr>
          <w:p w14:paraId="6A209C61">
            <w:pPr>
              <w:widowControl/>
              <w:adjustRightInd w:val="0"/>
              <w:snapToGrid w:val="0"/>
              <w:jc w:val="center"/>
              <w:textAlignment w:val="center"/>
              <w:rPr>
                <w:rFonts w:ascii="Times New Roman" w:hAnsi="Times New Roman" w:eastAsia="仿宋_GB2312"/>
                <w:b/>
                <w:bCs/>
                <w:sz w:val="24"/>
              </w:rPr>
            </w:pPr>
            <w:r>
              <w:rPr>
                <w:rFonts w:ascii="Times New Roman" w:hAnsi="Times New Roman" w:eastAsia="仿宋_GB2312"/>
                <w:b/>
                <w:bCs/>
                <w:sz w:val="24"/>
              </w:rPr>
              <w:t>工业主机</w:t>
            </w:r>
          </w:p>
        </w:tc>
        <w:tc>
          <w:tcPr>
            <w:tcW w:w="4370" w:type="dxa"/>
            <w:shd w:val="clear" w:color="auto" w:fill="auto"/>
            <w:noWrap w:val="0"/>
            <w:vAlign w:val="center"/>
          </w:tcPr>
          <w:p w14:paraId="5E9A26AC">
            <w:pPr>
              <w:widowControl/>
              <w:adjustRightInd w:val="0"/>
              <w:snapToGrid w:val="0"/>
              <w:jc w:val="left"/>
              <w:textAlignment w:val="center"/>
              <w:rPr>
                <w:rFonts w:ascii="Times New Roman" w:hAnsi="Times New Roman" w:eastAsia="仿宋_GB2312"/>
                <w:sz w:val="18"/>
                <w:szCs w:val="18"/>
              </w:rPr>
            </w:pPr>
            <w:r>
              <w:rPr>
                <w:rFonts w:ascii="Times New Roman" w:hAnsi="Times New Roman" w:eastAsia="仿宋_GB2312"/>
                <w:sz w:val="18"/>
                <w:szCs w:val="18"/>
              </w:rPr>
              <w:t>即工业控制计算机，指用于对生产过程中使用的机器设备、生产流程、数据参数等进行监测与控制的设备。</w:t>
            </w:r>
          </w:p>
        </w:tc>
      </w:tr>
      <w:tr w14:paraId="79787D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8" w:hRule="atLeast"/>
          <w:jc w:val="center"/>
        </w:trPr>
        <w:tc>
          <w:tcPr>
            <w:tcW w:w="809" w:type="dxa"/>
            <w:shd w:val="clear" w:color="auto" w:fill="auto"/>
            <w:noWrap w:val="0"/>
            <w:vAlign w:val="center"/>
          </w:tcPr>
          <w:p w14:paraId="064E9492">
            <w:pPr>
              <w:widowControl/>
              <w:adjustRightInd w:val="0"/>
              <w:snapToGrid w:val="0"/>
              <w:jc w:val="center"/>
              <w:textAlignment w:val="center"/>
              <w:rPr>
                <w:rFonts w:ascii="Times New Roman" w:hAnsi="Times New Roman" w:eastAsia="仿宋_GB2312"/>
                <w:sz w:val="24"/>
              </w:rPr>
            </w:pPr>
            <w:r>
              <w:rPr>
                <w:rFonts w:ascii="Times New Roman" w:hAnsi="Times New Roman" w:eastAsia="仿宋_GB2312"/>
                <w:sz w:val="24"/>
              </w:rPr>
              <w:t>3</w:t>
            </w:r>
          </w:p>
        </w:tc>
        <w:tc>
          <w:tcPr>
            <w:tcW w:w="2036" w:type="dxa"/>
            <w:shd w:val="clear" w:color="auto" w:fill="auto"/>
            <w:noWrap w:val="0"/>
            <w:vAlign w:val="center"/>
          </w:tcPr>
          <w:p w14:paraId="26B62C1F">
            <w:pPr>
              <w:widowControl/>
              <w:adjustRightInd w:val="0"/>
              <w:snapToGrid w:val="0"/>
              <w:jc w:val="center"/>
              <w:textAlignment w:val="center"/>
              <w:rPr>
                <w:rFonts w:ascii="Times New Roman" w:hAnsi="Times New Roman" w:eastAsia="仿宋_GB2312"/>
                <w:b/>
                <w:bCs/>
                <w:sz w:val="24"/>
              </w:rPr>
            </w:pPr>
            <w:r>
              <w:rPr>
                <w:rFonts w:ascii="Times New Roman" w:hAnsi="Times New Roman" w:eastAsia="仿宋_GB2312"/>
                <w:b/>
                <w:bCs/>
                <w:sz w:val="24"/>
              </w:rPr>
              <w:t>数据模型</w:t>
            </w:r>
          </w:p>
        </w:tc>
        <w:tc>
          <w:tcPr>
            <w:tcW w:w="4370" w:type="dxa"/>
            <w:shd w:val="clear" w:color="auto" w:fill="auto"/>
            <w:noWrap w:val="0"/>
            <w:vAlign w:val="center"/>
          </w:tcPr>
          <w:p w14:paraId="35D481D5">
            <w:pPr>
              <w:widowControl/>
              <w:adjustRightInd w:val="0"/>
              <w:snapToGrid w:val="0"/>
              <w:jc w:val="left"/>
              <w:textAlignment w:val="center"/>
              <w:rPr>
                <w:rFonts w:ascii="Times New Roman" w:hAnsi="Times New Roman" w:eastAsia="仿宋_GB2312"/>
                <w:sz w:val="18"/>
                <w:szCs w:val="18"/>
              </w:rPr>
            </w:pPr>
            <w:r>
              <w:rPr>
                <w:rFonts w:ascii="Times New Roman" w:hAnsi="Times New Roman" w:eastAsia="仿宋_GB2312"/>
                <w:sz w:val="18"/>
                <w:szCs w:val="18"/>
              </w:rPr>
              <w:t>指用来描述数据、组织数据和对数据进行操作，是对现实世界数据特征的描述。</w:t>
            </w:r>
          </w:p>
        </w:tc>
      </w:tr>
      <w:tr w14:paraId="7FAAF7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8" w:hRule="atLeast"/>
          <w:jc w:val="center"/>
        </w:trPr>
        <w:tc>
          <w:tcPr>
            <w:tcW w:w="809" w:type="dxa"/>
            <w:shd w:val="clear" w:color="auto" w:fill="auto"/>
            <w:noWrap w:val="0"/>
            <w:vAlign w:val="center"/>
          </w:tcPr>
          <w:p w14:paraId="5229EA13">
            <w:pPr>
              <w:widowControl/>
              <w:adjustRightInd w:val="0"/>
              <w:snapToGrid w:val="0"/>
              <w:jc w:val="center"/>
              <w:textAlignment w:val="center"/>
              <w:rPr>
                <w:rFonts w:ascii="Times New Roman" w:hAnsi="Times New Roman" w:eastAsia="仿宋_GB2312"/>
                <w:sz w:val="24"/>
              </w:rPr>
            </w:pPr>
            <w:r>
              <w:rPr>
                <w:rFonts w:ascii="Times New Roman" w:hAnsi="Times New Roman" w:eastAsia="仿宋_GB2312"/>
                <w:sz w:val="24"/>
              </w:rPr>
              <w:t>4</w:t>
            </w:r>
          </w:p>
        </w:tc>
        <w:tc>
          <w:tcPr>
            <w:tcW w:w="2036" w:type="dxa"/>
            <w:shd w:val="clear" w:color="auto" w:fill="auto"/>
            <w:noWrap w:val="0"/>
            <w:vAlign w:val="center"/>
          </w:tcPr>
          <w:p w14:paraId="022FF4B7">
            <w:pPr>
              <w:widowControl/>
              <w:adjustRightInd w:val="0"/>
              <w:snapToGrid w:val="0"/>
              <w:jc w:val="center"/>
              <w:textAlignment w:val="center"/>
              <w:rPr>
                <w:rFonts w:ascii="Times New Roman" w:hAnsi="Times New Roman" w:eastAsia="仿宋_GB2312"/>
                <w:b/>
                <w:bCs/>
                <w:sz w:val="24"/>
              </w:rPr>
            </w:pPr>
            <w:r>
              <w:rPr>
                <w:rFonts w:ascii="Times New Roman" w:hAnsi="Times New Roman" w:eastAsia="仿宋_GB2312"/>
                <w:b/>
                <w:bCs/>
                <w:sz w:val="24"/>
              </w:rPr>
              <w:t>分布式工业控制网络</w:t>
            </w:r>
          </w:p>
        </w:tc>
        <w:tc>
          <w:tcPr>
            <w:tcW w:w="4370" w:type="dxa"/>
            <w:shd w:val="clear" w:color="auto" w:fill="auto"/>
            <w:noWrap w:val="0"/>
            <w:vAlign w:val="center"/>
          </w:tcPr>
          <w:p w14:paraId="1C793B7C">
            <w:pPr>
              <w:widowControl/>
              <w:adjustRightInd w:val="0"/>
              <w:snapToGrid w:val="0"/>
              <w:jc w:val="left"/>
              <w:textAlignment w:val="center"/>
              <w:rPr>
                <w:rFonts w:ascii="Times New Roman" w:hAnsi="Times New Roman" w:eastAsia="仿宋_GB2312"/>
                <w:sz w:val="18"/>
                <w:szCs w:val="18"/>
              </w:rPr>
            </w:pPr>
            <w:r>
              <w:rPr>
                <w:rFonts w:ascii="Times New Roman" w:hAnsi="Times New Roman" w:eastAsia="仿宋_GB2312"/>
                <w:sz w:val="18"/>
                <w:szCs w:val="18"/>
              </w:rPr>
              <w:t>指用于监控和控制工业生产过程的自动化系统，通常由一组分布在工厂各个位置的控制单元和计算机组成，用于实时监测和控制生产过程中的各种参数和设备。</w:t>
            </w:r>
          </w:p>
        </w:tc>
      </w:tr>
      <w:tr w14:paraId="078358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8" w:hRule="atLeast"/>
          <w:jc w:val="center"/>
        </w:trPr>
        <w:tc>
          <w:tcPr>
            <w:tcW w:w="809" w:type="dxa"/>
            <w:shd w:val="clear" w:color="auto" w:fill="auto"/>
            <w:noWrap w:val="0"/>
            <w:vAlign w:val="center"/>
          </w:tcPr>
          <w:p w14:paraId="11B5DCD9">
            <w:pPr>
              <w:widowControl/>
              <w:adjustRightInd w:val="0"/>
              <w:snapToGrid w:val="0"/>
              <w:jc w:val="center"/>
              <w:textAlignment w:val="center"/>
              <w:rPr>
                <w:rFonts w:ascii="Times New Roman" w:hAnsi="Times New Roman" w:eastAsia="仿宋_GB2312"/>
                <w:sz w:val="24"/>
              </w:rPr>
            </w:pPr>
            <w:r>
              <w:rPr>
                <w:rFonts w:ascii="Times New Roman" w:hAnsi="Times New Roman" w:eastAsia="仿宋_GB2312"/>
                <w:sz w:val="24"/>
              </w:rPr>
              <w:t>5</w:t>
            </w:r>
          </w:p>
        </w:tc>
        <w:tc>
          <w:tcPr>
            <w:tcW w:w="2036" w:type="dxa"/>
            <w:shd w:val="clear" w:color="auto" w:fill="auto"/>
            <w:noWrap w:val="0"/>
            <w:vAlign w:val="center"/>
          </w:tcPr>
          <w:p w14:paraId="3D795F0E">
            <w:pPr>
              <w:widowControl/>
              <w:adjustRightInd w:val="0"/>
              <w:snapToGrid w:val="0"/>
              <w:jc w:val="center"/>
              <w:textAlignment w:val="center"/>
              <w:rPr>
                <w:rFonts w:ascii="Times New Roman" w:hAnsi="Times New Roman" w:eastAsia="仿宋_GB2312"/>
                <w:b/>
                <w:bCs/>
                <w:sz w:val="24"/>
              </w:rPr>
            </w:pPr>
            <w:r>
              <w:rPr>
                <w:rFonts w:ascii="Times New Roman" w:hAnsi="Times New Roman" w:eastAsia="仿宋_GB2312"/>
                <w:b/>
                <w:bCs/>
                <w:sz w:val="24"/>
              </w:rPr>
              <w:t xml:space="preserve">软件定义网络 (SDN) </w:t>
            </w:r>
          </w:p>
        </w:tc>
        <w:tc>
          <w:tcPr>
            <w:tcW w:w="4370" w:type="dxa"/>
            <w:shd w:val="clear" w:color="auto" w:fill="auto"/>
            <w:noWrap w:val="0"/>
            <w:vAlign w:val="center"/>
          </w:tcPr>
          <w:p w14:paraId="32EB9D10">
            <w:pPr>
              <w:widowControl/>
              <w:adjustRightInd w:val="0"/>
              <w:snapToGrid w:val="0"/>
              <w:jc w:val="left"/>
              <w:textAlignment w:val="center"/>
              <w:rPr>
                <w:rFonts w:ascii="Times New Roman" w:hAnsi="Times New Roman" w:eastAsia="仿宋_GB2312"/>
                <w:sz w:val="18"/>
                <w:szCs w:val="18"/>
              </w:rPr>
            </w:pPr>
            <w:r>
              <w:rPr>
                <w:rFonts w:ascii="Times New Roman" w:hAnsi="Times New Roman" w:eastAsia="仿宋_GB2312"/>
                <w:sz w:val="18"/>
                <w:szCs w:val="18"/>
              </w:rPr>
              <w:t>是指一种新型网络架构，通过软件控制网络硬件，实现更为灵活和集中化的网络管理。</w:t>
            </w:r>
          </w:p>
        </w:tc>
      </w:tr>
    </w:tbl>
    <w:p w14:paraId="7B26A88D">
      <w:pPr>
        <w:spacing w:line="560" w:lineRule="exact"/>
        <w:ind w:firstLine="643" w:firstLineChars="200"/>
        <w:rPr>
          <w:rFonts w:ascii="Times New Roman" w:hAnsi="Times New Roman" w:eastAsia="仿宋_GB2312"/>
          <w:b/>
          <w:bCs/>
          <w:sz w:val="32"/>
          <w:szCs w:val="32"/>
        </w:rPr>
      </w:pPr>
      <w:r>
        <w:rPr>
          <w:rFonts w:ascii="Times New Roman" w:hAnsi="Times New Roman" w:eastAsia="仿宋_GB2312"/>
          <w:b/>
          <w:bCs/>
          <w:sz w:val="32"/>
          <w:szCs w:val="32"/>
        </w:rPr>
        <w:t>9.企业数据要素水平等级为</w:t>
      </w:r>
      <w:r>
        <w:rPr>
          <w:rFonts w:ascii="Times New Roman" w:hAnsi="Times New Roman" w:eastAsia="仿宋_GB2312"/>
          <w:b/>
          <w:bCs/>
          <w:sz w:val="32"/>
          <w:szCs w:val="32"/>
          <w:u w:val="single"/>
        </w:rPr>
        <w:t xml:space="preserve">   </w:t>
      </w:r>
      <w:r>
        <w:rPr>
          <w:rFonts w:ascii="Times New Roman" w:hAnsi="Times New Roman" w:eastAsia="仿宋_GB2312"/>
          <w:b/>
          <w:bCs/>
          <w:sz w:val="32"/>
          <w:szCs w:val="32"/>
        </w:rPr>
        <w:t>，打分为</w:t>
      </w:r>
      <w:r>
        <w:rPr>
          <w:rFonts w:ascii="Times New Roman" w:hAnsi="Times New Roman" w:eastAsia="仿宋_GB2312"/>
          <w:b/>
          <w:bCs/>
          <w:sz w:val="32"/>
          <w:szCs w:val="32"/>
          <w:u w:val="single"/>
        </w:rPr>
        <w:t xml:space="preserve">   </w:t>
      </w:r>
      <w:r>
        <w:rPr>
          <w:rFonts w:ascii="Times New Roman" w:hAnsi="Times New Roman" w:eastAsia="仿宋_GB2312"/>
          <w:b/>
          <w:bCs/>
          <w:sz w:val="32"/>
          <w:szCs w:val="32"/>
        </w:rPr>
        <w:t>。</w:t>
      </w:r>
    </w:p>
    <w:p w14:paraId="481F26AA">
      <w:pPr>
        <w:spacing w:line="560" w:lineRule="exact"/>
        <w:ind w:firstLine="560"/>
        <w:rPr>
          <w:rFonts w:ascii="Times New Roman" w:hAnsi="Times New Roman" w:eastAsia="楷体_GB2312"/>
          <w:sz w:val="32"/>
          <w:szCs w:val="32"/>
        </w:rPr>
      </w:pPr>
      <w:r>
        <w:rPr>
          <w:rFonts w:ascii="Times New Roman" w:hAnsi="Times New Roman" w:eastAsia="楷体_GB2312"/>
          <w:sz w:val="32"/>
          <w:szCs w:val="32"/>
        </w:rPr>
        <w:t>□L0：企业生产过程中关键环节</w:t>
      </w:r>
      <w:r>
        <w:rPr>
          <w:rFonts w:ascii="Times New Roman" w:hAnsi="Times New Roman" w:eastAsia="楷体_GB2312"/>
          <w:b/>
          <w:bCs/>
          <w:sz w:val="32"/>
          <w:szCs w:val="32"/>
        </w:rPr>
        <w:t>数据零散分布</w:t>
      </w:r>
      <w:r>
        <w:rPr>
          <w:rFonts w:ascii="Times New Roman" w:hAnsi="Times New Roman" w:eastAsia="楷体_GB2312"/>
          <w:sz w:val="32"/>
          <w:szCs w:val="32"/>
        </w:rPr>
        <w:t>，尚未应用数字化工具对其进行整理与汇总。</w:t>
      </w:r>
    </w:p>
    <w:p w14:paraId="10834D0A">
      <w:pPr>
        <w:spacing w:line="560" w:lineRule="exact"/>
        <w:ind w:firstLine="560"/>
        <w:rPr>
          <w:rFonts w:ascii="Times New Roman" w:hAnsi="Times New Roman" w:eastAsia="楷体_GB2312"/>
          <w:sz w:val="32"/>
          <w:szCs w:val="32"/>
        </w:rPr>
      </w:pPr>
      <w:r>
        <w:rPr>
          <w:rFonts w:ascii="Times New Roman" w:hAnsi="Times New Roman" w:eastAsia="楷体_GB2312"/>
          <w:sz w:val="32"/>
          <w:szCs w:val="32"/>
        </w:rPr>
        <w:t>□L1：企业能够以报表等方式对生产过程中</w:t>
      </w:r>
      <w:r>
        <w:rPr>
          <w:rFonts w:ascii="Times New Roman" w:hAnsi="Times New Roman" w:eastAsia="楷体_GB2312"/>
          <w:b/>
          <w:bCs/>
          <w:sz w:val="32"/>
          <w:szCs w:val="32"/>
        </w:rPr>
        <w:t>关键设备的基础数据</w:t>
      </w:r>
      <w:r>
        <w:rPr>
          <w:rFonts w:ascii="Times New Roman" w:hAnsi="Times New Roman" w:eastAsia="微软雅黑"/>
          <w:b/>
          <w:bCs/>
          <w:sz w:val="32"/>
          <w:szCs w:val="32"/>
        </w:rPr>
        <w:t>①</w:t>
      </w:r>
      <w:r>
        <w:rPr>
          <w:rFonts w:ascii="Times New Roman" w:hAnsi="Times New Roman" w:eastAsia="楷体_GB2312"/>
          <w:sz w:val="32"/>
          <w:szCs w:val="32"/>
        </w:rPr>
        <w:t>进行采集、汇总与统计。</w:t>
      </w:r>
    </w:p>
    <w:p w14:paraId="062B0D77">
      <w:pPr>
        <w:spacing w:line="560" w:lineRule="exact"/>
        <w:ind w:firstLine="560"/>
        <w:rPr>
          <w:rFonts w:ascii="Times New Roman" w:hAnsi="Times New Roman" w:eastAsia="楷体_GB2312"/>
          <w:sz w:val="32"/>
          <w:szCs w:val="32"/>
        </w:rPr>
      </w:pPr>
      <w:r>
        <w:rPr>
          <w:rFonts w:ascii="Times New Roman" w:hAnsi="Times New Roman" w:eastAsia="楷体_GB2312"/>
          <w:sz w:val="32"/>
          <w:szCs w:val="32"/>
        </w:rPr>
        <w:t>□L2：企业能够实现包含生产过程在内的</w:t>
      </w:r>
      <w:r>
        <w:rPr>
          <w:rFonts w:ascii="Times New Roman" w:hAnsi="Times New Roman" w:eastAsia="楷体_GB2312"/>
          <w:b/>
          <w:bCs/>
          <w:sz w:val="32"/>
          <w:szCs w:val="32"/>
        </w:rPr>
        <w:t>多个业务场景数据采集与存储，</w:t>
      </w:r>
      <w:r>
        <w:rPr>
          <w:rFonts w:ascii="Times New Roman" w:hAnsi="Times New Roman" w:eastAsia="楷体_GB2312"/>
          <w:sz w:val="32"/>
          <w:szCs w:val="32"/>
        </w:rPr>
        <w:t>并基于信息系统和人工经验进行</w:t>
      </w:r>
      <w:r>
        <w:rPr>
          <w:rFonts w:ascii="Times New Roman" w:hAnsi="Times New Roman" w:eastAsia="楷体_GB2312"/>
          <w:b/>
          <w:bCs/>
          <w:sz w:val="32"/>
          <w:szCs w:val="32"/>
        </w:rPr>
        <w:t>数据处理</w:t>
      </w:r>
      <w:r>
        <w:rPr>
          <w:rFonts w:ascii="Times New Roman" w:hAnsi="Times New Roman" w:eastAsia="微软雅黑"/>
          <w:b/>
          <w:bCs/>
          <w:sz w:val="32"/>
          <w:szCs w:val="32"/>
        </w:rPr>
        <w:t>②</w:t>
      </w:r>
      <w:r>
        <w:rPr>
          <w:rFonts w:ascii="Times New Roman" w:hAnsi="Times New Roman" w:eastAsia="楷体_GB2312"/>
          <w:sz w:val="32"/>
          <w:szCs w:val="32"/>
        </w:rPr>
        <w:t>，满足特定范围的数据使用需求。</w:t>
      </w:r>
    </w:p>
    <w:p w14:paraId="1D5708D6">
      <w:pPr>
        <w:spacing w:line="560" w:lineRule="exact"/>
        <w:ind w:firstLine="560"/>
        <w:rPr>
          <w:rFonts w:ascii="Times New Roman" w:hAnsi="Times New Roman" w:eastAsia="楷体_GB2312"/>
          <w:sz w:val="32"/>
          <w:szCs w:val="32"/>
        </w:rPr>
      </w:pPr>
      <w:r>
        <w:rPr>
          <w:rFonts w:ascii="Times New Roman" w:hAnsi="Times New Roman" w:eastAsia="楷体_GB2312"/>
          <w:sz w:val="32"/>
          <w:szCs w:val="32"/>
        </w:rPr>
        <w:t>□L3：企业建立企业级统一数据字典、信息模型标准、数据交换格式和规则，实现</w:t>
      </w:r>
      <w:r>
        <w:rPr>
          <w:rFonts w:ascii="Times New Roman" w:hAnsi="Times New Roman" w:eastAsia="楷体_GB2312"/>
          <w:b/>
          <w:bCs/>
          <w:sz w:val="32"/>
          <w:szCs w:val="32"/>
        </w:rPr>
        <w:t>跨部门、跨系统的数据交换和使用</w:t>
      </w:r>
      <w:r>
        <w:rPr>
          <w:rFonts w:ascii="Times New Roman" w:hAnsi="Times New Roman" w:eastAsia="楷体_GB2312"/>
          <w:sz w:val="32"/>
          <w:szCs w:val="32"/>
        </w:rPr>
        <w:t>，并开始构建数据模型算法，支持</w:t>
      </w:r>
      <w:r>
        <w:rPr>
          <w:rFonts w:ascii="Times New Roman" w:hAnsi="Times New Roman" w:eastAsia="楷体_GB2312"/>
          <w:b/>
          <w:bCs/>
          <w:sz w:val="32"/>
          <w:szCs w:val="32"/>
        </w:rPr>
        <w:t>特定业务分析优化</w:t>
      </w:r>
      <w:r>
        <w:rPr>
          <w:rFonts w:ascii="Times New Roman" w:hAnsi="Times New Roman" w:eastAsia="楷体_GB2312"/>
          <w:sz w:val="32"/>
          <w:szCs w:val="32"/>
        </w:rPr>
        <w:t>。</w:t>
      </w:r>
    </w:p>
    <w:p w14:paraId="746D1FDF">
      <w:pPr>
        <w:spacing w:line="560" w:lineRule="exact"/>
        <w:ind w:firstLine="560"/>
        <w:rPr>
          <w:rFonts w:ascii="Times New Roman" w:hAnsi="Times New Roman" w:eastAsia="楷体_GB2312"/>
          <w:sz w:val="32"/>
          <w:szCs w:val="32"/>
        </w:rPr>
      </w:pPr>
      <w:r>
        <w:rPr>
          <w:rFonts w:ascii="Times New Roman" w:hAnsi="Times New Roman" w:eastAsia="楷体_GB2312"/>
          <w:sz w:val="32"/>
          <w:szCs w:val="32"/>
        </w:rPr>
        <w:t>□L4：企业通过数据中心、数据中台、数据湖等任一形式，进行企业内部数据的集成管理与开放共享，并积累形成数据模型库、算法库，开展</w:t>
      </w:r>
      <w:r>
        <w:rPr>
          <w:rFonts w:ascii="Times New Roman" w:hAnsi="Times New Roman" w:eastAsia="楷体_GB2312"/>
          <w:b/>
          <w:bCs/>
          <w:sz w:val="32"/>
          <w:szCs w:val="32"/>
        </w:rPr>
        <w:t>单一业务深度分析或多项业务关联分析。</w:t>
      </w:r>
    </w:p>
    <w:p w14:paraId="3B84A98C">
      <w:pPr>
        <w:spacing w:line="560" w:lineRule="exact"/>
        <w:ind w:firstLine="560"/>
        <w:rPr>
          <w:rFonts w:ascii="Times New Roman" w:hAnsi="Times New Roman" w:eastAsia="楷体_GB2312"/>
          <w:sz w:val="32"/>
          <w:szCs w:val="32"/>
        </w:rPr>
      </w:pPr>
      <w:r>
        <w:rPr>
          <w:rFonts w:ascii="Times New Roman" w:hAnsi="Times New Roman" w:eastAsia="楷体_GB2312"/>
          <w:sz w:val="32"/>
          <w:szCs w:val="32"/>
        </w:rPr>
        <w:t>□L5：企业综合应用人工智能大模型、数字孪生等先进技术，针对复杂业务开展</w:t>
      </w:r>
      <w:r>
        <w:rPr>
          <w:rFonts w:ascii="Times New Roman" w:hAnsi="Times New Roman" w:eastAsia="楷体_GB2312"/>
          <w:b/>
          <w:bCs/>
          <w:sz w:val="32"/>
          <w:szCs w:val="32"/>
        </w:rPr>
        <w:t>预测性分析</w:t>
      </w:r>
      <w:r>
        <w:rPr>
          <w:rFonts w:ascii="Times New Roman" w:hAnsi="Times New Roman" w:eastAsia="微软雅黑"/>
          <w:b/>
          <w:bCs/>
          <w:sz w:val="32"/>
          <w:szCs w:val="32"/>
        </w:rPr>
        <w:t>③</w:t>
      </w:r>
      <w:r>
        <w:rPr>
          <w:rFonts w:ascii="Times New Roman" w:hAnsi="Times New Roman" w:eastAsia="楷体_GB2312"/>
          <w:sz w:val="32"/>
          <w:szCs w:val="32"/>
        </w:rPr>
        <w:t>，实现数据驱动的</w:t>
      </w:r>
      <w:r>
        <w:rPr>
          <w:rFonts w:ascii="Times New Roman" w:hAnsi="Times New Roman" w:eastAsia="楷体_GB2312"/>
          <w:b/>
          <w:bCs/>
          <w:sz w:val="32"/>
          <w:szCs w:val="32"/>
        </w:rPr>
        <w:t>自适应、自学习智能应用</w:t>
      </w:r>
      <w:r>
        <w:rPr>
          <w:rFonts w:ascii="Times New Roman" w:hAnsi="Times New Roman" w:eastAsia="楷体_GB2312"/>
          <w:sz w:val="32"/>
          <w:szCs w:val="32"/>
        </w:rPr>
        <w:t>。</w:t>
      </w:r>
    </w:p>
    <w:p w14:paraId="5C21D5A2">
      <w:pPr>
        <w:widowControl/>
        <w:spacing w:line="360" w:lineRule="auto"/>
        <w:jc w:val="center"/>
        <w:rPr>
          <w:rFonts w:ascii="Times New Roman" w:hAnsi="Times New Roman" w:eastAsia="楷体_GB2312"/>
          <w:color w:val="000000"/>
          <w:kern w:val="0"/>
          <w:sz w:val="24"/>
        </w:rPr>
      </w:pPr>
      <w:r>
        <w:rPr>
          <w:rFonts w:ascii="Times New Roman" w:hAnsi="Times New Roman" w:eastAsia="楷体_GB2312"/>
          <w:color w:val="000000"/>
          <w:kern w:val="0"/>
          <w:sz w:val="24"/>
        </w:rPr>
        <w:t>表8 数据要素水平指标注释表</w:t>
      </w:r>
    </w:p>
    <w:tbl>
      <w:tblPr>
        <w:tblStyle w:val="6"/>
        <w:tblW w:w="907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17"/>
        <w:gridCol w:w="2560"/>
        <w:gridCol w:w="5494"/>
      </w:tblGrid>
      <w:tr w14:paraId="2869FC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8" w:hRule="atLeast"/>
          <w:jc w:val="center"/>
        </w:trPr>
        <w:tc>
          <w:tcPr>
            <w:tcW w:w="809" w:type="dxa"/>
            <w:shd w:val="clear" w:color="auto" w:fill="auto"/>
            <w:noWrap w:val="0"/>
            <w:vAlign w:val="center"/>
          </w:tcPr>
          <w:p w14:paraId="7092573B">
            <w:pPr>
              <w:widowControl/>
              <w:adjustRightInd w:val="0"/>
              <w:snapToGrid w:val="0"/>
              <w:jc w:val="center"/>
              <w:textAlignment w:val="center"/>
              <w:rPr>
                <w:rFonts w:ascii="Times New Roman" w:hAnsi="Times New Roman" w:eastAsia="仿宋_GB2312"/>
                <w:b/>
                <w:bCs/>
                <w:color w:val="000000"/>
                <w:sz w:val="24"/>
              </w:rPr>
            </w:pPr>
            <w:r>
              <w:rPr>
                <w:rFonts w:ascii="Times New Roman" w:hAnsi="Times New Roman" w:eastAsia="仿宋_GB2312"/>
                <w:b/>
                <w:bCs/>
                <w:color w:val="000000"/>
                <w:sz w:val="24"/>
              </w:rPr>
              <w:t>序号</w:t>
            </w:r>
          </w:p>
        </w:tc>
        <w:tc>
          <w:tcPr>
            <w:tcW w:w="2036" w:type="dxa"/>
            <w:shd w:val="clear" w:color="auto" w:fill="auto"/>
            <w:noWrap w:val="0"/>
            <w:vAlign w:val="center"/>
          </w:tcPr>
          <w:p w14:paraId="221151C0">
            <w:pPr>
              <w:widowControl/>
              <w:adjustRightInd w:val="0"/>
              <w:snapToGrid w:val="0"/>
              <w:jc w:val="center"/>
              <w:textAlignment w:val="center"/>
              <w:rPr>
                <w:rFonts w:ascii="Times New Roman" w:hAnsi="Times New Roman" w:eastAsia="仿宋_GB2312"/>
                <w:b/>
                <w:bCs/>
                <w:color w:val="000000"/>
                <w:sz w:val="24"/>
              </w:rPr>
            </w:pPr>
            <w:r>
              <w:rPr>
                <w:rFonts w:ascii="Times New Roman" w:hAnsi="Times New Roman" w:eastAsia="仿宋_GB2312"/>
                <w:b/>
                <w:bCs/>
                <w:color w:val="000000"/>
                <w:sz w:val="24"/>
              </w:rPr>
              <w:t>关键词</w:t>
            </w:r>
          </w:p>
        </w:tc>
        <w:tc>
          <w:tcPr>
            <w:tcW w:w="4370" w:type="dxa"/>
            <w:shd w:val="clear" w:color="auto" w:fill="auto"/>
            <w:noWrap w:val="0"/>
            <w:vAlign w:val="center"/>
          </w:tcPr>
          <w:p w14:paraId="01926017">
            <w:pPr>
              <w:widowControl/>
              <w:adjustRightInd w:val="0"/>
              <w:snapToGrid w:val="0"/>
              <w:jc w:val="center"/>
              <w:textAlignment w:val="center"/>
              <w:rPr>
                <w:rFonts w:ascii="Times New Roman" w:hAnsi="Times New Roman" w:eastAsia="仿宋_GB2312"/>
                <w:b/>
                <w:bCs/>
                <w:color w:val="000000"/>
                <w:sz w:val="24"/>
              </w:rPr>
            </w:pPr>
            <w:r>
              <w:rPr>
                <w:rFonts w:ascii="Times New Roman" w:hAnsi="Times New Roman" w:eastAsia="仿宋_GB2312"/>
                <w:b/>
                <w:bCs/>
                <w:color w:val="000000"/>
                <w:sz w:val="24"/>
              </w:rPr>
              <w:t>注释</w:t>
            </w:r>
          </w:p>
        </w:tc>
      </w:tr>
      <w:tr w14:paraId="6ADD7A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8" w:hRule="atLeast"/>
          <w:jc w:val="center"/>
        </w:trPr>
        <w:tc>
          <w:tcPr>
            <w:tcW w:w="809" w:type="dxa"/>
            <w:shd w:val="clear" w:color="auto" w:fill="auto"/>
            <w:noWrap w:val="0"/>
            <w:vAlign w:val="center"/>
          </w:tcPr>
          <w:p w14:paraId="66FAD494">
            <w:pPr>
              <w:widowControl/>
              <w:adjustRightInd w:val="0"/>
              <w:snapToGrid w:val="0"/>
              <w:jc w:val="center"/>
              <w:textAlignment w:val="center"/>
              <w:rPr>
                <w:rFonts w:ascii="Times New Roman" w:hAnsi="Times New Roman" w:eastAsia="仿宋_GB2312"/>
                <w:sz w:val="24"/>
              </w:rPr>
            </w:pPr>
            <w:r>
              <w:rPr>
                <w:rFonts w:ascii="Times New Roman" w:hAnsi="Times New Roman" w:eastAsia="仿宋_GB2312"/>
                <w:sz w:val="24"/>
              </w:rPr>
              <w:t>1</w:t>
            </w:r>
          </w:p>
        </w:tc>
        <w:tc>
          <w:tcPr>
            <w:tcW w:w="2036" w:type="dxa"/>
            <w:shd w:val="clear" w:color="auto" w:fill="auto"/>
            <w:noWrap w:val="0"/>
            <w:vAlign w:val="center"/>
          </w:tcPr>
          <w:p w14:paraId="5E4A9739">
            <w:pPr>
              <w:widowControl/>
              <w:adjustRightInd w:val="0"/>
              <w:snapToGrid w:val="0"/>
              <w:jc w:val="center"/>
              <w:textAlignment w:val="center"/>
              <w:rPr>
                <w:rFonts w:ascii="Times New Roman" w:hAnsi="Times New Roman" w:eastAsia="仿宋_GB2312"/>
                <w:b/>
                <w:bCs/>
                <w:sz w:val="24"/>
              </w:rPr>
            </w:pPr>
            <w:r>
              <w:rPr>
                <w:rFonts w:ascii="Times New Roman" w:hAnsi="Times New Roman" w:eastAsia="仿宋_GB2312"/>
                <w:b/>
                <w:bCs/>
                <w:sz w:val="24"/>
              </w:rPr>
              <w:t>关键设备的基础数据</w:t>
            </w:r>
          </w:p>
        </w:tc>
        <w:tc>
          <w:tcPr>
            <w:tcW w:w="4370" w:type="dxa"/>
            <w:shd w:val="clear" w:color="auto" w:fill="auto"/>
            <w:noWrap w:val="0"/>
            <w:vAlign w:val="center"/>
          </w:tcPr>
          <w:p w14:paraId="567ADC18">
            <w:pPr>
              <w:widowControl/>
              <w:adjustRightInd w:val="0"/>
              <w:snapToGrid w:val="0"/>
              <w:jc w:val="left"/>
              <w:textAlignment w:val="center"/>
              <w:rPr>
                <w:rFonts w:ascii="Times New Roman" w:hAnsi="Times New Roman" w:eastAsia="仿宋_GB2312"/>
                <w:sz w:val="18"/>
                <w:szCs w:val="18"/>
              </w:rPr>
            </w:pPr>
            <w:r>
              <w:rPr>
                <w:rFonts w:ascii="Times New Roman" w:hAnsi="Times New Roman" w:eastAsia="仿宋_GB2312"/>
                <w:sz w:val="18"/>
                <w:szCs w:val="18"/>
              </w:rPr>
              <w:t>包括但不限于关键生产作业设备的运行程序、作业状态、技术参数、设备能耗等数据信息。</w:t>
            </w:r>
          </w:p>
        </w:tc>
      </w:tr>
      <w:tr w14:paraId="2CF2DE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8" w:hRule="atLeast"/>
          <w:jc w:val="center"/>
        </w:trPr>
        <w:tc>
          <w:tcPr>
            <w:tcW w:w="809" w:type="dxa"/>
            <w:shd w:val="clear" w:color="auto" w:fill="auto"/>
            <w:noWrap w:val="0"/>
            <w:vAlign w:val="center"/>
          </w:tcPr>
          <w:p w14:paraId="3CBCBDC3">
            <w:pPr>
              <w:widowControl/>
              <w:adjustRightInd w:val="0"/>
              <w:snapToGrid w:val="0"/>
              <w:jc w:val="center"/>
              <w:textAlignment w:val="center"/>
              <w:rPr>
                <w:rFonts w:ascii="Times New Roman" w:hAnsi="Times New Roman" w:eastAsia="仿宋_GB2312"/>
                <w:sz w:val="24"/>
              </w:rPr>
            </w:pPr>
            <w:r>
              <w:rPr>
                <w:rFonts w:ascii="Times New Roman" w:hAnsi="Times New Roman" w:eastAsia="仿宋_GB2312"/>
                <w:sz w:val="24"/>
              </w:rPr>
              <w:t>2</w:t>
            </w:r>
          </w:p>
        </w:tc>
        <w:tc>
          <w:tcPr>
            <w:tcW w:w="2036" w:type="dxa"/>
            <w:shd w:val="clear" w:color="auto" w:fill="auto"/>
            <w:noWrap w:val="0"/>
            <w:vAlign w:val="center"/>
          </w:tcPr>
          <w:p w14:paraId="30BD0AB9">
            <w:pPr>
              <w:widowControl/>
              <w:adjustRightInd w:val="0"/>
              <w:snapToGrid w:val="0"/>
              <w:jc w:val="center"/>
              <w:textAlignment w:val="center"/>
              <w:rPr>
                <w:rFonts w:ascii="Times New Roman" w:hAnsi="Times New Roman" w:eastAsia="仿宋_GB2312"/>
                <w:b/>
                <w:bCs/>
                <w:sz w:val="24"/>
              </w:rPr>
            </w:pPr>
            <w:r>
              <w:rPr>
                <w:rFonts w:ascii="Times New Roman" w:hAnsi="Times New Roman" w:eastAsia="仿宋_GB2312"/>
                <w:b/>
                <w:bCs/>
                <w:sz w:val="24"/>
              </w:rPr>
              <w:t>数据处理</w:t>
            </w:r>
          </w:p>
        </w:tc>
        <w:tc>
          <w:tcPr>
            <w:tcW w:w="4370" w:type="dxa"/>
            <w:shd w:val="clear" w:color="auto" w:fill="auto"/>
            <w:noWrap w:val="0"/>
            <w:vAlign w:val="center"/>
          </w:tcPr>
          <w:p w14:paraId="69D634B7">
            <w:pPr>
              <w:widowControl/>
              <w:adjustRightInd w:val="0"/>
              <w:snapToGrid w:val="0"/>
              <w:jc w:val="left"/>
              <w:textAlignment w:val="center"/>
              <w:rPr>
                <w:rFonts w:ascii="Times New Roman" w:hAnsi="Times New Roman" w:eastAsia="仿宋_GB2312"/>
                <w:sz w:val="18"/>
                <w:szCs w:val="18"/>
              </w:rPr>
            </w:pPr>
            <w:r>
              <w:rPr>
                <w:rFonts w:ascii="Times New Roman" w:hAnsi="Times New Roman" w:eastAsia="仿宋_GB2312"/>
                <w:sz w:val="18"/>
                <w:szCs w:val="18"/>
              </w:rPr>
              <w:t>对数据进行收集、验证、清洗、转换和存储，并基于业务需求进行简单的数据分析处理。</w:t>
            </w:r>
          </w:p>
        </w:tc>
      </w:tr>
      <w:tr w14:paraId="083BF1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8" w:hRule="atLeast"/>
          <w:jc w:val="center"/>
        </w:trPr>
        <w:tc>
          <w:tcPr>
            <w:tcW w:w="809" w:type="dxa"/>
            <w:shd w:val="clear" w:color="auto" w:fill="auto"/>
            <w:noWrap w:val="0"/>
            <w:vAlign w:val="center"/>
          </w:tcPr>
          <w:p w14:paraId="5311083A">
            <w:pPr>
              <w:widowControl/>
              <w:adjustRightInd w:val="0"/>
              <w:snapToGrid w:val="0"/>
              <w:jc w:val="center"/>
              <w:textAlignment w:val="center"/>
              <w:rPr>
                <w:rFonts w:ascii="Times New Roman" w:hAnsi="Times New Roman" w:eastAsia="仿宋_GB2312"/>
                <w:sz w:val="24"/>
              </w:rPr>
            </w:pPr>
            <w:r>
              <w:rPr>
                <w:rFonts w:ascii="Times New Roman" w:hAnsi="Times New Roman" w:eastAsia="仿宋_GB2312"/>
                <w:sz w:val="24"/>
              </w:rPr>
              <w:t>3</w:t>
            </w:r>
          </w:p>
        </w:tc>
        <w:tc>
          <w:tcPr>
            <w:tcW w:w="2036" w:type="dxa"/>
            <w:shd w:val="clear" w:color="auto" w:fill="auto"/>
            <w:noWrap w:val="0"/>
            <w:vAlign w:val="center"/>
          </w:tcPr>
          <w:p w14:paraId="1F2B5A0B">
            <w:pPr>
              <w:widowControl/>
              <w:adjustRightInd w:val="0"/>
              <w:snapToGrid w:val="0"/>
              <w:jc w:val="center"/>
              <w:textAlignment w:val="center"/>
              <w:rPr>
                <w:rFonts w:ascii="Times New Roman" w:hAnsi="Times New Roman" w:eastAsia="仿宋_GB2312"/>
                <w:b/>
                <w:bCs/>
                <w:sz w:val="24"/>
              </w:rPr>
            </w:pPr>
            <w:r>
              <w:rPr>
                <w:rFonts w:ascii="Times New Roman" w:hAnsi="Times New Roman" w:eastAsia="仿宋_GB2312"/>
                <w:b/>
                <w:bCs/>
                <w:sz w:val="24"/>
              </w:rPr>
              <w:t>预测性分析</w:t>
            </w:r>
          </w:p>
        </w:tc>
        <w:tc>
          <w:tcPr>
            <w:tcW w:w="4370" w:type="dxa"/>
            <w:shd w:val="clear" w:color="auto" w:fill="auto"/>
            <w:noWrap w:val="0"/>
            <w:vAlign w:val="center"/>
          </w:tcPr>
          <w:p w14:paraId="32D2ED40">
            <w:pPr>
              <w:widowControl/>
              <w:adjustRightInd w:val="0"/>
              <w:snapToGrid w:val="0"/>
              <w:jc w:val="left"/>
              <w:textAlignment w:val="center"/>
              <w:rPr>
                <w:rFonts w:ascii="Times New Roman" w:hAnsi="Times New Roman" w:eastAsia="仿宋_GB2312"/>
                <w:sz w:val="18"/>
                <w:szCs w:val="18"/>
              </w:rPr>
            </w:pPr>
            <w:r>
              <w:rPr>
                <w:rFonts w:ascii="Times New Roman" w:hAnsi="Times New Roman" w:eastAsia="仿宋_GB2312"/>
                <w:sz w:val="18"/>
                <w:szCs w:val="18"/>
              </w:rPr>
              <w:t>利用历史的生产数据，结合统计模型，应用数据挖掘技术以及机器学习算法等，对企业未来生产、经营状况进行推理预测。</w:t>
            </w:r>
          </w:p>
        </w:tc>
      </w:tr>
    </w:tbl>
    <w:p w14:paraId="1653F53C">
      <w:pPr>
        <w:spacing w:line="560" w:lineRule="exact"/>
        <w:ind w:firstLine="643" w:firstLineChars="200"/>
        <w:rPr>
          <w:rFonts w:ascii="Times New Roman" w:hAnsi="Times New Roman" w:eastAsia="仿宋_GB2312"/>
          <w:b/>
          <w:bCs/>
          <w:sz w:val="32"/>
          <w:szCs w:val="32"/>
        </w:rPr>
      </w:pPr>
      <w:r>
        <w:rPr>
          <w:rFonts w:ascii="Times New Roman" w:hAnsi="Times New Roman" w:eastAsia="仿宋_GB2312"/>
          <w:b/>
          <w:bCs/>
          <w:sz w:val="32"/>
          <w:szCs w:val="32"/>
        </w:rPr>
        <w:t>10.企业组织战略人才水平等级为</w:t>
      </w:r>
      <w:r>
        <w:rPr>
          <w:rFonts w:ascii="Times New Roman" w:hAnsi="Times New Roman" w:eastAsia="仿宋_GB2312"/>
          <w:b/>
          <w:bCs/>
          <w:sz w:val="32"/>
          <w:szCs w:val="32"/>
          <w:u w:val="single"/>
        </w:rPr>
        <w:t xml:space="preserve">   </w:t>
      </w:r>
      <w:r>
        <w:rPr>
          <w:rFonts w:ascii="Times New Roman" w:hAnsi="Times New Roman" w:eastAsia="仿宋_GB2312"/>
          <w:b/>
          <w:bCs/>
          <w:sz w:val="32"/>
          <w:szCs w:val="32"/>
        </w:rPr>
        <w:t>，打分为</w:t>
      </w:r>
      <w:r>
        <w:rPr>
          <w:rFonts w:ascii="Times New Roman" w:hAnsi="Times New Roman" w:eastAsia="仿宋_GB2312"/>
          <w:b/>
          <w:bCs/>
          <w:sz w:val="32"/>
          <w:szCs w:val="32"/>
          <w:u w:val="single"/>
        </w:rPr>
        <w:t xml:space="preserve">   </w:t>
      </w:r>
      <w:r>
        <w:rPr>
          <w:rFonts w:ascii="Times New Roman" w:hAnsi="Times New Roman" w:eastAsia="仿宋_GB2312"/>
          <w:b/>
          <w:bCs/>
          <w:sz w:val="32"/>
          <w:szCs w:val="32"/>
        </w:rPr>
        <w:t>。</w:t>
      </w:r>
    </w:p>
    <w:p w14:paraId="22E4C8C6">
      <w:pPr>
        <w:spacing w:line="560" w:lineRule="exact"/>
        <w:ind w:firstLine="560"/>
        <w:rPr>
          <w:rFonts w:ascii="Times New Roman" w:hAnsi="Times New Roman" w:eastAsia="楷体_GB2312"/>
          <w:sz w:val="32"/>
          <w:szCs w:val="32"/>
        </w:rPr>
      </w:pPr>
      <w:r>
        <w:rPr>
          <w:rFonts w:ascii="Times New Roman" w:hAnsi="Times New Roman" w:eastAsia="楷体_GB2312"/>
          <w:sz w:val="32"/>
          <w:szCs w:val="32"/>
        </w:rPr>
        <w:t>□L0：企业</w:t>
      </w:r>
      <w:r>
        <w:rPr>
          <w:rFonts w:ascii="Times New Roman" w:hAnsi="Times New Roman" w:eastAsia="楷体_GB2312"/>
          <w:b/>
          <w:bCs/>
          <w:sz w:val="32"/>
          <w:szCs w:val="32"/>
        </w:rPr>
        <w:t>无数字化专职人员</w:t>
      </w:r>
      <w:r>
        <w:rPr>
          <w:rFonts w:ascii="Times New Roman" w:hAnsi="Times New Roman" w:eastAsia="楷体_GB2312"/>
          <w:sz w:val="32"/>
          <w:szCs w:val="32"/>
        </w:rPr>
        <w:t>，没有开展数字化转型的明确计划。</w:t>
      </w:r>
    </w:p>
    <w:p w14:paraId="671ACF32">
      <w:pPr>
        <w:spacing w:line="560" w:lineRule="exact"/>
        <w:ind w:firstLine="560"/>
        <w:rPr>
          <w:rFonts w:ascii="Times New Roman" w:hAnsi="Times New Roman" w:eastAsia="楷体_GB2312"/>
          <w:b/>
          <w:bCs/>
          <w:sz w:val="32"/>
          <w:szCs w:val="32"/>
        </w:rPr>
      </w:pPr>
      <w:r>
        <w:rPr>
          <w:rFonts w:ascii="Times New Roman" w:hAnsi="Times New Roman" w:eastAsia="楷体_GB2312"/>
          <w:sz w:val="32"/>
          <w:szCs w:val="32"/>
        </w:rPr>
        <w:t>□L1</w:t>
      </w:r>
      <w:r>
        <w:rPr>
          <w:rFonts w:hint="eastAsia" w:ascii="Times New Roman" w:hAnsi="Times New Roman" w:eastAsia="楷体_GB2312"/>
          <w:sz w:val="32"/>
          <w:szCs w:val="32"/>
        </w:rPr>
        <w:t>：</w:t>
      </w:r>
      <w:r>
        <w:rPr>
          <w:rFonts w:ascii="Times New Roman" w:hAnsi="Times New Roman" w:eastAsia="楷体_GB2312"/>
          <w:sz w:val="32"/>
          <w:szCs w:val="32"/>
        </w:rPr>
        <w:t>企业已有</w:t>
      </w:r>
      <w:r>
        <w:rPr>
          <w:rFonts w:ascii="Times New Roman" w:hAnsi="Times New Roman" w:eastAsia="楷体_GB2312"/>
          <w:b/>
          <w:bCs/>
          <w:sz w:val="32"/>
          <w:szCs w:val="32"/>
        </w:rPr>
        <w:t>数字化专职岗位</w:t>
      </w:r>
      <w:r>
        <w:rPr>
          <w:rFonts w:ascii="Times New Roman" w:hAnsi="Times New Roman" w:eastAsia="楷体_GB2312"/>
          <w:sz w:val="32"/>
          <w:szCs w:val="32"/>
        </w:rPr>
        <w:t>，明确</w:t>
      </w:r>
      <w:r>
        <w:rPr>
          <w:rFonts w:ascii="Times New Roman" w:hAnsi="Times New Roman" w:eastAsia="楷体_GB2312"/>
          <w:b/>
          <w:bCs/>
          <w:sz w:val="32"/>
          <w:szCs w:val="32"/>
        </w:rPr>
        <w:t>数字化转型目标</w:t>
      </w:r>
      <w:r>
        <w:rPr>
          <w:rFonts w:ascii="Times New Roman" w:hAnsi="Times New Roman" w:eastAsia="微软雅黑"/>
          <w:b/>
          <w:bCs/>
          <w:sz w:val="32"/>
          <w:szCs w:val="32"/>
        </w:rPr>
        <w:t>①</w:t>
      </w:r>
      <w:r>
        <w:rPr>
          <w:rFonts w:ascii="Times New Roman" w:hAnsi="Times New Roman" w:eastAsia="楷体_GB2312"/>
          <w:b/>
          <w:bCs/>
          <w:sz w:val="32"/>
          <w:szCs w:val="32"/>
        </w:rPr>
        <w:t>。</w:t>
      </w:r>
    </w:p>
    <w:p w14:paraId="59653CA1">
      <w:pPr>
        <w:spacing w:line="560" w:lineRule="exact"/>
        <w:ind w:firstLine="560"/>
        <w:rPr>
          <w:rFonts w:ascii="Times New Roman" w:hAnsi="Times New Roman" w:eastAsia="楷体_GB2312"/>
          <w:sz w:val="32"/>
          <w:szCs w:val="32"/>
        </w:rPr>
      </w:pPr>
      <w:r>
        <w:rPr>
          <w:rFonts w:ascii="Times New Roman" w:hAnsi="Times New Roman" w:eastAsia="楷体_GB2312"/>
          <w:sz w:val="32"/>
          <w:szCs w:val="32"/>
        </w:rPr>
        <w:t>□L2</w:t>
      </w:r>
      <w:r>
        <w:rPr>
          <w:rFonts w:hint="eastAsia" w:ascii="Times New Roman" w:hAnsi="Times New Roman" w:eastAsia="楷体_GB2312"/>
          <w:sz w:val="32"/>
          <w:szCs w:val="32"/>
        </w:rPr>
        <w:t>：</w:t>
      </w:r>
      <w:r>
        <w:rPr>
          <w:rFonts w:ascii="Times New Roman" w:hAnsi="Times New Roman" w:eastAsia="楷体_GB2312"/>
          <w:sz w:val="32"/>
          <w:szCs w:val="32"/>
        </w:rPr>
        <w:t>企业建立</w:t>
      </w:r>
      <w:r>
        <w:rPr>
          <w:rFonts w:ascii="Times New Roman" w:hAnsi="Times New Roman" w:eastAsia="楷体_GB2312"/>
          <w:b/>
          <w:bCs/>
          <w:sz w:val="32"/>
          <w:szCs w:val="32"/>
        </w:rPr>
        <w:t>数字化部门</w:t>
      </w:r>
      <w:r>
        <w:rPr>
          <w:rFonts w:ascii="Times New Roman" w:hAnsi="Times New Roman" w:eastAsia="楷体_GB2312"/>
          <w:sz w:val="32"/>
          <w:szCs w:val="32"/>
        </w:rPr>
        <w:t>，明确权属职责，拥有</w:t>
      </w:r>
      <w:r>
        <w:rPr>
          <w:rFonts w:ascii="Times New Roman" w:hAnsi="Times New Roman" w:eastAsia="楷体_GB2312"/>
          <w:b/>
          <w:bCs/>
          <w:sz w:val="32"/>
          <w:szCs w:val="32"/>
        </w:rPr>
        <w:t>数字化转型计划</w:t>
      </w:r>
      <w:r>
        <w:rPr>
          <w:rFonts w:ascii="Times New Roman" w:hAnsi="Times New Roman" w:eastAsia="微软雅黑"/>
          <w:b/>
          <w:bCs/>
          <w:sz w:val="32"/>
          <w:szCs w:val="32"/>
        </w:rPr>
        <w:t>②</w:t>
      </w:r>
      <w:r>
        <w:rPr>
          <w:rFonts w:ascii="Times New Roman" w:hAnsi="Times New Roman" w:eastAsia="楷体_GB2312"/>
          <w:sz w:val="32"/>
          <w:szCs w:val="32"/>
        </w:rPr>
        <w:t>，建立</w:t>
      </w:r>
      <w:r>
        <w:rPr>
          <w:rFonts w:ascii="Times New Roman" w:hAnsi="Times New Roman" w:eastAsia="楷体_GB2312"/>
          <w:b/>
          <w:bCs/>
          <w:sz w:val="32"/>
          <w:szCs w:val="32"/>
        </w:rPr>
        <w:t>数字化人才培养机制</w:t>
      </w:r>
      <w:r>
        <w:rPr>
          <w:rFonts w:ascii="Times New Roman" w:hAnsi="Times New Roman" w:eastAsia="楷体_GB2312"/>
          <w:sz w:val="32"/>
          <w:szCs w:val="32"/>
        </w:rPr>
        <w:t>。</w:t>
      </w:r>
    </w:p>
    <w:p w14:paraId="2EBDFB65">
      <w:pPr>
        <w:spacing w:line="560" w:lineRule="exact"/>
        <w:ind w:firstLine="560"/>
        <w:rPr>
          <w:rFonts w:ascii="Times New Roman" w:hAnsi="Times New Roman" w:eastAsia="楷体_GB2312"/>
          <w:sz w:val="32"/>
          <w:szCs w:val="32"/>
        </w:rPr>
      </w:pPr>
      <w:r>
        <w:rPr>
          <w:rFonts w:ascii="Times New Roman" w:hAnsi="Times New Roman" w:eastAsia="楷体_GB2312"/>
          <w:sz w:val="32"/>
          <w:szCs w:val="32"/>
        </w:rPr>
        <w:t>□L3</w:t>
      </w:r>
      <w:r>
        <w:rPr>
          <w:rFonts w:hint="eastAsia" w:ascii="Times New Roman" w:hAnsi="Times New Roman" w:eastAsia="楷体_GB2312"/>
          <w:sz w:val="32"/>
          <w:szCs w:val="32"/>
        </w:rPr>
        <w:t>：</w:t>
      </w:r>
      <w:r>
        <w:rPr>
          <w:rFonts w:ascii="Times New Roman" w:hAnsi="Times New Roman" w:eastAsia="楷体_GB2312"/>
          <w:sz w:val="32"/>
          <w:szCs w:val="32"/>
        </w:rPr>
        <w:t>企业设立</w:t>
      </w:r>
      <w:r>
        <w:rPr>
          <w:rFonts w:ascii="Times New Roman" w:hAnsi="Times New Roman" w:eastAsia="楷体_GB2312"/>
          <w:b/>
          <w:bCs/>
          <w:sz w:val="32"/>
          <w:szCs w:val="32"/>
        </w:rPr>
        <w:t>专职高级数字化管理人员</w:t>
      </w:r>
      <w:r>
        <w:rPr>
          <w:rFonts w:ascii="Times New Roman" w:hAnsi="Times New Roman" w:eastAsia="楷体_GB2312"/>
          <w:sz w:val="32"/>
          <w:szCs w:val="32"/>
        </w:rPr>
        <w:t>，构建</w:t>
      </w:r>
      <w:r>
        <w:rPr>
          <w:rFonts w:ascii="Times New Roman" w:hAnsi="Times New Roman" w:eastAsia="楷体_GB2312"/>
          <w:b/>
          <w:bCs/>
          <w:sz w:val="32"/>
          <w:szCs w:val="32"/>
        </w:rPr>
        <w:t>跨部门的数字化转型团队</w:t>
      </w:r>
      <w:r>
        <w:rPr>
          <w:rFonts w:ascii="Times New Roman" w:hAnsi="Times New Roman" w:eastAsia="楷体_GB2312"/>
          <w:sz w:val="32"/>
          <w:szCs w:val="32"/>
        </w:rPr>
        <w:t>，制定面向未来三到五年的</w:t>
      </w:r>
      <w:r>
        <w:rPr>
          <w:rFonts w:ascii="Times New Roman" w:hAnsi="Times New Roman" w:eastAsia="楷体_GB2312"/>
          <w:b/>
          <w:bCs/>
          <w:sz w:val="32"/>
          <w:szCs w:val="32"/>
        </w:rPr>
        <w:t>数字化转型战略</w:t>
      </w:r>
      <w:r>
        <w:rPr>
          <w:rFonts w:ascii="Times New Roman" w:hAnsi="Times New Roman" w:eastAsia="楷体_GB2312"/>
          <w:sz w:val="32"/>
          <w:szCs w:val="32"/>
        </w:rPr>
        <w:t>，明确转型重点方向及任务，具备</w:t>
      </w:r>
      <w:r>
        <w:rPr>
          <w:rFonts w:ascii="Times New Roman" w:hAnsi="Times New Roman" w:eastAsia="楷体_GB2312"/>
          <w:b/>
          <w:bCs/>
          <w:sz w:val="32"/>
          <w:szCs w:val="32"/>
        </w:rPr>
        <w:t>专业人才队伍</w:t>
      </w:r>
      <w:r>
        <w:rPr>
          <w:rFonts w:ascii="Times New Roman" w:hAnsi="Times New Roman" w:eastAsia="楷体_GB2312"/>
          <w:sz w:val="32"/>
          <w:szCs w:val="32"/>
        </w:rPr>
        <w:t>支撑推动数字化项目实施。</w:t>
      </w:r>
    </w:p>
    <w:p w14:paraId="4D7B64FA">
      <w:pPr>
        <w:spacing w:line="560" w:lineRule="exact"/>
        <w:ind w:firstLine="560"/>
        <w:rPr>
          <w:rFonts w:ascii="Times New Roman" w:hAnsi="Times New Roman" w:eastAsia="楷体_GB2312"/>
          <w:sz w:val="32"/>
          <w:szCs w:val="32"/>
        </w:rPr>
      </w:pPr>
      <w:r>
        <w:rPr>
          <w:rFonts w:ascii="Times New Roman" w:hAnsi="Times New Roman" w:eastAsia="楷体_GB2312"/>
          <w:sz w:val="32"/>
          <w:szCs w:val="32"/>
        </w:rPr>
        <w:t>□L4</w:t>
      </w:r>
      <w:r>
        <w:rPr>
          <w:rFonts w:hint="eastAsia" w:ascii="Times New Roman" w:hAnsi="Times New Roman" w:eastAsia="楷体_GB2312"/>
          <w:sz w:val="32"/>
          <w:szCs w:val="32"/>
        </w:rPr>
        <w:t>：</w:t>
      </w:r>
      <w:r>
        <w:rPr>
          <w:rFonts w:ascii="Times New Roman" w:hAnsi="Times New Roman" w:eastAsia="楷体_GB2312"/>
          <w:sz w:val="32"/>
          <w:szCs w:val="32"/>
        </w:rPr>
        <w:t>企业有序推进数字化转型</w:t>
      </w:r>
      <w:r>
        <w:rPr>
          <w:rFonts w:ascii="Times New Roman" w:hAnsi="Times New Roman" w:eastAsia="楷体_GB2312"/>
          <w:b/>
          <w:bCs/>
          <w:sz w:val="32"/>
          <w:szCs w:val="32"/>
        </w:rPr>
        <w:t>战略落地实施</w:t>
      </w:r>
      <w:r>
        <w:rPr>
          <w:rFonts w:ascii="Times New Roman" w:hAnsi="Times New Roman" w:eastAsia="楷体_GB2312"/>
          <w:sz w:val="32"/>
          <w:szCs w:val="32"/>
        </w:rPr>
        <w:t>，培育若干既懂数字化又懂业务的</w:t>
      </w:r>
      <w:r>
        <w:rPr>
          <w:rFonts w:ascii="Times New Roman" w:hAnsi="Times New Roman" w:eastAsia="楷体_GB2312"/>
          <w:b/>
          <w:bCs/>
          <w:sz w:val="32"/>
          <w:szCs w:val="32"/>
        </w:rPr>
        <w:t>复合型人才</w:t>
      </w:r>
      <w:r>
        <w:rPr>
          <w:rFonts w:ascii="Times New Roman" w:hAnsi="Times New Roman" w:eastAsia="楷体_GB2312"/>
          <w:sz w:val="32"/>
          <w:szCs w:val="32"/>
        </w:rPr>
        <w:t>，并通过建立知识管理平台实现</w:t>
      </w:r>
      <w:r>
        <w:rPr>
          <w:rFonts w:ascii="Times New Roman" w:hAnsi="Times New Roman" w:eastAsia="楷体_GB2312"/>
          <w:b/>
          <w:bCs/>
          <w:sz w:val="32"/>
          <w:szCs w:val="32"/>
        </w:rPr>
        <w:t>知识数字化与软件化</w:t>
      </w:r>
      <w:r>
        <w:rPr>
          <w:rFonts w:ascii="Times New Roman" w:hAnsi="Times New Roman" w:eastAsia="楷体_GB2312"/>
          <w:sz w:val="32"/>
          <w:szCs w:val="32"/>
        </w:rPr>
        <w:t>。</w:t>
      </w:r>
    </w:p>
    <w:p w14:paraId="39AB0B5E">
      <w:pPr>
        <w:spacing w:line="560" w:lineRule="exact"/>
        <w:ind w:firstLine="560"/>
        <w:rPr>
          <w:rFonts w:ascii="Times New Roman" w:hAnsi="Times New Roman" w:eastAsia="楷体_GB2312"/>
          <w:sz w:val="32"/>
          <w:szCs w:val="32"/>
        </w:rPr>
      </w:pPr>
      <w:r>
        <w:rPr>
          <w:rFonts w:ascii="Times New Roman" w:hAnsi="Times New Roman" w:eastAsia="楷体_GB2312"/>
          <w:sz w:val="32"/>
          <w:szCs w:val="32"/>
        </w:rPr>
        <w:t>□L5</w:t>
      </w:r>
      <w:r>
        <w:rPr>
          <w:rFonts w:hint="eastAsia" w:ascii="Times New Roman" w:hAnsi="Times New Roman" w:eastAsia="楷体_GB2312"/>
          <w:sz w:val="32"/>
          <w:szCs w:val="32"/>
        </w:rPr>
        <w:t>：</w:t>
      </w:r>
      <w:r>
        <w:rPr>
          <w:rFonts w:ascii="Times New Roman" w:hAnsi="Times New Roman" w:eastAsia="楷体_GB2312"/>
          <w:sz w:val="32"/>
          <w:szCs w:val="32"/>
        </w:rPr>
        <w:t>企业具备数字变革组织和治理体系，基于数字化转型战略实施带动</w:t>
      </w:r>
      <w:r>
        <w:rPr>
          <w:rFonts w:ascii="Times New Roman" w:hAnsi="Times New Roman" w:eastAsia="楷体_GB2312"/>
          <w:b/>
          <w:bCs/>
          <w:sz w:val="32"/>
          <w:szCs w:val="32"/>
        </w:rPr>
        <w:t>组织变革和业务创新</w:t>
      </w:r>
      <w:r>
        <w:rPr>
          <w:rFonts w:ascii="Times New Roman" w:hAnsi="Times New Roman" w:eastAsia="楷体_GB2312"/>
          <w:sz w:val="32"/>
          <w:szCs w:val="32"/>
        </w:rPr>
        <w:t>，培育行业数字化转型</w:t>
      </w:r>
      <w:r>
        <w:rPr>
          <w:rFonts w:ascii="Times New Roman" w:hAnsi="Times New Roman" w:eastAsia="楷体_GB2312"/>
          <w:b/>
          <w:bCs/>
          <w:sz w:val="32"/>
          <w:szCs w:val="32"/>
        </w:rPr>
        <w:t>顶尖专家</w:t>
      </w:r>
      <w:r>
        <w:rPr>
          <w:rFonts w:ascii="Times New Roman" w:hAnsi="Times New Roman" w:eastAsia="楷体_GB2312"/>
          <w:sz w:val="32"/>
          <w:szCs w:val="32"/>
        </w:rPr>
        <w:t>。</w:t>
      </w:r>
    </w:p>
    <w:p w14:paraId="6314C6D5">
      <w:pPr>
        <w:widowControl/>
        <w:spacing w:line="360" w:lineRule="auto"/>
        <w:jc w:val="center"/>
        <w:rPr>
          <w:rFonts w:ascii="Times New Roman" w:hAnsi="Times New Roman" w:eastAsia="楷体_GB2312"/>
          <w:color w:val="000000"/>
          <w:kern w:val="0"/>
          <w:sz w:val="24"/>
        </w:rPr>
      </w:pPr>
      <w:r>
        <w:rPr>
          <w:rFonts w:ascii="Times New Roman" w:hAnsi="Times New Roman" w:eastAsia="楷体_GB2312"/>
          <w:color w:val="000000"/>
          <w:kern w:val="0"/>
          <w:sz w:val="24"/>
        </w:rPr>
        <w:t>表9 组织战略人才水平指标注释表</w:t>
      </w:r>
    </w:p>
    <w:tbl>
      <w:tblPr>
        <w:tblStyle w:val="6"/>
        <w:tblW w:w="907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17"/>
        <w:gridCol w:w="2560"/>
        <w:gridCol w:w="5494"/>
      </w:tblGrid>
      <w:tr w14:paraId="3E3256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8" w:hRule="atLeast"/>
          <w:jc w:val="center"/>
        </w:trPr>
        <w:tc>
          <w:tcPr>
            <w:tcW w:w="809" w:type="dxa"/>
            <w:shd w:val="clear" w:color="auto" w:fill="auto"/>
            <w:noWrap w:val="0"/>
            <w:vAlign w:val="center"/>
          </w:tcPr>
          <w:p w14:paraId="413092B9">
            <w:pPr>
              <w:widowControl/>
              <w:adjustRightInd w:val="0"/>
              <w:snapToGrid w:val="0"/>
              <w:jc w:val="center"/>
              <w:textAlignment w:val="center"/>
              <w:rPr>
                <w:rFonts w:ascii="Times New Roman" w:hAnsi="Times New Roman" w:eastAsia="仿宋_GB2312"/>
                <w:b/>
                <w:bCs/>
                <w:color w:val="000000"/>
                <w:sz w:val="24"/>
              </w:rPr>
            </w:pPr>
            <w:r>
              <w:rPr>
                <w:rFonts w:ascii="Times New Roman" w:hAnsi="Times New Roman" w:eastAsia="仿宋_GB2312"/>
                <w:b/>
                <w:bCs/>
                <w:color w:val="000000"/>
                <w:sz w:val="24"/>
              </w:rPr>
              <w:t>序号</w:t>
            </w:r>
          </w:p>
        </w:tc>
        <w:tc>
          <w:tcPr>
            <w:tcW w:w="2036" w:type="dxa"/>
            <w:shd w:val="clear" w:color="auto" w:fill="auto"/>
            <w:noWrap w:val="0"/>
            <w:vAlign w:val="center"/>
          </w:tcPr>
          <w:p w14:paraId="1D6E4D25">
            <w:pPr>
              <w:widowControl/>
              <w:adjustRightInd w:val="0"/>
              <w:snapToGrid w:val="0"/>
              <w:jc w:val="center"/>
              <w:textAlignment w:val="center"/>
              <w:rPr>
                <w:rFonts w:ascii="Times New Roman" w:hAnsi="Times New Roman" w:eastAsia="仿宋_GB2312"/>
                <w:b/>
                <w:bCs/>
                <w:color w:val="000000"/>
                <w:sz w:val="24"/>
              </w:rPr>
            </w:pPr>
            <w:r>
              <w:rPr>
                <w:rFonts w:ascii="Times New Roman" w:hAnsi="Times New Roman" w:eastAsia="仿宋_GB2312"/>
                <w:b/>
                <w:bCs/>
                <w:color w:val="000000"/>
                <w:sz w:val="24"/>
              </w:rPr>
              <w:t>关键词</w:t>
            </w:r>
          </w:p>
        </w:tc>
        <w:tc>
          <w:tcPr>
            <w:tcW w:w="4370" w:type="dxa"/>
            <w:shd w:val="clear" w:color="auto" w:fill="auto"/>
            <w:noWrap w:val="0"/>
            <w:vAlign w:val="center"/>
          </w:tcPr>
          <w:p w14:paraId="520232E1">
            <w:pPr>
              <w:widowControl/>
              <w:adjustRightInd w:val="0"/>
              <w:snapToGrid w:val="0"/>
              <w:jc w:val="center"/>
              <w:textAlignment w:val="center"/>
              <w:rPr>
                <w:rFonts w:ascii="Times New Roman" w:hAnsi="Times New Roman" w:eastAsia="仿宋_GB2312"/>
                <w:b/>
                <w:bCs/>
                <w:color w:val="000000"/>
                <w:sz w:val="24"/>
              </w:rPr>
            </w:pPr>
            <w:r>
              <w:rPr>
                <w:rFonts w:ascii="Times New Roman" w:hAnsi="Times New Roman" w:eastAsia="仿宋_GB2312"/>
                <w:b/>
                <w:bCs/>
                <w:color w:val="000000"/>
                <w:sz w:val="24"/>
              </w:rPr>
              <w:t>注释</w:t>
            </w:r>
          </w:p>
        </w:tc>
      </w:tr>
      <w:tr w14:paraId="1194CA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8" w:hRule="atLeast"/>
          <w:jc w:val="center"/>
        </w:trPr>
        <w:tc>
          <w:tcPr>
            <w:tcW w:w="809" w:type="dxa"/>
            <w:shd w:val="clear" w:color="auto" w:fill="auto"/>
            <w:noWrap w:val="0"/>
            <w:vAlign w:val="center"/>
          </w:tcPr>
          <w:p w14:paraId="347729E1">
            <w:pPr>
              <w:widowControl/>
              <w:adjustRightInd w:val="0"/>
              <w:snapToGrid w:val="0"/>
              <w:jc w:val="center"/>
              <w:textAlignment w:val="center"/>
              <w:rPr>
                <w:rFonts w:ascii="Times New Roman" w:hAnsi="Times New Roman" w:eastAsia="仿宋_GB2312"/>
                <w:sz w:val="24"/>
              </w:rPr>
            </w:pPr>
            <w:r>
              <w:rPr>
                <w:rFonts w:ascii="Times New Roman" w:hAnsi="Times New Roman" w:eastAsia="仿宋_GB2312"/>
                <w:sz w:val="24"/>
              </w:rPr>
              <w:t>1</w:t>
            </w:r>
          </w:p>
        </w:tc>
        <w:tc>
          <w:tcPr>
            <w:tcW w:w="2036" w:type="dxa"/>
            <w:shd w:val="clear" w:color="auto" w:fill="auto"/>
            <w:noWrap w:val="0"/>
            <w:vAlign w:val="center"/>
          </w:tcPr>
          <w:p w14:paraId="69F05ABE">
            <w:pPr>
              <w:widowControl/>
              <w:adjustRightInd w:val="0"/>
              <w:snapToGrid w:val="0"/>
              <w:jc w:val="center"/>
              <w:textAlignment w:val="center"/>
              <w:rPr>
                <w:rFonts w:ascii="Times New Roman" w:hAnsi="Times New Roman" w:eastAsia="仿宋_GB2312"/>
                <w:b/>
                <w:bCs/>
                <w:sz w:val="24"/>
              </w:rPr>
            </w:pPr>
            <w:r>
              <w:rPr>
                <w:rFonts w:ascii="Times New Roman" w:hAnsi="Times New Roman" w:eastAsia="仿宋_GB2312"/>
                <w:b/>
                <w:bCs/>
                <w:sz w:val="24"/>
              </w:rPr>
              <w:t>数字化转型目标</w:t>
            </w:r>
          </w:p>
        </w:tc>
        <w:tc>
          <w:tcPr>
            <w:tcW w:w="4370" w:type="dxa"/>
            <w:shd w:val="clear" w:color="auto" w:fill="auto"/>
            <w:noWrap w:val="0"/>
            <w:vAlign w:val="center"/>
          </w:tcPr>
          <w:p w14:paraId="02E50D56">
            <w:pPr>
              <w:widowControl/>
              <w:adjustRightInd w:val="0"/>
              <w:snapToGrid w:val="0"/>
              <w:jc w:val="left"/>
              <w:textAlignment w:val="center"/>
              <w:rPr>
                <w:rFonts w:ascii="Times New Roman" w:hAnsi="Times New Roman" w:eastAsia="仿宋_GB2312"/>
                <w:sz w:val="18"/>
                <w:szCs w:val="18"/>
              </w:rPr>
            </w:pPr>
            <w:r>
              <w:rPr>
                <w:rFonts w:ascii="Times New Roman" w:hAnsi="Times New Roman" w:eastAsia="仿宋_GB2312"/>
                <w:sz w:val="18"/>
                <w:szCs w:val="18"/>
              </w:rPr>
              <w:t>设备技术改造、信息系统搭建、网络基础建设等目标内容</w:t>
            </w:r>
          </w:p>
        </w:tc>
      </w:tr>
      <w:tr w14:paraId="1805C4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8" w:hRule="atLeast"/>
          <w:jc w:val="center"/>
        </w:trPr>
        <w:tc>
          <w:tcPr>
            <w:tcW w:w="809" w:type="dxa"/>
            <w:shd w:val="clear" w:color="auto" w:fill="auto"/>
            <w:noWrap w:val="0"/>
            <w:vAlign w:val="center"/>
          </w:tcPr>
          <w:p w14:paraId="7CE5C7A1">
            <w:pPr>
              <w:widowControl/>
              <w:adjustRightInd w:val="0"/>
              <w:snapToGrid w:val="0"/>
              <w:jc w:val="center"/>
              <w:textAlignment w:val="center"/>
              <w:rPr>
                <w:rFonts w:ascii="Times New Roman" w:hAnsi="Times New Roman" w:eastAsia="仿宋_GB2312"/>
                <w:sz w:val="24"/>
              </w:rPr>
            </w:pPr>
            <w:r>
              <w:rPr>
                <w:rFonts w:ascii="Times New Roman" w:hAnsi="Times New Roman" w:eastAsia="仿宋_GB2312"/>
                <w:sz w:val="24"/>
              </w:rPr>
              <w:t>2</w:t>
            </w:r>
          </w:p>
        </w:tc>
        <w:tc>
          <w:tcPr>
            <w:tcW w:w="2036" w:type="dxa"/>
            <w:shd w:val="clear" w:color="auto" w:fill="auto"/>
            <w:noWrap w:val="0"/>
            <w:vAlign w:val="center"/>
          </w:tcPr>
          <w:p w14:paraId="31458006">
            <w:pPr>
              <w:widowControl/>
              <w:adjustRightInd w:val="0"/>
              <w:snapToGrid w:val="0"/>
              <w:jc w:val="center"/>
              <w:textAlignment w:val="center"/>
              <w:rPr>
                <w:rFonts w:ascii="Times New Roman" w:hAnsi="Times New Roman" w:eastAsia="仿宋_GB2312"/>
                <w:b/>
                <w:bCs/>
                <w:sz w:val="24"/>
              </w:rPr>
            </w:pPr>
            <w:r>
              <w:rPr>
                <w:rFonts w:ascii="Times New Roman" w:hAnsi="Times New Roman" w:eastAsia="仿宋_GB2312"/>
                <w:b/>
                <w:bCs/>
                <w:sz w:val="24"/>
              </w:rPr>
              <w:t>数字化转型计划</w:t>
            </w:r>
          </w:p>
        </w:tc>
        <w:tc>
          <w:tcPr>
            <w:tcW w:w="4370" w:type="dxa"/>
            <w:shd w:val="clear" w:color="auto" w:fill="auto"/>
            <w:noWrap w:val="0"/>
            <w:vAlign w:val="center"/>
          </w:tcPr>
          <w:p w14:paraId="0E716979">
            <w:pPr>
              <w:widowControl/>
              <w:adjustRightInd w:val="0"/>
              <w:snapToGrid w:val="0"/>
              <w:jc w:val="left"/>
              <w:textAlignment w:val="center"/>
              <w:rPr>
                <w:rFonts w:ascii="Times New Roman" w:hAnsi="Times New Roman" w:eastAsia="仿宋_GB2312"/>
                <w:sz w:val="18"/>
                <w:szCs w:val="18"/>
              </w:rPr>
            </w:pPr>
            <w:r>
              <w:rPr>
                <w:rFonts w:ascii="Times New Roman" w:hAnsi="Times New Roman" w:eastAsia="仿宋_GB2312"/>
                <w:sz w:val="18"/>
                <w:szCs w:val="18"/>
              </w:rPr>
              <w:t>企业数字化转型推进的组织架构、数字化转型相关系统架构、技术方案、人员配备、资金预算等方面的规划，并形成了可落地、可实施、可监测的实施方案</w:t>
            </w:r>
          </w:p>
        </w:tc>
      </w:tr>
    </w:tbl>
    <w:p w14:paraId="12A36640">
      <w:pPr>
        <w:spacing w:line="560" w:lineRule="exact"/>
        <w:ind w:firstLine="640" w:firstLineChars="200"/>
        <w:outlineLvl w:val="0"/>
        <w:rPr>
          <w:rFonts w:ascii="Times New Roman" w:hAnsi="Times New Roman" w:eastAsia="黑体"/>
          <w:sz w:val="32"/>
          <w:szCs w:val="32"/>
        </w:rPr>
      </w:pPr>
      <w:r>
        <w:rPr>
          <w:rFonts w:ascii="Times New Roman" w:hAnsi="Times New Roman" w:eastAsia="黑体"/>
          <w:sz w:val="32"/>
          <w:szCs w:val="32"/>
        </w:rPr>
        <w:t>二、数字化成效评估</w:t>
      </w:r>
    </w:p>
    <w:p w14:paraId="6445CA24">
      <w:pPr>
        <w:spacing w:line="560" w:lineRule="exact"/>
        <w:ind w:firstLine="643" w:firstLineChars="200"/>
        <w:rPr>
          <w:rFonts w:ascii="Times New Roman" w:hAnsi="Times New Roman" w:eastAsia="仿宋_GB2312"/>
          <w:b/>
          <w:bCs/>
          <w:sz w:val="32"/>
          <w:szCs w:val="32"/>
        </w:rPr>
      </w:pPr>
      <w:r>
        <w:rPr>
          <w:rFonts w:ascii="Times New Roman" w:hAnsi="Times New Roman" w:eastAsia="仿宋_GB2312"/>
          <w:b/>
          <w:bCs/>
          <w:sz w:val="32"/>
          <w:szCs w:val="32"/>
        </w:rPr>
        <w:t>1.企业的数字化生产设备普及率为</w:t>
      </w:r>
      <w:r>
        <w:rPr>
          <w:rFonts w:ascii="Times New Roman" w:hAnsi="Times New Roman" w:eastAsia="仿宋_GB2312"/>
          <w:b/>
          <w:bCs/>
          <w:sz w:val="32"/>
          <w:szCs w:val="32"/>
          <w:u w:val="single"/>
        </w:rPr>
        <w:t xml:space="preserve">     </w:t>
      </w:r>
      <w:r>
        <w:rPr>
          <w:rFonts w:ascii="Times New Roman" w:hAnsi="Times New Roman" w:eastAsia="仿宋_GB2312"/>
          <w:b/>
          <w:bCs/>
          <w:sz w:val="32"/>
          <w:szCs w:val="32"/>
        </w:rPr>
        <w:t>。</w:t>
      </w:r>
    </w:p>
    <w:p w14:paraId="42D6678A">
      <w:pPr>
        <w:pStyle w:val="2"/>
        <w:spacing w:after="0" w:line="560" w:lineRule="exact"/>
        <w:ind w:firstLine="562"/>
        <w:rPr>
          <w:rFonts w:ascii="Times New Roman" w:hAnsi="Times New Roman" w:eastAsia="楷体_GB2312"/>
          <w:b/>
          <w:bCs/>
          <w:sz w:val="28"/>
          <w:szCs w:val="28"/>
        </w:rPr>
      </w:pPr>
      <w:r>
        <w:rPr>
          <w:rFonts w:ascii="Times New Roman" w:hAnsi="Times New Roman" w:eastAsia="楷体_GB2312"/>
          <w:b/>
          <w:bCs/>
          <w:sz w:val="28"/>
          <w:szCs w:val="28"/>
        </w:rPr>
        <w:t>注释：</w:t>
      </w:r>
    </w:p>
    <w:p w14:paraId="2F2EFC7D">
      <w:pPr>
        <w:pStyle w:val="2"/>
        <w:spacing w:after="0"/>
        <w:ind w:firstLine="560"/>
        <w:rPr>
          <w:rFonts w:ascii="Times New Roman" w:hAnsi="Times New Roman" w:eastAsia="楷体_GB2312"/>
          <w:bCs/>
          <w:iCs/>
          <w:sz w:val="28"/>
          <w:szCs w:val="28"/>
          <w:lang w:bidi="ar"/>
        </w:rPr>
      </w:pPr>
      <m:oMathPara>
        <m:oMath>
          <m:r>
            <m:rPr>
              <m:sty m:val="p"/>
            </m:rPr>
            <w:rPr>
              <w:rFonts w:hint="default" w:ascii="DejaVu Math TeX Gyre" w:hAnsi="DejaVu Math TeX Gyre" w:eastAsia="楷体_GB2312" w:cs="Times New Roman"/>
              <w:sz w:val="28"/>
              <w:szCs w:val="28"/>
              <w:lang w:bidi="ar-SA"/>
            </w:rPr>
            <m:t>数字化生产设备普及率=</m:t>
          </m:r>
          <m:f>
            <m:fPr>
              <m:ctrlPr>
                <w:rPr>
                  <w:rFonts w:hint="default" w:ascii="DejaVu Math TeX Gyre" w:hAnsi="DejaVu Math TeX Gyre" w:eastAsia="楷体_GB2312" w:cs="Times New Roman"/>
                  <w:iCs/>
                  <w:sz w:val="28"/>
                  <w:szCs w:val="28"/>
                  <w:lang w:bidi="ar-SA"/>
                </w:rPr>
              </m:ctrlPr>
            </m:fPr>
            <m:num>
              <m:r>
                <m:rPr>
                  <m:sty m:val="p"/>
                </m:rPr>
                <w:rPr>
                  <w:rFonts w:hint="default" w:ascii="DejaVu Math TeX Gyre" w:hAnsi="DejaVu Math TeX Gyre" w:eastAsia="楷体_GB2312" w:cs="Times New Roman"/>
                  <w:sz w:val="28"/>
                  <w:szCs w:val="28"/>
                  <w:lang w:bidi="ar-SA"/>
                </w:rPr>
                <m:t>数字化生产设备数量</m:t>
              </m:r>
              <m:ctrlPr>
                <w:rPr>
                  <w:rFonts w:hint="default" w:ascii="DejaVu Math TeX Gyre" w:hAnsi="DejaVu Math TeX Gyre" w:eastAsia="楷体_GB2312" w:cs="Times New Roman"/>
                  <w:iCs/>
                  <w:sz w:val="28"/>
                  <w:szCs w:val="28"/>
                  <w:lang w:bidi="ar-SA"/>
                </w:rPr>
              </m:ctrlPr>
            </m:num>
            <m:den>
              <m:r>
                <m:rPr>
                  <m:sty m:val="p"/>
                </m:rPr>
                <w:rPr>
                  <w:rFonts w:hint="default" w:ascii="DejaVu Math TeX Gyre" w:hAnsi="DejaVu Math TeX Gyre" w:eastAsia="楷体_GB2312" w:cs="Times New Roman"/>
                  <w:sz w:val="28"/>
                  <w:szCs w:val="28"/>
                  <w:lang w:bidi="ar-SA"/>
                </w:rPr>
                <m:t>生产设备总数</m:t>
              </m:r>
              <m:ctrlPr>
                <w:rPr>
                  <w:rFonts w:hint="default" w:ascii="DejaVu Math TeX Gyre" w:hAnsi="DejaVu Math TeX Gyre" w:eastAsia="楷体_GB2312" w:cs="Times New Roman"/>
                  <w:iCs/>
                  <w:sz w:val="28"/>
                  <w:szCs w:val="28"/>
                  <w:lang w:bidi="ar-SA"/>
                </w:rPr>
              </m:ctrlPr>
            </m:den>
          </m:f>
        </m:oMath>
      </m:oMathPara>
    </w:p>
    <w:p w14:paraId="627F8127">
      <w:pPr>
        <w:pStyle w:val="2"/>
        <w:spacing w:after="0" w:line="560" w:lineRule="exact"/>
        <w:ind w:firstLine="640" w:firstLineChars="200"/>
        <w:rPr>
          <w:rFonts w:ascii="Times New Roman" w:hAnsi="Times New Roman" w:eastAsia="楷体_GB2312"/>
          <w:sz w:val="32"/>
          <w:szCs w:val="32"/>
        </w:rPr>
      </w:pPr>
      <w:r>
        <w:rPr>
          <w:rFonts w:ascii="Times New Roman" w:hAnsi="Times New Roman" w:eastAsia="楷体_GB2312"/>
          <w:sz w:val="32"/>
          <w:szCs w:val="32"/>
        </w:rPr>
        <w:t>其中，数字化生产设备是指能够采集和监测性能参数、运行状态等数据，并可通过开放的网络接口根据使用需求上传至控制系统或管理系统，实现数据打通。数字化生产设备中既包含企业直接部署的具备数字化能力的生产设备，也包含企业对传统生产设备进行数字化改造。</w:t>
      </w:r>
    </w:p>
    <w:p w14:paraId="3DE1EDA0">
      <w:pPr>
        <w:pStyle w:val="2"/>
        <w:spacing w:after="0" w:line="560" w:lineRule="exact"/>
        <w:ind w:firstLine="640" w:firstLineChars="200"/>
        <w:rPr>
          <w:rFonts w:ascii="Times New Roman" w:hAnsi="Times New Roman"/>
          <w:sz w:val="32"/>
          <w:szCs w:val="32"/>
        </w:rPr>
      </w:pPr>
      <w:r>
        <w:rPr>
          <w:rFonts w:ascii="Times New Roman" w:hAnsi="Times New Roman" w:eastAsia="楷体_GB2312"/>
          <w:sz w:val="32"/>
          <w:szCs w:val="32"/>
        </w:rPr>
        <w:t>生产设备指在生产过程中完成特定任务所必须的设备和装置，包括但不限于数控机床、数控加工中心、工业机器人、增材制造设备、检测测试设备、物料运输设备、石化成套装置、纺织印染设备以及其它专用设备。</w:t>
      </w:r>
    </w:p>
    <w:p w14:paraId="2875F1AB">
      <w:pPr>
        <w:spacing w:line="560" w:lineRule="exact"/>
        <w:ind w:firstLine="643" w:firstLineChars="200"/>
        <w:rPr>
          <w:rFonts w:ascii="Times New Roman" w:hAnsi="Times New Roman" w:eastAsia="仿宋_GB2312"/>
          <w:b/>
          <w:bCs/>
          <w:sz w:val="32"/>
          <w:szCs w:val="32"/>
        </w:rPr>
      </w:pPr>
      <w:r>
        <w:rPr>
          <w:rFonts w:ascii="Times New Roman" w:hAnsi="Times New Roman" w:eastAsia="仿宋_GB2312"/>
          <w:b/>
          <w:bCs/>
          <w:sz w:val="32"/>
          <w:szCs w:val="32"/>
        </w:rPr>
        <w:t>2.企业的关键工序数控化率为</w:t>
      </w:r>
      <w:r>
        <w:rPr>
          <w:rFonts w:ascii="Times New Roman" w:hAnsi="Times New Roman" w:eastAsia="仿宋_GB2312"/>
          <w:b/>
          <w:bCs/>
          <w:sz w:val="32"/>
          <w:szCs w:val="32"/>
          <w:u w:val="single"/>
        </w:rPr>
        <w:t xml:space="preserve">     </w:t>
      </w:r>
      <w:r>
        <w:rPr>
          <w:rFonts w:ascii="Times New Roman" w:hAnsi="Times New Roman" w:eastAsia="仿宋_GB2312"/>
          <w:b/>
          <w:bCs/>
          <w:sz w:val="32"/>
          <w:szCs w:val="32"/>
        </w:rPr>
        <w:t>。</w:t>
      </w:r>
    </w:p>
    <w:p w14:paraId="5BA6E0E4">
      <w:pPr>
        <w:pStyle w:val="2"/>
        <w:spacing w:after="0" w:line="560" w:lineRule="exact"/>
        <w:ind w:firstLine="643" w:firstLineChars="200"/>
        <w:rPr>
          <w:rFonts w:ascii="Times New Roman" w:hAnsi="Times New Roman" w:eastAsia="楷体_GB2312"/>
          <w:b/>
          <w:bCs/>
          <w:sz w:val="32"/>
          <w:szCs w:val="32"/>
        </w:rPr>
      </w:pPr>
      <w:r>
        <w:rPr>
          <w:rFonts w:ascii="Times New Roman" w:hAnsi="Times New Roman" w:eastAsia="楷体_GB2312"/>
          <w:b/>
          <w:bCs/>
          <w:sz w:val="32"/>
          <w:szCs w:val="32"/>
        </w:rPr>
        <w:t>注释：</w:t>
      </w:r>
    </w:p>
    <w:p w14:paraId="01D843AB">
      <w:pPr>
        <w:pStyle w:val="2"/>
        <w:spacing w:after="0" w:line="560" w:lineRule="exact"/>
        <w:ind w:firstLine="640" w:firstLineChars="200"/>
        <w:rPr>
          <w:rFonts w:ascii="Times New Roman" w:hAnsi="Times New Roman" w:eastAsia="楷体_GB2312"/>
          <w:sz w:val="32"/>
          <w:szCs w:val="32"/>
        </w:rPr>
      </w:pPr>
      <w:r>
        <w:rPr>
          <w:rFonts w:ascii="Times New Roman" w:hAnsi="Times New Roman" w:eastAsia="楷体_GB2312"/>
          <w:sz w:val="32"/>
          <w:szCs w:val="32"/>
        </w:rPr>
        <w:t>企业所处行业如果属于流程行业（例如医药、石化、建材、钢铁等行业）</w:t>
      </w:r>
      <w:r>
        <w:rPr>
          <w:rFonts w:ascii="Times New Roman" w:hAnsi="Times New Roman"/>
          <w:sz w:val="32"/>
          <w:szCs w:val="32"/>
        </w:rPr>
        <w:t>，</w:t>
      </w:r>
      <w:r>
        <w:rPr>
          <w:rFonts w:ascii="Times New Roman" w:hAnsi="Times New Roman" w:eastAsia="楷体_GB2312"/>
          <w:sz w:val="32"/>
          <w:szCs w:val="32"/>
        </w:rPr>
        <w:t>关键工序数控化率是关键工序中过程控制系统(例如可编程逻辑控制器PLC、分布式控制系统DCS、过程控制系统PCS等)的覆盖率。</w:t>
      </w:r>
    </w:p>
    <w:p w14:paraId="34220522">
      <w:pPr>
        <w:pStyle w:val="2"/>
        <w:spacing w:after="0" w:line="560" w:lineRule="exact"/>
        <w:ind w:firstLine="640" w:firstLineChars="200"/>
        <w:rPr>
          <w:rFonts w:ascii="Times New Roman" w:hAnsi="Times New Roman" w:eastAsia="楷体_GB2312"/>
          <w:sz w:val="32"/>
          <w:szCs w:val="32"/>
        </w:rPr>
      </w:pPr>
      <w:r>
        <w:rPr>
          <w:rFonts w:ascii="Times New Roman" w:hAnsi="Times New Roman" w:eastAsia="楷体_GB2312"/>
          <w:sz w:val="32"/>
          <w:szCs w:val="32"/>
        </w:rPr>
        <w:t>企业所处行业如果属于离散行业（例如纺织服装、机械制造、电子电器、航空制造、汽车制造等行业），关键工序数控化率是关键工序中数控系统(例如数控机床NC、分布式数控机床DNC、计算机数控机床CNC、柔性制造单元FMC等)的覆盖率。</w:t>
      </w:r>
    </w:p>
    <w:p w14:paraId="68E02032">
      <w:pPr>
        <w:spacing w:line="560" w:lineRule="exact"/>
        <w:ind w:firstLine="643" w:firstLineChars="200"/>
        <w:rPr>
          <w:rFonts w:ascii="Times New Roman" w:hAnsi="Times New Roman" w:eastAsia="仿宋_GB2312"/>
          <w:b/>
          <w:bCs/>
          <w:sz w:val="32"/>
          <w:szCs w:val="32"/>
        </w:rPr>
      </w:pPr>
      <w:r>
        <w:rPr>
          <w:rFonts w:ascii="Times New Roman" w:hAnsi="Times New Roman" w:eastAsia="仿宋_GB2312"/>
          <w:b/>
          <w:bCs/>
          <w:sz w:val="32"/>
          <w:szCs w:val="32"/>
        </w:rPr>
        <w:t>3.企业是否使用了数字化研发设计工具</w:t>
      </w:r>
      <w:r>
        <w:rPr>
          <w:rFonts w:ascii="Times New Roman" w:hAnsi="Times New Roman" w:eastAsia="仿宋_GB2312"/>
          <w:b/>
          <w:bCs/>
          <w:sz w:val="32"/>
          <w:szCs w:val="32"/>
          <w:u w:val="single"/>
        </w:rPr>
        <w:t xml:space="preserve">  是/否   </w:t>
      </w:r>
      <w:r>
        <w:rPr>
          <w:rFonts w:ascii="Times New Roman" w:hAnsi="Times New Roman" w:eastAsia="仿宋_GB2312"/>
          <w:b/>
          <w:bCs/>
          <w:sz w:val="32"/>
          <w:szCs w:val="32"/>
        </w:rPr>
        <w:t>。</w:t>
      </w:r>
    </w:p>
    <w:p w14:paraId="348908DF">
      <w:pPr>
        <w:pStyle w:val="2"/>
        <w:spacing w:after="0" w:line="560" w:lineRule="exact"/>
        <w:ind w:firstLine="643" w:firstLineChars="200"/>
        <w:rPr>
          <w:rFonts w:ascii="Times New Roman" w:hAnsi="Times New Roman" w:eastAsia="楷体_GB2312"/>
          <w:b/>
          <w:bCs/>
          <w:sz w:val="32"/>
          <w:szCs w:val="32"/>
        </w:rPr>
      </w:pPr>
      <w:r>
        <w:rPr>
          <w:rFonts w:ascii="Times New Roman" w:hAnsi="Times New Roman" w:eastAsia="楷体_GB2312"/>
          <w:b/>
          <w:bCs/>
          <w:sz w:val="32"/>
          <w:szCs w:val="32"/>
        </w:rPr>
        <w:t>注释：</w:t>
      </w:r>
    </w:p>
    <w:p w14:paraId="45DB094D">
      <w:pPr>
        <w:pStyle w:val="2"/>
        <w:spacing w:after="0" w:line="560" w:lineRule="exact"/>
        <w:ind w:firstLine="640" w:firstLineChars="200"/>
        <w:rPr>
          <w:rFonts w:ascii="Times New Roman" w:hAnsi="Times New Roman" w:eastAsia="楷体_GB2312"/>
          <w:sz w:val="32"/>
          <w:szCs w:val="32"/>
        </w:rPr>
      </w:pPr>
      <w:r>
        <w:rPr>
          <w:rFonts w:ascii="Times New Roman" w:hAnsi="Times New Roman" w:eastAsia="楷体_GB2312"/>
          <w:sz w:val="32"/>
          <w:szCs w:val="32"/>
        </w:rPr>
        <w:t>数字化研发设计工具是指辅助企业开展产品设计，实现数字化建模、仿真、验证等功能的软件工具，例如，计算机辅助设计CAD、计算机辅助工程CAE、计算机辅助制造CAM、计算机辅助工艺过程设计CAPP、电子设计自动化EDA、产品生命周期管理PLM等软件。</w:t>
      </w:r>
    </w:p>
    <w:p w14:paraId="4AC259AF">
      <w:pPr>
        <w:spacing w:line="560" w:lineRule="exact"/>
        <w:ind w:firstLine="643" w:firstLineChars="200"/>
        <w:rPr>
          <w:rFonts w:ascii="Times New Roman" w:hAnsi="Times New Roman" w:eastAsia="仿宋_GB2312"/>
          <w:b/>
          <w:bCs/>
          <w:sz w:val="32"/>
          <w:szCs w:val="32"/>
        </w:rPr>
      </w:pPr>
      <w:r>
        <w:rPr>
          <w:rFonts w:ascii="Times New Roman" w:hAnsi="Times New Roman" w:eastAsia="仿宋_GB2312"/>
          <w:b/>
          <w:bCs/>
          <w:sz w:val="32"/>
          <w:szCs w:val="32"/>
        </w:rPr>
        <w:t>4.企业的产品质量合格率为</w:t>
      </w:r>
      <w:r>
        <w:rPr>
          <w:rFonts w:ascii="Times New Roman" w:hAnsi="Times New Roman" w:eastAsia="仿宋_GB2312"/>
          <w:b/>
          <w:bCs/>
          <w:sz w:val="32"/>
          <w:szCs w:val="32"/>
          <w:u w:val="single"/>
        </w:rPr>
        <w:t xml:space="preserve">     </w:t>
      </w:r>
      <w:r>
        <w:rPr>
          <w:rFonts w:ascii="Times New Roman" w:hAnsi="Times New Roman" w:eastAsia="仿宋_GB2312"/>
          <w:b/>
          <w:bCs/>
          <w:sz w:val="32"/>
          <w:szCs w:val="32"/>
        </w:rPr>
        <w:t>。</w:t>
      </w:r>
    </w:p>
    <w:p w14:paraId="0B27F2DF">
      <w:pPr>
        <w:pStyle w:val="2"/>
        <w:spacing w:after="0" w:line="560" w:lineRule="exact"/>
        <w:ind w:firstLine="643" w:firstLineChars="200"/>
        <w:rPr>
          <w:rFonts w:ascii="Times New Roman" w:hAnsi="Times New Roman" w:eastAsia="楷体_GB2312"/>
          <w:b/>
          <w:bCs/>
          <w:sz w:val="32"/>
          <w:szCs w:val="32"/>
        </w:rPr>
      </w:pPr>
      <w:r>
        <w:rPr>
          <w:rFonts w:ascii="Times New Roman" w:hAnsi="Times New Roman" w:eastAsia="楷体_GB2312"/>
          <w:b/>
          <w:bCs/>
          <w:sz w:val="32"/>
          <w:szCs w:val="32"/>
        </w:rPr>
        <w:t>注释：</w:t>
      </w:r>
    </w:p>
    <w:p w14:paraId="72AE9D2A">
      <w:pPr>
        <w:pStyle w:val="2"/>
        <w:spacing w:after="0" w:line="560" w:lineRule="exact"/>
        <w:ind w:firstLine="640" w:firstLineChars="200"/>
        <w:rPr>
          <w:rFonts w:ascii="Times New Roman" w:hAnsi="Times New Roman" w:eastAsia="楷体_GB2312"/>
          <w:sz w:val="32"/>
          <w:szCs w:val="32"/>
        </w:rPr>
      </w:pPr>
      <w:r>
        <w:rPr>
          <w:rFonts w:ascii="Times New Roman" w:hAnsi="Times New Roman" w:eastAsia="楷体_GB2312"/>
          <w:sz w:val="32"/>
          <w:szCs w:val="32"/>
        </w:rPr>
        <w:t>产品质量合格率指的是企业某批次产品抽样中，质量合格产品样本数占总样本数比例。</w:t>
      </w:r>
    </w:p>
    <w:p w14:paraId="0A578C67">
      <w:pPr>
        <w:jc w:val="center"/>
        <w:rPr>
          <w:rFonts w:ascii="Times New Roman" w:hAnsi="Times New Roman" w:eastAsia="楷体_GB2312"/>
          <w:bCs/>
          <w:iCs/>
          <w:sz w:val="28"/>
          <w:szCs w:val="28"/>
          <w:lang w:bidi="ar"/>
        </w:rPr>
      </w:pPr>
      <m:oMathPara>
        <m:oMath>
          <m:r>
            <m:rPr>
              <m:sty m:val="p"/>
            </m:rPr>
            <w:rPr>
              <w:rFonts w:hint="default" w:ascii="DejaVu Math TeX Gyre" w:hAnsi="DejaVu Math TeX Gyre" w:eastAsia="楷体_GB2312" w:cs="Times New Roman"/>
              <w:sz w:val="28"/>
              <w:szCs w:val="28"/>
              <w:lang w:bidi="ar-SA"/>
            </w:rPr>
            <m:t>产品质量合格率=</m:t>
          </m:r>
          <m:f>
            <m:fPr>
              <m:ctrlPr>
                <w:rPr>
                  <w:rFonts w:hint="default" w:ascii="DejaVu Math TeX Gyre" w:hAnsi="DejaVu Math TeX Gyre" w:eastAsia="楷体_GB2312" w:cs="Times New Roman"/>
                  <w:iCs/>
                  <w:sz w:val="28"/>
                  <w:szCs w:val="28"/>
                  <w:lang w:bidi="ar-SA"/>
                </w:rPr>
              </m:ctrlPr>
            </m:fPr>
            <m:num>
              <m:r>
                <m:rPr>
                  <m:sty m:val="p"/>
                </m:rPr>
                <w:rPr>
                  <w:rFonts w:hint="default" w:ascii="DejaVu Math TeX Gyre" w:hAnsi="DejaVu Math TeX Gyre" w:eastAsia="楷体_GB2312" w:cs="Times New Roman"/>
                  <w:sz w:val="28"/>
                  <w:szCs w:val="28"/>
                  <w:lang w:bidi="ar-SA"/>
                </w:rPr>
                <m:t>质量合格产品样本数量（批次）</m:t>
              </m:r>
              <m:ctrlPr>
                <w:rPr>
                  <w:rFonts w:hint="default" w:ascii="DejaVu Math TeX Gyre" w:hAnsi="DejaVu Math TeX Gyre" w:eastAsia="楷体_GB2312" w:cs="Times New Roman"/>
                  <w:iCs/>
                  <w:sz w:val="28"/>
                  <w:szCs w:val="28"/>
                  <w:lang w:bidi="ar-SA"/>
                </w:rPr>
              </m:ctrlPr>
            </m:num>
            <m:den>
              <m:r>
                <m:rPr>
                  <m:sty m:val="p"/>
                </m:rPr>
                <w:rPr>
                  <w:rFonts w:hint="default" w:ascii="DejaVu Math TeX Gyre" w:hAnsi="DejaVu Math TeX Gyre" w:eastAsia="楷体_GB2312" w:cs="Times New Roman"/>
                  <w:sz w:val="28"/>
                  <w:szCs w:val="28"/>
                  <w:lang w:bidi="ar-SA"/>
                </w:rPr>
                <m:t>抽样样本总数量（批次）</m:t>
              </m:r>
              <m:ctrlPr>
                <w:rPr>
                  <w:rFonts w:hint="default" w:ascii="DejaVu Math TeX Gyre" w:hAnsi="DejaVu Math TeX Gyre" w:eastAsia="楷体_GB2312" w:cs="Times New Roman"/>
                  <w:iCs/>
                  <w:sz w:val="28"/>
                  <w:szCs w:val="28"/>
                  <w:lang w:bidi="ar-SA"/>
                </w:rPr>
              </m:ctrlPr>
            </m:den>
          </m:f>
        </m:oMath>
      </m:oMathPara>
    </w:p>
    <w:p w14:paraId="2B94AAA1">
      <w:pPr>
        <w:spacing w:line="560" w:lineRule="exact"/>
        <w:ind w:firstLine="643" w:firstLineChars="200"/>
        <w:rPr>
          <w:rFonts w:ascii="Times New Roman" w:hAnsi="Times New Roman" w:eastAsia="仿宋_GB2312"/>
          <w:b/>
          <w:bCs/>
          <w:sz w:val="32"/>
          <w:szCs w:val="32"/>
        </w:rPr>
      </w:pPr>
      <w:r>
        <w:rPr>
          <w:rFonts w:ascii="Times New Roman" w:hAnsi="Times New Roman" w:eastAsia="仿宋_GB2312"/>
          <w:b/>
          <w:bCs/>
          <w:sz w:val="32"/>
          <w:szCs w:val="32"/>
        </w:rPr>
        <w:t>5.企业的销售利润率为</w:t>
      </w:r>
      <w:r>
        <w:rPr>
          <w:rFonts w:ascii="Times New Roman" w:hAnsi="Times New Roman" w:eastAsia="仿宋_GB2312"/>
          <w:b/>
          <w:bCs/>
          <w:sz w:val="32"/>
          <w:szCs w:val="32"/>
          <w:u w:val="single"/>
        </w:rPr>
        <w:t xml:space="preserve">     </w:t>
      </w:r>
      <w:r>
        <w:rPr>
          <w:rFonts w:ascii="Times New Roman" w:hAnsi="Times New Roman" w:eastAsia="仿宋_GB2312"/>
          <w:b/>
          <w:bCs/>
          <w:sz w:val="32"/>
          <w:szCs w:val="32"/>
        </w:rPr>
        <w:t>。</w:t>
      </w:r>
    </w:p>
    <w:p w14:paraId="3C141FEA">
      <w:pPr>
        <w:pStyle w:val="2"/>
        <w:spacing w:after="0" w:line="560" w:lineRule="exact"/>
        <w:ind w:firstLine="643" w:firstLineChars="200"/>
        <w:rPr>
          <w:rFonts w:ascii="Times New Roman" w:hAnsi="Times New Roman" w:eastAsia="楷体_GB2312"/>
          <w:b/>
          <w:bCs/>
          <w:sz w:val="32"/>
          <w:szCs w:val="32"/>
        </w:rPr>
      </w:pPr>
      <w:r>
        <w:rPr>
          <w:rFonts w:ascii="Times New Roman" w:hAnsi="Times New Roman" w:eastAsia="楷体_GB2312"/>
          <w:b/>
          <w:bCs/>
          <w:sz w:val="32"/>
          <w:szCs w:val="32"/>
        </w:rPr>
        <w:t>注释：</w:t>
      </w:r>
    </w:p>
    <w:p w14:paraId="781B3ACA">
      <w:pPr>
        <w:pStyle w:val="2"/>
        <w:spacing w:after="0" w:line="560" w:lineRule="exact"/>
        <w:ind w:firstLine="640" w:firstLineChars="200"/>
        <w:rPr>
          <w:rFonts w:ascii="Times New Roman" w:hAnsi="Times New Roman" w:eastAsia="楷体_GB2312"/>
          <w:sz w:val="32"/>
          <w:szCs w:val="32"/>
        </w:rPr>
      </w:pPr>
      <w:r>
        <w:rPr>
          <w:rFonts w:ascii="Times New Roman" w:hAnsi="Times New Roman" w:eastAsia="楷体_GB2312"/>
          <w:sz w:val="32"/>
          <w:szCs w:val="32"/>
        </w:rPr>
        <w:t>销售利润率指的是企业上一年度利润总额与净销售收入的比值。</w:t>
      </w:r>
    </w:p>
    <w:p w14:paraId="6CDD1537">
      <w:pPr>
        <w:jc w:val="center"/>
        <w:rPr>
          <w:rFonts w:ascii="Times New Roman" w:hAnsi="Times New Roman" w:eastAsia="楷体_GB2312"/>
          <w:bCs/>
          <w:iCs/>
          <w:sz w:val="28"/>
          <w:szCs w:val="28"/>
          <w:lang w:bidi="ar"/>
        </w:rPr>
      </w:pPr>
      <m:oMathPara>
        <m:oMath>
          <m:r>
            <m:rPr>
              <m:sty m:val="p"/>
            </m:rPr>
            <w:rPr>
              <w:rFonts w:hint="default" w:ascii="DejaVu Math TeX Gyre" w:hAnsi="DejaVu Math TeX Gyre" w:eastAsia="楷体_GB2312" w:cs="Times New Roman"/>
              <w:sz w:val="28"/>
              <w:szCs w:val="28"/>
              <w:lang w:bidi="ar-SA"/>
            </w:rPr>
            <m:t>销售利润率=</m:t>
          </m:r>
          <m:f>
            <m:fPr>
              <m:ctrlPr>
                <w:rPr>
                  <w:rFonts w:hint="default" w:ascii="DejaVu Math TeX Gyre" w:hAnsi="DejaVu Math TeX Gyre" w:eastAsia="楷体_GB2312" w:cs="Times New Roman"/>
                  <w:iCs/>
                  <w:sz w:val="28"/>
                  <w:szCs w:val="28"/>
                  <w:lang w:bidi="ar-SA"/>
                </w:rPr>
              </m:ctrlPr>
            </m:fPr>
            <m:num>
              <m:r>
                <m:rPr>
                  <m:sty m:val="p"/>
                </m:rPr>
                <w:rPr>
                  <w:rFonts w:hint="default" w:ascii="DejaVu Math TeX Gyre" w:hAnsi="DejaVu Math TeX Gyre" w:eastAsia="楷体_GB2312" w:cs="Times New Roman"/>
                  <w:sz w:val="28"/>
                  <w:szCs w:val="28"/>
                  <w:lang w:bidi="ar-SA"/>
                </w:rPr>
                <m:t>利润总额</m:t>
              </m:r>
              <m:ctrlPr>
                <w:rPr>
                  <w:rFonts w:hint="default" w:ascii="DejaVu Math TeX Gyre" w:hAnsi="DejaVu Math TeX Gyre" w:eastAsia="楷体_GB2312" w:cs="Times New Roman"/>
                  <w:iCs/>
                  <w:sz w:val="28"/>
                  <w:szCs w:val="28"/>
                  <w:lang w:bidi="ar-SA"/>
                </w:rPr>
              </m:ctrlPr>
            </m:num>
            <m:den>
              <m:r>
                <m:rPr>
                  <m:sty m:val="p"/>
                </m:rPr>
                <w:rPr>
                  <w:rFonts w:hint="default" w:ascii="DejaVu Math TeX Gyre" w:hAnsi="DejaVu Math TeX Gyre" w:eastAsia="楷体_GB2312" w:cs="Times New Roman"/>
                  <w:sz w:val="28"/>
                  <w:szCs w:val="28"/>
                  <w:lang w:bidi="ar-SA"/>
                </w:rPr>
                <m:t>净销售收入</m:t>
              </m:r>
              <m:ctrlPr>
                <w:rPr>
                  <w:rFonts w:hint="default" w:ascii="DejaVu Math TeX Gyre" w:hAnsi="DejaVu Math TeX Gyre" w:eastAsia="楷体_GB2312" w:cs="Times New Roman"/>
                  <w:iCs/>
                  <w:sz w:val="28"/>
                  <w:szCs w:val="28"/>
                  <w:lang w:bidi="ar-SA"/>
                </w:rPr>
              </m:ctrlPr>
            </m:den>
          </m:f>
        </m:oMath>
      </m:oMathPara>
    </w:p>
    <w:p w14:paraId="256218E8">
      <w:pPr>
        <w:spacing w:line="560" w:lineRule="exact"/>
        <w:ind w:firstLine="643" w:firstLineChars="200"/>
        <w:rPr>
          <w:rFonts w:ascii="Times New Roman" w:hAnsi="Times New Roman" w:eastAsia="仿宋_GB2312"/>
          <w:b/>
          <w:bCs/>
          <w:sz w:val="32"/>
          <w:szCs w:val="32"/>
        </w:rPr>
      </w:pPr>
      <w:r>
        <w:rPr>
          <w:rFonts w:ascii="Times New Roman" w:hAnsi="Times New Roman" w:eastAsia="仿宋_GB2312"/>
          <w:b/>
          <w:bCs/>
          <w:sz w:val="32"/>
          <w:szCs w:val="32"/>
        </w:rPr>
        <w:t>6.企业的全员劳动生产率为</w:t>
      </w:r>
      <w:r>
        <w:rPr>
          <w:rFonts w:ascii="Times New Roman" w:hAnsi="Times New Roman" w:eastAsia="仿宋_GB2312"/>
          <w:b/>
          <w:bCs/>
          <w:sz w:val="32"/>
          <w:szCs w:val="32"/>
          <w:u w:val="single"/>
        </w:rPr>
        <w:t xml:space="preserve">     </w:t>
      </w:r>
      <w:r>
        <w:rPr>
          <w:rFonts w:ascii="Times New Roman" w:hAnsi="Times New Roman" w:eastAsia="仿宋_GB2312"/>
          <w:b/>
          <w:bCs/>
          <w:sz w:val="32"/>
          <w:szCs w:val="32"/>
        </w:rPr>
        <w:t>。</w:t>
      </w:r>
    </w:p>
    <w:p w14:paraId="665A410B">
      <w:pPr>
        <w:pStyle w:val="2"/>
        <w:spacing w:after="0" w:line="560" w:lineRule="exact"/>
        <w:ind w:firstLine="643" w:firstLineChars="200"/>
        <w:rPr>
          <w:rFonts w:ascii="Times New Roman" w:hAnsi="Times New Roman" w:eastAsia="楷体_GB2312"/>
          <w:b/>
          <w:bCs/>
          <w:sz w:val="32"/>
          <w:szCs w:val="32"/>
        </w:rPr>
      </w:pPr>
      <w:r>
        <w:rPr>
          <w:rFonts w:ascii="Times New Roman" w:hAnsi="Times New Roman" w:eastAsia="楷体_GB2312"/>
          <w:b/>
          <w:bCs/>
          <w:sz w:val="32"/>
          <w:szCs w:val="32"/>
        </w:rPr>
        <w:t>注释：</w:t>
      </w:r>
    </w:p>
    <w:p w14:paraId="089EBC56">
      <w:pPr>
        <w:pStyle w:val="2"/>
        <w:spacing w:after="0" w:line="560" w:lineRule="exact"/>
        <w:ind w:firstLine="640" w:firstLineChars="200"/>
        <w:rPr>
          <w:rFonts w:ascii="Times New Roman" w:hAnsi="Times New Roman" w:eastAsia="楷体_GB2312"/>
          <w:sz w:val="32"/>
          <w:szCs w:val="32"/>
        </w:rPr>
      </w:pPr>
      <w:r>
        <w:rPr>
          <w:rFonts w:ascii="Times New Roman" w:hAnsi="Times New Roman" w:eastAsia="楷体_GB2312"/>
          <w:sz w:val="32"/>
          <w:szCs w:val="32"/>
        </w:rPr>
        <w:t>全员劳动生产率指的是企业上一年度累计增加值与企业平均从业人员的比值。</w:t>
      </w:r>
    </w:p>
    <w:p w14:paraId="0EE56CFE">
      <w:pPr>
        <w:jc w:val="center"/>
        <w:rPr>
          <w:rFonts w:ascii="Times New Roman" w:hAnsi="Times New Roman" w:eastAsia="楷体_GB2312"/>
          <w:bCs/>
          <w:iCs/>
          <w:sz w:val="28"/>
          <w:szCs w:val="28"/>
          <w:lang w:bidi="ar"/>
        </w:rPr>
      </w:pPr>
      <m:oMathPara>
        <m:oMath>
          <m:r>
            <m:rPr>
              <m:sty m:val="p"/>
            </m:rPr>
            <w:rPr>
              <w:rFonts w:hint="default" w:ascii="DejaVu Math TeX Gyre" w:hAnsi="DejaVu Math TeX Gyre" w:eastAsia="楷体_GB2312" w:cs="Times New Roman"/>
              <w:sz w:val="28"/>
              <w:szCs w:val="28"/>
              <w:lang w:bidi="ar-SA"/>
            </w:rPr>
            <m:t>全员劳动生产率=</m:t>
          </m:r>
          <m:f>
            <m:fPr>
              <m:ctrlPr>
                <w:rPr>
                  <w:rFonts w:hint="default" w:ascii="DejaVu Math TeX Gyre" w:hAnsi="DejaVu Math TeX Gyre" w:eastAsia="楷体_GB2312" w:cs="Times New Roman"/>
                  <w:iCs/>
                  <w:sz w:val="28"/>
                  <w:szCs w:val="28"/>
                  <w:lang w:bidi="ar-SA"/>
                </w:rPr>
              </m:ctrlPr>
            </m:fPr>
            <m:num>
              <m:r>
                <m:rPr>
                  <m:sty m:val="p"/>
                </m:rPr>
                <w:rPr>
                  <w:rFonts w:hint="default" w:ascii="DejaVu Math TeX Gyre" w:hAnsi="DejaVu Math TeX Gyre" w:eastAsia="楷体_GB2312" w:cs="Times New Roman"/>
                  <w:sz w:val="28"/>
                  <w:szCs w:val="28"/>
                  <w:lang w:bidi="ar-SA"/>
                </w:rPr>
                <m:t>企业</m:t>
              </m:r>
              <m:r>
                <m:rPr>
                  <m:sty m:val="p"/>
                </m:rPr>
                <w:rPr>
                  <w:rFonts w:hint="default" w:ascii="DejaVu Math TeX Gyre" w:hAnsi="DejaVu Math TeX Gyre" w:eastAsia="楷体_GB2312" w:cs="Times New Roman"/>
                  <w:sz w:val="28"/>
                  <w:szCs w:val="28"/>
                </w:rPr>
                <m:t>上一年度</m:t>
              </m:r>
              <m:r>
                <m:rPr>
                  <m:sty m:val="p"/>
                </m:rPr>
                <w:rPr>
                  <w:rFonts w:hint="default" w:ascii="DejaVu Math TeX Gyre" w:hAnsi="DejaVu Math TeX Gyre" w:eastAsia="楷体_GB2312" w:cs="Times New Roman"/>
                  <w:sz w:val="28"/>
                  <w:szCs w:val="28"/>
                  <w:lang w:bidi="ar-SA"/>
                </w:rPr>
                <m:t>累计增加值（万元）</m:t>
              </m:r>
              <m:ctrlPr>
                <w:rPr>
                  <w:rFonts w:hint="default" w:ascii="DejaVu Math TeX Gyre" w:hAnsi="DejaVu Math TeX Gyre" w:eastAsia="楷体_GB2312" w:cs="Times New Roman"/>
                  <w:iCs/>
                  <w:sz w:val="28"/>
                  <w:szCs w:val="28"/>
                  <w:lang w:bidi="ar-SA"/>
                </w:rPr>
              </m:ctrlPr>
            </m:num>
            <m:den>
              <m:r>
                <m:rPr>
                  <m:sty m:val="p"/>
                </m:rPr>
                <w:rPr>
                  <w:rFonts w:hint="default" w:ascii="DejaVu Math TeX Gyre" w:hAnsi="DejaVu Math TeX Gyre" w:eastAsia="楷体_GB2312" w:cs="Times New Roman"/>
                  <w:sz w:val="28"/>
                  <w:szCs w:val="28"/>
                  <w:lang w:bidi="ar-SA"/>
                </w:rPr>
                <m:t>企业</m:t>
              </m:r>
              <m:r>
                <m:rPr>
                  <m:sty m:val="p"/>
                </m:rPr>
                <w:rPr>
                  <w:rFonts w:hint="default" w:ascii="DejaVu Math TeX Gyre" w:hAnsi="DejaVu Math TeX Gyre" w:eastAsia="楷体_GB2312" w:cs="Times New Roman"/>
                  <w:sz w:val="28"/>
                  <w:szCs w:val="28"/>
                </w:rPr>
                <m:t>上一年度</m:t>
              </m:r>
              <m:r>
                <m:rPr>
                  <m:sty m:val="p"/>
                </m:rPr>
                <w:rPr>
                  <w:rFonts w:hint="default" w:ascii="DejaVu Math TeX Gyre" w:hAnsi="DejaVu Math TeX Gyre" w:eastAsia="楷体_GB2312" w:cs="Times New Roman"/>
                  <w:sz w:val="28"/>
                  <w:szCs w:val="28"/>
                  <w:lang w:bidi="ar-SA"/>
                </w:rPr>
                <m:t>平均从业人员（人）</m:t>
              </m:r>
              <m:ctrlPr>
                <w:rPr>
                  <w:rFonts w:hint="default" w:ascii="DejaVu Math TeX Gyre" w:hAnsi="DejaVu Math TeX Gyre" w:eastAsia="楷体_GB2312" w:cs="Times New Roman"/>
                  <w:iCs/>
                  <w:sz w:val="28"/>
                  <w:szCs w:val="28"/>
                  <w:lang w:bidi="ar-SA"/>
                </w:rPr>
              </m:ctrlPr>
            </m:den>
          </m:f>
        </m:oMath>
      </m:oMathPara>
    </w:p>
    <w:p w14:paraId="107FDF70">
      <w:pPr>
        <w:spacing w:line="560" w:lineRule="exact"/>
        <w:ind w:firstLine="640" w:firstLineChars="200"/>
        <w:rPr>
          <w:rFonts w:ascii="Times New Roman" w:hAnsi="Times New Roman" w:eastAsia="楷体_GB2312"/>
          <w:sz w:val="32"/>
          <w:szCs w:val="32"/>
        </w:rPr>
      </w:pPr>
      <w:r>
        <w:rPr>
          <w:rFonts w:ascii="Times New Roman" w:hAnsi="Times New Roman" w:eastAsia="楷体_GB2312"/>
          <w:sz w:val="32"/>
          <w:szCs w:val="32"/>
        </w:rPr>
        <w:t>其中，企业全年累计增加值是指上一年度按照生产法或收入法计算得出的增加值；企业平均从业人员由单位上一年度实际月平均人数计算得到，不得用期末人数替代。“从业人员”指的是在本企业实际从事生产经营活动的全部人员，包括：在岗职工（合同制职工）、临时工及其他聘用、留用的人员，以及与法人单位签订劳务派遣合同的人员。</w:t>
      </w:r>
    </w:p>
    <w:p w14:paraId="27FE5E03">
      <w:pPr>
        <w:spacing w:line="560" w:lineRule="exact"/>
        <w:ind w:firstLine="643" w:firstLineChars="200"/>
        <w:rPr>
          <w:rFonts w:ascii="Times New Roman" w:hAnsi="Times New Roman" w:eastAsia="仿宋_GB2312"/>
          <w:b/>
          <w:bCs/>
          <w:sz w:val="32"/>
          <w:szCs w:val="32"/>
        </w:rPr>
      </w:pPr>
      <w:r>
        <w:rPr>
          <w:rFonts w:ascii="Times New Roman" w:hAnsi="Times New Roman" w:eastAsia="仿宋_GB2312"/>
          <w:b/>
          <w:bCs/>
          <w:sz w:val="32"/>
          <w:szCs w:val="32"/>
        </w:rPr>
        <w:t>7.企业的单位产值综合能耗为</w:t>
      </w:r>
      <w:r>
        <w:rPr>
          <w:rFonts w:ascii="Times New Roman" w:hAnsi="Times New Roman" w:eastAsia="仿宋_GB2312"/>
          <w:b/>
          <w:bCs/>
          <w:sz w:val="32"/>
          <w:szCs w:val="32"/>
          <w:u w:val="single"/>
        </w:rPr>
        <w:t xml:space="preserve">     </w:t>
      </w:r>
      <w:r>
        <w:rPr>
          <w:rFonts w:ascii="Times New Roman" w:hAnsi="Times New Roman" w:eastAsia="仿宋_GB2312"/>
          <w:b/>
          <w:bCs/>
          <w:sz w:val="32"/>
          <w:szCs w:val="32"/>
        </w:rPr>
        <w:t>。</w:t>
      </w:r>
    </w:p>
    <w:p w14:paraId="5164537C">
      <w:pPr>
        <w:pStyle w:val="2"/>
        <w:spacing w:after="0" w:line="560" w:lineRule="exact"/>
        <w:ind w:firstLine="643" w:firstLineChars="200"/>
        <w:rPr>
          <w:rFonts w:ascii="Times New Roman" w:hAnsi="Times New Roman" w:eastAsia="楷体_GB2312"/>
          <w:b/>
          <w:bCs/>
          <w:sz w:val="32"/>
          <w:szCs w:val="32"/>
        </w:rPr>
      </w:pPr>
      <w:r>
        <w:rPr>
          <w:rFonts w:ascii="Times New Roman" w:hAnsi="Times New Roman" w:eastAsia="楷体_GB2312"/>
          <w:b/>
          <w:bCs/>
          <w:sz w:val="32"/>
          <w:szCs w:val="32"/>
        </w:rPr>
        <w:t>注释：</w:t>
      </w:r>
    </w:p>
    <w:p w14:paraId="622E0089">
      <w:pPr>
        <w:pStyle w:val="2"/>
        <w:spacing w:after="0" w:line="560" w:lineRule="exact"/>
        <w:ind w:firstLine="640" w:firstLineChars="200"/>
        <w:rPr>
          <w:rFonts w:ascii="Times New Roman" w:hAnsi="Times New Roman" w:eastAsia="楷体_GB2312"/>
          <w:sz w:val="32"/>
          <w:szCs w:val="32"/>
        </w:rPr>
      </w:pPr>
      <w:r>
        <w:rPr>
          <w:rFonts w:ascii="Times New Roman" w:hAnsi="Times New Roman" w:eastAsia="楷体_GB2312"/>
          <w:sz w:val="32"/>
          <w:szCs w:val="32"/>
        </w:rPr>
        <w:t>单位产值综合能耗指的是企业上一年度内能源消费总量与工业总产值的比值。</w:t>
      </w:r>
    </w:p>
    <w:p w14:paraId="62B2158C">
      <w:pPr>
        <w:jc w:val="center"/>
        <w:rPr>
          <w:rFonts w:ascii="Times New Roman" w:hAnsi="Times New Roman" w:eastAsia="楷体_GB2312"/>
          <w:bCs/>
          <w:iCs/>
          <w:sz w:val="28"/>
          <w:szCs w:val="28"/>
          <w:lang w:bidi="ar"/>
        </w:rPr>
      </w:pPr>
      <m:oMathPara>
        <m:oMath>
          <m:r>
            <m:rPr>
              <m:sty m:val="p"/>
            </m:rPr>
            <w:rPr>
              <w:rFonts w:hint="default" w:ascii="DejaVu Math TeX Gyre" w:hAnsi="DejaVu Math TeX Gyre" w:eastAsia="楷体_GB2312" w:cs="Times New Roman"/>
              <w:sz w:val="28"/>
              <w:szCs w:val="28"/>
              <w:lang w:bidi="ar-SA"/>
            </w:rPr>
            <m:t>单位产值综合能耗=</m:t>
          </m:r>
          <m:f>
            <m:fPr>
              <m:ctrlPr>
                <w:rPr>
                  <w:rFonts w:hint="default" w:ascii="DejaVu Math TeX Gyre" w:hAnsi="DejaVu Math TeX Gyre" w:eastAsia="楷体_GB2312" w:cs="Times New Roman"/>
                  <w:iCs/>
                  <w:sz w:val="28"/>
                  <w:szCs w:val="28"/>
                  <w:lang w:bidi="ar-SA"/>
                </w:rPr>
              </m:ctrlPr>
            </m:fPr>
            <m:num>
              <m:r>
                <m:rPr>
                  <m:sty m:val="p"/>
                </m:rPr>
                <w:rPr>
                  <w:rFonts w:hint="default" w:ascii="DejaVu Math TeX Gyre" w:hAnsi="DejaVu Math TeX Gyre" w:eastAsia="楷体_GB2312" w:cs="Times New Roman"/>
                  <w:sz w:val="28"/>
                  <w:szCs w:val="28"/>
                  <w:lang w:bidi="ar-SA"/>
                </w:rPr>
                <m:t>能源消费总量（吨标准煤）</m:t>
              </m:r>
              <m:ctrlPr>
                <w:rPr>
                  <w:rFonts w:hint="default" w:ascii="DejaVu Math TeX Gyre" w:hAnsi="DejaVu Math TeX Gyre" w:eastAsia="楷体_GB2312" w:cs="Times New Roman"/>
                  <w:iCs/>
                  <w:sz w:val="28"/>
                  <w:szCs w:val="28"/>
                  <w:lang w:bidi="ar-SA"/>
                </w:rPr>
              </m:ctrlPr>
            </m:num>
            <m:den>
              <m:r>
                <m:rPr>
                  <m:sty m:val="p"/>
                </m:rPr>
                <w:rPr>
                  <w:rFonts w:hint="default" w:ascii="DejaVu Math TeX Gyre" w:hAnsi="DejaVu Math TeX Gyre" w:eastAsia="楷体_GB2312" w:cs="Times New Roman"/>
                  <w:sz w:val="28"/>
                  <w:szCs w:val="28"/>
                  <w:lang w:bidi="ar-SA"/>
                </w:rPr>
                <m:t>工业总产值</m:t>
              </m:r>
              <m:ctrlPr>
                <w:rPr>
                  <w:rFonts w:hint="default" w:ascii="DejaVu Math TeX Gyre" w:hAnsi="DejaVu Math TeX Gyre" w:eastAsia="楷体_GB2312" w:cs="Times New Roman"/>
                  <w:iCs/>
                  <w:sz w:val="28"/>
                  <w:szCs w:val="28"/>
                  <w:lang w:bidi="ar-SA"/>
                </w:rPr>
              </m:ctrlPr>
            </m:den>
          </m:f>
        </m:oMath>
      </m:oMathPara>
    </w:p>
    <w:p w14:paraId="08B8942E">
      <w:pPr>
        <w:pStyle w:val="2"/>
        <w:spacing w:after="0" w:line="560" w:lineRule="exact"/>
        <w:ind w:firstLine="560"/>
        <w:rPr>
          <w:rFonts w:ascii="Times New Roman" w:hAnsi="Times New Roman" w:eastAsia="楷体_GB2312"/>
          <w:sz w:val="32"/>
          <w:szCs w:val="32"/>
        </w:rPr>
      </w:pPr>
      <w:r>
        <w:rPr>
          <w:rFonts w:ascii="Times New Roman" w:hAnsi="Times New Roman" w:eastAsia="楷体_GB2312"/>
          <w:sz w:val="32"/>
          <w:szCs w:val="32"/>
        </w:rPr>
        <w:t>其中，</w:t>
      </w:r>
      <m:oMath>
        <m:r>
          <m:rPr>
            <m:sty m:val="p"/>
          </m:rPr>
          <w:rPr>
            <w:rFonts w:hint="default" w:ascii="DejaVu Math TeX Gyre" w:hAnsi="DejaVu Math TeX Gyre" w:eastAsia="楷体_GB2312" w:cs="Times New Roman"/>
            <w:sz w:val="28"/>
            <w:szCs w:val="28"/>
          </w:rPr>
          <m:t>能源消费总量（吨标准煤）</m:t>
        </m:r>
      </m:oMath>
      <w:r>
        <w:rPr>
          <w:rFonts w:ascii="Times New Roman" w:hAnsi="Times New Roman" w:eastAsia="楷体_GB2312"/>
          <w:sz w:val="32"/>
          <w:szCs w:val="32"/>
        </w:rPr>
        <w:t>确定项目类别依据《GB/T 2589-2020 综合能耗计算通则》中各种能源的目录，包含各种能源（如原煤、原油、天然气等），电力和热力以及主要耗能工质（如新水，氧气，压缩空气等），下表为各种能源折标准煤系数示意，详见《GB/T 2589-2020 综合能耗计算通则》附录部分规定。</w:t>
      </w:r>
    </w:p>
    <w:p w14:paraId="740359B8">
      <w:pPr>
        <w:widowControl/>
        <w:spacing w:line="560" w:lineRule="exact"/>
        <w:jc w:val="center"/>
        <w:rPr>
          <w:rFonts w:ascii="Times New Roman" w:hAnsi="Times New Roman" w:eastAsia="楷体_GB2312"/>
          <w:color w:val="000000"/>
          <w:kern w:val="0"/>
          <w:sz w:val="24"/>
        </w:rPr>
      </w:pPr>
      <w:r>
        <w:rPr>
          <w:rFonts w:ascii="Times New Roman" w:hAnsi="Times New Roman" w:eastAsia="楷体_GB2312"/>
          <w:color w:val="000000"/>
          <w:kern w:val="0"/>
          <w:sz w:val="24"/>
        </w:rPr>
        <w:t>表 常见能源折算系数表</w:t>
      </w:r>
    </w:p>
    <w:tbl>
      <w:tblPr>
        <w:tblStyle w:val="6"/>
        <w:tblW w:w="9071" w:type="dxa"/>
        <w:jc w:val="center"/>
        <w:shd w:val="clear" w:color="auto" w:fill="FFFFFF"/>
        <w:tblLayout w:type="autofit"/>
        <w:tblCellMar>
          <w:top w:w="0" w:type="dxa"/>
          <w:left w:w="0" w:type="dxa"/>
          <w:bottom w:w="0" w:type="dxa"/>
          <w:right w:w="0" w:type="dxa"/>
        </w:tblCellMar>
      </w:tblPr>
      <w:tblGrid>
        <w:gridCol w:w="1942"/>
        <w:gridCol w:w="2585"/>
        <w:gridCol w:w="4544"/>
      </w:tblGrid>
      <w:tr w14:paraId="0ED41AD6">
        <w:tblPrEx>
          <w:shd w:val="clear" w:color="auto" w:fill="FFFFFF"/>
          <w:tblCellMar>
            <w:top w:w="0" w:type="dxa"/>
            <w:left w:w="0" w:type="dxa"/>
            <w:bottom w:w="0" w:type="dxa"/>
            <w:right w:w="0" w:type="dxa"/>
          </w:tblCellMar>
        </w:tblPrEx>
        <w:trPr>
          <w:trHeight w:val="23" w:hRule="atLeast"/>
          <w:jc w:val="center"/>
        </w:trPr>
        <w:tc>
          <w:tcPr>
            <w:tcW w:w="0" w:type="auto"/>
            <w:tcBorders>
              <w:top w:val="single" w:color="auto" w:sz="4" w:space="0"/>
              <w:left w:val="single" w:color="auto" w:sz="4" w:space="0"/>
              <w:bottom w:val="single" w:color="auto" w:sz="4" w:space="0"/>
              <w:right w:val="single" w:color="auto" w:sz="4" w:space="0"/>
            </w:tcBorders>
            <w:shd w:val="clear" w:color="auto" w:fill="FFFFFF"/>
            <w:noWrap w:val="0"/>
            <w:tcMar>
              <w:top w:w="50" w:type="dxa"/>
              <w:left w:w="100" w:type="dxa"/>
              <w:bottom w:w="50" w:type="dxa"/>
              <w:right w:w="100" w:type="dxa"/>
            </w:tcMar>
            <w:vAlign w:val="center"/>
          </w:tcPr>
          <w:p w14:paraId="7938289D">
            <w:pPr>
              <w:widowControl/>
              <w:snapToGrid w:val="0"/>
              <w:jc w:val="center"/>
              <w:rPr>
                <w:rFonts w:ascii="Times New Roman" w:hAnsi="Times New Roman" w:eastAsia="楷体_GB2312"/>
                <w:b/>
                <w:bCs/>
                <w:color w:val="000000"/>
                <w:kern w:val="0"/>
                <w:szCs w:val="21"/>
              </w:rPr>
            </w:pPr>
          </w:p>
        </w:tc>
        <w:tc>
          <w:tcPr>
            <w:tcW w:w="0" w:type="auto"/>
            <w:tcBorders>
              <w:top w:val="single" w:color="auto" w:sz="4" w:space="0"/>
              <w:left w:val="single" w:color="auto" w:sz="4" w:space="0"/>
              <w:bottom w:val="single" w:color="auto" w:sz="4" w:space="0"/>
              <w:right w:val="single" w:color="auto" w:sz="4" w:space="0"/>
            </w:tcBorders>
            <w:shd w:val="clear" w:color="auto" w:fill="FFFFFF"/>
            <w:noWrap w:val="0"/>
            <w:tcMar>
              <w:top w:w="50" w:type="dxa"/>
              <w:left w:w="100" w:type="dxa"/>
              <w:bottom w:w="50" w:type="dxa"/>
              <w:right w:w="100" w:type="dxa"/>
            </w:tcMar>
            <w:vAlign w:val="center"/>
          </w:tcPr>
          <w:p w14:paraId="2FB18591">
            <w:pPr>
              <w:widowControl/>
              <w:snapToGrid w:val="0"/>
              <w:jc w:val="center"/>
              <w:rPr>
                <w:rFonts w:ascii="Times New Roman" w:hAnsi="Times New Roman" w:eastAsia="楷体_GB2312"/>
                <w:b/>
                <w:bCs/>
                <w:color w:val="000000"/>
                <w:kern w:val="0"/>
                <w:szCs w:val="21"/>
              </w:rPr>
            </w:pPr>
            <w:r>
              <w:rPr>
                <w:rFonts w:ascii="Times New Roman" w:hAnsi="Times New Roman" w:eastAsia="楷体_GB2312"/>
                <w:b/>
                <w:bCs/>
                <w:color w:val="000000"/>
                <w:kern w:val="0"/>
                <w:szCs w:val="21"/>
              </w:rPr>
              <w:t>能源名称</w:t>
            </w:r>
          </w:p>
        </w:tc>
        <w:tc>
          <w:tcPr>
            <w:tcW w:w="0" w:type="auto"/>
            <w:tcBorders>
              <w:top w:val="single" w:color="auto" w:sz="4" w:space="0"/>
              <w:left w:val="single" w:color="auto" w:sz="4" w:space="0"/>
              <w:bottom w:val="single" w:color="auto" w:sz="4" w:space="0"/>
              <w:right w:val="single" w:color="auto" w:sz="4" w:space="0"/>
            </w:tcBorders>
            <w:shd w:val="clear" w:color="auto" w:fill="FFFFFF"/>
            <w:noWrap w:val="0"/>
            <w:tcMar>
              <w:top w:w="50" w:type="dxa"/>
              <w:left w:w="100" w:type="dxa"/>
              <w:bottom w:w="50" w:type="dxa"/>
              <w:right w:w="100" w:type="dxa"/>
            </w:tcMar>
            <w:vAlign w:val="center"/>
          </w:tcPr>
          <w:p w14:paraId="33627C35">
            <w:pPr>
              <w:widowControl/>
              <w:snapToGrid w:val="0"/>
              <w:jc w:val="center"/>
              <w:rPr>
                <w:rFonts w:ascii="Times New Roman" w:hAnsi="Times New Roman" w:eastAsia="楷体_GB2312"/>
                <w:b/>
                <w:bCs/>
                <w:color w:val="000000"/>
                <w:kern w:val="0"/>
                <w:szCs w:val="21"/>
              </w:rPr>
            </w:pPr>
            <w:r>
              <w:rPr>
                <w:rFonts w:ascii="Times New Roman" w:hAnsi="Times New Roman" w:eastAsia="楷体_GB2312"/>
                <w:b/>
                <w:bCs/>
                <w:color w:val="000000"/>
                <w:kern w:val="0"/>
                <w:szCs w:val="21"/>
              </w:rPr>
              <w:t>折标系数</w:t>
            </w:r>
          </w:p>
        </w:tc>
      </w:tr>
      <w:tr w14:paraId="43914E00">
        <w:tblPrEx>
          <w:tblCellMar>
            <w:top w:w="0" w:type="dxa"/>
            <w:left w:w="0" w:type="dxa"/>
            <w:bottom w:w="0" w:type="dxa"/>
            <w:right w:w="0" w:type="dxa"/>
          </w:tblCellMar>
        </w:tblPrEx>
        <w:trPr>
          <w:trHeight w:val="23" w:hRule="atLeast"/>
          <w:jc w:val="center"/>
        </w:trPr>
        <w:tc>
          <w:tcPr>
            <w:tcW w:w="0" w:type="auto"/>
            <w:vMerge w:val="restart"/>
            <w:tcBorders>
              <w:top w:val="single" w:color="auto" w:sz="4" w:space="0"/>
              <w:left w:val="single" w:color="auto" w:sz="4" w:space="0"/>
              <w:right w:val="single" w:color="auto" w:sz="4" w:space="0"/>
            </w:tcBorders>
            <w:shd w:val="clear" w:color="auto" w:fill="FFFFFF"/>
            <w:noWrap w:val="0"/>
            <w:tcMar>
              <w:top w:w="50" w:type="dxa"/>
              <w:left w:w="100" w:type="dxa"/>
              <w:bottom w:w="50" w:type="dxa"/>
              <w:right w:w="100" w:type="dxa"/>
            </w:tcMar>
            <w:vAlign w:val="center"/>
          </w:tcPr>
          <w:p w14:paraId="71DAE0AE">
            <w:pPr>
              <w:widowControl/>
              <w:snapToGrid w:val="0"/>
              <w:jc w:val="center"/>
              <w:rPr>
                <w:rFonts w:ascii="Times New Roman" w:hAnsi="Times New Roman" w:eastAsia="楷体_GB2312"/>
                <w:b/>
                <w:bCs/>
                <w:color w:val="000000"/>
                <w:kern w:val="0"/>
                <w:szCs w:val="21"/>
              </w:rPr>
            </w:pPr>
            <w:r>
              <w:rPr>
                <w:rFonts w:ascii="Times New Roman" w:hAnsi="Times New Roman" w:eastAsia="楷体_GB2312"/>
                <w:b/>
                <w:bCs/>
                <w:szCs w:val="21"/>
                <w:lang w:bidi="ar"/>
              </w:rPr>
              <w:t>各种能源</w:t>
            </w:r>
          </w:p>
        </w:tc>
        <w:tc>
          <w:tcPr>
            <w:tcW w:w="0" w:type="auto"/>
            <w:tcBorders>
              <w:top w:val="single" w:color="auto" w:sz="4" w:space="0"/>
              <w:left w:val="single" w:color="auto" w:sz="4" w:space="0"/>
              <w:bottom w:val="single" w:color="auto" w:sz="4" w:space="0"/>
              <w:right w:val="single" w:color="auto" w:sz="4" w:space="0"/>
            </w:tcBorders>
            <w:shd w:val="clear" w:color="auto" w:fill="FFFFFF"/>
            <w:noWrap w:val="0"/>
            <w:tcMar>
              <w:top w:w="50" w:type="dxa"/>
              <w:left w:w="100" w:type="dxa"/>
              <w:bottom w:w="50" w:type="dxa"/>
              <w:right w:w="100" w:type="dxa"/>
            </w:tcMar>
            <w:vAlign w:val="center"/>
          </w:tcPr>
          <w:p w14:paraId="724D5B8A">
            <w:pPr>
              <w:widowControl/>
              <w:snapToGrid w:val="0"/>
              <w:jc w:val="center"/>
              <w:rPr>
                <w:rFonts w:ascii="Times New Roman" w:hAnsi="Times New Roman" w:eastAsia="楷体_GB2312"/>
                <w:color w:val="000000"/>
                <w:kern w:val="0"/>
                <w:szCs w:val="21"/>
              </w:rPr>
            </w:pPr>
            <w:r>
              <w:rPr>
                <w:rFonts w:ascii="Times New Roman" w:hAnsi="Times New Roman" w:eastAsia="楷体_GB2312"/>
                <w:color w:val="000000"/>
                <w:kern w:val="0"/>
                <w:szCs w:val="21"/>
              </w:rPr>
              <w:t>原煤</w:t>
            </w:r>
          </w:p>
        </w:tc>
        <w:tc>
          <w:tcPr>
            <w:tcW w:w="0" w:type="auto"/>
            <w:tcBorders>
              <w:top w:val="single" w:color="auto" w:sz="4" w:space="0"/>
              <w:left w:val="single" w:color="auto" w:sz="4" w:space="0"/>
              <w:bottom w:val="single" w:color="auto" w:sz="4" w:space="0"/>
              <w:right w:val="single" w:color="auto" w:sz="4" w:space="0"/>
            </w:tcBorders>
            <w:shd w:val="clear" w:color="auto" w:fill="FFFFFF"/>
            <w:noWrap w:val="0"/>
            <w:tcMar>
              <w:top w:w="50" w:type="dxa"/>
              <w:left w:w="100" w:type="dxa"/>
              <w:bottom w:w="50" w:type="dxa"/>
              <w:right w:w="100" w:type="dxa"/>
            </w:tcMar>
            <w:vAlign w:val="center"/>
          </w:tcPr>
          <w:p w14:paraId="44B38E7E">
            <w:pPr>
              <w:widowControl/>
              <w:snapToGrid w:val="0"/>
              <w:jc w:val="center"/>
              <w:rPr>
                <w:rFonts w:ascii="Times New Roman" w:hAnsi="Times New Roman" w:eastAsia="楷体_GB2312"/>
                <w:color w:val="000000"/>
                <w:kern w:val="0"/>
                <w:szCs w:val="21"/>
              </w:rPr>
            </w:pPr>
            <w:r>
              <w:rPr>
                <w:rFonts w:ascii="Times New Roman" w:hAnsi="Times New Roman" w:eastAsia="楷体_GB2312"/>
                <w:color w:val="000000"/>
                <w:kern w:val="0"/>
                <w:szCs w:val="21"/>
              </w:rPr>
              <w:t>0.7143 kgce/kg</w:t>
            </w:r>
          </w:p>
        </w:tc>
      </w:tr>
      <w:tr w14:paraId="57B14467">
        <w:tblPrEx>
          <w:tblCellMar>
            <w:top w:w="0" w:type="dxa"/>
            <w:left w:w="0" w:type="dxa"/>
            <w:bottom w:w="0" w:type="dxa"/>
            <w:right w:w="0" w:type="dxa"/>
          </w:tblCellMar>
        </w:tblPrEx>
        <w:trPr>
          <w:trHeight w:val="23" w:hRule="atLeast"/>
          <w:jc w:val="center"/>
        </w:trPr>
        <w:tc>
          <w:tcPr>
            <w:tcW w:w="0" w:type="auto"/>
            <w:vMerge w:val="continue"/>
            <w:tcBorders>
              <w:left w:val="single" w:color="auto" w:sz="4" w:space="0"/>
              <w:right w:val="single" w:color="auto" w:sz="4" w:space="0"/>
            </w:tcBorders>
            <w:shd w:val="clear" w:color="auto" w:fill="FFFFFF"/>
            <w:noWrap w:val="0"/>
            <w:tcMar>
              <w:top w:w="50" w:type="dxa"/>
              <w:left w:w="100" w:type="dxa"/>
              <w:bottom w:w="50" w:type="dxa"/>
              <w:right w:w="100" w:type="dxa"/>
            </w:tcMar>
            <w:vAlign w:val="center"/>
          </w:tcPr>
          <w:p w14:paraId="13112779">
            <w:pPr>
              <w:widowControl/>
              <w:snapToGrid w:val="0"/>
              <w:jc w:val="center"/>
              <w:rPr>
                <w:rFonts w:ascii="Times New Roman" w:hAnsi="Times New Roman" w:eastAsia="楷体_GB2312"/>
                <w:b/>
                <w:bCs/>
                <w:color w:val="000000"/>
                <w:kern w:val="0"/>
                <w:szCs w:val="21"/>
              </w:rPr>
            </w:pPr>
          </w:p>
        </w:tc>
        <w:tc>
          <w:tcPr>
            <w:tcW w:w="0" w:type="auto"/>
            <w:tcBorders>
              <w:top w:val="single" w:color="auto" w:sz="4" w:space="0"/>
              <w:left w:val="single" w:color="auto" w:sz="4" w:space="0"/>
              <w:bottom w:val="single" w:color="auto" w:sz="4" w:space="0"/>
              <w:right w:val="single" w:color="auto" w:sz="4" w:space="0"/>
            </w:tcBorders>
            <w:shd w:val="clear" w:color="auto" w:fill="FFFFFF"/>
            <w:noWrap w:val="0"/>
            <w:tcMar>
              <w:top w:w="50" w:type="dxa"/>
              <w:left w:w="100" w:type="dxa"/>
              <w:bottom w:w="50" w:type="dxa"/>
              <w:right w:w="100" w:type="dxa"/>
            </w:tcMar>
            <w:vAlign w:val="center"/>
          </w:tcPr>
          <w:p w14:paraId="5A2F25AC">
            <w:pPr>
              <w:widowControl/>
              <w:snapToGrid w:val="0"/>
              <w:jc w:val="center"/>
              <w:rPr>
                <w:rFonts w:ascii="Times New Roman" w:hAnsi="Times New Roman" w:eastAsia="楷体_GB2312"/>
                <w:color w:val="000000"/>
                <w:kern w:val="0"/>
                <w:szCs w:val="21"/>
              </w:rPr>
            </w:pPr>
            <w:r>
              <w:rPr>
                <w:rFonts w:ascii="Times New Roman" w:hAnsi="Times New Roman" w:eastAsia="楷体_GB2312"/>
                <w:color w:val="000000"/>
                <w:kern w:val="0"/>
                <w:szCs w:val="21"/>
              </w:rPr>
              <w:t>原油</w:t>
            </w:r>
          </w:p>
        </w:tc>
        <w:tc>
          <w:tcPr>
            <w:tcW w:w="0" w:type="auto"/>
            <w:tcBorders>
              <w:top w:val="single" w:color="auto" w:sz="4" w:space="0"/>
              <w:left w:val="single" w:color="auto" w:sz="4" w:space="0"/>
              <w:bottom w:val="single" w:color="auto" w:sz="4" w:space="0"/>
              <w:right w:val="single" w:color="auto" w:sz="4" w:space="0"/>
            </w:tcBorders>
            <w:shd w:val="clear" w:color="auto" w:fill="FFFFFF"/>
            <w:noWrap w:val="0"/>
            <w:tcMar>
              <w:top w:w="50" w:type="dxa"/>
              <w:left w:w="100" w:type="dxa"/>
              <w:bottom w:w="50" w:type="dxa"/>
              <w:right w:w="100" w:type="dxa"/>
            </w:tcMar>
            <w:vAlign w:val="center"/>
          </w:tcPr>
          <w:p w14:paraId="5F3C961B">
            <w:pPr>
              <w:widowControl/>
              <w:snapToGrid w:val="0"/>
              <w:jc w:val="center"/>
              <w:rPr>
                <w:rFonts w:ascii="Times New Roman" w:hAnsi="Times New Roman" w:eastAsia="楷体_GB2312"/>
                <w:color w:val="000000"/>
                <w:kern w:val="0"/>
                <w:szCs w:val="21"/>
              </w:rPr>
            </w:pPr>
            <w:r>
              <w:rPr>
                <w:rFonts w:ascii="Times New Roman" w:hAnsi="Times New Roman" w:eastAsia="楷体_GB2312"/>
                <w:color w:val="000000"/>
                <w:kern w:val="0"/>
                <w:szCs w:val="21"/>
              </w:rPr>
              <w:t>1.4286 kgce/kg</w:t>
            </w:r>
          </w:p>
        </w:tc>
      </w:tr>
      <w:tr w14:paraId="3362481A">
        <w:tblPrEx>
          <w:tblCellMar>
            <w:top w:w="0" w:type="dxa"/>
            <w:left w:w="0" w:type="dxa"/>
            <w:bottom w:w="0" w:type="dxa"/>
            <w:right w:w="0" w:type="dxa"/>
          </w:tblCellMar>
        </w:tblPrEx>
        <w:trPr>
          <w:trHeight w:val="23" w:hRule="atLeast"/>
          <w:jc w:val="center"/>
        </w:trPr>
        <w:tc>
          <w:tcPr>
            <w:tcW w:w="0" w:type="auto"/>
            <w:vMerge w:val="continue"/>
            <w:tcBorders>
              <w:left w:val="single" w:color="auto" w:sz="4" w:space="0"/>
              <w:right w:val="single" w:color="auto" w:sz="4" w:space="0"/>
            </w:tcBorders>
            <w:shd w:val="clear" w:color="auto" w:fill="FFFFFF"/>
            <w:noWrap w:val="0"/>
            <w:tcMar>
              <w:top w:w="50" w:type="dxa"/>
              <w:left w:w="100" w:type="dxa"/>
              <w:bottom w:w="50" w:type="dxa"/>
              <w:right w:w="100" w:type="dxa"/>
            </w:tcMar>
            <w:vAlign w:val="center"/>
          </w:tcPr>
          <w:p w14:paraId="5002C4A1">
            <w:pPr>
              <w:widowControl/>
              <w:snapToGrid w:val="0"/>
              <w:jc w:val="center"/>
              <w:rPr>
                <w:rFonts w:ascii="Times New Roman" w:hAnsi="Times New Roman" w:eastAsia="楷体_GB2312"/>
                <w:b/>
                <w:bCs/>
                <w:color w:val="000000"/>
                <w:kern w:val="0"/>
                <w:szCs w:val="21"/>
              </w:rPr>
            </w:pPr>
          </w:p>
        </w:tc>
        <w:tc>
          <w:tcPr>
            <w:tcW w:w="0" w:type="auto"/>
            <w:tcBorders>
              <w:top w:val="single" w:color="auto" w:sz="4" w:space="0"/>
              <w:left w:val="single" w:color="auto" w:sz="4" w:space="0"/>
              <w:bottom w:val="single" w:color="auto" w:sz="4" w:space="0"/>
              <w:right w:val="single" w:color="auto" w:sz="4" w:space="0"/>
            </w:tcBorders>
            <w:shd w:val="clear" w:color="auto" w:fill="FFFFFF"/>
            <w:noWrap w:val="0"/>
            <w:tcMar>
              <w:top w:w="50" w:type="dxa"/>
              <w:left w:w="100" w:type="dxa"/>
              <w:bottom w:w="50" w:type="dxa"/>
              <w:right w:w="100" w:type="dxa"/>
            </w:tcMar>
            <w:vAlign w:val="center"/>
          </w:tcPr>
          <w:p w14:paraId="7D3DA40F">
            <w:pPr>
              <w:widowControl/>
              <w:snapToGrid w:val="0"/>
              <w:jc w:val="center"/>
              <w:rPr>
                <w:rFonts w:ascii="Times New Roman" w:hAnsi="Times New Roman" w:eastAsia="楷体_GB2312"/>
                <w:color w:val="000000"/>
                <w:kern w:val="0"/>
                <w:szCs w:val="21"/>
              </w:rPr>
            </w:pPr>
            <w:r>
              <w:rPr>
                <w:rFonts w:ascii="Times New Roman" w:hAnsi="Times New Roman" w:eastAsia="楷体_GB2312"/>
                <w:color w:val="000000"/>
                <w:kern w:val="0"/>
                <w:szCs w:val="21"/>
              </w:rPr>
              <w:t>乙醇</w:t>
            </w:r>
          </w:p>
        </w:tc>
        <w:tc>
          <w:tcPr>
            <w:tcW w:w="0" w:type="auto"/>
            <w:tcBorders>
              <w:top w:val="single" w:color="auto" w:sz="4" w:space="0"/>
              <w:left w:val="single" w:color="auto" w:sz="4" w:space="0"/>
              <w:bottom w:val="single" w:color="auto" w:sz="4" w:space="0"/>
              <w:right w:val="single" w:color="auto" w:sz="4" w:space="0"/>
            </w:tcBorders>
            <w:shd w:val="clear" w:color="auto" w:fill="FFFFFF"/>
            <w:noWrap w:val="0"/>
            <w:tcMar>
              <w:top w:w="50" w:type="dxa"/>
              <w:left w:w="100" w:type="dxa"/>
              <w:bottom w:w="50" w:type="dxa"/>
              <w:right w:w="100" w:type="dxa"/>
            </w:tcMar>
            <w:vAlign w:val="center"/>
          </w:tcPr>
          <w:p w14:paraId="27B589BE">
            <w:pPr>
              <w:widowControl/>
              <w:snapToGrid w:val="0"/>
              <w:jc w:val="center"/>
              <w:rPr>
                <w:rFonts w:ascii="Times New Roman" w:hAnsi="Times New Roman" w:eastAsia="楷体_GB2312"/>
                <w:color w:val="000000"/>
                <w:kern w:val="0"/>
                <w:szCs w:val="21"/>
              </w:rPr>
            </w:pPr>
            <w:r>
              <w:rPr>
                <w:rFonts w:ascii="Times New Roman" w:hAnsi="Times New Roman" w:eastAsia="楷体_GB2312"/>
                <w:color w:val="000000"/>
                <w:kern w:val="0"/>
                <w:szCs w:val="21"/>
              </w:rPr>
              <w:t>0.9144 kgce/kg</w:t>
            </w:r>
          </w:p>
        </w:tc>
      </w:tr>
      <w:tr w14:paraId="129ED0B4">
        <w:tblPrEx>
          <w:tblCellMar>
            <w:top w:w="0" w:type="dxa"/>
            <w:left w:w="0" w:type="dxa"/>
            <w:bottom w:w="0" w:type="dxa"/>
            <w:right w:w="0" w:type="dxa"/>
          </w:tblCellMar>
        </w:tblPrEx>
        <w:trPr>
          <w:trHeight w:val="23" w:hRule="atLeast"/>
          <w:jc w:val="center"/>
        </w:trPr>
        <w:tc>
          <w:tcPr>
            <w:tcW w:w="0" w:type="auto"/>
            <w:vMerge w:val="continue"/>
            <w:tcBorders>
              <w:left w:val="single" w:color="auto" w:sz="4" w:space="0"/>
              <w:right w:val="single" w:color="auto" w:sz="4" w:space="0"/>
            </w:tcBorders>
            <w:shd w:val="clear" w:color="auto" w:fill="FFFFFF"/>
            <w:noWrap w:val="0"/>
            <w:tcMar>
              <w:top w:w="50" w:type="dxa"/>
              <w:left w:w="100" w:type="dxa"/>
              <w:bottom w:w="50" w:type="dxa"/>
              <w:right w:w="100" w:type="dxa"/>
            </w:tcMar>
            <w:vAlign w:val="center"/>
          </w:tcPr>
          <w:p w14:paraId="3BEBEA87">
            <w:pPr>
              <w:widowControl/>
              <w:snapToGrid w:val="0"/>
              <w:jc w:val="center"/>
              <w:rPr>
                <w:rFonts w:ascii="Times New Roman" w:hAnsi="Times New Roman" w:eastAsia="楷体_GB2312"/>
                <w:b/>
                <w:bCs/>
                <w:color w:val="000000"/>
                <w:kern w:val="0"/>
                <w:szCs w:val="21"/>
              </w:rPr>
            </w:pPr>
          </w:p>
        </w:tc>
        <w:tc>
          <w:tcPr>
            <w:tcW w:w="0" w:type="auto"/>
            <w:tcBorders>
              <w:top w:val="single" w:color="auto" w:sz="4" w:space="0"/>
              <w:left w:val="single" w:color="auto" w:sz="4" w:space="0"/>
              <w:bottom w:val="single" w:color="auto" w:sz="4" w:space="0"/>
              <w:right w:val="single" w:color="auto" w:sz="4" w:space="0"/>
            </w:tcBorders>
            <w:shd w:val="clear" w:color="auto" w:fill="FFFFFF"/>
            <w:noWrap w:val="0"/>
            <w:tcMar>
              <w:top w:w="50" w:type="dxa"/>
              <w:left w:w="100" w:type="dxa"/>
              <w:bottom w:w="50" w:type="dxa"/>
              <w:right w:w="100" w:type="dxa"/>
            </w:tcMar>
            <w:vAlign w:val="center"/>
          </w:tcPr>
          <w:p w14:paraId="3FD3833F">
            <w:pPr>
              <w:widowControl/>
              <w:snapToGrid w:val="0"/>
              <w:jc w:val="center"/>
              <w:rPr>
                <w:rFonts w:ascii="Times New Roman" w:hAnsi="Times New Roman" w:eastAsia="楷体_GB2312"/>
                <w:color w:val="000000"/>
                <w:kern w:val="0"/>
                <w:szCs w:val="21"/>
              </w:rPr>
            </w:pPr>
            <w:r>
              <w:rPr>
                <w:rFonts w:ascii="Times New Roman" w:hAnsi="Times New Roman" w:eastAsia="楷体_GB2312"/>
                <w:color w:val="000000"/>
                <w:kern w:val="0"/>
                <w:szCs w:val="21"/>
              </w:rPr>
              <w:t>氢气</w:t>
            </w:r>
          </w:p>
        </w:tc>
        <w:tc>
          <w:tcPr>
            <w:tcW w:w="0" w:type="auto"/>
            <w:tcBorders>
              <w:top w:val="single" w:color="auto" w:sz="4" w:space="0"/>
              <w:left w:val="single" w:color="auto" w:sz="4" w:space="0"/>
              <w:bottom w:val="single" w:color="auto" w:sz="4" w:space="0"/>
              <w:right w:val="single" w:color="auto" w:sz="4" w:space="0"/>
            </w:tcBorders>
            <w:shd w:val="clear" w:color="auto" w:fill="FFFFFF"/>
            <w:noWrap w:val="0"/>
            <w:tcMar>
              <w:top w:w="50" w:type="dxa"/>
              <w:left w:w="100" w:type="dxa"/>
              <w:bottom w:w="50" w:type="dxa"/>
              <w:right w:w="100" w:type="dxa"/>
            </w:tcMar>
            <w:vAlign w:val="center"/>
          </w:tcPr>
          <w:p w14:paraId="57AFD332">
            <w:pPr>
              <w:widowControl/>
              <w:snapToGrid w:val="0"/>
              <w:jc w:val="center"/>
              <w:rPr>
                <w:rFonts w:ascii="Times New Roman" w:hAnsi="Times New Roman" w:eastAsia="楷体_GB2312"/>
                <w:color w:val="000000"/>
                <w:kern w:val="0"/>
                <w:szCs w:val="21"/>
              </w:rPr>
            </w:pPr>
            <w:r>
              <w:rPr>
                <w:rFonts w:ascii="Times New Roman" w:hAnsi="Times New Roman" w:eastAsia="楷体_GB2312"/>
                <w:color w:val="000000"/>
                <w:kern w:val="0"/>
                <w:szCs w:val="21"/>
              </w:rPr>
              <w:t>0.3329 kgce/m³</w:t>
            </w:r>
          </w:p>
        </w:tc>
      </w:tr>
      <w:tr w14:paraId="4AFCBE71">
        <w:tblPrEx>
          <w:tblCellMar>
            <w:top w:w="0" w:type="dxa"/>
            <w:left w:w="0" w:type="dxa"/>
            <w:bottom w:w="0" w:type="dxa"/>
            <w:right w:w="0" w:type="dxa"/>
          </w:tblCellMar>
        </w:tblPrEx>
        <w:trPr>
          <w:trHeight w:val="23" w:hRule="atLeast"/>
          <w:jc w:val="center"/>
        </w:trPr>
        <w:tc>
          <w:tcPr>
            <w:tcW w:w="0" w:type="auto"/>
            <w:vMerge w:val="continue"/>
            <w:tcBorders>
              <w:left w:val="single" w:color="auto" w:sz="4" w:space="0"/>
              <w:right w:val="single" w:color="auto" w:sz="4" w:space="0"/>
            </w:tcBorders>
            <w:shd w:val="clear" w:color="auto" w:fill="FFFFFF"/>
            <w:noWrap w:val="0"/>
            <w:tcMar>
              <w:top w:w="50" w:type="dxa"/>
              <w:left w:w="100" w:type="dxa"/>
              <w:bottom w:w="50" w:type="dxa"/>
              <w:right w:w="100" w:type="dxa"/>
            </w:tcMar>
            <w:vAlign w:val="center"/>
          </w:tcPr>
          <w:p w14:paraId="20BAEA5A">
            <w:pPr>
              <w:widowControl/>
              <w:snapToGrid w:val="0"/>
              <w:jc w:val="center"/>
              <w:rPr>
                <w:rFonts w:ascii="Times New Roman" w:hAnsi="Times New Roman" w:eastAsia="楷体_GB2312"/>
                <w:b/>
                <w:bCs/>
                <w:color w:val="000000"/>
                <w:kern w:val="0"/>
                <w:szCs w:val="21"/>
              </w:rPr>
            </w:pPr>
          </w:p>
        </w:tc>
        <w:tc>
          <w:tcPr>
            <w:tcW w:w="0" w:type="auto"/>
            <w:tcBorders>
              <w:top w:val="single" w:color="auto" w:sz="4" w:space="0"/>
              <w:left w:val="single" w:color="auto" w:sz="4" w:space="0"/>
              <w:bottom w:val="single" w:color="auto" w:sz="4" w:space="0"/>
              <w:right w:val="single" w:color="auto" w:sz="4" w:space="0"/>
            </w:tcBorders>
            <w:shd w:val="clear" w:color="auto" w:fill="FFFFFF"/>
            <w:noWrap w:val="0"/>
            <w:tcMar>
              <w:top w:w="50" w:type="dxa"/>
              <w:left w:w="100" w:type="dxa"/>
              <w:bottom w:w="50" w:type="dxa"/>
              <w:right w:w="100" w:type="dxa"/>
            </w:tcMar>
            <w:vAlign w:val="center"/>
          </w:tcPr>
          <w:p w14:paraId="089DC083">
            <w:pPr>
              <w:widowControl/>
              <w:snapToGrid w:val="0"/>
              <w:jc w:val="center"/>
              <w:rPr>
                <w:rFonts w:ascii="Times New Roman" w:hAnsi="Times New Roman" w:eastAsia="楷体_GB2312"/>
                <w:color w:val="000000"/>
                <w:kern w:val="0"/>
                <w:szCs w:val="21"/>
              </w:rPr>
            </w:pPr>
            <w:r>
              <w:rPr>
                <w:rFonts w:ascii="Times New Roman" w:hAnsi="Times New Roman" w:eastAsia="楷体_GB2312"/>
                <w:color w:val="000000"/>
                <w:kern w:val="0"/>
                <w:szCs w:val="21"/>
              </w:rPr>
              <w:t>沼气</w:t>
            </w:r>
          </w:p>
        </w:tc>
        <w:tc>
          <w:tcPr>
            <w:tcW w:w="0" w:type="auto"/>
            <w:tcBorders>
              <w:top w:val="single" w:color="auto" w:sz="4" w:space="0"/>
              <w:left w:val="single" w:color="auto" w:sz="4" w:space="0"/>
              <w:bottom w:val="single" w:color="auto" w:sz="4" w:space="0"/>
              <w:right w:val="single" w:color="auto" w:sz="4" w:space="0"/>
            </w:tcBorders>
            <w:shd w:val="clear" w:color="auto" w:fill="FFFFFF"/>
            <w:noWrap w:val="0"/>
            <w:tcMar>
              <w:top w:w="50" w:type="dxa"/>
              <w:left w:w="100" w:type="dxa"/>
              <w:bottom w:w="50" w:type="dxa"/>
              <w:right w:w="100" w:type="dxa"/>
            </w:tcMar>
            <w:vAlign w:val="center"/>
          </w:tcPr>
          <w:p w14:paraId="5D87354E">
            <w:pPr>
              <w:widowControl/>
              <w:snapToGrid w:val="0"/>
              <w:jc w:val="center"/>
              <w:rPr>
                <w:rFonts w:ascii="Times New Roman" w:hAnsi="Times New Roman" w:eastAsia="楷体_GB2312"/>
                <w:color w:val="000000"/>
                <w:kern w:val="0"/>
                <w:szCs w:val="21"/>
              </w:rPr>
            </w:pPr>
            <w:r>
              <w:rPr>
                <w:rFonts w:ascii="Times New Roman" w:hAnsi="Times New Roman" w:eastAsia="楷体_GB2312"/>
                <w:color w:val="000000"/>
                <w:kern w:val="0"/>
                <w:szCs w:val="21"/>
              </w:rPr>
              <w:t>0.7143 kgce/m³~0.8286 kgce/m³</w:t>
            </w:r>
          </w:p>
        </w:tc>
      </w:tr>
      <w:tr w14:paraId="123B4A95">
        <w:tblPrEx>
          <w:tblCellMar>
            <w:top w:w="0" w:type="dxa"/>
            <w:left w:w="0" w:type="dxa"/>
            <w:bottom w:w="0" w:type="dxa"/>
            <w:right w:w="0" w:type="dxa"/>
          </w:tblCellMar>
        </w:tblPrEx>
        <w:trPr>
          <w:trHeight w:val="23" w:hRule="atLeast"/>
          <w:jc w:val="center"/>
        </w:trPr>
        <w:tc>
          <w:tcPr>
            <w:tcW w:w="0" w:type="auto"/>
            <w:vMerge w:val="continue"/>
            <w:tcBorders>
              <w:left w:val="single" w:color="auto" w:sz="4" w:space="0"/>
              <w:right w:val="single" w:color="auto" w:sz="4" w:space="0"/>
            </w:tcBorders>
            <w:shd w:val="clear" w:color="auto" w:fill="FFFFFF"/>
            <w:noWrap w:val="0"/>
            <w:tcMar>
              <w:top w:w="50" w:type="dxa"/>
              <w:left w:w="100" w:type="dxa"/>
              <w:bottom w:w="50" w:type="dxa"/>
              <w:right w:w="100" w:type="dxa"/>
            </w:tcMar>
            <w:vAlign w:val="center"/>
          </w:tcPr>
          <w:p w14:paraId="4D764C7B">
            <w:pPr>
              <w:widowControl/>
              <w:snapToGrid w:val="0"/>
              <w:jc w:val="center"/>
              <w:rPr>
                <w:rFonts w:ascii="Times New Roman" w:hAnsi="Times New Roman" w:eastAsia="楷体_GB2312"/>
                <w:b/>
                <w:bCs/>
                <w:color w:val="000000"/>
                <w:kern w:val="0"/>
                <w:szCs w:val="21"/>
              </w:rPr>
            </w:pPr>
          </w:p>
        </w:tc>
        <w:tc>
          <w:tcPr>
            <w:tcW w:w="0" w:type="auto"/>
            <w:tcBorders>
              <w:top w:val="single" w:color="auto" w:sz="4" w:space="0"/>
              <w:left w:val="single" w:color="auto" w:sz="4" w:space="0"/>
              <w:bottom w:val="single" w:color="auto" w:sz="4" w:space="0"/>
              <w:right w:val="single" w:color="auto" w:sz="4" w:space="0"/>
            </w:tcBorders>
            <w:shd w:val="clear" w:color="auto" w:fill="FFFFFF"/>
            <w:noWrap w:val="0"/>
            <w:tcMar>
              <w:top w:w="50" w:type="dxa"/>
              <w:left w:w="100" w:type="dxa"/>
              <w:bottom w:w="50" w:type="dxa"/>
              <w:right w:w="100" w:type="dxa"/>
            </w:tcMar>
            <w:vAlign w:val="center"/>
          </w:tcPr>
          <w:p w14:paraId="66783CE2">
            <w:pPr>
              <w:widowControl/>
              <w:snapToGrid w:val="0"/>
              <w:jc w:val="center"/>
              <w:rPr>
                <w:rFonts w:ascii="Times New Roman" w:hAnsi="Times New Roman" w:eastAsia="楷体_GB2312"/>
                <w:color w:val="000000"/>
                <w:kern w:val="0"/>
                <w:szCs w:val="21"/>
              </w:rPr>
            </w:pPr>
            <w:r>
              <w:rPr>
                <w:rFonts w:ascii="Times New Roman" w:hAnsi="Times New Roman" w:eastAsia="楷体_GB2312"/>
                <w:color w:val="000000"/>
                <w:kern w:val="0"/>
                <w:szCs w:val="21"/>
              </w:rPr>
              <w:t>天然气</w:t>
            </w:r>
          </w:p>
        </w:tc>
        <w:tc>
          <w:tcPr>
            <w:tcW w:w="0" w:type="auto"/>
            <w:tcBorders>
              <w:top w:val="single" w:color="auto" w:sz="4" w:space="0"/>
              <w:left w:val="single" w:color="auto" w:sz="4" w:space="0"/>
              <w:bottom w:val="single" w:color="auto" w:sz="4" w:space="0"/>
              <w:right w:val="single" w:color="auto" w:sz="4" w:space="0"/>
            </w:tcBorders>
            <w:shd w:val="clear" w:color="auto" w:fill="FFFFFF"/>
            <w:noWrap w:val="0"/>
            <w:tcMar>
              <w:top w:w="50" w:type="dxa"/>
              <w:left w:w="100" w:type="dxa"/>
              <w:bottom w:w="50" w:type="dxa"/>
              <w:right w:w="100" w:type="dxa"/>
            </w:tcMar>
            <w:vAlign w:val="center"/>
          </w:tcPr>
          <w:p w14:paraId="358FDEBC">
            <w:pPr>
              <w:widowControl/>
              <w:snapToGrid w:val="0"/>
              <w:jc w:val="center"/>
              <w:rPr>
                <w:rFonts w:ascii="Times New Roman" w:hAnsi="Times New Roman" w:eastAsia="楷体_GB2312"/>
                <w:color w:val="000000"/>
                <w:kern w:val="0"/>
                <w:szCs w:val="21"/>
              </w:rPr>
            </w:pPr>
            <w:r>
              <w:rPr>
                <w:rFonts w:ascii="Times New Roman" w:hAnsi="Times New Roman" w:eastAsia="楷体_GB2312"/>
                <w:color w:val="000000"/>
                <w:kern w:val="0"/>
                <w:szCs w:val="21"/>
              </w:rPr>
              <w:t>1.1000 kgce/m³~1.3300 kgce/m³</w:t>
            </w:r>
          </w:p>
        </w:tc>
      </w:tr>
      <w:tr w14:paraId="3F30DC25">
        <w:tblPrEx>
          <w:tblCellMar>
            <w:top w:w="0" w:type="dxa"/>
            <w:left w:w="0" w:type="dxa"/>
            <w:bottom w:w="0" w:type="dxa"/>
            <w:right w:w="0" w:type="dxa"/>
          </w:tblCellMar>
        </w:tblPrEx>
        <w:trPr>
          <w:trHeight w:val="23" w:hRule="atLeast"/>
          <w:jc w:val="center"/>
        </w:trPr>
        <w:tc>
          <w:tcPr>
            <w:tcW w:w="0" w:type="auto"/>
            <w:vMerge w:val="continue"/>
            <w:tcBorders>
              <w:left w:val="single" w:color="auto" w:sz="4" w:space="0"/>
              <w:bottom w:val="single" w:color="auto" w:sz="4" w:space="0"/>
              <w:right w:val="single" w:color="auto" w:sz="4" w:space="0"/>
            </w:tcBorders>
            <w:shd w:val="clear" w:color="auto" w:fill="FFFFFF"/>
            <w:noWrap w:val="0"/>
            <w:tcMar>
              <w:top w:w="50" w:type="dxa"/>
              <w:left w:w="100" w:type="dxa"/>
              <w:bottom w:w="50" w:type="dxa"/>
              <w:right w:w="100" w:type="dxa"/>
            </w:tcMar>
            <w:vAlign w:val="center"/>
          </w:tcPr>
          <w:p w14:paraId="2DFC4E63">
            <w:pPr>
              <w:widowControl/>
              <w:snapToGrid w:val="0"/>
              <w:jc w:val="center"/>
              <w:rPr>
                <w:rFonts w:ascii="Times New Roman" w:hAnsi="Times New Roman" w:eastAsia="楷体_GB2312"/>
                <w:b/>
                <w:bCs/>
                <w:color w:val="000000"/>
                <w:kern w:val="0"/>
                <w:szCs w:val="21"/>
              </w:rPr>
            </w:pPr>
          </w:p>
        </w:tc>
        <w:tc>
          <w:tcPr>
            <w:tcW w:w="0" w:type="auto"/>
            <w:tcBorders>
              <w:top w:val="single" w:color="auto" w:sz="4" w:space="0"/>
              <w:left w:val="single" w:color="auto" w:sz="4" w:space="0"/>
              <w:bottom w:val="single" w:color="auto" w:sz="4" w:space="0"/>
              <w:right w:val="single" w:color="auto" w:sz="4" w:space="0"/>
            </w:tcBorders>
            <w:shd w:val="clear" w:color="auto" w:fill="FFFFFF"/>
            <w:noWrap w:val="0"/>
            <w:tcMar>
              <w:top w:w="50" w:type="dxa"/>
              <w:left w:w="100" w:type="dxa"/>
              <w:bottom w:w="50" w:type="dxa"/>
              <w:right w:w="100" w:type="dxa"/>
            </w:tcMar>
            <w:vAlign w:val="center"/>
          </w:tcPr>
          <w:p w14:paraId="79B48A6F">
            <w:pPr>
              <w:widowControl/>
              <w:snapToGrid w:val="0"/>
              <w:jc w:val="center"/>
              <w:rPr>
                <w:rFonts w:ascii="Times New Roman" w:hAnsi="Times New Roman" w:eastAsia="楷体_GB2312"/>
                <w:color w:val="000000"/>
                <w:kern w:val="0"/>
                <w:szCs w:val="21"/>
              </w:rPr>
            </w:pPr>
            <w:r>
              <w:rPr>
                <w:rFonts w:ascii="Times New Roman" w:hAnsi="Times New Roman" w:eastAsia="楷体_GB2312"/>
                <w:color w:val="000000"/>
                <w:kern w:val="0"/>
                <w:szCs w:val="21"/>
              </w:rPr>
              <w:t>…</w:t>
            </w:r>
          </w:p>
        </w:tc>
        <w:tc>
          <w:tcPr>
            <w:tcW w:w="0" w:type="auto"/>
            <w:tcBorders>
              <w:top w:val="single" w:color="auto" w:sz="4" w:space="0"/>
              <w:left w:val="single" w:color="auto" w:sz="4" w:space="0"/>
              <w:bottom w:val="single" w:color="auto" w:sz="4" w:space="0"/>
              <w:right w:val="single" w:color="auto" w:sz="4" w:space="0"/>
            </w:tcBorders>
            <w:shd w:val="clear" w:color="auto" w:fill="FFFFFF"/>
            <w:noWrap w:val="0"/>
            <w:tcMar>
              <w:top w:w="50" w:type="dxa"/>
              <w:left w:w="100" w:type="dxa"/>
              <w:bottom w:w="50" w:type="dxa"/>
              <w:right w:w="100" w:type="dxa"/>
            </w:tcMar>
            <w:vAlign w:val="center"/>
          </w:tcPr>
          <w:p w14:paraId="02F73926">
            <w:pPr>
              <w:widowControl/>
              <w:snapToGrid w:val="0"/>
              <w:jc w:val="center"/>
              <w:rPr>
                <w:rFonts w:ascii="Times New Roman" w:hAnsi="Times New Roman" w:eastAsia="楷体_GB2312"/>
                <w:color w:val="000000"/>
                <w:kern w:val="0"/>
                <w:szCs w:val="21"/>
              </w:rPr>
            </w:pPr>
            <w:r>
              <w:rPr>
                <w:rFonts w:ascii="Times New Roman" w:hAnsi="Times New Roman" w:eastAsia="楷体_GB2312"/>
                <w:color w:val="000000"/>
                <w:kern w:val="0"/>
                <w:szCs w:val="21"/>
              </w:rPr>
              <w:t>…</w:t>
            </w:r>
          </w:p>
        </w:tc>
      </w:tr>
      <w:tr w14:paraId="3FC87E7E">
        <w:tblPrEx>
          <w:tblCellMar>
            <w:top w:w="0" w:type="dxa"/>
            <w:left w:w="0" w:type="dxa"/>
            <w:bottom w:w="0" w:type="dxa"/>
            <w:right w:w="0" w:type="dxa"/>
          </w:tblCellMar>
        </w:tblPrEx>
        <w:trPr>
          <w:trHeight w:val="23" w:hRule="atLeast"/>
          <w:jc w:val="center"/>
        </w:trPr>
        <w:tc>
          <w:tcPr>
            <w:tcW w:w="0" w:type="auto"/>
            <w:vMerge w:val="restart"/>
            <w:tcBorders>
              <w:top w:val="single" w:color="auto" w:sz="4" w:space="0"/>
              <w:left w:val="single" w:color="auto" w:sz="4" w:space="0"/>
              <w:right w:val="single" w:color="auto" w:sz="4" w:space="0"/>
            </w:tcBorders>
            <w:shd w:val="clear" w:color="auto" w:fill="FFFFFF"/>
            <w:noWrap w:val="0"/>
            <w:tcMar>
              <w:top w:w="50" w:type="dxa"/>
              <w:left w:w="100" w:type="dxa"/>
              <w:bottom w:w="50" w:type="dxa"/>
              <w:right w:w="100" w:type="dxa"/>
            </w:tcMar>
            <w:vAlign w:val="center"/>
          </w:tcPr>
          <w:p w14:paraId="4BE593CA">
            <w:pPr>
              <w:widowControl/>
              <w:snapToGrid w:val="0"/>
              <w:jc w:val="center"/>
              <w:rPr>
                <w:rFonts w:ascii="Times New Roman" w:hAnsi="Times New Roman" w:eastAsia="楷体_GB2312"/>
                <w:b/>
                <w:bCs/>
                <w:color w:val="000000"/>
                <w:kern w:val="0"/>
                <w:szCs w:val="21"/>
              </w:rPr>
            </w:pPr>
            <w:r>
              <w:rPr>
                <w:rFonts w:ascii="Times New Roman" w:hAnsi="Times New Roman" w:eastAsia="楷体_GB2312"/>
                <w:b/>
                <w:bCs/>
                <w:szCs w:val="21"/>
                <w:lang w:bidi="ar"/>
              </w:rPr>
              <w:t>电力和热力</w:t>
            </w:r>
          </w:p>
        </w:tc>
        <w:tc>
          <w:tcPr>
            <w:tcW w:w="0" w:type="auto"/>
            <w:tcBorders>
              <w:top w:val="single" w:color="auto" w:sz="4" w:space="0"/>
              <w:left w:val="single" w:color="auto" w:sz="4" w:space="0"/>
              <w:bottom w:val="single" w:color="auto" w:sz="4" w:space="0"/>
              <w:right w:val="single" w:color="auto" w:sz="4" w:space="0"/>
            </w:tcBorders>
            <w:shd w:val="clear" w:color="auto" w:fill="FFFFFF"/>
            <w:noWrap w:val="0"/>
            <w:tcMar>
              <w:top w:w="50" w:type="dxa"/>
              <w:left w:w="100" w:type="dxa"/>
              <w:bottom w:w="50" w:type="dxa"/>
              <w:right w:w="100" w:type="dxa"/>
            </w:tcMar>
            <w:vAlign w:val="center"/>
          </w:tcPr>
          <w:p w14:paraId="73ACBD21">
            <w:pPr>
              <w:widowControl/>
              <w:snapToGrid w:val="0"/>
              <w:jc w:val="center"/>
              <w:rPr>
                <w:rFonts w:ascii="Times New Roman" w:hAnsi="Times New Roman" w:eastAsia="楷体_GB2312"/>
                <w:color w:val="000000"/>
                <w:kern w:val="0"/>
                <w:szCs w:val="21"/>
              </w:rPr>
            </w:pPr>
            <w:r>
              <w:rPr>
                <w:rFonts w:ascii="Times New Roman" w:hAnsi="Times New Roman" w:eastAsia="楷体_GB2312"/>
                <w:color w:val="000000"/>
                <w:kern w:val="0"/>
                <w:szCs w:val="21"/>
              </w:rPr>
              <w:t>电力（当量值）</w:t>
            </w:r>
          </w:p>
        </w:tc>
        <w:tc>
          <w:tcPr>
            <w:tcW w:w="0" w:type="auto"/>
            <w:tcBorders>
              <w:top w:val="single" w:color="auto" w:sz="4" w:space="0"/>
              <w:left w:val="single" w:color="auto" w:sz="4" w:space="0"/>
              <w:bottom w:val="single" w:color="auto" w:sz="4" w:space="0"/>
              <w:right w:val="single" w:color="auto" w:sz="4" w:space="0"/>
            </w:tcBorders>
            <w:shd w:val="clear" w:color="auto" w:fill="FFFFFF"/>
            <w:noWrap w:val="0"/>
            <w:tcMar>
              <w:top w:w="50" w:type="dxa"/>
              <w:left w:w="100" w:type="dxa"/>
              <w:bottom w:w="50" w:type="dxa"/>
              <w:right w:w="100" w:type="dxa"/>
            </w:tcMar>
            <w:vAlign w:val="center"/>
          </w:tcPr>
          <w:p w14:paraId="3C79E068">
            <w:pPr>
              <w:widowControl/>
              <w:snapToGrid w:val="0"/>
              <w:jc w:val="center"/>
              <w:rPr>
                <w:rFonts w:ascii="Times New Roman" w:hAnsi="Times New Roman" w:eastAsia="楷体_GB2312"/>
                <w:color w:val="000000"/>
                <w:kern w:val="0"/>
                <w:szCs w:val="21"/>
              </w:rPr>
            </w:pPr>
            <w:r>
              <w:rPr>
                <w:rFonts w:ascii="Times New Roman" w:hAnsi="Times New Roman" w:eastAsia="楷体_GB2312"/>
                <w:color w:val="000000"/>
                <w:kern w:val="0"/>
                <w:szCs w:val="21"/>
              </w:rPr>
              <w:t>0.122 9kgce/(kW•h)</w:t>
            </w:r>
          </w:p>
        </w:tc>
      </w:tr>
      <w:tr w14:paraId="28D24A83">
        <w:tblPrEx>
          <w:tblCellMar>
            <w:top w:w="0" w:type="dxa"/>
            <w:left w:w="0" w:type="dxa"/>
            <w:bottom w:w="0" w:type="dxa"/>
            <w:right w:w="0" w:type="dxa"/>
          </w:tblCellMar>
        </w:tblPrEx>
        <w:trPr>
          <w:trHeight w:val="23" w:hRule="atLeast"/>
          <w:jc w:val="center"/>
        </w:trPr>
        <w:tc>
          <w:tcPr>
            <w:tcW w:w="0" w:type="auto"/>
            <w:vMerge w:val="continue"/>
            <w:tcBorders>
              <w:left w:val="single" w:color="auto" w:sz="4" w:space="0"/>
              <w:right w:val="single" w:color="auto" w:sz="4" w:space="0"/>
            </w:tcBorders>
            <w:shd w:val="clear" w:color="auto" w:fill="FFFFFF"/>
            <w:noWrap w:val="0"/>
            <w:tcMar>
              <w:top w:w="50" w:type="dxa"/>
              <w:left w:w="100" w:type="dxa"/>
              <w:bottom w:w="50" w:type="dxa"/>
              <w:right w:w="100" w:type="dxa"/>
            </w:tcMar>
            <w:vAlign w:val="center"/>
          </w:tcPr>
          <w:p w14:paraId="585C5979">
            <w:pPr>
              <w:widowControl/>
              <w:snapToGrid w:val="0"/>
              <w:jc w:val="center"/>
              <w:rPr>
                <w:rFonts w:ascii="Times New Roman" w:hAnsi="Times New Roman" w:eastAsia="楷体_GB2312"/>
                <w:b/>
                <w:bCs/>
                <w:color w:val="000000"/>
                <w:kern w:val="0"/>
                <w:szCs w:val="21"/>
              </w:rPr>
            </w:pPr>
          </w:p>
        </w:tc>
        <w:tc>
          <w:tcPr>
            <w:tcW w:w="0" w:type="auto"/>
            <w:tcBorders>
              <w:top w:val="single" w:color="auto" w:sz="4" w:space="0"/>
              <w:left w:val="single" w:color="auto" w:sz="4" w:space="0"/>
              <w:bottom w:val="single" w:color="auto" w:sz="4" w:space="0"/>
              <w:right w:val="single" w:color="auto" w:sz="4" w:space="0"/>
            </w:tcBorders>
            <w:shd w:val="clear" w:color="auto" w:fill="FFFFFF"/>
            <w:noWrap w:val="0"/>
            <w:tcMar>
              <w:top w:w="50" w:type="dxa"/>
              <w:left w:w="100" w:type="dxa"/>
              <w:bottom w:w="50" w:type="dxa"/>
              <w:right w:w="100" w:type="dxa"/>
            </w:tcMar>
            <w:vAlign w:val="center"/>
          </w:tcPr>
          <w:p w14:paraId="0E7E140C">
            <w:pPr>
              <w:widowControl/>
              <w:snapToGrid w:val="0"/>
              <w:jc w:val="center"/>
              <w:rPr>
                <w:rFonts w:ascii="Times New Roman" w:hAnsi="Times New Roman" w:eastAsia="楷体_GB2312"/>
                <w:color w:val="000000"/>
                <w:kern w:val="0"/>
                <w:szCs w:val="21"/>
              </w:rPr>
            </w:pPr>
            <w:r>
              <w:rPr>
                <w:rFonts w:ascii="Times New Roman" w:hAnsi="Times New Roman" w:eastAsia="楷体_GB2312"/>
                <w:color w:val="000000"/>
                <w:kern w:val="0"/>
                <w:szCs w:val="21"/>
              </w:rPr>
              <w:t>热力（当量值）</w:t>
            </w:r>
          </w:p>
        </w:tc>
        <w:tc>
          <w:tcPr>
            <w:tcW w:w="0" w:type="auto"/>
            <w:tcBorders>
              <w:top w:val="single" w:color="auto" w:sz="4" w:space="0"/>
              <w:left w:val="single" w:color="auto" w:sz="4" w:space="0"/>
              <w:bottom w:val="single" w:color="auto" w:sz="4" w:space="0"/>
              <w:right w:val="single" w:color="auto" w:sz="4" w:space="0"/>
            </w:tcBorders>
            <w:shd w:val="clear" w:color="auto" w:fill="FFFFFF"/>
            <w:noWrap w:val="0"/>
            <w:tcMar>
              <w:top w:w="50" w:type="dxa"/>
              <w:left w:w="100" w:type="dxa"/>
              <w:bottom w:w="50" w:type="dxa"/>
              <w:right w:w="100" w:type="dxa"/>
            </w:tcMar>
            <w:vAlign w:val="center"/>
          </w:tcPr>
          <w:p w14:paraId="16E3A990">
            <w:pPr>
              <w:widowControl/>
              <w:snapToGrid w:val="0"/>
              <w:jc w:val="center"/>
              <w:rPr>
                <w:rFonts w:ascii="Times New Roman" w:hAnsi="Times New Roman" w:eastAsia="楷体_GB2312"/>
                <w:color w:val="000000"/>
                <w:kern w:val="0"/>
                <w:szCs w:val="21"/>
              </w:rPr>
            </w:pPr>
            <w:r>
              <w:rPr>
                <w:rFonts w:ascii="Times New Roman" w:hAnsi="Times New Roman" w:eastAsia="楷体_GB2312"/>
                <w:color w:val="000000"/>
                <w:kern w:val="0"/>
                <w:szCs w:val="21"/>
              </w:rPr>
              <w:t>0.034 12 kgce/MJ</w:t>
            </w:r>
          </w:p>
        </w:tc>
      </w:tr>
      <w:tr w14:paraId="699A992E">
        <w:tblPrEx>
          <w:tblCellMar>
            <w:top w:w="0" w:type="dxa"/>
            <w:left w:w="0" w:type="dxa"/>
            <w:bottom w:w="0" w:type="dxa"/>
            <w:right w:w="0" w:type="dxa"/>
          </w:tblCellMar>
        </w:tblPrEx>
        <w:trPr>
          <w:trHeight w:val="23" w:hRule="atLeast"/>
          <w:jc w:val="center"/>
        </w:trPr>
        <w:tc>
          <w:tcPr>
            <w:tcW w:w="0" w:type="auto"/>
            <w:vMerge w:val="continue"/>
            <w:tcBorders>
              <w:left w:val="single" w:color="auto" w:sz="4" w:space="0"/>
              <w:bottom w:val="single" w:color="auto" w:sz="4" w:space="0"/>
              <w:right w:val="single" w:color="auto" w:sz="4" w:space="0"/>
            </w:tcBorders>
            <w:shd w:val="clear" w:color="auto" w:fill="FFFFFF"/>
            <w:noWrap w:val="0"/>
            <w:tcMar>
              <w:top w:w="50" w:type="dxa"/>
              <w:left w:w="100" w:type="dxa"/>
              <w:bottom w:w="50" w:type="dxa"/>
              <w:right w:w="100" w:type="dxa"/>
            </w:tcMar>
            <w:vAlign w:val="center"/>
          </w:tcPr>
          <w:p w14:paraId="28706726">
            <w:pPr>
              <w:widowControl/>
              <w:snapToGrid w:val="0"/>
              <w:jc w:val="center"/>
              <w:rPr>
                <w:rFonts w:ascii="Times New Roman" w:hAnsi="Times New Roman" w:eastAsia="楷体_GB2312"/>
                <w:b/>
                <w:bCs/>
                <w:color w:val="000000"/>
                <w:kern w:val="0"/>
                <w:szCs w:val="21"/>
              </w:rPr>
            </w:pPr>
          </w:p>
        </w:tc>
        <w:tc>
          <w:tcPr>
            <w:tcW w:w="0" w:type="auto"/>
            <w:tcBorders>
              <w:top w:val="single" w:color="auto" w:sz="4" w:space="0"/>
              <w:left w:val="single" w:color="auto" w:sz="4" w:space="0"/>
              <w:bottom w:val="single" w:color="auto" w:sz="4" w:space="0"/>
              <w:right w:val="single" w:color="auto" w:sz="4" w:space="0"/>
            </w:tcBorders>
            <w:shd w:val="clear" w:color="auto" w:fill="FFFFFF"/>
            <w:noWrap w:val="0"/>
            <w:tcMar>
              <w:top w:w="50" w:type="dxa"/>
              <w:left w:w="100" w:type="dxa"/>
              <w:bottom w:w="50" w:type="dxa"/>
              <w:right w:w="100" w:type="dxa"/>
            </w:tcMar>
            <w:vAlign w:val="center"/>
          </w:tcPr>
          <w:p w14:paraId="3826C16F">
            <w:pPr>
              <w:widowControl/>
              <w:snapToGrid w:val="0"/>
              <w:jc w:val="center"/>
              <w:rPr>
                <w:rFonts w:ascii="Times New Roman" w:hAnsi="Times New Roman" w:eastAsia="楷体_GB2312"/>
                <w:color w:val="000000"/>
                <w:kern w:val="0"/>
                <w:szCs w:val="21"/>
              </w:rPr>
            </w:pPr>
            <w:r>
              <w:rPr>
                <w:rFonts w:ascii="Times New Roman" w:hAnsi="Times New Roman" w:eastAsia="楷体_GB2312"/>
                <w:color w:val="000000"/>
                <w:kern w:val="0"/>
                <w:szCs w:val="21"/>
              </w:rPr>
              <w:t>…</w:t>
            </w:r>
          </w:p>
        </w:tc>
        <w:tc>
          <w:tcPr>
            <w:tcW w:w="0" w:type="auto"/>
            <w:tcBorders>
              <w:top w:val="single" w:color="auto" w:sz="4" w:space="0"/>
              <w:left w:val="single" w:color="auto" w:sz="4" w:space="0"/>
              <w:bottom w:val="single" w:color="auto" w:sz="4" w:space="0"/>
              <w:right w:val="single" w:color="auto" w:sz="4" w:space="0"/>
            </w:tcBorders>
            <w:shd w:val="clear" w:color="auto" w:fill="FFFFFF"/>
            <w:noWrap w:val="0"/>
            <w:tcMar>
              <w:top w:w="50" w:type="dxa"/>
              <w:left w:w="100" w:type="dxa"/>
              <w:bottom w:w="50" w:type="dxa"/>
              <w:right w:w="100" w:type="dxa"/>
            </w:tcMar>
            <w:vAlign w:val="center"/>
          </w:tcPr>
          <w:p w14:paraId="7FB6BB5E">
            <w:pPr>
              <w:widowControl/>
              <w:snapToGrid w:val="0"/>
              <w:jc w:val="center"/>
              <w:rPr>
                <w:rFonts w:ascii="Times New Roman" w:hAnsi="Times New Roman" w:eastAsia="楷体_GB2312"/>
                <w:color w:val="000000"/>
                <w:kern w:val="0"/>
                <w:szCs w:val="21"/>
              </w:rPr>
            </w:pPr>
            <w:r>
              <w:rPr>
                <w:rFonts w:ascii="Times New Roman" w:hAnsi="Times New Roman" w:eastAsia="楷体_GB2312"/>
                <w:color w:val="000000"/>
                <w:kern w:val="0"/>
                <w:szCs w:val="21"/>
              </w:rPr>
              <w:t>…</w:t>
            </w:r>
          </w:p>
        </w:tc>
      </w:tr>
      <w:tr w14:paraId="47837F59">
        <w:tblPrEx>
          <w:tblCellMar>
            <w:top w:w="0" w:type="dxa"/>
            <w:left w:w="0" w:type="dxa"/>
            <w:bottom w:w="0" w:type="dxa"/>
            <w:right w:w="0" w:type="dxa"/>
          </w:tblCellMar>
        </w:tblPrEx>
        <w:trPr>
          <w:trHeight w:val="23" w:hRule="atLeast"/>
          <w:jc w:val="center"/>
        </w:trPr>
        <w:tc>
          <w:tcPr>
            <w:tcW w:w="0" w:type="auto"/>
            <w:vMerge w:val="restart"/>
            <w:tcBorders>
              <w:top w:val="single" w:color="auto" w:sz="4" w:space="0"/>
              <w:left w:val="single" w:color="auto" w:sz="4" w:space="0"/>
              <w:right w:val="single" w:color="auto" w:sz="4" w:space="0"/>
            </w:tcBorders>
            <w:shd w:val="clear" w:color="auto" w:fill="FFFFFF"/>
            <w:noWrap w:val="0"/>
            <w:tcMar>
              <w:top w:w="50" w:type="dxa"/>
              <w:left w:w="100" w:type="dxa"/>
              <w:bottom w:w="50" w:type="dxa"/>
              <w:right w:w="100" w:type="dxa"/>
            </w:tcMar>
            <w:vAlign w:val="center"/>
          </w:tcPr>
          <w:p w14:paraId="67376807">
            <w:pPr>
              <w:widowControl/>
              <w:snapToGrid w:val="0"/>
              <w:jc w:val="center"/>
              <w:rPr>
                <w:rFonts w:ascii="Times New Roman" w:hAnsi="Times New Roman" w:eastAsia="楷体_GB2312"/>
                <w:b/>
                <w:bCs/>
                <w:color w:val="000000"/>
                <w:kern w:val="0"/>
                <w:szCs w:val="21"/>
              </w:rPr>
            </w:pPr>
            <w:r>
              <w:rPr>
                <w:rFonts w:ascii="Times New Roman" w:hAnsi="Times New Roman" w:eastAsia="楷体_GB2312"/>
                <w:b/>
                <w:bCs/>
                <w:szCs w:val="21"/>
                <w:lang w:bidi="ar"/>
              </w:rPr>
              <w:t>耗能工质</w:t>
            </w:r>
          </w:p>
        </w:tc>
        <w:tc>
          <w:tcPr>
            <w:tcW w:w="0" w:type="auto"/>
            <w:tcBorders>
              <w:top w:val="single" w:color="auto" w:sz="4" w:space="0"/>
              <w:left w:val="single" w:color="auto" w:sz="4" w:space="0"/>
              <w:bottom w:val="single" w:color="auto" w:sz="4" w:space="0"/>
              <w:right w:val="single" w:color="auto" w:sz="4" w:space="0"/>
            </w:tcBorders>
            <w:shd w:val="clear" w:color="auto" w:fill="FFFFFF"/>
            <w:noWrap w:val="0"/>
            <w:tcMar>
              <w:top w:w="50" w:type="dxa"/>
              <w:left w:w="100" w:type="dxa"/>
              <w:bottom w:w="50" w:type="dxa"/>
              <w:right w:w="100" w:type="dxa"/>
            </w:tcMar>
            <w:vAlign w:val="center"/>
          </w:tcPr>
          <w:p w14:paraId="2B61DF5F">
            <w:pPr>
              <w:widowControl/>
              <w:snapToGrid w:val="0"/>
              <w:jc w:val="center"/>
              <w:rPr>
                <w:rFonts w:ascii="Times New Roman" w:hAnsi="Times New Roman" w:eastAsia="楷体_GB2312"/>
                <w:color w:val="000000"/>
                <w:kern w:val="0"/>
                <w:szCs w:val="21"/>
              </w:rPr>
            </w:pPr>
            <w:r>
              <w:rPr>
                <w:rFonts w:ascii="Times New Roman" w:hAnsi="Times New Roman" w:eastAsia="楷体_GB2312"/>
                <w:color w:val="000000"/>
                <w:kern w:val="0"/>
                <w:szCs w:val="21"/>
              </w:rPr>
              <w:t>新水</w:t>
            </w:r>
          </w:p>
        </w:tc>
        <w:tc>
          <w:tcPr>
            <w:tcW w:w="0" w:type="auto"/>
            <w:tcBorders>
              <w:top w:val="single" w:color="auto" w:sz="4" w:space="0"/>
              <w:left w:val="single" w:color="auto" w:sz="4" w:space="0"/>
              <w:bottom w:val="single" w:color="auto" w:sz="4" w:space="0"/>
              <w:right w:val="single" w:color="auto" w:sz="4" w:space="0"/>
            </w:tcBorders>
            <w:shd w:val="clear" w:color="auto" w:fill="FFFFFF"/>
            <w:noWrap w:val="0"/>
            <w:tcMar>
              <w:top w:w="50" w:type="dxa"/>
              <w:left w:w="100" w:type="dxa"/>
              <w:bottom w:w="50" w:type="dxa"/>
              <w:right w:w="100" w:type="dxa"/>
            </w:tcMar>
            <w:vAlign w:val="center"/>
          </w:tcPr>
          <w:p w14:paraId="0B3102AC">
            <w:pPr>
              <w:widowControl/>
              <w:snapToGrid w:val="0"/>
              <w:jc w:val="center"/>
              <w:rPr>
                <w:rFonts w:ascii="Times New Roman" w:hAnsi="Times New Roman" w:eastAsia="楷体_GB2312"/>
                <w:color w:val="000000"/>
                <w:kern w:val="0"/>
                <w:szCs w:val="21"/>
              </w:rPr>
            </w:pPr>
            <w:r>
              <w:rPr>
                <w:rFonts w:ascii="Times New Roman" w:hAnsi="Times New Roman" w:eastAsia="楷体_GB2312"/>
                <w:color w:val="000000"/>
                <w:kern w:val="0"/>
                <w:szCs w:val="21"/>
              </w:rPr>
              <w:t>0.2571 kgce/t</w:t>
            </w:r>
          </w:p>
        </w:tc>
      </w:tr>
      <w:tr w14:paraId="44F9B360">
        <w:tblPrEx>
          <w:tblCellMar>
            <w:top w:w="0" w:type="dxa"/>
            <w:left w:w="0" w:type="dxa"/>
            <w:bottom w:w="0" w:type="dxa"/>
            <w:right w:w="0" w:type="dxa"/>
          </w:tblCellMar>
        </w:tblPrEx>
        <w:trPr>
          <w:trHeight w:val="23" w:hRule="atLeast"/>
          <w:jc w:val="center"/>
        </w:trPr>
        <w:tc>
          <w:tcPr>
            <w:tcW w:w="0" w:type="auto"/>
            <w:vMerge w:val="continue"/>
            <w:tcBorders>
              <w:left w:val="single" w:color="auto" w:sz="4" w:space="0"/>
              <w:right w:val="single" w:color="auto" w:sz="4" w:space="0"/>
            </w:tcBorders>
            <w:shd w:val="clear" w:color="auto" w:fill="FFFFFF"/>
            <w:noWrap w:val="0"/>
            <w:tcMar>
              <w:top w:w="50" w:type="dxa"/>
              <w:left w:w="100" w:type="dxa"/>
              <w:bottom w:w="50" w:type="dxa"/>
              <w:right w:w="100" w:type="dxa"/>
            </w:tcMar>
            <w:vAlign w:val="center"/>
          </w:tcPr>
          <w:p w14:paraId="1D802C18">
            <w:pPr>
              <w:widowControl/>
              <w:snapToGrid w:val="0"/>
              <w:jc w:val="center"/>
              <w:rPr>
                <w:rFonts w:ascii="Times New Roman" w:hAnsi="Times New Roman" w:eastAsia="楷体_GB2312"/>
                <w:b/>
                <w:bCs/>
                <w:color w:val="000000"/>
                <w:kern w:val="0"/>
                <w:szCs w:val="21"/>
              </w:rPr>
            </w:pPr>
          </w:p>
        </w:tc>
        <w:tc>
          <w:tcPr>
            <w:tcW w:w="0" w:type="auto"/>
            <w:tcBorders>
              <w:top w:val="single" w:color="auto" w:sz="4" w:space="0"/>
              <w:left w:val="single" w:color="auto" w:sz="4" w:space="0"/>
              <w:bottom w:val="single" w:color="auto" w:sz="4" w:space="0"/>
              <w:right w:val="single" w:color="auto" w:sz="4" w:space="0"/>
            </w:tcBorders>
            <w:shd w:val="clear" w:color="auto" w:fill="FFFFFF"/>
            <w:noWrap w:val="0"/>
            <w:tcMar>
              <w:top w:w="50" w:type="dxa"/>
              <w:left w:w="100" w:type="dxa"/>
              <w:bottom w:w="50" w:type="dxa"/>
              <w:right w:w="100" w:type="dxa"/>
            </w:tcMar>
            <w:vAlign w:val="center"/>
          </w:tcPr>
          <w:p w14:paraId="6A04B128">
            <w:pPr>
              <w:widowControl/>
              <w:snapToGrid w:val="0"/>
              <w:jc w:val="center"/>
              <w:rPr>
                <w:rFonts w:ascii="Times New Roman" w:hAnsi="Times New Roman" w:eastAsia="楷体_GB2312"/>
                <w:color w:val="000000"/>
                <w:kern w:val="0"/>
                <w:szCs w:val="21"/>
              </w:rPr>
            </w:pPr>
            <w:r>
              <w:rPr>
                <w:rFonts w:ascii="Times New Roman" w:hAnsi="Times New Roman" w:eastAsia="楷体_GB2312"/>
                <w:color w:val="000000"/>
                <w:kern w:val="0"/>
                <w:szCs w:val="21"/>
              </w:rPr>
              <w:t>氧气</w:t>
            </w:r>
          </w:p>
        </w:tc>
        <w:tc>
          <w:tcPr>
            <w:tcW w:w="0" w:type="auto"/>
            <w:tcBorders>
              <w:top w:val="single" w:color="auto" w:sz="4" w:space="0"/>
              <w:left w:val="single" w:color="auto" w:sz="4" w:space="0"/>
              <w:bottom w:val="single" w:color="auto" w:sz="4" w:space="0"/>
              <w:right w:val="single" w:color="auto" w:sz="4" w:space="0"/>
            </w:tcBorders>
            <w:shd w:val="clear" w:color="auto" w:fill="FFFFFF"/>
            <w:noWrap w:val="0"/>
            <w:tcMar>
              <w:top w:w="50" w:type="dxa"/>
              <w:left w:w="100" w:type="dxa"/>
              <w:bottom w:w="50" w:type="dxa"/>
              <w:right w:w="100" w:type="dxa"/>
            </w:tcMar>
            <w:vAlign w:val="center"/>
          </w:tcPr>
          <w:p w14:paraId="691857D8">
            <w:pPr>
              <w:widowControl/>
              <w:snapToGrid w:val="0"/>
              <w:jc w:val="center"/>
              <w:rPr>
                <w:rFonts w:ascii="Times New Roman" w:hAnsi="Times New Roman" w:eastAsia="楷体_GB2312"/>
                <w:color w:val="000000"/>
                <w:kern w:val="0"/>
                <w:szCs w:val="21"/>
              </w:rPr>
            </w:pPr>
            <w:r>
              <w:rPr>
                <w:rFonts w:ascii="Times New Roman" w:hAnsi="Times New Roman" w:eastAsia="楷体_GB2312"/>
                <w:color w:val="000000"/>
                <w:kern w:val="0"/>
                <w:szCs w:val="21"/>
              </w:rPr>
              <w:t>0.0400 kgce/m³</w:t>
            </w:r>
          </w:p>
        </w:tc>
      </w:tr>
      <w:tr w14:paraId="29342C8E">
        <w:tblPrEx>
          <w:tblCellMar>
            <w:top w:w="0" w:type="dxa"/>
            <w:left w:w="0" w:type="dxa"/>
            <w:bottom w:w="0" w:type="dxa"/>
            <w:right w:w="0" w:type="dxa"/>
          </w:tblCellMar>
        </w:tblPrEx>
        <w:trPr>
          <w:trHeight w:val="23" w:hRule="atLeast"/>
          <w:jc w:val="center"/>
        </w:trPr>
        <w:tc>
          <w:tcPr>
            <w:tcW w:w="0" w:type="auto"/>
            <w:vMerge w:val="continue"/>
            <w:tcBorders>
              <w:left w:val="single" w:color="auto" w:sz="4" w:space="0"/>
              <w:right w:val="single" w:color="auto" w:sz="4" w:space="0"/>
            </w:tcBorders>
            <w:shd w:val="clear" w:color="auto" w:fill="FFFFFF"/>
            <w:noWrap w:val="0"/>
            <w:tcMar>
              <w:top w:w="50" w:type="dxa"/>
              <w:left w:w="100" w:type="dxa"/>
              <w:bottom w:w="50" w:type="dxa"/>
              <w:right w:w="100" w:type="dxa"/>
            </w:tcMar>
            <w:vAlign w:val="center"/>
          </w:tcPr>
          <w:p w14:paraId="2E87C026">
            <w:pPr>
              <w:widowControl/>
              <w:snapToGrid w:val="0"/>
              <w:jc w:val="center"/>
              <w:rPr>
                <w:rFonts w:ascii="Times New Roman" w:hAnsi="Times New Roman" w:eastAsia="楷体_GB2312"/>
                <w:b/>
                <w:bCs/>
                <w:color w:val="000000"/>
                <w:kern w:val="0"/>
                <w:szCs w:val="21"/>
              </w:rPr>
            </w:pPr>
          </w:p>
        </w:tc>
        <w:tc>
          <w:tcPr>
            <w:tcW w:w="0" w:type="auto"/>
            <w:tcBorders>
              <w:top w:val="single" w:color="auto" w:sz="4" w:space="0"/>
              <w:left w:val="single" w:color="auto" w:sz="4" w:space="0"/>
              <w:bottom w:val="single" w:color="auto" w:sz="4" w:space="0"/>
              <w:right w:val="single" w:color="auto" w:sz="4" w:space="0"/>
            </w:tcBorders>
            <w:shd w:val="clear" w:color="auto" w:fill="FFFFFF"/>
            <w:noWrap w:val="0"/>
            <w:tcMar>
              <w:top w:w="50" w:type="dxa"/>
              <w:left w:w="100" w:type="dxa"/>
              <w:bottom w:w="50" w:type="dxa"/>
              <w:right w:w="100" w:type="dxa"/>
            </w:tcMar>
            <w:vAlign w:val="center"/>
          </w:tcPr>
          <w:p w14:paraId="3B41AB80">
            <w:pPr>
              <w:widowControl/>
              <w:snapToGrid w:val="0"/>
              <w:jc w:val="center"/>
              <w:rPr>
                <w:rFonts w:ascii="Times New Roman" w:hAnsi="Times New Roman" w:eastAsia="楷体_GB2312"/>
                <w:color w:val="000000"/>
                <w:kern w:val="0"/>
                <w:szCs w:val="21"/>
              </w:rPr>
            </w:pPr>
            <w:r>
              <w:rPr>
                <w:rFonts w:ascii="Times New Roman" w:hAnsi="Times New Roman" w:eastAsia="楷体_GB2312"/>
                <w:color w:val="000000"/>
                <w:kern w:val="0"/>
                <w:szCs w:val="21"/>
              </w:rPr>
              <w:t>压缩空气</w:t>
            </w:r>
          </w:p>
        </w:tc>
        <w:tc>
          <w:tcPr>
            <w:tcW w:w="0" w:type="auto"/>
            <w:tcBorders>
              <w:top w:val="single" w:color="auto" w:sz="4" w:space="0"/>
              <w:left w:val="single" w:color="auto" w:sz="4" w:space="0"/>
              <w:bottom w:val="single" w:color="auto" w:sz="4" w:space="0"/>
              <w:right w:val="single" w:color="auto" w:sz="4" w:space="0"/>
            </w:tcBorders>
            <w:shd w:val="clear" w:color="auto" w:fill="FFFFFF"/>
            <w:noWrap w:val="0"/>
            <w:tcMar>
              <w:top w:w="50" w:type="dxa"/>
              <w:left w:w="100" w:type="dxa"/>
              <w:bottom w:w="50" w:type="dxa"/>
              <w:right w:w="100" w:type="dxa"/>
            </w:tcMar>
            <w:vAlign w:val="center"/>
          </w:tcPr>
          <w:p w14:paraId="15FB8C95">
            <w:pPr>
              <w:widowControl/>
              <w:snapToGrid w:val="0"/>
              <w:jc w:val="center"/>
              <w:rPr>
                <w:rFonts w:ascii="Times New Roman" w:hAnsi="Times New Roman" w:eastAsia="楷体_GB2312"/>
                <w:color w:val="000000"/>
                <w:kern w:val="0"/>
                <w:szCs w:val="21"/>
              </w:rPr>
            </w:pPr>
            <w:r>
              <w:rPr>
                <w:rFonts w:ascii="Times New Roman" w:hAnsi="Times New Roman" w:eastAsia="楷体_GB2312"/>
                <w:color w:val="000000"/>
                <w:kern w:val="0"/>
                <w:szCs w:val="21"/>
              </w:rPr>
              <w:t>0.4000 kgce/m³</w:t>
            </w:r>
          </w:p>
        </w:tc>
      </w:tr>
      <w:tr w14:paraId="5A43BB4D">
        <w:tblPrEx>
          <w:tblCellMar>
            <w:top w:w="0" w:type="dxa"/>
            <w:left w:w="0" w:type="dxa"/>
            <w:bottom w:w="0" w:type="dxa"/>
            <w:right w:w="0" w:type="dxa"/>
          </w:tblCellMar>
        </w:tblPrEx>
        <w:trPr>
          <w:trHeight w:val="23" w:hRule="atLeast"/>
          <w:jc w:val="center"/>
        </w:trPr>
        <w:tc>
          <w:tcPr>
            <w:tcW w:w="0" w:type="auto"/>
            <w:vMerge w:val="continue"/>
            <w:tcBorders>
              <w:left w:val="single" w:color="auto" w:sz="4" w:space="0"/>
              <w:bottom w:val="single" w:color="auto" w:sz="4" w:space="0"/>
              <w:right w:val="single" w:color="auto" w:sz="4" w:space="0"/>
            </w:tcBorders>
            <w:shd w:val="clear" w:color="auto" w:fill="FFFFFF"/>
            <w:noWrap w:val="0"/>
            <w:tcMar>
              <w:top w:w="50" w:type="dxa"/>
              <w:left w:w="100" w:type="dxa"/>
              <w:bottom w:w="50" w:type="dxa"/>
              <w:right w:w="100" w:type="dxa"/>
            </w:tcMar>
            <w:vAlign w:val="center"/>
          </w:tcPr>
          <w:p w14:paraId="4CFA9898">
            <w:pPr>
              <w:widowControl/>
              <w:snapToGrid w:val="0"/>
              <w:jc w:val="center"/>
              <w:rPr>
                <w:rFonts w:ascii="Times New Roman" w:hAnsi="Times New Roman" w:eastAsia="楷体_GB2312"/>
                <w:b/>
                <w:bCs/>
                <w:color w:val="000000"/>
                <w:kern w:val="0"/>
                <w:szCs w:val="21"/>
              </w:rPr>
            </w:pPr>
          </w:p>
        </w:tc>
        <w:tc>
          <w:tcPr>
            <w:tcW w:w="0" w:type="auto"/>
            <w:tcBorders>
              <w:top w:val="single" w:color="auto" w:sz="4" w:space="0"/>
              <w:left w:val="single" w:color="auto" w:sz="4" w:space="0"/>
              <w:bottom w:val="single" w:color="auto" w:sz="4" w:space="0"/>
              <w:right w:val="single" w:color="auto" w:sz="4" w:space="0"/>
            </w:tcBorders>
            <w:shd w:val="clear" w:color="auto" w:fill="FFFFFF"/>
            <w:noWrap w:val="0"/>
            <w:tcMar>
              <w:top w:w="50" w:type="dxa"/>
              <w:left w:w="100" w:type="dxa"/>
              <w:bottom w:w="50" w:type="dxa"/>
              <w:right w:w="100" w:type="dxa"/>
            </w:tcMar>
            <w:vAlign w:val="center"/>
          </w:tcPr>
          <w:p w14:paraId="4EE824F3">
            <w:pPr>
              <w:widowControl/>
              <w:snapToGrid w:val="0"/>
              <w:jc w:val="center"/>
              <w:rPr>
                <w:rFonts w:ascii="Times New Roman" w:hAnsi="Times New Roman" w:eastAsia="楷体_GB2312"/>
                <w:color w:val="000000"/>
                <w:kern w:val="0"/>
                <w:szCs w:val="21"/>
              </w:rPr>
            </w:pPr>
            <w:r>
              <w:rPr>
                <w:rFonts w:ascii="Times New Roman" w:hAnsi="Times New Roman" w:eastAsia="楷体_GB2312"/>
                <w:color w:val="000000"/>
                <w:kern w:val="0"/>
                <w:szCs w:val="21"/>
              </w:rPr>
              <w:t>…</w:t>
            </w:r>
          </w:p>
        </w:tc>
        <w:tc>
          <w:tcPr>
            <w:tcW w:w="0" w:type="auto"/>
            <w:tcBorders>
              <w:top w:val="single" w:color="auto" w:sz="4" w:space="0"/>
              <w:left w:val="single" w:color="auto" w:sz="4" w:space="0"/>
              <w:bottom w:val="single" w:color="auto" w:sz="4" w:space="0"/>
              <w:right w:val="single" w:color="auto" w:sz="4" w:space="0"/>
            </w:tcBorders>
            <w:shd w:val="clear" w:color="auto" w:fill="FFFFFF"/>
            <w:noWrap w:val="0"/>
            <w:tcMar>
              <w:top w:w="50" w:type="dxa"/>
              <w:left w:w="100" w:type="dxa"/>
              <w:bottom w:w="50" w:type="dxa"/>
              <w:right w:w="100" w:type="dxa"/>
            </w:tcMar>
            <w:vAlign w:val="center"/>
          </w:tcPr>
          <w:p w14:paraId="612CBD6C">
            <w:pPr>
              <w:widowControl/>
              <w:snapToGrid w:val="0"/>
              <w:jc w:val="center"/>
              <w:rPr>
                <w:rFonts w:ascii="Times New Roman" w:hAnsi="Times New Roman" w:eastAsia="楷体_GB2312"/>
                <w:color w:val="000000"/>
                <w:kern w:val="0"/>
                <w:szCs w:val="21"/>
              </w:rPr>
            </w:pPr>
            <w:r>
              <w:rPr>
                <w:rFonts w:ascii="Times New Roman" w:hAnsi="Times New Roman" w:eastAsia="楷体_GB2312"/>
                <w:color w:val="000000"/>
                <w:kern w:val="0"/>
                <w:szCs w:val="21"/>
              </w:rPr>
              <w:t>…</w:t>
            </w:r>
          </w:p>
        </w:tc>
      </w:tr>
    </w:tbl>
    <w:p w14:paraId="3E8653B6">
      <w:pPr>
        <w:pStyle w:val="3"/>
        <w:spacing w:line="600" w:lineRule="exact"/>
        <w:ind w:left="0" w:leftChars="0" w:firstLine="720" w:firstLineChars="200"/>
        <w:rPr>
          <w:rFonts w:ascii="Times New Roman" w:hAnsi="Times New Roman" w:eastAsia="仿宋_GB2312"/>
          <w:sz w:val="36"/>
          <w:szCs w:val="44"/>
        </w:rPr>
      </w:pPr>
    </w:p>
    <w:p w14:paraId="0C88234B">
      <w:pPr>
        <w:rPr>
          <w:rFonts w:ascii="Times New Roman" w:hAnsi="Times New Roman"/>
        </w:rPr>
      </w:pPr>
    </w:p>
    <w:p w14:paraId="34B9C5C6">
      <w:pPr>
        <w:rPr>
          <w:rFonts w:ascii="Times New Roman" w:hAnsi="Times New Roman"/>
        </w:rPr>
      </w:pPr>
    </w:p>
    <w:p w14:paraId="0C306012"/>
    <w:p w14:paraId="275EE770"/>
    <w:sectPr>
      <w:footerReference r:id="rId3" w:type="default"/>
      <w:footerReference r:id="rId4" w:type="even"/>
      <w:pgSz w:w="11906" w:h="16838"/>
      <w:pgMar w:top="2098" w:right="1247" w:bottom="1417" w:left="1587" w:header="964" w:footer="1247"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Arial Unicode MS"/>
    <w:panose1 w:val="02010600030101010101"/>
    <w:charset w:val="86"/>
    <w:family w:val="auto"/>
    <w:pitch w:val="default"/>
    <w:sig w:usb0="00000000" w:usb1="00000000" w:usb2="00000016" w:usb3="00000000" w:csb0="0004000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微软雅黑">
    <w:panose1 w:val="020B0503020204020204"/>
    <w:charset w:val="86"/>
    <w:family w:val="swiss"/>
    <w:pitch w:val="default"/>
    <w:sig w:usb0="80000287" w:usb1="280F3C52" w:usb2="00000016" w:usb3="00000000" w:csb0="0004001F" w:csb1="00000000"/>
  </w:font>
  <w:font w:name="DejaVu Math TeX Gyre">
    <w:panose1 w:val="02000503000000000000"/>
    <w:charset w:val="00"/>
    <w:family w:val="auto"/>
    <w:pitch w:val="default"/>
    <w:sig w:usb0="A10000EF" w:usb1="4201F9EE" w:usb2="02000000" w:usb3="00000000" w:csb0="60000193" w:csb1="0DD4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411C8EA">
    <w:pPr>
      <w:pStyle w:val="5"/>
    </w:pPr>
    <w: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7822F1E1">
                          <w:pPr>
                            <w:pStyle w:val="5"/>
                            <w:rPr>
                              <w:rFonts w:hint="eastAsia" w:ascii="宋体" w:hAnsi="宋体" w:eastAsia="宋体" w:cs="宋体"/>
                              <w:sz w:val="24"/>
                              <w:szCs w:val="24"/>
                            </w:rPr>
                          </w:pPr>
                          <w:r>
                            <w:rPr>
                              <w:rFonts w:hint="eastAsia" w:ascii="宋体" w:hAnsi="宋体" w:eastAsia="宋体" w:cs="宋体"/>
                              <w:sz w:val="24"/>
                              <w:szCs w:val="24"/>
                            </w:rPr>
                            <w:t xml:space="preserve">— </w:t>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  \* MERGEFORMAT </w:instrText>
                          </w:r>
                          <w:r>
                            <w:rPr>
                              <w:rFonts w:hint="eastAsia" w:ascii="宋体" w:hAnsi="宋体" w:eastAsia="宋体" w:cs="宋体"/>
                              <w:sz w:val="24"/>
                              <w:szCs w:val="24"/>
                            </w:rPr>
                            <w:fldChar w:fldCharType="separate"/>
                          </w:r>
                          <w:r>
                            <w:rPr>
                              <w:rFonts w:ascii="宋体" w:hAnsi="宋体" w:eastAsia="宋体" w:cs="宋体"/>
                              <w:sz w:val="24"/>
                              <w:szCs w:val="24"/>
                            </w:rPr>
                            <w:t>10</w:t>
                          </w:r>
                          <w:r>
                            <w:rPr>
                              <w:rFonts w:hint="eastAsia" w:ascii="宋体" w:hAnsi="宋体" w:eastAsia="宋体" w:cs="宋体"/>
                              <w:sz w:val="24"/>
                              <w:szCs w:val="24"/>
                            </w:rPr>
                            <w:fldChar w:fldCharType="end"/>
                          </w:r>
                          <w:r>
                            <w:rPr>
                              <w:rFonts w:hint="eastAsia" w:ascii="宋体" w:hAnsi="宋体" w:eastAsia="宋体" w:cs="宋体"/>
                              <w:sz w:val="24"/>
                              <w:szCs w:val="24"/>
                            </w:rPr>
                            <w:t xml:space="preserve"> —</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fill on="f" focussize="0,0"/>
              <v:stroke on="f"/>
              <v:imagedata o:title=""/>
              <o:lock v:ext="edit" aspectratio="f"/>
              <v:textbox inset="0mm,0mm,0mm,0mm" style="mso-fit-shape-to-text:t;">
                <w:txbxContent>
                  <w:p w14:paraId="7822F1E1">
                    <w:pPr>
                      <w:pStyle w:val="5"/>
                      <w:rPr>
                        <w:rFonts w:hint="eastAsia" w:ascii="宋体" w:hAnsi="宋体" w:eastAsia="宋体" w:cs="宋体"/>
                        <w:sz w:val="24"/>
                        <w:szCs w:val="24"/>
                      </w:rPr>
                    </w:pPr>
                    <w:r>
                      <w:rPr>
                        <w:rFonts w:hint="eastAsia" w:ascii="宋体" w:hAnsi="宋体" w:eastAsia="宋体" w:cs="宋体"/>
                        <w:sz w:val="24"/>
                        <w:szCs w:val="24"/>
                      </w:rPr>
                      <w:t xml:space="preserve">— </w:t>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  \* MERGEFORMAT </w:instrText>
                    </w:r>
                    <w:r>
                      <w:rPr>
                        <w:rFonts w:hint="eastAsia" w:ascii="宋体" w:hAnsi="宋体" w:eastAsia="宋体" w:cs="宋体"/>
                        <w:sz w:val="24"/>
                        <w:szCs w:val="24"/>
                      </w:rPr>
                      <w:fldChar w:fldCharType="separate"/>
                    </w:r>
                    <w:r>
                      <w:rPr>
                        <w:rFonts w:ascii="宋体" w:hAnsi="宋体" w:eastAsia="宋体" w:cs="宋体"/>
                        <w:sz w:val="24"/>
                        <w:szCs w:val="24"/>
                      </w:rPr>
                      <w:t>10</w:t>
                    </w:r>
                    <w:r>
                      <w:rPr>
                        <w:rFonts w:hint="eastAsia" w:ascii="宋体" w:hAnsi="宋体" w:eastAsia="宋体" w:cs="宋体"/>
                        <w:sz w:val="24"/>
                        <w:szCs w:val="24"/>
                      </w:rPr>
                      <w:fldChar w:fldCharType="end"/>
                    </w:r>
                    <w:r>
                      <w:rPr>
                        <w:rFonts w:hint="eastAsia" w:ascii="宋体" w:hAnsi="宋体" w:eastAsia="宋体" w:cs="宋体"/>
                        <w:sz w:val="24"/>
                        <w:szCs w:val="24"/>
                      </w:rPr>
                      <w:t xml:space="preserve"> —</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D8736DD">
    <w:pPr>
      <w:pStyle w:val="5"/>
      <w:framePr w:wrap="around" w:vAnchor="text" w:hAnchor="margin" w:xAlign="center" w:y="1"/>
      <w:rPr>
        <w:rStyle w:val="8"/>
      </w:rPr>
    </w:pPr>
    <w:r>
      <w:rPr>
        <w:rStyle w:val="8"/>
      </w:rPr>
      <w:fldChar w:fldCharType="begin"/>
    </w:r>
    <w:r>
      <w:rPr>
        <w:rStyle w:val="8"/>
      </w:rPr>
      <w:instrText xml:space="preserve">PAGE  </w:instrText>
    </w:r>
    <w:r>
      <w:rPr>
        <w:rStyle w:val="8"/>
      </w:rPr>
      <w:fldChar w:fldCharType="end"/>
    </w:r>
  </w:p>
  <w:p w14:paraId="1FC86F8A">
    <w:pPr>
      <w:pStyle w:val="5"/>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E1MjU4YmE5OGRlOTQ2MTk5NGQ5MzBiNjM4MmFlZjcifQ=="/>
  </w:docVars>
  <w:rsids>
    <w:rsidRoot w:val="12F1217E"/>
    <w:rsid w:val="0D460334"/>
    <w:rsid w:val="12F1217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qFormat="1"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qFormat="1"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等线" w:hAnsi="等线" w:eastAsia="等线" w:cs="Times New Roman"/>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uiPriority w:val="0"/>
    <w:tblPr>
      <w:tblCellMar>
        <w:top w:w="0" w:type="dxa"/>
        <w:left w:w="108" w:type="dxa"/>
        <w:bottom w:w="0" w:type="dxa"/>
        <w:right w:w="108" w:type="dxa"/>
      </w:tblCellMar>
    </w:tblPr>
  </w:style>
  <w:style w:type="paragraph" w:styleId="2">
    <w:name w:val="Body Text"/>
    <w:basedOn w:val="1"/>
    <w:next w:val="3"/>
    <w:unhideWhenUsed/>
    <w:qFormat/>
    <w:uiPriority w:val="0"/>
    <w:pPr>
      <w:spacing w:after="120"/>
    </w:pPr>
  </w:style>
  <w:style w:type="paragraph" w:styleId="3">
    <w:name w:val="toc 5"/>
    <w:basedOn w:val="1"/>
    <w:next w:val="1"/>
    <w:qFormat/>
    <w:uiPriority w:val="0"/>
    <w:pPr>
      <w:ind w:left="1680" w:leftChars="800"/>
    </w:pPr>
  </w:style>
  <w:style w:type="paragraph" w:styleId="4">
    <w:name w:val="index 5"/>
    <w:basedOn w:val="1"/>
    <w:next w:val="1"/>
    <w:qFormat/>
    <w:uiPriority w:val="0"/>
    <w:pPr>
      <w:ind w:left="800" w:leftChars="800"/>
    </w:pPr>
    <w:rPr>
      <w:rFonts w:ascii="Times New Roman" w:hAnsi="Times New Roman" w:eastAsia="宋体" w:cs="Times New Roman"/>
    </w:rPr>
  </w:style>
  <w:style w:type="paragraph" w:styleId="5">
    <w:name w:val="footer"/>
    <w:basedOn w:val="1"/>
    <w:next w:val="4"/>
    <w:qFormat/>
    <w:uiPriority w:val="0"/>
    <w:pPr>
      <w:tabs>
        <w:tab w:val="center" w:pos="4153"/>
        <w:tab w:val="right" w:pos="8306"/>
      </w:tabs>
      <w:snapToGrid w:val="0"/>
      <w:jc w:val="left"/>
    </w:pPr>
    <w:rPr>
      <w:sz w:val="18"/>
      <w:szCs w:val="18"/>
    </w:rPr>
  </w:style>
  <w:style w:type="character" w:styleId="8">
    <w:name w:val="page number"/>
    <w:qFormat/>
    <w:uiPriority w:val="0"/>
    <w:rPr>
      <w:rFonts w:ascii="Times New Roman" w:hAnsi="Times New Roman" w:eastAsia="宋体" w:cs="Times New Roman"/>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16</Pages>
  <Words>0</Words>
  <Characters>0</Characters>
  <Lines>0</Lines>
  <Paragraphs>0</Paragraphs>
  <TotalTime>0</TotalTime>
  <ScaleCrop>false</ScaleCrop>
  <LinksUpToDate>false</LinksUpToDate>
  <CharactersWithSpaces>0</CharactersWithSpaces>
  <Application>WPS Office_12.8.2.18606_F1E327BC-269C-435d-A152-05C5408002CA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2025-02-19T08:00:00Z</dcterms:created>
  <dc:creator>杨祖德</dc:creator>
  <cp:lastModifiedBy>陈琼芬（非）</cp:lastModifiedBy>
  <dcterms:modified xsi:type="dcterms:W3CDTF">2025-06-20T09:45:26Z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2052-12.8.2.18606</vt:lpwstr>
  </property>
  <property fmtid="{D5CDD505-2E9C-101B-9397-08002B2CF9AE}" pid="3" name="ICV">
    <vt:lpwstr>26490B327ABB435899300A238ED99E2D_11</vt:lpwstr>
  </property>
</Properties>
</file>