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一图读懂</w:t>
      </w:r>
      <w:r>
        <w:rPr>
          <w:rFonts w:hint="eastAsia" w:ascii="方正小标宋简体" w:hAnsi="方正小标宋简体" w:eastAsia="方正小标宋简体" w:cs="方正小标宋简体"/>
          <w:sz w:val="44"/>
          <w:szCs w:val="44"/>
        </w:rPr>
        <w:t>《深圳市拆除重建类城市更新单元保障性住房配建规定》</w:t>
      </w:r>
    </w:p>
    <w:p>
      <w:pPr>
        <w:spacing w:line="560" w:lineRule="exact"/>
        <w:jc w:val="center"/>
        <w:rPr>
          <w:rFonts w:ascii="宋体" w:hAnsi="宋体" w:eastAsia="宋体"/>
          <w:b/>
          <w:sz w:val="40"/>
        </w:rPr>
      </w:pP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一、出台《配建规定》的必要性是什么？</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根据国家</w:t>
      </w:r>
      <w:r>
        <w:rPr>
          <w:rFonts w:hint="eastAsia" w:ascii="仿宋_GB2312" w:hAnsi="仿宋" w:eastAsia="仿宋_GB2312"/>
          <w:sz w:val="32"/>
          <w:szCs w:val="32"/>
        </w:rPr>
        <w:t>关于规划建设保障性住房的</w:t>
      </w:r>
      <w:r>
        <w:rPr>
          <w:rFonts w:ascii="仿宋_GB2312" w:hAnsi="仿宋" w:eastAsia="仿宋_GB2312"/>
          <w:sz w:val="32"/>
          <w:szCs w:val="32"/>
        </w:rPr>
        <w:t>相关要</w:t>
      </w:r>
      <w:r>
        <w:rPr>
          <w:rFonts w:hint="eastAsia" w:ascii="仿宋_GB2312" w:hAnsi="仿宋" w:eastAsia="仿宋_GB2312"/>
          <w:sz w:val="32"/>
          <w:szCs w:val="32"/>
        </w:rPr>
        <w:t>求</w:t>
      </w:r>
      <w:r>
        <w:rPr>
          <w:rFonts w:ascii="仿宋_GB2312" w:hAnsi="仿宋" w:eastAsia="仿宋_GB2312"/>
          <w:sz w:val="32"/>
          <w:szCs w:val="32"/>
        </w:rPr>
        <w:t>，我市</w:t>
      </w:r>
      <w:r>
        <w:rPr>
          <w:rFonts w:hint="eastAsia" w:ascii="仿宋_GB2312" w:hAnsi="仿宋" w:eastAsia="仿宋_GB2312"/>
          <w:sz w:val="32"/>
          <w:szCs w:val="32"/>
        </w:rPr>
        <w:t>已批更新单元规划配建的用于销售的人才住房、共有产权住房等政策性住房需进行相应衔接调整。</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二、出台《配建规定》的目的是什么？</w:t>
      </w:r>
    </w:p>
    <w:p>
      <w:pPr>
        <w:widowControl/>
        <w:spacing w:line="56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配建规定》是落实我市保障性住房建设要求，多渠道增加保障性住房供应的重要举措，是规范拆除重建类城市更新单元规划配建保障性住房的重要依据。有利于推动一批存量城市更新单元加快实施，促进城市更新渠道</w:t>
      </w:r>
      <w:r>
        <w:rPr>
          <w:rFonts w:ascii="仿宋_GB2312" w:hAnsi="Times New Roman" w:eastAsia="仿宋_GB2312" w:cs="仿宋_GB2312"/>
          <w:sz w:val="32"/>
          <w:szCs w:val="32"/>
          <w:lang w:bidi="ar"/>
        </w:rPr>
        <w:t>配建</w:t>
      </w:r>
      <w:r>
        <w:rPr>
          <w:rFonts w:hint="eastAsia" w:ascii="仿宋_GB2312" w:hAnsi="Times New Roman" w:eastAsia="仿宋_GB2312" w:cs="仿宋_GB2312"/>
          <w:sz w:val="32"/>
          <w:szCs w:val="32"/>
          <w:lang w:bidi="ar"/>
        </w:rPr>
        <w:t>保障性住房的建设和供应。</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三、本次《配建规定》主要内容有哪些？</w:t>
      </w:r>
    </w:p>
    <w:p>
      <w:pPr>
        <w:widowControl/>
        <w:spacing w:line="560" w:lineRule="exact"/>
        <w:ind w:firstLine="640" w:firstLineChars="20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一是落实国家对于保障性住房的要求，优先移交保障性住房用地。</w:t>
      </w:r>
    </w:p>
    <w:p>
      <w:pPr>
        <w:widowControl/>
        <w:spacing w:line="560" w:lineRule="exact"/>
        <w:ind w:firstLine="640" w:firstLineChars="20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二是合理控制城市更新单元公共利益负担，在《关于加强和改进城市更新实施工作暂行措施》明确的基准配建比例基础上，适度降低保障性住房配建比例。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139"/>
        <w:gridCol w:w="1200"/>
        <w:gridCol w:w="1260"/>
        <w:gridCol w:w="1261"/>
        <w:gridCol w:w="1140"/>
        <w:gridCol w:w="1261"/>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1992" w:type="dxa"/>
            <w:vMerge w:val="restart"/>
            <w:vAlign w:val="center"/>
          </w:tcPr>
          <w:p>
            <w:pPr>
              <w:spacing w:line="560" w:lineRule="exact"/>
              <w:jc w:val="center"/>
            </w:pPr>
            <w:r>
              <w:rPr>
                <w:rFonts w:hint="eastAsia" w:ascii="仿宋_GB2312" w:hAnsi="仿宋" w:eastAsia="仿宋_GB2312"/>
                <w:b/>
                <w:color w:val="000000"/>
                <w:szCs w:val="32"/>
              </w:rPr>
              <w:t>地区分类</w:t>
            </w:r>
          </w:p>
        </w:tc>
        <w:tc>
          <w:tcPr>
            <w:tcW w:w="5977" w:type="dxa"/>
            <w:gridSpan w:val="3"/>
            <w:vAlign w:val="center"/>
          </w:tcPr>
          <w:p>
            <w:pPr>
              <w:spacing w:line="560" w:lineRule="exact"/>
              <w:jc w:val="center"/>
              <w:rPr>
                <w:rFonts w:ascii="仿宋_GB2312" w:hAnsi="仿宋" w:eastAsia="仿宋_GB2312"/>
                <w:b/>
                <w:color w:val="000000"/>
                <w:szCs w:val="32"/>
              </w:rPr>
            </w:pPr>
            <w:r>
              <w:rPr>
                <w:rFonts w:hint="eastAsia" w:ascii="仿宋_GB2312" w:hAnsi="仿宋" w:eastAsia="仿宋_GB2312"/>
                <w:b/>
                <w:color w:val="000000"/>
                <w:szCs w:val="32"/>
              </w:rPr>
              <w:t>移交保障性住房用地时配建比例</w:t>
            </w:r>
          </w:p>
        </w:tc>
        <w:tc>
          <w:tcPr>
            <w:tcW w:w="5979" w:type="dxa"/>
            <w:gridSpan w:val="3"/>
            <w:vAlign w:val="center"/>
          </w:tcPr>
          <w:p>
            <w:pPr>
              <w:spacing w:line="560" w:lineRule="exact"/>
              <w:jc w:val="center"/>
              <w:rPr>
                <w:rFonts w:ascii="仿宋_GB2312" w:hAnsi="仿宋" w:eastAsia="仿宋_GB2312"/>
                <w:b/>
                <w:color w:val="000000"/>
                <w:szCs w:val="32"/>
              </w:rPr>
            </w:pPr>
            <w:r>
              <w:rPr>
                <w:rFonts w:hint="eastAsia" w:ascii="仿宋_GB2312" w:hAnsi="仿宋" w:eastAsia="仿宋_GB2312"/>
                <w:b/>
                <w:color w:val="000000"/>
                <w:szCs w:val="32"/>
              </w:rPr>
              <w:t>移交保障性住房时配建比例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1992" w:type="dxa"/>
            <w:vMerge w:val="continue"/>
          </w:tcPr>
          <w:p>
            <w:pPr>
              <w:pStyle w:val="3"/>
            </w:pPr>
          </w:p>
        </w:tc>
        <w:tc>
          <w:tcPr>
            <w:tcW w:w="1992" w:type="dxa"/>
            <w:vAlign w:val="center"/>
          </w:tcPr>
          <w:p>
            <w:pPr>
              <w:pStyle w:val="3"/>
              <w:jc w:val="center"/>
            </w:pPr>
            <w:r>
              <w:rPr>
                <w:rFonts w:hint="eastAsia" w:ascii="仿宋_GB2312" w:hAnsi="仿宋" w:eastAsia="仿宋_GB2312"/>
                <w:sz w:val="22"/>
                <w:szCs w:val="32"/>
              </w:rPr>
              <w:t>城中村改造</w:t>
            </w:r>
          </w:p>
        </w:tc>
        <w:tc>
          <w:tcPr>
            <w:tcW w:w="1992" w:type="dxa"/>
            <w:vAlign w:val="center"/>
          </w:tcPr>
          <w:p>
            <w:pPr>
              <w:pStyle w:val="3"/>
              <w:jc w:val="center"/>
            </w:pPr>
            <w:r>
              <w:rPr>
                <w:rFonts w:hint="eastAsia" w:ascii="仿宋_GB2312" w:hAnsi="仿宋" w:eastAsia="仿宋_GB2312"/>
                <w:sz w:val="22"/>
                <w:szCs w:val="32"/>
              </w:rPr>
              <w:t>商业、旧住宅区及其他旧区改造</w:t>
            </w:r>
          </w:p>
        </w:tc>
        <w:tc>
          <w:tcPr>
            <w:tcW w:w="1993" w:type="dxa"/>
            <w:vAlign w:val="center"/>
          </w:tcPr>
          <w:p>
            <w:pPr>
              <w:pStyle w:val="3"/>
              <w:jc w:val="center"/>
            </w:pPr>
            <w:r>
              <w:rPr>
                <w:rFonts w:hint="eastAsia" w:ascii="仿宋_GB2312" w:hAnsi="仿宋" w:eastAsia="仿宋_GB2312"/>
                <w:sz w:val="22"/>
                <w:szCs w:val="32"/>
              </w:rPr>
              <w:t>旧工业区、仓储区或城市基础设施改造</w:t>
            </w:r>
          </w:p>
        </w:tc>
        <w:tc>
          <w:tcPr>
            <w:tcW w:w="1993" w:type="dxa"/>
            <w:vAlign w:val="center"/>
          </w:tcPr>
          <w:p>
            <w:pPr>
              <w:pStyle w:val="3"/>
              <w:jc w:val="center"/>
            </w:pPr>
            <w:r>
              <w:rPr>
                <w:rFonts w:hint="eastAsia" w:ascii="仿宋_GB2312" w:hAnsi="仿宋" w:eastAsia="仿宋_GB2312"/>
                <w:sz w:val="22"/>
                <w:szCs w:val="32"/>
              </w:rPr>
              <w:t>城中村改造</w:t>
            </w:r>
          </w:p>
        </w:tc>
        <w:tc>
          <w:tcPr>
            <w:tcW w:w="1993" w:type="dxa"/>
            <w:vAlign w:val="center"/>
          </w:tcPr>
          <w:p>
            <w:pPr>
              <w:pStyle w:val="3"/>
              <w:jc w:val="center"/>
            </w:pPr>
            <w:r>
              <w:rPr>
                <w:rFonts w:hint="eastAsia" w:ascii="仿宋_GB2312" w:hAnsi="仿宋" w:eastAsia="仿宋_GB2312"/>
                <w:sz w:val="22"/>
                <w:szCs w:val="32"/>
              </w:rPr>
              <w:t>商业、旧住宅区及其他旧区改造</w:t>
            </w:r>
          </w:p>
        </w:tc>
        <w:tc>
          <w:tcPr>
            <w:tcW w:w="1993" w:type="dxa"/>
            <w:vAlign w:val="center"/>
          </w:tcPr>
          <w:p>
            <w:pPr>
              <w:pStyle w:val="3"/>
              <w:jc w:val="center"/>
            </w:pPr>
            <w:r>
              <w:rPr>
                <w:rFonts w:hint="eastAsia" w:ascii="仿宋_GB2312" w:hAnsi="仿宋" w:eastAsia="仿宋_GB2312"/>
                <w:sz w:val="22"/>
                <w:szCs w:val="32"/>
              </w:rPr>
              <w:t>旧工业区、仓储区或城市基础设施改造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1992"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一类地区</w:t>
            </w:r>
          </w:p>
        </w:tc>
        <w:tc>
          <w:tcPr>
            <w:tcW w:w="1992"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10%</w:t>
            </w:r>
          </w:p>
        </w:tc>
        <w:tc>
          <w:tcPr>
            <w:tcW w:w="1992"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16%</w:t>
            </w:r>
          </w:p>
        </w:tc>
        <w:tc>
          <w:tcPr>
            <w:tcW w:w="1993"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35%</w:t>
            </w:r>
          </w:p>
        </w:tc>
        <w:tc>
          <w:tcPr>
            <w:tcW w:w="1993"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7%</w:t>
            </w:r>
          </w:p>
        </w:tc>
        <w:tc>
          <w:tcPr>
            <w:tcW w:w="1993"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11%</w:t>
            </w:r>
          </w:p>
        </w:tc>
        <w:tc>
          <w:tcPr>
            <w:tcW w:w="1993"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2"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二类地区</w:t>
            </w:r>
          </w:p>
        </w:tc>
        <w:tc>
          <w:tcPr>
            <w:tcW w:w="1992"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8%</w:t>
            </w:r>
          </w:p>
        </w:tc>
        <w:tc>
          <w:tcPr>
            <w:tcW w:w="1992"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14%</w:t>
            </w:r>
          </w:p>
        </w:tc>
        <w:tc>
          <w:tcPr>
            <w:tcW w:w="1993"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33%</w:t>
            </w:r>
          </w:p>
        </w:tc>
        <w:tc>
          <w:tcPr>
            <w:tcW w:w="1993"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5%</w:t>
            </w:r>
          </w:p>
        </w:tc>
        <w:tc>
          <w:tcPr>
            <w:tcW w:w="1993"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9%</w:t>
            </w:r>
          </w:p>
        </w:tc>
        <w:tc>
          <w:tcPr>
            <w:tcW w:w="1993"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1992"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三类地区</w:t>
            </w:r>
          </w:p>
        </w:tc>
        <w:tc>
          <w:tcPr>
            <w:tcW w:w="1992"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5%</w:t>
            </w:r>
          </w:p>
        </w:tc>
        <w:tc>
          <w:tcPr>
            <w:tcW w:w="1992"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11%</w:t>
            </w:r>
          </w:p>
        </w:tc>
        <w:tc>
          <w:tcPr>
            <w:tcW w:w="1993"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30%</w:t>
            </w:r>
          </w:p>
        </w:tc>
        <w:tc>
          <w:tcPr>
            <w:tcW w:w="1993"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2%</w:t>
            </w:r>
          </w:p>
        </w:tc>
        <w:tc>
          <w:tcPr>
            <w:tcW w:w="1993"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6%</w:t>
            </w:r>
          </w:p>
        </w:tc>
        <w:tc>
          <w:tcPr>
            <w:tcW w:w="1993" w:type="dxa"/>
            <w:vAlign w:val="center"/>
          </w:tcPr>
          <w:p>
            <w:pPr>
              <w:pStyle w:val="3"/>
              <w:jc w:val="center"/>
              <w:rPr>
                <w:rFonts w:ascii="仿宋_GB2312" w:hAnsi="仿宋" w:eastAsia="仿宋_GB2312"/>
                <w:sz w:val="22"/>
                <w:szCs w:val="32"/>
              </w:rPr>
            </w:pPr>
            <w:r>
              <w:rPr>
                <w:rFonts w:hint="eastAsia" w:ascii="仿宋_GB2312" w:hAnsi="仿宋" w:eastAsia="仿宋_GB2312"/>
                <w:sz w:val="22"/>
                <w:szCs w:val="32"/>
              </w:rPr>
              <w:t>20%</w:t>
            </w:r>
          </w:p>
        </w:tc>
      </w:tr>
    </w:tbl>
    <w:p>
      <w:pPr>
        <w:widowControl/>
        <w:spacing w:line="560" w:lineRule="exact"/>
        <w:ind w:firstLine="640" w:firstLineChars="200"/>
        <w:rPr>
          <w:rFonts w:hint="eastAsia" w:ascii="仿宋_GB2312" w:hAnsi="Times New Roman" w:eastAsia="仿宋_GB2312" w:cs="仿宋_GB2312"/>
          <w:sz w:val="32"/>
          <w:szCs w:val="32"/>
          <w:lang w:bidi="ar"/>
        </w:rPr>
      </w:pPr>
      <w:bookmarkStart w:id="0" w:name="_GoBack"/>
      <w:bookmarkEnd w:id="0"/>
      <w:r>
        <w:rPr>
          <w:rFonts w:hint="eastAsia" w:ascii="仿宋_GB2312" w:hAnsi="Times New Roman" w:eastAsia="仿宋_GB2312" w:cs="仿宋_GB2312"/>
          <w:sz w:val="32"/>
          <w:szCs w:val="32"/>
          <w:lang w:bidi="ar"/>
        </w:rPr>
        <w:t>三是简化配建比例计算规则，按照本规定的配建比例一览表和一、二、三类地区空间范围图确定配建比例。</w:t>
      </w:r>
    </w:p>
    <w:p>
      <w:pPr>
        <w:widowControl/>
        <w:spacing w:line="560" w:lineRule="exact"/>
        <w:ind w:firstLine="640" w:firstLineChars="20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四是优化保障性住房建设空间引导。落实国土空间总体规划要求，对空间范围图进行了修订。</w:t>
      </w:r>
    </w:p>
    <w:p>
      <w:pPr>
        <w:widowControl/>
        <w:spacing w:line="560" w:lineRule="exact"/>
        <w:ind w:firstLine="640" w:firstLineChars="20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五是优化“工改保”项目的配建规则。实施主体可取得不超过城市更新单元总建筑面积45%的商品性质建筑面积，按照城市更新单元规划容积率折算确定用地面积，交由实施主体开发建设，其余用地无偿移交给政府。</w:t>
      </w:r>
    </w:p>
    <w:p>
      <w:pPr>
        <w:widowControl/>
        <w:spacing w:line="56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六是明确已批规划的出售型保障性住房的转换规则。申报主体或实施主体可将出售型保障性住房建筑面积的40%调整为商品住房，其余60%按照城市更新单元规划居住用地的平均容积率折算成用地无偿移交政府。申报主体或实施主体也可将城市更新单元配建的出售型保障性住房建筑面积的50%调整为商品住房，其余50%调整为配租型保障性住房。</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四、《配建规定》</w:t>
      </w:r>
      <w:r>
        <w:rPr>
          <w:rFonts w:ascii="黑体" w:hAnsi="黑体" w:eastAsia="黑体" w:cs="黑体"/>
          <w:sz w:val="32"/>
          <w:szCs w:val="32"/>
        </w:rPr>
        <w:t>适用对象是什么</w:t>
      </w:r>
      <w:r>
        <w:rPr>
          <w:rFonts w:hint="eastAsia" w:ascii="黑体" w:hAnsi="黑体" w:eastAsia="黑体" w:cs="黑体"/>
          <w:sz w:val="32"/>
          <w:szCs w:val="32"/>
        </w:rPr>
        <w:t>？</w:t>
      </w:r>
    </w:p>
    <w:p>
      <w:pPr>
        <w:widowControl/>
        <w:spacing w:line="56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《配建规定》施行之日起，规划未审批通过的，城市更新单元保障性住房配建应按照本规定实施。规划已审批通过但尚未签订国有建设用地使用权出让合同的，城市更新单元保障性住房配建可参照本规定实施。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B8"/>
    <w:rsid w:val="00001CFF"/>
    <w:rsid w:val="00005501"/>
    <w:rsid w:val="00015AC3"/>
    <w:rsid w:val="00032C37"/>
    <w:rsid w:val="00036091"/>
    <w:rsid w:val="000B2F44"/>
    <w:rsid w:val="000E1CEF"/>
    <w:rsid w:val="000E5E53"/>
    <w:rsid w:val="000F5640"/>
    <w:rsid w:val="00101036"/>
    <w:rsid w:val="00103508"/>
    <w:rsid w:val="00122EC4"/>
    <w:rsid w:val="00144053"/>
    <w:rsid w:val="001465B3"/>
    <w:rsid w:val="00177ED9"/>
    <w:rsid w:val="00180C10"/>
    <w:rsid w:val="0018731F"/>
    <w:rsid w:val="0019122D"/>
    <w:rsid w:val="0019446C"/>
    <w:rsid w:val="00196675"/>
    <w:rsid w:val="0019735D"/>
    <w:rsid w:val="001C2041"/>
    <w:rsid w:val="001D1885"/>
    <w:rsid w:val="001D2F56"/>
    <w:rsid w:val="001E0224"/>
    <w:rsid w:val="0022326C"/>
    <w:rsid w:val="00246653"/>
    <w:rsid w:val="002713F4"/>
    <w:rsid w:val="00281B1A"/>
    <w:rsid w:val="002A2CF5"/>
    <w:rsid w:val="002A2DE8"/>
    <w:rsid w:val="002B3BB0"/>
    <w:rsid w:val="002D07D2"/>
    <w:rsid w:val="002F30BB"/>
    <w:rsid w:val="003411CA"/>
    <w:rsid w:val="00344E60"/>
    <w:rsid w:val="00357091"/>
    <w:rsid w:val="003571AB"/>
    <w:rsid w:val="003605E9"/>
    <w:rsid w:val="0036230E"/>
    <w:rsid w:val="003706B8"/>
    <w:rsid w:val="0038327E"/>
    <w:rsid w:val="0038489D"/>
    <w:rsid w:val="0039032E"/>
    <w:rsid w:val="003A7CA3"/>
    <w:rsid w:val="003B00AD"/>
    <w:rsid w:val="003C042F"/>
    <w:rsid w:val="003D2CCE"/>
    <w:rsid w:val="003E2A0E"/>
    <w:rsid w:val="003F618E"/>
    <w:rsid w:val="00402887"/>
    <w:rsid w:val="00403C39"/>
    <w:rsid w:val="004073CA"/>
    <w:rsid w:val="004379D6"/>
    <w:rsid w:val="00446D1F"/>
    <w:rsid w:val="00477E46"/>
    <w:rsid w:val="004B2C4B"/>
    <w:rsid w:val="004C49EC"/>
    <w:rsid w:val="004C5AF6"/>
    <w:rsid w:val="004D1A09"/>
    <w:rsid w:val="004E2F6D"/>
    <w:rsid w:val="004E746C"/>
    <w:rsid w:val="004E7E82"/>
    <w:rsid w:val="004F091A"/>
    <w:rsid w:val="00507275"/>
    <w:rsid w:val="005238D2"/>
    <w:rsid w:val="00526915"/>
    <w:rsid w:val="00534E80"/>
    <w:rsid w:val="00563C2A"/>
    <w:rsid w:val="005A0782"/>
    <w:rsid w:val="005B441A"/>
    <w:rsid w:val="005B5420"/>
    <w:rsid w:val="005B5923"/>
    <w:rsid w:val="005B7A77"/>
    <w:rsid w:val="005E167A"/>
    <w:rsid w:val="005F18B7"/>
    <w:rsid w:val="00605341"/>
    <w:rsid w:val="00612426"/>
    <w:rsid w:val="006137E1"/>
    <w:rsid w:val="006449F8"/>
    <w:rsid w:val="0065719C"/>
    <w:rsid w:val="006863F3"/>
    <w:rsid w:val="006C5749"/>
    <w:rsid w:val="006D662C"/>
    <w:rsid w:val="006E1BD8"/>
    <w:rsid w:val="006E30B1"/>
    <w:rsid w:val="006E4EE4"/>
    <w:rsid w:val="006E7AC5"/>
    <w:rsid w:val="006F2BA0"/>
    <w:rsid w:val="006F4B3F"/>
    <w:rsid w:val="007206E5"/>
    <w:rsid w:val="00774913"/>
    <w:rsid w:val="0078226A"/>
    <w:rsid w:val="007E47E0"/>
    <w:rsid w:val="008006CC"/>
    <w:rsid w:val="0081059F"/>
    <w:rsid w:val="00860900"/>
    <w:rsid w:val="00885C15"/>
    <w:rsid w:val="00894EE2"/>
    <w:rsid w:val="008D24AB"/>
    <w:rsid w:val="008E25F1"/>
    <w:rsid w:val="008F5FB9"/>
    <w:rsid w:val="008F7095"/>
    <w:rsid w:val="00901B1E"/>
    <w:rsid w:val="00902A14"/>
    <w:rsid w:val="00926AE4"/>
    <w:rsid w:val="0096674F"/>
    <w:rsid w:val="009750D7"/>
    <w:rsid w:val="009913EA"/>
    <w:rsid w:val="00997025"/>
    <w:rsid w:val="009A716E"/>
    <w:rsid w:val="009B7FB8"/>
    <w:rsid w:val="009C134D"/>
    <w:rsid w:val="009D48A3"/>
    <w:rsid w:val="009E66A2"/>
    <w:rsid w:val="009E7385"/>
    <w:rsid w:val="00A11F4F"/>
    <w:rsid w:val="00A12C59"/>
    <w:rsid w:val="00A21243"/>
    <w:rsid w:val="00A27B82"/>
    <w:rsid w:val="00A54A27"/>
    <w:rsid w:val="00A958B0"/>
    <w:rsid w:val="00A95B5C"/>
    <w:rsid w:val="00AD6BCB"/>
    <w:rsid w:val="00B17C47"/>
    <w:rsid w:val="00B311D1"/>
    <w:rsid w:val="00B4185E"/>
    <w:rsid w:val="00B51A40"/>
    <w:rsid w:val="00B8078C"/>
    <w:rsid w:val="00B82389"/>
    <w:rsid w:val="00B90EB9"/>
    <w:rsid w:val="00BA2DD9"/>
    <w:rsid w:val="00BC6002"/>
    <w:rsid w:val="00BE0624"/>
    <w:rsid w:val="00BF1FAD"/>
    <w:rsid w:val="00C00A88"/>
    <w:rsid w:val="00C35744"/>
    <w:rsid w:val="00C36180"/>
    <w:rsid w:val="00C738B7"/>
    <w:rsid w:val="00C8703D"/>
    <w:rsid w:val="00CE0400"/>
    <w:rsid w:val="00D02B79"/>
    <w:rsid w:val="00D13AC5"/>
    <w:rsid w:val="00D14E96"/>
    <w:rsid w:val="00D1558E"/>
    <w:rsid w:val="00D34CCB"/>
    <w:rsid w:val="00D44F66"/>
    <w:rsid w:val="00D65C93"/>
    <w:rsid w:val="00D67916"/>
    <w:rsid w:val="00D67D38"/>
    <w:rsid w:val="00D84DDA"/>
    <w:rsid w:val="00DA26C3"/>
    <w:rsid w:val="00DC3D9D"/>
    <w:rsid w:val="00DD5D0E"/>
    <w:rsid w:val="00DE7D5E"/>
    <w:rsid w:val="00E03098"/>
    <w:rsid w:val="00E223D9"/>
    <w:rsid w:val="00E22C16"/>
    <w:rsid w:val="00E22C56"/>
    <w:rsid w:val="00E775CB"/>
    <w:rsid w:val="00E84047"/>
    <w:rsid w:val="00EA49E8"/>
    <w:rsid w:val="00ED27E1"/>
    <w:rsid w:val="00ED296A"/>
    <w:rsid w:val="00EE765E"/>
    <w:rsid w:val="00EF2D32"/>
    <w:rsid w:val="00EF4245"/>
    <w:rsid w:val="00EF518A"/>
    <w:rsid w:val="00F0063A"/>
    <w:rsid w:val="00F03AD4"/>
    <w:rsid w:val="00F23540"/>
    <w:rsid w:val="00F446F1"/>
    <w:rsid w:val="00F5055C"/>
    <w:rsid w:val="00F81B15"/>
    <w:rsid w:val="00F86194"/>
    <w:rsid w:val="00FC6C34"/>
    <w:rsid w:val="00FD3946"/>
    <w:rsid w:val="00FE21FA"/>
    <w:rsid w:val="00FE5313"/>
    <w:rsid w:val="41753ADE"/>
    <w:rsid w:val="77AA05A8"/>
    <w:rsid w:val="77B1482F"/>
    <w:rsid w:val="7E5DBFD3"/>
    <w:rsid w:val="7ECF811E"/>
    <w:rsid w:val="7F6BB0DC"/>
    <w:rsid w:val="7FA6420C"/>
    <w:rsid w:val="7FFD2E58"/>
    <w:rsid w:val="7FFE179D"/>
    <w:rsid w:val="9E6BE275"/>
    <w:rsid w:val="9FFFBD76"/>
    <w:rsid w:val="AFF7645A"/>
    <w:rsid w:val="B9D9EA7E"/>
    <w:rsid w:val="BF4FFEE3"/>
    <w:rsid w:val="C25FFA6B"/>
    <w:rsid w:val="CEBF0600"/>
    <w:rsid w:val="D6D7D333"/>
    <w:rsid w:val="DFDFEC0F"/>
    <w:rsid w:val="F2968C72"/>
    <w:rsid w:val="FDFDC245"/>
    <w:rsid w:val="FE6F8E84"/>
    <w:rsid w:val="FF16EAB8"/>
    <w:rsid w:val="FFFF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spacing w:line="580" w:lineRule="exact"/>
      <w:ind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next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803</Characters>
  <Lines>6</Lines>
  <Paragraphs>1</Paragraphs>
  <TotalTime>1</TotalTime>
  <ScaleCrop>false</ScaleCrop>
  <LinksUpToDate>false</LinksUpToDate>
  <CharactersWithSpaces>942</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2025-06-11T20:57:00Z</dcterms:created>
  <dc:creator>朱旭佳</dc:creator>
  <cp:lastModifiedBy>kylin</cp:lastModifiedBy>
  <cp:lastPrinted>2025-06-05T09:46:00Z</cp:lastPrinted>
  <dcterms:modified xsi:type="dcterms:W3CDTF">2025-06-19T17:32:25Z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