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660BD">
      <w:pPr>
        <w:keepNext w:val="0"/>
        <w:keepLines w:val="0"/>
        <w:pageBreakBefore w:val="0"/>
        <w:widowControl w:val="0"/>
        <w:kinsoku/>
        <w:wordWrap/>
        <w:overflowPunct/>
        <w:topLinePunct w:val="0"/>
        <w:autoSpaceDE/>
        <w:autoSpaceDN/>
        <w:bidi w:val="0"/>
        <w:adjustRightInd/>
        <w:snapToGrid/>
        <w:spacing w:line="396"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附表2</w:t>
      </w:r>
    </w:p>
    <w:p w14:paraId="408E248F">
      <w:pPr>
        <w:keepNext w:val="0"/>
        <w:keepLines w:val="0"/>
        <w:pageBreakBefore w:val="0"/>
        <w:widowControl w:val="0"/>
        <w:kinsoku/>
        <w:wordWrap/>
        <w:overflowPunct/>
        <w:topLinePunct w:val="0"/>
        <w:autoSpaceDE/>
        <w:autoSpaceDN/>
        <w:bidi w:val="0"/>
        <w:adjustRightInd/>
        <w:snapToGrid/>
        <w:spacing w:after="158" w:afterLines="50" w:line="0" w:lineRule="atLeas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加权平均计算方法一览表</w:t>
      </w:r>
    </w:p>
    <w:tbl>
      <w:tblPr>
        <w:tblStyle w:val="2"/>
        <w:tblW w:w="49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
        <w:gridCol w:w="2628"/>
        <w:gridCol w:w="2100"/>
        <w:gridCol w:w="2799"/>
      </w:tblGrid>
      <w:tr w14:paraId="58060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603" w:type="pct"/>
            <w:tcBorders>
              <w:tl2br w:val="nil"/>
              <w:tr2bl w:val="nil"/>
            </w:tcBorders>
            <w:noWrap w:val="0"/>
            <w:vAlign w:val="center"/>
          </w:tcPr>
          <w:p w14:paraId="6D88AA79">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情形</w:t>
            </w:r>
          </w:p>
        </w:tc>
        <w:tc>
          <w:tcPr>
            <w:tcW w:w="1671" w:type="pct"/>
            <w:tcBorders>
              <w:tl2br w:val="nil"/>
              <w:tr2bl w:val="nil"/>
            </w:tcBorders>
            <w:noWrap w:val="0"/>
            <w:vAlign w:val="center"/>
          </w:tcPr>
          <w:p w14:paraId="5FCF87A0">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计算方法说明</w:t>
            </w:r>
          </w:p>
        </w:tc>
        <w:tc>
          <w:tcPr>
            <w:tcW w:w="951" w:type="pct"/>
            <w:tcBorders>
              <w:tl2br w:val="nil"/>
              <w:tr2bl w:val="nil"/>
            </w:tcBorders>
            <w:noWrap w:val="0"/>
            <w:vAlign w:val="center"/>
          </w:tcPr>
          <w:p w14:paraId="507B6490">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计算公式</w:t>
            </w:r>
          </w:p>
        </w:tc>
        <w:tc>
          <w:tcPr>
            <w:tcW w:w="1773" w:type="pct"/>
            <w:tcBorders>
              <w:tl2br w:val="nil"/>
              <w:tr2bl w:val="nil"/>
            </w:tcBorders>
            <w:noWrap w:val="0"/>
            <w:vAlign w:val="center"/>
          </w:tcPr>
          <w:p w14:paraId="085A6045">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参数说明</w:t>
            </w:r>
          </w:p>
        </w:tc>
      </w:tr>
      <w:tr w14:paraId="6E2AAB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24" w:hRule="atLeast"/>
          <w:jc w:val="center"/>
        </w:trPr>
        <w:tc>
          <w:tcPr>
            <w:tcW w:w="603" w:type="pct"/>
            <w:tcBorders>
              <w:tl2br w:val="nil"/>
              <w:tr2bl w:val="nil"/>
            </w:tcBorders>
            <w:noWrap w:val="0"/>
            <w:vAlign w:val="center"/>
          </w:tcPr>
          <w:p w14:paraId="0669C230">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情形一：</w:t>
            </w:r>
          </w:p>
          <w:p w14:paraId="128EF1B5">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涉及多个改造类型时</w:t>
            </w:r>
          </w:p>
        </w:tc>
        <w:tc>
          <w:tcPr>
            <w:tcW w:w="1671" w:type="pct"/>
            <w:tcBorders>
              <w:tl2br w:val="nil"/>
              <w:tr2bl w:val="nil"/>
            </w:tcBorders>
            <w:noWrap w:val="0"/>
            <w:vAlign w:val="center"/>
          </w:tcPr>
          <w:p w14:paraId="77323DA6">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按城中村改造、旧住宅区改造、商业及其他旧区改造、旧工业区、仓储区或城市基础设施改造的顺序，依次以各改造类型用地面积与开发建设用地总面积之比作为权重，对相应的配建比例进行加权平均；当前几类用地之和大于开发建设用地面积时，超出的用地不再参与加权计算。</w:t>
            </w:r>
          </w:p>
        </w:tc>
        <w:tc>
          <w:tcPr>
            <w:tcW w:w="951" w:type="pct"/>
            <w:tcBorders>
              <w:tl2br w:val="nil"/>
              <w:tr2bl w:val="nil"/>
            </w:tcBorders>
            <w:noWrap w:val="0"/>
            <w:vAlign w:val="center"/>
          </w:tcPr>
          <w:p w14:paraId="78DFFD2C">
            <w:pPr>
              <w:keepNext w:val="0"/>
              <w:keepLines w:val="0"/>
              <w:pageBreakBefore w:val="0"/>
              <w:widowControl w:val="0"/>
              <w:kinsoku/>
              <w:wordWrap/>
              <w:overflowPunct/>
              <w:topLinePunct w:val="0"/>
              <w:autoSpaceDE/>
              <w:autoSpaceDN/>
              <w:bidi w:val="0"/>
              <w:adjustRightInd/>
              <w:snapToGrid/>
              <w:spacing w:after="157" w:afterLines="50" w:line="0" w:lineRule="atLeast"/>
              <w:ind w:left="-63" w:leftChars="-30" w:right="-63" w:rightChars="-30"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inline distT="0" distB="0" distL="114300" distR="114300">
                  <wp:extent cx="1274445" cy="355600"/>
                  <wp:effectExtent l="0" t="0" r="1905" b="508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a:stretch>
                            <a:fillRect/>
                          </a:stretch>
                        </pic:blipFill>
                        <pic:spPr>
                          <a:xfrm>
                            <a:off x="0" y="0"/>
                            <a:ext cx="1274445" cy="355600"/>
                          </a:xfrm>
                          <a:prstGeom prst="rect">
                            <a:avLst/>
                          </a:prstGeom>
                          <a:noFill/>
                          <a:ln>
                            <a:noFill/>
                          </a:ln>
                        </pic:spPr>
                      </pic:pic>
                    </a:graphicData>
                  </a:graphic>
                </wp:inline>
              </w:drawing>
            </w:r>
          </w:p>
        </w:tc>
        <w:tc>
          <w:tcPr>
            <w:tcW w:w="1773" w:type="pct"/>
            <w:tcBorders>
              <w:tl2br w:val="nil"/>
              <w:tr2bl w:val="nil"/>
            </w:tcBorders>
            <w:noWrap w:val="0"/>
            <w:vAlign w:val="center"/>
          </w:tcPr>
          <w:p w14:paraId="1555535F">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n：涉及的改造类型数，下同；</w:t>
            </w:r>
          </w:p>
          <w:p w14:paraId="4FD2DDBF">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r</w:t>
            </w:r>
            <w:r>
              <w:rPr>
                <w:rFonts w:hint="eastAsia" w:ascii="宋体" w:hAnsi="宋体" w:eastAsia="宋体" w:cs="宋体"/>
                <w:b w:val="0"/>
                <w:bCs/>
                <w:color w:val="000000"/>
                <w:sz w:val="21"/>
                <w:szCs w:val="21"/>
                <w:vertAlign w:val="subscript"/>
              </w:rPr>
              <w:t>i</w:t>
            </w:r>
            <w:r>
              <w:rPr>
                <w:rFonts w:hint="eastAsia" w:ascii="宋体" w:hAnsi="宋体" w:eastAsia="宋体" w:cs="宋体"/>
                <w:b w:val="0"/>
                <w:bCs/>
                <w:color w:val="000000"/>
                <w:sz w:val="21"/>
                <w:szCs w:val="21"/>
              </w:rPr>
              <w:t>：第i个改造类型的配建比例；</w:t>
            </w:r>
          </w:p>
          <w:p w14:paraId="42FB8319">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S</w:t>
            </w:r>
            <w:r>
              <w:rPr>
                <w:rFonts w:hint="eastAsia" w:ascii="宋体" w:hAnsi="宋体" w:eastAsia="宋体" w:cs="宋体"/>
                <w:b w:val="0"/>
                <w:bCs/>
                <w:color w:val="000000"/>
                <w:sz w:val="21"/>
                <w:szCs w:val="21"/>
                <w:vertAlign w:val="subscript"/>
              </w:rPr>
              <w:t>i</w:t>
            </w:r>
            <w:r>
              <w:rPr>
                <w:rFonts w:hint="eastAsia" w:ascii="宋体" w:hAnsi="宋体" w:eastAsia="宋体" w:cs="宋体"/>
                <w:b w:val="0"/>
                <w:bCs/>
                <w:color w:val="000000"/>
                <w:sz w:val="21"/>
                <w:szCs w:val="21"/>
              </w:rPr>
              <w:t>：项目整体第i个改造类型用地面积，下同；</w:t>
            </w:r>
          </w:p>
          <w:p w14:paraId="6210E60D">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S：项目整体开发建设用地总面积，包含按规定纳入的国有未出让零星用地面积，下同；</w:t>
            </w:r>
          </w:p>
          <w:p w14:paraId="74EB496A">
            <w:pPr>
              <w:keepNext w:val="0"/>
              <w:keepLines w:val="0"/>
              <w:pageBreakBefore w:val="0"/>
              <w:widowControl w:val="0"/>
              <w:kinsoku/>
              <w:wordWrap/>
              <w:overflowPunct/>
              <w:topLinePunct w:val="0"/>
              <w:autoSpaceDE/>
              <w:autoSpaceDN/>
              <w:bidi w:val="0"/>
              <w:adjustRightInd/>
              <w:snapToGrid/>
              <w:spacing w:line="30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R</w:t>
            </w:r>
            <w:r>
              <w:rPr>
                <w:rFonts w:hint="eastAsia" w:ascii="宋体" w:hAnsi="宋体" w:eastAsia="宋体" w:cs="宋体"/>
                <w:b w:val="0"/>
                <w:bCs/>
                <w:color w:val="000000"/>
                <w:sz w:val="21"/>
                <w:szCs w:val="21"/>
                <w:vertAlign w:val="subscript"/>
              </w:rPr>
              <w:t>混型</w:t>
            </w:r>
            <w:r>
              <w:rPr>
                <w:rFonts w:hint="eastAsia" w:ascii="宋体" w:hAnsi="宋体" w:eastAsia="宋体" w:cs="宋体"/>
                <w:b w:val="0"/>
                <w:bCs/>
                <w:color w:val="000000"/>
                <w:sz w:val="21"/>
                <w:szCs w:val="21"/>
              </w:rPr>
              <w:t>：混合多个类型改造的比例。</w:t>
            </w:r>
          </w:p>
        </w:tc>
      </w:tr>
    </w:tbl>
    <w:p w14:paraId="75DD8491">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2"/>
        <w:tblW w:w="49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8"/>
        <w:gridCol w:w="2567"/>
        <w:gridCol w:w="2250"/>
        <w:gridCol w:w="2754"/>
      </w:tblGrid>
      <w:tr w14:paraId="42617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608" w:type="pct"/>
            <w:tcBorders>
              <w:tl2br w:val="nil"/>
              <w:tr2bl w:val="nil"/>
            </w:tcBorders>
            <w:noWrap w:val="0"/>
            <w:vAlign w:val="center"/>
          </w:tcPr>
          <w:p w14:paraId="56AF9091">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情形</w:t>
            </w:r>
          </w:p>
        </w:tc>
        <w:tc>
          <w:tcPr>
            <w:tcW w:w="1665" w:type="pct"/>
            <w:tcBorders>
              <w:tl2br w:val="nil"/>
              <w:tr2bl w:val="nil"/>
            </w:tcBorders>
            <w:noWrap w:val="0"/>
            <w:vAlign w:val="center"/>
          </w:tcPr>
          <w:p w14:paraId="6A82B78C">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计算方法说明</w:t>
            </w:r>
          </w:p>
        </w:tc>
        <w:tc>
          <w:tcPr>
            <w:tcW w:w="951" w:type="pct"/>
            <w:tcBorders>
              <w:tl2br w:val="nil"/>
              <w:tr2bl w:val="nil"/>
            </w:tcBorders>
            <w:noWrap w:val="0"/>
            <w:vAlign w:val="center"/>
          </w:tcPr>
          <w:p w14:paraId="7FCD0B77">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计算公式</w:t>
            </w:r>
          </w:p>
        </w:tc>
        <w:tc>
          <w:tcPr>
            <w:tcW w:w="1773" w:type="pct"/>
            <w:tcBorders>
              <w:tl2br w:val="nil"/>
              <w:tr2bl w:val="nil"/>
            </w:tcBorders>
            <w:noWrap w:val="0"/>
            <w:vAlign w:val="center"/>
          </w:tcPr>
          <w:p w14:paraId="5880BD4A">
            <w:pPr>
              <w:keepNext w:val="0"/>
              <w:keepLines w:val="0"/>
              <w:pageBreakBefore w:val="0"/>
              <w:widowControl w:val="0"/>
              <w:kinsoku/>
              <w:wordWrap/>
              <w:overflowPunct/>
              <w:topLinePunct w:val="0"/>
              <w:autoSpaceDE/>
              <w:autoSpaceDN/>
              <w:bidi w:val="0"/>
              <w:adjustRightInd/>
              <w:snapToGrid/>
              <w:spacing w:line="260" w:lineRule="exact"/>
              <w:ind w:left="-63" w:leftChars="-30" w:right="-63" w:rightChars="-30" w:firstLine="0" w:firstLineChars="0"/>
              <w:jc w:val="center"/>
              <w:textAlignment w:val="auto"/>
              <w:rPr>
                <w:rFonts w:hint="eastAsia" w:ascii="黑体" w:hAnsi="黑体" w:eastAsia="黑体" w:cs="黑体"/>
                <w:b w:val="0"/>
                <w:bCs/>
                <w:color w:val="000000"/>
                <w:sz w:val="21"/>
                <w:szCs w:val="21"/>
              </w:rPr>
            </w:pPr>
            <w:r>
              <w:rPr>
                <w:rFonts w:hint="eastAsia" w:ascii="黑体" w:hAnsi="黑体" w:eastAsia="黑体" w:cs="黑体"/>
                <w:b w:val="0"/>
                <w:bCs/>
                <w:color w:val="000000"/>
                <w:sz w:val="21"/>
                <w:szCs w:val="21"/>
              </w:rPr>
              <w:t>参数说明</w:t>
            </w:r>
          </w:p>
        </w:tc>
      </w:tr>
      <w:tr w14:paraId="69EBF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608" w:type="pct"/>
            <w:tcBorders>
              <w:tl2br w:val="nil"/>
              <w:tr2bl w:val="nil"/>
            </w:tcBorders>
            <w:noWrap w:val="0"/>
            <w:vAlign w:val="center"/>
          </w:tcPr>
          <w:p w14:paraId="483F9012">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情形二：</w:t>
            </w:r>
          </w:p>
          <w:p w14:paraId="5D6461B4">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涉及多个分级地区时</w:t>
            </w:r>
          </w:p>
        </w:tc>
        <w:tc>
          <w:tcPr>
            <w:tcW w:w="1665" w:type="pct"/>
            <w:tcBorders>
              <w:tl2br w:val="nil"/>
              <w:tr2bl w:val="nil"/>
            </w:tcBorders>
            <w:noWrap w:val="0"/>
            <w:vAlign w:val="center"/>
          </w:tcPr>
          <w:p w14:paraId="4B7FD78B">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以各分级地区内的开发建设用地面积占开发建设用地总面积之比作为权重，对相应的配建比例进行加权平均。</w:t>
            </w:r>
          </w:p>
        </w:tc>
        <w:tc>
          <w:tcPr>
            <w:tcW w:w="951" w:type="pct"/>
            <w:tcBorders>
              <w:tl2br w:val="nil"/>
              <w:tr2bl w:val="nil"/>
            </w:tcBorders>
            <w:noWrap w:val="0"/>
            <w:vAlign w:val="center"/>
          </w:tcPr>
          <w:p w14:paraId="67893C4C">
            <w:pPr>
              <w:keepNext w:val="0"/>
              <w:keepLines w:val="0"/>
              <w:pageBreakBefore w:val="0"/>
              <w:widowControl w:val="0"/>
              <w:kinsoku/>
              <w:wordWrap/>
              <w:overflowPunct/>
              <w:topLinePunct w:val="0"/>
              <w:autoSpaceDE/>
              <w:autoSpaceDN/>
              <w:bidi w:val="0"/>
              <w:adjustRightInd/>
              <w:snapToGrid/>
              <w:spacing w:after="157" w:afterLines="50" w:line="0" w:lineRule="atLeast"/>
              <w:ind w:left="-63" w:leftChars="-30" w:right="-63" w:rightChars="-30"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inline distT="0" distB="0" distL="114300" distR="114300">
                  <wp:extent cx="1325245" cy="355600"/>
                  <wp:effectExtent l="0" t="0" r="8255" b="508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5"/>
                          <a:stretch>
                            <a:fillRect/>
                          </a:stretch>
                        </pic:blipFill>
                        <pic:spPr>
                          <a:xfrm>
                            <a:off x="0" y="0"/>
                            <a:ext cx="1325245" cy="355600"/>
                          </a:xfrm>
                          <a:prstGeom prst="rect">
                            <a:avLst/>
                          </a:prstGeom>
                          <a:noFill/>
                          <a:ln>
                            <a:noFill/>
                          </a:ln>
                        </pic:spPr>
                      </pic:pic>
                    </a:graphicData>
                  </a:graphic>
                </wp:inline>
              </w:drawing>
            </w:r>
          </w:p>
        </w:tc>
        <w:tc>
          <w:tcPr>
            <w:tcW w:w="1773" w:type="pct"/>
            <w:tcBorders>
              <w:tl2br w:val="nil"/>
              <w:tr2bl w:val="nil"/>
            </w:tcBorders>
            <w:noWrap w:val="0"/>
            <w:vAlign w:val="center"/>
          </w:tcPr>
          <w:p w14:paraId="360F7D19">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m：涉及的分级地区数，下同；</w:t>
            </w:r>
          </w:p>
          <w:p w14:paraId="297BBF71">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r</w:t>
            </w:r>
            <w:r>
              <w:rPr>
                <w:rFonts w:hint="eastAsia" w:ascii="宋体" w:hAnsi="宋体" w:eastAsia="宋体" w:cs="宋体"/>
                <w:b w:val="0"/>
                <w:bCs/>
                <w:color w:val="000000"/>
                <w:sz w:val="21"/>
                <w:szCs w:val="21"/>
                <w:vertAlign w:val="subscript"/>
              </w:rPr>
              <w:t>j</w:t>
            </w:r>
            <w:r>
              <w:rPr>
                <w:rFonts w:hint="eastAsia" w:ascii="宋体" w:hAnsi="宋体" w:eastAsia="宋体" w:cs="宋体"/>
                <w:b w:val="0"/>
                <w:bCs/>
                <w:color w:val="000000"/>
                <w:sz w:val="21"/>
                <w:szCs w:val="21"/>
              </w:rPr>
              <w:t>：第j个分级地区的配建比例；</w:t>
            </w:r>
          </w:p>
          <w:p w14:paraId="6231236A">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S</w:t>
            </w:r>
            <w:r>
              <w:rPr>
                <w:rFonts w:hint="eastAsia" w:ascii="宋体" w:hAnsi="宋体" w:eastAsia="宋体" w:cs="宋体"/>
                <w:b w:val="0"/>
                <w:bCs/>
                <w:color w:val="000000"/>
                <w:sz w:val="21"/>
                <w:szCs w:val="21"/>
                <w:vertAlign w:val="subscript"/>
              </w:rPr>
              <w:t>j</w:t>
            </w:r>
            <w:r>
              <w:rPr>
                <w:rFonts w:hint="eastAsia" w:ascii="宋体" w:hAnsi="宋体" w:eastAsia="宋体" w:cs="宋体"/>
                <w:b w:val="0"/>
                <w:bCs/>
                <w:color w:val="000000"/>
                <w:sz w:val="21"/>
                <w:szCs w:val="21"/>
              </w:rPr>
              <w:t>：第j个分级地区内的开发建设用地面积，下同；</w:t>
            </w:r>
          </w:p>
          <w:p w14:paraId="0CAE8269">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R</w:t>
            </w:r>
            <w:r>
              <w:rPr>
                <w:rFonts w:hint="eastAsia" w:ascii="宋体" w:hAnsi="宋体" w:eastAsia="宋体" w:cs="宋体"/>
                <w:b w:val="0"/>
                <w:bCs/>
                <w:color w:val="000000"/>
                <w:sz w:val="21"/>
                <w:szCs w:val="21"/>
                <w:vertAlign w:val="subscript"/>
              </w:rPr>
              <w:t>跨区</w:t>
            </w:r>
            <w:r>
              <w:rPr>
                <w:rFonts w:hint="eastAsia" w:ascii="宋体" w:hAnsi="宋体" w:eastAsia="宋体" w:cs="宋体"/>
                <w:b w:val="0"/>
                <w:bCs/>
                <w:color w:val="000000"/>
                <w:sz w:val="21"/>
                <w:szCs w:val="21"/>
              </w:rPr>
              <w:t>：跨多个分级地区改造的比例。</w:t>
            </w:r>
          </w:p>
        </w:tc>
      </w:tr>
      <w:tr w14:paraId="205FC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8" w:hRule="atLeast"/>
          <w:jc w:val="center"/>
        </w:trPr>
        <w:tc>
          <w:tcPr>
            <w:tcW w:w="608" w:type="pct"/>
            <w:tcBorders>
              <w:tl2br w:val="nil"/>
              <w:tr2bl w:val="nil"/>
            </w:tcBorders>
            <w:noWrap w:val="0"/>
            <w:vAlign w:val="center"/>
          </w:tcPr>
          <w:p w14:paraId="5397524C">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情形三：</w:t>
            </w:r>
          </w:p>
          <w:p w14:paraId="7986E752">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涉及多个改造类型与多个分级地区时</w:t>
            </w:r>
          </w:p>
        </w:tc>
        <w:tc>
          <w:tcPr>
            <w:tcW w:w="1665" w:type="pct"/>
            <w:tcBorders>
              <w:tl2br w:val="nil"/>
              <w:tr2bl w:val="nil"/>
            </w:tcBorders>
            <w:noWrap w:val="0"/>
            <w:vAlign w:val="center"/>
          </w:tcPr>
          <w:p w14:paraId="64E8C989">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先按城中村改造、旧住宅区改造、商业及其他旧区改造、旧工业区、仓储区或城市基础设施改造的顺序，依次以各改造类型用地面积与开发建设用地总面积之比作为权重，进行改造类型加权平均，计算出各分级地区的混合类型配建比例；再以各分级地区内的开发建设用地面积占开发建设用地总面积之比作为权重，对各分级地区的混合类型配建比例进行加权平均。</w:t>
            </w:r>
          </w:p>
        </w:tc>
        <w:tc>
          <w:tcPr>
            <w:tcW w:w="951" w:type="pct"/>
            <w:tcBorders>
              <w:tl2br w:val="nil"/>
              <w:tr2bl w:val="nil"/>
            </w:tcBorders>
            <w:noWrap w:val="0"/>
            <w:vAlign w:val="center"/>
          </w:tcPr>
          <w:p w14:paraId="00A973E4">
            <w:pPr>
              <w:keepNext w:val="0"/>
              <w:keepLines w:val="0"/>
              <w:pageBreakBefore w:val="0"/>
              <w:widowControl w:val="0"/>
              <w:kinsoku/>
              <w:wordWrap/>
              <w:overflowPunct/>
              <w:topLinePunct w:val="0"/>
              <w:autoSpaceDE/>
              <w:autoSpaceDN/>
              <w:bidi w:val="0"/>
              <w:adjustRightInd/>
              <w:snapToGrid/>
              <w:spacing w:after="313" w:afterLines="100" w:line="240" w:lineRule="atLeast"/>
              <w:ind w:left="-63" w:leftChars="-30" w:right="-63" w:rightChars="-30"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inline distT="0" distB="0" distL="114300" distR="114300">
                  <wp:extent cx="1189355" cy="355600"/>
                  <wp:effectExtent l="0" t="0" r="10795" b="508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1189355" cy="355600"/>
                          </a:xfrm>
                          <a:prstGeom prst="rect">
                            <a:avLst/>
                          </a:prstGeom>
                          <a:noFill/>
                          <a:ln>
                            <a:noFill/>
                          </a:ln>
                        </pic:spPr>
                      </pic:pic>
                    </a:graphicData>
                  </a:graphic>
                </wp:inline>
              </w:drawing>
            </w:r>
          </w:p>
          <w:p w14:paraId="1C1E7384">
            <w:pPr>
              <w:keepNext w:val="0"/>
              <w:keepLines w:val="0"/>
              <w:pageBreakBefore w:val="0"/>
              <w:widowControl w:val="0"/>
              <w:kinsoku/>
              <w:wordWrap/>
              <w:overflowPunct/>
              <w:topLinePunct w:val="0"/>
              <w:autoSpaceDE/>
              <w:autoSpaceDN/>
              <w:bidi w:val="0"/>
              <w:adjustRightInd/>
              <w:snapToGrid/>
              <w:spacing w:line="240" w:lineRule="atLeast"/>
              <w:ind w:left="-63" w:leftChars="-30" w:right="-63" w:rightChars="-30" w:firstLine="0" w:firstLineChars="0"/>
              <w:jc w:val="center"/>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drawing>
                <wp:inline distT="0" distB="0" distL="114300" distR="114300">
                  <wp:extent cx="1362075" cy="355600"/>
                  <wp:effectExtent l="0" t="0" r="9525" b="508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a:stretch>
                            <a:fillRect/>
                          </a:stretch>
                        </pic:blipFill>
                        <pic:spPr>
                          <a:xfrm>
                            <a:off x="0" y="0"/>
                            <a:ext cx="1362075" cy="355600"/>
                          </a:xfrm>
                          <a:prstGeom prst="rect">
                            <a:avLst/>
                          </a:prstGeom>
                          <a:noFill/>
                          <a:ln>
                            <a:noFill/>
                          </a:ln>
                        </pic:spPr>
                      </pic:pic>
                    </a:graphicData>
                  </a:graphic>
                </wp:inline>
              </w:drawing>
            </w:r>
          </w:p>
        </w:tc>
        <w:tc>
          <w:tcPr>
            <w:tcW w:w="1773" w:type="pct"/>
            <w:tcBorders>
              <w:tl2br w:val="nil"/>
              <w:tr2bl w:val="nil"/>
            </w:tcBorders>
            <w:noWrap w:val="0"/>
            <w:vAlign w:val="center"/>
          </w:tcPr>
          <w:p w14:paraId="23EA06E4">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r</w:t>
            </w:r>
            <w:r>
              <w:rPr>
                <w:rFonts w:hint="eastAsia" w:ascii="宋体" w:hAnsi="宋体" w:eastAsia="宋体" w:cs="宋体"/>
                <w:b w:val="0"/>
                <w:bCs/>
                <w:color w:val="000000"/>
                <w:sz w:val="21"/>
                <w:szCs w:val="21"/>
                <w:vertAlign w:val="subscript"/>
              </w:rPr>
              <w:t>ij</w:t>
            </w:r>
            <w:r>
              <w:rPr>
                <w:rFonts w:hint="eastAsia" w:ascii="宋体" w:hAnsi="宋体" w:eastAsia="宋体" w:cs="宋体"/>
                <w:b w:val="0"/>
                <w:bCs/>
                <w:color w:val="000000"/>
                <w:sz w:val="21"/>
                <w:szCs w:val="21"/>
              </w:rPr>
              <w:t>：第i个改造类型在第j个分级地区的配建比例；</w:t>
            </w:r>
          </w:p>
          <w:p w14:paraId="75242180">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rPr>
              <w:t>R</w:t>
            </w:r>
            <w:r>
              <w:rPr>
                <w:rFonts w:hint="eastAsia" w:ascii="宋体" w:hAnsi="宋体" w:eastAsia="宋体" w:cs="宋体"/>
                <w:b w:val="0"/>
                <w:bCs/>
                <w:color w:val="000000"/>
                <w:sz w:val="21"/>
                <w:szCs w:val="21"/>
                <w:vertAlign w:val="subscript"/>
              </w:rPr>
              <w:t>j</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rPr>
              <w:t>第j个分级地区的混合类型配建比例</w:t>
            </w:r>
            <w:r>
              <w:rPr>
                <w:rFonts w:hint="eastAsia" w:ascii="宋体" w:hAnsi="宋体" w:eastAsia="宋体" w:cs="宋体"/>
                <w:b w:val="0"/>
                <w:bCs/>
                <w:color w:val="000000"/>
                <w:sz w:val="21"/>
                <w:szCs w:val="21"/>
                <w:lang w:eastAsia="zh-CN"/>
              </w:rPr>
              <w:t>；</w:t>
            </w:r>
          </w:p>
          <w:p w14:paraId="3D7EE3DE">
            <w:pPr>
              <w:keepNext w:val="0"/>
              <w:keepLines w:val="0"/>
              <w:pageBreakBefore w:val="0"/>
              <w:widowControl w:val="0"/>
              <w:kinsoku/>
              <w:wordWrap/>
              <w:overflowPunct/>
              <w:topLinePunct w:val="0"/>
              <w:autoSpaceDE/>
              <w:autoSpaceDN/>
              <w:bidi w:val="0"/>
              <w:adjustRightInd/>
              <w:snapToGrid/>
              <w:spacing w:line="340" w:lineRule="exact"/>
              <w:ind w:left="-63" w:leftChars="-30" w:right="-63" w:rightChars="-30" w:firstLine="0" w:firstLineChars="0"/>
              <w:jc w:val="both"/>
              <w:textAlignment w:val="auto"/>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R</w:t>
            </w:r>
            <w:r>
              <w:rPr>
                <w:rFonts w:hint="eastAsia" w:ascii="宋体" w:hAnsi="宋体" w:eastAsia="宋体" w:cs="宋体"/>
                <w:b w:val="0"/>
                <w:bCs/>
                <w:color w:val="000000"/>
                <w:sz w:val="21"/>
                <w:szCs w:val="21"/>
                <w:vertAlign w:val="subscript"/>
              </w:rPr>
              <w:t>混跨</w:t>
            </w:r>
            <w:r>
              <w:rPr>
                <w:rFonts w:hint="eastAsia" w:ascii="宋体" w:hAnsi="宋体" w:eastAsia="宋体" w:cs="宋体"/>
                <w:b w:val="0"/>
                <w:bCs/>
                <w:color w:val="000000"/>
                <w:sz w:val="21"/>
                <w:szCs w:val="21"/>
              </w:rPr>
              <w:t>：混合多个类型同时跨多个分级地区改造的比例。</w:t>
            </w:r>
          </w:p>
        </w:tc>
      </w:tr>
      <w:tr w14:paraId="2585DA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14" w:hRule="atLeast"/>
          <w:jc w:val="center"/>
        </w:trPr>
        <w:tc>
          <w:tcPr>
            <w:tcW w:w="5000" w:type="pct"/>
            <w:gridSpan w:val="4"/>
            <w:tcBorders>
              <w:tl2br w:val="nil"/>
              <w:tr2bl w:val="nil"/>
            </w:tcBorders>
            <w:noWrap w:val="0"/>
            <w:vAlign w:val="center"/>
          </w:tcPr>
          <w:p w14:paraId="7F5B34BB">
            <w:pPr>
              <w:keepNext w:val="0"/>
              <w:keepLines w:val="0"/>
              <w:pageBreakBefore w:val="0"/>
              <w:widowControl w:val="0"/>
              <w:kinsoku/>
              <w:wordWrap/>
              <w:overflowPunct/>
              <w:topLinePunct w:val="0"/>
              <w:autoSpaceDE/>
              <w:autoSpaceDN/>
              <w:bidi w:val="0"/>
              <w:adjustRightInd/>
              <w:snapToGrid/>
              <w:spacing w:before="64" w:beforeLines="20" w:after="64" w:afterLines="20" w:line="300" w:lineRule="exact"/>
              <w:ind w:left="-63" w:leftChars="-30" w:right="-63" w:rightChars="-30" w:firstLine="420" w:firstLineChars="200"/>
              <w:jc w:val="both"/>
              <w:textAlignment w:val="auto"/>
              <w:rPr>
                <w:rFonts w:hint="eastAsia" w:ascii="楷体_GB2312" w:hAnsi="楷体_GB2312" w:eastAsia="楷体_GB2312" w:cs="楷体_GB2312"/>
                <w:b w:val="0"/>
                <w:bCs/>
                <w:color w:val="000000"/>
                <w:sz w:val="21"/>
                <w:szCs w:val="21"/>
              </w:rPr>
            </w:pPr>
            <w:r>
              <w:rPr>
                <w:rFonts w:hint="eastAsia" w:ascii="楷体_GB2312" w:hAnsi="楷体_GB2312" w:eastAsia="楷体_GB2312" w:cs="楷体_GB2312"/>
                <w:b w:val="0"/>
                <w:bCs/>
                <w:color w:val="000000"/>
                <w:sz w:val="21"/>
                <w:szCs w:val="21"/>
              </w:rPr>
              <w:t>注：城中村改造是指原农村集体已划定红线范围内的用地、非农建设用地、利益统筹项目留用土地、征地返还地、旧屋村用地的改造；旧住宅区改造是指国有已出让（划拨）居住用地的改造；旧工业区、仓储区或城市基础设施及公共服务设施改造是指国有已出让（划拨）工业用地、仓储用地、物流用地和城市基础设施及公共服务设施用地的改造；商业及其他旧区改造是指前述类型用地以外的其他权属清晰的用地（含农村城市化历史遗留违法建筑处理用地、符合历史用地处置政策可交由继受单位进行城市更新的用地、外部移交用地中计入更新项目合法土地面积的用地）的改造。国有已出让（划拨）用地中的混合功能用地，按证载建筑类型占比切分后计入对应类型的用地面积。</w:t>
            </w:r>
          </w:p>
        </w:tc>
      </w:tr>
    </w:tbl>
    <w:p w14:paraId="18F97D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317D0"/>
    <w:rsid w:val="5AC3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2025-06-18T07:45:00Z</dcterms:created>
  <dc:creator>admin</dc:creator>
  <cp:lastModifiedBy>admin</cp:lastModifiedBy>
  <dcterms:modified xsi:type="dcterms:W3CDTF">2025-06-18T07:46:16Z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98B7B145FE8F41F19C74BE3214A64C22_11</vt:lpwstr>
  </property>
  <property fmtid="{D5CDD505-2E9C-101B-9397-08002B2CF9AE}" pid="4" name="KSOTemplateDocerSaveRecord">
    <vt:lpwstr>eyJoZGlkIjoiNWY2NjY3ZTM1ODM5YTdiNGYyN2Y5YjdmOGEzYzBkZTIifQ==</vt:lpwstr>
  </property>
</Properties>
</file>