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spacing w:line="560" w:lineRule="exact"/>
        <w:jc w:val="center"/>
        <w:textAlignment w:val="auto"/>
        <w:rPr>
          <w:rFonts w:hint="eastAsia" w:ascii="黑体" w:hAnsi="黑体" w:eastAsia="方正小标宋简体" w:cs="宋体"/>
          <w:color w:val="auto"/>
          <w:kern w:val="0"/>
          <w:szCs w:val="32"/>
          <w:highlight w:val="none"/>
          <w:lang w:eastAsia="zh-CN"/>
        </w:rPr>
      </w:pPr>
      <w:r>
        <w:rPr>
          <w:rFonts w:hint="eastAsia" w:ascii="方正小标宋简体" w:hAnsi="仿宋_GB2312" w:eastAsia="方正小标宋简体" w:cs="仿宋_GB2312"/>
          <w:color w:val="auto"/>
          <w:kern w:val="0"/>
          <w:sz w:val="44"/>
          <w:szCs w:val="44"/>
          <w:highlight w:val="none"/>
          <w:lang w:eastAsia="zh-CN"/>
        </w:rPr>
        <w:t>零售药店</w:t>
      </w:r>
      <w:r>
        <w:rPr>
          <w:rFonts w:hint="eastAsia" w:ascii="方正小标宋简体" w:hAnsi="仿宋_GB2312" w:eastAsia="方正小标宋简体" w:cs="仿宋_GB2312"/>
          <w:color w:val="auto"/>
          <w:kern w:val="0"/>
          <w:sz w:val="44"/>
          <w:szCs w:val="44"/>
          <w:highlight w:val="none"/>
        </w:rPr>
        <w:t>申请医疗保障定点指引</w:t>
      </w:r>
    </w:p>
    <w:p>
      <w:pPr>
        <w:keepNext w:val="0"/>
        <w:keepLines w:val="0"/>
        <w:pageBreakBefore w:val="0"/>
        <w:widowControl w:val="0"/>
        <w:kinsoku/>
        <w:wordWrap/>
        <w:overflowPunct/>
        <w:topLinePunct w:val="0"/>
        <w:bidi w:val="0"/>
        <w:snapToGrid/>
        <w:spacing w:line="560" w:lineRule="exact"/>
        <w:ind w:firstLine="632" w:firstLineChars="200"/>
        <w:jc w:val="left"/>
        <w:textAlignment w:val="auto"/>
        <w:rPr>
          <w:rFonts w:hint="eastAsia" w:ascii="黑体" w:hAnsi="黑体" w:eastAsia="黑体" w:cs="宋体"/>
          <w:color w:val="auto"/>
          <w:kern w:val="0"/>
          <w:szCs w:val="32"/>
          <w:highlight w:val="none"/>
        </w:rPr>
      </w:pPr>
    </w:p>
    <w:p>
      <w:pPr>
        <w:keepNext w:val="0"/>
        <w:keepLines w:val="0"/>
        <w:pageBreakBefore w:val="0"/>
        <w:widowControl w:val="0"/>
        <w:kinsoku/>
        <w:wordWrap/>
        <w:overflowPunct/>
        <w:topLinePunct w:val="0"/>
        <w:bidi w:val="0"/>
        <w:snapToGrid/>
        <w:spacing w:line="560" w:lineRule="exact"/>
        <w:ind w:firstLine="632" w:firstLineChars="200"/>
        <w:jc w:val="left"/>
        <w:textAlignment w:val="auto"/>
        <w:rPr>
          <w:rFonts w:ascii="黑体" w:hAnsi="黑体" w:eastAsia="黑体" w:cs="宋体"/>
          <w:color w:val="auto"/>
          <w:kern w:val="0"/>
          <w:szCs w:val="32"/>
          <w:highlight w:val="none"/>
        </w:rPr>
      </w:pPr>
      <w:r>
        <w:rPr>
          <w:rFonts w:hint="eastAsia" w:ascii="黑体" w:hAnsi="黑体" w:eastAsia="黑体" w:cs="宋体"/>
          <w:color w:val="auto"/>
          <w:kern w:val="0"/>
          <w:szCs w:val="32"/>
          <w:highlight w:val="none"/>
        </w:rPr>
        <w:t>一、</w:t>
      </w:r>
      <w:r>
        <w:rPr>
          <w:rFonts w:hint="eastAsia" w:ascii="黑体" w:hAnsi="黑体" w:eastAsia="黑体" w:cs="宋体"/>
          <w:color w:val="auto"/>
          <w:kern w:val="0"/>
          <w:szCs w:val="32"/>
          <w:highlight w:val="none"/>
          <w:lang w:eastAsia="zh-CN"/>
        </w:rPr>
        <w:t>基本</w:t>
      </w:r>
      <w:r>
        <w:rPr>
          <w:rFonts w:hint="eastAsia" w:ascii="黑体" w:hAnsi="黑体" w:eastAsia="黑体" w:cs="宋体"/>
          <w:color w:val="auto"/>
          <w:kern w:val="0"/>
          <w:szCs w:val="32"/>
          <w:highlight w:val="none"/>
        </w:rPr>
        <w:t>条件</w:t>
      </w:r>
    </w:p>
    <w:p>
      <w:pPr>
        <w:keepNext w:val="0"/>
        <w:keepLines w:val="0"/>
        <w:pageBreakBefore w:val="0"/>
        <w:widowControl w:val="0"/>
        <w:kinsoku/>
        <w:wordWrap/>
        <w:overflowPunct/>
        <w:topLinePunct w:val="0"/>
        <w:bidi w:val="0"/>
        <w:snapToGrid/>
        <w:spacing w:line="560" w:lineRule="exact"/>
        <w:ind w:firstLine="632" w:firstLineChars="200"/>
        <w:jc w:val="left"/>
        <w:textAlignment w:val="auto"/>
        <w:rPr>
          <w:rFonts w:hint="eastAsia" w:ascii="仿宋_GB2312" w:hAnsi="仿宋_GB2312" w:eastAsia="仿宋_GB2312" w:cs="仿宋_GB2312"/>
          <w:color w:val="auto"/>
          <w:kern w:val="0"/>
          <w:szCs w:val="32"/>
          <w:highlight w:val="none"/>
          <w:lang w:eastAsia="zh-CN"/>
        </w:rPr>
      </w:pPr>
      <w:r>
        <w:rPr>
          <w:rFonts w:hint="eastAsia" w:ascii="仿宋_GB2312" w:hAnsi="仿宋_GB2312" w:eastAsia="仿宋_GB2312" w:cs="仿宋_GB2312"/>
          <w:color w:val="auto"/>
          <w:kern w:val="0"/>
          <w:szCs w:val="32"/>
          <w:highlight w:val="none"/>
          <w:lang w:eastAsia="zh-CN"/>
        </w:rPr>
        <w:t>（一）</w:t>
      </w:r>
      <w:r>
        <w:rPr>
          <w:rFonts w:hint="eastAsia" w:ascii="仿宋_GB2312" w:hAnsi="仿宋_GB2312" w:eastAsia="仿宋_GB2312" w:cs="仿宋_GB2312"/>
          <w:color w:val="auto"/>
          <w:kern w:val="0"/>
          <w:szCs w:val="32"/>
        </w:rPr>
        <w:t>取得《药品经营许可证》</w:t>
      </w:r>
      <w:r>
        <w:rPr>
          <w:rFonts w:hint="eastAsia" w:ascii="仿宋_GB2312" w:hAnsi="仿宋_GB2312" w:eastAsia="仿宋_GB2312" w:cs="仿宋_GB2312"/>
          <w:color w:val="auto"/>
          <w:kern w:val="0"/>
          <w:szCs w:val="32"/>
          <w:lang w:eastAsia="zh-CN"/>
        </w:rPr>
        <w:t>；</w:t>
      </w:r>
    </w:p>
    <w:p>
      <w:pPr>
        <w:pStyle w:val="12"/>
        <w:widowControl/>
        <w:shd w:val="clear" w:color="auto" w:fill="FFFFFF"/>
        <w:spacing w:before="0" w:beforeAutospacing="0" w:after="0" w:afterAutospacing="0" w:line="560" w:lineRule="exact"/>
        <w:ind w:firstLine="632"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在注册地址正式经营至少3个月</w:t>
      </w:r>
      <w:r>
        <w:rPr>
          <w:rFonts w:hint="eastAsia" w:ascii="仿宋_GB2312" w:hAnsi="仿宋_GB2312" w:eastAsia="仿宋_GB2312" w:cs="仿宋_GB2312"/>
          <w:color w:val="auto"/>
          <w:sz w:val="32"/>
          <w:szCs w:val="32"/>
          <w:lang w:eastAsia="zh-CN"/>
        </w:rPr>
        <w:t>；</w:t>
      </w:r>
    </w:p>
    <w:p>
      <w:pPr>
        <w:pStyle w:val="12"/>
        <w:widowControl/>
        <w:shd w:val="clear" w:color="auto" w:fill="FFFFFF"/>
        <w:spacing w:before="0" w:beforeAutospacing="0" w:after="0" w:afterAutospacing="0" w:line="560" w:lineRule="exact"/>
        <w:ind w:firstLine="632"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至少有1名取得执业药师资格证书或具有药学、临床药学、中药学专业技术资格证书的药师，且注册地在该零售药店所在地，药师须签订1年以上劳动合同且在合同期内</w:t>
      </w:r>
      <w:r>
        <w:rPr>
          <w:rFonts w:hint="eastAsia" w:ascii="仿宋_GB2312" w:hAnsi="仿宋_GB2312" w:eastAsia="仿宋_GB2312" w:cs="仿宋_GB2312"/>
          <w:color w:val="auto"/>
          <w:sz w:val="32"/>
          <w:szCs w:val="32"/>
          <w:lang w:eastAsia="zh-CN"/>
        </w:rPr>
        <w:t>；</w:t>
      </w:r>
    </w:p>
    <w:p>
      <w:pPr>
        <w:pStyle w:val="12"/>
        <w:widowControl/>
        <w:shd w:val="clear" w:color="auto" w:fill="FFFFFF"/>
        <w:spacing w:before="0" w:beforeAutospacing="0" w:after="0" w:afterAutospacing="0" w:line="560" w:lineRule="exact"/>
        <w:ind w:firstLine="632"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（四）</w:t>
      </w:r>
      <w:r>
        <w:rPr>
          <w:rFonts w:hint="eastAsia" w:ascii="仿宋_GB2312" w:hAnsi="仿宋_GB2312" w:eastAsia="仿宋_GB2312" w:cs="仿宋_GB2312"/>
          <w:color w:val="auto"/>
          <w:sz w:val="32"/>
          <w:szCs w:val="32"/>
        </w:rPr>
        <w:t>至少有2名熟悉医疗保障法律法规和相关制度规定的专（兼）职医保管理人员负责管理医保费用，并签订1年以上劳动合同且在合同期内</w:t>
      </w:r>
      <w:r>
        <w:rPr>
          <w:rFonts w:hint="eastAsia" w:ascii="仿宋_GB2312" w:hAnsi="仿宋_GB2312" w:eastAsia="仿宋_GB2312" w:cs="仿宋_GB2312"/>
          <w:color w:val="auto"/>
          <w:sz w:val="32"/>
          <w:szCs w:val="32"/>
          <w:lang w:eastAsia="zh-CN"/>
        </w:rPr>
        <w:t>；</w:t>
      </w:r>
    </w:p>
    <w:p>
      <w:pPr>
        <w:pStyle w:val="12"/>
        <w:widowControl/>
        <w:shd w:val="clear" w:color="auto" w:fill="FFFFFF"/>
        <w:spacing w:before="0" w:beforeAutospacing="0" w:after="0" w:afterAutospacing="0" w:line="560" w:lineRule="exact"/>
        <w:ind w:firstLine="632"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（五）</w:t>
      </w:r>
      <w:r>
        <w:rPr>
          <w:rFonts w:hint="eastAsia" w:ascii="仿宋_GB2312" w:hAnsi="仿宋_GB2312" w:eastAsia="仿宋_GB2312" w:cs="仿宋_GB2312"/>
          <w:color w:val="auto"/>
          <w:sz w:val="32"/>
          <w:szCs w:val="32"/>
        </w:rPr>
        <w:t>按药品经营质量管理规范要求，开展药品分类分区管理，并对所售药品设立明确的医保用药标识</w:t>
      </w:r>
      <w:r>
        <w:rPr>
          <w:rFonts w:hint="eastAsia" w:ascii="仿宋_GB2312" w:hAnsi="仿宋_GB2312" w:eastAsia="仿宋_GB2312" w:cs="仿宋_GB2312"/>
          <w:color w:val="auto"/>
          <w:sz w:val="32"/>
          <w:szCs w:val="32"/>
          <w:lang w:eastAsia="zh-CN"/>
        </w:rPr>
        <w:t>；</w:t>
      </w:r>
    </w:p>
    <w:p>
      <w:pPr>
        <w:pStyle w:val="12"/>
        <w:widowControl/>
        <w:shd w:val="clear" w:color="auto" w:fill="FFFFFF"/>
        <w:spacing w:before="0" w:beforeAutospacing="0" w:after="0" w:afterAutospacing="0" w:line="560" w:lineRule="exact"/>
        <w:ind w:firstLine="632"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（六）</w:t>
      </w:r>
      <w:r>
        <w:rPr>
          <w:rFonts w:hint="eastAsia" w:ascii="仿宋_GB2312" w:hAnsi="仿宋_GB2312" w:eastAsia="仿宋_GB2312" w:cs="仿宋_GB2312"/>
          <w:color w:val="auto"/>
          <w:sz w:val="32"/>
          <w:szCs w:val="32"/>
        </w:rPr>
        <w:t>具有符合医保协议管理要求的医保药品管理制度、财务管理制度、医保人员管理制度、统计信息管理制度和医保费用结算制度</w:t>
      </w:r>
      <w:r>
        <w:rPr>
          <w:rFonts w:hint="eastAsia" w:ascii="仿宋_GB2312" w:hAnsi="仿宋_GB2312" w:eastAsia="仿宋_GB2312" w:cs="仿宋_GB2312"/>
          <w:color w:val="auto"/>
          <w:sz w:val="32"/>
          <w:szCs w:val="32"/>
          <w:lang w:eastAsia="zh-CN"/>
        </w:rPr>
        <w:t>；</w:t>
      </w:r>
    </w:p>
    <w:p>
      <w:pPr>
        <w:pStyle w:val="12"/>
        <w:widowControl/>
        <w:shd w:val="clear" w:color="auto" w:fill="FFFFFF"/>
        <w:spacing w:before="0" w:beforeAutospacing="0" w:after="0" w:afterAutospacing="0" w:line="560" w:lineRule="exact"/>
        <w:ind w:firstLine="632"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（七）</w:t>
      </w:r>
      <w:r>
        <w:rPr>
          <w:rFonts w:hint="eastAsia" w:ascii="仿宋_GB2312" w:hAnsi="仿宋_GB2312" w:eastAsia="仿宋_GB2312" w:cs="仿宋_GB2312"/>
          <w:color w:val="auto"/>
          <w:sz w:val="32"/>
          <w:szCs w:val="32"/>
        </w:rPr>
        <w:t>具备符合医保协议管理要求的信息系统技术和接口标准，实现与医保信息系统有效对接，为参保人员提供直接联网结算，建立医保药品等基础数据库，按规定使用国家和省统一的医保编码</w:t>
      </w:r>
      <w:r>
        <w:rPr>
          <w:rFonts w:hint="eastAsia" w:ascii="仿宋_GB2312" w:hAnsi="仿宋_GB2312" w:eastAsia="仿宋_GB2312" w:cs="仿宋_GB2312"/>
          <w:color w:val="auto"/>
          <w:sz w:val="32"/>
          <w:szCs w:val="32"/>
          <w:lang w:eastAsia="zh-CN"/>
        </w:rPr>
        <w:t>；</w:t>
      </w:r>
    </w:p>
    <w:p>
      <w:pPr>
        <w:pStyle w:val="12"/>
        <w:widowControl/>
        <w:shd w:val="clear" w:color="auto" w:fill="FFFFFF"/>
        <w:spacing w:before="0" w:beforeAutospacing="0" w:after="0" w:afterAutospacing="0" w:line="560" w:lineRule="exact"/>
        <w:ind w:firstLine="632"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（八）</w:t>
      </w:r>
      <w:r>
        <w:rPr>
          <w:rFonts w:hint="eastAsia" w:ascii="仿宋_GB2312" w:hAnsi="仿宋_GB2312" w:eastAsia="仿宋_GB2312" w:cs="仿宋_GB2312"/>
          <w:color w:val="auto"/>
          <w:sz w:val="32"/>
          <w:szCs w:val="32"/>
        </w:rPr>
        <w:t>符合法律、法规、规章和省级及以上医疗保障行政部门规定的其他条件</w:t>
      </w:r>
      <w:r>
        <w:rPr>
          <w:rFonts w:hint="eastAsia" w:ascii="仿宋_GB2312" w:hAnsi="仿宋_GB2312" w:eastAsia="仿宋_GB2312" w:cs="仿宋_GB2312"/>
          <w:color w:val="auto"/>
          <w:sz w:val="32"/>
          <w:szCs w:val="32"/>
          <w:lang w:eastAsia="zh-CN"/>
        </w:rPr>
        <w:t>；</w:t>
      </w:r>
    </w:p>
    <w:p>
      <w:pPr>
        <w:spacing w:line="560" w:lineRule="exact"/>
        <w:ind w:firstLine="632" w:firstLineChars="200"/>
        <w:jc w:val="left"/>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lang w:eastAsia="zh-CN"/>
        </w:rPr>
        <w:t>（九）</w:t>
      </w:r>
      <w:r>
        <w:rPr>
          <w:rFonts w:hint="eastAsia" w:ascii="仿宋_GB2312" w:hAnsi="仿宋_GB2312" w:eastAsia="仿宋_GB2312" w:cs="仿宋_GB2312"/>
          <w:color w:val="auto"/>
          <w:kern w:val="0"/>
          <w:szCs w:val="32"/>
        </w:rPr>
        <w:t>有下列情形之一的，不予受理定点申请：</w:t>
      </w:r>
    </w:p>
    <w:p>
      <w:pPr>
        <w:pStyle w:val="12"/>
        <w:widowControl/>
        <w:shd w:val="clear" w:color="auto" w:fill="FFFFFF"/>
        <w:spacing w:before="0" w:beforeAutospacing="0" w:after="0" w:afterAutospacing="0" w:line="560" w:lineRule="exact"/>
        <w:ind w:firstLine="632"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未依法履行行政处罚责任的;</w:t>
      </w:r>
    </w:p>
    <w:p>
      <w:pPr>
        <w:pStyle w:val="12"/>
        <w:widowControl/>
        <w:shd w:val="clear" w:color="auto" w:fill="FFFFFF"/>
        <w:spacing w:before="0" w:beforeAutospacing="0" w:after="0" w:afterAutospacing="0" w:line="560" w:lineRule="exact"/>
        <w:ind w:firstLine="632"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以弄虚作假等不正当手段申请定点，自发现之日起未满3年的;</w:t>
      </w:r>
    </w:p>
    <w:p>
      <w:pPr>
        <w:pStyle w:val="12"/>
        <w:widowControl/>
        <w:shd w:val="clear" w:color="auto" w:fill="FFFFFF"/>
        <w:spacing w:before="0" w:beforeAutospacing="0" w:after="0" w:afterAutospacing="0" w:line="560" w:lineRule="exact"/>
        <w:ind w:firstLine="632"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因违法违规被解除医保协议未满3年或已满3年但未完全履行行政处罚法律责任的;</w:t>
      </w:r>
    </w:p>
    <w:p>
      <w:pPr>
        <w:pStyle w:val="12"/>
        <w:widowControl/>
        <w:shd w:val="clear" w:color="auto" w:fill="FFFFFF"/>
        <w:spacing w:before="0" w:beforeAutospacing="0" w:after="0" w:afterAutospacing="0" w:line="560" w:lineRule="exact"/>
        <w:ind w:firstLine="632"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因严重违反医保协议约定而被解除医保协议未满1年或已满1年但未完全履行违约责任的;</w:t>
      </w:r>
    </w:p>
    <w:p>
      <w:pPr>
        <w:pStyle w:val="12"/>
        <w:widowControl/>
        <w:shd w:val="clear" w:color="auto" w:fill="FFFFFF"/>
        <w:spacing w:before="0" w:beforeAutospacing="0" w:after="0" w:afterAutospacing="0" w:line="560" w:lineRule="exact"/>
        <w:ind w:firstLine="632"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法定代表人、企业负责人或实际控制人曾因严重违法违规导致原定点零售药店被解除医保协议，未满5年的;</w:t>
      </w:r>
    </w:p>
    <w:p>
      <w:pPr>
        <w:pStyle w:val="12"/>
        <w:widowControl/>
        <w:shd w:val="clear" w:color="auto" w:fill="FFFFFF"/>
        <w:spacing w:before="0" w:beforeAutospacing="0" w:after="0" w:afterAutospacing="0" w:line="560" w:lineRule="exact"/>
        <w:ind w:firstLine="632"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法定代表人、企业负责人或实际控制人被列入失信人名单的;</w:t>
      </w:r>
    </w:p>
    <w:p>
      <w:pPr>
        <w:pStyle w:val="12"/>
        <w:widowControl/>
        <w:shd w:val="clear" w:color="auto" w:fill="FFFFFF"/>
        <w:spacing w:before="0" w:beforeAutospacing="0" w:after="0" w:afterAutospacing="0" w:line="560" w:lineRule="exact"/>
        <w:ind w:firstLine="632"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法律、法规、规章规定的其他不予受理的情形。</w:t>
      </w:r>
    </w:p>
    <w:p>
      <w:pPr>
        <w:keepNext w:val="0"/>
        <w:keepLines w:val="0"/>
        <w:pageBreakBefore w:val="0"/>
        <w:widowControl w:val="0"/>
        <w:kinsoku/>
        <w:wordWrap/>
        <w:overflowPunct/>
        <w:topLinePunct w:val="0"/>
        <w:bidi w:val="0"/>
        <w:snapToGrid/>
        <w:spacing w:line="560" w:lineRule="exact"/>
        <w:ind w:firstLine="632" w:firstLineChars="200"/>
        <w:jc w:val="left"/>
        <w:textAlignment w:val="auto"/>
        <w:rPr>
          <w:rFonts w:hint="eastAsia" w:ascii="黑体" w:hAnsi="黑体" w:eastAsia="黑体" w:cs="宋体"/>
          <w:color w:val="auto"/>
          <w:kern w:val="0"/>
          <w:szCs w:val="32"/>
          <w:highlight w:val="none"/>
          <w:lang w:eastAsia="zh-CN"/>
        </w:rPr>
      </w:pPr>
      <w:r>
        <w:rPr>
          <w:rFonts w:hint="eastAsia" w:ascii="黑体" w:hAnsi="黑体" w:eastAsia="黑体" w:cs="宋体"/>
          <w:color w:val="auto"/>
          <w:kern w:val="0"/>
          <w:szCs w:val="32"/>
          <w:highlight w:val="none"/>
          <w:lang w:eastAsia="zh-CN"/>
        </w:rPr>
        <w:t>二</w:t>
      </w:r>
      <w:r>
        <w:rPr>
          <w:rFonts w:hint="eastAsia" w:ascii="黑体" w:hAnsi="黑体" w:eastAsia="黑体" w:cs="宋体"/>
          <w:color w:val="auto"/>
          <w:kern w:val="0"/>
          <w:szCs w:val="32"/>
          <w:highlight w:val="none"/>
        </w:rPr>
        <w:t>、</w:t>
      </w:r>
      <w:r>
        <w:rPr>
          <w:rFonts w:hint="eastAsia" w:ascii="黑体" w:hAnsi="黑体" w:eastAsia="黑体" w:cs="宋体"/>
          <w:color w:val="auto"/>
          <w:kern w:val="0"/>
          <w:szCs w:val="32"/>
          <w:highlight w:val="none"/>
          <w:lang w:eastAsia="zh-CN"/>
        </w:rPr>
        <w:t>申请受理</w:t>
      </w:r>
    </w:p>
    <w:p>
      <w:pPr>
        <w:keepNext w:val="0"/>
        <w:keepLines w:val="0"/>
        <w:pageBreakBefore w:val="0"/>
        <w:widowControl w:val="0"/>
        <w:kinsoku/>
        <w:wordWrap/>
        <w:overflowPunct/>
        <w:topLinePunct w:val="0"/>
        <w:bidi w:val="0"/>
        <w:snapToGrid/>
        <w:spacing w:line="560" w:lineRule="exact"/>
        <w:ind w:firstLine="632" w:firstLineChars="200"/>
        <w:jc w:val="left"/>
        <w:textAlignment w:val="auto"/>
        <w:rPr>
          <w:rFonts w:hint="eastAsia" w:ascii="楷体_GB2312" w:hAnsi="楷体_GB2312" w:eastAsia="楷体_GB2312" w:cs="楷体_GB2312"/>
          <w:bCs/>
          <w:color w:val="auto"/>
          <w:kern w:val="0"/>
          <w:szCs w:val="32"/>
          <w:highlight w:val="none"/>
          <w:lang w:eastAsia="zh-CN"/>
        </w:rPr>
      </w:pPr>
      <w:r>
        <w:rPr>
          <w:rFonts w:hint="eastAsia" w:ascii="楷体_GB2312" w:hAnsi="楷体_GB2312" w:eastAsia="楷体_GB2312" w:cs="楷体_GB2312"/>
          <w:bCs/>
          <w:color w:val="auto"/>
          <w:kern w:val="0"/>
          <w:szCs w:val="32"/>
          <w:highlight w:val="none"/>
          <w:lang w:eastAsia="zh-CN"/>
        </w:rPr>
        <w:t>（一）申请国家机构代码和维护人员信息</w:t>
      </w:r>
    </w:p>
    <w:p>
      <w:pPr>
        <w:keepNext w:val="0"/>
        <w:keepLines w:val="0"/>
        <w:pageBreakBefore w:val="0"/>
        <w:widowControl w:val="0"/>
        <w:kinsoku/>
        <w:wordWrap/>
        <w:overflowPunct/>
        <w:topLinePunct w:val="0"/>
        <w:bidi w:val="0"/>
        <w:snapToGrid/>
        <w:spacing w:line="560" w:lineRule="exact"/>
        <w:ind w:firstLine="632" w:firstLineChars="200"/>
        <w:jc w:val="both"/>
        <w:textAlignment w:val="auto"/>
        <w:outlineLvl w:val="9"/>
        <w:rPr>
          <w:rFonts w:hint="eastAsia" w:ascii="楷体_GB2312" w:hAnsi="楷体_GB2312" w:eastAsia="楷体_GB2312" w:cs="楷体_GB2312"/>
          <w:b/>
          <w:bCs w:val="0"/>
          <w:color w:val="auto"/>
          <w:kern w:val="0"/>
          <w:sz w:val="32"/>
          <w:szCs w:val="32"/>
          <w:highlight w:val="none"/>
        </w:rPr>
      </w:pPr>
      <w:r>
        <w:rPr>
          <w:rFonts w:hint="eastAsia" w:ascii="仿宋_GB2312" w:hAnsi="仿宋_GB2312" w:eastAsia="仿宋_GB2312" w:cs="仿宋_GB2312"/>
          <w:color w:val="auto"/>
          <w:kern w:val="0"/>
          <w:sz w:val="32"/>
          <w:szCs w:val="32"/>
          <w:highlight w:val="none"/>
          <w:lang w:eastAsia="zh-CN"/>
        </w:rPr>
        <w:t>零售药店</w:t>
      </w:r>
      <w:r>
        <w:rPr>
          <w:rFonts w:hint="default" w:ascii="仿宋_GB2312" w:hAnsi="仿宋_GB2312" w:eastAsia="仿宋_GB2312" w:cs="仿宋_GB2312"/>
          <w:color w:val="auto"/>
          <w:kern w:val="0"/>
          <w:sz w:val="32"/>
          <w:szCs w:val="32"/>
          <w:highlight w:val="none"/>
          <w:lang w:val="en-US" w:eastAsia="zh-CN"/>
        </w:rPr>
        <w:t>登录国家医保信息业务编码标准数据库动态维护平台（https://code.nhsa.gov.cn/）申请本</w:t>
      </w:r>
      <w:r>
        <w:rPr>
          <w:rFonts w:hint="eastAsia" w:ascii="仿宋_GB2312" w:hAnsi="仿宋_GB2312" w:eastAsia="仿宋_GB2312" w:cs="仿宋_GB2312"/>
          <w:color w:val="auto"/>
          <w:kern w:val="0"/>
          <w:sz w:val="32"/>
          <w:szCs w:val="32"/>
          <w:highlight w:val="none"/>
          <w:lang w:val="en-US" w:eastAsia="zh-CN"/>
        </w:rPr>
        <w:t>机构</w:t>
      </w:r>
      <w:r>
        <w:rPr>
          <w:rFonts w:hint="default" w:ascii="仿宋_GB2312" w:hAnsi="仿宋_GB2312" w:eastAsia="仿宋_GB2312" w:cs="仿宋_GB2312"/>
          <w:color w:val="auto"/>
          <w:kern w:val="0"/>
          <w:sz w:val="32"/>
          <w:szCs w:val="32"/>
          <w:highlight w:val="none"/>
          <w:lang w:val="en-US" w:eastAsia="zh-CN"/>
        </w:rPr>
        <w:t>的国家机构代码，</w:t>
      </w:r>
      <w:r>
        <w:rPr>
          <w:rFonts w:hint="eastAsia" w:ascii="仿宋_GB2312" w:hAnsi="仿宋_GB2312" w:eastAsia="仿宋_GB2312" w:cs="仿宋_GB2312"/>
          <w:color w:val="auto"/>
          <w:kern w:val="0"/>
          <w:sz w:val="32"/>
          <w:szCs w:val="32"/>
          <w:highlight w:val="none"/>
          <w:lang w:val="en-US" w:eastAsia="zh-CN"/>
        </w:rPr>
        <w:t>按照页面提示填写相关信息，</w:t>
      </w:r>
      <w:r>
        <w:rPr>
          <w:rFonts w:hint="default" w:ascii="仿宋_GB2312" w:hAnsi="仿宋_GB2312" w:eastAsia="仿宋_GB2312" w:cs="仿宋_GB2312"/>
          <w:color w:val="auto"/>
          <w:kern w:val="0"/>
          <w:sz w:val="32"/>
          <w:szCs w:val="32"/>
          <w:highlight w:val="none"/>
          <w:lang w:val="en-US" w:eastAsia="zh-CN"/>
        </w:rPr>
        <w:t>维护状态为已入库的，方为正式取得国家机构代码</w:t>
      </w: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b w:val="0"/>
          <w:bCs/>
          <w:color w:val="auto"/>
          <w:kern w:val="0"/>
          <w:sz w:val="32"/>
          <w:szCs w:val="32"/>
          <w:highlight w:val="none"/>
          <w:lang w:val="en-US" w:eastAsia="zh-CN"/>
        </w:rPr>
        <w:t>取得国家机构代码后，继续在国家医保信息业务编码标准数据库动态维护平台</w:t>
      </w:r>
      <w:r>
        <w:rPr>
          <w:rFonts w:hint="eastAsia" w:ascii="Times New Roman" w:hAnsi="Times New Roman" w:eastAsia="仿宋_GB2312" w:cs="Times New Roman"/>
          <w:b w:val="0"/>
          <w:bCs/>
          <w:color w:val="auto"/>
          <w:kern w:val="0"/>
          <w:sz w:val="32"/>
          <w:szCs w:val="32"/>
          <w:highlight w:val="none"/>
          <w:shd w:val="clear" w:color="auto" w:fill="auto"/>
          <w:lang w:val="en-US" w:eastAsia="zh-CN"/>
        </w:rPr>
        <w:t>完成本机构</w:t>
      </w:r>
      <w:r>
        <w:rPr>
          <w:rFonts w:hint="default" w:ascii="Times New Roman" w:hAnsi="Times New Roman" w:eastAsia="仿宋_GB2312" w:cs="Times New Roman"/>
          <w:b w:val="0"/>
          <w:bCs/>
          <w:color w:val="auto"/>
          <w:kern w:val="0"/>
          <w:sz w:val="32"/>
          <w:szCs w:val="32"/>
          <w:highlight w:val="none"/>
          <w:shd w:val="clear" w:color="auto" w:fill="auto"/>
          <w:lang w:val="en-US" w:eastAsia="zh-CN"/>
        </w:rPr>
        <w:t>人员的</w:t>
      </w:r>
      <w:r>
        <w:rPr>
          <w:rFonts w:hint="eastAsia" w:ascii="Times New Roman" w:hAnsi="Times New Roman" w:eastAsia="仿宋_GB2312" w:cs="Times New Roman"/>
          <w:b w:val="0"/>
          <w:bCs/>
          <w:color w:val="auto"/>
          <w:kern w:val="0"/>
          <w:sz w:val="32"/>
          <w:szCs w:val="32"/>
          <w:highlight w:val="none"/>
          <w:shd w:val="clear" w:color="auto" w:fill="auto"/>
          <w:lang w:val="en-US" w:eastAsia="zh-CN"/>
        </w:rPr>
        <w:t>基</w:t>
      </w:r>
      <w:r>
        <w:rPr>
          <w:rFonts w:hint="default" w:ascii="Times New Roman" w:hAnsi="Times New Roman" w:eastAsia="仿宋_GB2312" w:cs="Times New Roman"/>
          <w:b w:val="0"/>
          <w:bCs/>
          <w:color w:val="auto"/>
          <w:kern w:val="0"/>
          <w:sz w:val="32"/>
          <w:szCs w:val="32"/>
          <w:highlight w:val="none"/>
          <w:shd w:val="clear" w:color="auto" w:fill="auto"/>
          <w:lang w:val="en-US" w:eastAsia="zh-CN"/>
        </w:rPr>
        <w:t>础信息</w:t>
      </w:r>
      <w:r>
        <w:rPr>
          <w:rFonts w:hint="eastAsia" w:ascii="Times New Roman" w:hAnsi="Times New Roman" w:eastAsia="仿宋_GB2312" w:cs="Times New Roman"/>
          <w:b w:val="0"/>
          <w:bCs/>
          <w:color w:val="auto"/>
          <w:kern w:val="0"/>
          <w:sz w:val="32"/>
          <w:szCs w:val="32"/>
          <w:highlight w:val="none"/>
          <w:shd w:val="clear" w:color="auto" w:fill="auto"/>
          <w:lang w:val="en-US" w:eastAsia="zh-CN"/>
        </w:rPr>
        <w:t>维护</w:t>
      </w:r>
      <w:r>
        <w:rPr>
          <w:rFonts w:hint="eastAsia" w:ascii="仿宋_GB2312" w:hAnsi="仿宋_GB2312" w:eastAsia="仿宋_GB2312" w:cs="仿宋_GB2312"/>
          <w:b w:val="0"/>
          <w:bCs w:val="0"/>
          <w:color w:val="auto"/>
          <w:kern w:val="0"/>
          <w:sz w:val="32"/>
          <w:szCs w:val="32"/>
          <w:highlight w:val="none"/>
          <w:lang w:val="en-US" w:eastAsia="zh-CN"/>
        </w:rPr>
        <w:t>（</w:t>
      </w:r>
      <w:r>
        <w:rPr>
          <w:rFonts w:hint="default" w:ascii="仿宋_GB2312" w:hAnsi="仿宋_GB2312" w:eastAsia="仿宋_GB2312" w:cs="仿宋_GB2312"/>
          <w:b w:val="0"/>
          <w:bCs w:val="0"/>
          <w:color w:val="auto"/>
          <w:kern w:val="0"/>
          <w:sz w:val="32"/>
          <w:szCs w:val="32"/>
          <w:highlight w:val="none"/>
          <w:lang w:val="en-US" w:eastAsia="zh-CN"/>
        </w:rPr>
        <w:t>具体步骤详见附件</w:t>
      </w:r>
      <w:r>
        <w:rPr>
          <w:rFonts w:hint="eastAsia" w:ascii="仿宋_GB2312" w:hAnsi="仿宋_GB2312" w:eastAsia="仿宋_GB2312" w:cs="仿宋_GB2312"/>
          <w:b w:val="0"/>
          <w:bCs w:val="0"/>
          <w:color w:val="auto"/>
          <w:kern w:val="0"/>
          <w:sz w:val="32"/>
          <w:szCs w:val="32"/>
          <w:highlight w:val="none"/>
          <w:lang w:val="en-US" w:eastAsia="zh-CN"/>
        </w:rPr>
        <w:t>2）</w:t>
      </w:r>
      <w:r>
        <w:rPr>
          <w:rFonts w:hint="eastAsia" w:ascii="仿宋_GB2312" w:hAnsi="仿宋_GB2312" w:eastAsia="仿宋_GB2312" w:cs="仿宋_GB2312"/>
          <w:color w:val="auto"/>
          <w:kern w:val="0"/>
          <w:sz w:val="32"/>
          <w:szCs w:val="32"/>
          <w:highlight w:val="none"/>
          <w:lang w:val="en-US" w:eastAsia="zh-CN"/>
        </w:rPr>
        <w:t>。</w:t>
      </w:r>
    </w:p>
    <w:p>
      <w:pPr>
        <w:keepNext w:val="0"/>
        <w:keepLines w:val="0"/>
        <w:pageBreakBefore w:val="0"/>
        <w:widowControl w:val="0"/>
        <w:kinsoku/>
        <w:wordWrap/>
        <w:overflowPunct/>
        <w:topLinePunct w:val="0"/>
        <w:bidi w:val="0"/>
        <w:snapToGrid/>
        <w:spacing w:line="560" w:lineRule="exact"/>
        <w:ind w:firstLine="632" w:firstLineChars="200"/>
        <w:jc w:val="left"/>
        <w:textAlignment w:val="auto"/>
        <w:rPr>
          <w:rFonts w:hint="default" w:ascii="楷体_GB2312" w:hAnsi="楷体_GB2312" w:eastAsia="楷体_GB2312" w:cs="楷体_GB2312"/>
          <w:bCs/>
          <w:color w:val="auto"/>
          <w:kern w:val="0"/>
          <w:szCs w:val="32"/>
          <w:highlight w:val="none"/>
          <w:lang w:val="en-US" w:eastAsia="zh-CN"/>
        </w:rPr>
      </w:pPr>
      <w:r>
        <w:rPr>
          <w:rFonts w:hint="eastAsia" w:ascii="楷体_GB2312" w:hAnsi="楷体_GB2312" w:eastAsia="楷体_GB2312" w:cs="楷体_GB2312"/>
          <w:bCs/>
          <w:color w:val="auto"/>
          <w:kern w:val="0"/>
          <w:szCs w:val="32"/>
          <w:highlight w:val="none"/>
          <w:lang w:val="en-US" w:eastAsia="zh-CN"/>
        </w:rPr>
        <w:t>（二）</w:t>
      </w:r>
      <w:r>
        <w:rPr>
          <w:rFonts w:hint="eastAsia" w:ascii="楷体_GB2312" w:hAnsi="楷体_GB2312" w:eastAsia="楷体_GB2312" w:cs="楷体_GB2312"/>
          <w:bCs/>
          <w:color w:val="auto"/>
          <w:kern w:val="0"/>
          <w:szCs w:val="32"/>
          <w:highlight w:val="none"/>
          <w:lang w:eastAsia="zh-CN"/>
        </w:rPr>
        <w:t>录入申请信息和上传申请</w:t>
      </w:r>
      <w:r>
        <w:rPr>
          <w:rFonts w:hint="eastAsia" w:ascii="楷体_GB2312" w:hAnsi="楷体_GB2312" w:eastAsia="楷体_GB2312" w:cs="楷体_GB2312"/>
          <w:bCs/>
          <w:color w:val="auto"/>
          <w:kern w:val="0"/>
          <w:szCs w:val="32"/>
          <w:highlight w:val="none"/>
          <w:lang w:val="en-US" w:eastAsia="zh-CN"/>
        </w:rPr>
        <w:t>材</w:t>
      </w:r>
      <w:r>
        <w:rPr>
          <w:rFonts w:hint="eastAsia" w:ascii="楷体_GB2312" w:hAnsi="楷体_GB2312" w:eastAsia="楷体_GB2312" w:cs="楷体_GB2312"/>
          <w:bCs/>
          <w:color w:val="auto"/>
          <w:kern w:val="0"/>
          <w:szCs w:val="32"/>
          <w:highlight w:val="none"/>
          <w:lang w:eastAsia="zh-CN"/>
        </w:rPr>
        <w:t>料</w:t>
      </w:r>
    </w:p>
    <w:p>
      <w:pPr>
        <w:keepNext w:val="0"/>
        <w:keepLines w:val="0"/>
        <w:pageBreakBefore w:val="0"/>
        <w:widowControl w:val="0"/>
        <w:kinsoku/>
        <w:wordWrap/>
        <w:overflowPunct/>
        <w:topLinePunct w:val="0"/>
        <w:bidi w:val="0"/>
        <w:snapToGrid/>
        <w:spacing w:line="560" w:lineRule="exact"/>
        <w:ind w:firstLine="632" w:firstLineChars="200"/>
        <w:jc w:val="both"/>
        <w:textAlignment w:val="auto"/>
        <w:outlineLvl w:val="9"/>
        <w:rPr>
          <w:rFonts w:hint="eastAsia" w:ascii="仿宋_GB2312" w:hAnsi="仿宋_GB2312" w:eastAsia="仿宋_GB2312" w:cs="仿宋_GB2312"/>
          <w:bCs/>
          <w:color w:val="auto"/>
          <w:kern w:val="0"/>
          <w:szCs w:val="32"/>
          <w:highlight w:val="none"/>
        </w:rPr>
      </w:pPr>
      <w:r>
        <w:rPr>
          <w:rFonts w:hint="eastAsia" w:ascii="仿宋_GB2312" w:hAnsi="仿宋_GB2312" w:eastAsia="仿宋_GB2312" w:cs="仿宋_GB2312"/>
          <w:color w:val="auto"/>
          <w:kern w:val="0"/>
          <w:sz w:val="32"/>
          <w:szCs w:val="32"/>
          <w:highlight w:val="none"/>
          <w:lang w:eastAsia="zh-CN"/>
        </w:rPr>
        <w:t>取得国家机构代码的零售药店</w:t>
      </w:r>
      <w:r>
        <w:rPr>
          <w:rFonts w:hint="eastAsia" w:ascii="仿宋_GB2312" w:hAnsi="仿宋_GB2312" w:eastAsia="仿宋_GB2312" w:cs="仿宋_GB2312"/>
          <w:color w:val="auto"/>
          <w:kern w:val="0"/>
          <w:sz w:val="32"/>
          <w:szCs w:val="32"/>
        </w:rPr>
        <w:t>登录深圳市医疗保障局网址</w:t>
      </w:r>
      <w:r>
        <w:rPr>
          <w:rFonts w:hint="eastAsia" w:ascii="仿宋_GB2312" w:hAnsi="仿宋_GB2312" w:eastAsia="仿宋_GB2312" w:cs="仿宋_GB2312"/>
          <w:color w:val="auto"/>
          <w:kern w:val="0"/>
          <w:sz w:val="32"/>
          <w:szCs w:val="32"/>
          <w:lang w:eastAsia="zh-CN"/>
        </w:rPr>
        <w:t>（http://hsa.sz.gov.cn/）</w:t>
      </w:r>
      <w:r>
        <w:rPr>
          <w:rFonts w:hint="eastAsia" w:ascii="仿宋_GB2312" w:hAnsi="仿宋_GB2312" w:eastAsia="仿宋_GB2312" w:cs="仿宋_GB2312"/>
          <w:color w:val="auto"/>
          <w:kern w:val="0"/>
          <w:sz w:val="32"/>
          <w:szCs w:val="32"/>
        </w:rPr>
        <w:t>，点击</w:t>
      </w:r>
      <w:r>
        <w:rPr>
          <w:rFonts w:hint="eastAsia" w:ascii="仿宋_GB2312" w:hAnsi="仿宋_GB2312" w:eastAsia="仿宋_GB2312" w:cs="仿宋_GB2312"/>
          <w:color w:val="auto"/>
          <w:kern w:val="0"/>
          <w:sz w:val="32"/>
          <w:szCs w:val="32"/>
          <w:lang w:eastAsia="zh-CN"/>
        </w:rPr>
        <w:t>“服务”栏目的</w:t>
      </w:r>
      <w:r>
        <w:rPr>
          <w:rFonts w:hint="eastAsia" w:ascii="仿宋_GB2312" w:hAnsi="仿宋_GB2312" w:eastAsia="仿宋_GB2312" w:cs="仿宋_GB2312"/>
          <w:color w:val="auto"/>
          <w:kern w:val="0"/>
          <w:sz w:val="32"/>
          <w:szCs w:val="32"/>
          <w:lang w:val="en-US" w:eastAsia="zh-CN"/>
        </w:rPr>
        <w:t>“单位网上服务系统”</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highlight w:val="none"/>
        </w:rPr>
        <w:t>用企业参保登记时发放的“单位编号”和“密码”登录广东政务服务网</w:t>
      </w:r>
      <w:r>
        <w:rPr>
          <w:rFonts w:hint="eastAsia" w:ascii="仿宋_GB2312" w:hAnsi="仿宋_GB2312" w:eastAsia="仿宋_GB2312" w:cs="仿宋_GB2312"/>
          <w:color w:val="auto"/>
          <w:kern w:val="0"/>
          <w:sz w:val="32"/>
          <w:szCs w:val="32"/>
          <w:highlight w:val="none"/>
          <w:lang w:eastAsia="zh-CN"/>
        </w:rPr>
        <w:t>（以下简称“申报系统”）</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eastAsia="zh-CN"/>
        </w:rPr>
        <w:t>进入</w:t>
      </w:r>
      <w:r>
        <w:rPr>
          <w:rFonts w:hint="eastAsia" w:ascii="仿宋_GB2312" w:hAnsi="仿宋_GB2312" w:eastAsia="仿宋_GB2312" w:cs="仿宋_GB2312"/>
          <w:color w:val="auto"/>
          <w:kern w:val="0"/>
          <w:sz w:val="32"/>
          <w:szCs w:val="32"/>
          <w:highlight w:val="none"/>
        </w:rPr>
        <w:t>“新增定点申请”模块进行</w:t>
      </w:r>
      <w:r>
        <w:rPr>
          <w:rFonts w:hint="eastAsia" w:ascii="仿宋_GB2312" w:hAnsi="仿宋_GB2312" w:eastAsia="仿宋_GB2312" w:cs="仿宋_GB2312"/>
          <w:color w:val="auto"/>
          <w:kern w:val="0"/>
          <w:sz w:val="32"/>
          <w:szCs w:val="32"/>
          <w:highlight w:val="none"/>
          <w:lang w:val="en-US" w:eastAsia="zh-CN"/>
        </w:rPr>
        <w:t>申请</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eastAsia="zh-CN"/>
        </w:rPr>
        <w:t>零售药店按要求在申报系统中</w:t>
      </w:r>
      <w:r>
        <w:rPr>
          <w:rFonts w:hint="eastAsia" w:ascii="仿宋_GB2312" w:hAnsi="仿宋_GB2312" w:eastAsia="仿宋_GB2312" w:cs="仿宋_GB2312"/>
          <w:color w:val="auto"/>
          <w:kern w:val="0"/>
          <w:sz w:val="32"/>
          <w:szCs w:val="32"/>
          <w:highlight w:val="none"/>
        </w:rPr>
        <w:t>录入</w:t>
      </w:r>
      <w:r>
        <w:rPr>
          <w:rFonts w:hint="eastAsia" w:ascii="仿宋_GB2312" w:hAnsi="仿宋_GB2312" w:eastAsia="仿宋_GB2312" w:cs="仿宋_GB2312"/>
          <w:color w:val="auto"/>
          <w:kern w:val="0"/>
          <w:sz w:val="32"/>
          <w:szCs w:val="32"/>
          <w:highlight w:val="none"/>
          <w:lang w:val="en-US" w:eastAsia="zh-CN"/>
        </w:rPr>
        <w:t>本机构的国家机构代码和</w:t>
      </w:r>
      <w:r>
        <w:rPr>
          <w:rFonts w:hint="eastAsia" w:ascii="仿宋_GB2312" w:hAnsi="仿宋_GB2312" w:eastAsia="仿宋_GB2312" w:cs="仿宋_GB2312"/>
          <w:color w:val="auto"/>
          <w:kern w:val="0"/>
          <w:szCs w:val="32"/>
          <w:highlight w:val="none"/>
          <w:lang w:eastAsia="zh-CN"/>
        </w:rPr>
        <w:t>零售药店</w:t>
      </w:r>
      <w:r>
        <w:rPr>
          <w:rFonts w:hint="eastAsia" w:ascii="仿宋_GB2312" w:hAnsi="仿宋_GB2312" w:eastAsia="仿宋_GB2312" w:cs="仿宋_GB2312"/>
          <w:color w:val="auto"/>
          <w:kern w:val="0"/>
          <w:szCs w:val="32"/>
          <w:highlight w:val="none"/>
        </w:rPr>
        <w:t>名称等</w:t>
      </w:r>
      <w:r>
        <w:rPr>
          <w:rFonts w:hint="eastAsia" w:ascii="仿宋_GB2312" w:hAnsi="仿宋_GB2312" w:eastAsia="仿宋_GB2312" w:cs="仿宋_GB2312"/>
          <w:color w:val="auto"/>
          <w:kern w:val="0"/>
          <w:szCs w:val="32"/>
          <w:highlight w:val="none"/>
          <w:lang w:eastAsia="zh-CN"/>
        </w:rPr>
        <w:t>基本</w:t>
      </w:r>
      <w:r>
        <w:rPr>
          <w:rFonts w:hint="eastAsia" w:ascii="仿宋_GB2312" w:hAnsi="仿宋_GB2312" w:eastAsia="仿宋_GB2312" w:cs="仿宋_GB2312"/>
          <w:color w:val="auto"/>
          <w:kern w:val="0"/>
          <w:szCs w:val="32"/>
          <w:highlight w:val="none"/>
        </w:rPr>
        <w:t>信息</w:t>
      </w:r>
      <w:r>
        <w:rPr>
          <w:rFonts w:hint="eastAsia" w:ascii="仿宋_GB2312" w:hAnsi="仿宋_GB2312" w:eastAsia="仿宋_GB2312" w:cs="仿宋_GB2312"/>
          <w:color w:val="auto"/>
          <w:kern w:val="0"/>
          <w:sz w:val="32"/>
          <w:szCs w:val="32"/>
          <w:highlight w:val="none"/>
          <w:lang w:eastAsia="zh-CN"/>
        </w:rPr>
        <w:t>，并</w:t>
      </w:r>
      <w:r>
        <w:rPr>
          <w:rFonts w:hint="eastAsia" w:ascii="仿宋_GB2312" w:hAnsi="仿宋_GB2312" w:eastAsia="仿宋_GB2312" w:cs="仿宋_GB2312"/>
          <w:color w:val="auto"/>
          <w:kern w:val="0"/>
          <w:sz w:val="32"/>
          <w:szCs w:val="32"/>
          <w:highlight w:val="none"/>
        </w:rPr>
        <w:t>对基本信息进行确认</w:t>
      </w:r>
      <w:r>
        <w:rPr>
          <w:rFonts w:hint="eastAsia" w:ascii="仿宋_GB2312" w:hAnsi="仿宋_GB2312" w:eastAsia="仿宋_GB2312" w:cs="仿宋_GB2312"/>
          <w:color w:val="auto"/>
          <w:kern w:val="0"/>
          <w:sz w:val="32"/>
          <w:szCs w:val="32"/>
          <w:highlight w:val="none"/>
          <w:lang w:eastAsia="zh-CN"/>
        </w:rPr>
        <w:t>，确认后上传以</w:t>
      </w:r>
      <w:r>
        <w:rPr>
          <w:rFonts w:hint="eastAsia" w:ascii="仿宋_GB2312" w:hAnsi="仿宋_GB2312" w:eastAsia="仿宋_GB2312" w:cs="仿宋_GB2312"/>
          <w:b w:val="0"/>
          <w:bCs w:val="0"/>
          <w:color w:val="auto"/>
          <w:kern w:val="0"/>
          <w:sz w:val="32"/>
          <w:szCs w:val="32"/>
          <w:highlight w:val="none"/>
          <w:lang w:eastAsia="zh-CN"/>
        </w:rPr>
        <w:t>下申请材料</w:t>
      </w:r>
      <w:r>
        <w:rPr>
          <w:rFonts w:hint="eastAsia" w:ascii="仿宋_GB2312" w:hAnsi="仿宋_GB2312" w:eastAsia="仿宋_GB2312" w:cs="仿宋_GB2312"/>
          <w:color w:val="auto"/>
          <w:kern w:val="0"/>
          <w:sz w:val="32"/>
          <w:szCs w:val="32"/>
          <w:highlight w:val="none"/>
          <w:lang w:eastAsia="zh-CN"/>
        </w:rPr>
        <w:t>清晰扫描件或电子图片</w:t>
      </w:r>
      <w:r>
        <w:rPr>
          <w:rFonts w:hint="eastAsia" w:ascii="仿宋_GB2312" w:hAnsi="仿宋_GB2312" w:eastAsia="仿宋_GB2312" w:cs="仿宋_GB2312"/>
          <w:b w:val="0"/>
          <w:bCs w:val="0"/>
          <w:color w:val="auto"/>
          <w:kern w:val="0"/>
          <w:sz w:val="32"/>
          <w:szCs w:val="32"/>
          <w:highlight w:val="none"/>
          <w:lang w:eastAsia="zh-CN"/>
        </w:rPr>
        <w:t>（具体要求详见附件</w:t>
      </w:r>
      <w:r>
        <w:rPr>
          <w:rFonts w:hint="eastAsia" w:ascii="仿宋_GB2312" w:hAnsi="仿宋_GB2312" w:eastAsia="仿宋_GB2312" w:cs="仿宋_GB2312"/>
          <w:b w:val="0"/>
          <w:bCs w:val="0"/>
          <w:color w:val="auto"/>
          <w:kern w:val="0"/>
          <w:sz w:val="32"/>
          <w:szCs w:val="32"/>
          <w:highlight w:val="none"/>
          <w:lang w:val="en-US" w:eastAsia="zh-CN"/>
        </w:rPr>
        <w:t>3</w:t>
      </w:r>
      <w:r>
        <w:rPr>
          <w:rFonts w:hint="eastAsia" w:ascii="仿宋_GB2312" w:hAnsi="仿宋_GB2312" w:eastAsia="仿宋_GB2312" w:cs="仿宋_GB2312"/>
          <w:b w:val="0"/>
          <w:bCs w:val="0"/>
          <w:color w:val="auto"/>
          <w:kern w:val="0"/>
          <w:sz w:val="32"/>
          <w:szCs w:val="32"/>
          <w:highlight w:val="none"/>
          <w:lang w:eastAsia="zh-CN"/>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val="en-US" w:eastAsia="zh-CN"/>
        </w:rPr>
        <w:t>1.</w:t>
      </w:r>
      <w:r>
        <w:rPr>
          <w:rFonts w:hint="eastAsia" w:ascii="仿宋_GB2312" w:hAnsi="仿宋_GB2312" w:eastAsia="仿宋_GB2312" w:cs="仿宋_GB2312"/>
          <w:b w:val="0"/>
          <w:bCs w:val="0"/>
          <w:color w:val="auto"/>
          <w:kern w:val="0"/>
          <w:sz w:val="32"/>
          <w:szCs w:val="32"/>
          <w:highlight w:val="none"/>
          <w:lang w:eastAsia="zh-CN"/>
        </w:rPr>
        <w:t>《深圳市医疗保障定点零售药店申请表》；</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val="en-US" w:eastAsia="zh-CN"/>
        </w:rPr>
        <w:t>2.</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color w:val="auto"/>
          <w:kern w:val="0"/>
          <w:szCs w:val="32"/>
        </w:rPr>
        <w:t>药品经营许可证</w:t>
      </w:r>
      <w:r>
        <w:rPr>
          <w:rFonts w:hint="eastAsia" w:ascii="仿宋_GB2312" w:hAnsi="仿宋_GB2312" w:eastAsia="仿宋_GB2312" w:cs="仿宋_GB2312"/>
          <w:b w:val="0"/>
          <w:bCs w:val="0"/>
          <w:color w:val="auto"/>
          <w:kern w:val="0"/>
          <w:sz w:val="32"/>
          <w:szCs w:val="32"/>
          <w:highlight w:val="none"/>
          <w:lang w:eastAsia="zh-CN"/>
        </w:rPr>
        <w:t>》《营业执照》，</w:t>
      </w:r>
      <w:r>
        <w:rPr>
          <w:rFonts w:hint="eastAsia" w:ascii="仿宋_GB2312" w:hAnsi="仿宋_GB2312" w:eastAsia="仿宋_GB2312" w:cs="仿宋_GB2312"/>
          <w:color w:val="auto"/>
          <w:kern w:val="0"/>
          <w:szCs w:val="32"/>
        </w:rPr>
        <w:t>法定代表人、</w:t>
      </w:r>
      <w:r>
        <w:rPr>
          <w:rFonts w:hint="eastAsia" w:ascii="仿宋_GB2312" w:hAnsi="仿宋_GB2312" w:eastAsia="仿宋_GB2312" w:cs="仿宋_GB2312"/>
          <w:color w:val="auto"/>
          <w:kern w:val="0"/>
          <w:szCs w:val="32"/>
          <w:lang w:eastAsia="zh-CN"/>
        </w:rPr>
        <w:t>企业</w:t>
      </w:r>
      <w:r>
        <w:rPr>
          <w:rFonts w:hint="eastAsia" w:ascii="仿宋_GB2312" w:hAnsi="仿宋_GB2312" w:eastAsia="仿宋_GB2312" w:cs="仿宋_GB2312"/>
          <w:color w:val="auto"/>
          <w:kern w:val="0"/>
          <w:szCs w:val="32"/>
        </w:rPr>
        <w:t>负责人</w:t>
      </w:r>
      <w:r>
        <w:rPr>
          <w:rFonts w:hint="eastAsia" w:ascii="仿宋_GB2312" w:hAnsi="仿宋_GB2312" w:eastAsia="仿宋_GB2312" w:cs="仿宋_GB2312"/>
          <w:color w:val="auto"/>
          <w:kern w:val="0"/>
          <w:szCs w:val="32"/>
          <w:lang w:eastAsia="zh-CN"/>
        </w:rPr>
        <w:t>和</w:t>
      </w:r>
      <w:r>
        <w:rPr>
          <w:rFonts w:hint="eastAsia" w:ascii="仿宋_GB2312" w:hAnsi="仿宋_GB2312" w:eastAsia="仿宋_GB2312" w:cs="仿宋_GB2312"/>
          <w:color w:val="auto"/>
          <w:kern w:val="0"/>
          <w:szCs w:val="32"/>
        </w:rPr>
        <w:t>实际控制人身份证</w:t>
      </w:r>
      <w:r>
        <w:rPr>
          <w:rFonts w:hint="eastAsia" w:ascii="仿宋_GB2312" w:hAnsi="仿宋_GB2312" w:eastAsia="仿宋_GB2312" w:cs="仿宋_GB2312"/>
          <w:b w:val="0"/>
          <w:bCs w:val="0"/>
          <w:color w:val="auto"/>
          <w:kern w:val="0"/>
          <w:sz w:val="32"/>
          <w:szCs w:val="32"/>
          <w:highlight w:val="none"/>
          <w:lang w:eastAsia="zh-CN"/>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val="en-US" w:eastAsia="zh-CN"/>
        </w:rPr>
        <w:t>3.</w:t>
      </w:r>
      <w:r>
        <w:rPr>
          <w:rFonts w:hint="eastAsia" w:ascii="仿宋_GB2312" w:hAnsi="仿宋_GB2312" w:eastAsia="仿宋_GB2312" w:cs="仿宋_GB2312"/>
          <w:color w:val="auto"/>
          <w:kern w:val="0"/>
          <w:szCs w:val="32"/>
        </w:rPr>
        <w:t>全量药师证书等材料</w:t>
      </w:r>
      <w:r>
        <w:rPr>
          <w:rFonts w:hint="eastAsia" w:ascii="仿宋_GB2312" w:hAnsi="仿宋_GB2312" w:eastAsia="仿宋_GB2312" w:cs="仿宋_GB2312"/>
          <w:color w:val="auto"/>
          <w:kern w:val="0"/>
          <w:szCs w:val="32"/>
          <w:lang w:eastAsia="zh-CN"/>
        </w:rPr>
        <w:t>，包括</w:t>
      </w:r>
      <w:r>
        <w:rPr>
          <w:rFonts w:hint="eastAsia" w:ascii="仿宋_GB2312" w:hAnsi="仿宋_GB2312" w:eastAsia="仿宋_GB2312" w:cs="仿宋_GB2312"/>
          <w:color w:val="auto"/>
          <w:szCs w:val="32"/>
        </w:rPr>
        <w:t>执业药师资格证书、注册证</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劳动</w:t>
      </w:r>
      <w:r>
        <w:rPr>
          <w:rFonts w:hint="eastAsia" w:ascii="仿宋_GB2312" w:hAnsi="仿宋_GB2312" w:eastAsia="仿宋_GB2312" w:cs="仿宋_GB2312"/>
          <w:color w:val="auto"/>
          <w:szCs w:val="32"/>
          <w:lang w:eastAsia="zh-CN"/>
        </w:rPr>
        <w:t>（务）</w:t>
      </w:r>
      <w:r>
        <w:rPr>
          <w:rFonts w:hint="eastAsia" w:ascii="仿宋_GB2312" w:hAnsi="仿宋_GB2312" w:eastAsia="仿宋_GB2312" w:cs="仿宋_GB2312"/>
          <w:color w:val="auto"/>
          <w:szCs w:val="32"/>
        </w:rPr>
        <w:t>合同和职工医保参保证明</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药学技术人员相关证书</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劳动</w:t>
      </w:r>
      <w:r>
        <w:rPr>
          <w:rFonts w:hint="eastAsia" w:ascii="仿宋_GB2312" w:hAnsi="仿宋_GB2312" w:eastAsia="仿宋_GB2312" w:cs="仿宋_GB2312"/>
          <w:color w:val="auto"/>
          <w:szCs w:val="32"/>
          <w:lang w:eastAsia="zh-CN"/>
        </w:rPr>
        <w:t>（务）</w:t>
      </w:r>
      <w:r>
        <w:rPr>
          <w:rFonts w:hint="eastAsia" w:ascii="仿宋_GB2312" w:hAnsi="仿宋_GB2312" w:eastAsia="仿宋_GB2312" w:cs="仿宋_GB2312"/>
          <w:color w:val="auto"/>
          <w:szCs w:val="32"/>
        </w:rPr>
        <w:t>合同和职工医保参保证明</w:t>
      </w:r>
      <w:r>
        <w:rPr>
          <w:rFonts w:hint="eastAsia" w:ascii="仿宋_GB2312" w:hAnsi="仿宋_GB2312" w:eastAsia="仿宋_GB2312" w:cs="仿宋_GB2312"/>
          <w:color w:val="auto"/>
          <w:kern w:val="0"/>
          <w:szCs w:val="32"/>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lang w:val="en-US" w:eastAsia="zh-CN"/>
        </w:rPr>
        <w:t>4.</w:t>
      </w:r>
      <w:r>
        <w:rPr>
          <w:rFonts w:ascii="仿宋_GB2312" w:hAnsi="仿宋_GB2312" w:eastAsia="仿宋_GB2312" w:cs="仿宋_GB2312"/>
          <w:color w:val="auto"/>
          <w:kern w:val="0"/>
          <w:szCs w:val="32"/>
        </w:rPr>
        <w:t>专（兼）职医保管理人员的</w:t>
      </w:r>
      <w:r>
        <w:rPr>
          <w:rFonts w:hint="eastAsia" w:ascii="仿宋_GB2312" w:hAnsi="仿宋_GB2312" w:eastAsia="仿宋_GB2312" w:cs="仿宋_GB2312"/>
          <w:color w:val="auto"/>
          <w:szCs w:val="32"/>
        </w:rPr>
        <w:t>劳动</w:t>
      </w:r>
      <w:r>
        <w:rPr>
          <w:rFonts w:hint="eastAsia" w:ascii="仿宋_GB2312" w:hAnsi="仿宋_GB2312" w:eastAsia="仿宋_GB2312" w:cs="仿宋_GB2312"/>
          <w:color w:val="auto"/>
          <w:szCs w:val="32"/>
          <w:lang w:eastAsia="zh-CN"/>
        </w:rPr>
        <w:t>（务）</w:t>
      </w:r>
      <w:r>
        <w:rPr>
          <w:rFonts w:ascii="仿宋_GB2312" w:hAnsi="仿宋_GB2312" w:eastAsia="仿宋_GB2312" w:cs="仿宋_GB2312"/>
          <w:color w:val="auto"/>
          <w:kern w:val="0"/>
          <w:szCs w:val="32"/>
        </w:rPr>
        <w:t>合同</w:t>
      </w:r>
      <w:r>
        <w:rPr>
          <w:rFonts w:hint="eastAsia" w:ascii="仿宋_GB2312" w:hAnsi="仿宋_GB2312" w:eastAsia="仿宋_GB2312" w:cs="仿宋_GB2312"/>
          <w:color w:val="auto"/>
          <w:kern w:val="0"/>
          <w:szCs w:val="32"/>
        </w:rPr>
        <w:t>和职工医保参保证明</w:t>
      </w:r>
      <w:r>
        <w:rPr>
          <w:rFonts w:ascii="仿宋_GB2312" w:hAnsi="仿宋_GB2312" w:eastAsia="仿宋_GB2312" w:cs="仿宋_GB2312"/>
          <w:color w:val="auto"/>
          <w:kern w:val="0"/>
          <w:szCs w:val="32"/>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color w:val="auto"/>
          <w:kern w:val="0"/>
          <w:szCs w:val="32"/>
          <w:lang w:val="en-US" w:eastAsia="zh-CN"/>
        </w:rPr>
        <w:t>5.</w:t>
      </w:r>
      <w:r>
        <w:rPr>
          <w:rFonts w:hint="eastAsia" w:ascii="仿宋_GB2312" w:hAnsi="仿宋_GB2312" w:eastAsia="仿宋_GB2312" w:cs="仿宋_GB2312"/>
          <w:b w:val="0"/>
          <w:bCs w:val="0"/>
          <w:color w:val="auto"/>
          <w:kern w:val="0"/>
          <w:sz w:val="32"/>
          <w:szCs w:val="32"/>
          <w:highlight w:val="none"/>
          <w:lang w:eastAsia="zh-CN"/>
        </w:rPr>
        <w:t>与医疗保障政策对应的内部管理制度（</w:t>
      </w:r>
      <w:r>
        <w:rPr>
          <w:rFonts w:hint="eastAsia" w:ascii="仿宋_GB2312" w:hAnsi="仿宋_GB2312" w:eastAsia="仿宋_GB2312" w:cs="仿宋_GB2312"/>
          <w:color w:val="auto"/>
          <w:kern w:val="0"/>
          <w:szCs w:val="32"/>
        </w:rPr>
        <w:t>至少含医保药品管理制度、财务管理制度、医保人员管理制度、统计信息管理制度和医保费用结算制度</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u w:val="none"/>
          <w:lang w:val="en-US" w:eastAsia="zh-CN" w:bidi="ar-SA"/>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val="en-US" w:eastAsia="zh-CN"/>
        </w:rPr>
        <w:t>6.</w:t>
      </w:r>
      <w:r>
        <w:rPr>
          <w:rFonts w:hint="eastAsia" w:ascii="仿宋_GB2312" w:hAnsi="仿宋_GB2312" w:eastAsia="仿宋_GB2312" w:cs="仿宋_GB2312"/>
          <w:color w:val="auto"/>
          <w:sz w:val="32"/>
          <w:szCs w:val="32"/>
          <w:lang w:val="en-US" w:eastAsia="zh-CN"/>
        </w:rPr>
        <w:t>正式启用信息系统开展经营服务之日距申请定点日期至少3个月的佐证材料；</w:t>
      </w:r>
    </w:p>
    <w:p>
      <w:pPr>
        <w:spacing w:line="560" w:lineRule="exact"/>
        <w:ind w:firstLine="632" w:firstLineChars="200"/>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val="en-US" w:eastAsia="zh-CN"/>
        </w:rPr>
        <w:t>7.</w:t>
      </w:r>
      <w:r>
        <w:rPr>
          <w:rFonts w:hint="eastAsia" w:ascii="仿宋_GB2312" w:hAnsi="仿宋_GB2312" w:eastAsia="仿宋_GB2312" w:cs="仿宋_GB2312"/>
          <w:color w:val="auto"/>
          <w:sz w:val="32"/>
          <w:szCs w:val="32"/>
          <w:lang w:val="en-US" w:eastAsia="zh-CN"/>
        </w:rPr>
        <w:t>设立医保药品等基础数据库，使用统一的医保编码的佐证材料；</w:t>
      </w:r>
    </w:p>
    <w:p>
      <w:pPr>
        <w:spacing w:line="560" w:lineRule="exact"/>
        <w:ind w:firstLine="632" w:firstLineChars="200"/>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val="en-US" w:eastAsia="zh-CN"/>
        </w:rPr>
        <w:t>8.</w:t>
      </w:r>
      <w:r>
        <w:rPr>
          <w:rFonts w:hint="eastAsia" w:ascii="仿宋_GB2312" w:hAnsi="仿宋_GB2312" w:eastAsia="仿宋_GB2312" w:cs="仿宋_GB2312"/>
          <w:b w:val="0"/>
          <w:bCs w:val="0"/>
          <w:color w:val="auto"/>
          <w:kern w:val="0"/>
          <w:sz w:val="32"/>
          <w:szCs w:val="32"/>
          <w:highlight w:val="none"/>
          <w:lang w:eastAsia="zh-CN"/>
        </w:rPr>
        <w:t>纳入定点后使用医疗保障基金的预测性分析报告；</w:t>
      </w:r>
    </w:p>
    <w:p>
      <w:pPr>
        <w:spacing w:line="560" w:lineRule="exact"/>
        <w:ind w:firstLine="632" w:firstLineChars="200"/>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val="en-US" w:eastAsia="zh-CN"/>
        </w:rPr>
        <w:t>9.</w:t>
      </w:r>
      <w:r>
        <w:rPr>
          <w:rFonts w:hint="eastAsia" w:ascii="仿宋_GB2312" w:hAnsi="仿宋_GB2312" w:eastAsia="仿宋_GB2312" w:cs="仿宋_GB2312"/>
          <w:b w:val="0"/>
          <w:bCs w:val="0"/>
          <w:color w:val="auto"/>
          <w:kern w:val="0"/>
          <w:sz w:val="32"/>
          <w:szCs w:val="32"/>
          <w:highlight w:val="none"/>
          <w:lang w:eastAsia="zh-CN"/>
        </w:rPr>
        <w:t>《零售药店申请医保定点承诺书》。</w:t>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eastAsia" w:ascii="楷体_GB2312" w:hAnsi="楷体_GB2312" w:eastAsia="楷体_GB2312" w:cs="楷体_GB2312"/>
          <w:bCs/>
          <w:color w:val="auto"/>
          <w:kern w:val="0"/>
          <w:sz w:val="32"/>
          <w:szCs w:val="32"/>
          <w:highlight w:val="none"/>
          <w:lang w:val="en-US" w:eastAsia="zh-CN" w:bidi="ar-SA"/>
        </w:rPr>
      </w:pPr>
      <w:r>
        <w:rPr>
          <w:rFonts w:hint="eastAsia" w:ascii="楷体_GB2312" w:hAnsi="楷体_GB2312" w:eastAsia="楷体_GB2312" w:cs="楷体_GB2312"/>
          <w:bCs/>
          <w:color w:val="auto"/>
          <w:kern w:val="0"/>
          <w:sz w:val="32"/>
          <w:szCs w:val="32"/>
          <w:highlight w:val="none"/>
          <w:lang w:val="en-US" w:eastAsia="zh-CN" w:bidi="ar-SA"/>
        </w:rPr>
        <w:t>（三）辖区医保分局审核</w:t>
      </w:r>
    </w:p>
    <w:p>
      <w:pPr>
        <w:spacing w:line="560" w:lineRule="exact"/>
        <w:ind w:firstLine="632" w:firstLineChars="200"/>
        <w:rPr>
          <w:rFonts w:hint="eastAsia" w:ascii="仿宋_GB2312" w:hAnsi="仿宋_GB2312" w:eastAsia="仿宋_GB2312" w:cs="仿宋_GB2312"/>
          <w:bCs/>
          <w:color w:val="auto"/>
          <w:szCs w:val="32"/>
          <w:highlight w:val="none"/>
          <w:lang w:eastAsia="zh-CN"/>
        </w:rPr>
      </w:pPr>
      <w:r>
        <w:rPr>
          <w:rFonts w:hint="eastAsia" w:ascii="仿宋_GB2312" w:hAnsi="仿宋_GB2312" w:eastAsia="仿宋_GB2312" w:cs="仿宋_GB2312"/>
          <w:bCs/>
          <w:color w:val="auto"/>
          <w:szCs w:val="32"/>
          <w:highlight w:val="none"/>
        </w:rPr>
        <w:t>辖区医保分局自收到申请之日起5个工作日内</w:t>
      </w:r>
      <w:r>
        <w:rPr>
          <w:rFonts w:hint="eastAsia" w:ascii="仿宋_GB2312" w:hAnsi="仿宋_GB2312" w:eastAsia="仿宋_GB2312" w:cs="仿宋_GB2312"/>
          <w:bCs/>
          <w:color w:val="auto"/>
          <w:szCs w:val="32"/>
          <w:highlight w:val="none"/>
          <w:lang w:eastAsia="zh-CN"/>
        </w:rPr>
        <w:t>对零售药店是否符合申请医保定点的范围和条件、是否存在不予受理的情形进行审核，并</w:t>
      </w:r>
      <w:r>
        <w:rPr>
          <w:rFonts w:hint="eastAsia" w:ascii="仿宋_GB2312" w:hAnsi="仿宋_GB2312" w:eastAsia="仿宋_GB2312" w:cs="仿宋_GB2312"/>
          <w:bCs/>
          <w:color w:val="auto"/>
          <w:szCs w:val="32"/>
          <w:highlight w:val="none"/>
        </w:rPr>
        <w:t>出具相应回执</w:t>
      </w:r>
      <w:r>
        <w:rPr>
          <w:rFonts w:hint="eastAsia" w:ascii="仿宋_GB2312" w:hAnsi="仿宋_GB2312" w:eastAsia="仿宋_GB2312" w:cs="仿宋_GB2312"/>
          <w:bCs/>
          <w:color w:val="auto"/>
          <w:szCs w:val="32"/>
          <w:highlight w:val="none"/>
          <w:lang w:eastAsia="zh-CN"/>
        </w:rPr>
        <w:t>，</w:t>
      </w:r>
      <w:r>
        <w:rPr>
          <w:rFonts w:hint="eastAsia" w:ascii="仿宋_GB2312" w:hAnsi="仿宋_GB2312" w:eastAsia="仿宋_GB2312" w:cs="仿宋_GB2312"/>
          <w:bCs/>
          <w:color w:val="auto"/>
          <w:szCs w:val="32"/>
          <w:highlight w:val="none"/>
          <w:lang w:val="zh-CN"/>
        </w:rPr>
        <w:t>零售药店可</w:t>
      </w:r>
      <w:r>
        <w:rPr>
          <w:rFonts w:hint="eastAsia" w:ascii="仿宋_GB2312" w:hAnsi="仿宋_GB2312" w:eastAsia="仿宋_GB2312" w:cs="仿宋_GB2312"/>
          <w:bCs/>
          <w:color w:val="auto"/>
          <w:szCs w:val="32"/>
          <w:highlight w:val="none"/>
        </w:rPr>
        <w:t>在申报系统下载</w:t>
      </w:r>
      <w:r>
        <w:rPr>
          <w:rFonts w:hint="eastAsia" w:ascii="仿宋_GB2312" w:hAnsi="仿宋_GB2312" w:eastAsia="仿宋_GB2312" w:cs="仿宋_GB2312"/>
          <w:bCs/>
          <w:color w:val="auto"/>
          <w:szCs w:val="32"/>
          <w:highlight w:val="none"/>
          <w:lang w:eastAsia="zh-CN"/>
        </w:rPr>
        <w:t>查看：</w:t>
      </w:r>
    </w:p>
    <w:p>
      <w:pPr>
        <w:spacing w:line="560" w:lineRule="exact"/>
        <w:ind w:firstLine="632" w:firstLineChars="200"/>
        <w:rPr>
          <w:rFonts w:hint="eastAsia" w:ascii="Times New Roman" w:hAnsi="Times New Roman" w:eastAsia="仿宋_GB2312"/>
          <w:bCs/>
          <w:color w:val="auto"/>
          <w:szCs w:val="32"/>
          <w:highlight w:val="none"/>
          <w:lang w:eastAsia="zh-CN"/>
        </w:rPr>
      </w:pPr>
      <w:r>
        <w:rPr>
          <w:rFonts w:hint="eastAsia" w:ascii="仿宋_GB2312" w:hAnsi="仿宋_GB2312" w:eastAsia="仿宋_GB2312" w:cs="仿宋_GB2312"/>
          <w:bCs/>
          <w:color w:val="auto"/>
          <w:kern w:val="0"/>
          <w:szCs w:val="32"/>
          <w:highlight w:val="none"/>
          <w:lang w:val="en-US" w:eastAsia="zh-CN"/>
        </w:rPr>
        <w:t>1.零售药店</w:t>
      </w:r>
      <w:r>
        <w:rPr>
          <w:rFonts w:hint="eastAsia" w:ascii="仿宋_GB2312" w:hAnsi="仿宋_GB2312" w:eastAsia="仿宋_GB2312" w:cs="仿宋_GB2312"/>
          <w:b w:val="0"/>
          <w:bCs w:val="0"/>
          <w:color w:val="auto"/>
          <w:kern w:val="0"/>
          <w:sz w:val="32"/>
          <w:szCs w:val="32"/>
          <w:highlight w:val="none"/>
          <w:lang w:val="en-US" w:eastAsia="zh-CN"/>
        </w:rPr>
        <w:t>符合申请医保定点范围和条件，且不存在不予受理情形的，</w:t>
      </w:r>
      <w:r>
        <w:rPr>
          <w:rFonts w:hint="eastAsia" w:ascii="仿宋_GB2312" w:hAnsi="仿宋_GB2312" w:eastAsia="仿宋_GB2312" w:cs="仿宋_GB2312"/>
          <w:bCs/>
          <w:color w:val="auto"/>
          <w:szCs w:val="32"/>
          <w:highlight w:val="none"/>
        </w:rPr>
        <w:t>辖区医保分局出具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深圳市新增定点</w:t>
      </w:r>
      <w:r>
        <w:rPr>
          <w:rFonts w:hint="eastAsia" w:ascii="仿宋_GB2312" w:hAnsi="仿宋_GB2312" w:eastAsia="仿宋_GB2312" w:cs="仿宋_GB2312"/>
          <w:color w:val="auto"/>
          <w:sz w:val="32"/>
          <w:szCs w:val="32"/>
          <w:highlight w:val="none"/>
          <w:lang w:eastAsia="zh-CN"/>
        </w:rPr>
        <w:t>零售药店</w:t>
      </w:r>
      <w:r>
        <w:rPr>
          <w:rFonts w:hint="eastAsia" w:ascii="仿宋_GB2312" w:hAnsi="仿宋_GB2312" w:eastAsia="仿宋_GB2312" w:cs="仿宋_GB2312"/>
          <w:color w:val="auto"/>
          <w:sz w:val="32"/>
          <w:szCs w:val="32"/>
          <w:highlight w:val="none"/>
        </w:rPr>
        <w:t>受理回执</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以下简称《受理回执》</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配合评估材料清单</w:t>
      </w:r>
      <w:r>
        <w:rPr>
          <w:rFonts w:hint="eastAsia" w:ascii="仿宋_GB2312" w:hAnsi="仿宋_GB2312" w:eastAsia="仿宋_GB2312" w:cs="仿宋_GB2312"/>
          <w:color w:val="auto"/>
          <w:sz w:val="32"/>
          <w:szCs w:val="32"/>
          <w:highlight w:val="none"/>
          <w:lang w:eastAsia="zh-CN"/>
        </w:rPr>
        <w:t>》（附件</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，告知</w:t>
      </w:r>
      <w:r>
        <w:rPr>
          <w:rFonts w:hint="eastAsia" w:ascii="仿宋_GB2312" w:hAnsi="仿宋_GB2312" w:eastAsia="仿宋_GB2312" w:cs="仿宋_GB2312"/>
          <w:color w:val="auto"/>
          <w:sz w:val="32"/>
          <w:szCs w:val="32"/>
          <w:highlight w:val="none"/>
          <w:lang w:eastAsia="zh-CN"/>
        </w:rPr>
        <w:t>零售药店</w:t>
      </w:r>
      <w:r>
        <w:rPr>
          <w:rFonts w:hint="eastAsia" w:ascii="仿宋_GB2312" w:hAnsi="仿宋_GB2312" w:eastAsia="仿宋_GB2312" w:cs="仿宋_GB2312"/>
          <w:color w:val="auto"/>
          <w:sz w:val="32"/>
          <w:szCs w:val="32"/>
          <w:highlight w:val="none"/>
        </w:rPr>
        <w:t>评估时间范围和地点</w:t>
      </w:r>
      <w:r>
        <w:rPr>
          <w:rFonts w:hint="eastAsia" w:ascii="仿宋_GB2312" w:hAnsi="仿宋_GB2312" w:eastAsia="仿宋_GB2312" w:cs="仿宋_GB2312"/>
          <w:bCs/>
          <w:color w:val="auto"/>
          <w:szCs w:val="32"/>
          <w:highlight w:val="none"/>
          <w:lang w:eastAsia="zh-CN"/>
        </w:rPr>
        <w:t>；</w:t>
      </w:r>
    </w:p>
    <w:p>
      <w:pPr>
        <w:spacing w:line="560" w:lineRule="exact"/>
        <w:ind w:firstLine="632" w:firstLineChars="200"/>
        <w:rPr>
          <w:rFonts w:hint="eastAsia" w:ascii="楷体_GB2312" w:hAnsi="楷体_GB2312" w:eastAsia="仿宋_GB2312" w:cs="楷体_GB2312"/>
          <w:bCs/>
          <w:color w:val="auto"/>
          <w:kern w:val="0"/>
          <w:szCs w:val="32"/>
          <w:highlight w:val="none"/>
          <w:lang w:eastAsia="zh-CN"/>
        </w:rPr>
      </w:pPr>
      <w:r>
        <w:rPr>
          <w:rFonts w:hint="eastAsia" w:ascii="仿宋_GB2312" w:hAnsi="仿宋_GB2312" w:eastAsia="仿宋_GB2312" w:cs="仿宋_GB2312"/>
          <w:bCs/>
          <w:color w:val="auto"/>
          <w:kern w:val="0"/>
          <w:szCs w:val="32"/>
          <w:highlight w:val="none"/>
          <w:lang w:val="en-US" w:eastAsia="zh-CN"/>
        </w:rPr>
        <w:t>2.</w:t>
      </w:r>
      <w:r>
        <w:rPr>
          <w:rFonts w:hint="eastAsia" w:ascii="仿宋_GB2312" w:hAnsi="仿宋_GB2312" w:eastAsia="仿宋_GB2312" w:cs="仿宋_GB2312"/>
          <w:b w:val="0"/>
          <w:bCs w:val="0"/>
          <w:color w:val="auto"/>
          <w:sz w:val="32"/>
          <w:szCs w:val="32"/>
          <w:highlight w:val="none"/>
          <w:lang w:val="en-US" w:eastAsia="zh-CN"/>
        </w:rPr>
        <w:t>零售药店提交的申请材料不齐全或存在更正内容的</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Cs/>
          <w:color w:val="auto"/>
          <w:szCs w:val="32"/>
          <w:highlight w:val="none"/>
        </w:rPr>
        <w:t>辖区医保分局出具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深圳市新增定点</w:t>
      </w:r>
      <w:r>
        <w:rPr>
          <w:rFonts w:hint="eastAsia" w:ascii="仿宋_GB2312" w:hAnsi="仿宋_GB2312" w:eastAsia="仿宋_GB2312" w:cs="仿宋_GB2312"/>
          <w:b w:val="0"/>
          <w:bCs w:val="0"/>
          <w:color w:val="auto"/>
          <w:sz w:val="32"/>
          <w:szCs w:val="32"/>
          <w:highlight w:val="none"/>
          <w:lang w:val="en-US" w:eastAsia="zh-CN"/>
        </w:rPr>
        <w:t>零售药店</w:t>
      </w:r>
      <w:r>
        <w:rPr>
          <w:rFonts w:hint="eastAsia" w:ascii="仿宋_GB2312" w:hAnsi="仿宋_GB2312" w:eastAsia="仿宋_GB2312" w:cs="仿宋_GB2312"/>
          <w:color w:val="auto"/>
          <w:sz w:val="32"/>
          <w:szCs w:val="32"/>
          <w:highlight w:val="none"/>
        </w:rPr>
        <w:t>申请材料补齐补正通知书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Cs/>
          <w:color w:val="auto"/>
          <w:szCs w:val="32"/>
          <w:highlight w:val="none"/>
        </w:rPr>
        <w:t>。</w:t>
      </w:r>
      <w:r>
        <w:rPr>
          <w:rFonts w:hint="eastAsia" w:ascii="仿宋_GB2312" w:hAnsi="仿宋_GB2312" w:eastAsia="仿宋_GB2312" w:cs="仿宋_GB2312"/>
          <w:b w:val="0"/>
          <w:bCs w:val="0"/>
          <w:color w:val="auto"/>
          <w:sz w:val="32"/>
          <w:szCs w:val="32"/>
          <w:highlight w:val="none"/>
          <w:lang w:val="en-US" w:eastAsia="zh-CN"/>
        </w:rPr>
        <w:t>零售药店</w:t>
      </w:r>
      <w:r>
        <w:rPr>
          <w:rFonts w:hint="eastAsia" w:ascii="仿宋_GB2312" w:hAnsi="仿宋_GB2312" w:eastAsia="仿宋_GB2312" w:cs="仿宋_GB2312"/>
          <w:bCs/>
          <w:color w:val="auto"/>
          <w:szCs w:val="32"/>
          <w:highlight w:val="none"/>
        </w:rPr>
        <w:t>在5个工作日</w:t>
      </w:r>
      <w:r>
        <w:rPr>
          <w:rFonts w:hint="eastAsia" w:ascii="仿宋_GB2312" w:hAnsi="仿宋_GB2312" w:eastAsia="仿宋_GB2312" w:cs="仿宋_GB2312"/>
          <w:bCs/>
          <w:color w:val="auto"/>
          <w:szCs w:val="32"/>
          <w:highlight w:val="none"/>
          <w:lang w:eastAsia="zh-CN"/>
        </w:rPr>
        <w:t>在申报系统上传</w:t>
      </w:r>
      <w:r>
        <w:rPr>
          <w:rFonts w:hint="eastAsia" w:ascii="仿宋_GB2312" w:hAnsi="仿宋_GB2312" w:eastAsia="仿宋_GB2312" w:cs="仿宋_GB2312"/>
          <w:bCs/>
          <w:color w:val="auto"/>
          <w:szCs w:val="32"/>
          <w:highlight w:val="none"/>
        </w:rPr>
        <w:t>补齐补正</w:t>
      </w:r>
      <w:r>
        <w:rPr>
          <w:rFonts w:hint="eastAsia" w:ascii="仿宋_GB2312" w:hAnsi="仿宋_GB2312" w:eastAsia="仿宋_GB2312" w:cs="仿宋_GB2312"/>
          <w:bCs/>
          <w:color w:val="auto"/>
          <w:szCs w:val="32"/>
          <w:highlight w:val="none"/>
          <w:lang w:eastAsia="zh-CN"/>
        </w:rPr>
        <w:t>材料，</w:t>
      </w:r>
      <w:r>
        <w:rPr>
          <w:rFonts w:hint="eastAsia" w:ascii="仿宋_GB2312" w:hAnsi="仿宋_GB2312" w:eastAsia="仿宋_GB2312" w:cs="仿宋_GB2312"/>
          <w:bCs/>
          <w:color w:val="auto"/>
          <w:szCs w:val="32"/>
          <w:highlight w:val="none"/>
        </w:rPr>
        <w:t>逾期未补齐补正的，视为放弃此次申请</w:t>
      </w:r>
      <w:r>
        <w:rPr>
          <w:rFonts w:hint="eastAsia" w:ascii="仿宋_GB2312" w:hAnsi="仿宋_GB2312" w:eastAsia="仿宋_GB2312" w:cs="仿宋_GB2312"/>
          <w:bCs/>
          <w:color w:val="auto"/>
          <w:szCs w:val="32"/>
          <w:highlight w:val="none"/>
          <w:lang w:eastAsia="zh-CN"/>
        </w:rPr>
        <w:t>；</w:t>
      </w:r>
    </w:p>
    <w:p>
      <w:pPr>
        <w:spacing w:line="560" w:lineRule="exact"/>
        <w:ind w:firstLine="632" w:firstLineChars="200"/>
        <w:rPr>
          <w:rFonts w:ascii="仿宋_GB2312" w:hAnsi="仿宋_GB2312" w:eastAsia="仿宋_GB2312" w:cs="仿宋_GB2312"/>
          <w:bCs/>
          <w:color w:val="auto"/>
          <w:szCs w:val="32"/>
          <w:highlight w:val="none"/>
        </w:rPr>
      </w:pPr>
      <w:r>
        <w:rPr>
          <w:rFonts w:hint="eastAsia" w:ascii="仿宋_GB2312" w:hAnsi="仿宋_GB2312" w:eastAsia="仿宋_GB2312" w:cs="仿宋_GB2312"/>
          <w:bCs/>
          <w:color w:val="auto"/>
          <w:kern w:val="0"/>
          <w:szCs w:val="32"/>
          <w:highlight w:val="none"/>
          <w:lang w:val="en-US" w:eastAsia="zh-CN"/>
        </w:rPr>
        <w:t>3.</w:t>
      </w:r>
      <w:r>
        <w:rPr>
          <w:rFonts w:hint="eastAsia" w:ascii="仿宋_GB2312" w:hAnsi="仿宋_GB2312" w:eastAsia="仿宋_GB2312" w:cs="仿宋_GB2312"/>
          <w:b w:val="0"/>
          <w:bCs w:val="0"/>
          <w:color w:val="auto"/>
          <w:sz w:val="32"/>
          <w:szCs w:val="32"/>
          <w:highlight w:val="none"/>
          <w:lang w:val="en-US" w:eastAsia="zh-CN"/>
        </w:rPr>
        <w:t>零售药店</w:t>
      </w:r>
      <w:r>
        <w:rPr>
          <w:rFonts w:hint="eastAsia" w:ascii="仿宋_GB2312" w:hAnsi="仿宋_GB2312" w:eastAsia="仿宋_GB2312" w:cs="仿宋_GB2312"/>
          <w:bCs/>
          <w:color w:val="auto"/>
          <w:kern w:val="0"/>
          <w:szCs w:val="32"/>
          <w:highlight w:val="none"/>
          <w:lang w:val="en-US" w:eastAsia="zh-CN"/>
        </w:rPr>
        <w:t>不</w:t>
      </w:r>
      <w:r>
        <w:rPr>
          <w:rFonts w:hint="eastAsia" w:ascii="仿宋_GB2312" w:hAnsi="仿宋_GB2312" w:eastAsia="仿宋_GB2312" w:cs="仿宋_GB2312"/>
          <w:b w:val="0"/>
          <w:bCs w:val="0"/>
          <w:color w:val="auto"/>
          <w:kern w:val="0"/>
          <w:sz w:val="32"/>
          <w:szCs w:val="32"/>
          <w:highlight w:val="none"/>
          <w:lang w:val="en-US" w:eastAsia="zh-CN"/>
        </w:rPr>
        <w:t>符合申请医保定点范围和条件，或存在不予受理情形的，</w:t>
      </w:r>
      <w:r>
        <w:rPr>
          <w:rFonts w:hint="eastAsia" w:ascii="仿宋_GB2312" w:hAnsi="仿宋_GB2312" w:eastAsia="仿宋_GB2312" w:cs="仿宋_GB2312"/>
          <w:bCs/>
          <w:color w:val="auto"/>
          <w:kern w:val="0"/>
          <w:szCs w:val="32"/>
          <w:highlight w:val="none"/>
        </w:rPr>
        <w:t>辖区医保分局出具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深圳市新增定点</w:t>
      </w:r>
      <w:r>
        <w:rPr>
          <w:rFonts w:hint="eastAsia" w:ascii="仿宋_GB2312" w:hAnsi="仿宋_GB2312" w:eastAsia="仿宋_GB2312" w:cs="仿宋_GB2312"/>
          <w:b w:val="0"/>
          <w:bCs w:val="0"/>
          <w:color w:val="auto"/>
          <w:sz w:val="32"/>
          <w:szCs w:val="32"/>
          <w:highlight w:val="none"/>
          <w:lang w:val="en-US" w:eastAsia="zh-CN"/>
        </w:rPr>
        <w:t>零售药店</w:t>
      </w:r>
      <w:r>
        <w:rPr>
          <w:rFonts w:hint="eastAsia" w:ascii="仿宋_GB2312" w:hAnsi="仿宋_GB2312" w:eastAsia="仿宋_GB2312" w:cs="仿宋_GB2312"/>
          <w:color w:val="auto"/>
          <w:sz w:val="32"/>
          <w:szCs w:val="32"/>
          <w:highlight w:val="none"/>
        </w:rPr>
        <w:t>不予受理回执</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Cs/>
          <w:color w:val="auto"/>
          <w:szCs w:val="32"/>
          <w:highlight w:val="none"/>
        </w:rPr>
        <w:t>。</w:t>
      </w:r>
    </w:p>
    <w:p>
      <w:pPr>
        <w:spacing w:line="560" w:lineRule="exact"/>
        <w:ind w:firstLine="632" w:firstLineChars="200"/>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三、医保管理人员考核</w:t>
      </w:r>
    </w:p>
    <w:p>
      <w:pPr>
        <w:pStyle w:val="9"/>
        <w:spacing w:line="560" w:lineRule="exact"/>
        <w:ind w:firstLine="632" w:firstLineChars="200"/>
        <w:rPr>
          <w:rFonts w:hint="eastAsia" w:ascii="仿宋_GB2312" w:hAnsi="仿宋_GB2312" w:eastAsia="仿宋_GB2312" w:cs="仿宋_GB2312"/>
          <w:b w:val="0"/>
          <w:bCs w:val="0"/>
          <w:color w:val="auto"/>
          <w:kern w:val="0"/>
          <w:sz w:val="32"/>
          <w:szCs w:val="32"/>
          <w:highlight w:val="none"/>
          <w:lang w:val="en-US" w:eastAsia="zh-CN"/>
        </w:rPr>
      </w:pPr>
      <w:r>
        <w:rPr>
          <w:rFonts w:hint="eastAsia" w:ascii="楷体_GB2312" w:hAnsi="楷体_GB2312" w:eastAsia="楷体_GB2312" w:cs="楷体_GB2312"/>
          <w:b w:val="0"/>
          <w:bCs w:val="0"/>
          <w:color w:val="auto"/>
          <w:kern w:val="0"/>
          <w:sz w:val="32"/>
          <w:szCs w:val="32"/>
          <w:highlight w:val="none"/>
          <w:lang w:val="en-US" w:eastAsia="zh-CN"/>
        </w:rPr>
        <w:t>（一）考核方式和内容</w:t>
      </w:r>
    </w:p>
    <w:p>
      <w:pPr>
        <w:pStyle w:val="9"/>
        <w:spacing w:line="560" w:lineRule="exact"/>
        <w:ind w:firstLine="632" w:firstLineChars="200"/>
        <w:rPr>
          <w:rFonts w:hint="eastAsia" w:ascii="仿宋_GB2312" w:hAnsi="仿宋_GB2312" w:eastAsia="仿宋_GB2312" w:cs="仿宋_GB2312"/>
          <w:b w:val="0"/>
          <w:bCs w:val="0"/>
          <w:color w:val="auto"/>
          <w:kern w:val="0"/>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val="en-US" w:eastAsia="zh-CN"/>
        </w:rPr>
        <w:t>取得《</w:t>
      </w:r>
      <w:r>
        <w:rPr>
          <w:rFonts w:hint="eastAsia" w:ascii="仿宋_GB2312" w:hAnsi="仿宋_GB2312" w:eastAsia="仿宋_GB2312" w:cs="仿宋_GB2312"/>
          <w:color w:val="auto"/>
          <w:sz w:val="32"/>
          <w:szCs w:val="32"/>
          <w:highlight w:val="none"/>
          <w:lang w:eastAsia="zh-CN"/>
        </w:rPr>
        <w:t>受理回执</w:t>
      </w:r>
      <w:r>
        <w:rPr>
          <w:rFonts w:hint="eastAsia" w:ascii="仿宋_GB2312" w:hAnsi="仿宋_GB2312" w:eastAsia="仿宋_GB2312" w:cs="仿宋_GB2312"/>
          <w:b w:val="0"/>
          <w:bCs w:val="0"/>
          <w:color w:val="auto"/>
          <w:kern w:val="0"/>
          <w:sz w:val="32"/>
          <w:szCs w:val="32"/>
          <w:highlight w:val="none"/>
          <w:lang w:val="en-US" w:eastAsia="zh-CN"/>
        </w:rPr>
        <w:t>》的</w:t>
      </w:r>
      <w:r>
        <w:rPr>
          <w:rFonts w:hint="eastAsia" w:ascii="仿宋_GB2312" w:hAnsi="仿宋_GB2312" w:eastAsia="仿宋_GB2312" w:cs="仿宋_GB2312"/>
          <w:b w:val="0"/>
          <w:bCs w:val="0"/>
          <w:color w:val="auto"/>
          <w:sz w:val="32"/>
          <w:szCs w:val="32"/>
          <w:highlight w:val="none"/>
          <w:lang w:val="en-US" w:eastAsia="zh-CN"/>
        </w:rPr>
        <w:t>零售药店</w:t>
      </w:r>
      <w:r>
        <w:rPr>
          <w:rFonts w:hint="eastAsia" w:ascii="仿宋_GB2312" w:hAnsi="仿宋_GB2312" w:eastAsia="仿宋_GB2312" w:cs="仿宋_GB2312"/>
          <w:b w:val="0"/>
          <w:bCs w:val="0"/>
          <w:color w:val="auto"/>
          <w:kern w:val="0"/>
          <w:sz w:val="32"/>
          <w:szCs w:val="32"/>
          <w:highlight w:val="none"/>
          <w:lang w:val="en-US" w:eastAsia="zh-CN"/>
        </w:rPr>
        <w:t>按照辖区医保分局统一安排，在</w:t>
      </w:r>
      <w:r>
        <w:rPr>
          <w:rFonts w:hint="eastAsia" w:ascii="仿宋_GB2312" w:hAnsi="仿宋_GB2312" w:eastAsia="仿宋_GB2312" w:cs="仿宋_GB2312"/>
          <w:color w:val="auto"/>
          <w:kern w:val="0"/>
          <w:szCs w:val="32"/>
          <w:highlight w:val="none"/>
          <w:lang w:eastAsia="zh-CN"/>
        </w:rPr>
        <w:t>规定的时间</w:t>
      </w:r>
      <w:r>
        <w:rPr>
          <w:rFonts w:hint="eastAsia" w:ascii="仿宋_GB2312" w:hAnsi="仿宋_GB2312" w:eastAsia="仿宋_GB2312" w:cs="仿宋_GB2312"/>
          <w:b w:val="0"/>
          <w:bCs w:val="0"/>
          <w:color w:val="auto"/>
          <w:kern w:val="0"/>
          <w:sz w:val="32"/>
          <w:szCs w:val="32"/>
          <w:highlight w:val="none"/>
          <w:lang w:val="en-US" w:eastAsia="zh-CN"/>
        </w:rPr>
        <w:t>携带身份证件、劳动（务）合同、参保信息等材料</w:t>
      </w:r>
      <w:r>
        <w:rPr>
          <w:rFonts w:hint="eastAsia" w:ascii="仿宋_GB2312" w:hAnsi="仿宋_GB2312" w:eastAsia="仿宋_GB2312" w:cs="仿宋_GB2312"/>
          <w:color w:val="auto"/>
          <w:kern w:val="0"/>
          <w:szCs w:val="32"/>
          <w:highlight w:val="none"/>
          <w:lang w:eastAsia="zh-CN"/>
        </w:rPr>
        <w:t>前往考试现场，</w:t>
      </w:r>
      <w:r>
        <w:rPr>
          <w:rFonts w:hint="eastAsia" w:ascii="仿宋_GB2312" w:hAnsi="仿宋_GB2312" w:eastAsia="仿宋_GB2312" w:cs="仿宋_GB2312"/>
          <w:color w:val="auto"/>
          <w:kern w:val="0"/>
          <w:szCs w:val="32"/>
          <w:highlight w:val="none"/>
        </w:rPr>
        <w:t>在分局工作人员的监督下参加</w:t>
      </w:r>
      <w:r>
        <w:rPr>
          <w:rFonts w:hint="eastAsia" w:ascii="仿宋_GB2312" w:hAnsi="仿宋_GB2312" w:eastAsia="仿宋_GB2312" w:cs="仿宋_GB2312"/>
          <w:color w:val="auto"/>
          <w:kern w:val="0"/>
          <w:szCs w:val="32"/>
          <w:highlight w:val="none"/>
          <w:lang w:eastAsia="zh-CN"/>
        </w:rPr>
        <w:t>集中</w:t>
      </w:r>
      <w:r>
        <w:rPr>
          <w:rFonts w:hint="eastAsia" w:ascii="仿宋_GB2312" w:hAnsi="仿宋_GB2312" w:eastAsia="仿宋_GB2312" w:cs="仿宋_GB2312"/>
          <w:color w:val="auto"/>
          <w:kern w:val="0"/>
          <w:szCs w:val="32"/>
          <w:highlight w:val="none"/>
        </w:rPr>
        <w:t>考试</w:t>
      </w:r>
      <w:r>
        <w:rPr>
          <w:rFonts w:hint="eastAsia" w:ascii="仿宋_GB2312" w:hAnsi="仿宋_GB2312" w:eastAsia="仿宋_GB2312" w:cs="仿宋_GB2312"/>
          <w:color w:val="auto"/>
          <w:kern w:val="0"/>
          <w:szCs w:val="32"/>
          <w:highlight w:val="none"/>
          <w:lang w:eastAsia="zh-CN"/>
        </w:rPr>
        <w:t>。考试人员为</w:t>
      </w:r>
      <w:r>
        <w:rPr>
          <w:rFonts w:hint="eastAsia" w:ascii="仿宋_GB2312" w:hAnsi="仿宋_GB2312" w:eastAsia="仿宋_GB2312" w:cs="仿宋_GB2312"/>
          <w:color w:val="auto"/>
          <w:kern w:val="0"/>
          <w:szCs w:val="32"/>
          <w:highlight w:val="none"/>
          <w:lang w:val="en-US" w:eastAsia="zh-CN"/>
        </w:rPr>
        <w:t>2名</w:t>
      </w:r>
      <w:r>
        <w:rPr>
          <w:rFonts w:hint="eastAsia" w:ascii="仿宋_GB2312" w:hAnsi="仿宋_GB2312" w:eastAsia="仿宋_GB2312" w:cs="仿宋_GB2312"/>
          <w:color w:val="auto"/>
          <w:kern w:val="0"/>
          <w:szCs w:val="32"/>
          <w:highlight w:val="none"/>
        </w:rPr>
        <w:t>专（兼）职医保管理人员</w:t>
      </w:r>
      <w:r>
        <w:rPr>
          <w:rFonts w:hint="eastAsia" w:ascii="仿宋_GB2312" w:hAnsi="仿宋_GB2312" w:eastAsia="仿宋_GB2312" w:cs="仿宋_GB2312"/>
          <w:b w:val="0"/>
          <w:bCs w:val="0"/>
          <w:color w:val="auto"/>
          <w:kern w:val="0"/>
          <w:sz w:val="32"/>
          <w:szCs w:val="32"/>
          <w:highlight w:val="none"/>
          <w:lang w:val="en-US" w:eastAsia="zh-CN"/>
        </w:rPr>
        <w:t>。考试流程及具体操作另行通知。</w:t>
      </w:r>
    </w:p>
    <w:p>
      <w:pPr>
        <w:pStyle w:val="9"/>
        <w:spacing w:line="560" w:lineRule="exact"/>
        <w:ind w:firstLine="632" w:firstLineChars="200"/>
        <w:rPr>
          <w:rFonts w:hint="eastAsia" w:ascii="仿宋_GB2312" w:hAnsi="仿宋_GB2312" w:eastAsia="仿宋_GB2312" w:cs="仿宋_GB2312"/>
          <w:b w:val="0"/>
          <w:bCs w:val="0"/>
          <w:color w:val="auto"/>
          <w:kern w:val="0"/>
          <w:sz w:val="32"/>
          <w:szCs w:val="32"/>
          <w:highlight w:val="none"/>
          <w:lang w:val="en-US" w:eastAsia="zh-CN"/>
        </w:rPr>
      </w:pPr>
      <w:r>
        <w:rPr>
          <w:rFonts w:hint="eastAsia" w:ascii="仿宋_GB2312" w:hAnsi="仿宋_GB2312" w:eastAsia="仿宋_GB2312" w:cs="仿宋_GB2312"/>
          <w:b w:val="0"/>
          <w:bCs w:val="0"/>
          <w:color w:val="auto"/>
          <w:kern w:val="0"/>
          <w:szCs w:val="32"/>
          <w:highlight w:val="none"/>
          <w:lang w:eastAsia="zh-CN"/>
        </w:rPr>
        <w:t>考试内容主要包括《医疗保障基金使用监督管理条例》《零售药店医疗保障定点管理暂行办法》《深圳市医疗保障办法》等政策文件，及医保服务e站、医保信息化建设、医保基金监管等内容，并根据政策出台、业务开展等实际情况动态更新。零售药店可进入申报系统下载相关政策文件进行学习。</w:t>
      </w:r>
    </w:p>
    <w:p>
      <w:pPr>
        <w:pStyle w:val="9"/>
        <w:spacing w:line="560" w:lineRule="exact"/>
        <w:ind w:firstLine="632" w:firstLineChars="200"/>
        <w:rPr>
          <w:rFonts w:hint="eastAsia" w:ascii="楷体_GB2312" w:hAnsi="楷体_GB2312" w:eastAsia="楷体_GB2312" w:cs="楷体_GB2312"/>
          <w:b w:val="0"/>
          <w:bCs w:val="0"/>
          <w:color w:val="auto"/>
          <w:kern w:val="0"/>
          <w:sz w:val="32"/>
          <w:szCs w:val="32"/>
          <w:highlight w:val="none"/>
          <w:lang w:val="en-US" w:eastAsia="zh-CN"/>
        </w:rPr>
      </w:pPr>
      <w:r>
        <w:rPr>
          <w:rFonts w:hint="eastAsia" w:ascii="楷体_GB2312" w:hAnsi="楷体_GB2312" w:eastAsia="楷体_GB2312" w:cs="楷体_GB2312"/>
          <w:b w:val="0"/>
          <w:bCs w:val="0"/>
          <w:color w:val="auto"/>
          <w:kern w:val="0"/>
          <w:sz w:val="32"/>
          <w:szCs w:val="32"/>
          <w:highlight w:val="none"/>
          <w:lang w:val="en-US" w:eastAsia="zh-CN"/>
        </w:rPr>
        <w:t>（二）合格标准</w:t>
      </w:r>
    </w:p>
    <w:p>
      <w:pPr>
        <w:pStyle w:val="9"/>
        <w:spacing w:line="560" w:lineRule="exact"/>
        <w:ind w:firstLine="632" w:firstLineChars="200"/>
        <w:rPr>
          <w:rFonts w:hint="eastAsia" w:ascii="仿宋_GB2312" w:hAnsi="仿宋_GB2312" w:eastAsia="仿宋_GB2312" w:cs="仿宋_GB2312"/>
          <w:b w:val="0"/>
          <w:bCs w:val="0"/>
          <w:color w:val="auto"/>
          <w:kern w:val="0"/>
          <w:szCs w:val="32"/>
          <w:highlight w:val="none"/>
          <w:lang w:val="en-US" w:eastAsia="zh-CN"/>
        </w:rPr>
      </w:pPr>
      <w:r>
        <w:rPr>
          <w:rFonts w:hint="eastAsia" w:ascii="仿宋_GB2312" w:hAnsi="仿宋_GB2312" w:eastAsia="仿宋_GB2312" w:cs="仿宋_GB2312"/>
          <w:color w:val="auto"/>
          <w:kern w:val="0"/>
          <w:szCs w:val="32"/>
          <w:highlight w:val="none"/>
        </w:rPr>
        <w:t>集中考试题目数量不少于50道，总限时不少于60分钟且不超过90分钟</w:t>
      </w:r>
      <w:r>
        <w:rPr>
          <w:rFonts w:hint="eastAsia" w:ascii="仿宋_GB2312" w:hAnsi="仿宋_GB2312" w:eastAsia="仿宋_GB2312" w:cs="仿宋_GB2312"/>
          <w:color w:val="auto"/>
          <w:kern w:val="0"/>
          <w:szCs w:val="32"/>
          <w:highlight w:val="none"/>
          <w:lang w:eastAsia="zh-CN"/>
        </w:rPr>
        <w:t>，零售药店</w:t>
      </w:r>
      <w:r>
        <w:rPr>
          <w:rFonts w:hint="eastAsia" w:ascii="仿宋_GB2312" w:hAnsi="仿宋_GB2312" w:eastAsia="仿宋_GB2312" w:cs="仿宋_GB2312"/>
          <w:color w:val="auto"/>
          <w:kern w:val="0"/>
          <w:szCs w:val="32"/>
          <w:highlight w:val="none"/>
          <w:lang w:val="en-US" w:eastAsia="zh-CN"/>
        </w:rPr>
        <w:t>2名</w:t>
      </w:r>
      <w:r>
        <w:rPr>
          <w:rFonts w:hint="eastAsia" w:ascii="仿宋_GB2312" w:hAnsi="仿宋_GB2312" w:eastAsia="仿宋_GB2312" w:cs="仿宋_GB2312"/>
          <w:color w:val="auto"/>
          <w:kern w:val="0"/>
          <w:szCs w:val="32"/>
          <w:highlight w:val="none"/>
        </w:rPr>
        <w:t>专（兼）职医保管理人员</w:t>
      </w:r>
      <w:r>
        <w:rPr>
          <w:rFonts w:hint="eastAsia" w:ascii="仿宋_GB2312" w:hAnsi="仿宋_GB2312" w:eastAsia="仿宋_GB2312" w:cs="仿宋_GB2312"/>
          <w:color w:val="auto"/>
          <w:kern w:val="0"/>
          <w:szCs w:val="32"/>
          <w:highlight w:val="none"/>
          <w:lang w:eastAsia="zh-CN"/>
        </w:rPr>
        <w:t>的考试分数均在</w:t>
      </w:r>
      <w:r>
        <w:rPr>
          <w:rFonts w:hint="eastAsia" w:ascii="仿宋_GB2312" w:hAnsi="仿宋_GB2312" w:eastAsia="仿宋_GB2312" w:cs="仿宋_GB2312"/>
          <w:color w:val="auto"/>
          <w:kern w:val="0"/>
          <w:szCs w:val="32"/>
          <w:highlight w:val="none"/>
          <w:lang w:val="en-US" w:eastAsia="zh-CN"/>
        </w:rPr>
        <w:t>6</w:t>
      </w:r>
      <w:r>
        <w:rPr>
          <w:rFonts w:hint="eastAsia" w:ascii="仿宋_GB2312" w:hAnsi="仿宋_GB2312" w:eastAsia="仿宋_GB2312" w:cs="仿宋_GB2312"/>
          <w:color w:val="auto"/>
          <w:kern w:val="0"/>
          <w:szCs w:val="32"/>
          <w:highlight w:val="none"/>
        </w:rPr>
        <w:t>0分</w:t>
      </w:r>
      <w:r>
        <w:rPr>
          <w:rFonts w:hint="eastAsia" w:ascii="仿宋_GB2312" w:hAnsi="仿宋_GB2312" w:eastAsia="仿宋_GB2312" w:cs="仿宋_GB2312"/>
          <w:color w:val="auto"/>
          <w:kern w:val="0"/>
          <w:szCs w:val="32"/>
          <w:highlight w:val="none"/>
          <w:lang w:eastAsia="zh-CN"/>
        </w:rPr>
        <w:t>以上的，则考核</w:t>
      </w:r>
      <w:r>
        <w:rPr>
          <w:rFonts w:hint="eastAsia" w:ascii="仿宋_GB2312" w:hAnsi="仿宋_GB2312" w:eastAsia="仿宋_GB2312" w:cs="仿宋_GB2312"/>
          <w:color w:val="auto"/>
          <w:kern w:val="0"/>
          <w:szCs w:val="32"/>
          <w:highlight w:val="none"/>
        </w:rPr>
        <w:t>合格</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Cs w:val="32"/>
          <w:highlight w:val="none"/>
        </w:rPr>
        <w:t>考核次数最多</w:t>
      </w:r>
      <w:r>
        <w:rPr>
          <w:rFonts w:hint="eastAsia" w:ascii="仿宋_GB2312" w:hAnsi="仿宋_GB2312" w:eastAsia="仿宋_GB2312" w:cs="仿宋_GB2312"/>
          <w:color w:val="auto"/>
          <w:kern w:val="0"/>
          <w:szCs w:val="32"/>
          <w:highlight w:val="none"/>
          <w:lang w:val="en-US" w:eastAsia="zh-CN"/>
        </w:rPr>
        <w:t>2</w:t>
      </w:r>
      <w:r>
        <w:rPr>
          <w:rFonts w:hint="eastAsia" w:ascii="仿宋_GB2312" w:hAnsi="仿宋_GB2312" w:eastAsia="仿宋_GB2312" w:cs="仿宋_GB2312"/>
          <w:color w:val="auto"/>
          <w:kern w:val="0"/>
          <w:szCs w:val="32"/>
          <w:highlight w:val="none"/>
        </w:rPr>
        <w:t>次</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Cs w:val="32"/>
          <w:highlight w:val="none"/>
          <w:lang w:val="en-US" w:eastAsia="zh-CN"/>
        </w:rPr>
        <w:t>有1次考核合格即可</w:t>
      </w:r>
      <w:r>
        <w:rPr>
          <w:rFonts w:hint="eastAsia" w:ascii="仿宋_GB2312" w:hAnsi="仿宋_GB2312" w:eastAsia="仿宋_GB2312" w:cs="仿宋_GB2312"/>
          <w:bCs/>
          <w:color w:val="auto"/>
          <w:kern w:val="0"/>
          <w:szCs w:val="32"/>
          <w:highlight w:val="none"/>
          <w:lang w:val="en" w:eastAsia="zh-CN"/>
        </w:rPr>
        <w:t>。</w:t>
      </w:r>
      <w:r>
        <w:rPr>
          <w:rFonts w:hint="eastAsia" w:ascii="仿宋_GB2312" w:hAnsi="仿宋_GB2312" w:eastAsia="仿宋_GB2312" w:cs="仿宋_GB2312"/>
          <w:b w:val="0"/>
          <w:bCs w:val="0"/>
          <w:color w:val="auto"/>
          <w:kern w:val="0"/>
          <w:szCs w:val="32"/>
          <w:highlight w:val="none"/>
          <w:lang w:eastAsia="zh-CN"/>
        </w:rPr>
        <w:t>考核合格的，辖区医保</w:t>
      </w:r>
      <w:r>
        <w:rPr>
          <w:rFonts w:hint="eastAsia" w:ascii="仿宋_GB2312" w:hAnsi="仿宋_GB2312" w:eastAsia="仿宋_GB2312" w:cs="仿宋_GB2312"/>
          <w:b w:val="0"/>
          <w:bCs w:val="0"/>
          <w:color w:val="auto"/>
          <w:kern w:val="0"/>
          <w:szCs w:val="32"/>
          <w:highlight w:val="none"/>
        </w:rPr>
        <w:t>分局按流程组织</w:t>
      </w:r>
      <w:r>
        <w:rPr>
          <w:rFonts w:hint="eastAsia" w:ascii="仿宋_GB2312" w:hAnsi="仿宋_GB2312" w:eastAsia="仿宋_GB2312" w:cs="仿宋_GB2312"/>
          <w:b w:val="0"/>
          <w:bCs w:val="0"/>
          <w:color w:val="auto"/>
          <w:kern w:val="0"/>
          <w:szCs w:val="32"/>
          <w:highlight w:val="none"/>
          <w:lang w:eastAsia="zh-CN"/>
        </w:rPr>
        <w:t>书面</w:t>
      </w:r>
      <w:r>
        <w:rPr>
          <w:rFonts w:hint="eastAsia" w:ascii="仿宋_GB2312" w:hAnsi="仿宋_GB2312" w:eastAsia="仿宋_GB2312" w:cs="仿宋_GB2312"/>
          <w:b w:val="0"/>
          <w:bCs w:val="0"/>
          <w:color w:val="auto"/>
          <w:kern w:val="0"/>
          <w:szCs w:val="32"/>
          <w:highlight w:val="none"/>
          <w:lang w:val="en-US" w:eastAsia="zh-CN"/>
        </w:rPr>
        <w:t>/现场评估；考核不合格的，</w:t>
      </w:r>
      <w:r>
        <w:rPr>
          <w:rFonts w:hint="eastAsia" w:ascii="仿宋_GB2312" w:hAnsi="仿宋_GB2312" w:eastAsia="仿宋_GB2312" w:cs="仿宋_GB2312"/>
          <w:b w:val="0"/>
          <w:bCs w:val="0"/>
          <w:color w:val="auto"/>
          <w:kern w:val="0"/>
          <w:szCs w:val="32"/>
          <w:highlight w:val="none"/>
          <w:lang w:eastAsia="zh-CN"/>
        </w:rPr>
        <w:t>属于未</w:t>
      </w:r>
      <w:r>
        <w:rPr>
          <w:rFonts w:hint="eastAsia" w:ascii="仿宋_GB2312" w:hAnsi="仿宋_GB2312" w:eastAsia="仿宋_GB2312" w:cs="仿宋_GB2312"/>
          <w:b w:val="0"/>
          <w:bCs w:val="0"/>
          <w:color w:val="auto"/>
          <w:kern w:val="0"/>
          <w:szCs w:val="32"/>
          <w:highlight w:val="none"/>
          <w:lang w:val="en-US" w:eastAsia="zh-CN"/>
        </w:rPr>
        <w:t>配备符合要求的</w:t>
      </w:r>
      <w:r>
        <w:rPr>
          <w:rFonts w:hint="default" w:ascii="仿宋_GB2312" w:hAnsi="仿宋_GB2312" w:eastAsia="仿宋_GB2312" w:cs="仿宋_GB2312"/>
          <w:b w:val="0"/>
          <w:bCs w:val="0"/>
          <w:color w:val="auto"/>
          <w:kern w:val="0"/>
          <w:szCs w:val="32"/>
          <w:highlight w:val="none"/>
          <w:lang w:eastAsia="zh-CN"/>
        </w:rPr>
        <w:t>专（兼）职医保管理人员</w:t>
      </w:r>
      <w:r>
        <w:rPr>
          <w:rFonts w:hint="eastAsia" w:ascii="仿宋_GB2312" w:hAnsi="仿宋_GB2312" w:eastAsia="仿宋_GB2312" w:cs="仿宋_GB2312"/>
          <w:b w:val="0"/>
          <w:bCs w:val="0"/>
          <w:color w:val="auto"/>
          <w:kern w:val="0"/>
          <w:szCs w:val="32"/>
          <w:highlight w:val="none"/>
          <w:lang w:eastAsia="zh-CN"/>
        </w:rPr>
        <w:t>。</w:t>
      </w:r>
    </w:p>
    <w:p>
      <w:pPr>
        <w:pStyle w:val="9"/>
        <w:spacing w:line="560" w:lineRule="exact"/>
        <w:ind w:firstLine="632" w:firstLineChars="200"/>
        <w:rPr>
          <w:rFonts w:hint="eastAsia" w:ascii="楷体_GB2312" w:hAnsi="楷体_GB2312" w:eastAsia="楷体_GB2312" w:cs="楷体_GB2312"/>
          <w:b w:val="0"/>
          <w:bCs w:val="0"/>
          <w:color w:val="auto"/>
          <w:kern w:val="0"/>
          <w:sz w:val="32"/>
          <w:szCs w:val="32"/>
          <w:highlight w:val="none"/>
          <w:lang w:val="en-US" w:eastAsia="zh-CN"/>
        </w:rPr>
      </w:pPr>
      <w:r>
        <w:rPr>
          <w:rFonts w:hint="eastAsia" w:ascii="楷体_GB2312" w:hAnsi="楷体_GB2312" w:eastAsia="楷体_GB2312" w:cs="楷体_GB2312"/>
          <w:b w:val="0"/>
          <w:bCs w:val="0"/>
          <w:color w:val="auto"/>
          <w:kern w:val="0"/>
          <w:sz w:val="32"/>
          <w:szCs w:val="32"/>
          <w:highlight w:val="none"/>
          <w:lang w:val="en-US" w:eastAsia="zh-CN"/>
        </w:rPr>
        <w:t>（三）时限要求</w:t>
      </w:r>
    </w:p>
    <w:p>
      <w:pPr>
        <w:pStyle w:val="9"/>
        <w:spacing w:line="560" w:lineRule="exact"/>
        <w:ind w:firstLine="632" w:firstLineChars="200"/>
        <w:rPr>
          <w:rFonts w:hint="eastAsia" w:ascii="仿宋_GB2312" w:hAnsi="仿宋_GB2312" w:eastAsia="仿宋_GB2312" w:cs="仿宋_GB2312"/>
          <w:b w:val="0"/>
          <w:bCs w:val="0"/>
          <w:color w:val="auto"/>
          <w:kern w:val="0"/>
          <w:sz w:val="32"/>
          <w:szCs w:val="32"/>
          <w:highlight w:val="none"/>
          <w:lang w:val="en-US" w:eastAsia="zh-CN"/>
        </w:rPr>
      </w:pPr>
      <w:r>
        <w:rPr>
          <w:rFonts w:hint="eastAsia" w:ascii="仿宋_GB2312" w:hAnsi="仿宋_GB2312" w:eastAsia="仿宋_GB2312" w:cs="仿宋_GB2312"/>
          <w:b w:val="0"/>
          <w:bCs w:val="0"/>
          <w:color w:val="auto"/>
          <w:kern w:val="0"/>
          <w:szCs w:val="32"/>
          <w:highlight w:val="none"/>
          <w:lang w:eastAsia="zh-CN"/>
        </w:rPr>
        <w:t>医保管理人员考核时限为</w:t>
      </w:r>
      <w:r>
        <w:rPr>
          <w:rFonts w:hint="eastAsia" w:ascii="仿宋_GB2312" w:hAnsi="仿宋_GB2312" w:eastAsia="仿宋_GB2312" w:cs="仿宋_GB2312"/>
          <w:color w:val="auto"/>
          <w:kern w:val="0"/>
          <w:sz w:val="32"/>
          <w:szCs w:val="32"/>
          <w:highlight w:val="none"/>
          <w:lang w:val="en-US" w:eastAsia="zh-CN"/>
        </w:rPr>
        <w:t>受理审核通过之日起3个月内，零售药店</w:t>
      </w:r>
      <w:r>
        <w:rPr>
          <w:rFonts w:hint="eastAsia" w:ascii="仿宋_GB2312" w:hAnsi="仿宋_GB2312" w:eastAsia="仿宋_GB2312" w:cs="仿宋_GB2312"/>
          <w:b w:val="0"/>
          <w:bCs w:val="0"/>
          <w:color w:val="auto"/>
          <w:kern w:val="0"/>
          <w:szCs w:val="32"/>
          <w:highlight w:val="none"/>
          <w:lang w:eastAsia="zh-CN"/>
        </w:rPr>
        <w:t>因自身原因未在上述规定时限内参加集中考试的，</w:t>
      </w:r>
      <w:r>
        <w:rPr>
          <w:rFonts w:hint="eastAsia" w:ascii="仿宋_GB2312" w:hAnsi="仿宋_GB2312" w:eastAsia="仿宋_GB2312" w:cs="仿宋_GB2312"/>
          <w:color w:val="auto"/>
          <w:szCs w:val="32"/>
          <w:highlight w:val="none"/>
          <w:lang w:val="en"/>
        </w:rPr>
        <w:t>视为自愿放弃当次申请</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eastAsia="zh-CN"/>
        </w:rPr>
        <w:t>零售药店</w:t>
      </w:r>
      <w:r>
        <w:rPr>
          <w:rFonts w:hint="eastAsia" w:ascii="仿宋_GB2312" w:hAnsi="仿宋_GB2312" w:eastAsia="仿宋_GB2312" w:cs="仿宋_GB2312"/>
          <w:color w:val="auto"/>
          <w:sz w:val="32"/>
          <w:szCs w:val="32"/>
          <w:highlight w:val="none"/>
          <w:lang w:val="en-US" w:eastAsia="zh-CN"/>
        </w:rPr>
        <w:t>自</w:t>
      </w:r>
      <w:r>
        <w:rPr>
          <w:rFonts w:hint="eastAsia" w:ascii="仿宋_GB2312" w:hAnsi="仿宋_GB2312" w:eastAsia="仿宋_GB2312" w:cs="仿宋_GB2312"/>
          <w:color w:val="auto"/>
          <w:kern w:val="0"/>
          <w:sz w:val="32"/>
          <w:szCs w:val="32"/>
          <w:highlight w:val="none"/>
          <w:lang w:val="en-US" w:eastAsia="zh-CN"/>
        </w:rPr>
        <w:t>受理审核通过之日</w:t>
      </w:r>
      <w:r>
        <w:rPr>
          <w:rFonts w:hint="eastAsia" w:ascii="仿宋_GB2312" w:hAnsi="仿宋_GB2312" w:eastAsia="仿宋_GB2312" w:cs="仿宋_GB2312"/>
          <w:color w:val="auto"/>
          <w:sz w:val="32"/>
          <w:szCs w:val="32"/>
          <w:highlight w:val="none"/>
          <w:lang w:val="en-US" w:eastAsia="zh-CN"/>
        </w:rPr>
        <w:t>至</w:t>
      </w:r>
      <w:r>
        <w:rPr>
          <w:rFonts w:hint="eastAsia" w:ascii="仿宋_GB2312" w:hAnsi="仿宋_GB2312" w:eastAsia="仿宋_GB2312" w:cs="仿宋_GB2312"/>
          <w:color w:val="auto"/>
          <w:szCs w:val="32"/>
          <w:highlight w:val="none"/>
          <w:lang w:eastAsia="zh-CN"/>
        </w:rPr>
        <w:t>取得医保管理人员考核合格结果前的时间不计入评估时限。</w:t>
      </w:r>
    </w:p>
    <w:p>
      <w:pPr>
        <w:spacing w:line="560" w:lineRule="exact"/>
        <w:ind w:firstLine="632" w:firstLineChars="200"/>
        <w:rPr>
          <w:rFonts w:hint="eastAsia" w:ascii="黑体" w:hAnsi="黑体" w:eastAsia="黑体" w:cs="黑体"/>
          <w:b w:val="0"/>
          <w:bCs w:val="0"/>
          <w:color w:val="auto"/>
          <w:kern w:val="0"/>
          <w:sz w:val="32"/>
          <w:szCs w:val="32"/>
          <w:highlight w:val="none"/>
          <w:lang w:val="en-US" w:eastAsia="zh-CN"/>
        </w:rPr>
      </w:pPr>
      <w:bookmarkStart w:id="0" w:name="OLE_LINK1"/>
      <w:r>
        <w:rPr>
          <w:rFonts w:hint="eastAsia" w:ascii="黑体" w:hAnsi="黑体" w:eastAsia="黑体" w:cs="黑体"/>
          <w:b w:val="0"/>
          <w:bCs w:val="0"/>
          <w:color w:val="auto"/>
          <w:kern w:val="0"/>
          <w:sz w:val="32"/>
          <w:szCs w:val="32"/>
          <w:highlight w:val="none"/>
          <w:lang w:val="en-US" w:eastAsia="zh-CN"/>
        </w:rPr>
        <w:t>四、书面/现场评估</w:t>
      </w:r>
      <w:bookmarkEnd w:id="0"/>
      <w:r>
        <w:rPr>
          <w:rFonts w:hint="eastAsia" w:ascii="黑体" w:hAnsi="黑体" w:eastAsia="黑体" w:cs="黑体"/>
          <w:b w:val="0"/>
          <w:bCs w:val="0"/>
          <w:color w:val="auto"/>
          <w:kern w:val="0"/>
          <w:sz w:val="32"/>
          <w:szCs w:val="32"/>
          <w:highlight w:val="none"/>
          <w:lang w:val="en-US" w:eastAsia="zh-CN"/>
        </w:rPr>
        <w:t>和现场复核</w:t>
      </w:r>
    </w:p>
    <w:p>
      <w:pPr>
        <w:pStyle w:val="2"/>
        <w:spacing w:line="560" w:lineRule="exact"/>
        <w:ind w:firstLine="632" w:firstLineChars="200"/>
        <w:rPr>
          <w:rFonts w:hint="eastAsia" w:ascii="楷体_GB2312" w:hAnsi="楷体_GB2312" w:eastAsia="楷体_GB2312" w:cs="楷体_GB2312"/>
          <w:bCs/>
          <w:color w:val="auto"/>
          <w:sz w:val="32"/>
          <w:szCs w:val="32"/>
          <w:highlight w:val="none"/>
          <w:lang w:eastAsia="zh-CN"/>
        </w:rPr>
      </w:pPr>
      <w:r>
        <w:rPr>
          <w:rFonts w:hint="eastAsia" w:ascii="楷体_GB2312" w:hAnsi="楷体_GB2312" w:eastAsia="楷体_GB2312" w:cs="楷体_GB2312"/>
          <w:bCs/>
          <w:color w:val="auto"/>
          <w:sz w:val="32"/>
          <w:szCs w:val="32"/>
          <w:highlight w:val="none"/>
          <w:lang w:eastAsia="zh-CN"/>
        </w:rPr>
        <w:t>（一）书面</w:t>
      </w:r>
      <w:r>
        <w:rPr>
          <w:rFonts w:hint="eastAsia" w:ascii="楷体_GB2312" w:hAnsi="楷体_GB2312" w:eastAsia="楷体_GB2312" w:cs="楷体_GB2312"/>
          <w:bCs/>
          <w:color w:val="auto"/>
          <w:sz w:val="32"/>
          <w:szCs w:val="32"/>
          <w:highlight w:val="none"/>
          <w:lang w:val="en-US" w:eastAsia="zh-CN"/>
        </w:rPr>
        <w:t>/</w:t>
      </w:r>
      <w:r>
        <w:rPr>
          <w:rFonts w:hint="eastAsia" w:ascii="楷体_GB2312" w:hAnsi="楷体_GB2312" w:eastAsia="楷体_GB2312" w:cs="楷体_GB2312"/>
          <w:bCs/>
          <w:color w:val="auto"/>
          <w:sz w:val="32"/>
          <w:szCs w:val="32"/>
          <w:highlight w:val="none"/>
          <w:lang w:eastAsia="zh-CN"/>
        </w:rPr>
        <w:t>现场评估流程</w:t>
      </w:r>
    </w:p>
    <w:p>
      <w:pPr>
        <w:pStyle w:val="2"/>
        <w:spacing w:line="560" w:lineRule="exact"/>
        <w:ind w:firstLine="632" w:firstLineChars="200"/>
        <w:rPr>
          <w:rFonts w:hint="eastAsia" w:ascii="仿宋_GB2312" w:hAnsi="仿宋_GB2312" w:eastAsia="仿宋_GB2312" w:cs="仿宋_GB2312"/>
          <w:color w:val="auto"/>
          <w:sz w:val="32"/>
          <w:szCs w:val="32"/>
          <w:highlight w:val="none"/>
          <w:lang w:eastAsia="zh-CN"/>
        </w:rPr>
      </w:pPr>
      <w:r>
        <w:rPr>
          <w:rFonts w:hint="eastAsia" w:ascii="Times New Roman" w:hAnsi="Times New Roman" w:eastAsia="仿宋_GB2312" w:cs="Times New Roman"/>
          <w:bCs/>
          <w:color w:val="auto"/>
          <w:sz w:val="32"/>
          <w:szCs w:val="32"/>
          <w:highlight w:val="none"/>
          <w:lang w:eastAsia="zh-CN"/>
        </w:rPr>
        <w:t>考核合格的零售药店按照</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配合评估材料清单</w:t>
      </w:r>
      <w:r>
        <w:rPr>
          <w:rFonts w:hint="eastAsia" w:ascii="仿宋_GB2312" w:hAnsi="仿宋_GB2312" w:eastAsia="仿宋_GB2312" w:cs="仿宋_GB2312"/>
          <w:color w:val="auto"/>
          <w:sz w:val="32"/>
          <w:szCs w:val="32"/>
          <w:highlight w:val="none"/>
          <w:lang w:eastAsia="zh-CN"/>
        </w:rPr>
        <w:t>》准备好材料原件及加盖公章的复印件（具体要求详见附件</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eastAsia="zh-CN"/>
        </w:rPr>
        <w:t>），做好接受评估的准备工作。</w:t>
      </w:r>
    </w:p>
    <w:p>
      <w:pPr>
        <w:pStyle w:val="2"/>
        <w:spacing w:line="560" w:lineRule="exact"/>
        <w:ind w:firstLine="632"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现场评估的，零售药店按辖区医保分局通知将配合评估材料上传至申报系统进行初核。材料齐全的，辖区医保分局在告知的评估时间范围内到零售药店进行现场核查，填写《深圳市新增定点零售药店评估表》，零售药店负责人签字盖章确认，并收取加盖公章的配合评估材料复印件；材料不全的，退回</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 w:val="32"/>
          <w:szCs w:val="32"/>
          <w:highlight w:val="none"/>
          <w:lang w:eastAsia="zh-CN"/>
        </w:rPr>
        <w:t>补齐相关材料，</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 w:val="32"/>
          <w:szCs w:val="32"/>
          <w:highlight w:val="none"/>
          <w:lang w:eastAsia="zh-CN"/>
        </w:rPr>
        <w:t>自取得医保管理人员考核合格结果之日起</w:t>
      </w:r>
      <w:r>
        <w:rPr>
          <w:rFonts w:hint="eastAsia" w:ascii="仿宋_GB2312" w:hAnsi="仿宋_GB2312" w:eastAsia="仿宋_GB2312" w:cs="仿宋_GB2312"/>
          <w:color w:val="auto"/>
          <w:sz w:val="32"/>
          <w:szCs w:val="32"/>
          <w:highlight w:val="none"/>
          <w:lang w:val="en-US" w:eastAsia="zh-CN"/>
        </w:rPr>
        <w:t>3个月</w:t>
      </w:r>
      <w:r>
        <w:rPr>
          <w:rFonts w:hint="eastAsia" w:ascii="仿宋_GB2312" w:hAnsi="仿宋_GB2312" w:eastAsia="仿宋_GB2312" w:cs="仿宋_GB2312"/>
          <w:color w:val="auto"/>
          <w:sz w:val="32"/>
          <w:szCs w:val="32"/>
          <w:highlight w:val="none"/>
          <w:lang w:eastAsia="zh-CN"/>
        </w:rPr>
        <w:t>内未补齐相关材料</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 w:eastAsia="zh-CN"/>
        </w:rPr>
        <w:t>视为自愿放弃当次申请。</w:t>
      </w:r>
    </w:p>
    <w:p>
      <w:pPr>
        <w:pStyle w:val="9"/>
        <w:spacing w:line="560" w:lineRule="exact"/>
        <w:ind w:firstLine="632" w:firstLineChars="200"/>
        <w:rPr>
          <w:rFonts w:hint="eastAsia" w:ascii="仿宋_GB2312" w:hAnsi="仿宋_GB2312" w:eastAsia="仿宋_GB2312" w:cs="仿宋_GB2312"/>
          <w:color w:val="auto"/>
          <w:sz w:val="32"/>
          <w:szCs w:val="32"/>
          <w:highlight w:val="none"/>
          <w:lang w:eastAsia="zh-CN"/>
        </w:rPr>
      </w:pPr>
      <w:r>
        <w:rPr>
          <w:rFonts w:hint="eastAsia" w:ascii="Times New Roman" w:hAnsi="Times New Roman" w:eastAsia="仿宋_GB2312" w:cs="Times New Roman"/>
          <w:bCs/>
          <w:color w:val="auto"/>
          <w:sz w:val="32"/>
          <w:szCs w:val="32"/>
          <w:highlight w:val="none"/>
          <w:lang w:eastAsia="zh-CN"/>
        </w:rPr>
        <w:t>书面评估的，</w:t>
      </w:r>
      <w:r>
        <w:rPr>
          <w:rFonts w:hint="eastAsia" w:ascii="仿宋_GB2312" w:hAnsi="仿宋_GB2312" w:eastAsia="仿宋_GB2312" w:cs="仿宋_GB2312"/>
          <w:color w:val="auto"/>
          <w:sz w:val="32"/>
          <w:szCs w:val="32"/>
          <w:highlight w:val="none"/>
          <w:lang w:eastAsia="zh-CN"/>
        </w:rPr>
        <w:t>零售药店按辖区医保分局通知将配合评估材料上传至申报系统进行初核。材料齐全的，辖区医保分局在告知的评估时间范围内</w:t>
      </w:r>
      <w:r>
        <w:rPr>
          <w:rFonts w:hint="eastAsia" w:ascii="仿宋_GB2312" w:hAnsi="仿宋_GB2312" w:eastAsia="仿宋_GB2312" w:cs="仿宋_GB2312"/>
          <w:b w:val="0"/>
          <w:bCs w:val="0"/>
          <w:color w:val="auto"/>
          <w:kern w:val="0"/>
          <w:szCs w:val="32"/>
          <w:highlight w:val="none"/>
          <w:lang w:eastAsia="zh-CN"/>
        </w:rPr>
        <w:t>通知</w:t>
      </w:r>
      <w:r>
        <w:rPr>
          <w:rFonts w:hint="eastAsia" w:ascii="仿宋_GB2312" w:hAnsi="仿宋_GB2312" w:eastAsia="仿宋_GB2312" w:cs="仿宋_GB2312"/>
          <w:color w:val="auto"/>
          <w:sz w:val="32"/>
          <w:szCs w:val="32"/>
          <w:highlight w:val="none"/>
          <w:lang w:eastAsia="zh-CN"/>
        </w:rPr>
        <w:t>零售药店</w:t>
      </w:r>
      <w:r>
        <w:rPr>
          <w:rFonts w:hint="eastAsia" w:ascii="仿宋_GB2312" w:hAnsi="仿宋_GB2312" w:eastAsia="仿宋_GB2312" w:cs="仿宋_GB2312"/>
          <w:color w:val="auto"/>
          <w:kern w:val="0"/>
          <w:szCs w:val="32"/>
          <w:highlight w:val="none"/>
        </w:rPr>
        <w:t>携带</w:t>
      </w:r>
      <w:r>
        <w:rPr>
          <w:rFonts w:hint="eastAsia" w:ascii="仿宋_GB2312" w:hAnsi="仿宋_GB2312" w:eastAsia="仿宋_GB2312" w:cs="仿宋_GB2312"/>
          <w:color w:val="auto"/>
          <w:sz w:val="32"/>
          <w:szCs w:val="32"/>
          <w:highlight w:val="none"/>
          <w:lang w:eastAsia="zh-CN"/>
        </w:rPr>
        <w:t>配合评估材料原件及加盖公章的复印件到分局，</w:t>
      </w:r>
      <w:r>
        <w:rPr>
          <w:rFonts w:hint="eastAsia" w:ascii="Times New Roman" w:hAnsi="Times New Roman" w:eastAsia="仿宋_GB2312" w:cs="Times New Roman"/>
          <w:bCs/>
          <w:color w:val="auto"/>
          <w:sz w:val="32"/>
          <w:szCs w:val="32"/>
          <w:highlight w:val="none"/>
        </w:rPr>
        <w:t>填写</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szCs w:val="32"/>
          <w:highlight w:val="none"/>
        </w:rPr>
        <w:t>深圳市新增定点</w:t>
      </w:r>
      <w:r>
        <w:rPr>
          <w:rFonts w:hint="eastAsia" w:ascii="仿宋_GB2312" w:hAnsi="仿宋_GB2312" w:eastAsia="仿宋_GB2312" w:cs="仿宋_GB2312"/>
          <w:color w:val="auto"/>
          <w:sz w:val="32"/>
          <w:szCs w:val="32"/>
          <w:highlight w:val="none"/>
          <w:lang w:eastAsia="zh-CN"/>
        </w:rPr>
        <w:t>零售药店</w:t>
      </w:r>
      <w:r>
        <w:rPr>
          <w:rFonts w:hint="eastAsia" w:ascii="仿宋_GB2312" w:hAnsi="仿宋_GB2312" w:eastAsia="仿宋_GB2312" w:cs="仿宋_GB2312"/>
          <w:color w:val="auto"/>
          <w:szCs w:val="32"/>
          <w:highlight w:val="none"/>
        </w:rPr>
        <w:t>评估表</w:t>
      </w:r>
      <w:r>
        <w:rPr>
          <w:rFonts w:hint="eastAsia" w:ascii="仿宋_GB2312" w:hAnsi="仿宋_GB2312" w:eastAsia="仿宋_GB2312" w:cs="仿宋_GB2312"/>
          <w:color w:val="auto"/>
          <w:kern w:val="0"/>
          <w:szCs w:val="32"/>
          <w:highlight w:val="none"/>
          <w:lang w:eastAsia="zh-CN"/>
        </w:rPr>
        <w:t>》</w:t>
      </w:r>
      <w:r>
        <w:rPr>
          <w:rFonts w:hint="eastAsia" w:ascii="Times New Roman" w:hAnsi="Times New Roman" w:eastAsia="仿宋_GB2312" w:cs="Times New Roman"/>
          <w:bCs/>
          <w:color w:val="auto"/>
          <w:sz w:val="32"/>
          <w:szCs w:val="32"/>
          <w:highlight w:val="none"/>
        </w:rPr>
        <w:t>，</w:t>
      </w:r>
      <w:r>
        <w:rPr>
          <w:rFonts w:hint="eastAsia" w:ascii="仿宋_GB2312" w:hAnsi="仿宋_GB2312" w:eastAsia="仿宋_GB2312" w:cs="仿宋_GB2312"/>
          <w:color w:val="auto"/>
          <w:sz w:val="32"/>
          <w:szCs w:val="32"/>
          <w:highlight w:val="none"/>
          <w:lang w:eastAsia="zh-CN"/>
        </w:rPr>
        <w:t>零售药店</w:t>
      </w:r>
      <w:r>
        <w:rPr>
          <w:rFonts w:hint="eastAsia" w:ascii="Times New Roman" w:hAnsi="Times New Roman" w:eastAsia="仿宋_GB2312" w:cs="Times New Roman"/>
          <w:bCs/>
          <w:color w:val="auto"/>
          <w:sz w:val="32"/>
          <w:szCs w:val="32"/>
          <w:highlight w:val="none"/>
          <w:lang w:eastAsia="zh-CN"/>
        </w:rPr>
        <w:t>负责人</w:t>
      </w:r>
      <w:r>
        <w:rPr>
          <w:rFonts w:hint="eastAsia" w:ascii="Times New Roman" w:hAnsi="Times New Roman" w:eastAsia="仿宋_GB2312" w:cs="Times New Roman"/>
          <w:bCs/>
          <w:color w:val="auto"/>
          <w:sz w:val="32"/>
          <w:szCs w:val="32"/>
          <w:highlight w:val="none"/>
        </w:rPr>
        <w:t>签字盖章确认</w:t>
      </w:r>
      <w:r>
        <w:rPr>
          <w:rFonts w:hint="eastAsia" w:ascii="Times New Roman" w:hAnsi="Times New Roman" w:eastAsia="仿宋_GB2312" w:cs="Times New Roman"/>
          <w:bCs/>
          <w:color w:val="auto"/>
          <w:sz w:val="32"/>
          <w:szCs w:val="32"/>
          <w:highlight w:val="none"/>
          <w:lang w:eastAsia="zh-CN"/>
        </w:rPr>
        <w:t>，并收取复印件</w:t>
      </w:r>
      <w:r>
        <w:rPr>
          <w:rFonts w:hint="eastAsia" w:ascii="仿宋_GB2312" w:hAnsi="仿宋_GB2312" w:eastAsia="仿宋_GB2312" w:cs="仿宋_GB2312"/>
          <w:color w:val="auto"/>
          <w:sz w:val="32"/>
          <w:szCs w:val="32"/>
          <w:highlight w:val="none"/>
          <w:lang w:eastAsia="zh-CN"/>
        </w:rPr>
        <w:t>；材料不全的，退回</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 w:val="32"/>
          <w:szCs w:val="32"/>
          <w:highlight w:val="none"/>
          <w:lang w:eastAsia="zh-CN"/>
        </w:rPr>
        <w:t>补齐相关材料，</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 w:val="32"/>
          <w:szCs w:val="32"/>
          <w:highlight w:val="none"/>
          <w:lang w:eastAsia="zh-CN"/>
        </w:rPr>
        <w:t>自取得医保管理人员考核合格结果之日起</w:t>
      </w:r>
      <w:r>
        <w:rPr>
          <w:rFonts w:hint="eastAsia" w:ascii="仿宋_GB2312" w:hAnsi="仿宋_GB2312" w:eastAsia="仿宋_GB2312" w:cs="仿宋_GB2312"/>
          <w:bCs/>
          <w:color w:val="auto"/>
          <w:kern w:val="0"/>
          <w:szCs w:val="32"/>
          <w:highlight w:val="none"/>
          <w:lang w:val="en-US" w:eastAsia="zh-CN"/>
        </w:rPr>
        <w:t>3个月</w:t>
      </w:r>
      <w:r>
        <w:rPr>
          <w:rFonts w:hint="eastAsia" w:ascii="仿宋_GB2312" w:hAnsi="仿宋_GB2312" w:eastAsia="仿宋_GB2312" w:cs="仿宋_GB2312"/>
          <w:bCs/>
          <w:color w:val="auto"/>
          <w:kern w:val="0"/>
          <w:szCs w:val="32"/>
          <w:highlight w:val="none"/>
        </w:rPr>
        <w:t>内</w:t>
      </w:r>
      <w:r>
        <w:rPr>
          <w:rFonts w:hint="eastAsia" w:ascii="仿宋_GB2312" w:hAnsi="仿宋_GB2312" w:eastAsia="仿宋_GB2312" w:cs="仿宋_GB2312"/>
          <w:color w:val="auto"/>
          <w:kern w:val="0"/>
          <w:szCs w:val="32"/>
          <w:highlight w:val="none"/>
          <w:lang w:eastAsia="zh-CN"/>
        </w:rPr>
        <w:t>未补齐相关材料</w:t>
      </w:r>
      <w:r>
        <w:rPr>
          <w:rFonts w:hint="eastAsia" w:ascii="仿宋_GB2312" w:hAnsi="仿宋_GB2312" w:eastAsia="仿宋_GB2312" w:cs="仿宋_GB2312"/>
          <w:bCs/>
          <w:color w:val="auto"/>
          <w:kern w:val="0"/>
          <w:szCs w:val="32"/>
          <w:highlight w:val="none"/>
          <w:lang w:val="en-US" w:eastAsia="zh-CN"/>
        </w:rPr>
        <w:t>的</w:t>
      </w:r>
      <w:r>
        <w:rPr>
          <w:rFonts w:hint="eastAsia" w:ascii="仿宋_GB2312" w:hAnsi="仿宋_GB2312" w:eastAsia="仿宋_GB2312" w:cs="仿宋_GB2312"/>
          <w:bCs/>
          <w:color w:val="auto"/>
          <w:kern w:val="0"/>
          <w:szCs w:val="32"/>
          <w:highlight w:val="none"/>
        </w:rPr>
        <w:t>，</w:t>
      </w:r>
      <w:r>
        <w:rPr>
          <w:rFonts w:hint="eastAsia" w:ascii="仿宋_GB2312" w:hAnsi="仿宋_GB2312" w:eastAsia="仿宋_GB2312" w:cs="仿宋_GB2312"/>
          <w:bCs/>
          <w:color w:val="auto"/>
          <w:kern w:val="0"/>
          <w:szCs w:val="32"/>
          <w:highlight w:val="none"/>
          <w:lang w:val="en"/>
        </w:rPr>
        <w:t>视为自愿放弃当次申请</w:t>
      </w:r>
      <w:r>
        <w:rPr>
          <w:rFonts w:hint="eastAsia" w:ascii="仿宋_GB2312" w:hAnsi="仿宋_GB2312" w:eastAsia="仿宋_GB2312" w:cs="仿宋_GB2312"/>
          <w:bCs/>
          <w:color w:val="auto"/>
          <w:kern w:val="0"/>
          <w:szCs w:val="32"/>
          <w:highlight w:val="none"/>
          <w:lang w:val="en" w:eastAsia="zh-CN"/>
        </w:rPr>
        <w:t>。</w:t>
      </w:r>
    </w:p>
    <w:p>
      <w:pPr>
        <w:pStyle w:val="9"/>
        <w:spacing w:line="560" w:lineRule="exact"/>
        <w:ind w:firstLine="632" w:firstLineChars="200"/>
        <w:rPr>
          <w:rFonts w:hint="eastAsia" w:ascii="仿宋_GB2312" w:hAnsi="仿宋_GB2312" w:eastAsia="仿宋_GB2312" w:cs="仿宋_GB2312"/>
          <w:color w:val="auto"/>
          <w:sz w:val="32"/>
          <w:szCs w:val="32"/>
          <w:highlight w:val="none"/>
          <w:lang w:eastAsia="zh-CN"/>
        </w:rPr>
      </w:pPr>
      <w:r>
        <w:rPr>
          <w:rFonts w:hint="eastAsia" w:ascii="楷体_GB2312" w:hAnsi="楷体_GB2312" w:eastAsia="楷体_GB2312" w:cs="楷体_GB2312"/>
          <w:bCs/>
          <w:color w:val="auto"/>
          <w:sz w:val="32"/>
          <w:szCs w:val="32"/>
          <w:highlight w:val="none"/>
          <w:lang w:eastAsia="zh-CN"/>
        </w:rPr>
        <w:t>（二）现场复核流程</w:t>
      </w:r>
    </w:p>
    <w:p>
      <w:pPr>
        <w:pStyle w:val="2"/>
        <w:keepNext w:val="0"/>
        <w:keepLines w:val="0"/>
        <w:pageBreakBefore w:val="0"/>
        <w:widowControl w:val="0"/>
        <w:kinsoku/>
        <w:wordWrap/>
        <w:overflowPunct/>
        <w:topLinePunct w:val="0"/>
        <w:bidi w:val="0"/>
        <w:spacing w:line="560" w:lineRule="exact"/>
        <w:ind w:firstLine="632"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b w:val="0"/>
          <w:bCs w:val="0"/>
          <w:color w:val="auto"/>
          <w:kern w:val="0"/>
          <w:sz w:val="32"/>
          <w:szCs w:val="32"/>
          <w:highlight w:val="none"/>
          <w:lang w:val="en-US" w:eastAsia="zh-CN"/>
        </w:rPr>
        <w:t>书面/现场评估结束后，</w:t>
      </w:r>
      <w:r>
        <w:rPr>
          <w:rFonts w:hint="default" w:ascii="仿宋_GB2312" w:hAnsi="仿宋_GB2312" w:eastAsia="仿宋_GB2312" w:cs="仿宋_GB2312"/>
          <w:color w:val="auto"/>
          <w:kern w:val="0"/>
          <w:sz w:val="32"/>
          <w:szCs w:val="32"/>
          <w:highlight w:val="none"/>
          <w:lang w:val="en-US" w:eastAsia="zh-CN" w:bidi="ar-SA"/>
        </w:rPr>
        <w:t>市医保中心</w:t>
      </w:r>
      <w:r>
        <w:rPr>
          <w:rFonts w:hint="eastAsia" w:ascii="仿宋_GB2312" w:hAnsi="仿宋_GB2312" w:eastAsia="仿宋_GB2312" w:cs="仿宋_GB2312"/>
          <w:color w:val="auto"/>
          <w:kern w:val="0"/>
          <w:sz w:val="32"/>
          <w:szCs w:val="32"/>
          <w:highlight w:val="none"/>
          <w:lang w:val="en-US" w:eastAsia="zh-CN" w:bidi="ar-SA"/>
        </w:rPr>
        <w:t>按照属地回避原则联合或协调医保分局，采取不发通知、不打招呼、不用陪同接待、直奔现场的方式，对</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kern w:val="0"/>
          <w:sz w:val="32"/>
          <w:szCs w:val="32"/>
          <w:highlight w:val="none"/>
          <w:lang w:val="en-US" w:eastAsia="zh-CN" w:bidi="ar-SA"/>
        </w:rPr>
        <w:t>是否符合新增定点及相关行业主管部门要求进行现场核查，并将复核结果反馈辖区医保分局。</w:t>
      </w:r>
    </w:p>
    <w:p>
      <w:pPr>
        <w:pStyle w:val="9"/>
        <w:spacing w:line="560" w:lineRule="exact"/>
        <w:ind w:firstLine="632" w:firstLineChars="200"/>
        <w:rPr>
          <w:rFonts w:hint="eastAsia" w:ascii="仿宋_GB2312" w:hAnsi="仿宋_GB2312" w:eastAsia="仿宋_GB2312" w:cs="仿宋_GB2312"/>
          <w:color w:val="auto"/>
          <w:kern w:val="0"/>
          <w:szCs w:val="32"/>
          <w:highlight w:val="none"/>
          <w:lang w:eastAsia="zh-CN"/>
        </w:rPr>
      </w:pPr>
      <w:r>
        <w:rPr>
          <w:rFonts w:hint="eastAsia" w:ascii="仿宋_GB2312" w:hAnsi="仿宋_GB2312" w:eastAsia="仿宋_GB2312" w:cs="仿宋_GB2312"/>
          <w:color w:val="auto"/>
          <w:kern w:val="0"/>
          <w:szCs w:val="32"/>
          <w:highlight w:val="none"/>
          <w:lang w:eastAsia="zh-CN"/>
        </w:rPr>
        <w:t>辖区医保分局</w:t>
      </w:r>
      <w:r>
        <w:rPr>
          <w:rFonts w:hint="eastAsia" w:ascii="仿宋_GB2312" w:hAnsi="仿宋_GB2312" w:eastAsia="仿宋_GB2312" w:cs="仿宋_GB2312"/>
          <w:color w:val="auto"/>
          <w:kern w:val="0"/>
          <w:szCs w:val="32"/>
          <w:highlight w:val="none"/>
        </w:rPr>
        <w:t>综合书面/现场评估</w:t>
      </w:r>
      <w:r>
        <w:rPr>
          <w:rFonts w:hint="eastAsia" w:ascii="仿宋_GB2312" w:hAnsi="仿宋_GB2312" w:eastAsia="仿宋_GB2312" w:cs="仿宋_GB2312"/>
          <w:color w:val="auto"/>
          <w:kern w:val="0"/>
          <w:szCs w:val="32"/>
          <w:highlight w:val="none"/>
          <w:lang w:eastAsia="zh-CN"/>
        </w:rPr>
        <w:t>结果、现场复核</w:t>
      </w:r>
      <w:r>
        <w:rPr>
          <w:rFonts w:hint="eastAsia" w:ascii="仿宋_GB2312" w:hAnsi="仿宋_GB2312" w:eastAsia="仿宋_GB2312" w:cs="仿宋_GB2312"/>
          <w:color w:val="auto"/>
          <w:kern w:val="0"/>
          <w:szCs w:val="32"/>
          <w:highlight w:val="none"/>
        </w:rPr>
        <w:t>结果</w:t>
      </w:r>
      <w:r>
        <w:rPr>
          <w:rFonts w:hint="eastAsia" w:ascii="仿宋_GB2312" w:hAnsi="仿宋_GB2312" w:eastAsia="仿宋_GB2312" w:cs="仿宋_GB2312"/>
          <w:b w:val="0"/>
          <w:bCs w:val="0"/>
          <w:color w:val="auto"/>
          <w:kern w:val="0"/>
          <w:szCs w:val="32"/>
          <w:highlight w:val="none"/>
          <w:lang w:eastAsia="zh-CN"/>
        </w:rPr>
        <w:t>形成初步评估意见。初步评估合格的，医保部门按流程组织开展系统评估</w:t>
      </w:r>
      <w:r>
        <w:rPr>
          <w:rFonts w:hint="eastAsia" w:ascii="仿宋_GB2312" w:hAnsi="仿宋_GB2312" w:eastAsia="仿宋_GB2312" w:cs="仿宋_GB2312"/>
          <w:color w:val="auto"/>
          <w:kern w:val="0"/>
          <w:szCs w:val="32"/>
          <w:highlight w:val="none"/>
          <w:lang w:eastAsia="zh-CN"/>
        </w:rPr>
        <w:t>。</w:t>
      </w:r>
    </w:p>
    <w:p>
      <w:pPr>
        <w:pStyle w:val="9"/>
        <w:spacing w:line="560" w:lineRule="exact"/>
        <w:ind w:firstLine="632" w:firstLineChars="200"/>
        <w:rPr>
          <w:rFonts w:hint="eastAsia" w:ascii="楷体_GB2312" w:hAnsi="楷体_GB2312" w:eastAsia="楷体_GB2312" w:cs="楷体_GB2312"/>
          <w:b w:val="0"/>
          <w:bCs w:val="0"/>
          <w:color w:val="auto"/>
          <w:kern w:val="0"/>
          <w:sz w:val="32"/>
          <w:szCs w:val="32"/>
          <w:highlight w:val="none"/>
          <w:lang w:val="en-US" w:eastAsia="zh-CN"/>
        </w:rPr>
      </w:pPr>
      <w:r>
        <w:rPr>
          <w:rFonts w:hint="eastAsia" w:ascii="楷体_GB2312" w:hAnsi="楷体_GB2312" w:eastAsia="楷体_GB2312" w:cs="楷体_GB2312"/>
          <w:b w:val="0"/>
          <w:bCs w:val="0"/>
          <w:color w:val="auto"/>
          <w:kern w:val="0"/>
          <w:sz w:val="32"/>
          <w:szCs w:val="32"/>
          <w:highlight w:val="none"/>
          <w:lang w:val="en-US" w:eastAsia="zh-CN"/>
        </w:rPr>
        <w:t>（三）时限要求</w:t>
      </w:r>
    </w:p>
    <w:p>
      <w:pPr>
        <w:pStyle w:val="9"/>
        <w:spacing w:line="560" w:lineRule="exact"/>
        <w:ind w:firstLine="632" w:firstLineChars="200"/>
        <w:jc w:val="both"/>
        <w:rPr>
          <w:rFonts w:hint="eastAsia" w:ascii="仿宋_GB2312" w:hAnsi="仿宋_GB2312" w:eastAsia="仿宋_GB2312" w:cs="仿宋_GB2312"/>
          <w:color w:val="auto"/>
          <w:kern w:val="0"/>
          <w:szCs w:val="32"/>
          <w:highlight w:val="none"/>
          <w:lang w:eastAsia="zh-CN"/>
        </w:rPr>
      </w:pPr>
      <w:r>
        <w:rPr>
          <w:rFonts w:hint="eastAsia" w:ascii="仿宋_GB2312" w:hAnsi="仿宋_GB2312" w:eastAsia="仿宋_GB2312" w:cs="仿宋_GB2312"/>
          <w:b w:val="0"/>
          <w:bCs w:val="0"/>
          <w:color w:val="auto"/>
          <w:kern w:val="0"/>
          <w:sz w:val="32"/>
          <w:szCs w:val="32"/>
          <w:highlight w:val="none"/>
          <w:lang w:val="en-US" w:eastAsia="zh-CN"/>
        </w:rPr>
        <w:t>书面/现场评估时限为</w:t>
      </w:r>
      <w:r>
        <w:rPr>
          <w:rFonts w:hint="eastAsia" w:ascii="仿宋_GB2312" w:hAnsi="仿宋_GB2312" w:eastAsia="仿宋_GB2312" w:cs="仿宋_GB2312"/>
          <w:b w:val="0"/>
          <w:bCs w:val="0"/>
          <w:color w:val="auto"/>
          <w:kern w:val="0"/>
          <w:szCs w:val="32"/>
          <w:highlight w:val="none"/>
          <w:lang w:eastAsia="zh-CN"/>
        </w:rPr>
        <w:t>取得医保管理人员考核合格结果之日起</w:t>
      </w:r>
      <w:r>
        <w:rPr>
          <w:rFonts w:hint="eastAsia" w:ascii="仿宋_GB2312" w:hAnsi="仿宋_GB2312" w:eastAsia="仿宋_GB2312" w:cs="仿宋_GB2312"/>
          <w:color w:val="auto"/>
          <w:kern w:val="0"/>
          <w:sz w:val="32"/>
          <w:szCs w:val="32"/>
          <w:highlight w:val="none"/>
          <w:lang w:val="en" w:eastAsia="zh-CN"/>
        </w:rPr>
        <w:t>至下个月底前。</w:t>
      </w:r>
      <w:r>
        <w:rPr>
          <w:rFonts w:hint="eastAsia" w:ascii="仿宋_GB2312" w:hAnsi="仿宋_GB2312" w:eastAsia="仿宋_GB2312" w:cs="仿宋_GB2312"/>
          <w:color w:val="auto"/>
          <w:kern w:val="0"/>
          <w:szCs w:val="32"/>
          <w:highlight w:val="none"/>
          <w:lang w:eastAsia="zh-CN"/>
        </w:rPr>
        <w:t>零售药店补充配合评估材料时间不计入评估时限</w:t>
      </w:r>
      <w:r>
        <w:rPr>
          <w:rFonts w:hint="eastAsia" w:ascii="仿宋_GB2312" w:hAnsi="仿宋_GB2312" w:eastAsia="仿宋_GB2312" w:cs="仿宋_GB2312"/>
          <w:bCs/>
          <w:color w:val="auto"/>
          <w:kern w:val="0"/>
          <w:szCs w:val="32"/>
          <w:highlight w:val="none"/>
          <w:lang w:val="en" w:eastAsia="zh-CN"/>
        </w:rPr>
        <w:t>。</w:t>
      </w:r>
    </w:p>
    <w:p>
      <w:pPr>
        <w:pStyle w:val="9"/>
        <w:spacing w:line="560" w:lineRule="exact"/>
        <w:ind w:firstLine="632" w:firstLineChars="200"/>
        <w:rPr>
          <w:rFonts w:hint="default" w:ascii="仿宋_GB2312" w:hAnsi="仿宋_GB2312" w:eastAsia="仿宋_GB2312" w:cs="仿宋_GB2312"/>
          <w:b w:val="0"/>
          <w:bCs w:val="0"/>
          <w:color w:val="auto"/>
          <w:kern w:val="0"/>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val="en-US" w:eastAsia="zh-CN"/>
        </w:rPr>
        <w:t>现场复核时限为书面/现场评估结束后的次月前15个工作日。</w:t>
      </w:r>
    </w:p>
    <w:p>
      <w:pPr>
        <w:spacing w:line="560" w:lineRule="exact"/>
        <w:ind w:firstLine="632" w:firstLineChars="200"/>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五、系统评估</w:t>
      </w:r>
    </w:p>
    <w:p>
      <w:pPr>
        <w:pStyle w:val="2"/>
        <w:spacing w:line="560" w:lineRule="exact"/>
        <w:ind w:firstLine="632" w:firstLineChars="200"/>
        <w:rPr>
          <w:rFonts w:hint="eastAsia" w:ascii="楷体_GB2312" w:hAnsi="楷体_GB2312" w:eastAsia="楷体_GB2312" w:cs="楷体_GB2312"/>
          <w:b w:val="0"/>
          <w:bCs w:val="0"/>
          <w:color w:val="auto"/>
          <w:kern w:val="0"/>
          <w:sz w:val="32"/>
          <w:szCs w:val="32"/>
          <w:highlight w:val="none"/>
          <w:u w:val="none"/>
          <w:lang w:val="en-US" w:eastAsia="zh-CN" w:bidi="ar-SA"/>
        </w:rPr>
      </w:pPr>
      <w:r>
        <w:rPr>
          <w:rFonts w:hint="eastAsia" w:ascii="楷体_GB2312" w:hAnsi="楷体_GB2312" w:eastAsia="楷体_GB2312" w:cs="楷体_GB2312"/>
          <w:b w:val="0"/>
          <w:bCs w:val="0"/>
          <w:color w:val="auto"/>
          <w:kern w:val="0"/>
          <w:sz w:val="32"/>
          <w:szCs w:val="32"/>
          <w:highlight w:val="none"/>
          <w:u w:val="none"/>
          <w:lang w:val="en-US" w:eastAsia="zh-CN" w:bidi="ar-SA"/>
        </w:rPr>
        <w:t>（一）具体流程</w:t>
      </w:r>
    </w:p>
    <w:p>
      <w:pPr>
        <w:pStyle w:val="2"/>
        <w:spacing w:line="560" w:lineRule="exact"/>
        <w:ind w:firstLine="632" w:firstLineChars="200"/>
        <w:rPr>
          <w:rFonts w:hint="eastAsia" w:ascii="仿宋_GB2312" w:hAnsi="仿宋_GB2312" w:eastAsia="仿宋_GB2312" w:cs="仿宋_GB2312"/>
          <w:color w:val="auto"/>
          <w:sz w:val="32"/>
          <w:szCs w:val="32"/>
          <w:highlight w:val="none"/>
          <w:u w:val="none"/>
          <w:lang w:val="zh-CN" w:eastAsia="zh-CN"/>
        </w:rPr>
      </w:pPr>
      <w:r>
        <w:rPr>
          <w:rFonts w:hint="eastAsia" w:ascii="仿宋_GB2312" w:hAnsi="仿宋_GB2312" w:eastAsia="仿宋_GB2312" w:cs="仿宋_GB2312"/>
          <w:b w:val="0"/>
          <w:bCs w:val="0"/>
          <w:color w:val="auto"/>
          <w:kern w:val="0"/>
          <w:sz w:val="32"/>
          <w:szCs w:val="32"/>
          <w:highlight w:val="none"/>
          <w:u w:val="none"/>
          <w:lang w:val="en-US" w:eastAsia="zh-CN" w:bidi="ar-SA"/>
        </w:rPr>
        <w:t>初步评估合格的</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b w:val="0"/>
          <w:bCs w:val="0"/>
          <w:color w:val="auto"/>
          <w:kern w:val="0"/>
          <w:sz w:val="32"/>
          <w:szCs w:val="32"/>
          <w:highlight w:val="none"/>
          <w:u w:val="none"/>
          <w:lang w:val="zh-CN" w:eastAsia="zh-CN" w:bidi="ar-SA"/>
        </w:rPr>
        <w:t>收到辖区医保分局通知后，</w:t>
      </w:r>
      <w:r>
        <w:rPr>
          <w:rFonts w:hint="eastAsia" w:ascii="仿宋_GB2312" w:hAnsi="仿宋_GB2312" w:eastAsia="仿宋_GB2312" w:cs="仿宋_GB2312"/>
          <w:b w:val="0"/>
          <w:bCs w:val="0"/>
          <w:color w:val="auto"/>
          <w:kern w:val="0"/>
          <w:sz w:val="32"/>
          <w:szCs w:val="32"/>
          <w:highlight w:val="none"/>
          <w:u w:val="none"/>
          <w:lang w:val="en-US" w:eastAsia="zh-CN" w:bidi="ar-SA"/>
        </w:rPr>
        <w:t>按照深圳市医保专网接入流程，自主选择网络服务运营商接入医保专网。</w:t>
      </w:r>
      <w:r>
        <w:rPr>
          <w:rFonts w:hint="eastAsia" w:ascii="仿宋_GB2312" w:hAnsi="仿宋_GB2312" w:eastAsia="仿宋_GB2312" w:cs="仿宋_GB2312"/>
          <w:color w:val="auto"/>
          <w:sz w:val="32"/>
          <w:szCs w:val="32"/>
          <w:highlight w:val="none"/>
          <w:u w:val="none"/>
          <w:lang w:val="zh-CN" w:eastAsia="zh-CN"/>
        </w:rPr>
        <w:t>接入医保专网后，</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 w:val="32"/>
          <w:szCs w:val="32"/>
          <w:highlight w:val="none"/>
          <w:u w:val="none"/>
          <w:lang w:val="zh-CN" w:eastAsia="zh-CN"/>
        </w:rPr>
        <w:t>按照</w:t>
      </w:r>
      <w:r>
        <w:rPr>
          <w:rFonts w:hint="eastAsia" w:ascii="仿宋_GB2312" w:hAnsi="仿宋_GB2312" w:eastAsia="仿宋_GB2312" w:cs="仿宋_GB2312"/>
          <w:color w:val="auto"/>
          <w:sz w:val="32"/>
          <w:szCs w:val="32"/>
          <w:highlight w:val="none"/>
          <w:u w:val="none"/>
          <w:lang w:val="en-US" w:eastAsia="zh-CN"/>
        </w:rPr>
        <w:t>医保信息系统相关接口文件</w:t>
      </w:r>
      <w:r>
        <w:rPr>
          <w:rFonts w:hint="eastAsia" w:ascii="仿宋_GB2312" w:hAnsi="仿宋_GB2312" w:eastAsia="仿宋_GB2312" w:cs="仿宋_GB2312"/>
          <w:color w:val="auto"/>
          <w:sz w:val="32"/>
          <w:szCs w:val="32"/>
          <w:highlight w:val="none"/>
          <w:u w:val="none"/>
          <w:lang w:val="zh-CN" w:eastAsia="zh-CN"/>
        </w:rPr>
        <w:t>进行接口开发改造（包括不限于结算系统、药品追溯码、进销存系统、事前提醒模块、医保电子凭证等接口），联系</w:t>
      </w:r>
      <w:r>
        <w:rPr>
          <w:rFonts w:hint="eastAsia" w:ascii="仿宋_GB2312" w:hAnsi="仿宋_GB2312" w:eastAsia="仿宋_GB2312" w:cs="仿宋_GB2312"/>
          <w:color w:val="auto"/>
          <w:sz w:val="32"/>
          <w:szCs w:val="32"/>
          <w:highlight w:val="none"/>
          <w:u w:val="none"/>
          <w:lang w:val="en-US" w:eastAsia="zh-CN"/>
        </w:rPr>
        <w:t>省项目技术团队进行</w:t>
      </w:r>
      <w:r>
        <w:rPr>
          <w:rFonts w:hint="eastAsia" w:ascii="仿宋_GB2312" w:hAnsi="仿宋_GB2312" w:eastAsia="仿宋_GB2312" w:cs="仿宋_GB2312"/>
          <w:color w:val="auto"/>
          <w:sz w:val="32"/>
          <w:szCs w:val="32"/>
          <w:highlight w:val="none"/>
          <w:u w:val="none"/>
          <w:lang w:val="zh-CN" w:eastAsia="zh-CN"/>
        </w:rPr>
        <w:t>联调测试，</w:t>
      </w:r>
      <w:r>
        <w:rPr>
          <w:rFonts w:hint="eastAsia" w:ascii="仿宋_GB2312" w:hAnsi="仿宋_GB2312" w:eastAsia="仿宋_GB2312" w:cs="仿宋_GB2312"/>
          <w:color w:val="auto"/>
          <w:sz w:val="32"/>
          <w:szCs w:val="32"/>
          <w:highlight w:val="none"/>
          <w:u w:val="none"/>
          <w:lang w:val="en-US" w:eastAsia="zh-CN"/>
        </w:rPr>
        <w:t>省项目技术团队在收到联调测试申请后3个工作日内完成审核并反馈系统评估结果。</w:t>
      </w:r>
    </w:p>
    <w:p>
      <w:pPr>
        <w:pStyle w:val="2"/>
        <w:spacing w:line="560" w:lineRule="exact"/>
        <w:ind w:firstLine="632" w:firstLineChars="200"/>
        <w:rPr>
          <w:rFonts w:hint="eastAsia" w:ascii="仿宋_GB2312" w:hAnsi="仿宋_GB2312" w:eastAsia="仿宋_GB2312" w:cs="仿宋_GB2312"/>
          <w:color w:val="auto"/>
          <w:sz w:val="32"/>
          <w:szCs w:val="32"/>
          <w:highlight w:val="none"/>
          <w:u w:val="none"/>
          <w:lang w:val="zh-CN" w:eastAsia="zh-CN"/>
        </w:rPr>
      </w:pPr>
      <w:r>
        <w:rPr>
          <w:rFonts w:hint="eastAsia" w:ascii="楷体_GB2312" w:hAnsi="楷体_GB2312" w:eastAsia="楷体_GB2312" w:cs="楷体_GB2312"/>
          <w:b w:val="0"/>
          <w:bCs w:val="0"/>
          <w:color w:val="auto"/>
          <w:kern w:val="0"/>
          <w:sz w:val="32"/>
          <w:szCs w:val="32"/>
          <w:highlight w:val="none"/>
          <w:lang w:val="en-US" w:eastAsia="zh-CN"/>
        </w:rPr>
        <w:t>（二）时限要求</w:t>
      </w:r>
    </w:p>
    <w:p>
      <w:pPr>
        <w:pStyle w:val="2"/>
        <w:spacing w:line="560" w:lineRule="exact"/>
        <w:ind w:firstLine="632" w:firstLineChars="200"/>
        <w:rPr>
          <w:rFonts w:hint="eastAsia" w:ascii="仿宋_GB2312" w:hAnsi="仿宋_GB2312" w:eastAsia="仿宋_GB2312" w:cs="仿宋_GB2312"/>
          <w:color w:val="auto"/>
          <w:sz w:val="32"/>
          <w:szCs w:val="32"/>
          <w:highlight w:val="none"/>
          <w:u w:val="none"/>
          <w:lang w:val="en-US" w:eastAsia="zh-CN"/>
        </w:rPr>
      </w:pP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 w:val="32"/>
          <w:szCs w:val="32"/>
          <w:highlight w:val="none"/>
          <w:u w:val="none"/>
          <w:lang w:val="zh-CN" w:eastAsia="zh-CN"/>
        </w:rPr>
        <w:t>自收到辖区医保分局通知之日起</w:t>
      </w:r>
      <w:r>
        <w:rPr>
          <w:rFonts w:hint="eastAsia" w:ascii="仿宋_GB2312" w:hAnsi="仿宋_GB2312" w:eastAsia="仿宋_GB2312" w:cs="仿宋_GB2312"/>
          <w:color w:val="auto"/>
          <w:sz w:val="32"/>
          <w:szCs w:val="32"/>
          <w:highlight w:val="none"/>
          <w:u w:val="none"/>
          <w:lang w:val="en-US" w:eastAsia="zh-CN"/>
        </w:rPr>
        <w:t>3个月内完成医保专网接入和系统接口开发改造</w:t>
      </w:r>
      <w:r>
        <w:rPr>
          <w:rFonts w:hint="eastAsia" w:ascii="仿宋_GB2312" w:hAnsi="仿宋_GB2312" w:eastAsia="仿宋_GB2312" w:cs="仿宋_GB2312"/>
          <w:color w:val="auto"/>
          <w:sz w:val="32"/>
          <w:szCs w:val="32"/>
          <w:highlight w:val="none"/>
          <w:u w:val="none"/>
          <w:lang w:val="zh-CN" w:eastAsia="zh-CN"/>
        </w:rPr>
        <w:t>，</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 w:val="32"/>
          <w:szCs w:val="32"/>
          <w:highlight w:val="none"/>
          <w:u w:val="none"/>
          <w:lang w:val="zh-CN" w:eastAsia="zh-CN"/>
        </w:rPr>
        <w:t>因自身原因未收到通知的，或收到通知后未在规定时限内未完成的，</w:t>
      </w:r>
      <w:r>
        <w:rPr>
          <w:rFonts w:hint="eastAsia" w:ascii="仿宋_GB2312" w:hAnsi="仿宋_GB2312" w:eastAsia="仿宋_GB2312" w:cs="仿宋_GB2312"/>
          <w:color w:val="auto"/>
          <w:sz w:val="32"/>
          <w:szCs w:val="32"/>
          <w:highlight w:val="none"/>
          <w:u w:val="none"/>
          <w:lang w:val="en" w:eastAsia="zh-CN"/>
        </w:rPr>
        <w:t>视为自愿放弃当次申请</w:t>
      </w:r>
      <w:r>
        <w:rPr>
          <w:rFonts w:hint="eastAsia" w:ascii="仿宋_GB2312" w:hAnsi="仿宋_GB2312" w:eastAsia="仿宋_GB2312" w:cs="仿宋_GB2312"/>
          <w:color w:val="auto"/>
          <w:sz w:val="32"/>
          <w:szCs w:val="32"/>
          <w:highlight w:val="none"/>
          <w:u w:val="none"/>
          <w:lang w:val="zh-CN" w:eastAsia="zh-CN"/>
        </w:rPr>
        <w:t>。接入</w:t>
      </w:r>
      <w:r>
        <w:rPr>
          <w:rFonts w:hint="eastAsia" w:ascii="仿宋_GB2312" w:hAnsi="仿宋_GB2312" w:eastAsia="仿宋_GB2312" w:cs="仿宋_GB2312"/>
          <w:color w:val="auto"/>
          <w:sz w:val="32"/>
          <w:szCs w:val="32"/>
          <w:highlight w:val="none"/>
          <w:u w:val="none"/>
          <w:lang w:val="en-US" w:eastAsia="zh-CN"/>
        </w:rPr>
        <w:t>医保专网和系统接口开发改造</w:t>
      </w:r>
      <w:r>
        <w:rPr>
          <w:rFonts w:hint="eastAsia" w:ascii="仿宋_GB2312" w:hAnsi="仿宋_GB2312" w:eastAsia="仿宋_GB2312" w:cs="仿宋_GB2312"/>
          <w:color w:val="auto"/>
          <w:sz w:val="32"/>
          <w:szCs w:val="32"/>
          <w:highlight w:val="none"/>
          <w:u w:val="none"/>
          <w:lang w:val="zh-CN" w:eastAsia="zh-CN"/>
        </w:rPr>
        <w:t>时间不计入评估时限。</w:t>
      </w:r>
    </w:p>
    <w:p>
      <w:pPr>
        <w:pStyle w:val="2"/>
        <w:spacing w:line="560" w:lineRule="exact"/>
        <w:ind w:firstLine="632" w:firstLineChars="200"/>
        <w:rPr>
          <w:rFonts w:hint="eastAsia" w:ascii="楷体_GB2312" w:hAnsi="楷体_GB2312" w:eastAsia="楷体_GB2312" w:cs="楷体_GB2312"/>
          <w:b w:val="0"/>
          <w:bCs w:val="0"/>
          <w:color w:val="auto"/>
          <w:kern w:val="0"/>
          <w:sz w:val="32"/>
          <w:szCs w:val="32"/>
          <w:highlight w:val="none"/>
          <w:lang w:val="zh-CN" w:eastAsia="zh-CN" w:bidi="ar-SA"/>
        </w:rPr>
      </w:pPr>
      <w:bookmarkStart w:id="1" w:name="OLE_LINK2"/>
      <w:r>
        <w:rPr>
          <w:rFonts w:hint="eastAsia" w:ascii="黑体" w:hAnsi="黑体" w:eastAsia="黑体" w:cs="黑体"/>
          <w:b w:val="0"/>
          <w:bCs w:val="0"/>
          <w:color w:val="auto"/>
          <w:kern w:val="0"/>
          <w:sz w:val="32"/>
          <w:szCs w:val="32"/>
          <w:highlight w:val="none"/>
          <w:lang w:val="en-US" w:eastAsia="zh-CN" w:bidi="ar-SA"/>
        </w:rPr>
        <w:t>六、确认评估结果</w:t>
      </w:r>
    </w:p>
    <w:bookmarkEnd w:id="1"/>
    <w:p>
      <w:pPr>
        <w:pStyle w:val="2"/>
        <w:spacing w:line="560" w:lineRule="exact"/>
        <w:ind w:firstLine="632"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zh-CN" w:eastAsia="zh-CN"/>
        </w:rPr>
        <w:t>辖区医保分局综合医保管理人员考核、书面/现场评估、现场复核及系统评估情况，自</w:t>
      </w:r>
      <w:r>
        <w:rPr>
          <w:rFonts w:hint="eastAsia" w:ascii="仿宋_GB2312" w:hAnsi="仿宋_GB2312" w:eastAsia="仿宋_GB2312" w:cs="仿宋_GB2312"/>
          <w:color w:val="auto"/>
          <w:sz w:val="32"/>
          <w:szCs w:val="32"/>
          <w:highlight w:val="none"/>
          <w:u w:val="none"/>
          <w:lang w:val="en-US" w:eastAsia="zh-CN"/>
        </w:rPr>
        <w:t>受理审核通过之日</w:t>
      </w:r>
      <w:r>
        <w:rPr>
          <w:rFonts w:hint="eastAsia" w:ascii="仿宋_GB2312" w:hAnsi="仿宋_GB2312" w:eastAsia="仿宋_GB2312" w:cs="仿宋_GB2312"/>
          <w:color w:val="auto"/>
          <w:sz w:val="32"/>
          <w:szCs w:val="32"/>
          <w:highlight w:val="none"/>
          <w:u w:val="none"/>
          <w:lang w:val="zh-CN" w:eastAsia="zh-CN"/>
        </w:rPr>
        <w:t>起（剔除不计入评估时限）</w:t>
      </w:r>
      <w:r>
        <w:rPr>
          <w:rFonts w:hint="eastAsia" w:ascii="仿宋_GB2312" w:hAnsi="仿宋_GB2312" w:eastAsia="仿宋_GB2312" w:cs="仿宋_GB2312"/>
          <w:color w:val="auto"/>
          <w:sz w:val="32"/>
          <w:szCs w:val="32"/>
          <w:highlight w:val="none"/>
          <w:u w:val="none"/>
          <w:lang w:val="en-US" w:eastAsia="zh-CN"/>
        </w:rPr>
        <w:t>3个月内确认评估结果。</w:t>
      </w:r>
    </w:p>
    <w:p>
      <w:pPr>
        <w:pStyle w:val="2"/>
        <w:spacing w:line="560" w:lineRule="exact"/>
        <w:ind w:firstLine="632" w:firstLineChars="200"/>
        <w:jc w:val="left"/>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评估合格的</w:t>
      </w:r>
      <w:r>
        <w:rPr>
          <w:rFonts w:hint="eastAsia" w:ascii="仿宋_GB2312" w:hAnsi="仿宋_GB2312" w:eastAsia="仿宋_GB2312" w:cs="仿宋_GB2312"/>
          <w:bCs/>
          <w:color w:val="auto"/>
          <w:sz w:val="32"/>
          <w:szCs w:val="32"/>
          <w:highlight w:val="none"/>
          <w:lang w:eastAsia="zh-CN"/>
        </w:rPr>
        <w:t>，纳入拟公示名单。</w:t>
      </w:r>
    </w:p>
    <w:p>
      <w:pPr>
        <w:pStyle w:val="2"/>
        <w:spacing w:line="560" w:lineRule="exact"/>
        <w:ind w:firstLine="632" w:firstLineChars="200"/>
        <w:jc w:val="left"/>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rPr>
        <w:t>评估不合格的，辖区医保分局发放</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深圳市新增定点</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bCs/>
          <w:color w:val="auto"/>
          <w:sz w:val="32"/>
          <w:szCs w:val="32"/>
          <w:highlight w:val="none"/>
        </w:rPr>
        <w:t>评估不合格告知书</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以下简称《评估不合格告知书》</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告知</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bCs/>
          <w:color w:val="auto"/>
          <w:sz w:val="32"/>
          <w:szCs w:val="32"/>
          <w:highlight w:val="none"/>
          <w:lang w:eastAsia="zh-CN"/>
        </w:rPr>
        <w:t>不合格</w:t>
      </w:r>
      <w:r>
        <w:rPr>
          <w:rFonts w:hint="eastAsia" w:ascii="仿宋_GB2312" w:hAnsi="仿宋_GB2312" w:eastAsia="仿宋_GB2312" w:cs="仿宋_GB2312"/>
          <w:bCs/>
          <w:color w:val="auto"/>
          <w:sz w:val="32"/>
          <w:szCs w:val="32"/>
          <w:highlight w:val="none"/>
        </w:rPr>
        <w:t>理由，</w:t>
      </w:r>
      <w:r>
        <w:rPr>
          <w:rFonts w:hint="eastAsia" w:ascii="仿宋_GB2312" w:hAnsi="仿宋_GB2312" w:eastAsia="仿宋_GB2312" w:cs="仿宋_GB2312"/>
          <w:bCs/>
          <w:color w:val="auto"/>
          <w:sz w:val="32"/>
          <w:szCs w:val="32"/>
          <w:highlight w:val="none"/>
          <w:lang w:eastAsia="zh-CN"/>
        </w:rPr>
        <w:t>并</w:t>
      </w:r>
      <w:r>
        <w:rPr>
          <w:rFonts w:hint="eastAsia" w:ascii="仿宋_GB2312" w:hAnsi="仿宋_GB2312" w:eastAsia="仿宋_GB2312" w:cs="仿宋_GB2312"/>
          <w:bCs/>
          <w:color w:val="auto"/>
          <w:sz w:val="32"/>
          <w:szCs w:val="32"/>
          <w:highlight w:val="none"/>
        </w:rPr>
        <w:t>提出整改建</w:t>
      </w:r>
      <w:r>
        <w:rPr>
          <w:rFonts w:hint="eastAsia" w:ascii="仿宋_GB2312" w:hAnsi="仿宋_GB2312" w:eastAsia="仿宋_GB2312" w:cs="仿宋_GB2312"/>
          <w:bCs/>
          <w:color w:val="auto"/>
          <w:sz w:val="32"/>
          <w:szCs w:val="32"/>
          <w:highlight w:val="none"/>
          <w:lang w:eastAsia="zh-CN"/>
        </w:rPr>
        <w:t>议。自</w:t>
      </w:r>
      <w:r>
        <w:rPr>
          <w:rFonts w:hint="eastAsia" w:ascii="仿宋_GB2312" w:hAnsi="仿宋_GB2312" w:eastAsia="仿宋_GB2312" w:cs="仿宋_GB2312"/>
          <w:bCs/>
          <w:color w:val="auto"/>
          <w:sz w:val="32"/>
          <w:szCs w:val="32"/>
          <w:highlight w:val="none"/>
          <w:lang w:val="en-US" w:eastAsia="zh-CN"/>
        </w:rPr>
        <w:t>初次评估结果送达之日起</w:t>
      </w:r>
      <w:r>
        <w:rPr>
          <w:rFonts w:hint="eastAsia" w:ascii="仿宋_GB2312" w:hAnsi="仿宋_GB2312" w:eastAsia="仿宋_GB2312" w:cs="仿宋_GB2312"/>
          <w:bCs/>
          <w:color w:val="auto"/>
          <w:sz w:val="32"/>
          <w:szCs w:val="32"/>
          <w:highlight w:val="none"/>
          <w:lang w:eastAsia="zh-CN"/>
        </w:rPr>
        <w:t>，</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bCs/>
          <w:color w:val="auto"/>
          <w:sz w:val="32"/>
          <w:szCs w:val="32"/>
          <w:highlight w:val="none"/>
          <w:lang w:eastAsia="zh-CN"/>
        </w:rPr>
        <w:t>整改</w:t>
      </w:r>
      <w:r>
        <w:rPr>
          <w:rFonts w:hint="eastAsia" w:ascii="仿宋_GB2312" w:hAnsi="仿宋_GB2312" w:eastAsia="仿宋_GB2312" w:cs="仿宋_GB2312"/>
          <w:bCs/>
          <w:color w:val="auto"/>
          <w:sz w:val="32"/>
          <w:szCs w:val="32"/>
          <w:highlight w:val="none"/>
          <w:lang w:val="en-US" w:eastAsia="zh-CN"/>
        </w:rPr>
        <w:t>3个月</w:t>
      </w:r>
      <w:r>
        <w:rPr>
          <w:rFonts w:hint="eastAsia" w:ascii="仿宋_GB2312" w:hAnsi="仿宋_GB2312" w:eastAsia="仿宋_GB2312" w:cs="仿宋_GB2312"/>
          <w:bCs/>
          <w:color w:val="auto"/>
          <w:sz w:val="32"/>
          <w:szCs w:val="32"/>
          <w:highlight w:val="none"/>
          <w:lang w:eastAsia="zh-CN"/>
        </w:rPr>
        <w:t>后可再次提交评估申请，</w:t>
      </w:r>
      <w:r>
        <w:rPr>
          <w:rFonts w:hint="eastAsia" w:ascii="仿宋_GB2312" w:hAnsi="仿宋_GB2312" w:eastAsia="仿宋_GB2312" w:cs="仿宋_GB2312"/>
          <w:bCs/>
          <w:color w:val="auto"/>
          <w:sz w:val="32"/>
          <w:szCs w:val="32"/>
          <w:highlight w:val="none"/>
          <w:lang w:val="en-US" w:eastAsia="zh-CN"/>
        </w:rPr>
        <w:t>6个月</w:t>
      </w:r>
      <w:r>
        <w:rPr>
          <w:rFonts w:hint="eastAsia" w:ascii="仿宋_GB2312" w:hAnsi="仿宋_GB2312" w:eastAsia="仿宋_GB2312" w:cs="仿宋_GB2312"/>
          <w:bCs/>
          <w:color w:val="auto"/>
          <w:sz w:val="32"/>
          <w:szCs w:val="32"/>
          <w:highlight w:val="none"/>
          <w:lang w:eastAsia="zh-CN"/>
        </w:rPr>
        <w:t>内未再次提交评估申请的，视为放弃此次申请。分局收到其申请后，按照前述程序再次组织医保管理人员考核、书面/现场评估、现场复核及系统评估，再次评估不合格的，自再次评估结果送达之日起，1年内不得再申请医保定点。</w:t>
      </w:r>
    </w:p>
    <w:p>
      <w:pPr>
        <w:spacing w:line="560" w:lineRule="exact"/>
        <w:ind w:firstLine="632" w:firstLineChars="200"/>
        <w:jc w:val="left"/>
        <w:rPr>
          <w:rFonts w:hint="eastAsia" w:ascii="黑体" w:hAnsi="黑体" w:eastAsia="黑体" w:cs="宋体"/>
          <w:color w:val="auto"/>
          <w:kern w:val="0"/>
          <w:szCs w:val="32"/>
          <w:highlight w:val="none"/>
          <w:lang w:eastAsia="zh-CN"/>
        </w:rPr>
      </w:pPr>
      <w:r>
        <w:rPr>
          <w:rFonts w:hint="eastAsia" w:ascii="黑体" w:hAnsi="黑体" w:eastAsia="黑体" w:cs="宋体"/>
          <w:color w:val="auto"/>
          <w:kern w:val="0"/>
          <w:szCs w:val="32"/>
          <w:highlight w:val="none"/>
          <w:lang w:eastAsia="zh-CN"/>
        </w:rPr>
        <w:t>七</w:t>
      </w:r>
      <w:r>
        <w:rPr>
          <w:rFonts w:hint="eastAsia" w:ascii="黑体" w:hAnsi="黑体" w:eastAsia="黑体" w:cs="宋体"/>
          <w:color w:val="auto"/>
          <w:kern w:val="0"/>
          <w:szCs w:val="32"/>
          <w:highlight w:val="none"/>
        </w:rPr>
        <w:t>、公示</w:t>
      </w:r>
      <w:r>
        <w:rPr>
          <w:rFonts w:hint="eastAsia" w:ascii="黑体" w:hAnsi="黑体" w:eastAsia="黑体" w:cs="宋体"/>
          <w:color w:val="auto"/>
          <w:kern w:val="0"/>
          <w:szCs w:val="32"/>
          <w:highlight w:val="none"/>
          <w:lang w:eastAsia="zh-CN"/>
        </w:rPr>
        <w:t>和签订协议</w:t>
      </w:r>
    </w:p>
    <w:p>
      <w:pPr>
        <w:spacing w:line="560" w:lineRule="exact"/>
        <w:ind w:firstLine="632" w:firstLineChars="200"/>
        <w:rPr>
          <w:rFonts w:hint="eastAsia" w:ascii="楷体_GB2312" w:hAnsi="楷体_GB2312" w:eastAsia="楷体_GB2312" w:cs="楷体_GB2312"/>
          <w:bCs/>
          <w:color w:val="auto"/>
          <w:kern w:val="0"/>
          <w:szCs w:val="32"/>
          <w:highlight w:val="none"/>
          <w:lang w:eastAsia="zh-CN"/>
        </w:rPr>
      </w:pPr>
      <w:r>
        <w:rPr>
          <w:rFonts w:hint="eastAsia" w:ascii="楷体_GB2312" w:hAnsi="楷体_GB2312" w:eastAsia="楷体_GB2312" w:cs="楷体_GB2312"/>
          <w:bCs/>
          <w:color w:val="auto"/>
          <w:kern w:val="0"/>
          <w:szCs w:val="32"/>
          <w:highlight w:val="none"/>
          <w:lang w:eastAsia="zh-CN"/>
        </w:rPr>
        <w:t>（一）官网公示</w:t>
      </w:r>
    </w:p>
    <w:p>
      <w:pPr>
        <w:tabs>
          <w:tab w:val="left" w:pos="5225"/>
        </w:tabs>
        <w:adjustRightInd w:val="0"/>
        <w:snapToGrid w:val="0"/>
        <w:spacing w:line="560" w:lineRule="exact"/>
        <w:ind w:firstLine="632" w:firstLineChars="200"/>
        <w:rPr>
          <w:rFonts w:hint="eastAsia" w:ascii="仿宋_GB2312" w:hAnsi="仿宋_GB2312" w:eastAsia="仿宋_GB2312" w:cs="仿宋_GB2312"/>
          <w:color w:val="auto"/>
          <w:szCs w:val="32"/>
          <w:highlight w:val="none"/>
          <w:lang w:val="zh-CN"/>
        </w:rPr>
      </w:pPr>
      <w:r>
        <w:rPr>
          <w:rFonts w:ascii="Times New Roman" w:hAnsi="Times New Roman" w:eastAsia="仿宋_GB2312"/>
          <w:bCs/>
          <w:color w:val="auto"/>
          <w:kern w:val="0"/>
          <w:szCs w:val="32"/>
          <w:highlight w:val="none"/>
        </w:rPr>
        <w:t>对于评估合格</w:t>
      </w:r>
      <w:r>
        <w:rPr>
          <w:rFonts w:hint="eastAsia" w:ascii="Times New Roman" w:hAnsi="Times New Roman" w:eastAsia="仿宋_GB2312"/>
          <w:bCs/>
          <w:color w:val="auto"/>
          <w:kern w:val="0"/>
          <w:szCs w:val="32"/>
          <w:highlight w:val="none"/>
          <w:lang w:eastAsia="zh-CN"/>
        </w:rPr>
        <w:t>的</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Cs w:val="32"/>
          <w:highlight w:val="none"/>
          <w:lang w:val="zh-CN"/>
        </w:rPr>
        <w:t>，</w:t>
      </w:r>
      <w:r>
        <w:rPr>
          <w:rFonts w:hint="eastAsia" w:ascii="Times New Roman" w:hAnsi="Times New Roman" w:eastAsia="仿宋_GB2312"/>
          <w:bCs/>
          <w:color w:val="auto"/>
          <w:kern w:val="0"/>
          <w:szCs w:val="32"/>
          <w:highlight w:val="none"/>
        </w:rPr>
        <w:t>市医保中心</w:t>
      </w:r>
      <w:r>
        <w:rPr>
          <w:rFonts w:hint="eastAsia" w:ascii="仿宋_GB2312" w:hAnsi="仿宋_GB2312" w:eastAsia="仿宋_GB2312" w:cs="仿宋_GB2312"/>
          <w:color w:val="auto"/>
          <w:szCs w:val="32"/>
          <w:highlight w:val="none"/>
          <w:lang w:val="zh-CN"/>
        </w:rPr>
        <w:t>在深圳市医疗保障局官网上公示</w:t>
      </w:r>
      <w:r>
        <w:rPr>
          <w:rFonts w:hint="eastAsia" w:ascii="仿宋_GB2312" w:hAnsi="仿宋_GB2312" w:eastAsia="仿宋_GB2312" w:cs="仿宋_GB2312"/>
          <w:color w:val="auto"/>
          <w:szCs w:val="32"/>
          <w:highlight w:val="none"/>
        </w:rPr>
        <w:t>7个工作日</w:t>
      </w:r>
      <w:r>
        <w:rPr>
          <w:rFonts w:hint="eastAsia" w:ascii="仿宋_GB2312" w:hAnsi="仿宋_GB2312" w:eastAsia="仿宋_GB2312" w:cs="仿宋_GB2312"/>
          <w:color w:val="auto"/>
          <w:szCs w:val="32"/>
          <w:highlight w:val="none"/>
          <w:lang w:val="zh-CN"/>
        </w:rPr>
        <w:t>。</w:t>
      </w:r>
    </w:p>
    <w:p>
      <w:pPr>
        <w:tabs>
          <w:tab w:val="left" w:pos="5225"/>
        </w:tabs>
        <w:adjustRightInd w:val="0"/>
        <w:snapToGrid w:val="0"/>
        <w:spacing w:line="560" w:lineRule="exact"/>
        <w:ind w:firstLine="632" w:firstLineChars="200"/>
        <w:rPr>
          <w:rFonts w:hint="eastAsia" w:ascii="仿宋_GB2312" w:hAnsi="仿宋_GB2312" w:eastAsia="仿宋_GB2312" w:cs="仿宋_GB2312"/>
          <w:color w:val="auto"/>
          <w:kern w:val="0"/>
          <w:szCs w:val="32"/>
          <w:highlight w:val="none"/>
          <w:lang w:eastAsia="zh-CN"/>
        </w:rPr>
      </w:pPr>
      <w:r>
        <w:rPr>
          <w:rFonts w:hint="eastAsia" w:ascii="仿宋_GB2312" w:hAnsi="仿宋_GB2312" w:eastAsia="仿宋_GB2312" w:cs="仿宋_GB2312"/>
          <w:color w:val="auto"/>
          <w:kern w:val="0"/>
          <w:szCs w:val="32"/>
          <w:highlight w:val="none"/>
        </w:rPr>
        <w:t>公示期内未收到</w:t>
      </w:r>
      <w:r>
        <w:rPr>
          <w:rFonts w:hint="eastAsia" w:ascii="仿宋_GB2312" w:hAnsi="仿宋_GB2312" w:eastAsia="仿宋_GB2312" w:cs="仿宋_GB2312"/>
          <w:color w:val="auto"/>
          <w:kern w:val="0"/>
          <w:szCs w:val="32"/>
          <w:highlight w:val="none"/>
          <w:lang w:eastAsia="zh-CN"/>
        </w:rPr>
        <w:t>异议，</w:t>
      </w:r>
      <w:r>
        <w:rPr>
          <w:rFonts w:hint="eastAsia" w:ascii="仿宋_GB2312" w:hAnsi="仿宋_GB2312" w:eastAsia="仿宋_GB2312" w:cs="仿宋_GB2312"/>
          <w:color w:val="auto"/>
          <w:kern w:val="0"/>
          <w:szCs w:val="32"/>
          <w:highlight w:val="none"/>
        </w:rPr>
        <w:t>或收到</w:t>
      </w:r>
      <w:r>
        <w:rPr>
          <w:rFonts w:hint="eastAsia" w:ascii="仿宋_GB2312" w:hAnsi="仿宋_GB2312" w:eastAsia="仿宋_GB2312" w:cs="仿宋_GB2312"/>
          <w:color w:val="auto"/>
          <w:kern w:val="0"/>
          <w:szCs w:val="32"/>
          <w:highlight w:val="none"/>
          <w:lang w:eastAsia="zh-CN"/>
        </w:rPr>
        <w:t>异议</w:t>
      </w:r>
      <w:r>
        <w:rPr>
          <w:rFonts w:hint="eastAsia" w:ascii="仿宋_GB2312" w:hAnsi="仿宋_GB2312" w:eastAsia="仿宋_GB2312" w:cs="仿宋_GB2312"/>
          <w:color w:val="auto"/>
          <w:kern w:val="0"/>
          <w:szCs w:val="32"/>
          <w:highlight w:val="none"/>
        </w:rPr>
        <w:t>但经</w:t>
      </w:r>
      <w:r>
        <w:rPr>
          <w:rFonts w:hint="eastAsia" w:ascii="仿宋_GB2312" w:hAnsi="仿宋_GB2312" w:eastAsia="仿宋_GB2312" w:cs="仿宋_GB2312"/>
          <w:color w:val="auto"/>
          <w:kern w:val="0"/>
          <w:szCs w:val="32"/>
          <w:highlight w:val="none"/>
          <w:lang w:eastAsia="zh-CN"/>
        </w:rPr>
        <w:t>辖区医保分局</w:t>
      </w:r>
      <w:r>
        <w:rPr>
          <w:rFonts w:hint="eastAsia" w:ascii="仿宋_GB2312" w:hAnsi="仿宋_GB2312" w:eastAsia="仿宋_GB2312" w:cs="仿宋_GB2312"/>
          <w:color w:val="auto"/>
          <w:kern w:val="0"/>
          <w:szCs w:val="32"/>
          <w:highlight w:val="none"/>
        </w:rPr>
        <w:t>核查</w:t>
      </w:r>
      <w:r>
        <w:rPr>
          <w:rFonts w:hint="eastAsia" w:ascii="仿宋_GB2312" w:hAnsi="仿宋_GB2312" w:eastAsia="仿宋_GB2312" w:cs="仿宋_GB2312"/>
          <w:color w:val="auto"/>
          <w:kern w:val="0"/>
          <w:szCs w:val="32"/>
          <w:highlight w:val="none"/>
          <w:lang w:eastAsia="zh-CN"/>
        </w:rPr>
        <w:t>异议反映的事项</w:t>
      </w:r>
      <w:r>
        <w:rPr>
          <w:rFonts w:hint="eastAsia" w:ascii="仿宋_GB2312" w:hAnsi="仿宋_GB2312" w:eastAsia="仿宋_GB2312" w:cs="仿宋_GB2312"/>
          <w:color w:val="auto"/>
          <w:kern w:val="0"/>
          <w:szCs w:val="32"/>
          <w:highlight w:val="none"/>
        </w:rPr>
        <w:t>不影响医保定点资格确认的，确定为新增定点</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kern w:val="0"/>
          <w:szCs w:val="32"/>
          <w:highlight w:val="none"/>
          <w:lang w:eastAsia="zh-CN"/>
        </w:rPr>
        <w:t>。</w:t>
      </w:r>
    </w:p>
    <w:p>
      <w:pPr>
        <w:tabs>
          <w:tab w:val="left" w:pos="5225"/>
        </w:tabs>
        <w:adjustRightInd w:val="0"/>
        <w:snapToGrid w:val="0"/>
        <w:spacing w:line="560" w:lineRule="exact"/>
        <w:ind w:firstLine="632" w:firstLineChars="200"/>
        <w:rPr>
          <w:rFonts w:hint="eastAsia" w:ascii="仿宋_GB2312" w:hAnsi="仿宋_GB2312" w:eastAsia="仿宋_GB2312" w:cs="仿宋_GB2312"/>
          <w:bCs/>
          <w:color w:val="auto"/>
          <w:kern w:val="0"/>
          <w:szCs w:val="32"/>
          <w:highlight w:val="none"/>
        </w:rPr>
      </w:pPr>
      <w:r>
        <w:rPr>
          <w:rFonts w:hint="eastAsia" w:ascii="仿宋_GB2312" w:hAnsi="仿宋_GB2312" w:eastAsia="仿宋_GB2312" w:cs="仿宋_GB2312"/>
          <w:color w:val="auto"/>
          <w:kern w:val="0"/>
          <w:szCs w:val="32"/>
          <w:highlight w:val="none"/>
          <w:lang w:eastAsia="zh-CN"/>
        </w:rPr>
        <w:t>公示期内收到异议</w:t>
      </w:r>
      <w:r>
        <w:rPr>
          <w:rFonts w:hint="eastAsia" w:ascii="仿宋_GB2312" w:hAnsi="仿宋_GB2312" w:eastAsia="仿宋_GB2312" w:cs="仿宋_GB2312"/>
          <w:color w:val="auto"/>
          <w:kern w:val="0"/>
          <w:szCs w:val="32"/>
          <w:highlight w:val="none"/>
        </w:rPr>
        <w:t>并</w:t>
      </w:r>
      <w:r>
        <w:rPr>
          <w:rFonts w:hint="eastAsia" w:ascii="仿宋_GB2312" w:hAnsi="仿宋_GB2312" w:eastAsia="仿宋_GB2312" w:cs="仿宋_GB2312"/>
          <w:color w:val="auto"/>
          <w:kern w:val="0"/>
          <w:szCs w:val="32"/>
          <w:highlight w:val="none"/>
          <w:lang w:eastAsia="zh-CN"/>
        </w:rPr>
        <w:t>经辖区医保分局核查异议反映的事项</w:t>
      </w:r>
      <w:r>
        <w:rPr>
          <w:rFonts w:hint="eastAsia" w:ascii="仿宋_GB2312" w:hAnsi="仿宋_GB2312" w:eastAsia="仿宋_GB2312" w:cs="仿宋_GB2312"/>
          <w:color w:val="auto"/>
          <w:kern w:val="0"/>
          <w:szCs w:val="32"/>
          <w:highlight w:val="none"/>
        </w:rPr>
        <w:t>影响医保定点资格确认的，不予确认医保定点资格</w:t>
      </w:r>
      <w:r>
        <w:rPr>
          <w:rFonts w:hint="eastAsia" w:ascii="仿宋_GB2312" w:hAnsi="仿宋_GB2312" w:eastAsia="仿宋_GB2312" w:cs="仿宋_GB2312"/>
          <w:color w:val="auto"/>
          <w:kern w:val="0"/>
          <w:szCs w:val="32"/>
          <w:highlight w:val="none"/>
          <w:lang w:eastAsia="zh-CN"/>
        </w:rPr>
        <w:t>。异议反映的事项经核查属于不符合医保定点申请相关情形的，出具《</w:t>
      </w:r>
      <w:r>
        <w:rPr>
          <w:rFonts w:hint="eastAsia" w:ascii="仿宋_GB2312" w:hAnsi="仿宋_GB2312" w:eastAsia="仿宋_GB2312" w:cs="仿宋_GB2312"/>
          <w:color w:val="auto"/>
          <w:kern w:val="0"/>
          <w:szCs w:val="32"/>
          <w:highlight w:val="none"/>
        </w:rPr>
        <w:t>评估不合格告知书</w:t>
      </w:r>
      <w:r>
        <w:rPr>
          <w:rFonts w:hint="eastAsia" w:ascii="仿宋_GB2312" w:hAnsi="仿宋_GB2312" w:eastAsia="仿宋_GB2312" w:cs="仿宋_GB2312"/>
          <w:color w:val="auto"/>
          <w:kern w:val="0"/>
          <w:szCs w:val="32"/>
          <w:highlight w:val="none"/>
          <w:lang w:eastAsia="zh-CN"/>
        </w:rPr>
        <w:t>》；异议反映的事项经核查</w:t>
      </w:r>
      <w:r>
        <w:rPr>
          <w:rFonts w:hint="eastAsia" w:ascii="仿宋_GB2312" w:hAnsi="仿宋_GB2312" w:eastAsia="仿宋_GB2312" w:cs="仿宋_GB2312"/>
          <w:color w:val="auto"/>
          <w:kern w:val="0"/>
          <w:szCs w:val="32"/>
          <w:highlight w:val="none"/>
        </w:rPr>
        <w:t>涉嫌违法犯罪的，移送有关单位处理。</w:t>
      </w:r>
    </w:p>
    <w:p>
      <w:pPr>
        <w:spacing w:line="560" w:lineRule="exact"/>
        <w:ind w:firstLine="632" w:firstLineChars="200"/>
        <w:rPr>
          <w:rFonts w:hint="eastAsia" w:ascii="楷体_GB2312" w:hAnsi="楷体_GB2312" w:eastAsia="楷体_GB2312" w:cs="楷体_GB2312"/>
          <w:bCs/>
          <w:color w:val="auto"/>
          <w:kern w:val="0"/>
          <w:szCs w:val="32"/>
          <w:highlight w:val="none"/>
          <w:lang w:eastAsia="zh-CN"/>
        </w:rPr>
      </w:pPr>
      <w:r>
        <w:rPr>
          <w:rFonts w:hint="eastAsia" w:ascii="楷体_GB2312" w:hAnsi="楷体_GB2312" w:eastAsia="楷体_GB2312" w:cs="楷体_GB2312"/>
          <w:bCs/>
          <w:color w:val="auto"/>
          <w:kern w:val="0"/>
          <w:szCs w:val="32"/>
          <w:highlight w:val="none"/>
          <w:lang w:eastAsia="zh-CN"/>
        </w:rPr>
        <w:t>（二）签订医保服务协议</w:t>
      </w:r>
    </w:p>
    <w:p>
      <w:pPr>
        <w:spacing w:line="560" w:lineRule="exact"/>
        <w:ind w:firstLine="632" w:firstLineChars="200"/>
        <w:rPr>
          <w:rFonts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lang w:val="zh-CN"/>
        </w:rPr>
        <w:t>通过公示的</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Cs w:val="32"/>
          <w:highlight w:val="none"/>
        </w:rPr>
        <w:t>在公示结束后</w:t>
      </w:r>
      <w:r>
        <w:rPr>
          <w:rFonts w:hint="eastAsia" w:ascii="仿宋_GB2312" w:hAnsi="仿宋_GB2312" w:eastAsia="仿宋_GB2312" w:cs="仿宋_GB2312"/>
          <w:color w:val="auto"/>
          <w:szCs w:val="32"/>
          <w:highlight w:val="none"/>
          <w:lang w:val="en-US" w:eastAsia="zh-CN"/>
        </w:rPr>
        <w:t>6个月</w:t>
      </w:r>
      <w:r>
        <w:rPr>
          <w:rFonts w:hint="eastAsia" w:ascii="仿宋_GB2312" w:hAnsi="仿宋_GB2312" w:eastAsia="仿宋_GB2312" w:cs="仿宋_GB2312"/>
          <w:color w:val="auto"/>
          <w:szCs w:val="32"/>
          <w:highlight w:val="none"/>
        </w:rPr>
        <w:t>内</w:t>
      </w:r>
      <w:r>
        <w:rPr>
          <w:rFonts w:hint="eastAsia" w:ascii="仿宋_GB2312" w:hAnsi="仿宋_GB2312" w:eastAsia="仿宋_GB2312" w:cs="仿宋_GB2312"/>
          <w:color w:val="auto"/>
          <w:szCs w:val="32"/>
          <w:highlight w:val="none"/>
          <w:lang w:val="zh-CN"/>
        </w:rPr>
        <w:t>完成医保服务协议签订，未</w:t>
      </w:r>
      <w:r>
        <w:rPr>
          <w:rFonts w:hint="eastAsia" w:ascii="仿宋_GB2312" w:hAnsi="仿宋_GB2312" w:eastAsia="仿宋_GB2312" w:cs="仿宋_GB2312"/>
          <w:color w:val="auto"/>
          <w:szCs w:val="32"/>
          <w:highlight w:val="none"/>
        </w:rPr>
        <w:t>及时</w:t>
      </w:r>
      <w:r>
        <w:rPr>
          <w:rFonts w:hint="eastAsia" w:ascii="仿宋_GB2312" w:hAnsi="仿宋_GB2312" w:eastAsia="仿宋_GB2312" w:cs="仿宋_GB2312"/>
          <w:color w:val="auto"/>
          <w:szCs w:val="32"/>
          <w:highlight w:val="none"/>
          <w:lang w:val="zh-CN"/>
        </w:rPr>
        <w:t>签订协议的，视为自动放弃。定点</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szCs w:val="32"/>
          <w:highlight w:val="none"/>
          <w:lang w:val="zh-CN"/>
        </w:rPr>
        <w:t>履行服务协议期间有新增</w:t>
      </w:r>
      <w:r>
        <w:rPr>
          <w:rFonts w:hint="eastAsia" w:ascii="仿宋_GB2312" w:hAnsi="仿宋_GB2312" w:eastAsia="仿宋_GB2312" w:cs="仿宋_GB2312"/>
          <w:color w:val="auto"/>
          <w:szCs w:val="32"/>
          <w:highlight w:val="none"/>
        </w:rPr>
        <w:t>服务项目</w:t>
      </w:r>
      <w:r>
        <w:rPr>
          <w:rFonts w:hint="eastAsia" w:ascii="仿宋_GB2312" w:hAnsi="仿宋_GB2312" w:eastAsia="仿宋_GB2312" w:cs="仿宋_GB2312"/>
          <w:color w:val="auto"/>
          <w:szCs w:val="32"/>
          <w:highlight w:val="none"/>
          <w:lang w:val="zh-CN"/>
        </w:rPr>
        <w:t>的，通过补充协议予以明确</w:t>
      </w:r>
      <w:r>
        <w:rPr>
          <w:rFonts w:hint="eastAsia" w:ascii="仿宋_GB2312" w:hAnsi="仿宋_GB2312" w:eastAsia="仿宋_GB2312" w:cs="仿宋_GB2312"/>
          <w:b w:val="0"/>
          <w:bCs w:val="0"/>
          <w:color w:val="auto"/>
          <w:szCs w:val="32"/>
          <w:highlight w:val="none"/>
          <w:lang w:val="zh-CN"/>
        </w:rPr>
        <w:t>（</w:t>
      </w:r>
      <w:r>
        <w:rPr>
          <w:rFonts w:hint="eastAsia" w:ascii="仿宋_GB2312" w:hAnsi="仿宋_GB2312" w:eastAsia="仿宋_GB2312" w:cs="仿宋_GB2312"/>
          <w:b w:val="0"/>
          <w:bCs w:val="0"/>
          <w:color w:val="auto"/>
          <w:szCs w:val="32"/>
          <w:highlight w:val="none"/>
        </w:rPr>
        <w:t>签约所需材料见附件</w:t>
      </w:r>
      <w:r>
        <w:rPr>
          <w:rFonts w:hint="eastAsia" w:ascii="仿宋_GB2312" w:hAnsi="仿宋_GB2312" w:eastAsia="仿宋_GB2312" w:cs="仿宋_GB2312"/>
          <w:b w:val="0"/>
          <w:bCs w:val="0"/>
          <w:color w:val="auto"/>
          <w:szCs w:val="32"/>
          <w:highlight w:val="none"/>
          <w:lang w:val="en-US" w:eastAsia="zh-CN"/>
        </w:rPr>
        <w:t>6</w:t>
      </w:r>
      <w:r>
        <w:rPr>
          <w:rFonts w:hint="eastAsia" w:ascii="仿宋_GB2312" w:hAnsi="仿宋_GB2312" w:eastAsia="仿宋_GB2312" w:cs="仿宋_GB2312"/>
          <w:b w:val="0"/>
          <w:bCs w:val="0"/>
          <w:color w:val="auto"/>
          <w:szCs w:val="32"/>
          <w:highlight w:val="none"/>
          <w:lang w:val="zh-CN"/>
        </w:rPr>
        <w:t>）</w:t>
      </w:r>
      <w:r>
        <w:rPr>
          <w:rFonts w:hint="eastAsia" w:ascii="仿宋_GB2312" w:hAnsi="仿宋_GB2312" w:eastAsia="仿宋_GB2312" w:cs="仿宋_GB2312"/>
          <w:color w:val="auto"/>
          <w:szCs w:val="32"/>
          <w:highlight w:val="none"/>
        </w:rPr>
        <w:t>。</w:t>
      </w:r>
    </w:p>
    <w:p>
      <w:pPr>
        <w:spacing w:line="560" w:lineRule="exact"/>
        <w:ind w:left="0" w:leftChars="0" w:firstLine="632" w:firstLineChars="200"/>
        <w:rPr>
          <w:rFonts w:ascii="仿宋_GB2312" w:hAnsi="仿宋_GB2312" w:eastAsia="仿宋_GB2312" w:cs="仿宋_GB2312"/>
          <w:color w:val="auto"/>
          <w:kern w:val="0"/>
          <w:szCs w:val="32"/>
          <w:highlight w:val="none"/>
        </w:rPr>
      </w:pPr>
      <w:r>
        <w:rPr>
          <w:rFonts w:hint="eastAsia" w:ascii="楷体_GB2312" w:hAnsi="楷体_GB2312" w:eastAsia="楷体_GB2312" w:cs="楷体_GB2312"/>
          <w:bCs/>
          <w:color w:val="auto"/>
          <w:kern w:val="0"/>
          <w:szCs w:val="32"/>
          <w:highlight w:val="none"/>
          <w:lang w:eastAsia="zh-CN"/>
        </w:rPr>
        <w:t>（三）后续业务事项</w:t>
      </w:r>
    </w:p>
    <w:p>
      <w:pPr>
        <w:spacing w:line="560" w:lineRule="exact"/>
        <w:ind w:firstLine="632" w:firstLineChars="200"/>
        <w:rPr>
          <w:rFonts w:hint="eastAsia" w:ascii="仿宋_GB2312" w:eastAsia="仿宋_GB2312" w:cs="Times New Roman"/>
          <w:color w:val="auto"/>
          <w:szCs w:val="32"/>
          <w:highlight w:val="none"/>
        </w:rPr>
      </w:pPr>
      <w:r>
        <w:rPr>
          <w:rFonts w:hint="eastAsia" w:ascii="仿宋_GB2312" w:eastAsia="仿宋_GB2312"/>
          <w:color w:val="auto"/>
          <w:szCs w:val="32"/>
          <w:highlight w:val="none"/>
        </w:rPr>
        <w:t>定点</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eastAsia="仿宋_GB2312"/>
          <w:color w:val="auto"/>
          <w:szCs w:val="32"/>
          <w:highlight w:val="none"/>
          <w:lang w:eastAsia="zh-CN"/>
        </w:rPr>
        <w:t>签订协议后</w:t>
      </w:r>
      <w:r>
        <w:rPr>
          <w:rFonts w:hint="eastAsia" w:ascii="仿宋_GB2312" w:eastAsia="仿宋_GB2312"/>
          <w:color w:val="auto"/>
          <w:szCs w:val="32"/>
          <w:highlight w:val="none"/>
        </w:rPr>
        <w:t>及时完成维护信息、</w:t>
      </w:r>
      <w:r>
        <w:rPr>
          <w:rFonts w:hint="eastAsia" w:ascii="仿宋_GB2312" w:hAnsi="仿宋_GB2312" w:eastAsia="仿宋_GB2312" w:cs="仿宋_GB2312"/>
          <w:color w:val="auto"/>
          <w:kern w:val="0"/>
          <w:szCs w:val="32"/>
          <w:highlight w:val="none"/>
        </w:rPr>
        <w:t>价格档次告知</w:t>
      </w:r>
      <w:r>
        <w:rPr>
          <w:rFonts w:hint="eastAsia" w:ascii="仿宋_GB2312" w:hAnsi="仿宋_GB2312" w:eastAsia="仿宋_GB2312" w:cs="仿宋_GB2312"/>
          <w:color w:val="auto"/>
          <w:kern w:val="0"/>
          <w:szCs w:val="32"/>
          <w:highlight w:val="none"/>
          <w:lang w:eastAsia="zh-CN"/>
        </w:rPr>
        <w:t>、</w:t>
      </w:r>
      <w:r>
        <w:rPr>
          <w:rFonts w:hint="eastAsia" w:ascii="仿宋_GB2312" w:eastAsia="仿宋_GB2312"/>
          <w:color w:val="auto"/>
          <w:szCs w:val="32"/>
          <w:highlight w:val="none"/>
        </w:rPr>
        <w:t>悬挂医保定点标识、开通日审申诉账号和开通异地就医直接结算功能等后续</w:t>
      </w:r>
      <w:r>
        <w:rPr>
          <w:rFonts w:hint="eastAsia" w:ascii="仿宋_GB2312" w:eastAsia="仿宋_GB2312"/>
          <w:color w:val="auto"/>
          <w:szCs w:val="32"/>
          <w:highlight w:val="none"/>
          <w:lang w:eastAsia="zh-CN"/>
        </w:rPr>
        <w:t>事项</w:t>
      </w:r>
      <w:r>
        <w:rPr>
          <w:rFonts w:hint="eastAsia" w:ascii="仿宋_GB2312" w:eastAsia="仿宋_GB2312" w:cs="Times New Roman"/>
          <w:color w:val="auto"/>
          <w:szCs w:val="32"/>
          <w:highlight w:val="none"/>
          <w:lang w:eastAsia="zh-CN"/>
        </w:rPr>
        <w:t>（</w:t>
      </w:r>
      <w:r>
        <w:rPr>
          <w:rFonts w:hint="eastAsia" w:ascii="仿宋_GB2312" w:eastAsia="仿宋_GB2312" w:cs="Times New Roman"/>
          <w:color w:val="auto"/>
          <w:szCs w:val="32"/>
          <w:highlight w:val="none"/>
        </w:rPr>
        <w:t>具体要求见附件</w:t>
      </w:r>
      <w:r>
        <w:rPr>
          <w:rFonts w:hint="eastAsia" w:ascii="仿宋_GB2312" w:eastAsia="仿宋_GB2312" w:cs="Times New Roman"/>
          <w:color w:val="auto"/>
          <w:szCs w:val="32"/>
          <w:highlight w:val="none"/>
          <w:lang w:val="en-US" w:eastAsia="zh-CN"/>
        </w:rPr>
        <w:t>7</w:t>
      </w:r>
      <w:r>
        <w:rPr>
          <w:rFonts w:hint="eastAsia" w:ascii="仿宋_GB2312" w:eastAsia="仿宋_GB2312" w:cs="Times New Roman"/>
          <w:color w:val="auto"/>
          <w:szCs w:val="32"/>
          <w:highlight w:val="none"/>
          <w:lang w:eastAsia="zh-CN"/>
        </w:rPr>
        <w:t>）</w:t>
      </w:r>
      <w:r>
        <w:rPr>
          <w:rFonts w:hint="eastAsia" w:ascii="仿宋_GB2312" w:eastAsia="仿宋_GB2312" w:cs="Times New Roman"/>
          <w:color w:val="auto"/>
          <w:szCs w:val="32"/>
          <w:highlight w:val="none"/>
        </w:rPr>
        <w:t>。</w:t>
      </w:r>
    </w:p>
    <w:p>
      <w:pPr>
        <w:spacing w:line="560" w:lineRule="exact"/>
        <w:ind w:firstLine="632" w:firstLineChars="200"/>
        <w:rPr>
          <w:rFonts w:hint="eastAsia" w:ascii="黑体" w:hAnsi="黑体" w:eastAsia="黑体" w:cs="黑体"/>
          <w:color w:val="auto"/>
          <w:szCs w:val="32"/>
          <w:highlight w:val="none"/>
          <w:lang w:eastAsia="zh-CN"/>
        </w:rPr>
      </w:pPr>
      <w:r>
        <w:rPr>
          <w:rFonts w:hint="eastAsia" w:ascii="黑体" w:hAnsi="黑体" w:eastAsia="黑体" w:cs="黑体"/>
          <w:color w:val="auto"/>
          <w:szCs w:val="32"/>
          <w:highlight w:val="none"/>
          <w:lang w:eastAsia="zh-CN"/>
        </w:rPr>
        <w:t>八、</w:t>
      </w:r>
      <w:r>
        <w:rPr>
          <w:rFonts w:hint="eastAsia" w:ascii="黑体" w:hAnsi="黑体" w:eastAsia="黑体" w:cs="黑体"/>
          <w:b w:val="0"/>
          <w:bCs w:val="0"/>
          <w:color w:val="auto"/>
          <w:kern w:val="2"/>
          <w:sz w:val="32"/>
          <w:szCs w:val="32"/>
          <w:highlight w:val="none"/>
          <w:lang w:val="en-US" w:eastAsia="zh-CN" w:bidi="ar-SA"/>
        </w:rPr>
        <w:t>动态管理机制</w:t>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协议签订一年内，辖区医保分局结合风险等级进行分类管理，定期开展现场检查。经查实有欺诈骗保行为、为非定点机构提供医保费用结算、将医保结算设备转借改变使用场地、存在重大违法违规行为且可能造成医保基金重大损失、信息变更时弄虚作假、停业或歇业后未按规定向分局报告、未持续满足医保定点基本条件和评估要求等应解除医保协议情形的，将按照有关法律法规和协议约定进行处理。</w:t>
      </w:r>
    </w:p>
    <w:p>
      <w:pPr>
        <w:spacing w:line="560" w:lineRule="exact"/>
        <w:ind w:left="1896" w:leftChars="200" w:hanging="1264" w:hangingChars="400"/>
        <w:rPr>
          <w:rFonts w:hint="eastAsia" w:ascii="黑体" w:hAnsi="黑体" w:eastAsia="黑体" w:cs="黑体"/>
          <w:color w:val="auto"/>
          <w:szCs w:val="32"/>
          <w:highlight w:val="none"/>
          <w:lang w:eastAsia="zh-CN"/>
        </w:rPr>
      </w:pPr>
      <w:r>
        <w:rPr>
          <w:rFonts w:hint="eastAsia" w:ascii="黑体" w:hAnsi="黑体" w:eastAsia="黑体" w:cs="黑体"/>
          <w:color w:val="auto"/>
          <w:szCs w:val="32"/>
          <w:highlight w:val="none"/>
          <w:lang w:eastAsia="zh-CN"/>
        </w:rPr>
        <w:t>九、弄虚作假处理</w:t>
      </w:r>
    </w:p>
    <w:p>
      <w:pPr>
        <w:spacing w:line="560" w:lineRule="exact"/>
        <w:ind w:firstLine="632" w:firstLineChars="200"/>
        <w:rPr>
          <w:rFonts w:ascii="仿宋_GB2312" w:hAnsi="仿宋_GB2312" w:eastAsia="仿宋_GB2312" w:cs="仿宋_GB2312"/>
          <w:b w:val="0"/>
          <w:bCs w:val="0"/>
          <w:color w:val="auto"/>
          <w:kern w:val="0"/>
          <w:szCs w:val="32"/>
          <w:highlight w:val="none"/>
        </w:rPr>
      </w:pPr>
      <w:r>
        <w:rPr>
          <w:rFonts w:hint="eastAsia" w:ascii="仿宋_GB2312" w:hAnsi="仿宋_GB2312" w:eastAsia="仿宋_GB2312" w:cs="仿宋_GB2312"/>
          <w:b w:val="0"/>
          <w:bCs w:val="0"/>
          <w:color w:val="auto"/>
          <w:kern w:val="0"/>
          <w:szCs w:val="32"/>
          <w:highlight w:val="none"/>
          <w:lang w:eastAsia="zh-CN"/>
        </w:rPr>
        <w:t>在</w:t>
      </w:r>
      <w:r>
        <w:rPr>
          <w:rFonts w:ascii="仿宋_GB2312" w:hAnsi="仿宋_GB2312" w:eastAsia="仿宋_GB2312" w:cs="仿宋_GB2312"/>
          <w:bCs/>
          <w:color w:val="auto"/>
          <w:kern w:val="0"/>
          <w:szCs w:val="32"/>
          <w:highlight w:val="none"/>
        </w:rPr>
        <w:t>医保定点</w:t>
      </w:r>
      <w:r>
        <w:rPr>
          <w:rFonts w:hint="eastAsia" w:ascii="仿宋_GB2312" w:hAnsi="仿宋_GB2312" w:eastAsia="仿宋_GB2312" w:cs="仿宋_GB2312"/>
          <w:b w:val="0"/>
          <w:bCs w:val="0"/>
          <w:color w:val="auto"/>
          <w:kern w:val="0"/>
          <w:szCs w:val="32"/>
          <w:highlight w:val="none"/>
          <w:lang w:eastAsia="zh-CN"/>
        </w:rPr>
        <w:t>的申请受理、医保管理人员考核、书面</w:t>
      </w:r>
      <w:r>
        <w:rPr>
          <w:rFonts w:hint="eastAsia" w:ascii="仿宋_GB2312" w:hAnsi="仿宋_GB2312" w:eastAsia="仿宋_GB2312" w:cs="仿宋_GB2312"/>
          <w:b w:val="0"/>
          <w:bCs w:val="0"/>
          <w:color w:val="auto"/>
          <w:kern w:val="0"/>
          <w:szCs w:val="32"/>
          <w:highlight w:val="none"/>
          <w:lang w:val="en-US" w:eastAsia="zh-CN"/>
        </w:rPr>
        <w:t>/现场评估、现场复核和系统评估等过程中，</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b w:val="0"/>
          <w:bCs w:val="0"/>
          <w:color w:val="auto"/>
          <w:kern w:val="0"/>
          <w:szCs w:val="32"/>
          <w:highlight w:val="none"/>
          <w:lang w:eastAsia="zh-CN"/>
        </w:rPr>
        <w:t>存在弄虚作假行为的，辖区医保分局按所在不同阶段分类处理：未签订协议的，分局出具《不予受理回执》或《评估不合格告知书》，3年内不再受理该</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b w:val="0"/>
          <w:bCs w:val="0"/>
          <w:color w:val="auto"/>
          <w:kern w:val="0"/>
          <w:szCs w:val="32"/>
          <w:highlight w:val="none"/>
          <w:lang w:eastAsia="zh-CN"/>
        </w:rPr>
        <w:t>的定点申请；已签订医保协议的，按照协议约定处理。涉嫌违法犯罪的，同时移送有关单位处理。</w:t>
      </w:r>
    </w:p>
    <w:p>
      <w:pPr>
        <w:spacing w:line="560" w:lineRule="exact"/>
        <w:ind w:firstLine="632" w:firstLineChars="200"/>
        <w:rPr>
          <w:rFonts w:hint="eastAsia" w:ascii="楷体_GB2312" w:hAnsi="楷体_GB2312" w:eastAsia="楷体_GB2312" w:cs="楷体_GB2312"/>
          <w:b w:val="0"/>
          <w:bCs w:val="0"/>
          <w:color w:val="auto"/>
          <w:kern w:val="0"/>
          <w:sz w:val="32"/>
          <w:szCs w:val="32"/>
          <w:highlight w:val="none"/>
          <w:lang w:val="en-US" w:eastAsia="zh-CN"/>
        </w:rPr>
      </w:pPr>
      <w:r>
        <w:rPr>
          <w:rFonts w:hint="eastAsia" w:ascii="仿宋_GB2312" w:hAnsi="仿宋_GB2312" w:eastAsia="仿宋_GB2312" w:cs="仿宋_GB2312"/>
          <w:b w:val="0"/>
          <w:bCs w:val="0"/>
          <w:color w:val="auto"/>
          <w:kern w:val="0"/>
          <w:szCs w:val="32"/>
          <w:highlight w:val="none"/>
          <w:lang w:eastAsia="zh-CN"/>
        </w:rPr>
        <w:t>弄虚作假行为包括但不限于以下情形：在医保专业知识考核中作弊，未取得有关资格资质而进行虚假宣传，提供虚假、虚构、篡改或非全量全面的书面材料等。</w:t>
      </w:r>
    </w:p>
    <w:p>
      <w:pPr>
        <w:spacing w:line="560" w:lineRule="exact"/>
        <w:ind w:left="1896" w:leftChars="200" w:hanging="1264" w:hangingChars="400"/>
        <w:rPr>
          <w:rFonts w:hint="eastAsia" w:ascii="黑体" w:hAnsi="黑体" w:eastAsia="黑体" w:cs="黑体"/>
          <w:color w:val="auto"/>
          <w:szCs w:val="32"/>
          <w:highlight w:val="none"/>
          <w:lang w:eastAsia="zh-CN"/>
        </w:rPr>
      </w:pPr>
      <w:r>
        <w:rPr>
          <w:rFonts w:hint="eastAsia" w:ascii="黑体" w:hAnsi="黑体" w:eastAsia="黑体" w:cs="黑体"/>
          <w:color w:val="auto"/>
          <w:szCs w:val="32"/>
          <w:highlight w:val="none"/>
          <w:lang w:eastAsia="zh-CN"/>
        </w:rPr>
        <w:t>十、其他事项</w:t>
      </w:r>
    </w:p>
    <w:p>
      <w:pPr>
        <w:spacing w:line="560" w:lineRule="exact"/>
        <w:ind w:firstLine="632" w:firstLineChars="200"/>
        <w:rPr>
          <w:rFonts w:hint="eastAsia" w:ascii="仿宋_GB2312" w:hAnsi="仿宋_GB2312" w:eastAsia="仿宋_GB2312" w:cs="仿宋_GB2312"/>
          <w:color w:val="auto"/>
          <w:kern w:val="0"/>
          <w:szCs w:val="32"/>
          <w:highlight w:val="none"/>
          <w:lang w:val="en-US" w:eastAsia="zh-CN"/>
        </w:rPr>
      </w:pPr>
      <w:r>
        <w:rPr>
          <w:rFonts w:hint="eastAsia" w:ascii="仿宋_GB2312" w:hAnsi="仿宋_GB2312" w:eastAsia="仿宋_GB2312" w:cs="仿宋_GB2312"/>
          <w:b w:val="0"/>
          <w:bCs w:val="0"/>
          <w:color w:val="auto"/>
          <w:kern w:val="0"/>
          <w:szCs w:val="32"/>
          <w:highlight w:val="none"/>
          <w:lang w:eastAsia="zh-CN"/>
        </w:rPr>
        <w:t>（一）</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b w:val="0"/>
          <w:bCs w:val="0"/>
          <w:color w:val="auto"/>
          <w:kern w:val="0"/>
          <w:szCs w:val="32"/>
          <w:highlight w:val="none"/>
          <w:lang w:val="en-US" w:eastAsia="zh-CN"/>
        </w:rPr>
        <w:t>自受理审核通过之日</w:t>
      </w:r>
      <w:r>
        <w:rPr>
          <w:rFonts w:hint="eastAsia" w:ascii="仿宋_GB2312" w:hAnsi="仿宋_GB2312" w:eastAsia="仿宋_GB2312" w:cs="仿宋_GB2312"/>
          <w:b w:val="0"/>
          <w:bCs w:val="0"/>
          <w:color w:val="auto"/>
          <w:kern w:val="0"/>
          <w:szCs w:val="32"/>
          <w:highlight w:val="none"/>
          <w:lang w:eastAsia="zh-CN"/>
        </w:rPr>
        <w:t>起至签订服务协议</w:t>
      </w:r>
      <w:r>
        <w:rPr>
          <w:rFonts w:hint="eastAsia" w:ascii="仿宋_GB2312" w:hAnsi="仿宋_GB2312" w:eastAsia="仿宋_GB2312" w:cs="仿宋_GB2312"/>
          <w:color w:val="auto"/>
          <w:kern w:val="0"/>
          <w:szCs w:val="32"/>
          <w:highlight w:val="none"/>
          <w:lang w:eastAsia="zh-CN"/>
        </w:rPr>
        <w:t>，未在规定时限内完成医保管理人员考核、</w:t>
      </w:r>
      <w:r>
        <w:rPr>
          <w:rFonts w:hint="eastAsia" w:ascii="仿宋_GB2312" w:hAnsi="仿宋_GB2312" w:eastAsia="仿宋_GB2312" w:cs="仿宋_GB2312"/>
          <w:color w:val="auto"/>
          <w:kern w:val="0"/>
          <w:szCs w:val="32"/>
          <w:highlight w:val="none"/>
          <w:lang w:val="en-US" w:eastAsia="zh-CN"/>
        </w:rPr>
        <w:t>医保专网接入和系统接口开发改造等</w:t>
      </w:r>
      <w:r>
        <w:rPr>
          <w:rFonts w:hint="eastAsia" w:ascii="仿宋_GB2312" w:hAnsi="仿宋_GB2312" w:eastAsia="仿宋_GB2312" w:cs="仿宋_GB2312"/>
          <w:color w:val="auto"/>
          <w:kern w:val="0"/>
          <w:szCs w:val="32"/>
          <w:highlight w:val="none"/>
          <w:lang w:eastAsia="zh-CN"/>
        </w:rPr>
        <w:t>事项，或因自身原因主动申请撤回的，自逾期或撤回之日起</w:t>
      </w:r>
      <w:r>
        <w:rPr>
          <w:rFonts w:hint="eastAsia" w:ascii="仿宋_GB2312" w:hAnsi="仿宋_GB2312" w:eastAsia="仿宋_GB2312" w:cs="仿宋_GB2312"/>
          <w:color w:val="auto"/>
          <w:kern w:val="0"/>
          <w:szCs w:val="32"/>
          <w:highlight w:val="none"/>
          <w:lang w:val="en-US" w:eastAsia="zh-CN"/>
        </w:rPr>
        <w:t>3个月后方能再次申请医保定点。</w:t>
      </w:r>
    </w:p>
    <w:p>
      <w:pPr>
        <w:spacing w:line="560" w:lineRule="exact"/>
        <w:ind w:firstLine="632" w:firstLineChars="200"/>
        <w:rPr>
          <w:rFonts w:hint="eastAsia" w:ascii="仿宋_GB2312" w:hAnsi="仿宋_GB2312" w:eastAsia="仿宋_GB2312" w:cs="仿宋_GB2312"/>
          <w:color w:val="auto"/>
          <w:kern w:val="0"/>
          <w:szCs w:val="32"/>
          <w:highlight w:val="none"/>
          <w:lang w:val="en-US" w:eastAsia="zh-CN"/>
        </w:rPr>
      </w:pPr>
      <w:r>
        <w:rPr>
          <w:rFonts w:hint="eastAsia" w:ascii="仿宋_GB2312" w:hAnsi="仿宋_GB2312" w:eastAsia="仿宋_GB2312" w:cs="仿宋_GB2312"/>
          <w:color w:val="auto"/>
          <w:kern w:val="0"/>
          <w:szCs w:val="32"/>
          <w:highlight w:val="none"/>
          <w:lang w:eastAsia="zh-CN"/>
        </w:rPr>
        <w:t>（二）</w:t>
      </w:r>
      <w:r>
        <w:rPr>
          <w:rFonts w:hint="eastAsia" w:ascii="仿宋_GB2312" w:hAnsi="仿宋_GB2312" w:eastAsia="仿宋_GB2312" w:cs="仿宋_GB2312"/>
          <w:color w:val="auto"/>
          <w:kern w:val="0"/>
          <w:szCs w:val="32"/>
          <w:highlight w:val="none"/>
        </w:rPr>
        <w:t>本</w:t>
      </w:r>
      <w:r>
        <w:rPr>
          <w:rFonts w:hint="eastAsia" w:ascii="仿宋_GB2312" w:hAnsi="仿宋_GB2312" w:eastAsia="仿宋_GB2312" w:cs="仿宋_GB2312"/>
          <w:color w:val="auto"/>
          <w:kern w:val="0"/>
          <w:szCs w:val="32"/>
          <w:highlight w:val="none"/>
          <w:lang w:eastAsia="zh-CN"/>
        </w:rPr>
        <w:t>通知及附件中规定的</w:t>
      </w:r>
      <w:r>
        <w:rPr>
          <w:rFonts w:hint="eastAsia" w:ascii="仿宋_GB2312" w:hAnsi="仿宋_GB2312" w:eastAsia="仿宋_GB2312" w:cs="仿宋_GB2312"/>
          <w:color w:val="auto"/>
          <w:kern w:val="0"/>
          <w:szCs w:val="32"/>
          <w:highlight w:val="none"/>
          <w:lang w:val="en-US" w:eastAsia="zh-CN"/>
        </w:rPr>
        <w:t>月和年</w:t>
      </w:r>
      <w:r>
        <w:rPr>
          <w:rFonts w:hint="eastAsia" w:ascii="仿宋_GB2312" w:hAnsi="仿宋_GB2312" w:eastAsia="仿宋_GB2312" w:cs="仿宋_GB2312"/>
          <w:color w:val="auto"/>
          <w:kern w:val="0"/>
          <w:szCs w:val="32"/>
          <w:highlight w:val="none"/>
          <w:lang w:eastAsia="zh-CN"/>
        </w:rPr>
        <w:t>，是指从起始之日的下（上）个自然日起算</w:t>
      </w:r>
      <w:r>
        <w:rPr>
          <w:rFonts w:hint="eastAsia" w:ascii="仿宋_GB2312" w:hAnsi="仿宋_GB2312" w:eastAsia="仿宋_GB2312" w:cs="仿宋_GB2312"/>
          <w:color w:val="auto"/>
          <w:kern w:val="0"/>
          <w:szCs w:val="32"/>
          <w:highlight w:val="none"/>
          <w:lang w:val="en-US" w:eastAsia="zh-CN"/>
        </w:rPr>
        <w:t>30个自然日和365个自然日。</w:t>
      </w:r>
    </w:p>
    <w:p>
      <w:pPr>
        <w:spacing w:line="560" w:lineRule="exact"/>
        <w:ind w:firstLine="632" w:firstLineChars="200"/>
        <w:rPr>
          <w:rFonts w:ascii="仿宋_GB2312" w:hAnsi="仿宋_GB2312" w:eastAsia="仿宋_GB2312" w:cs="仿宋_GB2312"/>
          <w:b w:val="0"/>
          <w:bCs w:val="0"/>
          <w:color w:val="auto"/>
          <w:kern w:val="0"/>
          <w:szCs w:val="32"/>
          <w:highlight w:val="none"/>
        </w:rPr>
      </w:pPr>
      <w:r>
        <w:rPr>
          <w:rFonts w:hint="eastAsia" w:ascii="仿宋_GB2312" w:hAnsi="仿宋_GB2312" w:eastAsia="仿宋_GB2312" w:cs="仿宋_GB2312"/>
          <w:color w:val="auto"/>
          <w:kern w:val="0"/>
          <w:szCs w:val="32"/>
          <w:highlight w:val="none"/>
          <w:lang w:val="en-US" w:eastAsia="zh-CN"/>
        </w:rPr>
        <w:t>（三）</w:t>
      </w:r>
      <w:r>
        <w:rPr>
          <w:rFonts w:hint="eastAsia" w:ascii="仿宋_GB2312" w:hAnsi="仿宋_GB2312" w:eastAsia="仿宋_GB2312" w:cs="仿宋_GB2312"/>
          <w:b/>
          <w:bCs/>
          <w:color w:val="auto"/>
          <w:kern w:val="0"/>
          <w:szCs w:val="32"/>
          <w:highlight w:val="none"/>
          <w:lang w:val="en-US" w:eastAsia="zh-CN"/>
        </w:rPr>
        <w:t>2025年9月1日起</w:t>
      </w:r>
      <w:r>
        <w:rPr>
          <w:rFonts w:hint="eastAsia" w:ascii="仿宋_GB2312" w:hAnsi="仿宋_GB2312" w:eastAsia="仿宋_GB2312" w:cs="仿宋_GB2312"/>
          <w:color w:val="auto"/>
          <w:kern w:val="0"/>
          <w:szCs w:val="32"/>
          <w:highlight w:val="none"/>
          <w:lang w:val="en-US" w:eastAsia="zh-CN"/>
        </w:rPr>
        <w:t>受理的</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kern w:val="0"/>
          <w:szCs w:val="32"/>
          <w:highlight w:val="none"/>
          <w:lang w:val="en-US" w:eastAsia="zh-CN"/>
        </w:rPr>
        <w:t>申请医疗保障定点申请，按照本指引施行。原《深圳市医疗保险基金管理中心关于印发医药机构申请医疗保障定点指引的通知》（深医保中心发</w:t>
      </w:r>
      <w:r>
        <w:rPr>
          <w:rFonts w:hint="eastAsia" w:ascii="仿宋_GB2312" w:hAnsi="仿宋_GB2312" w:eastAsia="仿宋_GB2312" w:cs="仿宋_GB2312"/>
          <w:color w:val="auto"/>
          <w:szCs w:val="32"/>
          <w:highlight w:val="none"/>
        </w:rPr>
        <w:t>〔202</w:t>
      </w:r>
      <w:r>
        <w:rPr>
          <w:rFonts w:hint="eastAsia" w:ascii="仿宋_GB2312" w:hAnsi="仿宋_GB2312" w:eastAsia="仿宋_GB2312" w:cs="仿宋_GB2312"/>
          <w:color w:val="auto"/>
          <w:szCs w:val="32"/>
          <w:highlight w:val="none"/>
          <w:lang w:val="en-US" w:eastAsia="zh-CN"/>
        </w:rPr>
        <w:t>2</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CN"/>
        </w:rPr>
        <w:t>59</w:t>
      </w:r>
      <w:r>
        <w:rPr>
          <w:rFonts w:hint="eastAsia" w:ascii="仿宋_GB2312" w:hAnsi="仿宋_GB2312" w:eastAsia="仿宋_GB2312" w:cs="仿宋_GB2312"/>
          <w:color w:val="auto"/>
          <w:szCs w:val="32"/>
          <w:highlight w:val="none"/>
        </w:rPr>
        <w:t>号</w:t>
      </w:r>
      <w:r>
        <w:rPr>
          <w:rFonts w:hint="eastAsia" w:ascii="仿宋_GB2312" w:hAnsi="仿宋_GB2312" w:eastAsia="仿宋_GB2312" w:cs="仿宋_GB2312"/>
          <w:color w:val="auto"/>
          <w:kern w:val="0"/>
          <w:szCs w:val="32"/>
          <w:highlight w:val="none"/>
          <w:lang w:val="en-US" w:eastAsia="zh-CN"/>
        </w:rPr>
        <w:t>）</w:t>
      </w:r>
      <w:r>
        <w:rPr>
          <w:rFonts w:hint="eastAsia" w:ascii="仿宋_GB2312" w:hAnsi="仿宋_GB2312" w:eastAsia="仿宋_GB2312" w:cs="仿宋_GB2312"/>
          <w:color w:val="auto"/>
          <w:szCs w:val="32"/>
          <w:highlight w:val="none"/>
          <w:lang w:eastAsia="zh-CN"/>
        </w:rPr>
        <w:t>同时废止。</w:t>
      </w:r>
    </w:p>
    <w:p>
      <w:pPr>
        <w:spacing w:line="560" w:lineRule="exact"/>
        <w:ind w:left="1896" w:leftChars="200" w:hanging="1264" w:hangingChars="400"/>
        <w:rPr>
          <w:rFonts w:hint="eastAsia" w:ascii="仿宋_GB2312" w:eastAsia="仿宋_GB2312"/>
          <w:color w:val="auto"/>
          <w:szCs w:val="32"/>
          <w:highlight w:val="none"/>
        </w:rPr>
      </w:pPr>
    </w:p>
    <w:p>
      <w:pPr>
        <w:spacing w:line="560" w:lineRule="exact"/>
        <w:ind w:left="1896" w:leftChars="200" w:hanging="1264" w:hangingChars="400"/>
        <w:rPr>
          <w:rFonts w:hint="eastAsia" w:ascii="仿宋_GB2312" w:hAnsi="仿宋_GB2312" w:eastAsia="仿宋_GB2312" w:cs="仿宋_GB2312"/>
          <w:b w:val="0"/>
          <w:bCs w:val="0"/>
          <w:color w:val="auto"/>
          <w:kern w:val="0"/>
          <w:szCs w:val="32"/>
          <w:highlight w:val="none"/>
          <w:lang w:val="en-US" w:eastAsia="zh-CN"/>
        </w:rPr>
      </w:pPr>
      <w:r>
        <w:rPr>
          <w:rFonts w:hint="eastAsia" w:ascii="仿宋_GB2312" w:eastAsia="仿宋_GB2312"/>
          <w:color w:val="auto"/>
          <w:szCs w:val="32"/>
          <w:highlight w:val="none"/>
        </w:rPr>
        <w:t>附件：</w:t>
      </w:r>
      <w:r>
        <w:rPr>
          <w:rFonts w:hint="eastAsia" w:ascii="仿宋_GB2312" w:hAnsi="仿宋_GB2312" w:eastAsia="仿宋_GB2312" w:cs="仿宋_GB2312"/>
          <w:b w:val="0"/>
          <w:bCs w:val="0"/>
          <w:color w:val="auto"/>
          <w:kern w:val="0"/>
          <w:szCs w:val="32"/>
          <w:highlight w:val="none"/>
          <w:lang w:val="en-US" w:eastAsia="zh-CN"/>
        </w:rPr>
        <w:t>1.</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b w:val="0"/>
          <w:bCs w:val="0"/>
          <w:color w:val="auto"/>
          <w:kern w:val="0"/>
          <w:szCs w:val="32"/>
          <w:highlight w:val="none"/>
          <w:lang w:val="en-US" w:eastAsia="zh-CN"/>
        </w:rPr>
        <w:t>申请医保定点流程图</w:t>
      </w:r>
    </w:p>
    <w:p>
      <w:pPr>
        <w:spacing w:line="560" w:lineRule="exact"/>
        <w:ind w:left="1896" w:leftChars="500" w:hanging="316" w:hangingChars="100"/>
        <w:rPr>
          <w:rFonts w:ascii="仿宋_GB2312" w:eastAsia="仿宋_GB2312"/>
          <w:color w:val="auto"/>
          <w:szCs w:val="32"/>
          <w:highlight w:val="none"/>
        </w:rPr>
      </w:pPr>
      <w:r>
        <w:rPr>
          <w:rFonts w:hint="eastAsia" w:ascii="仿宋_GB2312" w:eastAsia="仿宋_GB2312"/>
          <w:color w:val="auto"/>
          <w:szCs w:val="32"/>
          <w:highlight w:val="none"/>
          <w:lang w:val="en-US" w:eastAsia="zh-CN"/>
        </w:rPr>
        <w:t>2</w:t>
      </w:r>
      <w:r>
        <w:rPr>
          <w:rFonts w:hint="eastAsia" w:ascii="仿宋_GB2312" w:eastAsia="仿宋_GB2312"/>
          <w:color w:val="auto"/>
          <w:szCs w:val="32"/>
          <w:highlight w:val="none"/>
        </w:rPr>
        <w:t>.</w:t>
      </w:r>
      <w:r>
        <w:rPr>
          <w:rFonts w:hint="default" w:ascii="仿宋_GB2312" w:hAnsi="仿宋_GB2312" w:eastAsia="仿宋_GB2312" w:cs="仿宋_GB2312"/>
          <w:color w:val="auto"/>
          <w:kern w:val="0"/>
          <w:sz w:val="32"/>
          <w:szCs w:val="32"/>
          <w:highlight w:val="none"/>
          <w:lang w:val="en-US" w:eastAsia="zh-CN"/>
        </w:rPr>
        <w:t>国家</w:t>
      </w:r>
      <w:r>
        <w:rPr>
          <w:rFonts w:hint="eastAsia" w:ascii="仿宋_GB2312" w:hAnsi="仿宋_GB2312" w:eastAsia="仿宋_GB2312" w:cs="仿宋_GB2312"/>
          <w:color w:val="auto"/>
          <w:kern w:val="0"/>
          <w:sz w:val="32"/>
          <w:szCs w:val="32"/>
          <w:highlight w:val="none"/>
          <w:lang w:val="en-US" w:eastAsia="zh-CN"/>
        </w:rPr>
        <w:t>机构代码申请和人员信息维护步骤</w:t>
      </w:r>
    </w:p>
    <w:p>
      <w:pPr>
        <w:spacing w:line="560" w:lineRule="exact"/>
        <w:ind w:firstLine="1558" w:firstLineChars="493"/>
        <w:jc w:val="left"/>
        <w:rPr>
          <w:rFonts w:ascii="仿宋_GB2312" w:hAnsi="仿宋_GB2312" w:eastAsia="仿宋_GB2312" w:cs="仿宋_GB2312"/>
          <w:color w:val="auto"/>
          <w:kern w:val="0"/>
          <w:szCs w:val="32"/>
          <w:highlight w:val="none"/>
        </w:rPr>
      </w:pPr>
      <w:r>
        <w:rPr>
          <w:rFonts w:hint="eastAsia" w:ascii="仿宋_GB2312" w:hAnsi="仿宋_GB2312" w:eastAsia="仿宋_GB2312" w:cs="仿宋_GB2312"/>
          <w:color w:val="auto"/>
          <w:kern w:val="0"/>
          <w:szCs w:val="32"/>
          <w:highlight w:val="none"/>
          <w:lang w:val="en-US" w:eastAsia="zh-CN"/>
        </w:rPr>
        <w:t>3</w:t>
      </w:r>
      <w:r>
        <w:rPr>
          <w:rFonts w:hint="eastAsia" w:ascii="仿宋_GB2312" w:hAnsi="仿宋_GB2312" w:eastAsia="仿宋_GB2312" w:cs="仿宋_GB2312"/>
          <w:color w:val="auto"/>
          <w:kern w:val="0"/>
          <w:szCs w:val="32"/>
          <w:highlight w:val="none"/>
        </w:rPr>
        <w:t>.</w:t>
      </w:r>
      <w:r>
        <w:rPr>
          <w:rFonts w:hint="eastAsia" w:ascii="Times New Roman" w:hAnsi="Times New Roman" w:eastAsia="仿宋_GB2312" w:cs="Times New Roman"/>
          <w:bCs/>
          <w:color w:val="auto"/>
          <w:sz w:val="32"/>
          <w:szCs w:val="32"/>
          <w:highlight w:val="none"/>
          <w:lang w:eastAsia="zh-CN"/>
        </w:rPr>
        <w:t>零售药店</w:t>
      </w:r>
      <w:r>
        <w:rPr>
          <w:rFonts w:hint="eastAsia" w:ascii="仿宋_GB2312" w:hAnsi="仿宋_GB2312" w:eastAsia="仿宋_GB2312" w:cs="仿宋_GB2312"/>
          <w:color w:val="auto"/>
          <w:highlight w:val="none"/>
          <w:lang w:val="en-US" w:eastAsia="zh-CN"/>
        </w:rPr>
        <w:t>录入信息和申请材料具体要求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1580" w:firstLineChars="500"/>
        <w:textAlignment w:val="auto"/>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Cs w:val="32"/>
          <w:highlight w:val="none"/>
          <w:lang w:val="en-US" w:eastAsia="zh-CN"/>
        </w:rPr>
        <w:t>4.</w:t>
      </w:r>
      <w:r>
        <w:rPr>
          <w:rFonts w:hint="eastAsia" w:ascii="仿宋_GB2312" w:hAnsi="仿宋_GB2312" w:eastAsia="仿宋_GB2312" w:cs="仿宋_GB2312"/>
          <w:color w:val="auto"/>
          <w:szCs w:val="32"/>
          <w:highlight w:val="none"/>
        </w:rPr>
        <w:t>配合评估</w:t>
      </w:r>
      <w:r>
        <w:rPr>
          <w:rFonts w:hint="eastAsia" w:ascii="仿宋_GB2312" w:hAnsi="仿宋_GB2312" w:eastAsia="仿宋_GB2312" w:cs="仿宋_GB2312"/>
          <w:color w:val="auto"/>
          <w:sz w:val="32"/>
          <w:szCs w:val="32"/>
          <w:highlight w:val="none"/>
        </w:rPr>
        <w:t>材料清单</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1580" w:firstLineChars="500"/>
        <w:textAlignment w:val="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5.</w:t>
      </w:r>
      <w:r>
        <w:rPr>
          <w:rFonts w:hint="eastAsia" w:ascii="仿宋_GB2312" w:hAnsi="仿宋_GB2312" w:eastAsia="仿宋_GB2312" w:cs="仿宋_GB2312"/>
          <w:color w:val="auto"/>
          <w:szCs w:val="32"/>
          <w:highlight w:val="none"/>
        </w:rPr>
        <w:t>配合评估材料</w:t>
      </w:r>
      <w:r>
        <w:rPr>
          <w:rFonts w:hint="eastAsia" w:ascii="仿宋_GB2312" w:hAnsi="仿宋_GB2312" w:eastAsia="仿宋_GB2312" w:cs="仿宋_GB2312"/>
          <w:color w:val="auto"/>
          <w:szCs w:val="32"/>
          <w:highlight w:val="none"/>
          <w:lang w:eastAsia="zh-CN"/>
        </w:rPr>
        <w:t>具体要求</w:t>
      </w:r>
    </w:p>
    <w:p>
      <w:pPr>
        <w:spacing w:line="560" w:lineRule="exact"/>
        <w:ind w:firstLine="1580" w:firstLineChars="500"/>
        <w:rPr>
          <w:rFonts w:hint="eastAsia" w:eastAsia="仿宋_GB2312"/>
          <w:color w:val="auto"/>
          <w:sz w:val="32"/>
          <w:szCs w:val="32"/>
          <w:highlight w:val="none"/>
          <w:lang w:eastAsia="zh-CN"/>
        </w:rPr>
      </w:pPr>
      <w:r>
        <w:rPr>
          <w:rFonts w:hint="eastAsia" w:ascii="仿宋_GB2312" w:hAnsi="仿宋_GB2312" w:eastAsia="仿宋_GB2312" w:cs="仿宋_GB2312"/>
          <w:color w:val="auto"/>
          <w:kern w:val="0"/>
          <w:szCs w:val="32"/>
          <w:highlight w:val="none"/>
          <w:lang w:val="en-US" w:eastAsia="zh-CN"/>
        </w:rPr>
        <w:t>6.</w:t>
      </w:r>
      <w:r>
        <w:rPr>
          <w:rFonts w:hint="eastAsia" w:ascii="仿宋_GB2312" w:hAnsi="仿宋_GB2312" w:eastAsia="仿宋_GB2312" w:cs="仿宋_GB2312"/>
          <w:color w:val="auto"/>
          <w:kern w:val="0"/>
          <w:sz w:val="32"/>
          <w:szCs w:val="32"/>
          <w:highlight w:val="none"/>
          <w:lang w:val="en-US" w:eastAsia="zh-CN" w:bidi="ar-SA"/>
        </w:rPr>
        <w:t>签约所需材料</w:t>
      </w:r>
    </w:p>
    <w:p>
      <w:pPr>
        <w:spacing w:line="560" w:lineRule="exact"/>
        <w:ind w:firstLine="1580" w:firstLineChars="500"/>
        <w:rPr>
          <w:rFonts w:hint="eastAsia" w:ascii="仿宋_GB2312" w:hAnsi="仿宋_GB2312" w:eastAsia="仿宋_GB2312" w:cs="仿宋_GB2312"/>
          <w:color w:val="auto"/>
          <w:kern w:val="0"/>
          <w:szCs w:val="32"/>
          <w:highlight w:val="none"/>
        </w:rPr>
      </w:pPr>
      <w:r>
        <w:rPr>
          <w:rFonts w:hint="eastAsia" w:ascii="仿宋_GB2312" w:hAnsi="仿宋_GB2312" w:eastAsia="仿宋_GB2312" w:cs="仿宋_GB2312"/>
          <w:b w:val="0"/>
          <w:bCs w:val="0"/>
          <w:color w:val="auto"/>
          <w:kern w:val="0"/>
          <w:szCs w:val="32"/>
          <w:highlight w:val="none"/>
          <w:lang w:val="en-US" w:eastAsia="zh-CN"/>
        </w:rPr>
        <w:t>7.</w:t>
      </w:r>
      <w:r>
        <w:rPr>
          <w:rFonts w:hint="eastAsia" w:ascii="仿宋_GB2312" w:hAnsi="仿宋_GB2312" w:eastAsia="仿宋_GB2312" w:cs="仿宋_GB2312"/>
          <w:color w:val="auto"/>
          <w:kern w:val="0"/>
          <w:szCs w:val="32"/>
          <w:highlight w:val="none"/>
        </w:rPr>
        <w:t>后续业务事项操作要求</w:t>
      </w: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pStyle w:val="2"/>
        <w:rPr>
          <w:rFonts w:hint="eastAsia" w:ascii="黑体" w:hAnsi="黑体" w:eastAsia="黑体" w:cs="黑体"/>
          <w:b w:val="0"/>
          <w:bCs w:val="0"/>
          <w:color w:val="auto"/>
          <w:kern w:val="0"/>
          <w:szCs w:val="32"/>
          <w:highlight w:val="none"/>
          <w:lang w:val="en-US" w:eastAsia="zh-CN"/>
        </w:rPr>
      </w:pPr>
    </w:p>
    <w:p>
      <w:pPr>
        <w:pStyle w:val="2"/>
        <w:rPr>
          <w:rFonts w:hint="eastAsia" w:ascii="黑体" w:hAnsi="黑体" w:eastAsia="黑体" w:cs="黑体"/>
          <w:b w:val="0"/>
          <w:bCs w:val="0"/>
          <w:color w:val="auto"/>
          <w:kern w:val="0"/>
          <w:szCs w:val="32"/>
          <w:highlight w:val="none"/>
          <w:lang w:val="en-US" w:eastAsia="zh-CN"/>
        </w:rPr>
      </w:pPr>
    </w:p>
    <w:p>
      <w:pPr>
        <w:pStyle w:val="2"/>
        <w:rPr>
          <w:rFonts w:hint="eastAsia" w:ascii="黑体" w:hAnsi="黑体" w:eastAsia="黑体" w:cs="黑体"/>
          <w:b w:val="0"/>
          <w:bCs w:val="0"/>
          <w:color w:val="auto"/>
          <w:kern w:val="0"/>
          <w:szCs w:val="32"/>
          <w:highlight w:val="none"/>
          <w:lang w:val="en-US" w:eastAsia="zh-CN"/>
        </w:rPr>
      </w:pPr>
    </w:p>
    <w:p>
      <w:pPr>
        <w:pStyle w:val="2"/>
        <w:rPr>
          <w:rFonts w:hint="eastAsia" w:ascii="黑体" w:hAnsi="黑体" w:eastAsia="黑体" w:cs="黑体"/>
          <w:b w:val="0"/>
          <w:bCs w:val="0"/>
          <w:color w:val="auto"/>
          <w:kern w:val="0"/>
          <w:szCs w:val="32"/>
          <w:highlight w:val="none"/>
          <w:lang w:val="en-US" w:eastAsia="zh-CN"/>
        </w:rPr>
      </w:pPr>
    </w:p>
    <w:p>
      <w:pPr>
        <w:pStyle w:val="2"/>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eastAsia" w:ascii="黑体" w:hAnsi="黑体" w:eastAsia="黑体" w:cs="黑体"/>
          <w:b w:val="0"/>
          <w:bCs w:val="0"/>
          <w:color w:val="auto"/>
          <w:kern w:val="0"/>
          <w:szCs w:val="32"/>
          <w:highlight w:val="none"/>
          <w:lang w:val="en-US" w:eastAsia="zh-CN"/>
        </w:rPr>
      </w:pPr>
    </w:p>
    <w:p>
      <w:pPr>
        <w:spacing w:line="560" w:lineRule="exact"/>
        <w:rPr>
          <w:rFonts w:hint="default" w:ascii="黑体" w:hAnsi="黑体" w:eastAsia="黑体" w:cs="黑体"/>
          <w:b w:val="0"/>
          <w:bCs w:val="0"/>
          <w:color w:val="auto"/>
          <w:kern w:val="0"/>
          <w:szCs w:val="32"/>
          <w:highlight w:val="none"/>
          <w:lang w:val="en-US" w:eastAsia="zh-CN"/>
        </w:rPr>
      </w:pPr>
      <w:r>
        <w:rPr>
          <w:rFonts w:hint="eastAsia" w:ascii="黑体" w:hAnsi="黑体" w:eastAsia="黑体" w:cs="黑体"/>
          <w:b w:val="0"/>
          <w:bCs w:val="0"/>
          <w:color w:val="auto"/>
          <w:kern w:val="0"/>
          <w:szCs w:val="32"/>
          <w:highlight w:val="none"/>
          <w:lang w:val="en-US" w:eastAsia="zh-CN"/>
        </w:rPr>
        <w:t>附件1</w:t>
      </w:r>
    </w:p>
    <w:p>
      <w:pPr>
        <w:spacing w:line="560" w:lineRule="exact"/>
        <w:jc w:val="center"/>
        <w:rPr>
          <w:rFonts w:hint="eastAsia" w:ascii="方正小标宋简体" w:hAnsi="方正小标宋简体" w:eastAsia="方正小标宋简体" w:cs="方正小标宋简体"/>
          <w:b w:val="0"/>
          <w:bCs w:val="0"/>
          <w:color w:val="auto"/>
          <w:kern w:val="0"/>
          <w:sz w:val="36"/>
          <w:szCs w:val="36"/>
          <w:highlight w:val="none"/>
          <w:lang w:val="en-US" w:eastAsia="zh-CN"/>
        </w:rPr>
      </w:pPr>
      <w:r>
        <w:rPr>
          <w:rFonts w:hint="eastAsia" w:ascii="方正小标宋简体" w:hAnsi="方正小标宋简体" w:eastAsia="方正小标宋简体" w:cs="方正小标宋简体"/>
          <w:b w:val="0"/>
          <w:bCs w:val="0"/>
          <w:color w:val="auto"/>
          <w:kern w:val="0"/>
          <w:sz w:val="36"/>
          <w:szCs w:val="36"/>
          <w:highlight w:val="none"/>
          <w:lang w:val="en-US" w:eastAsia="zh-CN"/>
        </w:rPr>
        <w:t>零售药店申请医保定点流程图</w:t>
      </w:r>
    </w:p>
    <w:p>
      <w:pPr>
        <w:spacing w:line="560" w:lineRule="exact"/>
        <w:rPr>
          <w:rFonts w:hint="eastAsia" w:ascii="黑体" w:hAnsi="黑体" w:eastAsia="黑体" w:cs="黑体"/>
          <w:b w:val="0"/>
          <w:bCs w:val="0"/>
          <w:color w:val="auto"/>
          <w:kern w:val="0"/>
          <w:szCs w:val="32"/>
          <w:highlight w:val="none"/>
          <w:lang w:val="en-US" w:eastAsia="zh-CN"/>
        </w:rPr>
      </w:pPr>
    </w:p>
    <w:p>
      <w:pPr>
        <w:keepNext w:val="0"/>
        <w:keepLines w:val="0"/>
        <w:pageBreakBefore w:val="0"/>
        <w:widowControl w:val="0"/>
        <w:kinsoku/>
        <w:wordWrap/>
        <w:overflowPunct/>
        <w:topLinePunct w:val="0"/>
        <w:bidi w:val="0"/>
        <w:snapToGrid/>
        <w:spacing w:line="560" w:lineRule="atLeast"/>
        <w:textAlignment w:val="auto"/>
        <w:rPr>
          <w:rFonts w:hint="eastAsia" w:ascii="黑体" w:hAnsi="黑体" w:eastAsia="黑体" w:cs="黑体"/>
          <w:b w:val="0"/>
          <w:bCs w:val="0"/>
          <w:color w:val="auto"/>
          <w:kern w:val="0"/>
          <w:szCs w:val="32"/>
          <w:highlight w:val="none"/>
          <w:lang w:val="en-US" w:eastAsia="zh-CN"/>
        </w:rPr>
      </w:pPr>
      <w:r>
        <w:rPr>
          <w:rFonts w:hint="eastAsia" w:ascii="黑体" w:hAnsi="黑体" w:eastAsia="黑体" w:cs="黑体"/>
          <w:b w:val="0"/>
          <w:bCs w:val="0"/>
          <w:color w:val="auto"/>
          <w:kern w:val="0"/>
          <w:szCs w:val="32"/>
          <w:highlight w:val="none"/>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99060</wp:posOffset>
            </wp:positionV>
            <wp:extent cx="5611495" cy="5872480"/>
            <wp:effectExtent l="0" t="0" r="12065" b="10160"/>
            <wp:wrapSquare wrapText="bothSides"/>
            <wp:docPr id="2" name="图片 2" descr="指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指引流程图"/>
                    <pic:cNvPicPr>
                      <a:picLocks noChangeAspect="1"/>
                    </pic:cNvPicPr>
                  </pic:nvPicPr>
                  <pic:blipFill>
                    <a:blip r:embed="rId6"/>
                    <a:stretch>
                      <a:fillRect/>
                    </a:stretch>
                  </pic:blipFill>
                  <pic:spPr>
                    <a:xfrm>
                      <a:off x="0" y="0"/>
                      <a:ext cx="5611495" cy="5872480"/>
                    </a:xfrm>
                    <a:prstGeom prst="rect">
                      <a:avLst/>
                    </a:prstGeom>
                  </pic:spPr>
                </pic:pic>
              </a:graphicData>
            </a:graphic>
          </wp:anchor>
        </w:drawing>
      </w:r>
    </w:p>
    <w:p>
      <w:pPr>
        <w:keepNext w:val="0"/>
        <w:keepLines w:val="0"/>
        <w:pageBreakBefore w:val="0"/>
        <w:widowControl w:val="0"/>
        <w:kinsoku/>
        <w:wordWrap/>
        <w:overflowPunct/>
        <w:topLinePunct w:val="0"/>
        <w:bidi w:val="0"/>
        <w:snapToGrid/>
        <w:spacing w:line="560" w:lineRule="atLeast"/>
        <w:textAlignment w:val="auto"/>
        <w:rPr>
          <w:rFonts w:hint="eastAsia" w:ascii="黑体" w:hAnsi="黑体" w:eastAsia="黑体" w:cs="黑体"/>
          <w:b w:val="0"/>
          <w:bCs w:val="0"/>
          <w:color w:val="auto"/>
          <w:kern w:val="0"/>
          <w:szCs w:val="32"/>
          <w:highlight w:val="none"/>
          <w:lang w:val="en-US" w:eastAsia="zh-CN"/>
        </w:rPr>
      </w:pPr>
    </w:p>
    <w:p>
      <w:pPr>
        <w:pStyle w:val="2"/>
        <w:rPr>
          <w:rFonts w:hint="eastAsia" w:ascii="黑体" w:hAnsi="黑体" w:eastAsia="黑体" w:cs="黑体"/>
          <w:b w:val="0"/>
          <w:bCs w:val="0"/>
          <w:color w:val="auto"/>
          <w:kern w:val="0"/>
          <w:szCs w:val="32"/>
          <w:highlight w:val="none"/>
          <w:lang w:val="en-US" w:eastAsia="zh-CN"/>
        </w:rPr>
      </w:pPr>
    </w:p>
    <w:p>
      <w:pPr>
        <w:keepNext w:val="0"/>
        <w:keepLines w:val="0"/>
        <w:pageBreakBefore w:val="0"/>
        <w:widowControl w:val="0"/>
        <w:kinsoku/>
        <w:wordWrap/>
        <w:overflowPunct/>
        <w:topLinePunct w:val="0"/>
        <w:bidi w:val="0"/>
        <w:snapToGrid/>
        <w:spacing w:line="560" w:lineRule="atLeast"/>
        <w:textAlignment w:val="auto"/>
        <w:rPr>
          <w:rFonts w:hint="default" w:ascii="黑体" w:hAnsi="黑体" w:eastAsia="黑体" w:cs="黑体"/>
          <w:b w:val="0"/>
          <w:bCs w:val="0"/>
          <w:color w:val="auto"/>
          <w:kern w:val="0"/>
          <w:szCs w:val="32"/>
          <w:highlight w:val="none"/>
          <w:lang w:val="en-US" w:eastAsia="zh-CN"/>
        </w:rPr>
      </w:pPr>
      <w:r>
        <w:rPr>
          <w:rFonts w:hint="eastAsia" w:ascii="黑体" w:hAnsi="黑体" w:eastAsia="黑体" w:cs="黑体"/>
          <w:b w:val="0"/>
          <w:bCs w:val="0"/>
          <w:color w:val="auto"/>
          <w:kern w:val="0"/>
          <w:szCs w:val="32"/>
          <w:highlight w:val="none"/>
          <w:lang w:val="en-US" w:eastAsia="zh-CN"/>
        </w:rPr>
        <w:t>附件2-1</w:t>
      </w:r>
    </w:p>
    <w:p>
      <w:pPr>
        <w:keepNext w:val="0"/>
        <w:keepLines w:val="0"/>
        <w:pageBreakBefore w:val="0"/>
        <w:widowControl w:val="0"/>
        <w:kinsoku/>
        <w:wordWrap/>
        <w:overflowPunct/>
        <w:topLinePunct w:val="0"/>
        <w:autoSpaceDE/>
        <w:autoSpaceDN/>
        <w:bidi w:val="0"/>
        <w:adjustRightInd/>
        <w:snapToGrid/>
        <w:spacing w:line="560" w:lineRule="atLeast"/>
        <w:ind w:firstLine="0" w:firstLineChars="0"/>
        <w:jc w:val="center"/>
        <w:textAlignment w:val="auto"/>
        <w:rPr>
          <w:rFonts w:hint="eastAsia" w:ascii="方正小标宋简体" w:hAnsi="方正小标宋简体" w:eastAsia="方正小标宋简体" w:cs="方正小标宋简体"/>
          <w:color w:val="auto"/>
          <w:kern w:val="0"/>
          <w:sz w:val="36"/>
          <w:szCs w:val="36"/>
          <w:highlight w:val="none"/>
          <w:lang w:val="en-US" w:eastAsia="zh-CN"/>
        </w:rPr>
      </w:pPr>
      <w:r>
        <w:rPr>
          <w:rFonts w:hint="eastAsia" w:ascii="方正小标宋简体" w:hAnsi="方正小标宋简体" w:eastAsia="方正小标宋简体" w:cs="方正小标宋简体"/>
          <w:color w:val="auto"/>
          <w:kern w:val="0"/>
          <w:sz w:val="36"/>
          <w:szCs w:val="36"/>
          <w:highlight w:val="none"/>
          <w:lang w:val="en-US" w:eastAsia="zh-CN"/>
        </w:rPr>
        <w:t>国家机构代码申请步骤</w:t>
      </w:r>
    </w:p>
    <w:p>
      <w:pPr>
        <w:pStyle w:val="2"/>
        <w:keepNext w:val="0"/>
        <w:keepLines w:val="0"/>
        <w:pageBreakBefore w:val="0"/>
        <w:widowControl w:val="0"/>
        <w:kinsoku/>
        <w:wordWrap/>
        <w:overflowPunct/>
        <w:topLinePunct w:val="0"/>
        <w:bidi w:val="0"/>
        <w:snapToGrid/>
        <w:spacing w:line="560" w:lineRule="atLeas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default" w:ascii="黑体" w:hAnsi="黑体" w:eastAsia="黑体" w:cs="黑体"/>
          <w:b w:val="0"/>
          <w:bCs w:val="0"/>
          <w:color w:val="auto"/>
          <w:sz w:val="32"/>
          <w:szCs w:val="32"/>
          <w:highlight w:val="none"/>
          <w:lang w:val="en-US"/>
        </w:rPr>
      </w:pPr>
      <w:r>
        <w:rPr>
          <w:rFonts w:hint="eastAsia" w:ascii="黑体" w:hAnsi="黑体" w:eastAsia="黑体" w:cs="黑体"/>
          <w:b w:val="0"/>
          <w:bCs w:val="0"/>
          <w:color w:val="auto"/>
          <w:sz w:val="32"/>
          <w:szCs w:val="32"/>
          <w:highlight w:val="none"/>
        </w:rPr>
        <w:t>一、</w:t>
      </w:r>
      <w:r>
        <w:rPr>
          <w:rFonts w:hint="eastAsia" w:ascii="黑体" w:hAnsi="黑体" w:eastAsia="黑体" w:cs="黑体"/>
          <w:b w:val="0"/>
          <w:bCs w:val="0"/>
          <w:color w:val="auto"/>
          <w:sz w:val="32"/>
          <w:szCs w:val="32"/>
          <w:highlight w:val="none"/>
          <w:lang w:val="en-US" w:eastAsia="zh-CN"/>
        </w:rPr>
        <w:t>统一账号用户注册</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在手机应用市场（应用商店）下载国家医保服务平台APP（以下简称APP），下载完成后登录APP【立即注册】－【开始采集】肖像，首页右下角【我的】－【手机号绑定】－绑定方式【实人认证】－【立即绑定】－【开始采集】肖像－【绑定手机号】，完成后APP自动跳转至账号登录界面，输入手机号及密码登录，也可选择设置指纹登录。</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二、用户登录</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32"/>
          <w:szCs w:val="32"/>
          <w:highlight w:val="none"/>
        </w:rPr>
        <w:t>登录国家医保信息业务编码标准数据库动态维护系统</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网址：</w:t>
      </w:r>
      <w:r>
        <w:rPr>
          <w:rFonts w:hint="eastAsia" w:ascii="仿宋_GB2312" w:hAnsi="仿宋_GB2312" w:eastAsia="仿宋_GB2312" w:cs="仿宋_GB2312"/>
          <w:color w:val="auto"/>
          <w:sz w:val="32"/>
          <w:szCs w:val="32"/>
          <w:highlight w:val="none"/>
          <w:u w:val="none"/>
        </w:rPr>
        <w:t>https://code.nhsa.gov.cn/</w:t>
      </w:r>
      <w:r>
        <w:rPr>
          <w:rFonts w:hint="eastAsia" w:ascii="仿宋_GB2312" w:hAnsi="仿宋_GB2312" w:eastAsia="仿宋_GB2312" w:cs="仿宋_GB2312"/>
          <w:color w:val="auto"/>
          <w:sz w:val="32"/>
          <w:szCs w:val="32"/>
          <w:highlight w:val="none"/>
        </w:rPr>
        <w:t>，点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定点</w:t>
      </w:r>
      <w:r>
        <w:rPr>
          <w:rFonts w:hint="eastAsia" w:ascii="仿宋_GB2312" w:hAnsi="仿宋_GB2312" w:eastAsia="仿宋_GB2312" w:cs="仿宋_GB2312"/>
          <w:color w:val="auto"/>
          <w:sz w:val="32"/>
          <w:szCs w:val="32"/>
          <w:highlight w:val="none"/>
          <w:lang w:eastAsia="zh-CN"/>
        </w:rPr>
        <w:t>零售药店</w:t>
      </w:r>
      <w:r>
        <w:rPr>
          <w:rFonts w:hint="eastAsia" w:ascii="仿宋_GB2312" w:hAnsi="仿宋_GB2312" w:eastAsia="仿宋_GB2312" w:cs="仿宋_GB2312"/>
          <w:color w:val="auto"/>
          <w:sz w:val="32"/>
          <w:szCs w:val="32"/>
          <w:highlight w:val="none"/>
        </w:rPr>
        <w:t>代码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，进入登录页面。登录页面有两种登录方式：【统一账号登录】、【旧版用户登录】。【旧版用户登录】针对没有注册</w:t>
      </w:r>
      <w:r>
        <w:rPr>
          <w:rFonts w:hint="eastAsia" w:ascii="仿宋_GB2312" w:hAnsi="仿宋_GB2312" w:eastAsia="仿宋_GB2312" w:cs="仿宋_GB2312"/>
          <w:color w:val="auto"/>
          <w:sz w:val="32"/>
          <w:szCs w:val="32"/>
          <w:highlight w:val="none"/>
        </w:rPr>
        <w:t>统一</w:t>
      </w:r>
      <w:r>
        <w:rPr>
          <w:rFonts w:hint="eastAsia" w:ascii="仿宋_GB2312" w:hAnsi="仿宋_GB2312" w:eastAsia="仿宋_GB2312" w:cs="仿宋_GB2312"/>
          <w:color w:val="auto"/>
          <w:sz w:val="32"/>
          <w:szCs w:val="32"/>
          <w:highlight w:val="none"/>
          <w:lang w:val="en-US" w:eastAsia="zh-CN"/>
        </w:rPr>
        <w:t>账号的用户，可用</w:t>
      </w:r>
      <w:r>
        <w:rPr>
          <w:rFonts w:hint="eastAsia" w:ascii="仿宋_GB2312" w:hAnsi="仿宋_GB2312" w:eastAsia="仿宋_GB2312" w:cs="仿宋_GB2312"/>
          <w:color w:val="auto"/>
          <w:sz w:val="32"/>
          <w:szCs w:val="32"/>
          <w:highlight w:val="none"/>
        </w:rPr>
        <w:t>原</w:t>
      </w:r>
      <w:r>
        <w:rPr>
          <w:rFonts w:hint="eastAsia" w:ascii="仿宋_GB2312" w:hAnsi="仿宋_GB2312" w:eastAsia="仿宋_GB2312" w:cs="仿宋_GB2312"/>
          <w:color w:val="auto"/>
          <w:sz w:val="32"/>
          <w:szCs w:val="32"/>
          <w:highlight w:val="none"/>
          <w:lang w:val="en-US" w:eastAsia="zh-CN"/>
        </w:rPr>
        <w:t>注册</w:t>
      </w:r>
      <w:r>
        <w:rPr>
          <w:rFonts w:hint="eastAsia" w:ascii="仿宋_GB2312" w:hAnsi="仿宋_GB2312" w:eastAsia="仿宋_GB2312" w:cs="仿宋_GB2312"/>
          <w:color w:val="auto"/>
          <w:sz w:val="32"/>
          <w:szCs w:val="32"/>
          <w:highlight w:val="none"/>
        </w:rPr>
        <w:t>账号和密码登录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已注册</w:t>
      </w:r>
      <w:r>
        <w:rPr>
          <w:rFonts w:hint="eastAsia" w:ascii="仿宋_GB2312" w:hAnsi="仿宋_GB2312" w:eastAsia="仿宋_GB2312" w:cs="仿宋_GB2312"/>
          <w:color w:val="auto"/>
          <w:sz w:val="32"/>
          <w:szCs w:val="32"/>
          <w:highlight w:val="none"/>
        </w:rPr>
        <w:t>统一</w:t>
      </w:r>
      <w:r>
        <w:rPr>
          <w:rFonts w:hint="eastAsia" w:ascii="仿宋_GB2312" w:hAnsi="仿宋_GB2312" w:eastAsia="仿宋_GB2312" w:cs="仿宋_GB2312"/>
          <w:color w:val="auto"/>
          <w:sz w:val="32"/>
          <w:szCs w:val="32"/>
          <w:highlight w:val="none"/>
          <w:lang w:val="en-US" w:eastAsia="zh-CN"/>
        </w:rPr>
        <w:t>账号的用【统一账号登录】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【统一账号登录】有</w:t>
      </w:r>
      <w:r>
        <w:rPr>
          <w:rFonts w:hint="eastAsia" w:ascii="仿宋_GB2312" w:hAnsi="仿宋_GB2312" w:eastAsia="仿宋_GB2312" w:cs="仿宋_GB2312"/>
          <w:color w:val="auto"/>
          <w:sz w:val="32"/>
          <w:szCs w:val="32"/>
          <w:highlight w:val="none"/>
        </w:rPr>
        <w:t>两种</w:t>
      </w:r>
      <w:r>
        <w:rPr>
          <w:rFonts w:hint="eastAsia" w:ascii="仿宋_GB2312" w:hAnsi="仿宋_GB2312" w:eastAsia="仿宋_GB2312" w:cs="仿宋_GB2312"/>
          <w:color w:val="auto"/>
          <w:sz w:val="32"/>
          <w:szCs w:val="32"/>
          <w:highlight w:val="none"/>
          <w:lang w:val="en-US" w:eastAsia="zh-CN"/>
        </w:rPr>
        <w:t>登录</w:t>
      </w:r>
      <w:r>
        <w:rPr>
          <w:rFonts w:hint="eastAsia" w:ascii="仿宋_GB2312" w:hAnsi="仿宋_GB2312" w:eastAsia="仿宋_GB2312" w:cs="仿宋_GB2312"/>
          <w:color w:val="auto"/>
          <w:sz w:val="32"/>
          <w:szCs w:val="32"/>
          <w:highlight w:val="none"/>
        </w:rPr>
        <w:t>方</w:t>
      </w:r>
      <w:r>
        <w:rPr>
          <w:rFonts w:hint="eastAsia" w:ascii="仿宋_GB2312" w:hAnsi="仿宋_GB2312" w:eastAsia="仿宋_GB2312" w:cs="仿宋_GB2312"/>
          <w:color w:val="auto"/>
          <w:sz w:val="32"/>
          <w:szCs w:val="32"/>
          <w:highlight w:val="none"/>
          <w:lang w:val="en-US" w:eastAsia="zh-CN"/>
        </w:rPr>
        <w:t>式</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【二维码登录】、【个人账号登录】。</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（一）二维码登录</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登录APP，首页点【扫一扫】，扫描</w:t>
      </w:r>
      <w:r>
        <w:rPr>
          <w:rFonts w:hint="eastAsia" w:ascii="仿宋_GB2312" w:hAnsi="仿宋_GB2312" w:eastAsia="仿宋_GB2312" w:cs="仿宋_GB2312"/>
          <w:color w:val="auto"/>
          <w:sz w:val="32"/>
          <w:szCs w:val="32"/>
          <w:highlight w:val="none"/>
        </w:rPr>
        <w:t>动态维护系统</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二维码登录】界面的二维码，确认【同意授权】，</w:t>
      </w:r>
      <w:r>
        <w:rPr>
          <w:rFonts w:hint="eastAsia" w:ascii="仿宋_GB2312" w:hAnsi="仿宋_GB2312" w:eastAsia="仿宋_GB2312" w:cs="仿宋_GB2312"/>
          <w:color w:val="auto"/>
          <w:sz w:val="32"/>
          <w:szCs w:val="32"/>
          <w:highlight w:val="none"/>
        </w:rPr>
        <w:t>动态维护系统</w:t>
      </w:r>
      <w:r>
        <w:rPr>
          <w:rFonts w:hint="eastAsia" w:ascii="仿宋_GB2312" w:hAnsi="仿宋_GB2312" w:eastAsia="仿宋_GB2312" w:cs="仿宋_GB2312"/>
          <w:color w:val="auto"/>
          <w:sz w:val="32"/>
          <w:szCs w:val="32"/>
          <w:highlight w:val="none"/>
          <w:lang w:val="en-US" w:eastAsia="zh-CN"/>
        </w:rPr>
        <w:t>自动跳转至维护入口【用户授权列表】界面。</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（二）个人账号登录</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登录</w:t>
      </w:r>
      <w:r>
        <w:rPr>
          <w:rFonts w:hint="eastAsia" w:ascii="仿宋_GB2312" w:hAnsi="仿宋_GB2312" w:eastAsia="仿宋_GB2312" w:cs="仿宋_GB2312"/>
          <w:color w:val="auto"/>
          <w:sz w:val="32"/>
          <w:szCs w:val="32"/>
          <w:highlight w:val="none"/>
        </w:rPr>
        <w:t>动态维护系统</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个人账号登录】，输入手机号、密码、图形验证码、短信验证码，登录后</w:t>
      </w:r>
      <w:r>
        <w:rPr>
          <w:rFonts w:hint="eastAsia" w:ascii="仿宋_GB2312" w:hAnsi="仿宋_GB2312" w:eastAsia="仿宋_GB2312" w:cs="仿宋_GB2312"/>
          <w:color w:val="auto"/>
          <w:sz w:val="32"/>
          <w:szCs w:val="32"/>
          <w:highlight w:val="none"/>
        </w:rPr>
        <w:t>动态维护</w:t>
      </w:r>
      <w:r>
        <w:rPr>
          <w:rFonts w:hint="eastAsia" w:ascii="仿宋_GB2312" w:hAnsi="仿宋_GB2312" w:eastAsia="仿宋_GB2312" w:cs="仿宋_GB2312"/>
          <w:color w:val="auto"/>
          <w:sz w:val="32"/>
          <w:szCs w:val="32"/>
          <w:highlight w:val="none"/>
          <w:lang w:val="en-US" w:eastAsia="zh-CN"/>
        </w:rPr>
        <w:t>系统自动跳转至维护入口【用户授权列表】界面。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三、添加新授权</w:t>
      </w:r>
    </w:p>
    <w:p>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（一）注册信息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第一步</w:t>
      </w:r>
      <w:r>
        <w:rPr>
          <w:rFonts w:hint="eastAsia" w:ascii="仿宋_GB2312" w:hAnsi="仿宋_GB2312" w:eastAsia="仿宋_GB2312" w:cs="仿宋_GB2312"/>
          <w:color w:val="auto"/>
          <w:sz w:val="32"/>
          <w:szCs w:val="32"/>
          <w:lang w:val="en-US" w:eastAsia="zh-CN"/>
        </w:rPr>
        <w:t>，维护基本信息内容，上传用户身份证（正、反面）。</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第二步</w:t>
      </w:r>
      <w:r>
        <w:rPr>
          <w:rFonts w:hint="eastAsia" w:ascii="仿宋_GB2312" w:hAnsi="仿宋_GB2312" w:eastAsia="仿宋_GB2312" w:cs="仿宋_GB2312"/>
          <w:color w:val="auto"/>
          <w:sz w:val="32"/>
          <w:szCs w:val="32"/>
          <w:lang w:val="en-US" w:eastAsia="zh-CN"/>
        </w:rPr>
        <w:t>，选择角色类型并提交，角色类型选择“定点零售药店维护人员”角色。</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32"/>
          <w:szCs w:val="32"/>
          <w:lang w:val="en-US" w:eastAsia="zh-CN"/>
        </w:rPr>
        <w:t>所有带*号的内容为必填项（如图1-1）。</w:t>
      </w:r>
    </w:p>
    <w:p>
      <w:pPr>
        <w:jc w:val="center"/>
        <w:rPr>
          <w:color w:val="auto"/>
        </w:rPr>
      </w:pPr>
      <w:r>
        <w:rPr>
          <w:color w:val="auto"/>
        </w:rPr>
        <w:drawing>
          <wp:inline distT="0" distB="0" distL="114300" distR="114300">
            <wp:extent cx="5271770" cy="2574290"/>
            <wp:effectExtent l="0" t="0" r="127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770" cy="2574290"/>
                    </a:xfrm>
                    <a:prstGeom prst="rect">
                      <a:avLst/>
                    </a:prstGeom>
                    <a:noFill/>
                    <a:ln>
                      <a:noFill/>
                    </a:ln>
                  </pic:spPr>
                </pic:pic>
              </a:graphicData>
            </a:graphic>
          </wp:inline>
        </w:drawing>
      </w:r>
    </w:p>
    <w:p>
      <w:pPr>
        <w:jc w:val="center"/>
        <w:rPr>
          <w:rFonts w:hint="eastAsia" w:ascii="仿宋" w:hAnsi="仿宋" w:eastAsia="仿宋" w:cs="仿宋"/>
          <w:color w:val="auto"/>
          <w:lang w:val="en-US" w:eastAsia="zh-CN"/>
        </w:rPr>
      </w:pPr>
      <w:r>
        <w:rPr>
          <w:rFonts w:hint="eastAsia" w:ascii="仿宋_GB2312" w:hAnsi="仿宋_GB2312" w:eastAsia="仿宋_GB2312" w:cs="仿宋_GB2312"/>
          <w:color w:val="auto"/>
          <w:sz w:val="21"/>
          <w:szCs w:val="21"/>
          <w:lang w:val="en-US" w:eastAsia="zh-CN"/>
        </w:rPr>
        <w:t>图1-1</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注意事项：</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1.授权前应确保维护的信息准确，在提交前发现填写信息有错误的，重新修改维护提交。</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2.已经授权且被医保部门审核过的定点零售药店，不支持重复注册该定点零售药店的信息。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32"/>
          <w:szCs w:val="32"/>
          <w:lang w:val="en-US" w:eastAsia="zh-CN"/>
        </w:rPr>
        <w:t>3.所属地区须按照定点零售药店实际所在的医保业务区划进行维护，方便后续管理及查询账号。</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楷体_GB2312" w:hAnsi="楷体_GB2312" w:eastAsia="楷体_GB2312" w:cs="楷体_GB2312"/>
          <w:b w:val="0"/>
          <w:bCs w:val="0"/>
          <w:color w:val="auto"/>
          <w:sz w:val="32"/>
          <w:szCs w:val="32"/>
          <w:lang w:val="en-US"/>
        </w:rPr>
      </w:pPr>
      <w:r>
        <w:rPr>
          <w:rFonts w:hint="eastAsia" w:ascii="楷体_GB2312" w:hAnsi="楷体_GB2312" w:eastAsia="楷体_GB2312" w:cs="楷体_GB2312"/>
          <w:b w:val="0"/>
          <w:bCs w:val="0"/>
          <w:color w:val="auto"/>
          <w:sz w:val="32"/>
          <w:szCs w:val="32"/>
          <w:lang w:val="en-US" w:eastAsia="zh-CN"/>
        </w:rPr>
        <w:t>（二）零售药店信息维护授权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注册信息完成后，登录动态维护系统点击【药店维护】-【药店信息维护】-【新增】进行药店信息维护授权（如图1-2）。</w:t>
      </w:r>
    </w:p>
    <w:p>
      <w:pPr>
        <w:jc w:val="center"/>
        <w:rPr>
          <w:color w:val="auto"/>
        </w:rPr>
      </w:pPr>
      <w:r>
        <w:rPr>
          <w:color w:val="auto"/>
        </w:rPr>
        <w:drawing>
          <wp:inline distT="0" distB="0" distL="114300" distR="114300">
            <wp:extent cx="5262880" cy="1005205"/>
            <wp:effectExtent l="0" t="0" r="1016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2880" cy="1005205"/>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图1-2</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第一步</w:t>
      </w:r>
      <w:r>
        <w:rPr>
          <w:rFonts w:hint="eastAsia" w:ascii="仿宋_GB2312" w:hAnsi="仿宋_GB2312" w:eastAsia="仿宋_GB2312" w:cs="仿宋_GB2312"/>
          <w:color w:val="auto"/>
          <w:sz w:val="32"/>
          <w:szCs w:val="32"/>
          <w:lang w:val="en-US" w:eastAsia="zh-CN"/>
        </w:rPr>
        <w:t>，填写授权对象，授权类型选择个人的，系统自动显示被授权人名字及被授权人证件号码；选择企业的，系统自动显示被授权企业及统一社会信用代码，系统未显示被授权企业及统一社会信用代码的需手动输入相关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授权类型选择个人的，不能授权多家药店的信息维护；选择企业的，可以授权多家药店的信息维护。连锁药店统一进行授权信息维护的，授权类型建议选择企业。</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color w:val="auto"/>
          <w:lang w:val="en-US" w:eastAsia="zh-CN"/>
        </w:rPr>
      </w:pPr>
      <w:r>
        <w:rPr>
          <w:rFonts w:hint="eastAsia" w:ascii="仿宋_GB2312" w:hAnsi="仿宋_GB2312" w:eastAsia="仿宋_GB2312" w:cs="仿宋_GB2312"/>
          <w:b/>
          <w:bCs/>
          <w:color w:val="auto"/>
          <w:sz w:val="32"/>
          <w:szCs w:val="32"/>
          <w:lang w:val="en-US" w:eastAsia="zh-CN"/>
        </w:rPr>
        <w:t>第二步</w:t>
      </w:r>
      <w:r>
        <w:rPr>
          <w:rFonts w:hint="eastAsia" w:ascii="仿宋_GB2312" w:hAnsi="仿宋_GB2312" w:eastAsia="仿宋_GB2312" w:cs="仿宋_GB2312"/>
          <w:color w:val="auto"/>
          <w:sz w:val="32"/>
          <w:szCs w:val="32"/>
          <w:lang w:val="en-US" w:eastAsia="zh-CN"/>
        </w:rPr>
        <w:t>，选择药店，在药店列表栏空白处输入授权维护的定点零售药店的名称或统一社会信用代码，点击</w:t>
      </w:r>
      <w:r>
        <w:rPr>
          <w:rFonts w:hint="eastAsia" w:ascii="仿宋_GB2312" w:hAnsi="仿宋_GB2312" w:eastAsia="仿宋_GB2312" w:cs="仿宋_GB2312"/>
          <w:color w:val="auto"/>
        </w:rPr>
        <w:drawing>
          <wp:inline distT="0" distB="0" distL="114300" distR="114300">
            <wp:extent cx="247650" cy="238125"/>
            <wp:effectExtent l="0" t="0" r="11430" b="571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247650" cy="238125"/>
                    </a:xfrm>
                    <a:prstGeom prst="rect">
                      <a:avLst/>
                    </a:prstGeom>
                    <a:noFill/>
                    <a:ln>
                      <a:noFill/>
                    </a:ln>
                  </pic:spPr>
                </pic:pic>
              </a:graphicData>
            </a:graphic>
          </wp:inline>
        </w:drawing>
      </w:r>
      <w:r>
        <w:rPr>
          <w:rFonts w:hint="eastAsia" w:ascii="仿宋_GB2312" w:hAnsi="仿宋_GB2312" w:eastAsia="仿宋_GB2312" w:cs="仿宋_GB2312"/>
          <w:color w:val="auto"/>
          <w:sz w:val="32"/>
          <w:szCs w:val="32"/>
          <w:lang w:val="en-US" w:eastAsia="zh-CN"/>
        </w:rPr>
        <w:t>查询（如图1-3）；选择需要授权维护的定点零售药店，点击【生成授权文书并下载】（如图1-4），系统会自动弹出生成授权文书页面，另存到本地电脑，授权文书需打印及加盖单位公章，并扫描生成PDF格式。</w:t>
      </w:r>
    </w:p>
    <w:p>
      <w:pPr>
        <w:jc w:val="center"/>
        <w:rPr>
          <w:color w:val="auto"/>
        </w:rPr>
      </w:pPr>
      <w:r>
        <w:rPr>
          <w:color w:val="auto"/>
        </w:rPr>
        <w:drawing>
          <wp:inline distT="0" distB="0" distL="114300" distR="114300">
            <wp:extent cx="5265420" cy="1374140"/>
            <wp:effectExtent l="0" t="0" r="7620"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5420" cy="1374140"/>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图1-3</w:t>
      </w:r>
    </w:p>
    <w:p>
      <w:pPr>
        <w:jc w:val="center"/>
        <w:rPr>
          <w:color w:val="auto"/>
        </w:rPr>
      </w:pPr>
      <w:r>
        <w:rPr>
          <w:color w:val="auto"/>
        </w:rPr>
        <w:drawing>
          <wp:inline distT="0" distB="0" distL="114300" distR="114300">
            <wp:extent cx="5264785" cy="2762885"/>
            <wp:effectExtent l="0" t="0" r="8255" b="1079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64785" cy="2762885"/>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图1-4</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第三步</w:t>
      </w:r>
      <w:r>
        <w:rPr>
          <w:rFonts w:hint="eastAsia" w:ascii="仿宋_GB2312" w:hAnsi="仿宋_GB2312" w:eastAsia="仿宋_GB2312" w:cs="仿宋_GB2312"/>
          <w:color w:val="auto"/>
          <w:sz w:val="32"/>
          <w:szCs w:val="32"/>
          <w:lang w:val="en-US" w:eastAsia="zh-CN"/>
        </w:rPr>
        <w:t>，点击【授权文书上传】（如图1-5），上传PDF格式授权文书并确认（如图1-6）。上传授权文书时，如遇到系统无法正常识别的，可点击“附件无法识别时，如何操作？”链接查看帮助。授权文书需保证页面授权文书编号及二维码清晰，否则系统无法正常识别。</w:t>
      </w:r>
    </w:p>
    <w:p>
      <w:pPr>
        <w:jc w:val="center"/>
        <w:rPr>
          <w:color w:val="auto"/>
        </w:rPr>
      </w:pPr>
      <w:r>
        <w:rPr>
          <w:color w:val="auto"/>
        </w:rPr>
        <w:drawing>
          <wp:inline distT="0" distB="0" distL="114300" distR="114300">
            <wp:extent cx="5264150" cy="454660"/>
            <wp:effectExtent l="0" t="0" r="8890" b="254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2"/>
                    <a:stretch>
                      <a:fillRect/>
                    </a:stretch>
                  </pic:blipFill>
                  <pic:spPr>
                    <a:xfrm>
                      <a:off x="0" y="0"/>
                      <a:ext cx="5264150" cy="454660"/>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图1-5</w:t>
      </w:r>
    </w:p>
    <w:p>
      <w:pPr>
        <w:jc w:val="center"/>
        <w:rPr>
          <w:color w:val="auto"/>
        </w:rPr>
      </w:pPr>
      <w:r>
        <w:rPr>
          <w:color w:val="auto"/>
        </w:rPr>
        <w:drawing>
          <wp:inline distT="0" distB="0" distL="114300" distR="114300">
            <wp:extent cx="5266055" cy="2548255"/>
            <wp:effectExtent l="0" t="0" r="6985" b="1206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3"/>
                    <a:stretch>
                      <a:fillRect/>
                    </a:stretch>
                  </pic:blipFill>
                  <pic:spPr>
                    <a:xfrm>
                      <a:off x="0" y="0"/>
                      <a:ext cx="5266055" cy="2548255"/>
                    </a:xfrm>
                    <a:prstGeom prst="rect">
                      <a:avLst/>
                    </a:prstGeom>
                    <a:noFill/>
                    <a:ln>
                      <a:noFill/>
                    </a:ln>
                  </pic:spPr>
                </pic:pic>
              </a:graphicData>
            </a:graphic>
          </wp:inline>
        </w:drawing>
      </w:r>
    </w:p>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图1-6</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注意事项：</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（1）在药店列表搜索框中输入统一社会信用代码、药店名称等信息，不能被系统默认检索到时，可以在页面左下角处点击【新增】自行添加。</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（2）生成授权文书时，应避免重复点击【生成授权文书并下载】而造成的授权文书生成错误。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（3）新增药店信息如提示药店信息已存在，同时在授权页面搜索栏中也查询不到相应药店信息的，代表该药店信息已经存在并且已经被其他维护用户授权维护</w:t>
      </w:r>
      <w:r>
        <w:rPr>
          <w:rFonts w:hint="eastAsia" w:ascii="仿宋_GB2312" w:hAnsi="仿宋_GB2312" w:eastAsia="仿宋_GB2312" w:cs="仿宋_GB2312"/>
          <w:color w:val="auto"/>
          <w:sz w:val="32"/>
          <w:szCs w:val="32"/>
          <w:highlight w:val="none"/>
          <w:lang w:val="en-US" w:eastAsia="zh-CN"/>
        </w:rPr>
        <w:t>，可联系所在辖区的区县审核人员，在【用户管理】查询确认。</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（4）新增药店信息时，系统会根据药店的统一社会信用代码进行重复性判断，应严格按照证照上的单位名称及证件号码进行填写。</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四、绑定已有授权</w:t>
      </w:r>
    </w:p>
    <w:p>
      <w:pPr>
        <w:pStyle w:val="2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旧版用户注册统一账号后可通过【绑定已有授权】进行确认绑定（如图1-7）。输入旧版用户账号、密码确认绑定（如图1-8），绑定通过后用户授权列表页面会显示已绑定验证通过的账号角色（如图1-9）。登录系统时在用户授权列表中点击相应账号角色即可进入系统进行操作。</w:t>
      </w:r>
    </w:p>
    <w:p>
      <w:pPr>
        <w:keepNext w:val="0"/>
        <w:keepLines w:val="0"/>
        <w:pageBreakBefore w:val="0"/>
        <w:widowControl w:val="0"/>
        <w:kinsoku/>
        <w:wordWrap/>
        <w:overflowPunct/>
        <w:topLinePunct w:val="0"/>
        <w:autoSpaceDE/>
        <w:autoSpaceDN/>
        <w:bidi w:val="0"/>
        <w:adjustRightInd/>
        <w:snapToGrid/>
        <w:jc w:val="center"/>
        <w:textAlignment w:val="auto"/>
        <w:rPr>
          <w:color w:val="auto"/>
          <w:highlight w:val="none"/>
        </w:rPr>
      </w:pPr>
      <w:r>
        <w:rPr>
          <w:color w:val="auto"/>
          <w:highlight w:val="none"/>
        </w:rPr>
        <w:drawing>
          <wp:inline distT="0" distB="0" distL="114300" distR="114300">
            <wp:extent cx="5266690" cy="2011680"/>
            <wp:effectExtent l="0" t="0" r="635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4"/>
                    <a:stretch>
                      <a:fillRect/>
                    </a:stretch>
                  </pic:blipFill>
                  <pic:spPr>
                    <a:xfrm>
                      <a:off x="0" y="0"/>
                      <a:ext cx="5266690" cy="2011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图1-7</w:t>
      </w:r>
    </w:p>
    <w:p>
      <w:pPr>
        <w:keepNext w:val="0"/>
        <w:keepLines w:val="0"/>
        <w:pageBreakBefore w:val="0"/>
        <w:widowControl w:val="0"/>
        <w:kinsoku/>
        <w:wordWrap/>
        <w:overflowPunct/>
        <w:topLinePunct w:val="0"/>
        <w:autoSpaceDE/>
        <w:autoSpaceDN/>
        <w:bidi w:val="0"/>
        <w:adjustRightInd/>
        <w:snapToGrid/>
        <w:jc w:val="center"/>
        <w:textAlignment w:val="auto"/>
        <w:rPr>
          <w:color w:val="auto"/>
          <w:highlight w:val="none"/>
        </w:rPr>
      </w:pPr>
      <w:r>
        <w:rPr>
          <w:color w:val="auto"/>
          <w:highlight w:val="none"/>
        </w:rPr>
        <w:drawing>
          <wp:inline distT="0" distB="0" distL="114300" distR="114300">
            <wp:extent cx="5267325" cy="2468245"/>
            <wp:effectExtent l="0" t="0" r="5715" b="635"/>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pic:cNvPicPr>
                  </pic:nvPicPr>
                  <pic:blipFill>
                    <a:blip r:embed="rId15"/>
                    <a:stretch>
                      <a:fillRect/>
                    </a:stretch>
                  </pic:blipFill>
                  <pic:spPr>
                    <a:xfrm>
                      <a:off x="0" y="0"/>
                      <a:ext cx="5267325" cy="24682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图1-8</w:t>
      </w:r>
    </w:p>
    <w:p>
      <w:pPr>
        <w:keepNext w:val="0"/>
        <w:keepLines w:val="0"/>
        <w:pageBreakBefore w:val="0"/>
        <w:widowControl w:val="0"/>
        <w:kinsoku/>
        <w:wordWrap/>
        <w:overflowPunct/>
        <w:topLinePunct w:val="0"/>
        <w:autoSpaceDE/>
        <w:autoSpaceDN/>
        <w:bidi w:val="0"/>
        <w:adjustRightInd/>
        <w:snapToGrid/>
        <w:jc w:val="center"/>
        <w:textAlignment w:val="auto"/>
        <w:rPr>
          <w:color w:val="auto"/>
          <w:highlight w:val="none"/>
        </w:rPr>
      </w:pPr>
      <w:r>
        <w:rPr>
          <w:color w:val="auto"/>
          <w:highlight w:val="none"/>
        </w:rPr>
        <w:drawing>
          <wp:inline distT="0" distB="0" distL="114300" distR="114300">
            <wp:extent cx="5269865" cy="2518410"/>
            <wp:effectExtent l="0" t="0" r="3175" b="1143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pic:cNvPicPr>
                  </pic:nvPicPr>
                  <pic:blipFill>
                    <a:blip r:embed="rId16"/>
                    <a:stretch>
                      <a:fillRect/>
                    </a:stretch>
                  </pic:blipFill>
                  <pic:spPr>
                    <a:xfrm>
                      <a:off x="0" y="0"/>
                      <a:ext cx="5269865" cy="2518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图1-9</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五、完成授权后登录</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32"/>
          <w:szCs w:val="32"/>
          <w:highlight w:val="none"/>
          <w:lang w:val="en-US" w:eastAsia="zh-CN"/>
        </w:rPr>
        <w:t>统一账号用户完成授权</w:t>
      </w:r>
      <w:r>
        <w:rPr>
          <w:rFonts w:hint="eastAsia" w:ascii="仿宋_GB2312" w:hAnsi="仿宋_GB2312" w:eastAsia="仿宋_GB2312" w:cs="仿宋_GB2312"/>
          <w:color w:val="auto"/>
          <w:sz w:val="32"/>
          <w:szCs w:val="32"/>
          <w:highlight w:val="none"/>
        </w:rPr>
        <w:t>后登录动态维护</w:t>
      </w:r>
      <w:r>
        <w:rPr>
          <w:rFonts w:hint="eastAsia" w:ascii="仿宋_GB2312" w:hAnsi="仿宋_GB2312" w:eastAsia="仿宋_GB2312" w:cs="仿宋_GB2312"/>
          <w:color w:val="auto"/>
          <w:sz w:val="32"/>
          <w:szCs w:val="32"/>
          <w:highlight w:val="none"/>
          <w:lang w:val="en-US" w:eastAsia="zh-CN"/>
        </w:rPr>
        <w:t>系统</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在维护入口【用户授权列表】页面中</w:t>
      </w:r>
      <w:r>
        <w:rPr>
          <w:rFonts w:hint="eastAsia" w:ascii="仿宋_GB2312" w:hAnsi="仿宋_GB2312" w:eastAsia="仿宋_GB2312" w:cs="仿宋_GB2312"/>
          <w:color w:val="auto"/>
          <w:sz w:val="32"/>
          <w:szCs w:val="32"/>
          <w:highlight w:val="none"/>
        </w:rPr>
        <w:t>点击相应账号</w:t>
      </w:r>
      <w:r>
        <w:rPr>
          <w:rFonts w:hint="eastAsia" w:ascii="仿宋_GB2312" w:hAnsi="仿宋_GB2312" w:eastAsia="仿宋_GB2312" w:cs="仿宋_GB2312"/>
          <w:color w:val="auto"/>
          <w:sz w:val="32"/>
          <w:szCs w:val="32"/>
          <w:highlight w:val="none"/>
          <w:lang w:val="en-US" w:eastAsia="zh-CN"/>
        </w:rPr>
        <w:t>角色即可进入系统进行操作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如图1-10）</w:t>
      </w:r>
      <w:r>
        <w:rPr>
          <w:rFonts w:hint="eastAsia" w:ascii="仿宋_GB2312" w:hAnsi="仿宋_GB2312" w:eastAsia="仿宋_GB2312" w:cs="仿宋_GB2312"/>
          <w:color w:val="auto"/>
          <w:sz w:val="32"/>
          <w:szCs w:val="32"/>
          <w:highlight w:val="none"/>
        </w:rPr>
        <w:t>。</w:t>
      </w:r>
    </w:p>
    <w:p>
      <w:pPr>
        <w:jc w:val="center"/>
        <w:rPr>
          <w:rFonts w:hint="eastAsia"/>
          <w:color w:val="auto"/>
          <w:highlight w:val="none"/>
        </w:rPr>
      </w:pPr>
      <w:r>
        <w:rPr>
          <w:color w:val="auto"/>
          <w:highlight w:val="none"/>
        </w:rPr>
        <w:drawing>
          <wp:inline distT="0" distB="0" distL="114300" distR="114300">
            <wp:extent cx="5268595" cy="2017395"/>
            <wp:effectExtent l="0" t="0" r="4445" b="9525"/>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pic:cNvPicPr>
                      <a:picLocks noChangeAspect="1"/>
                    </pic:cNvPicPr>
                  </pic:nvPicPr>
                  <pic:blipFill>
                    <a:blip r:embed="rId17"/>
                    <a:stretch>
                      <a:fillRect/>
                    </a:stretch>
                  </pic:blipFill>
                  <pic:spPr>
                    <a:xfrm>
                      <a:off x="0" y="0"/>
                      <a:ext cx="5268595" cy="2017395"/>
                    </a:xfrm>
                    <a:prstGeom prst="rect">
                      <a:avLst/>
                    </a:prstGeom>
                    <a:noFill/>
                    <a:ln>
                      <a:noFill/>
                    </a:ln>
                  </pic:spPr>
                </pic:pic>
              </a:graphicData>
            </a:graphic>
          </wp:inline>
        </w:drawing>
      </w:r>
    </w:p>
    <w:p>
      <w:pPr>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图</w:t>
      </w:r>
      <w:r>
        <w:rPr>
          <w:rFonts w:hint="eastAsia" w:ascii="仿宋_GB2312" w:hAnsi="仿宋_GB2312" w:eastAsia="仿宋_GB2312" w:cs="仿宋_GB2312"/>
          <w:color w:val="auto"/>
          <w:sz w:val="21"/>
          <w:szCs w:val="21"/>
          <w:highlight w:val="none"/>
          <w:lang w:val="en-US" w:eastAsia="zh-CN"/>
        </w:rPr>
        <w:t>1-10</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管理入口</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是省级医保</w:t>
      </w:r>
      <w:r>
        <w:rPr>
          <w:rFonts w:hint="eastAsia" w:ascii="仿宋_GB2312" w:hAnsi="仿宋_GB2312" w:eastAsia="仿宋_GB2312" w:cs="仿宋_GB2312"/>
          <w:color w:val="auto"/>
          <w:sz w:val="32"/>
          <w:szCs w:val="32"/>
          <w:highlight w:val="none"/>
          <w:lang w:val="en-US" w:eastAsia="zh-CN"/>
        </w:rPr>
        <w:t>部门</w:t>
      </w:r>
      <w:r>
        <w:rPr>
          <w:rFonts w:hint="eastAsia" w:ascii="仿宋_GB2312" w:hAnsi="仿宋_GB2312" w:eastAsia="仿宋_GB2312" w:cs="仿宋_GB2312"/>
          <w:color w:val="auto"/>
          <w:sz w:val="32"/>
          <w:szCs w:val="32"/>
          <w:highlight w:val="none"/>
        </w:rPr>
        <w:t>进行注册授权的页面，</w:t>
      </w:r>
      <w:r>
        <w:rPr>
          <w:rFonts w:hint="eastAsia" w:ascii="仿宋_GB2312" w:hAnsi="仿宋_GB2312" w:eastAsia="仿宋_GB2312" w:cs="仿宋_GB2312"/>
          <w:color w:val="auto"/>
          <w:sz w:val="32"/>
          <w:szCs w:val="32"/>
          <w:highlight w:val="none"/>
          <w:lang w:val="en-US" w:eastAsia="zh-CN"/>
        </w:rPr>
        <w:t>定点零售药店</w:t>
      </w:r>
      <w:r>
        <w:rPr>
          <w:rFonts w:hint="eastAsia" w:ascii="仿宋_GB2312" w:hAnsi="仿宋_GB2312" w:eastAsia="仿宋_GB2312" w:cs="仿宋_GB2312"/>
          <w:color w:val="auto"/>
          <w:sz w:val="32"/>
          <w:szCs w:val="32"/>
          <w:highlight w:val="none"/>
        </w:rPr>
        <w:t>无需进行注册授权。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宋体"/>
          <w:color w:val="auto"/>
          <w:kern w:val="0"/>
          <w:sz w:val="32"/>
          <w:szCs w:val="32"/>
          <w:highlight w:val="none"/>
          <w:lang w:val="en-US" w:eastAsia="zh-CN"/>
        </w:rPr>
        <w:br w:type="page"/>
      </w:r>
      <w:r>
        <w:rPr>
          <w:rFonts w:hint="eastAsia" w:ascii="黑体" w:hAnsi="黑体" w:eastAsia="黑体" w:cs="宋体"/>
          <w:color w:val="auto"/>
          <w:kern w:val="0"/>
          <w:sz w:val="32"/>
          <w:szCs w:val="32"/>
          <w:highlight w:val="none"/>
          <w:lang w:val="en-US" w:eastAsia="zh-CN"/>
        </w:rPr>
        <w:t>六</w:t>
      </w:r>
      <w:r>
        <w:rPr>
          <w:rFonts w:hint="eastAsia" w:ascii="黑体" w:hAnsi="黑体" w:eastAsia="黑体" w:cs="黑体"/>
          <w:b w:val="0"/>
          <w:bCs w:val="0"/>
          <w:color w:val="auto"/>
          <w:sz w:val="32"/>
          <w:szCs w:val="32"/>
          <w:highlight w:val="none"/>
          <w:lang w:val="en-US" w:eastAsia="zh-CN"/>
        </w:rPr>
        <w:t>、进行零售药店信息维护</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【药店维护】-【药店信息维护】-【详情】-【维护】，进入信息维护页面维护（如图1-11、图1-12、图1-13）。</w:t>
      </w:r>
    </w:p>
    <w:p>
      <w:pPr>
        <w:jc w:val="center"/>
        <w:rPr>
          <w:color w:val="auto"/>
        </w:rPr>
      </w:pPr>
      <w:r>
        <w:rPr>
          <w:color w:val="auto"/>
        </w:rPr>
        <w:drawing>
          <wp:inline distT="0" distB="0" distL="114300" distR="114300">
            <wp:extent cx="5262880" cy="885825"/>
            <wp:effectExtent l="0" t="0" r="10160"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5262880" cy="885825"/>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图1-11</w:t>
      </w:r>
    </w:p>
    <w:p>
      <w:pPr>
        <w:jc w:val="center"/>
        <w:rPr>
          <w:color w:val="auto"/>
        </w:rPr>
      </w:pPr>
      <w:r>
        <w:rPr>
          <w:color w:val="auto"/>
        </w:rPr>
        <w:drawing>
          <wp:inline distT="0" distB="0" distL="114300" distR="114300">
            <wp:extent cx="5273675" cy="2380615"/>
            <wp:effectExtent l="0" t="0" r="14605" b="1206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9"/>
                    <a:stretch>
                      <a:fillRect/>
                    </a:stretch>
                  </pic:blipFill>
                  <pic:spPr>
                    <a:xfrm>
                      <a:off x="0" y="0"/>
                      <a:ext cx="5273675" cy="2380615"/>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图1-12</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sz w:val="32"/>
          <w:szCs w:val="32"/>
          <w:lang w:val="en-US" w:eastAsia="zh-CN"/>
        </w:rPr>
      </w:pPr>
      <w:r>
        <w:rPr>
          <w:color w:val="auto"/>
        </w:rPr>
        <w:drawing>
          <wp:inline distT="0" distB="0" distL="114300" distR="114300">
            <wp:extent cx="5268595" cy="1372235"/>
            <wp:effectExtent l="0" t="0" r="444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68595" cy="1372235"/>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图1-13</w:t>
      </w:r>
    </w:p>
    <w:p>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（一）填写信息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营业执照</w:t>
      </w:r>
    </w:p>
    <w:tbl>
      <w:tblPr>
        <w:tblStyle w:val="13"/>
        <w:tblW w:w="0" w:type="auto"/>
        <w:jc w:val="center"/>
        <w:tblLayout w:type="fixed"/>
        <w:tblCellMar>
          <w:top w:w="0" w:type="dxa"/>
          <w:left w:w="0" w:type="dxa"/>
          <w:bottom w:w="0" w:type="dxa"/>
          <w:right w:w="0" w:type="dxa"/>
        </w:tblCellMar>
      </w:tblPr>
      <w:tblGrid>
        <w:gridCol w:w="2418"/>
        <w:gridCol w:w="5792"/>
      </w:tblGrid>
      <w:tr>
        <w:trPr>
          <w:trHeight w:val="510"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lang w:val="en-US" w:eastAsia="zh-CN" w:bidi="ar"/>
              </w:rPr>
              <w:t>维护</w:t>
            </w:r>
            <w:r>
              <w:rPr>
                <w:rFonts w:hint="eastAsia" w:ascii="仿宋_GB2312" w:hAnsi="仿宋_GB2312" w:eastAsia="仿宋_GB2312" w:cs="仿宋_GB2312"/>
                <w:b/>
                <w:bCs/>
                <w:color w:val="auto"/>
                <w:kern w:val="0"/>
                <w:sz w:val="24"/>
                <w:szCs w:val="24"/>
                <w:lang w:bidi="ar"/>
              </w:rPr>
              <w:t>内容</w:t>
            </w:r>
          </w:p>
        </w:tc>
        <w:tc>
          <w:tcPr>
            <w:tcW w:w="57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lang w:val="en-US" w:eastAsia="zh-CN" w:bidi="ar"/>
              </w:rPr>
              <w:t>维护</w:t>
            </w:r>
            <w:r>
              <w:rPr>
                <w:rFonts w:hint="eastAsia" w:ascii="仿宋_GB2312" w:hAnsi="仿宋_GB2312" w:eastAsia="仿宋_GB2312" w:cs="仿宋_GB2312"/>
                <w:b/>
                <w:bCs/>
                <w:color w:val="auto"/>
                <w:kern w:val="0"/>
                <w:sz w:val="24"/>
                <w:szCs w:val="24"/>
                <w:lang w:bidi="ar"/>
              </w:rPr>
              <w:t>材料</w:t>
            </w:r>
          </w:p>
        </w:tc>
      </w:tr>
      <w:tr>
        <w:tblPrEx>
          <w:tblCellMar>
            <w:top w:w="0" w:type="dxa"/>
            <w:left w:w="0" w:type="dxa"/>
            <w:bottom w:w="0" w:type="dxa"/>
            <w:right w:w="0" w:type="dxa"/>
          </w:tblCellMar>
        </w:tblPrEx>
        <w:trPr>
          <w:trHeight w:val="440"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零售药店名称</w:t>
            </w:r>
          </w:p>
        </w:tc>
        <w:tc>
          <w:tcPr>
            <w:tcW w:w="579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ind w:firstLine="472" w:firstLineChars="200"/>
              <w:jc w:val="left"/>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维护内容与上传的</w:t>
            </w:r>
            <w:r>
              <w:rPr>
                <w:rFonts w:hint="eastAsia" w:ascii="仿宋_GB2312" w:hAnsi="仿宋_GB2312" w:eastAsia="仿宋_GB2312" w:cs="仿宋_GB2312"/>
                <w:color w:val="auto"/>
                <w:kern w:val="0"/>
                <w:sz w:val="24"/>
                <w:szCs w:val="24"/>
                <w:lang w:bidi="ar"/>
              </w:rPr>
              <w:t>《营业执照》</w:t>
            </w:r>
            <w:r>
              <w:rPr>
                <w:rFonts w:hint="eastAsia" w:ascii="仿宋_GB2312" w:hAnsi="仿宋_GB2312" w:eastAsia="仿宋_GB2312" w:cs="仿宋_GB2312"/>
                <w:color w:val="auto"/>
                <w:kern w:val="0"/>
                <w:sz w:val="24"/>
                <w:szCs w:val="24"/>
                <w:lang w:val="en-US" w:eastAsia="zh-CN" w:bidi="ar"/>
              </w:rPr>
              <w:t>正本信息一致</w:t>
            </w:r>
          </w:p>
        </w:tc>
      </w:tr>
      <w:tr>
        <w:tblPrEx>
          <w:tblCellMar>
            <w:top w:w="0" w:type="dxa"/>
            <w:left w:w="0" w:type="dxa"/>
            <w:bottom w:w="0" w:type="dxa"/>
            <w:right w:w="0" w:type="dxa"/>
          </w:tblCellMar>
        </w:tblPrEx>
        <w:trPr>
          <w:trHeight w:val="440"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统一社会信用代码</w:t>
            </w:r>
          </w:p>
        </w:tc>
        <w:tc>
          <w:tcPr>
            <w:tcW w:w="579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40"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注册资本</w:t>
            </w:r>
          </w:p>
        </w:tc>
        <w:tc>
          <w:tcPr>
            <w:tcW w:w="579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40"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住所</w:t>
            </w:r>
          </w:p>
        </w:tc>
        <w:tc>
          <w:tcPr>
            <w:tcW w:w="579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859"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法定代表人</w:t>
            </w:r>
          </w:p>
        </w:tc>
        <w:tc>
          <w:tcPr>
            <w:tcW w:w="5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72" w:firstLineChars="200"/>
              <w:jc w:val="both"/>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《营业执照》为投资人或负责人的填写《药品经营许可证》上的法定代表人</w:t>
            </w:r>
          </w:p>
        </w:tc>
      </w:tr>
      <w:tr>
        <w:tblPrEx>
          <w:tblCellMar>
            <w:top w:w="0" w:type="dxa"/>
            <w:left w:w="0" w:type="dxa"/>
            <w:bottom w:w="0" w:type="dxa"/>
            <w:right w:w="0" w:type="dxa"/>
          </w:tblCellMar>
        </w:tblPrEx>
        <w:trPr>
          <w:trHeight w:val="440"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法定代表人证件类型</w:t>
            </w:r>
          </w:p>
        </w:tc>
        <w:tc>
          <w:tcPr>
            <w:tcW w:w="579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ind w:firstLine="472" w:firstLineChars="200"/>
              <w:jc w:val="left"/>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填写法定代表人的有效身份证信息</w:t>
            </w:r>
          </w:p>
        </w:tc>
      </w:tr>
      <w:tr>
        <w:tblPrEx>
          <w:tblCellMar>
            <w:top w:w="0" w:type="dxa"/>
            <w:left w:w="0" w:type="dxa"/>
            <w:bottom w:w="0" w:type="dxa"/>
            <w:right w:w="0" w:type="dxa"/>
          </w:tblCellMar>
        </w:tblPrEx>
        <w:trPr>
          <w:trHeight w:val="440"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法定代表人证件号</w:t>
            </w:r>
          </w:p>
        </w:tc>
        <w:tc>
          <w:tcPr>
            <w:tcW w:w="579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left"/>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40" w:hRule="atLeast"/>
          <w:jc w:val="center"/>
        </w:trPr>
        <w:tc>
          <w:tcPr>
            <w:tcW w:w="24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电子文档</w:t>
            </w:r>
          </w:p>
        </w:tc>
        <w:tc>
          <w:tcPr>
            <w:tcW w:w="57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472"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val="en-US" w:eastAsia="zh-CN" w:bidi="ar"/>
              </w:rPr>
              <w:t>上传</w:t>
            </w:r>
            <w:r>
              <w:rPr>
                <w:rFonts w:hint="eastAsia" w:ascii="仿宋_GB2312" w:hAnsi="仿宋_GB2312" w:eastAsia="仿宋_GB2312" w:cs="仿宋_GB2312"/>
                <w:color w:val="auto"/>
                <w:kern w:val="0"/>
                <w:sz w:val="24"/>
                <w:szCs w:val="24"/>
                <w:lang w:bidi="ar"/>
              </w:rPr>
              <w:t>《营业执照》</w:t>
            </w:r>
            <w:r>
              <w:rPr>
                <w:rFonts w:hint="eastAsia" w:ascii="仿宋_GB2312" w:hAnsi="仿宋_GB2312" w:eastAsia="仿宋_GB2312" w:cs="仿宋_GB2312"/>
                <w:color w:val="auto"/>
                <w:kern w:val="0"/>
                <w:sz w:val="24"/>
                <w:szCs w:val="24"/>
                <w:lang w:val="en-US" w:eastAsia="zh-CN" w:bidi="ar"/>
              </w:rPr>
              <w:t>正本</w:t>
            </w:r>
          </w:p>
        </w:tc>
      </w:tr>
    </w:tbl>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经营许可证</w:t>
      </w:r>
    </w:p>
    <w:tbl>
      <w:tblPr>
        <w:tblStyle w:val="13"/>
        <w:tblW w:w="0" w:type="auto"/>
        <w:jc w:val="center"/>
        <w:tblLayout w:type="fixed"/>
        <w:tblCellMar>
          <w:top w:w="0" w:type="dxa"/>
          <w:left w:w="0" w:type="dxa"/>
          <w:bottom w:w="0" w:type="dxa"/>
          <w:right w:w="0" w:type="dxa"/>
        </w:tblCellMar>
      </w:tblPr>
      <w:tblGrid>
        <w:gridCol w:w="2466"/>
        <w:gridCol w:w="5760"/>
      </w:tblGrid>
      <w:tr>
        <w:trPr>
          <w:trHeight w:val="510" w:hRule="atLeast"/>
          <w:jc w:val="center"/>
        </w:trPr>
        <w:tc>
          <w:tcPr>
            <w:tcW w:w="24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维护</w:t>
            </w:r>
            <w:r>
              <w:rPr>
                <w:rFonts w:hint="eastAsia" w:ascii="仿宋_GB2312" w:hAnsi="仿宋_GB2312" w:eastAsia="仿宋_GB2312" w:cs="仿宋_GB2312"/>
                <w:b/>
                <w:bCs/>
                <w:color w:val="auto"/>
                <w:sz w:val="24"/>
                <w:szCs w:val="24"/>
              </w:rPr>
              <w:t>内容</w:t>
            </w:r>
          </w:p>
        </w:tc>
        <w:tc>
          <w:tcPr>
            <w:tcW w:w="576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维护</w:t>
            </w:r>
            <w:r>
              <w:rPr>
                <w:rFonts w:hint="eastAsia" w:ascii="仿宋_GB2312" w:hAnsi="仿宋_GB2312" w:eastAsia="仿宋_GB2312" w:cs="仿宋_GB2312"/>
                <w:b/>
                <w:bCs/>
                <w:color w:val="auto"/>
                <w:sz w:val="24"/>
                <w:szCs w:val="24"/>
              </w:rPr>
              <w:t>材料</w:t>
            </w:r>
          </w:p>
        </w:tc>
      </w:tr>
      <w:tr>
        <w:tblPrEx>
          <w:tblCellMar>
            <w:top w:w="0" w:type="dxa"/>
            <w:left w:w="0" w:type="dxa"/>
            <w:bottom w:w="0" w:type="dxa"/>
            <w:right w:w="0" w:type="dxa"/>
          </w:tblCellMar>
        </w:tblPrEx>
        <w:trPr>
          <w:trHeight w:val="440"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药品经营许可证号</w:t>
            </w:r>
          </w:p>
        </w:tc>
        <w:tc>
          <w:tcPr>
            <w:tcW w:w="5760"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ind w:firstLine="472"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维护内容与上传的</w:t>
            </w:r>
            <w:r>
              <w:rPr>
                <w:rFonts w:hint="eastAsia" w:ascii="仿宋_GB2312" w:hAnsi="仿宋_GB2312" w:eastAsia="仿宋_GB2312" w:cs="仿宋_GB2312"/>
                <w:color w:val="auto"/>
                <w:sz w:val="24"/>
                <w:szCs w:val="24"/>
              </w:rPr>
              <w:t>《药品经营许可证》</w:t>
            </w:r>
            <w:r>
              <w:rPr>
                <w:rFonts w:hint="eastAsia" w:ascii="仿宋_GB2312" w:hAnsi="仿宋_GB2312" w:eastAsia="仿宋_GB2312" w:cs="仿宋_GB2312"/>
                <w:color w:val="auto"/>
                <w:sz w:val="24"/>
                <w:szCs w:val="24"/>
                <w:lang w:val="en-US" w:eastAsia="zh-CN"/>
              </w:rPr>
              <w:t>正本信息一致</w:t>
            </w:r>
          </w:p>
        </w:tc>
      </w:tr>
      <w:tr>
        <w:tblPrEx>
          <w:tblCellMar>
            <w:top w:w="0" w:type="dxa"/>
            <w:left w:w="0" w:type="dxa"/>
            <w:bottom w:w="0" w:type="dxa"/>
            <w:right w:w="0" w:type="dxa"/>
          </w:tblCellMar>
        </w:tblPrEx>
        <w:trPr>
          <w:trHeight w:val="440"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经营方式</w:t>
            </w:r>
          </w:p>
        </w:tc>
        <w:tc>
          <w:tcPr>
            <w:tcW w:w="5760"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40"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发证日期</w:t>
            </w:r>
          </w:p>
        </w:tc>
        <w:tc>
          <w:tcPr>
            <w:tcW w:w="5760"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40"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有效期至</w:t>
            </w:r>
          </w:p>
        </w:tc>
        <w:tc>
          <w:tcPr>
            <w:tcW w:w="5760"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tc>
      </w:tr>
      <w:tr>
        <w:trPr>
          <w:trHeight w:val="440"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经营范围</w:t>
            </w:r>
          </w:p>
        </w:tc>
        <w:tc>
          <w:tcPr>
            <w:tcW w:w="5760"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tc>
      </w:tr>
      <w:tr>
        <w:trPr>
          <w:trHeight w:val="440"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企业负责人</w:t>
            </w:r>
          </w:p>
        </w:tc>
        <w:tc>
          <w:tcPr>
            <w:tcW w:w="5760"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799"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企业负责人联系方式</w:t>
            </w:r>
          </w:p>
        </w:tc>
        <w:tc>
          <w:tcPr>
            <w:tcW w:w="576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ind w:firstLine="472" w:firstLineChars="20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填写零售药店企业负责人的手机号码或固定电话</w:t>
            </w:r>
          </w:p>
        </w:tc>
      </w:tr>
      <w:tr>
        <w:tblPrEx>
          <w:tblCellMar>
            <w:top w:w="0" w:type="dxa"/>
            <w:left w:w="0" w:type="dxa"/>
            <w:bottom w:w="0" w:type="dxa"/>
            <w:right w:w="0" w:type="dxa"/>
          </w:tblCellMar>
        </w:tblPrEx>
        <w:trPr>
          <w:trHeight w:val="520"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经营状态</w:t>
            </w:r>
          </w:p>
        </w:tc>
        <w:tc>
          <w:tcPr>
            <w:tcW w:w="576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ind w:firstLine="472" w:firstLineChars="20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零售药店的经营状态</w:t>
            </w:r>
          </w:p>
        </w:tc>
      </w:tr>
      <w:tr>
        <w:tblPrEx>
          <w:tblCellMar>
            <w:top w:w="0" w:type="dxa"/>
            <w:left w:w="0" w:type="dxa"/>
            <w:bottom w:w="0" w:type="dxa"/>
            <w:right w:w="0" w:type="dxa"/>
          </w:tblCellMar>
        </w:tblPrEx>
        <w:trPr>
          <w:trHeight w:val="774" w:hRule="atLeast"/>
          <w:jc w:val="center"/>
        </w:trPr>
        <w:tc>
          <w:tcPr>
            <w:tcW w:w="24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电子文档</w:t>
            </w:r>
          </w:p>
        </w:tc>
        <w:tc>
          <w:tcPr>
            <w:tcW w:w="576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ind w:firstLine="472" w:firstLineChars="20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上传附件</w:t>
            </w:r>
            <w:r>
              <w:rPr>
                <w:rFonts w:hint="eastAsia" w:ascii="仿宋_GB2312" w:hAnsi="仿宋_GB2312" w:eastAsia="仿宋_GB2312" w:cs="仿宋_GB2312"/>
                <w:color w:val="auto"/>
                <w:kern w:val="0"/>
                <w:sz w:val="24"/>
                <w:szCs w:val="24"/>
                <w:lang w:bidi="ar"/>
              </w:rPr>
              <w:t>《药品经营许可证》</w:t>
            </w:r>
            <w:r>
              <w:rPr>
                <w:rFonts w:hint="eastAsia" w:ascii="仿宋_GB2312" w:hAnsi="仿宋_GB2312" w:eastAsia="仿宋_GB2312" w:cs="仿宋_GB2312"/>
                <w:color w:val="auto"/>
                <w:kern w:val="0"/>
                <w:sz w:val="24"/>
                <w:szCs w:val="24"/>
                <w:lang w:val="en-US" w:eastAsia="zh-CN" w:bidi="ar"/>
              </w:rPr>
              <w:t>正本，副本</w:t>
            </w:r>
            <w:r>
              <w:rPr>
                <w:rFonts w:hint="eastAsia" w:ascii="仿宋_GB2312" w:hAnsi="仿宋_GB2312" w:eastAsia="仿宋_GB2312" w:cs="仿宋_GB2312"/>
                <w:color w:val="auto"/>
                <w:sz w:val="24"/>
                <w:szCs w:val="24"/>
                <w:lang w:val="en-US" w:eastAsia="zh-CN"/>
              </w:rPr>
              <w:t>有变更登记记录事项的也应上传</w:t>
            </w:r>
          </w:p>
        </w:tc>
      </w:tr>
    </w:tbl>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其他</w:t>
      </w:r>
    </w:p>
    <w:tbl>
      <w:tblPr>
        <w:tblStyle w:val="13"/>
        <w:tblW w:w="0" w:type="auto"/>
        <w:jc w:val="center"/>
        <w:tblLayout w:type="fixed"/>
        <w:tblCellMar>
          <w:top w:w="0" w:type="dxa"/>
          <w:left w:w="0" w:type="dxa"/>
          <w:bottom w:w="0" w:type="dxa"/>
          <w:right w:w="0" w:type="dxa"/>
        </w:tblCellMar>
      </w:tblPr>
      <w:tblGrid>
        <w:gridCol w:w="2496"/>
        <w:gridCol w:w="5747"/>
      </w:tblGrid>
      <w:tr>
        <w:tblPrEx>
          <w:tblCellMar>
            <w:top w:w="0" w:type="dxa"/>
            <w:left w:w="0" w:type="dxa"/>
            <w:bottom w:w="0" w:type="dxa"/>
            <w:right w:w="0" w:type="dxa"/>
          </w:tblCellMar>
        </w:tblPrEx>
        <w:trPr>
          <w:trHeight w:val="510" w:hRule="atLeast"/>
          <w:jc w:val="center"/>
        </w:trPr>
        <w:tc>
          <w:tcPr>
            <w:tcW w:w="2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维护</w:t>
            </w:r>
            <w:r>
              <w:rPr>
                <w:rFonts w:hint="eastAsia" w:ascii="仿宋_GB2312" w:hAnsi="仿宋_GB2312" w:eastAsia="仿宋_GB2312" w:cs="仿宋_GB2312"/>
                <w:b/>
                <w:bCs/>
                <w:color w:val="auto"/>
                <w:sz w:val="24"/>
                <w:szCs w:val="24"/>
              </w:rPr>
              <w:t>内容</w:t>
            </w:r>
          </w:p>
        </w:tc>
        <w:tc>
          <w:tcPr>
            <w:tcW w:w="57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维护</w:t>
            </w:r>
            <w:r>
              <w:rPr>
                <w:rFonts w:hint="eastAsia" w:ascii="仿宋_GB2312" w:hAnsi="仿宋_GB2312" w:eastAsia="仿宋_GB2312" w:cs="仿宋_GB2312"/>
                <w:b/>
                <w:bCs/>
                <w:color w:val="auto"/>
                <w:sz w:val="24"/>
                <w:szCs w:val="24"/>
              </w:rPr>
              <w:t>材料</w:t>
            </w:r>
          </w:p>
        </w:tc>
      </w:tr>
      <w:tr>
        <w:tblPrEx>
          <w:tblCellMar>
            <w:top w:w="0" w:type="dxa"/>
            <w:left w:w="0" w:type="dxa"/>
            <w:bottom w:w="0" w:type="dxa"/>
            <w:right w:w="0" w:type="dxa"/>
          </w:tblCellMar>
        </w:tblPrEx>
        <w:trPr>
          <w:trHeight w:val="550" w:hRule="atLeast"/>
          <w:jc w:val="center"/>
        </w:trPr>
        <w:tc>
          <w:tcPr>
            <w:tcW w:w="2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医保统筹区</w:t>
            </w:r>
          </w:p>
        </w:tc>
        <w:tc>
          <w:tcPr>
            <w:tcW w:w="5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72"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根据零售药店业务</w:t>
            </w:r>
            <w:r>
              <w:rPr>
                <w:rFonts w:hint="eastAsia" w:ascii="仿宋_GB2312" w:hAnsi="仿宋_GB2312" w:eastAsia="仿宋_GB2312" w:cs="仿宋_GB2312"/>
                <w:color w:val="auto"/>
                <w:sz w:val="24"/>
                <w:szCs w:val="24"/>
              </w:rPr>
              <w:t>管理</w:t>
            </w:r>
            <w:r>
              <w:rPr>
                <w:rFonts w:hint="eastAsia" w:ascii="仿宋_GB2312" w:hAnsi="仿宋_GB2312" w:eastAsia="仿宋_GB2312" w:cs="仿宋_GB2312"/>
                <w:color w:val="auto"/>
                <w:sz w:val="24"/>
                <w:szCs w:val="24"/>
                <w:lang w:val="en-US" w:eastAsia="zh-CN"/>
              </w:rPr>
              <w:t>辖区填写</w:t>
            </w:r>
          </w:p>
        </w:tc>
      </w:tr>
      <w:tr>
        <w:tblPrEx>
          <w:tblCellMar>
            <w:top w:w="0" w:type="dxa"/>
            <w:left w:w="0" w:type="dxa"/>
            <w:bottom w:w="0" w:type="dxa"/>
            <w:right w:w="0" w:type="dxa"/>
          </w:tblCellMar>
        </w:tblPrEx>
        <w:trPr>
          <w:trHeight w:val="460" w:hRule="atLeast"/>
          <w:jc w:val="center"/>
        </w:trPr>
        <w:tc>
          <w:tcPr>
            <w:tcW w:w="2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详细地址</w:t>
            </w:r>
          </w:p>
        </w:tc>
        <w:tc>
          <w:tcPr>
            <w:tcW w:w="5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72" w:firstLineChars="200"/>
              <w:jc w:val="left"/>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color w:val="auto"/>
                <w:sz w:val="24"/>
                <w:szCs w:val="24"/>
                <w:lang w:val="en-US" w:eastAsia="zh-CN"/>
              </w:rPr>
              <w:t>根据上传的《药品经营许可证》的地址定位</w:t>
            </w:r>
          </w:p>
        </w:tc>
      </w:tr>
      <w:tr>
        <w:tblPrEx>
          <w:tblCellMar>
            <w:top w:w="0" w:type="dxa"/>
            <w:left w:w="0" w:type="dxa"/>
            <w:bottom w:w="0" w:type="dxa"/>
            <w:right w:w="0" w:type="dxa"/>
          </w:tblCellMar>
        </w:tblPrEx>
        <w:trPr>
          <w:trHeight w:val="799" w:hRule="atLeast"/>
          <w:jc w:val="center"/>
        </w:trPr>
        <w:tc>
          <w:tcPr>
            <w:tcW w:w="2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是否应用医保电子凭证</w:t>
            </w:r>
          </w:p>
        </w:tc>
        <w:tc>
          <w:tcPr>
            <w:tcW w:w="57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72"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指零售药店是否支持通过医保电子凭证进行账户查询和购药支付等工作</w:t>
            </w:r>
          </w:p>
        </w:tc>
      </w:tr>
      <w:tr>
        <w:tblPrEx>
          <w:tblCellMar>
            <w:top w:w="0" w:type="dxa"/>
            <w:left w:w="0" w:type="dxa"/>
            <w:bottom w:w="0" w:type="dxa"/>
            <w:right w:w="0" w:type="dxa"/>
          </w:tblCellMar>
        </w:tblPrEx>
        <w:trPr>
          <w:trHeight w:val="440" w:hRule="atLeast"/>
          <w:jc w:val="center"/>
        </w:trPr>
        <w:tc>
          <w:tcPr>
            <w:tcW w:w="2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开户银行</w:t>
            </w:r>
          </w:p>
        </w:tc>
        <w:tc>
          <w:tcPr>
            <w:tcW w:w="5747"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 xml:space="preserve">    填写该零售药店</w:t>
            </w:r>
            <w:r>
              <w:rPr>
                <w:rFonts w:hint="eastAsia" w:ascii="仿宋_GB2312" w:hAnsi="仿宋_GB2312" w:eastAsia="仿宋_GB2312" w:cs="仿宋_GB2312"/>
                <w:color w:val="auto"/>
                <w:sz w:val="24"/>
                <w:szCs w:val="24"/>
              </w:rPr>
              <w:t>的基本</w:t>
            </w:r>
            <w:r>
              <w:rPr>
                <w:rFonts w:hint="eastAsia" w:ascii="仿宋_GB2312" w:hAnsi="仿宋_GB2312" w:eastAsia="仿宋_GB2312" w:cs="仿宋_GB2312"/>
                <w:color w:val="auto"/>
                <w:sz w:val="24"/>
                <w:szCs w:val="24"/>
                <w:lang w:val="en-US" w:eastAsia="zh-CN"/>
              </w:rPr>
              <w:t>存款</w:t>
            </w:r>
            <w:r>
              <w:rPr>
                <w:rFonts w:hint="eastAsia" w:ascii="仿宋_GB2312" w:hAnsi="仿宋_GB2312" w:eastAsia="仿宋_GB2312" w:cs="仿宋_GB2312"/>
                <w:color w:val="auto"/>
                <w:sz w:val="24"/>
                <w:szCs w:val="24"/>
              </w:rPr>
              <w:t>账户</w:t>
            </w:r>
            <w:r>
              <w:rPr>
                <w:rFonts w:hint="eastAsia" w:ascii="仿宋_GB2312" w:hAnsi="仿宋_GB2312" w:eastAsia="仿宋_GB2312" w:cs="仿宋_GB2312"/>
                <w:color w:val="auto"/>
                <w:sz w:val="24"/>
                <w:szCs w:val="24"/>
                <w:lang w:val="en-US" w:eastAsia="zh-CN"/>
              </w:rPr>
              <w:t>信息</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银行开</w:t>
            </w:r>
            <w:r>
              <w:rPr>
                <w:rFonts w:hint="eastAsia" w:ascii="仿宋_GB2312" w:hAnsi="仿宋_GB2312" w:eastAsia="仿宋_GB2312" w:cs="仿宋_GB2312"/>
                <w:color w:val="auto"/>
                <w:sz w:val="24"/>
                <w:szCs w:val="24"/>
              </w:rPr>
              <w:t>户名</w:t>
            </w:r>
            <w:r>
              <w:rPr>
                <w:rFonts w:hint="eastAsia" w:ascii="仿宋_GB2312" w:hAnsi="仿宋_GB2312" w:eastAsia="仿宋_GB2312" w:cs="仿宋_GB2312"/>
                <w:color w:val="auto"/>
                <w:sz w:val="24"/>
                <w:szCs w:val="24"/>
                <w:lang w:val="en-US" w:eastAsia="zh-CN"/>
              </w:rPr>
              <w:t>称需</w:t>
            </w:r>
            <w:r>
              <w:rPr>
                <w:rFonts w:hint="eastAsia" w:ascii="仿宋_GB2312" w:hAnsi="仿宋_GB2312" w:eastAsia="仿宋_GB2312" w:cs="仿宋_GB2312"/>
                <w:color w:val="auto"/>
                <w:sz w:val="24"/>
                <w:szCs w:val="24"/>
              </w:rPr>
              <w:t>与</w:t>
            </w:r>
            <w:r>
              <w:rPr>
                <w:rFonts w:hint="eastAsia" w:ascii="仿宋_GB2312" w:hAnsi="仿宋_GB2312" w:eastAsia="仿宋_GB2312" w:cs="仿宋_GB2312"/>
                <w:color w:val="auto"/>
                <w:sz w:val="24"/>
                <w:szCs w:val="24"/>
                <w:lang w:val="en-US" w:eastAsia="zh-CN"/>
              </w:rPr>
              <w:t>该零售药店的</w:t>
            </w:r>
            <w:r>
              <w:rPr>
                <w:rFonts w:hint="eastAsia" w:ascii="仿宋_GB2312" w:hAnsi="仿宋_GB2312" w:eastAsia="仿宋_GB2312" w:cs="仿宋_GB2312"/>
                <w:color w:val="auto"/>
                <w:sz w:val="24"/>
                <w:szCs w:val="24"/>
              </w:rPr>
              <w:t>名称一致，没有基本</w:t>
            </w:r>
            <w:r>
              <w:rPr>
                <w:rFonts w:hint="eastAsia" w:ascii="仿宋_GB2312" w:hAnsi="仿宋_GB2312" w:eastAsia="仿宋_GB2312" w:cs="仿宋_GB2312"/>
                <w:color w:val="auto"/>
                <w:sz w:val="24"/>
                <w:szCs w:val="24"/>
                <w:lang w:val="en-US" w:eastAsia="zh-CN"/>
              </w:rPr>
              <w:t>存款</w:t>
            </w:r>
            <w:r>
              <w:rPr>
                <w:rFonts w:hint="eastAsia" w:ascii="仿宋_GB2312" w:hAnsi="仿宋_GB2312" w:eastAsia="仿宋_GB2312" w:cs="仿宋_GB2312"/>
                <w:color w:val="auto"/>
                <w:sz w:val="24"/>
                <w:szCs w:val="24"/>
              </w:rPr>
              <w:t>账户的</w:t>
            </w:r>
            <w:r>
              <w:rPr>
                <w:rFonts w:hint="eastAsia" w:ascii="仿宋_GB2312" w:hAnsi="仿宋_GB2312" w:eastAsia="仿宋_GB2312" w:cs="仿宋_GB2312"/>
                <w:color w:val="auto"/>
                <w:sz w:val="24"/>
                <w:szCs w:val="24"/>
                <w:lang w:val="en-US" w:eastAsia="zh-CN"/>
              </w:rPr>
              <w:t>药店</w:t>
            </w:r>
            <w:r>
              <w:rPr>
                <w:rFonts w:hint="eastAsia" w:ascii="仿宋_GB2312" w:hAnsi="仿宋_GB2312" w:eastAsia="仿宋_GB2312" w:cs="仿宋_GB2312"/>
                <w:color w:val="auto"/>
                <w:sz w:val="24"/>
                <w:szCs w:val="24"/>
              </w:rPr>
              <w:t>可以填</w:t>
            </w:r>
            <w:r>
              <w:rPr>
                <w:rFonts w:hint="eastAsia" w:ascii="仿宋_GB2312" w:hAnsi="仿宋_GB2312" w:eastAsia="仿宋_GB2312" w:cs="仿宋_GB2312"/>
                <w:color w:val="auto"/>
                <w:sz w:val="24"/>
                <w:szCs w:val="24"/>
                <w:lang w:val="en-US" w:eastAsia="zh-CN"/>
              </w:rPr>
              <w:t>所属机构基本存款账户信息</w:t>
            </w:r>
          </w:p>
        </w:tc>
      </w:tr>
      <w:tr>
        <w:tblPrEx>
          <w:tblCellMar>
            <w:top w:w="0" w:type="dxa"/>
            <w:left w:w="0" w:type="dxa"/>
            <w:bottom w:w="0" w:type="dxa"/>
            <w:right w:w="0" w:type="dxa"/>
          </w:tblCellMar>
        </w:tblPrEx>
        <w:trPr>
          <w:trHeight w:val="440" w:hRule="atLeast"/>
          <w:jc w:val="center"/>
        </w:trPr>
        <w:tc>
          <w:tcPr>
            <w:tcW w:w="2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银行开户名称</w:t>
            </w:r>
          </w:p>
        </w:tc>
        <w:tc>
          <w:tcPr>
            <w:tcW w:w="5747" w:type="dxa"/>
            <w:vMerge w:val="continue"/>
            <w:tcBorders>
              <w:left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szCs w:val="24"/>
              </w:rPr>
            </w:pPr>
          </w:p>
        </w:tc>
      </w:tr>
      <w:tr>
        <w:trPr>
          <w:trHeight w:val="440" w:hRule="atLeast"/>
          <w:jc w:val="center"/>
        </w:trPr>
        <w:tc>
          <w:tcPr>
            <w:tcW w:w="24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银行账号</w:t>
            </w:r>
          </w:p>
        </w:tc>
        <w:tc>
          <w:tcPr>
            <w:tcW w:w="5747"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40" w:hRule="atLeast"/>
          <w:jc w:val="center"/>
        </w:trPr>
        <w:tc>
          <w:tcPr>
            <w:tcW w:w="2496"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医保联系人</w:t>
            </w:r>
          </w:p>
        </w:tc>
        <w:tc>
          <w:tcPr>
            <w:tcW w:w="5747"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ind w:firstLine="472"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根据该零售药店的</w:t>
            </w:r>
            <w:r>
              <w:rPr>
                <w:rFonts w:hint="eastAsia" w:ascii="仿宋_GB2312" w:hAnsi="仿宋_GB2312" w:eastAsia="仿宋_GB2312" w:cs="仿宋_GB2312"/>
                <w:color w:val="auto"/>
                <w:sz w:val="24"/>
                <w:szCs w:val="24"/>
              </w:rPr>
              <w:t>实际情况</w:t>
            </w:r>
            <w:r>
              <w:rPr>
                <w:rFonts w:hint="eastAsia" w:ascii="仿宋_GB2312" w:hAnsi="仿宋_GB2312" w:eastAsia="仿宋_GB2312" w:cs="仿宋_GB2312"/>
                <w:color w:val="auto"/>
                <w:sz w:val="24"/>
                <w:szCs w:val="24"/>
                <w:lang w:val="en-US" w:eastAsia="zh-CN"/>
              </w:rPr>
              <w:t>正确</w:t>
            </w:r>
            <w:r>
              <w:rPr>
                <w:rFonts w:hint="eastAsia" w:ascii="仿宋_GB2312" w:hAnsi="仿宋_GB2312" w:eastAsia="仿宋_GB2312" w:cs="仿宋_GB2312"/>
                <w:color w:val="auto"/>
                <w:sz w:val="24"/>
                <w:szCs w:val="24"/>
              </w:rPr>
              <w:t>填写</w:t>
            </w:r>
          </w:p>
        </w:tc>
      </w:tr>
      <w:tr>
        <w:tblPrEx>
          <w:tblCellMar>
            <w:top w:w="0" w:type="dxa"/>
            <w:left w:w="0" w:type="dxa"/>
            <w:bottom w:w="0" w:type="dxa"/>
            <w:right w:w="0" w:type="dxa"/>
          </w:tblCellMar>
        </w:tblPrEx>
        <w:trPr>
          <w:trHeight w:val="440" w:hRule="atLeast"/>
          <w:jc w:val="center"/>
        </w:trPr>
        <w:tc>
          <w:tcPr>
            <w:tcW w:w="24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医保联系人电话</w:t>
            </w:r>
          </w:p>
        </w:tc>
        <w:tc>
          <w:tcPr>
            <w:tcW w:w="5747" w:type="dxa"/>
            <w:vMerge w:val="continue"/>
            <w:tcBorders>
              <w:left w:val="single" w:color="000000" w:sz="4" w:space="0"/>
              <w:right w:val="single" w:color="000000" w:sz="4" w:space="0"/>
            </w:tcBorders>
            <w:noWrap w:val="0"/>
            <w:vAlign w:val="center"/>
          </w:tcPr>
          <w:p>
            <w:pPr>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40" w:hRule="atLeast"/>
          <w:jc w:val="center"/>
        </w:trPr>
        <w:tc>
          <w:tcPr>
            <w:tcW w:w="24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邮箱</w:t>
            </w:r>
          </w:p>
        </w:tc>
        <w:tc>
          <w:tcPr>
            <w:tcW w:w="5747" w:type="dxa"/>
            <w:vMerge w:val="continue"/>
            <w:tcBorders>
              <w:left w:val="single" w:color="000000" w:sz="4" w:space="0"/>
              <w:bottom w:val="single" w:color="auto" w:sz="4" w:space="0"/>
              <w:right w:val="single" w:color="000000" w:sz="4" w:space="0"/>
            </w:tcBorders>
            <w:noWrap w:val="0"/>
            <w:vAlign w:val="center"/>
          </w:tcPr>
          <w:p>
            <w:pPr>
              <w:jc w:val="center"/>
              <w:rPr>
                <w:rFonts w:hint="eastAsia" w:ascii="仿宋_GB2312" w:hAnsi="仿宋_GB2312" w:eastAsia="仿宋_GB2312" w:cs="仿宋_GB2312"/>
                <w:color w:val="auto"/>
                <w:sz w:val="24"/>
                <w:szCs w:val="24"/>
              </w:rPr>
            </w:pPr>
          </w:p>
        </w:tc>
      </w:tr>
    </w:tbl>
    <w:p>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楷体" w:hAnsi="楷体" w:eastAsia="楷体" w:cs="楷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lang w:val="en-US" w:eastAsia="zh-CN"/>
        </w:rPr>
        <w:t>（二）</w:t>
      </w:r>
      <w:r>
        <w:rPr>
          <w:rFonts w:hint="eastAsia" w:ascii="楷体_GB2312" w:hAnsi="楷体_GB2312" w:eastAsia="楷体_GB2312" w:cs="楷体_GB2312"/>
          <w:b w:val="0"/>
          <w:bCs w:val="0"/>
          <w:color w:val="auto"/>
          <w:sz w:val="32"/>
          <w:szCs w:val="32"/>
        </w:rPr>
        <w:t>信息提交审核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信息提交前，需认真核实信息的准确性及资料的完整性，提交后不能重复维护。如有信息错误需修改的，根据信息页面的【详情】查看维护状态，联系相应医保部门退回处理。</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（三）信息审核及赋码</w:t>
      </w:r>
    </w:p>
    <w:p>
      <w:pPr>
        <w:pStyle w:val="2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信息提交后，医保部门审核人员进行审核，审核通过的系统自动识别统一社会信用代码进行唯一性赋码。</w:t>
      </w:r>
    </w:p>
    <w:p>
      <w:pPr>
        <w:pStyle w:val="2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bCs/>
          <w:color w:val="auto"/>
          <w:sz w:val="32"/>
          <w:szCs w:val="32"/>
          <w:lang w:val="en-US" w:eastAsia="zh-CN"/>
        </w:rPr>
        <w:t>零售药店维护状态为已入库的，视为已取得国家机构代码。原则上一证一码，不能重复申请多个机构代码！</w:t>
      </w:r>
    </w:p>
    <w:p>
      <w:pPr>
        <w:keepNext w:val="0"/>
        <w:keepLines w:val="0"/>
        <w:pageBreakBefore w:val="0"/>
        <w:widowControl w:val="0"/>
        <w:kinsoku/>
        <w:wordWrap/>
        <w:overflowPunct/>
        <w:topLinePunct w:val="0"/>
        <w:bidi w:val="0"/>
        <w:snapToGrid/>
        <w:spacing w:line="560" w:lineRule="exact"/>
        <w:jc w:val="center"/>
        <w:textAlignment w:val="auto"/>
        <w:rPr>
          <w:rFonts w:hint="eastAsia" w:ascii="仿宋_GB2312" w:hAnsi="仿宋_GB2312" w:eastAsia="仿宋_GB2312" w:cs="仿宋_GB2312"/>
          <w:b/>
          <w:bCs/>
          <w:color w:val="auto"/>
          <w:sz w:val="32"/>
          <w:szCs w:val="32"/>
          <w:highlight w:val="none"/>
          <w:lang w:val="en-US" w:eastAsia="zh-CN"/>
        </w:rPr>
      </w:pPr>
    </w:p>
    <w:p>
      <w:pPr>
        <w:keepNext w:val="0"/>
        <w:keepLines w:val="0"/>
        <w:pageBreakBefore w:val="0"/>
        <w:widowControl w:val="0"/>
        <w:kinsoku/>
        <w:wordWrap/>
        <w:overflowPunct/>
        <w:topLinePunct w:val="0"/>
        <w:bidi w:val="0"/>
        <w:snapToGrid/>
        <w:spacing w:line="560" w:lineRule="exact"/>
        <w:jc w:val="center"/>
        <w:textAlignment w:val="auto"/>
        <w:rPr>
          <w:rFonts w:hint="eastAsia" w:ascii="仿宋_GB2312" w:hAnsi="仿宋_GB2312" w:eastAsia="仿宋_GB2312" w:cs="仿宋_GB2312"/>
          <w:b/>
          <w:bCs/>
          <w:color w:val="auto"/>
          <w:sz w:val="32"/>
          <w:szCs w:val="32"/>
          <w:highlight w:val="none"/>
          <w:lang w:val="en-US" w:eastAsia="zh-CN"/>
        </w:rPr>
      </w:pPr>
    </w:p>
    <w:p>
      <w:pPr>
        <w:keepNext w:val="0"/>
        <w:keepLines w:val="0"/>
        <w:pageBreakBefore w:val="0"/>
        <w:widowControl w:val="0"/>
        <w:kinsoku/>
        <w:wordWrap/>
        <w:overflowPunct/>
        <w:topLinePunct w:val="0"/>
        <w:bidi w:val="0"/>
        <w:snapToGrid/>
        <w:spacing w:line="560" w:lineRule="exact"/>
        <w:jc w:val="center"/>
        <w:textAlignment w:val="auto"/>
        <w:rPr>
          <w:rFonts w:hint="eastAsia" w:ascii="仿宋_GB2312" w:hAnsi="仿宋_GB2312" w:eastAsia="仿宋_GB2312" w:cs="仿宋_GB2312"/>
          <w:b/>
          <w:bCs/>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附件2-2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人员信息维护步骤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一、新增医保药师信息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点击【药师维护】-【药师信息维护】-【新增】（如图2-1）跳转到信息维护页面（如图2-2），先选择相关定点零售药店名称后再填写其他信息。</w:t>
      </w:r>
    </w:p>
    <w:p>
      <w:pPr>
        <w:jc w:val="center"/>
        <w:rPr>
          <w:rFonts w:hint="eastAsia" w:eastAsia="宋体"/>
          <w:color w:val="auto"/>
          <w:lang w:eastAsia="zh-CN"/>
        </w:rPr>
      </w:pPr>
      <w:r>
        <w:rPr>
          <w:rFonts w:hint="eastAsia" w:eastAsia="宋体"/>
          <w:color w:val="auto"/>
          <w:lang w:eastAsia="zh-CN"/>
        </w:rPr>
        <w:drawing>
          <wp:inline distT="0" distB="0" distL="114300" distR="114300">
            <wp:extent cx="5682615" cy="1691005"/>
            <wp:effectExtent l="0" t="0" r="1905" b="635"/>
            <wp:docPr id="19" name="图片 11" descr="药店 药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药店 药师"/>
                    <pic:cNvPicPr>
                      <a:picLocks noChangeAspect="1"/>
                    </pic:cNvPicPr>
                  </pic:nvPicPr>
                  <pic:blipFill>
                    <a:blip r:embed="rId21"/>
                    <a:stretch>
                      <a:fillRect/>
                    </a:stretch>
                  </pic:blipFill>
                  <pic:spPr>
                    <a:xfrm>
                      <a:off x="0" y="0"/>
                      <a:ext cx="5682615" cy="1691005"/>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图2-1</w:t>
      </w:r>
    </w:p>
    <w:p>
      <w:pPr>
        <w:jc w:val="center"/>
        <w:rPr>
          <w:color w:val="auto"/>
        </w:rPr>
      </w:pPr>
      <w:r>
        <w:rPr>
          <w:color w:val="auto"/>
        </w:rPr>
        <w:drawing>
          <wp:inline distT="0" distB="0" distL="114300" distR="114300">
            <wp:extent cx="5273675" cy="2548890"/>
            <wp:effectExtent l="0" t="0" r="14605" b="1143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a:stretch>
                      <a:fillRect/>
                    </a:stretch>
                  </pic:blipFill>
                  <pic:spPr>
                    <a:xfrm>
                      <a:off x="0" y="0"/>
                      <a:ext cx="5273675" cy="2548890"/>
                    </a:xfrm>
                    <a:prstGeom prst="rect">
                      <a:avLst/>
                    </a:prstGeom>
                    <a:noFill/>
                    <a:ln>
                      <a:noFill/>
                    </a:ln>
                  </pic:spPr>
                </pic:pic>
              </a:graphicData>
            </a:graphic>
          </wp:inline>
        </w:drawing>
      </w:r>
    </w:p>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图2-2</w:t>
      </w:r>
    </w:p>
    <w:p>
      <w:pPr>
        <w:rPr>
          <w:color w:val="auto"/>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注意事项：</w:t>
      </w:r>
      <w:r>
        <w:rPr>
          <w:rFonts w:hint="eastAsia" w:ascii="仿宋_GB2312" w:hAnsi="仿宋_GB2312" w:eastAsia="仿宋_GB2312" w:cs="仿宋_GB2312"/>
          <w:color w:val="auto"/>
          <w:sz w:val="32"/>
          <w:szCs w:val="32"/>
          <w:lang w:val="en-US" w:eastAsia="zh-CN"/>
        </w:rPr>
        <w:t>证件类型根据实际维护的证件进行录入，一般为居民身份证，身份证号只支持18位标准格式。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二、批量导入信息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大批量维护医保药师信息时可批量导入，【药师维护】-【药师信息维护】-【导入】-【</w:t>
      </w:r>
      <w:r>
        <w:rPr>
          <w:rFonts w:hint="eastAsia" w:ascii="仿宋_GB2312" w:hAnsi="仿宋_GB2312" w:eastAsia="仿宋_GB2312" w:cs="仿宋_GB2312"/>
          <w:color w:val="auto"/>
          <w:sz w:val="32"/>
          <w:szCs w:val="32"/>
        </w:rPr>
        <w:t>模</w:t>
      </w:r>
      <w:r>
        <w:rPr>
          <w:rFonts w:hint="eastAsia" w:ascii="仿宋_GB2312" w:hAnsi="仿宋_GB2312" w:eastAsia="仿宋_GB2312" w:cs="仿宋_GB2312"/>
          <w:color w:val="auto"/>
          <w:sz w:val="32"/>
          <w:szCs w:val="32"/>
          <w:lang w:val="en-US" w:eastAsia="zh-CN"/>
        </w:rPr>
        <w:t>板</w:t>
      </w:r>
      <w:r>
        <w:rPr>
          <w:rFonts w:hint="eastAsia" w:ascii="仿宋_GB2312" w:hAnsi="仿宋_GB2312" w:eastAsia="仿宋_GB2312" w:cs="仿宋_GB2312"/>
          <w:color w:val="auto"/>
          <w:sz w:val="32"/>
          <w:szCs w:val="32"/>
        </w:rPr>
        <w:t>下载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，按照</w:t>
      </w:r>
      <w:r>
        <w:rPr>
          <w:rFonts w:hint="eastAsia" w:ascii="仿宋_GB2312" w:hAnsi="仿宋_GB2312" w:eastAsia="仿宋_GB2312" w:cs="仿宋_GB2312"/>
          <w:color w:val="auto"/>
          <w:sz w:val="32"/>
          <w:szCs w:val="32"/>
          <w:lang w:val="en-US" w:eastAsia="zh-CN"/>
        </w:rPr>
        <w:t>注意事项</w:t>
      </w:r>
      <w:r>
        <w:rPr>
          <w:rFonts w:hint="eastAsia" w:ascii="仿宋_GB2312" w:hAnsi="仿宋_GB2312" w:eastAsia="仿宋_GB2312" w:cs="仿宋_GB2312"/>
          <w:color w:val="auto"/>
          <w:sz w:val="32"/>
          <w:szCs w:val="32"/>
        </w:rPr>
        <w:t>的要求</w:t>
      </w:r>
      <w:r>
        <w:rPr>
          <w:rFonts w:hint="eastAsia" w:ascii="仿宋_GB2312" w:hAnsi="仿宋_GB2312" w:eastAsia="仿宋_GB2312" w:cs="仿宋_GB2312"/>
          <w:color w:val="auto"/>
          <w:sz w:val="32"/>
          <w:szCs w:val="32"/>
          <w:lang w:val="en-US" w:eastAsia="zh-CN"/>
        </w:rPr>
        <w:t>填写相关信息保存</w:t>
      </w:r>
      <w:r>
        <w:rPr>
          <w:rFonts w:hint="eastAsia" w:ascii="仿宋_GB2312" w:hAnsi="仿宋_GB2312" w:eastAsia="仿宋_GB2312" w:cs="仿宋_GB2312"/>
          <w:color w:val="auto"/>
          <w:sz w:val="32"/>
          <w:szCs w:val="32"/>
        </w:rPr>
        <w:t>，选择对应的</w:t>
      </w:r>
      <w:r>
        <w:rPr>
          <w:rFonts w:hint="eastAsia" w:ascii="仿宋_GB2312" w:hAnsi="仿宋_GB2312" w:eastAsia="仿宋_GB2312" w:cs="仿宋_GB2312"/>
          <w:color w:val="auto"/>
          <w:sz w:val="32"/>
          <w:szCs w:val="32"/>
          <w:lang w:val="en-US" w:eastAsia="zh-CN"/>
        </w:rPr>
        <w:t>零售药店名称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选择文件、</w:t>
      </w:r>
      <w:r>
        <w:rPr>
          <w:rFonts w:hint="eastAsia" w:ascii="仿宋_GB2312" w:hAnsi="仿宋_GB2312" w:eastAsia="仿宋_GB2312" w:cs="仿宋_GB2312"/>
          <w:color w:val="auto"/>
          <w:sz w:val="32"/>
          <w:szCs w:val="32"/>
        </w:rPr>
        <w:t>导入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如图2-3）。</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批量导入时</w:t>
      </w:r>
      <w:r>
        <w:rPr>
          <w:rFonts w:hint="eastAsia" w:ascii="仿宋_GB2312" w:hAnsi="仿宋_GB2312" w:eastAsia="仿宋_GB2312" w:cs="仿宋_GB2312"/>
          <w:color w:val="auto"/>
          <w:sz w:val="32"/>
          <w:szCs w:val="32"/>
        </w:rPr>
        <w:t>需注意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导入表格中日期格式的要求</w:t>
      </w:r>
      <w:r>
        <w:rPr>
          <w:rFonts w:hint="eastAsia" w:ascii="仿宋_GB2312" w:hAnsi="仿宋_GB2312" w:eastAsia="仿宋_GB2312" w:cs="仿宋_GB2312"/>
          <w:color w:val="auto"/>
          <w:sz w:val="32"/>
          <w:szCs w:val="32"/>
          <w:lang w:val="en-US" w:eastAsia="zh-CN"/>
        </w:rPr>
        <w:t>是</w:t>
      </w:r>
      <w:r>
        <w:rPr>
          <w:rFonts w:hint="eastAsia" w:ascii="仿宋_GB2312" w:hAnsi="仿宋_GB2312" w:eastAsia="仿宋_GB2312" w:cs="仿宋_GB2312"/>
          <w:color w:val="auto"/>
          <w:sz w:val="32"/>
          <w:szCs w:val="32"/>
        </w:rPr>
        <w:t>“2019/11/01”</w:t>
      </w:r>
      <w:r>
        <w:rPr>
          <w:rFonts w:hint="eastAsia" w:ascii="仿宋_GB2312" w:hAnsi="仿宋_GB2312" w:eastAsia="仿宋_GB2312" w:cs="仿宋_GB2312"/>
          <w:color w:val="auto"/>
          <w:sz w:val="32"/>
          <w:szCs w:val="32"/>
          <w:lang w:val="en-US" w:eastAsia="zh-CN"/>
        </w:rPr>
        <w:t>，避免</w:t>
      </w:r>
      <w:r>
        <w:rPr>
          <w:rFonts w:hint="eastAsia" w:ascii="仿宋_GB2312" w:hAnsi="仿宋_GB2312" w:eastAsia="仿宋_GB2312" w:cs="仿宋_GB2312"/>
          <w:color w:val="auto"/>
          <w:sz w:val="32"/>
          <w:szCs w:val="32"/>
        </w:rPr>
        <w:t>出现“2019/02/30”这样的错误信息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填写的内容需严格按照模板表格中的填写说明内容规范填写，不可修改或变动模板表格的样式和字段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如图2-4）。</w:t>
      </w:r>
    </w:p>
    <w:p>
      <w:pPr>
        <w:jc w:val="center"/>
        <w:rPr>
          <w:color w:val="auto"/>
        </w:rPr>
      </w:pPr>
      <w:r>
        <w:rPr>
          <w:color w:val="auto"/>
        </w:rPr>
        <w:drawing>
          <wp:inline distT="0" distB="0" distL="114300" distR="114300">
            <wp:extent cx="3509645" cy="1677670"/>
            <wp:effectExtent l="0" t="0" r="10795" b="1397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3"/>
                    <a:stretch>
                      <a:fillRect/>
                    </a:stretch>
                  </pic:blipFill>
                  <pic:spPr>
                    <a:xfrm>
                      <a:off x="0" y="0"/>
                      <a:ext cx="3509645" cy="1677670"/>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图2-3</w:t>
      </w:r>
    </w:p>
    <w:p>
      <w:pPr>
        <w:jc w:val="center"/>
        <w:rPr>
          <w:color w:val="auto"/>
        </w:rPr>
      </w:pPr>
      <w:r>
        <w:rPr>
          <w:color w:val="auto"/>
        </w:rPr>
        <w:drawing>
          <wp:inline distT="0" distB="0" distL="114300" distR="114300">
            <wp:extent cx="5262880" cy="1111250"/>
            <wp:effectExtent l="0" t="0" r="10160" b="127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4"/>
                    <a:stretch>
                      <a:fillRect/>
                    </a:stretch>
                  </pic:blipFill>
                  <pic:spPr>
                    <a:xfrm>
                      <a:off x="0" y="0"/>
                      <a:ext cx="5262880" cy="1111250"/>
                    </a:xfrm>
                    <a:prstGeom prst="rect">
                      <a:avLst/>
                    </a:prstGeom>
                    <a:noFill/>
                    <a:ln>
                      <a:noFill/>
                    </a:ln>
                  </pic:spPr>
                </pic:pic>
              </a:graphicData>
            </a:graphic>
          </wp:inline>
        </w:drawing>
      </w:r>
    </w:p>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图2-4</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楷体" w:hAnsi="楷体" w:eastAsia="楷体" w:cs="楷体"/>
          <w:color w:val="auto"/>
          <w:sz w:val="32"/>
          <w:szCs w:val="32"/>
          <w:lang w:val="en-US" w:eastAsia="zh-CN"/>
        </w:rPr>
      </w:pPr>
      <w:r>
        <w:rPr>
          <w:rFonts w:hint="eastAsia" w:ascii="黑体" w:hAnsi="黑体" w:eastAsia="黑体" w:cs="黑体"/>
          <w:color w:val="auto"/>
          <w:sz w:val="32"/>
          <w:szCs w:val="32"/>
          <w:lang w:val="en-US" w:eastAsia="zh-CN"/>
        </w:rPr>
        <w:t>三、附件批量上传</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大批量维护医保药师资料附件时，点击【药师维护】-【药师信息维护】-【附件上传】，需严格按照注意事项的内容规范操作（如图2-5）</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附件批量上传的前提是必须先维护好医保药师的信息，再通过上传PDF文件（命名格式为证件类型代码+_+证件号码，例：1_110101199003077475.pdf）进行自动匹配完成附件批量上传操作。</w:t>
      </w:r>
    </w:p>
    <w:p>
      <w:pPr>
        <w:jc w:val="center"/>
        <w:rPr>
          <w:rFonts w:hint="eastAsia" w:eastAsia="宋体"/>
          <w:color w:val="auto"/>
          <w:lang w:eastAsia="zh-CN"/>
        </w:rPr>
      </w:pPr>
      <w:r>
        <w:rPr>
          <w:rFonts w:hint="eastAsia" w:eastAsia="宋体"/>
          <w:color w:val="auto"/>
          <w:lang w:eastAsia="zh-CN"/>
        </w:rPr>
        <w:drawing>
          <wp:inline distT="0" distB="0" distL="114300" distR="114300">
            <wp:extent cx="4915535" cy="3024505"/>
            <wp:effectExtent l="0" t="0" r="6985" b="8255"/>
            <wp:docPr id="12" name="图片 15" descr="药师信息维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药师信息维护"/>
                    <pic:cNvPicPr>
                      <a:picLocks noChangeAspect="1"/>
                    </pic:cNvPicPr>
                  </pic:nvPicPr>
                  <pic:blipFill>
                    <a:blip r:embed="rId25"/>
                    <a:stretch>
                      <a:fillRect/>
                    </a:stretch>
                  </pic:blipFill>
                  <pic:spPr>
                    <a:xfrm>
                      <a:off x="0" y="0"/>
                      <a:ext cx="4915535" cy="3024505"/>
                    </a:xfrm>
                    <a:prstGeom prst="rect">
                      <a:avLst/>
                    </a:prstGeom>
                    <a:noFill/>
                    <a:ln>
                      <a:noFill/>
                    </a:ln>
                  </pic:spPr>
                </pic:pic>
              </a:graphicData>
            </a:graphic>
          </wp:inline>
        </w:drawing>
      </w:r>
    </w:p>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图2-5</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四、信息提交审核</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医保药师信息提交前，需认真核实信息的准确性及资料的完整性，提交后不能重复维护。医保药师信息提交时可以在信息维护页面单个提交，也</w:t>
      </w:r>
      <w:bookmarkStart w:id="2" w:name="_GoBack"/>
      <w:bookmarkEnd w:id="2"/>
      <w:r>
        <w:rPr>
          <w:rFonts w:hint="eastAsia" w:ascii="仿宋_GB2312" w:hAnsi="仿宋_GB2312" w:eastAsia="仿宋_GB2312" w:cs="仿宋_GB2312"/>
          <w:color w:val="auto"/>
          <w:sz w:val="32"/>
          <w:szCs w:val="32"/>
          <w:lang w:val="en-US" w:eastAsia="zh-CN"/>
        </w:rPr>
        <w:t>可以勾选列表信息数据，点击【提交】进行批量提交。</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五、信息审核及赋码</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医保药师信息提交后，需等待后台人员审核，审核通过后系统自动根据医保药师的证件类型+证件号进行唯一性赋码，相同身份信息的人员在不同执业药店的赋码相同。</w:t>
      </w: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小标宋简体" w:hAnsi="方正小标宋简体" w:eastAsia="方正小标宋简体" w:cs="方正小标宋简体"/>
          <w:color w:val="auto"/>
          <w:kern w:val="0"/>
          <w:sz w:val="36"/>
          <w:szCs w:val="36"/>
          <w:highlight w:val="none"/>
          <w:lang w:val="en-US" w:eastAsia="zh-CN"/>
        </w:rPr>
      </w:pPr>
    </w:p>
    <w:p>
      <w:pPr>
        <w:pStyle w:val="2"/>
        <w:keepNext w:val="0"/>
        <w:keepLines w:val="0"/>
        <w:pageBreakBefore w:val="0"/>
        <w:widowControl w:val="0"/>
        <w:kinsoku/>
        <w:wordWrap/>
        <w:overflowPunct/>
        <w:topLinePunct w:val="0"/>
        <w:bidi w:val="0"/>
        <w:snapToGrid/>
        <w:spacing w:line="560" w:lineRule="exact"/>
        <w:textAlignment w:val="auto"/>
        <w:rPr>
          <w:rFonts w:hint="default"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附件3-1</w:t>
      </w:r>
    </w:p>
    <w:p>
      <w:pPr>
        <w:pStyle w:val="2"/>
        <w:keepNext w:val="0"/>
        <w:keepLines w:val="0"/>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零售药店录入信息要求</w:t>
      </w:r>
    </w:p>
    <w:p>
      <w:pPr>
        <w:pStyle w:val="2"/>
        <w:keepNext w:val="0"/>
        <w:keepLines w:val="0"/>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国家机构代码：</w:t>
      </w:r>
      <w:r>
        <w:rPr>
          <w:rFonts w:hint="eastAsia" w:ascii="仿宋_GB2312" w:hAnsi="仿宋_GB2312" w:eastAsia="仿宋_GB2312" w:cs="仿宋_GB2312"/>
          <w:color w:val="auto"/>
          <w:kern w:val="0"/>
          <w:szCs w:val="32"/>
        </w:rPr>
        <w:t>零售药店申报时自行填入，必须与国家医保信息业务编码标准数据库动态维护平台申请的一致</w:t>
      </w:r>
      <w:r>
        <w:rPr>
          <w:rFonts w:hint="eastAsia" w:ascii="仿宋_GB2312" w:hAnsi="仿宋_GB2312" w:eastAsia="仿宋_GB2312" w:cs="仿宋_GB2312"/>
          <w:color w:val="auto"/>
          <w:kern w:val="0"/>
          <w:szCs w:val="32"/>
          <w:lang w:eastAsia="zh-CN"/>
        </w:rPr>
        <w:t>；</w:t>
      </w:r>
      <w:r>
        <w:rPr>
          <w:rFonts w:hint="eastAsia" w:ascii="仿宋_GB2312" w:hAnsi="仿宋_GB2312" w:eastAsia="仿宋_GB2312" w:cs="仿宋_GB2312"/>
          <w:color w:val="auto"/>
          <w:kern w:val="0"/>
          <w:szCs w:val="32"/>
        </w:rPr>
        <w:t>填写有误的业务作废，更正后重新申请。同一零售药店，解除协议后又重新申请医保定点的，继续使用原国家机构代码</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零售药店名称</w:t>
      </w:r>
      <w:r>
        <w:rPr>
          <w:rFonts w:hint="eastAsia" w:ascii="仿宋_GB2312" w:hAnsi="仿宋_GB2312" w:eastAsia="仿宋_GB2312" w:cs="仿宋_GB2312"/>
          <w:b/>
          <w:bCs/>
          <w:color w:val="auto"/>
          <w:kern w:val="0"/>
          <w:szCs w:val="32"/>
          <w:lang w:eastAsia="zh-CN"/>
        </w:rPr>
        <w:t>、零售药店别名</w:t>
      </w:r>
      <w:r>
        <w:rPr>
          <w:rFonts w:hint="eastAsia" w:ascii="仿宋_GB2312" w:hAnsi="仿宋_GB2312" w:eastAsia="仿宋_GB2312" w:cs="仿宋_GB2312"/>
          <w:b/>
          <w:bCs/>
          <w:color w:val="auto"/>
          <w:kern w:val="0"/>
          <w:szCs w:val="32"/>
        </w:rPr>
        <w:t>：</w:t>
      </w:r>
      <w:r>
        <w:rPr>
          <w:rFonts w:hint="eastAsia" w:ascii="仿宋_GB2312" w:hAnsi="仿宋_GB2312" w:eastAsia="仿宋_GB2312" w:cs="仿宋_GB2312"/>
          <w:color w:val="auto"/>
          <w:kern w:val="0"/>
          <w:szCs w:val="32"/>
          <w:lang w:eastAsia="zh-CN"/>
        </w:rPr>
        <w:t>必须</w:t>
      </w:r>
      <w:r>
        <w:rPr>
          <w:rFonts w:hint="eastAsia" w:ascii="仿宋_GB2312" w:hAnsi="仿宋_GB2312" w:eastAsia="仿宋_GB2312" w:cs="仿宋_GB2312"/>
          <w:color w:val="auto"/>
          <w:kern w:val="0"/>
          <w:szCs w:val="32"/>
        </w:rPr>
        <w:t>与</w:t>
      </w:r>
      <w:r>
        <w:rPr>
          <w:rFonts w:hint="eastAsia" w:ascii="仿宋_GB2312" w:hAnsi="仿宋_GB2312" w:eastAsia="仿宋_GB2312" w:cs="仿宋_GB2312"/>
          <w:color w:val="auto"/>
          <w:kern w:val="0"/>
          <w:szCs w:val="32"/>
          <w:lang w:eastAsia="zh-CN"/>
        </w:rPr>
        <w:t>《</w:t>
      </w:r>
      <w:r>
        <w:rPr>
          <w:rFonts w:hint="eastAsia" w:ascii="仿宋_GB2312" w:hAnsi="仿宋_GB2312" w:eastAsia="仿宋_GB2312" w:cs="仿宋_GB2312"/>
          <w:color w:val="auto"/>
          <w:kern w:val="0"/>
          <w:szCs w:val="32"/>
        </w:rPr>
        <w:t>营业执照</w:t>
      </w:r>
      <w:r>
        <w:rPr>
          <w:rFonts w:hint="eastAsia" w:ascii="仿宋_GB2312" w:hAnsi="仿宋_GB2312" w:eastAsia="仿宋_GB2312" w:cs="仿宋_GB2312"/>
          <w:color w:val="auto"/>
          <w:kern w:val="0"/>
          <w:szCs w:val="32"/>
          <w:lang w:eastAsia="zh-CN"/>
        </w:rPr>
        <w:t>》</w:t>
      </w:r>
      <w:r>
        <w:rPr>
          <w:rFonts w:hint="eastAsia" w:ascii="仿宋_GB2312" w:hAnsi="仿宋_GB2312" w:eastAsia="仿宋_GB2312" w:cs="仿宋_GB2312"/>
          <w:color w:val="auto"/>
          <w:kern w:val="0"/>
          <w:szCs w:val="32"/>
        </w:rPr>
        <w:t>及</w:t>
      </w:r>
      <w:r>
        <w:rPr>
          <w:rFonts w:hint="eastAsia" w:ascii="仿宋_GB2312" w:hAnsi="仿宋_GB2312" w:eastAsia="仿宋_GB2312" w:cs="仿宋_GB2312"/>
          <w:color w:val="auto"/>
          <w:kern w:val="0"/>
          <w:szCs w:val="32"/>
          <w:lang w:eastAsia="zh-CN"/>
        </w:rPr>
        <w:t>《</w:t>
      </w:r>
      <w:r>
        <w:rPr>
          <w:rFonts w:hint="eastAsia" w:ascii="仿宋_GB2312" w:hAnsi="仿宋_GB2312" w:eastAsia="仿宋_GB2312" w:cs="仿宋_GB2312"/>
          <w:color w:val="auto"/>
          <w:kern w:val="0"/>
          <w:szCs w:val="32"/>
        </w:rPr>
        <w:t>药品经营许可证</w:t>
      </w:r>
      <w:r>
        <w:rPr>
          <w:rFonts w:hint="eastAsia" w:ascii="仿宋_GB2312" w:hAnsi="仿宋_GB2312" w:eastAsia="仿宋_GB2312" w:cs="仿宋_GB2312"/>
          <w:color w:val="auto"/>
          <w:kern w:val="0"/>
          <w:szCs w:val="32"/>
          <w:lang w:eastAsia="zh-CN"/>
        </w:rPr>
        <w:t>》中的“</w:t>
      </w:r>
      <w:r>
        <w:rPr>
          <w:rFonts w:hint="eastAsia" w:ascii="仿宋_GB2312" w:hAnsi="仿宋_GB2312" w:eastAsia="仿宋_GB2312" w:cs="仿宋_GB2312"/>
          <w:color w:val="auto"/>
          <w:kern w:val="0"/>
          <w:szCs w:val="32"/>
        </w:rPr>
        <w:t>名称</w:t>
      </w:r>
      <w:r>
        <w:rPr>
          <w:rFonts w:hint="eastAsia" w:ascii="仿宋_GB2312" w:hAnsi="仿宋_GB2312" w:eastAsia="仿宋_GB2312" w:cs="仿宋_GB2312"/>
          <w:color w:val="auto"/>
          <w:kern w:val="0"/>
          <w:szCs w:val="32"/>
          <w:lang w:eastAsia="zh-CN"/>
        </w:rPr>
        <w:t>”</w:t>
      </w:r>
      <w:r>
        <w:rPr>
          <w:rFonts w:hint="eastAsia" w:ascii="仿宋_GB2312" w:hAnsi="仿宋_GB2312" w:eastAsia="仿宋_GB2312" w:cs="仿宋_GB2312"/>
          <w:color w:val="auto"/>
          <w:kern w:val="0"/>
          <w:szCs w:val="32"/>
        </w:rPr>
        <w:t>一致</w:t>
      </w:r>
      <w:r>
        <w:rPr>
          <w:rFonts w:hint="eastAsia" w:ascii="仿宋_GB2312" w:hAnsi="仿宋_GB2312" w:eastAsia="仿宋_GB2312" w:cs="仿宋_GB2312"/>
          <w:color w:val="auto"/>
          <w:kern w:val="0"/>
          <w:szCs w:val="32"/>
          <w:lang w:eastAsia="zh-CN"/>
        </w:rPr>
        <w:t>；零售药店</w:t>
      </w:r>
      <w:r>
        <w:rPr>
          <w:rFonts w:hint="eastAsia" w:ascii="仿宋_GB2312" w:hAnsi="仿宋_GB2312" w:eastAsia="仿宋_GB2312" w:cs="仿宋_GB2312"/>
          <w:b w:val="0"/>
          <w:bCs w:val="0"/>
          <w:color w:val="auto"/>
          <w:kern w:val="0"/>
          <w:szCs w:val="32"/>
          <w:highlight w:val="none"/>
          <w:lang w:eastAsia="zh-CN"/>
        </w:rPr>
        <w:t>别名根据实际情况填写。</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经济性质：</w:t>
      </w:r>
      <w:r>
        <w:rPr>
          <w:rFonts w:hint="eastAsia" w:ascii="仿宋_GB2312" w:hAnsi="仿宋_GB2312" w:eastAsia="仿宋_GB2312" w:cs="仿宋_GB2312"/>
          <w:color w:val="auto"/>
          <w:kern w:val="0"/>
          <w:szCs w:val="32"/>
        </w:rPr>
        <w:t>一般为</w:t>
      </w:r>
      <w:r>
        <w:rPr>
          <w:rFonts w:hint="eastAsia" w:ascii="仿宋_GB2312" w:hAnsi="仿宋_GB2312" w:eastAsia="仿宋_GB2312" w:cs="仿宋_GB2312"/>
          <w:color w:val="auto"/>
          <w:kern w:val="0"/>
          <w:szCs w:val="32"/>
          <w:lang w:eastAsia="zh-CN"/>
        </w:rPr>
        <w:t>非公立。</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经营性质：</w:t>
      </w:r>
      <w:r>
        <w:rPr>
          <w:rFonts w:hint="eastAsia" w:ascii="仿宋_GB2312" w:hAnsi="仿宋_GB2312" w:eastAsia="仿宋_GB2312" w:cs="仿宋_GB2312"/>
          <w:color w:val="auto"/>
          <w:kern w:val="0"/>
          <w:szCs w:val="32"/>
        </w:rPr>
        <w:t>一般为营利性</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lang w:eastAsia="zh-CN"/>
        </w:rPr>
        <w:t>经济类型</w:t>
      </w:r>
      <w:r>
        <w:rPr>
          <w:rFonts w:hint="eastAsia" w:ascii="仿宋_GB2312" w:hAnsi="仿宋_GB2312" w:eastAsia="仿宋_GB2312" w:cs="仿宋_GB2312"/>
          <w:b/>
          <w:bCs/>
          <w:color w:val="auto"/>
          <w:kern w:val="0"/>
          <w:szCs w:val="32"/>
        </w:rPr>
        <w:t>：</w:t>
      </w:r>
      <w:r>
        <w:rPr>
          <w:rFonts w:hint="eastAsia" w:ascii="仿宋_GB2312" w:hAnsi="仿宋_GB2312" w:eastAsia="仿宋_GB2312" w:cs="仿宋_GB2312"/>
          <w:color w:val="auto"/>
          <w:kern w:val="0"/>
          <w:szCs w:val="32"/>
          <w:lang w:eastAsia="zh-CN"/>
        </w:rPr>
        <w:t>必须与《</w:t>
      </w:r>
      <w:r>
        <w:rPr>
          <w:rFonts w:hint="eastAsia" w:ascii="仿宋_GB2312" w:hAnsi="仿宋_GB2312" w:eastAsia="仿宋_GB2312" w:cs="仿宋_GB2312"/>
          <w:color w:val="auto"/>
          <w:kern w:val="0"/>
          <w:szCs w:val="32"/>
        </w:rPr>
        <w:t>营业执照</w:t>
      </w:r>
      <w:r>
        <w:rPr>
          <w:rFonts w:hint="eastAsia" w:ascii="仿宋_GB2312" w:hAnsi="仿宋_GB2312" w:eastAsia="仿宋_GB2312" w:cs="仿宋_GB2312"/>
          <w:color w:val="auto"/>
          <w:kern w:val="0"/>
          <w:szCs w:val="32"/>
          <w:lang w:eastAsia="zh-CN"/>
        </w:rPr>
        <w:t>》中</w:t>
      </w:r>
      <w:r>
        <w:rPr>
          <w:rFonts w:hint="eastAsia" w:ascii="仿宋_GB2312" w:hAnsi="仿宋_GB2312" w:eastAsia="仿宋_GB2312" w:cs="仿宋_GB2312"/>
          <w:color w:val="auto"/>
          <w:kern w:val="0"/>
          <w:szCs w:val="32"/>
        </w:rPr>
        <w:t>的“类型”</w:t>
      </w:r>
      <w:r>
        <w:rPr>
          <w:rFonts w:hint="eastAsia" w:ascii="仿宋_GB2312" w:hAnsi="仿宋_GB2312" w:eastAsia="仿宋_GB2312" w:cs="仿宋_GB2312"/>
          <w:color w:val="auto"/>
          <w:kern w:val="0"/>
          <w:szCs w:val="32"/>
          <w:lang w:eastAsia="zh-CN"/>
        </w:rPr>
        <w:t>一致。</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主管单位名称：</w:t>
      </w:r>
      <w:r>
        <w:rPr>
          <w:rFonts w:hint="eastAsia" w:ascii="仿宋_GB2312" w:hAnsi="仿宋_GB2312" w:eastAsia="仿宋_GB2312" w:cs="仿宋_GB2312"/>
          <w:color w:val="auto"/>
          <w:kern w:val="0"/>
          <w:szCs w:val="32"/>
        </w:rPr>
        <w:t>一般为深圳市市场监督管理局</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所属</w:t>
      </w:r>
      <w:r>
        <w:rPr>
          <w:rFonts w:hint="eastAsia" w:ascii="仿宋_GB2312" w:hAnsi="仿宋_GB2312" w:eastAsia="仿宋_GB2312" w:cs="仿宋_GB2312"/>
          <w:b/>
          <w:bCs/>
          <w:color w:val="auto"/>
          <w:kern w:val="0"/>
          <w:szCs w:val="32"/>
          <w:lang w:eastAsia="zh-CN"/>
        </w:rPr>
        <w:t>医药公司编码、所属医药公司名称</w:t>
      </w:r>
      <w:r>
        <w:rPr>
          <w:rFonts w:hint="eastAsia" w:ascii="仿宋_GB2312" w:hAnsi="仿宋_GB2312" w:eastAsia="仿宋_GB2312" w:cs="仿宋_GB2312"/>
          <w:b/>
          <w:bCs/>
          <w:color w:val="auto"/>
          <w:kern w:val="0"/>
          <w:szCs w:val="32"/>
        </w:rPr>
        <w:t>：</w:t>
      </w:r>
      <w:r>
        <w:rPr>
          <w:rFonts w:hint="eastAsia" w:ascii="仿宋_GB2312" w:hAnsi="仿宋_GB2312" w:eastAsia="仿宋_GB2312" w:cs="仿宋_GB2312"/>
          <w:color w:val="auto"/>
          <w:kern w:val="0"/>
          <w:szCs w:val="32"/>
        </w:rPr>
        <w:t>零售药店为本市定点零售药店的分支机构的，所属机构为其总部。其余情况非必填</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统一社会信用代码：</w:t>
      </w:r>
      <w:r>
        <w:rPr>
          <w:rFonts w:hint="eastAsia" w:ascii="仿宋_GB2312" w:hAnsi="仿宋_GB2312" w:eastAsia="仿宋_GB2312" w:cs="仿宋_GB2312"/>
          <w:color w:val="auto"/>
          <w:kern w:val="0"/>
          <w:szCs w:val="32"/>
          <w:lang w:eastAsia="zh-CN"/>
        </w:rPr>
        <w:t>必须与《</w:t>
      </w:r>
      <w:r>
        <w:rPr>
          <w:rFonts w:hint="eastAsia" w:ascii="仿宋_GB2312" w:hAnsi="仿宋_GB2312" w:eastAsia="仿宋_GB2312" w:cs="仿宋_GB2312"/>
          <w:color w:val="auto"/>
          <w:kern w:val="0"/>
          <w:szCs w:val="32"/>
        </w:rPr>
        <w:t>营业执照</w:t>
      </w:r>
      <w:r>
        <w:rPr>
          <w:rFonts w:hint="eastAsia" w:ascii="仿宋_GB2312" w:hAnsi="仿宋_GB2312" w:eastAsia="仿宋_GB2312" w:cs="仿宋_GB2312"/>
          <w:color w:val="auto"/>
          <w:kern w:val="0"/>
          <w:szCs w:val="32"/>
          <w:lang w:eastAsia="zh-CN"/>
        </w:rPr>
        <w:t>》中</w:t>
      </w:r>
      <w:r>
        <w:rPr>
          <w:rFonts w:hint="eastAsia" w:ascii="仿宋_GB2312" w:hAnsi="仿宋_GB2312" w:eastAsia="仿宋_GB2312" w:cs="仿宋_GB2312"/>
          <w:color w:val="auto"/>
          <w:kern w:val="0"/>
          <w:szCs w:val="32"/>
        </w:rPr>
        <w:t>的</w:t>
      </w:r>
      <w:r>
        <w:rPr>
          <w:rFonts w:hint="eastAsia" w:ascii="仿宋_GB2312" w:hAnsi="仿宋_GB2312" w:eastAsia="仿宋_GB2312" w:cs="仿宋_GB2312"/>
          <w:color w:val="auto"/>
          <w:kern w:val="0"/>
          <w:szCs w:val="32"/>
          <w:lang w:eastAsia="zh-CN"/>
        </w:rPr>
        <w:t>“统一社会信用代码”一致。</w:t>
      </w:r>
    </w:p>
    <w:p>
      <w:pPr>
        <w:spacing w:line="560" w:lineRule="exact"/>
        <w:ind w:firstLine="632" w:firstLineChars="200"/>
        <w:rPr>
          <w:rFonts w:hint="eastAsia" w:ascii="仿宋_GB2312" w:hAnsi="仿宋_GB2312" w:eastAsia="仿宋_GB2312" w:cs="仿宋_GB2312"/>
          <w:b w:val="0"/>
          <w:bCs w:val="0"/>
          <w:color w:val="auto"/>
          <w:kern w:val="0"/>
          <w:szCs w:val="32"/>
          <w:highlight w:val="none"/>
          <w:lang w:eastAsia="zh-CN"/>
        </w:rPr>
      </w:pPr>
      <w:r>
        <w:rPr>
          <w:rFonts w:hint="eastAsia" w:ascii="仿宋_GB2312" w:hAnsi="仿宋_GB2312" w:eastAsia="仿宋_GB2312" w:cs="仿宋_GB2312"/>
          <w:b/>
          <w:bCs/>
          <w:color w:val="auto"/>
          <w:kern w:val="0"/>
          <w:szCs w:val="32"/>
          <w:highlight w:val="none"/>
        </w:rPr>
        <w:t>法定代表人、</w:t>
      </w:r>
      <w:r>
        <w:rPr>
          <w:rFonts w:hint="eastAsia" w:ascii="仿宋_GB2312" w:hAnsi="仿宋_GB2312" w:eastAsia="仿宋_GB2312" w:cs="仿宋_GB2312"/>
          <w:b/>
          <w:bCs/>
          <w:color w:val="auto"/>
          <w:kern w:val="0"/>
          <w:szCs w:val="32"/>
          <w:highlight w:val="none"/>
          <w:lang w:eastAsia="zh-CN"/>
        </w:rPr>
        <w:t>企业</w:t>
      </w:r>
      <w:r>
        <w:rPr>
          <w:rFonts w:hint="eastAsia" w:ascii="仿宋_GB2312" w:hAnsi="仿宋_GB2312" w:eastAsia="仿宋_GB2312" w:cs="仿宋_GB2312"/>
          <w:b/>
          <w:bCs/>
          <w:color w:val="auto"/>
          <w:kern w:val="0"/>
          <w:szCs w:val="32"/>
          <w:highlight w:val="none"/>
        </w:rPr>
        <w:t>负责人</w:t>
      </w:r>
      <w:r>
        <w:rPr>
          <w:rFonts w:hint="eastAsia" w:ascii="仿宋_GB2312" w:hAnsi="仿宋_GB2312" w:eastAsia="仿宋_GB2312" w:cs="仿宋_GB2312"/>
          <w:b/>
          <w:bCs/>
          <w:color w:val="auto"/>
          <w:kern w:val="0"/>
          <w:szCs w:val="32"/>
          <w:highlight w:val="none"/>
          <w:lang w:eastAsia="zh-CN"/>
        </w:rPr>
        <w:t>、实际控制人姓名</w:t>
      </w:r>
      <w:r>
        <w:rPr>
          <w:rFonts w:hint="eastAsia" w:ascii="仿宋_GB2312" w:hAnsi="仿宋_GB2312" w:eastAsia="仿宋_GB2312" w:cs="仿宋_GB2312"/>
          <w:b/>
          <w:bCs/>
          <w:color w:val="auto"/>
          <w:kern w:val="0"/>
          <w:szCs w:val="32"/>
          <w:highlight w:val="none"/>
        </w:rPr>
        <w:t>：</w:t>
      </w:r>
      <w:r>
        <w:rPr>
          <w:rFonts w:hint="eastAsia" w:ascii="仿宋_GB2312" w:hAnsi="仿宋_GB2312" w:eastAsia="仿宋_GB2312" w:cs="仿宋_GB2312"/>
          <w:b w:val="0"/>
          <w:bCs w:val="0"/>
          <w:color w:val="auto"/>
          <w:kern w:val="0"/>
          <w:szCs w:val="32"/>
          <w:highlight w:val="none"/>
        </w:rPr>
        <w:t>法定代表人</w:t>
      </w:r>
      <w:r>
        <w:rPr>
          <w:rFonts w:hint="eastAsia" w:ascii="仿宋_GB2312" w:hAnsi="仿宋_GB2312" w:eastAsia="仿宋_GB2312" w:cs="仿宋_GB2312"/>
          <w:b w:val="0"/>
          <w:bCs w:val="0"/>
          <w:color w:val="auto"/>
          <w:kern w:val="0"/>
          <w:szCs w:val="32"/>
          <w:highlight w:val="none"/>
          <w:lang w:eastAsia="zh-CN"/>
        </w:rPr>
        <w:t>、</w:t>
      </w:r>
      <w:r>
        <w:rPr>
          <w:rFonts w:hint="eastAsia" w:ascii="仿宋_GB2312" w:hAnsi="仿宋_GB2312" w:eastAsia="仿宋_GB2312" w:cs="仿宋_GB2312"/>
          <w:b w:val="0"/>
          <w:bCs w:val="0"/>
          <w:color w:val="auto"/>
          <w:kern w:val="0"/>
          <w:sz w:val="32"/>
          <w:szCs w:val="32"/>
          <w:highlight w:val="none"/>
          <w:lang w:eastAsia="zh-CN"/>
        </w:rPr>
        <w:t>企业负责人必须与</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Cs w:val="32"/>
        </w:rPr>
        <w:t>药品经营许可证</w:t>
      </w:r>
      <w:r>
        <w:rPr>
          <w:rFonts w:hint="eastAsia" w:ascii="仿宋_GB2312" w:hAnsi="仿宋_GB2312" w:eastAsia="仿宋_GB2312" w:cs="仿宋_GB2312"/>
          <w:color w:val="auto"/>
          <w:kern w:val="0"/>
          <w:szCs w:val="32"/>
          <w:highlight w:val="none"/>
          <w:lang w:eastAsia="zh-CN"/>
        </w:rPr>
        <w:t>》中相关信息一致，</w:t>
      </w:r>
      <w:r>
        <w:rPr>
          <w:rFonts w:hint="eastAsia" w:ascii="仿宋_GB2312" w:hAnsi="仿宋_GB2312" w:eastAsia="仿宋_GB2312" w:cs="仿宋_GB2312"/>
          <w:b w:val="0"/>
          <w:bCs w:val="0"/>
          <w:color w:val="auto"/>
          <w:kern w:val="0"/>
          <w:szCs w:val="32"/>
          <w:highlight w:val="none"/>
          <w:lang w:eastAsia="zh-CN"/>
        </w:rPr>
        <w:t>实际控制人姓名根据实际情况填写。</w:t>
      </w:r>
    </w:p>
    <w:p>
      <w:pPr>
        <w:spacing w:line="560" w:lineRule="exact"/>
        <w:ind w:firstLine="632" w:firstLineChars="200"/>
        <w:rPr>
          <w:rFonts w:ascii="仿宋_GB2312" w:hAnsi="仿宋_GB2312" w:eastAsia="仿宋_GB2312" w:cs="仿宋_GB2312"/>
          <w:color w:val="auto"/>
          <w:kern w:val="0"/>
          <w:szCs w:val="32"/>
        </w:rPr>
      </w:pPr>
      <w:r>
        <w:rPr>
          <w:rFonts w:hint="eastAsia" w:ascii="仿宋_GB2312" w:hAnsi="仿宋_GB2312" w:eastAsia="仿宋_GB2312" w:cs="仿宋_GB2312"/>
          <w:b/>
          <w:bCs/>
          <w:color w:val="auto"/>
          <w:kern w:val="0"/>
          <w:szCs w:val="32"/>
          <w:highlight w:val="none"/>
        </w:rPr>
        <w:t>法定代表人</w:t>
      </w:r>
      <w:r>
        <w:rPr>
          <w:rFonts w:hint="eastAsia" w:ascii="仿宋_GB2312" w:hAnsi="仿宋_GB2312" w:eastAsia="仿宋_GB2312" w:cs="仿宋_GB2312"/>
          <w:b/>
          <w:bCs/>
          <w:color w:val="auto"/>
          <w:kern w:val="0"/>
          <w:szCs w:val="32"/>
          <w:highlight w:val="none"/>
          <w:lang w:eastAsia="zh-CN"/>
        </w:rPr>
        <w:t>证件号码和电话</w:t>
      </w:r>
      <w:r>
        <w:rPr>
          <w:rFonts w:hint="eastAsia" w:ascii="仿宋_GB2312" w:hAnsi="仿宋_GB2312" w:eastAsia="仿宋_GB2312" w:cs="仿宋_GB2312"/>
          <w:b/>
          <w:bCs/>
          <w:color w:val="auto"/>
          <w:kern w:val="0"/>
          <w:szCs w:val="32"/>
          <w:highlight w:val="none"/>
        </w:rPr>
        <w:t>、</w:t>
      </w:r>
      <w:r>
        <w:rPr>
          <w:rFonts w:hint="eastAsia" w:ascii="仿宋_GB2312" w:hAnsi="仿宋_GB2312" w:eastAsia="仿宋_GB2312" w:cs="仿宋_GB2312"/>
          <w:b/>
          <w:bCs/>
          <w:color w:val="auto"/>
          <w:kern w:val="0"/>
          <w:szCs w:val="32"/>
          <w:highlight w:val="none"/>
          <w:lang w:eastAsia="zh-CN"/>
        </w:rPr>
        <w:t>企业</w:t>
      </w:r>
      <w:r>
        <w:rPr>
          <w:rFonts w:hint="eastAsia" w:ascii="仿宋_GB2312" w:hAnsi="仿宋_GB2312" w:eastAsia="仿宋_GB2312" w:cs="仿宋_GB2312"/>
          <w:b/>
          <w:bCs/>
          <w:color w:val="auto"/>
          <w:kern w:val="0"/>
          <w:szCs w:val="32"/>
          <w:highlight w:val="none"/>
        </w:rPr>
        <w:t>负责人</w:t>
      </w:r>
      <w:r>
        <w:rPr>
          <w:rFonts w:hint="eastAsia" w:ascii="仿宋_GB2312" w:hAnsi="仿宋_GB2312" w:eastAsia="仿宋_GB2312" w:cs="仿宋_GB2312"/>
          <w:b/>
          <w:bCs/>
          <w:color w:val="auto"/>
          <w:kern w:val="0"/>
          <w:szCs w:val="32"/>
          <w:highlight w:val="none"/>
          <w:lang w:eastAsia="zh-CN"/>
        </w:rPr>
        <w:t>证件号码和联系电话、</w:t>
      </w:r>
      <w:r>
        <w:rPr>
          <w:rFonts w:hint="eastAsia" w:ascii="仿宋_GB2312" w:hAnsi="仿宋_GB2312" w:eastAsia="仿宋_GB2312" w:cs="仿宋_GB2312"/>
          <w:b/>
          <w:bCs/>
          <w:color w:val="auto"/>
          <w:kern w:val="0"/>
          <w:szCs w:val="32"/>
          <w:highlight w:val="none"/>
        </w:rPr>
        <w:t>实际控制人证件号码：</w:t>
      </w:r>
      <w:r>
        <w:rPr>
          <w:rFonts w:hint="eastAsia" w:ascii="仿宋_GB2312" w:hAnsi="仿宋_GB2312" w:eastAsia="仿宋_GB2312" w:cs="仿宋_GB2312"/>
          <w:color w:val="auto"/>
          <w:kern w:val="0"/>
          <w:szCs w:val="32"/>
          <w:highlight w:val="none"/>
          <w:lang w:eastAsia="zh-CN"/>
        </w:rPr>
        <w:t>根据实际情况填写。</w:t>
      </w:r>
    </w:p>
    <w:p>
      <w:pPr>
        <w:spacing w:line="560" w:lineRule="exact"/>
        <w:ind w:firstLine="632" w:firstLineChars="200"/>
        <w:rPr>
          <w:rFonts w:hint="eastAsia" w:ascii="仿宋_GB2312" w:hAnsi="仿宋_GB2312" w:eastAsia="仿宋_GB2312" w:cs="仿宋_GB2312"/>
          <w:b/>
          <w:bCs/>
          <w:color w:val="auto"/>
          <w:kern w:val="0"/>
          <w:szCs w:val="32"/>
          <w:lang w:eastAsia="zh-CN"/>
        </w:rPr>
      </w:pPr>
      <w:r>
        <w:rPr>
          <w:rFonts w:hint="eastAsia" w:ascii="仿宋_GB2312" w:hAnsi="仿宋_GB2312" w:eastAsia="仿宋_GB2312" w:cs="仿宋_GB2312"/>
          <w:b/>
          <w:bCs/>
          <w:color w:val="auto"/>
          <w:kern w:val="0"/>
          <w:szCs w:val="32"/>
        </w:rPr>
        <w:t>服务对象</w:t>
      </w:r>
      <w:r>
        <w:rPr>
          <w:rFonts w:hint="eastAsia" w:ascii="仿宋_GB2312" w:hAnsi="仿宋_GB2312" w:eastAsia="仿宋_GB2312" w:cs="仿宋_GB2312"/>
          <w:color w:val="auto"/>
          <w:kern w:val="0"/>
          <w:szCs w:val="32"/>
        </w:rPr>
        <w:t>：一般为“社会”</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b/>
          <w:bCs/>
          <w:color w:val="auto"/>
          <w:kern w:val="0"/>
          <w:szCs w:val="32"/>
          <w:lang w:eastAsia="zh-CN"/>
        </w:rPr>
      </w:pPr>
      <w:r>
        <w:rPr>
          <w:rFonts w:hint="eastAsia" w:ascii="仿宋_GB2312" w:hAnsi="仿宋_GB2312" w:eastAsia="仿宋_GB2312" w:cs="仿宋_GB2312"/>
          <w:b/>
          <w:bCs/>
          <w:color w:val="auto"/>
          <w:kern w:val="0"/>
          <w:szCs w:val="32"/>
          <w:highlight w:val="none"/>
          <w:lang w:eastAsia="zh-CN"/>
        </w:rPr>
        <w:t>医保负责人、医保负责人电话、机构传真号码、机构电子邮箱</w:t>
      </w:r>
      <w:r>
        <w:rPr>
          <w:rFonts w:hint="eastAsia" w:ascii="仿宋_GB2312" w:hAnsi="仿宋_GB2312" w:eastAsia="仿宋_GB2312" w:cs="仿宋_GB2312"/>
          <w:b w:val="0"/>
          <w:bCs w:val="0"/>
          <w:color w:val="auto"/>
          <w:kern w:val="0"/>
          <w:szCs w:val="32"/>
          <w:highlight w:val="none"/>
        </w:rPr>
        <w:t>：</w:t>
      </w:r>
      <w:r>
        <w:rPr>
          <w:rFonts w:hint="eastAsia" w:ascii="仿宋_GB2312" w:hAnsi="仿宋_GB2312" w:eastAsia="仿宋_GB2312" w:cs="仿宋_GB2312"/>
          <w:b w:val="0"/>
          <w:bCs w:val="0"/>
          <w:color w:val="auto"/>
          <w:kern w:val="0"/>
          <w:szCs w:val="32"/>
          <w:highlight w:val="none"/>
          <w:lang w:eastAsia="zh-CN"/>
        </w:rPr>
        <w:t>根据实际情况填写。</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机构地址：</w:t>
      </w:r>
      <w:r>
        <w:rPr>
          <w:rFonts w:hint="eastAsia" w:ascii="仿宋_GB2312" w:hAnsi="仿宋_GB2312" w:eastAsia="仿宋_GB2312" w:cs="仿宋_GB2312"/>
          <w:color w:val="auto"/>
          <w:kern w:val="0"/>
          <w:szCs w:val="32"/>
          <w:highlight w:val="none"/>
        </w:rPr>
        <w:t>根据</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Cs w:val="32"/>
        </w:rPr>
        <w:t>药品经营许可证</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中</w:t>
      </w:r>
      <w:r>
        <w:rPr>
          <w:rFonts w:hint="eastAsia" w:ascii="仿宋_GB2312" w:hAnsi="仿宋_GB2312" w:eastAsia="仿宋_GB2312" w:cs="仿宋_GB2312"/>
          <w:color w:val="auto"/>
          <w:kern w:val="0"/>
          <w:szCs w:val="32"/>
          <w:highlight w:val="none"/>
        </w:rPr>
        <w:t>的地址选择</w:t>
      </w:r>
      <w:r>
        <w:rPr>
          <w:rFonts w:hint="eastAsia" w:ascii="仿宋_GB2312" w:hAnsi="仿宋_GB2312" w:eastAsia="仿宋_GB2312" w:cs="仿宋_GB2312"/>
          <w:color w:val="auto"/>
          <w:kern w:val="0"/>
          <w:szCs w:val="32"/>
          <w:highlight w:val="none"/>
          <w:lang w:eastAsia="zh-CN"/>
        </w:rPr>
        <w:t>。</w:t>
      </w:r>
    </w:p>
    <w:p>
      <w:pPr>
        <w:spacing w:line="560" w:lineRule="exact"/>
        <w:ind w:firstLine="632" w:firstLineChars="200"/>
        <w:rPr>
          <w:rFonts w:ascii="仿宋_GB2312" w:hAnsi="仿宋_GB2312" w:eastAsia="仿宋_GB2312" w:cs="仿宋_GB2312"/>
          <w:color w:val="auto"/>
          <w:kern w:val="0"/>
          <w:szCs w:val="32"/>
        </w:rPr>
      </w:pPr>
      <w:r>
        <w:rPr>
          <w:rFonts w:hint="eastAsia" w:ascii="仿宋_GB2312" w:hAnsi="仿宋_GB2312" w:eastAsia="仿宋_GB2312" w:cs="仿宋_GB2312"/>
          <w:b/>
          <w:bCs/>
          <w:color w:val="auto"/>
          <w:kern w:val="0"/>
          <w:szCs w:val="32"/>
        </w:rPr>
        <w:t>详细地址：</w:t>
      </w:r>
      <w:r>
        <w:rPr>
          <w:rFonts w:hint="eastAsia" w:ascii="仿宋_GB2312" w:hAnsi="仿宋_GB2312" w:eastAsia="仿宋_GB2312" w:cs="仿宋_GB2312"/>
          <w:color w:val="auto"/>
          <w:kern w:val="0"/>
          <w:szCs w:val="32"/>
          <w:lang w:eastAsia="zh-CN"/>
        </w:rPr>
        <w:t>必须与</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Cs w:val="32"/>
        </w:rPr>
        <w:t>药品经营许可证</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中</w:t>
      </w:r>
      <w:r>
        <w:rPr>
          <w:rFonts w:hint="eastAsia" w:ascii="仿宋_GB2312" w:hAnsi="仿宋_GB2312" w:eastAsia="仿宋_GB2312" w:cs="仿宋_GB2312"/>
          <w:color w:val="auto"/>
          <w:kern w:val="0"/>
          <w:szCs w:val="32"/>
          <w:highlight w:val="none"/>
        </w:rPr>
        <w:t>的</w:t>
      </w:r>
      <w:r>
        <w:rPr>
          <w:rFonts w:hint="eastAsia" w:ascii="仿宋_GB2312" w:hAnsi="仿宋_GB2312" w:eastAsia="仿宋_GB2312" w:cs="仿宋_GB2312"/>
          <w:color w:val="auto"/>
          <w:kern w:val="0"/>
          <w:szCs w:val="32"/>
          <w:highlight w:val="none"/>
          <w:lang w:eastAsia="zh-CN"/>
        </w:rPr>
        <w:t>“注册地址”一致。</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工作人员总数：</w:t>
      </w:r>
      <w:r>
        <w:rPr>
          <w:rFonts w:hint="eastAsia" w:ascii="仿宋_GB2312" w:hAnsi="仿宋_GB2312" w:eastAsia="仿宋_GB2312" w:cs="仿宋_GB2312"/>
          <w:color w:val="auto"/>
          <w:kern w:val="0"/>
          <w:szCs w:val="32"/>
        </w:rPr>
        <w:t>根据实际情况填写，至少2人</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药品经营许可证编号及有效期：</w:t>
      </w:r>
      <w:r>
        <w:rPr>
          <w:rFonts w:hint="eastAsia" w:ascii="仿宋_GB2312" w:hAnsi="仿宋_GB2312" w:eastAsia="仿宋_GB2312" w:cs="仿宋_GB2312"/>
          <w:b w:val="0"/>
          <w:bCs w:val="0"/>
          <w:color w:val="auto"/>
          <w:kern w:val="0"/>
          <w:sz w:val="32"/>
          <w:szCs w:val="32"/>
          <w:highlight w:val="none"/>
          <w:lang w:eastAsia="zh-CN"/>
        </w:rPr>
        <w:t>必须与</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Cs w:val="32"/>
        </w:rPr>
        <w:t>药品经营许可证</w:t>
      </w:r>
      <w:r>
        <w:rPr>
          <w:rFonts w:hint="eastAsia" w:ascii="仿宋_GB2312" w:hAnsi="仿宋_GB2312" w:eastAsia="仿宋_GB2312" w:cs="仿宋_GB2312"/>
          <w:color w:val="auto"/>
          <w:kern w:val="0"/>
          <w:szCs w:val="32"/>
          <w:highlight w:val="none"/>
          <w:lang w:eastAsia="zh-CN"/>
        </w:rPr>
        <w:t>》中相关信息一致</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许可证经营范围：</w:t>
      </w:r>
      <w:r>
        <w:rPr>
          <w:rFonts w:hint="eastAsia" w:ascii="仿宋_GB2312" w:hAnsi="仿宋_GB2312" w:eastAsia="仿宋_GB2312" w:cs="仿宋_GB2312"/>
          <w:b w:val="0"/>
          <w:bCs w:val="0"/>
          <w:color w:val="auto"/>
          <w:kern w:val="0"/>
          <w:sz w:val="32"/>
          <w:szCs w:val="32"/>
          <w:highlight w:val="none"/>
          <w:lang w:eastAsia="zh-CN"/>
        </w:rPr>
        <w:t>必须与</w:t>
      </w:r>
      <w:r>
        <w:rPr>
          <w:rFonts w:hint="eastAsia" w:ascii="仿宋_GB2312" w:hAnsi="仿宋_GB2312" w:eastAsia="仿宋_GB2312" w:cs="仿宋_GB2312"/>
          <w:color w:val="auto"/>
          <w:kern w:val="0"/>
          <w:szCs w:val="32"/>
          <w:highlight w:val="none"/>
          <w:lang w:eastAsia="zh-CN"/>
        </w:rPr>
        <w:t>《</w:t>
      </w:r>
      <w:r>
        <w:rPr>
          <w:rFonts w:hint="eastAsia" w:ascii="仿宋_GB2312" w:hAnsi="仿宋_GB2312" w:eastAsia="仿宋_GB2312" w:cs="仿宋_GB2312"/>
          <w:color w:val="auto"/>
          <w:kern w:val="0"/>
          <w:szCs w:val="32"/>
        </w:rPr>
        <w:t>药品经营许可证</w:t>
      </w:r>
      <w:r>
        <w:rPr>
          <w:rFonts w:hint="eastAsia" w:ascii="仿宋_GB2312" w:hAnsi="仿宋_GB2312" w:eastAsia="仿宋_GB2312" w:cs="仿宋_GB2312"/>
          <w:color w:val="auto"/>
          <w:kern w:val="0"/>
          <w:szCs w:val="32"/>
          <w:highlight w:val="none"/>
          <w:lang w:eastAsia="zh-CN"/>
        </w:rPr>
        <w:t>》中相关信息一致</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机构属地类别</w:t>
      </w:r>
      <w:r>
        <w:rPr>
          <w:rFonts w:hint="eastAsia" w:ascii="仿宋_GB2312" w:hAnsi="仿宋_GB2312" w:eastAsia="仿宋_GB2312" w:cs="仿宋_GB2312"/>
          <w:color w:val="auto"/>
          <w:kern w:val="0"/>
          <w:szCs w:val="32"/>
        </w:rPr>
        <w:t>：一般为“本地定点医药机构”</w:t>
      </w:r>
      <w:r>
        <w:rPr>
          <w:rFonts w:hint="eastAsia" w:ascii="仿宋_GB2312" w:hAnsi="仿宋_GB2312" w:eastAsia="仿宋_GB2312" w:cs="仿宋_GB2312"/>
          <w:color w:val="auto"/>
          <w:kern w:val="0"/>
          <w:szCs w:val="32"/>
          <w:lang w:eastAsia="zh-CN"/>
        </w:rPr>
        <w:t>。</w:t>
      </w:r>
    </w:p>
    <w:p>
      <w:pPr>
        <w:spacing w:line="560" w:lineRule="exact"/>
        <w:ind w:firstLine="632" w:firstLineChars="200"/>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rPr>
        <w:t>银行账号信息：</w:t>
      </w:r>
      <w:r>
        <w:rPr>
          <w:rFonts w:hint="eastAsia" w:ascii="仿宋_GB2312" w:hAnsi="仿宋_GB2312" w:eastAsia="仿宋_GB2312" w:cs="仿宋_GB2312"/>
          <w:color w:val="auto"/>
          <w:kern w:val="0"/>
          <w:szCs w:val="32"/>
          <w:highlight w:val="none"/>
        </w:rPr>
        <w:t>根据实际情况填写。</w:t>
      </w:r>
      <w:r>
        <w:rPr>
          <w:rFonts w:hint="eastAsia" w:ascii="仿宋_GB2312" w:hAnsi="仿宋_GB2312" w:eastAsia="仿宋_GB2312" w:cs="仿宋_GB2312"/>
          <w:color w:val="auto"/>
          <w:kern w:val="0"/>
          <w:szCs w:val="32"/>
        </w:rPr>
        <w:t>银行户名应与零售药店名称一致。</w:t>
      </w:r>
      <w:r>
        <w:rPr>
          <w:rFonts w:hint="eastAsia" w:ascii="仿宋_GB2312" w:hAnsi="仿宋_GB2312" w:eastAsia="仿宋_GB2312" w:cs="仿宋_GB2312"/>
          <w:color w:val="auto"/>
          <w:kern w:val="0"/>
          <w:szCs w:val="32"/>
          <w:lang w:eastAsia="zh-CN"/>
        </w:rPr>
        <w:t>零售药店</w:t>
      </w:r>
      <w:r>
        <w:rPr>
          <w:rFonts w:hint="eastAsia" w:ascii="仿宋_GB2312" w:hAnsi="仿宋_GB2312" w:eastAsia="仿宋_GB2312" w:cs="仿宋_GB2312"/>
          <w:color w:val="auto"/>
          <w:kern w:val="0"/>
          <w:szCs w:val="32"/>
        </w:rPr>
        <w:t>已填写“所属机构”的，此项不填。银行账号校验接口报错的，可删除该项信息，待成为新增定点零售药店后维护</w:t>
      </w:r>
      <w:r>
        <w:rPr>
          <w:rFonts w:hint="eastAsia" w:ascii="仿宋_GB2312" w:hAnsi="仿宋_GB2312" w:eastAsia="仿宋_GB2312" w:cs="仿宋_GB2312"/>
          <w:color w:val="auto"/>
          <w:kern w:val="0"/>
          <w:szCs w:val="32"/>
          <w:lang w:eastAsia="zh-CN"/>
        </w:rPr>
        <w:t>。</w:t>
      </w:r>
    </w:p>
    <w:p>
      <w:pPr>
        <w:pStyle w:val="2"/>
        <w:spacing w:line="560" w:lineRule="exact"/>
        <w:ind w:firstLine="632"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所属辖区医保经办机构：</w:t>
      </w:r>
      <w:r>
        <w:rPr>
          <w:rFonts w:hint="eastAsia" w:ascii="仿宋_GB2312" w:hAnsi="仿宋_GB2312" w:eastAsia="仿宋_GB2312" w:cs="仿宋_GB2312"/>
          <w:color w:val="auto"/>
          <w:kern w:val="0"/>
          <w:sz w:val="32"/>
          <w:szCs w:val="32"/>
          <w:lang w:val="en-US" w:eastAsia="zh-CN" w:bidi="ar-SA"/>
        </w:rPr>
        <w:t>为零售药店地址所在辖区的分局。</w:t>
      </w:r>
    </w:p>
    <w:p>
      <w:pPr>
        <w:pStyle w:val="2"/>
        <w:spacing w:line="560" w:lineRule="exact"/>
        <w:ind w:firstLine="632"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lang w:val="en-US" w:eastAsia="zh-CN" w:bidi="ar-SA"/>
        </w:rPr>
        <w:t>注册在该零售药店执业药师或药学技术人员信息：</w:t>
      </w:r>
      <w:r>
        <w:rPr>
          <w:rFonts w:hint="eastAsia" w:ascii="仿宋_GB2312" w:hAnsi="仿宋_GB2312" w:eastAsia="仿宋_GB2312" w:cs="仿宋_GB2312"/>
          <w:b w:val="0"/>
          <w:bCs w:val="0"/>
          <w:color w:val="auto"/>
          <w:kern w:val="0"/>
          <w:sz w:val="32"/>
          <w:szCs w:val="32"/>
          <w:lang w:val="en-US" w:eastAsia="zh-CN" w:bidi="ar-SA"/>
        </w:rPr>
        <w:t>必须与申请材料中的药师信息一致，并</w:t>
      </w:r>
      <w:r>
        <w:rPr>
          <w:rFonts w:hint="eastAsia" w:ascii="仿宋_GB2312" w:hAnsi="仿宋_GB2312" w:eastAsia="仿宋_GB2312" w:cs="仿宋_GB2312"/>
          <w:b w:val="0"/>
          <w:bCs/>
          <w:color w:val="auto"/>
          <w:kern w:val="0"/>
          <w:sz w:val="32"/>
          <w:szCs w:val="32"/>
          <w:highlight w:val="none"/>
          <w:lang w:val="en-US" w:eastAsia="zh-CN"/>
        </w:rPr>
        <w:t>在国家医保信息业务编码标准数据库动态维护平台完成药师信息维护</w:t>
      </w:r>
      <w:r>
        <w:rPr>
          <w:rFonts w:hint="eastAsia" w:ascii="仿宋_GB2312" w:hAnsi="仿宋_GB2312" w:eastAsia="仿宋_GB2312" w:cs="仿宋_GB2312"/>
          <w:color w:val="auto"/>
          <w:kern w:val="0"/>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附件3-2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color w:val="auto"/>
          <w:sz w:val="36"/>
          <w:szCs w:val="36"/>
          <w:highlight w:val="none"/>
          <w:lang w:val="en-US" w:eastAsia="zh-CN"/>
        </w:rPr>
        <w:t>零售药店申请材料要求</w:t>
      </w:r>
    </w:p>
    <w:p>
      <w:pPr>
        <w:pStyle w:val="2"/>
        <w:rPr>
          <w:rFonts w:hint="eastAsia"/>
          <w:color w:val="auto"/>
          <w:highlight w:val="none"/>
          <w:lang w:val="en-US" w:eastAsia="zh-CN"/>
        </w:rPr>
      </w:pPr>
    </w:p>
    <w:tbl>
      <w:tblPr>
        <w:tblStyle w:val="13"/>
        <w:tblW w:w="9451" w:type="dxa"/>
        <w:jc w:val="center"/>
        <w:tblLayout w:type="fixed"/>
        <w:tblCellMar>
          <w:top w:w="0" w:type="dxa"/>
          <w:left w:w="108" w:type="dxa"/>
          <w:bottom w:w="0" w:type="dxa"/>
          <w:right w:w="108" w:type="dxa"/>
        </w:tblCellMar>
      </w:tblPr>
      <w:tblGrid>
        <w:gridCol w:w="720"/>
        <w:gridCol w:w="2395"/>
        <w:gridCol w:w="4452"/>
        <w:gridCol w:w="1884"/>
      </w:tblGrid>
      <w:tr>
        <w:tblPrEx>
          <w:tblCellMar>
            <w:top w:w="0" w:type="dxa"/>
            <w:left w:w="108" w:type="dxa"/>
            <w:bottom w:w="0" w:type="dxa"/>
            <w:right w:w="108" w:type="dxa"/>
          </w:tblCellMar>
        </w:tblPrEx>
        <w:trPr>
          <w:cantSplit/>
          <w:trHeight w:val="547" w:hRule="atLeast"/>
          <w:tblHeader/>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ascii="Times New Roman" w:hAnsi="Times New Roman" w:eastAsia="黑体" w:cs="Times New Roman"/>
                <w:b w:val="0"/>
                <w:i w:val="0"/>
                <w:caps w:val="0"/>
                <w:color w:val="auto"/>
                <w:spacing w:val="0"/>
                <w:w w:val="100"/>
                <w:kern w:val="0"/>
                <w:sz w:val="24"/>
                <w:szCs w:val="24"/>
                <w:highlight w:val="none"/>
              </w:rPr>
            </w:pPr>
            <w:r>
              <w:rPr>
                <w:rFonts w:ascii="Times New Roman" w:hAnsi="Times New Roman" w:eastAsia="黑体" w:cs="Times New Roman"/>
                <w:b w:val="0"/>
                <w:i w:val="0"/>
                <w:caps w:val="0"/>
                <w:color w:val="auto"/>
                <w:spacing w:val="0"/>
                <w:w w:val="100"/>
                <w:kern w:val="0"/>
                <w:sz w:val="24"/>
                <w:szCs w:val="24"/>
                <w:highlight w:val="none"/>
              </w:rPr>
              <w:t>序号</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eastAsia" w:ascii="Times New Roman" w:hAnsi="Times New Roman" w:eastAsia="黑体" w:cs="Times New Roman"/>
                <w:b w:val="0"/>
                <w:i w:val="0"/>
                <w:caps w:val="0"/>
                <w:color w:val="auto"/>
                <w:spacing w:val="0"/>
                <w:w w:val="100"/>
                <w:kern w:val="0"/>
                <w:sz w:val="24"/>
                <w:szCs w:val="24"/>
                <w:highlight w:val="none"/>
                <w:lang w:val="en-US" w:eastAsia="zh-CN"/>
              </w:rPr>
            </w:pPr>
            <w:r>
              <w:rPr>
                <w:rFonts w:ascii="Times New Roman" w:hAnsi="Times New Roman" w:eastAsia="黑体" w:cs="Times New Roman"/>
                <w:b w:val="0"/>
                <w:i w:val="0"/>
                <w:caps w:val="0"/>
                <w:color w:val="auto"/>
                <w:spacing w:val="0"/>
                <w:w w:val="100"/>
                <w:kern w:val="0"/>
                <w:sz w:val="24"/>
                <w:szCs w:val="24"/>
                <w:highlight w:val="none"/>
              </w:rPr>
              <w:t>申</w:t>
            </w:r>
            <w:r>
              <w:rPr>
                <w:rFonts w:hint="eastAsia" w:ascii="Times New Roman" w:hAnsi="Times New Roman" w:eastAsia="黑体" w:cs="Times New Roman"/>
                <w:b w:val="0"/>
                <w:i w:val="0"/>
                <w:caps w:val="0"/>
                <w:color w:val="auto"/>
                <w:spacing w:val="0"/>
                <w:w w:val="100"/>
                <w:kern w:val="0"/>
                <w:sz w:val="24"/>
                <w:szCs w:val="24"/>
                <w:highlight w:val="none"/>
                <w:lang w:val="en-US" w:eastAsia="zh-CN"/>
              </w:rPr>
              <w:t>请</w:t>
            </w:r>
            <w:r>
              <w:rPr>
                <w:rFonts w:ascii="Times New Roman" w:hAnsi="Times New Roman" w:eastAsia="黑体" w:cs="Times New Roman"/>
                <w:b w:val="0"/>
                <w:i w:val="0"/>
                <w:caps w:val="0"/>
                <w:color w:val="auto"/>
                <w:spacing w:val="0"/>
                <w:w w:val="100"/>
                <w:kern w:val="0"/>
                <w:sz w:val="24"/>
                <w:szCs w:val="24"/>
                <w:highlight w:val="none"/>
              </w:rPr>
              <w:t>资料</w:t>
            </w:r>
            <w:r>
              <w:rPr>
                <w:rFonts w:hint="eastAsia" w:eastAsia="黑体" w:cs="Times New Roman"/>
                <w:b w:val="0"/>
                <w:i w:val="0"/>
                <w:caps w:val="0"/>
                <w:color w:val="auto"/>
                <w:spacing w:val="0"/>
                <w:w w:val="100"/>
                <w:kern w:val="0"/>
                <w:sz w:val="24"/>
                <w:szCs w:val="24"/>
                <w:highlight w:val="none"/>
                <w:lang w:eastAsia="zh-CN"/>
              </w:rPr>
              <w:t>名称</w:t>
            </w:r>
          </w:p>
        </w:tc>
        <w:tc>
          <w:tcPr>
            <w:tcW w:w="4452"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ascii="Times New Roman" w:hAnsi="Times New Roman" w:eastAsia="黑体" w:cs="Times New Roman"/>
                <w:b w:val="0"/>
                <w:i w:val="0"/>
                <w:caps w:val="0"/>
                <w:color w:val="auto"/>
                <w:spacing w:val="0"/>
                <w:w w:val="100"/>
                <w:kern w:val="0"/>
                <w:sz w:val="24"/>
                <w:szCs w:val="24"/>
                <w:highlight w:val="none"/>
              </w:rPr>
            </w:pPr>
            <w:r>
              <w:rPr>
                <w:rFonts w:ascii="Times New Roman" w:hAnsi="Times New Roman" w:eastAsia="黑体" w:cs="Times New Roman"/>
                <w:b w:val="0"/>
                <w:i w:val="0"/>
                <w:caps w:val="0"/>
                <w:color w:val="auto"/>
                <w:spacing w:val="0"/>
                <w:w w:val="100"/>
                <w:kern w:val="0"/>
                <w:sz w:val="24"/>
                <w:szCs w:val="24"/>
                <w:highlight w:val="none"/>
              </w:rPr>
              <w:t>资料有效性判断要点</w:t>
            </w:r>
          </w:p>
        </w:tc>
        <w:tc>
          <w:tcPr>
            <w:tcW w:w="1884"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ascii="Times New Roman" w:hAnsi="Times New Roman" w:eastAsia="黑体" w:cs="Times New Roman"/>
                <w:b w:val="0"/>
                <w:i w:val="0"/>
                <w:caps w:val="0"/>
                <w:color w:val="auto"/>
                <w:spacing w:val="0"/>
                <w:w w:val="100"/>
                <w:kern w:val="0"/>
                <w:sz w:val="24"/>
                <w:szCs w:val="24"/>
                <w:highlight w:val="none"/>
              </w:rPr>
            </w:pPr>
            <w:r>
              <w:rPr>
                <w:rFonts w:ascii="Times New Roman" w:hAnsi="Times New Roman" w:eastAsia="黑体" w:cs="Times New Roman"/>
                <w:b w:val="0"/>
                <w:i w:val="0"/>
                <w:caps w:val="0"/>
                <w:color w:val="auto"/>
                <w:spacing w:val="0"/>
                <w:w w:val="100"/>
                <w:kern w:val="0"/>
                <w:sz w:val="24"/>
                <w:szCs w:val="24"/>
                <w:highlight w:val="none"/>
              </w:rPr>
              <w:t>备注</w:t>
            </w:r>
          </w:p>
        </w:tc>
      </w:tr>
      <w:tr>
        <w:tblPrEx>
          <w:tblCellMar>
            <w:top w:w="0" w:type="dxa"/>
            <w:left w:w="108" w:type="dxa"/>
            <w:bottom w:w="0" w:type="dxa"/>
            <w:right w:w="108" w:type="dxa"/>
          </w:tblCellMar>
        </w:tblPrEx>
        <w:trPr>
          <w:cantSplit/>
          <w:trHeight w:val="7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ascii="Times New Roman" w:hAnsi="Times New Roman" w:eastAsia="仿宋_GB2312" w:cs="Times New Roman"/>
                <w:b w:val="0"/>
                <w:i w:val="0"/>
                <w:caps w:val="0"/>
                <w:color w:val="auto"/>
                <w:spacing w:val="0"/>
                <w:w w:val="100"/>
                <w:kern w:val="0"/>
                <w:sz w:val="24"/>
                <w:szCs w:val="24"/>
                <w:highlight w:val="none"/>
              </w:rPr>
            </w:pPr>
            <w:r>
              <w:rPr>
                <w:rFonts w:ascii="Times New Roman" w:hAnsi="Times New Roman" w:eastAsia="仿宋_GB2312" w:cs="Times New Roman"/>
                <w:b w:val="0"/>
                <w:i w:val="0"/>
                <w:caps w:val="0"/>
                <w:color w:val="auto"/>
                <w:spacing w:val="0"/>
                <w:w w:val="100"/>
                <w:kern w:val="0"/>
                <w:sz w:val="24"/>
                <w:szCs w:val="24"/>
                <w:highlight w:val="none"/>
              </w:rPr>
              <w:t>1</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深圳市医疗保障定点零售药店申请表</w:t>
            </w:r>
          </w:p>
        </w:tc>
        <w:tc>
          <w:tcPr>
            <w:tcW w:w="4452"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rPr>
            </w:pPr>
            <w:r>
              <w:rPr>
                <w:rFonts w:hint="eastAsia" w:ascii="Times New Roman" w:hAnsi="Times New Roman" w:eastAsia="仿宋_GB2312" w:cs="Times New Roman"/>
                <w:b w:val="0"/>
                <w:i w:val="0"/>
                <w:caps w:val="0"/>
                <w:color w:val="auto"/>
                <w:spacing w:val="0"/>
                <w:w w:val="100"/>
                <w:kern w:val="0"/>
                <w:sz w:val="24"/>
                <w:szCs w:val="24"/>
                <w:highlight w:val="none"/>
              </w:rPr>
              <w:t>1.填写准确；</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rPr>
            </w:pPr>
            <w:r>
              <w:rPr>
                <w:rFonts w:hint="eastAsia" w:ascii="Times New Roman" w:hAnsi="Times New Roman" w:eastAsia="仿宋_GB2312" w:cs="Times New Roman"/>
                <w:b w:val="0"/>
                <w:i w:val="0"/>
                <w:caps w:val="0"/>
                <w:color w:val="auto"/>
                <w:spacing w:val="0"/>
                <w:w w:val="100"/>
                <w:kern w:val="0"/>
                <w:sz w:val="24"/>
                <w:szCs w:val="24"/>
                <w:highlight w:val="none"/>
              </w:rPr>
              <w:t>2.零售药店为分支机构的，加盖总部及分店公章；</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rPr>
              <w:t>3.有法定代表人、企业负责人及实际控制人签名</w:t>
            </w:r>
            <w:r>
              <w:rPr>
                <w:rFonts w:hint="eastAsia" w:ascii="Times New Roman" w:hAnsi="Times New Roman" w:eastAsia="仿宋_GB2312" w:cs="Times New Roman"/>
                <w:b w:val="0"/>
                <w:i w:val="0"/>
                <w:caps w:val="0"/>
                <w:color w:val="auto"/>
                <w:spacing w:val="0"/>
                <w:w w:val="100"/>
                <w:kern w:val="0"/>
                <w:sz w:val="24"/>
                <w:szCs w:val="24"/>
                <w:highlight w:val="none"/>
                <w:lang w:eastAsia="zh-CN"/>
              </w:rPr>
              <w:t>；</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4.各类</w:t>
            </w:r>
            <w:r>
              <w:rPr>
                <w:rFonts w:hint="eastAsia" w:ascii="Times New Roman" w:hAnsi="Times New Roman" w:eastAsia="仿宋_GB2312" w:cs="Times New Roman"/>
                <w:b w:val="0"/>
                <w:i w:val="0"/>
                <w:caps w:val="0"/>
                <w:color w:val="auto"/>
                <w:spacing w:val="0"/>
                <w:w w:val="100"/>
                <w:kern w:val="0"/>
                <w:sz w:val="24"/>
                <w:szCs w:val="24"/>
                <w:highlight w:val="none"/>
                <w:lang w:eastAsia="zh-CN"/>
              </w:rPr>
              <w:t>药师</w:t>
            </w:r>
            <w:r>
              <w:rPr>
                <w:rFonts w:hint="eastAsia" w:ascii="Times New Roman" w:hAnsi="Times New Roman" w:eastAsia="仿宋_GB2312" w:cs="Times New Roman"/>
                <w:b w:val="0"/>
                <w:i w:val="0"/>
                <w:caps w:val="0"/>
                <w:color w:val="auto"/>
                <w:spacing w:val="0"/>
                <w:w w:val="100"/>
                <w:kern w:val="0"/>
                <w:sz w:val="24"/>
                <w:szCs w:val="24"/>
                <w:highlight w:val="none"/>
              </w:rPr>
              <w:t>应报尽报</w:t>
            </w:r>
            <w:r>
              <w:rPr>
                <w:rFonts w:hint="eastAsia" w:ascii="Times New Roman" w:hAnsi="Times New Roman" w:eastAsia="仿宋_GB2312" w:cs="Times New Roman"/>
                <w:b w:val="0"/>
                <w:i w:val="0"/>
                <w:caps w:val="0"/>
                <w:color w:val="auto"/>
                <w:spacing w:val="0"/>
                <w:w w:val="100"/>
                <w:kern w:val="0"/>
                <w:sz w:val="24"/>
                <w:szCs w:val="24"/>
                <w:highlight w:val="none"/>
                <w:lang w:eastAsia="zh-CN"/>
              </w:rPr>
              <w:t>。</w:t>
            </w:r>
          </w:p>
        </w:tc>
        <w:tc>
          <w:tcPr>
            <w:tcW w:w="1884"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上传</w:t>
            </w:r>
            <w:r>
              <w:rPr>
                <w:rFonts w:ascii="Times New Roman" w:hAnsi="Times New Roman" w:eastAsia="仿宋_GB2312" w:cs="Times New Roman"/>
                <w:b w:val="0"/>
                <w:i w:val="0"/>
                <w:caps w:val="0"/>
                <w:color w:val="auto"/>
                <w:spacing w:val="0"/>
                <w:w w:val="100"/>
                <w:kern w:val="0"/>
                <w:sz w:val="24"/>
                <w:szCs w:val="24"/>
                <w:highlight w:val="none"/>
              </w:rPr>
              <w:t>加盖公章</w:t>
            </w:r>
            <w:r>
              <w:rPr>
                <w:rFonts w:hint="default" w:ascii="Times New Roman" w:hAnsi="Times New Roman" w:eastAsia="仿宋_GB2312" w:cs="Times New Roman"/>
                <w:b w:val="0"/>
                <w:i w:val="0"/>
                <w:caps w:val="0"/>
                <w:color w:val="auto"/>
                <w:spacing w:val="0"/>
                <w:w w:val="100"/>
                <w:kern w:val="0"/>
                <w:sz w:val="24"/>
                <w:szCs w:val="24"/>
                <w:highlight w:val="none"/>
              </w:rPr>
              <w:t>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扫描件或电子图片</w:t>
            </w:r>
          </w:p>
        </w:tc>
      </w:tr>
      <w:tr>
        <w:tblPrEx>
          <w:tblCellMar>
            <w:top w:w="0" w:type="dxa"/>
            <w:left w:w="108" w:type="dxa"/>
            <w:bottom w:w="0" w:type="dxa"/>
            <w:right w:w="108" w:type="dxa"/>
          </w:tblCellMar>
        </w:tblPrEx>
        <w:trPr>
          <w:cantSplit/>
          <w:trHeight w:val="1666"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ascii="Times New Roman" w:hAnsi="Times New Roman" w:eastAsia="仿宋_GB2312" w:cs="Times New Roman"/>
                <w:b w:val="0"/>
                <w:i w:val="0"/>
                <w:caps w:val="0"/>
                <w:color w:val="auto"/>
                <w:spacing w:val="0"/>
                <w:w w:val="100"/>
                <w:kern w:val="0"/>
                <w:sz w:val="24"/>
                <w:szCs w:val="24"/>
                <w:highlight w:val="none"/>
              </w:rPr>
            </w:pPr>
            <w:r>
              <w:rPr>
                <w:rFonts w:ascii="Times New Roman" w:hAnsi="Times New Roman" w:eastAsia="仿宋_GB2312" w:cs="Times New Roman"/>
                <w:b w:val="0"/>
                <w:i w:val="0"/>
                <w:caps w:val="0"/>
                <w:color w:val="auto"/>
                <w:spacing w:val="0"/>
                <w:w w:val="100"/>
                <w:kern w:val="0"/>
                <w:sz w:val="24"/>
                <w:szCs w:val="24"/>
                <w:highlight w:val="none"/>
              </w:rPr>
              <w:t>2</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药品经营许可证、营业执照，法定代表人、主要负责人和实际控制人身份证</w:t>
            </w:r>
          </w:p>
        </w:tc>
        <w:tc>
          <w:tcPr>
            <w:tcW w:w="4452"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rPr>
            </w:pPr>
            <w:r>
              <w:rPr>
                <w:rFonts w:hint="eastAsia" w:ascii="Times New Roman" w:hAnsi="Times New Roman" w:eastAsia="仿宋_GB2312" w:cs="Times New Roman"/>
                <w:b w:val="0"/>
                <w:i w:val="0"/>
                <w:caps w:val="0"/>
                <w:color w:val="auto"/>
                <w:spacing w:val="0"/>
                <w:w w:val="100"/>
                <w:kern w:val="0"/>
                <w:sz w:val="24"/>
                <w:szCs w:val="24"/>
                <w:highlight w:val="none"/>
              </w:rPr>
              <w:t>1.在有效期内；</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rPr>
            </w:pPr>
            <w:r>
              <w:rPr>
                <w:rFonts w:hint="eastAsia" w:ascii="Times New Roman" w:hAnsi="Times New Roman" w:eastAsia="仿宋_GB2312" w:cs="Times New Roman"/>
                <w:b w:val="0"/>
                <w:i w:val="0"/>
                <w:caps w:val="0"/>
                <w:color w:val="auto"/>
                <w:spacing w:val="0"/>
                <w:w w:val="100"/>
                <w:kern w:val="0"/>
                <w:sz w:val="24"/>
                <w:szCs w:val="24"/>
                <w:highlight w:val="none"/>
              </w:rPr>
              <w:t>2.药品经营许可证发证日期距申请定点日期至少3个月；</w:t>
            </w:r>
          </w:p>
          <w:p>
            <w:pPr>
              <w:widowControl/>
              <w:snapToGrid w:val="0"/>
              <w:spacing w:before="0" w:beforeAutospacing="0" w:after="0" w:afterAutospacing="0" w:line="240" w:lineRule="atLeast"/>
              <w:jc w:val="left"/>
              <w:textAlignment w:val="baseline"/>
              <w:rPr>
                <w:rFonts w:ascii="Times New Roman" w:hAnsi="Times New Roman" w:eastAsia="仿宋_GB2312" w:cs="Times New Roman"/>
                <w:b w:val="0"/>
                <w:i w:val="0"/>
                <w:caps w:val="0"/>
                <w:color w:val="auto"/>
                <w:spacing w:val="0"/>
                <w:w w:val="100"/>
                <w:kern w:val="0"/>
                <w:sz w:val="24"/>
                <w:szCs w:val="24"/>
                <w:highlight w:val="none"/>
              </w:rPr>
            </w:pPr>
            <w:r>
              <w:rPr>
                <w:rFonts w:hint="eastAsia" w:ascii="Times New Roman" w:hAnsi="Times New Roman" w:eastAsia="仿宋_GB2312" w:cs="Times New Roman"/>
                <w:b w:val="0"/>
                <w:i w:val="0"/>
                <w:caps w:val="0"/>
                <w:color w:val="auto"/>
                <w:spacing w:val="0"/>
                <w:w w:val="100"/>
                <w:kern w:val="0"/>
                <w:sz w:val="24"/>
                <w:szCs w:val="24"/>
                <w:highlight w:val="none"/>
              </w:rPr>
              <w:t>3.经营方式应为零售或零售（连锁），不能是批发。</w:t>
            </w:r>
          </w:p>
        </w:tc>
        <w:tc>
          <w:tcPr>
            <w:tcW w:w="1884"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上传</w:t>
            </w:r>
            <w:r>
              <w:rPr>
                <w:rFonts w:ascii="Times New Roman" w:hAnsi="Times New Roman" w:eastAsia="仿宋_GB2312" w:cs="Times New Roman"/>
                <w:b w:val="0"/>
                <w:i w:val="0"/>
                <w:caps w:val="0"/>
                <w:color w:val="auto"/>
                <w:spacing w:val="0"/>
                <w:w w:val="100"/>
                <w:kern w:val="0"/>
                <w:sz w:val="24"/>
                <w:szCs w:val="24"/>
                <w:highlight w:val="none"/>
              </w:rPr>
              <w:t>加盖公章</w:t>
            </w:r>
            <w:r>
              <w:rPr>
                <w:rFonts w:hint="default" w:ascii="Times New Roman" w:hAnsi="Times New Roman" w:eastAsia="仿宋_GB2312" w:cs="Times New Roman"/>
                <w:b w:val="0"/>
                <w:i w:val="0"/>
                <w:caps w:val="0"/>
                <w:color w:val="auto"/>
                <w:spacing w:val="0"/>
                <w:w w:val="100"/>
                <w:kern w:val="0"/>
                <w:sz w:val="24"/>
                <w:szCs w:val="24"/>
                <w:highlight w:val="none"/>
              </w:rPr>
              <w:t>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扫描件或电子图片</w:t>
            </w:r>
          </w:p>
        </w:tc>
      </w:tr>
      <w:tr>
        <w:tblPrEx>
          <w:tblCellMar>
            <w:top w:w="0" w:type="dxa"/>
            <w:left w:w="108" w:type="dxa"/>
            <w:bottom w:w="0" w:type="dxa"/>
            <w:right w:w="108" w:type="dxa"/>
          </w:tblCellMar>
        </w:tblPrEx>
        <w:trPr>
          <w:cantSplit/>
          <w:trHeight w:val="1092"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ascii="Times New Roman" w:hAnsi="Times New Roman" w:eastAsia="仿宋_GB2312" w:cs="Times New Roman"/>
                <w:b w:val="0"/>
                <w:i w:val="0"/>
                <w:caps w:val="0"/>
                <w:color w:val="auto"/>
                <w:spacing w:val="0"/>
                <w:w w:val="100"/>
                <w:kern w:val="0"/>
                <w:sz w:val="24"/>
                <w:szCs w:val="24"/>
                <w:highlight w:val="none"/>
              </w:rPr>
            </w:pPr>
            <w:r>
              <w:rPr>
                <w:rFonts w:ascii="Times New Roman" w:hAnsi="Times New Roman" w:eastAsia="仿宋_GB2312" w:cs="Times New Roman"/>
                <w:b w:val="0"/>
                <w:i w:val="0"/>
                <w:caps w:val="0"/>
                <w:color w:val="auto"/>
                <w:spacing w:val="0"/>
                <w:w w:val="100"/>
                <w:kern w:val="0"/>
                <w:sz w:val="24"/>
                <w:szCs w:val="24"/>
                <w:highlight w:val="none"/>
              </w:rPr>
              <w:t>3</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全量药师证书等材料，包括执业药师资格证书、注册证、劳动（务）合同和职工医保参保证明，药学技术人员相关证书、劳动（务）合同和职工医保参保证明</w:t>
            </w:r>
          </w:p>
        </w:tc>
        <w:tc>
          <w:tcPr>
            <w:tcW w:w="4452"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1.证书应当在有效期内且应能证明药师注册（备案）地为该药店；</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2.劳动（务）合同应当在有效期内并有双方签名，有效期最少1年；</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3.执业药师和药学技术人员应自劳动（务）合同期限开始起在该药店或连锁企业参加职工医保，在国家医保平台内查询参保记录；</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4.退休药师应参照劳动合同要求提供劳务关系证明。</w:t>
            </w:r>
          </w:p>
        </w:tc>
        <w:tc>
          <w:tcPr>
            <w:tcW w:w="1884"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上传</w:t>
            </w:r>
            <w:r>
              <w:rPr>
                <w:rFonts w:ascii="Times New Roman" w:hAnsi="Times New Roman" w:eastAsia="仿宋_GB2312" w:cs="Times New Roman"/>
                <w:b w:val="0"/>
                <w:i w:val="0"/>
                <w:caps w:val="0"/>
                <w:color w:val="auto"/>
                <w:spacing w:val="0"/>
                <w:w w:val="100"/>
                <w:kern w:val="0"/>
                <w:sz w:val="24"/>
                <w:szCs w:val="24"/>
                <w:highlight w:val="none"/>
              </w:rPr>
              <w:t>加盖公章</w:t>
            </w:r>
            <w:r>
              <w:rPr>
                <w:rFonts w:hint="default" w:ascii="Times New Roman" w:hAnsi="Times New Roman" w:eastAsia="仿宋_GB2312" w:cs="Times New Roman"/>
                <w:b w:val="0"/>
                <w:i w:val="0"/>
                <w:caps w:val="0"/>
                <w:color w:val="auto"/>
                <w:spacing w:val="0"/>
                <w:w w:val="100"/>
                <w:kern w:val="0"/>
                <w:sz w:val="24"/>
                <w:szCs w:val="24"/>
                <w:highlight w:val="none"/>
              </w:rPr>
              <w:t>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扫描件或电子图片</w:t>
            </w:r>
          </w:p>
        </w:tc>
      </w:tr>
      <w:tr>
        <w:tblPrEx>
          <w:tblCellMar>
            <w:top w:w="0" w:type="dxa"/>
            <w:left w:w="108" w:type="dxa"/>
            <w:bottom w:w="0" w:type="dxa"/>
            <w:right w:w="108" w:type="dxa"/>
          </w:tblCellMar>
        </w:tblPrEx>
        <w:trPr>
          <w:cantSplit/>
          <w:trHeight w:val="858"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eastAsia" w:ascii="Times New Roman" w:hAnsi="Times New Roman" w:eastAsia="仿宋_GB2312" w:cs="Times New Roman"/>
                <w:b w:val="0"/>
                <w:bCs w:val="0"/>
                <w:i w:val="0"/>
                <w:caps w:val="0"/>
                <w:color w:val="auto"/>
                <w:spacing w:val="0"/>
                <w:kern w:val="0"/>
                <w:sz w:val="24"/>
                <w:szCs w:val="24"/>
                <w:highlight w:val="none"/>
                <w:shd w:val="clear" w:color="auto" w:fill="auto"/>
                <w:lang w:eastAsia="zh-CN"/>
              </w:rPr>
            </w:pPr>
            <w:r>
              <w:rPr>
                <w:rFonts w:hint="eastAsia" w:ascii="Times New Roman" w:hAnsi="Times New Roman" w:eastAsia="仿宋_GB2312" w:cs="Times New Roman"/>
                <w:b w:val="0"/>
                <w:bCs w:val="0"/>
                <w:i w:val="0"/>
                <w:caps w:val="0"/>
                <w:color w:val="auto"/>
                <w:spacing w:val="0"/>
                <w:kern w:val="0"/>
                <w:sz w:val="24"/>
                <w:szCs w:val="24"/>
                <w:highlight w:val="none"/>
                <w:shd w:val="clear" w:color="auto" w:fill="auto"/>
                <w:lang w:val="en-US" w:eastAsia="zh-CN"/>
              </w:rPr>
              <w:t>4</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bCs w:val="0"/>
                <w:i w:val="0"/>
                <w:caps w:val="0"/>
                <w:color w:val="auto"/>
                <w:spacing w:val="0"/>
                <w:kern w:val="0"/>
                <w:sz w:val="24"/>
                <w:szCs w:val="24"/>
                <w:highlight w:val="none"/>
                <w:shd w:val="clear" w:color="auto" w:fill="auto"/>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专（兼）职医保管理人员的劳动（务）合同和职工医保参保证明</w:t>
            </w:r>
          </w:p>
        </w:tc>
        <w:tc>
          <w:tcPr>
            <w:tcW w:w="445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1.至少2名，劳动（务）合同应当签订1年以上，在有效期内并有双方签名；</w:t>
            </w:r>
          </w:p>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2.应自劳动（务）合同期限开始起在本店或连锁企业参加职工医保，在国家医保平台内查询参保记录</w:t>
            </w: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上传</w:t>
            </w:r>
            <w:r>
              <w:rPr>
                <w:rFonts w:ascii="Times New Roman" w:hAnsi="Times New Roman" w:eastAsia="仿宋_GB2312" w:cs="Times New Roman"/>
                <w:b w:val="0"/>
                <w:i w:val="0"/>
                <w:caps w:val="0"/>
                <w:color w:val="auto"/>
                <w:spacing w:val="0"/>
                <w:w w:val="100"/>
                <w:kern w:val="0"/>
                <w:sz w:val="24"/>
                <w:szCs w:val="24"/>
                <w:highlight w:val="none"/>
              </w:rPr>
              <w:t>加盖公章</w:t>
            </w:r>
            <w:r>
              <w:rPr>
                <w:rFonts w:hint="default" w:ascii="Times New Roman" w:hAnsi="Times New Roman" w:eastAsia="仿宋_GB2312" w:cs="Times New Roman"/>
                <w:b w:val="0"/>
                <w:i w:val="0"/>
                <w:caps w:val="0"/>
                <w:color w:val="auto"/>
                <w:spacing w:val="0"/>
                <w:w w:val="100"/>
                <w:kern w:val="0"/>
                <w:sz w:val="24"/>
                <w:szCs w:val="24"/>
                <w:highlight w:val="none"/>
              </w:rPr>
              <w:t>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扫描件或电子图片</w:t>
            </w:r>
          </w:p>
        </w:tc>
      </w:tr>
      <w:tr>
        <w:tblPrEx>
          <w:tblCellMar>
            <w:top w:w="0" w:type="dxa"/>
            <w:left w:w="108" w:type="dxa"/>
            <w:bottom w:w="0" w:type="dxa"/>
            <w:right w:w="108" w:type="dxa"/>
          </w:tblCellMar>
        </w:tblPrEx>
        <w:trPr>
          <w:cantSplit/>
          <w:trHeight w:val="250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5</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与医疗保障政策对应的内部管理制度（至少含医保药品管理制度、财务管理制度、医保人员管理制度、统计信息管理制度和医保费用结算制度）</w:t>
            </w:r>
          </w:p>
        </w:tc>
        <w:tc>
          <w:tcPr>
            <w:tcW w:w="4452"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eastAsia="zh-CN"/>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1.财务管理制度至少包含机构医疗服务收入的收费渠道、银行账户等内容；医保人员管理制度至少包含医保人员工作管理、医保政策内部培训等内容；统计信息管理制度至少包含医保目录数据库维护工作机制等内容；分店可使用与总店一致的制度文本；</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eastAsia="zh-CN"/>
              </w:rPr>
              <w:t>2.各项制度文本内容无原则性、逻辑性错误，无</w:t>
            </w: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明显抄袭痕迹，无明显与机构执业范围不符的内容。</w:t>
            </w:r>
          </w:p>
        </w:tc>
        <w:tc>
          <w:tcPr>
            <w:tcW w:w="1884"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上传</w:t>
            </w:r>
            <w:r>
              <w:rPr>
                <w:rFonts w:ascii="Times New Roman" w:hAnsi="Times New Roman" w:eastAsia="仿宋_GB2312" w:cs="Times New Roman"/>
                <w:b w:val="0"/>
                <w:i w:val="0"/>
                <w:caps w:val="0"/>
                <w:color w:val="auto"/>
                <w:spacing w:val="0"/>
                <w:w w:val="100"/>
                <w:kern w:val="0"/>
                <w:sz w:val="24"/>
                <w:szCs w:val="24"/>
                <w:highlight w:val="none"/>
              </w:rPr>
              <w:t>加盖公章</w:t>
            </w:r>
            <w:r>
              <w:rPr>
                <w:rFonts w:hint="default" w:ascii="Times New Roman" w:hAnsi="Times New Roman" w:eastAsia="仿宋_GB2312" w:cs="Times New Roman"/>
                <w:b w:val="0"/>
                <w:i w:val="0"/>
                <w:caps w:val="0"/>
                <w:color w:val="auto"/>
                <w:spacing w:val="0"/>
                <w:w w:val="100"/>
                <w:kern w:val="0"/>
                <w:sz w:val="24"/>
                <w:szCs w:val="24"/>
                <w:highlight w:val="none"/>
              </w:rPr>
              <w:t>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扫描件或电子图片</w:t>
            </w:r>
          </w:p>
        </w:tc>
      </w:tr>
      <w:tr>
        <w:tblPrEx>
          <w:tblCellMar>
            <w:top w:w="0" w:type="dxa"/>
            <w:left w:w="108" w:type="dxa"/>
            <w:bottom w:w="0" w:type="dxa"/>
            <w:right w:w="108" w:type="dxa"/>
          </w:tblCellMar>
        </w:tblPrEx>
        <w:trPr>
          <w:cantSplit/>
          <w:trHeight w:val="250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6</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正式启用信息系统开展经营服务之日距申请定点日期至少3个月的佐证材料</w:t>
            </w:r>
          </w:p>
        </w:tc>
        <w:tc>
          <w:tcPr>
            <w:tcW w:w="4452" w:type="dxa"/>
            <w:vMerge w:val="restart"/>
            <w:tcBorders>
              <w:top w:val="single" w:color="auto" w:sz="4" w:space="0"/>
              <w:left w:val="nil"/>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bidi="ar-SA"/>
              </w:rPr>
              <w:t>1.使用信息系统开展经营服务形成的经营数据截图，数据起始之日</w:t>
            </w: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距申请定点日期至少3个月。</w:t>
            </w:r>
          </w:p>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bidi="ar-SA"/>
              </w:rPr>
              <w:t>2.</w:t>
            </w:r>
            <w:r>
              <w:rPr>
                <w:rFonts w:hint="eastAsia" w:ascii="Times New Roman" w:hAnsi="Times New Roman" w:eastAsia="仿宋_GB2312" w:cs="Times New Roman"/>
                <w:b w:val="0"/>
                <w:i w:val="0"/>
                <w:caps w:val="0"/>
                <w:color w:val="auto"/>
                <w:spacing w:val="0"/>
                <w:w w:val="100"/>
                <w:kern w:val="0"/>
                <w:sz w:val="24"/>
                <w:szCs w:val="24"/>
                <w:highlight w:val="none"/>
              </w:rPr>
              <w:t>按规定使用国家的统一医保编码</w:t>
            </w:r>
            <w:r>
              <w:rPr>
                <w:rFonts w:hint="eastAsia" w:ascii="Times New Roman" w:hAnsi="Times New Roman" w:eastAsia="仿宋_GB2312" w:cs="Times New Roman"/>
                <w:b w:val="0"/>
                <w:i w:val="0"/>
                <w:caps w:val="0"/>
                <w:color w:val="auto"/>
                <w:spacing w:val="0"/>
                <w:w w:val="100"/>
                <w:kern w:val="0"/>
                <w:sz w:val="24"/>
                <w:szCs w:val="24"/>
                <w:highlight w:val="none"/>
                <w:lang w:eastAsia="zh-CN"/>
              </w:rPr>
              <w:t>（在市医保局官网公布）</w:t>
            </w: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收费的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系统截图</w:t>
            </w: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w:t>
            </w:r>
          </w:p>
        </w:tc>
        <w:tc>
          <w:tcPr>
            <w:tcW w:w="1884" w:type="dxa"/>
            <w:vMerge w:val="restart"/>
            <w:tcBorders>
              <w:top w:val="single" w:color="auto" w:sz="4" w:space="0"/>
              <w:left w:val="nil"/>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上传</w:t>
            </w:r>
            <w:r>
              <w:rPr>
                <w:rFonts w:ascii="Times New Roman" w:hAnsi="Times New Roman" w:eastAsia="仿宋_GB2312" w:cs="Times New Roman"/>
                <w:b w:val="0"/>
                <w:i w:val="0"/>
                <w:caps w:val="0"/>
                <w:color w:val="auto"/>
                <w:spacing w:val="0"/>
                <w:w w:val="100"/>
                <w:kern w:val="0"/>
                <w:sz w:val="24"/>
                <w:szCs w:val="24"/>
                <w:highlight w:val="none"/>
              </w:rPr>
              <w:t>加盖公章</w:t>
            </w:r>
            <w:r>
              <w:rPr>
                <w:rFonts w:hint="default" w:ascii="Times New Roman" w:hAnsi="Times New Roman" w:eastAsia="仿宋_GB2312" w:cs="Times New Roman"/>
                <w:b w:val="0"/>
                <w:i w:val="0"/>
                <w:caps w:val="0"/>
                <w:color w:val="auto"/>
                <w:spacing w:val="0"/>
                <w:w w:val="100"/>
                <w:kern w:val="0"/>
                <w:sz w:val="24"/>
                <w:szCs w:val="24"/>
                <w:highlight w:val="none"/>
              </w:rPr>
              <w:t>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扫描件或电子图片</w:t>
            </w:r>
          </w:p>
        </w:tc>
      </w:tr>
      <w:tr>
        <w:tblPrEx>
          <w:tblCellMar>
            <w:top w:w="0" w:type="dxa"/>
            <w:left w:w="108" w:type="dxa"/>
            <w:bottom w:w="0" w:type="dxa"/>
            <w:right w:w="108" w:type="dxa"/>
          </w:tblCellMar>
        </w:tblPrEx>
        <w:trPr>
          <w:cantSplit/>
          <w:trHeight w:val="250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7</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设立医保药品等基础数据库，使用统一的医保编码的佐证材料</w:t>
            </w:r>
          </w:p>
        </w:tc>
        <w:tc>
          <w:tcPr>
            <w:tcW w:w="4452" w:type="dxa"/>
            <w:vMerge w:val="continue"/>
            <w:tcBorders>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bidi="ar-SA"/>
              </w:rPr>
            </w:pPr>
          </w:p>
        </w:tc>
        <w:tc>
          <w:tcPr>
            <w:tcW w:w="1884" w:type="dxa"/>
            <w:vMerge w:val="continue"/>
            <w:tcBorders>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p>
        </w:tc>
      </w:tr>
      <w:tr>
        <w:tblPrEx>
          <w:tblCellMar>
            <w:top w:w="0" w:type="dxa"/>
            <w:left w:w="108" w:type="dxa"/>
            <w:bottom w:w="0" w:type="dxa"/>
            <w:right w:w="108" w:type="dxa"/>
          </w:tblCellMar>
        </w:tblPrEx>
        <w:trPr>
          <w:cantSplit/>
          <w:trHeight w:val="250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8</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纳入定点后使用医疗保障基金的预测性分析报告</w:t>
            </w:r>
          </w:p>
        </w:tc>
        <w:tc>
          <w:tcPr>
            <w:tcW w:w="4452"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bidi="ar-SA"/>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至少包含零售药店基本情况、自提交申请之日起前3个月运营状况：销售商品（含药品、医疗器械、保健食品、消毒用品、非医疗用品等）总量及总费用情况、预测分析纳入定点后医保基金使用情况、医保基金安全风险防范预案及措施等四个部分内容。</w:t>
            </w:r>
          </w:p>
        </w:tc>
        <w:tc>
          <w:tcPr>
            <w:tcW w:w="1884"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上传</w:t>
            </w:r>
            <w:r>
              <w:rPr>
                <w:rFonts w:ascii="Times New Roman" w:hAnsi="Times New Roman" w:eastAsia="仿宋_GB2312" w:cs="Times New Roman"/>
                <w:b w:val="0"/>
                <w:i w:val="0"/>
                <w:caps w:val="0"/>
                <w:color w:val="auto"/>
                <w:spacing w:val="0"/>
                <w:w w:val="100"/>
                <w:kern w:val="0"/>
                <w:sz w:val="24"/>
                <w:szCs w:val="24"/>
                <w:highlight w:val="none"/>
              </w:rPr>
              <w:t>加盖公章</w:t>
            </w:r>
            <w:r>
              <w:rPr>
                <w:rFonts w:hint="default" w:ascii="Times New Roman" w:hAnsi="Times New Roman" w:eastAsia="仿宋_GB2312" w:cs="Times New Roman"/>
                <w:b w:val="0"/>
                <w:i w:val="0"/>
                <w:caps w:val="0"/>
                <w:color w:val="auto"/>
                <w:spacing w:val="0"/>
                <w:w w:val="100"/>
                <w:kern w:val="0"/>
                <w:sz w:val="24"/>
                <w:szCs w:val="24"/>
                <w:highlight w:val="none"/>
              </w:rPr>
              <w:t>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扫描件或电子图片</w:t>
            </w:r>
          </w:p>
        </w:tc>
      </w:tr>
      <w:tr>
        <w:tblPrEx>
          <w:tblCellMar>
            <w:top w:w="0" w:type="dxa"/>
            <w:left w:w="108" w:type="dxa"/>
            <w:bottom w:w="0" w:type="dxa"/>
            <w:right w:w="108" w:type="dxa"/>
          </w:tblCellMar>
        </w:tblPrEx>
        <w:trPr>
          <w:cantSplit/>
          <w:trHeight w:val="1108"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default"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9</w:t>
            </w:r>
          </w:p>
        </w:tc>
        <w:tc>
          <w:tcPr>
            <w:tcW w:w="2395"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default" w:ascii="Times New Roman" w:hAnsi="Times New Roman" w:eastAsia="仿宋_GB2312" w:cs="Times New Roman"/>
                <w:b w:val="0"/>
                <w:i w:val="0"/>
                <w:caps w:val="0"/>
                <w:color w:val="auto"/>
                <w:spacing w:val="0"/>
                <w:w w:val="100"/>
                <w:kern w:val="0"/>
                <w:sz w:val="24"/>
                <w:szCs w:val="24"/>
                <w:highlight w:val="none"/>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零售药店申请医保定点承诺书</w:t>
            </w:r>
          </w:p>
        </w:tc>
        <w:tc>
          <w:tcPr>
            <w:tcW w:w="4452"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1.填写准确；</w:t>
            </w:r>
          </w:p>
          <w:p>
            <w:pPr>
              <w:widowControl/>
              <w:snapToGrid w:val="0"/>
              <w:spacing w:before="0" w:beforeAutospacing="0" w:after="0" w:afterAutospacing="0" w:line="240" w:lineRule="atLeast"/>
              <w:jc w:val="left"/>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2.有法定代表人签名。</w:t>
            </w:r>
          </w:p>
        </w:tc>
        <w:tc>
          <w:tcPr>
            <w:tcW w:w="1884" w:type="dxa"/>
            <w:tcBorders>
              <w:top w:val="single" w:color="auto" w:sz="4" w:space="0"/>
              <w:left w:val="nil"/>
              <w:bottom w:val="single" w:color="auto" w:sz="4" w:space="0"/>
              <w:right w:val="single" w:color="auto" w:sz="4" w:space="0"/>
            </w:tcBorders>
            <w:noWrap w:val="0"/>
            <w:vAlign w:val="center"/>
          </w:tcPr>
          <w:p>
            <w:pPr>
              <w:widowControl/>
              <w:snapToGrid w:val="0"/>
              <w:spacing w:before="0" w:beforeAutospacing="0" w:after="0" w:afterAutospacing="0" w:line="240" w:lineRule="atLeast"/>
              <w:jc w:val="center"/>
              <w:textAlignment w:val="baseline"/>
              <w:rPr>
                <w:rFonts w:hint="eastAsia" w:ascii="Times New Roman" w:hAnsi="Times New Roman" w:eastAsia="仿宋_GB2312" w:cs="Times New Roman"/>
                <w:b w:val="0"/>
                <w:i w:val="0"/>
                <w:caps w:val="0"/>
                <w:color w:val="auto"/>
                <w:spacing w:val="0"/>
                <w:w w:val="100"/>
                <w:kern w:val="0"/>
                <w:sz w:val="24"/>
                <w:szCs w:val="24"/>
                <w:highlight w:val="none"/>
                <w:lang w:val="en-US" w:eastAsia="zh-CN"/>
              </w:rPr>
            </w:pP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上传</w:t>
            </w:r>
            <w:r>
              <w:rPr>
                <w:rFonts w:ascii="Times New Roman" w:hAnsi="Times New Roman" w:eastAsia="仿宋_GB2312" w:cs="Times New Roman"/>
                <w:b w:val="0"/>
                <w:i w:val="0"/>
                <w:caps w:val="0"/>
                <w:color w:val="auto"/>
                <w:spacing w:val="0"/>
                <w:w w:val="100"/>
                <w:kern w:val="0"/>
                <w:sz w:val="24"/>
                <w:szCs w:val="24"/>
                <w:highlight w:val="none"/>
              </w:rPr>
              <w:t>加盖公章</w:t>
            </w:r>
            <w:r>
              <w:rPr>
                <w:rFonts w:hint="default" w:ascii="Times New Roman" w:hAnsi="Times New Roman" w:eastAsia="仿宋_GB2312" w:cs="Times New Roman"/>
                <w:b w:val="0"/>
                <w:i w:val="0"/>
                <w:caps w:val="0"/>
                <w:color w:val="auto"/>
                <w:spacing w:val="0"/>
                <w:w w:val="100"/>
                <w:kern w:val="0"/>
                <w:sz w:val="24"/>
                <w:szCs w:val="24"/>
                <w:highlight w:val="none"/>
              </w:rPr>
              <w:t>的</w:t>
            </w:r>
            <w:r>
              <w:rPr>
                <w:rFonts w:hint="eastAsia" w:ascii="Times New Roman" w:hAnsi="Times New Roman" w:eastAsia="仿宋_GB2312" w:cs="Times New Roman"/>
                <w:b w:val="0"/>
                <w:i w:val="0"/>
                <w:caps w:val="0"/>
                <w:color w:val="auto"/>
                <w:spacing w:val="0"/>
                <w:w w:val="100"/>
                <w:kern w:val="0"/>
                <w:sz w:val="24"/>
                <w:szCs w:val="24"/>
                <w:highlight w:val="none"/>
                <w:lang w:eastAsia="zh-CN"/>
              </w:rPr>
              <w:t>扫描件或电子图片</w:t>
            </w:r>
          </w:p>
        </w:tc>
      </w:tr>
    </w:tbl>
    <w:p>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附件3-3</w:t>
      </w:r>
    </w:p>
    <w:tbl>
      <w:tblPr>
        <w:tblStyle w:val="13"/>
        <w:tblW w:w="85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44"/>
        <w:gridCol w:w="2227"/>
        <w:gridCol w:w="2382"/>
        <w:gridCol w:w="1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550" w:type="dxa"/>
            <w:gridSpan w:val="4"/>
            <w:tcBorders>
              <w:top w:val="nil"/>
              <w:left w:val="nil"/>
              <w:bottom w:val="nil"/>
              <w:right w:val="nil"/>
            </w:tcBorders>
            <w:noWrap w:val="0"/>
            <w:vAlign w:val="center"/>
          </w:tcPr>
          <w:p>
            <w:pPr>
              <w:keepNext w:val="0"/>
              <w:keepLines w:val="0"/>
              <w:widowControl/>
              <w:suppressLineNumbers w:val="0"/>
              <w:jc w:val="center"/>
              <w:textAlignment w:val="center"/>
              <w:rPr>
                <w:rFonts w:ascii="仿宋_GB2312" w:hAnsi="宋体" w:eastAsia="仿宋_GB2312" w:cs="仿宋_GB2312"/>
                <w:i w:val="0"/>
                <w:iCs w:val="0"/>
                <w:color w:val="auto"/>
                <w:sz w:val="28"/>
                <w:szCs w:val="28"/>
                <w:highlight w:val="none"/>
                <w:u w:val="none"/>
              </w:rPr>
            </w:pPr>
            <w:r>
              <w:rPr>
                <w:rFonts w:hint="eastAsia" w:ascii="仿宋_GB2312" w:hAnsi="仿宋_GB2312" w:eastAsia="仿宋_GB2312" w:cs="仿宋_GB2312"/>
                <w:b/>
                <w:bCs/>
                <w:i w:val="0"/>
                <w:iCs w:val="0"/>
                <w:color w:val="auto"/>
                <w:kern w:val="2"/>
                <w:sz w:val="32"/>
                <w:szCs w:val="32"/>
                <w:highlight w:val="none"/>
                <w:u w:val="none"/>
                <w:lang w:val="en-US" w:eastAsia="zh-CN" w:bidi="ar"/>
              </w:rPr>
              <w:t>深圳市定点零售药店申请表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机构名称</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所在区</w:t>
            </w:r>
          </w:p>
        </w:tc>
        <w:tc>
          <w:tcPr>
            <w:tcW w:w="199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注册地址</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仓库地址</w:t>
            </w:r>
          </w:p>
        </w:tc>
        <w:tc>
          <w:tcPr>
            <w:tcW w:w="199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44"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经营许可证号码</w:t>
            </w:r>
          </w:p>
        </w:tc>
        <w:tc>
          <w:tcPr>
            <w:tcW w:w="2227" w:type="dxa"/>
            <w:tcBorders>
              <w:top w:val="nil"/>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统一社会信用代码</w:t>
            </w:r>
          </w:p>
        </w:tc>
        <w:tc>
          <w:tcPr>
            <w:tcW w:w="199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发证日期</w:t>
            </w:r>
          </w:p>
        </w:tc>
        <w:tc>
          <w:tcPr>
            <w:tcW w:w="2227" w:type="dxa"/>
            <w:tcBorders>
              <w:top w:val="nil"/>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许可证有效期限</w:t>
            </w:r>
          </w:p>
        </w:tc>
        <w:tc>
          <w:tcPr>
            <w:tcW w:w="199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经营方式</w:t>
            </w:r>
          </w:p>
        </w:tc>
        <w:tc>
          <w:tcPr>
            <w:tcW w:w="222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经营范围</w:t>
            </w:r>
          </w:p>
        </w:tc>
        <w:tc>
          <w:tcPr>
            <w:tcW w:w="199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color w:val="auto"/>
                <w:sz w:val="21"/>
                <w:szCs w:val="21"/>
                <w:highlight w:val="none"/>
              </w:rPr>
            </w:pPr>
          </w:p>
          <w:p>
            <w:pPr>
              <w:pStyle w:val="2"/>
              <w:rPr>
                <w:rFonts w:hint="eastAsia" w:ascii="仿宋_GB2312" w:hAnsi="仿宋_GB2312" w:eastAsia="仿宋_GB2312" w:cs="仿宋_GB2312"/>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法定代表人</w:t>
            </w:r>
          </w:p>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（身份证号）</w:t>
            </w:r>
          </w:p>
        </w:tc>
        <w:tc>
          <w:tcPr>
            <w:tcW w:w="222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联系电话</w:t>
            </w:r>
          </w:p>
        </w:tc>
        <w:tc>
          <w:tcPr>
            <w:tcW w:w="199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主要负责人</w:t>
            </w:r>
          </w:p>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（身份证号）</w:t>
            </w:r>
          </w:p>
        </w:tc>
        <w:tc>
          <w:tcPr>
            <w:tcW w:w="222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联系电话</w:t>
            </w:r>
          </w:p>
        </w:tc>
        <w:tc>
          <w:tcPr>
            <w:tcW w:w="199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实际控制人</w:t>
            </w:r>
          </w:p>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（身份证号）</w:t>
            </w:r>
          </w:p>
        </w:tc>
        <w:tc>
          <w:tcPr>
            <w:tcW w:w="222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联系电话</w:t>
            </w:r>
          </w:p>
        </w:tc>
        <w:tc>
          <w:tcPr>
            <w:tcW w:w="199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机构开户银行</w:t>
            </w:r>
          </w:p>
        </w:tc>
        <w:tc>
          <w:tcPr>
            <w:tcW w:w="222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机构开户名称</w:t>
            </w:r>
          </w:p>
        </w:tc>
        <w:tc>
          <w:tcPr>
            <w:tcW w:w="1997" w:type="dxa"/>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44" w:type="dxa"/>
            <w:vMerge w:val="restar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机构开户账号</w:t>
            </w:r>
          </w:p>
        </w:tc>
        <w:tc>
          <w:tcPr>
            <w:tcW w:w="2227" w:type="dxa"/>
            <w:vMerge w:val="restart"/>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nil"/>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法定代表人</w:t>
            </w:r>
          </w:p>
        </w:tc>
        <w:tc>
          <w:tcPr>
            <w:tcW w:w="1997" w:type="dxa"/>
            <w:vMerge w:val="restart"/>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vMerge w:val="continue"/>
            <w:tcBorders>
              <w:top w:val="nil"/>
              <w:left w:val="single" w:color="000000" w:sz="8" w:space="0"/>
              <w:bottom w:val="single" w:color="000000" w:sz="8" w:space="0"/>
              <w:right w:val="single" w:color="000000" w:sz="8"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227" w:type="dxa"/>
            <w:vMerge w:val="continue"/>
            <w:tcBorders>
              <w:top w:val="nil"/>
              <w:left w:val="nil"/>
              <w:bottom w:val="single" w:color="000000" w:sz="8" w:space="0"/>
              <w:right w:val="single" w:color="000000" w:sz="8"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（企业负责人）</w:t>
            </w:r>
          </w:p>
        </w:tc>
        <w:tc>
          <w:tcPr>
            <w:tcW w:w="1997" w:type="dxa"/>
            <w:vMerge w:val="continue"/>
            <w:tcBorders>
              <w:top w:val="nil"/>
              <w:left w:val="nil"/>
              <w:bottom w:val="single" w:color="000000" w:sz="8" w:space="0"/>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联系电话</w:t>
            </w:r>
          </w:p>
        </w:tc>
        <w:tc>
          <w:tcPr>
            <w:tcW w:w="2227" w:type="dxa"/>
            <w:tcBorders>
              <w:top w:val="nil"/>
              <w:left w:val="nil"/>
              <w:bottom w:val="nil"/>
              <w:right w:val="nil"/>
            </w:tcBorders>
            <w:noWrap/>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身份证号</w:t>
            </w:r>
          </w:p>
        </w:tc>
        <w:tc>
          <w:tcPr>
            <w:tcW w:w="1997" w:type="dxa"/>
            <w:tcBorders>
              <w:top w:val="nil"/>
              <w:left w:val="nil"/>
              <w:bottom w:val="nil"/>
              <w:right w:val="single" w:color="000000" w:sz="8" w:space="0"/>
            </w:tcBorders>
            <w:noWrap w:val="0"/>
            <w:vAlign w:val="center"/>
          </w:tcPr>
          <w:p>
            <w:pPr>
              <w:jc w:val="left"/>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申请业务类型</w:t>
            </w:r>
          </w:p>
        </w:tc>
        <w:tc>
          <w:tcPr>
            <w:tcW w:w="660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Chars="10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 xml:space="preserve">□刷社会保障卡或医保凭证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是否配有专（兼）职医保管理人员</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3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是否具有医保药品管理制度、财务管理制度、医保人员管理制度、统计信息管理制度和医保费用结算制度</w:t>
            </w:r>
          </w:p>
        </w:tc>
        <w:tc>
          <w:tcPr>
            <w:tcW w:w="19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default" w:ascii="仿宋_GB2312" w:hAnsi="宋体" w:eastAsia="仿宋_GB2312" w:cs="仿宋_GB2312"/>
                <w:i w:val="0"/>
                <w:iCs w:val="0"/>
                <w:color w:val="auto"/>
                <w:kern w:val="0"/>
                <w:sz w:val="21"/>
                <w:szCs w:val="21"/>
                <w:highlight w:val="none"/>
                <w:u w:val="none"/>
                <w:lang w:val="en-US" w:eastAsia="zh-CN" w:bidi="ar"/>
              </w:rPr>
              <w:t>是否设立</w:t>
            </w:r>
            <w:r>
              <w:rPr>
                <w:rFonts w:hint="eastAsia" w:ascii="Times New Roman" w:hAnsi="Times New Roman" w:eastAsia="仿宋_GB2312" w:cs="Times New Roman"/>
                <w:b w:val="0"/>
                <w:i w:val="0"/>
                <w:caps w:val="0"/>
                <w:color w:val="auto"/>
                <w:spacing w:val="0"/>
                <w:w w:val="100"/>
                <w:kern w:val="0"/>
                <w:sz w:val="24"/>
                <w:szCs w:val="24"/>
                <w:highlight w:val="none"/>
                <w:lang w:val="en-US" w:eastAsia="zh-CN"/>
              </w:rPr>
              <w:t>医保药品等基础数据库</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3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是否设立医保/非医保专区，并有明确标识</w:t>
            </w:r>
          </w:p>
        </w:tc>
        <w:tc>
          <w:tcPr>
            <w:tcW w:w="19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执业药师</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 xml:space="preserve">        人</w:t>
            </w:r>
          </w:p>
        </w:tc>
        <w:tc>
          <w:tcPr>
            <w:tcW w:w="23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执业中药师</w:t>
            </w:r>
          </w:p>
        </w:tc>
        <w:tc>
          <w:tcPr>
            <w:tcW w:w="1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 xml:space="preserve">      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其他药学技术人员</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 xml:space="preserve">        人</w:t>
            </w:r>
          </w:p>
        </w:tc>
        <w:tc>
          <w:tcPr>
            <w:tcW w:w="23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药师总人数</w:t>
            </w:r>
          </w:p>
        </w:tc>
        <w:tc>
          <w:tcPr>
            <w:tcW w:w="1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 xml:space="preserve">      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944" w:type="dxa"/>
            <w:tcBorders>
              <w:top w:val="nil"/>
              <w:left w:val="single" w:color="000000" w:sz="8" w:space="0"/>
              <w:bottom w:val="single" w:color="auto"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业务联系人</w:t>
            </w:r>
          </w:p>
        </w:tc>
        <w:tc>
          <w:tcPr>
            <w:tcW w:w="2227" w:type="dxa"/>
            <w:tcBorders>
              <w:top w:val="nil"/>
              <w:left w:val="nil"/>
              <w:bottom w:val="single" w:color="auto" w:sz="4" w:space="0"/>
              <w:right w:val="single" w:color="000000" w:sz="8"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single" w:color="auto"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联系电话</w:t>
            </w:r>
          </w:p>
        </w:tc>
        <w:tc>
          <w:tcPr>
            <w:tcW w:w="1997" w:type="dxa"/>
            <w:tcBorders>
              <w:top w:val="nil"/>
              <w:left w:val="nil"/>
              <w:bottom w:val="single" w:color="auto" w:sz="4" w:space="0"/>
              <w:right w:val="single" w:color="000000" w:sz="8" w:space="0"/>
            </w:tcBorders>
            <w:noWrap/>
            <w:vAlign w:val="center"/>
          </w:tcPr>
          <w:p>
            <w:pPr>
              <w:jc w:val="both"/>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tcBorders>
              <w:top w:val="single" w:color="auto" w:sz="4" w:space="0"/>
              <w:left w:val="single" w:color="auto" w:sz="4" w:space="0"/>
              <w:bottom w:val="single" w:color="auto"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文书邮寄送达</w:t>
            </w:r>
          </w:p>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地址</w:t>
            </w:r>
          </w:p>
        </w:tc>
        <w:tc>
          <w:tcPr>
            <w:tcW w:w="6606" w:type="dxa"/>
            <w:gridSpan w:val="3"/>
            <w:tcBorders>
              <w:top w:val="single" w:color="auto" w:sz="4" w:space="0"/>
              <w:left w:val="nil"/>
              <w:bottom w:val="single" w:color="auto" w:sz="4" w:space="0"/>
              <w:right w:val="single" w:color="auto" w:sz="4" w:space="0"/>
            </w:tcBorders>
            <w:noWrap w:val="0"/>
            <w:vAlign w:val="center"/>
          </w:tcPr>
          <w:p>
            <w:pPr>
              <w:jc w:val="both"/>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44" w:type="dxa"/>
            <w:tcBorders>
              <w:top w:val="single" w:color="auto" w:sz="4" w:space="0"/>
              <w:left w:val="single" w:color="auto" w:sz="4" w:space="0"/>
              <w:bottom w:val="single" w:color="auto"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收件人</w:t>
            </w:r>
          </w:p>
        </w:tc>
        <w:tc>
          <w:tcPr>
            <w:tcW w:w="2227" w:type="dxa"/>
            <w:tcBorders>
              <w:top w:val="single" w:color="auto" w:sz="4" w:space="0"/>
              <w:left w:val="nil"/>
              <w:bottom w:val="single" w:color="auto" w:sz="4" w:space="0"/>
              <w:right w:val="single" w:color="000000" w:sz="8"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382" w:type="dxa"/>
            <w:tcBorders>
              <w:top w:val="single" w:color="auto" w:sz="4" w:space="0"/>
              <w:left w:val="nil"/>
              <w:bottom w:val="single" w:color="auto"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收件人联系方式</w:t>
            </w:r>
          </w:p>
        </w:tc>
        <w:tc>
          <w:tcPr>
            <w:tcW w:w="1997" w:type="dxa"/>
            <w:tcBorders>
              <w:top w:val="single" w:color="auto" w:sz="4" w:space="0"/>
              <w:left w:val="nil"/>
              <w:bottom w:val="single" w:color="auto" w:sz="4" w:space="0"/>
              <w:right w:val="single" w:color="auto" w:sz="4" w:space="0"/>
            </w:tcBorders>
            <w:noWrap/>
            <w:vAlign w:val="center"/>
          </w:tcPr>
          <w:p>
            <w:pPr>
              <w:jc w:val="both"/>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44" w:type="dxa"/>
            <w:vMerge w:val="restar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申请理由</w:t>
            </w:r>
          </w:p>
        </w:tc>
        <w:tc>
          <w:tcPr>
            <w:tcW w:w="6606" w:type="dxa"/>
            <w:gridSpan w:val="3"/>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 xml:space="preserve">    本机构自愿承担基本医疗保险服务，申请成为医疗保险定点机构，并承诺不存在《零售药店医疗保障定点管理暂行办法》《广东省零售药店医疗保障定点管理暂行办法》等文件有关规定的不予受理定点申请的情形。所提交资料无错报漏报情形且全部真实有效，全部药师已应报尽报，如有虚假成分，愿意承担3年内不予受理医保定点申请等一切相应的法律责任；如因本机构原因，零售药店地址、法定代表人、企业负责人等重要信息在提交申请至签订协议期间如发生变更，自愿放弃当次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9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227" w:type="dxa"/>
            <w:tcBorders>
              <w:top w:val="single" w:color="auto" w:sz="4" w:space="0"/>
              <w:left w:val="single" w:color="000000" w:sz="4" w:space="0"/>
              <w:bottom w:val="nil"/>
              <w:right w:val="nil"/>
            </w:tcBorders>
            <w:noWrap/>
            <w:vAlign w:val="center"/>
          </w:tcPr>
          <w:p>
            <w:pPr>
              <w:rPr>
                <w:rFonts w:hint="eastAsia" w:ascii="仿宋_GB2312" w:hAnsi="仿宋_GB2312" w:eastAsia="仿宋_GB2312" w:cs="仿宋_GB2312"/>
                <w:i w:val="0"/>
                <w:iCs w:val="0"/>
                <w:color w:val="auto"/>
                <w:sz w:val="21"/>
                <w:szCs w:val="21"/>
                <w:highlight w:val="none"/>
                <w:u w:val="none"/>
              </w:rPr>
            </w:pPr>
          </w:p>
        </w:tc>
        <w:tc>
          <w:tcPr>
            <w:tcW w:w="2382" w:type="dxa"/>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法定代表人签名：</w:t>
            </w:r>
          </w:p>
        </w:tc>
        <w:tc>
          <w:tcPr>
            <w:tcW w:w="1997" w:type="dxa"/>
            <w:tcBorders>
              <w:top w:val="single" w:color="auto" w:sz="4" w:space="0"/>
              <w:left w:val="nil"/>
              <w:bottom w:val="nil"/>
              <w:right w:val="single" w:color="000000" w:sz="4" w:space="0"/>
            </w:tcBorders>
            <w:noWrap/>
            <w:vAlign w:val="center"/>
          </w:tcPr>
          <w:p>
            <w:pPr>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9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227" w:type="dxa"/>
            <w:tcBorders>
              <w:top w:val="nil"/>
              <w:left w:val="single" w:color="000000" w:sz="4" w:space="0"/>
              <w:bottom w:val="nil"/>
              <w:right w:val="nil"/>
            </w:tcBorders>
            <w:noWrap/>
            <w:vAlign w:val="center"/>
          </w:tcPr>
          <w:p>
            <w:pPr>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企业负责人签名：</w:t>
            </w:r>
          </w:p>
        </w:tc>
        <w:tc>
          <w:tcPr>
            <w:tcW w:w="1997" w:type="dxa"/>
            <w:tcBorders>
              <w:top w:val="nil"/>
              <w:left w:val="nil"/>
              <w:bottom w:val="nil"/>
              <w:right w:val="single" w:color="000000" w:sz="4" w:space="0"/>
            </w:tcBorders>
            <w:noWrap/>
            <w:vAlign w:val="center"/>
          </w:tcPr>
          <w:p>
            <w:pPr>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9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227" w:type="dxa"/>
            <w:tcBorders>
              <w:top w:val="nil"/>
              <w:left w:val="single" w:color="000000" w:sz="4" w:space="0"/>
              <w:bottom w:val="nil"/>
              <w:right w:val="nil"/>
            </w:tcBorders>
            <w:noWrap/>
            <w:vAlign w:val="center"/>
          </w:tcPr>
          <w:p>
            <w:pPr>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实际控制人签名：</w:t>
            </w:r>
          </w:p>
        </w:tc>
        <w:tc>
          <w:tcPr>
            <w:tcW w:w="1997" w:type="dxa"/>
            <w:tcBorders>
              <w:top w:val="nil"/>
              <w:left w:val="nil"/>
              <w:bottom w:val="nil"/>
              <w:right w:val="single" w:color="000000" w:sz="4" w:space="0"/>
            </w:tcBorders>
            <w:noWrap/>
            <w:vAlign w:val="center"/>
          </w:tcPr>
          <w:p>
            <w:pPr>
              <w:rPr>
                <w:rFonts w:hint="eastAsia" w:ascii="仿宋_GB2312" w:hAnsi="仿宋_GB2312" w:eastAsia="仿宋_GB2312" w:cs="仿宋_GB2312"/>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227" w:type="dxa"/>
            <w:tcBorders>
              <w:top w:val="nil"/>
              <w:left w:val="single" w:color="000000" w:sz="4" w:space="0"/>
              <w:bottom w:val="nil"/>
              <w:right w:val="nil"/>
            </w:tcBorders>
            <w:noWrap w:val="0"/>
            <w:vAlign w:val="center"/>
          </w:tcPr>
          <w:p>
            <w:pPr>
              <w:rPr>
                <w:rFonts w:hint="eastAsia" w:ascii="仿宋_GB2312" w:hAnsi="仿宋_GB2312" w:eastAsia="仿宋_GB2312" w:cs="仿宋_GB2312"/>
                <w:i w:val="0"/>
                <w:iCs w:val="0"/>
                <w:color w:val="auto"/>
                <w:sz w:val="21"/>
                <w:szCs w:val="21"/>
                <w:highlight w:val="none"/>
                <w:u w:val="none"/>
              </w:rPr>
            </w:pPr>
          </w:p>
        </w:tc>
        <w:tc>
          <w:tcPr>
            <w:tcW w:w="2382" w:type="dxa"/>
            <w:tcBorders>
              <w:top w:val="nil"/>
              <w:left w:val="nil"/>
              <w:bottom w:val="nil"/>
              <w:right w:val="nil"/>
            </w:tcBorders>
            <w:noWrap w:val="0"/>
            <w:vAlign w:val="center"/>
          </w:tcPr>
          <w:p>
            <w:pPr>
              <w:rPr>
                <w:rFonts w:hint="eastAsia" w:ascii="仿宋_GB2312" w:hAnsi="仿宋_GB2312" w:eastAsia="仿宋_GB2312" w:cs="仿宋_GB2312"/>
                <w:i w:val="0"/>
                <w:iCs w:val="0"/>
                <w:color w:val="auto"/>
                <w:sz w:val="21"/>
                <w:szCs w:val="21"/>
                <w:highlight w:val="none"/>
                <w:u w:val="none"/>
              </w:rPr>
            </w:pPr>
          </w:p>
        </w:tc>
        <w:tc>
          <w:tcPr>
            <w:tcW w:w="1997" w:type="dxa"/>
            <w:tcBorders>
              <w:top w:val="nil"/>
              <w:left w:val="nil"/>
              <w:bottom w:val="nil"/>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 xml:space="preserve">  （单位盖章）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94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auto"/>
                <w:sz w:val="21"/>
                <w:szCs w:val="21"/>
                <w:highlight w:val="none"/>
                <w:u w:val="none"/>
              </w:rPr>
            </w:pPr>
          </w:p>
        </w:tc>
        <w:tc>
          <w:tcPr>
            <w:tcW w:w="2227" w:type="dxa"/>
            <w:tcBorders>
              <w:top w:val="nil"/>
              <w:left w:val="single" w:color="000000" w:sz="4" w:space="0"/>
              <w:bottom w:val="single" w:color="000000" w:sz="4" w:space="0"/>
              <w:right w:val="nil"/>
            </w:tcBorders>
            <w:noWrap w:val="0"/>
            <w:vAlign w:val="center"/>
          </w:tcPr>
          <w:p>
            <w:pPr>
              <w:rPr>
                <w:rFonts w:hint="eastAsia" w:ascii="仿宋_GB2312" w:hAnsi="仿宋_GB2312" w:eastAsia="仿宋_GB2312" w:cs="仿宋_GB2312"/>
                <w:i w:val="0"/>
                <w:iCs w:val="0"/>
                <w:color w:val="auto"/>
                <w:sz w:val="21"/>
                <w:szCs w:val="21"/>
                <w:highlight w:val="none"/>
                <w:u w:val="none"/>
              </w:rPr>
            </w:pPr>
          </w:p>
        </w:tc>
        <w:tc>
          <w:tcPr>
            <w:tcW w:w="4379"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申请日期：     年      月     日</w:t>
            </w:r>
          </w:p>
        </w:tc>
      </w:tr>
    </w:tbl>
    <w:p>
      <w:pPr>
        <w:pStyle w:val="9"/>
        <w:jc w:val="left"/>
        <w:rPr>
          <w:rFonts w:hint="eastAsia" w:ascii="黑体" w:hAnsi="黑体" w:eastAsia="黑体" w:cs="黑体"/>
          <w:b w:val="0"/>
          <w:bCs w:val="0"/>
          <w:color w:val="auto"/>
          <w:kern w:val="2"/>
          <w:sz w:val="32"/>
          <w:szCs w:val="32"/>
          <w:highlight w:val="none"/>
          <w:lang w:val="en-US" w:eastAsia="zh-CN" w:bidi="ar-SA"/>
        </w:rPr>
      </w:pPr>
    </w:p>
    <w:p>
      <w:pPr>
        <w:pStyle w:val="9"/>
        <w:jc w:val="left"/>
        <w:rPr>
          <w:rFonts w:hint="eastAsia" w:ascii="黑体" w:hAnsi="黑体" w:eastAsia="黑体" w:cs="黑体"/>
          <w:b w:val="0"/>
          <w:bCs w:val="0"/>
          <w:color w:val="auto"/>
          <w:kern w:val="2"/>
          <w:sz w:val="32"/>
          <w:szCs w:val="32"/>
          <w:highlight w:val="none"/>
          <w:lang w:val="en-US" w:eastAsia="zh-CN" w:bidi="ar-SA"/>
        </w:rPr>
      </w:pPr>
    </w:p>
    <w:p>
      <w:pPr>
        <w:pStyle w:val="9"/>
        <w:jc w:val="left"/>
        <w:rPr>
          <w:rFonts w:hint="eastAsia" w:ascii="黑体" w:hAnsi="黑体" w:eastAsia="黑体" w:cs="黑体"/>
          <w:b w:val="0"/>
          <w:bCs w:val="0"/>
          <w:color w:val="auto"/>
          <w:kern w:val="2"/>
          <w:sz w:val="32"/>
          <w:szCs w:val="32"/>
          <w:highlight w:val="none"/>
          <w:lang w:val="en-US" w:eastAsia="zh-CN" w:bidi="ar-SA"/>
        </w:rPr>
      </w:pPr>
    </w:p>
    <w:p>
      <w:pPr>
        <w:pStyle w:val="9"/>
        <w:jc w:val="left"/>
        <w:rPr>
          <w:rFonts w:hint="eastAsia" w:ascii="黑体" w:hAnsi="黑体" w:eastAsia="黑体" w:cs="黑体"/>
          <w:b w:val="0"/>
          <w:bCs w:val="0"/>
          <w:color w:val="auto"/>
          <w:kern w:val="2"/>
          <w:sz w:val="32"/>
          <w:szCs w:val="32"/>
          <w:highlight w:val="none"/>
          <w:lang w:val="en-US" w:eastAsia="zh-CN" w:bidi="ar-SA"/>
        </w:rPr>
      </w:pPr>
    </w:p>
    <w:p>
      <w:pPr>
        <w:pStyle w:val="9"/>
        <w:jc w:val="left"/>
        <w:rPr>
          <w:rFonts w:hint="eastAsia" w:ascii="黑体" w:hAnsi="黑体" w:eastAsia="黑体" w:cs="黑体"/>
          <w:b w:val="0"/>
          <w:bCs w:val="0"/>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color w:val="auto"/>
          <w:sz w:val="32"/>
          <w:szCs w:val="32"/>
          <w:highlight w:val="none"/>
          <w:lang w:val="en-US" w:eastAsia="zh-CN"/>
        </w:rPr>
      </w:pPr>
    </w:p>
    <w:p>
      <w:pPr>
        <w:pStyle w:val="5"/>
        <w:rPr>
          <w:rFonts w:hint="eastAsia" w:ascii="黑体" w:hAnsi="黑体" w:eastAsia="黑体" w:cs="黑体"/>
          <w:b w:val="0"/>
          <w:bCs w:val="0"/>
          <w:color w:val="auto"/>
          <w:sz w:val="32"/>
          <w:szCs w:val="32"/>
          <w:highlight w:val="none"/>
          <w:lang w:val="en-US" w:eastAsia="zh-CN"/>
        </w:rPr>
      </w:pPr>
    </w:p>
    <w:p>
      <w:pPr>
        <w:rPr>
          <w:rFonts w:hint="eastAsia" w:ascii="黑体" w:hAnsi="黑体" w:eastAsia="黑体" w:cs="黑体"/>
          <w:b w:val="0"/>
          <w:bCs w:val="0"/>
          <w:color w:val="auto"/>
          <w:sz w:val="32"/>
          <w:szCs w:val="32"/>
          <w:highlight w:val="none"/>
          <w:lang w:val="en-US" w:eastAsia="zh-CN"/>
        </w:rPr>
      </w:pPr>
    </w:p>
    <w:p>
      <w:pPr>
        <w:pStyle w:val="5"/>
        <w:rPr>
          <w:rFonts w:hint="eastAsia" w:ascii="黑体" w:hAnsi="黑体" w:eastAsia="黑体" w:cs="黑体"/>
          <w:b w:val="0"/>
          <w:bCs w:val="0"/>
          <w:color w:val="auto"/>
          <w:sz w:val="32"/>
          <w:szCs w:val="32"/>
          <w:highlight w:val="none"/>
          <w:lang w:val="en-US" w:eastAsia="zh-CN"/>
        </w:rPr>
      </w:pPr>
    </w:p>
    <w:p>
      <w:pPr>
        <w:rPr>
          <w:rFonts w:hint="eastAsia" w:ascii="黑体" w:hAnsi="黑体" w:eastAsia="黑体" w:cs="黑体"/>
          <w:b w:val="0"/>
          <w:bCs w:val="0"/>
          <w:color w:val="auto"/>
          <w:sz w:val="32"/>
          <w:szCs w:val="32"/>
          <w:highlight w:val="none"/>
          <w:lang w:val="en-US" w:eastAsia="zh-CN"/>
        </w:rPr>
      </w:pPr>
    </w:p>
    <w:p>
      <w:pPr>
        <w:pStyle w:val="5"/>
        <w:rPr>
          <w:rFonts w:hint="eastAsia" w:ascii="黑体" w:hAnsi="黑体" w:eastAsia="黑体" w:cs="黑体"/>
          <w:b w:val="0"/>
          <w:bCs w:val="0"/>
          <w:color w:val="auto"/>
          <w:sz w:val="32"/>
          <w:szCs w:val="32"/>
          <w:highlight w:val="none"/>
          <w:lang w:val="en-US" w:eastAsia="zh-CN"/>
        </w:rPr>
      </w:pPr>
    </w:p>
    <w:p>
      <w:pPr>
        <w:rPr>
          <w:rFonts w:hint="eastAsia" w:ascii="黑体" w:hAnsi="黑体" w:eastAsia="黑体" w:cs="黑体"/>
          <w:b w:val="0"/>
          <w:bCs w:val="0"/>
          <w:color w:val="auto"/>
          <w:sz w:val="32"/>
          <w:szCs w:val="32"/>
          <w:highlight w:val="none"/>
          <w:lang w:val="en-US" w:eastAsia="zh-CN"/>
        </w:rPr>
      </w:pPr>
    </w:p>
    <w:p>
      <w:pPr>
        <w:pStyle w:val="5"/>
        <w:rPr>
          <w:rFonts w:hint="eastAsia" w:ascii="黑体" w:hAnsi="黑体" w:eastAsia="黑体" w:cs="黑体"/>
          <w:b w:val="0"/>
          <w:bCs w:val="0"/>
          <w:color w:val="auto"/>
          <w:sz w:val="32"/>
          <w:szCs w:val="32"/>
          <w:highlight w:val="none"/>
          <w:lang w:val="en-US" w:eastAsia="zh-CN"/>
        </w:rPr>
      </w:pPr>
    </w:p>
    <w:p>
      <w:pPr>
        <w:rPr>
          <w:rFonts w:hint="eastAsia" w:ascii="黑体" w:hAnsi="黑体" w:eastAsia="黑体" w:cs="黑体"/>
          <w:b w:val="0"/>
          <w:bCs w:val="0"/>
          <w:color w:val="auto"/>
          <w:sz w:val="32"/>
          <w:szCs w:val="32"/>
          <w:highlight w:val="none"/>
          <w:lang w:val="en-US" w:eastAsia="zh-CN"/>
        </w:rPr>
      </w:pPr>
    </w:p>
    <w:p>
      <w:pPr>
        <w:pStyle w:val="5"/>
        <w:rPr>
          <w:rFonts w:hint="eastAsia" w:ascii="黑体" w:hAnsi="黑体" w:eastAsia="黑体" w:cs="黑体"/>
          <w:b w:val="0"/>
          <w:bCs w:val="0"/>
          <w:color w:val="auto"/>
          <w:sz w:val="32"/>
          <w:szCs w:val="32"/>
          <w:highlight w:val="none"/>
          <w:lang w:val="en-US" w:eastAsia="zh-CN"/>
        </w:rPr>
      </w:pPr>
    </w:p>
    <w:p>
      <w:pPr>
        <w:pStyle w:val="5"/>
        <w:rPr>
          <w:rFonts w:hint="eastAsia"/>
          <w:color w:val="auto"/>
          <w:lang w:val="en-US" w:eastAsia="zh-CN"/>
        </w:rPr>
        <w:sectPr>
          <w:footerReference r:id="rId3" w:type="default"/>
          <w:footerReference r:id="rId4" w:type="even"/>
          <w:pgSz w:w="11906" w:h="16838"/>
          <w:pgMar w:top="2098" w:right="1474" w:bottom="1985" w:left="1588" w:header="851" w:footer="1418" w:gutter="0"/>
          <w:pgBorders>
            <w:top w:val="none" w:sz="0" w:space="0"/>
            <w:left w:val="none" w:sz="0" w:space="0"/>
            <w:bottom w:val="none" w:sz="0" w:space="0"/>
            <w:right w:val="none" w:sz="0" w:space="0"/>
          </w:pgBorders>
          <w:pgNumType w:fmt="numberInDash"/>
          <w:cols w:space="720" w:num="1"/>
          <w:titlePg/>
          <w:docGrid w:type="linesAndChars" w:linePitch="579" w:charSpace="-849"/>
        </w:sect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附件3-4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color w:val="auto"/>
          <w:sz w:val="36"/>
          <w:szCs w:val="36"/>
          <w:highlight w:val="none"/>
          <w:lang w:val="en-US" w:eastAsia="zh-CN"/>
        </w:rPr>
        <w:t>纳入定点后使用医疗保障基金的预测性分析报告</w:t>
      </w:r>
    </w:p>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textAlignment w:val="auto"/>
        <w:rPr>
          <w:rFonts w:hint="eastAsia" w:ascii="黑体" w:hAnsi="黑体" w:eastAsia="黑体" w:cs="黑体"/>
          <w:b w:val="0"/>
          <w:bCs w:val="0"/>
          <w:color w:val="auto"/>
          <w:kern w:val="2"/>
          <w:sz w:val="32"/>
          <w:szCs w:val="32"/>
          <w:highlight w:val="none"/>
          <w:lang w:val="en-US" w:eastAsia="zh-CN" w:bidi="ar-SA"/>
        </w:rPr>
      </w:pPr>
    </w:p>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ind w:firstLine="632" w:firstLineChars="200"/>
        <w:textAlignment w:val="auto"/>
        <w:rPr>
          <w:rFonts w:hint="eastAsia" w:ascii="黑体" w:hAnsi="黑体" w:eastAsia="黑体" w:cs="黑体"/>
          <w:b w:val="0"/>
          <w:bCs w:val="0"/>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一、零售药店基本情况</w:t>
      </w:r>
    </w:p>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ind w:firstLine="632" w:firstLineChars="200"/>
        <w:textAlignment w:val="auto"/>
        <w:rPr>
          <w:rFonts w:hint="eastAsia" w:ascii="仿宋" w:hAnsi="仿宋" w:eastAsia="仿宋" w:cs="仿宋"/>
          <w:b w:val="0"/>
          <w:bCs w:val="0"/>
          <w:color w:val="auto"/>
          <w:kern w:val="2"/>
          <w:sz w:val="32"/>
          <w:szCs w:val="32"/>
          <w:highlight w:val="none"/>
          <w:lang w:val="en-US" w:eastAsia="zh-CN" w:bidi="ar-SA"/>
        </w:rPr>
      </w:pPr>
    </w:p>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ind w:firstLine="632" w:firstLineChars="200"/>
        <w:textAlignment w:val="auto"/>
        <w:rPr>
          <w:rFonts w:hint="eastAsia" w:ascii="黑体" w:hAnsi="黑体" w:eastAsia="黑体" w:cs="黑体"/>
          <w:b w:val="0"/>
          <w:bCs w:val="0"/>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二、提交申请之日起前</w:t>
      </w:r>
      <w:r>
        <w:rPr>
          <w:rFonts w:hint="default" w:ascii="黑体" w:hAnsi="黑体" w:eastAsia="黑体" w:cs="黑体"/>
          <w:b w:val="0"/>
          <w:bCs w:val="0"/>
          <w:color w:val="auto"/>
          <w:kern w:val="2"/>
          <w:sz w:val="32"/>
          <w:szCs w:val="32"/>
          <w:highlight w:val="none"/>
          <w:lang w:val="en-US" w:eastAsia="zh-CN" w:bidi="ar-SA"/>
        </w:rPr>
        <w:t>3个月运营状况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2"/>
        <w:gridCol w:w="2875"/>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销售商品总量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color w:val="auto"/>
                <w:sz w:val="28"/>
                <w:szCs w:val="28"/>
                <w:highlight w:val="none"/>
                <w:vertAlign w:val="baseline"/>
                <w:lang w:val="en-US" w:eastAsia="zh-CN"/>
              </w:rPr>
              <w:t>时间：  年  月  日 -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销售商品分类</w:t>
            </w:r>
          </w:p>
        </w:tc>
        <w:tc>
          <w:tcPr>
            <w:tcW w:w="2875"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数量</w:t>
            </w:r>
          </w:p>
        </w:tc>
        <w:tc>
          <w:tcPr>
            <w:tcW w:w="2255"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药品</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医疗器械</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保健食品</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消毒用品</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非医疗用品</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其他</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总量</w:t>
            </w:r>
          </w:p>
        </w:tc>
        <w:tc>
          <w:tcPr>
            <w:tcW w:w="2875"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100%</w:t>
            </w:r>
          </w:p>
        </w:tc>
      </w:tr>
    </w:tbl>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textAlignment w:val="auto"/>
        <w:rPr>
          <w:rFonts w:hint="eastAsia" w:ascii="Times New Roman" w:hAnsi="Times New Roman" w:eastAsia="仿宋_GB2312" w:cs="Times New Roman"/>
          <w:b w:val="0"/>
          <w:bCs/>
          <w:i w:val="0"/>
          <w:caps w:val="0"/>
          <w:color w:val="auto"/>
          <w:spacing w:val="0"/>
          <w:kern w:val="0"/>
          <w:sz w:val="32"/>
          <w:szCs w:val="32"/>
          <w:highlight w:val="none"/>
          <w:shd w:val="clear" w:color="auto" w:fill="auto"/>
          <w:lang w:val="en-US" w:eastAsia="zh-CN"/>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2"/>
        <w:gridCol w:w="2875"/>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销售商品总费用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color w:val="auto"/>
                <w:sz w:val="28"/>
                <w:szCs w:val="28"/>
                <w:highlight w:val="none"/>
                <w:vertAlign w:val="baseline"/>
                <w:lang w:val="en-US" w:eastAsia="zh-CN"/>
              </w:rPr>
              <w:t>时间：  年  月  日 -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销售商品分类</w:t>
            </w:r>
          </w:p>
        </w:tc>
        <w:tc>
          <w:tcPr>
            <w:tcW w:w="2875"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费用</w:t>
            </w:r>
          </w:p>
        </w:tc>
        <w:tc>
          <w:tcPr>
            <w:tcW w:w="2255"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top"/>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药品</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top"/>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医疗器械</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top"/>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保健食品</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top"/>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消毒用品</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top"/>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非医疗用品</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top"/>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t>其他</w:t>
            </w:r>
          </w:p>
        </w:tc>
        <w:tc>
          <w:tcPr>
            <w:tcW w:w="287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val="0"/>
                <w:bCs/>
                <w:i w:val="0"/>
                <w:caps w:val="0"/>
                <w:color w:val="auto"/>
                <w:spacing w:val="0"/>
                <w:kern w:val="0"/>
                <w:sz w:val="28"/>
                <w:szCs w:val="28"/>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总费用</w:t>
            </w:r>
          </w:p>
        </w:tc>
        <w:tc>
          <w:tcPr>
            <w:tcW w:w="2875"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p>
        </w:tc>
        <w:tc>
          <w:tcPr>
            <w:tcW w:w="2255" w:type="dxa"/>
          </w:tcPr>
          <w:p>
            <w:pPr>
              <w:jc w:val="cente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pPr>
            <w:r>
              <w:rPr>
                <w:rFonts w:hint="eastAsia" w:ascii="仿宋_GB2312" w:hAnsi="仿宋_GB2312" w:eastAsia="仿宋_GB2312" w:cs="仿宋_GB2312"/>
                <w:b/>
                <w:bCs w:val="0"/>
                <w:i w:val="0"/>
                <w:caps w:val="0"/>
                <w:color w:val="auto"/>
                <w:spacing w:val="0"/>
                <w:kern w:val="0"/>
                <w:sz w:val="28"/>
                <w:szCs w:val="28"/>
                <w:highlight w:val="none"/>
                <w:shd w:val="clear" w:color="auto" w:fill="auto"/>
                <w:lang w:val="en-US" w:eastAsia="zh-CN"/>
              </w:rPr>
              <w:t>100%</w:t>
            </w:r>
          </w:p>
        </w:tc>
      </w:tr>
    </w:tbl>
    <w:p>
      <w:pPr>
        <w:pStyle w:val="9"/>
        <w:keepNext w:val="0"/>
        <w:keepLines w:val="0"/>
        <w:pageBreakBefore w:val="0"/>
        <w:widowControl w:val="0"/>
        <w:kinsoku/>
        <w:overflowPunct/>
        <w:topLinePunct w:val="0"/>
        <w:bidi w:val="0"/>
        <w:spacing w:line="560" w:lineRule="exact"/>
        <w:textAlignment w:val="auto"/>
        <w:rPr>
          <w:rFonts w:hint="eastAsia"/>
          <w:color w:val="auto"/>
          <w:highlight w:val="none"/>
          <w:lang w:val="en-US" w:eastAsia="zh-CN"/>
        </w:rPr>
      </w:pPr>
    </w:p>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ind w:firstLine="632" w:firstLineChars="200"/>
        <w:textAlignment w:val="auto"/>
        <w:rPr>
          <w:rFonts w:hint="eastAsia" w:ascii="黑体" w:hAnsi="黑体" w:eastAsia="黑体" w:cs="黑体"/>
          <w:b w:val="0"/>
          <w:bCs w:val="0"/>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三、</w:t>
      </w:r>
      <w:r>
        <w:rPr>
          <w:rFonts w:hint="default" w:ascii="黑体" w:hAnsi="黑体" w:eastAsia="黑体" w:cs="黑体"/>
          <w:b w:val="0"/>
          <w:bCs w:val="0"/>
          <w:color w:val="auto"/>
          <w:kern w:val="2"/>
          <w:sz w:val="32"/>
          <w:szCs w:val="32"/>
          <w:highlight w:val="none"/>
          <w:lang w:val="en-US" w:eastAsia="zh-CN" w:bidi="ar-SA"/>
        </w:rPr>
        <w:t>预测分析纳入定点后医保基金使用情况</w:t>
      </w:r>
    </w:p>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ind w:firstLine="632" w:firstLineChars="200"/>
        <w:textAlignment w:val="auto"/>
        <w:rPr>
          <w:rFonts w:hint="eastAsia" w:ascii="Times New Roman" w:hAnsi="Times New Roman" w:eastAsia="仿宋_GB2312" w:cs="Times New Roman"/>
          <w:b w:val="0"/>
          <w:bCs/>
          <w:i w:val="0"/>
          <w:caps w:val="0"/>
          <w:color w:val="auto"/>
          <w:spacing w:val="0"/>
          <w:kern w:val="0"/>
          <w:sz w:val="32"/>
          <w:szCs w:val="32"/>
          <w:highlight w:val="none"/>
          <w:shd w:val="clear" w:color="auto" w:fill="auto"/>
          <w:lang w:eastAsia="zh-CN"/>
        </w:rPr>
      </w:pPr>
    </w:p>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ind w:firstLine="632" w:firstLineChars="200"/>
        <w:textAlignment w:val="auto"/>
        <w:rPr>
          <w:rFonts w:hint="eastAsia" w:ascii="黑体" w:hAnsi="黑体" w:eastAsia="黑体" w:cs="黑体"/>
          <w:b w:val="0"/>
          <w:bCs w:val="0"/>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四、</w:t>
      </w:r>
      <w:r>
        <w:rPr>
          <w:rFonts w:hint="default" w:ascii="黑体" w:hAnsi="黑体" w:eastAsia="黑体" w:cs="黑体"/>
          <w:b w:val="0"/>
          <w:bCs w:val="0"/>
          <w:color w:val="auto"/>
          <w:kern w:val="2"/>
          <w:sz w:val="32"/>
          <w:szCs w:val="32"/>
          <w:highlight w:val="none"/>
          <w:lang w:val="en-US" w:eastAsia="zh-CN" w:bidi="ar-SA"/>
        </w:rPr>
        <w:t>医保基金安全风险防范预案及措施</w:t>
      </w:r>
    </w:p>
    <w:p>
      <w:pPr>
        <w:keepNext w:val="0"/>
        <w:keepLines w:val="0"/>
        <w:pageBreakBefore w:val="0"/>
        <w:widowControl w:val="0"/>
        <w:tabs>
          <w:tab w:val="left" w:pos="7558"/>
        </w:tabs>
        <w:kinsoku/>
        <w:wordWrap/>
        <w:overflowPunct/>
        <w:topLinePunct w:val="0"/>
        <w:autoSpaceDE/>
        <w:autoSpaceDN/>
        <w:bidi w:val="0"/>
        <w:adjustRightInd w:val="0"/>
        <w:snapToGrid w:val="0"/>
        <w:spacing w:line="560" w:lineRule="exact"/>
        <w:ind w:firstLine="632" w:firstLineChars="200"/>
        <w:textAlignment w:val="auto"/>
        <w:rPr>
          <w:rFonts w:hint="eastAsia" w:ascii="仿宋" w:hAnsi="仿宋" w:eastAsia="仿宋" w:cs="仿宋"/>
          <w:b w:val="0"/>
          <w:bCs w:val="0"/>
          <w:color w:val="auto"/>
          <w:kern w:val="2"/>
          <w:sz w:val="32"/>
          <w:szCs w:val="32"/>
          <w:highlight w:val="none"/>
          <w:lang w:val="en-US" w:eastAsia="zh-CN" w:bidi="ar-SA"/>
        </w:rPr>
      </w:pPr>
    </w:p>
    <w:p>
      <w:pPr>
        <w:keepNext w:val="0"/>
        <w:keepLines w:val="0"/>
        <w:pageBreakBefore w:val="0"/>
        <w:widowControl w:val="0"/>
        <w:tabs>
          <w:tab w:val="left" w:pos="7558"/>
        </w:tabs>
        <w:kinsoku/>
        <w:overflowPunct/>
        <w:topLinePunct w:val="0"/>
        <w:bidi w:val="0"/>
        <w:adjustRightInd w:val="0"/>
        <w:snapToGrid w:val="0"/>
        <w:spacing w:line="560" w:lineRule="exact"/>
        <w:textAlignment w:val="auto"/>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tabs>
          <w:tab w:val="left" w:pos="7558"/>
        </w:tabs>
        <w:kinsoku/>
        <w:overflowPunct/>
        <w:topLinePunct w:val="0"/>
        <w:bidi w:val="0"/>
        <w:adjustRightInd w:val="0"/>
        <w:snapToGrid w:val="0"/>
        <w:spacing w:line="560" w:lineRule="exact"/>
        <w:textAlignment w:val="auto"/>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kinsoku/>
        <w:overflowPunct/>
        <w:topLinePunct w:val="0"/>
        <w:bidi w:val="0"/>
        <w:adjustRightInd w:val="0"/>
        <w:snapToGrid w:val="0"/>
        <w:spacing w:line="560" w:lineRule="exact"/>
        <w:jc w:val="center"/>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CN"/>
        </w:rPr>
        <w:t>零售药店</w:t>
      </w:r>
      <w:r>
        <w:rPr>
          <w:rFonts w:hint="eastAsia" w:ascii="仿宋_GB2312" w:hAnsi="仿宋_GB2312" w:eastAsia="仿宋_GB2312" w:cs="仿宋_GB2312"/>
          <w:color w:val="auto"/>
          <w:sz w:val="32"/>
          <w:szCs w:val="32"/>
          <w:highlight w:val="none"/>
          <w:lang w:val="en-US" w:eastAsia="zh-CN"/>
        </w:rPr>
        <w:t>（盖章）</w:t>
      </w:r>
    </w:p>
    <w:p>
      <w:pPr>
        <w:pStyle w:val="9"/>
        <w:keepNext w:val="0"/>
        <w:keepLines w:val="0"/>
        <w:pageBreakBefore w:val="0"/>
        <w:widowControl w:val="0"/>
        <w:kinsoku/>
        <w:wordWrap w:val="0"/>
        <w:overflowPunct/>
        <w:topLinePunct w:val="0"/>
        <w:bidi w:val="0"/>
        <w:spacing w:line="560" w:lineRule="exact"/>
        <w:jc w:val="center"/>
        <w:textAlignment w:val="auto"/>
        <w:rPr>
          <w:rFonts w:hint="default" w:ascii="黑体" w:hAnsi="黑体" w:eastAsia="仿宋_GB2312" w:cs="黑体"/>
          <w:b w:val="0"/>
          <w:bCs w:val="0"/>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highlight w:val="none"/>
          <w:lang w:val="en-US" w:eastAsia="zh-CN"/>
        </w:rPr>
        <w:t xml:space="preserve">    </w:t>
      </w:r>
    </w:p>
    <w:p>
      <w:pPr>
        <w:keepNext w:val="0"/>
        <w:keepLines w:val="0"/>
        <w:pageBreakBefore w:val="0"/>
        <w:widowControl w:val="0"/>
        <w:kinsoku/>
        <w:overflowPunct/>
        <w:topLinePunct w:val="0"/>
        <w:bidi w:val="0"/>
        <w:spacing w:line="560" w:lineRule="exact"/>
        <w:textAlignment w:val="auto"/>
        <w:rPr>
          <w:rFonts w:hint="eastAsia" w:eastAsia="仿宋_GB2312"/>
          <w:color w:val="auto"/>
          <w:highlight w:val="none"/>
          <w:lang w:eastAsia="zh-CN"/>
        </w:rPr>
      </w:pPr>
    </w:p>
    <w:p>
      <w:pPr>
        <w:pStyle w:val="2"/>
        <w:keepNext w:val="0"/>
        <w:keepLines w:val="0"/>
        <w:pageBreakBefore w:val="0"/>
        <w:widowControl w:val="0"/>
        <w:kinsoku/>
        <w:overflowPunct/>
        <w:topLinePunct w:val="0"/>
        <w:bidi w:val="0"/>
        <w:spacing w:line="560" w:lineRule="exact"/>
        <w:textAlignment w:val="auto"/>
        <w:rPr>
          <w:rFonts w:hint="eastAsia" w:eastAsia="仿宋_GB2312"/>
          <w:color w:val="auto"/>
          <w:highlight w:val="none"/>
          <w:lang w:eastAsia="zh-CN"/>
        </w:rPr>
      </w:pPr>
    </w:p>
    <w:p>
      <w:pPr>
        <w:pStyle w:val="2"/>
        <w:keepNext w:val="0"/>
        <w:keepLines w:val="0"/>
        <w:pageBreakBefore w:val="0"/>
        <w:widowControl w:val="0"/>
        <w:kinsoku/>
        <w:overflowPunct/>
        <w:topLinePunct w:val="0"/>
        <w:bidi w:val="0"/>
        <w:spacing w:line="560" w:lineRule="exact"/>
        <w:textAlignment w:val="auto"/>
        <w:rPr>
          <w:rFonts w:hint="eastAsia" w:eastAsia="仿宋_GB2312"/>
          <w:color w:val="auto"/>
          <w:highlight w:val="none"/>
          <w:lang w:eastAsia="zh-CN"/>
        </w:rPr>
      </w:pPr>
    </w:p>
    <w:p>
      <w:pPr>
        <w:pStyle w:val="2"/>
        <w:keepNext w:val="0"/>
        <w:keepLines w:val="0"/>
        <w:pageBreakBefore w:val="0"/>
        <w:widowControl w:val="0"/>
        <w:kinsoku/>
        <w:overflowPunct/>
        <w:topLinePunct w:val="0"/>
        <w:bidi w:val="0"/>
        <w:spacing w:line="560" w:lineRule="exact"/>
        <w:textAlignment w:val="auto"/>
        <w:rPr>
          <w:rFonts w:hint="eastAsia" w:eastAsia="仿宋_GB2312"/>
          <w:color w:val="auto"/>
          <w:highlight w:val="none"/>
          <w:lang w:eastAsia="zh-CN"/>
        </w:rPr>
      </w:pPr>
    </w:p>
    <w:p>
      <w:pPr>
        <w:pStyle w:val="2"/>
        <w:keepNext w:val="0"/>
        <w:keepLines w:val="0"/>
        <w:pageBreakBefore w:val="0"/>
        <w:widowControl w:val="0"/>
        <w:kinsoku/>
        <w:overflowPunct/>
        <w:topLinePunct w:val="0"/>
        <w:bidi w:val="0"/>
        <w:spacing w:line="560" w:lineRule="exact"/>
        <w:textAlignment w:val="auto"/>
        <w:rPr>
          <w:rFonts w:hint="eastAsia" w:eastAsia="仿宋_GB2312"/>
          <w:color w:val="auto"/>
          <w:highlight w:val="none"/>
          <w:lang w:eastAsia="zh-CN"/>
        </w:rPr>
      </w:pPr>
    </w:p>
    <w:p>
      <w:pPr>
        <w:pStyle w:val="2"/>
        <w:keepNext w:val="0"/>
        <w:keepLines w:val="0"/>
        <w:pageBreakBefore w:val="0"/>
        <w:widowControl w:val="0"/>
        <w:kinsoku/>
        <w:overflowPunct/>
        <w:topLinePunct w:val="0"/>
        <w:bidi w:val="0"/>
        <w:spacing w:line="560" w:lineRule="exact"/>
        <w:textAlignment w:val="auto"/>
        <w:rPr>
          <w:rFonts w:hint="eastAsia" w:eastAsia="仿宋_GB2312"/>
          <w:color w:val="auto"/>
          <w:highlight w:val="none"/>
          <w:lang w:eastAsia="zh-CN"/>
        </w:rPr>
      </w:pPr>
    </w:p>
    <w:p>
      <w:pPr>
        <w:pStyle w:val="2"/>
        <w:keepNext w:val="0"/>
        <w:keepLines w:val="0"/>
        <w:pageBreakBefore w:val="0"/>
        <w:widowControl w:val="0"/>
        <w:kinsoku/>
        <w:overflowPunct/>
        <w:topLinePunct w:val="0"/>
        <w:bidi w:val="0"/>
        <w:spacing w:line="560" w:lineRule="exact"/>
        <w:textAlignment w:val="auto"/>
        <w:rPr>
          <w:rFonts w:hint="eastAsia" w:eastAsia="仿宋_GB2312"/>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附件3-5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color w:val="auto"/>
          <w:sz w:val="36"/>
          <w:szCs w:val="36"/>
          <w:highlight w:val="none"/>
          <w:lang w:val="en-US" w:eastAsia="zh-CN"/>
        </w:rPr>
        <w:t>零售药店医保定点申请承诺书</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本机构</w:t>
      </w:r>
      <w:r>
        <w:rPr>
          <w:rFonts w:hint="eastAsia" w:ascii="仿宋_GB2312" w:hAnsi="仿宋_GB2312" w:eastAsia="仿宋_GB2312" w:cs="仿宋_GB2312"/>
          <w:color w:val="auto"/>
          <w:sz w:val="32"/>
          <w:szCs w:val="32"/>
          <w:highlight w:val="none"/>
          <w:lang w:val="en-US" w:eastAsia="zh-CN"/>
        </w:rPr>
        <w:t>自愿申请成为医疗保障定点零售药店，认真学习《医疗保障基金使用监督管理条例》《零售药店医疗保障定点管理暂行办法》等政策法规，并郑重作出以下承诺：</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一、不存在有关文件规定的不予受理定点申请的情形。</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二、已正式使用信息系统经营服务至少3个月。</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三、至少有1名符合医保协议管理要求的药师在岗提供服务。</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四、按要求配备</w:t>
      </w:r>
      <w:r>
        <w:rPr>
          <w:rFonts w:hint="default" w:ascii="仿宋_GB2312" w:hAnsi="仿宋_GB2312" w:eastAsia="仿宋_GB2312" w:cs="仿宋_GB2312"/>
          <w:color w:val="auto"/>
          <w:sz w:val="32"/>
          <w:szCs w:val="32"/>
          <w:highlight w:val="none"/>
          <w:lang w:val="en-US" w:eastAsia="zh-CN"/>
        </w:rPr>
        <w:t>熟悉</w:t>
      </w:r>
      <w:r>
        <w:rPr>
          <w:rFonts w:hint="eastAsia" w:ascii="仿宋_GB2312" w:hAnsi="仿宋_GB2312" w:eastAsia="仿宋_GB2312" w:cs="仿宋_GB2312"/>
          <w:color w:val="auto"/>
          <w:sz w:val="32"/>
          <w:szCs w:val="32"/>
          <w:highlight w:val="none"/>
          <w:lang w:val="en-US" w:eastAsia="zh-CN"/>
        </w:rPr>
        <w:t>医疗保障法律法规和相关制度规定的专(兼)职医保管理人员，负责管理医保费用，并定期组织内部医保政策培训。</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五、按药品经营质量管理规范要求，开展药品分类分区管理，并对所售药品设立明确的医保用药标识。</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六、具有符合医保协议管理要求的医保药品管理制度、财务管理制度、医保人员管理制度、统计信息管理制度和医保费用结算制度等。 </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七、具备符合医保协议管理要求的信息系统技术和接口标准，实现与医保信息系统有效对接，为参保人提供直接联网结算，建立医保药品等基础数据库，按规定使用国家和省统一医保编码。</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八、签订医疗保障定点零售药店服务协议书前，已在国家医保信息业务编码标准数据库动态维护平台维护机构基本信息及全部药师信息，在纳入医保定点后，及时动态维护机构基本信息及药师信息等。</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九、</w:t>
      </w:r>
      <w:r>
        <w:rPr>
          <w:rFonts w:hint="eastAsia" w:ascii="仿宋_GB2312" w:hAnsi="仿宋_GB2312" w:eastAsia="仿宋_GB2312" w:cs="仿宋_GB2312"/>
          <w:color w:val="auto"/>
          <w:sz w:val="32"/>
          <w:szCs w:val="32"/>
          <w:highlight w:val="none"/>
          <w:lang w:eastAsia="zh-CN"/>
        </w:rPr>
        <w:t>纳入医保定点后，按规定接入智能监管子系统，做好事前提醒信息的反馈与遵从；完善进销存管理，及时上传数据；使用药品耗材追溯码，实现“应扫尽扫、应传尽传”；严格遵守医保各项规定，坚决维护医保基金安全</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本机构将严格遵守上述承诺</w:t>
      </w:r>
      <w:r>
        <w:rPr>
          <w:rFonts w:hint="eastAsia" w:ascii="仿宋_GB2312" w:hAnsi="仿宋_GB2312" w:eastAsia="仿宋_GB2312" w:cs="仿宋_GB2312"/>
          <w:color w:val="auto"/>
          <w:sz w:val="32"/>
          <w:szCs w:val="32"/>
          <w:highlight w:val="none"/>
          <w:lang w:val="en-US" w:eastAsia="zh-CN"/>
        </w:rPr>
        <w:t>，申请医保定点过程中所报材料真实、合法、有效，如有不实，愿意承担一切责任、后果。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CESI仿宋-GB2312" w:hAnsi="CESI仿宋-GB2312" w:eastAsia="CESI仿宋-GB2312" w:cs="CESI仿宋-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CESI仿宋-GB2312" w:hAnsi="CESI仿宋-GB2312" w:eastAsia="CESI仿宋-GB2312" w:cs="CESI仿宋-GB2312"/>
          <w:color w:val="auto"/>
          <w:sz w:val="32"/>
          <w:szCs w:val="32"/>
          <w:highlight w:val="none"/>
          <w:lang w:val="en-US" w:eastAsia="zh-CN"/>
        </w:rPr>
      </w:pPr>
      <w:r>
        <w:rPr>
          <w:rFonts w:hint="eastAsia" w:ascii="CESI仿宋-GB2312" w:hAnsi="CESI仿宋-GB2312" w:eastAsia="CESI仿宋-GB2312" w:cs="CESI仿宋-GB2312"/>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3476" w:firstLineChars="11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承诺机构（盖章）：</w:t>
      </w:r>
    </w:p>
    <w:p>
      <w:pPr>
        <w:keepNext w:val="0"/>
        <w:keepLines w:val="0"/>
        <w:pageBreakBefore w:val="0"/>
        <w:widowControl w:val="0"/>
        <w:kinsoku/>
        <w:wordWrap/>
        <w:overflowPunct/>
        <w:topLinePunct w:val="0"/>
        <w:autoSpaceDE/>
        <w:autoSpaceDN/>
        <w:bidi w:val="0"/>
        <w:adjustRightInd/>
        <w:snapToGrid/>
        <w:spacing w:line="560" w:lineRule="exact"/>
        <w:ind w:firstLine="3160" w:firstLineChars="1000"/>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lang w:eastAsia="zh-CN"/>
        </w:rPr>
        <w:t>法定代表人（签章）：</w:t>
      </w:r>
    </w:p>
    <w:p>
      <w:pPr>
        <w:keepNext w:val="0"/>
        <w:keepLines w:val="0"/>
        <w:pageBreakBefore w:val="0"/>
        <w:widowControl w:val="0"/>
        <w:kinsoku/>
        <w:wordWrap/>
        <w:overflowPunct/>
        <w:topLinePunct w:val="0"/>
        <w:autoSpaceDE/>
        <w:autoSpaceDN/>
        <w:bidi w:val="0"/>
        <w:adjustRightInd/>
        <w:snapToGrid/>
        <w:spacing w:line="560" w:lineRule="exact"/>
        <w:ind w:firstLine="5372" w:firstLineChars="17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日期：</w:t>
      </w:r>
    </w:p>
    <w:p>
      <w:pPr>
        <w:keepNext w:val="0"/>
        <w:keepLines w:val="0"/>
        <w:pageBreakBefore w:val="0"/>
        <w:widowControl w:val="0"/>
        <w:kinsoku/>
        <w:wordWrap/>
        <w:overflowPunct/>
        <w:topLinePunct w:val="0"/>
        <w:autoSpaceDE/>
        <w:autoSpaceDN/>
        <w:bidi w:val="0"/>
        <w:adjustRightInd/>
        <w:snapToGrid/>
        <w:spacing w:line="560" w:lineRule="exact"/>
        <w:ind w:firstLine="5372" w:firstLineChars="1700"/>
        <w:jc w:val="left"/>
        <w:textAlignment w:val="auto"/>
        <w:rPr>
          <w:rFonts w:hint="eastAsia" w:ascii="仿宋_GB2312" w:hAnsi="仿宋_GB2312" w:eastAsia="仿宋_GB2312" w:cs="仿宋_GB2312"/>
          <w:color w:val="auto"/>
          <w:sz w:val="32"/>
          <w:szCs w:val="32"/>
          <w:highlight w:val="none"/>
          <w:lang w:val="en-US" w:eastAsia="zh-CN"/>
        </w:rPr>
      </w:pPr>
    </w:p>
    <w:p>
      <w:pPr>
        <w:pStyle w:val="2"/>
        <w:rPr>
          <w:rFonts w:hint="eastAsia" w:eastAsia="仿宋_GB2312"/>
          <w:color w:val="auto"/>
          <w:highlight w:val="none"/>
          <w:lang w:eastAsia="zh-CN"/>
        </w:rPr>
      </w:pPr>
    </w:p>
    <w:p>
      <w:pPr>
        <w:rPr>
          <w:rFonts w:hint="default"/>
          <w:color w:val="auto"/>
          <w:highlight w:val="none"/>
          <w:lang w:val="en-US" w:eastAsia="zh-CN"/>
        </w:rPr>
      </w:pPr>
    </w:p>
    <w:p>
      <w:pPr>
        <w:pStyle w:val="5"/>
        <w:rPr>
          <w:rFonts w:hint="default"/>
          <w:color w:val="auto"/>
          <w:highlight w:val="none"/>
          <w:lang w:val="en-US" w:eastAsia="zh-CN"/>
        </w:rPr>
      </w:pPr>
    </w:p>
    <w:p>
      <w:pPr>
        <w:rPr>
          <w:rFonts w:hint="default"/>
          <w:color w:val="auto"/>
          <w:highlight w:val="none"/>
          <w:lang w:val="en-US" w:eastAsia="zh-CN"/>
        </w:rPr>
      </w:pPr>
    </w:p>
    <w:p>
      <w:pPr>
        <w:pStyle w:val="5"/>
        <w:rPr>
          <w:rFonts w:hint="default"/>
          <w:color w:val="auto"/>
          <w:highlight w:val="none"/>
          <w:lang w:val="en-US" w:eastAsia="zh-CN"/>
        </w:rPr>
      </w:pPr>
    </w:p>
    <w:p>
      <w:pPr>
        <w:rPr>
          <w:rFonts w:hint="default"/>
          <w:color w:val="auto"/>
          <w:highlight w:val="none"/>
          <w:lang w:val="en-US" w:eastAsia="zh-CN"/>
        </w:rPr>
      </w:pPr>
    </w:p>
    <w:p>
      <w:pPr>
        <w:pStyle w:val="2"/>
        <w:rPr>
          <w:rFonts w:hint="default"/>
          <w:color w:val="auto"/>
          <w:highlight w:val="none"/>
          <w:lang w:val="en-US" w:eastAsia="zh-CN"/>
        </w:rPr>
      </w:pPr>
    </w:p>
    <w:p>
      <w:pPr>
        <w:pStyle w:val="2"/>
        <w:rPr>
          <w:rFonts w:hint="default"/>
          <w:color w:val="auto"/>
          <w:highlight w:val="none"/>
          <w:lang w:val="en-US" w:eastAsia="zh-CN"/>
        </w:rPr>
      </w:pPr>
    </w:p>
    <w:p>
      <w:pPr>
        <w:spacing w:line="560" w:lineRule="exact"/>
        <w:jc w:val="left"/>
        <w:rPr>
          <w:rFonts w:hint="default" w:ascii="黑体" w:hAnsi="黑体" w:eastAsia="黑体" w:cs="黑体"/>
          <w:color w:val="auto"/>
          <w:szCs w:val="32"/>
          <w:highlight w:val="none"/>
          <w:lang w:val="en-US" w:eastAsia="zh-CN"/>
        </w:rPr>
      </w:pPr>
      <w:r>
        <w:rPr>
          <w:rFonts w:hint="eastAsia" w:ascii="黑体" w:hAnsi="黑体" w:eastAsia="黑体" w:cs="黑体"/>
          <w:color w:val="auto"/>
          <w:szCs w:val="32"/>
          <w:highlight w:val="none"/>
          <w:lang w:val="en" w:eastAsia="zh-CN"/>
        </w:rPr>
        <w:t>附件</w:t>
      </w:r>
      <w:r>
        <w:rPr>
          <w:rFonts w:hint="eastAsia" w:ascii="黑体" w:hAnsi="黑体" w:eastAsia="黑体" w:cs="黑体"/>
          <w:color w:val="auto"/>
          <w:szCs w:val="32"/>
          <w:highlight w:val="none"/>
          <w:lang w:val="en-US" w:eastAsia="zh-CN"/>
        </w:rPr>
        <w:t>4</w:t>
      </w:r>
    </w:p>
    <w:p>
      <w:pPr>
        <w:spacing w:line="560" w:lineRule="exact"/>
        <w:jc w:val="center"/>
        <w:rPr>
          <w:rFonts w:hint="eastAsia" w:ascii="方正小标宋简体" w:hAnsi="方正小标宋简体" w:eastAsia="方正小标宋简体" w:cs="方正小标宋简体"/>
          <w:color w:val="auto"/>
          <w:sz w:val="36"/>
          <w:szCs w:val="36"/>
          <w:highlight w:val="none"/>
          <w:lang w:val="en" w:eastAsia="zh-CN"/>
        </w:rPr>
      </w:pPr>
      <w:r>
        <w:rPr>
          <w:rFonts w:hint="eastAsia" w:ascii="方正小标宋简体" w:hAnsi="方正小标宋简体" w:eastAsia="方正小标宋简体" w:cs="方正小标宋简体"/>
          <w:color w:val="auto"/>
          <w:sz w:val="36"/>
          <w:szCs w:val="36"/>
          <w:highlight w:val="none"/>
          <w:lang w:val="en" w:eastAsia="zh-CN"/>
        </w:rPr>
        <w:t>配合评估材料清单</w:t>
      </w:r>
    </w:p>
    <w:p>
      <w:pPr>
        <w:pStyle w:val="9"/>
        <w:spacing w:line="560" w:lineRule="exact"/>
        <w:ind w:firstLine="632" w:firstLineChars="200"/>
        <w:rPr>
          <w:rFonts w:hint="eastAsia" w:ascii="仿宋_GB2312" w:hAnsi="仿宋_GB2312" w:eastAsia="仿宋_GB2312" w:cs="仿宋_GB2312"/>
          <w:color w:val="auto"/>
          <w:kern w:val="0"/>
          <w:szCs w:val="32"/>
          <w:highlight w:val="none"/>
        </w:rPr>
      </w:pPr>
    </w:p>
    <w:p>
      <w:pPr>
        <w:pStyle w:val="9"/>
        <w:spacing w:line="560" w:lineRule="exact"/>
        <w:ind w:firstLine="632" w:firstLineChars="200"/>
        <w:rPr>
          <w:rFonts w:hint="eastAsia" w:ascii="黑体" w:hAnsi="黑体" w:eastAsia="黑体" w:cs="黑体"/>
          <w:color w:val="auto"/>
          <w:kern w:val="0"/>
          <w:szCs w:val="32"/>
          <w:highlight w:val="none"/>
        </w:rPr>
      </w:pPr>
      <w:r>
        <w:rPr>
          <w:rFonts w:hint="eastAsia" w:ascii="黑体" w:hAnsi="黑体" w:eastAsia="黑体" w:cs="黑体"/>
          <w:color w:val="auto"/>
          <w:kern w:val="0"/>
          <w:szCs w:val="32"/>
          <w:highlight w:val="none"/>
          <w:lang w:eastAsia="zh-CN"/>
        </w:rPr>
        <w:t>一、</w:t>
      </w:r>
      <w:r>
        <w:rPr>
          <w:rFonts w:hint="eastAsia" w:ascii="黑体" w:hAnsi="黑体" w:eastAsia="黑体" w:cs="黑体"/>
          <w:color w:val="auto"/>
          <w:kern w:val="0"/>
          <w:szCs w:val="32"/>
          <w:highlight w:val="none"/>
        </w:rPr>
        <w:t>申请材料</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一</w:t>
      </w:r>
      <w:r>
        <w:rPr>
          <w:rFonts w:hint="eastAsia" w:ascii="仿宋_GB2312" w:hAnsi="仿宋_GB2312" w:eastAsia="仿宋_GB2312" w:cs="仿宋_GB2312"/>
          <w:b w:val="0"/>
          <w:bCs w:val="0"/>
          <w:color w:val="auto"/>
          <w:kern w:val="0"/>
          <w:sz w:val="32"/>
          <w:szCs w:val="32"/>
          <w:highlight w:val="none"/>
          <w:lang w:eastAsia="zh-CN"/>
        </w:rPr>
        <w:t>）《深圳市医疗保障定点零售药店申请表》；</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二</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color w:val="auto"/>
          <w:kern w:val="0"/>
          <w:szCs w:val="32"/>
        </w:rPr>
        <w:t>药品经营许可证</w:t>
      </w:r>
      <w:r>
        <w:rPr>
          <w:rFonts w:hint="eastAsia" w:ascii="仿宋_GB2312" w:hAnsi="仿宋_GB2312" w:eastAsia="仿宋_GB2312" w:cs="仿宋_GB2312"/>
          <w:b w:val="0"/>
          <w:bCs w:val="0"/>
          <w:color w:val="auto"/>
          <w:kern w:val="0"/>
          <w:sz w:val="32"/>
          <w:szCs w:val="32"/>
          <w:highlight w:val="none"/>
          <w:lang w:eastAsia="zh-CN"/>
        </w:rPr>
        <w:t>》《营业执照》，</w:t>
      </w:r>
      <w:r>
        <w:rPr>
          <w:rFonts w:hint="eastAsia" w:ascii="仿宋_GB2312" w:hAnsi="仿宋_GB2312" w:eastAsia="仿宋_GB2312" w:cs="仿宋_GB2312"/>
          <w:color w:val="auto"/>
          <w:kern w:val="0"/>
          <w:szCs w:val="32"/>
        </w:rPr>
        <w:t>法定代表人、</w:t>
      </w:r>
      <w:r>
        <w:rPr>
          <w:rFonts w:hint="eastAsia" w:ascii="仿宋_GB2312" w:hAnsi="仿宋_GB2312" w:eastAsia="仿宋_GB2312" w:cs="仿宋_GB2312"/>
          <w:color w:val="auto"/>
          <w:kern w:val="0"/>
          <w:szCs w:val="32"/>
          <w:lang w:eastAsia="zh-CN"/>
        </w:rPr>
        <w:t>企业</w:t>
      </w:r>
      <w:r>
        <w:rPr>
          <w:rFonts w:hint="eastAsia" w:ascii="仿宋_GB2312" w:hAnsi="仿宋_GB2312" w:eastAsia="仿宋_GB2312" w:cs="仿宋_GB2312"/>
          <w:color w:val="auto"/>
          <w:kern w:val="0"/>
          <w:szCs w:val="32"/>
        </w:rPr>
        <w:t>负责人</w:t>
      </w:r>
      <w:r>
        <w:rPr>
          <w:rFonts w:hint="eastAsia" w:ascii="仿宋_GB2312" w:hAnsi="仿宋_GB2312" w:eastAsia="仿宋_GB2312" w:cs="仿宋_GB2312"/>
          <w:color w:val="auto"/>
          <w:kern w:val="0"/>
          <w:szCs w:val="32"/>
          <w:lang w:eastAsia="zh-CN"/>
        </w:rPr>
        <w:t>和</w:t>
      </w:r>
      <w:r>
        <w:rPr>
          <w:rFonts w:hint="eastAsia" w:ascii="仿宋_GB2312" w:hAnsi="仿宋_GB2312" w:eastAsia="仿宋_GB2312" w:cs="仿宋_GB2312"/>
          <w:color w:val="auto"/>
          <w:kern w:val="0"/>
          <w:szCs w:val="32"/>
        </w:rPr>
        <w:t>实际控制人身份证</w:t>
      </w:r>
      <w:r>
        <w:rPr>
          <w:rFonts w:hint="eastAsia" w:ascii="仿宋_GB2312" w:hAnsi="仿宋_GB2312" w:eastAsia="仿宋_GB2312" w:cs="仿宋_GB2312"/>
          <w:b w:val="0"/>
          <w:bCs w:val="0"/>
          <w:color w:val="auto"/>
          <w:kern w:val="0"/>
          <w:sz w:val="32"/>
          <w:szCs w:val="32"/>
          <w:highlight w:val="none"/>
          <w:lang w:eastAsia="zh-CN"/>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三</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color w:val="auto"/>
          <w:kern w:val="0"/>
          <w:szCs w:val="32"/>
        </w:rPr>
        <w:t>全量药师证书等材料</w:t>
      </w:r>
      <w:r>
        <w:rPr>
          <w:rFonts w:hint="eastAsia" w:ascii="仿宋_GB2312" w:hAnsi="仿宋_GB2312" w:eastAsia="仿宋_GB2312" w:cs="仿宋_GB2312"/>
          <w:color w:val="auto"/>
          <w:kern w:val="0"/>
          <w:szCs w:val="32"/>
          <w:lang w:eastAsia="zh-CN"/>
        </w:rPr>
        <w:t>，包括</w:t>
      </w:r>
      <w:r>
        <w:rPr>
          <w:rFonts w:hint="eastAsia" w:ascii="仿宋_GB2312" w:hAnsi="仿宋_GB2312" w:eastAsia="仿宋_GB2312" w:cs="仿宋_GB2312"/>
          <w:color w:val="auto"/>
          <w:szCs w:val="32"/>
        </w:rPr>
        <w:t>执业药师资格证书、注册证</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劳动</w:t>
      </w:r>
      <w:r>
        <w:rPr>
          <w:rFonts w:hint="eastAsia" w:ascii="仿宋_GB2312" w:hAnsi="仿宋_GB2312" w:eastAsia="仿宋_GB2312" w:cs="仿宋_GB2312"/>
          <w:color w:val="auto"/>
          <w:szCs w:val="32"/>
          <w:lang w:eastAsia="zh-CN"/>
        </w:rPr>
        <w:t>（务）</w:t>
      </w:r>
      <w:r>
        <w:rPr>
          <w:rFonts w:hint="eastAsia" w:ascii="仿宋_GB2312" w:hAnsi="仿宋_GB2312" w:eastAsia="仿宋_GB2312" w:cs="仿宋_GB2312"/>
          <w:color w:val="auto"/>
          <w:szCs w:val="32"/>
        </w:rPr>
        <w:t>合同和职工医保参保证明</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药学技术人员相关证书</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劳动</w:t>
      </w:r>
      <w:r>
        <w:rPr>
          <w:rFonts w:hint="eastAsia" w:ascii="仿宋_GB2312" w:hAnsi="仿宋_GB2312" w:eastAsia="仿宋_GB2312" w:cs="仿宋_GB2312"/>
          <w:color w:val="auto"/>
          <w:szCs w:val="32"/>
          <w:lang w:eastAsia="zh-CN"/>
        </w:rPr>
        <w:t>（务）</w:t>
      </w:r>
      <w:r>
        <w:rPr>
          <w:rFonts w:hint="eastAsia" w:ascii="仿宋_GB2312" w:hAnsi="仿宋_GB2312" w:eastAsia="仿宋_GB2312" w:cs="仿宋_GB2312"/>
          <w:color w:val="auto"/>
          <w:szCs w:val="32"/>
        </w:rPr>
        <w:t>合同和职工医保参保证明</w:t>
      </w:r>
      <w:r>
        <w:rPr>
          <w:rFonts w:hint="eastAsia" w:ascii="仿宋_GB2312" w:hAnsi="仿宋_GB2312" w:eastAsia="仿宋_GB2312" w:cs="仿宋_GB2312"/>
          <w:color w:val="auto"/>
          <w:kern w:val="0"/>
          <w:szCs w:val="32"/>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rPr>
        <w:t>（四）</w:t>
      </w:r>
      <w:r>
        <w:rPr>
          <w:rFonts w:ascii="仿宋_GB2312" w:hAnsi="仿宋_GB2312" w:eastAsia="仿宋_GB2312" w:cs="仿宋_GB2312"/>
          <w:color w:val="auto"/>
          <w:kern w:val="0"/>
          <w:szCs w:val="32"/>
        </w:rPr>
        <w:t>专（兼）职医保管理人员的</w:t>
      </w:r>
      <w:r>
        <w:rPr>
          <w:rFonts w:hint="eastAsia" w:ascii="仿宋_GB2312" w:hAnsi="仿宋_GB2312" w:eastAsia="仿宋_GB2312" w:cs="仿宋_GB2312"/>
          <w:color w:val="auto"/>
          <w:szCs w:val="32"/>
        </w:rPr>
        <w:t>劳动</w:t>
      </w:r>
      <w:r>
        <w:rPr>
          <w:rFonts w:hint="eastAsia" w:ascii="仿宋_GB2312" w:hAnsi="仿宋_GB2312" w:eastAsia="仿宋_GB2312" w:cs="仿宋_GB2312"/>
          <w:color w:val="auto"/>
          <w:szCs w:val="32"/>
          <w:lang w:eastAsia="zh-CN"/>
        </w:rPr>
        <w:t>（务）</w:t>
      </w:r>
      <w:r>
        <w:rPr>
          <w:rFonts w:ascii="仿宋_GB2312" w:hAnsi="仿宋_GB2312" w:eastAsia="仿宋_GB2312" w:cs="仿宋_GB2312"/>
          <w:color w:val="auto"/>
          <w:kern w:val="0"/>
          <w:szCs w:val="32"/>
        </w:rPr>
        <w:t>合同</w:t>
      </w:r>
      <w:r>
        <w:rPr>
          <w:rFonts w:hint="eastAsia" w:ascii="仿宋_GB2312" w:hAnsi="仿宋_GB2312" w:eastAsia="仿宋_GB2312" w:cs="仿宋_GB2312"/>
          <w:color w:val="auto"/>
          <w:kern w:val="0"/>
          <w:szCs w:val="32"/>
        </w:rPr>
        <w:t>和职工医保参保证明</w:t>
      </w:r>
      <w:r>
        <w:rPr>
          <w:rFonts w:ascii="仿宋_GB2312" w:hAnsi="仿宋_GB2312" w:eastAsia="仿宋_GB2312" w:cs="仿宋_GB2312"/>
          <w:color w:val="auto"/>
          <w:kern w:val="0"/>
          <w:szCs w:val="32"/>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color w:val="auto"/>
          <w:kern w:val="0"/>
          <w:szCs w:val="32"/>
          <w:lang w:eastAsia="zh-CN"/>
        </w:rPr>
        <w:t>（五）</w:t>
      </w:r>
      <w:r>
        <w:rPr>
          <w:rFonts w:hint="eastAsia" w:ascii="仿宋_GB2312" w:hAnsi="仿宋_GB2312" w:eastAsia="仿宋_GB2312" w:cs="仿宋_GB2312"/>
          <w:b w:val="0"/>
          <w:bCs w:val="0"/>
          <w:color w:val="auto"/>
          <w:kern w:val="0"/>
          <w:sz w:val="32"/>
          <w:szCs w:val="32"/>
          <w:highlight w:val="none"/>
          <w:lang w:eastAsia="zh-CN"/>
        </w:rPr>
        <w:t>与医疗保障政策对应的内部管理制度（</w:t>
      </w:r>
      <w:r>
        <w:rPr>
          <w:rFonts w:hint="eastAsia" w:ascii="仿宋_GB2312" w:hAnsi="仿宋_GB2312" w:eastAsia="仿宋_GB2312" w:cs="仿宋_GB2312"/>
          <w:color w:val="auto"/>
          <w:kern w:val="0"/>
          <w:szCs w:val="32"/>
        </w:rPr>
        <w:t>至少含医保药品管理制度、财务管理制度、医保人员管理制度、统计信息管理制度和医保费用结算制度</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u w:val="none"/>
          <w:lang w:val="en-US" w:eastAsia="zh-CN" w:bidi="ar-SA"/>
        </w:rPr>
        <w:t>；</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eastAsia="zh-CN"/>
        </w:rPr>
        <w:t>（六）</w:t>
      </w:r>
      <w:r>
        <w:rPr>
          <w:rFonts w:hint="eastAsia" w:ascii="仿宋_GB2312" w:hAnsi="仿宋_GB2312" w:eastAsia="仿宋_GB2312" w:cs="仿宋_GB2312"/>
          <w:color w:val="auto"/>
          <w:sz w:val="32"/>
          <w:szCs w:val="32"/>
          <w:lang w:val="en-US" w:eastAsia="zh-CN"/>
        </w:rPr>
        <w:t>正式启用信息系统开展经营服务之日距申请定点日期至少3个月的佐证材料；</w:t>
      </w:r>
    </w:p>
    <w:p>
      <w:pPr>
        <w:keepNext w:val="0"/>
        <w:keepLines w:val="0"/>
        <w:pageBreakBefore w:val="0"/>
        <w:widowControl w:val="0"/>
        <w:kinsoku/>
        <w:wordWrap/>
        <w:overflowPunct/>
        <w:topLinePunct w:val="0"/>
        <w:bidi w:val="0"/>
        <w:spacing w:line="560" w:lineRule="exact"/>
        <w:ind w:left="0" w:firstLine="632" w:firstLineChars="200"/>
        <w:textAlignment w:val="auto"/>
        <w:rPr>
          <w:rFonts w:hint="eastAsia" w:ascii="仿宋_GB2312" w:hAnsi="仿宋_GB2312" w:eastAsia="仿宋_GB2312" w:cs="仿宋_GB2312"/>
          <w:b w:val="0"/>
          <w:bCs w:val="0"/>
          <w:color w:val="auto"/>
          <w:kern w:val="0"/>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eastAsia="zh-CN"/>
        </w:rPr>
        <w:t>（七）</w:t>
      </w:r>
      <w:r>
        <w:rPr>
          <w:rFonts w:hint="eastAsia" w:ascii="仿宋_GB2312" w:hAnsi="仿宋_GB2312" w:eastAsia="仿宋_GB2312" w:cs="仿宋_GB2312"/>
          <w:color w:val="auto"/>
          <w:sz w:val="32"/>
          <w:szCs w:val="32"/>
          <w:lang w:val="en-US" w:eastAsia="zh-CN"/>
        </w:rPr>
        <w:t>设立医保药品等基础数据库，使用统一的医保编码的佐证材料；</w:t>
      </w:r>
    </w:p>
    <w:p>
      <w:pPr>
        <w:spacing w:line="560" w:lineRule="exact"/>
        <w:ind w:firstLine="632" w:firstLineChars="200"/>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八</w:t>
      </w:r>
      <w:r>
        <w:rPr>
          <w:rFonts w:hint="eastAsia" w:ascii="仿宋_GB2312" w:hAnsi="仿宋_GB2312" w:eastAsia="仿宋_GB2312" w:cs="仿宋_GB2312"/>
          <w:b w:val="0"/>
          <w:bCs w:val="0"/>
          <w:color w:val="auto"/>
          <w:kern w:val="0"/>
          <w:sz w:val="32"/>
          <w:szCs w:val="32"/>
          <w:highlight w:val="none"/>
          <w:lang w:eastAsia="zh-CN"/>
        </w:rPr>
        <w:t>）纳入定点后使用医疗保障基金的预测性分析报告；</w:t>
      </w:r>
    </w:p>
    <w:p>
      <w:pPr>
        <w:spacing w:line="560" w:lineRule="exact"/>
        <w:ind w:firstLine="632" w:firstLineChars="200"/>
        <w:rPr>
          <w:rFonts w:hint="eastAsia" w:ascii="仿宋_GB2312" w:hAnsi="仿宋_GB2312" w:eastAsia="仿宋_GB2312" w:cs="仿宋_GB2312"/>
          <w:color w:val="auto"/>
          <w:kern w:val="0"/>
          <w:szCs w:val="32"/>
          <w:highlight w:val="none"/>
        </w:rPr>
      </w:pPr>
      <w:r>
        <w:rPr>
          <w:rFonts w:hint="eastAsia" w:ascii="仿宋_GB2312" w:hAnsi="仿宋_GB2312" w:eastAsia="仿宋_GB2312" w:cs="仿宋_GB2312"/>
          <w:b w:val="0"/>
          <w:bCs w:val="0"/>
          <w:color w:val="auto"/>
          <w:kern w:val="0"/>
          <w:sz w:val="32"/>
          <w:szCs w:val="32"/>
          <w:highlight w:val="none"/>
          <w:lang w:eastAsia="zh-CN"/>
        </w:rPr>
        <w:t>（九）《零售药店申请医保定点承诺书》；</w:t>
      </w:r>
    </w:p>
    <w:p>
      <w:pPr>
        <w:spacing w:line="560" w:lineRule="exact"/>
        <w:ind w:firstLine="632" w:firstLineChars="200"/>
        <w:rPr>
          <w:rFonts w:hint="eastAsia" w:ascii="黑体" w:hAnsi="黑体" w:eastAsia="黑体" w:cs="黑体"/>
          <w:color w:val="auto"/>
          <w:kern w:val="0"/>
          <w:szCs w:val="32"/>
          <w:highlight w:val="none"/>
        </w:rPr>
      </w:pPr>
      <w:r>
        <w:rPr>
          <w:rFonts w:hint="eastAsia" w:ascii="黑体" w:hAnsi="黑体" w:eastAsia="黑体" w:cs="黑体"/>
          <w:color w:val="auto"/>
          <w:kern w:val="0"/>
          <w:szCs w:val="32"/>
          <w:highlight w:val="none"/>
          <w:lang w:eastAsia="zh-CN"/>
        </w:rPr>
        <w:t>二、</w:t>
      </w:r>
      <w:r>
        <w:rPr>
          <w:rFonts w:hint="eastAsia" w:ascii="黑体" w:hAnsi="黑体" w:eastAsia="黑体" w:cs="黑体"/>
          <w:color w:val="auto"/>
          <w:kern w:val="0"/>
          <w:szCs w:val="32"/>
          <w:highlight w:val="none"/>
        </w:rPr>
        <w:t>评估材料</w:t>
      </w:r>
    </w:p>
    <w:p>
      <w:pPr>
        <w:spacing w:line="560" w:lineRule="exact"/>
        <w:ind w:firstLine="632" w:firstLineChars="200"/>
        <w:rPr>
          <w:rFonts w:ascii="仿宋_GB2312" w:hAnsi="仿宋_GB2312" w:eastAsia="仿宋_GB2312" w:cs="仿宋_GB2312"/>
          <w:color w:val="auto"/>
          <w:kern w:val="0"/>
          <w:szCs w:val="32"/>
          <w:highlight w:val="none"/>
        </w:rPr>
      </w:pPr>
      <w:r>
        <w:rPr>
          <w:rFonts w:hint="eastAsia" w:ascii="仿宋_GB2312" w:hAnsi="仿宋_GB2312" w:eastAsia="仿宋_GB2312" w:cs="仿宋_GB2312"/>
          <w:color w:val="auto"/>
          <w:kern w:val="0"/>
          <w:szCs w:val="32"/>
          <w:highlight w:val="none"/>
          <w:lang w:eastAsia="zh-CN"/>
        </w:rPr>
        <w:t>（一）</w:t>
      </w:r>
      <w:r>
        <w:rPr>
          <w:rFonts w:hint="eastAsia" w:ascii="仿宋_GB2312" w:hAnsi="仿宋_GB2312" w:eastAsia="仿宋_GB2312" w:cs="仿宋_GB2312"/>
          <w:color w:val="auto"/>
          <w:szCs w:val="32"/>
        </w:rPr>
        <w:t>药店正门开业状态照片（需包含药店招牌、名</w:t>
      </w:r>
      <w:r>
        <w:rPr>
          <w:rFonts w:hint="eastAsia" w:ascii="仿宋_GB2312" w:hAnsi="仿宋_GB2312" w:eastAsia="仿宋_GB2312" w:cs="仿宋_GB2312"/>
          <w:color w:val="auto"/>
          <w:szCs w:val="32"/>
          <w:shd w:val="clear" w:color="auto" w:fill="FFFFFF"/>
        </w:rPr>
        <w:t>称、门牌号码）</w:t>
      </w:r>
      <w:r>
        <w:rPr>
          <w:rFonts w:hint="eastAsia" w:ascii="仿宋_GB2312" w:hAnsi="仿宋_GB2312" w:eastAsia="仿宋_GB2312" w:cs="仿宋_GB2312"/>
          <w:color w:val="auto"/>
          <w:szCs w:val="32"/>
          <w:highlight w:val="none"/>
        </w:rPr>
        <w:t>；</w:t>
      </w:r>
    </w:p>
    <w:p>
      <w:pPr>
        <w:spacing w:line="560" w:lineRule="exact"/>
        <w:ind w:firstLine="632" w:firstLineChars="200"/>
        <w:rPr>
          <w:rFonts w:ascii="仿宋_GB2312" w:hAnsi="仿宋_GB2312" w:eastAsia="仿宋_GB2312" w:cs="仿宋_GB2312"/>
          <w:color w:val="auto"/>
          <w:kern w:val="0"/>
          <w:szCs w:val="32"/>
          <w:highlight w:val="none"/>
        </w:rPr>
      </w:pPr>
      <w:r>
        <w:rPr>
          <w:rFonts w:hint="eastAsia" w:ascii="仿宋_GB2312" w:hAnsi="仿宋_GB2312" w:eastAsia="仿宋_GB2312" w:cs="仿宋_GB2312"/>
          <w:color w:val="auto"/>
          <w:kern w:val="0"/>
          <w:szCs w:val="32"/>
          <w:highlight w:val="none"/>
          <w:lang w:eastAsia="zh-CN"/>
        </w:rPr>
        <w:t>（二）</w:t>
      </w:r>
      <w:r>
        <w:rPr>
          <w:rFonts w:hint="eastAsia" w:ascii="仿宋_GB2312" w:hAnsi="仿宋_GB2312" w:eastAsia="仿宋_GB2312" w:cs="仿宋_GB2312"/>
          <w:color w:val="auto"/>
          <w:szCs w:val="32"/>
        </w:rPr>
        <w:t>医保药品标识照片</w:t>
      </w:r>
      <w:r>
        <w:rPr>
          <w:rFonts w:hint="eastAsia" w:ascii="仿宋_GB2312" w:hAnsi="仿宋_GB2312" w:eastAsia="仿宋_GB2312" w:cs="仿宋_GB2312"/>
          <w:color w:val="auto"/>
          <w:kern w:val="0"/>
          <w:szCs w:val="32"/>
          <w:highlight w:val="none"/>
        </w:rPr>
        <w:t>；</w:t>
      </w:r>
    </w:p>
    <w:p>
      <w:pPr>
        <w:spacing w:line="560" w:lineRule="exact"/>
        <w:ind w:firstLine="632" w:firstLineChars="200"/>
        <w:rPr>
          <w:rFonts w:hint="eastAsia" w:ascii="仿宋_GB2312" w:hAnsi="仿宋_GB2312" w:eastAsia="仿宋_GB2312" w:cs="仿宋_GB2312"/>
          <w:color w:val="auto"/>
          <w:kern w:val="0"/>
          <w:szCs w:val="32"/>
          <w:highlight w:val="none"/>
          <w:lang w:val="en-US" w:eastAsia="zh-CN"/>
        </w:rPr>
      </w:pPr>
      <w:r>
        <w:rPr>
          <w:rFonts w:hint="eastAsia" w:ascii="仿宋_GB2312" w:hAnsi="仿宋_GB2312" w:eastAsia="仿宋_GB2312" w:cs="仿宋_GB2312"/>
          <w:color w:val="auto"/>
          <w:kern w:val="0"/>
          <w:szCs w:val="32"/>
          <w:highlight w:val="none"/>
          <w:lang w:eastAsia="zh-CN"/>
        </w:rPr>
        <w:t>（三）</w:t>
      </w:r>
      <w:r>
        <w:rPr>
          <w:rFonts w:hint="eastAsia" w:ascii="仿宋_GB2312" w:hAnsi="仿宋_GB2312" w:eastAsia="仿宋_GB2312" w:cs="仿宋_GB2312"/>
          <w:color w:val="auto"/>
          <w:kern w:val="0"/>
          <w:szCs w:val="32"/>
          <w:highlight w:val="none"/>
        </w:rPr>
        <w:t>医保管理人员考核</w:t>
      </w:r>
      <w:r>
        <w:rPr>
          <w:rFonts w:hint="eastAsia" w:ascii="仿宋_GB2312" w:hAnsi="仿宋_GB2312" w:eastAsia="仿宋_GB2312" w:cs="仿宋_GB2312"/>
          <w:color w:val="auto"/>
          <w:kern w:val="0"/>
          <w:szCs w:val="32"/>
          <w:highlight w:val="none"/>
          <w:lang w:eastAsia="zh-CN"/>
        </w:rPr>
        <w:t>合格结果；</w:t>
      </w:r>
    </w:p>
    <w:p>
      <w:pPr>
        <w:spacing w:line="560" w:lineRule="exact"/>
        <w:ind w:firstLine="632" w:firstLineChars="200"/>
        <w:rPr>
          <w:rFonts w:ascii="仿宋_GB2312" w:hAnsi="仿宋_GB2312" w:eastAsia="仿宋_GB2312" w:cs="仿宋_GB2312"/>
          <w:color w:val="auto"/>
          <w:kern w:val="0"/>
          <w:szCs w:val="32"/>
          <w:highlight w:val="none"/>
        </w:rPr>
      </w:pPr>
      <w:r>
        <w:rPr>
          <w:rFonts w:hint="eastAsia" w:ascii="仿宋_GB2312" w:hAnsi="仿宋_GB2312" w:eastAsia="仿宋_GB2312" w:cs="仿宋_GB2312"/>
          <w:color w:val="auto"/>
          <w:kern w:val="0"/>
          <w:szCs w:val="32"/>
          <w:highlight w:val="none"/>
          <w:lang w:val="en-US" w:eastAsia="zh-CN"/>
        </w:rPr>
        <w:t>（四）</w:t>
      </w:r>
      <w:r>
        <w:rPr>
          <w:rFonts w:hint="eastAsia" w:ascii="仿宋_GB2312" w:hAnsi="仿宋_GB2312" w:eastAsia="仿宋_GB2312" w:cs="仿宋_GB2312"/>
          <w:color w:val="auto"/>
          <w:kern w:val="0"/>
          <w:szCs w:val="32"/>
          <w:highlight w:val="none"/>
        </w:rPr>
        <w:t>公共信用报告；</w:t>
      </w:r>
    </w:p>
    <w:p>
      <w:pPr>
        <w:spacing w:line="560" w:lineRule="exact"/>
        <w:ind w:firstLine="632" w:firstLineChars="200"/>
        <w:rPr>
          <w:rFonts w:hint="eastAsia" w:ascii="仿宋_GB2312" w:hAnsi="仿宋_GB2312" w:eastAsia="仿宋_GB2312" w:cs="仿宋_GB2312"/>
          <w:color w:val="auto"/>
          <w:kern w:val="0"/>
          <w:szCs w:val="32"/>
          <w:highlight w:val="none"/>
          <w:lang w:eastAsia="zh-CN"/>
        </w:rPr>
      </w:pPr>
      <w:r>
        <w:rPr>
          <w:rFonts w:hint="eastAsia" w:ascii="仿宋_GB2312" w:hAnsi="仿宋_GB2312" w:eastAsia="仿宋_GB2312" w:cs="仿宋_GB2312"/>
          <w:color w:val="auto"/>
          <w:kern w:val="0"/>
          <w:szCs w:val="32"/>
          <w:highlight w:val="none"/>
          <w:lang w:val="en-US" w:eastAsia="zh-CN"/>
        </w:rPr>
        <w:t>（五）</w:t>
      </w:r>
      <w:r>
        <w:rPr>
          <w:rFonts w:hint="eastAsia" w:ascii="仿宋_GB2312" w:hAnsi="仿宋_GB2312" w:eastAsia="仿宋_GB2312" w:cs="仿宋_GB2312"/>
          <w:color w:val="auto"/>
          <w:kern w:val="0"/>
          <w:szCs w:val="32"/>
          <w:highlight w:val="none"/>
        </w:rPr>
        <w:t>行政处罚履行证明或承诺书（曾被行政处罚的需提供）</w:t>
      </w:r>
      <w:r>
        <w:rPr>
          <w:rFonts w:hint="eastAsia" w:ascii="仿宋_GB2312" w:hAnsi="仿宋_GB2312" w:eastAsia="仿宋_GB2312" w:cs="仿宋_GB2312"/>
          <w:color w:val="auto"/>
          <w:kern w:val="0"/>
          <w:szCs w:val="32"/>
          <w:highlight w:val="none"/>
          <w:lang w:eastAsia="zh-CN"/>
        </w:rPr>
        <w:t>。</w:t>
      </w: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ascii="黑体" w:hAnsi="黑体"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黑体" w:hAnsi="黑体" w:eastAsia="黑体" w:cs="黑体"/>
          <w:b w:val="0"/>
          <w:bCs w:val="0"/>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附件5</w:t>
      </w:r>
    </w:p>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方正小标宋简体" w:hAnsi="方正小标宋简体" w:eastAsia="方正小标宋简体" w:cs="方正小标宋简体"/>
          <w:b/>
          <w:bCs/>
          <w:color w:val="auto"/>
          <w:kern w:val="2"/>
          <w:sz w:val="36"/>
          <w:szCs w:val="36"/>
          <w:highlight w:val="none"/>
          <w:lang w:val="en-US" w:eastAsia="zh-CN" w:bidi="ar-SA"/>
        </w:rPr>
      </w:pPr>
      <w:r>
        <w:rPr>
          <w:rFonts w:hint="eastAsia" w:ascii="方正小标宋简体" w:hAnsi="方正小标宋简体" w:eastAsia="方正小标宋简体" w:cs="方正小标宋简体"/>
          <w:color w:val="auto"/>
          <w:sz w:val="36"/>
          <w:szCs w:val="36"/>
          <w:highlight w:val="none"/>
        </w:rPr>
        <w:t>配合评估材料</w:t>
      </w:r>
      <w:r>
        <w:rPr>
          <w:rFonts w:hint="eastAsia" w:ascii="方正小标宋简体" w:hAnsi="方正小标宋简体" w:eastAsia="方正小标宋简体" w:cs="方正小标宋简体"/>
          <w:color w:val="auto"/>
          <w:sz w:val="36"/>
          <w:szCs w:val="36"/>
          <w:highlight w:val="none"/>
          <w:lang w:eastAsia="zh-CN"/>
        </w:rPr>
        <w:t>具体要求</w:t>
      </w: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仿宋" w:hAnsi="仿宋" w:eastAsia="仿宋" w:cs="仿宋"/>
          <w:b/>
          <w:bCs/>
          <w:color w:val="auto"/>
          <w:kern w:val="2"/>
          <w:sz w:val="32"/>
          <w:szCs w:val="32"/>
          <w:highlight w:val="none"/>
          <w:lang w:val="en-US" w:eastAsia="zh-CN" w:bidi="ar-SA"/>
        </w:rPr>
      </w:pPr>
    </w:p>
    <w:p>
      <w:pPr>
        <w:pStyle w:val="9"/>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hint="eastAsia" w:ascii="黑体" w:hAnsi="黑体" w:eastAsia="黑体" w:cs="黑体"/>
          <w:color w:val="auto"/>
          <w:kern w:val="0"/>
          <w:szCs w:val="32"/>
          <w:highlight w:val="none"/>
          <w:lang w:eastAsia="zh-CN"/>
        </w:rPr>
      </w:pPr>
      <w:r>
        <w:rPr>
          <w:rFonts w:hint="eastAsia" w:ascii="黑体" w:hAnsi="黑体" w:eastAsia="黑体" w:cs="黑体"/>
          <w:color w:val="auto"/>
          <w:kern w:val="0"/>
          <w:szCs w:val="32"/>
          <w:highlight w:val="none"/>
          <w:lang w:eastAsia="zh-CN"/>
        </w:rPr>
        <w:t>一、</w:t>
      </w:r>
      <w:r>
        <w:rPr>
          <w:rFonts w:hint="eastAsia" w:ascii="黑体" w:hAnsi="黑体" w:eastAsia="黑体" w:cs="黑体"/>
          <w:color w:val="auto"/>
          <w:kern w:val="0"/>
          <w:szCs w:val="32"/>
          <w:highlight w:val="none"/>
        </w:rPr>
        <w:t>申请材料</w:t>
      </w:r>
    </w:p>
    <w:p>
      <w:pPr>
        <w:pStyle w:val="9"/>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ascii="仿宋_GB2312" w:hAnsi="仿宋_GB2312" w:eastAsia="仿宋_GB2312" w:cs="仿宋_GB2312"/>
          <w:b/>
          <w:bCs/>
          <w:color w:val="auto"/>
          <w:kern w:val="0"/>
          <w:szCs w:val="32"/>
          <w:highlight w:val="none"/>
        </w:rPr>
      </w:pPr>
      <w:r>
        <w:rPr>
          <w:rFonts w:hint="eastAsia" w:ascii="仿宋_GB2312" w:hAnsi="仿宋_GB2312" w:eastAsia="仿宋_GB2312" w:cs="仿宋_GB2312"/>
          <w:b/>
          <w:bCs/>
          <w:color w:val="auto"/>
          <w:kern w:val="0"/>
          <w:szCs w:val="32"/>
          <w:highlight w:val="none"/>
          <w:lang w:eastAsia="zh-CN"/>
        </w:rPr>
        <w:t>要求</w:t>
      </w:r>
      <w:r>
        <w:rPr>
          <w:rFonts w:hint="eastAsia" w:ascii="仿宋_GB2312" w:hAnsi="仿宋_GB2312" w:eastAsia="仿宋_GB2312" w:cs="仿宋_GB2312"/>
          <w:b/>
          <w:bCs/>
          <w:color w:val="auto"/>
          <w:kern w:val="0"/>
          <w:szCs w:val="32"/>
          <w:highlight w:val="none"/>
        </w:rPr>
        <w:t>：</w:t>
      </w:r>
      <w:r>
        <w:rPr>
          <w:rFonts w:hint="eastAsia" w:ascii="仿宋_GB2312" w:hAnsi="仿宋_GB2312" w:eastAsia="仿宋_GB2312" w:cs="仿宋_GB2312"/>
          <w:color w:val="auto"/>
          <w:kern w:val="0"/>
          <w:szCs w:val="32"/>
          <w:highlight w:val="none"/>
        </w:rPr>
        <w:t>材料真实，相应证照在有效期内。</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hint="eastAsia" w:ascii="黑体" w:hAnsi="黑体" w:eastAsia="黑体" w:cs="黑体"/>
          <w:color w:val="auto"/>
          <w:kern w:val="0"/>
          <w:szCs w:val="32"/>
          <w:highlight w:val="none"/>
        </w:rPr>
      </w:pPr>
      <w:r>
        <w:rPr>
          <w:rFonts w:hint="eastAsia" w:ascii="黑体" w:hAnsi="黑体" w:eastAsia="黑体" w:cs="黑体"/>
          <w:color w:val="auto"/>
          <w:kern w:val="0"/>
          <w:szCs w:val="32"/>
          <w:highlight w:val="none"/>
          <w:lang w:eastAsia="zh-CN"/>
        </w:rPr>
        <w:t>二、</w:t>
      </w:r>
      <w:r>
        <w:rPr>
          <w:rFonts w:hint="eastAsia" w:ascii="黑体" w:hAnsi="黑体" w:eastAsia="黑体" w:cs="黑体"/>
          <w:color w:val="auto"/>
          <w:kern w:val="0"/>
          <w:szCs w:val="32"/>
          <w:highlight w:val="none"/>
        </w:rPr>
        <w:t>评估材料</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hint="eastAsia" w:ascii="仿宋_GB2312" w:hAnsi="仿宋_GB2312" w:eastAsia="仿宋_GB2312" w:cs="仿宋_GB2312"/>
          <w:color w:val="auto"/>
          <w:kern w:val="0"/>
          <w:szCs w:val="32"/>
          <w:highlight w:val="none"/>
          <w:lang w:eastAsia="zh-CN"/>
        </w:rPr>
      </w:pPr>
      <w:r>
        <w:rPr>
          <w:rFonts w:hint="eastAsia" w:ascii="仿宋_GB2312" w:hAnsi="仿宋_GB2312" w:eastAsia="仿宋_GB2312" w:cs="仿宋_GB2312"/>
          <w:b/>
          <w:bCs/>
          <w:color w:val="auto"/>
          <w:kern w:val="0"/>
          <w:szCs w:val="32"/>
          <w:highlight w:val="none"/>
          <w:lang w:eastAsia="zh-CN"/>
        </w:rPr>
        <w:t>（一）</w:t>
      </w:r>
      <w:r>
        <w:rPr>
          <w:rFonts w:hint="eastAsia" w:ascii="仿宋_GB2312" w:hAnsi="仿宋_GB2312" w:eastAsia="仿宋_GB2312" w:cs="仿宋_GB2312"/>
          <w:b/>
          <w:bCs/>
          <w:color w:val="auto"/>
          <w:szCs w:val="32"/>
        </w:rPr>
        <w:t>药店正门开业状态照片（需包含药店招牌、名</w:t>
      </w:r>
      <w:r>
        <w:rPr>
          <w:rFonts w:hint="eastAsia" w:ascii="仿宋_GB2312" w:hAnsi="仿宋_GB2312" w:eastAsia="仿宋_GB2312" w:cs="仿宋_GB2312"/>
          <w:b/>
          <w:bCs/>
          <w:color w:val="auto"/>
          <w:szCs w:val="32"/>
          <w:shd w:val="clear" w:color="auto" w:fill="FFFFFF"/>
        </w:rPr>
        <w:t>称、门牌号码）</w:t>
      </w:r>
      <w:r>
        <w:rPr>
          <w:rFonts w:hint="eastAsia" w:ascii="仿宋_GB2312" w:hAnsi="仿宋_GB2312" w:eastAsia="仿宋_GB2312" w:cs="仿宋_GB2312"/>
          <w:b/>
          <w:bCs/>
          <w:color w:val="auto"/>
          <w:szCs w:val="32"/>
          <w:shd w:val="clear" w:color="auto" w:fill="FFFFFF"/>
          <w:lang w:eastAsia="zh-CN"/>
        </w:rPr>
        <w:t>；</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ascii="仿宋_GB2312" w:hAnsi="仿宋_GB2312" w:eastAsia="仿宋_GB2312" w:cs="仿宋_GB2312"/>
          <w:color w:val="auto"/>
          <w:szCs w:val="32"/>
          <w:highlight w:val="none"/>
        </w:rPr>
      </w:pPr>
      <w:r>
        <w:rPr>
          <w:rFonts w:hint="eastAsia" w:ascii="仿宋_GB2312" w:hAnsi="仿宋_GB2312" w:eastAsia="仿宋_GB2312" w:cs="仿宋_GB2312"/>
          <w:b/>
          <w:bCs/>
          <w:color w:val="auto"/>
          <w:kern w:val="0"/>
          <w:szCs w:val="32"/>
          <w:highlight w:val="none"/>
          <w:lang w:eastAsia="zh-CN"/>
        </w:rPr>
        <w:t>要求</w:t>
      </w:r>
      <w:r>
        <w:rPr>
          <w:rFonts w:hint="eastAsia" w:ascii="仿宋_GB2312" w:hAnsi="仿宋_GB2312" w:eastAsia="仿宋_GB2312" w:cs="仿宋_GB2312"/>
          <w:b/>
          <w:bCs/>
          <w:color w:val="auto"/>
          <w:kern w:val="0"/>
          <w:szCs w:val="32"/>
          <w:highlight w:val="none"/>
        </w:rPr>
        <w:t>：</w:t>
      </w:r>
      <w:r>
        <w:rPr>
          <w:rFonts w:hint="eastAsia" w:ascii="仿宋_GB2312" w:hAnsi="仿宋_GB2312" w:eastAsia="仿宋_GB2312" w:cs="仿宋_GB2312"/>
          <w:color w:val="auto"/>
          <w:kern w:val="0"/>
          <w:szCs w:val="32"/>
          <w:highlight w:val="none"/>
          <w:lang w:val="en-US" w:eastAsia="zh-CN"/>
        </w:rPr>
        <w:t>1.</w:t>
      </w:r>
      <w:r>
        <w:rPr>
          <w:rFonts w:hint="eastAsia" w:ascii="仿宋_GB2312" w:hAnsi="仿宋_GB2312" w:eastAsia="仿宋_GB2312" w:cs="仿宋_GB2312"/>
          <w:color w:val="auto"/>
          <w:kern w:val="0"/>
          <w:szCs w:val="32"/>
          <w:highlight w:val="none"/>
        </w:rPr>
        <w:t>材料真实；</w:t>
      </w:r>
      <w:r>
        <w:rPr>
          <w:rFonts w:hint="eastAsia" w:ascii="仿宋_GB2312" w:hAnsi="仿宋_GB2312" w:eastAsia="仿宋_GB2312" w:cs="仿宋_GB2312"/>
          <w:color w:val="auto"/>
          <w:kern w:val="0"/>
          <w:szCs w:val="32"/>
          <w:highlight w:val="none"/>
          <w:lang w:val="en-US" w:eastAsia="zh-CN"/>
        </w:rPr>
        <w:t>2.</w:t>
      </w:r>
      <w:r>
        <w:rPr>
          <w:rFonts w:hint="eastAsia" w:ascii="仿宋_GB2312" w:hAnsi="仿宋_GB2312" w:eastAsia="仿宋_GB2312" w:cs="仿宋_GB2312"/>
          <w:color w:val="auto"/>
          <w:kern w:val="0"/>
          <w:szCs w:val="32"/>
        </w:rPr>
        <w:t>未成为医保定点前不得张贴“医保定点”</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kern w:val="0"/>
          <w:szCs w:val="32"/>
          <w:highlight w:val="none"/>
          <w:lang w:val="en-US" w:eastAsia="zh-CN"/>
        </w:rPr>
        <w:t>3.</w:t>
      </w:r>
      <w:r>
        <w:rPr>
          <w:rFonts w:hint="eastAsia" w:ascii="仿宋_GB2312" w:hAnsi="仿宋_GB2312" w:eastAsia="仿宋_GB2312" w:cs="仿宋_GB2312"/>
          <w:color w:val="auto"/>
          <w:kern w:val="0"/>
          <w:szCs w:val="32"/>
        </w:rPr>
        <w:t>药师应在岗提供服务、处方药销售记录、销售单登记的药师应为本店注册药师</w:t>
      </w:r>
      <w:r>
        <w:rPr>
          <w:rFonts w:hint="eastAsia" w:ascii="仿宋_GB2312" w:hAnsi="仿宋_GB2312" w:eastAsia="仿宋_GB2312" w:cs="仿宋_GB2312"/>
          <w:color w:val="auto"/>
          <w:szCs w:val="32"/>
          <w:highlight w:val="none"/>
        </w:rPr>
        <w:t>。</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ascii="仿宋_GB2312" w:hAnsi="仿宋_GB2312" w:eastAsia="仿宋_GB2312" w:cs="仿宋_GB2312"/>
          <w:b/>
          <w:bCs/>
          <w:color w:val="auto"/>
          <w:kern w:val="0"/>
          <w:szCs w:val="32"/>
          <w:highlight w:val="none"/>
        </w:rPr>
      </w:pPr>
      <w:r>
        <w:rPr>
          <w:rFonts w:hint="eastAsia" w:ascii="仿宋_GB2312" w:hAnsi="仿宋_GB2312" w:eastAsia="仿宋_GB2312" w:cs="仿宋_GB2312"/>
          <w:b/>
          <w:bCs/>
          <w:color w:val="auto"/>
          <w:kern w:val="0"/>
          <w:szCs w:val="32"/>
          <w:highlight w:val="none"/>
          <w:lang w:eastAsia="zh-CN"/>
        </w:rPr>
        <w:t>（</w:t>
      </w:r>
      <w:r>
        <w:rPr>
          <w:rFonts w:hint="eastAsia" w:ascii="仿宋_GB2312" w:hAnsi="仿宋_GB2312" w:eastAsia="仿宋_GB2312" w:cs="仿宋_GB2312"/>
          <w:b/>
          <w:bCs/>
          <w:color w:val="auto"/>
          <w:kern w:val="0"/>
          <w:szCs w:val="32"/>
          <w:highlight w:val="none"/>
          <w:lang w:val="en-US" w:eastAsia="zh-CN"/>
        </w:rPr>
        <w:t>二</w:t>
      </w:r>
      <w:r>
        <w:rPr>
          <w:rFonts w:hint="eastAsia" w:ascii="仿宋_GB2312" w:hAnsi="仿宋_GB2312" w:eastAsia="仿宋_GB2312" w:cs="仿宋_GB2312"/>
          <w:b/>
          <w:bCs/>
          <w:color w:val="auto"/>
          <w:kern w:val="0"/>
          <w:szCs w:val="32"/>
          <w:highlight w:val="none"/>
          <w:lang w:eastAsia="zh-CN"/>
        </w:rPr>
        <w:t>）</w:t>
      </w:r>
      <w:r>
        <w:rPr>
          <w:rFonts w:hint="eastAsia" w:ascii="仿宋_GB2312" w:hAnsi="仿宋_GB2312" w:eastAsia="仿宋_GB2312" w:cs="仿宋_GB2312"/>
          <w:b/>
          <w:bCs/>
          <w:color w:val="auto"/>
          <w:szCs w:val="32"/>
        </w:rPr>
        <w:t>医保药品标识照片</w:t>
      </w:r>
      <w:r>
        <w:rPr>
          <w:rFonts w:hint="eastAsia" w:ascii="仿宋_GB2312" w:hAnsi="仿宋_GB2312" w:eastAsia="仿宋_GB2312" w:cs="仿宋_GB2312"/>
          <w:b/>
          <w:bCs/>
          <w:color w:val="auto"/>
          <w:kern w:val="0"/>
          <w:szCs w:val="32"/>
          <w:highlight w:val="none"/>
          <w:lang w:eastAsia="zh-CN"/>
        </w:rPr>
        <w:t>；</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ascii="仿宋_GB2312" w:hAnsi="仿宋_GB2312" w:eastAsia="仿宋_GB2312" w:cs="仿宋_GB2312"/>
          <w:color w:val="auto"/>
          <w:kern w:val="0"/>
          <w:szCs w:val="32"/>
          <w:highlight w:val="none"/>
        </w:rPr>
      </w:pPr>
      <w:r>
        <w:rPr>
          <w:rFonts w:hint="eastAsia" w:ascii="仿宋_GB2312" w:hAnsi="仿宋_GB2312" w:eastAsia="仿宋_GB2312" w:cs="仿宋_GB2312"/>
          <w:b/>
          <w:bCs/>
          <w:color w:val="auto"/>
          <w:kern w:val="0"/>
          <w:szCs w:val="32"/>
          <w:highlight w:val="none"/>
          <w:lang w:eastAsia="zh-CN"/>
        </w:rPr>
        <w:t>要求</w:t>
      </w:r>
      <w:r>
        <w:rPr>
          <w:rFonts w:hint="eastAsia" w:ascii="仿宋_GB2312" w:hAnsi="仿宋_GB2312" w:eastAsia="仿宋_GB2312" w:cs="仿宋_GB2312"/>
          <w:b/>
          <w:bCs/>
          <w:color w:val="auto"/>
          <w:kern w:val="0"/>
          <w:szCs w:val="32"/>
          <w:highlight w:val="none"/>
        </w:rPr>
        <w:t>：</w:t>
      </w:r>
      <w:r>
        <w:rPr>
          <w:rFonts w:hint="eastAsia" w:ascii="仿宋_GB2312" w:hAnsi="仿宋_GB2312" w:eastAsia="仿宋_GB2312" w:cs="仿宋_GB2312"/>
          <w:color w:val="auto"/>
          <w:kern w:val="0"/>
          <w:szCs w:val="32"/>
          <w:highlight w:val="none"/>
        </w:rPr>
        <w:t>材料真实。</w:t>
      </w:r>
    </w:p>
    <w:p>
      <w:pPr>
        <w:keepNext w:val="0"/>
        <w:keepLines w:val="0"/>
        <w:pageBreakBefore w:val="0"/>
        <w:widowControl w:val="0"/>
        <w:numPr>
          <w:ilvl w:val="255"/>
          <w:numId w:val="0"/>
        </w:numPr>
        <w:kinsoku/>
        <w:wordWrap/>
        <w:overflowPunct/>
        <w:topLinePunct w:val="0"/>
        <w:autoSpaceDE/>
        <w:autoSpaceDN/>
        <w:bidi w:val="0"/>
        <w:adjustRightInd/>
        <w:snapToGrid/>
        <w:spacing w:line="560" w:lineRule="exact"/>
        <w:ind w:left="0" w:leftChars="0" w:firstLine="632" w:firstLineChars="200"/>
        <w:textAlignment w:val="auto"/>
        <w:rPr>
          <w:rFonts w:ascii="仿宋_GB2312" w:hAnsi="仿宋_GB2312" w:eastAsia="仿宋_GB2312" w:cs="仿宋_GB2312"/>
          <w:color w:val="auto"/>
          <w:kern w:val="0"/>
          <w:szCs w:val="32"/>
          <w:highlight w:val="none"/>
        </w:rPr>
      </w:pPr>
      <w:r>
        <w:rPr>
          <w:rFonts w:hint="eastAsia" w:ascii="仿宋_GB2312" w:hAnsi="仿宋_GB2312" w:eastAsia="仿宋_GB2312" w:cs="仿宋_GB2312"/>
          <w:b/>
          <w:bCs/>
          <w:color w:val="auto"/>
          <w:kern w:val="0"/>
          <w:szCs w:val="32"/>
          <w:highlight w:val="none"/>
          <w:lang w:eastAsia="zh-CN"/>
        </w:rPr>
        <w:t>（三）</w:t>
      </w:r>
      <w:r>
        <w:rPr>
          <w:rFonts w:hint="eastAsia" w:ascii="仿宋_GB2312" w:hAnsi="仿宋_GB2312" w:eastAsia="仿宋_GB2312" w:cs="仿宋_GB2312"/>
          <w:b/>
          <w:bCs/>
          <w:color w:val="auto"/>
          <w:kern w:val="0"/>
          <w:szCs w:val="32"/>
          <w:highlight w:val="none"/>
        </w:rPr>
        <w:t>医保管理人员考核</w:t>
      </w:r>
      <w:r>
        <w:rPr>
          <w:rFonts w:hint="eastAsia" w:ascii="仿宋_GB2312" w:hAnsi="仿宋_GB2312" w:eastAsia="仿宋_GB2312" w:cs="仿宋_GB2312"/>
          <w:b/>
          <w:bCs/>
          <w:color w:val="auto"/>
          <w:kern w:val="0"/>
          <w:szCs w:val="32"/>
          <w:highlight w:val="none"/>
          <w:lang w:eastAsia="zh-CN"/>
        </w:rPr>
        <w:t>合格结果；</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ascii="仿宋_GB2312" w:hAnsi="仿宋_GB2312" w:eastAsia="仿宋_GB2312" w:cs="仿宋_GB2312"/>
          <w:color w:val="auto"/>
          <w:kern w:val="0"/>
          <w:szCs w:val="32"/>
          <w:highlight w:val="none"/>
        </w:rPr>
      </w:pPr>
      <w:r>
        <w:rPr>
          <w:rFonts w:hint="eastAsia" w:ascii="仿宋_GB2312" w:hAnsi="仿宋_GB2312" w:eastAsia="仿宋_GB2312" w:cs="仿宋_GB2312"/>
          <w:b/>
          <w:bCs/>
          <w:color w:val="auto"/>
          <w:kern w:val="0"/>
          <w:szCs w:val="32"/>
          <w:highlight w:val="none"/>
          <w:lang w:eastAsia="zh-CN"/>
        </w:rPr>
        <w:t>要求</w:t>
      </w:r>
      <w:r>
        <w:rPr>
          <w:rFonts w:hint="eastAsia" w:ascii="仿宋_GB2312" w:hAnsi="仿宋_GB2312" w:eastAsia="仿宋_GB2312" w:cs="仿宋_GB2312"/>
          <w:b/>
          <w:bCs/>
          <w:color w:val="auto"/>
          <w:kern w:val="0"/>
          <w:szCs w:val="32"/>
          <w:highlight w:val="none"/>
        </w:rPr>
        <w:t>：</w:t>
      </w:r>
      <w:r>
        <w:rPr>
          <w:rFonts w:hint="eastAsia" w:ascii="仿宋_GB2312" w:hAnsi="仿宋_GB2312" w:eastAsia="仿宋_GB2312" w:cs="仿宋_GB2312"/>
          <w:color w:val="auto"/>
          <w:kern w:val="0"/>
          <w:szCs w:val="32"/>
          <w:highlight w:val="none"/>
        </w:rPr>
        <w:t>材料真实。</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ascii="仿宋_GB2312" w:hAnsi="仿宋_GB2312" w:eastAsia="仿宋_GB2312" w:cs="仿宋_GB2312"/>
          <w:b/>
          <w:bCs/>
          <w:color w:val="auto"/>
          <w:kern w:val="0"/>
          <w:szCs w:val="32"/>
          <w:highlight w:val="none"/>
        </w:rPr>
      </w:pPr>
      <w:r>
        <w:rPr>
          <w:rFonts w:hint="eastAsia" w:ascii="仿宋_GB2312" w:hAnsi="仿宋_GB2312" w:eastAsia="仿宋_GB2312" w:cs="仿宋_GB2312"/>
          <w:b/>
          <w:bCs/>
          <w:color w:val="auto"/>
          <w:kern w:val="0"/>
          <w:szCs w:val="32"/>
          <w:highlight w:val="none"/>
          <w:lang w:eastAsia="zh-CN"/>
        </w:rPr>
        <w:t>（四）</w:t>
      </w:r>
      <w:r>
        <w:rPr>
          <w:rFonts w:hint="eastAsia" w:ascii="仿宋_GB2312" w:hAnsi="仿宋_GB2312" w:eastAsia="仿宋_GB2312" w:cs="仿宋_GB2312"/>
          <w:b/>
          <w:bCs/>
          <w:color w:val="auto"/>
          <w:kern w:val="0"/>
          <w:szCs w:val="32"/>
          <w:highlight w:val="none"/>
        </w:rPr>
        <w:t>公共信用报告；</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ascii="仿宋_GB2312" w:hAnsi="仿宋_GB2312" w:eastAsia="仿宋_GB2312" w:cs="仿宋_GB2312"/>
          <w:color w:val="auto"/>
          <w:kern w:val="0"/>
          <w:szCs w:val="32"/>
          <w:highlight w:val="none"/>
        </w:rPr>
      </w:pPr>
      <w:r>
        <w:rPr>
          <w:rFonts w:hint="eastAsia" w:ascii="仿宋_GB2312" w:hAnsi="仿宋_GB2312" w:eastAsia="仿宋_GB2312" w:cs="仿宋_GB2312"/>
          <w:b/>
          <w:bCs/>
          <w:color w:val="auto"/>
          <w:kern w:val="0"/>
          <w:szCs w:val="32"/>
          <w:highlight w:val="none"/>
          <w:lang w:eastAsia="zh-CN"/>
        </w:rPr>
        <w:t>要求</w:t>
      </w:r>
      <w:r>
        <w:rPr>
          <w:rFonts w:hint="eastAsia" w:ascii="仿宋_GB2312" w:hAnsi="仿宋_GB2312" w:eastAsia="仿宋_GB2312" w:cs="仿宋_GB2312"/>
          <w:b/>
          <w:bCs/>
          <w:color w:val="auto"/>
          <w:kern w:val="0"/>
          <w:szCs w:val="32"/>
          <w:highlight w:val="none"/>
        </w:rPr>
        <w:t>：</w:t>
      </w:r>
      <w:r>
        <w:rPr>
          <w:rFonts w:hint="eastAsia" w:ascii="仿宋_GB2312" w:hAnsi="仿宋_GB2312" w:eastAsia="仿宋_GB2312" w:cs="仿宋_GB2312"/>
          <w:color w:val="auto"/>
          <w:kern w:val="0"/>
          <w:szCs w:val="32"/>
          <w:highlight w:val="none"/>
        </w:rPr>
        <w:t>若有被行政处罚记录，</w:t>
      </w:r>
      <w:r>
        <w:rPr>
          <w:rFonts w:hint="eastAsia" w:ascii="仿宋_GB2312" w:hAnsi="仿宋_GB2312" w:eastAsia="仿宋_GB2312" w:cs="仿宋_GB2312"/>
          <w:color w:val="auto"/>
          <w:kern w:val="0"/>
          <w:szCs w:val="32"/>
          <w:highlight w:val="none"/>
          <w:lang w:eastAsia="zh-CN"/>
        </w:rPr>
        <w:t>应</w:t>
      </w:r>
      <w:r>
        <w:rPr>
          <w:rFonts w:hint="eastAsia" w:ascii="仿宋_GB2312" w:hAnsi="仿宋_GB2312" w:eastAsia="仿宋_GB2312" w:cs="仿宋_GB2312"/>
          <w:color w:val="auto"/>
          <w:kern w:val="0"/>
          <w:szCs w:val="32"/>
          <w:highlight w:val="none"/>
        </w:rPr>
        <w:t>已履行。</w:t>
      </w:r>
    </w:p>
    <w:p>
      <w:pPr>
        <w:keepNext w:val="0"/>
        <w:keepLines w:val="0"/>
        <w:pageBreakBefore w:val="0"/>
        <w:widowControl w:val="0"/>
        <w:kinsoku/>
        <w:wordWrap/>
        <w:overflowPunct/>
        <w:topLinePunct w:val="0"/>
        <w:bidi w:val="0"/>
        <w:snapToGrid/>
        <w:spacing w:line="560" w:lineRule="exact"/>
        <w:ind w:left="0" w:leftChars="0" w:firstLine="632" w:firstLineChars="200"/>
        <w:textAlignment w:val="auto"/>
        <w:rPr>
          <w:rFonts w:hint="eastAsia" w:ascii="仿宋_GB2312" w:hAnsi="仿宋_GB2312" w:eastAsia="仿宋_GB2312" w:cs="仿宋_GB2312"/>
          <w:b/>
          <w:bCs/>
          <w:color w:val="auto"/>
          <w:kern w:val="0"/>
          <w:szCs w:val="32"/>
          <w:highlight w:val="none"/>
        </w:rPr>
      </w:pPr>
      <w:r>
        <w:rPr>
          <w:rFonts w:hint="eastAsia" w:ascii="仿宋_GB2312" w:hAnsi="仿宋_GB2312" w:eastAsia="仿宋_GB2312" w:cs="仿宋_GB2312"/>
          <w:b/>
          <w:bCs/>
          <w:color w:val="auto"/>
          <w:kern w:val="0"/>
          <w:szCs w:val="32"/>
          <w:highlight w:val="none"/>
          <w:lang w:eastAsia="zh-CN"/>
        </w:rPr>
        <w:t>（五）</w:t>
      </w:r>
      <w:r>
        <w:rPr>
          <w:rFonts w:hint="eastAsia" w:ascii="仿宋_GB2312" w:hAnsi="仿宋_GB2312" w:eastAsia="仿宋_GB2312" w:cs="仿宋_GB2312"/>
          <w:b/>
          <w:bCs/>
          <w:color w:val="auto"/>
          <w:kern w:val="0"/>
          <w:szCs w:val="32"/>
          <w:highlight w:val="none"/>
        </w:rPr>
        <w:t>行政处罚履行证明或承诺书（曾被行政处罚的需提供）；</w:t>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632" w:firstLineChars="200"/>
        <w:textAlignment w:val="auto"/>
        <w:rPr>
          <w:rFonts w:ascii="黑体" w:hAnsi="黑体" w:eastAsia="黑体" w:cs="黑体"/>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SA"/>
        </w:rPr>
        <w:t>要求：</w:t>
      </w:r>
      <w:r>
        <w:rPr>
          <w:rFonts w:hint="eastAsia" w:ascii="仿宋_GB2312" w:hAnsi="仿宋_GB2312" w:eastAsia="仿宋_GB2312" w:cs="仿宋_GB2312"/>
          <w:color w:val="auto"/>
          <w:kern w:val="0"/>
          <w:sz w:val="32"/>
          <w:szCs w:val="32"/>
          <w:highlight w:val="none"/>
          <w:lang w:val="en-US" w:eastAsia="zh-CN" w:bidi="ar-SA"/>
        </w:rPr>
        <w:t>处罚内容为罚</w:t>
      </w:r>
      <w:r>
        <w:rPr>
          <w:rFonts w:hint="eastAsia" w:ascii="仿宋_GB2312" w:hAnsi="仿宋_GB2312" w:eastAsia="仿宋_GB2312" w:cs="仿宋_GB2312"/>
          <w:color w:val="auto"/>
          <w:sz w:val="32"/>
          <w:szCs w:val="32"/>
          <w:highlight w:val="none"/>
        </w:rPr>
        <w:t>款的，提供缴纳罚款的发票；处罚内容为警告、整改等的，提供承诺书作为证明材料。</w:t>
      </w:r>
    </w:p>
    <w:p>
      <w:pPr>
        <w:pStyle w:val="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仿宋" w:hAnsi="仿宋" w:eastAsia="仿宋" w:cs="仿宋"/>
          <w:b/>
          <w:bCs/>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60" w:lineRule="exact"/>
        <w:jc w:val="left"/>
        <w:textAlignment w:val="auto"/>
        <w:rPr>
          <w:rFonts w:hint="default" w:ascii="黑体" w:hAnsi="黑体" w:eastAsia="黑体" w:cs="黑体"/>
          <w:b w:val="0"/>
          <w:bCs w:val="0"/>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附件6</w:t>
      </w:r>
    </w:p>
    <w:p>
      <w:pPr>
        <w:keepNext w:val="0"/>
        <w:keepLines w:val="0"/>
        <w:pageBreakBefore w:val="0"/>
        <w:widowControl w:val="0"/>
        <w:kinsoku/>
        <w:wordWrap/>
        <w:overflowPunct/>
        <w:topLinePunct w:val="0"/>
        <w:bidi w:val="0"/>
        <w:snapToGrid/>
        <w:spacing w:line="560" w:lineRule="exact"/>
        <w:jc w:val="center"/>
        <w:textAlignment w:val="auto"/>
        <w:outlineLvl w:val="9"/>
        <w:rPr>
          <w:rFonts w:hint="eastAsia" w:ascii="方正小标宋简体" w:hAnsi="方正小标宋简体" w:eastAsia="方正小标宋简体" w:cs="方正小标宋简体"/>
          <w:color w:val="auto"/>
          <w:kern w:val="0"/>
          <w:sz w:val="36"/>
          <w:szCs w:val="36"/>
          <w:highlight w:val="none"/>
          <w:lang w:val="en-US" w:eastAsia="zh-CN"/>
        </w:rPr>
      </w:pPr>
      <w:r>
        <w:rPr>
          <w:rFonts w:hint="eastAsia" w:ascii="方正小标宋简体" w:hAnsi="方正小标宋简体" w:eastAsia="方正小标宋简体" w:cs="方正小标宋简体"/>
          <w:color w:val="auto"/>
          <w:kern w:val="0"/>
          <w:sz w:val="36"/>
          <w:szCs w:val="36"/>
          <w:highlight w:val="none"/>
          <w:lang w:val="en-US" w:eastAsia="zh-CN"/>
        </w:rPr>
        <w:t>签约所需材料</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rPr>
          <w:rFonts w:hint="eastAsia" w:ascii="黑体" w:hAnsi="黑体" w:eastAsia="黑体" w:cs="宋体"/>
          <w:color w:val="auto"/>
          <w:kern w:val="0"/>
          <w:sz w:val="32"/>
          <w:szCs w:val="32"/>
          <w:highlight w:val="none"/>
          <w:lang w:eastAsia="zh-CN"/>
        </w:rPr>
      </w:pP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rPr>
          <w:rFonts w:hint="eastAsia" w:ascii="楷体_GB2312" w:hAnsi="楷体_GB2312" w:eastAsia="楷体_GB2312" w:cs="楷体_GB2312"/>
          <w:b/>
          <w:bCs w:val="0"/>
          <w:color w:val="auto"/>
          <w:kern w:val="0"/>
          <w:sz w:val="32"/>
          <w:szCs w:val="32"/>
          <w:highlight w:val="none"/>
        </w:rPr>
      </w:pPr>
      <w:r>
        <w:rPr>
          <w:rFonts w:hint="eastAsia" w:ascii="黑体" w:hAnsi="黑体" w:eastAsia="黑体" w:cs="宋体"/>
          <w:color w:val="auto"/>
          <w:kern w:val="0"/>
          <w:sz w:val="32"/>
          <w:szCs w:val="32"/>
          <w:highlight w:val="none"/>
          <w:lang w:eastAsia="zh-CN"/>
        </w:rPr>
        <w:t>一、线下签约</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outlineLvl w:val="9"/>
        <w:rPr>
          <w:rFonts w:hint="eastAsia" w:ascii="楷体_GB2312" w:hAnsi="楷体_GB2312" w:eastAsia="楷体_GB2312" w:cs="楷体_GB2312"/>
          <w:b w:val="0"/>
          <w:bCs w:val="0"/>
          <w:color w:val="auto"/>
          <w:sz w:val="32"/>
          <w:szCs w:val="32"/>
          <w:highlight w:val="none"/>
          <w:lang w:val="zh-CN" w:eastAsia="zh-CN"/>
        </w:rPr>
      </w:pPr>
      <w:r>
        <w:rPr>
          <w:rFonts w:hint="eastAsia" w:ascii="楷体_GB2312" w:hAnsi="楷体_GB2312" w:eastAsia="楷体_GB2312" w:cs="楷体_GB2312"/>
          <w:b w:val="0"/>
          <w:bCs w:val="0"/>
          <w:color w:val="auto"/>
          <w:sz w:val="32"/>
          <w:szCs w:val="32"/>
          <w:highlight w:val="none"/>
          <w:lang w:val="zh-CN" w:eastAsia="zh-CN"/>
        </w:rPr>
        <w:t>（一）零售药店签约所需携带</w:t>
      </w:r>
      <w:r>
        <w:rPr>
          <w:rFonts w:hint="eastAsia" w:ascii="楷体_GB2312" w:hAnsi="楷体_GB2312" w:eastAsia="楷体_GB2312" w:cs="楷体_GB2312"/>
          <w:b w:val="0"/>
          <w:bCs w:val="0"/>
          <w:color w:val="auto"/>
          <w:sz w:val="32"/>
          <w:szCs w:val="32"/>
          <w:highlight w:val="none"/>
          <w:lang w:val="en-US" w:eastAsia="zh-CN"/>
        </w:rPr>
        <w:t>材</w:t>
      </w:r>
      <w:r>
        <w:rPr>
          <w:rFonts w:hint="eastAsia" w:ascii="楷体_GB2312" w:hAnsi="楷体_GB2312" w:eastAsia="楷体_GB2312" w:cs="楷体_GB2312"/>
          <w:b w:val="0"/>
          <w:bCs w:val="0"/>
          <w:color w:val="auto"/>
          <w:sz w:val="32"/>
          <w:szCs w:val="32"/>
          <w:highlight w:val="none"/>
          <w:lang w:val="zh-CN" w:eastAsia="zh-CN"/>
        </w:rPr>
        <w:t>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32" w:firstLineChars="200"/>
        <w:textAlignment w:val="auto"/>
        <w:outlineLvl w:val="9"/>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zh-CN" w:eastAsia="zh-CN"/>
        </w:rPr>
        <w:t>企业公章（证照名称</w:t>
      </w:r>
      <w:r>
        <w:rPr>
          <w:rFonts w:hint="eastAsia" w:ascii="仿宋_GB2312" w:hAnsi="仿宋_GB2312" w:eastAsia="仿宋_GB2312" w:cs="仿宋_GB2312"/>
          <w:color w:val="auto"/>
          <w:sz w:val="32"/>
          <w:szCs w:val="32"/>
          <w:lang w:val="en-US" w:eastAsia="zh-CN"/>
        </w:rPr>
        <w:t>须</w:t>
      </w:r>
      <w:r>
        <w:rPr>
          <w:rFonts w:hint="eastAsia" w:ascii="仿宋_GB2312" w:hAnsi="仿宋_GB2312" w:eastAsia="仿宋_GB2312" w:cs="仿宋_GB2312"/>
          <w:color w:val="auto"/>
          <w:sz w:val="32"/>
          <w:szCs w:val="32"/>
          <w:lang w:val="zh-CN" w:eastAsia="zh-CN"/>
        </w:rPr>
        <w:t>与公章名称一致）（</w:t>
      </w:r>
      <w:r>
        <w:rPr>
          <w:rFonts w:hint="eastAsia" w:ascii="仿宋_GB2312" w:hAnsi="仿宋_GB2312" w:eastAsia="仿宋_GB2312" w:cs="仿宋_GB2312"/>
          <w:color w:val="auto"/>
          <w:sz w:val="32"/>
          <w:szCs w:val="32"/>
          <w:lang w:val="en-US" w:eastAsia="zh-CN"/>
        </w:rPr>
        <w:t>申请机构为分支机构的，须携带所属机构公章</w:t>
      </w:r>
      <w:r>
        <w:rPr>
          <w:rFonts w:hint="eastAsia" w:ascii="仿宋_GB2312" w:hAnsi="仿宋_GB2312" w:eastAsia="仿宋_GB2312" w:cs="仿宋_GB2312"/>
          <w:color w:val="auto"/>
          <w:sz w:val="32"/>
          <w:szCs w:val="32"/>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32" w:firstLineChars="200"/>
        <w:textAlignment w:val="auto"/>
        <w:outlineLvl w:val="9"/>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val="zh-CN" w:eastAsia="zh-CN"/>
        </w:rPr>
        <w:t>《营业执照》（验原件，收</w:t>
      </w:r>
      <w:r>
        <w:rPr>
          <w:rFonts w:hint="eastAsia" w:ascii="仿宋_GB2312" w:hAnsi="仿宋_GB2312" w:eastAsia="仿宋_GB2312" w:cs="仿宋_GB2312"/>
          <w:color w:val="auto"/>
          <w:sz w:val="32"/>
          <w:szCs w:val="32"/>
          <w:lang w:val="en-US" w:eastAsia="zh-CN"/>
        </w:rPr>
        <w:t>加盖公章的</w:t>
      </w:r>
      <w:r>
        <w:rPr>
          <w:rFonts w:hint="eastAsia" w:ascii="仿宋_GB2312" w:hAnsi="仿宋_GB2312" w:eastAsia="仿宋_GB2312" w:cs="仿宋_GB2312"/>
          <w:color w:val="auto"/>
          <w:sz w:val="32"/>
          <w:szCs w:val="32"/>
          <w:lang w:val="zh-CN" w:eastAsia="zh-CN"/>
        </w:rPr>
        <w:t xml:space="preserve">复印件）；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32" w:firstLineChars="200"/>
        <w:textAlignment w:val="auto"/>
        <w:outlineLvl w:val="9"/>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zh-CN" w:eastAsia="zh-CN"/>
        </w:rPr>
        <w:t>《药品经营许可证》（验原件，收</w:t>
      </w:r>
      <w:r>
        <w:rPr>
          <w:rFonts w:hint="eastAsia" w:ascii="仿宋_GB2312" w:hAnsi="仿宋_GB2312" w:eastAsia="仿宋_GB2312" w:cs="仿宋_GB2312"/>
          <w:color w:val="auto"/>
          <w:sz w:val="32"/>
          <w:szCs w:val="32"/>
          <w:lang w:val="en-US" w:eastAsia="zh-CN"/>
        </w:rPr>
        <w:t>加盖公章的</w:t>
      </w:r>
      <w:r>
        <w:rPr>
          <w:rFonts w:hint="eastAsia" w:ascii="仿宋_GB2312" w:hAnsi="仿宋_GB2312" w:eastAsia="仿宋_GB2312" w:cs="仿宋_GB2312"/>
          <w:color w:val="auto"/>
          <w:sz w:val="32"/>
          <w:szCs w:val="32"/>
          <w:lang w:val="zh-CN" w:eastAsia="zh-CN"/>
        </w:rPr>
        <w:t>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32" w:firstLineChars="200"/>
        <w:textAlignment w:val="auto"/>
        <w:outlineLvl w:val="9"/>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zh-CN" w:eastAsia="zh-CN"/>
        </w:rPr>
        <w:t>《药品经营质量管理规范认证证书》（</w:t>
      </w:r>
      <w:r>
        <w:rPr>
          <w:rFonts w:hint="eastAsia" w:ascii="仿宋_GB2312" w:hAnsi="仿宋_GB2312" w:eastAsia="仿宋_GB2312" w:cs="仿宋_GB2312"/>
          <w:color w:val="auto"/>
          <w:sz w:val="32"/>
          <w:szCs w:val="32"/>
          <w:lang w:val="en-US" w:eastAsia="zh-CN"/>
        </w:rPr>
        <w:t>2019年12月1日后设立的零售药店无需提供，</w:t>
      </w:r>
      <w:r>
        <w:rPr>
          <w:rFonts w:hint="eastAsia" w:ascii="仿宋_GB2312" w:hAnsi="仿宋_GB2312" w:eastAsia="仿宋_GB2312" w:cs="仿宋_GB2312"/>
          <w:color w:val="auto"/>
          <w:sz w:val="32"/>
          <w:szCs w:val="32"/>
          <w:lang w:val="zh-CN" w:eastAsia="zh-CN"/>
        </w:rPr>
        <w:t>验原件，收</w:t>
      </w:r>
      <w:r>
        <w:rPr>
          <w:rFonts w:hint="eastAsia" w:ascii="仿宋_GB2312" w:hAnsi="仿宋_GB2312" w:eastAsia="仿宋_GB2312" w:cs="仿宋_GB2312"/>
          <w:color w:val="auto"/>
          <w:sz w:val="32"/>
          <w:szCs w:val="32"/>
          <w:lang w:val="en-US" w:eastAsia="zh-CN"/>
        </w:rPr>
        <w:t>加盖公章的</w:t>
      </w:r>
      <w:r>
        <w:rPr>
          <w:rFonts w:hint="eastAsia" w:ascii="仿宋_GB2312" w:hAnsi="仿宋_GB2312" w:eastAsia="仿宋_GB2312" w:cs="仿宋_GB2312"/>
          <w:color w:val="auto"/>
          <w:sz w:val="32"/>
          <w:szCs w:val="32"/>
          <w:lang w:val="zh-CN" w:eastAsia="zh-CN"/>
        </w:rPr>
        <w:t>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32" w:firstLineChars="200"/>
        <w:textAlignment w:val="auto"/>
        <w:outlineLvl w:val="9"/>
        <w:rPr>
          <w:rFonts w:hint="default"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val="zh-CN" w:eastAsia="zh-CN"/>
        </w:rPr>
        <w:t>法</w:t>
      </w:r>
      <w:r>
        <w:rPr>
          <w:rFonts w:hint="eastAsia" w:ascii="仿宋_GB2312" w:hAnsi="仿宋_GB2312" w:eastAsia="仿宋_GB2312" w:cs="仿宋_GB2312"/>
          <w:color w:val="auto"/>
          <w:sz w:val="32"/>
          <w:szCs w:val="32"/>
          <w:lang w:val="en-US" w:eastAsia="zh-CN"/>
        </w:rPr>
        <w:t>定代表</w:t>
      </w:r>
      <w:r>
        <w:rPr>
          <w:rFonts w:hint="eastAsia" w:ascii="仿宋_GB2312" w:hAnsi="仿宋_GB2312" w:eastAsia="仿宋_GB2312" w:cs="仿宋_GB2312"/>
          <w:color w:val="auto"/>
          <w:sz w:val="32"/>
          <w:szCs w:val="32"/>
          <w:lang w:val="zh-CN" w:eastAsia="zh-CN"/>
        </w:rPr>
        <w:t>人身份证（</w:t>
      </w:r>
      <w:r>
        <w:rPr>
          <w:rFonts w:hint="default" w:ascii="仿宋_GB2312" w:hAnsi="仿宋_GB2312" w:eastAsia="仿宋_GB2312" w:cs="仿宋_GB2312"/>
          <w:color w:val="auto"/>
          <w:sz w:val="32"/>
          <w:szCs w:val="32"/>
          <w:lang w:val="zh-CN" w:eastAsia="zh-CN"/>
        </w:rPr>
        <w:t>申请机构为分支机构的须携带所属机构法人身份证</w:t>
      </w:r>
      <w:r>
        <w:rPr>
          <w:rFonts w:hint="eastAsia" w:ascii="仿宋_GB2312" w:hAnsi="仿宋_GB2312" w:eastAsia="仿宋_GB2312" w:cs="仿宋_GB2312"/>
          <w:color w:val="auto"/>
          <w:sz w:val="32"/>
          <w:szCs w:val="32"/>
          <w:lang w:val="zh-CN" w:eastAsia="zh-CN"/>
        </w:rPr>
        <w:t>，</w:t>
      </w:r>
      <w:r>
        <w:rPr>
          <w:rFonts w:hint="eastAsia" w:ascii="仿宋_GB2312" w:hAnsi="仿宋_GB2312" w:eastAsia="仿宋_GB2312" w:cs="仿宋_GB2312"/>
          <w:color w:val="auto"/>
          <w:sz w:val="32"/>
          <w:szCs w:val="32"/>
          <w:lang w:val="en-US" w:eastAsia="zh-CN"/>
        </w:rPr>
        <w:t>若无法人则为负责人，</w:t>
      </w:r>
      <w:r>
        <w:rPr>
          <w:rFonts w:hint="eastAsia" w:ascii="仿宋_GB2312" w:hAnsi="仿宋_GB2312" w:eastAsia="仿宋_GB2312" w:cs="仿宋_GB2312"/>
          <w:color w:val="auto"/>
          <w:sz w:val="32"/>
          <w:szCs w:val="32"/>
          <w:lang w:val="zh-CN" w:eastAsia="zh-CN"/>
        </w:rPr>
        <w:t>验原件，收</w:t>
      </w:r>
      <w:r>
        <w:rPr>
          <w:rFonts w:hint="eastAsia" w:ascii="仿宋_GB2312" w:hAnsi="仿宋_GB2312" w:eastAsia="仿宋_GB2312" w:cs="仿宋_GB2312"/>
          <w:color w:val="auto"/>
          <w:sz w:val="32"/>
          <w:szCs w:val="32"/>
          <w:lang w:val="en-US" w:eastAsia="zh-CN"/>
        </w:rPr>
        <w:t>加盖公章的</w:t>
      </w:r>
      <w:r>
        <w:rPr>
          <w:rFonts w:hint="eastAsia" w:ascii="仿宋_GB2312" w:hAnsi="仿宋_GB2312" w:eastAsia="仿宋_GB2312" w:cs="仿宋_GB2312"/>
          <w:color w:val="auto"/>
          <w:sz w:val="32"/>
          <w:szCs w:val="32"/>
          <w:lang w:val="zh-CN" w:eastAsia="zh-CN"/>
        </w:rPr>
        <w:t>复印件）。</w:t>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eastAsia" w:ascii="楷体_GB2312" w:hAnsi="楷体_GB2312" w:eastAsia="楷体_GB2312" w:cs="楷体_GB2312"/>
          <w:b w:val="0"/>
          <w:bCs w:val="0"/>
          <w:color w:val="auto"/>
          <w:sz w:val="32"/>
          <w:szCs w:val="32"/>
          <w:highlight w:val="none"/>
          <w:lang w:val="zh-CN" w:eastAsia="zh-CN"/>
        </w:rPr>
      </w:pPr>
      <w:r>
        <w:rPr>
          <w:rFonts w:hint="eastAsia" w:ascii="楷体_GB2312" w:hAnsi="楷体_GB2312" w:eastAsia="楷体_GB2312" w:cs="楷体_GB2312"/>
          <w:b w:val="0"/>
          <w:bCs w:val="0"/>
          <w:color w:val="auto"/>
          <w:sz w:val="32"/>
          <w:szCs w:val="32"/>
          <w:highlight w:val="none"/>
          <w:lang w:val="zh-CN" w:eastAsia="zh-CN"/>
        </w:rPr>
        <w:t>（二）其他</w:t>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1.连锁药店等有所属机构的新增机构，需同时提供本机构和所属机构的证照；</w:t>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zh-CN" w:eastAsia="zh-CN"/>
        </w:rPr>
        <w:t>2.</w:t>
      </w:r>
      <w:r>
        <w:rPr>
          <w:rFonts w:hint="eastAsia" w:ascii="仿宋_GB2312" w:hAnsi="仿宋_GB2312" w:eastAsia="仿宋_GB2312" w:cs="仿宋_GB2312"/>
          <w:b w:val="0"/>
          <w:bCs w:val="0"/>
          <w:color w:val="auto"/>
          <w:sz w:val="32"/>
          <w:szCs w:val="32"/>
          <w:highlight w:val="none"/>
          <w:lang w:val="en-US" w:eastAsia="zh-CN"/>
        </w:rPr>
        <w:t>具体签约时间和地点根据后续通知确定。</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rPr>
          <w:rFonts w:hint="eastAsia" w:ascii="楷体" w:hAnsi="楷体" w:eastAsia="楷体" w:cs="宋体"/>
          <w:b w:val="0"/>
          <w:bCs/>
          <w:color w:val="auto"/>
          <w:kern w:val="0"/>
          <w:sz w:val="32"/>
          <w:szCs w:val="32"/>
          <w:highlight w:val="none"/>
          <w:lang w:eastAsia="zh-CN"/>
        </w:rPr>
      </w:pPr>
      <w:r>
        <w:rPr>
          <w:rFonts w:hint="eastAsia" w:ascii="黑体" w:hAnsi="黑体" w:eastAsia="黑体" w:cs="宋体"/>
          <w:color w:val="auto"/>
          <w:kern w:val="0"/>
          <w:sz w:val="32"/>
          <w:szCs w:val="32"/>
          <w:highlight w:val="none"/>
          <w:lang w:eastAsia="zh-CN"/>
        </w:rPr>
        <w:t>二、线上签约</w:t>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zh-CN" w:eastAsia="zh-CN"/>
        </w:rPr>
        <w:t>市医保中心自</w:t>
      </w:r>
      <w:r>
        <w:rPr>
          <w:rFonts w:hint="eastAsia" w:ascii="仿宋_GB2312" w:hAnsi="仿宋_GB2312" w:eastAsia="仿宋_GB2312" w:cs="仿宋_GB2312"/>
          <w:b w:val="0"/>
          <w:bCs w:val="0"/>
          <w:color w:val="auto"/>
          <w:sz w:val="32"/>
          <w:szCs w:val="32"/>
          <w:highlight w:val="none"/>
          <w:lang w:val="en-US" w:eastAsia="zh-CN"/>
        </w:rPr>
        <w:t>2023年下半年开始启用线上签约的方式进行首次医保服务协议的签订，主要流程为办理数字证书，下载相关控件，阅读并签署医保服务协议，待经办部门审批后即可开通医保记账。</w:t>
      </w:r>
    </w:p>
    <w:p>
      <w:pPr>
        <w:keepNext w:val="0"/>
        <w:keepLines w:val="0"/>
        <w:pageBreakBefore w:val="0"/>
        <w:widowControl w:val="0"/>
        <w:numPr>
          <w:ilvl w:val="0"/>
          <w:numId w:val="0"/>
        </w:numPr>
        <w:kinsoku/>
        <w:wordWrap/>
        <w:overflowPunct/>
        <w:topLinePunct w:val="0"/>
        <w:bidi w:val="0"/>
        <w:snapToGrid/>
        <w:spacing w:line="560" w:lineRule="exact"/>
        <w:ind w:firstLine="632" w:firstLineChars="200"/>
        <w:textAlignment w:val="auto"/>
        <w:rPr>
          <w:rFonts w:hint="eastAsia" w:ascii="楷体_GB2312" w:hAnsi="楷体_GB2312" w:eastAsia="楷体_GB2312" w:cs="楷体_GB2312"/>
          <w:b w:val="0"/>
          <w:bCs w:val="0"/>
          <w:color w:val="auto"/>
          <w:sz w:val="32"/>
          <w:szCs w:val="32"/>
          <w:highlight w:val="none"/>
          <w:lang w:val="zh-CN" w:eastAsia="zh-CN"/>
        </w:rPr>
      </w:pPr>
      <w:r>
        <w:rPr>
          <w:rFonts w:hint="eastAsia" w:ascii="楷体_GB2312" w:hAnsi="楷体_GB2312" w:eastAsia="楷体_GB2312" w:cs="楷体_GB2312"/>
          <w:b w:val="0"/>
          <w:bCs w:val="0"/>
          <w:color w:val="auto"/>
          <w:sz w:val="32"/>
          <w:szCs w:val="32"/>
          <w:highlight w:val="none"/>
          <w:lang w:val="zh-CN" w:eastAsia="zh-CN"/>
        </w:rPr>
        <w:t>（一）办理电子公共服务数字证书</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outlineLvl w:val="9"/>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市医保中心采取公开招标的方式确定北京数字认证股份有限公司（以下简称“北京CA”）为我市定点零售药店办理单位和个人电子公共服务数字证书（以下简称“CA证书”）。</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outlineLvl w:val="9"/>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eastAsia="zh-CN"/>
        </w:rPr>
        <w:t>已经通过公示待签约的零售药店</w:t>
      </w:r>
      <w:r>
        <w:rPr>
          <w:rFonts w:hint="eastAsia" w:ascii="仿宋_GB2312" w:hAnsi="仿宋_GB2312" w:eastAsia="仿宋_GB2312" w:cs="仿宋_GB2312"/>
          <w:color w:val="auto"/>
          <w:sz w:val="32"/>
          <w:szCs w:val="32"/>
          <w:highlight w:val="none"/>
          <w:lang w:val="en-US" w:eastAsia="zh-CN"/>
        </w:rPr>
        <w:t>在北京CA办理</w:t>
      </w:r>
      <w:r>
        <w:rPr>
          <w:rFonts w:hint="eastAsia" w:ascii="仿宋_GB2312" w:hAnsi="仿宋_GB2312" w:eastAsia="仿宋_GB2312" w:cs="仿宋_GB2312"/>
          <w:color w:val="auto"/>
          <w:sz w:val="32"/>
          <w:szCs w:val="32"/>
          <w:highlight w:val="none"/>
          <w:lang w:val="zh-CN" w:eastAsia="zh-CN"/>
        </w:rPr>
        <w:t>CA证书</w:t>
      </w:r>
      <w:r>
        <w:rPr>
          <w:rFonts w:hint="eastAsia" w:ascii="仿宋_GB2312" w:hAnsi="仿宋_GB2312" w:eastAsia="仿宋_GB2312" w:cs="仿宋_GB2312"/>
          <w:color w:val="auto"/>
          <w:sz w:val="32"/>
          <w:szCs w:val="32"/>
          <w:highlight w:val="none"/>
          <w:lang w:val="en-US" w:eastAsia="zh-CN"/>
        </w:rPr>
        <w:t>，新办、续费或切换</w:t>
      </w:r>
      <w:r>
        <w:rPr>
          <w:rFonts w:hint="eastAsia" w:ascii="仿宋_GB2312" w:hAnsi="仿宋_GB2312" w:eastAsia="仿宋_GB2312" w:cs="仿宋_GB2312"/>
          <w:color w:val="auto"/>
          <w:sz w:val="32"/>
          <w:szCs w:val="32"/>
          <w:highlight w:val="none"/>
          <w:lang w:val="zh-CN" w:eastAsia="zh-CN"/>
        </w:rPr>
        <w:t>CA证书的</w:t>
      </w:r>
      <w:r>
        <w:rPr>
          <w:rFonts w:hint="eastAsia" w:ascii="仿宋_GB2312" w:hAnsi="仿宋_GB2312" w:eastAsia="仿宋_GB2312" w:cs="仿宋_GB2312"/>
          <w:color w:val="auto"/>
          <w:sz w:val="32"/>
          <w:szCs w:val="32"/>
          <w:highlight w:val="none"/>
          <w:lang w:val="en-US" w:eastAsia="zh-CN"/>
        </w:rPr>
        <w:t>费用由市医保中心支付。北京CA</w:t>
      </w:r>
      <w:r>
        <w:rPr>
          <w:rFonts w:hint="eastAsia" w:ascii="仿宋_GB2312" w:hAnsi="仿宋_GB2312" w:eastAsia="仿宋_GB2312" w:cs="仿宋_GB2312"/>
          <w:color w:val="auto"/>
          <w:kern w:val="2"/>
          <w:sz w:val="32"/>
          <w:szCs w:val="32"/>
          <w:highlight w:val="none"/>
          <w:lang w:val="en-US" w:eastAsia="zh-CN" w:bidi="zh-CN"/>
        </w:rPr>
        <w:t>服务网点详见下表。</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outlineLvl w:val="9"/>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零售药店在</w:t>
      </w:r>
      <w:r>
        <w:rPr>
          <w:rFonts w:hint="eastAsia" w:ascii="仿宋_GB2312" w:hAnsi="仿宋_GB2312" w:eastAsia="仿宋_GB2312" w:cs="仿宋_GB2312"/>
          <w:color w:val="auto"/>
          <w:sz w:val="32"/>
          <w:szCs w:val="32"/>
          <w:highlight w:val="none"/>
          <w:lang w:val="en-US" w:eastAsia="zh-CN"/>
        </w:rPr>
        <w:t>深圳市电子商务安全证书管理有限公司、数安时代科技股份有限公司或广东省电子商务认证有限公司</w:t>
      </w:r>
      <w:r>
        <w:rPr>
          <w:rFonts w:hint="eastAsia" w:ascii="仿宋_GB2312" w:hAnsi="仿宋_GB2312" w:eastAsia="仿宋_GB2312" w:cs="仿宋_GB2312"/>
          <w:color w:val="auto"/>
          <w:sz w:val="32"/>
          <w:szCs w:val="32"/>
          <w:highlight w:val="none"/>
          <w:lang w:val="zh-CN" w:eastAsia="zh-CN"/>
        </w:rPr>
        <w:t>办理的CA证书仍然可以适用于线上签约，</w:t>
      </w:r>
      <w:r>
        <w:rPr>
          <w:rFonts w:hint="eastAsia" w:ascii="仿宋_GB2312" w:hAnsi="仿宋_GB2312" w:eastAsia="仿宋_GB2312" w:cs="仿宋_GB2312"/>
          <w:color w:val="auto"/>
          <w:sz w:val="32"/>
          <w:szCs w:val="32"/>
          <w:highlight w:val="none"/>
          <w:lang w:val="en-US" w:eastAsia="zh-CN"/>
        </w:rPr>
        <w:t>市医保中心不支付相关费用。</w:t>
      </w:r>
    </w:p>
    <w:p>
      <w:pPr>
        <w:pStyle w:val="2"/>
        <w:keepNext w:val="0"/>
        <w:keepLines w:val="0"/>
        <w:pageBreakBefore w:val="0"/>
        <w:widowControl w:val="0"/>
        <w:kinsoku/>
        <w:wordWrap/>
        <w:overflowPunct/>
        <w:topLinePunct w:val="0"/>
        <w:bidi w:val="0"/>
        <w:snapToGrid/>
        <w:spacing w:line="560" w:lineRule="exact"/>
        <w:ind w:firstLine="632" w:firstLineChars="200"/>
        <w:textAlignment w:val="auto"/>
        <w:rPr>
          <w:rFonts w:hint="eastAsia" w:ascii="楷体_GB2312" w:hAnsi="楷体_GB2312" w:eastAsia="楷体_GB2312" w:cs="楷体_GB2312"/>
          <w:b w:val="0"/>
          <w:bCs w:val="0"/>
          <w:color w:val="auto"/>
          <w:sz w:val="32"/>
          <w:szCs w:val="32"/>
          <w:highlight w:val="none"/>
          <w:lang w:val="zh-CN" w:eastAsia="zh-CN"/>
        </w:rPr>
      </w:pPr>
      <w:r>
        <w:rPr>
          <w:rFonts w:hint="eastAsia" w:ascii="楷体_GB2312" w:hAnsi="楷体_GB2312" w:eastAsia="楷体_GB2312" w:cs="楷体_GB2312"/>
          <w:b w:val="0"/>
          <w:bCs w:val="0"/>
          <w:color w:val="auto"/>
          <w:sz w:val="32"/>
          <w:szCs w:val="32"/>
          <w:highlight w:val="none"/>
          <w:lang w:val="zh-CN" w:eastAsia="zh-CN"/>
        </w:rPr>
        <w:t>（</w:t>
      </w:r>
      <w:r>
        <w:rPr>
          <w:rFonts w:hint="eastAsia" w:ascii="楷体_GB2312" w:hAnsi="楷体_GB2312" w:eastAsia="楷体_GB2312" w:cs="楷体_GB2312"/>
          <w:b w:val="0"/>
          <w:bCs w:val="0"/>
          <w:color w:val="auto"/>
          <w:sz w:val="32"/>
          <w:szCs w:val="32"/>
          <w:highlight w:val="none"/>
          <w:lang w:val="en-US" w:eastAsia="zh-CN"/>
        </w:rPr>
        <w:t>二</w:t>
      </w:r>
      <w:r>
        <w:rPr>
          <w:rFonts w:hint="eastAsia" w:ascii="楷体_GB2312" w:hAnsi="楷体_GB2312" w:eastAsia="楷体_GB2312" w:cs="楷体_GB2312"/>
          <w:b w:val="0"/>
          <w:bCs w:val="0"/>
          <w:color w:val="auto"/>
          <w:sz w:val="32"/>
          <w:szCs w:val="32"/>
          <w:highlight w:val="none"/>
          <w:lang w:val="zh-CN" w:eastAsia="zh-CN"/>
        </w:rPr>
        <w:t>）线上签约指引</w:t>
      </w:r>
    </w:p>
    <w:p>
      <w:pPr>
        <w:pStyle w:val="2"/>
        <w:keepNext w:val="0"/>
        <w:keepLines w:val="0"/>
        <w:pageBreakBefore w:val="0"/>
        <w:widowControl w:val="0"/>
        <w:kinsoku/>
        <w:wordWrap/>
        <w:overflowPunct/>
        <w:topLinePunct w:val="0"/>
        <w:bidi w:val="0"/>
        <w:snapToGrid/>
        <w:spacing w:line="560" w:lineRule="exact"/>
        <w:ind w:firstLine="632" w:firstLineChars="200"/>
        <w:textAlignment w:val="auto"/>
        <w:rPr>
          <w:rFonts w:hint="eastAsia" w:ascii="仿宋_GB2312" w:hAnsi="仿宋_GB2312" w:eastAsia="仿宋_GB2312" w:cs="仿宋_GB2312"/>
          <w:b w:val="0"/>
          <w:bCs w:val="0"/>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零售药店在公示期结束</w:t>
      </w:r>
      <w:r>
        <w:rPr>
          <w:rFonts w:hint="eastAsia" w:ascii="仿宋_GB2312" w:hAnsi="仿宋_GB2312" w:eastAsia="仿宋_GB2312" w:cs="仿宋_GB2312"/>
          <w:color w:val="auto"/>
          <w:sz w:val="32"/>
          <w:szCs w:val="32"/>
          <w:highlight w:val="none"/>
          <w:lang w:val="en-US" w:eastAsia="zh-CN"/>
        </w:rPr>
        <w:t>5个工作日后，</w:t>
      </w:r>
      <w:r>
        <w:rPr>
          <w:rFonts w:hint="eastAsia" w:ascii="仿宋_GB2312" w:hAnsi="仿宋_GB2312" w:eastAsia="仿宋_GB2312" w:cs="仿宋_GB2312"/>
          <w:b w:val="0"/>
          <w:bCs w:val="0"/>
          <w:color w:val="auto"/>
          <w:sz w:val="32"/>
          <w:szCs w:val="32"/>
          <w:highlight w:val="none"/>
          <w:lang w:val="zh-CN" w:eastAsia="zh-CN"/>
        </w:rPr>
        <w:t>登录广东省医保信息平台两定协同管理子系统（</w:t>
      </w:r>
      <w:r>
        <w:rPr>
          <w:rFonts w:hint="eastAsia" w:ascii="仿宋_GB2312" w:hAnsi="仿宋_GB2312" w:eastAsia="仿宋_GB2312" w:cs="仿宋_GB2312"/>
          <w:b w:val="0"/>
          <w:bCs/>
          <w:color w:val="auto"/>
          <w:kern w:val="0"/>
          <w:sz w:val="32"/>
          <w:szCs w:val="32"/>
          <w:highlight w:val="none"/>
          <w:lang w:val="en-US" w:eastAsia="zh-CN"/>
        </w:rPr>
        <w:t>http://10.97.243.230:9012/或http://coll-sz.gd.hsip.gov.cn:9012/</w:t>
      </w:r>
      <w:r>
        <w:rPr>
          <w:rFonts w:hint="eastAsia" w:ascii="仿宋_GB2312" w:hAnsi="仿宋_GB2312" w:eastAsia="仿宋_GB2312" w:cs="仿宋_GB2312"/>
          <w:b w:val="0"/>
          <w:bCs w:val="0"/>
          <w:color w:val="auto"/>
          <w:sz w:val="32"/>
          <w:szCs w:val="32"/>
          <w:highlight w:val="none"/>
          <w:lang w:val="zh-CN" w:eastAsia="zh-CN"/>
        </w:rPr>
        <w:t>），点击前台受理管理-现场受理导航-新增定点医药机构线上签约，在页面下载并阅读相关帮助文件后，按照指引步骤操作。签订协议前请认真阅读协议条款，签署协议后视为理解并同意接受全部条款；如不同意其中任何条款约定，可自愿放弃。</w:t>
      </w:r>
    </w:p>
    <w:p>
      <w:pPr>
        <w:pStyle w:val="2"/>
        <w:keepNext w:val="0"/>
        <w:keepLines w:val="0"/>
        <w:pageBreakBefore w:val="0"/>
        <w:widowControl w:val="0"/>
        <w:kinsoku/>
        <w:wordWrap/>
        <w:overflowPunct/>
        <w:topLinePunct w:val="0"/>
        <w:bidi w:val="0"/>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拟首次签约的新增定点零售药店，为本市定点零售药店的下属机构的，由所属机构在协同平台为其签约；</w:t>
      </w:r>
      <w:r>
        <w:rPr>
          <w:rFonts w:hint="eastAsia" w:ascii="仿宋_GB2312" w:hAnsi="仿宋_GB2312" w:eastAsia="仿宋_GB2312" w:cs="仿宋_GB2312"/>
          <w:color w:val="auto"/>
          <w:sz w:val="32"/>
          <w:szCs w:val="32"/>
          <w:lang w:val="zh-CN" w:eastAsia="zh-CN"/>
        </w:rPr>
        <w:t>为独立法人机构的，在主要信息变更功能完成维护所属机构后发起签约申请。</w:t>
      </w:r>
    </w:p>
    <w:p>
      <w:pPr>
        <w:pStyle w:val="9"/>
        <w:keepNext w:val="0"/>
        <w:keepLines w:val="0"/>
        <w:pageBreakBefore w:val="0"/>
        <w:kinsoku/>
        <w:overflowPunct/>
        <w:topLinePunct w:val="0"/>
        <w:bidi w:val="0"/>
        <w:snapToGrid/>
        <w:spacing w:line="560" w:lineRule="atLeast"/>
        <w:jc w:val="center"/>
        <w:textAlignment w:val="auto"/>
        <w:rPr>
          <w:rFonts w:hint="eastAsia" w:ascii="仿宋_GB2312" w:hAnsi="仿宋_GB2312" w:eastAsia="仿宋_GB2312" w:cs="仿宋_GB2312"/>
          <w:b/>
          <w:bCs/>
          <w:color w:val="auto"/>
          <w:sz w:val="32"/>
          <w:szCs w:val="32"/>
          <w:highlight w:val="none"/>
          <w:lang w:val="en-US" w:eastAsia="zh-CN"/>
        </w:rPr>
      </w:pPr>
    </w:p>
    <w:p>
      <w:pPr>
        <w:pStyle w:val="9"/>
        <w:keepNext w:val="0"/>
        <w:keepLines w:val="0"/>
        <w:pageBreakBefore w:val="0"/>
        <w:kinsoku/>
        <w:overflowPunct/>
        <w:topLinePunct w:val="0"/>
        <w:bidi w:val="0"/>
        <w:snapToGrid/>
        <w:spacing w:line="560" w:lineRule="atLeast"/>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北京CA各区服务网点一览表</w:t>
      </w:r>
    </w:p>
    <w:tbl>
      <w:tblPr>
        <w:tblStyle w:val="13"/>
        <w:tblW w:w="498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7"/>
        <w:gridCol w:w="1555"/>
        <w:gridCol w:w="3204"/>
        <w:gridCol w:w="1812"/>
        <w:gridCol w:w="16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val="0"/>
              <w:overflowPunct/>
              <w:topLinePunct w:val="0"/>
              <w:bidi w:val="0"/>
              <w:snapToGrid/>
              <w:spacing w:line="560" w:lineRule="atLeast"/>
              <w:jc w:val="center"/>
              <w:textAlignment w:val="auto"/>
              <w:outlineLvl w:val="9"/>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区域</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服务点名称</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详细地址</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上班时间</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福田区</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上梅林办理点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福田区上梅林理想时代大厦15楼15A（地铁上梅林站A出口）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0755-88605865          0755-88605857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车公庙、天安数码城办理点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福田区天安数码时代大厦A座1716D（地铁车公庙J1口）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华强北、华强南、岗厦办理点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福田区燕南路家乐大厦1层49-7号数字证书店铺（地铁2号线燕南A出口北20米）</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车公庙、竹子林办理点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福田区紫竹七道8号求是大厦西座2616号 （地铁站: 竹子林B2出口）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龙华区</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龙华行政大厅办理点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龙华区清湖社区清湖路5-6号 (北京CA数字证书)</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龙华-清湖国鸿广场办理点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龙华区梅龙大道国鸿购物广场一楼数字证书商铺（易站便利店旁边）</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民治办理点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龙华区民治街道向南四区24栋向南商业大厦2楼206室（樟坑幼儿园旁边100米）（地铁5号线民治A出口）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宝安区</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宝安宝体办理点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宝安区新安名门华府罗田路8号107商铺北京CA数字证书门店（地铁1号线宝体B出口430米）</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沙井办理点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宝安区沙井税务所左边沙井青年创业中心A座一楼（一楼前台后边办公室）</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松岗办理点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宝安区松岗街道楼岗路宝利豪庭2区93号数字证书商铺（国税局右侧-一嗨租车旁）</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福永办理点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宝安区福永街道福永大道福永大道1-8号商铺(小米之家旁)</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南山区</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科苑、科技园办理点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南山区科技园武汉大学深圳产学研大楼B栋7楼713（地铁2号线科苑D出口，地铁9号线粤海门A出口）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马家龙、南山税局办理点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南山区艺园路72-1号数字证书店铺（玉泉路和艺园路红绿灯路口），鹏城驾校隔壁</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西丽办理点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南山区西丽街道新围社区留仙大道6008号鼎新大厦东座313</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海王办理点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南山区南海大道2221号海王大厦A座18楼18C(12号线南光A出口，南山书城地铁F2出口)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罗湖区</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罗湖行政大厅办理点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罗湖区体育中心网球馆二楼202室（罗湖行政大厅左边网球馆进入乘直梯上2楼202室）</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水贝办理点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罗湖区翠竹路2028之1-2号翠竹大厦10楼1015号 （7号线田贝B出口）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湖贝办理点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罗湖区深南东路2017号华乐大厦5楼522号 (2号线湖贝A出口)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龙岗区</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龙岗区政务服务中心办理点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龙岗区龙翔大道8033-1号龙岗区政务服务中心一楼35、36号窗口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下午14:00-18:00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龙岗税务局（南联）办理点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龙岗区龙岗路10号硅谷动力电子商务港6楼602A室（龙岗税务局对面）地铁3号线南联B3出口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63"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布吉办理点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龙岗区布吉街道布吉广场路诚信华庭1楼商铺数字证书 ，稻乐园快餐隔壁（地铁木棉湾D出口）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63"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坂田办理点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龙岗区坂田街道布龙路520号佰利云创大厦7楼708室（地铁5号线坂田C出口）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00" w:hRule="atLeast"/>
        </w:trPr>
        <w:tc>
          <w:tcPr>
            <w:tcW w:w="463"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华南城办理点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龙岗区平湖镇华南大道1号（华南城）环球物流中心东门一楼（麦当劳点餐通道旁）地铁华南城C出口</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63"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平湖办理点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龙岗区凤凰大道146号凤凰星苑(平湖工商银行楼上) 5楼501 A室</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00" w:hRule="atLeast"/>
        </w:trPr>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光明区</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光明、公明办理点</w:t>
            </w:r>
          </w:p>
        </w:tc>
        <w:tc>
          <w:tcPr>
            <w:tcW w:w="17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光明区公明税务局员工宿舍楼斜对面（数字证书店铺）静文路36号</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周一至周五：</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上午9:00-12:00   下午13:30-18:00</w:t>
            </w: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auto"/>
                <w:sz w:val="21"/>
                <w:szCs w:val="21"/>
                <w:highlight w:val="none"/>
                <w:u w:val="none"/>
              </w:rPr>
            </w:pPr>
          </w:p>
        </w:tc>
      </w:tr>
    </w:tbl>
    <w:p>
      <w:pPr>
        <w:keepNext w:val="0"/>
        <w:keepLines w:val="0"/>
        <w:pageBreakBefore w:val="0"/>
        <w:kinsoku/>
        <w:wordWrap w:val="0"/>
        <w:overflowPunct/>
        <w:topLinePunct w:val="0"/>
        <w:bidi w:val="0"/>
        <w:snapToGrid/>
        <w:spacing w:line="560" w:lineRule="atLeast"/>
        <w:jc w:val="both"/>
        <w:textAlignment w:val="auto"/>
        <w:outlineLvl w:val="9"/>
        <w:rPr>
          <w:rFonts w:hint="default"/>
          <w:color w:val="auto"/>
          <w:highlight w:val="none"/>
          <w:lang w:val="en-US"/>
        </w:rPr>
      </w:pPr>
    </w:p>
    <w:p>
      <w:pPr>
        <w:pStyle w:val="9"/>
        <w:rPr>
          <w:rFonts w:hint="default"/>
          <w:color w:val="auto"/>
          <w:highlight w:val="none"/>
          <w:lang w:val="en-US"/>
        </w:rPr>
      </w:pPr>
    </w:p>
    <w:p>
      <w:pPr>
        <w:pStyle w:val="4"/>
        <w:rPr>
          <w:rFonts w:hint="default"/>
          <w:color w:val="auto"/>
          <w:highlight w:val="none"/>
          <w:lang w:val="en-US"/>
        </w:rPr>
      </w:pPr>
    </w:p>
    <w:p>
      <w:pPr>
        <w:rPr>
          <w:rFonts w:hint="default"/>
          <w:color w:val="auto"/>
          <w:highlight w:val="none"/>
          <w:lang w:val="en-US"/>
        </w:rPr>
      </w:pPr>
    </w:p>
    <w:p>
      <w:pPr>
        <w:pStyle w:val="9"/>
        <w:rPr>
          <w:rFonts w:hint="default"/>
          <w:color w:val="auto"/>
          <w:lang w:val="en-US"/>
        </w:rPr>
      </w:pPr>
    </w:p>
    <w:p>
      <w:pPr>
        <w:pStyle w:val="2"/>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附件7</w:t>
      </w:r>
    </w:p>
    <w:p>
      <w:pPr>
        <w:keepNext w:val="0"/>
        <w:keepLines w:val="0"/>
        <w:pageBreakBefore w:val="0"/>
        <w:kinsoku/>
        <w:wordWrap/>
        <w:overflowPunct/>
        <w:topLinePunct w:val="0"/>
        <w:bidi w:val="0"/>
        <w:snapToGrid/>
        <w:spacing w:line="560" w:lineRule="exact"/>
        <w:jc w:val="center"/>
        <w:textAlignment w:val="auto"/>
        <w:outlineLvl w:val="9"/>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color w:val="auto"/>
          <w:sz w:val="36"/>
          <w:szCs w:val="36"/>
          <w:highlight w:val="none"/>
          <w:lang w:val="en-US" w:eastAsia="zh-CN"/>
        </w:rPr>
        <w:t>后续业务事项操作要求</w:t>
      </w:r>
    </w:p>
    <w:p>
      <w:pPr>
        <w:keepNext w:val="0"/>
        <w:keepLines w:val="0"/>
        <w:pageBreakBefore w:val="0"/>
        <w:numPr>
          <w:ilvl w:val="0"/>
          <w:numId w:val="0"/>
        </w:numPr>
        <w:kinsoku/>
        <w:overflowPunct/>
        <w:topLinePunct w:val="0"/>
        <w:bidi w:val="0"/>
        <w:snapToGrid/>
        <w:spacing w:line="560" w:lineRule="exact"/>
        <w:ind w:left="0" w:firstLine="632" w:firstLineChars="200"/>
        <w:textAlignment w:val="auto"/>
        <w:rPr>
          <w:rFonts w:hint="eastAsia" w:ascii="楷体_GB2312" w:hAnsi="楷体_GB2312" w:eastAsia="楷体_GB2312" w:cs="楷体_GB2312"/>
          <w:b/>
          <w:bCs w:val="0"/>
          <w:color w:val="auto"/>
          <w:kern w:val="0"/>
          <w:sz w:val="32"/>
          <w:szCs w:val="32"/>
          <w:highlight w:val="none"/>
          <w:lang w:val="en-US" w:eastAsia="zh-CN"/>
        </w:rPr>
      </w:pPr>
    </w:p>
    <w:p>
      <w:pPr>
        <w:keepNext w:val="0"/>
        <w:keepLines w:val="0"/>
        <w:pageBreakBefore w:val="0"/>
        <w:numPr>
          <w:ilvl w:val="0"/>
          <w:numId w:val="0"/>
        </w:numPr>
        <w:kinsoku/>
        <w:overflowPunct/>
        <w:topLinePunct w:val="0"/>
        <w:bidi w:val="0"/>
        <w:snapToGrid/>
        <w:spacing w:line="560" w:lineRule="exact"/>
        <w:ind w:left="0" w:firstLine="632" w:firstLineChars="200"/>
        <w:textAlignment w:val="auto"/>
        <w:rPr>
          <w:rFonts w:hint="eastAsia" w:ascii="楷体_GB2312" w:hAnsi="楷体_GB2312" w:eastAsia="楷体_GB2312" w:cs="楷体_GB2312"/>
          <w:b w:val="0"/>
          <w:bCs/>
          <w:color w:val="auto"/>
          <w:kern w:val="0"/>
          <w:sz w:val="32"/>
          <w:szCs w:val="32"/>
          <w:highlight w:val="none"/>
          <w:lang w:val="en-US" w:eastAsia="zh-CN"/>
        </w:rPr>
      </w:pPr>
      <w:r>
        <w:rPr>
          <w:rFonts w:hint="eastAsia" w:ascii="楷体_GB2312" w:hAnsi="楷体_GB2312" w:eastAsia="楷体_GB2312" w:cs="楷体_GB2312"/>
          <w:b w:val="0"/>
          <w:bCs/>
          <w:color w:val="auto"/>
          <w:kern w:val="0"/>
          <w:sz w:val="32"/>
          <w:szCs w:val="32"/>
          <w:highlight w:val="none"/>
          <w:lang w:val="en-US" w:eastAsia="zh-CN"/>
        </w:rPr>
        <w:t>（一）维护协议信息</w:t>
      </w:r>
    </w:p>
    <w:p>
      <w:pPr>
        <w:keepNext w:val="0"/>
        <w:keepLines w:val="0"/>
        <w:pageBreakBefore w:val="0"/>
        <w:numPr>
          <w:ilvl w:val="0"/>
          <w:numId w:val="0"/>
        </w:numPr>
        <w:kinsoku/>
        <w:overflowPunct/>
        <w:topLinePunct w:val="0"/>
        <w:bidi w:val="0"/>
        <w:snapToGrid/>
        <w:spacing w:line="560" w:lineRule="exact"/>
        <w:ind w:left="0" w:firstLine="632" w:firstLineChars="200"/>
        <w:textAlignment w:val="auto"/>
        <w:rPr>
          <w:rFonts w:hint="eastAsia" w:ascii="楷体" w:hAnsi="楷体" w:eastAsia="楷体" w:cs="宋体"/>
          <w:b w:val="0"/>
          <w:bCs/>
          <w:color w:val="auto"/>
          <w:kern w:val="0"/>
          <w:sz w:val="32"/>
          <w:szCs w:val="32"/>
          <w:highlight w:val="none"/>
          <w:lang w:val="en-US" w:eastAsia="zh-CN"/>
        </w:rPr>
      </w:pPr>
      <w:r>
        <w:rPr>
          <w:rFonts w:hint="eastAsia" w:ascii="仿宋_GB2312" w:hAnsi="仿宋_GB2312" w:eastAsia="仿宋_GB2312" w:cs="仿宋_GB2312"/>
          <w:b w:val="0"/>
          <w:bCs/>
          <w:color w:val="auto"/>
          <w:kern w:val="0"/>
          <w:sz w:val="32"/>
          <w:szCs w:val="32"/>
          <w:highlight w:val="none"/>
          <w:lang w:val="en-US" w:eastAsia="zh-CN"/>
        </w:rPr>
        <w:t>定点零售药店应在</w:t>
      </w:r>
      <w:r>
        <w:rPr>
          <w:rFonts w:hint="default" w:ascii="Times New Roman" w:hAnsi="Times New Roman" w:eastAsia="仿宋_GB2312" w:cs="Times New Roman"/>
          <w:b w:val="0"/>
          <w:bCs/>
          <w:color w:val="auto"/>
          <w:kern w:val="0"/>
          <w:sz w:val="32"/>
          <w:szCs w:val="32"/>
          <w:highlight w:val="none"/>
          <w:shd w:val="clear" w:color="auto" w:fill="auto"/>
          <w:lang w:val="en-US" w:eastAsia="zh-CN"/>
        </w:rPr>
        <w:t>协议签订</w:t>
      </w:r>
      <w:r>
        <w:rPr>
          <w:rFonts w:hint="eastAsia" w:ascii="Times New Roman" w:hAnsi="Times New Roman" w:eastAsia="仿宋_GB2312" w:cs="Times New Roman"/>
          <w:b w:val="0"/>
          <w:bCs/>
          <w:color w:val="auto"/>
          <w:kern w:val="0"/>
          <w:sz w:val="32"/>
          <w:szCs w:val="32"/>
          <w:highlight w:val="none"/>
          <w:shd w:val="clear" w:color="auto" w:fill="auto"/>
          <w:lang w:val="en-US" w:eastAsia="zh-CN"/>
        </w:rPr>
        <w:t>后</w:t>
      </w:r>
      <w:r>
        <w:rPr>
          <w:rFonts w:hint="default" w:ascii="Times New Roman" w:hAnsi="Times New Roman" w:eastAsia="仿宋_GB2312" w:cs="Times New Roman"/>
          <w:b w:val="0"/>
          <w:bCs/>
          <w:color w:val="auto"/>
          <w:kern w:val="0"/>
          <w:sz w:val="32"/>
          <w:szCs w:val="32"/>
          <w:highlight w:val="none"/>
          <w:shd w:val="clear" w:color="auto" w:fill="auto"/>
          <w:lang w:val="en-US" w:eastAsia="zh-CN"/>
        </w:rPr>
        <w:t>5个工作日内</w:t>
      </w:r>
      <w:r>
        <w:rPr>
          <w:rFonts w:hint="eastAsia" w:ascii="仿宋_GB2312" w:hAnsi="仿宋_GB2312" w:eastAsia="仿宋_GB2312" w:cs="仿宋_GB2312"/>
          <w:b w:val="0"/>
          <w:bCs/>
          <w:color w:val="auto"/>
          <w:kern w:val="0"/>
          <w:sz w:val="32"/>
          <w:szCs w:val="32"/>
          <w:highlight w:val="none"/>
          <w:lang w:val="en-US" w:eastAsia="zh-CN"/>
        </w:rPr>
        <w:t>在国家医保信息业务编码标准数据库动态维护平台</w:t>
      </w:r>
      <w:r>
        <w:rPr>
          <w:rFonts w:hint="default" w:ascii="Times New Roman" w:hAnsi="Times New Roman" w:eastAsia="仿宋_GB2312" w:cs="Times New Roman"/>
          <w:b w:val="0"/>
          <w:bCs/>
          <w:color w:val="auto"/>
          <w:kern w:val="0"/>
          <w:sz w:val="32"/>
          <w:szCs w:val="32"/>
          <w:highlight w:val="none"/>
          <w:shd w:val="clear" w:color="auto" w:fill="auto"/>
          <w:lang w:val="en-US" w:eastAsia="zh-CN"/>
        </w:rPr>
        <w:t>维护</w:t>
      </w:r>
      <w:r>
        <w:rPr>
          <w:rFonts w:hint="eastAsia" w:ascii="Times New Roman" w:hAnsi="Times New Roman" w:eastAsia="仿宋_GB2312" w:cs="Times New Roman"/>
          <w:b w:val="0"/>
          <w:bCs/>
          <w:color w:val="auto"/>
          <w:kern w:val="0"/>
          <w:sz w:val="32"/>
          <w:szCs w:val="32"/>
          <w:highlight w:val="none"/>
          <w:shd w:val="clear" w:color="auto" w:fill="auto"/>
          <w:lang w:val="en-US" w:eastAsia="zh-CN"/>
        </w:rPr>
        <w:t>协议信息</w:t>
      </w:r>
      <w:r>
        <w:rPr>
          <w:rFonts w:hint="eastAsia" w:ascii="Times New Roman" w:hAnsi="Times New Roman" w:eastAsia="仿宋_GB2312" w:cs="Times New Roman"/>
          <w:b w:val="0"/>
          <w:bCs/>
          <w:strike w:val="0"/>
          <w:dstrike w:val="0"/>
          <w:color w:val="auto"/>
          <w:kern w:val="0"/>
          <w:sz w:val="32"/>
          <w:szCs w:val="32"/>
          <w:highlight w:val="none"/>
          <w:shd w:val="clear" w:color="auto" w:fill="auto"/>
          <w:lang w:val="en-US" w:eastAsia="zh-CN"/>
        </w:rPr>
        <w:t>（</w:t>
      </w:r>
      <w:r>
        <w:rPr>
          <w:rFonts w:hint="default" w:ascii="仿宋_GB2312" w:hAnsi="仿宋_GB2312" w:eastAsia="仿宋_GB2312" w:cs="仿宋_GB2312"/>
          <w:color w:val="auto"/>
          <w:kern w:val="0"/>
          <w:sz w:val="32"/>
          <w:szCs w:val="32"/>
          <w:highlight w:val="none"/>
          <w:lang w:val="en-US" w:eastAsia="zh-CN"/>
        </w:rPr>
        <w:t>具体步骤详见</w:t>
      </w:r>
      <w:r>
        <w:rPr>
          <w:rFonts w:hint="eastAsia" w:ascii="仿宋_GB2312" w:hAnsi="仿宋_GB2312" w:eastAsia="仿宋_GB2312" w:cs="仿宋_GB2312"/>
          <w:color w:val="auto"/>
          <w:kern w:val="0"/>
          <w:sz w:val="32"/>
          <w:szCs w:val="32"/>
          <w:highlight w:val="none"/>
          <w:lang w:val="en-US" w:eastAsia="zh-CN"/>
        </w:rPr>
        <w:t>附件7-1</w:t>
      </w:r>
      <w:r>
        <w:rPr>
          <w:rFonts w:hint="eastAsia" w:ascii="Times New Roman" w:hAnsi="Times New Roman" w:eastAsia="仿宋_GB2312" w:cs="Times New Roman"/>
          <w:b w:val="0"/>
          <w:bCs/>
          <w:strike w:val="0"/>
          <w:dstrike w:val="0"/>
          <w:color w:val="auto"/>
          <w:kern w:val="0"/>
          <w:sz w:val="32"/>
          <w:szCs w:val="32"/>
          <w:highlight w:val="none"/>
          <w:shd w:val="clear" w:color="auto" w:fill="auto"/>
          <w:lang w:val="en-US" w:eastAsia="zh-CN"/>
        </w:rPr>
        <w:t>）</w:t>
      </w:r>
      <w:r>
        <w:rPr>
          <w:rFonts w:hint="eastAsia" w:ascii="仿宋_GB2312" w:hAnsi="仿宋_GB2312" w:eastAsia="仿宋_GB2312" w:cs="仿宋_GB2312"/>
          <w:color w:val="auto"/>
          <w:kern w:val="0"/>
          <w:sz w:val="32"/>
          <w:szCs w:val="32"/>
          <w:highlight w:val="none"/>
          <w:lang w:val="en-US" w:eastAsia="zh-CN"/>
        </w:rPr>
        <w:t>。未及时完成相关信息维护将导致</w:t>
      </w:r>
      <w:r>
        <w:rPr>
          <w:rFonts w:hint="eastAsia" w:ascii="仿宋_GB2312" w:hAnsi="仿宋_GB2312" w:eastAsia="仿宋_GB2312" w:cs="仿宋_GB2312"/>
          <w:color w:val="auto"/>
          <w:sz w:val="32"/>
          <w:szCs w:val="32"/>
          <w:highlight w:val="none"/>
          <w:lang w:eastAsia="zh-CN"/>
        </w:rPr>
        <w:t>无法记账。</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outlineLvl w:val="9"/>
        <w:rPr>
          <w:rFonts w:hint="eastAsia" w:ascii="楷体_GB2312" w:hAnsi="楷体_GB2312" w:eastAsia="楷体_GB2312" w:cs="楷体_GB2312"/>
          <w:b w:val="0"/>
          <w:bCs/>
          <w:color w:val="auto"/>
          <w:kern w:val="0"/>
          <w:sz w:val="32"/>
          <w:szCs w:val="32"/>
          <w:highlight w:val="none"/>
          <w:lang w:val="en-US" w:eastAsia="zh-CN"/>
        </w:rPr>
      </w:pPr>
      <w:r>
        <w:rPr>
          <w:rFonts w:hint="eastAsia" w:ascii="楷体_GB2312" w:hAnsi="楷体_GB2312" w:eastAsia="楷体_GB2312" w:cs="楷体_GB2312"/>
          <w:b w:val="0"/>
          <w:bCs/>
          <w:color w:val="auto"/>
          <w:kern w:val="0"/>
          <w:sz w:val="32"/>
          <w:szCs w:val="32"/>
          <w:highlight w:val="none"/>
          <w:lang w:val="en-US" w:eastAsia="zh-CN"/>
        </w:rPr>
        <w:t>（二）完善机构信息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outlineLvl w:val="9"/>
        <w:rPr>
          <w:rFonts w:hint="eastAsia" w:ascii="仿宋" w:hAnsi="仿宋" w:eastAsia="仿宋" w:cs="仿宋"/>
          <w:b/>
          <w:bCs w:val="0"/>
          <w:color w:val="auto"/>
          <w:kern w:val="0"/>
          <w:sz w:val="32"/>
          <w:szCs w:val="32"/>
          <w:highlight w:val="none"/>
          <w:lang w:val="en-US" w:eastAsia="zh-CN"/>
        </w:rPr>
      </w:pPr>
      <w:r>
        <w:rPr>
          <w:rFonts w:hint="eastAsia" w:ascii="仿宋" w:hAnsi="仿宋" w:eastAsia="仿宋" w:cs="仿宋"/>
          <w:b/>
          <w:bCs w:val="0"/>
          <w:color w:val="auto"/>
          <w:kern w:val="0"/>
          <w:sz w:val="32"/>
          <w:szCs w:val="32"/>
          <w:highlight w:val="none"/>
          <w:lang w:val="en-US" w:eastAsia="zh-CN"/>
        </w:rPr>
        <w:t>1.完善所属机构信息</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outlineLvl w:val="9"/>
        <w:rPr>
          <w:rFonts w:hint="eastAsia" w:ascii="仿宋_GB2312" w:hAnsi="仿宋_GB2312" w:eastAsia="仿宋_GB2312" w:cs="仿宋_GB2312"/>
          <w:b w:val="0"/>
          <w:bCs/>
          <w:color w:val="auto"/>
          <w:kern w:val="0"/>
          <w:sz w:val="32"/>
          <w:szCs w:val="32"/>
          <w:highlight w:val="none"/>
          <w:lang w:val="en-US" w:eastAsia="zh-CN"/>
        </w:rPr>
      </w:pPr>
      <w:r>
        <w:rPr>
          <w:rFonts w:hint="eastAsia" w:ascii="仿宋_GB2312" w:hAnsi="仿宋_GB2312" w:eastAsia="仿宋_GB2312" w:cs="仿宋_GB2312"/>
          <w:b w:val="0"/>
          <w:bCs/>
          <w:color w:val="auto"/>
          <w:kern w:val="0"/>
          <w:sz w:val="32"/>
          <w:szCs w:val="32"/>
          <w:highlight w:val="none"/>
          <w:lang w:val="en-US" w:eastAsia="zh-CN"/>
        </w:rPr>
        <w:t>根据医保结算业务要求，定点零售药店完善所属机构信息后方可支付其他医保记账费用。为正常支付医保记账费用，</w:t>
      </w:r>
      <w:r>
        <w:rPr>
          <w:rFonts w:hint="eastAsia" w:ascii="仿宋_GB2312" w:hAnsi="仿宋_GB2312" w:eastAsia="仿宋_GB2312" w:cs="仿宋_GB2312"/>
          <w:color w:val="auto"/>
          <w:sz w:val="32"/>
          <w:szCs w:val="32"/>
          <w:lang w:val="en-US" w:eastAsia="zh-CN"/>
        </w:rPr>
        <w:t>各新增定点零售药店应及时申请完善所属机构信息。如因未及时完善相关信息导致月结费用无法及时拨付，后果自行承担。</w:t>
      </w:r>
    </w:p>
    <w:p>
      <w:pPr>
        <w:keepNext w:val="0"/>
        <w:keepLines w:val="0"/>
        <w:pageBreakBefore w:val="0"/>
        <w:widowControl w:val="0"/>
        <w:kinsoku/>
        <w:wordWrap/>
        <w:overflowPunct/>
        <w:topLinePunct w:val="0"/>
        <w:bidi w:val="0"/>
        <w:snapToGrid/>
        <w:spacing w:line="560" w:lineRule="exact"/>
        <w:ind w:firstLine="632" w:firstLineChars="200"/>
        <w:textAlignment w:val="auto"/>
        <w:outlineLvl w:val="9"/>
        <w:rPr>
          <w:rFonts w:hint="eastAsia" w:ascii="仿宋_GB2312" w:hAnsi="仿宋_GB2312" w:eastAsia="仿宋_GB2312" w:cs="仿宋_GB2312"/>
          <w:b w:val="0"/>
          <w:bCs/>
          <w:color w:val="auto"/>
          <w:kern w:val="0"/>
          <w:sz w:val="32"/>
          <w:szCs w:val="32"/>
          <w:highlight w:val="none"/>
          <w:lang w:val="en-US" w:eastAsia="zh-CN"/>
        </w:rPr>
      </w:pPr>
      <w:r>
        <w:rPr>
          <w:rFonts w:hint="eastAsia" w:ascii="仿宋_GB2312" w:hAnsi="仿宋_GB2312" w:eastAsia="仿宋_GB2312" w:cs="仿宋_GB2312"/>
          <w:color w:val="auto"/>
          <w:sz w:val="32"/>
          <w:szCs w:val="32"/>
          <w:lang w:val="en-US" w:eastAsia="zh-CN"/>
        </w:rPr>
        <w:t>若新增定点零售药店为本市医保定点的医药公司的分支机构，其所属机构为医药公司名称和机构代码。若新增定点零售药店无负有医保管理职责的总部机构，其所属机构为本机构药店名称和机构代码。</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outlineLvl w:val="9"/>
        <w:rPr>
          <w:rFonts w:hint="eastAsia" w:ascii="仿宋_GB2312" w:hAnsi="仿宋_GB2312" w:eastAsia="仿宋_GB2312" w:cs="仿宋_GB2312"/>
          <w:b/>
          <w:bCs w:val="0"/>
          <w:color w:val="auto"/>
          <w:kern w:val="0"/>
          <w:sz w:val="32"/>
          <w:szCs w:val="32"/>
          <w:highlight w:val="none"/>
          <w:lang w:val="en-US" w:eastAsia="zh-CN"/>
        </w:rPr>
      </w:pPr>
      <w:r>
        <w:rPr>
          <w:rFonts w:hint="eastAsia" w:ascii="仿宋_GB2312" w:hAnsi="仿宋_GB2312" w:eastAsia="仿宋_GB2312" w:cs="仿宋_GB2312"/>
          <w:b/>
          <w:bCs w:val="0"/>
          <w:color w:val="auto"/>
          <w:kern w:val="0"/>
          <w:sz w:val="32"/>
          <w:szCs w:val="32"/>
          <w:highlight w:val="none"/>
          <w:lang w:val="en-US" w:eastAsia="zh-CN"/>
        </w:rPr>
        <w:t>2.协同平台操作路径</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outlineLvl w:val="9"/>
        <w:rPr>
          <w:rFonts w:hint="eastAsia" w:ascii="仿宋_GB2312" w:hAnsi="仿宋_GB2312" w:eastAsia="仿宋_GB2312" w:cs="仿宋_GB2312"/>
          <w:b w:val="0"/>
          <w:bCs/>
          <w:color w:val="auto"/>
          <w:kern w:val="0"/>
          <w:sz w:val="32"/>
          <w:szCs w:val="32"/>
          <w:highlight w:val="none"/>
          <w:lang w:val="en-US" w:eastAsia="zh-CN"/>
        </w:rPr>
      </w:pPr>
      <w:r>
        <w:rPr>
          <w:rFonts w:hint="eastAsia" w:ascii="仿宋_GB2312" w:hAnsi="仿宋_GB2312" w:eastAsia="仿宋_GB2312" w:cs="仿宋_GB2312"/>
          <w:b w:val="0"/>
          <w:bCs/>
          <w:color w:val="auto"/>
          <w:kern w:val="0"/>
          <w:sz w:val="32"/>
          <w:szCs w:val="32"/>
          <w:highlight w:val="none"/>
          <w:lang w:val="en-US" w:eastAsia="zh-CN"/>
        </w:rPr>
        <w:t>前台受理管理-现场受理管理-主要信息变更，由辖区医保分局审核。</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rPr>
          <w:rFonts w:hint="eastAsia" w:ascii="楷体_GB2312" w:hAnsi="楷体_GB2312" w:eastAsia="楷体_GB2312" w:cs="楷体_GB2312"/>
          <w:b w:val="0"/>
          <w:bCs/>
          <w:color w:val="auto"/>
          <w:kern w:val="0"/>
          <w:sz w:val="32"/>
          <w:szCs w:val="32"/>
          <w:highlight w:val="none"/>
          <w:lang w:val="en-US" w:eastAsia="zh-CN"/>
        </w:rPr>
      </w:pPr>
      <w:r>
        <w:rPr>
          <w:rFonts w:hint="eastAsia" w:ascii="楷体_GB2312" w:hAnsi="楷体_GB2312" w:eastAsia="楷体_GB2312" w:cs="楷体_GB2312"/>
          <w:b w:val="0"/>
          <w:bCs/>
          <w:color w:val="auto"/>
          <w:kern w:val="0"/>
          <w:sz w:val="32"/>
          <w:szCs w:val="32"/>
          <w:highlight w:val="none"/>
          <w:lang w:val="en-US" w:eastAsia="zh-CN"/>
        </w:rPr>
        <w:t>（三）打印、悬挂医保定点标识</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outlineLvl w:val="9"/>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定点零售药店应悬挂统一格式的定点零售药店标识，不得私自制作、悬挂。下载路径：协同平台管理-协同平台-定点零售药店信息查询。</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rPr>
          <w:rFonts w:hint="eastAsia" w:ascii="楷体_GB2312" w:hAnsi="楷体_GB2312" w:eastAsia="楷体_GB2312" w:cs="楷体_GB2312"/>
          <w:b w:val="0"/>
          <w:bCs/>
          <w:color w:val="auto"/>
          <w:kern w:val="0"/>
          <w:sz w:val="32"/>
          <w:szCs w:val="32"/>
          <w:highlight w:val="none"/>
          <w:lang w:val="en-US" w:eastAsia="zh-CN"/>
        </w:rPr>
      </w:pPr>
      <w:r>
        <w:rPr>
          <w:rFonts w:hint="eastAsia" w:ascii="楷体_GB2312" w:hAnsi="楷体_GB2312" w:eastAsia="楷体_GB2312" w:cs="楷体_GB2312"/>
          <w:b w:val="0"/>
          <w:bCs/>
          <w:color w:val="auto"/>
          <w:kern w:val="0"/>
          <w:sz w:val="32"/>
          <w:szCs w:val="32"/>
          <w:highlight w:val="none"/>
          <w:lang w:val="en-US" w:eastAsia="zh-CN"/>
        </w:rPr>
        <w:t>（四）读卡控件</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新增定点零售药店使用读卡控件进行读卡，需连接医保专网，通过由医保平台提供的SSCard.dll动态库进行解密，获取医保卡信息返回给使用者。</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rPr>
          <w:rFonts w:hint="eastAsia" w:ascii="楷体_GB2312" w:hAnsi="楷体_GB2312" w:eastAsia="楷体_GB2312" w:cs="楷体_GB2312"/>
          <w:b w:val="0"/>
          <w:bCs/>
          <w:color w:val="auto"/>
          <w:kern w:val="0"/>
          <w:sz w:val="32"/>
          <w:szCs w:val="32"/>
          <w:highlight w:val="none"/>
          <w:lang w:val="en-US" w:eastAsia="zh-CN"/>
        </w:rPr>
      </w:pPr>
      <w:r>
        <w:rPr>
          <w:rFonts w:hint="eastAsia" w:ascii="楷体_GB2312" w:hAnsi="楷体_GB2312" w:eastAsia="楷体_GB2312" w:cs="楷体_GB2312"/>
          <w:b w:val="0"/>
          <w:bCs/>
          <w:color w:val="auto"/>
          <w:kern w:val="0"/>
          <w:sz w:val="32"/>
          <w:szCs w:val="32"/>
          <w:highlight w:val="none"/>
          <w:lang w:val="en-US" w:eastAsia="zh-CN"/>
        </w:rPr>
        <w:t>（五）日审数据申诉业务</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新增定点零售药店开通医保记账后，国家医保平台智能监管系统将每日下发日审异常医保记账数据，各定点零售药店需通过“协同平台-智能监管-审核管理-医药机构申诉”功能，在收到日审异常医保记账数据后15个工作日内申诉，超过15个工作日未进行申诉的，视为放弃申诉。</w:t>
      </w:r>
    </w:p>
    <w:p>
      <w:pPr>
        <w:keepNext w:val="0"/>
        <w:keepLines w:val="0"/>
        <w:pageBreakBefore w:val="0"/>
        <w:widowControl w:val="0"/>
        <w:numPr>
          <w:ilvl w:val="0"/>
          <w:numId w:val="0"/>
        </w:numPr>
        <w:kinsoku/>
        <w:wordWrap/>
        <w:overflowPunct/>
        <w:topLinePunct w:val="0"/>
        <w:bidi w:val="0"/>
        <w:snapToGrid/>
        <w:spacing w:line="560" w:lineRule="exact"/>
        <w:ind w:left="0" w:firstLine="632" w:firstLineChars="200"/>
        <w:textAlignment w:val="auto"/>
        <w:rPr>
          <w:rFonts w:hint="default" w:ascii="仿宋_GB2312" w:hAnsi="仿宋_GB2312" w:eastAsia="仿宋_GB2312" w:cs="仿宋_GB2312"/>
          <w:color w:val="auto"/>
          <w:kern w:val="0"/>
          <w:sz w:val="32"/>
          <w:szCs w:val="32"/>
          <w:highlight w:val="none"/>
          <w:u w:val="none"/>
          <w:lang w:val="en-US" w:eastAsia="zh-CN" w:bidi="ar-SA"/>
        </w:rPr>
      </w:pPr>
      <w:r>
        <w:rPr>
          <w:rFonts w:hint="eastAsia" w:ascii="仿宋_GB2312" w:hAnsi="仿宋_GB2312" w:eastAsia="仿宋_GB2312" w:cs="仿宋_GB2312"/>
          <w:color w:val="auto"/>
          <w:kern w:val="0"/>
          <w:sz w:val="32"/>
          <w:szCs w:val="32"/>
          <w:highlight w:val="none"/>
          <w:u w:val="none"/>
          <w:lang w:val="en-US" w:eastAsia="zh-CN" w:bidi="ar-SA"/>
        </w:rPr>
        <w:t>机构管理员为本机构负责日审数据申诉的工作人员开通账号及配置日审业务角色（</w:t>
      </w:r>
      <w:r>
        <w:rPr>
          <w:rFonts w:hint="default" w:ascii="仿宋_GB2312" w:hAnsi="仿宋_GB2312" w:eastAsia="仿宋_GB2312" w:cs="仿宋_GB2312"/>
          <w:color w:val="auto"/>
          <w:kern w:val="0"/>
          <w:sz w:val="32"/>
          <w:szCs w:val="32"/>
          <w:highlight w:val="none"/>
          <w:u w:val="none"/>
          <w:lang w:val="en-US" w:eastAsia="zh-CN"/>
        </w:rPr>
        <w:t>具体步骤详见</w:t>
      </w:r>
      <w:r>
        <w:rPr>
          <w:rFonts w:hint="eastAsia" w:ascii="仿宋_GB2312" w:hAnsi="仿宋_GB2312" w:eastAsia="仿宋_GB2312" w:cs="仿宋_GB2312"/>
          <w:color w:val="auto"/>
          <w:kern w:val="0"/>
          <w:sz w:val="32"/>
          <w:szCs w:val="32"/>
          <w:highlight w:val="none"/>
          <w:u w:val="none"/>
          <w:lang w:val="en-US" w:eastAsia="zh-CN"/>
        </w:rPr>
        <w:t>附件7-2</w:t>
      </w:r>
      <w:r>
        <w:rPr>
          <w:rFonts w:hint="eastAsia" w:ascii="仿宋_GB2312" w:hAnsi="仿宋_GB2312" w:eastAsia="仿宋_GB2312" w:cs="仿宋_GB2312"/>
          <w:color w:val="auto"/>
          <w:kern w:val="0"/>
          <w:sz w:val="32"/>
          <w:szCs w:val="32"/>
          <w:highlight w:val="none"/>
          <w:u w:val="none"/>
          <w:lang w:val="en-US" w:eastAsia="zh-CN" w:bidi="ar-SA"/>
        </w:rPr>
        <w:t>）</w:t>
      </w:r>
      <w:r>
        <w:rPr>
          <w:rFonts w:hint="eastAsia" w:ascii="仿宋_GB2312" w:hAnsi="仿宋_GB2312" w:eastAsia="仿宋_GB2312" w:cs="仿宋_GB2312"/>
          <w:color w:val="auto"/>
          <w:kern w:val="0"/>
          <w:sz w:val="32"/>
          <w:szCs w:val="32"/>
          <w:highlight w:val="none"/>
          <w:u w:val="none"/>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eastAsia" w:ascii="仿宋_GB2312" w:hAnsi="仿宋_GB2312" w:eastAsia="仿宋_GB2312" w:cs="仿宋_GB2312"/>
          <w:b w:val="0"/>
          <w:bCs/>
          <w:color w:val="auto"/>
          <w:kern w:val="0"/>
          <w:sz w:val="32"/>
          <w:szCs w:val="32"/>
          <w:highlight w:val="none"/>
          <w:u w:val="none"/>
          <w:lang w:val="en-US" w:eastAsia="zh-CN"/>
        </w:rPr>
      </w:pPr>
      <w:r>
        <w:rPr>
          <w:rFonts w:hint="eastAsia" w:ascii="楷体_GB2312" w:hAnsi="楷体_GB2312" w:eastAsia="楷体_GB2312" w:cs="楷体_GB2312"/>
          <w:b w:val="0"/>
          <w:bCs/>
          <w:color w:val="auto"/>
          <w:kern w:val="0"/>
          <w:sz w:val="32"/>
          <w:szCs w:val="32"/>
          <w:highlight w:val="none"/>
          <w:u w:val="none"/>
          <w:lang w:val="en-US" w:eastAsia="zh-CN"/>
        </w:rPr>
        <w:t xml:space="preserve">（六）进驻“深医保”移动工作平台   </w:t>
      </w:r>
      <w:r>
        <w:rPr>
          <w:rFonts w:hint="eastAsia" w:ascii="仿宋_GB2312" w:hAnsi="仿宋_GB2312" w:eastAsia="仿宋_GB2312" w:cs="仿宋_GB2312"/>
          <w:b w:val="0"/>
          <w:bCs/>
          <w:color w:val="auto"/>
          <w:kern w:val="0"/>
          <w:sz w:val="32"/>
          <w:szCs w:val="32"/>
          <w:highlight w:val="none"/>
          <w:u w:val="none"/>
          <w:lang w:val="en-US" w:eastAsia="zh-CN"/>
        </w:rPr>
        <w:t xml:space="preserve">   </w:t>
      </w:r>
    </w:p>
    <w:p>
      <w:pPr>
        <w:keepNext w:val="0"/>
        <w:keepLines w:val="0"/>
        <w:pageBreakBefore w:val="0"/>
        <w:kinsoku/>
        <w:wordWrap/>
        <w:overflowPunct/>
        <w:topLinePunct w:val="0"/>
        <w:bidi w:val="0"/>
        <w:snapToGrid/>
        <w:spacing w:line="560" w:lineRule="exact"/>
        <w:ind w:firstLine="632" w:firstLineChars="200"/>
        <w:jc w:val="both"/>
        <w:textAlignment w:val="auto"/>
        <w:outlineLvl w:val="9"/>
        <w:rPr>
          <w:rFonts w:hint="eastAsia" w:ascii="Times New Roman" w:hAnsi="Times New Roman" w:eastAsia="仿宋_GB2312" w:cs="Times New Roman"/>
          <w:b w:val="0"/>
          <w:bCs/>
          <w:i w:val="0"/>
          <w:caps w:val="0"/>
          <w:color w:val="auto"/>
          <w:spacing w:val="0"/>
          <w:kern w:val="0"/>
          <w:sz w:val="32"/>
          <w:szCs w:val="32"/>
          <w:highlight w:val="none"/>
          <w:u w:val="none"/>
          <w:shd w:val="clear" w:color="auto" w:fill="auto"/>
          <w:lang w:val="en-US" w:eastAsia="zh-CN"/>
        </w:rPr>
      </w:pPr>
      <w:r>
        <w:rPr>
          <w:rFonts w:hint="eastAsia" w:ascii="Times New Roman" w:hAnsi="Times New Roman" w:eastAsia="仿宋_GB2312" w:cs="Times New Roman"/>
          <w:b w:val="0"/>
          <w:bCs/>
          <w:i w:val="0"/>
          <w:caps w:val="0"/>
          <w:color w:val="auto"/>
          <w:spacing w:val="0"/>
          <w:kern w:val="0"/>
          <w:sz w:val="32"/>
          <w:szCs w:val="32"/>
          <w:highlight w:val="none"/>
          <w:u w:val="none"/>
          <w:shd w:val="clear" w:color="auto" w:fill="auto"/>
          <w:lang w:val="en-US" w:eastAsia="zh-CN"/>
        </w:rPr>
        <w:t>新增定点零售药店应积极配合医保部门，组织本机构工作人员进驻“深医保”移动工作平台，基于“深医保”平台开展医保政策文件接收、落实、反馈，法律文书接收、医保相关工作的线上交流、线上会议。</w:t>
      </w:r>
    </w:p>
    <w:p>
      <w:pPr>
        <w:keepNext w:val="0"/>
        <w:keepLines w:val="0"/>
        <w:pageBreakBefore w:val="0"/>
        <w:kinsoku/>
        <w:wordWrap/>
        <w:overflowPunct/>
        <w:topLinePunct w:val="0"/>
        <w:bidi w:val="0"/>
        <w:snapToGrid/>
        <w:spacing w:line="560" w:lineRule="exact"/>
        <w:ind w:firstLine="632" w:firstLineChars="200"/>
        <w:jc w:val="both"/>
        <w:textAlignment w:val="auto"/>
        <w:outlineLvl w:val="9"/>
        <w:rPr>
          <w:rFonts w:hint="eastAsia" w:ascii="楷体_GB2312" w:hAnsi="楷体_GB2312" w:eastAsia="楷体_GB2312" w:cs="楷体_GB2312"/>
          <w:bCs/>
          <w:color w:val="auto"/>
          <w:kern w:val="0"/>
          <w:sz w:val="32"/>
          <w:szCs w:val="32"/>
          <w:highlight w:val="none"/>
          <w:lang w:val="en-US" w:eastAsia="zh-CN"/>
        </w:rPr>
      </w:pPr>
      <w:r>
        <w:rPr>
          <w:rFonts w:hint="eastAsia" w:ascii="楷体_GB2312" w:hAnsi="楷体_GB2312" w:eastAsia="楷体_GB2312" w:cs="楷体_GB2312"/>
          <w:bCs/>
          <w:color w:val="auto"/>
          <w:kern w:val="0"/>
          <w:sz w:val="32"/>
          <w:szCs w:val="32"/>
          <w:highlight w:val="none"/>
          <w:lang w:val="en-US" w:eastAsia="zh-CN"/>
        </w:rPr>
        <w:t>（七）建设医保服务e站</w:t>
      </w:r>
    </w:p>
    <w:p>
      <w:pPr>
        <w:pStyle w:val="2"/>
        <w:keepNext w:val="0"/>
        <w:keepLines w:val="0"/>
        <w:pageBreakBefore w:val="0"/>
        <w:widowControl w:val="0"/>
        <w:kinsoku/>
        <w:wordWrap w:val="0"/>
        <w:overflowPunct/>
        <w:topLinePunct w:val="0"/>
        <w:autoSpaceDE w:val="0"/>
        <w:autoSpaceDN w:val="0"/>
        <w:bidi w:val="0"/>
        <w:adjustRightInd w:val="0"/>
        <w:snapToGrid/>
        <w:spacing w:line="560" w:lineRule="exact"/>
        <w:ind w:firstLine="632" w:firstLineChars="200"/>
        <w:jc w:val="left"/>
        <w:textAlignment w:val="auto"/>
        <w:rPr>
          <w:rFonts w:hint="eastAsia" w:ascii="Times New Roman" w:hAnsi="Times New Roman" w:eastAsia="仿宋_GB2312" w:cs="Times New Roman"/>
          <w:bCs/>
          <w:color w:val="auto"/>
          <w:kern w:val="0"/>
          <w:sz w:val="32"/>
          <w:szCs w:val="32"/>
          <w:highlight w:val="none"/>
          <w:u w:val="none"/>
          <w:shd w:val="clear" w:color="auto" w:fill="auto"/>
          <w:lang w:val="en-US" w:eastAsia="zh-CN"/>
        </w:rPr>
      </w:pPr>
      <w:r>
        <w:rPr>
          <w:rFonts w:hint="eastAsia" w:ascii="Times New Roman" w:hAnsi="Times New Roman" w:eastAsia="仿宋_GB2312" w:cs="Times New Roman"/>
          <w:b w:val="0"/>
          <w:bCs/>
          <w:i w:val="0"/>
          <w:caps w:val="0"/>
          <w:color w:val="auto"/>
          <w:spacing w:val="0"/>
          <w:kern w:val="0"/>
          <w:sz w:val="32"/>
          <w:szCs w:val="32"/>
          <w:highlight w:val="none"/>
          <w:u w:val="none"/>
          <w:shd w:val="clear" w:color="auto" w:fill="auto"/>
          <w:lang w:val="en-US" w:eastAsia="zh-CN"/>
        </w:rPr>
        <w:t>新增定点零售药店应积极配合医保部门，在签订服务协议书后1个月内完成医保服务e站的建设，并向辖区医保分局申请验收。</w:t>
      </w:r>
      <w:r>
        <w:rPr>
          <w:rFonts w:hint="eastAsia" w:ascii="楷体_GB2312" w:hAnsi="楷体_GB2312" w:eastAsia="楷体_GB2312" w:cs="楷体_GB2312"/>
          <w:bCs/>
          <w:color w:val="auto"/>
          <w:kern w:val="0"/>
          <w:sz w:val="32"/>
          <w:szCs w:val="32"/>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黑体" w:hAnsi="黑体" w:eastAsia="黑体" w:cs="宋体"/>
          <w:color w:val="auto"/>
          <w:kern w:val="0"/>
          <w:sz w:val="32"/>
          <w:szCs w:val="32"/>
          <w:highlight w:val="none"/>
          <w:lang w:val="en-US" w:eastAsia="zh-CN"/>
        </w:rPr>
      </w:pPr>
      <w:r>
        <w:rPr>
          <w:rFonts w:hint="eastAsia" w:ascii="黑体" w:hAnsi="黑体" w:eastAsia="黑体" w:cs="宋体"/>
          <w:color w:val="auto"/>
          <w:kern w:val="0"/>
          <w:sz w:val="32"/>
          <w:szCs w:val="32"/>
          <w:highlight w:val="none"/>
          <w:lang w:val="en-US" w:eastAsia="zh-CN"/>
        </w:rPr>
        <w:t>附件7-1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36"/>
          <w:szCs w:val="36"/>
          <w:highlight w:val="none"/>
          <w:lang w:val="en-US" w:eastAsia="zh-CN"/>
        </w:rPr>
        <w:t>定点零售药店新增协议信息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【药店维护】-【零售药店定点协议管理】，进入定点协议页面。</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第一步</w:t>
      </w:r>
      <w:r>
        <w:rPr>
          <w:rFonts w:hint="eastAsia" w:ascii="仿宋_GB2312" w:hAnsi="仿宋_GB2312" w:eastAsia="仿宋_GB2312" w:cs="仿宋_GB2312"/>
          <w:sz w:val="32"/>
          <w:szCs w:val="32"/>
          <w:lang w:val="en-US" w:eastAsia="zh-CN"/>
        </w:rPr>
        <w:t>：新增协议</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点击【新增协议】（如图1-1），确认零售药店，点击【选择】（如图1-2）。</w:t>
      </w:r>
    </w:p>
    <w:p>
      <w:pPr>
        <w:jc w:val="left"/>
      </w:pPr>
      <w:r>
        <w:drawing>
          <wp:inline distT="0" distB="0" distL="114300" distR="114300">
            <wp:extent cx="5673725" cy="1581150"/>
            <wp:effectExtent l="0" t="0" r="10795" b="381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6"/>
                    <a:stretch>
                      <a:fillRect/>
                    </a:stretch>
                  </pic:blipFill>
                  <pic:spPr>
                    <a:xfrm>
                      <a:off x="0" y="0"/>
                      <a:ext cx="5673725" cy="1581150"/>
                    </a:xfrm>
                    <a:prstGeom prst="rect">
                      <a:avLst/>
                    </a:prstGeom>
                    <a:noFill/>
                    <a:ln>
                      <a:noFill/>
                    </a:ln>
                  </pic:spPr>
                </pic:pic>
              </a:graphicData>
            </a:graphic>
          </wp:inline>
        </w:drawing>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图1-1</w:t>
      </w:r>
    </w:p>
    <w:p>
      <w:pPr>
        <w:jc w:val="left"/>
      </w:pPr>
      <w:r>
        <w:drawing>
          <wp:inline distT="0" distB="0" distL="114300" distR="114300">
            <wp:extent cx="5680710" cy="2276475"/>
            <wp:effectExtent l="0" t="0" r="3810"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7"/>
                    <a:stretch>
                      <a:fillRect/>
                    </a:stretch>
                  </pic:blipFill>
                  <pic:spPr>
                    <a:xfrm>
                      <a:off x="0" y="0"/>
                      <a:ext cx="5680710" cy="2276475"/>
                    </a:xfrm>
                    <a:prstGeom prst="rect">
                      <a:avLst/>
                    </a:prstGeom>
                    <a:noFill/>
                    <a:ln>
                      <a:noFill/>
                    </a:ln>
                  </pic:spPr>
                </pic:pic>
              </a:graphicData>
            </a:graphic>
          </wp:inline>
        </w:drawing>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图1-2</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第二步</w:t>
      </w:r>
      <w:r>
        <w:rPr>
          <w:rFonts w:hint="eastAsia" w:ascii="仿宋_GB2312" w:hAnsi="仿宋_GB2312" w:eastAsia="仿宋_GB2312" w:cs="仿宋_GB2312"/>
          <w:sz w:val="32"/>
          <w:szCs w:val="32"/>
          <w:lang w:val="en-US" w:eastAsia="zh-CN"/>
        </w:rPr>
        <w:t>：填写协议信息（如图1-3）</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经办机构：深圳市医疗保障局xx分局（按辖区填写分局）。</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定点协议生效日期：首次签订协议之日。</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定点协议截止日期：签订协议当年12月31日。</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协议状态：正常结算。</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协议服务范围：本地个人账户、本地其他。（异地个人账户、异地其他按实际情况勾选）。</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信用等级：非必填。</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违规行为：非必填。</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定点零售药店服务协议书电子档案：上传已签订协议书的扫描件或线上签约的电子协议书PDF文件。</w:t>
      </w:r>
    </w:p>
    <w:p>
      <w:pPr>
        <w:jc w:val="left"/>
      </w:pPr>
      <w:r>
        <w:drawing>
          <wp:inline distT="0" distB="0" distL="114300" distR="114300">
            <wp:extent cx="5685790" cy="2589530"/>
            <wp:effectExtent l="0" t="0" r="13970" b="127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8"/>
                    <a:stretch>
                      <a:fillRect/>
                    </a:stretch>
                  </pic:blipFill>
                  <pic:spPr>
                    <a:xfrm>
                      <a:off x="0" y="0"/>
                      <a:ext cx="5685790" cy="2589530"/>
                    </a:xfrm>
                    <a:prstGeom prst="rect">
                      <a:avLst/>
                    </a:prstGeom>
                    <a:noFill/>
                    <a:ln>
                      <a:noFill/>
                    </a:ln>
                  </pic:spPr>
                </pic:pic>
              </a:graphicData>
            </a:graphic>
          </wp:inline>
        </w:drawing>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图1-3</w:t>
      </w:r>
    </w:p>
    <w:p>
      <w:pPr>
        <w:keepNext w:val="0"/>
        <w:keepLines w:val="0"/>
        <w:pageBreakBefore w:val="0"/>
        <w:widowControl w:val="0"/>
        <w:kinsoku/>
        <w:wordWrap/>
        <w:overflowPunct/>
        <w:topLinePunct w:val="0"/>
        <w:bidi w:val="0"/>
        <w:snapToGrid/>
        <w:spacing w:line="560" w:lineRule="exact"/>
        <w:ind w:firstLine="632" w:firstLineChars="200"/>
        <w:jc w:val="left"/>
        <w:textAlignment w:val="auto"/>
        <w:rPr>
          <w:rFonts w:hint="eastAsia" w:ascii="仿宋_GB2312" w:hAnsi="仿宋_GB2312" w:eastAsia="仿宋_GB2312" w:cs="仿宋_GB2312"/>
          <w:b/>
          <w:bCs/>
          <w:sz w:val="32"/>
          <w:szCs w:val="32"/>
          <w:lang w:val="en" w:eastAsia="zh-CN"/>
        </w:rPr>
      </w:pPr>
      <w:r>
        <w:rPr>
          <w:rFonts w:hint="eastAsia" w:ascii="仿宋_GB2312" w:hAnsi="仿宋_GB2312" w:eastAsia="仿宋_GB2312" w:cs="仿宋_GB2312"/>
          <w:b/>
          <w:bCs/>
          <w:sz w:val="32"/>
          <w:szCs w:val="32"/>
          <w:lang w:val="en" w:eastAsia="zh-CN"/>
        </w:rPr>
        <w:t>线上签约协议书下载方法：</w:t>
      </w:r>
    </w:p>
    <w:p>
      <w:pPr>
        <w:pStyle w:val="2"/>
        <w:keepNext w:val="0"/>
        <w:keepLines w:val="0"/>
        <w:pageBreakBefore w:val="0"/>
        <w:widowControl w:val="0"/>
        <w:kinsoku/>
        <w:wordWrap/>
        <w:overflowPunct/>
        <w:topLinePunct w:val="0"/>
        <w:bidi w:val="0"/>
        <w:snapToGrid/>
        <w:spacing w:line="560" w:lineRule="exact"/>
        <w:ind w:firstLine="632"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 w:eastAsia="zh-CN" w:bidi="ar-SA"/>
        </w:rPr>
        <w:t>所属机构登录协同平台，点击协同平台管理</w:t>
      </w:r>
      <w:r>
        <w:rPr>
          <w:rFonts w:hint="eastAsia" w:ascii="仿宋_GB2312" w:hAnsi="仿宋_GB2312" w:eastAsia="仿宋_GB2312" w:cs="仿宋_GB2312"/>
          <w:color w:val="auto"/>
          <w:kern w:val="2"/>
          <w:sz w:val="32"/>
          <w:szCs w:val="32"/>
          <w:lang w:val="en-US" w:eastAsia="zh-CN" w:bidi="ar-SA"/>
        </w:rPr>
        <w:t>-协同平台-定点机构线上签约查询，录入查询条件：协议类别-主协议，办理状态-市中心签署完成，年度-选择签订协议当年，</w:t>
      </w:r>
      <w:r>
        <w:rPr>
          <w:rFonts w:hint="eastAsia" w:ascii="仿宋_GB2312" w:hAnsi="仿宋_GB2312" w:eastAsia="仿宋_GB2312" w:cs="仿宋_GB2312"/>
          <w:color w:val="auto"/>
          <w:kern w:val="2"/>
          <w:sz w:val="32"/>
          <w:szCs w:val="32"/>
          <w:lang w:val="en" w:eastAsia="zh-CN" w:bidi="ar-SA"/>
        </w:rPr>
        <w:t>点击</w:t>
      </w:r>
      <w:r>
        <w:rPr>
          <w:rFonts w:hint="eastAsia" w:ascii="仿宋_GB2312" w:hAnsi="仿宋_GB2312" w:eastAsia="仿宋_GB2312" w:cs="仿宋_GB2312"/>
          <w:color w:val="auto"/>
          <w:kern w:val="2"/>
          <w:sz w:val="32"/>
          <w:szCs w:val="32"/>
          <w:lang w:val="en-US" w:eastAsia="zh-CN" w:bidi="ar-SA"/>
        </w:rPr>
        <w:t>【下载】</w:t>
      </w:r>
      <w:r>
        <w:rPr>
          <w:rFonts w:hint="eastAsia" w:ascii="仿宋_GB2312" w:hAnsi="仿宋_GB2312" w:eastAsia="仿宋_GB2312" w:cs="仿宋_GB2312"/>
          <w:color w:val="auto"/>
          <w:sz w:val="32"/>
          <w:szCs w:val="32"/>
          <w:highlight w:val="none"/>
          <w:lang w:val="en-US" w:eastAsia="zh-CN"/>
        </w:rPr>
        <w:t>（如图1-4）</w:t>
      </w:r>
      <w:r>
        <w:rPr>
          <w:rFonts w:hint="eastAsia" w:ascii="仿宋_GB2312" w:hAnsi="仿宋_GB2312" w:eastAsia="仿宋_GB2312" w:cs="仿宋_GB2312"/>
          <w:color w:val="auto"/>
          <w:kern w:val="2"/>
          <w:sz w:val="32"/>
          <w:szCs w:val="32"/>
          <w:highlight w:val="none"/>
          <w:lang w:val="en-US" w:eastAsia="zh-CN" w:bidi="ar-SA"/>
        </w:rPr>
        <w:t>。</w:t>
      </w: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6530" cy="2448560"/>
            <wp:effectExtent l="0" t="0" r="1270" b="5080"/>
            <wp:docPr id="22" name="图片 19" descr="C:\Users\78512\Desktop\附件8-2.png附件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C:\Users\78512\Desktop\附件8-2.png附件8-2"/>
                    <pic:cNvPicPr>
                      <a:picLocks noChangeAspect="1"/>
                    </pic:cNvPicPr>
                  </pic:nvPicPr>
                  <pic:blipFill>
                    <a:blip r:embed="rId29"/>
                    <a:srcRect t="-1349" b="636"/>
                    <a:stretch>
                      <a:fillRect/>
                    </a:stretch>
                  </pic:blipFill>
                  <pic:spPr>
                    <a:xfrm>
                      <a:off x="0" y="0"/>
                      <a:ext cx="5256530" cy="2448560"/>
                    </a:xfrm>
                    <a:prstGeom prst="rect">
                      <a:avLst/>
                    </a:prstGeom>
                    <a:noFill/>
                    <a:ln>
                      <a:noFill/>
                    </a:ln>
                  </pic:spPr>
                </pic:pic>
              </a:graphicData>
            </a:graphic>
          </wp:inline>
        </w:drawing>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auto"/>
          <w:kern w:val="2"/>
          <w:sz w:val="21"/>
          <w:szCs w:val="21"/>
          <w:lang w:val="en-US" w:eastAsia="zh-CN" w:bidi="ar-SA"/>
        </w:rPr>
        <w:t>图1-4</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第三步</w:t>
      </w:r>
      <w:r>
        <w:rPr>
          <w:rFonts w:hint="eastAsia" w:ascii="仿宋_GB2312" w:hAnsi="仿宋_GB2312" w:eastAsia="仿宋_GB2312" w:cs="仿宋_GB2312"/>
          <w:sz w:val="32"/>
          <w:szCs w:val="32"/>
          <w:lang w:val="en-US" w:eastAsia="zh-CN"/>
        </w:rPr>
        <w:t>：点击【保存】，待所属分局审核，请关注审核进度。</w:t>
      </w:r>
    </w:p>
    <w:p>
      <w:pPr>
        <w:keepNext w:val="0"/>
        <w:keepLines w:val="0"/>
        <w:pageBreakBefore w:val="0"/>
        <w:widowControl w:val="0"/>
        <w:kinsoku/>
        <w:wordWrap/>
        <w:overflowPunct/>
        <w:topLinePunct w:val="0"/>
        <w:autoSpaceDE/>
        <w:autoSpaceDN/>
        <w:bidi w:val="0"/>
        <w:adjustRightInd/>
        <w:snapToGrid/>
        <w:ind w:firstLine="632" w:firstLineChars="200"/>
        <w:jc w:val="left"/>
        <w:textAlignment w:val="auto"/>
        <w:rPr>
          <w:rFonts w:hint="default" w:ascii="仿宋" w:hAnsi="仿宋" w:eastAsia="仿宋" w:cs="仿宋"/>
          <w:color w:val="auto"/>
          <w:sz w:val="32"/>
          <w:szCs w:val="32"/>
          <w:highlight w:val="none"/>
          <w:lang w:val="en-US" w:eastAsia="zh-CN"/>
        </w:rPr>
      </w:pPr>
    </w:p>
    <w:p>
      <w:pPr>
        <w:rPr>
          <w:rFonts w:hint="eastAsia" w:ascii="仿宋" w:hAnsi="仿宋" w:eastAsia="仿宋" w:cs="仿宋"/>
          <w:color w:val="auto"/>
          <w:sz w:val="32"/>
          <w:szCs w:val="32"/>
          <w:highlight w:val="none"/>
          <w:lang w:val="en-US" w:eastAsia="zh-CN"/>
        </w:rPr>
      </w:pPr>
    </w:p>
    <w:p>
      <w:pPr>
        <w:keepNext w:val="0"/>
        <w:keepLines w:val="0"/>
        <w:pageBreakBefore w:val="0"/>
        <w:kinsoku/>
        <w:wordWrap/>
        <w:overflowPunct/>
        <w:topLinePunct w:val="0"/>
        <w:bidi w:val="0"/>
        <w:snapToGrid/>
        <w:spacing w:line="560" w:lineRule="exact"/>
        <w:jc w:val="both"/>
        <w:textAlignment w:val="auto"/>
        <w:outlineLvl w:val="9"/>
        <w:rPr>
          <w:rFonts w:hint="eastAsia" w:ascii="黑体" w:hAnsi="黑体" w:eastAsia="黑体" w:cs="宋体"/>
          <w:color w:val="auto"/>
          <w:kern w:val="0"/>
          <w:sz w:val="32"/>
          <w:szCs w:val="32"/>
          <w:highlight w:val="none"/>
          <w:lang w:val="en-US" w:eastAsia="zh-CN"/>
        </w:rPr>
      </w:pPr>
    </w:p>
    <w:p>
      <w:pPr>
        <w:pStyle w:val="2"/>
        <w:rPr>
          <w:rFonts w:hint="eastAsia" w:ascii="黑体" w:hAnsi="黑体" w:eastAsia="黑体" w:cs="宋体"/>
          <w:color w:val="auto"/>
          <w:kern w:val="0"/>
          <w:sz w:val="32"/>
          <w:szCs w:val="32"/>
          <w:highlight w:val="none"/>
          <w:lang w:val="en-US" w:eastAsia="zh-CN"/>
        </w:rPr>
      </w:pPr>
    </w:p>
    <w:p>
      <w:pPr>
        <w:pStyle w:val="2"/>
        <w:rPr>
          <w:rFonts w:hint="eastAsia" w:ascii="黑体" w:hAnsi="黑体" w:eastAsia="黑体" w:cs="宋体"/>
          <w:color w:val="auto"/>
          <w:kern w:val="0"/>
          <w:sz w:val="32"/>
          <w:szCs w:val="32"/>
          <w:highlight w:val="none"/>
          <w:lang w:val="en-US" w:eastAsia="zh-CN"/>
        </w:rPr>
      </w:pPr>
    </w:p>
    <w:p>
      <w:pPr>
        <w:pStyle w:val="2"/>
        <w:rPr>
          <w:rFonts w:hint="eastAsia" w:ascii="黑体" w:hAnsi="黑体" w:eastAsia="黑体" w:cs="宋体"/>
          <w:color w:val="auto"/>
          <w:kern w:val="0"/>
          <w:sz w:val="32"/>
          <w:szCs w:val="32"/>
          <w:highlight w:val="none"/>
          <w:lang w:val="en-US" w:eastAsia="zh-CN"/>
        </w:rPr>
      </w:pPr>
    </w:p>
    <w:p>
      <w:pPr>
        <w:pStyle w:val="2"/>
        <w:rPr>
          <w:rFonts w:hint="eastAsia" w:ascii="黑体" w:hAnsi="黑体" w:eastAsia="黑体" w:cs="宋体"/>
          <w:color w:val="auto"/>
          <w:kern w:val="0"/>
          <w:sz w:val="32"/>
          <w:szCs w:val="32"/>
          <w:highlight w:val="none"/>
          <w:lang w:val="en-US" w:eastAsia="zh-CN"/>
        </w:rPr>
      </w:pPr>
    </w:p>
    <w:p>
      <w:pPr>
        <w:pStyle w:val="2"/>
        <w:rPr>
          <w:rFonts w:hint="eastAsia" w:ascii="黑体" w:hAnsi="黑体" w:eastAsia="黑体" w:cs="宋体"/>
          <w:color w:val="auto"/>
          <w:kern w:val="0"/>
          <w:sz w:val="32"/>
          <w:szCs w:val="32"/>
          <w:highlight w:val="none"/>
          <w:lang w:val="en-US" w:eastAsia="zh-CN"/>
        </w:rPr>
      </w:pPr>
    </w:p>
    <w:p>
      <w:pPr>
        <w:pStyle w:val="2"/>
        <w:rPr>
          <w:rFonts w:hint="eastAsia" w:ascii="黑体" w:hAnsi="黑体" w:eastAsia="黑体" w:cs="宋体"/>
          <w:color w:val="auto"/>
          <w:kern w:val="0"/>
          <w:sz w:val="32"/>
          <w:szCs w:val="32"/>
          <w:highlight w:val="none"/>
          <w:lang w:val="en-US" w:eastAsia="zh-CN"/>
        </w:rPr>
      </w:pPr>
    </w:p>
    <w:p>
      <w:pPr>
        <w:pStyle w:val="2"/>
        <w:rPr>
          <w:rFonts w:hint="eastAsia" w:ascii="黑体" w:hAnsi="黑体" w:eastAsia="黑体" w:cs="宋体"/>
          <w:color w:val="auto"/>
          <w:kern w:val="0"/>
          <w:sz w:val="32"/>
          <w:szCs w:val="32"/>
          <w:highlight w:val="none"/>
          <w:lang w:val="en-US" w:eastAsia="zh-CN"/>
        </w:rPr>
      </w:pPr>
    </w:p>
    <w:p>
      <w:pPr>
        <w:keepNext w:val="0"/>
        <w:keepLines w:val="0"/>
        <w:pageBreakBefore w:val="0"/>
        <w:widowControl w:val="0"/>
        <w:kinsoku/>
        <w:wordWrap/>
        <w:overflowPunct/>
        <w:topLinePunct w:val="0"/>
        <w:bidi w:val="0"/>
        <w:snapToGrid/>
        <w:spacing w:line="560" w:lineRule="exact"/>
        <w:jc w:val="both"/>
        <w:textAlignment w:val="auto"/>
        <w:outlineLvl w:val="9"/>
        <w:rPr>
          <w:rFonts w:hint="default" w:ascii="黑体" w:hAnsi="黑体" w:eastAsia="黑体" w:cs="宋体"/>
          <w:color w:val="auto"/>
          <w:kern w:val="0"/>
          <w:sz w:val="32"/>
          <w:szCs w:val="32"/>
          <w:highlight w:val="none"/>
          <w:lang w:val="en-US" w:eastAsia="zh-CN"/>
        </w:rPr>
      </w:pPr>
      <w:r>
        <w:rPr>
          <w:rFonts w:hint="eastAsia" w:ascii="黑体" w:hAnsi="黑体" w:eastAsia="黑体" w:cs="宋体"/>
          <w:color w:val="auto"/>
          <w:kern w:val="0"/>
          <w:sz w:val="32"/>
          <w:szCs w:val="32"/>
          <w:highlight w:val="none"/>
          <w:lang w:val="en-US" w:eastAsia="zh-CN"/>
        </w:rPr>
        <w:t>附件7-2</w:t>
      </w:r>
    </w:p>
    <w:p>
      <w:pPr>
        <w:keepNext w:val="0"/>
        <w:keepLines w:val="0"/>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val="0"/>
          <w:color w:val="auto"/>
          <w:sz w:val="36"/>
          <w:szCs w:val="36"/>
          <w:highlight w:val="none"/>
          <w:lang w:val="en-US" w:eastAsia="zh-CN"/>
        </w:rPr>
      </w:pPr>
      <w:r>
        <w:rPr>
          <w:rFonts w:hint="eastAsia" w:ascii="方正小标宋简体" w:hAnsi="方正小标宋简体" w:eastAsia="方正小标宋简体" w:cs="方正小标宋简体"/>
          <w:b w:val="0"/>
          <w:bCs w:val="0"/>
          <w:color w:val="auto"/>
          <w:sz w:val="36"/>
          <w:szCs w:val="36"/>
          <w:highlight w:val="none"/>
          <w:lang w:val="en-US" w:eastAsia="zh-CN"/>
        </w:rPr>
        <w:t>协同平台医药机构管理员用户管理指引</w:t>
      </w:r>
    </w:p>
    <w:p>
      <w:pPr>
        <w:pStyle w:val="2"/>
        <w:keepNext w:val="0"/>
        <w:keepLines w:val="0"/>
        <w:pageBreakBefore w:val="0"/>
        <w:widowControl w:val="0"/>
        <w:kinsoku/>
        <w:wordWrap/>
        <w:overflowPunct/>
        <w:topLinePunct w:val="0"/>
        <w:bidi w:val="0"/>
        <w:snapToGrid/>
        <w:spacing w:line="560" w:lineRule="exact"/>
        <w:textAlignment w:val="auto"/>
        <w:rPr>
          <w:rFonts w:hint="eastAsia"/>
          <w:color w:val="auto"/>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b w:val="0"/>
          <w:bCs w:val="0"/>
          <w:color w:val="auto"/>
          <w:sz w:val="32"/>
          <w:szCs w:val="40"/>
          <w:highlight w:val="none"/>
          <w:lang w:val="en-US" w:eastAsia="zh-CN"/>
        </w:rPr>
      </w:pPr>
      <w:r>
        <w:rPr>
          <w:rFonts w:hint="eastAsia" w:ascii="黑体" w:hAnsi="黑体" w:eastAsia="黑体" w:cs="黑体"/>
          <w:b w:val="0"/>
          <w:bCs w:val="0"/>
          <w:color w:val="auto"/>
          <w:sz w:val="32"/>
          <w:szCs w:val="40"/>
          <w:highlight w:val="none"/>
          <w:lang w:val="en-US" w:eastAsia="zh-CN"/>
        </w:rPr>
        <w:t>一、创建用户</w:t>
      </w:r>
    </w:p>
    <w:p>
      <w:pPr>
        <w:numPr>
          <w:ilvl w:val="0"/>
          <w:numId w:val="0"/>
        </w:numPr>
        <w:rPr>
          <w:color w:val="auto"/>
          <w:highlight w:val="none"/>
        </w:rPr>
      </w:pPr>
      <w:r>
        <w:rPr>
          <w:color w:val="auto"/>
          <w:highlight w:val="none"/>
        </w:rPr>
        <w:drawing>
          <wp:inline distT="0" distB="0" distL="114300" distR="114300">
            <wp:extent cx="5271770" cy="2455545"/>
            <wp:effectExtent l="0" t="0" r="1270" b="13335"/>
            <wp:docPr id="50" name="图片 48" descr="C:\Users\admin\Desktop\新建文件夹\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descr="C:\Users\admin\Desktop\新建文件夹\图片1.png图片1"/>
                    <pic:cNvPicPr>
                      <a:picLocks noChangeAspect="1"/>
                    </pic:cNvPicPr>
                  </pic:nvPicPr>
                  <pic:blipFill>
                    <a:blip r:embed="rId30"/>
                    <a:stretch>
                      <a:fillRect/>
                    </a:stretch>
                  </pic:blipFill>
                  <pic:spPr>
                    <a:xfrm>
                      <a:off x="0" y="0"/>
                      <a:ext cx="5271770" cy="2455545"/>
                    </a:xfrm>
                    <a:prstGeom prst="rect">
                      <a:avLst/>
                    </a:prstGeom>
                    <a:noFill/>
                    <a:ln>
                      <a:noFill/>
                    </a:ln>
                  </pic:spPr>
                </pic:pic>
              </a:graphicData>
            </a:graphic>
          </wp:inline>
        </w:drawing>
      </w:r>
    </w:p>
    <w:p>
      <w:pPr>
        <w:numPr>
          <w:ilvl w:val="0"/>
          <w:numId w:val="0"/>
        </w:numPr>
        <w:rPr>
          <w:color w:val="auto"/>
          <w:highlight w:val="none"/>
        </w:rPr>
      </w:pPr>
      <w:r>
        <w:rPr>
          <w:color w:val="auto"/>
          <w:highlight w:val="none"/>
        </w:rPr>
        <w:drawing>
          <wp:inline distT="0" distB="0" distL="114300" distR="114300">
            <wp:extent cx="5259070" cy="2435225"/>
            <wp:effectExtent l="0" t="0" r="13970" b="3175"/>
            <wp:docPr id="54" name="图片 49" descr="C:\Users\admin\Desktop\协同平台医药机构管理员用户管理指引\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descr="C:\Users\admin\Desktop\协同平台医药机构管理员用户管理指引\图片2.png图片2"/>
                    <pic:cNvPicPr>
                      <a:picLocks noChangeAspect="1"/>
                    </pic:cNvPicPr>
                  </pic:nvPicPr>
                  <pic:blipFill>
                    <a:blip r:embed="rId31"/>
                    <a:stretch>
                      <a:fillRect/>
                    </a:stretch>
                  </pic:blipFill>
                  <pic:spPr>
                    <a:xfrm>
                      <a:off x="0" y="0"/>
                      <a:ext cx="5259070" cy="2435225"/>
                    </a:xfrm>
                    <a:prstGeom prst="rect">
                      <a:avLst/>
                    </a:prstGeom>
                    <a:noFill/>
                    <a:ln>
                      <a:noFill/>
                    </a:ln>
                  </pic:spPr>
                </pic:pic>
              </a:graphicData>
            </a:graphic>
          </wp:inline>
        </w:drawing>
      </w:r>
    </w:p>
    <w:p>
      <w:pPr>
        <w:numPr>
          <w:ilvl w:val="0"/>
          <w:numId w:val="0"/>
        </w:numPr>
        <w:rPr>
          <w:color w:val="auto"/>
          <w:highlight w:val="none"/>
        </w:rPr>
      </w:pPr>
      <w:r>
        <w:rPr>
          <w:color w:val="auto"/>
          <w:highlight w:val="none"/>
        </w:rPr>
        <w:drawing>
          <wp:inline distT="0" distB="0" distL="114300" distR="114300">
            <wp:extent cx="5266055" cy="2465705"/>
            <wp:effectExtent l="0" t="0" r="6985" b="3175"/>
            <wp:docPr id="51" name="图片 50" descr="/home/lxm-121314/桌面/2112937741.jpg211293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home/lxm-121314/桌面/2112937741.jpg2112937741"/>
                    <pic:cNvPicPr>
                      <a:picLocks noChangeAspect="1"/>
                    </pic:cNvPicPr>
                  </pic:nvPicPr>
                  <pic:blipFill>
                    <a:blip r:embed="rId32"/>
                    <a:stretch>
                      <a:fillRect/>
                    </a:stretch>
                  </pic:blipFill>
                  <pic:spPr>
                    <a:xfrm>
                      <a:off x="0" y="0"/>
                      <a:ext cx="5266055" cy="2465705"/>
                    </a:xfrm>
                    <a:prstGeom prst="rect">
                      <a:avLst/>
                    </a:prstGeom>
                    <a:noFill/>
                    <a:ln>
                      <a:noFill/>
                    </a:ln>
                  </pic:spPr>
                </pic:pic>
              </a:graphicData>
            </a:graphic>
          </wp:inline>
        </w:drawing>
      </w:r>
    </w:p>
    <w:p>
      <w:pPr>
        <w:numPr>
          <w:ilvl w:val="0"/>
          <w:numId w:val="0"/>
        </w:numPr>
        <w:rPr>
          <w:color w:val="auto"/>
          <w:highlight w:val="none"/>
        </w:rPr>
      </w:pPr>
      <w:r>
        <w:rPr>
          <w:color w:val="auto"/>
          <w:highlight w:val="none"/>
        </w:rPr>
        <w:drawing>
          <wp:anchor distT="0" distB="0" distL="114300" distR="114300" simplePos="0" relativeHeight="251659264" behindDoc="1" locked="0" layoutInCell="1" allowOverlap="1">
            <wp:simplePos x="0" y="0"/>
            <wp:positionH relativeFrom="column">
              <wp:posOffset>-55880</wp:posOffset>
            </wp:positionH>
            <wp:positionV relativeFrom="paragraph">
              <wp:posOffset>2677795</wp:posOffset>
            </wp:positionV>
            <wp:extent cx="5271770" cy="2482215"/>
            <wp:effectExtent l="0" t="0" r="1270" b="1905"/>
            <wp:wrapTight wrapText="bothSides">
              <wp:wrapPolygon>
                <wp:start x="0" y="0"/>
                <wp:lineTo x="0" y="21484"/>
                <wp:lineTo x="21543" y="21484"/>
                <wp:lineTo x="21543" y="0"/>
                <wp:lineTo x="0" y="0"/>
              </wp:wrapPolygon>
            </wp:wrapTight>
            <wp:docPr id="52" name="图片 4" descr="C:\Users\admin\Desktop\新建文件夹\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C:\Users\admin\Desktop\新建文件夹\图片5.png图片5"/>
                    <pic:cNvPicPr>
                      <a:picLocks noChangeAspect="1"/>
                    </pic:cNvPicPr>
                  </pic:nvPicPr>
                  <pic:blipFill>
                    <a:blip r:embed="rId33"/>
                    <a:stretch>
                      <a:fillRect/>
                    </a:stretch>
                  </pic:blipFill>
                  <pic:spPr>
                    <a:xfrm>
                      <a:off x="0" y="0"/>
                      <a:ext cx="5271770" cy="2482215"/>
                    </a:xfrm>
                    <a:prstGeom prst="rect">
                      <a:avLst/>
                    </a:prstGeom>
                    <a:noFill/>
                    <a:ln>
                      <a:noFill/>
                    </a:ln>
                  </pic:spPr>
                </pic:pic>
              </a:graphicData>
            </a:graphic>
          </wp:anchor>
        </w:drawing>
      </w:r>
      <w:r>
        <w:rPr>
          <w:color w:val="auto"/>
          <w:highlight w:val="none"/>
        </w:rPr>
        <w:drawing>
          <wp:inline distT="0" distB="0" distL="114300" distR="114300">
            <wp:extent cx="5271135" cy="2450465"/>
            <wp:effectExtent l="0" t="0" r="1905" b="3175"/>
            <wp:docPr id="53" name="图片 51" descr="C:\Users\admin\Desktop\新建文件夹\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descr="C:\Users\admin\Desktop\新建文件夹\图片4.png图片4"/>
                    <pic:cNvPicPr>
                      <a:picLocks noChangeAspect="1"/>
                    </pic:cNvPicPr>
                  </pic:nvPicPr>
                  <pic:blipFill>
                    <a:blip r:embed="rId34"/>
                    <a:stretch>
                      <a:fillRect/>
                    </a:stretch>
                  </pic:blipFill>
                  <pic:spPr>
                    <a:xfrm>
                      <a:off x="0" y="0"/>
                      <a:ext cx="5271135" cy="24504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红框内信息全部填写完成后，点击“确认”，弹出成功提示窗，会有账号密码展示。记住初始密码后，确认关闭即可。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2" w:firstLineChars="200"/>
        <w:textAlignment w:val="auto"/>
        <w:rPr>
          <w:rFonts w:hint="eastAsia"/>
          <w:b w:val="0"/>
          <w:bCs w:val="0"/>
          <w:color w:val="auto"/>
          <w:sz w:val="32"/>
          <w:szCs w:val="40"/>
          <w:highlight w:val="none"/>
          <w:lang w:val="en-US" w:eastAsia="zh-CN"/>
        </w:rPr>
      </w:pPr>
      <w:r>
        <w:rPr>
          <w:rFonts w:hint="eastAsia" w:ascii="黑体" w:hAnsi="黑体" w:eastAsia="黑体" w:cs="黑体"/>
          <w:b w:val="0"/>
          <w:bCs w:val="0"/>
          <w:color w:val="auto"/>
          <w:sz w:val="32"/>
          <w:szCs w:val="40"/>
          <w:highlight w:val="none"/>
          <w:lang w:val="en-US" w:eastAsia="zh-CN"/>
        </w:rPr>
        <w:t>二、用户角色分配</w:t>
      </w:r>
    </w:p>
    <w:p>
      <w:pPr>
        <w:numPr>
          <w:ilvl w:val="0"/>
          <w:numId w:val="0"/>
        </w:numPr>
        <w:ind w:leftChars="0"/>
        <w:rPr>
          <w:color w:val="auto"/>
          <w:highlight w:val="none"/>
        </w:rPr>
      </w:pPr>
      <w:r>
        <w:rPr>
          <w:color w:val="auto"/>
          <w:highlight w:val="none"/>
        </w:rPr>
        <w:drawing>
          <wp:inline distT="0" distB="0" distL="114300" distR="114300">
            <wp:extent cx="5270500" cy="2458720"/>
            <wp:effectExtent l="0" t="0" r="2540" b="10160"/>
            <wp:docPr id="62" name="图片 52" descr="C:\Users\admin\Desktop\新建文件夹\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descr="C:\Users\admin\Desktop\新建文件夹\图片6.png图片6"/>
                    <pic:cNvPicPr>
                      <a:picLocks noChangeAspect="1"/>
                    </pic:cNvPicPr>
                  </pic:nvPicPr>
                  <pic:blipFill>
                    <a:blip r:embed="rId35"/>
                    <a:stretch>
                      <a:fillRect/>
                    </a:stretch>
                  </pic:blipFill>
                  <pic:spPr>
                    <a:xfrm>
                      <a:off x="0" y="0"/>
                      <a:ext cx="5270500" cy="24587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jc w:val="center"/>
        <w:textAlignment w:val="auto"/>
        <w:rPr>
          <w:rFonts w:hint="default"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可以根据账号或者姓名（创建账号时填写的姓名）查询用户信息。</w:t>
      </w:r>
    </w:p>
    <w:p>
      <w:pPr>
        <w:numPr>
          <w:ilvl w:val="0"/>
          <w:numId w:val="0"/>
        </w:numPr>
        <w:ind w:leftChars="0"/>
        <w:rPr>
          <w:color w:val="auto"/>
          <w:highlight w:val="none"/>
        </w:rPr>
      </w:pPr>
      <w:r>
        <w:rPr>
          <w:color w:val="auto"/>
          <w:highlight w:val="none"/>
        </w:rPr>
        <w:drawing>
          <wp:inline distT="0" distB="0" distL="114300" distR="114300">
            <wp:extent cx="5270500" cy="2438400"/>
            <wp:effectExtent l="0" t="0" r="2540" b="0"/>
            <wp:docPr id="64" name="图片 53" descr="C:\Users\admin\Desktop\新建文件夹\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descr="C:\Users\admin\Desktop\新建文件夹\图片7.png图片7"/>
                    <pic:cNvPicPr>
                      <a:picLocks noChangeAspect="1"/>
                    </pic:cNvPicPr>
                  </pic:nvPicPr>
                  <pic:blipFill>
                    <a:blip r:embed="rId36"/>
                    <a:stretch>
                      <a:fillRect/>
                    </a:stretch>
                  </pic:blipFill>
                  <pic:spPr>
                    <a:xfrm>
                      <a:off x="0" y="0"/>
                      <a:ext cx="5270500" cy="24384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勾选对应的角色后，点击“选择”。</w:t>
      </w:r>
    </w:p>
    <w:p>
      <w:pPr>
        <w:numPr>
          <w:ilvl w:val="0"/>
          <w:numId w:val="0"/>
        </w:numPr>
        <w:ind w:leftChars="0"/>
        <w:rPr>
          <w:color w:val="auto"/>
          <w:highlight w:val="none"/>
        </w:rPr>
      </w:pPr>
      <w:r>
        <w:rPr>
          <w:color w:val="auto"/>
          <w:highlight w:val="none"/>
        </w:rPr>
        <w:drawing>
          <wp:inline distT="0" distB="0" distL="114300" distR="114300">
            <wp:extent cx="5267325" cy="2468245"/>
            <wp:effectExtent l="0" t="0" r="5715" b="635"/>
            <wp:docPr id="48" name="图片 54" descr="C:\Users\admin\Desktop\新建文件夹\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descr="C:\Users\admin\Desktop\新建文件夹\图片8.png图片8"/>
                    <pic:cNvPicPr>
                      <a:picLocks noChangeAspect="1"/>
                    </pic:cNvPicPr>
                  </pic:nvPicPr>
                  <pic:blipFill>
                    <a:blip r:embed="rId37"/>
                    <a:stretch>
                      <a:fillRect/>
                    </a:stretch>
                  </pic:blipFill>
                  <pic:spPr>
                    <a:xfrm>
                      <a:off x="0" y="0"/>
                      <a:ext cx="5267325" cy="2468245"/>
                    </a:xfrm>
                    <a:prstGeom prst="rect">
                      <a:avLst/>
                    </a:prstGeom>
                    <a:noFill/>
                    <a:ln>
                      <a:noFill/>
                    </a:ln>
                  </pic:spPr>
                </pic:pic>
              </a:graphicData>
            </a:graphic>
          </wp:inline>
        </w:drawing>
      </w:r>
    </w:p>
    <w:p>
      <w:pPr>
        <w:numPr>
          <w:ilvl w:val="0"/>
          <w:numId w:val="0"/>
        </w:numPr>
        <w:jc w:val="center"/>
        <w:rPr>
          <w:rFonts w:hint="eastAsia" w:ascii="宋体" w:hAnsi="宋体" w:eastAsia="宋体" w:cs="宋体"/>
          <w:b w:val="0"/>
          <w:bCs w:val="0"/>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可以看到新建的账号，已经有了角色配置。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到此，新增用户账号创建完毕，</w:t>
      </w:r>
      <w:r>
        <w:rPr>
          <w:rFonts w:hint="eastAsia" w:ascii="仿宋_GB2312" w:hAnsi="仿宋_GB2312" w:eastAsia="仿宋_GB2312" w:cs="仿宋_GB2312"/>
          <w:b/>
          <w:bCs/>
          <w:color w:val="auto"/>
          <w:sz w:val="32"/>
          <w:szCs w:val="32"/>
          <w:highlight w:val="none"/>
          <w:lang w:val="en-US" w:eastAsia="zh-CN"/>
        </w:rPr>
        <w:t>新增用户登录系统后，要及时更改密码</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b w:val="0"/>
          <w:bCs w:val="0"/>
          <w:color w:val="auto"/>
          <w:sz w:val="32"/>
          <w:szCs w:val="40"/>
          <w:highlight w:val="none"/>
          <w:lang w:val="en-US" w:eastAsia="zh-CN"/>
        </w:rPr>
      </w:pPr>
      <w:r>
        <w:rPr>
          <w:rFonts w:hint="eastAsia" w:ascii="黑体" w:hAnsi="黑体" w:eastAsia="黑体" w:cs="黑体"/>
          <w:b w:val="0"/>
          <w:bCs w:val="0"/>
          <w:color w:val="auto"/>
          <w:sz w:val="32"/>
          <w:szCs w:val="40"/>
          <w:highlight w:val="none"/>
          <w:lang w:val="en-US" w:eastAsia="zh-CN"/>
        </w:rPr>
        <w:t>三、重置密码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当用户忘记密码时，可以通过管理员重置账号密码，仅限本机构的账号。</w:t>
      </w:r>
    </w:p>
    <w:p>
      <w:pPr>
        <w:numPr>
          <w:ilvl w:val="0"/>
          <w:numId w:val="0"/>
        </w:numPr>
        <w:ind w:leftChars="0"/>
        <w:rPr>
          <w:color w:val="auto"/>
          <w:highlight w:val="none"/>
        </w:rPr>
      </w:pPr>
      <w:r>
        <w:rPr>
          <w:color w:val="auto"/>
          <w:highlight w:val="none"/>
        </w:rPr>
        <w:drawing>
          <wp:inline distT="0" distB="0" distL="114300" distR="114300">
            <wp:extent cx="5259705" cy="2440940"/>
            <wp:effectExtent l="0" t="0" r="13335" b="12700"/>
            <wp:docPr id="65" name="图片 55" descr="C:\Users\admin\Desktop\新建文件夹\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5" descr="C:\Users\admin\Desktop\新建文件夹\图片9.png图片9"/>
                    <pic:cNvPicPr>
                      <a:picLocks noChangeAspect="1"/>
                    </pic:cNvPicPr>
                  </pic:nvPicPr>
                  <pic:blipFill>
                    <a:blip r:embed="rId38"/>
                    <a:stretch>
                      <a:fillRect/>
                    </a:stretch>
                  </pic:blipFill>
                  <pic:spPr>
                    <a:xfrm>
                      <a:off x="0" y="0"/>
                      <a:ext cx="5259705" cy="2440940"/>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b w:val="0"/>
          <w:bCs w:val="0"/>
          <w:color w:val="auto"/>
          <w:sz w:val="24"/>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通过某一个信息查询账号，在“操作”的位置，点击重置密码，会有提示框展示新密码。</w:t>
      </w:r>
    </w:p>
    <w:p>
      <w:pPr>
        <w:numPr>
          <w:ilvl w:val="0"/>
          <w:numId w:val="0"/>
        </w:numPr>
        <w:ind w:leftChars="0"/>
        <w:rPr>
          <w:color w:val="auto"/>
          <w:highlight w:val="none"/>
        </w:rPr>
      </w:pPr>
      <w:r>
        <w:rPr>
          <w:color w:val="auto"/>
          <w:highlight w:val="none"/>
        </w:rPr>
        <w:drawing>
          <wp:inline distT="0" distB="0" distL="114300" distR="114300">
            <wp:extent cx="5267960" cy="2440940"/>
            <wp:effectExtent l="0" t="0" r="5080" b="12700"/>
            <wp:docPr id="46" name="图片 56" descr="C:\Users\admin\Desktop\新建文件夹\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6" descr="C:\Users\admin\Desktop\新建文件夹\图片10.png图片10"/>
                    <pic:cNvPicPr>
                      <a:picLocks noChangeAspect="1"/>
                    </pic:cNvPicPr>
                  </pic:nvPicPr>
                  <pic:blipFill>
                    <a:blip r:embed="rId39"/>
                    <a:stretch>
                      <a:fillRect/>
                    </a:stretch>
                  </pic:blipFill>
                  <pic:spPr>
                    <a:xfrm>
                      <a:off x="0" y="0"/>
                      <a:ext cx="5267960" cy="2440940"/>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到此，重置密码完成。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b/>
          <w:bCs/>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四、用户解锁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当账号密码输入错误超过5次后，账号将会被锁定，锁定时间为10分钟，紧急情况可通过机构管理员进行用户解锁。通过账号查询信息后，点击“操作”位置进行解锁。</w:t>
      </w:r>
    </w:p>
    <w:p>
      <w:pPr>
        <w:widowControl w:val="0"/>
        <w:numPr>
          <w:ilvl w:val="0"/>
          <w:numId w:val="0"/>
        </w:numPr>
        <w:jc w:val="both"/>
        <w:rPr>
          <w:color w:val="auto"/>
          <w:highlight w:val="none"/>
        </w:rPr>
      </w:pPr>
      <w:r>
        <w:rPr>
          <w:color w:val="auto"/>
          <w:highlight w:val="none"/>
        </w:rPr>
        <w:drawing>
          <wp:inline distT="0" distB="0" distL="114300" distR="114300">
            <wp:extent cx="5271770" cy="2439670"/>
            <wp:effectExtent l="0" t="0" r="1270" b="13970"/>
            <wp:docPr id="47" name="图片 57" descr="C:\Users\admin\Desktop\新建文件夹\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7" descr="C:\Users\admin\Desktop\新建文件夹\图片11.png图片11"/>
                    <pic:cNvPicPr>
                      <a:picLocks noChangeAspect="1"/>
                    </pic:cNvPicPr>
                  </pic:nvPicPr>
                  <pic:blipFill>
                    <a:blip r:embed="rId40"/>
                    <a:stretch>
                      <a:fillRect/>
                    </a:stretch>
                  </pic:blipFill>
                  <pic:spPr>
                    <a:xfrm>
                      <a:off x="0" y="0"/>
                      <a:ext cx="5271770" cy="2439670"/>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b/>
          <w:bCs/>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五、用户账号关闭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人员变动时，机构管理员及时关闭账号。通过“用户管理”中的“账号状态”控制账号是否关闭。账号关闭后，不可再用此账号登录系统。</w:t>
      </w:r>
    </w:p>
    <w:p>
      <w:pPr>
        <w:widowControl w:val="0"/>
        <w:numPr>
          <w:ilvl w:val="0"/>
          <w:numId w:val="0"/>
        </w:numPr>
        <w:jc w:val="both"/>
        <w:rPr>
          <w:color w:val="auto"/>
          <w:highlight w:val="none"/>
        </w:rPr>
      </w:pPr>
      <w:r>
        <w:rPr>
          <w:color w:val="auto"/>
          <w:highlight w:val="none"/>
        </w:rPr>
        <w:drawing>
          <wp:inline distT="0" distB="0" distL="114300" distR="114300">
            <wp:extent cx="5271770" cy="2439670"/>
            <wp:effectExtent l="0" t="0" r="1270" b="13970"/>
            <wp:docPr id="45" name="图片 58" descr="C:\Users\admin\Desktop\新建文件夹\图片12.png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8" descr="C:\Users\admin\Desktop\新建文件夹\图片12.png图片12"/>
                    <pic:cNvPicPr>
                      <a:picLocks noChangeAspect="1"/>
                    </pic:cNvPicPr>
                  </pic:nvPicPr>
                  <pic:blipFill>
                    <a:blip r:embed="rId41"/>
                    <a:stretch>
                      <a:fillRect/>
                    </a:stretch>
                  </pic:blipFill>
                  <pic:spPr>
                    <a:xfrm>
                      <a:off x="0" y="0"/>
                      <a:ext cx="5271770" cy="243967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方正小标宋简体" w:hAnsi="方正小标宋简体" w:eastAsia="方正小标宋简体" w:cs="方正小标宋简体"/>
          <w:color w:val="auto"/>
          <w:kern w:val="0"/>
          <w:sz w:val="36"/>
          <w:szCs w:val="36"/>
          <w:highlight w:val="none"/>
          <w:lang w:val="en-US" w:eastAsia="zh-CN" w:bidi="ar-SA"/>
        </w:rPr>
      </w:pPr>
    </w:p>
    <w:sectPr>
      <w:pgSz w:w="11906" w:h="16838"/>
      <w:pgMar w:top="2098" w:right="1474" w:bottom="1985" w:left="1588" w:header="851" w:footer="1418" w:gutter="0"/>
      <w:pgBorders>
        <w:top w:val="none" w:sz="0" w:space="0"/>
        <w:left w:val="none" w:sz="0" w:space="0"/>
        <w:bottom w:val="none" w:sz="0" w:space="0"/>
        <w:right w:val="none" w:sz="0" w:space="0"/>
      </w:pgBorders>
      <w:pgNumType w:fmt="numberInDash"/>
      <w:cols w:space="720" w:num="1"/>
      <w:titlePg/>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ESI仿宋-GB2312">
    <w:altName w:val="仿宋"/>
    <w:panose1 w:val="02000500000000000000"/>
    <w:charset w:val="86"/>
    <w:family w:val="auto"/>
    <w:pitch w:val="default"/>
    <w:sig w:usb0="00000000" w:usb1="00000000" w:usb2="00000010"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evenAndOddHeaders w:val="1"/>
  <w:drawingGridHorizontalSpacing w:val="158"/>
  <w:drawingGridVerticalSpacing w:val="57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s>
  <w:rsids>
    <w:rsidRoot w:val="004A165D"/>
    <w:rsid w:val="000003EA"/>
    <w:rsid w:val="000E3B70"/>
    <w:rsid w:val="003F20C8"/>
    <w:rsid w:val="0040196F"/>
    <w:rsid w:val="004A165D"/>
    <w:rsid w:val="005A76EE"/>
    <w:rsid w:val="008C1871"/>
    <w:rsid w:val="008C73E5"/>
    <w:rsid w:val="00AB6A36"/>
    <w:rsid w:val="00B215C8"/>
    <w:rsid w:val="00CD63F3"/>
    <w:rsid w:val="01644AB6"/>
    <w:rsid w:val="0193633E"/>
    <w:rsid w:val="01AB7EFD"/>
    <w:rsid w:val="01AC56A1"/>
    <w:rsid w:val="01C14CF4"/>
    <w:rsid w:val="01C725F7"/>
    <w:rsid w:val="01F01E3C"/>
    <w:rsid w:val="01FE3350"/>
    <w:rsid w:val="021C1E1B"/>
    <w:rsid w:val="021D0BDF"/>
    <w:rsid w:val="02567E5F"/>
    <w:rsid w:val="02672314"/>
    <w:rsid w:val="02991BB8"/>
    <w:rsid w:val="029F14CA"/>
    <w:rsid w:val="02A467F2"/>
    <w:rsid w:val="02DA30E7"/>
    <w:rsid w:val="02DC70A9"/>
    <w:rsid w:val="02EE59E6"/>
    <w:rsid w:val="02F42CA6"/>
    <w:rsid w:val="033426EB"/>
    <w:rsid w:val="037F6757"/>
    <w:rsid w:val="03890D6F"/>
    <w:rsid w:val="038D51CB"/>
    <w:rsid w:val="039D2433"/>
    <w:rsid w:val="03DB75BC"/>
    <w:rsid w:val="040232F2"/>
    <w:rsid w:val="040A7467"/>
    <w:rsid w:val="045B14A6"/>
    <w:rsid w:val="046C16AF"/>
    <w:rsid w:val="04B95E1B"/>
    <w:rsid w:val="04DD5C4D"/>
    <w:rsid w:val="04F7112F"/>
    <w:rsid w:val="05370806"/>
    <w:rsid w:val="05441D1A"/>
    <w:rsid w:val="05922FA0"/>
    <w:rsid w:val="05FE23E4"/>
    <w:rsid w:val="061D4115"/>
    <w:rsid w:val="06306035"/>
    <w:rsid w:val="06462747"/>
    <w:rsid w:val="06A52D74"/>
    <w:rsid w:val="06C33D3B"/>
    <w:rsid w:val="06D14A9E"/>
    <w:rsid w:val="06FE1A0B"/>
    <w:rsid w:val="070A631C"/>
    <w:rsid w:val="070C307C"/>
    <w:rsid w:val="070D3A1D"/>
    <w:rsid w:val="073F33EF"/>
    <w:rsid w:val="076F023F"/>
    <w:rsid w:val="077E2A57"/>
    <w:rsid w:val="079F0915"/>
    <w:rsid w:val="07CD41D0"/>
    <w:rsid w:val="07DE1B77"/>
    <w:rsid w:val="085B49C4"/>
    <w:rsid w:val="085E3E8A"/>
    <w:rsid w:val="08674291"/>
    <w:rsid w:val="08D00067"/>
    <w:rsid w:val="08D062B9"/>
    <w:rsid w:val="08E7696B"/>
    <w:rsid w:val="093B368D"/>
    <w:rsid w:val="09816CC9"/>
    <w:rsid w:val="09841782"/>
    <w:rsid w:val="099D4E0E"/>
    <w:rsid w:val="09D84143"/>
    <w:rsid w:val="09FA7600"/>
    <w:rsid w:val="0A623983"/>
    <w:rsid w:val="0A831431"/>
    <w:rsid w:val="0AE85263"/>
    <w:rsid w:val="0B00605F"/>
    <w:rsid w:val="0B4D1B74"/>
    <w:rsid w:val="0B5346A2"/>
    <w:rsid w:val="0B9E129E"/>
    <w:rsid w:val="0BCA2B31"/>
    <w:rsid w:val="0BCB51A1"/>
    <w:rsid w:val="0C9336AD"/>
    <w:rsid w:val="0CBA4B8C"/>
    <w:rsid w:val="0CC0209E"/>
    <w:rsid w:val="0CC56B02"/>
    <w:rsid w:val="0DEF74E9"/>
    <w:rsid w:val="0E48771C"/>
    <w:rsid w:val="0E4D3765"/>
    <w:rsid w:val="0E623A18"/>
    <w:rsid w:val="0E9D69A2"/>
    <w:rsid w:val="0EB2020F"/>
    <w:rsid w:val="0EB60EDD"/>
    <w:rsid w:val="0F0E0BAD"/>
    <w:rsid w:val="0F524C56"/>
    <w:rsid w:val="0F7B3892"/>
    <w:rsid w:val="0F7D6986"/>
    <w:rsid w:val="0FE96B90"/>
    <w:rsid w:val="103024F0"/>
    <w:rsid w:val="103D58C9"/>
    <w:rsid w:val="105421D6"/>
    <w:rsid w:val="105D288F"/>
    <w:rsid w:val="10C15808"/>
    <w:rsid w:val="10D11355"/>
    <w:rsid w:val="10E179FB"/>
    <w:rsid w:val="10F1115B"/>
    <w:rsid w:val="11A8684D"/>
    <w:rsid w:val="11A93FF4"/>
    <w:rsid w:val="11B03C20"/>
    <w:rsid w:val="11B4471C"/>
    <w:rsid w:val="11BC3D26"/>
    <w:rsid w:val="12044A53"/>
    <w:rsid w:val="123C724D"/>
    <w:rsid w:val="124318AA"/>
    <w:rsid w:val="12EC1AAA"/>
    <w:rsid w:val="130F7E50"/>
    <w:rsid w:val="137E6B56"/>
    <w:rsid w:val="13CA3E07"/>
    <w:rsid w:val="13E10C14"/>
    <w:rsid w:val="14074247"/>
    <w:rsid w:val="140B3756"/>
    <w:rsid w:val="141179E4"/>
    <w:rsid w:val="145B12A4"/>
    <w:rsid w:val="149E04C8"/>
    <w:rsid w:val="14DB7F08"/>
    <w:rsid w:val="14E55858"/>
    <w:rsid w:val="153B3073"/>
    <w:rsid w:val="154A2FFE"/>
    <w:rsid w:val="156B6B5D"/>
    <w:rsid w:val="15811A32"/>
    <w:rsid w:val="15A77A54"/>
    <w:rsid w:val="15CC150A"/>
    <w:rsid w:val="15D6641B"/>
    <w:rsid w:val="15DB6743"/>
    <w:rsid w:val="15F2316C"/>
    <w:rsid w:val="16276B81"/>
    <w:rsid w:val="162B4831"/>
    <w:rsid w:val="16386A6E"/>
    <w:rsid w:val="16400D80"/>
    <w:rsid w:val="16753471"/>
    <w:rsid w:val="174309E2"/>
    <w:rsid w:val="17A77336"/>
    <w:rsid w:val="17B10698"/>
    <w:rsid w:val="17B7378B"/>
    <w:rsid w:val="17BE0504"/>
    <w:rsid w:val="17E63C0E"/>
    <w:rsid w:val="17EC08AA"/>
    <w:rsid w:val="17F06755"/>
    <w:rsid w:val="18697959"/>
    <w:rsid w:val="187D7C87"/>
    <w:rsid w:val="189E404F"/>
    <w:rsid w:val="18A20777"/>
    <w:rsid w:val="18A254E0"/>
    <w:rsid w:val="18B71F02"/>
    <w:rsid w:val="19091420"/>
    <w:rsid w:val="190C432E"/>
    <w:rsid w:val="19284C7E"/>
    <w:rsid w:val="19606756"/>
    <w:rsid w:val="19C61A45"/>
    <w:rsid w:val="1A056123"/>
    <w:rsid w:val="1A1014FB"/>
    <w:rsid w:val="1A275FE8"/>
    <w:rsid w:val="1A4705D2"/>
    <w:rsid w:val="1AE63222"/>
    <w:rsid w:val="1B013508"/>
    <w:rsid w:val="1B3A144B"/>
    <w:rsid w:val="1B620683"/>
    <w:rsid w:val="1B695E61"/>
    <w:rsid w:val="1B6E1AFC"/>
    <w:rsid w:val="1BDF5CE8"/>
    <w:rsid w:val="1C101C2D"/>
    <w:rsid w:val="1C401C39"/>
    <w:rsid w:val="1C79141D"/>
    <w:rsid w:val="1C910559"/>
    <w:rsid w:val="1C9D4BA3"/>
    <w:rsid w:val="1CA91A36"/>
    <w:rsid w:val="1CBD494F"/>
    <w:rsid w:val="1CEA3CCF"/>
    <w:rsid w:val="1CFC5E9D"/>
    <w:rsid w:val="1D147CC1"/>
    <w:rsid w:val="1DB44EAA"/>
    <w:rsid w:val="1DBC2B8F"/>
    <w:rsid w:val="1DD55681"/>
    <w:rsid w:val="1DED217A"/>
    <w:rsid w:val="1DFC5D9A"/>
    <w:rsid w:val="1DFE6FCD"/>
    <w:rsid w:val="1E3119FD"/>
    <w:rsid w:val="1E3368D3"/>
    <w:rsid w:val="1E4259BD"/>
    <w:rsid w:val="1E450CE8"/>
    <w:rsid w:val="1ECD07CD"/>
    <w:rsid w:val="1EEE22CE"/>
    <w:rsid w:val="1EFB52BB"/>
    <w:rsid w:val="1F7807AF"/>
    <w:rsid w:val="1FC67B7A"/>
    <w:rsid w:val="20005613"/>
    <w:rsid w:val="20573EE6"/>
    <w:rsid w:val="20BE0AC7"/>
    <w:rsid w:val="211762CF"/>
    <w:rsid w:val="21362140"/>
    <w:rsid w:val="214E2934"/>
    <w:rsid w:val="21535882"/>
    <w:rsid w:val="218562F9"/>
    <w:rsid w:val="22364E30"/>
    <w:rsid w:val="225F2A93"/>
    <w:rsid w:val="227B52F5"/>
    <w:rsid w:val="229227FC"/>
    <w:rsid w:val="22D80D84"/>
    <w:rsid w:val="233C0E37"/>
    <w:rsid w:val="234C7698"/>
    <w:rsid w:val="23687D8D"/>
    <w:rsid w:val="23723FBA"/>
    <w:rsid w:val="238C0DE8"/>
    <w:rsid w:val="23DB76DF"/>
    <w:rsid w:val="240D617F"/>
    <w:rsid w:val="241672DD"/>
    <w:rsid w:val="241708FB"/>
    <w:rsid w:val="244C24FA"/>
    <w:rsid w:val="248B1094"/>
    <w:rsid w:val="24C11AC9"/>
    <w:rsid w:val="24DE5926"/>
    <w:rsid w:val="25417F96"/>
    <w:rsid w:val="25AA3302"/>
    <w:rsid w:val="25C35DEF"/>
    <w:rsid w:val="25E57640"/>
    <w:rsid w:val="25F93AF2"/>
    <w:rsid w:val="26200433"/>
    <w:rsid w:val="262139D6"/>
    <w:rsid w:val="26235823"/>
    <w:rsid w:val="26E958F9"/>
    <w:rsid w:val="26EE5481"/>
    <w:rsid w:val="271B20BE"/>
    <w:rsid w:val="27357461"/>
    <w:rsid w:val="27556AE4"/>
    <w:rsid w:val="27777256"/>
    <w:rsid w:val="277E7F42"/>
    <w:rsid w:val="27A31485"/>
    <w:rsid w:val="27BE1944"/>
    <w:rsid w:val="27C967C7"/>
    <w:rsid w:val="27D150E1"/>
    <w:rsid w:val="27E77002"/>
    <w:rsid w:val="280332CA"/>
    <w:rsid w:val="28121D50"/>
    <w:rsid w:val="284B5588"/>
    <w:rsid w:val="28CA1CFF"/>
    <w:rsid w:val="28D22706"/>
    <w:rsid w:val="28E219C5"/>
    <w:rsid w:val="28FB28EE"/>
    <w:rsid w:val="29061BF2"/>
    <w:rsid w:val="29474CAF"/>
    <w:rsid w:val="2999739E"/>
    <w:rsid w:val="2A1316E0"/>
    <w:rsid w:val="2A134397"/>
    <w:rsid w:val="2A16531B"/>
    <w:rsid w:val="2A2F4546"/>
    <w:rsid w:val="2A62443A"/>
    <w:rsid w:val="2A65091E"/>
    <w:rsid w:val="2A697EC4"/>
    <w:rsid w:val="2A85369C"/>
    <w:rsid w:val="2ABD408D"/>
    <w:rsid w:val="2AE23476"/>
    <w:rsid w:val="2AF81A5A"/>
    <w:rsid w:val="2B02491D"/>
    <w:rsid w:val="2B293A9E"/>
    <w:rsid w:val="2B683386"/>
    <w:rsid w:val="2B7C7BC1"/>
    <w:rsid w:val="2BAC2771"/>
    <w:rsid w:val="2BEB75B2"/>
    <w:rsid w:val="2BEE60A5"/>
    <w:rsid w:val="2BF04F1E"/>
    <w:rsid w:val="2C261ED0"/>
    <w:rsid w:val="2C327F60"/>
    <w:rsid w:val="2C3342E6"/>
    <w:rsid w:val="2C7375A2"/>
    <w:rsid w:val="2C8B24A1"/>
    <w:rsid w:val="2C917C2E"/>
    <w:rsid w:val="2CA4787D"/>
    <w:rsid w:val="2CC91BDE"/>
    <w:rsid w:val="2CD01CB6"/>
    <w:rsid w:val="2CE61FDC"/>
    <w:rsid w:val="2D2D42AE"/>
    <w:rsid w:val="2D562E6F"/>
    <w:rsid w:val="2D8D045E"/>
    <w:rsid w:val="2D8E421C"/>
    <w:rsid w:val="2DBF729E"/>
    <w:rsid w:val="2DD3023A"/>
    <w:rsid w:val="2DD76C40"/>
    <w:rsid w:val="2DEA09D6"/>
    <w:rsid w:val="2E2C24A5"/>
    <w:rsid w:val="2E2C366A"/>
    <w:rsid w:val="2E755964"/>
    <w:rsid w:val="2EDA13D2"/>
    <w:rsid w:val="2F1A3DD4"/>
    <w:rsid w:val="2F5E55A1"/>
    <w:rsid w:val="2F666452"/>
    <w:rsid w:val="2F706AF8"/>
    <w:rsid w:val="2F992124"/>
    <w:rsid w:val="2FB53A2D"/>
    <w:rsid w:val="2FD86AB4"/>
    <w:rsid w:val="2FDA58BC"/>
    <w:rsid w:val="2FDC1914"/>
    <w:rsid w:val="2FEC62C2"/>
    <w:rsid w:val="30451BBC"/>
    <w:rsid w:val="306275EE"/>
    <w:rsid w:val="306F6904"/>
    <w:rsid w:val="30930E2E"/>
    <w:rsid w:val="309B5D53"/>
    <w:rsid w:val="309E1164"/>
    <w:rsid w:val="30AC7F83"/>
    <w:rsid w:val="30C82816"/>
    <w:rsid w:val="31AC5C5F"/>
    <w:rsid w:val="32245452"/>
    <w:rsid w:val="324032FC"/>
    <w:rsid w:val="32794D73"/>
    <w:rsid w:val="32A01F88"/>
    <w:rsid w:val="32B530FE"/>
    <w:rsid w:val="32D60F2A"/>
    <w:rsid w:val="332B5883"/>
    <w:rsid w:val="332E14C6"/>
    <w:rsid w:val="33A71E17"/>
    <w:rsid w:val="3425250B"/>
    <w:rsid w:val="343B4BE2"/>
    <w:rsid w:val="34744190"/>
    <w:rsid w:val="34B04324"/>
    <w:rsid w:val="34D11437"/>
    <w:rsid w:val="34EE320F"/>
    <w:rsid w:val="353103B5"/>
    <w:rsid w:val="35696FCA"/>
    <w:rsid w:val="35AE1D1F"/>
    <w:rsid w:val="35E35D56"/>
    <w:rsid w:val="3665370B"/>
    <w:rsid w:val="3697461C"/>
    <w:rsid w:val="36AD5DC8"/>
    <w:rsid w:val="37031681"/>
    <w:rsid w:val="37D84221"/>
    <w:rsid w:val="38733B2C"/>
    <w:rsid w:val="38D94D40"/>
    <w:rsid w:val="38E1287E"/>
    <w:rsid w:val="38F24E7A"/>
    <w:rsid w:val="38FE3794"/>
    <w:rsid w:val="39C12F31"/>
    <w:rsid w:val="39C173D5"/>
    <w:rsid w:val="39FD5F33"/>
    <w:rsid w:val="3A0869AF"/>
    <w:rsid w:val="3A671F59"/>
    <w:rsid w:val="3A7F2907"/>
    <w:rsid w:val="3AB605BC"/>
    <w:rsid w:val="3ADC46E1"/>
    <w:rsid w:val="3B095D51"/>
    <w:rsid w:val="3B4E0E59"/>
    <w:rsid w:val="3B5B20B0"/>
    <w:rsid w:val="3B926F4C"/>
    <w:rsid w:val="3BD740D2"/>
    <w:rsid w:val="3C0B4130"/>
    <w:rsid w:val="3C5532E6"/>
    <w:rsid w:val="3C8666FD"/>
    <w:rsid w:val="3CCD585C"/>
    <w:rsid w:val="3CDE5E1A"/>
    <w:rsid w:val="3CE4189F"/>
    <w:rsid w:val="3CF57F54"/>
    <w:rsid w:val="3D2428A1"/>
    <w:rsid w:val="3E00155A"/>
    <w:rsid w:val="3E0A262C"/>
    <w:rsid w:val="3E0A2E58"/>
    <w:rsid w:val="3E130DBA"/>
    <w:rsid w:val="3E175A62"/>
    <w:rsid w:val="3E58403D"/>
    <w:rsid w:val="3E772188"/>
    <w:rsid w:val="3E9C73C7"/>
    <w:rsid w:val="3EA93C5B"/>
    <w:rsid w:val="3EBF1F68"/>
    <w:rsid w:val="3EEC24A8"/>
    <w:rsid w:val="3EF06066"/>
    <w:rsid w:val="3F0A1A91"/>
    <w:rsid w:val="3F0A51E9"/>
    <w:rsid w:val="3F117BD4"/>
    <w:rsid w:val="3F503317"/>
    <w:rsid w:val="3F762BC4"/>
    <w:rsid w:val="3F9816F2"/>
    <w:rsid w:val="3FA325A6"/>
    <w:rsid w:val="3FC77001"/>
    <w:rsid w:val="402B6356"/>
    <w:rsid w:val="40484A01"/>
    <w:rsid w:val="40775EF7"/>
    <w:rsid w:val="4083655F"/>
    <w:rsid w:val="40A76F69"/>
    <w:rsid w:val="40DD6179"/>
    <w:rsid w:val="410A13D7"/>
    <w:rsid w:val="411936F5"/>
    <w:rsid w:val="4125361D"/>
    <w:rsid w:val="41273B5D"/>
    <w:rsid w:val="41407380"/>
    <w:rsid w:val="41870656"/>
    <w:rsid w:val="41AB4A33"/>
    <w:rsid w:val="41AD502C"/>
    <w:rsid w:val="420D418A"/>
    <w:rsid w:val="42631478"/>
    <w:rsid w:val="42696D48"/>
    <w:rsid w:val="4292081F"/>
    <w:rsid w:val="42B52703"/>
    <w:rsid w:val="42E27A71"/>
    <w:rsid w:val="42F71CEC"/>
    <w:rsid w:val="42FB34F7"/>
    <w:rsid w:val="433F1A00"/>
    <w:rsid w:val="43410E67"/>
    <w:rsid w:val="43544FFA"/>
    <w:rsid w:val="436F7031"/>
    <w:rsid w:val="4384276F"/>
    <w:rsid w:val="439830F9"/>
    <w:rsid w:val="439A007D"/>
    <w:rsid w:val="4406524B"/>
    <w:rsid w:val="44143923"/>
    <w:rsid w:val="442411F9"/>
    <w:rsid w:val="443067BA"/>
    <w:rsid w:val="444A2031"/>
    <w:rsid w:val="44B85FFB"/>
    <w:rsid w:val="451B42BA"/>
    <w:rsid w:val="452627E2"/>
    <w:rsid w:val="45543D4A"/>
    <w:rsid w:val="45C656E1"/>
    <w:rsid w:val="45F63444"/>
    <w:rsid w:val="46220201"/>
    <w:rsid w:val="4635620F"/>
    <w:rsid w:val="46454957"/>
    <w:rsid w:val="465374F0"/>
    <w:rsid w:val="46B04006"/>
    <w:rsid w:val="46D26911"/>
    <w:rsid w:val="46DB3BE7"/>
    <w:rsid w:val="46F838A8"/>
    <w:rsid w:val="470C596F"/>
    <w:rsid w:val="472674C8"/>
    <w:rsid w:val="47315859"/>
    <w:rsid w:val="47626028"/>
    <w:rsid w:val="477EF908"/>
    <w:rsid w:val="479A5959"/>
    <w:rsid w:val="47D772EC"/>
    <w:rsid w:val="47FB487A"/>
    <w:rsid w:val="487216E8"/>
    <w:rsid w:val="487650FA"/>
    <w:rsid w:val="490303CC"/>
    <w:rsid w:val="49225514"/>
    <w:rsid w:val="49350C9F"/>
    <w:rsid w:val="49625ABB"/>
    <w:rsid w:val="49642D31"/>
    <w:rsid w:val="49877DA8"/>
    <w:rsid w:val="49B151DD"/>
    <w:rsid w:val="49FE148C"/>
    <w:rsid w:val="4A283338"/>
    <w:rsid w:val="4A29579D"/>
    <w:rsid w:val="4A657369"/>
    <w:rsid w:val="4AB65551"/>
    <w:rsid w:val="4B2F2866"/>
    <w:rsid w:val="4B524E11"/>
    <w:rsid w:val="4BAC3727"/>
    <w:rsid w:val="4BE56F53"/>
    <w:rsid w:val="4C06102F"/>
    <w:rsid w:val="4C326C11"/>
    <w:rsid w:val="4C3B2A44"/>
    <w:rsid w:val="4D4E272B"/>
    <w:rsid w:val="4D682A44"/>
    <w:rsid w:val="4D6C714F"/>
    <w:rsid w:val="4D703D1E"/>
    <w:rsid w:val="4D750A7A"/>
    <w:rsid w:val="4DCF1001"/>
    <w:rsid w:val="4E9A56B9"/>
    <w:rsid w:val="4F8C75E7"/>
    <w:rsid w:val="4FC82E13"/>
    <w:rsid w:val="4FFD46C8"/>
    <w:rsid w:val="50A92B61"/>
    <w:rsid w:val="50B92BBB"/>
    <w:rsid w:val="51104A06"/>
    <w:rsid w:val="514E41CC"/>
    <w:rsid w:val="51974469"/>
    <w:rsid w:val="51C324B7"/>
    <w:rsid w:val="51D44347"/>
    <w:rsid w:val="51E17650"/>
    <w:rsid w:val="51E25299"/>
    <w:rsid w:val="51E30482"/>
    <w:rsid w:val="51E61717"/>
    <w:rsid w:val="52746DE2"/>
    <w:rsid w:val="52DC4B00"/>
    <w:rsid w:val="52E94D99"/>
    <w:rsid w:val="5311442D"/>
    <w:rsid w:val="532F5BC8"/>
    <w:rsid w:val="536B70CD"/>
    <w:rsid w:val="537A0B0F"/>
    <w:rsid w:val="53A61D95"/>
    <w:rsid w:val="53DA2E71"/>
    <w:rsid w:val="53F936E1"/>
    <w:rsid w:val="541D6638"/>
    <w:rsid w:val="54371E47"/>
    <w:rsid w:val="543B5250"/>
    <w:rsid w:val="545F71FB"/>
    <w:rsid w:val="54673F55"/>
    <w:rsid w:val="547748A2"/>
    <w:rsid w:val="54795344"/>
    <w:rsid w:val="550932A7"/>
    <w:rsid w:val="550B7314"/>
    <w:rsid w:val="55496DF8"/>
    <w:rsid w:val="558511DC"/>
    <w:rsid w:val="55A002E1"/>
    <w:rsid w:val="55D45164"/>
    <w:rsid w:val="56153EFF"/>
    <w:rsid w:val="563874DF"/>
    <w:rsid w:val="56771D77"/>
    <w:rsid w:val="56BF2156"/>
    <w:rsid w:val="572957BF"/>
    <w:rsid w:val="572A2264"/>
    <w:rsid w:val="575F2F6E"/>
    <w:rsid w:val="57F356AF"/>
    <w:rsid w:val="57F91F69"/>
    <w:rsid w:val="58214023"/>
    <w:rsid w:val="58323A62"/>
    <w:rsid w:val="58507CBD"/>
    <w:rsid w:val="58984F7C"/>
    <w:rsid w:val="58D233AE"/>
    <w:rsid w:val="58E10BDE"/>
    <w:rsid w:val="58E448D9"/>
    <w:rsid w:val="58EB2AAF"/>
    <w:rsid w:val="5925609D"/>
    <w:rsid w:val="595C04CD"/>
    <w:rsid w:val="59802ABF"/>
    <w:rsid w:val="59A53C25"/>
    <w:rsid w:val="59AA73D8"/>
    <w:rsid w:val="59C0685E"/>
    <w:rsid w:val="59D025EE"/>
    <w:rsid w:val="59FE2690"/>
    <w:rsid w:val="5A1C179F"/>
    <w:rsid w:val="5A317606"/>
    <w:rsid w:val="5A317EC0"/>
    <w:rsid w:val="5A5615BC"/>
    <w:rsid w:val="5AA30DE7"/>
    <w:rsid w:val="5AAB4D02"/>
    <w:rsid w:val="5AE36477"/>
    <w:rsid w:val="5B4B17C0"/>
    <w:rsid w:val="5B647B21"/>
    <w:rsid w:val="5B965A5B"/>
    <w:rsid w:val="5BE0459B"/>
    <w:rsid w:val="5C121D1A"/>
    <w:rsid w:val="5C3774BC"/>
    <w:rsid w:val="5C7F48CC"/>
    <w:rsid w:val="5D5366E7"/>
    <w:rsid w:val="5D7F102D"/>
    <w:rsid w:val="5DA3332C"/>
    <w:rsid w:val="5DBA5090"/>
    <w:rsid w:val="5DD1318C"/>
    <w:rsid w:val="5DF20031"/>
    <w:rsid w:val="5E0E6267"/>
    <w:rsid w:val="5E271520"/>
    <w:rsid w:val="5ED3731F"/>
    <w:rsid w:val="5F16266E"/>
    <w:rsid w:val="5F927AF6"/>
    <w:rsid w:val="5FDF3D88"/>
    <w:rsid w:val="6010209D"/>
    <w:rsid w:val="602A0C6E"/>
    <w:rsid w:val="60531DE4"/>
    <w:rsid w:val="605A43F3"/>
    <w:rsid w:val="6065562C"/>
    <w:rsid w:val="606E61E9"/>
    <w:rsid w:val="60AD501A"/>
    <w:rsid w:val="60CA19D8"/>
    <w:rsid w:val="60E43117"/>
    <w:rsid w:val="60F76BF4"/>
    <w:rsid w:val="612B657A"/>
    <w:rsid w:val="612F3A06"/>
    <w:rsid w:val="615062BB"/>
    <w:rsid w:val="61796113"/>
    <w:rsid w:val="61A91D7E"/>
    <w:rsid w:val="61C144EF"/>
    <w:rsid w:val="61FE1A61"/>
    <w:rsid w:val="62503763"/>
    <w:rsid w:val="62512FEA"/>
    <w:rsid w:val="62C366A0"/>
    <w:rsid w:val="62E62D35"/>
    <w:rsid w:val="62E821E8"/>
    <w:rsid w:val="62EB74C5"/>
    <w:rsid w:val="62F51D1A"/>
    <w:rsid w:val="62F51F80"/>
    <w:rsid w:val="62F87B54"/>
    <w:rsid w:val="630770C9"/>
    <w:rsid w:val="6317701F"/>
    <w:rsid w:val="635F764E"/>
    <w:rsid w:val="63726D11"/>
    <w:rsid w:val="638365BD"/>
    <w:rsid w:val="638F4127"/>
    <w:rsid w:val="63AE011A"/>
    <w:rsid w:val="64052AC5"/>
    <w:rsid w:val="6418419F"/>
    <w:rsid w:val="642512D3"/>
    <w:rsid w:val="644A41CF"/>
    <w:rsid w:val="64844412"/>
    <w:rsid w:val="64965549"/>
    <w:rsid w:val="64B3137F"/>
    <w:rsid w:val="64C13E6F"/>
    <w:rsid w:val="64C227AC"/>
    <w:rsid w:val="64FA277A"/>
    <w:rsid w:val="64FD771F"/>
    <w:rsid w:val="65031DA0"/>
    <w:rsid w:val="653603C7"/>
    <w:rsid w:val="655C2B7E"/>
    <w:rsid w:val="65D14B88"/>
    <w:rsid w:val="65DB4294"/>
    <w:rsid w:val="65DD0AAC"/>
    <w:rsid w:val="663354EC"/>
    <w:rsid w:val="66685069"/>
    <w:rsid w:val="66C60A29"/>
    <w:rsid w:val="670A34B7"/>
    <w:rsid w:val="672843FB"/>
    <w:rsid w:val="67421678"/>
    <w:rsid w:val="674D7A09"/>
    <w:rsid w:val="67783772"/>
    <w:rsid w:val="67CD660C"/>
    <w:rsid w:val="67DB74F5"/>
    <w:rsid w:val="683451EA"/>
    <w:rsid w:val="68407A32"/>
    <w:rsid w:val="684F2AAF"/>
    <w:rsid w:val="687267DF"/>
    <w:rsid w:val="68765A53"/>
    <w:rsid w:val="688A467C"/>
    <w:rsid w:val="68F44117"/>
    <w:rsid w:val="68F914A1"/>
    <w:rsid w:val="69162CF0"/>
    <w:rsid w:val="69392234"/>
    <w:rsid w:val="69450BD9"/>
    <w:rsid w:val="69B13A71"/>
    <w:rsid w:val="69D11C2C"/>
    <w:rsid w:val="6A582B8E"/>
    <w:rsid w:val="6A885B1E"/>
    <w:rsid w:val="6A9E61CF"/>
    <w:rsid w:val="6AA0364B"/>
    <w:rsid w:val="6ACA351F"/>
    <w:rsid w:val="6AD0091A"/>
    <w:rsid w:val="6AE564E9"/>
    <w:rsid w:val="6B0542A1"/>
    <w:rsid w:val="6B3F4472"/>
    <w:rsid w:val="6B594E10"/>
    <w:rsid w:val="6B8361CB"/>
    <w:rsid w:val="6B8F4205"/>
    <w:rsid w:val="6BF6265F"/>
    <w:rsid w:val="6C0F4A94"/>
    <w:rsid w:val="6C4F6DA0"/>
    <w:rsid w:val="6C83012E"/>
    <w:rsid w:val="6C884442"/>
    <w:rsid w:val="6CE334BE"/>
    <w:rsid w:val="6D033D14"/>
    <w:rsid w:val="6D3D7B06"/>
    <w:rsid w:val="6D783D5B"/>
    <w:rsid w:val="6DD8607E"/>
    <w:rsid w:val="6E1567FC"/>
    <w:rsid w:val="6E49545B"/>
    <w:rsid w:val="6E51210E"/>
    <w:rsid w:val="6E6D5537"/>
    <w:rsid w:val="6E7D4F6A"/>
    <w:rsid w:val="6E98052C"/>
    <w:rsid w:val="6E9918ED"/>
    <w:rsid w:val="6EEF6B0D"/>
    <w:rsid w:val="6F1C43D6"/>
    <w:rsid w:val="6F32399A"/>
    <w:rsid w:val="6F4877BE"/>
    <w:rsid w:val="6F74201A"/>
    <w:rsid w:val="6F9B5FA9"/>
    <w:rsid w:val="701658F3"/>
    <w:rsid w:val="70730AE3"/>
    <w:rsid w:val="70982910"/>
    <w:rsid w:val="70F62C99"/>
    <w:rsid w:val="71376302"/>
    <w:rsid w:val="71866DCF"/>
    <w:rsid w:val="71EE0C60"/>
    <w:rsid w:val="72070141"/>
    <w:rsid w:val="720802A1"/>
    <w:rsid w:val="721E08F0"/>
    <w:rsid w:val="722476F6"/>
    <w:rsid w:val="72333754"/>
    <w:rsid w:val="72435D8E"/>
    <w:rsid w:val="728F584F"/>
    <w:rsid w:val="7294672D"/>
    <w:rsid w:val="72997B90"/>
    <w:rsid w:val="72A60DB2"/>
    <w:rsid w:val="72AF75ED"/>
    <w:rsid w:val="72EF0675"/>
    <w:rsid w:val="72F04F08"/>
    <w:rsid w:val="732E2C22"/>
    <w:rsid w:val="738D053A"/>
    <w:rsid w:val="73B5241A"/>
    <w:rsid w:val="740E4275"/>
    <w:rsid w:val="742762AB"/>
    <w:rsid w:val="74412A76"/>
    <w:rsid w:val="74445412"/>
    <w:rsid w:val="744530CF"/>
    <w:rsid w:val="7457538A"/>
    <w:rsid w:val="749B4BFA"/>
    <w:rsid w:val="74A33BFE"/>
    <w:rsid w:val="74AE7632"/>
    <w:rsid w:val="74C40D3A"/>
    <w:rsid w:val="75322481"/>
    <w:rsid w:val="755E6222"/>
    <w:rsid w:val="75BE4806"/>
    <w:rsid w:val="763C3364"/>
    <w:rsid w:val="76440C1A"/>
    <w:rsid w:val="76B06E52"/>
    <w:rsid w:val="76F40D08"/>
    <w:rsid w:val="771237FA"/>
    <w:rsid w:val="773777BE"/>
    <w:rsid w:val="77552ADF"/>
    <w:rsid w:val="776E602F"/>
    <w:rsid w:val="77710CF0"/>
    <w:rsid w:val="777233CA"/>
    <w:rsid w:val="77CE52FC"/>
    <w:rsid w:val="77DA7372"/>
    <w:rsid w:val="77DC0F50"/>
    <w:rsid w:val="77F20937"/>
    <w:rsid w:val="77FD7057"/>
    <w:rsid w:val="78196432"/>
    <w:rsid w:val="78534934"/>
    <w:rsid w:val="78B95B1C"/>
    <w:rsid w:val="78CE0040"/>
    <w:rsid w:val="78E61B2D"/>
    <w:rsid w:val="78F261E6"/>
    <w:rsid w:val="78FF080F"/>
    <w:rsid w:val="790F1D64"/>
    <w:rsid w:val="79AA6D6E"/>
    <w:rsid w:val="7A09486A"/>
    <w:rsid w:val="7A557A7B"/>
    <w:rsid w:val="7A6C0DAE"/>
    <w:rsid w:val="7ACF0454"/>
    <w:rsid w:val="7AD60415"/>
    <w:rsid w:val="7B3C363D"/>
    <w:rsid w:val="7B6E5BC1"/>
    <w:rsid w:val="7B7A3197"/>
    <w:rsid w:val="7B830A96"/>
    <w:rsid w:val="7B870239"/>
    <w:rsid w:val="7B9B6ED9"/>
    <w:rsid w:val="7BA22FE1"/>
    <w:rsid w:val="7BEA7C68"/>
    <w:rsid w:val="7C161217"/>
    <w:rsid w:val="7C581BDC"/>
    <w:rsid w:val="7CE6075B"/>
    <w:rsid w:val="7CF53C93"/>
    <w:rsid w:val="7CFB1A18"/>
    <w:rsid w:val="7D1172F8"/>
    <w:rsid w:val="7D67271F"/>
    <w:rsid w:val="7D6B181F"/>
    <w:rsid w:val="7D7960FD"/>
    <w:rsid w:val="7DA3B057"/>
    <w:rsid w:val="7DB84AD1"/>
    <w:rsid w:val="7DEC33CD"/>
    <w:rsid w:val="7E0A24D6"/>
    <w:rsid w:val="7E175822"/>
    <w:rsid w:val="7E350F2A"/>
    <w:rsid w:val="7E617E0B"/>
    <w:rsid w:val="7E77A389"/>
    <w:rsid w:val="7E7D6F5F"/>
    <w:rsid w:val="7EC32E3C"/>
    <w:rsid w:val="7EDE52EF"/>
    <w:rsid w:val="7F0C2FFD"/>
    <w:rsid w:val="7F897AD4"/>
    <w:rsid w:val="7F9B73F2"/>
    <w:rsid w:val="7FC3728A"/>
    <w:rsid w:val="7FCC7BB8"/>
    <w:rsid w:val="7FD73C1B"/>
    <w:rsid w:val="7FEA2567"/>
    <w:rsid w:val="7FF73842"/>
    <w:rsid w:val="7FF8530D"/>
    <w:rsid w:val="BD99CA83"/>
    <w:rsid w:val="DFC70A5E"/>
    <w:rsid w:val="F95D56B5"/>
    <w:rsid w:val="F9F90995"/>
    <w:rsid w:val="FD3DF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32"/>
      <w:szCs w:val="22"/>
      <w:lang w:val="en-US" w:eastAsia="zh-CN" w:bidi="ar-SA"/>
    </w:rPr>
  </w:style>
  <w:style w:type="paragraph" w:styleId="3">
    <w:name w:val="heading 1"/>
    <w:basedOn w:val="1"/>
    <w:next w:val="1"/>
    <w:qFormat/>
    <w:uiPriority w:val="9"/>
    <w:pPr>
      <w:keepNext/>
      <w:keepLines/>
      <w:spacing w:before="340" w:after="330" w:line="578" w:lineRule="auto"/>
      <w:outlineLvl w:val="0"/>
    </w:pPr>
    <w:rPr>
      <w:rFonts w:ascii="Times New Roman" w:hAnsi="Times New Roman"/>
      <w:b/>
      <w:bCs/>
      <w:kern w:val="44"/>
      <w:sz w:val="44"/>
      <w:szCs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方正仿宋简体" w:hAnsi="方正仿宋简体" w:eastAsia="方正仿宋简体" w:cs="Times New Roman"/>
      <w:color w:val="000000"/>
      <w:sz w:val="24"/>
      <w:szCs w:val="22"/>
      <w:lang w:val="en-US" w:eastAsia="zh-CN" w:bidi="ar-SA"/>
    </w:rPr>
  </w:style>
  <w:style w:type="paragraph" w:styleId="4">
    <w:name w:val="index 8"/>
    <w:basedOn w:val="1"/>
    <w:next w:val="1"/>
    <w:qFormat/>
    <w:uiPriority w:val="0"/>
    <w:pPr>
      <w:ind w:left="2940"/>
    </w:pPr>
    <w:rPr>
      <w:rFonts w:ascii="Times New Roman" w:hAnsi="Times New Roman"/>
    </w:rPr>
  </w:style>
  <w:style w:type="paragraph" w:styleId="5">
    <w:name w:val="toa heading"/>
    <w:basedOn w:val="1"/>
    <w:next w:val="1"/>
    <w:qFormat/>
    <w:uiPriority w:val="0"/>
    <w:pPr>
      <w:spacing w:before="120"/>
    </w:pPr>
    <w:rPr>
      <w:rFonts w:ascii="Arial" w:hAnsi="Arial"/>
      <w:sz w:val="24"/>
    </w:rPr>
  </w:style>
  <w:style w:type="paragraph" w:styleId="6">
    <w:name w:val="annotation text"/>
    <w:basedOn w:val="1"/>
    <w:qFormat/>
    <w:uiPriority w:val="0"/>
    <w:pPr>
      <w:jc w:val="left"/>
    </w:pPr>
  </w:style>
  <w:style w:type="paragraph" w:styleId="7">
    <w:name w:val="Body Text"/>
    <w:basedOn w:val="1"/>
    <w:next w:val="8"/>
    <w:link w:val="18"/>
    <w:qFormat/>
    <w:uiPriority w:val="0"/>
    <w:pPr>
      <w:spacing w:after="120"/>
    </w:pPr>
  </w:style>
  <w:style w:type="paragraph" w:styleId="8">
    <w:name w:val="Title"/>
    <w:basedOn w:val="1"/>
    <w:next w:val="1"/>
    <w:qFormat/>
    <w:uiPriority w:val="10"/>
    <w:pPr>
      <w:spacing w:before="240" w:after="60"/>
      <w:jc w:val="center"/>
      <w:outlineLvl w:val="0"/>
    </w:pPr>
    <w:rPr>
      <w:rFonts w:ascii="@仿宋_GB2312" w:hAnsi="@仿宋_GB2312" w:eastAsia="@仿宋_GB2312"/>
      <w:b/>
      <w:bCs/>
    </w:rPr>
  </w:style>
  <w:style w:type="paragraph" w:styleId="9">
    <w:name w:val="Plain Text"/>
    <w:basedOn w:val="1"/>
    <w:next w:val="4"/>
    <w:qFormat/>
    <w:uiPriority w:val="0"/>
    <w:rPr>
      <w:rFonts w:ascii="宋体" w:hAnsi="Courier New" w:cs="Courier New"/>
      <w:szCs w:val="21"/>
    </w:rPr>
  </w:style>
  <w:style w:type="paragraph" w:styleId="10">
    <w:name w:val="footer"/>
    <w:basedOn w:val="1"/>
    <w:link w:val="20"/>
    <w:qFormat/>
    <w:uiPriority w:val="99"/>
    <w:pPr>
      <w:tabs>
        <w:tab w:val="center" w:pos="4153"/>
        <w:tab w:val="right" w:pos="8306"/>
      </w:tabs>
      <w:snapToGrid w:val="0"/>
      <w:jc w:val="left"/>
    </w:pPr>
    <w:rPr>
      <w:sz w:val="18"/>
      <w:szCs w:val="18"/>
    </w:rPr>
  </w:style>
  <w:style w:type="paragraph" w:styleId="11">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u w:val="single"/>
    </w:rPr>
  </w:style>
  <w:style w:type="paragraph" w:customStyle="1" w:styleId="17">
    <w:name w:val="修订1"/>
    <w:hidden/>
    <w:semiHidden/>
    <w:qFormat/>
    <w:uiPriority w:val="99"/>
    <w:rPr>
      <w:rFonts w:ascii="Calibri" w:hAnsi="Calibri" w:eastAsia="宋体" w:cs="Times New Roman"/>
      <w:kern w:val="2"/>
      <w:sz w:val="32"/>
      <w:szCs w:val="22"/>
      <w:lang w:val="en-US" w:eastAsia="zh-CN" w:bidi="ar-SA"/>
    </w:rPr>
  </w:style>
  <w:style w:type="character" w:customStyle="1" w:styleId="18">
    <w:name w:val="正文文本 字符"/>
    <w:link w:val="7"/>
    <w:qFormat/>
    <w:uiPriority w:val="0"/>
    <w:rPr>
      <w:rFonts w:ascii="Calibri" w:hAnsi="Calibri"/>
      <w:kern w:val="2"/>
      <w:sz w:val="32"/>
      <w:szCs w:val="22"/>
    </w:rPr>
  </w:style>
  <w:style w:type="character" w:customStyle="1" w:styleId="19">
    <w:name w:val="页眉 字符"/>
    <w:link w:val="11"/>
    <w:qFormat/>
    <w:uiPriority w:val="0"/>
    <w:rPr>
      <w:rFonts w:ascii="Calibri" w:hAnsi="Calibri"/>
      <w:kern w:val="2"/>
      <w:sz w:val="18"/>
      <w:szCs w:val="18"/>
    </w:rPr>
  </w:style>
  <w:style w:type="character" w:customStyle="1" w:styleId="20">
    <w:name w:val="页脚 字符"/>
    <w:link w:val="10"/>
    <w:qFormat/>
    <w:uiPriority w:val="99"/>
    <w:rPr>
      <w:rFonts w:ascii="Calibri" w:hAnsi="Calibri"/>
      <w:kern w:val="2"/>
      <w:sz w:val="18"/>
      <w:szCs w:val="18"/>
    </w:rPr>
  </w:style>
  <w:style w:type="paragraph" w:customStyle="1" w:styleId="21">
    <w:name w:val="Revision"/>
    <w:hidden/>
    <w:semiHidden/>
    <w:qFormat/>
    <w:uiPriority w:val="99"/>
    <w:rPr>
      <w:rFonts w:ascii="Calibri" w:hAnsi="Calibri" w:eastAsia="宋体" w:cs="Times New Roman"/>
      <w:kern w:val="2"/>
      <w:sz w:val="32"/>
      <w:szCs w:val="22"/>
      <w:lang w:val="en-US" w:eastAsia="zh-CN" w:bidi="ar-SA"/>
    </w:rPr>
  </w:style>
  <w:style w:type="paragraph" w:customStyle="1" w:styleId="22">
    <w:name w:val="段落"/>
    <w:basedOn w:val="1"/>
    <w:qFormat/>
    <w:uiPriority w:val="0"/>
    <w:pPr>
      <w:spacing w:line="360" w:lineRule="auto"/>
      <w:ind w:firstLine="643" w:firstLineChars="200"/>
    </w:pPr>
    <w:rPr>
      <w:rFonts w:ascii="Calibri" w:hAnsi="Calibri"/>
    </w:rPr>
  </w:style>
  <w:style w:type="paragraph" w:customStyle="1" w:styleId="23">
    <w:name w:val="文本段落"/>
    <w:basedOn w:val="1"/>
    <w:qFormat/>
    <w:uiPriority w:val="0"/>
    <w:pPr>
      <w:ind w:leftChars="0" w:firstLine="643" w:firstLineChars="200"/>
    </w:pPr>
  </w:style>
  <w:style w:type="paragraph" w:customStyle="1" w:styleId="24">
    <w:name w:val="Heading #1|1"/>
    <w:basedOn w:val="1"/>
    <w:qFormat/>
    <w:uiPriority w:val="0"/>
    <w:pPr>
      <w:widowControl w:val="0"/>
      <w:shd w:val="clear" w:color="auto" w:fill="auto"/>
      <w:spacing w:after="200" w:line="709" w:lineRule="exact"/>
      <w:jc w:val="center"/>
      <w:outlineLvl w:val="0"/>
    </w:pPr>
    <w:rPr>
      <w:rFonts w:ascii="宋体" w:hAnsi="宋体" w:eastAsia="宋体" w:cs="宋体"/>
      <w:sz w:val="44"/>
      <w:szCs w:val="44"/>
      <w:u w:val="none"/>
      <w:shd w:val="clear" w:color="auto" w:fill="auto"/>
      <w:lang w:val="zh-TW" w:eastAsia="zh-TW" w:bidi="zh-TW"/>
    </w:rPr>
  </w:style>
  <w:style w:type="paragraph" w:customStyle="1" w:styleId="25">
    <w:name w:val="Other|2"/>
    <w:basedOn w:val="1"/>
    <w:qFormat/>
    <w:uiPriority w:val="0"/>
    <w:pPr>
      <w:widowControl w:val="0"/>
      <w:shd w:val="clear" w:color="auto" w:fill="auto"/>
      <w:spacing w:line="252" w:lineRule="exact"/>
      <w:jc w:val="center"/>
    </w:pPr>
    <w:rPr>
      <w:rFonts w:ascii="宋体" w:hAnsi="宋体" w:eastAsia="宋体" w:cs="宋体"/>
      <w:u w:val="none"/>
      <w:shd w:val="clear" w:color="auto" w:fill="auto"/>
      <w:lang w:val="zh-TW" w:eastAsia="zh-TW" w:bidi="zh-TW"/>
    </w:rPr>
  </w:style>
  <w:style w:type="paragraph" w:customStyle="1" w:styleId="26">
    <w:name w:val="Other|1"/>
    <w:basedOn w:val="1"/>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paragraph" w:customStyle="1" w:styleId="27">
    <w:name w:val="Body text|2"/>
    <w:basedOn w:val="1"/>
    <w:qFormat/>
    <w:uiPriority w:val="0"/>
    <w:pPr>
      <w:widowControl w:val="0"/>
      <w:shd w:val="clear" w:color="auto" w:fill="auto"/>
      <w:spacing w:after="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3490</Words>
  <Characters>331</Characters>
  <Lines>2</Lines>
  <Paragraphs>7</Paragraphs>
  <TotalTime>1</TotalTime>
  <ScaleCrop>false</ScaleCrop>
  <LinksUpToDate>false</LinksUpToDate>
  <CharactersWithSpaces>3814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2022-12-30T23:48:00Z</dcterms:created>
  <dc:creator>yangxy</dc:creator>
  <cp:lastModifiedBy>揉脸</cp:lastModifiedBy>
  <dcterms:modified xsi:type="dcterms:W3CDTF">2025-06-06T07:17:41Z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E76798DAA2361EDAF189396885D501F2</vt:lpwstr>
  </property>
</Properties>
</file>