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spacing w:line="560" w:lineRule="exact"/>
        <w:jc w:val="center"/>
        <w:rPr>
          <w:rFonts w:ascii="方正小标宋简体" w:eastAsia="方正小标宋简体"/>
          <w:color w:val="000000" w:themeColor="text1"/>
          <w:sz w:val="44"/>
          <w:szCs w:val="44"/>
          <w14:textFill>
            <w14:solidFill>
              <w14:schemeClr w14:val="tx1"/>
            </w14:solidFill>
          </w14:textFill>
        </w:rPr>
      </w:pPr>
    </w:p>
    <w:p>
      <w:pPr>
        <w:spacing w:line="560" w:lineRule="exact"/>
        <w:jc w:val="center"/>
        <w:rPr>
          <w:rFonts w:ascii="Arial" w:hAnsi="Arial" w:eastAsia="方正小标宋简体" w:cs="Arial"/>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hint="eastAsia" w:ascii="方正小标宋简体" w:eastAsia="方正小标宋简体"/>
          <w:color w:val="000000" w:themeColor="text1"/>
          <w:sz w:val="44"/>
          <w:szCs w:val="44"/>
          <w:lang w:val="en-US" w:eastAsia="zh-CN"/>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Arial" w:hAnsi="Arial" w:eastAsia="方正小标宋简体" w:cs="Arial"/>
          <w:color w:val="000000" w:themeColor="text1"/>
          <w:sz w:val="44"/>
          <w:szCs w:val="44"/>
          <w14:textFill>
            <w14:solidFill>
              <w14:schemeClr w14:val="tx1"/>
            </w14:solidFill>
          </w14:textFill>
        </w:rPr>
        <w:t>对外投资</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ascii="Arial" w:hAnsi="Arial" w:eastAsia="方正小标宋简体" w:cs="Arial"/>
          <w:color w:val="000000" w:themeColor="text1"/>
          <w:sz w:val="44"/>
          <w:szCs w:val="44"/>
          <w14:textFill>
            <w14:solidFill>
              <w14:schemeClr w14:val="tx1"/>
            </w14:solidFill>
          </w14:textFill>
        </w:rPr>
        <w:t>合作资助</w:t>
      </w:r>
      <w:r>
        <w:rPr>
          <w:rFonts w:hint="eastAsia" w:ascii="方正小标宋简体" w:eastAsia="方正小标宋简体"/>
          <w:color w:val="000000" w:themeColor="text1"/>
          <w:sz w:val="44"/>
          <w:szCs w:val="44"/>
          <w14:textFill>
            <w14:solidFill>
              <w14:schemeClr w14:val="tx1"/>
            </w14:solidFill>
          </w14:textFill>
        </w:rPr>
        <w:t>事项）申报指南</w:t>
      </w:r>
    </w:p>
    <w:p>
      <w:pPr>
        <w:pStyle w:val="8"/>
        <w:jc w:val="center"/>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tabs>
          <w:tab w:val="left" w:pos="5227"/>
        </w:tabs>
        <w:spacing w:line="560" w:lineRule="exact"/>
        <w:ind w:firstLine="640" w:firstLineChars="200"/>
        <w:rPr>
          <w:highlight w:val="none"/>
        </w:rPr>
      </w:pPr>
      <w:r>
        <w:rPr>
          <w:rFonts w:hint="eastAsia" w:ascii="仿宋_GB2312" w:eastAsia="仿宋_GB2312"/>
          <w:color w:val="000000" w:themeColor="text1"/>
          <w:sz w:val="32"/>
          <w:szCs w:val="32"/>
          <w:highlight w:val="none"/>
          <w14:textFill>
            <w14:solidFill>
              <w14:schemeClr w14:val="tx1"/>
            </w14:solidFill>
          </w14:textFill>
        </w:rPr>
        <w:t>支持拓展绿色发展、数字经济、蓝色经济、新能矿等新领域投资合作</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鼓励和支持企业以对外投资方式开展境外加工</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一体推动贸易投资发展</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支持对外承包工程提质增效</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支持对外投资标志性工程和</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小而美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支持企业加强对外投资风险防控。</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（一）资金政策依据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default" w:ascii="仿宋_GB2312" w:hAnsi="仿宋_GB2312" w:eastAsia="仿宋_GB2312"/>
          <w:sz w:val="32"/>
          <w:szCs w:val="32"/>
          <w:lang w:eastAsia="zh-CN"/>
        </w:rPr>
        <w:t>根据相关文件设定</w:t>
      </w:r>
      <w:r>
        <w:rPr>
          <w:rFonts w:hint="eastAsia" w:ascii="仿宋_GB2312" w:hAnsi="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（二）资金管理依据</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w:t>
      </w:r>
      <w:r>
        <w:rPr>
          <w:rFonts w:hint="default" w:ascii="仿宋_GB2312" w:hAnsi="仿宋_GB2312" w:eastAsia="仿宋_GB2312"/>
          <w:sz w:val="32"/>
          <w:szCs w:val="32"/>
          <w:lang w:eastAsia="zh-CN"/>
        </w:rPr>
        <w:t>中央资金相关管理文件</w:t>
      </w:r>
      <w:r>
        <w:rPr>
          <w:rFonts w:hint="eastAsia" w:ascii="仿宋_GB2312" w:hAnsi="仿宋_GB2312"/>
          <w:sz w:val="32"/>
          <w:szCs w:val="32"/>
          <w:lang w:val="en-US" w:eastAsia="zh-CN"/>
        </w:rPr>
        <w:t>。</w:t>
      </w:r>
    </w:p>
    <w:p>
      <w:pPr>
        <w:widowControl/>
        <w:spacing w:line="56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2.《深圳市商务专项资金管理</w:t>
      </w:r>
      <w:r>
        <w:rPr>
          <w:rFonts w:hint="default" w:ascii="仿宋_GB2312" w:hAnsi="仿宋_GB2312" w:eastAsia="仿宋_GB2312"/>
          <w:sz w:val="32"/>
          <w:szCs w:val="32"/>
          <w:lang w:val="en-US" w:eastAsia="zh-CN"/>
        </w:rPr>
        <w:t>办法</w:t>
      </w:r>
      <w:r>
        <w:rPr>
          <w:rFonts w:hint="eastAsia" w:ascii="仿宋_GB2312" w:hAnsi="仿宋_GB2312" w:eastAsia="仿宋_GB2312"/>
          <w:sz w:val="32"/>
          <w:szCs w:val="32"/>
          <w:lang w:val="en-US" w:eastAsia="zh-CN"/>
        </w:rPr>
        <w:t>》（深商务规〔2020〕2号）</w:t>
      </w:r>
      <w:r>
        <w:rPr>
          <w:rFonts w:hint="eastAsia" w:ascii="仿宋_GB2312" w:hAnsi="仿宋_GB2312"/>
          <w:sz w:val="32"/>
          <w:szCs w:val="32"/>
          <w:lang w:val="en-US" w:eastAsia="zh-CN"/>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事后资助</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sz w:val="32"/>
          <w:szCs w:val="32"/>
        </w:rPr>
        <w:t>1.申报单位为在深圳市行政区域内</w:t>
      </w:r>
      <w:r>
        <w:rPr>
          <w:rFonts w:hint="eastAsia" w:ascii="仿宋_GB2312" w:hAnsi="仿宋_GB2312" w:eastAsia="仿宋_GB2312"/>
          <w:sz w:val="32"/>
          <w:szCs w:val="32"/>
          <w:lang w:eastAsia="zh-CN"/>
        </w:rPr>
        <w:t>实际从事商事经营活动</w:t>
      </w:r>
      <w:r>
        <w:rPr>
          <w:rFonts w:hint="eastAsia" w:ascii="仿宋_GB2312" w:hAnsi="仿宋_GB2312" w:eastAsia="仿宋_GB2312"/>
          <w:sz w:val="32"/>
          <w:szCs w:val="32"/>
        </w:rPr>
        <w:t>，具有独立法人资格的企业</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申报单位未被国家、省、市有关部门列入严重失信主体名单实施失信惩戒，明确限制申请财政性资金项目，且在限制期内</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3.申报单位近</w:t>
      </w:r>
      <w:r>
        <w:rPr>
          <w:rFonts w:ascii="仿宋_GB2312" w:eastAsia="仿宋_GB2312"/>
          <w:color w:val="000000" w:themeColor="text1"/>
          <w:sz w:val="32"/>
          <w:szCs w:val="32"/>
          <w:highlight w:val="none"/>
          <w14:textFill>
            <w14:solidFill>
              <w14:schemeClr w14:val="tx1"/>
            </w14:solidFill>
          </w14:textFill>
        </w:rPr>
        <w:t>三</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不存在</w:t>
      </w:r>
      <w:r>
        <w:rPr>
          <w:rFonts w:hint="eastAsia" w:ascii="仿宋_GB2312" w:eastAsia="仿宋_GB2312"/>
          <w:color w:val="000000" w:themeColor="text1"/>
          <w:sz w:val="32"/>
          <w:szCs w:val="32"/>
          <w:highlight w:val="none"/>
          <w14:textFill>
            <w14:solidFill>
              <w14:schemeClr w14:val="tx1"/>
            </w14:solidFill>
          </w14:textFill>
        </w:rPr>
        <w:t>严重违法违规行为，未拖欠应缴还的财政性资金</w:t>
      </w:r>
      <w:r>
        <w:rPr>
          <w:rFonts w:ascii="仿宋_GB2312" w:eastAsia="仿宋_GB2312"/>
          <w:color w:val="000000" w:themeColor="text1"/>
          <w:sz w:val="32"/>
          <w:szCs w:val="32"/>
          <w:highlight w:val="none"/>
          <w14:textFill>
            <w14:solidFill>
              <w14:schemeClr w14:val="tx1"/>
            </w14:solidFill>
          </w14:textFill>
        </w:rPr>
        <w:t>。</w:t>
      </w:r>
    </w:p>
    <w:p>
      <w:pPr>
        <w:pStyle w:val="2"/>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4.申报单位应承担资金真实申报、合规使用和有效管理；应对申报材料的真实性、合法性、完整性负责，应如实提供本单位信用状况，承担违约责任并作出承诺，不得弄虚作假、套取、骗取财政资金。</w:t>
      </w:r>
    </w:p>
    <w:p>
      <w:pPr>
        <w:tabs>
          <w:tab w:val="left" w:pos="798"/>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5.申报项目</w:t>
      </w:r>
      <w:r>
        <w:rPr>
          <w:rFonts w:ascii="仿宋_GB2312" w:hAnsi="仿宋_GB2312" w:eastAsia="仿宋_GB2312" w:cs="仿宋_GB2312"/>
          <w:color w:val="000000" w:themeColor="text1"/>
          <w:sz w:val="32"/>
          <w:szCs w:val="32"/>
          <w14:textFill>
            <w14:solidFill>
              <w14:schemeClr w14:val="tx1"/>
            </w14:solidFill>
          </w14:textFill>
        </w:rPr>
        <w:t>未以</w:t>
      </w:r>
      <w:r>
        <w:rPr>
          <w:rFonts w:hint="eastAsia" w:ascii="仿宋_GB2312" w:hAnsi="仿宋_GB2312" w:eastAsia="仿宋_GB2312" w:cs="仿宋_GB2312"/>
          <w:color w:val="000000" w:themeColor="text1"/>
          <w:sz w:val="32"/>
          <w:szCs w:val="32"/>
          <w14:textFill>
            <w14:solidFill>
              <w14:schemeClr w14:val="tx1"/>
            </w14:solidFill>
          </w14:textFill>
        </w:rPr>
        <w:t>同一事项</w:t>
      </w:r>
      <w:r>
        <w:rPr>
          <w:rFonts w:ascii="仿宋_GB2312" w:hAnsi="仿宋_GB2312" w:eastAsia="仿宋_GB2312" w:cs="仿宋_GB2312"/>
          <w:color w:val="000000" w:themeColor="text1"/>
          <w:sz w:val="32"/>
          <w:szCs w:val="32"/>
          <w14:textFill>
            <w14:solidFill>
              <w14:schemeClr w14:val="tx1"/>
            </w14:solidFill>
          </w14:textFill>
        </w:rPr>
        <w:t>从其他渠道获得中央财政资金支持。</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企业已进行境外投资核准或备案，依法取得境外投资证书或境外机构证书且已在境外开展业务，已在项目所在国（地区）依法注册或办理合法手续；或已进行对外承包工程项目核准或备案，项目合同或合作协议已</w:t>
      </w:r>
      <w:r>
        <w:rPr>
          <w:rFonts w:hint="default" w:ascii="仿宋_GB2312" w:hAnsi="仿宋_GB2312" w:eastAsia="仿宋_GB2312" w:cs="仿宋_GB2312"/>
          <w:color w:val="000000" w:themeColor="text1"/>
          <w:sz w:val="32"/>
          <w:szCs w:val="32"/>
          <w14:textFill>
            <w14:solidFill>
              <w14:schemeClr w14:val="tx1"/>
            </w14:solidFill>
          </w14:textFill>
        </w:rPr>
        <w:t>签订</w:t>
      </w:r>
      <w:r>
        <w:rPr>
          <w:rFonts w:ascii="仿宋_GB2312" w:hAnsi="仿宋_GB2312" w:eastAsia="仿宋_GB2312" w:cs="仿宋_GB2312"/>
          <w:color w:val="000000" w:themeColor="text1"/>
          <w:sz w:val="32"/>
          <w:szCs w:val="32"/>
          <w14:textFill>
            <w14:solidFill>
              <w14:schemeClr w14:val="tx1"/>
            </w14:solidFill>
          </w14:textFill>
        </w:rPr>
        <w:t>。</w:t>
      </w:r>
    </w:p>
    <w:p>
      <w:pPr>
        <w:pStyle w:val="8"/>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14:textFill>
            <w14:solidFill>
              <w14:schemeClr w14:val="tx1"/>
            </w14:solidFill>
          </w14:textFill>
        </w:rPr>
        <w:t>《对外直接投资统计制度》《对外承包工程业务统计调查制度》</w:t>
      </w:r>
      <w:r>
        <w:rPr>
          <w:rFonts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规定向商务主管部门报送统计资料</w:t>
      </w:r>
      <w:r>
        <w:rPr>
          <w:rFonts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widowControl/>
        <w:shd w:val="clear" w:color="auto" w:fill="FFFFFF"/>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sz w:val="32"/>
          <w:szCs w:val="32"/>
        </w:rPr>
        <w:t>对外承包工程项目合同金额不低于100万美元（或等值货币）</w:t>
      </w:r>
      <w:r>
        <w:rPr>
          <w:rFonts w:hint="eastAsia" w:ascii="仿宋_GB2312" w:eastAsia="仿宋_GB2312"/>
          <w:sz w:val="32"/>
          <w:szCs w:val="32"/>
          <w:lang w:eastAsia="zh-CN"/>
        </w:rPr>
        <w:t>，其中,对外设计咨询项目合同金额不低于50万美元；</w:t>
      </w:r>
      <w:r>
        <w:rPr>
          <w:rFonts w:hint="eastAsia" w:ascii="仿宋_GB2312" w:eastAsia="仿宋_GB2312"/>
          <w:sz w:val="32"/>
          <w:szCs w:val="32"/>
        </w:rPr>
        <w:t>境外投资项目中方实际直接投资额不低于100万美元（或等值货币）；申请贷款贴息项目的，单笔贷款金额不低于300万元人民币（或等值货币）。</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2.申请前期费用支持的境外企业注册时间、并购项目交割时间或工程项目合同（协议）签订时间应在202</w:t>
      </w:r>
      <w:r>
        <w:rPr>
          <w:rFonts w:hint="eastAsia" w:ascii="仿宋_GB2312" w:eastAsia="仿宋_GB2312"/>
          <w:sz w:val="32"/>
          <w:szCs w:val="32"/>
          <w:lang w:val="en-US" w:eastAsia="zh-CN"/>
        </w:rPr>
        <w:t>4</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日期间</w:t>
      </w:r>
      <w:r>
        <w:rPr>
          <w:rFonts w:hint="default" w:ascii="仿宋_GB2312" w:eastAsia="仿宋_GB2312"/>
          <w:sz w:val="32"/>
          <w:szCs w:val="32"/>
        </w:rPr>
        <w:t>。</w:t>
      </w:r>
      <w:r>
        <w:rPr>
          <w:rFonts w:hint="default" w:ascii="仿宋_GB2312" w:eastAsia="仿宋_GB2312"/>
          <w:sz w:val="32"/>
          <w:szCs w:val="32"/>
          <w:highlight w:val="none"/>
        </w:rPr>
        <w:t>相应的</w:t>
      </w:r>
      <w:r>
        <w:rPr>
          <w:rFonts w:hint="default" w:ascii="仿宋_GB2312" w:eastAsia="仿宋_GB2312"/>
          <w:b w:val="0"/>
          <w:bCs w:val="0"/>
          <w:sz w:val="32"/>
          <w:szCs w:val="32"/>
          <w:highlight w:val="none"/>
        </w:rPr>
        <w:t>前期服务合同签订时间应在境外企业注册时间、并购项目交割时间或</w:t>
      </w:r>
      <w:r>
        <w:rPr>
          <w:rFonts w:hint="eastAsia" w:ascii="仿宋_GB2312" w:eastAsia="仿宋_GB2312"/>
          <w:sz w:val="32"/>
          <w:szCs w:val="32"/>
          <w:highlight w:val="none"/>
        </w:rPr>
        <w:t>工程项目合同（协议）</w:t>
      </w:r>
      <w:r>
        <w:rPr>
          <w:rFonts w:hint="default" w:ascii="仿宋_GB2312" w:eastAsia="仿宋_GB2312"/>
          <w:sz w:val="32"/>
          <w:szCs w:val="32"/>
          <w:highlight w:val="none"/>
        </w:rPr>
        <w:t>签订时间之前，企业应在</w:t>
      </w:r>
      <w:r>
        <w:rPr>
          <w:rFonts w:hint="eastAsia" w:ascii="仿宋_GB2312" w:eastAsia="仿宋_GB2312"/>
          <w:b w:val="0"/>
          <w:bCs w:val="0"/>
          <w:sz w:val="32"/>
          <w:szCs w:val="32"/>
          <w:highlight w:val="none"/>
        </w:rPr>
        <w:t>本通知规定的申报截止日期之前支付相关</w:t>
      </w:r>
      <w:r>
        <w:rPr>
          <w:rFonts w:hint="default" w:ascii="仿宋_GB2312" w:eastAsia="仿宋_GB2312"/>
          <w:b w:val="0"/>
          <w:bCs w:val="0"/>
          <w:sz w:val="32"/>
          <w:szCs w:val="32"/>
          <w:highlight w:val="none"/>
        </w:rPr>
        <w:t>服务</w:t>
      </w:r>
      <w:r>
        <w:rPr>
          <w:rFonts w:hint="eastAsia" w:ascii="仿宋_GB2312" w:eastAsia="仿宋_GB2312"/>
          <w:b w:val="0"/>
          <w:bCs w:val="0"/>
          <w:sz w:val="32"/>
          <w:szCs w:val="32"/>
          <w:highlight w:val="none"/>
        </w:rPr>
        <w:t>费用</w:t>
      </w:r>
      <w:r>
        <w:rPr>
          <w:rFonts w:hint="eastAsia" w:ascii="仿宋_GB2312" w:eastAsia="仿宋_GB2312"/>
          <w:sz w:val="32"/>
          <w:szCs w:val="32"/>
          <w:highlight w:val="none"/>
        </w:rPr>
        <w:t>。</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3.申请贷款利息贴息支持、海外投资保险保费支持的资助项目，其贷款合同、保单应当在202</w:t>
      </w:r>
      <w:r>
        <w:rPr>
          <w:rFonts w:hint="eastAsia" w:ascii="仿宋_GB2312" w:eastAsia="仿宋_GB2312"/>
          <w:sz w:val="32"/>
          <w:szCs w:val="32"/>
          <w:lang w:val="en-US" w:eastAsia="zh-CN"/>
        </w:rPr>
        <w:t>4</w:t>
      </w:r>
      <w:r>
        <w:rPr>
          <w:rFonts w:hint="eastAsia" w:ascii="仿宋_GB2312" w:eastAsia="仿宋_GB2312"/>
          <w:sz w:val="32"/>
          <w:szCs w:val="32"/>
        </w:rPr>
        <w:t>年7月1日至202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日期间正在执行或有效，并在本通知规定的申报截止日期之前</w:t>
      </w:r>
      <w:r>
        <w:rPr>
          <w:rFonts w:hint="eastAsia" w:ascii="仿宋_GB2312" w:eastAsia="仿宋_GB2312"/>
          <w:sz w:val="32"/>
          <w:szCs w:val="32"/>
          <w:lang w:eastAsia="zh-CN"/>
        </w:rPr>
        <w:t>已</w:t>
      </w:r>
      <w:r>
        <w:rPr>
          <w:rFonts w:hint="eastAsia" w:ascii="仿宋_GB2312" w:eastAsia="仿宋_GB2312"/>
          <w:sz w:val="32"/>
          <w:szCs w:val="32"/>
        </w:rPr>
        <w:t>支付相关费用。</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widowControl/>
        <w:shd w:val="clear" w:color="auto" w:fill="FFFFFF"/>
        <w:spacing w:line="560" w:lineRule="exact"/>
        <w:ind w:firstLine="640" w:firstLineChars="200"/>
        <w:rPr>
          <w:rFonts w:ascii="楷体_GB2312" w:eastAsia="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eastAsia="楷体_GB2312"/>
          <w:sz w:val="32"/>
          <w:szCs w:val="32"/>
        </w:rPr>
        <w:t>支持内容</w:t>
      </w:r>
    </w:p>
    <w:p>
      <w:pPr>
        <w:widowControl/>
        <w:shd w:val="clear" w:color="auto" w:fill="FFFFFF"/>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ascii="楷体_GB2312" w:eastAsia="楷体_GB2312"/>
          <w:sz w:val="32"/>
          <w:szCs w:val="32"/>
        </w:rPr>
        <w:t>1.</w:t>
      </w:r>
      <w:r>
        <w:rPr>
          <w:rFonts w:hint="eastAsia" w:ascii="楷体_GB2312" w:eastAsia="楷体_GB2312"/>
          <w:sz w:val="32"/>
          <w:szCs w:val="32"/>
        </w:rPr>
        <w:t>前期费用支持项目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前期费用是指</w:t>
      </w:r>
      <w:r>
        <w:rPr>
          <w:rFonts w:ascii="仿宋_GB2312" w:hAnsi="仿宋_GB2312" w:eastAsia="仿宋_GB2312" w:cs="仿宋_GB2312"/>
          <w:sz w:val="32"/>
          <w:szCs w:val="32"/>
        </w:rPr>
        <w:t>境内企业</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w:t>
      </w:r>
      <w:r>
        <w:rPr>
          <w:rFonts w:ascii="仿宋_GB2312" w:hAnsi="仿宋_GB2312" w:eastAsia="仿宋_GB2312" w:cs="仿宋_GB2312"/>
          <w:sz w:val="32"/>
          <w:szCs w:val="32"/>
        </w:rPr>
        <w:t>为获得或取得</w:t>
      </w:r>
      <w:r>
        <w:rPr>
          <w:rFonts w:hint="eastAsia" w:ascii="仿宋_GB2312" w:eastAsia="仿宋_GB2312"/>
          <w:sz w:val="32"/>
          <w:szCs w:val="32"/>
        </w:rPr>
        <w:t>对外承包工程项目或境外投资项目，</w:t>
      </w:r>
      <w:r>
        <w:rPr>
          <w:rFonts w:ascii="仿宋_GB2312" w:hAnsi="仿宋_GB2312" w:eastAsia="仿宋_GB2312" w:cs="仿宋_GB2312"/>
          <w:sz w:val="32"/>
          <w:szCs w:val="32"/>
        </w:rPr>
        <w:t>委托具有相应资格的专业机构，提供的法律、技术、商务和投融资咨询等服务费用。具体</w:t>
      </w:r>
      <w:r>
        <w:rPr>
          <w:rFonts w:hint="eastAsia" w:ascii="仿宋_GB2312" w:eastAsia="仿宋_GB2312"/>
          <w:sz w:val="32"/>
          <w:szCs w:val="32"/>
        </w:rPr>
        <w:t>支持内容为：</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rPr>
        <w:t>法律、技术、商务和投融资咨询的服务费用</w:t>
      </w:r>
      <w:r>
        <w:rPr>
          <w:rFonts w:hint="eastAsia" w:ascii="仿宋_GB2312" w:hAnsi="仿宋_GB2312" w:eastAsia="仿宋_GB2312" w:cs="仿宋_GB2312"/>
          <w:sz w:val="32"/>
          <w:szCs w:val="32"/>
        </w:rPr>
        <w:t>；</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项目建议书、尽职调查、可研分析、可行性研究报告、投资环境分析和项目安全评估报告等编制费用；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项目标书、技术资料等规范性文件资料的购买费用；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（4）</w:t>
      </w:r>
      <w:r>
        <w:rPr>
          <w:rFonts w:hint="eastAsia" w:ascii="仿宋_GB2312" w:hAnsi="宋体" w:eastAsia="仿宋_GB2312" w:cs="宋体"/>
          <w:kern w:val="0"/>
          <w:sz w:val="32"/>
          <w:szCs w:val="32"/>
        </w:rPr>
        <w:t>项目标书、技术资料等规范性文件资料的翻译费用。</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对上述实际支付的费用给予不超过50%的支持（项目前期费用的实际支出不得高于项目</w:t>
      </w:r>
      <w:r>
        <w:rPr>
          <w:rFonts w:hint="eastAsia" w:ascii="仿宋_GB2312" w:hAnsi="宋体" w:eastAsia="仿宋_GB2312" w:cs="宋体"/>
          <w:kern w:val="0"/>
          <w:sz w:val="32"/>
          <w:szCs w:val="32"/>
          <w:lang w:eastAsia="zh-CN"/>
        </w:rPr>
        <w:t>中方投资总额</w:t>
      </w:r>
      <w:r>
        <w:rPr>
          <w:rFonts w:hint="eastAsia" w:ascii="仿宋_GB2312" w:hAnsi="宋体" w:eastAsia="仿宋_GB2312" w:cs="宋体"/>
          <w:kern w:val="0"/>
          <w:sz w:val="32"/>
          <w:szCs w:val="32"/>
        </w:rPr>
        <w:t>的6%）。一个项目只能享受一次支持。</w:t>
      </w:r>
    </w:p>
    <w:p>
      <w:pPr>
        <w:widowControl/>
        <w:shd w:val="clear" w:color="auto" w:fill="FFFFFF"/>
        <w:spacing w:line="56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2.</w:t>
      </w:r>
      <w:r>
        <w:rPr>
          <w:rFonts w:hint="eastAsia" w:ascii="楷体_GB2312" w:eastAsia="楷体_GB2312"/>
          <w:sz w:val="32"/>
          <w:szCs w:val="32"/>
        </w:rPr>
        <w:t>贷款利息贴息支持</w:t>
      </w:r>
      <w:r>
        <w:rPr>
          <w:rFonts w:hint="eastAsia" w:ascii="楷体_GB2312" w:hAnsi="楷体_GB2312" w:eastAsia="楷体_GB2312" w:cs="楷体_GB2312"/>
          <w:bCs/>
          <w:color w:val="000000" w:themeColor="text1"/>
          <w:sz w:val="32"/>
          <w:szCs w:val="32"/>
          <w14:textFill>
            <w14:solidFill>
              <w14:schemeClr w14:val="tx1"/>
            </w14:solidFill>
          </w14:textFill>
        </w:rPr>
        <w:t>项目</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贷款利息是指境内企业主体</w:t>
      </w:r>
      <w:r>
        <w:rPr>
          <w:rFonts w:hint="eastAsia" w:ascii="仿宋_GB2312" w:hAnsi="宋体" w:eastAsia="仿宋_GB2312" w:cs="宋体"/>
          <w:kern w:val="0"/>
          <w:sz w:val="32"/>
          <w:szCs w:val="32"/>
          <w:lang w:eastAsia="zh-CN"/>
        </w:rPr>
        <w:t>及其</w:t>
      </w:r>
      <w:r>
        <w:rPr>
          <w:rFonts w:hint="eastAsia" w:ascii="仿宋_GB2312" w:hAnsi="宋体" w:eastAsia="仿宋_GB2312" w:cs="宋体"/>
          <w:kern w:val="0"/>
          <w:sz w:val="32"/>
          <w:szCs w:val="32"/>
        </w:rPr>
        <w:t>境外控股公司用于对外承包工程项目或境外投资项目所支出的银行贷款利息。包括贷款期限已到期或未到期的贷款。</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对一年及以上（含一年）的贷款给予贴息。其中：</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（1）人民币贷款贴息利率不超过</w:t>
      </w:r>
      <w:r>
        <w:rPr>
          <w:rFonts w:hint="eastAsia" w:ascii="仿宋_GB2312" w:hAnsi="宋体" w:eastAsia="仿宋_GB2312" w:cs="宋体"/>
          <w:kern w:val="0"/>
          <w:sz w:val="32"/>
          <w:szCs w:val="32"/>
          <w:lang w:eastAsia="zh-CN"/>
        </w:rPr>
        <w:t>截至</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月3</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eastAsia="zh-CN"/>
        </w:rPr>
        <w:t>（含）</w:t>
      </w:r>
      <w:r>
        <w:rPr>
          <w:rFonts w:hint="eastAsia" w:ascii="仿宋_GB2312" w:hAnsi="宋体" w:eastAsia="仿宋_GB2312" w:cs="宋体"/>
          <w:kern w:val="0"/>
          <w:sz w:val="32"/>
          <w:szCs w:val="32"/>
        </w:rPr>
        <w:t>中国人民银行</w:t>
      </w:r>
      <w:r>
        <w:rPr>
          <w:rFonts w:hint="eastAsia" w:ascii="仿宋_GB2312" w:hAnsi="宋体" w:eastAsia="仿宋_GB2312" w:cs="宋体"/>
          <w:kern w:val="0"/>
          <w:sz w:val="32"/>
          <w:szCs w:val="32"/>
          <w:lang w:eastAsia="zh-CN"/>
        </w:rPr>
        <w:t>最后一次</w:t>
      </w:r>
      <w:r>
        <w:rPr>
          <w:rFonts w:hint="eastAsia" w:ascii="仿宋_GB2312" w:hAnsi="宋体" w:eastAsia="仿宋_GB2312" w:cs="宋体"/>
          <w:kern w:val="0"/>
          <w:sz w:val="32"/>
          <w:szCs w:val="32"/>
        </w:rPr>
        <w:t>公布执行的对应贷款年限的LPR利率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于LPR利率的，按照LPR利率计算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实际利率低于LPR利率的，按照实际利率计算</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（2）外币贷款贴息利率不超过3%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w:t>
      </w:r>
      <w:r>
        <w:rPr>
          <w:rFonts w:hint="eastAsia" w:ascii="仿宋_GB2312" w:hAnsi="宋体" w:eastAsia="仿宋_GB2312" w:cs="宋体"/>
          <w:kern w:val="0"/>
          <w:sz w:val="32"/>
          <w:szCs w:val="32"/>
          <w:lang w:eastAsia="zh-CN"/>
        </w:rPr>
        <w:t>高</w:t>
      </w:r>
      <w:r>
        <w:rPr>
          <w:rFonts w:hint="eastAsia" w:ascii="仿宋_GB2312" w:hAnsi="宋体" w:eastAsia="仿宋_GB2312" w:cs="宋体"/>
          <w:kern w:val="0"/>
          <w:sz w:val="32"/>
          <w:szCs w:val="32"/>
        </w:rPr>
        <w:t>于3%的，按照</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计算</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实际利率低于3%的，按照实际利率计算。</w:t>
      </w:r>
    </w:p>
    <w:p>
      <w:pPr>
        <w:widowControl/>
        <w:spacing w:line="560" w:lineRule="exact"/>
        <w:ind w:firstLine="640" w:firstLineChars="200"/>
        <w:rPr>
          <w:rFonts w:ascii="仿宋_GB2312" w:hAnsi="宋体" w:eastAsia="仿宋_GB2312" w:cs="仿宋_GB2312"/>
          <w:sz w:val="32"/>
          <w:szCs w:val="30"/>
        </w:rPr>
      </w:pPr>
      <w:r>
        <w:rPr>
          <w:rFonts w:hint="eastAsia" w:ascii="仿宋_GB2312" w:hAnsi="宋体" w:eastAsia="仿宋_GB2312" w:cs="宋体"/>
          <w:kern w:val="0"/>
          <w:sz w:val="32"/>
          <w:szCs w:val="32"/>
        </w:rPr>
        <w:t>对上述实际支付的利息给予不超过50%的支持。</w:t>
      </w:r>
      <w:r>
        <w:rPr>
          <w:rFonts w:hint="eastAsia" w:ascii="仿宋_GB2312" w:eastAsia="仿宋_GB2312"/>
          <w:sz w:val="32"/>
          <w:szCs w:val="32"/>
        </w:rPr>
        <w:t>项目完成时间以支付银行利息单据时间为准。</w:t>
      </w:r>
      <w:r>
        <w:rPr>
          <w:rFonts w:hint="eastAsia" w:ascii="仿宋_GB2312" w:hAnsi="宋体" w:eastAsia="仿宋_GB2312" w:cs="仿宋_GB2312"/>
          <w:sz w:val="32"/>
          <w:szCs w:val="30"/>
        </w:rPr>
        <w:t>已累计支持</w:t>
      </w:r>
      <w:r>
        <w:rPr>
          <w:rFonts w:ascii="仿宋_GB2312" w:hAnsi="宋体" w:eastAsia="仿宋_GB2312" w:cs="仿宋_GB2312"/>
          <w:sz w:val="32"/>
          <w:szCs w:val="30"/>
        </w:rPr>
        <w:t>3</w:t>
      </w:r>
      <w:r>
        <w:rPr>
          <w:rFonts w:hint="eastAsia" w:ascii="仿宋_GB2312" w:hAnsi="宋体" w:eastAsia="仿宋_GB2312" w:cs="仿宋_GB2312"/>
          <w:sz w:val="32"/>
          <w:szCs w:val="30"/>
        </w:rPr>
        <w:t>年的项目，不再给予贴息支持。</w:t>
      </w:r>
    </w:p>
    <w:p>
      <w:pPr>
        <w:pStyle w:val="8"/>
        <w:spacing w:line="560" w:lineRule="exact"/>
        <w:ind w:left="645" w:firstLine="0" w:firstLineChars="0"/>
        <w:rPr>
          <w:rFonts w:ascii="楷体_GB2312" w:eastAsia="楷体_GB2312"/>
          <w:sz w:val="32"/>
          <w:szCs w:val="32"/>
        </w:rPr>
      </w:pPr>
      <w:r>
        <w:rPr>
          <w:rFonts w:hint="default" w:ascii="楷体_GB2312" w:eastAsia="楷体_GB2312"/>
          <w:sz w:val="32"/>
          <w:szCs w:val="32"/>
        </w:rPr>
        <w:t>3</w:t>
      </w:r>
      <w:r>
        <w:rPr>
          <w:rFonts w:ascii="楷体_GB2312" w:eastAsia="楷体_GB2312"/>
          <w:sz w:val="32"/>
          <w:szCs w:val="32"/>
        </w:rPr>
        <w:t>.</w:t>
      </w:r>
      <w:r>
        <w:rPr>
          <w:rFonts w:hint="eastAsia" w:ascii="楷体_GB2312" w:hAnsi="楷体_GB2312" w:eastAsia="楷体_GB2312" w:cs="楷体_GB2312"/>
          <w:sz w:val="32"/>
          <w:szCs w:val="32"/>
        </w:rPr>
        <w:t>海外投资保险保费支持项目</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海外投资保险是指企业开展对外投资，为了降低境外项目面临东道国发生的征收、汇兑限制、战争及政治暴乱、违约等政治风险造成的损失而向政策性保险机构购买的海外投资（股权）保险、海外投资（债券）保险。</w:t>
      </w:r>
      <w:r>
        <w:rPr>
          <w:rFonts w:hint="eastAsia" w:ascii="仿宋_GB2312" w:hAnsi="仿宋_GB2312" w:eastAsia="仿宋_GB2312" w:cs="仿宋_GB2312"/>
          <w:sz w:val="32"/>
          <w:szCs w:val="32"/>
        </w:rPr>
        <w:t>对实际缴纳的保费给予不超过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0%的支持</w:t>
      </w:r>
      <w:r>
        <w:rPr>
          <w:rFonts w:hint="eastAsia" w:ascii="仿宋_GB2312" w:eastAsia="仿宋_GB2312"/>
          <w:sz w:val="32"/>
          <w:szCs w:val="32"/>
        </w:rPr>
        <w:t>。</w:t>
      </w:r>
    </w:p>
    <w:p>
      <w:pPr>
        <w:spacing w:line="560" w:lineRule="exact"/>
        <w:ind w:firstLine="640" w:firstLineChars="200"/>
        <w:rPr>
          <w:rFonts w:ascii="楷体_GB2312" w:hAnsi="楷体_GB2312" w:eastAsia="楷体_GB2312" w:cs="楷体_GB2312"/>
          <w:sz w:val="32"/>
          <w:szCs w:val="30"/>
        </w:rPr>
      </w:pPr>
      <w:r>
        <w:rPr>
          <w:rFonts w:hint="eastAsia" w:ascii="楷体_GB2312" w:hAnsi="楷体_GB2312" w:eastAsia="楷体_GB2312" w:cs="楷体_GB2312"/>
          <w:sz w:val="32"/>
          <w:szCs w:val="30"/>
        </w:rPr>
        <w:t>（二）支持标准</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0"/>
        </w:rPr>
        <w:t>1.对企业符合条件的</w:t>
      </w:r>
      <w:r>
        <w:rPr>
          <w:rFonts w:hint="eastAsia" w:ascii="仿宋_GB2312" w:hAnsi="仿宋_GB2312" w:eastAsia="仿宋_GB2312" w:cs="仿宋_GB2312"/>
          <w:sz w:val="32"/>
          <w:szCs w:val="32"/>
        </w:rPr>
        <w:t>前期费用、贷款利息贴息、海外投资保险保费等项目</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给予支持，单个项目支持金额不少于5万元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单家企业年度资助不超过</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000万元。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2.以外币支付相关费用的，按照</w:t>
      </w:r>
      <w:r>
        <w:rPr>
          <w:rFonts w:hint="eastAsia" w:ascii="仿宋_GB2312" w:hAnsi="仿宋_GB2312" w:eastAsia="仿宋_GB2312" w:cs="仿宋_GB2312"/>
          <w:sz w:val="32"/>
          <w:szCs w:val="32"/>
          <w:lang w:eastAsia="zh-CN"/>
        </w:rPr>
        <w:t>截至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中国人民银行</w:t>
      </w:r>
      <w:r>
        <w:rPr>
          <w:rFonts w:hint="eastAsia" w:ascii="仿宋_GB2312" w:hAnsi="仿宋_GB2312" w:eastAsia="仿宋_GB2312" w:cs="仿宋_GB2312"/>
          <w:sz w:val="32"/>
          <w:szCs w:val="32"/>
          <w:lang w:eastAsia="zh-CN"/>
        </w:rPr>
        <w:t>最后一次公布的</w:t>
      </w:r>
      <w:r>
        <w:rPr>
          <w:rFonts w:hint="eastAsia" w:ascii="仿宋_GB2312" w:hAnsi="仿宋_GB2312" w:eastAsia="仿宋_GB2312" w:cs="仿宋_GB2312"/>
          <w:sz w:val="32"/>
          <w:szCs w:val="32"/>
        </w:rPr>
        <w:t>人民币汇率中间价为依据，折算为人民币计算及资助。</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登录广东政务服务网在线填报申请书（http://www.gdzwfw.gov.cn/—深圳市—市商务局—搜索对外投资合作资助事项），提供通过该系统打印的申请书纸质文件原件。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2．境内企业营业执照电子版；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3．企业境外投资证书、企业投资机构证书复印件；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4．境外企业所在国（地区）依法注册或合法办理的法律文件复印件，境外再投资（多级投资）的相关股权证明材料，对外承包工程企业境外项目合同复印件；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5．证明项目合同或合作协议已</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的文件复印件，如核准或备案项目资金汇出单据、并购协议</w:t>
      </w:r>
      <w:r>
        <w:rPr>
          <w:rFonts w:hint="default" w:ascii="仿宋_GB2312" w:hAnsi="仿宋_GB2312" w:eastAsia="仿宋_GB2312" w:cs="仿宋_GB2312"/>
          <w:sz w:val="32"/>
          <w:szCs w:val="32"/>
        </w:rPr>
        <w:t>签订</w:t>
      </w:r>
      <w:r>
        <w:rPr>
          <w:rFonts w:hint="eastAsia" w:ascii="仿宋_GB2312" w:hAnsi="仿宋_GB2312" w:eastAsia="仿宋_GB2312" w:cs="仿宋_GB2312"/>
          <w:sz w:val="32"/>
          <w:szCs w:val="32"/>
        </w:rPr>
        <w:t>、股权交易已完成、工程项目已实际开展凭证（包括承包方编制的经现场监理工程师或项目总监审核签字的工程进度证明，提交给业主据以结算项目款项或反映报告期项目工作量的有效凭证或单据）等材料。</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1.前期费用支持项目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①法律、技术、商务和投融资咨询等服务费用发票或单据复印件；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③与境内或境外专业机构签署的合同协议复印件；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④专业机构出具的建议书、报告书、规范性文件资料等复印件。</w:t>
      </w:r>
    </w:p>
    <w:p>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2.贷款利息贴息支持项目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①银行贷款利息支付的票据凭证复印件；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②银行放款通知书、贷款本金放款的票据凭证复印件；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③贷款合同复印件（如合同未标识此贷款为实施对外承包工程项目或境外投资项目所用，需提交贷款本金与境外项目划转的凭证）。</w:t>
      </w:r>
    </w:p>
    <w:p>
      <w:pPr>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lang w:eastAsia="zh-CN"/>
        </w:rPr>
        <w:t>贷款利息贴息计算明细表。</w:t>
      </w:r>
    </w:p>
    <w:p>
      <w:pPr>
        <w:spacing w:line="560" w:lineRule="exact"/>
        <w:ind w:firstLine="640" w:firstLineChars="200"/>
        <w:rPr>
          <w:rFonts w:hint="eastAsia"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rPr>
        <w:t>3</w:t>
      </w:r>
      <w:r>
        <w:rPr>
          <w:rFonts w:hint="eastAsia" w:ascii="楷体_GB2312" w:hAnsi="楷体_GB2312" w:eastAsia="楷体_GB2312" w:cs="楷体_GB2312"/>
          <w:b w:val="0"/>
          <w:bCs w:val="0"/>
          <w:sz w:val="32"/>
          <w:szCs w:val="32"/>
        </w:rPr>
        <w:t>.海外投资保险保费支持项目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①保费发票复印件；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②银行支付凭证复印件(或付汇凭证等银行电子回单)；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③保险费通知书复印件、保单明细表复印件。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以上材料均需加盖申报单位公章，多页的还需加盖骑缝公章；涉及外文的，需提供中文翻译件；一式两份，A4纸正反面打印/复印，非空白页（含封面）需连续编写页码，装订成册（胶装）。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1.网络填报时间：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25</w:t>
      </w:r>
      <w:bookmarkStart w:id="0" w:name="_GoBack"/>
      <w:bookmarkEnd w:id="0"/>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2.材料提交时间：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lang w:val="en-US"/>
        </w:rPr>
        <w:t>30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17:45。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（预约指南：“i深圳”APP或关注“深圳行政服务大厅”微信公众号。操作流程：【办事预约】或【预约取号】—【深圳市行政服务大厅西厅】）。</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hint="eastAsia" w:ascii="仿宋_GB2312" w:hAnsi="仿宋_GB2312" w:eastAsia="仿宋_GB2312" w:cs="仿宋_GB2312"/>
          <w:bCs/>
          <w:sz w:val="32"/>
          <w:szCs w:val="32"/>
        </w:rPr>
        <w:t>88102027、8810</w:t>
      </w:r>
      <w:r>
        <w:rPr>
          <w:rFonts w:ascii="仿宋_GB2312" w:hAnsi="仿宋_GB2312" w:eastAsia="仿宋_GB2312" w:cs="仿宋_GB2312"/>
          <w:bCs/>
          <w:sz w:val="32"/>
          <w:szCs w:val="32"/>
        </w:rPr>
        <w:t>7060</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资质审查（根据需要核查比对：资质情况、统计数据，是否存在重复资助情形、有否被列入失信惩戒名单、有无重大违法违规行为、有无拖欠应缴还的财政性资金等情况）——拟定资助计划——社会公示——</w:t>
      </w:r>
      <w:r>
        <w:rPr>
          <w:rFonts w:hint="eastAsia" w:ascii="仿宋_GB2312" w:hAnsi="仿宋_GB2312" w:eastAsia="仿宋_GB2312"/>
          <w:sz w:val="32"/>
          <w:szCs w:val="32"/>
          <w:highlight w:val="none"/>
          <w:lang w:eastAsia="zh-CN" w:bidi="ar"/>
        </w:rPr>
        <w:t>下达资助计划</w:t>
      </w:r>
      <w:r>
        <w:rPr>
          <w:rFonts w:hint="eastAsia" w:ascii="仿宋_GB2312" w:hAnsi="仿宋_GB2312" w:eastAsia="仿宋_GB2312"/>
          <w:sz w:val="32"/>
          <w:szCs w:val="32"/>
          <w:lang w:bidi="ar"/>
        </w:rPr>
        <w:t>——通知申报单位提交拨付资料——拨付资金。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集中申报，成批处理。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eastAsia" w:ascii="仿宋_GB2312" w:eastAsia="仿宋_GB2312"/>
          <w:sz w:val="32"/>
          <w:szCs w:val="32"/>
          <w:lang w:eastAsia="zh-CN"/>
        </w:rPr>
        <w:t>（举报电话</w:t>
      </w:r>
      <w:r>
        <w:rPr>
          <w:rFonts w:hint="default" w:ascii="仿宋_GB2312" w:eastAsia="仿宋_GB2312"/>
          <w:sz w:val="32"/>
          <w:szCs w:val="32"/>
          <w:lang w:val="en-US" w:eastAsia="zh-CN"/>
        </w:rPr>
        <w:t>0755-</w:t>
      </w:r>
      <w:r>
        <w:rPr>
          <w:rFonts w:hint="eastAsia" w:ascii="仿宋_GB2312" w:eastAsia="仿宋_GB2312"/>
          <w:sz w:val="32"/>
          <w:szCs w:val="32"/>
          <w:lang w:val="en-US" w:eastAsia="zh-CN"/>
        </w:rPr>
        <w:t>88107090</w:t>
      </w:r>
      <w:r>
        <w:rPr>
          <w:rFonts w:hint="eastAsia" w:ascii="仿宋_GB2312" w:eastAsia="仿宋_GB2312"/>
          <w:sz w:val="32"/>
          <w:szCs w:val="32"/>
          <w:lang w:eastAsia="zh-CN"/>
        </w:rPr>
        <w:t>）</w:t>
      </w:r>
      <w:r>
        <w:rPr>
          <w:rFonts w:hint="eastAsia" w:ascii="仿宋_GB2312" w:eastAsia="仿宋_GB2312"/>
          <w:sz w:val="32"/>
          <w:szCs w:val="32"/>
        </w:rPr>
        <w:t>。</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WU1YTk1MjNjZGQ4NDY1MmNhNTBiYjcxMTA1ODUifQ=="/>
  </w:docVars>
  <w:rsids>
    <w:rsidRoot w:val="00AC43BA"/>
    <w:rsid w:val="000A4153"/>
    <w:rsid w:val="000E1AC2"/>
    <w:rsid w:val="00122527"/>
    <w:rsid w:val="00156769"/>
    <w:rsid w:val="001707B2"/>
    <w:rsid w:val="001D7F2D"/>
    <w:rsid w:val="00315DD3"/>
    <w:rsid w:val="003541A5"/>
    <w:rsid w:val="003D79C8"/>
    <w:rsid w:val="00423466"/>
    <w:rsid w:val="00504C90"/>
    <w:rsid w:val="00511E89"/>
    <w:rsid w:val="00564FBD"/>
    <w:rsid w:val="00574AF3"/>
    <w:rsid w:val="00591465"/>
    <w:rsid w:val="00695B74"/>
    <w:rsid w:val="006B0DFF"/>
    <w:rsid w:val="006D53A3"/>
    <w:rsid w:val="0076256E"/>
    <w:rsid w:val="00792F99"/>
    <w:rsid w:val="008A41D9"/>
    <w:rsid w:val="008D2631"/>
    <w:rsid w:val="009777B5"/>
    <w:rsid w:val="00AB2DF3"/>
    <w:rsid w:val="00AC43BA"/>
    <w:rsid w:val="00C568D3"/>
    <w:rsid w:val="00C6774D"/>
    <w:rsid w:val="00CF0B21"/>
    <w:rsid w:val="00CF6262"/>
    <w:rsid w:val="00D23383"/>
    <w:rsid w:val="00D43D15"/>
    <w:rsid w:val="00DB49EE"/>
    <w:rsid w:val="00EE10EA"/>
    <w:rsid w:val="00EE4AC6"/>
    <w:rsid w:val="00FB07DE"/>
    <w:rsid w:val="01593A2F"/>
    <w:rsid w:val="032419EF"/>
    <w:rsid w:val="066703DC"/>
    <w:rsid w:val="0CB31AF0"/>
    <w:rsid w:val="0FE15D1C"/>
    <w:rsid w:val="130D5CAA"/>
    <w:rsid w:val="13707E77"/>
    <w:rsid w:val="1417343F"/>
    <w:rsid w:val="17496A4C"/>
    <w:rsid w:val="17AFC59A"/>
    <w:rsid w:val="187D2069"/>
    <w:rsid w:val="1AE30006"/>
    <w:rsid w:val="1EC53D43"/>
    <w:rsid w:val="1FF79A80"/>
    <w:rsid w:val="1FFF0AFE"/>
    <w:rsid w:val="2028784D"/>
    <w:rsid w:val="203B5C97"/>
    <w:rsid w:val="22AA4F68"/>
    <w:rsid w:val="25CC70A5"/>
    <w:rsid w:val="27EE6CD9"/>
    <w:rsid w:val="28FB65E3"/>
    <w:rsid w:val="29236148"/>
    <w:rsid w:val="29F60060"/>
    <w:rsid w:val="2BD609A2"/>
    <w:rsid w:val="2CED3247"/>
    <w:rsid w:val="2F077C5B"/>
    <w:rsid w:val="3001126A"/>
    <w:rsid w:val="33FD570F"/>
    <w:rsid w:val="357B3E57"/>
    <w:rsid w:val="370B567D"/>
    <w:rsid w:val="379E6347"/>
    <w:rsid w:val="37FFF8B9"/>
    <w:rsid w:val="38FFD0CD"/>
    <w:rsid w:val="39B6399E"/>
    <w:rsid w:val="3A830F6C"/>
    <w:rsid w:val="3D3F4023"/>
    <w:rsid w:val="3F0FCF6D"/>
    <w:rsid w:val="40324F91"/>
    <w:rsid w:val="43ED2781"/>
    <w:rsid w:val="44AD3575"/>
    <w:rsid w:val="48800C4E"/>
    <w:rsid w:val="49D47F76"/>
    <w:rsid w:val="4E3F4083"/>
    <w:rsid w:val="4F604300"/>
    <w:rsid w:val="5246447D"/>
    <w:rsid w:val="5425781E"/>
    <w:rsid w:val="54B708C9"/>
    <w:rsid w:val="56525023"/>
    <w:rsid w:val="56D7C5C2"/>
    <w:rsid w:val="56EF3235"/>
    <w:rsid w:val="577C1811"/>
    <w:rsid w:val="57AA58DC"/>
    <w:rsid w:val="58615FC7"/>
    <w:rsid w:val="587F212C"/>
    <w:rsid w:val="5A1E6BC6"/>
    <w:rsid w:val="5A6F6078"/>
    <w:rsid w:val="5DBC56FB"/>
    <w:rsid w:val="5EC45CEC"/>
    <w:rsid w:val="5F5F0B66"/>
    <w:rsid w:val="5FBC8A2D"/>
    <w:rsid w:val="5FFF4D91"/>
    <w:rsid w:val="650A437B"/>
    <w:rsid w:val="69E50FEC"/>
    <w:rsid w:val="6B7258F8"/>
    <w:rsid w:val="6BCE504B"/>
    <w:rsid w:val="6BDD10C1"/>
    <w:rsid w:val="6C7F9E2D"/>
    <w:rsid w:val="6C992383"/>
    <w:rsid w:val="6D7E0E05"/>
    <w:rsid w:val="6DAB2470"/>
    <w:rsid w:val="6EA664E5"/>
    <w:rsid w:val="6F2A0D2B"/>
    <w:rsid w:val="6FB63E20"/>
    <w:rsid w:val="6FBFC2AA"/>
    <w:rsid w:val="70267C90"/>
    <w:rsid w:val="733BF76F"/>
    <w:rsid w:val="734A8790"/>
    <w:rsid w:val="73622AEF"/>
    <w:rsid w:val="745B5E75"/>
    <w:rsid w:val="7491168D"/>
    <w:rsid w:val="775B078B"/>
    <w:rsid w:val="77C53518"/>
    <w:rsid w:val="7A27030F"/>
    <w:rsid w:val="7B77D5D3"/>
    <w:rsid w:val="7D2C26CE"/>
    <w:rsid w:val="7D5F9FC0"/>
    <w:rsid w:val="7D64692A"/>
    <w:rsid w:val="7DEBE768"/>
    <w:rsid w:val="7E4576C1"/>
    <w:rsid w:val="7E6FA923"/>
    <w:rsid w:val="7E9FE8D9"/>
    <w:rsid w:val="7EE42032"/>
    <w:rsid w:val="7F4A346E"/>
    <w:rsid w:val="7F7F04CB"/>
    <w:rsid w:val="7FBFB379"/>
    <w:rsid w:val="7FDA06D7"/>
    <w:rsid w:val="7FEFFB34"/>
    <w:rsid w:val="7FF1A71A"/>
    <w:rsid w:val="7FF7DB0E"/>
    <w:rsid w:val="7FFCB4EC"/>
    <w:rsid w:val="87DEA309"/>
    <w:rsid w:val="97B7377F"/>
    <w:rsid w:val="A5AFEB10"/>
    <w:rsid w:val="A7BD66FF"/>
    <w:rsid w:val="B1FBA825"/>
    <w:rsid w:val="B925FAC1"/>
    <w:rsid w:val="BA162266"/>
    <w:rsid w:val="BBEF2197"/>
    <w:rsid w:val="BDBF05A4"/>
    <w:rsid w:val="BE37F75F"/>
    <w:rsid w:val="BEF11AE0"/>
    <w:rsid w:val="BF7B0AE4"/>
    <w:rsid w:val="BFDEB50E"/>
    <w:rsid w:val="BFFF2752"/>
    <w:rsid w:val="CCFF8D98"/>
    <w:rsid w:val="CEBF1A82"/>
    <w:rsid w:val="CF5B01B3"/>
    <w:rsid w:val="CFDD5583"/>
    <w:rsid w:val="D5FBC0B3"/>
    <w:rsid w:val="D93E0D19"/>
    <w:rsid w:val="D9FB2D81"/>
    <w:rsid w:val="DEF99DDC"/>
    <w:rsid w:val="DFF1AF3D"/>
    <w:rsid w:val="DFFBB0A9"/>
    <w:rsid w:val="DFFEED29"/>
    <w:rsid w:val="DFFFD7D0"/>
    <w:rsid w:val="E32D8472"/>
    <w:rsid w:val="E7FB508D"/>
    <w:rsid w:val="EB7C2778"/>
    <w:rsid w:val="EBFF044C"/>
    <w:rsid w:val="ECDFA842"/>
    <w:rsid w:val="EF776047"/>
    <w:rsid w:val="EFFA4893"/>
    <w:rsid w:val="F2FF0A7B"/>
    <w:rsid w:val="F4D69975"/>
    <w:rsid w:val="F76FAD5F"/>
    <w:rsid w:val="F77FBEC7"/>
    <w:rsid w:val="F7D76515"/>
    <w:rsid w:val="F97D5EF3"/>
    <w:rsid w:val="F9EF48EB"/>
    <w:rsid w:val="FACC4978"/>
    <w:rsid w:val="FAFC70BA"/>
    <w:rsid w:val="FB3FE822"/>
    <w:rsid w:val="FBF53893"/>
    <w:rsid w:val="FBF96D07"/>
    <w:rsid w:val="FBFB0013"/>
    <w:rsid w:val="FBFFC0CE"/>
    <w:rsid w:val="FCD33108"/>
    <w:rsid w:val="FDFF8752"/>
    <w:rsid w:val="FEFE8393"/>
    <w:rsid w:val="FF7DCB54"/>
    <w:rsid w:val="FF7F0FDC"/>
    <w:rsid w:val="FFEED247"/>
    <w:rsid w:val="FFF3F94D"/>
    <w:rsid w:val="FFFDE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annotation text"/>
    <w:basedOn w:val="1"/>
    <w:qFormat/>
    <w:uiPriority w:val="0"/>
    <w:pPr>
      <w:jc w:val="left"/>
    </w:pPr>
  </w:style>
  <w:style w:type="paragraph" w:styleId="4">
    <w:name w:val="Plain Text"/>
    <w:basedOn w:val="1"/>
    <w:semiHidden/>
    <w:qFormat/>
    <w:uiPriority w:val="0"/>
    <w:rPr>
      <w:rFonts w:ascii="宋体" w:hAnsi="Courier New" w:eastAsia="宋体" w:cs="Courier New"/>
      <w:szCs w:val="21"/>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2"/>
    <w:qFormat/>
    <w:uiPriority w:val="0"/>
    <w:pPr>
      <w:ind w:firstLine="420" w:firstLineChars="100"/>
    </w:p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1106</Words>
  <Characters>6310</Characters>
  <Lines>52</Lines>
  <Paragraphs>14</Paragraphs>
  <TotalTime>76</TotalTime>
  <ScaleCrop>false</ScaleCrop>
  <LinksUpToDate>false</LinksUpToDate>
  <CharactersWithSpaces>7402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2021-08-05T17:25:00Z</dcterms:created>
  <dc:creator>青</dc:creator>
  <cp:lastModifiedBy>陈峰</cp:lastModifiedBy>
  <cp:lastPrinted>2024-07-22T23:30:00Z</cp:lastPrinted>
  <dcterms:modified xsi:type="dcterms:W3CDTF">2025-05-26T11:10:38Z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0158117C9E0A458092DCF3DC90BF5B48</vt:lpwstr>
  </property>
</Properties>
</file>