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p>
    <w:p>
      <w:pPr>
        <w:rPr>
          <w:color w:val="auto"/>
        </w:rPr>
      </w:pPr>
    </w:p>
    <w:p>
      <w:pPr>
        <w:rPr>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31"/>
        <w:ind w:firstLine="420"/>
        <w:rPr>
          <w:rFonts w:hint="eastAsia" w:ascii="宋体" w:hAnsi="宋体" w:cs="宋体"/>
          <w:color w:val="auto"/>
        </w:rPr>
      </w:pPr>
    </w:p>
    <w:p>
      <w:pPr>
        <w:pStyle w:val="31"/>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eastAsia" w:ascii="宋体" w:hAnsi="宋体" w:cs="宋体"/>
          <w:b/>
          <w:color w:val="auto"/>
          <w:sz w:val="36"/>
          <w:szCs w:val="36"/>
        </w:rPr>
      </w:pPr>
      <w:r>
        <w:rPr>
          <w:rFonts w:hint="eastAsia" w:ascii="宋体" w:hAnsi="宋体" w:cs="宋体"/>
          <w:b/>
          <w:color w:val="auto"/>
          <w:sz w:val="36"/>
          <w:szCs w:val="36"/>
        </w:rPr>
        <w:t>招标编号：QH2025049</w:t>
      </w:r>
    </w:p>
    <w:p>
      <w:pPr>
        <w:pStyle w:val="31"/>
        <w:ind w:firstLine="420"/>
        <w:rPr>
          <w:rFonts w:hint="eastAsia" w:ascii="宋体" w:hAnsi="宋体" w:cs="宋体"/>
          <w:color w:val="auto"/>
        </w:rPr>
      </w:pPr>
    </w:p>
    <w:p>
      <w:pPr>
        <w:pStyle w:val="31"/>
        <w:ind w:firstLine="420"/>
        <w:rPr>
          <w:rFonts w:hint="eastAsia" w:ascii="宋体" w:hAnsi="宋体" w:cs="宋体"/>
          <w:color w:val="auto"/>
        </w:rPr>
      </w:pPr>
    </w:p>
    <w:p>
      <w:pPr>
        <w:pStyle w:val="31"/>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“前海管理局2025年赴港培训”培训服务项目</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2025年</w:t>
      </w:r>
      <w:r>
        <w:rPr>
          <w:rFonts w:hint="eastAsia" w:ascii="宋体" w:hAnsi="宋体" w:cs="宋体"/>
          <w:b/>
          <w:bCs/>
          <w:color w:val="auto"/>
          <w:sz w:val="36"/>
          <w:szCs w:val="36"/>
          <w:lang w:val="en-US" w:eastAsia="zh-CN"/>
        </w:rPr>
        <w:t>5</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4482" w:type="pct"/>
            <w:vAlign w:val="center"/>
          </w:tcPr>
          <w:p>
            <w:pPr>
              <w:jc w:val="center"/>
              <w:rPr>
                <w:rFonts w:hint="eastAsia" w:ascii="宋体" w:hAnsi="宋体" w:cs="宋体"/>
                <w:b/>
                <w:bCs/>
                <w:color w:val="auto"/>
                <w:sz w:val="24"/>
              </w:rPr>
            </w:pPr>
            <w:r>
              <w:rPr>
                <w:rFonts w:hint="eastAsia" w:ascii="宋体" w:hAnsi="宋体" w:cs="宋体"/>
                <w:b/>
                <w:bCs/>
                <w:color w:val="auto"/>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与其他投标供应商的法定代表人、主要经营负责人、投标授权代表人、项目负责人、主要技术人员为</w:t>
            </w:r>
            <w:r>
              <w:rPr>
                <w:rFonts w:hint="eastAsia" w:ascii="宋体" w:hAnsi="宋体" w:cs="宋体"/>
                <w:b/>
                <w:bCs/>
                <w:color w:val="auto"/>
                <w:sz w:val="24"/>
              </w:rPr>
              <w:t>同一人、属同一单位或者在同一单位缴纳社会保险</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参与本项目政府采购活动时，与其他投标供应商存在单位负责人为</w:t>
            </w:r>
            <w:r>
              <w:rPr>
                <w:rFonts w:hint="eastAsia" w:ascii="宋体" w:hAnsi="宋体" w:cs="宋体"/>
                <w:b/>
                <w:bCs/>
                <w:color w:val="auto"/>
                <w:sz w:val="24"/>
              </w:rPr>
              <w:t>同一人或直接控股、管理关系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与其他投标供应商的投标文件或部分投标文件</w:t>
            </w:r>
            <w:r>
              <w:rPr>
                <w:rFonts w:hint="eastAsia" w:ascii="宋体" w:hAnsi="宋体" w:cs="宋体"/>
                <w:b/>
                <w:bCs/>
                <w:color w:val="auto"/>
                <w:sz w:val="24"/>
              </w:rPr>
              <w:t>相互混装或存在非正常一致</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与其他投标供应商的投标文件由</w:t>
            </w:r>
            <w:r>
              <w:rPr>
                <w:rFonts w:hint="eastAsia" w:ascii="宋体" w:hAnsi="宋体" w:cs="宋体"/>
                <w:b/>
                <w:bCs/>
                <w:color w:val="auto"/>
                <w:sz w:val="24"/>
              </w:rPr>
              <w:t>同一单位或者同一人编制</w:t>
            </w:r>
            <w:r>
              <w:rPr>
                <w:rFonts w:hint="eastAsia" w:ascii="宋体" w:hAnsi="宋体" w:cs="宋体"/>
                <w:color w:val="auto"/>
                <w:sz w:val="24"/>
              </w:rPr>
              <w:t>，或者使用</w:t>
            </w:r>
            <w:r>
              <w:rPr>
                <w:rFonts w:hint="eastAsia" w:ascii="宋体" w:hAnsi="宋体" w:cs="宋体"/>
                <w:b/>
                <w:bCs/>
                <w:color w:val="auto"/>
                <w:sz w:val="24"/>
              </w:rPr>
              <w:t>同一设备编制</w:t>
            </w:r>
            <w:r>
              <w:rPr>
                <w:rFonts w:hint="eastAsia" w:ascii="宋体" w:hAnsi="宋体" w:cs="宋体"/>
                <w:color w:val="auto"/>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提供</w:t>
            </w:r>
            <w:r>
              <w:rPr>
                <w:rFonts w:hint="eastAsia" w:ascii="宋体" w:hAnsi="宋体" w:cs="宋体"/>
                <w:b/>
                <w:bCs/>
                <w:color w:val="auto"/>
                <w:sz w:val="24"/>
              </w:rPr>
              <w:t>未经出具机构核实</w:t>
            </w:r>
            <w:r>
              <w:rPr>
                <w:rFonts w:hint="eastAsia" w:ascii="宋体" w:hAnsi="宋体" w:cs="宋体"/>
                <w:color w:val="auto"/>
                <w:sz w:val="24"/>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360" w:lineRule="auto"/>
        <w:ind w:firstLine="482" w:firstLineChars="200"/>
        <w:jc w:val="left"/>
        <w:rPr>
          <w:rFonts w:hint="eastAsia" w:ascii="宋体" w:hAnsi="宋体" w:cs="宋体"/>
          <w:color w:val="auto"/>
          <w:sz w:val="24"/>
        </w:rPr>
      </w:pPr>
      <w:r>
        <w:rPr>
          <w:rStyle w:val="24"/>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7"/>
        <w:shd w:val="clear" w:color="auto" w:fill="FFFFFF"/>
        <w:spacing w:before="0" w:beforeAutospacing="0" w:after="0" w:afterAutospacing="0" w:line="360" w:lineRule="auto"/>
        <w:ind w:firstLine="480" w:firstLineChars="200"/>
        <w:rPr>
          <w:rFonts w:hint="eastAsia"/>
          <w:color w:val="auto"/>
        </w:rPr>
      </w:pPr>
      <w:bookmarkStart w:id="1" w:name="_Toc2750"/>
      <w:r>
        <w:rPr>
          <w:rFonts w:hint="eastAsia"/>
          <w:color w:val="auto"/>
        </w:rPr>
        <w:t>（一）在采购活动中应当回避而未回避的；</w:t>
      </w:r>
      <w:bookmarkEnd w:id="1"/>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（二）未按照本条例规定签订、履行采购合同，造成严重后果的；</w:t>
      </w:r>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（三）隐瞒真实情况，提供虚假资料的；</w:t>
      </w:r>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（四）以非法手段排斥其他供应商参与竞争的；</w:t>
      </w:r>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（五）与其他采购参加人串通投标的；</w:t>
      </w:r>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（六）恶意投诉的；</w:t>
      </w:r>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（七）向采购项目相关人行贿或者提供其他不当利益的；</w:t>
      </w:r>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（八）阻碍、抗拒主管部门监督检查的；</w:t>
      </w:r>
    </w:p>
    <w:p>
      <w:pPr>
        <w:pStyle w:val="17"/>
        <w:shd w:val="clear" w:color="auto" w:fill="FFFFFF"/>
        <w:spacing w:before="0" w:beforeAutospacing="0" w:after="0" w:afterAutospacing="0" w:line="360" w:lineRule="auto"/>
        <w:ind w:firstLine="480" w:firstLineChars="200"/>
        <w:rPr>
          <w:rFonts w:hint="eastAsia"/>
          <w:color w:val="auto"/>
        </w:rPr>
      </w:pPr>
      <w:r>
        <w:rPr>
          <w:rFonts w:hint="eastAsia"/>
          <w:color w:val="auto"/>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auto"/>
          <w:kern w:val="0"/>
          <w:sz w:val="24"/>
        </w:rPr>
      </w:pP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360" w:lineRule="auto"/>
        <w:ind w:firstLine="482" w:firstLineChars="200"/>
        <w:rPr>
          <w:rFonts w:hint="eastAsia"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360" w:lineRule="auto"/>
        <w:ind w:firstLine="480" w:firstLineChars="200"/>
        <w:rPr>
          <w:rFonts w:hint="eastAsia"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360" w:lineRule="auto"/>
        <w:ind w:firstLine="482" w:firstLineChars="200"/>
        <w:rPr>
          <w:rFonts w:hint="eastAsia"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（四）投标保证金不是从投标供应商基本账户转出的；</w:t>
      </w:r>
    </w:p>
    <w:p>
      <w:pPr>
        <w:keepLines/>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（五）其他隐瞒真实情况、提供虚假资料的行为。</w:t>
      </w:r>
    </w:p>
    <w:p>
      <w:pPr>
        <w:keepLines/>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pStyle w:val="2"/>
        <w:tabs>
          <w:tab w:val="left" w:pos="562"/>
          <w:tab w:val="left" w:pos="3372"/>
          <w:tab w:val="left" w:pos="3653"/>
        </w:tabs>
        <w:spacing w:line="360" w:lineRule="auto"/>
        <w:rPr>
          <w:rFonts w:hint="eastAsia" w:ascii="宋体" w:hAnsi="宋体" w:cs="宋体"/>
          <w:color w:val="auto"/>
        </w:rPr>
      </w:pP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360" w:lineRule="auto"/>
        <w:ind w:firstLine="482" w:firstLineChars="200"/>
        <w:jc w:val="left"/>
        <w:rPr>
          <w:rFonts w:hint="eastAsia"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pStyle w:val="2"/>
        <w:tabs>
          <w:tab w:val="left" w:pos="562"/>
          <w:tab w:val="left" w:pos="3372"/>
          <w:tab w:val="left" w:pos="3653"/>
        </w:tabs>
        <w:spacing w:line="360" w:lineRule="auto"/>
        <w:rPr>
          <w:rFonts w:hint="eastAsia" w:ascii="宋体" w:hAnsi="宋体" w:cs="宋体"/>
          <w:color w:val="auto"/>
        </w:rPr>
      </w:pP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pStyle w:val="2"/>
        <w:tabs>
          <w:tab w:val="left" w:pos="562"/>
          <w:tab w:val="left" w:pos="3372"/>
          <w:tab w:val="left" w:pos="3653"/>
        </w:tabs>
        <w:spacing w:line="360" w:lineRule="auto"/>
        <w:ind w:firstLine="480" w:firstLineChars="200"/>
        <w:rPr>
          <w:rFonts w:hint="eastAsia" w:ascii="宋体" w:hAnsi="宋体" w:cs="宋体"/>
          <w:color w:val="auto"/>
        </w:rPr>
      </w:pP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hint="eastAsia" w:ascii="宋体" w:hAnsi="宋体" w:cs="宋体"/>
          <w:b/>
          <w:bCs/>
          <w:color w:val="auto"/>
        </w:rPr>
      </w:pPr>
      <w:r>
        <w:rPr>
          <w:rFonts w:hint="eastAsia" w:ascii="宋体" w:hAnsi="宋体" w:cs="宋体"/>
          <w:b/>
          <w:bCs/>
          <w:color w:val="auto"/>
        </w:rPr>
        <w:t>强化政府采购异常低价审查：</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 xml:space="preserve">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6" w:name="_Toc20808"/>
      <w:r>
        <w:rPr>
          <w:rFonts w:hint="eastAsia" w:ascii="宋体" w:hAnsi="宋体" w:cs="宋体"/>
          <w:b/>
          <w:bCs/>
          <w:color w:val="auto"/>
          <w:sz w:val="36"/>
          <w:szCs w:val="36"/>
          <w:lang w:val="zh-CN"/>
        </w:rPr>
        <w:t>目录</w:t>
      </w:r>
      <w:bookmarkEnd w:id="0"/>
      <w:bookmarkEnd w:id="6"/>
    </w:p>
    <w:p>
      <w:pPr>
        <w:pStyle w:val="15"/>
        <w:tabs>
          <w:tab w:val="right" w:leader="dot" w:pos="8306"/>
        </w:tabs>
        <w:spacing w:line="480" w:lineRule="auto"/>
        <w:rPr>
          <w:b/>
          <w:bCs/>
          <w:color w:val="auto"/>
          <w:sz w:val="24"/>
          <w:szCs w:val="32"/>
        </w:rPr>
      </w:pPr>
    </w:p>
    <w:p>
      <w:pPr>
        <w:pStyle w:val="15"/>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"_Toc17273" </w:instrText>
      </w:r>
      <w:r>
        <w:rPr>
          <w:color w:val="auto"/>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7</w:t>
      </w:r>
      <w:r>
        <w:rPr>
          <w:b/>
          <w:bCs/>
          <w:color w:val="auto"/>
          <w:sz w:val="24"/>
        </w:rPr>
        <w:fldChar w:fldCharType="end"/>
      </w:r>
      <w:r>
        <w:rPr>
          <w:b/>
          <w:bCs/>
          <w:color w:val="auto"/>
          <w:sz w:val="24"/>
        </w:rPr>
        <w:fldChar w:fldCharType="end"/>
      </w:r>
    </w:p>
    <w:p>
      <w:pPr>
        <w:pStyle w:val="15"/>
        <w:tabs>
          <w:tab w:val="right" w:leader="dot" w:pos="8306"/>
        </w:tabs>
        <w:spacing w:line="360" w:lineRule="auto"/>
        <w:rPr>
          <w:b/>
          <w:bCs/>
          <w:color w:val="auto"/>
          <w:sz w:val="24"/>
        </w:rPr>
      </w:pPr>
      <w:r>
        <w:rPr>
          <w:color w:val="auto"/>
        </w:rPr>
        <w:fldChar w:fldCharType="begin"/>
      </w:r>
      <w:r>
        <w:rPr>
          <w:color w:val="auto"/>
        </w:rPr>
        <w:instrText xml:space="preserve"> HYPERLINK \l "_Toc10214" </w:instrText>
      </w:r>
      <w:r>
        <w:rPr>
          <w:color w:val="auto"/>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11</w:t>
      </w:r>
      <w:r>
        <w:rPr>
          <w:b/>
          <w:bCs/>
          <w:color w:val="auto"/>
          <w:sz w:val="24"/>
        </w:rPr>
        <w:fldChar w:fldCharType="end"/>
      </w:r>
      <w:r>
        <w:rPr>
          <w:b/>
          <w:bCs/>
          <w:color w:val="auto"/>
          <w:sz w:val="24"/>
        </w:rPr>
        <w:fldChar w:fldCharType="end"/>
      </w:r>
    </w:p>
    <w:p>
      <w:pPr>
        <w:pStyle w:val="15"/>
        <w:tabs>
          <w:tab w:val="right" w:leader="dot" w:pos="8306"/>
        </w:tabs>
        <w:spacing w:line="360" w:lineRule="auto"/>
        <w:rPr>
          <w:b/>
          <w:bCs/>
          <w:color w:val="auto"/>
          <w:sz w:val="24"/>
        </w:rPr>
      </w:pPr>
      <w:r>
        <w:rPr>
          <w:color w:val="auto"/>
        </w:rPr>
        <w:fldChar w:fldCharType="begin"/>
      </w:r>
      <w:r>
        <w:rPr>
          <w:color w:val="auto"/>
        </w:rPr>
        <w:instrText xml:space="preserve"> HYPERLINK \l "_Toc20176" </w:instrText>
      </w:r>
      <w:r>
        <w:rPr>
          <w:color w:val="auto"/>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14</w:t>
      </w:r>
      <w:r>
        <w:rPr>
          <w:b/>
          <w:bCs/>
          <w:color w:val="auto"/>
          <w:sz w:val="24"/>
        </w:rPr>
        <w:fldChar w:fldCharType="end"/>
      </w:r>
      <w:r>
        <w:rPr>
          <w:b/>
          <w:bCs/>
          <w:color w:val="auto"/>
          <w:sz w:val="24"/>
        </w:rPr>
        <w:fldChar w:fldCharType="end"/>
      </w:r>
    </w:p>
    <w:p>
      <w:pPr>
        <w:pStyle w:val="15"/>
        <w:tabs>
          <w:tab w:val="right" w:leader="dot" w:pos="8306"/>
        </w:tabs>
        <w:spacing w:line="360" w:lineRule="auto"/>
        <w:rPr>
          <w:b/>
          <w:bCs/>
          <w:color w:val="auto"/>
          <w:sz w:val="24"/>
        </w:rPr>
      </w:pPr>
      <w:r>
        <w:rPr>
          <w:color w:val="auto"/>
        </w:rPr>
        <w:fldChar w:fldCharType="begin"/>
      </w:r>
      <w:r>
        <w:rPr>
          <w:color w:val="auto"/>
        </w:rPr>
        <w:instrText xml:space="preserve"> HYPERLINK \l "_Toc3567" </w:instrText>
      </w:r>
      <w:r>
        <w:rPr>
          <w:color w:val="auto"/>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16</w:t>
      </w:r>
      <w:r>
        <w:rPr>
          <w:b/>
          <w:bCs/>
          <w:color w:val="auto"/>
          <w:sz w:val="24"/>
        </w:rPr>
        <w:fldChar w:fldCharType="end"/>
      </w:r>
      <w:r>
        <w:rPr>
          <w:b/>
          <w:bCs/>
          <w:color w:val="auto"/>
          <w:sz w:val="24"/>
        </w:rPr>
        <w:fldChar w:fldCharType="end"/>
      </w:r>
    </w:p>
    <w:p>
      <w:pPr>
        <w:pStyle w:val="15"/>
        <w:tabs>
          <w:tab w:val="right" w:leader="dot" w:pos="8306"/>
        </w:tabs>
        <w:spacing w:line="360" w:lineRule="auto"/>
        <w:rPr>
          <w:b/>
          <w:bCs/>
          <w:color w:val="auto"/>
          <w:sz w:val="24"/>
        </w:rPr>
      </w:pPr>
      <w:r>
        <w:rPr>
          <w:color w:val="auto"/>
        </w:rPr>
        <w:fldChar w:fldCharType="begin"/>
      </w:r>
      <w:r>
        <w:rPr>
          <w:color w:val="auto"/>
        </w:rPr>
        <w:instrText xml:space="preserve"> HYPERLINK \l "_Toc25518" </w:instrText>
      </w:r>
      <w:r>
        <w:rPr>
          <w:color w:val="auto"/>
        </w:rPr>
        <w:fldChar w:fldCharType="separate"/>
      </w:r>
      <w:r>
        <w:rPr>
          <w:rFonts w:hint="eastAsia" w:ascii="宋体" w:hAnsi="宋体" w:cs="宋体"/>
          <w:b/>
          <w:bCs/>
          <w:color w:val="auto"/>
          <w:sz w:val="24"/>
        </w:rPr>
        <w:t>第五章 用户需求书</w:t>
      </w:r>
      <w:r>
        <w:rPr>
          <w:b/>
          <w:bCs/>
          <w:color w:val="auto"/>
          <w:sz w:val="24"/>
        </w:rPr>
        <w:tab/>
      </w:r>
      <w:r>
        <w:rPr>
          <w:b/>
          <w:bCs/>
          <w:color w:val="auto"/>
          <w:sz w:val="24"/>
        </w:rPr>
        <w:fldChar w:fldCharType="end"/>
      </w:r>
      <w:r>
        <w:rPr>
          <w:rFonts w:hint="eastAsia"/>
          <w:b/>
          <w:bCs/>
          <w:color w:val="auto"/>
          <w:sz w:val="24"/>
        </w:rPr>
        <w:t>26</w:t>
      </w:r>
    </w:p>
    <w:p>
      <w:pPr>
        <w:pStyle w:val="15"/>
        <w:tabs>
          <w:tab w:val="right" w:leader="dot" w:pos="8306"/>
        </w:tabs>
        <w:spacing w:line="360" w:lineRule="auto"/>
        <w:rPr>
          <w:b/>
          <w:bCs/>
          <w:color w:val="auto"/>
          <w:sz w:val="24"/>
        </w:rPr>
      </w:pPr>
      <w:r>
        <w:rPr>
          <w:color w:val="auto"/>
        </w:rPr>
        <w:fldChar w:fldCharType="begin"/>
      </w:r>
      <w:r>
        <w:rPr>
          <w:color w:val="auto"/>
        </w:rPr>
        <w:instrText xml:space="preserve"> HYPERLINK \l "_Toc23822" </w:instrText>
      </w:r>
      <w:r>
        <w:rPr>
          <w:color w:val="auto"/>
        </w:rPr>
        <w:fldChar w:fldCharType="separate"/>
      </w:r>
      <w:r>
        <w:rPr>
          <w:rFonts w:hint="eastAsia" w:ascii="宋体" w:cs="宋体"/>
          <w:b/>
          <w:bCs/>
          <w:color w:val="auto"/>
          <w:sz w:val="24"/>
        </w:rPr>
        <w:t>第六章 投标文件初审及招标项目评分表</w:t>
      </w:r>
      <w:r>
        <w:rPr>
          <w:b/>
          <w:bCs/>
          <w:color w:val="auto"/>
          <w:sz w:val="24"/>
        </w:rPr>
        <w:tab/>
      </w:r>
      <w:r>
        <w:rPr>
          <w:b/>
          <w:bCs/>
          <w:color w:val="auto"/>
          <w:sz w:val="24"/>
        </w:rPr>
        <w:fldChar w:fldCharType="end"/>
      </w:r>
      <w:r>
        <w:rPr>
          <w:rFonts w:hint="eastAsia"/>
          <w:b/>
          <w:bCs/>
          <w:color w:val="auto"/>
          <w:sz w:val="24"/>
        </w:rPr>
        <w:t>32</w:t>
      </w:r>
    </w:p>
    <w:p>
      <w:pPr>
        <w:pStyle w:val="15"/>
        <w:tabs>
          <w:tab w:val="right" w:leader="dot" w:pos="8306"/>
        </w:tabs>
        <w:spacing w:line="360" w:lineRule="auto"/>
        <w:rPr>
          <w:b/>
          <w:bCs/>
          <w:color w:val="auto"/>
          <w:sz w:val="24"/>
        </w:rPr>
      </w:pPr>
      <w:r>
        <w:rPr>
          <w:color w:val="auto"/>
        </w:rPr>
        <w:fldChar w:fldCharType="begin"/>
      </w:r>
      <w:r>
        <w:rPr>
          <w:color w:val="auto"/>
        </w:rPr>
        <w:instrText xml:space="preserve"> HYPERLINK \l "_Toc9548" </w:instrText>
      </w:r>
      <w:r>
        <w:rPr>
          <w:color w:val="auto"/>
        </w:rPr>
        <w:fldChar w:fldCharType="separate"/>
      </w:r>
      <w:r>
        <w:rPr>
          <w:rFonts w:hint="eastAsia" w:ascii="宋体" w:hAnsi="宋体" w:cs="宋体"/>
          <w:b/>
          <w:bCs/>
          <w:color w:val="auto"/>
          <w:sz w:val="24"/>
        </w:rPr>
        <w:t>第七章 附件（投标文件格式）</w:t>
      </w:r>
      <w:r>
        <w:rPr>
          <w:b/>
          <w:bCs/>
          <w:color w:val="auto"/>
          <w:sz w:val="24"/>
        </w:rPr>
        <w:tab/>
      </w:r>
      <w:r>
        <w:rPr>
          <w:b/>
          <w:bCs/>
          <w:color w:val="auto"/>
          <w:sz w:val="24"/>
        </w:rPr>
        <w:fldChar w:fldCharType="end"/>
      </w:r>
      <w:r>
        <w:rPr>
          <w:rFonts w:hint="eastAsia"/>
          <w:b/>
          <w:bCs/>
          <w:color w:val="auto"/>
          <w:sz w:val="24"/>
        </w:rPr>
        <w:t>38</w:t>
      </w:r>
    </w:p>
    <w:p>
      <w:pPr>
        <w:pStyle w:val="15"/>
        <w:tabs>
          <w:tab w:val="right" w:leader="dot" w:pos="8306"/>
        </w:tabs>
        <w:spacing w:line="360" w:lineRule="auto"/>
        <w:rPr>
          <w:b/>
          <w:bCs/>
          <w:color w:val="auto"/>
          <w:sz w:val="24"/>
        </w:rPr>
      </w:pPr>
      <w:r>
        <w:rPr>
          <w:color w:val="auto"/>
        </w:rPr>
        <w:fldChar w:fldCharType="begin"/>
      </w:r>
      <w:r>
        <w:rPr>
          <w:color w:val="auto"/>
        </w:rPr>
        <w:instrText xml:space="preserve"> HYPERLINK \l "_Toc742" </w:instrText>
      </w:r>
      <w:r>
        <w:rPr>
          <w:color w:val="auto"/>
        </w:rPr>
        <w:fldChar w:fldCharType="separate"/>
      </w:r>
      <w:r>
        <w:rPr>
          <w:rFonts w:hint="eastAsia" w:ascii="宋体" w:hAnsi="宋体" w:cs="宋体"/>
          <w:b/>
          <w:bCs/>
          <w:color w:val="auto"/>
          <w:sz w:val="24"/>
        </w:rPr>
        <w:t>附件：相关政策</w:t>
      </w:r>
      <w:r>
        <w:rPr>
          <w:b/>
          <w:bCs/>
          <w:color w:val="auto"/>
          <w:sz w:val="24"/>
        </w:rPr>
        <w:tab/>
      </w:r>
      <w:r>
        <w:rPr>
          <w:b/>
          <w:bCs/>
          <w:color w:val="auto"/>
          <w:sz w:val="24"/>
        </w:rPr>
        <w:fldChar w:fldCharType="end"/>
      </w:r>
      <w:r>
        <w:rPr>
          <w:rFonts w:hint="eastAsia"/>
          <w:b/>
          <w:bCs/>
          <w:color w:val="auto"/>
          <w:sz w:val="24"/>
        </w:rPr>
        <w:t>57</w:t>
      </w:r>
    </w:p>
    <w:p>
      <w:pPr>
        <w:pStyle w:val="15"/>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7" w:name="_Toc17273"/>
      <w:r>
        <w:rPr>
          <w:rFonts w:hint="eastAsia" w:ascii="宋体" w:hAnsi="宋体" w:cs="宋体"/>
          <w:b/>
          <w:bCs/>
          <w:color w:val="auto"/>
          <w:sz w:val="24"/>
        </w:rPr>
        <w:t>招标邀请书（招标公告）</w:t>
      </w:r>
      <w:bookmarkEnd w:id="7"/>
    </w:p>
    <w:p>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文件编码：0722-2025FE6172SZF-1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“前海管理局2025年赴港培训”培训服务项目</w:t>
      </w:r>
      <w:r>
        <w:rPr>
          <w:rFonts w:hint="eastAsia" w:ascii="宋体" w:hAnsi="宋体" w:cs="宋体"/>
          <w:color w:val="auto"/>
          <w:sz w:val="24"/>
        </w:rPr>
        <w:t>（招标编号：</w:t>
      </w:r>
      <w:r>
        <w:rPr>
          <w:rFonts w:hint="eastAsia" w:ascii="宋体" w:hAnsi="宋体" w:cs="宋体"/>
          <w:color w:val="auto"/>
          <w:sz w:val="24"/>
          <w:u w:val="single"/>
        </w:rPr>
        <w:t>QH2025049</w:t>
      </w:r>
      <w:r>
        <w:rPr>
          <w:rFonts w:hint="eastAsia" w:ascii="宋体" w:hAnsi="宋体" w:cs="宋体"/>
          <w:color w:val="auto"/>
          <w:sz w:val="24"/>
        </w:rPr>
        <w:t>）采用简易招标方式采购，欢迎符合投标人资格要求的专业供应商积极参加投标。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招标编号</w:t>
            </w:r>
          </w:p>
        </w:tc>
        <w:tc>
          <w:tcPr>
            <w:tcW w:w="7015" w:type="dxa"/>
            <w:vAlign w:val="center"/>
          </w:tcPr>
          <w:p>
            <w:pPr>
              <w:spacing w:line="360" w:lineRule="auto"/>
              <w:rPr>
                <w:rFonts w:hint="eastAsia" w:ascii="宋体" w:hAnsi="宋体" w:cs="宋体"/>
                <w:color w:val="auto"/>
                <w:sz w:val="24"/>
              </w:rPr>
            </w:pPr>
            <w:r>
              <w:rPr>
                <w:rFonts w:hint="eastAsia" w:ascii="宋体" w:hAnsi="宋体" w:cs="宋体"/>
                <w:color w:val="auto"/>
                <w:sz w:val="24"/>
                <w:u w:val="single"/>
              </w:rPr>
              <w:t>QH2025049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vAlign w:val="center"/>
          </w:tcPr>
          <w:p>
            <w:pPr>
              <w:spacing w:line="360" w:lineRule="auto"/>
              <w:rPr>
                <w:rFonts w:hint="eastAsia" w:ascii="宋体" w:hAnsi="宋体" w:cs="宋体"/>
                <w:color w:val="auto"/>
                <w:sz w:val="24"/>
              </w:rPr>
            </w:pPr>
            <w:r>
              <w:rPr>
                <w:rFonts w:hint="eastAsia" w:ascii="宋体" w:hAnsi="宋体" w:cs="宋体"/>
                <w:color w:val="auto"/>
                <w:sz w:val="24"/>
              </w:rPr>
              <w:t>“前海管理局2025年赴港培训”培训服务项目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vAlign w:val="center"/>
          </w:tcPr>
          <w:p>
            <w:pPr>
              <w:spacing w:line="360" w:lineRule="auto"/>
              <w:rPr>
                <w:color w:val="auto"/>
              </w:rPr>
            </w:pPr>
            <w:r>
              <w:rPr>
                <w:rFonts w:hint="eastAsia" w:ascii="宋体" w:hAnsi="宋体" w:cs="宋体"/>
                <w:color w:val="auto"/>
                <w:sz w:val="24"/>
              </w:rPr>
              <w:t>2场培训分别拟于6月、10月开展。每场学制6天（境内1天，香港5天）。具体详见用户需求书。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vAlign w:val="center"/>
          </w:tcPr>
          <w:p>
            <w:pPr>
              <w:spacing w:line="360" w:lineRule="auto"/>
              <w:rPr>
                <w:rFonts w:hint="eastAsia" w:ascii="宋体" w:hAnsi="宋体" w:cs="宋体"/>
                <w:color w:val="auto"/>
                <w:sz w:val="24"/>
              </w:rPr>
            </w:pPr>
            <w:r>
              <w:rPr>
                <w:rFonts w:hint="eastAsia" w:ascii="宋体" w:hAnsi="宋体" w:cs="宋体"/>
                <w:color w:val="auto"/>
                <w:sz w:val="24"/>
              </w:rPr>
              <w:t>¥651</w:t>
            </w:r>
            <w:r>
              <w:rPr>
                <w:rFonts w:hint="eastAsia" w:ascii="宋体" w:hAnsi="宋体" w:cs="宋体"/>
                <w:color w:val="auto"/>
                <w:sz w:val="24"/>
                <w:lang w:val="en-US" w:eastAsia="zh-CN"/>
              </w:rPr>
              <w:t>,</w:t>
            </w:r>
            <w:r>
              <w:rPr>
                <w:rFonts w:hint="eastAsia" w:ascii="宋体" w:hAnsi="宋体" w:cs="宋体"/>
                <w:color w:val="auto"/>
                <w:sz w:val="24"/>
              </w:rPr>
              <w:t>499.75（人民币</w:t>
            </w:r>
            <w:r>
              <w:rPr>
                <w:rFonts w:hint="eastAsia" w:ascii="宋体" w:hAnsi="宋体" w:cs="宋体"/>
                <w:color w:val="auto"/>
                <w:sz w:val="24"/>
                <w:lang w:val="en-US" w:eastAsia="zh-CN"/>
              </w:rPr>
              <w:t>陆拾伍万壹仟肆佰玖拾玖元柒角伍分</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vAlign w:val="center"/>
          </w:tcPr>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将投标文件密封并在</w:t>
            </w:r>
            <w:r>
              <w:rPr>
                <w:rFonts w:hint="eastAsia" w:ascii="宋体" w:hAnsi="宋体" w:cs="宋体"/>
                <w:b/>
                <w:bCs/>
                <w:color w:val="auto"/>
                <w:kern w:val="0"/>
                <w:sz w:val="24"/>
              </w:rPr>
              <w:t>2025年</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27</w:t>
            </w:r>
            <w:r>
              <w:rPr>
                <w:rFonts w:hint="eastAsia" w:ascii="宋体" w:hAnsi="宋体" w:cs="宋体"/>
                <w:b/>
                <w:bCs/>
                <w:color w:val="auto"/>
                <w:kern w:val="0"/>
                <w:sz w:val="24"/>
              </w:rPr>
              <w:t>日1</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0时（北京时间）</w:t>
            </w:r>
            <w:r>
              <w:rPr>
                <w:rFonts w:hint="eastAsia" w:ascii="宋体" w:hAnsi="宋体" w:cs="宋体"/>
                <w:color w:val="auto"/>
                <w:kern w:val="0"/>
                <w:sz w:val="24"/>
              </w:rPr>
              <w:t>前送达（现场递交或邮寄）至深圳市南山区前海深港合作区桂湾五路123号前海管理局前海大厦T1栋2503办公室</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联  系  人：王工</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电      话：0755-88105085</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vAlign w:val="center"/>
          </w:tcPr>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在中华人民共和国境内注册的具有独立法人资格或具有独立承担民事责任的能力的其他组织</w:t>
            </w:r>
            <w:r>
              <w:rPr>
                <w:rFonts w:hint="eastAsia" w:ascii="宋体" w:hAnsi="宋体" w:cs="宋体"/>
                <w:b/>
                <w:bCs/>
                <w:color w:val="auto"/>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w:t>
            </w:r>
            <w:r>
              <w:rPr>
                <w:rFonts w:hint="eastAsia" w:ascii="宋体" w:hAnsi="宋体" w:cs="宋体"/>
                <w:b/>
                <w:bCs/>
                <w:color w:val="auto"/>
                <w:kern w:val="0"/>
                <w:sz w:val="24"/>
              </w:rPr>
              <w:t>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为此项目提供整体设计、规范编制或者项目管理、监理、检测等服务的供应商，不得再参加此项目的其他招标采购活动</w:t>
            </w:r>
            <w:r>
              <w:rPr>
                <w:rFonts w:hint="eastAsia" w:ascii="宋体" w:hAnsi="宋体" w:cs="宋体"/>
                <w:b/>
                <w:bCs/>
                <w:color w:val="auto"/>
                <w:kern w:val="0"/>
                <w:sz w:val="24"/>
              </w:rPr>
              <w:t>（由投标人在《政府采购投标及履约承诺函》中作出声明）；</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u w:val="single"/>
              </w:rPr>
              <w:t>其他未列明行业。</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vAlign w:val="center"/>
          </w:tcPr>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本次投标报价包括了投标人完成本招标项目而发生的全部费用，包括但不限于：培训费、师资费、资料费、伙食费、场地费、交通费、住宿费、税费等一切费用，投标人报价不得超过单项最高限价，否则投标无效。详细分项报价清单详见附件。总费用按照实际参训人数、实际发生课时数和双方认可的费用支付（本协议计费单位均为人民币）。</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1.采购人信息</w:t>
            </w:r>
          </w:p>
          <w:p>
            <w:pPr>
              <w:spacing w:line="360" w:lineRule="auto"/>
              <w:rPr>
                <w:rFonts w:hint="eastAsia" w:ascii="宋体" w:hAnsi="宋体" w:cs="宋体"/>
                <w:color w:val="auto"/>
                <w:kern w:val="0"/>
                <w:sz w:val="24"/>
              </w:rPr>
            </w:pPr>
            <w:bookmarkStart w:id="8" w:name="_Toc28359086"/>
            <w:bookmarkStart w:id="9" w:name="_Toc28359009"/>
            <w:r>
              <w:rPr>
                <w:rFonts w:hint="eastAsia" w:ascii="宋体" w:hAnsi="宋体" w:cs="宋体"/>
                <w:color w:val="auto"/>
                <w:kern w:val="0"/>
                <w:sz w:val="24"/>
              </w:rPr>
              <w:t>名  称：深圳市前海深港现代服务业合作区管理局</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址：深圳市南山区前海深港合作区桂湾五路123号前海管理局前海大厦T1栋25楼</w:t>
            </w:r>
          </w:p>
          <w:p>
            <w:pPr>
              <w:spacing w:line="360" w:lineRule="auto"/>
              <w:rPr>
                <w:rFonts w:hint="eastAsia" w:ascii="宋体" w:hAnsi="宋体" w:cs="宋体"/>
                <w:color w:val="auto"/>
                <w:kern w:val="0"/>
                <w:sz w:val="24"/>
              </w:rPr>
            </w:pPr>
            <w:r>
              <w:rPr>
                <w:rFonts w:hint="eastAsia" w:ascii="宋体" w:hAnsi="宋体" w:cs="宋体"/>
                <w:color w:val="auto"/>
                <w:kern w:val="0"/>
                <w:sz w:val="24"/>
              </w:rPr>
              <w:t>联系人：王工</w:t>
            </w:r>
          </w:p>
          <w:p>
            <w:pPr>
              <w:spacing w:line="360" w:lineRule="auto"/>
              <w:rPr>
                <w:rFonts w:hint="eastAsia" w:ascii="宋体" w:hAnsi="宋体" w:cs="宋体"/>
                <w:color w:val="auto"/>
                <w:kern w:val="0"/>
                <w:sz w:val="24"/>
              </w:rPr>
            </w:pPr>
            <w:r>
              <w:rPr>
                <w:rFonts w:hint="eastAsia" w:ascii="宋体" w:hAnsi="宋体" w:cs="宋体"/>
                <w:color w:val="auto"/>
                <w:kern w:val="0"/>
                <w:sz w:val="24"/>
              </w:rPr>
              <w:t>电  话：0755</w:t>
            </w:r>
            <w:bookmarkStart w:id="10" w:name="OLE_LINK3"/>
            <w:r>
              <w:rPr>
                <w:rFonts w:hint="eastAsia" w:ascii="宋体" w:hAnsi="宋体" w:cs="宋体"/>
                <w:color w:val="auto"/>
                <w:kern w:val="0"/>
                <w:sz w:val="24"/>
              </w:rPr>
              <w:t>-</w:t>
            </w:r>
            <w:bookmarkEnd w:id="10"/>
            <w:r>
              <w:rPr>
                <w:rFonts w:hint="eastAsia" w:ascii="宋体" w:hAnsi="宋体" w:cs="宋体"/>
                <w:color w:val="auto"/>
                <w:kern w:val="0"/>
                <w:sz w:val="24"/>
              </w:rPr>
              <w:t>88105085</w:t>
            </w:r>
          </w:p>
          <w:p>
            <w:pPr>
              <w:spacing w:line="360" w:lineRule="auto"/>
              <w:rPr>
                <w:rFonts w:hint="eastAsia" w:ascii="宋体" w:hAnsi="宋体" w:cs="宋体"/>
                <w:color w:val="auto"/>
                <w:kern w:val="0"/>
                <w:sz w:val="24"/>
              </w:rPr>
            </w:pPr>
            <w:r>
              <w:rPr>
                <w:rFonts w:hint="eastAsia" w:ascii="宋体" w:hAnsi="宋体" w:cs="宋体"/>
                <w:color w:val="auto"/>
                <w:kern w:val="0"/>
                <w:sz w:val="24"/>
              </w:rPr>
              <w:t>2.采购代理机构信息</w:t>
            </w:r>
            <w:bookmarkEnd w:id="8"/>
            <w:bookmarkEnd w:id="9"/>
          </w:p>
          <w:p>
            <w:pPr>
              <w:spacing w:line="360" w:lineRule="auto"/>
              <w:rPr>
                <w:rFonts w:hint="eastAsia" w:ascii="宋体" w:hAnsi="宋体" w:cs="宋体"/>
                <w:color w:val="auto"/>
                <w:kern w:val="0"/>
                <w:sz w:val="24"/>
              </w:rPr>
            </w:pPr>
            <w:bookmarkStart w:id="11" w:name="_Toc28359087"/>
            <w:bookmarkStart w:id="12" w:name="_Toc28359010"/>
            <w:r>
              <w:rPr>
                <w:rFonts w:hint="eastAsia" w:ascii="宋体" w:hAnsi="宋体" w:cs="宋体"/>
                <w:color w:val="auto"/>
                <w:kern w:val="0"/>
                <w:sz w:val="24"/>
              </w:rPr>
              <w:t>名  称：中国远东国际招标有限公司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址：深圳市福田区上步南路1001号锦峰大厦22楼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联系人：凌女士、伍先生</w:t>
            </w:r>
          </w:p>
          <w:p>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话：0755-82078919、82077364转105</w:t>
            </w:r>
          </w:p>
          <w:p>
            <w:pPr>
              <w:spacing w:line="360" w:lineRule="auto"/>
              <w:rPr>
                <w:rFonts w:hint="eastAsia" w:ascii="宋体" w:hAnsi="宋体" w:cs="宋体"/>
                <w:color w:val="auto"/>
                <w:kern w:val="0"/>
                <w:sz w:val="24"/>
              </w:rPr>
            </w:pPr>
            <w:r>
              <w:rPr>
                <w:rFonts w:hint="eastAsia" w:ascii="宋体" w:hAnsi="宋体" w:cs="宋体"/>
                <w:color w:val="auto"/>
                <w:kern w:val="0"/>
                <w:sz w:val="24"/>
              </w:rPr>
              <w:t>传  真：0755-82077519</w:t>
            </w:r>
          </w:p>
          <w:p>
            <w:pPr>
              <w:spacing w:line="360" w:lineRule="auto"/>
              <w:rPr>
                <w:rFonts w:hint="eastAsia" w:ascii="宋体" w:hAnsi="宋体" w:cs="宋体"/>
                <w:color w:val="auto"/>
                <w:kern w:val="0"/>
                <w:sz w:val="24"/>
              </w:rPr>
            </w:pPr>
            <w:r>
              <w:rPr>
                <w:rFonts w:hint="eastAsia" w:ascii="宋体" w:hAnsi="宋体" w:cs="宋体"/>
                <w:color w:val="auto"/>
                <w:kern w:val="0"/>
                <w:sz w:val="24"/>
              </w:rPr>
              <w:t>3.项目联系方式</w:t>
            </w:r>
            <w:bookmarkEnd w:id="11"/>
            <w:bookmarkEnd w:id="12"/>
          </w:p>
          <w:p>
            <w:pPr>
              <w:spacing w:line="360" w:lineRule="auto"/>
              <w:rPr>
                <w:rFonts w:hint="eastAsia" w:ascii="宋体" w:hAnsi="宋体" w:cs="宋体"/>
                <w:color w:val="auto"/>
                <w:kern w:val="0"/>
                <w:sz w:val="24"/>
              </w:rPr>
            </w:pPr>
            <w:r>
              <w:rPr>
                <w:rFonts w:hint="eastAsia" w:ascii="宋体" w:hAnsi="宋体" w:cs="宋体"/>
                <w:color w:val="auto"/>
                <w:kern w:val="0"/>
                <w:sz w:val="24"/>
              </w:rPr>
              <w:t>项目联系人：凌女士、伍先生</w:t>
            </w:r>
          </w:p>
          <w:p>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话：0755-82078919、82077364转105</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2025年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3" w:name="_Toc10214"/>
      <w:r>
        <w:rPr>
          <w:rFonts w:hint="eastAsia" w:ascii="宋体" w:hAnsi="宋体" w:cs="宋体"/>
          <w:b/>
          <w:bCs/>
          <w:color w:val="auto"/>
          <w:sz w:val="24"/>
        </w:rPr>
        <w:t>投标须知</w:t>
      </w:r>
      <w:bookmarkEnd w:id="13"/>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“前海管理局2025年赴港培训”培训服务项目</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2.1、本次采购公开征集供应商，报名且符合招标文件初审的供应商满足3家或3家以上的，采用综合评分法的方式进行。</w:t>
      </w:r>
      <w:r>
        <w:rPr>
          <w:rFonts w:hint="eastAsia" w:ascii="宋体" w:hAnsi="宋体" w:eastAsia="宋体" w:cs="宋体"/>
          <w:b/>
          <w:bCs/>
          <w:color w:val="auto"/>
          <w:sz w:val="24"/>
          <w:szCs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2.2、对于重新组织简易招标(公开征集)，仍出现有效投标供应商不足3家的情形，按以下流程执行：</w:t>
      </w:r>
    </w:p>
    <w:p>
      <w:pP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a.有效投标人为2家的，可在2家有效投标人中取得分最高者为中标供应商；</w:t>
      </w:r>
    </w:p>
    <w:p>
      <w:pPr>
        <w:spacing w:line="360" w:lineRule="auto"/>
        <w:rPr>
          <w:rFonts w:hint="eastAsia" w:ascii="宋体" w:hAnsi="宋体" w:cs="宋体"/>
          <w:color w:val="auto"/>
          <w:sz w:val="24"/>
        </w:rPr>
      </w:pPr>
      <w:r>
        <w:rPr>
          <w:rFonts w:hint="eastAsia" w:ascii="宋体" w:hAnsi="宋体" w:eastAsia="宋体" w:cs="宋体"/>
          <w:b/>
          <w:bCs/>
          <w:color w:val="auto"/>
          <w:sz w:val="24"/>
          <w:szCs w:val="24"/>
        </w:rPr>
        <w:t>b.如参与投标且符合招标文件要求的供应商仅有1家，评审委员会应与投标供应商进行谈判，</w:t>
      </w:r>
      <w:r>
        <w:rPr>
          <w:rFonts w:hint="eastAsia" w:ascii="宋体" w:hAnsi="宋体" w:eastAsia="宋体" w:cs="宋体"/>
          <w:b/>
          <w:bCs/>
          <w:color w:val="auto"/>
          <w:sz w:val="24"/>
          <w:szCs w:val="24"/>
          <w:u w:val="single"/>
        </w:rPr>
        <w:t>原则上成交价不超过最初报价的95%。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w:t>
      </w:r>
      <w:r>
        <w:rPr>
          <w:rFonts w:hint="eastAsia" w:ascii="宋体" w:hAnsi="宋体" w:cs="宋体"/>
          <w:b/>
          <w:color w:val="auto"/>
          <w:sz w:val="24"/>
        </w:rPr>
        <w:t>1份PDF格式的正本投标文件扫描件</w:t>
      </w:r>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hint="eastAsia" w:ascii="宋体" w:hAnsi="宋体" w:cs="宋体"/>
          <w:color w:val="auto"/>
          <w:sz w:val="24"/>
        </w:rPr>
      </w:pPr>
      <w:r>
        <w:rPr>
          <w:rFonts w:hint="eastAsia" w:ascii="宋体" w:hAnsi="宋体" w:cs="宋体"/>
          <w:color w:val="auto"/>
          <w:sz w:val="24"/>
        </w:rPr>
        <w:t>开户名称：中国远东国际招标有限公司深圳分公司</w:t>
      </w:r>
    </w:p>
    <w:p>
      <w:pPr>
        <w:spacing w:line="360" w:lineRule="auto"/>
        <w:rPr>
          <w:rFonts w:hint="eastAsia" w:ascii="宋体" w:hAnsi="宋体" w:cs="宋体"/>
          <w:color w:val="auto"/>
          <w:sz w:val="24"/>
        </w:rPr>
      </w:pPr>
      <w:r>
        <w:rPr>
          <w:rFonts w:hint="eastAsia" w:ascii="宋体" w:hAnsi="宋体" w:cs="宋体"/>
          <w:color w:val="auto"/>
          <w:sz w:val="24"/>
        </w:rPr>
        <w:t>银行账号：11013651025501</w:t>
      </w:r>
    </w:p>
    <w:p>
      <w:pPr>
        <w:spacing w:line="360" w:lineRule="auto"/>
        <w:rPr>
          <w:rFonts w:hint="eastAsia" w:ascii="宋体" w:hAnsi="宋体" w:cs="宋体"/>
          <w:b/>
          <w:bCs/>
          <w:color w:val="auto"/>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14" w:name="_Toc20176"/>
      <w:r>
        <w:rPr>
          <w:rFonts w:hint="eastAsia" w:ascii="宋体" w:hAnsi="宋体" w:cs="宋体"/>
          <w:b/>
          <w:bCs/>
          <w:color w:val="auto"/>
          <w:sz w:val="24"/>
        </w:rPr>
        <w:t>评标程序</w:t>
      </w:r>
      <w:bookmarkEnd w:id="14"/>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 xml:space="preserve">四、开标时间：2025年 </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日1</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0时（北京时间）。</w:t>
      </w:r>
    </w:p>
    <w:p>
      <w:pPr>
        <w:spacing w:line="360" w:lineRule="auto"/>
        <w:rPr>
          <w:rFonts w:hint="eastAsia" w:ascii="宋体" w:hAnsi="宋体" w:cs="宋体"/>
          <w:color w:val="auto"/>
          <w:sz w:val="24"/>
        </w:rPr>
      </w:pPr>
      <w:r>
        <w:rPr>
          <w:rFonts w:hint="eastAsia" w:ascii="宋体" w:hAnsi="宋体" w:cs="宋体"/>
          <w:color w:val="auto"/>
          <w:sz w:val="24"/>
        </w:rPr>
        <w:t xml:space="preserve">五、会议开始：2025年 </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日1</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spacing w:line="360" w:lineRule="auto"/>
        <w:rPr>
          <w:rFonts w:hint="eastAsia" w:ascii="宋体" w:hAnsi="宋体" w:cs="宋体"/>
          <w:color w:val="auto"/>
          <w:sz w:val="24"/>
        </w:rPr>
      </w:pPr>
      <w:r>
        <w:rPr>
          <w:rFonts w:hint="eastAsia" w:ascii="宋体" w:hAnsi="宋体" w:cs="宋体"/>
          <w:color w:val="auto"/>
          <w:sz w:val="24"/>
        </w:rPr>
        <w:t>5、采用谈判的情况：参与投标且符合招标文件要求的供应商仅有一家，评审委员会将与投标供应商进行谈判。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w:t>
      </w:r>
      <w:r>
        <w:rPr>
          <w:rFonts w:ascii="宋体" w:hAnsi="宋体" w:cs="宋体"/>
          <w:color w:val="auto"/>
          <w:sz w:val="24"/>
        </w:rPr>
        <w:t>0</w:t>
      </w:r>
      <w:r>
        <w:rPr>
          <w:rFonts w:hint="eastAsia" w:ascii="宋体" w:hAnsi="宋体" w:cs="宋体"/>
          <w:color w:val="auto"/>
          <w:sz w:val="24"/>
        </w:rPr>
        <w:t>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2"/>
        <w:rPr>
          <w:rFonts w:hint="eastAsia" w:ascii="宋体" w:hAnsi="宋体" w:cs="宋体"/>
          <w:color w:val="auto"/>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bookmarkStart w:id="15" w:name="_Toc3567"/>
      <w:r>
        <w:rPr>
          <w:rFonts w:hint="eastAsia" w:ascii="宋体" w:hAnsi="宋体" w:cs="宋体"/>
          <w:b/>
          <w:bCs/>
          <w:color w:val="auto"/>
          <w:sz w:val="24"/>
        </w:rPr>
        <w:t>合同格式及合同条款</w:t>
      </w:r>
      <w:bookmarkEnd w:id="15"/>
    </w:p>
    <w:p>
      <w:pPr>
        <w:spacing w:line="360" w:lineRule="auto"/>
        <w:ind w:firstLine="470" w:firstLineChars="196"/>
        <w:jc w:val="center"/>
        <w:rPr>
          <w:rFonts w:hint="eastAsia" w:ascii="宋体" w:hAnsi="宋体" w:cs="宋体"/>
          <w:color w:val="auto"/>
          <w:sz w:val="24"/>
        </w:rPr>
      </w:pPr>
      <w:bookmarkStart w:id="16" w:name="_Toc73518163"/>
      <w:bookmarkStart w:id="17" w:name="_Toc73517685"/>
      <w:bookmarkStart w:id="18" w:name="_Toc84303603"/>
      <w:bookmarkStart w:id="19" w:name="_Toc73521592"/>
      <w:bookmarkStart w:id="20" w:name="_Toc101074886"/>
      <w:bookmarkStart w:id="21" w:name="_Toc100052414"/>
      <w:bookmarkStart w:id="22" w:name="_Toc73521680"/>
    </w:p>
    <w:bookmarkEnd w:id="16"/>
    <w:bookmarkEnd w:id="17"/>
    <w:bookmarkEnd w:id="18"/>
    <w:bookmarkEnd w:id="19"/>
    <w:bookmarkEnd w:id="20"/>
    <w:bookmarkEnd w:id="21"/>
    <w:bookmarkEnd w:id="22"/>
    <w:p>
      <w:pPr>
        <w:pStyle w:val="31"/>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31"/>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31"/>
        <w:spacing w:line="360" w:lineRule="auto"/>
        <w:ind w:left="1470" w:right="1470" w:firstLine="482"/>
        <w:jc w:val="center"/>
        <w:rPr>
          <w:rFonts w:hint="eastAsia" w:ascii="宋体" w:hAnsi="宋体" w:cs="宋体"/>
          <w:b/>
          <w:color w:val="auto"/>
          <w:sz w:val="24"/>
          <w:szCs w:val="24"/>
        </w:rPr>
      </w:pPr>
    </w:p>
    <w:p>
      <w:pPr>
        <w:pStyle w:val="31"/>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31"/>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eastAsia="zh-CN"/>
        </w:rPr>
        <w:t>“前海管理局2025年赴港培训”培训服务项目</w:t>
      </w: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31"/>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31"/>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720" w:firstLineChars="300"/>
        <w:rPr>
          <w:rFonts w:hint="eastAsia" w:ascii="宋体" w:hAnsi="宋体" w:eastAsia="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z w:val="24"/>
          <w:u w:val="single"/>
        </w:rPr>
        <w:t>：</w:t>
      </w:r>
      <w:r>
        <w:rPr>
          <w:rFonts w:hint="eastAsia" w:ascii="宋体" w:hAnsi="宋体" w:cs="宋体"/>
          <w:color w:val="auto"/>
          <w:sz w:val="24"/>
          <w:u w:val="single"/>
          <w:lang w:eastAsia="zh-CN"/>
        </w:rPr>
        <w:t>“前海管理局2025年赴港培训”培训服务项目</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二〇二四年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法定代表人：</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QH2025049】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的</w:t>
      </w:r>
      <w:r>
        <w:rPr>
          <w:rFonts w:hint="eastAsia" w:ascii="宋体" w:hAnsi="宋体" w:cs="宋体"/>
          <w:b/>
          <w:bCs/>
          <w:color w:val="auto"/>
          <w:kern w:val="0"/>
          <w:sz w:val="24"/>
          <w:u w:val="single"/>
        </w:rPr>
        <w:t xml:space="preserve"> </w:t>
      </w:r>
      <w:r>
        <w:rPr>
          <w:rFonts w:hint="eastAsia" w:ascii="宋体" w:hAnsi="宋体" w:cs="宋体"/>
          <w:color w:val="auto"/>
          <w:sz w:val="24"/>
          <w:u w:val="single"/>
          <w:lang w:eastAsia="zh-CN"/>
        </w:rPr>
        <w:t>“前海管理局2025年赴港培训”培训服务项目</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“前海管理局2025年赴港培训”培训服务项目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1.服务内容</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1.1.培训主题：</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其中，“高水平参与国际合作专题研讨班”主要围绕习近平总书记关于高水平对外开放的重要论述精神，聚焦解读粤港澳大湾区国家战略的背景、目标和重点任务。围绕大湾区产业升级的路径、培育新的经济增长点、国际合作与竞争策略安排课程，了解国际社会上人才、制度建设、规则制定、生产要素流通等先进做法，提高领导干部参与国际合作的能力水平。</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创新策源能力与湾区高质量发展专题研讨班”主要围绕习近平总书记关于人工智能产业发展的重要论述精神，香港人工智能的最新发展趋势，香港在人工智能领域的前沿研究成果；香港在金融、教育、生物医药等产业应用人工智能的形式，香港招引、支持人工智能企业发展的经验做法等内容安排课程。</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1.2.培训时间及地点：2场培训分别拟于6月、10月开展。每场学制6天（境内1天，香港5天）。</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1.3.培训对象：根据市委组织部对赴港参训人员规模的统一安排，本次赴港培训班学员共20名/场，两场共选派40人。（同时，由一名参训人员兼职负责本次培训班级服务和管理工作）。</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第二条  服务期限及后续服务要求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1.服务期限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本项目工作期限为自合同签订之日起至培训服务结束之日止。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2.后续服务要求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乙方提交的本项目最终成果通过甲方审查验收之日起6个月为本合同后续服务期。服务期内乙方应向甲方提供后续的专业技术支持与咨询服务。乙方应配合甲方需要协助完成相关事项审计、事后评估等工作。</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1.所有提交给甲方的项目文件及相关资料的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2.乙方未经甲方的书面同意，不得将上述资料用于本项目之外的任何项目，也不得将其泄露或授权给第三方使用。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第四条  甲方的权利与义务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1.提出活动需求，制订教学计划；</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2.总体协调，为培训班提供相关支持；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3.确定培训对象，将培训人员名单和人数通知乙方，配合乙方做好报名工作；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4.对乙方的教学组织安排和教学效果进行监督；</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5.按时向乙方支付培训费用；</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6.在培训后对学员学习和项目成效进行综合评估</w:t>
      </w:r>
      <w:r>
        <w:rPr>
          <w:rFonts w:hint="eastAsia" w:ascii="宋体" w:hAnsi="宋体" w:cs="宋体"/>
          <w:color w:val="auto"/>
          <w:sz w:val="24"/>
          <w:lang w:eastAsia="zh-CN"/>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7.甲方应配合乙方做好学员的组织管理工作。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8.甲方指定项目联系人：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姓名：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第五条 乙方的权利与义务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1.根据甲方需求制定培训方案；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2.执行教学计划，包括落实教学场地、教材和教学设备等；对外语授课课程配课堂交替传译；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3.协助甲方做好报名统计工作；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4.负责教学管理、监督，确保教学质量；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5.课程结束后为学员拍摄集体照，向全程参与课程的学员颁发结业证书。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6.做好后勤保障，确保授课教授的服务到位，确保学员学习用品，教授交通和餐饮安排服务落实到位；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7.向甲方出具培训费用的有效全额学费发票；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8.负责配合甲方在培训后对学员学习和项目成效进行评估。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在服务期限内，项目人员应相对稳定，更换现场人员，须经甲方书面同意后方可更换。乙方须指定2名签收人，代表乙方签收甲方发出的任务书。签收人需持乙方法人授权委托书报甲方备案，授权有效期与双方签订的合同期限一致。更换授权签收人须提前30个工作日向甲方提出书面申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10.乙方指定项目联系人：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姓名：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第六条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以下为本项目核心团队。</w:t>
      </w:r>
    </w:p>
    <w:tbl>
      <w:tblPr>
        <w:tblStyle w:val="21"/>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1.参加本项目编制的人员必须具有国家和有关部门规定的相应资质。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2.参加本项目编制的人员配置必须与合同中的项目成员组成一致，若需调整需经甲方</w:t>
      </w:r>
      <w:r>
        <w:rPr>
          <w:rFonts w:ascii="宋体" w:hAnsi="宋体" w:cs="宋体"/>
          <w:color w:val="auto"/>
          <w:sz w:val="24"/>
        </w:rPr>
        <w:t>书面</w:t>
      </w:r>
      <w:r>
        <w:rPr>
          <w:rFonts w:hint="eastAsia" w:ascii="宋体" w:hAnsi="宋体" w:cs="宋体"/>
          <w:color w:val="auto"/>
          <w:sz w:val="24"/>
        </w:rPr>
        <w:t>同意后，方可变更。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第七条 成果权属与知识产权</w:t>
      </w:r>
    </w:p>
    <w:p>
      <w:pPr>
        <w:pStyle w:val="7"/>
        <w:tabs>
          <w:tab w:val="left" w:pos="4680"/>
        </w:tabs>
        <w:spacing w:line="360" w:lineRule="auto"/>
        <w:ind w:firstLine="480"/>
        <w:rPr>
          <w:rFonts w:hint="eastAsia" w:ascii="宋体" w:hAnsi="宋体" w:cs="宋体"/>
          <w:bCs/>
          <w:color w:val="auto"/>
          <w:sz w:val="24"/>
        </w:rPr>
      </w:pPr>
      <w:r>
        <w:rPr>
          <w:rFonts w:hint="eastAsia" w:ascii="宋体" w:hAnsi="宋体" w:cs="宋体"/>
          <w:bCs/>
          <w:color w:val="auto"/>
          <w:sz w:val="24"/>
        </w:rPr>
        <w:t>双方对本协议有关的知识产权以及与之相关的所有权利归属约定如下： 本项目相关全部阶段性成果和最终成果（包括</w:t>
      </w:r>
      <w:r>
        <w:rPr>
          <w:rFonts w:hint="eastAsia" w:ascii="宋体" w:hAnsi="宋体" w:cs="宋体"/>
          <w:bCs/>
          <w:color w:val="auto"/>
          <w:sz w:val="24"/>
          <w:lang w:eastAsia="zh-Hans"/>
        </w:rPr>
        <w:t>全部课程材料以及</w:t>
      </w:r>
      <w:r>
        <w:rPr>
          <w:rFonts w:hint="eastAsia" w:ascii="宋体" w:hAnsi="宋体" w:cs="宋体"/>
          <w:bCs/>
          <w:color w:val="auto"/>
          <w:sz w:val="24"/>
        </w:rPr>
        <w:t>为后续服务范围所编制的文件</w:t>
      </w:r>
      <w:r>
        <w:rPr>
          <w:rFonts w:hint="eastAsia" w:ascii="宋体" w:hAnsi="宋体" w:cs="宋体"/>
          <w:bCs/>
          <w:color w:val="auto"/>
          <w:sz w:val="24"/>
          <w:lang w:eastAsia="zh-Hans"/>
        </w:rPr>
        <w:t>等</w:t>
      </w:r>
      <w:r>
        <w:rPr>
          <w:rFonts w:hint="eastAsia" w:ascii="宋体" w:hAnsi="宋体" w:cs="宋体"/>
          <w:bCs/>
          <w:color w:val="auto"/>
          <w:sz w:val="24"/>
        </w:rPr>
        <w:t>）的知识产权以及与之相关的所有权利归乙方</w:t>
      </w:r>
      <w:r>
        <w:rPr>
          <w:rFonts w:hint="eastAsia" w:ascii="宋体" w:hAnsi="宋体" w:cs="宋体"/>
          <w:bCs/>
          <w:color w:val="auto"/>
          <w:sz w:val="24"/>
          <w:lang w:eastAsia="zh-Hans"/>
        </w:rPr>
        <w:t>及其授课教师和</w:t>
      </w:r>
      <w:r>
        <w:rPr>
          <w:rFonts w:hint="eastAsia" w:ascii="宋体" w:hAnsi="宋体" w:cs="宋体"/>
          <w:bCs/>
          <w:color w:val="auto"/>
          <w:sz w:val="24"/>
        </w:rPr>
        <w:t>乙方</w:t>
      </w:r>
      <w:r>
        <w:rPr>
          <w:rFonts w:hint="eastAsia" w:ascii="宋体" w:hAnsi="宋体" w:cs="宋体"/>
          <w:bCs/>
          <w:color w:val="auto"/>
          <w:sz w:val="24"/>
          <w:lang w:eastAsia="zh-Hans"/>
        </w:rPr>
        <w:t>获取材料的其他机构</w:t>
      </w:r>
      <w:r>
        <w:rPr>
          <w:rFonts w:hint="eastAsia" w:ascii="宋体" w:hAnsi="宋体" w:cs="宋体"/>
          <w:bCs/>
          <w:color w:val="auto"/>
          <w:sz w:val="24"/>
        </w:rPr>
        <w:t>所有；本协议签署前双方已经拥有的知识产权权利，仍归各自所有。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bCs/>
          <w:color w:val="auto"/>
          <w:sz w:val="24"/>
        </w:rPr>
        <w:t>课程材料的著作权应归乙方及其授课教师和乙方获取材料的其他机构所有</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第八条  保密条款</w:t>
      </w:r>
    </w:p>
    <w:p>
      <w:pPr>
        <w:pStyle w:val="7"/>
        <w:tabs>
          <w:tab w:val="left" w:pos="4680"/>
        </w:tabs>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1.自该项目洽商至合作结束，双方均有义务对任何有关本项目的内容、合作方式等信息保密，不得向任何第三方泄露。</w:t>
      </w:r>
    </w:p>
    <w:p>
      <w:pPr>
        <w:pStyle w:val="7"/>
        <w:tabs>
          <w:tab w:val="left" w:pos="4680"/>
        </w:tabs>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2.任何一方使用双方合作名义进行对外联络或宣传活动，应遵守双方事先确定的基调和口径，并将活动内容事先通知对方并征得对方同意。</w:t>
      </w:r>
    </w:p>
    <w:p>
      <w:pPr>
        <w:spacing w:line="360" w:lineRule="auto"/>
        <w:ind w:firstLine="480" w:firstLineChars="200"/>
        <w:rPr>
          <w:rFonts w:hint="eastAsia" w:ascii="宋体" w:hAnsi="宋体" w:cs="宋体"/>
          <w:color w:val="auto"/>
          <w:sz w:val="24"/>
        </w:rPr>
      </w:pPr>
      <w:r>
        <w:rPr>
          <w:rFonts w:hint="eastAsia" w:ascii="宋体" w:hAnsi="宋体" w:cs="宋体"/>
          <w:bCs/>
          <w:color w:val="auto"/>
          <w:sz w:val="24"/>
        </w:rPr>
        <w:t>3.在未获对方书面同意的情况下任何一方不得代表对方或合作项目对外进行任何承诺或任何带有责任义务内容的宣传</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第九条  项目成果及验收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乙方按需求制定培训方案，依照方案提供相应培训服务，并在结课时由参加培训的成员对课程质量和师资水平进行课程评价，达到4分及以上为验收合格（满分5分）。</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第十条  项目服务费用及付款方式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价款：甲方应向乙方支付培训费用总额不超过***元（大写：***），包括但不限于：培训费、师资费、资料费、伙食费、场地费、交通费、住宿费、税费等一切费用。总费用按照实际参训人数和双方认可的费用支付，总价不超过***元（大写：）。（本协议计费单位均为人民币）,在合同实施期间，除另签补充合同外，不接受乙方以任何理由、任何名目提出增加费用的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2.合同价款由甲方分2期支付至乙方指定银行账户：</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2.1.第1期：合同签订后15个工作日内，根据乙方提出的付款申请和有效发票，支付合同总价款的30%作为首款；即人民币  整（¥  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2.2.第2期：在培训结束后，由参加培训的成员对课程质量和师资水平进行课程评价，达到4分及以上为验收合格（满分5分），验收合格后，根据乙方提出的付款申请和有效发票，按照实际参训人数、实际发生课时数和双方认可的费用支付（本协议计费单位均为人民币）付清尾款。</w:t>
      </w:r>
    </w:p>
    <w:p>
      <w:pPr>
        <w:pStyle w:val="2"/>
        <w:spacing w:after="0" w:line="360" w:lineRule="auto"/>
        <w:ind w:firstLine="480" w:firstLineChars="200"/>
        <w:rPr>
          <w:rFonts w:hint="eastAsia" w:ascii="宋体" w:hAnsi="宋体" w:cs="宋体"/>
          <w:color w:val="auto"/>
        </w:rPr>
      </w:pPr>
      <w:r>
        <w:rPr>
          <w:rFonts w:hint="eastAsia" w:ascii="宋体" w:hAnsi="宋体" w:cs="宋体"/>
          <w:color w:val="auto"/>
        </w:rPr>
        <w:t>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涉及人民币与港币换算的，以合同签订日中国银行第一次公布的人民币与港币换算汇率进行结算。</w:t>
      </w:r>
    </w:p>
    <w:p>
      <w:pPr>
        <w:pStyle w:val="2"/>
        <w:spacing w:after="0" w:line="360" w:lineRule="auto"/>
        <w:ind w:firstLine="480" w:firstLineChars="200"/>
        <w:rPr>
          <w:rFonts w:hint="eastAsia" w:ascii="宋体" w:hAnsi="宋体" w:cs="宋体"/>
          <w:color w:val="auto"/>
        </w:rPr>
      </w:pPr>
      <w:r>
        <w:rPr>
          <w:rFonts w:hint="eastAsia" w:ascii="宋体" w:hAnsi="宋体" w:cs="宋体"/>
          <w:color w:val="auto"/>
        </w:rPr>
        <w:t>4.乙方银行账户信息：</w:t>
      </w:r>
    </w:p>
    <w:p>
      <w:pPr>
        <w:pStyle w:val="2"/>
        <w:spacing w:after="0" w:line="360" w:lineRule="auto"/>
        <w:ind w:firstLine="480" w:firstLineChars="200"/>
        <w:rPr>
          <w:rFonts w:hint="eastAsia" w:ascii="宋体" w:hAnsi="宋体" w:cs="宋体"/>
          <w:color w:val="auto"/>
        </w:rPr>
      </w:pPr>
      <w:r>
        <w:rPr>
          <w:rFonts w:hint="eastAsia" w:ascii="宋体" w:hAnsi="宋体" w:cs="宋体"/>
          <w:color w:val="auto"/>
        </w:rPr>
        <w:t xml:space="preserve">开户银行： </w:t>
      </w:r>
    </w:p>
    <w:p>
      <w:pPr>
        <w:pStyle w:val="2"/>
        <w:spacing w:after="0" w:line="360" w:lineRule="auto"/>
        <w:ind w:firstLine="480" w:firstLineChars="200"/>
        <w:rPr>
          <w:rFonts w:hint="eastAsia" w:ascii="宋体" w:hAnsi="宋体" w:cs="宋体"/>
          <w:color w:val="auto"/>
        </w:rPr>
      </w:pPr>
      <w:r>
        <w:rPr>
          <w:rFonts w:hint="eastAsia" w:ascii="宋体" w:hAnsi="宋体" w:cs="宋体"/>
          <w:color w:val="auto"/>
        </w:rPr>
        <w:t>户名：</w:t>
      </w:r>
    </w:p>
    <w:p>
      <w:pPr>
        <w:pStyle w:val="2"/>
        <w:spacing w:after="0" w:line="360" w:lineRule="auto"/>
        <w:ind w:firstLine="480" w:firstLineChars="200"/>
        <w:rPr>
          <w:rFonts w:hint="eastAsia" w:ascii="宋体" w:hAnsi="宋体" w:cs="宋体"/>
          <w:color w:val="auto"/>
        </w:rPr>
      </w:pPr>
      <w:r>
        <w:rPr>
          <w:rFonts w:hint="eastAsia" w:ascii="宋体" w:hAnsi="宋体" w:cs="宋体"/>
          <w:color w:val="auto"/>
        </w:rPr>
        <w:t>账号：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第十一条 合同提前终止</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1.双方协商同意提前终止本合同的，按双方协商约定的方式进行清算执行。</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并按照乙方已完成的工作量支付款项，同时乙方应向甲方提交在合同终止日前完成的所有项目文件和相关资料。</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3.有下列情形之一的，本合同自甲方向乙方发出书面通知之日起终止：</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（1）甲方的职能发生转变，不再具有委托职能。</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（2）本合同签订时适用的法律法规或政策发生变化，且对本合同的继续履行造成重大影响。</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发生以上情形，甲方已向乙方支付的款项不退还，并按照乙方已完成的工作量支付款项，同时乙方应向甲方提交在合同终止日前完成的所有项目文件和相关资料。</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4.如发生不可抗力或其他超出合同双方控制的事件，致使一方无法履行合同，本合同解除。</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（2）发生不可抗力，甲乙双方承担各自的损失。由于其中一方迟延履行合同义务后发生不可抗力的，其违约责任不能免除。</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第十二条  争议解决办法</w:t>
      </w:r>
    </w:p>
    <w:p>
      <w:pPr>
        <w:snapToGrid w:val="0"/>
        <w:spacing w:line="360" w:lineRule="auto"/>
        <w:ind w:firstLine="480" w:firstLineChars="200"/>
        <w:rPr>
          <w:rFonts w:hint="eastAsia" w:ascii="宋体" w:hAnsi="宋体" w:cs="宋体"/>
          <w:color w:val="auto"/>
          <w:sz w:val="24"/>
        </w:rPr>
      </w:pPr>
      <w:bookmarkStart w:id="23" w:name="OLE_LINK5"/>
      <w:r>
        <w:rPr>
          <w:rFonts w:hint="eastAsia" w:ascii="宋体" w:hAnsi="宋体" w:cs="宋体"/>
          <w:color w:val="auto"/>
          <w:sz w:val="24"/>
        </w:rPr>
        <w:t>因本合同的履行发生的或与本合同有关的争议或纠纷，由甲乙双方协商解决。协商不成的，双方同意将争议提交深圳前海合作区人民法院通过诉讼解决</w:t>
      </w:r>
      <w:bookmarkEnd w:id="23"/>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第十三条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4.在合同所约定的工作范畴内的服务，本合同价格不予变更。</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第十四条  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  】号招标文件的要求和乙方投标文件的承诺完成本项目，出于自身财务、技术、人力等原因导致项目失败的，应承担全部责任。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第十五条  违约责任</w:t>
      </w:r>
    </w:p>
    <w:p>
      <w:pPr>
        <w:pStyle w:val="7"/>
        <w:tabs>
          <w:tab w:val="left" w:pos="4680"/>
        </w:tabs>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1.乙方未按照本协议约定的时间完成本项目各阶段工作，甲方书面催告乙方并给予不少于5个工作日的履行期限后乙方</w:t>
      </w:r>
      <w:r>
        <w:rPr>
          <w:rFonts w:hint="eastAsia" w:ascii="宋体" w:hAnsi="宋体" w:cs="宋体"/>
          <w:bCs/>
          <w:color w:val="auto"/>
          <w:sz w:val="24"/>
          <w:szCs w:val="24"/>
          <w:lang w:eastAsia="zh-Hans"/>
        </w:rPr>
        <w:t>仍未履行的，自该</w:t>
      </w:r>
      <w:r>
        <w:rPr>
          <w:rFonts w:hint="eastAsia" w:ascii="宋体" w:hAnsi="宋体" w:cs="宋体"/>
          <w:bCs/>
          <w:color w:val="auto"/>
          <w:sz w:val="24"/>
          <w:szCs w:val="24"/>
        </w:rPr>
        <w:t>期限届满之日起，每迟延一日，甲方有权自尚未支付的协议款项中扣除</w:t>
      </w:r>
      <w:r>
        <w:rPr>
          <w:rFonts w:hint="eastAsia" w:ascii="宋体" w:hAnsi="宋体" w:cs="宋体"/>
          <w:bCs/>
          <w:color w:val="auto"/>
          <w:sz w:val="24"/>
          <w:szCs w:val="24"/>
          <w:lang w:eastAsia="zh-Hans"/>
        </w:rPr>
        <w:t>项目启动资金对应</w:t>
      </w:r>
      <w:r>
        <w:rPr>
          <w:rFonts w:hint="eastAsia" w:ascii="宋体" w:hAnsi="宋体" w:cs="宋体"/>
          <w:bCs/>
          <w:color w:val="auto"/>
          <w:sz w:val="24"/>
          <w:szCs w:val="24"/>
        </w:rPr>
        <w:t>金额的3‰的逾期违约金。</w:t>
      </w:r>
    </w:p>
    <w:p>
      <w:pPr>
        <w:spacing w:line="360" w:lineRule="auto"/>
        <w:ind w:firstLine="480" w:firstLineChars="200"/>
        <w:rPr>
          <w:rFonts w:hint="eastAsia" w:ascii="宋体" w:hAnsi="宋体" w:cs="宋体"/>
          <w:color w:val="auto"/>
          <w:sz w:val="24"/>
        </w:rPr>
      </w:pPr>
      <w:r>
        <w:rPr>
          <w:rFonts w:hint="eastAsia" w:ascii="宋体" w:hAnsi="宋体" w:cs="宋体"/>
          <w:bCs/>
          <w:color w:val="auto"/>
          <w:sz w:val="24"/>
        </w:rPr>
        <w:t>2.如甲方未按照本协议约定的时间支付服务费，乙方书面催告甲方并给予不少于5个工作日的履行期限后甲方仍未支付的，乙方有权自该期限届满之日起要求乙方支付该阶段应付而未付协议价款每日3‰的逾期违约金。但因甲方审批原因导致付款迟延，乙方予以谅解，</w:t>
      </w:r>
      <w:r>
        <w:rPr>
          <w:rFonts w:hint="eastAsia" w:ascii="宋体" w:hAnsi="宋体" w:cs="宋体"/>
          <w:bCs/>
          <w:color w:val="auto"/>
          <w:sz w:val="24"/>
          <w:lang w:eastAsia="zh-Hans"/>
        </w:rPr>
        <w:t>但该期间不得超过【30】日</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第十六条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w:t>
      </w:r>
      <w:r>
        <w:rPr>
          <w:rFonts w:hint="eastAsia" w:ascii="宋体" w:hAnsi="宋体" w:cs="宋体"/>
          <w:color w:val="auto"/>
          <w:sz w:val="24"/>
          <w:u w:val="single"/>
        </w:rPr>
        <w:t xml:space="preserve">    </w:t>
      </w:r>
      <w:r>
        <w:rPr>
          <w:rFonts w:hint="eastAsia" w:ascii="宋体" w:hAnsi="宋体" w:cs="宋体"/>
          <w:color w:val="auto"/>
          <w:sz w:val="24"/>
        </w:rPr>
        <w:t>）及其澄清、补正公告；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4.本合同未尽事宜，由双方协商签订补充协议进行约定。补充协议应以书面形式作成，经双方法定代表人或其授权代表签字、盖章后与本合同具有同等法律效力。</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5.本合同约定的权利和义务不因合同双方发生收购、兼并、重组、分立而发生变化。如果发生上述情形，则本合同约定的权利和义务随之转移至收购、兼并、重组或分立后成立的单位。</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7.如果本合同的任何条款在任何时候变成不合法、无效或不可强制执行而不从根本上影响本合同的效力时，本合同的其他条款不受影响。</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9.任何一方未经另一方同意不得向任何第三方透露本合同的签订及其内容。甲方向其关联公司透露前述内容的，不受此限。</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31"/>
        <w:spacing w:line="360" w:lineRule="auto"/>
        <w:ind w:firstLine="480"/>
        <w:rPr>
          <w:rFonts w:hint="eastAsia" w:ascii="宋体" w:hAnsi="宋体" w:cs="宋体"/>
          <w:color w:val="auto"/>
          <w:sz w:val="24"/>
          <w:szCs w:val="24"/>
        </w:rPr>
      </w:pPr>
      <w:r>
        <w:rPr>
          <w:rFonts w:hint="eastAsia" w:ascii="宋体" w:hAnsi="宋体" w:cs="宋体"/>
          <w:color w:val="auto"/>
          <w:sz w:val="24"/>
          <w:szCs w:val="24"/>
        </w:rPr>
        <w:t>11.本合同自双方盖章之日起生效，</w:t>
      </w:r>
      <w:r>
        <w:rPr>
          <w:rFonts w:hint="eastAsia" w:ascii="宋体" w:hAnsi="宋体" w:cs="宋体"/>
          <w:color w:val="auto"/>
          <w:sz w:val="24"/>
        </w:rPr>
        <w:t>有效期至本合同全部权利义务履行完毕之日止</w:t>
      </w:r>
      <w:r>
        <w:rPr>
          <w:rFonts w:hint="eastAsia" w:ascii="宋体" w:hAnsi="宋体" w:cs="宋体"/>
          <w:color w:val="auto"/>
          <w:sz w:val="24"/>
          <w:szCs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注：本合同样本仅供参考，非实质性条款内容可由采购人和中标人协商确定。</w:t>
      </w:r>
    </w:p>
    <w:p>
      <w:pPr>
        <w:snapToGrid w:val="0"/>
        <w:spacing w:line="360" w:lineRule="auto"/>
        <w:rPr>
          <w:rFonts w:hint="eastAsia" w:ascii="宋体" w:hAnsi="宋体" w:cs="宋体"/>
          <w:color w:val="auto"/>
          <w:sz w:val="24"/>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24" w:name="_Toc25518"/>
      <w:r>
        <w:rPr>
          <w:rFonts w:hint="eastAsia" w:ascii="宋体" w:hAnsi="宋体" w:cs="宋体"/>
          <w:b/>
          <w:bCs/>
          <w:color w:val="auto"/>
          <w:sz w:val="24"/>
        </w:rPr>
        <w:t>用户需求书</w:t>
      </w:r>
      <w:bookmarkEnd w:id="24"/>
    </w:p>
    <w:p>
      <w:pPr>
        <w:pStyle w:val="3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25" w:name="_Toc23726"/>
      <w:bookmarkStart w:id="26" w:name="_Toc11045"/>
      <w:r>
        <w:rPr>
          <w:rFonts w:hint="eastAsia" w:ascii="宋体" w:hAnsi="宋体" w:cs="宋体"/>
          <w:b/>
          <w:color w:val="auto"/>
          <w:sz w:val="24"/>
        </w:rPr>
        <w:t>说明：本章“用户需求书”的全部内容为本项目正常开展的基本要求，投标人必须</w:t>
      </w:r>
      <w:r>
        <w:rPr>
          <w:rFonts w:hint="eastAsia" w:ascii="宋体" w:hAnsi="宋体" w:cs="宋体"/>
          <w:b/>
          <w:color w:val="auto"/>
          <w:sz w:val="24"/>
          <w:u w:val="double"/>
        </w:rPr>
        <w:t>完全响应</w:t>
      </w:r>
      <w:r>
        <w:rPr>
          <w:rFonts w:hint="eastAsia" w:ascii="宋体" w:hAnsi="宋体" w:cs="宋体"/>
          <w:b/>
          <w:color w:val="auto"/>
          <w:sz w:val="24"/>
        </w:rPr>
        <w:t>，否则将导致投标无效。</w:t>
      </w:r>
    </w:p>
    <w:p>
      <w:pPr>
        <w:pStyle w:val="3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一、</w:t>
      </w:r>
      <w:bookmarkEnd w:id="25"/>
      <w:bookmarkEnd w:id="26"/>
      <w:bookmarkStart w:id="27" w:name="_Toc51746099"/>
      <w:r>
        <w:rPr>
          <w:rFonts w:hint="eastAsia" w:ascii="宋体" w:hAnsi="宋体" w:cs="宋体"/>
          <w:b/>
          <w:color w:val="auto"/>
          <w:sz w:val="24"/>
          <w:lang w:val="zh-CN"/>
        </w:rPr>
        <w:t>项目概况</w:t>
      </w:r>
    </w:p>
    <w:bookmarkEnd w:id="27"/>
    <w:p>
      <w:pPr>
        <w:pStyle w:val="2"/>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加快推进全面深化前海改革开放各项工作，强化专业训练，全面提升干部现代化建设能力。</w:t>
      </w:r>
    </w:p>
    <w:p>
      <w:pPr>
        <w:pStyle w:val="3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28" w:name="OLE_LINK7"/>
      <w:r>
        <w:rPr>
          <w:rFonts w:hint="eastAsia" w:ascii="宋体" w:hAnsi="宋体" w:cs="宋体"/>
          <w:b/>
          <w:color w:val="auto"/>
          <w:sz w:val="24"/>
        </w:rPr>
        <w:t>二、项目内容</w:t>
      </w:r>
    </w:p>
    <w:p>
      <w:pPr>
        <w:pStyle w:val="32"/>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（一）培训主题：</w:t>
      </w:r>
    </w:p>
    <w:p>
      <w:pPr>
        <w:pStyle w:val="32"/>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1.其中，“高水平参与国际合作专题研讨班”主要围绕习近平总书记关于高水平对外开放的重要论述精神，聚焦解读粤港澳大湾区国家战略的背景、目标和重点任务。围绕大湾区产业升级的路径、培育新的经济增长点、国际合作与竞争策略安排课程，了解国际社会上人才、制度建设、规则制定、生产要素流通等先进做法，提高领导干部参与国际合作的能力水平。</w:t>
      </w:r>
    </w:p>
    <w:p>
      <w:pPr>
        <w:pStyle w:val="32"/>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2.“创新策源能力与湾区高质量发展专题研讨班”主要围绕习近平总书记关于人工智能产业发展的重要论述精神，香港人工智能的最新发展趋势，香港在人工智能领域的前沿研究成果；香港在金融、教育、生物医药等产业应用人工智能的形式，香港招引、支持人工智能企业发展的经验做法等内容安排课程。</w:t>
      </w:r>
    </w:p>
    <w:p>
      <w:pPr>
        <w:pStyle w:val="32"/>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（二）培训时间及地点：2场培训分别拟于6月、10月开展。每场学制6天（境内1天，香港5天）。</w:t>
      </w:r>
    </w:p>
    <w:p>
      <w:pPr>
        <w:pStyle w:val="32"/>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（三）培训对象：根据市委组织部对赴港参训人员规模的统一安排，本次赴港培训班学员20名/场，两场共选派40人。</w:t>
      </w:r>
    </w:p>
    <w:p>
      <w:pPr>
        <w:pStyle w:val="3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三、项目成果及验收</w:t>
      </w:r>
    </w:p>
    <w:p>
      <w:pPr>
        <w:pStyle w:val="32"/>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中标人按需求制定培训方案，依照方案提供相应培训服务，并在结课时由参加培训的成员对课程质量和师资水平进行课程评价，达到4分及以上为验收合格（满分5分）。</w:t>
      </w:r>
    </w:p>
    <w:bookmarkEnd w:id="28"/>
    <w:p>
      <w:pPr>
        <w:pStyle w:val="3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四、商务要求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（一）服务期限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本项目工作期限为自合同签订之日起至培训服务结束之日止。</w:t>
      </w:r>
    </w:p>
    <w:p>
      <w:pPr>
        <w:tabs>
          <w:tab w:val="left" w:pos="720"/>
        </w:tabs>
        <w:autoSpaceDE w:val="0"/>
        <w:autoSpaceDN w:val="0"/>
        <w:adjustRightInd w:val="0"/>
        <w:spacing w:line="360" w:lineRule="auto"/>
        <w:ind w:right="17" w:firstLine="482" w:firstLineChars="200"/>
        <w:outlineLvl w:val="2"/>
        <w:rPr>
          <w:rFonts w:hint="eastAsia" w:ascii="宋体" w:hAnsi="宋体" w:cs="宋体"/>
          <w:bCs/>
          <w:color w:val="auto"/>
          <w:sz w:val="24"/>
        </w:rPr>
      </w:pPr>
      <w:r>
        <w:rPr>
          <w:rFonts w:hint="eastAsia" w:ascii="宋体" w:hAnsi="宋体" w:cs="宋体"/>
          <w:b/>
          <w:bCs/>
          <w:color w:val="auto"/>
          <w:kern w:val="0"/>
          <w:sz w:val="24"/>
        </w:rPr>
        <w:t>（二）后续服务要求</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rPr>
      </w:pPr>
      <w:r>
        <w:rPr>
          <w:rFonts w:hint="eastAsia" w:ascii="宋体" w:hAnsi="宋体" w:cs="宋体"/>
          <w:bCs/>
          <w:color w:val="auto"/>
          <w:sz w:val="24"/>
        </w:rPr>
        <w:t>中标人提交的本项目最终成果通过采购人审查验收之日起6个月为本合同后续服务期。服务期内中标人应向采购人提供后续的专业技术支持与咨询服务。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（三）报价要求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次投标报价包括了投标人完成本招标项目而发生的全部费用，包括但不限于：培训费、师资费、资料费、伙食费、场地费、交通费、住宿费、税费等一切费用，投标人报价不得超过单项最高限价，否则投标无效。详细分项报价清单详见附件。总费用按照实际参训人数、实际发生课时数和双方认可的费用支付（本协议计费单位均为人民币）。</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（四）付款方式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1.项目资金分2期支付至中标人指定银行账户：</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1.1.第1期：合同签订后15个工作日内，根据中标人提出的付款申请和有效发票，支付合同总价款的30%作为首款；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1.2.第2期：在培训结束后，由参加培训的成员对课程质量和师资水平进行课程评价，达到4分及以上为验收合格（满分5分），验收合格后，根据中标人提出的付款申请和有效发票，按照实际参训人数、实际发生课时数和双方认可的费用支付（本协议计费单位均为人民币）付清尾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（五）成果权属与知识产权</w:t>
      </w:r>
    </w:p>
    <w:p>
      <w:pPr>
        <w:pStyle w:val="7"/>
        <w:tabs>
          <w:tab w:val="left" w:pos="4680"/>
        </w:tabs>
        <w:spacing w:line="360" w:lineRule="auto"/>
        <w:ind w:firstLine="480"/>
        <w:rPr>
          <w:rFonts w:hint="eastAsia" w:ascii="宋体" w:hAnsi="宋体" w:cs="宋体"/>
          <w:bCs/>
          <w:color w:val="auto"/>
          <w:sz w:val="24"/>
        </w:rPr>
      </w:pPr>
      <w:r>
        <w:rPr>
          <w:rFonts w:hint="eastAsia" w:ascii="宋体" w:hAnsi="宋体" w:cs="宋体"/>
          <w:bCs/>
          <w:color w:val="auto"/>
          <w:sz w:val="24"/>
        </w:rPr>
        <w:t>双方对本协议有关的知识产权以及与之相关的所有权利归属约定如下：本项目相关全部阶段性成果和最终成果（包括</w:t>
      </w:r>
      <w:r>
        <w:rPr>
          <w:rFonts w:hint="eastAsia" w:ascii="宋体" w:hAnsi="宋体" w:cs="宋体"/>
          <w:bCs/>
          <w:color w:val="auto"/>
          <w:sz w:val="24"/>
          <w:lang w:eastAsia="zh-Hans"/>
        </w:rPr>
        <w:t>全部课程材料以及</w:t>
      </w:r>
      <w:r>
        <w:rPr>
          <w:rFonts w:hint="eastAsia" w:ascii="宋体" w:hAnsi="宋体" w:cs="宋体"/>
          <w:bCs/>
          <w:color w:val="auto"/>
          <w:sz w:val="24"/>
        </w:rPr>
        <w:t>为后续服务范围所编制的文件</w:t>
      </w:r>
      <w:r>
        <w:rPr>
          <w:rFonts w:hint="eastAsia" w:ascii="宋体" w:hAnsi="宋体" w:cs="宋体"/>
          <w:bCs/>
          <w:color w:val="auto"/>
          <w:sz w:val="24"/>
          <w:lang w:eastAsia="zh-Hans"/>
        </w:rPr>
        <w:t>等</w:t>
      </w:r>
      <w:r>
        <w:rPr>
          <w:rFonts w:hint="eastAsia" w:ascii="宋体" w:hAnsi="宋体" w:cs="宋体"/>
          <w:bCs/>
          <w:color w:val="auto"/>
          <w:sz w:val="24"/>
        </w:rPr>
        <w:t>）的知识产权以及与之相关的所有权利归中标人</w:t>
      </w:r>
      <w:r>
        <w:rPr>
          <w:rFonts w:hint="eastAsia" w:ascii="宋体" w:hAnsi="宋体" w:cs="宋体"/>
          <w:bCs/>
          <w:color w:val="auto"/>
          <w:sz w:val="24"/>
          <w:lang w:eastAsia="zh-Hans"/>
        </w:rPr>
        <w:t>及其授课教师和</w:t>
      </w:r>
      <w:r>
        <w:rPr>
          <w:rFonts w:hint="eastAsia" w:ascii="宋体" w:hAnsi="宋体" w:cs="宋体"/>
          <w:bCs/>
          <w:color w:val="auto"/>
          <w:sz w:val="24"/>
        </w:rPr>
        <w:t>中标人</w:t>
      </w:r>
      <w:r>
        <w:rPr>
          <w:rFonts w:hint="eastAsia" w:ascii="宋体" w:hAnsi="宋体" w:cs="宋体"/>
          <w:bCs/>
          <w:color w:val="auto"/>
          <w:sz w:val="24"/>
          <w:lang w:eastAsia="zh-Hans"/>
        </w:rPr>
        <w:t>获取材料的其他机构</w:t>
      </w:r>
      <w:r>
        <w:rPr>
          <w:rFonts w:hint="eastAsia" w:ascii="宋体" w:hAnsi="宋体" w:cs="宋体"/>
          <w:bCs/>
          <w:color w:val="auto"/>
          <w:sz w:val="24"/>
        </w:rPr>
        <w:t>所有；本协议签署前双方已经拥有的知识产权权利，仍归各自所有。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bCs/>
          <w:color w:val="auto"/>
          <w:sz w:val="24"/>
        </w:rPr>
        <w:t>课程材料的著作权应归中标人及其授课教师和中标人获取材料的其他机构所有</w:t>
      </w:r>
      <w:r>
        <w:rPr>
          <w:rFonts w:hint="eastAsia" w:ascii="宋体" w:hAnsi="宋体" w:cs="宋体"/>
          <w:color w:val="auto"/>
          <w:sz w:val="24"/>
        </w:rPr>
        <w:t>。</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（六）</w:t>
      </w:r>
      <w:r>
        <w:rPr>
          <w:rFonts w:hint="eastAsia" w:ascii="宋体" w:hAnsi="宋体" w:cs="宋体"/>
          <w:b/>
          <w:bCs/>
          <w:color w:val="auto"/>
          <w:sz w:val="24"/>
        </w:rPr>
        <w:t>保密条款</w:t>
      </w:r>
    </w:p>
    <w:p>
      <w:pPr>
        <w:pStyle w:val="7"/>
        <w:tabs>
          <w:tab w:val="left" w:pos="4680"/>
        </w:tabs>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1.自该项目洽商至合作结束，双方均有义务对任何有关本项目的内容、合作方式等信息保密，不得向任何第三方泄露。</w:t>
      </w:r>
    </w:p>
    <w:p>
      <w:pPr>
        <w:pStyle w:val="7"/>
        <w:tabs>
          <w:tab w:val="left" w:pos="4680"/>
        </w:tabs>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2.任何一方使用双方合作名义进行对外联络或宣传活动，应遵守双方事先确定的基调和口径，并将活动内容事先通知对方并征得对方同意。</w:t>
      </w:r>
    </w:p>
    <w:p>
      <w:pPr>
        <w:widowControl/>
        <w:spacing w:line="360" w:lineRule="auto"/>
        <w:ind w:firstLine="480" w:firstLineChars="200"/>
        <w:rPr>
          <w:rFonts w:hint="eastAsia" w:ascii="宋体" w:hAnsi="宋体" w:cs="宋体"/>
          <w:color w:val="auto"/>
          <w:sz w:val="24"/>
        </w:rPr>
      </w:pPr>
      <w:r>
        <w:rPr>
          <w:rFonts w:hint="eastAsia" w:ascii="宋体" w:hAnsi="宋体" w:cs="宋体"/>
          <w:bCs/>
          <w:color w:val="auto"/>
          <w:sz w:val="24"/>
        </w:rPr>
        <w:t>3.在未获对方书面同意的情况下任何一方不得代表对方或合作项目对外进行任何承诺或任何带有责任义务内容的宣传</w:t>
      </w:r>
      <w:r>
        <w:rPr>
          <w:rFonts w:hint="eastAsia" w:ascii="宋体" w:hAnsi="宋体" w:cs="宋体"/>
          <w:color w:val="auto"/>
          <w:sz w:val="24"/>
        </w:rPr>
        <w:t>。</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（七）</w:t>
      </w:r>
      <w:r>
        <w:rPr>
          <w:rFonts w:hint="eastAsia" w:ascii="宋体" w:hAnsi="宋体" w:cs="宋体"/>
          <w:b/>
          <w:bCs/>
          <w:color w:val="auto"/>
          <w:sz w:val="24"/>
        </w:rPr>
        <w:t>违约责任</w:t>
      </w:r>
    </w:p>
    <w:p>
      <w:pPr>
        <w:pStyle w:val="7"/>
        <w:tabs>
          <w:tab w:val="left" w:pos="4680"/>
        </w:tabs>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1.中标人未按照本协议约定的时间完成本项目各阶段工作，采购人书面催告中标人并给予不少于5个工作日的履行期限后中标人</w:t>
      </w:r>
      <w:r>
        <w:rPr>
          <w:rFonts w:hint="eastAsia" w:ascii="宋体" w:hAnsi="宋体" w:cs="宋体"/>
          <w:bCs/>
          <w:color w:val="auto"/>
          <w:sz w:val="24"/>
          <w:szCs w:val="24"/>
          <w:lang w:eastAsia="zh-Hans"/>
        </w:rPr>
        <w:t>仍未履行的，自该</w:t>
      </w:r>
      <w:r>
        <w:rPr>
          <w:rFonts w:hint="eastAsia" w:ascii="宋体" w:hAnsi="宋体" w:cs="宋体"/>
          <w:bCs/>
          <w:color w:val="auto"/>
          <w:sz w:val="24"/>
          <w:szCs w:val="24"/>
        </w:rPr>
        <w:t>期限届满之日起，每迟延一日，采购人有权自尚未支付的协议款项中扣除</w:t>
      </w:r>
      <w:r>
        <w:rPr>
          <w:rFonts w:hint="eastAsia" w:ascii="宋体" w:hAnsi="宋体" w:cs="宋体"/>
          <w:bCs/>
          <w:color w:val="auto"/>
          <w:sz w:val="24"/>
          <w:szCs w:val="24"/>
          <w:lang w:eastAsia="zh-Hans"/>
        </w:rPr>
        <w:t>项目启动资金对应</w:t>
      </w:r>
      <w:r>
        <w:rPr>
          <w:rFonts w:hint="eastAsia" w:ascii="宋体" w:hAnsi="宋体" w:cs="宋体"/>
          <w:bCs/>
          <w:color w:val="auto"/>
          <w:sz w:val="24"/>
          <w:szCs w:val="24"/>
        </w:rPr>
        <w:t>金额的3‰的逾期违约金。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bCs/>
          <w:color w:val="auto"/>
          <w:sz w:val="24"/>
        </w:rPr>
        <w:t>2.如采购人未按照本协议约定的时间支付服务费，中标人书面催告采购人并给予不少于5个工作日的履行期限后采购人仍未支付的，中标人有权自该期限届满之日起要求采购人支付该阶段应付而未付协议价款每日3‰的逾期违约金。但因采购人审批原因导致付款迟延，中标人予以谅解，</w:t>
      </w:r>
      <w:r>
        <w:rPr>
          <w:rFonts w:hint="eastAsia" w:ascii="宋体" w:hAnsi="宋体" w:cs="宋体"/>
          <w:bCs/>
          <w:color w:val="auto"/>
          <w:sz w:val="24"/>
          <w:lang w:eastAsia="zh-Hans"/>
        </w:rPr>
        <w:t>但该期间不得超过【30】日</w:t>
      </w:r>
      <w:r>
        <w:rPr>
          <w:rFonts w:hint="eastAsia" w:ascii="宋体" w:hAnsi="宋体" w:cs="宋体"/>
          <w:color w:val="auto"/>
          <w:sz w:val="24"/>
        </w:rPr>
        <w:t>。</w:t>
      </w:r>
    </w:p>
    <w:p>
      <w:pPr>
        <w:pStyle w:val="7"/>
        <w:tabs>
          <w:tab w:val="left" w:pos="4680"/>
        </w:tabs>
        <w:spacing w:line="360" w:lineRule="auto"/>
        <w:ind w:firstLine="482"/>
        <w:rPr>
          <w:rFonts w:hint="eastAsia" w:ascii="宋体" w:hAnsi="宋体" w:cs="宋体"/>
          <w:b/>
          <w:color w:val="auto"/>
          <w:sz w:val="24"/>
          <w:szCs w:val="24"/>
        </w:rPr>
      </w:pPr>
      <w:r>
        <w:rPr>
          <w:rFonts w:hint="eastAsia" w:ascii="宋体" w:hAnsi="宋体" w:cs="宋体"/>
          <w:b/>
          <w:color w:val="auto"/>
          <w:sz w:val="24"/>
          <w:szCs w:val="24"/>
        </w:rPr>
        <w:t>（八）其他要求</w:t>
      </w:r>
    </w:p>
    <w:p>
      <w:pPr>
        <w:widowControl/>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在服务期限内，项目人员应相对稳定，更换现场人员，须经采购单位书面同意后方可更换。中标单位须指定2名签收人，代表中标单位签收采购单位发出的任务书。签收人需持中标单位法人授权委托书报采购方备案，授权有效期与双方签订的框架合同期限一致。更换授权签收人须提前30个工作日向采购单位提出书面申请。</w:t>
      </w:r>
    </w:p>
    <w:p>
      <w:pPr>
        <w:rPr>
          <w:rFonts w:hint="eastAsia" w:ascii="宋体" w:hAnsi="宋体" w:cs="宋体"/>
          <w:bCs/>
          <w:color w:val="auto"/>
          <w:sz w:val="24"/>
        </w:rPr>
      </w:pPr>
      <w:r>
        <w:rPr>
          <w:rFonts w:hint="eastAsia" w:ascii="宋体" w:hAnsi="宋体" w:cs="宋体"/>
          <w:bCs/>
          <w:color w:val="auto"/>
          <w:sz w:val="24"/>
        </w:rPr>
        <w:br w:type="page"/>
      </w:r>
    </w:p>
    <w:p>
      <w:pPr>
        <w:pStyle w:val="20"/>
        <w:ind w:firstLine="480"/>
        <w:rPr>
          <w:rFonts w:hint="eastAsia"/>
          <w:color w:val="auto"/>
        </w:rPr>
      </w:pPr>
    </w:p>
    <w:p>
      <w:pPr>
        <w:widowControl/>
        <w:spacing w:line="360" w:lineRule="auto"/>
        <w:ind w:firstLine="482" w:firstLineChars="200"/>
        <w:jc w:val="center"/>
        <w:outlineLvl w:val="0"/>
        <w:rPr>
          <w:rFonts w:hint="eastAsia" w:ascii="宋体" w:hAnsi="宋体" w:cs="宋体"/>
          <w:b/>
          <w:color w:val="auto"/>
          <w:sz w:val="24"/>
        </w:rPr>
      </w:pPr>
      <w:bookmarkStart w:id="29" w:name="_Toc23822"/>
      <w:r>
        <w:rPr>
          <w:rFonts w:hint="eastAsia" w:ascii="宋体" w:cs="宋体"/>
          <w:b/>
          <w:bCs/>
          <w:color w:val="auto"/>
          <w:sz w:val="24"/>
        </w:rPr>
        <w:t>第六章 投标文件初审及招标项目评分表</w:t>
      </w:r>
      <w:bookmarkEnd w:id="29"/>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w:t>
            </w:r>
          </w:p>
        </w:tc>
        <w:tc>
          <w:tcPr>
            <w:tcW w:w="7108" w:type="dxa"/>
          </w:tcPr>
          <w:p>
            <w:pPr>
              <w:spacing w:line="360" w:lineRule="auto"/>
              <w:rPr>
                <w:rFonts w:hint="eastAsia"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2</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3</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4</w:t>
            </w:r>
          </w:p>
        </w:tc>
        <w:tc>
          <w:tcPr>
            <w:tcW w:w="7108" w:type="dxa"/>
            <w:vAlign w:val="center"/>
          </w:tcPr>
          <w:p>
            <w:pPr>
              <w:spacing w:line="360" w:lineRule="auto"/>
              <w:rPr>
                <w:rFonts w:hint="eastAsia"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5</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6</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7</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8</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报价合理性审查</w:t>
            </w:r>
          </w:p>
          <w:p>
            <w:pPr>
              <w:spacing w:line="360" w:lineRule="auto"/>
              <w:rPr>
                <w:rFonts w:hint="eastAsia" w:ascii="宋体" w:hAnsi="宋体" w:cs="宋体"/>
                <w:color w:val="auto"/>
                <w:sz w:val="24"/>
              </w:rPr>
            </w:pPr>
            <w:r>
              <w:rPr>
                <w:rFonts w:hint="eastAsia" w:ascii="宋体" w:hAnsi="宋体" w:cs="宋体"/>
                <w:color w:val="auto"/>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auto"/>
                <w:sz w:val="24"/>
              </w:rPr>
            </w:pPr>
            <w:r>
              <w:rPr>
                <w:rFonts w:hint="eastAsia" w:ascii="宋体" w:hAnsi="宋体" w:cs="宋体"/>
                <w:color w:val="auto"/>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auto"/>
                <w:sz w:val="24"/>
              </w:rPr>
            </w:pPr>
            <w:r>
              <w:rPr>
                <w:rFonts w:hint="eastAsia" w:ascii="宋体" w:hAnsi="宋体" w:cs="宋体"/>
                <w:color w:val="auto"/>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auto"/>
                <w:sz w:val="24"/>
              </w:rPr>
            </w:pPr>
            <w:r>
              <w:rPr>
                <w:rFonts w:hint="eastAsia" w:ascii="宋体" w:hAnsi="宋体" w:cs="宋体"/>
                <w:color w:val="auto"/>
                <w:sz w:val="24"/>
              </w:rPr>
              <w:t>（三）投标（响应）报价低于采购项目最高限价45%的，即投标（响应）报价&lt;采购项目最高限价×45%；</w:t>
            </w:r>
          </w:p>
          <w:p>
            <w:pPr>
              <w:spacing w:line="360" w:lineRule="auto"/>
              <w:rPr>
                <w:rFonts w:hint="eastAsia" w:ascii="宋体" w:hAnsi="宋体" w:cs="宋体"/>
                <w:color w:val="auto"/>
                <w:sz w:val="24"/>
              </w:rPr>
            </w:pPr>
            <w:r>
              <w:rPr>
                <w:rFonts w:hint="eastAsia" w:ascii="宋体" w:hAnsi="宋体" w:cs="宋体"/>
                <w:color w:val="auto"/>
                <w:sz w:val="24"/>
              </w:rPr>
              <w:t>（四）其他评审委员会认为供应商报价过低，有可能影响产品质量或者不能诚信履约的情形。</w:t>
            </w:r>
          </w:p>
          <w:p>
            <w:pPr>
              <w:spacing w:line="360" w:lineRule="auto"/>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9</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10</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spacing w:line="360" w:lineRule="auto"/>
              <w:rPr>
                <w:rFonts w:hint="eastAsia"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11</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12</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tbl>
      <w:tblPr>
        <w:tblStyle w:val="21"/>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20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vAlign w:val="center"/>
          </w:tcPr>
          <w:p>
            <w:pPr>
              <w:pStyle w:val="8"/>
              <w:spacing w:line="360" w:lineRule="auto"/>
              <w:rPr>
                <w:rFonts w:ascii="宋体" w:hAnsi="宋体" w:cs="宋体"/>
                <w:color w:val="auto"/>
                <w:sz w:val="24"/>
              </w:rPr>
            </w:pPr>
            <w:r>
              <w:rPr>
                <w:rFonts w:hint="eastAsia" w:ascii="宋体" w:hAnsi="宋体" w:cs="宋体"/>
                <w:color w:val="auto"/>
                <w:sz w:val="24"/>
              </w:rPr>
              <w:t>采用低价优先法计算，即满足招标文件要求且投标价格最低的投标报价为评标基准价，其价格分为满分。其他投标人的价格分统一按照下列公式计算：</w:t>
            </w:r>
          </w:p>
          <w:p>
            <w:pPr>
              <w:pStyle w:val="8"/>
              <w:spacing w:line="360" w:lineRule="auto"/>
              <w:rPr>
                <w:rFonts w:hint="default" w:ascii="宋体" w:hAnsi="宋体" w:eastAsia="宋体" w:cs="宋体"/>
                <w:color w:val="auto"/>
                <w:sz w:val="24"/>
                <w:lang w:val="en-US" w:eastAsia="zh-CN"/>
              </w:rPr>
            </w:pPr>
            <w:r>
              <w:rPr>
                <w:rFonts w:hint="eastAsia" w:ascii="宋体" w:hAnsi="宋体" w:cs="宋体"/>
                <w:b/>
                <w:bCs/>
                <w:color w:val="auto"/>
                <w:sz w:val="24"/>
              </w:rPr>
              <w:t>投标报价得分=(评标基准价／投标报价)×</w:t>
            </w:r>
            <w:r>
              <w:rPr>
                <w:rFonts w:hint="eastAsia" w:ascii="宋体" w:hAnsi="宋体" w:cs="宋体"/>
                <w:b/>
                <w:bCs/>
                <w:color w:val="auto"/>
                <w:sz w:val="24"/>
                <w:lang w:val="en-US" w:eastAsia="zh-CN"/>
              </w:rPr>
              <w:t>20</w:t>
            </w:r>
          </w:p>
          <w:p>
            <w:pPr>
              <w:numPr>
                <w:ilvl w:val="0"/>
                <w:numId w:val="5"/>
              </w:numPr>
              <w:spacing w:line="360" w:lineRule="auto"/>
              <w:ind w:left="250" w:hanging="249" w:hangingChars="104"/>
              <w:jc w:val="left"/>
              <w:rPr>
                <w:rFonts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5"/>
              </w:numPr>
              <w:spacing w:line="360" w:lineRule="auto"/>
              <w:ind w:left="0" w:hanging="9"/>
              <w:jc w:val="left"/>
              <w:rPr>
                <w:rFonts w:ascii="宋体" w:hAnsi="宋体" w:cs="宋体"/>
                <w:b/>
                <w:color w:val="auto"/>
                <w:sz w:val="24"/>
              </w:rPr>
            </w:pPr>
            <w:r>
              <w:rPr>
                <w:rFonts w:hint="eastAsia" w:ascii="宋体" w:hAnsi="宋体" w:cs="宋体"/>
                <w:bCs/>
                <w:color w:val="auto"/>
                <w:sz w:val="24"/>
              </w:rPr>
              <w:t>根据财库〔2020〕46号、财库〔2014〕68号及财库〔2017〕141号及（深财购〔2022〕31号）文件规定：</w:t>
            </w:r>
            <w:r>
              <w:rPr>
                <w:rFonts w:hint="eastAsia" w:ascii="宋体" w:hAnsi="宋体" w:cs="宋体"/>
                <w:b/>
                <w:color w:val="auto"/>
                <w:sz w:val="24"/>
              </w:rPr>
              <w:t>本项目非专门面向中小企业的项目，对小型和微型企业、监狱企业或残疾人福利性企业产品的价格给予10%的扣除，用扣除后的价格即为“经评审合格的投标报价”参与价格评审。</w:t>
            </w:r>
          </w:p>
          <w:p>
            <w:pPr>
              <w:numPr>
                <w:ilvl w:val="255"/>
                <w:numId w:val="0"/>
              </w:numPr>
              <w:spacing w:line="360" w:lineRule="auto"/>
              <w:jc w:val="left"/>
              <w:rPr>
                <w:rFonts w:hint="eastAsia" w:ascii="宋体" w:hAnsi="宋体" w:cs="宋体"/>
                <w:color w:val="auto"/>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rPr>
              <w:t>45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投标人同类项目业绩及履约评价</w:t>
            </w:r>
          </w:p>
        </w:tc>
        <w:tc>
          <w:tcPr>
            <w:tcW w:w="5907" w:type="dxa"/>
            <w:shd w:val="clear" w:color="auto" w:fill="auto"/>
          </w:tcPr>
          <w:p>
            <w:pPr>
              <w:spacing w:line="360" w:lineRule="auto"/>
              <w:rPr>
                <w:rFonts w:hint="eastAsia" w:ascii="宋体" w:hAnsi="宋体" w:cs="宋体"/>
                <w:color w:val="auto"/>
                <w:sz w:val="24"/>
                <w:lang w:val="zh-CN"/>
              </w:rPr>
            </w:pPr>
            <w:r>
              <w:rPr>
                <w:rFonts w:hint="eastAsia" w:ascii="宋体" w:hAnsi="宋体" w:cs="宋体"/>
                <w:color w:val="auto"/>
                <w:sz w:val="24"/>
                <w:lang w:val="zh-CN"/>
              </w:rPr>
              <w:t>（一）评审内容：</w:t>
            </w:r>
          </w:p>
          <w:p>
            <w:pPr>
              <w:spacing w:line="360" w:lineRule="auto"/>
              <w:rPr>
                <w:rFonts w:hint="eastAsia" w:ascii="宋体" w:hAnsi="宋体" w:cs="宋体"/>
                <w:color w:val="auto"/>
                <w:sz w:val="24"/>
                <w:lang w:val="zh-CN"/>
              </w:rPr>
            </w:pPr>
            <w:r>
              <w:rPr>
                <w:rFonts w:hint="eastAsia" w:ascii="宋体" w:hAnsi="宋体" w:cs="宋体"/>
                <w:color w:val="auto"/>
                <w:sz w:val="24"/>
              </w:rPr>
              <w:t xml:space="preserve">1. </w:t>
            </w:r>
            <w:r>
              <w:rPr>
                <w:rFonts w:hint="eastAsia" w:ascii="宋体" w:hAnsi="宋体" w:cs="宋体"/>
                <w:color w:val="auto"/>
                <w:sz w:val="24"/>
                <w:lang w:val="zh-CN"/>
              </w:rPr>
              <w:t>20</w:t>
            </w:r>
            <w:r>
              <w:rPr>
                <w:rFonts w:hint="eastAsia" w:ascii="宋体" w:hAnsi="宋体" w:cs="宋体"/>
                <w:color w:val="auto"/>
                <w:sz w:val="24"/>
              </w:rPr>
              <w:t>21</w:t>
            </w:r>
            <w:r>
              <w:rPr>
                <w:rFonts w:hint="eastAsia" w:ascii="宋体" w:hAnsi="宋体" w:cs="宋体"/>
                <w:color w:val="auto"/>
                <w:sz w:val="24"/>
                <w:lang w:val="zh-CN"/>
              </w:rPr>
              <w:t>年1月1日至本项目投标截止之日（以合同签订时间为准），投标人具有同类项目的，每个业绩得</w:t>
            </w:r>
            <w:r>
              <w:rPr>
                <w:rFonts w:hint="eastAsia" w:ascii="宋体" w:hAnsi="宋体" w:cs="宋体"/>
                <w:color w:val="auto"/>
                <w:sz w:val="24"/>
              </w:rPr>
              <w:t>5</w:t>
            </w:r>
            <w:r>
              <w:rPr>
                <w:rFonts w:hint="eastAsia" w:ascii="宋体" w:hAnsi="宋体" w:cs="宋体"/>
                <w:color w:val="auto"/>
                <w:sz w:val="24"/>
                <w:lang w:val="zh-CN"/>
              </w:rPr>
              <w:t>分，本项最高得</w:t>
            </w:r>
            <w:r>
              <w:rPr>
                <w:rFonts w:hint="eastAsia" w:ascii="宋体" w:hAnsi="宋体" w:cs="宋体"/>
                <w:color w:val="auto"/>
                <w:sz w:val="24"/>
              </w:rPr>
              <w:t>10</w:t>
            </w:r>
            <w:r>
              <w:rPr>
                <w:rFonts w:hint="eastAsia" w:ascii="宋体" w:hAnsi="宋体" w:cs="宋体"/>
                <w:color w:val="auto"/>
                <w:sz w:val="24"/>
                <w:lang w:val="zh-CN"/>
              </w:rPr>
              <w:t>分；</w:t>
            </w:r>
          </w:p>
          <w:p>
            <w:pPr>
              <w:spacing w:line="360" w:lineRule="auto"/>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上述业绩经采购方评价为优或满意</w:t>
            </w:r>
            <w:r>
              <w:rPr>
                <w:rFonts w:hint="eastAsia" w:ascii="宋体" w:hAnsi="宋体" w:cs="宋体"/>
                <w:color w:val="auto"/>
                <w:sz w:val="24"/>
              </w:rPr>
              <w:t>或评价表中同等最高评价</w:t>
            </w:r>
            <w:r>
              <w:rPr>
                <w:rFonts w:hint="eastAsia" w:ascii="宋体" w:hAnsi="宋体" w:cs="宋体"/>
                <w:color w:val="auto"/>
                <w:sz w:val="24"/>
                <w:lang w:val="zh-CN"/>
              </w:rPr>
              <w:t>的，每项业绩评价得</w:t>
            </w:r>
            <w:r>
              <w:rPr>
                <w:rFonts w:hint="eastAsia" w:ascii="宋体" w:hAnsi="宋体" w:cs="宋体"/>
                <w:color w:val="auto"/>
                <w:sz w:val="24"/>
              </w:rPr>
              <w:t>5</w:t>
            </w:r>
            <w:r>
              <w:rPr>
                <w:rFonts w:hint="eastAsia" w:ascii="宋体" w:hAnsi="宋体" w:cs="宋体"/>
                <w:color w:val="auto"/>
                <w:sz w:val="24"/>
                <w:lang w:val="zh-CN"/>
              </w:rPr>
              <w:t>分，本项最高得</w:t>
            </w:r>
            <w:r>
              <w:rPr>
                <w:rFonts w:hint="eastAsia" w:ascii="宋体" w:hAnsi="宋体" w:cs="宋体"/>
                <w:color w:val="auto"/>
                <w:sz w:val="24"/>
              </w:rPr>
              <w:t>10</w:t>
            </w:r>
            <w:r>
              <w:rPr>
                <w:rFonts w:hint="eastAsia" w:ascii="宋体" w:hAnsi="宋体" w:cs="宋体"/>
                <w:color w:val="auto"/>
                <w:sz w:val="24"/>
                <w:lang w:val="zh-CN"/>
              </w:rPr>
              <w:t>分；</w:t>
            </w:r>
          </w:p>
          <w:p>
            <w:pPr>
              <w:spacing w:line="360" w:lineRule="auto"/>
              <w:rPr>
                <w:rFonts w:hint="eastAsia" w:ascii="宋体" w:hAnsi="宋体" w:cs="宋体"/>
                <w:color w:val="auto"/>
                <w:sz w:val="24"/>
                <w:lang w:val="zh-CN"/>
              </w:rPr>
            </w:pPr>
            <w:r>
              <w:rPr>
                <w:rFonts w:hint="eastAsia" w:ascii="宋体" w:hAnsi="宋体" w:cs="宋体"/>
                <w:color w:val="auto"/>
                <w:sz w:val="24"/>
                <w:lang w:val="zh-CN"/>
              </w:rPr>
              <w:t>以上两项累计得分最高不超过</w:t>
            </w:r>
            <w:r>
              <w:rPr>
                <w:rFonts w:hint="eastAsia" w:ascii="宋体" w:hAnsi="宋体" w:cs="宋体"/>
                <w:color w:val="auto"/>
                <w:sz w:val="24"/>
              </w:rPr>
              <w:t>20</w:t>
            </w:r>
            <w:r>
              <w:rPr>
                <w:rFonts w:hint="eastAsia" w:ascii="宋体" w:hAnsi="宋体" w:cs="宋体"/>
                <w:color w:val="auto"/>
                <w:sz w:val="24"/>
                <w:lang w:val="zh-CN"/>
              </w:rPr>
              <w:t>分。</w:t>
            </w:r>
          </w:p>
          <w:p>
            <w:pPr>
              <w:spacing w:line="360" w:lineRule="auto"/>
              <w:rPr>
                <w:rFonts w:hint="eastAsia" w:ascii="宋体" w:hAnsi="宋体" w:cs="宋体"/>
                <w:color w:val="auto"/>
                <w:sz w:val="24"/>
                <w:lang w:val="zh-CN"/>
              </w:rPr>
            </w:pPr>
            <w:r>
              <w:rPr>
                <w:rFonts w:hint="eastAsia" w:ascii="宋体" w:hAnsi="宋体" w:cs="宋体"/>
                <w:color w:val="auto"/>
                <w:sz w:val="24"/>
                <w:lang w:val="zh-CN"/>
              </w:rPr>
              <w:t>（二）评审标准：</w:t>
            </w:r>
          </w:p>
          <w:p>
            <w:pPr>
              <w:spacing w:line="360" w:lineRule="auto"/>
              <w:rPr>
                <w:rFonts w:hint="eastAsia"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须提供合同或相关证明文件关键页（合同签订时间、签署方或委托方、内容页、签章页）等证明材料复印件并加盖投标人公章（原件备查）。</w:t>
            </w:r>
          </w:p>
          <w:p>
            <w:pPr>
              <w:spacing w:line="360" w:lineRule="auto"/>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采购方评价为优或满意</w:t>
            </w:r>
            <w:r>
              <w:rPr>
                <w:rFonts w:hint="eastAsia" w:ascii="宋体" w:hAnsi="宋体" w:cs="宋体"/>
                <w:color w:val="auto"/>
                <w:sz w:val="24"/>
              </w:rPr>
              <w:t>或评价表中同等最高评价</w:t>
            </w:r>
            <w:r>
              <w:rPr>
                <w:rFonts w:hint="eastAsia" w:ascii="宋体" w:hAnsi="宋体" w:cs="宋体"/>
                <w:color w:val="auto"/>
                <w:sz w:val="24"/>
                <w:lang w:val="zh-CN"/>
              </w:rPr>
              <w:t>的业绩，须提供履约评价表或其他履约证明文件等复印件并加盖</w:t>
            </w:r>
            <w:r>
              <w:rPr>
                <w:rFonts w:hint="eastAsia" w:ascii="宋体" w:hAnsi="宋体" w:cs="宋体"/>
                <w:color w:val="auto"/>
                <w:sz w:val="24"/>
              </w:rPr>
              <w:t>采购方</w:t>
            </w:r>
            <w:r>
              <w:rPr>
                <w:rFonts w:hint="eastAsia" w:ascii="宋体" w:hAnsi="宋体" w:cs="宋体"/>
                <w:color w:val="auto"/>
                <w:sz w:val="24"/>
                <w:lang w:val="zh-CN"/>
              </w:rPr>
              <w:t>公章</w:t>
            </w:r>
            <w:r>
              <w:rPr>
                <w:rFonts w:hint="eastAsia" w:ascii="宋体" w:hAnsi="宋体" w:cs="宋体"/>
                <w:color w:val="auto"/>
                <w:sz w:val="24"/>
              </w:rPr>
              <w:t>或业务章</w:t>
            </w:r>
            <w:r>
              <w:rPr>
                <w:rFonts w:hint="eastAsia" w:ascii="宋体" w:hAnsi="宋体" w:cs="宋体"/>
                <w:color w:val="auto"/>
                <w:sz w:val="24"/>
                <w:lang w:val="zh-CN"/>
              </w:rPr>
              <w:t>（原件备查）。</w:t>
            </w:r>
          </w:p>
          <w:p>
            <w:pPr>
              <w:spacing w:line="360" w:lineRule="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评分中出现无证明资料或专家无法凭所提供资料判断是否得分的情况，一律作不得分处理</w:t>
            </w:r>
            <w:r>
              <w:rPr>
                <w:rFonts w:hint="eastAsia" w:ascii="宋体" w:hAnsi="宋体" w:cs="宋体"/>
                <w:color w:val="auto"/>
                <w:sz w:val="24"/>
              </w:rPr>
              <w:t>。</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师资力量</w:t>
            </w:r>
          </w:p>
        </w:tc>
        <w:tc>
          <w:tcPr>
            <w:tcW w:w="5907" w:type="dxa"/>
            <w:shd w:val="clear" w:color="auto" w:fill="auto"/>
          </w:tcPr>
          <w:p>
            <w:pPr>
              <w:spacing w:line="360" w:lineRule="auto"/>
              <w:rPr>
                <w:rFonts w:hint="eastAsia" w:ascii="宋体" w:hAnsi="宋体" w:cs="宋体"/>
                <w:color w:val="auto"/>
                <w:sz w:val="24"/>
              </w:rPr>
            </w:pPr>
            <w:r>
              <w:rPr>
                <w:rFonts w:hint="eastAsia" w:ascii="宋体" w:hAnsi="宋体" w:cs="宋体"/>
                <w:color w:val="auto"/>
                <w:sz w:val="24"/>
              </w:rPr>
              <w:t>（一）评审内容：</w:t>
            </w:r>
          </w:p>
          <w:p>
            <w:pPr>
              <w:spacing w:line="360" w:lineRule="auto"/>
              <w:rPr>
                <w:rFonts w:hint="eastAsia" w:ascii="宋体" w:hAnsi="宋体" w:cs="宋体"/>
                <w:color w:val="auto"/>
                <w:sz w:val="24"/>
              </w:rPr>
            </w:pPr>
            <w:r>
              <w:rPr>
                <w:rFonts w:hint="eastAsia" w:ascii="宋体" w:hAnsi="宋体" w:cs="宋体"/>
                <w:color w:val="auto"/>
                <w:sz w:val="24"/>
              </w:rPr>
              <w:t>根据投标人培训师资力量打分：</w:t>
            </w:r>
          </w:p>
          <w:p>
            <w:pPr>
              <w:spacing w:line="360" w:lineRule="auto"/>
              <w:rPr>
                <w:rFonts w:hint="eastAsia" w:ascii="宋体" w:hAnsi="宋体" w:cs="宋体"/>
                <w:color w:val="auto"/>
                <w:sz w:val="24"/>
              </w:rPr>
            </w:pPr>
            <w:r>
              <w:rPr>
                <w:rFonts w:hint="eastAsia" w:ascii="宋体" w:hAnsi="宋体" w:cs="宋体"/>
                <w:color w:val="auto"/>
                <w:sz w:val="24"/>
              </w:rPr>
              <w:t>1.具有博士研究生学历人员，每提供1人得3分，本小项最高得15分；</w:t>
            </w:r>
          </w:p>
          <w:p>
            <w:pPr>
              <w:spacing w:line="360" w:lineRule="auto"/>
              <w:rPr>
                <w:rFonts w:hint="eastAsia" w:ascii="宋体" w:hAnsi="宋体" w:cs="宋体"/>
                <w:color w:val="auto"/>
                <w:sz w:val="24"/>
              </w:rPr>
            </w:pPr>
            <w:r>
              <w:rPr>
                <w:rFonts w:hint="eastAsia" w:ascii="宋体" w:hAnsi="宋体" w:cs="宋体"/>
                <w:color w:val="auto"/>
                <w:sz w:val="24"/>
              </w:rPr>
              <w:t>2.具有教授、研究员或同等教育培训相关的正高级职称的，每提供1人得5分；本小项最高得5分；</w:t>
            </w:r>
          </w:p>
          <w:p>
            <w:pPr>
              <w:spacing w:line="360" w:lineRule="auto"/>
              <w:rPr>
                <w:rFonts w:hint="eastAsia" w:ascii="宋体" w:hAnsi="宋体" w:cs="宋体"/>
                <w:color w:val="auto"/>
                <w:sz w:val="24"/>
              </w:rPr>
            </w:pPr>
            <w:r>
              <w:rPr>
                <w:rFonts w:hint="eastAsia" w:ascii="宋体" w:hAnsi="宋体" w:cs="宋体"/>
                <w:color w:val="auto"/>
                <w:sz w:val="24"/>
              </w:rPr>
              <w:t>以上两项累计得分最高不超过20分。</w:t>
            </w:r>
          </w:p>
          <w:p>
            <w:pPr>
              <w:spacing w:line="360" w:lineRule="auto"/>
              <w:rPr>
                <w:rFonts w:hint="eastAsia" w:ascii="宋体" w:hAnsi="宋体" w:cs="宋体"/>
                <w:color w:val="auto"/>
                <w:sz w:val="24"/>
              </w:rPr>
            </w:pPr>
            <w:r>
              <w:rPr>
                <w:rFonts w:hint="eastAsia" w:ascii="宋体" w:hAnsi="宋体" w:cs="宋体"/>
                <w:color w:val="auto"/>
                <w:sz w:val="24"/>
              </w:rPr>
              <w:t>（二）评审标准：</w:t>
            </w:r>
          </w:p>
          <w:p>
            <w:pPr>
              <w:spacing w:line="360" w:lineRule="auto"/>
              <w:rPr>
                <w:rFonts w:hint="eastAsia" w:ascii="宋体" w:hAnsi="宋体" w:cs="宋体"/>
                <w:color w:val="auto"/>
                <w:sz w:val="24"/>
              </w:rPr>
            </w:pPr>
            <w:r>
              <w:rPr>
                <w:rFonts w:hint="eastAsia" w:ascii="宋体" w:hAnsi="宋体" w:cs="宋体"/>
                <w:color w:val="auto"/>
                <w:sz w:val="24"/>
              </w:rPr>
              <w:t>1.需提供投标单位为其人员缴纳的</w:t>
            </w:r>
            <w:r>
              <w:rPr>
                <w:rFonts w:hint="eastAsia" w:ascii="宋体" w:hAnsi="宋体" w:cs="宋体"/>
                <w:color w:val="auto"/>
                <w:sz w:val="24"/>
                <w:lang w:val="zh-CN"/>
              </w:rPr>
              <w:t>近三个月任意一个月的社保证明作为本单位员工的证明依据（如供应商为新成立单位且成立时间不足一个月的，可提供加盖公章的情况说明亦视为符合。）</w:t>
            </w:r>
            <w:r>
              <w:rPr>
                <w:rFonts w:hint="eastAsia" w:ascii="宋体" w:hAnsi="宋体" w:cs="宋体"/>
                <w:color w:val="auto"/>
                <w:sz w:val="24"/>
              </w:rPr>
              <w:t>以及聘用合同（或聘书）、人员清单；如为退休返聘人员提供退休证明和聘用合同，无需提供社保亦视为符合。</w:t>
            </w:r>
          </w:p>
          <w:p>
            <w:pPr>
              <w:spacing w:line="360" w:lineRule="auto"/>
              <w:rPr>
                <w:rFonts w:hint="eastAsia" w:ascii="宋体" w:hAnsi="宋体" w:cs="宋体"/>
                <w:color w:val="auto"/>
                <w:sz w:val="24"/>
              </w:rPr>
            </w:pPr>
            <w:r>
              <w:rPr>
                <w:rFonts w:hint="eastAsia" w:ascii="宋体" w:hAnsi="宋体" w:cs="宋体"/>
                <w:color w:val="auto"/>
                <w:sz w:val="24"/>
              </w:rPr>
              <w:t>2.须提供最高学历证书（毕业证书）复印件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不提供不予计算；</w:t>
            </w:r>
          </w:p>
          <w:p>
            <w:pPr>
              <w:spacing w:line="360" w:lineRule="auto"/>
              <w:rPr>
                <w:rFonts w:hint="eastAsia" w:ascii="宋体" w:hAnsi="宋体" w:cs="宋体"/>
                <w:color w:val="auto"/>
                <w:sz w:val="24"/>
              </w:rPr>
            </w:pPr>
            <w:r>
              <w:rPr>
                <w:rFonts w:hint="eastAsia" w:ascii="宋体" w:hAnsi="宋体" w:cs="宋体"/>
                <w:color w:val="auto"/>
                <w:sz w:val="24"/>
              </w:rPr>
              <w:t>3.须提供职称证书复印件加盖投标人公章；</w:t>
            </w:r>
          </w:p>
          <w:p>
            <w:pPr>
              <w:spacing w:line="360" w:lineRule="auto"/>
              <w:rPr>
                <w:rFonts w:hint="eastAsia" w:ascii="宋体" w:hAnsi="宋体" w:cs="宋体"/>
                <w:color w:val="auto"/>
                <w:sz w:val="24"/>
              </w:rPr>
            </w:pPr>
            <w:r>
              <w:rPr>
                <w:rFonts w:hint="eastAsia" w:ascii="宋体" w:hAnsi="宋体" w:cs="宋体"/>
                <w:color w:val="auto"/>
                <w:sz w:val="24"/>
              </w:rPr>
              <w:t>4.以上资料均要求提供复印件并加盖投标人公章，原件备查，如发现作假，取消投标资格。评分中出现无证明资料或专家无法凭所提供资料判断是否得分的情况，一律作不得分处理。</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907" w:type="dxa"/>
            <w:vAlign w:val="center"/>
          </w:tcPr>
          <w:p>
            <w:pPr>
              <w:spacing w:line="360" w:lineRule="auto"/>
              <w:rPr>
                <w:rFonts w:hint="eastAsia" w:ascii="宋体" w:hAnsi="宋体" w:cs="宋体"/>
                <w:color w:val="auto"/>
                <w:sz w:val="24"/>
              </w:rPr>
            </w:pPr>
            <w:r>
              <w:rPr>
                <w:rFonts w:hint="eastAsia" w:ascii="宋体" w:hAnsi="宋体" w:cs="宋体"/>
                <w:color w:val="auto"/>
                <w:sz w:val="24"/>
              </w:rPr>
              <w:t>（一）评分内容：</w:t>
            </w:r>
          </w:p>
          <w:p>
            <w:pPr>
              <w:spacing w:line="360" w:lineRule="auto"/>
              <w:rPr>
                <w:rFonts w:hint="eastAsia" w:ascii="宋体" w:hAnsi="宋体" w:cs="宋体"/>
                <w:color w:val="auto"/>
                <w:sz w:val="24"/>
              </w:rPr>
            </w:pPr>
            <w:r>
              <w:rPr>
                <w:rFonts w:hint="eastAsia" w:ascii="宋体" w:hAnsi="宋体" w:cs="宋体"/>
                <w:color w:val="auto"/>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（二）评分依据</w:t>
            </w:r>
            <w:r>
              <w:rPr>
                <w:rFonts w:hint="eastAsia" w:ascii="宋体" w:hAnsi="宋体" w:cs="宋体"/>
                <w:color w:val="auto"/>
                <w:sz w:val="24"/>
                <w:lang w:eastAsia="zh-CN"/>
              </w:rPr>
              <w:t>：</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1、投标人提供诚信声明与承诺加盖公章；</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auto"/>
                <w:sz w:val="24"/>
              </w:rPr>
              <w:t>。</w:t>
            </w:r>
          </w:p>
        </w:tc>
        <w:tc>
          <w:tcPr>
            <w:tcW w:w="901"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079" w:type="dxa"/>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rPr>
              <w:t>35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bookmarkStart w:id="30" w:name="OLE_LINK12" w:colFirst="1" w:colLast="4"/>
            <w:r>
              <w:rPr>
                <w:rFonts w:hint="eastAsia" w:ascii="宋体" w:hAnsi="宋体" w:cs="宋体"/>
                <w:color w:val="auto"/>
                <w:sz w:val="24"/>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实施方案</w:t>
            </w:r>
          </w:p>
        </w:tc>
        <w:tc>
          <w:tcPr>
            <w:tcW w:w="5907" w:type="dxa"/>
            <w:vAlign w:val="center"/>
          </w:tcPr>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（一）评审内容：</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根据投标文件里实施方案的判断情况比较得分：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1.对项目背景、意义和工作目标的认识；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2.工作内容与方案思路；</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3.采用的技术路线。</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（二）评审标准：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投标文件包含以上三点得15分，满足任意两点得10分，满足任意一点得5分，均未满足不得分。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在此基础上，专家根据各供应商的具体响应内容进一步评审：</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优：实施方案思路清晰、内容完整、技术路线成熟；</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良：实施方案思路比较清晰、技术路线可行；</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中：实施方案内容不够完整，方案简单，可执行性一般的；</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差：实施方案思路不清晰、技术路线不成熟，内容简单，可执行性差。</w:t>
            </w:r>
          </w:p>
          <w:p>
            <w:pPr>
              <w:spacing w:line="360" w:lineRule="auto"/>
              <w:rPr>
                <w:rFonts w:hint="eastAsia" w:ascii="宋体" w:hAnsi="宋体" w:cs="宋体"/>
                <w:color w:val="auto"/>
                <w:sz w:val="24"/>
              </w:rPr>
            </w:pPr>
            <w:r>
              <w:rPr>
                <w:rFonts w:hint="eastAsia" w:ascii="宋体" w:hAnsi="宋体" w:cs="宋体"/>
                <w:color w:val="auto"/>
                <w:kern w:val="0"/>
                <w:sz w:val="24"/>
                <w:lang w:val="zh-CN"/>
              </w:rPr>
              <w:t>根据招标文件比较，评价为优加10分；评价为良加5分；评价为中加2分；评价为差不加分。</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2</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质量保障措施及方案</w:t>
            </w:r>
          </w:p>
        </w:tc>
        <w:tc>
          <w:tcPr>
            <w:tcW w:w="5907" w:type="dxa"/>
            <w:vAlign w:val="center"/>
          </w:tcPr>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（一）评审内容：</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根据招标文件的需求，编制质量保障措施及方案。包含但不限于以下内容：</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1.项目组织；</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2.项目进度安排；</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3.保障措施。</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（二）评分标准：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满足三点得5分，满足任意两点得3分，满足任意一点得1分，均未满足不得分。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在此基础上，专家根据各供应商的具体响应内容进一步评审； </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优：项目质量、保障措施及方案可行和合理的；</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良：项目质量、保障措施及方案比较可行和合理的；</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中：项目质量、保障措施及方案基本可行和合理的；</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差：项目质量、保障措施及方案不可行和不合理的。</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评审为优的加5分；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评审为良的加3分；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评审为中的加1分；</w:t>
            </w:r>
          </w:p>
          <w:p>
            <w:pPr>
              <w:spacing w:line="360" w:lineRule="auto"/>
              <w:rPr>
                <w:rFonts w:hint="eastAsia" w:ascii="宋体" w:hAnsi="宋体" w:cs="宋体"/>
                <w:color w:val="auto"/>
                <w:sz w:val="24"/>
              </w:rPr>
            </w:pPr>
            <w:r>
              <w:rPr>
                <w:rFonts w:hint="eastAsia" w:ascii="宋体" w:hAnsi="宋体" w:cs="宋体"/>
                <w:color w:val="auto"/>
                <w:kern w:val="0"/>
                <w:sz w:val="24"/>
                <w:lang w:val="zh-CN"/>
              </w:rPr>
              <w:t>评审为差的不加分。</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bookmarkEnd w:id="30"/>
    </w:tbl>
    <w:p>
      <w:pPr>
        <w:tabs>
          <w:tab w:val="left" w:pos="640"/>
          <w:tab w:val="left" w:pos="1260"/>
          <w:tab w:val="left" w:pos="1418"/>
        </w:tabs>
        <w:spacing w:line="360" w:lineRule="auto"/>
        <w:ind w:right="-420" w:rightChars="-200"/>
        <w:rPr>
          <w:rFonts w:hint="eastAsia" w:ascii="宋体" w:hAnsi="宋体" w:cs="宋体"/>
          <w:color w:val="auto"/>
          <w:sz w:val="24"/>
          <w:lang w:val="fr-CH"/>
        </w:rPr>
      </w:pPr>
    </w:p>
    <w:p>
      <w:pPr>
        <w:pStyle w:val="2"/>
        <w:rPr>
          <w:rFonts w:hint="eastAsia" w:ascii="宋体" w:hAnsi="宋体" w:cs="宋体"/>
          <w:color w:val="auto"/>
          <w:lang w:val="fr-CH"/>
        </w:rPr>
      </w:pPr>
    </w:p>
    <w:p>
      <w:pPr>
        <w:rPr>
          <w:rFonts w:hint="eastAsia" w:ascii="宋体" w:hAnsi="宋体" w:cs="宋体"/>
          <w:color w:val="auto"/>
          <w:sz w:val="24"/>
          <w:lang w:val="fr-CH"/>
        </w:rPr>
      </w:pPr>
    </w:p>
    <w:p>
      <w:pPr>
        <w:pStyle w:val="2"/>
        <w:rPr>
          <w:rFonts w:hint="eastAsia" w:ascii="宋体" w:hAnsi="宋体" w:cs="宋体"/>
          <w:color w:val="auto"/>
          <w:lang w:val="fr-CH"/>
        </w:rPr>
      </w:pPr>
    </w:p>
    <w:p>
      <w:pPr>
        <w:rPr>
          <w:color w:val="auto"/>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rPr>
      </w:pPr>
      <w:bookmarkStart w:id="31" w:name="_Toc9548"/>
      <w:bookmarkStart w:id="32" w:name="_Hlk28269117"/>
      <w:r>
        <w:rPr>
          <w:rFonts w:hint="eastAsia" w:ascii="宋体" w:hAnsi="宋体" w:cs="宋体"/>
          <w:b/>
          <w:bCs/>
          <w:color w:val="auto"/>
          <w:sz w:val="24"/>
        </w:rPr>
        <w:t>第七章 附件（投标文件格式）</w:t>
      </w:r>
      <w:bookmarkEnd w:id="31"/>
    </w:p>
    <w:p>
      <w:pPr>
        <w:keepNext/>
        <w:keepLines/>
        <w:spacing w:before="260" w:after="260" w:line="440" w:lineRule="exact"/>
        <w:jc w:val="center"/>
        <w:outlineLvl w:val="1"/>
        <w:rPr>
          <w:rFonts w:hint="eastAsia" w:ascii="宋体" w:hAnsi="宋体" w:cs="宋体"/>
          <w:b/>
          <w:bCs/>
          <w:color w:val="auto"/>
          <w:sz w:val="24"/>
        </w:rPr>
      </w:pPr>
      <w:bookmarkStart w:id="33" w:name="_Toc31827"/>
      <w:bookmarkStart w:id="34" w:name="_Toc5116"/>
      <w:bookmarkStart w:id="35" w:name="_Toc19494"/>
      <w:bookmarkStart w:id="36" w:name="_Toc6548"/>
      <w:r>
        <w:rPr>
          <w:rFonts w:hint="eastAsia" w:ascii="宋体" w:hAnsi="宋体" w:cs="宋体"/>
          <w:b/>
          <w:bCs/>
          <w:color w:val="auto"/>
          <w:sz w:val="24"/>
        </w:rPr>
        <w:t>1、投标文件密封袋/封面参考</w:t>
      </w:r>
      <w:bookmarkEnd w:id="33"/>
      <w:bookmarkEnd w:id="34"/>
      <w:bookmarkEnd w:id="35"/>
      <w:bookmarkEnd w:id="36"/>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auto"/>
                <w:sz w:val="32"/>
              </w:rPr>
            </w:pPr>
          </w:p>
          <w:p>
            <w:pPr>
              <w:pStyle w:val="2"/>
              <w:tabs>
                <w:tab w:val="left" w:pos="562"/>
                <w:tab w:val="left" w:pos="3372"/>
                <w:tab w:val="left" w:pos="3653"/>
              </w:tabs>
              <w:spacing w:line="360" w:lineRule="auto"/>
              <w:jc w:val="center"/>
              <w:rPr>
                <w:rFonts w:ascii="黑体" w:eastAsia="黑体"/>
                <w:b/>
                <w:color w:val="auto"/>
                <w:sz w:val="72"/>
                <w:szCs w:val="72"/>
              </w:rPr>
            </w:pPr>
          </w:p>
          <w:p>
            <w:pPr>
              <w:pStyle w:val="2"/>
              <w:tabs>
                <w:tab w:val="left" w:pos="562"/>
                <w:tab w:val="left" w:pos="3372"/>
                <w:tab w:val="left" w:pos="3653"/>
              </w:tabs>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2"/>
              <w:tabs>
                <w:tab w:val="left" w:pos="562"/>
                <w:tab w:val="left" w:pos="3372"/>
                <w:tab w:val="left" w:pos="3653"/>
              </w:tabs>
              <w:spacing w:line="360" w:lineRule="auto"/>
              <w:jc w:val="center"/>
              <w:rPr>
                <w:rFonts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2"/>
              <w:tabs>
                <w:tab w:val="left" w:pos="562"/>
                <w:tab w:val="left" w:pos="3372"/>
                <w:tab w:val="left" w:pos="3653"/>
              </w:tabs>
              <w:spacing w:line="360" w:lineRule="auto"/>
              <w:rPr>
                <w:rFonts w:ascii="仿宋_GB2312" w:eastAsia="仿宋_GB2312"/>
                <w:b/>
                <w:color w:val="auto"/>
                <w:sz w:val="32"/>
              </w:rPr>
            </w:pPr>
          </w:p>
          <w:p>
            <w:pPr>
              <w:rPr>
                <w:color w:val="auto"/>
              </w:rPr>
            </w:pPr>
          </w:p>
          <w:p>
            <w:pPr>
              <w:pStyle w:val="2"/>
              <w:tabs>
                <w:tab w:val="left" w:pos="562"/>
                <w:tab w:val="left" w:pos="3372"/>
                <w:tab w:val="left" w:pos="3653"/>
              </w:tabs>
              <w:spacing w:line="400" w:lineRule="exact"/>
              <w:ind w:firstLine="900" w:firstLineChars="320"/>
              <w:rPr>
                <w:rFonts w:ascii="仿宋_GB2312" w:eastAsia="仿宋_GB2312"/>
                <w:b/>
                <w:color w:val="auto"/>
                <w:sz w:val="28"/>
                <w:szCs w:val="28"/>
              </w:rPr>
            </w:pP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37" w:name="_Toc16724"/>
      <w:r>
        <w:rPr>
          <w:rFonts w:hint="eastAsia" w:ascii="宋体" w:hAnsi="宋体" w:cs="宋体"/>
          <w:b/>
          <w:color w:val="auto"/>
          <w:sz w:val="24"/>
        </w:rPr>
        <w:t>2、投标文件—目录</w:t>
      </w:r>
      <w:bookmarkEnd w:id="37"/>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6"/>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6"/>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投标人同类项目业绩及履约评价；</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师资力量；</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参与价格扣除的证明文件；</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供应商基本情况表、社保证明及股权关系证明；</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质量保障措施及方案；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9"/>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21"/>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投标价</w:t>
            </w:r>
          </w:p>
          <w:p>
            <w:pPr>
              <w:spacing w:after="60" w:line="360" w:lineRule="auto"/>
              <w:jc w:val="center"/>
              <w:rPr>
                <w:rFonts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auto"/>
                <w:sz w:val="24"/>
                <w:u w:val="single"/>
              </w:rPr>
            </w:pPr>
          </w:p>
        </w:tc>
        <w:tc>
          <w:tcPr>
            <w:tcW w:w="2896" w:type="dxa"/>
            <w:noWrap w:val="0"/>
            <w:vAlign w:val="center"/>
          </w:tcPr>
          <w:p>
            <w:pPr>
              <w:spacing w:line="360" w:lineRule="auto"/>
              <w:jc w:val="center"/>
              <w:rPr>
                <w:rFonts w:ascii="宋体" w:hAnsi="宋体" w:cs="宋体"/>
                <w:color w:val="auto"/>
                <w:sz w:val="24"/>
                <w:u w:val="single"/>
              </w:rPr>
            </w:pPr>
          </w:p>
        </w:tc>
        <w:tc>
          <w:tcPr>
            <w:tcW w:w="1318" w:type="dxa"/>
            <w:noWrap w:val="0"/>
            <w:vAlign w:val="center"/>
          </w:tcPr>
          <w:p>
            <w:pPr>
              <w:spacing w:line="360" w:lineRule="auto"/>
              <w:jc w:val="center"/>
              <w:rPr>
                <w:rFonts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rPr>
          <w:color w:val="auto"/>
        </w:rPr>
      </w:pPr>
    </w:p>
    <w:p>
      <w:pPr>
        <w:numPr>
          <w:ilvl w:val="0"/>
          <w:numId w:val="9"/>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0"/>
        <w:gridCol w:w="741"/>
        <w:gridCol w:w="747"/>
        <w:gridCol w:w="1124"/>
        <w:gridCol w:w="710"/>
        <w:gridCol w:w="773"/>
        <w:gridCol w:w="1236"/>
        <w:gridCol w:w="1388"/>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费用名目</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单价限价金额</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暂估人数</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单价报价（港币/人/天）</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换算人民币单价报价（元/人/天）</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在港部分</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培训费</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500港币/人/天</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天</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餐饮费</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500港币/人/天</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天</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公杂费</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00港币/人/天</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天</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住宿费</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1900</w:t>
            </w:r>
            <w:r>
              <w:rPr>
                <w:rFonts w:hint="eastAsia" w:ascii="宋体" w:hAnsi="宋体" w:eastAsia="宋体" w:cs="宋体"/>
                <w:i w:val="0"/>
                <w:iCs w:val="0"/>
                <w:color w:val="auto"/>
                <w:kern w:val="0"/>
                <w:sz w:val="24"/>
                <w:szCs w:val="24"/>
                <w:highlight w:val="none"/>
                <w:u w:val="none"/>
                <w:lang w:val="en-US" w:eastAsia="zh-CN" w:bidi="ar"/>
              </w:rPr>
              <w:t>港币/人/天</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天</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351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合计（元/人民币）</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费用名目</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单价限价金额</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暂估人数</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53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单价报价（人民币/人/天）</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内地部分</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境内</w:t>
            </w:r>
            <w:r>
              <w:rPr>
                <w:rFonts w:hint="eastAsia" w:ascii="宋体" w:hAnsi="宋体" w:eastAsia="宋体" w:cs="宋体"/>
                <w:i w:val="0"/>
                <w:iCs w:val="0"/>
                <w:color w:val="auto"/>
                <w:kern w:val="0"/>
                <w:sz w:val="24"/>
                <w:szCs w:val="24"/>
                <w:highlight w:val="none"/>
                <w:u w:val="none"/>
                <w:lang w:val="en-US" w:eastAsia="zh-CN" w:bidi="ar"/>
              </w:rPr>
              <w:t>预培训费用</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435元人民币/人/天（包含场地费、资料费、交通费、伙食费、午休费及其他费用，总额统筹使用）</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天</w:t>
            </w:r>
          </w:p>
        </w:tc>
        <w:tc>
          <w:tcPr>
            <w:tcW w:w="153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师资费</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1500元/课时</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课时</w:t>
            </w:r>
          </w:p>
        </w:tc>
        <w:tc>
          <w:tcPr>
            <w:tcW w:w="153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351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合计（元/人民币）</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394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投标报价（元/人民币）=在港部分合计+内地部分合计</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bl>
    <w:p>
      <w:pPr>
        <w:spacing w:line="40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r>
        <w:rPr>
          <w:rFonts w:hint="eastAsia" w:ascii="宋体" w:hAnsi="宋体" w:eastAsia="宋体" w:cs="宋体"/>
          <w:color w:val="auto"/>
          <w:kern w:val="0"/>
          <w:sz w:val="24"/>
          <w:szCs w:val="24"/>
          <w:highlight w:val="none"/>
          <w:lang w:val="en-US" w:eastAsia="zh-CN" w:bidi="ar-SA"/>
        </w:rPr>
        <w:t>涉及人民币与港币换算的，以</w:t>
      </w:r>
      <w:r>
        <w:rPr>
          <w:rFonts w:hint="eastAsia" w:ascii="宋体" w:hAnsi="宋体" w:cs="宋体"/>
          <w:color w:val="auto"/>
          <w:kern w:val="0"/>
          <w:sz w:val="24"/>
          <w:szCs w:val="24"/>
          <w:highlight w:val="none"/>
          <w:lang w:val="en-US" w:eastAsia="zh-CN" w:bidi="ar-SA"/>
        </w:rPr>
        <w:t>招标公告发布之日</w:t>
      </w:r>
      <w:r>
        <w:rPr>
          <w:rFonts w:hint="eastAsia" w:ascii="宋体" w:hAnsi="宋体" w:eastAsia="宋体" w:cs="宋体"/>
          <w:color w:val="auto"/>
          <w:kern w:val="0"/>
          <w:sz w:val="24"/>
          <w:szCs w:val="24"/>
          <w:highlight w:val="none"/>
          <w:lang w:val="en-US" w:eastAsia="zh-CN" w:bidi="ar-SA"/>
        </w:rPr>
        <w:t>中国银行第一次公布的人民币与港币换算汇率进行</w:t>
      </w:r>
      <w:r>
        <w:rPr>
          <w:rFonts w:hint="eastAsia" w:ascii="宋体" w:hAnsi="宋体" w:cs="宋体"/>
          <w:color w:val="auto"/>
          <w:kern w:val="0"/>
          <w:sz w:val="24"/>
          <w:szCs w:val="24"/>
          <w:highlight w:val="none"/>
          <w:lang w:val="en-US" w:eastAsia="zh-CN" w:bidi="ar-SA"/>
        </w:rPr>
        <w:t>换算，并</w:t>
      </w:r>
      <w:r>
        <w:rPr>
          <w:rFonts w:hint="eastAsia" w:ascii="宋体" w:hAnsi="宋体" w:cs="宋体"/>
          <w:b/>
          <w:bCs/>
          <w:color w:val="auto"/>
          <w:kern w:val="0"/>
          <w:sz w:val="24"/>
          <w:szCs w:val="24"/>
          <w:highlight w:val="none"/>
          <w:lang w:val="en-US" w:eastAsia="zh-CN" w:bidi="ar-SA"/>
        </w:rPr>
        <w:t>提供招标公告发布之日</w:t>
      </w:r>
      <w:r>
        <w:rPr>
          <w:rFonts w:hint="eastAsia" w:ascii="宋体" w:hAnsi="宋体" w:eastAsia="宋体" w:cs="宋体"/>
          <w:b/>
          <w:bCs/>
          <w:color w:val="auto"/>
          <w:kern w:val="0"/>
          <w:sz w:val="24"/>
          <w:szCs w:val="24"/>
          <w:highlight w:val="none"/>
          <w:lang w:val="en-US" w:eastAsia="zh-CN" w:bidi="ar-SA"/>
        </w:rPr>
        <w:t>中国银行第一次公布的人民币与港币换算汇率</w:t>
      </w:r>
      <w:r>
        <w:rPr>
          <w:rFonts w:hint="eastAsia" w:ascii="宋体" w:hAnsi="宋体" w:cs="宋体"/>
          <w:b/>
          <w:bCs/>
          <w:color w:val="auto"/>
          <w:kern w:val="0"/>
          <w:sz w:val="24"/>
          <w:szCs w:val="24"/>
          <w:highlight w:val="none"/>
          <w:lang w:val="en-US" w:eastAsia="zh-CN" w:bidi="ar-SA"/>
        </w:rPr>
        <w:t>查询截图</w:t>
      </w:r>
      <w:r>
        <w:rPr>
          <w:rFonts w:hint="eastAsia" w:ascii="宋体" w:hAnsi="宋体" w:eastAsia="宋体" w:cs="宋体"/>
          <w:color w:val="auto"/>
          <w:kern w:val="0"/>
          <w:sz w:val="24"/>
          <w:szCs w:val="24"/>
          <w:highlight w:val="none"/>
          <w:lang w:val="en-US" w:eastAsia="zh-CN" w:bidi="ar-SA"/>
        </w:rPr>
        <w:t>。</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一份正本四份副本以及1份PDF格式的正本投标文件扫描件的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hint="eastAsia"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2"/>
        <w:rPr>
          <w:color w:val="auto"/>
        </w:rPr>
      </w:pP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lang w:val="fr-CH"/>
        </w:rPr>
        <w:br w:type="page"/>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rPr>
        <w:t>。</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2、内容必须填写真实、清楚，涂改无效，不得转让、买卖</w:t>
      </w:r>
      <w:r>
        <w:rPr>
          <w:rFonts w:hint="eastAsia" w:ascii="宋体" w:hAnsi="宋体" w:cs="宋体"/>
          <w:color w:val="auto"/>
          <w:sz w:val="24"/>
          <w:lang w:eastAsia="zh-CN"/>
        </w:rPr>
        <w:t>。</w:t>
      </w:r>
      <w:bookmarkStart w:id="44" w:name="_GoBack"/>
      <w:bookmarkEnd w:id="44"/>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0"/>
              <w:spacing w:line="360" w:lineRule="auto"/>
              <w:rPr>
                <w:rFonts w:ascii="Arial Narrow" w:hAnsi="Arial Narrow"/>
                <w:b/>
                <w:bCs/>
                <w:color w:val="auto"/>
                <w:szCs w:val="21"/>
              </w:rPr>
            </w:pPr>
          </w:p>
        </w:tc>
        <w:tc>
          <w:tcPr>
            <w:tcW w:w="4240" w:type="dxa"/>
          </w:tcPr>
          <w:p>
            <w:pPr>
              <w:pStyle w:val="10"/>
              <w:spacing w:line="360" w:lineRule="auto"/>
              <w:rPr>
                <w:rFonts w:ascii="Arial Narrow" w:hAnsi="Arial Narrow"/>
                <w:b/>
                <w:bCs/>
                <w:color w:val="auto"/>
                <w:szCs w:val="21"/>
              </w:rPr>
            </w:pPr>
          </w:p>
        </w:tc>
      </w:tr>
    </w:tbl>
    <w:p>
      <w:pPr>
        <w:pStyle w:val="2"/>
        <w:spacing w:line="360" w:lineRule="auto"/>
        <w:rPr>
          <w:color w:val="auto"/>
          <w:lang w:val="fr-CH"/>
        </w:rPr>
      </w:pPr>
      <w:r>
        <w:rPr>
          <w:rFonts w:hint="eastAsia"/>
          <w:color w:val="auto"/>
          <w:sz w:val="21"/>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10"/>
        <w:spacing w:line="360" w:lineRule="auto"/>
        <w:jc w:val="center"/>
        <w:rPr>
          <w:rFonts w:hint="eastAsia" w:hAnsi="宋体" w:cs="宋体"/>
          <w:b/>
          <w:color w:val="auto"/>
          <w:sz w:val="24"/>
        </w:rPr>
      </w:pPr>
    </w:p>
    <w:p>
      <w:pPr>
        <w:pStyle w:val="10"/>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10"/>
        <w:spacing w:line="360" w:lineRule="auto"/>
        <w:rPr>
          <w:rFonts w:hint="eastAsia" w:hAnsi="宋体" w:cs="宋体"/>
          <w:color w:val="auto"/>
          <w:sz w:val="24"/>
        </w:rPr>
      </w:pPr>
    </w:p>
    <w:p>
      <w:pPr>
        <w:pStyle w:val="10"/>
        <w:spacing w:line="360" w:lineRule="auto"/>
        <w:rPr>
          <w:rFonts w:hint="eastAsia" w:hAnsi="宋体" w:cs="宋体"/>
          <w:color w:val="auto"/>
          <w:sz w:val="24"/>
        </w:rPr>
      </w:pPr>
      <w:r>
        <w:rPr>
          <w:rFonts w:hint="eastAsia" w:hAnsi="宋体" w:cs="宋体"/>
          <w:b/>
          <w:color w:val="auto"/>
          <w:sz w:val="24"/>
        </w:rPr>
        <w:t>深圳市前海深港现代服务业合作区管理局：</w:t>
      </w:r>
    </w:p>
    <w:p>
      <w:pPr>
        <w:pStyle w:val="10"/>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10"/>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color w:val="auto"/>
                <w:szCs w:val="21"/>
              </w:rPr>
            </w:pPr>
          </w:p>
        </w:tc>
        <w:tc>
          <w:tcPr>
            <w:tcW w:w="4677" w:type="dxa"/>
          </w:tcPr>
          <w:p>
            <w:pPr>
              <w:pStyle w:val="10"/>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color w:val="auto"/>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auto"/>
          <w:sz w:val="24"/>
          <w:lang w:val="fr-CH"/>
        </w:rPr>
        <w:br w:type="page"/>
      </w:r>
    </w:p>
    <w:p>
      <w:pPr>
        <w:numPr>
          <w:ilvl w:val="0"/>
          <w:numId w:val="10"/>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10"/>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10"/>
        <w:spacing w:line="360" w:lineRule="auto"/>
        <w:ind w:firstLine="420"/>
        <w:rPr>
          <w:rFonts w:hint="eastAsia" w:hAnsi="宋体" w:cs="宋体"/>
          <w:color w:val="auto"/>
          <w:sz w:val="24"/>
        </w:rPr>
      </w:pPr>
      <w:r>
        <w:rPr>
          <w:rFonts w:hint="eastAsia" w:hAnsi="宋体" w:cs="宋体"/>
          <w:color w:val="auto"/>
          <w:sz w:val="24"/>
        </w:rPr>
        <w:t>1．名称及概况：</w:t>
      </w:r>
    </w:p>
    <w:p>
      <w:pPr>
        <w:pStyle w:val="10"/>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10"/>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10"/>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10"/>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（6）开户</w:t>
      </w:r>
      <w:r>
        <w:rPr>
          <w:rFonts w:hint="eastAsia" w:hAnsi="宋体" w:cs="宋体"/>
          <w:color w:val="auto"/>
          <w:sz w:val="24"/>
          <w:lang w:val="en-US" w:eastAsia="zh-CN"/>
        </w:rPr>
        <w:t>账</w:t>
      </w:r>
      <w:r>
        <w:rPr>
          <w:rFonts w:hint="eastAsia" w:hAnsi="宋体" w:cs="宋体"/>
          <w:color w:val="auto"/>
          <w:sz w:val="24"/>
        </w:rPr>
        <w:t>号：___________________________________________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（8）项目主要联系人（姓名、职务、通讯）：</w:t>
      </w:r>
    </w:p>
    <w:p>
      <w:pPr>
        <w:pStyle w:val="10"/>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10"/>
        <w:spacing w:line="360" w:lineRule="auto"/>
        <w:ind w:firstLine="420"/>
        <w:rPr>
          <w:rFonts w:hint="eastAsia" w:hAnsi="宋体" w:cs="宋体"/>
          <w:color w:val="auto"/>
          <w:sz w:val="24"/>
        </w:rPr>
      </w:pPr>
      <w:r>
        <w:rPr>
          <w:rFonts w:hint="eastAsia" w:hAnsi="宋体" w:cs="宋体"/>
          <w:color w:val="auto"/>
          <w:sz w:val="24"/>
        </w:rPr>
        <w:t>（9）公司概况；</w:t>
      </w:r>
    </w:p>
    <w:p>
      <w:pPr>
        <w:pStyle w:val="10"/>
        <w:spacing w:line="360" w:lineRule="auto"/>
        <w:ind w:firstLine="420"/>
        <w:rPr>
          <w:rFonts w:hint="eastAsia" w:hAnsi="宋体" w:cs="宋体"/>
          <w:color w:val="auto"/>
          <w:sz w:val="24"/>
        </w:rPr>
      </w:pPr>
      <w:r>
        <w:rPr>
          <w:rFonts w:hint="eastAsia" w:hAnsi="宋体" w:cs="宋体"/>
          <w:color w:val="auto"/>
          <w:sz w:val="24"/>
        </w:rPr>
        <w:t>（10）公司组织机构；</w:t>
      </w:r>
    </w:p>
    <w:p>
      <w:pPr>
        <w:pStyle w:val="10"/>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color w:val="auto"/>
          <w:lang w:val="fr-CH"/>
        </w:rPr>
      </w:pPr>
    </w:p>
    <w:p>
      <w:pPr>
        <w:numPr>
          <w:ilvl w:val="0"/>
          <w:numId w:val="10"/>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投标人同类项目业绩及履约评价</w:t>
      </w:r>
      <w:r>
        <w:rPr>
          <w:rFonts w:hint="eastAsia" w:ascii="宋体" w:hAnsi="宋体" w:cs="宋体"/>
          <w:color w:val="auto"/>
          <w:sz w:val="24"/>
        </w:rPr>
        <w:t>；</w:t>
      </w:r>
    </w:p>
    <w:p>
      <w:pPr>
        <w:numPr>
          <w:ilvl w:val="0"/>
          <w:numId w:val="10"/>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师资力量</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10"/>
        <w:spacing w:line="360" w:lineRule="auto"/>
        <w:jc w:val="left"/>
        <w:rPr>
          <w:rFonts w:hint="eastAsia" w:hAnsi="宋体" w:cs="宋体"/>
          <w:color w:val="auto"/>
          <w:sz w:val="24"/>
        </w:rPr>
      </w:pPr>
    </w:p>
    <w:p>
      <w:pPr>
        <w:pStyle w:val="10"/>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2"/>
        <w:rPr>
          <w:color w:val="auto"/>
          <w:lang w:val="fr-CH"/>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政府采购违法行为风险知悉确认书</w:t>
      </w:r>
    </w:p>
    <w:p>
      <w:pPr>
        <w:spacing w:line="360" w:lineRule="auto"/>
        <w:ind w:left="420"/>
        <w:jc w:val="center"/>
        <w:outlineLvl w:val="3"/>
        <w:rPr>
          <w:rFonts w:ascii="宋体"/>
          <w:b/>
          <w:color w:val="auto"/>
          <w:sz w:val="24"/>
        </w:rPr>
      </w:pPr>
      <w:r>
        <w:rPr>
          <w:rFonts w:hint="eastAsia" w:ascii="宋体"/>
          <w:b/>
          <w:color w:val="auto"/>
          <w:sz w:val="24"/>
        </w:rPr>
        <w:t>政府采购违法行为风险知悉确认书</w:t>
      </w:r>
    </w:p>
    <w:p>
      <w:pPr>
        <w:autoSpaceDE w:val="0"/>
        <w:autoSpaceDN w:val="0"/>
        <w:adjustRightInd w:val="0"/>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auto"/>
                <w:sz w:val="24"/>
              </w:rPr>
            </w:pPr>
            <w:bookmarkStart w:id="38" w:name="OLE_LINK6"/>
            <w:r>
              <w:rPr>
                <w:rFonts w:hint="eastAsia" w:ascii="宋体" w:hAnsi="宋体" w:cs="宋体"/>
                <w:b/>
                <w:bCs/>
                <w:color w:val="auto"/>
                <w:sz w:val="24"/>
              </w:rPr>
              <w:t>序号</w:t>
            </w:r>
          </w:p>
        </w:tc>
        <w:tc>
          <w:tcPr>
            <w:tcW w:w="7607" w:type="dxa"/>
            <w:vAlign w:val="center"/>
          </w:tcPr>
          <w:p>
            <w:pPr>
              <w:jc w:val="center"/>
              <w:rPr>
                <w:rFonts w:hint="eastAsia" w:ascii="宋体" w:hAnsi="宋体" w:cs="宋体"/>
                <w:b/>
                <w:bCs/>
                <w:color w:val="auto"/>
                <w:sz w:val="24"/>
              </w:rPr>
            </w:pPr>
            <w:r>
              <w:rPr>
                <w:rFonts w:hint="eastAsia" w:ascii="宋体" w:hAnsi="宋体" w:cs="宋体"/>
                <w:b/>
                <w:bCs/>
                <w:color w:val="auto"/>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与其他投标供应商的法定代表人、主要经营负责人、投标授权代表人、项目负责人、主要技术人员为</w:t>
            </w:r>
            <w:r>
              <w:rPr>
                <w:rFonts w:hint="eastAsia" w:ascii="宋体" w:hAnsi="宋体" w:cs="宋体"/>
                <w:b/>
                <w:bCs/>
                <w:color w:val="auto"/>
                <w:sz w:val="24"/>
              </w:rPr>
              <w:t>同一人、属同一单位或者在同一单位缴纳社会保险</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参与本项目政府采购活动时，与其他投标供应商存在单位负责人为</w:t>
            </w:r>
            <w:r>
              <w:rPr>
                <w:rFonts w:hint="eastAsia" w:ascii="宋体" w:hAnsi="宋体" w:cs="宋体"/>
                <w:b/>
                <w:bCs/>
                <w:color w:val="auto"/>
                <w:sz w:val="24"/>
              </w:rPr>
              <w:t>同一人或直接控股、管理关系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与其他投标供应商的投标文件或部分投标文件</w:t>
            </w:r>
            <w:r>
              <w:rPr>
                <w:rFonts w:hint="eastAsia" w:ascii="宋体" w:hAnsi="宋体" w:cs="宋体"/>
                <w:b/>
                <w:bCs/>
                <w:color w:val="auto"/>
                <w:sz w:val="24"/>
              </w:rPr>
              <w:t>相互混装或存在非正常一致</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与其他投标供应商的投标文件由</w:t>
            </w:r>
            <w:r>
              <w:rPr>
                <w:rFonts w:hint="eastAsia" w:ascii="宋体" w:hAnsi="宋体" w:cs="宋体"/>
                <w:b/>
                <w:bCs/>
                <w:color w:val="auto"/>
                <w:sz w:val="24"/>
              </w:rPr>
              <w:t>同一单位或者同一人编制</w:t>
            </w:r>
            <w:r>
              <w:rPr>
                <w:rFonts w:hint="eastAsia" w:ascii="宋体" w:hAnsi="宋体" w:cs="宋体"/>
                <w:color w:val="auto"/>
                <w:sz w:val="24"/>
              </w:rPr>
              <w:t>，或者使用</w:t>
            </w:r>
            <w:r>
              <w:rPr>
                <w:rFonts w:hint="eastAsia" w:ascii="宋体" w:hAnsi="宋体" w:cs="宋体"/>
                <w:b/>
                <w:bCs/>
                <w:color w:val="auto"/>
                <w:sz w:val="24"/>
              </w:rPr>
              <w:t>同一设备编制</w:t>
            </w:r>
            <w:r>
              <w:rPr>
                <w:rFonts w:hint="eastAsia" w:ascii="宋体" w:hAnsi="宋体" w:cs="宋体"/>
                <w:color w:val="auto"/>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提供</w:t>
            </w:r>
            <w:r>
              <w:rPr>
                <w:rFonts w:hint="eastAsia" w:ascii="宋体" w:hAnsi="宋体" w:cs="宋体"/>
                <w:b/>
                <w:bCs/>
                <w:color w:val="auto"/>
                <w:sz w:val="24"/>
              </w:rPr>
              <w:t>未经出具机构核实</w:t>
            </w:r>
            <w:r>
              <w:rPr>
                <w:rFonts w:hint="eastAsia" w:ascii="宋体" w:hAnsi="宋体" w:cs="宋体"/>
                <w:color w:val="auto"/>
                <w:sz w:val="24"/>
              </w:rPr>
              <w:t>的虚假的检验检测报告、业绩材料、社保缴纳证明、学历学位证书、职称认证证书等材料。</w:t>
            </w:r>
          </w:p>
        </w:tc>
      </w:tr>
      <w:bookmarkEnd w:id="38"/>
    </w:tbl>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以下文字请投标供应商</w:t>
      </w:r>
      <w:r>
        <w:rPr>
          <w:rFonts w:hint="eastAsia" w:ascii="宋体" w:hAnsi="宋体" w:cs="仿宋_GB2312"/>
          <w:b/>
          <w:bCs/>
          <w:color w:val="auto"/>
          <w:kern w:val="0"/>
          <w:sz w:val="24"/>
        </w:rPr>
        <w:t>抄写并确认</w:t>
      </w:r>
      <w:r>
        <w:rPr>
          <w:rFonts w:hint="eastAsia" w:ascii="宋体" w:hAnsi="宋体" w:cs="仿宋_GB2312"/>
          <w:color w:val="auto"/>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3840" w:firstLineChars="1600"/>
        <w:jc w:val="left"/>
        <w:rPr>
          <w:rFonts w:hint="eastAsia" w:ascii="宋体" w:hAnsi="宋体" w:cs="仿宋_GB2312"/>
          <w:color w:val="auto"/>
          <w:kern w:val="0"/>
          <w:sz w:val="24"/>
          <w:u w:val="single"/>
        </w:rPr>
      </w:pPr>
      <w:r>
        <w:rPr>
          <w:rFonts w:hint="eastAsia" w:ascii="宋体" w:hAnsi="宋体" w:cs="仿宋_GB2312"/>
          <w:color w:val="auto"/>
          <w:kern w:val="0"/>
          <w:sz w:val="24"/>
        </w:rPr>
        <w:t>负责人</w:t>
      </w:r>
      <w:r>
        <w:rPr>
          <w:rFonts w:ascii="宋体" w:hAnsi="宋体" w:cs="仿宋_GB2312"/>
          <w:color w:val="auto"/>
          <w:kern w:val="0"/>
          <w:sz w:val="24"/>
        </w:rPr>
        <w:t>/</w:t>
      </w:r>
      <w:r>
        <w:rPr>
          <w:rFonts w:hint="eastAsia" w:ascii="宋体" w:hAnsi="宋体" w:cs="仿宋_GB2312"/>
          <w:color w:val="auto"/>
          <w:kern w:val="0"/>
          <w:sz w:val="24"/>
        </w:rPr>
        <w:t>投标授权代表签名：</w:t>
      </w:r>
      <w:r>
        <w:rPr>
          <w:rFonts w:hint="eastAsia" w:ascii="宋体" w:hAnsi="宋体" w:cs="仿宋_GB2312"/>
          <w:color w:val="auto"/>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color w:val="auto"/>
          <w:kern w:val="0"/>
          <w:sz w:val="24"/>
        </w:rPr>
      </w:pPr>
      <w:r>
        <w:rPr>
          <w:rFonts w:hint="eastAsia" w:ascii="宋体" w:hAnsi="宋体" w:cs="仿宋_GB2312"/>
          <w:color w:val="auto"/>
          <w:kern w:val="0"/>
          <w:sz w:val="24"/>
        </w:rPr>
        <w:t>知悉人（公章）：</w:t>
      </w:r>
    </w:p>
    <w:p>
      <w:pPr>
        <w:spacing w:line="360" w:lineRule="auto"/>
        <w:jc w:val="right"/>
        <w:rPr>
          <w:rFonts w:hint="eastAsia" w:ascii="宋体" w:hAnsi="宋体" w:cs="宋体"/>
          <w:color w:val="auto"/>
          <w:sz w:val="24"/>
        </w:rPr>
      </w:pPr>
      <w:r>
        <w:rPr>
          <w:rFonts w:hint="eastAsia" w:ascii="宋体" w:hAnsi="宋体" w:cs="仿宋_GB2312"/>
          <w:color w:val="auto"/>
          <w:kern w:val="0"/>
          <w:sz w:val="24"/>
        </w:rPr>
        <w:t>日期： 202  年   月   日</w:t>
      </w:r>
      <w:r>
        <w:rPr>
          <w:rFonts w:hint="eastAsia" w:ascii="宋体" w:hAnsi="宋体" w:cs="宋体"/>
          <w:color w:val="auto"/>
          <w:sz w:val="24"/>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Cs w:val="21"/>
        </w:rPr>
      </w:pPr>
      <w:r>
        <w:rPr>
          <w:rFonts w:hint="eastAsia" w:ascii="宋体" w:hAnsi="宋体" w:cs="宋体"/>
          <w:color w:val="auto"/>
          <w:szCs w:val="21"/>
        </w:rPr>
        <w:t>参与价格扣除的证明文件</w:t>
      </w:r>
    </w:p>
    <w:p>
      <w:pPr>
        <w:keepNext/>
        <w:keepLines/>
        <w:jc w:val="center"/>
        <w:outlineLvl w:val="4"/>
        <w:rPr>
          <w:rFonts w:hint="eastAsia" w:ascii="宋体" w:hAnsi="宋体" w:cs="宋体"/>
          <w:bCs/>
          <w:color w:val="auto"/>
          <w:kern w:val="44"/>
          <w:sz w:val="24"/>
        </w:rPr>
      </w:pPr>
      <w:bookmarkStart w:id="39" w:name="OLE_LINK59"/>
      <w:r>
        <w:rPr>
          <w:rFonts w:hint="eastAsia" w:ascii="宋体" w:hAnsi="宋体" w:cs="宋体"/>
          <w:b/>
          <w:bCs/>
          <w:color w:val="auto"/>
          <w:sz w:val="24"/>
        </w:rPr>
        <w:t>①中小企业声明函（工程、服务）</w:t>
      </w:r>
    </w:p>
    <w:p>
      <w:pPr>
        <w:widowControl/>
        <w:ind w:firstLine="480" w:firstLineChars="200"/>
        <w:textAlignment w:val="baseline"/>
        <w:rPr>
          <w:rFonts w:hint="eastAsia" w:ascii="宋体" w:hAnsi="宋体" w:cs="宋体"/>
          <w:color w:val="auto"/>
          <w:sz w:val="24"/>
        </w:rPr>
      </w:pP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auto"/>
          <w:sz w:val="24"/>
        </w:rPr>
      </w:pPr>
      <w:r>
        <w:rPr>
          <w:rFonts w:hint="eastAsia" w:ascii="宋体" w:hAnsi="宋体" w:cs="宋体"/>
          <w:b/>
          <w:bCs/>
          <w:color w:val="auto"/>
          <w:sz w:val="24"/>
        </w:rPr>
        <w:t>企业名称（盖章）</w:t>
      </w:r>
    </w:p>
    <w:p>
      <w:pPr>
        <w:widowControl/>
        <w:ind w:firstLine="482" w:firstLineChars="200"/>
        <w:jc w:val="right"/>
        <w:textAlignment w:val="baseline"/>
        <w:rPr>
          <w:rFonts w:hint="eastAsia" w:ascii="宋体" w:hAnsi="宋体" w:cs="宋体"/>
          <w:b/>
          <w:bCs/>
          <w:color w:val="auto"/>
          <w:sz w:val="24"/>
        </w:rPr>
      </w:pPr>
      <w:r>
        <w:rPr>
          <w:rFonts w:hint="eastAsia" w:ascii="宋体" w:hAnsi="宋体" w:cs="宋体"/>
          <w:b/>
          <w:bCs/>
          <w:color w:val="auto"/>
          <w:sz w:val="24"/>
        </w:rPr>
        <w:t>日期：</w:t>
      </w:r>
    </w:p>
    <w:p>
      <w:pPr>
        <w:widowControl/>
        <w:ind w:firstLine="480" w:firstLineChars="200"/>
        <w:textAlignment w:val="baseline"/>
        <w:rPr>
          <w:rFonts w:hint="eastAsia" w:ascii="宋体" w:hAnsi="宋体" w:cs="宋体"/>
          <w:color w:val="auto"/>
          <w:sz w:val="24"/>
        </w:rPr>
      </w:pPr>
    </w:p>
    <w:p>
      <w:pPr>
        <w:widowControl/>
        <w:ind w:firstLine="480" w:firstLineChars="200"/>
        <w:textAlignment w:val="baseline"/>
        <w:rPr>
          <w:rFonts w:hint="eastAsia" w:ascii="宋体" w:hAnsi="宋体" w:cs="宋体"/>
          <w:color w:val="auto"/>
          <w:sz w:val="24"/>
        </w:rPr>
      </w:pPr>
    </w:p>
    <w:p>
      <w:pPr>
        <w:jc w:val="left"/>
        <w:rPr>
          <w:rFonts w:hint="eastAsia" w:ascii="宋体" w:hAnsi="宋体" w:cs="宋体"/>
          <w:b/>
          <w:bCs/>
          <w:color w:val="auto"/>
          <w:sz w:val="24"/>
        </w:rPr>
      </w:pPr>
      <w:r>
        <w:rPr>
          <w:rFonts w:hint="eastAsia" w:ascii="宋体" w:hAnsi="宋体" w:cs="宋体"/>
          <w:b/>
          <w:bCs/>
          <w:color w:val="auto"/>
          <w:sz w:val="24"/>
        </w:rPr>
        <w:t>注意事项：</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1.从业人员、营业收入、资产总额填报上一年度数据，无上一年度数据的新成立企业可不填报；</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4.相关承接/承建企业的所属行业应当与采购标的所属行业（采购文件中明确的行业）相一致。</w:t>
      </w:r>
    </w:p>
    <w:p>
      <w:pPr>
        <w:ind w:firstLine="480" w:firstLineChars="200"/>
        <w:rPr>
          <w:rFonts w:hint="eastAsia" w:ascii="宋体" w:hAnsi="宋体" w:cs="宋体"/>
          <w:b/>
          <w:color w:val="auto"/>
          <w:sz w:val="24"/>
        </w:rPr>
      </w:pPr>
      <w:r>
        <w:rPr>
          <w:rFonts w:hint="eastAsia" w:ascii="宋体" w:hAnsi="宋体" w:cs="宋体"/>
          <w:color w:val="auto"/>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附：中小企业划型标准规定</w:t>
      </w:r>
    </w:p>
    <w:p>
      <w:pPr>
        <w:rPr>
          <w:rFonts w:hint="eastAsia" w:ascii="宋体" w:hAnsi="宋体" w:cs="宋体"/>
          <w:color w:val="auto"/>
          <w:sz w:val="24"/>
        </w:rPr>
      </w:pPr>
    </w:p>
    <w:p>
      <w:pPr>
        <w:ind w:firstLine="480" w:firstLineChars="200"/>
        <w:rPr>
          <w:rFonts w:hint="eastAsia" w:ascii="宋体" w:hAnsi="宋体" w:cs="宋体"/>
          <w:color w:val="auto"/>
          <w:sz w:val="24"/>
        </w:rPr>
      </w:pPr>
      <w:r>
        <w:rPr>
          <w:rFonts w:hint="eastAsia" w:ascii="宋体" w:hAnsi="宋体" w:cs="宋体"/>
          <w:color w:val="auto"/>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②残疾人福利性单位声明函（样表）</w:t>
      </w:r>
    </w:p>
    <w:p>
      <w:pPr>
        <w:spacing w:line="620" w:lineRule="exact"/>
        <w:ind w:firstLine="480" w:firstLineChars="200"/>
        <w:rPr>
          <w:rFonts w:hint="eastAsia" w:ascii="宋体" w:hAnsi="宋体" w:cs="宋体"/>
          <w:color w:val="auto"/>
          <w:spacing w:val="6"/>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rPr>
        <w:t>单位参加</w:t>
      </w:r>
      <w:r>
        <w:rPr>
          <w:rFonts w:hint="eastAsia" w:ascii="宋体" w:hAnsi="宋体" w:cs="宋体"/>
          <w:color w:val="auto"/>
          <w:spacing w:val="6"/>
          <w:sz w:val="24"/>
          <w:u w:val="single"/>
        </w:rPr>
        <w:t xml:space="preserve"> （采购单位名称）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（采购项目名称） </w:t>
      </w:r>
      <w:r>
        <w:rPr>
          <w:rFonts w:hint="eastAsia" w:ascii="宋体" w:hAnsi="宋体" w:cs="宋体"/>
          <w:color w:val="auto"/>
          <w:spacing w:val="6"/>
          <w:sz w:val="24"/>
        </w:rPr>
        <w:t>项目</w:t>
      </w:r>
      <w:r>
        <w:rPr>
          <w:rFonts w:hint="eastAsia" w:ascii="宋体" w:hAnsi="宋体" w:cs="宋体"/>
          <w:color w:val="auto"/>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620" w:lineRule="exact"/>
        <w:ind w:firstLine="504" w:firstLineChars="200"/>
        <w:rPr>
          <w:rFonts w:hint="eastAsia" w:ascii="宋体" w:hAnsi="宋体" w:cs="宋体"/>
          <w:color w:val="auto"/>
          <w:spacing w:val="6"/>
          <w:sz w:val="24"/>
        </w:rPr>
      </w:pPr>
    </w:p>
    <w:p>
      <w:pPr>
        <w:spacing w:line="620" w:lineRule="exact"/>
        <w:ind w:firstLine="504" w:firstLineChars="200"/>
        <w:rPr>
          <w:rFonts w:hint="eastAsia" w:ascii="宋体" w:hAnsi="宋体" w:cs="宋体"/>
          <w:color w:val="auto"/>
          <w:spacing w:val="6"/>
          <w:sz w:val="24"/>
        </w:rPr>
      </w:pPr>
    </w:p>
    <w:p>
      <w:pPr>
        <w:tabs>
          <w:tab w:val="left" w:pos="4860"/>
        </w:tabs>
        <w:spacing w:line="620"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620" w:lineRule="exact"/>
        <w:ind w:right="1560" w:firstLine="504" w:firstLineChars="200"/>
        <w:jc w:val="center"/>
        <w:rPr>
          <w:rStyle w:val="44"/>
          <w:rFonts w:hint="eastAsia" w:ascii="宋体" w:hAnsi="宋体" w:cs="宋体"/>
          <w:color w:val="auto"/>
          <w:sz w:val="24"/>
        </w:rPr>
      </w:pPr>
      <w:r>
        <w:rPr>
          <w:rFonts w:hint="eastAsia" w:ascii="宋体" w:hAnsi="宋体" w:cs="宋体"/>
          <w:color w:val="auto"/>
          <w:spacing w:val="6"/>
          <w:sz w:val="24"/>
        </w:rPr>
        <w:t xml:space="preserve">                        日  期：</w:t>
      </w:r>
    </w:p>
    <w:p>
      <w:pPr>
        <w:snapToGrid w:val="0"/>
        <w:spacing w:line="360" w:lineRule="auto"/>
        <w:ind w:firstLine="480" w:firstLineChars="200"/>
        <w:jc w:val="left"/>
        <w:textAlignment w:val="baseline"/>
        <w:rPr>
          <w:rStyle w:val="44"/>
          <w:rFonts w:hint="eastAsia" w:ascii="宋体" w:hAnsi="宋体" w:cs="宋体"/>
          <w:color w:val="auto"/>
          <w:sz w:val="24"/>
        </w:rPr>
      </w:pPr>
    </w:p>
    <w:p>
      <w:pPr>
        <w:snapToGrid w:val="0"/>
        <w:spacing w:line="360" w:lineRule="auto"/>
        <w:ind w:firstLine="482" w:firstLineChars="200"/>
        <w:jc w:val="left"/>
        <w:textAlignment w:val="baseline"/>
        <w:rPr>
          <w:rStyle w:val="44"/>
          <w:rFonts w:hint="eastAsia" w:ascii="宋体" w:hAnsi="宋体" w:cs="宋体"/>
          <w:b/>
          <w:color w:val="auto"/>
          <w:sz w:val="24"/>
        </w:rPr>
      </w:pPr>
      <w:r>
        <w:rPr>
          <w:rStyle w:val="44"/>
          <w:rFonts w:hint="eastAsia" w:ascii="宋体" w:hAnsi="宋体" w:cs="宋体"/>
          <w:b/>
          <w:color w:val="auto"/>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44"/>
          <w:rFonts w:hint="eastAsia" w:ascii="宋体" w:hAnsi="宋体" w:cs="宋体"/>
          <w:b/>
          <w:color w:val="auto"/>
          <w:sz w:val="24"/>
        </w:rPr>
      </w:pPr>
      <w:r>
        <w:rPr>
          <w:rStyle w:val="44"/>
          <w:rFonts w:hint="eastAsia" w:ascii="宋体" w:hAnsi="宋体" w:cs="宋体"/>
          <w:b/>
          <w:color w:val="auto"/>
          <w:sz w:val="24"/>
        </w:rPr>
        <w:br w:type="page"/>
      </w:r>
      <w:r>
        <w:rPr>
          <w:rStyle w:val="44"/>
          <w:rFonts w:hint="eastAsia" w:ascii="宋体" w:hAnsi="宋体" w:cs="宋体"/>
          <w:b/>
          <w:color w:val="auto"/>
          <w:sz w:val="24"/>
        </w:rPr>
        <w:t>③监狱企业声明函</w:t>
      </w:r>
    </w:p>
    <w:p>
      <w:pPr>
        <w:snapToGrid w:val="0"/>
        <w:spacing w:line="620" w:lineRule="exact"/>
        <w:ind w:firstLine="504" w:firstLineChars="200"/>
        <w:textAlignment w:val="baseline"/>
        <w:rPr>
          <w:rStyle w:val="44"/>
          <w:rFonts w:hint="eastAsia" w:ascii="宋体" w:hAnsi="宋体" w:cs="宋体"/>
          <w:color w:val="auto"/>
          <w:spacing w:val="6"/>
          <w:sz w:val="24"/>
        </w:rPr>
      </w:pPr>
      <w:r>
        <w:rPr>
          <w:rStyle w:val="44"/>
          <w:rFonts w:hint="eastAsia" w:ascii="宋体" w:hAnsi="宋体" w:cs="宋体"/>
          <w:color w:val="auto"/>
          <w:spacing w:val="6"/>
          <w:sz w:val="24"/>
        </w:rPr>
        <w:t>本单位郑重声明，根据《财政部司法部关于政府采购支持监狱企业发展有关问题的通知》（财库〔2014〕68号）的规定，本单位为符合条件的监狱企业，且本单位参加</w:t>
      </w:r>
      <w:r>
        <w:rPr>
          <w:rStyle w:val="44"/>
          <w:rFonts w:hint="eastAsia" w:ascii="宋体" w:hAnsi="宋体" w:cs="宋体"/>
          <w:color w:val="auto"/>
          <w:spacing w:val="6"/>
          <w:sz w:val="24"/>
          <w:u w:val="single"/>
        </w:rPr>
        <w:t xml:space="preserve"> （采购单位名称） </w:t>
      </w:r>
      <w:r>
        <w:rPr>
          <w:rStyle w:val="44"/>
          <w:rFonts w:hint="eastAsia" w:ascii="宋体" w:hAnsi="宋体" w:cs="宋体"/>
          <w:color w:val="auto"/>
          <w:spacing w:val="6"/>
          <w:sz w:val="24"/>
        </w:rPr>
        <w:t>单位的</w:t>
      </w:r>
      <w:r>
        <w:rPr>
          <w:rStyle w:val="44"/>
          <w:rFonts w:hint="eastAsia" w:ascii="宋体" w:hAnsi="宋体" w:cs="宋体"/>
          <w:color w:val="auto"/>
          <w:spacing w:val="6"/>
          <w:sz w:val="24"/>
          <w:u w:val="single"/>
        </w:rPr>
        <w:t xml:space="preserve"> （采购项目名称） </w:t>
      </w:r>
      <w:r>
        <w:rPr>
          <w:rStyle w:val="44"/>
          <w:rFonts w:hint="eastAsia" w:ascii="宋体" w:hAnsi="宋体" w:cs="宋体"/>
          <w:color w:val="auto"/>
          <w:spacing w:val="6"/>
          <w:sz w:val="24"/>
        </w:rPr>
        <w:t>项目采购</w:t>
      </w:r>
      <w:r>
        <w:rPr>
          <w:rStyle w:val="44"/>
          <w:rFonts w:hint="eastAsia" w:ascii="宋体" w:hAnsi="宋体" w:cs="宋体"/>
          <w:color w:val="auto"/>
          <w:kern w:val="0"/>
          <w:sz w:val="24"/>
        </w:rPr>
        <w:t>活动，并提供：□本单位制造的货物；□由本单位承担的工程、提供服务；□提供其他监狱企业制造的货物（承诺人在□处打√）</w:t>
      </w:r>
      <w:r>
        <w:rPr>
          <w:rStyle w:val="44"/>
          <w:rFonts w:hint="eastAsia" w:ascii="宋体" w:hAnsi="宋体" w:cs="宋体"/>
          <w:color w:val="auto"/>
          <w:spacing w:val="6"/>
          <w:sz w:val="24"/>
        </w:rPr>
        <w:t>。</w:t>
      </w:r>
      <w:r>
        <w:rPr>
          <w:rStyle w:val="44"/>
          <w:rFonts w:hint="eastAsia" w:ascii="宋体" w:hAnsi="宋体" w:cs="宋体"/>
          <w:color w:val="auto"/>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44"/>
          <w:rFonts w:hint="eastAsia" w:ascii="宋体" w:hAnsi="宋体" w:cs="宋体"/>
          <w:color w:val="auto"/>
          <w:spacing w:val="6"/>
          <w:sz w:val="24"/>
        </w:rPr>
      </w:pPr>
      <w:r>
        <w:rPr>
          <w:rStyle w:val="44"/>
          <w:rFonts w:hint="eastAsia" w:ascii="宋体" w:hAnsi="宋体" w:cs="宋体"/>
          <w:color w:val="auto"/>
          <w:spacing w:val="6"/>
          <w:sz w:val="24"/>
        </w:rPr>
        <w:t>本单位对上述声明的真实性负责。如有虚假，将依法承担相应责任。</w:t>
      </w:r>
    </w:p>
    <w:p>
      <w:pPr>
        <w:snapToGrid w:val="0"/>
        <w:spacing w:line="620" w:lineRule="exact"/>
        <w:ind w:firstLine="504" w:firstLineChars="200"/>
        <w:textAlignment w:val="baseline"/>
        <w:rPr>
          <w:rStyle w:val="44"/>
          <w:rFonts w:hint="eastAsia" w:ascii="宋体" w:hAnsi="宋体" w:cs="宋体"/>
          <w:color w:val="auto"/>
          <w:spacing w:val="6"/>
          <w:sz w:val="24"/>
        </w:rPr>
      </w:pPr>
      <w:r>
        <w:rPr>
          <w:rStyle w:val="44"/>
          <w:rFonts w:hint="eastAsia" w:ascii="宋体" w:hAnsi="宋体" w:cs="宋体"/>
          <w:color w:val="auto"/>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44"/>
          <w:rFonts w:hint="eastAsia" w:ascii="宋体" w:hAnsi="宋体" w:cs="宋体"/>
          <w:color w:val="auto"/>
          <w:spacing w:val="6"/>
          <w:sz w:val="24"/>
        </w:rPr>
      </w:pPr>
    </w:p>
    <w:p>
      <w:pPr>
        <w:snapToGrid w:val="0"/>
        <w:spacing w:line="620" w:lineRule="exact"/>
        <w:ind w:firstLine="504" w:firstLineChars="200"/>
        <w:textAlignment w:val="baseline"/>
        <w:rPr>
          <w:rStyle w:val="44"/>
          <w:rFonts w:hint="eastAsia" w:ascii="宋体" w:hAnsi="宋体" w:cs="宋体"/>
          <w:color w:val="auto"/>
          <w:spacing w:val="6"/>
          <w:sz w:val="24"/>
        </w:rPr>
      </w:pPr>
    </w:p>
    <w:p>
      <w:pPr>
        <w:tabs>
          <w:tab w:val="left" w:pos="4860"/>
        </w:tabs>
        <w:snapToGrid w:val="0"/>
        <w:spacing w:line="620" w:lineRule="exact"/>
        <w:ind w:right="1560" w:firstLine="504" w:firstLineChars="200"/>
        <w:jc w:val="center"/>
        <w:textAlignment w:val="baseline"/>
        <w:rPr>
          <w:rStyle w:val="44"/>
          <w:rFonts w:hint="eastAsia" w:ascii="宋体" w:hAnsi="宋体" w:cs="宋体"/>
          <w:color w:val="auto"/>
          <w:spacing w:val="6"/>
          <w:sz w:val="24"/>
        </w:rPr>
      </w:pPr>
      <w:r>
        <w:rPr>
          <w:rStyle w:val="44"/>
          <w:rFonts w:hint="eastAsia" w:ascii="宋体" w:hAnsi="宋体" w:cs="宋体"/>
          <w:color w:val="auto"/>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color w:val="auto"/>
          <w:spacing w:val="6"/>
          <w:szCs w:val="21"/>
        </w:rPr>
      </w:pPr>
      <w:r>
        <w:rPr>
          <w:rStyle w:val="44"/>
          <w:rFonts w:hint="eastAsia" w:ascii="宋体" w:hAnsi="宋体" w:cs="宋体"/>
          <w:color w:val="auto"/>
          <w:spacing w:val="6"/>
          <w:sz w:val="24"/>
        </w:rPr>
        <w:t xml:space="preserve">                          日  期</w:t>
      </w:r>
      <w:r>
        <w:rPr>
          <w:rFonts w:hint="eastAsia" w:ascii="宋体" w:hAnsi="宋体" w:cs="宋体"/>
          <w:color w:val="auto"/>
          <w:spacing w:val="6"/>
          <w:sz w:val="24"/>
        </w:rPr>
        <w:t>：</w:t>
      </w:r>
      <w:bookmarkEnd w:id="39"/>
    </w:p>
    <w:p>
      <w:pPr>
        <w:pStyle w:val="4"/>
        <w:rPr>
          <w:rFonts w:hint="eastAsia" w:ascii="宋体" w:cs="宋体"/>
          <w:color w:val="auto"/>
          <w:spacing w:val="6"/>
          <w:sz w:val="21"/>
        </w:rPr>
      </w:pPr>
    </w:p>
    <w:p>
      <w:pPr>
        <w:rPr>
          <w:rFonts w:hint="eastAsia" w:ascii="宋体" w:hAnsi="宋体" w:cs="宋体"/>
          <w:color w:val="auto"/>
          <w:spacing w:val="6"/>
          <w:szCs w:val="21"/>
        </w:rPr>
      </w:pPr>
    </w:p>
    <w:p>
      <w:pPr>
        <w:pStyle w:val="4"/>
        <w:rPr>
          <w:rFonts w:hint="eastAsia" w:ascii="宋体" w:cs="宋体"/>
          <w:color w:val="auto"/>
          <w:spacing w:val="6"/>
          <w:sz w:val="21"/>
        </w:rPr>
      </w:pPr>
    </w:p>
    <w:p>
      <w:pPr>
        <w:rPr>
          <w:rFonts w:hint="eastAsia" w:ascii="宋体" w:hAnsi="宋体" w:cs="宋体"/>
          <w:color w:val="auto"/>
          <w:spacing w:val="6"/>
          <w:szCs w:val="21"/>
        </w:rPr>
      </w:pPr>
    </w:p>
    <w:p>
      <w:pPr>
        <w:pStyle w:val="4"/>
        <w:rPr>
          <w:rFonts w:hint="eastAsia" w:ascii="宋体" w:cs="宋体"/>
          <w:color w:val="auto"/>
          <w:spacing w:val="6"/>
          <w:sz w:val="21"/>
        </w:rPr>
      </w:pPr>
    </w:p>
    <w:p>
      <w:pPr>
        <w:rPr>
          <w:rFonts w:hint="eastAsia" w:ascii="宋体" w:hAnsi="宋体" w:cs="宋体"/>
          <w:color w:val="auto"/>
          <w:spacing w:val="6"/>
          <w:szCs w:val="21"/>
        </w:rPr>
      </w:pPr>
    </w:p>
    <w:p>
      <w:pPr>
        <w:pStyle w:val="4"/>
        <w:rPr>
          <w:rFonts w:hint="eastAsia" w:ascii="宋体" w:cs="宋体"/>
          <w:color w:val="auto"/>
          <w:spacing w:val="6"/>
          <w:sz w:val="21"/>
        </w:rPr>
      </w:pPr>
    </w:p>
    <w:p>
      <w:pPr>
        <w:rPr>
          <w:rFonts w:hint="eastAsia" w:ascii="宋体" w:hAnsi="宋体" w:cs="宋体"/>
          <w:color w:val="auto"/>
          <w:spacing w:val="6"/>
          <w:szCs w:val="21"/>
        </w:rPr>
      </w:pPr>
    </w:p>
    <w:p>
      <w:pPr>
        <w:pStyle w:val="4"/>
        <w:rPr>
          <w:rFonts w:hint="eastAsia"/>
          <w:color w:val="auto"/>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b/>
          <w:bCs/>
          <w:color w:val="auto"/>
          <w:sz w:val="24"/>
        </w:rPr>
      </w:pPr>
      <w:r>
        <w:rPr>
          <w:rFonts w:hint="eastAsia" w:ascii="宋体" w:hAnsi="宋体" w:cs="宋体"/>
          <w:b/>
          <w:bCs/>
          <w:color w:val="auto"/>
          <w:sz w:val="24"/>
        </w:rPr>
        <w:t>供应商基本情况表、社保证明及股权关系证明</w:t>
      </w:r>
    </w:p>
    <w:p>
      <w:pPr>
        <w:snapToGrid w:val="0"/>
        <w:rPr>
          <w:rFonts w:hint="eastAsia" w:ascii="宋体" w:hAnsi="宋体" w:cs="宋体"/>
          <w:b/>
          <w:color w:val="auto"/>
          <w:sz w:val="24"/>
          <w:highlight w:val="yellow"/>
        </w:rPr>
      </w:pPr>
      <w:r>
        <w:rPr>
          <w:rFonts w:hint="eastAsia" w:ascii="宋体" w:hAnsi="宋体" w:cs="宋体"/>
          <w:b/>
          <w:color w:val="auto"/>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auto"/>
          <w:sz w:val="24"/>
        </w:rPr>
      </w:pPr>
    </w:p>
    <w:p>
      <w:pPr>
        <w:snapToGrid w:val="0"/>
        <w:rPr>
          <w:rFonts w:hint="eastAsia" w:ascii="宋体" w:hAnsi="宋体" w:cs="宋体"/>
          <w:b/>
          <w:color w:val="auto"/>
          <w:sz w:val="28"/>
          <w:szCs w:val="28"/>
        </w:rPr>
      </w:pPr>
      <w:r>
        <w:rPr>
          <w:rFonts w:hint="eastAsia" w:ascii="宋体" w:hAnsi="宋体" w:cs="宋体"/>
          <w:b/>
          <w:color w:val="auto"/>
          <w:sz w:val="28"/>
          <w:szCs w:val="28"/>
        </w:rPr>
        <w:t>1.《供应商基本情况表》</w:t>
      </w:r>
    </w:p>
    <w:p>
      <w:pPr>
        <w:adjustRightInd w:val="0"/>
        <w:snapToGrid w:val="0"/>
        <w:jc w:val="left"/>
        <w:rPr>
          <w:rFonts w:hint="eastAsia" w:ascii="宋体" w:hAnsi="宋体" w:cs="宋体"/>
          <w:color w:val="auto"/>
          <w:sz w:val="24"/>
        </w:rPr>
      </w:pPr>
      <w:r>
        <w:rPr>
          <w:rFonts w:hint="eastAsia" w:ascii="宋体" w:hAnsi="宋体" w:cs="宋体"/>
          <w:color w:val="auto"/>
          <w:sz w:val="24"/>
        </w:rPr>
        <w:t>填表单位（</w:t>
      </w:r>
      <w:r>
        <w:rPr>
          <w:rFonts w:hint="eastAsia" w:ascii="宋体" w:hAnsi="宋体" w:cs="宋体"/>
          <w:b/>
          <w:bCs/>
          <w:color w:val="auto"/>
          <w:sz w:val="24"/>
        </w:rPr>
        <w:t>加盖单位公章，必填项</w:t>
      </w:r>
      <w:r>
        <w:rPr>
          <w:rFonts w:hint="eastAsia" w:ascii="宋体" w:hAnsi="宋体" w:cs="宋体"/>
          <w:color w:val="auto"/>
          <w:sz w:val="24"/>
        </w:rPr>
        <w:t>）：</w:t>
      </w:r>
    </w:p>
    <w:p>
      <w:pPr>
        <w:adjustRightInd w:val="0"/>
        <w:snapToGrid w:val="0"/>
        <w:jc w:val="left"/>
        <w:rPr>
          <w:rFonts w:hint="eastAsia" w:ascii="宋体" w:hAnsi="宋体" w:cs="宋体"/>
          <w:color w:val="auto"/>
          <w:sz w:val="24"/>
        </w:rPr>
      </w:pPr>
      <w:r>
        <w:rPr>
          <w:rFonts w:hint="eastAsia" w:ascii="宋体" w:hAnsi="宋体" w:cs="宋体"/>
          <w:color w:val="auto"/>
          <w:sz w:val="24"/>
        </w:rPr>
        <w:t>填表日期（</w:t>
      </w:r>
      <w:r>
        <w:rPr>
          <w:rFonts w:hint="eastAsia" w:ascii="宋体" w:hAnsi="宋体" w:cs="宋体"/>
          <w:b/>
          <w:bCs/>
          <w:color w:val="auto"/>
          <w:sz w:val="24"/>
        </w:rPr>
        <w:t>必填项</w:t>
      </w:r>
      <w:r>
        <w:rPr>
          <w:rFonts w:hint="eastAsia" w:ascii="宋体" w:hAnsi="宋体" w:cs="宋体"/>
          <w:color w:val="auto"/>
          <w:sz w:val="24"/>
        </w:rPr>
        <w:t>）：        年     月      日</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采购人</w:t>
            </w:r>
          </w:p>
        </w:tc>
        <w:tc>
          <w:tcPr>
            <w:tcW w:w="1406" w:type="pct"/>
            <w:gridSpan w:val="2"/>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项目名称</w:t>
            </w:r>
          </w:p>
        </w:tc>
        <w:tc>
          <w:tcPr>
            <w:tcW w:w="1656" w:type="pct"/>
            <w:gridSpan w:val="2"/>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投标（响应）供应商</w:t>
            </w:r>
          </w:p>
        </w:tc>
        <w:tc>
          <w:tcPr>
            <w:tcW w:w="1406" w:type="pct"/>
            <w:gridSpan w:val="2"/>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供应商统一社会信用代码</w:t>
            </w:r>
          </w:p>
        </w:tc>
        <w:tc>
          <w:tcPr>
            <w:tcW w:w="1656" w:type="pct"/>
            <w:gridSpan w:val="2"/>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auto"/>
                <w:sz w:val="24"/>
              </w:rPr>
            </w:pPr>
            <w:r>
              <w:rPr>
                <w:rFonts w:hint="eastAsia" w:ascii="宋体" w:hAnsi="宋体" w:cs="宋体"/>
                <w:b/>
                <w:color w:val="auto"/>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劳动合同</w:t>
            </w:r>
          </w:p>
          <w:p>
            <w:pPr>
              <w:widowControl/>
              <w:snapToGrid w:val="0"/>
              <w:jc w:val="center"/>
              <w:rPr>
                <w:rFonts w:hint="eastAsia" w:ascii="宋体" w:hAnsi="宋体" w:cs="宋体"/>
                <w:bCs/>
                <w:color w:val="auto"/>
                <w:sz w:val="24"/>
              </w:rPr>
            </w:pPr>
            <w:r>
              <w:rPr>
                <w:rFonts w:hint="eastAsia" w:ascii="宋体" w:hAnsi="宋体" w:cs="宋体"/>
                <w:bCs/>
                <w:color w:val="auto"/>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缴纳社会</w:t>
            </w:r>
          </w:p>
          <w:p>
            <w:pPr>
              <w:widowControl/>
              <w:snapToGrid w:val="0"/>
              <w:jc w:val="center"/>
              <w:rPr>
                <w:rFonts w:hint="eastAsia" w:ascii="宋体" w:hAnsi="宋体" w:cs="宋体"/>
                <w:bCs/>
                <w:color w:val="auto"/>
                <w:sz w:val="24"/>
              </w:rPr>
            </w:pPr>
            <w:r>
              <w:rPr>
                <w:rFonts w:hint="eastAsia" w:ascii="宋体" w:hAnsi="宋体" w:cs="宋体"/>
                <w:bCs/>
                <w:color w:val="auto"/>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4</w:t>
            </w:r>
          </w:p>
        </w:tc>
        <w:tc>
          <w:tcPr>
            <w:tcW w:w="1223"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主要技术人员（如有）</w:t>
            </w:r>
          </w:p>
        </w:tc>
        <w:tc>
          <w:tcPr>
            <w:tcW w:w="543" w:type="pct"/>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p>
        </w:tc>
        <w:tc>
          <w:tcPr>
            <w:tcW w:w="821" w:type="pct"/>
            <w:vAlign w:val="center"/>
          </w:tcPr>
          <w:p>
            <w:pPr>
              <w:widowControl/>
              <w:snapToGrid w:val="0"/>
              <w:jc w:val="center"/>
              <w:rPr>
                <w:rFonts w:hint="eastAsia" w:ascii="宋体" w:hAnsi="宋体" w:cs="宋体"/>
                <w:bCs/>
                <w:color w:val="auto"/>
                <w:sz w:val="24"/>
              </w:rPr>
            </w:pPr>
          </w:p>
        </w:tc>
        <w:tc>
          <w:tcPr>
            <w:tcW w:w="835" w:type="pct"/>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5</w:t>
            </w:r>
          </w:p>
        </w:tc>
        <w:tc>
          <w:tcPr>
            <w:tcW w:w="1223" w:type="pct"/>
            <w:gridSpan w:val="2"/>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投标文件编制人员（必填项）</w:t>
            </w:r>
          </w:p>
        </w:tc>
        <w:tc>
          <w:tcPr>
            <w:tcW w:w="543" w:type="pct"/>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p>
        </w:tc>
        <w:tc>
          <w:tcPr>
            <w:tcW w:w="821" w:type="pct"/>
            <w:vAlign w:val="center"/>
          </w:tcPr>
          <w:p>
            <w:pPr>
              <w:widowControl/>
              <w:snapToGrid w:val="0"/>
              <w:jc w:val="center"/>
              <w:rPr>
                <w:rFonts w:hint="eastAsia" w:ascii="宋体" w:hAnsi="宋体" w:cs="宋体"/>
                <w:bCs/>
                <w:color w:val="auto"/>
                <w:sz w:val="24"/>
              </w:rPr>
            </w:pPr>
          </w:p>
        </w:tc>
        <w:tc>
          <w:tcPr>
            <w:tcW w:w="835" w:type="pct"/>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auto"/>
                <w:sz w:val="24"/>
              </w:rPr>
            </w:pPr>
            <w:r>
              <w:rPr>
                <w:rFonts w:hint="eastAsia" w:ascii="宋体" w:hAnsi="宋体" w:cs="宋体"/>
                <w:b/>
                <w:color w:val="auto"/>
                <w:sz w:val="24"/>
              </w:rPr>
              <w:t>说明：1.同一职务有多人担任（如主要技术人员），应分行填写。</w:t>
            </w:r>
          </w:p>
          <w:p>
            <w:pPr>
              <w:pStyle w:val="7"/>
              <w:ind w:firstLine="723" w:firstLineChars="300"/>
              <w:rPr>
                <w:rFonts w:hint="eastAsia" w:ascii="宋体" w:hAnsi="宋体" w:cs="宋体"/>
                <w:b/>
                <w:color w:val="auto"/>
                <w:sz w:val="24"/>
                <w:szCs w:val="24"/>
              </w:rPr>
            </w:pPr>
            <w:r>
              <w:rPr>
                <w:rFonts w:hint="eastAsia" w:ascii="宋体" w:hAnsi="宋体" w:cs="宋体"/>
                <w:b/>
                <w:color w:val="auto"/>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auto"/>
                <w:sz w:val="24"/>
              </w:rPr>
            </w:pPr>
            <w:r>
              <w:rPr>
                <w:rFonts w:hint="eastAsia" w:ascii="宋体" w:hAnsi="宋体" w:cs="宋体"/>
                <w:b/>
                <w:color w:val="auto"/>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auto"/>
                <w:sz w:val="24"/>
              </w:rPr>
            </w:pPr>
            <w:r>
              <w:rPr>
                <w:rFonts w:hint="eastAsia" w:ascii="宋体" w:hAnsi="宋体" w:cs="宋体"/>
                <w:bCs/>
                <w:color w:val="auto"/>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auto"/>
                <w:sz w:val="24"/>
              </w:rPr>
            </w:pPr>
            <w:r>
              <w:rPr>
                <w:rFonts w:hint="eastAsia" w:ascii="宋体" w:hAnsi="宋体" w:cs="宋体"/>
                <w:bCs/>
                <w:color w:val="auto"/>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auto"/>
                <w:sz w:val="24"/>
              </w:rPr>
            </w:pPr>
            <w:r>
              <w:rPr>
                <w:rFonts w:hint="eastAsia" w:ascii="宋体" w:hAnsi="宋体" w:cs="宋体"/>
                <w:bCs/>
                <w:color w:val="auto"/>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auto"/>
                <w:sz w:val="24"/>
              </w:rPr>
            </w:pPr>
            <w:r>
              <w:rPr>
                <w:rFonts w:hint="eastAsia" w:ascii="宋体" w:hAnsi="宋体" w:cs="宋体"/>
                <w:b/>
                <w:color w:val="auto"/>
                <w:sz w:val="24"/>
              </w:rPr>
              <w:t>说明：</w:t>
            </w:r>
          </w:p>
          <w:p>
            <w:pPr>
              <w:widowControl/>
              <w:snapToGrid w:val="0"/>
              <w:rPr>
                <w:rFonts w:hint="eastAsia" w:ascii="宋体" w:hAnsi="宋体" w:cs="宋体"/>
                <w:b/>
                <w:color w:val="auto"/>
                <w:sz w:val="24"/>
              </w:rPr>
            </w:pPr>
            <w:r>
              <w:rPr>
                <w:rFonts w:hint="eastAsia" w:ascii="宋体" w:hAnsi="宋体" w:cs="宋体"/>
                <w:b/>
                <w:color w:val="auto"/>
                <w:sz w:val="24"/>
              </w:rPr>
              <w:t>1.同一关联关系类型有多个主体的，应分行填写。</w:t>
            </w:r>
          </w:p>
          <w:p>
            <w:pPr>
              <w:pStyle w:val="7"/>
              <w:ind w:firstLine="0" w:firstLineChars="0"/>
              <w:rPr>
                <w:rFonts w:hint="eastAsia" w:ascii="宋体" w:hAnsi="宋体" w:cs="宋体"/>
                <w:color w:val="auto"/>
                <w:sz w:val="24"/>
                <w:szCs w:val="24"/>
              </w:rPr>
            </w:pPr>
            <w:r>
              <w:rPr>
                <w:rFonts w:hint="eastAsia" w:ascii="宋体" w:hAnsi="宋体" w:cs="宋体"/>
                <w:b/>
                <w:color w:val="auto"/>
                <w:sz w:val="24"/>
                <w:szCs w:val="24"/>
              </w:rPr>
              <w:t>2.上述规定的控股、管理关系仅限于直接控股、直接管理关系，不包括间接的控股或管理关系。</w:t>
            </w:r>
          </w:p>
        </w:tc>
      </w:tr>
    </w:tbl>
    <w:p>
      <w:pPr>
        <w:snapToGrid w:val="0"/>
        <w:rPr>
          <w:rFonts w:hint="eastAsia" w:ascii="宋体" w:hAnsi="宋体" w:cs="宋体"/>
          <w:b/>
          <w:color w:val="auto"/>
          <w:sz w:val="24"/>
        </w:rPr>
      </w:pPr>
      <w:r>
        <w:rPr>
          <w:rFonts w:hint="eastAsia" w:ascii="宋体" w:hAnsi="宋体" w:cs="宋体"/>
          <w:b/>
          <w:color w:val="auto"/>
          <w:sz w:val="24"/>
        </w:rPr>
        <w:t>备注：注明“必填项”的必须填写；未注明“必填项”的，如供应商未填写则视为未安排（或无）。</w:t>
      </w:r>
    </w:p>
    <w:p>
      <w:pPr>
        <w:widowControl/>
        <w:snapToGrid w:val="0"/>
        <w:rPr>
          <w:rFonts w:hint="eastAsia" w:ascii="宋体" w:hAnsi="宋体" w:cs="宋体"/>
          <w:b/>
          <w:color w:val="auto"/>
          <w:sz w:val="24"/>
        </w:rPr>
      </w:pPr>
    </w:p>
    <w:p>
      <w:pPr>
        <w:snapToGrid w:val="0"/>
        <w:rPr>
          <w:rFonts w:hint="eastAsia" w:ascii="宋体" w:hAnsi="宋体" w:cs="宋体"/>
          <w:b/>
          <w:color w:val="auto"/>
          <w:sz w:val="28"/>
          <w:szCs w:val="28"/>
        </w:rPr>
      </w:pPr>
      <w:r>
        <w:rPr>
          <w:rFonts w:hint="eastAsia" w:ascii="宋体" w:hAnsi="宋体" w:cs="宋体"/>
          <w:b/>
          <w:color w:val="auto"/>
          <w:sz w:val="28"/>
          <w:szCs w:val="28"/>
        </w:rPr>
        <w:t>2.社保证明材料：</w:t>
      </w:r>
    </w:p>
    <w:p>
      <w:pPr>
        <w:widowControl/>
        <w:snapToGrid w:val="0"/>
        <w:rPr>
          <w:rFonts w:hint="eastAsia" w:ascii="宋体" w:hAnsi="宋体" w:cs="宋体"/>
          <w:bCs/>
          <w:color w:val="auto"/>
          <w:sz w:val="24"/>
        </w:rPr>
      </w:pPr>
      <w:r>
        <w:rPr>
          <w:rFonts w:hint="eastAsia" w:ascii="宋体" w:hAnsi="宋体" w:cs="宋体"/>
          <w:bCs/>
          <w:color w:val="auto"/>
          <w:sz w:val="24"/>
        </w:rPr>
        <w:t>（1）法定代表人/单位负责人/主要经营负责人</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7"/>
        <w:widowControl/>
        <w:ind w:firstLine="480"/>
        <w:rPr>
          <w:rFonts w:hint="eastAsia" w:ascii="宋体" w:hAnsi="宋体" w:cs="宋体"/>
          <w:bCs/>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（2）投标授权代表人</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7"/>
        <w:widowControl/>
        <w:ind w:firstLine="480"/>
        <w:rPr>
          <w:rFonts w:hint="eastAsia" w:ascii="宋体" w:hAnsi="宋体" w:cs="宋体"/>
          <w:bCs/>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（3）项目负责人（如本项目未安排，可不提供）</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7"/>
        <w:widowControl/>
        <w:ind w:firstLine="480"/>
        <w:rPr>
          <w:rFonts w:hint="eastAsia" w:ascii="宋体" w:hAnsi="宋体" w:cs="宋体"/>
          <w:bCs/>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（4）主要技术人员（如本项目未安排，可不提供）</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7"/>
        <w:widowControl/>
        <w:ind w:firstLine="480"/>
        <w:rPr>
          <w:rFonts w:hint="eastAsia" w:ascii="宋体" w:hAnsi="宋体" w:cs="宋体"/>
          <w:bCs/>
          <w:color w:val="auto"/>
          <w:sz w:val="24"/>
          <w:szCs w:val="24"/>
        </w:rPr>
      </w:pPr>
    </w:p>
    <w:p>
      <w:pPr>
        <w:widowControl/>
        <w:numPr>
          <w:ilvl w:val="0"/>
          <w:numId w:val="12"/>
        </w:numPr>
        <w:snapToGrid w:val="0"/>
        <w:rPr>
          <w:rFonts w:hint="eastAsia" w:ascii="宋体" w:hAnsi="宋体" w:cs="宋体"/>
          <w:bCs/>
          <w:color w:val="auto"/>
          <w:sz w:val="24"/>
        </w:rPr>
      </w:pPr>
      <w:r>
        <w:rPr>
          <w:rFonts w:hint="eastAsia" w:ascii="宋体" w:hAnsi="宋体" w:cs="宋体"/>
          <w:bCs/>
          <w:color w:val="auto"/>
          <w:sz w:val="24"/>
        </w:rPr>
        <w:t>投标文件编制人员</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7"/>
        <w:widowControl/>
        <w:ind w:firstLine="480"/>
        <w:rPr>
          <w:rFonts w:hint="eastAsia" w:ascii="宋体" w:hAnsi="宋体" w:cs="宋体"/>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注：</w:t>
      </w:r>
    </w:p>
    <w:p>
      <w:pPr>
        <w:widowControl/>
        <w:snapToGrid w:val="0"/>
        <w:rPr>
          <w:rFonts w:hint="eastAsia" w:ascii="宋体" w:hAnsi="宋体" w:cs="宋体"/>
          <w:bCs/>
          <w:color w:val="auto"/>
          <w:sz w:val="24"/>
        </w:rPr>
      </w:pPr>
      <w:r>
        <w:rPr>
          <w:rFonts w:hint="eastAsia" w:ascii="宋体" w:hAnsi="宋体" w:cs="宋体"/>
          <w:bCs/>
          <w:color w:val="auto"/>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auto"/>
          <w:sz w:val="24"/>
        </w:rPr>
      </w:pPr>
      <w:r>
        <w:rPr>
          <w:rFonts w:hint="eastAsia" w:ascii="宋体" w:hAnsi="宋体" w:cs="宋体"/>
          <w:bCs/>
          <w:color w:val="auto"/>
          <w:sz w:val="24"/>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color w:val="auto"/>
          <w:sz w:val="24"/>
        </w:rPr>
      </w:pPr>
      <w:r>
        <w:rPr>
          <w:rFonts w:hint="eastAsia" w:ascii="宋体" w:hAnsi="宋体" w:cs="宋体"/>
          <w:bCs/>
          <w:color w:val="auto"/>
          <w:sz w:val="24"/>
        </w:rPr>
        <w:t>3.如无法按上述要求提供人员社会保险证明材料的，提交以下材料亦视为符合：</w:t>
      </w:r>
    </w:p>
    <w:p>
      <w:pPr>
        <w:widowControl/>
        <w:snapToGrid w:val="0"/>
        <w:rPr>
          <w:rFonts w:hint="eastAsia" w:ascii="宋体" w:hAnsi="宋体" w:cs="宋体"/>
          <w:bCs/>
          <w:color w:val="auto"/>
          <w:sz w:val="24"/>
        </w:rPr>
      </w:pPr>
      <w:r>
        <w:rPr>
          <w:rFonts w:hint="eastAsia" w:ascii="宋体" w:hAnsi="宋体" w:cs="宋体"/>
          <w:bCs/>
          <w:color w:val="auto"/>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color w:val="auto"/>
          <w:sz w:val="28"/>
          <w:szCs w:val="28"/>
        </w:rPr>
      </w:pPr>
    </w:p>
    <w:p>
      <w:pPr>
        <w:snapToGrid w:val="0"/>
        <w:rPr>
          <w:rFonts w:hint="eastAsia" w:ascii="宋体" w:hAnsi="宋体" w:cs="宋体"/>
          <w:b/>
          <w:color w:val="auto"/>
          <w:sz w:val="28"/>
          <w:szCs w:val="28"/>
        </w:rPr>
      </w:pPr>
      <w:r>
        <w:rPr>
          <w:rFonts w:hint="eastAsia" w:ascii="宋体" w:hAnsi="宋体" w:cs="宋体"/>
          <w:b/>
          <w:color w:val="auto"/>
          <w:sz w:val="28"/>
          <w:szCs w:val="28"/>
        </w:rPr>
        <w:t>3.股权关系证明材料：</w:t>
      </w:r>
    </w:p>
    <w:p>
      <w:pPr>
        <w:widowControl/>
        <w:snapToGrid w:val="0"/>
        <w:rPr>
          <w:rFonts w:hint="eastAsia" w:ascii="宋体" w:hAnsi="宋体" w:cs="宋体"/>
          <w:b/>
          <w:color w:val="auto"/>
          <w:sz w:val="24"/>
        </w:rPr>
      </w:pPr>
      <w:r>
        <w:rPr>
          <w:rFonts w:hint="eastAsia" w:ascii="宋体" w:hAnsi="宋体" w:cs="宋体"/>
          <w:b/>
          <w:color w:val="auto"/>
          <w:sz w:val="24"/>
        </w:rPr>
        <w:t>（1）股权（或管理）关系证明材料：</w:t>
      </w:r>
    </w:p>
    <w:p>
      <w:pPr>
        <w:widowControl/>
        <w:snapToGrid w:val="0"/>
        <w:rPr>
          <w:rFonts w:hint="eastAsia" w:ascii="宋体" w:hAnsi="宋体" w:cs="宋体"/>
          <w:bCs/>
          <w:color w:val="auto"/>
          <w:sz w:val="24"/>
        </w:rPr>
      </w:pPr>
      <w:r>
        <w:rPr>
          <w:rFonts w:hint="eastAsia" w:ascii="宋体" w:hAnsi="宋体" w:cs="宋体"/>
          <w:bCs/>
          <w:color w:val="auto"/>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auto"/>
          <w:sz w:val="24"/>
        </w:rPr>
      </w:pPr>
    </w:p>
    <w:p>
      <w:pPr>
        <w:widowControl/>
        <w:snapToGrid w:val="0"/>
        <w:jc w:val="left"/>
        <w:rPr>
          <w:rFonts w:hint="eastAsia" w:ascii="宋体" w:hAnsi="宋体" w:cs="宋体"/>
          <w:b/>
          <w:color w:val="auto"/>
          <w:sz w:val="24"/>
        </w:rPr>
      </w:pPr>
      <w:r>
        <w:rPr>
          <w:rFonts w:hint="eastAsia" w:ascii="宋体" w:hAnsi="宋体" w:cs="宋体"/>
          <w:b/>
          <w:color w:val="auto"/>
          <w:sz w:val="24"/>
        </w:rPr>
        <w:t>（2）股权关系情况承诺函</w:t>
      </w:r>
    </w:p>
    <w:p>
      <w:pPr>
        <w:widowControl/>
        <w:snapToGrid w:val="0"/>
        <w:ind w:firstLine="482" w:firstLineChars="200"/>
        <w:jc w:val="center"/>
        <w:rPr>
          <w:rFonts w:hint="eastAsia" w:ascii="宋体" w:hAnsi="宋体" w:cs="宋体"/>
          <w:bCs/>
          <w:color w:val="auto"/>
          <w:sz w:val="24"/>
        </w:rPr>
      </w:pPr>
      <w:r>
        <w:rPr>
          <w:rFonts w:hint="eastAsia" w:ascii="宋体" w:hAnsi="宋体" w:cs="宋体"/>
          <w:b/>
          <w:color w:val="auto"/>
          <w:sz w:val="24"/>
        </w:rPr>
        <w:t>《股权关系情况承诺函》</w:t>
      </w:r>
    </w:p>
    <w:p>
      <w:pPr>
        <w:widowControl/>
        <w:snapToGrid w:val="0"/>
        <w:ind w:firstLine="480" w:firstLineChars="200"/>
        <w:rPr>
          <w:rFonts w:hint="eastAsia" w:ascii="宋体" w:hAnsi="宋体" w:cs="宋体"/>
          <w:bCs/>
          <w:color w:val="auto"/>
          <w:sz w:val="24"/>
        </w:rPr>
      </w:pPr>
      <w:r>
        <w:rPr>
          <w:rFonts w:hint="eastAsia" w:ascii="宋体" w:hAnsi="宋体" w:cs="宋体"/>
          <w:bCs/>
          <w:color w:val="auto"/>
          <w:sz w:val="24"/>
        </w:rPr>
        <w:t>我公司申请参加</w:t>
      </w:r>
      <w:r>
        <w:rPr>
          <w:rFonts w:hint="eastAsia" w:ascii="宋体" w:hAnsi="宋体" w:cs="宋体"/>
          <w:bCs/>
          <w:color w:val="auto"/>
          <w:sz w:val="24"/>
          <w:u w:val="single"/>
        </w:rPr>
        <w:t xml:space="preserve">            </w:t>
      </w:r>
      <w:r>
        <w:rPr>
          <w:rFonts w:hint="eastAsia" w:ascii="宋体" w:hAnsi="宋体" w:cs="宋体"/>
          <w:bCs/>
          <w:color w:val="auto"/>
          <w:sz w:val="24"/>
        </w:rPr>
        <w:t>项目（项目编号为</w:t>
      </w:r>
      <w:r>
        <w:rPr>
          <w:rFonts w:hint="eastAsia" w:ascii="宋体" w:hAnsi="宋体" w:cs="宋体"/>
          <w:bCs/>
          <w:color w:val="auto"/>
          <w:sz w:val="24"/>
          <w:u w:val="single"/>
        </w:rPr>
        <w:t xml:space="preserve">         </w:t>
      </w:r>
      <w:r>
        <w:rPr>
          <w:rFonts w:hint="eastAsia" w:ascii="宋体" w:hAnsi="宋体" w:cs="宋体"/>
          <w:bCs/>
          <w:color w:val="auto"/>
          <w:sz w:val="24"/>
        </w:rPr>
        <w:t>）的投标，并作出如下承诺：</w:t>
      </w:r>
    </w:p>
    <w:p>
      <w:pPr>
        <w:widowControl/>
        <w:snapToGrid w:val="0"/>
        <w:rPr>
          <w:rFonts w:hint="eastAsia" w:ascii="宋体" w:hAnsi="宋体" w:cs="宋体"/>
          <w:bCs/>
          <w:color w:val="auto"/>
          <w:sz w:val="24"/>
        </w:rPr>
      </w:pPr>
      <w:r>
        <w:rPr>
          <w:rFonts w:hint="eastAsia" w:ascii="宋体" w:hAnsi="宋体" w:cs="宋体"/>
          <w:bCs/>
          <w:color w:val="auto"/>
          <w:sz w:val="24"/>
        </w:rPr>
        <w:t>我公司承诺所填的股权关系情况真实、准确、完整。</w:t>
      </w:r>
    </w:p>
    <w:p>
      <w:pPr>
        <w:widowControl/>
        <w:snapToGrid w:val="0"/>
        <w:rPr>
          <w:rFonts w:hint="eastAsia" w:ascii="宋体" w:hAnsi="宋体" w:cs="宋体"/>
          <w:bCs/>
          <w:color w:val="auto"/>
          <w:sz w:val="24"/>
        </w:rPr>
      </w:pPr>
      <w:r>
        <w:rPr>
          <w:rFonts w:hint="eastAsia" w:ascii="宋体" w:hAnsi="宋体" w:cs="宋体"/>
          <w:bCs/>
          <w:color w:val="auto"/>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auto"/>
          <w:sz w:val="24"/>
        </w:rPr>
      </w:pPr>
      <w:r>
        <w:rPr>
          <w:rFonts w:hint="eastAsia" w:ascii="宋体" w:hAnsi="宋体" w:cs="宋体"/>
          <w:bCs/>
          <w:color w:val="auto"/>
          <w:sz w:val="24"/>
        </w:rPr>
        <w:t>特此承诺！</w:t>
      </w:r>
    </w:p>
    <w:p>
      <w:pPr>
        <w:widowControl/>
        <w:snapToGrid w:val="0"/>
        <w:rPr>
          <w:rFonts w:hint="eastAsia" w:ascii="宋体" w:hAnsi="宋体" w:cs="宋体"/>
          <w:bCs/>
          <w:color w:val="auto"/>
          <w:sz w:val="24"/>
        </w:rPr>
      </w:pPr>
    </w:p>
    <w:p>
      <w:pPr>
        <w:widowControl/>
        <w:snapToGrid w:val="0"/>
        <w:rPr>
          <w:rFonts w:hint="eastAsia" w:ascii="宋体" w:hAnsi="宋体" w:cs="宋体"/>
          <w:bCs/>
          <w:color w:val="auto"/>
          <w:sz w:val="24"/>
        </w:rPr>
      </w:pPr>
      <w:r>
        <w:rPr>
          <w:rFonts w:hint="eastAsia" w:ascii="宋体" w:hAnsi="宋体" w:cs="宋体"/>
          <w:bCs/>
          <w:color w:val="auto"/>
          <w:sz w:val="24"/>
        </w:rPr>
        <w:t xml:space="preserve">                                供应商名称（加盖公章</w:t>
      </w:r>
      <w:r>
        <w:rPr>
          <w:rFonts w:hint="eastAsia" w:ascii="宋体" w:hAnsi="宋体" w:cs="宋体"/>
          <w:bCs/>
          <w:color w:val="auto"/>
          <w:sz w:val="24"/>
        </w:rPr>
        <w:tab/>
      </w:r>
      <w:r>
        <w:rPr>
          <w:rFonts w:hint="eastAsia" w:ascii="宋体" w:hAnsi="宋体" w:cs="宋体"/>
          <w:bCs/>
          <w:color w:val="auto"/>
          <w:sz w:val="24"/>
        </w:rPr>
        <w:t xml:space="preserve">）： </w:t>
      </w:r>
    </w:p>
    <w:p>
      <w:pPr>
        <w:widowControl/>
        <w:snapToGrid w:val="0"/>
        <w:ind w:firstLine="3840" w:firstLineChars="1600"/>
        <w:rPr>
          <w:rFonts w:hint="eastAsia" w:ascii="宋体" w:hAnsi="宋体" w:cs="宋体"/>
          <w:bCs/>
          <w:color w:val="auto"/>
          <w:sz w:val="24"/>
        </w:rPr>
      </w:pPr>
      <w:r>
        <w:rPr>
          <w:rFonts w:hint="eastAsia" w:ascii="宋体" w:hAnsi="宋体" w:cs="宋体"/>
          <w:bCs/>
          <w:color w:val="auto"/>
          <w:sz w:val="24"/>
        </w:rPr>
        <w:t>日  期：       年    月   日</w:t>
      </w:r>
    </w:p>
    <w:p>
      <w:pPr>
        <w:widowControl/>
        <w:snapToGrid w:val="0"/>
        <w:rPr>
          <w:rFonts w:hint="eastAsia" w:ascii="宋体" w:hAnsi="宋体" w:cs="宋体"/>
          <w:bCs/>
          <w:color w:val="auto"/>
          <w:sz w:val="24"/>
        </w:rPr>
      </w:pPr>
    </w:p>
    <w:p>
      <w:pPr>
        <w:tabs>
          <w:tab w:val="left" w:pos="640"/>
          <w:tab w:val="left" w:pos="840"/>
          <w:tab w:val="left" w:pos="1260"/>
          <w:tab w:val="left" w:pos="1418"/>
        </w:tabs>
        <w:spacing w:line="360" w:lineRule="auto"/>
        <w:rPr>
          <w:rFonts w:hint="eastAsia" w:ascii="宋体" w:hAnsi="宋体" w:cs="宋体"/>
          <w:bCs/>
          <w:color w:val="auto"/>
          <w:szCs w:val="21"/>
        </w:rPr>
      </w:pPr>
      <w:r>
        <w:rPr>
          <w:rFonts w:hint="eastAsia" w:ascii="宋体" w:hAnsi="宋体" w:cs="宋体"/>
          <w:bCs/>
          <w:color w:val="auto"/>
          <w:sz w:val="24"/>
        </w:rPr>
        <w:t>注：代理机构将于截标当日同步通过上述网站进行查询，查询结果与供应商填报信息不一致的，以代理机构于截标当日的查询结果为准</w:t>
      </w:r>
      <w:r>
        <w:rPr>
          <w:rFonts w:hint="eastAsia" w:ascii="宋体" w:hAnsi="宋体" w:cs="宋体"/>
          <w:bCs/>
          <w:color w:val="auto"/>
          <w:szCs w:val="21"/>
        </w:rPr>
        <w:t>。</w:t>
      </w:r>
    </w:p>
    <w:p>
      <w:pPr>
        <w:pStyle w:val="4"/>
        <w:rPr>
          <w:rFonts w:hint="eastAsia" w:ascii="宋体" w:eastAsia="宋体" w:cs="宋体"/>
          <w:bCs/>
          <w:color w:val="auto"/>
          <w:sz w:val="24"/>
          <w:szCs w:val="24"/>
        </w:rPr>
      </w:pPr>
    </w:p>
    <w:p>
      <w:pPr>
        <w:rPr>
          <w:rFonts w:hint="eastAsia" w:ascii="宋体" w:hAnsi="宋体" w:cs="宋体"/>
          <w:bCs/>
          <w:color w:val="auto"/>
          <w:sz w:val="24"/>
        </w:rPr>
      </w:pPr>
      <w:r>
        <w:rPr>
          <w:rFonts w:hint="eastAsia" w:ascii="宋体" w:hAnsi="宋体" w:cs="宋体"/>
          <w:bCs/>
          <w:color w:val="auto"/>
          <w:sz w:val="24"/>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052"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2106"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vAlign w:val="center"/>
          </w:tcPr>
          <w:p>
            <w:pPr>
              <w:spacing w:after="78" w:line="360" w:lineRule="auto"/>
              <w:rPr>
                <w:rFonts w:hint="eastAsia" w:ascii="宋体" w:hAnsi="宋体" w:cs="宋体"/>
                <w:bCs/>
                <w:color w:val="auto"/>
                <w:sz w:val="24"/>
              </w:rPr>
            </w:pPr>
            <w:r>
              <w:rPr>
                <w:rFonts w:hint="eastAsia" w:ascii="宋体" w:hAnsi="宋体" w:cs="宋体"/>
                <w:b/>
                <w:color w:val="auto"/>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2106" w:type="dxa"/>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spacing w:line="360" w:lineRule="auto"/>
        <w:rPr>
          <w:color w:val="auto"/>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实施方案；</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b/>
          <w:bCs/>
          <w:color w:val="auto"/>
          <w:sz w:val="24"/>
        </w:rPr>
      </w:pPr>
      <w:r>
        <w:rPr>
          <w:rFonts w:hint="eastAsia" w:ascii="宋体" w:hAnsi="宋体" w:cs="宋体"/>
          <w:color w:val="auto"/>
          <w:sz w:val="24"/>
          <w:lang w:val="sq-AL"/>
        </w:rPr>
        <w:t>质量保障措施及方案；</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32"/>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40" w:name="_Toc742"/>
      <w:bookmarkStart w:id="41" w:name="_Toc6251"/>
      <w:r>
        <w:rPr>
          <w:rFonts w:hint="eastAsia" w:ascii="宋体" w:hAnsi="宋体" w:cs="宋体"/>
          <w:b/>
          <w:bCs/>
          <w:color w:val="auto"/>
          <w:sz w:val="24"/>
        </w:rPr>
        <w:t>附件：相关政策</w:t>
      </w:r>
      <w:bookmarkEnd w:id="40"/>
      <w:bookmarkEnd w:id="41"/>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auto"/>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（四）框架协议采购项目；</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auto"/>
        </w:rPr>
      </w:pP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附：1.中小企业声明函</w:t>
      </w:r>
    </w:p>
    <w:p>
      <w:pPr>
        <w:pStyle w:val="2"/>
        <w:tabs>
          <w:tab w:val="left" w:pos="562"/>
          <w:tab w:val="left" w:pos="3372"/>
          <w:tab w:val="left" w:pos="3653"/>
        </w:tabs>
        <w:ind w:firstLine="960" w:firstLineChars="400"/>
        <w:rPr>
          <w:rFonts w:hint="eastAsia" w:ascii="宋体" w:hAnsi="宋体" w:cs="宋体"/>
          <w:color w:val="auto"/>
          <w:kern w:val="0"/>
        </w:rPr>
      </w:pPr>
      <w:r>
        <w:rPr>
          <w:rFonts w:hint="eastAsia" w:ascii="宋体" w:hAnsi="宋体" w:cs="宋体"/>
          <w:color w:val="auto"/>
          <w:kern w:val="0"/>
        </w:rPr>
        <w:t>2.面向中小企业预留项目执行情况公告</w:t>
      </w:r>
    </w:p>
    <w:p>
      <w:pPr>
        <w:pStyle w:val="2"/>
        <w:tabs>
          <w:tab w:val="left" w:pos="562"/>
          <w:tab w:val="left" w:pos="3372"/>
          <w:tab w:val="left" w:pos="3653"/>
        </w:tabs>
        <w:spacing w:before="30"/>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rPr>
      </w:pPr>
      <w:r>
        <w:rPr>
          <w:rFonts w:hint="eastAsia" w:ascii="宋体" w:hAnsi="宋体" w:cs="宋体"/>
          <w:color w:val="auto"/>
          <w:spacing w:val="-2"/>
        </w:rPr>
        <w:t>企业名称（盖章）日期：</w:t>
      </w:r>
    </w:p>
    <w:p>
      <w:pPr>
        <w:pStyle w:val="2"/>
        <w:tabs>
          <w:tab w:val="left" w:pos="562"/>
          <w:tab w:val="left" w:pos="3372"/>
          <w:tab w:val="left" w:pos="3653"/>
        </w:tabs>
        <w:jc w:val="center"/>
        <w:rPr>
          <w:rFonts w:hint="eastAsia"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注意事项：</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spacing w:val="-2"/>
        </w:rPr>
      </w:pPr>
    </w:p>
    <w:p>
      <w:pPr>
        <w:pStyle w:val="2"/>
        <w:tabs>
          <w:tab w:val="left" w:pos="562"/>
          <w:tab w:val="left" w:pos="3372"/>
          <w:tab w:val="left" w:pos="3653"/>
        </w:tabs>
        <w:ind w:left="4200" w:leftChars="2000"/>
        <w:rPr>
          <w:rFonts w:hint="eastAsia" w:ascii="宋体" w:hAnsi="宋体" w:cs="宋体"/>
          <w:color w:val="auto"/>
          <w:spacing w:val="-2"/>
        </w:rPr>
      </w:pPr>
      <w:r>
        <w:rPr>
          <w:rFonts w:hint="eastAsia" w:ascii="宋体" w:hAnsi="宋体" w:cs="宋体"/>
          <w:color w:val="auto"/>
          <w:spacing w:val="-2"/>
        </w:rPr>
        <w:t>企业名称（盖章）日期：</w:t>
      </w:r>
    </w:p>
    <w:p>
      <w:pPr>
        <w:pStyle w:val="2"/>
        <w:tabs>
          <w:tab w:val="left" w:pos="562"/>
          <w:tab w:val="left" w:pos="3372"/>
          <w:tab w:val="left" w:pos="3653"/>
        </w:tabs>
        <w:spacing w:before="30"/>
        <w:rPr>
          <w:rFonts w:hint="eastAsia"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auto"/>
        </w:rPr>
      </w:pPr>
      <w:r>
        <w:rPr>
          <w:rFonts w:hint="eastAsia" w:ascii="宋体" w:hAnsi="宋体" w:cs="宋体"/>
          <w:b/>
          <w:bCs/>
          <w:color w:val="auto"/>
        </w:rPr>
        <w:t>面向中小企业预留项目明细</w:t>
      </w:r>
    </w:p>
    <w:tbl>
      <w:tblPr>
        <w:tblStyle w:val="21"/>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4"/>
              <w:jc w:val="center"/>
              <w:rPr>
                <w:rFonts w:hint="eastAsia"/>
                <w:b/>
                <w:color w:val="auto"/>
                <w:sz w:val="24"/>
                <w:szCs w:val="24"/>
              </w:rPr>
            </w:pPr>
            <w:r>
              <w:rPr>
                <w:rFonts w:hint="eastAsia"/>
                <w:b/>
                <w:color w:val="auto"/>
                <w:sz w:val="24"/>
                <w:szCs w:val="24"/>
              </w:rPr>
              <w:t>序号</w:t>
            </w:r>
          </w:p>
        </w:tc>
        <w:tc>
          <w:tcPr>
            <w:tcW w:w="1866" w:type="dxa"/>
            <w:vAlign w:val="center"/>
          </w:tcPr>
          <w:p>
            <w:pPr>
              <w:pStyle w:val="34"/>
              <w:jc w:val="center"/>
              <w:rPr>
                <w:rFonts w:hint="eastAsia"/>
                <w:b/>
                <w:color w:val="auto"/>
                <w:sz w:val="24"/>
                <w:szCs w:val="24"/>
              </w:rPr>
            </w:pPr>
            <w:r>
              <w:rPr>
                <w:rFonts w:hint="eastAsia"/>
                <w:b/>
                <w:color w:val="auto"/>
                <w:sz w:val="24"/>
                <w:szCs w:val="24"/>
              </w:rPr>
              <w:t>项目名称</w:t>
            </w:r>
          </w:p>
        </w:tc>
        <w:tc>
          <w:tcPr>
            <w:tcW w:w="2010" w:type="dxa"/>
            <w:vAlign w:val="center"/>
          </w:tcPr>
          <w:p>
            <w:pPr>
              <w:pStyle w:val="34"/>
              <w:jc w:val="center"/>
              <w:rPr>
                <w:rFonts w:hint="eastAsia"/>
                <w:b/>
                <w:color w:val="auto"/>
                <w:sz w:val="24"/>
                <w:szCs w:val="24"/>
              </w:rPr>
            </w:pPr>
            <w:r>
              <w:rPr>
                <w:rFonts w:hint="eastAsia"/>
                <w:b/>
                <w:color w:val="auto"/>
                <w:sz w:val="24"/>
                <w:szCs w:val="24"/>
              </w:rPr>
              <w:t>预留选项</w:t>
            </w:r>
          </w:p>
        </w:tc>
        <w:tc>
          <w:tcPr>
            <w:tcW w:w="2296" w:type="dxa"/>
            <w:vAlign w:val="center"/>
          </w:tcPr>
          <w:p>
            <w:pPr>
              <w:pStyle w:val="34"/>
              <w:jc w:val="center"/>
              <w:rPr>
                <w:rFonts w:hint="eastAsia"/>
                <w:b/>
                <w:color w:val="auto"/>
                <w:sz w:val="24"/>
                <w:szCs w:val="24"/>
              </w:rPr>
            </w:pPr>
            <w:r>
              <w:rPr>
                <w:rFonts w:hint="eastAsia"/>
                <w:b/>
                <w:color w:val="auto"/>
                <w:sz w:val="24"/>
                <w:szCs w:val="24"/>
              </w:rPr>
              <w:t>面向中小企业采购金额</w:t>
            </w:r>
          </w:p>
        </w:tc>
        <w:tc>
          <w:tcPr>
            <w:tcW w:w="1784" w:type="dxa"/>
            <w:vAlign w:val="center"/>
          </w:tcPr>
          <w:p>
            <w:pPr>
              <w:pStyle w:val="34"/>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4"/>
              <w:jc w:val="center"/>
              <w:rPr>
                <w:rFonts w:hint="eastAsia"/>
                <w:color w:val="auto"/>
                <w:sz w:val="24"/>
                <w:szCs w:val="24"/>
              </w:rPr>
            </w:pPr>
          </w:p>
        </w:tc>
        <w:tc>
          <w:tcPr>
            <w:tcW w:w="1866" w:type="dxa"/>
            <w:tcBorders>
              <w:bottom w:val="nil"/>
            </w:tcBorders>
            <w:vAlign w:val="center"/>
          </w:tcPr>
          <w:p>
            <w:pPr>
              <w:pStyle w:val="34"/>
              <w:jc w:val="center"/>
              <w:rPr>
                <w:rFonts w:hint="eastAsia"/>
                <w:color w:val="auto"/>
                <w:sz w:val="24"/>
                <w:szCs w:val="24"/>
              </w:rPr>
            </w:pPr>
          </w:p>
        </w:tc>
        <w:tc>
          <w:tcPr>
            <w:tcW w:w="2010" w:type="dxa"/>
            <w:tcBorders>
              <w:bottom w:val="nil"/>
            </w:tcBorders>
            <w:vAlign w:val="center"/>
          </w:tcPr>
          <w:p>
            <w:pPr>
              <w:pStyle w:val="34"/>
              <w:jc w:val="center"/>
              <w:rPr>
                <w:rFonts w:hint="eastAsia"/>
                <w:color w:val="auto"/>
                <w:sz w:val="24"/>
                <w:szCs w:val="24"/>
              </w:rPr>
            </w:pPr>
            <w:r>
              <w:rPr>
                <w:rFonts w:hint="eastAsia"/>
                <w:color w:val="auto"/>
                <w:sz w:val="24"/>
                <w:szCs w:val="24"/>
              </w:rPr>
              <w:t>（填写“采购项</w:t>
            </w:r>
          </w:p>
        </w:tc>
        <w:tc>
          <w:tcPr>
            <w:tcW w:w="2296" w:type="dxa"/>
            <w:tcBorders>
              <w:bottom w:val="nil"/>
            </w:tcBorders>
            <w:vAlign w:val="center"/>
          </w:tcPr>
          <w:p>
            <w:pPr>
              <w:pStyle w:val="34"/>
              <w:jc w:val="center"/>
              <w:rPr>
                <w:rFonts w:hint="eastAsia"/>
                <w:color w:val="auto"/>
                <w:sz w:val="24"/>
                <w:szCs w:val="24"/>
              </w:rPr>
            </w:pPr>
          </w:p>
        </w:tc>
        <w:tc>
          <w:tcPr>
            <w:tcW w:w="1784" w:type="dxa"/>
            <w:vMerge w:val="restart"/>
            <w:vAlign w:val="center"/>
          </w:tcPr>
          <w:p>
            <w:pPr>
              <w:pStyle w:val="34"/>
              <w:jc w:val="center"/>
              <w:rPr>
                <w:rFonts w:hint="eastAsia"/>
                <w:color w:val="auto"/>
                <w:sz w:val="24"/>
                <w:szCs w:val="24"/>
              </w:rPr>
            </w:pPr>
          </w:p>
          <w:p>
            <w:pPr>
              <w:pStyle w:val="34"/>
              <w:jc w:val="center"/>
              <w:rPr>
                <w:rFonts w:hint="eastAsia"/>
                <w:color w:val="auto"/>
                <w:sz w:val="24"/>
                <w:szCs w:val="24"/>
              </w:rPr>
            </w:pPr>
          </w:p>
          <w:p>
            <w:pPr>
              <w:pStyle w:val="34"/>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包”、“要求以</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vAlign w:val="center"/>
          </w:tcPr>
          <w:p>
            <w:pPr>
              <w:pStyle w:val="34"/>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34"/>
              <w:jc w:val="center"/>
              <w:rPr>
                <w:rFonts w:hint="eastAsia"/>
                <w:color w:val="auto"/>
                <w:sz w:val="24"/>
                <w:szCs w:val="24"/>
              </w:rPr>
            </w:pPr>
          </w:p>
        </w:tc>
        <w:tc>
          <w:tcPr>
            <w:tcW w:w="2010" w:type="dxa"/>
            <w:tcBorders>
              <w:top w:val="nil"/>
              <w:bottom w:val="nil"/>
            </w:tcBorders>
            <w:vAlign w:val="center"/>
          </w:tcPr>
          <w:p>
            <w:pPr>
              <w:pStyle w:val="34"/>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tcBorders>
            <w:vAlign w:val="center"/>
          </w:tcPr>
          <w:p>
            <w:pPr>
              <w:pStyle w:val="34"/>
              <w:jc w:val="center"/>
              <w:rPr>
                <w:rFonts w:hint="eastAsia"/>
                <w:color w:val="auto"/>
                <w:sz w:val="24"/>
                <w:szCs w:val="24"/>
              </w:rPr>
            </w:pPr>
          </w:p>
        </w:tc>
        <w:tc>
          <w:tcPr>
            <w:tcW w:w="2010" w:type="dxa"/>
            <w:tcBorders>
              <w:top w:val="nil"/>
            </w:tcBorders>
            <w:vAlign w:val="center"/>
          </w:tcPr>
          <w:p>
            <w:pPr>
              <w:pStyle w:val="34"/>
              <w:jc w:val="center"/>
              <w:rPr>
                <w:rFonts w:hint="eastAsia"/>
                <w:color w:val="auto"/>
                <w:sz w:val="24"/>
                <w:szCs w:val="24"/>
              </w:rPr>
            </w:pPr>
            <w:r>
              <w:rPr>
                <w:rFonts w:hint="eastAsia"/>
                <w:color w:val="auto"/>
                <w:sz w:val="24"/>
                <w:szCs w:val="24"/>
              </w:rPr>
              <w:t>小企业的比例）</w:t>
            </w:r>
          </w:p>
        </w:tc>
        <w:tc>
          <w:tcPr>
            <w:tcW w:w="2296" w:type="dxa"/>
            <w:tcBorders>
              <w:top w:val="nil"/>
            </w:tcBorders>
            <w:vAlign w:val="center"/>
          </w:tcPr>
          <w:p>
            <w:pPr>
              <w:pStyle w:val="34"/>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4"/>
              <w:jc w:val="center"/>
              <w:rPr>
                <w:rFonts w:hint="eastAsia"/>
                <w:color w:val="auto"/>
                <w:sz w:val="24"/>
                <w:szCs w:val="24"/>
              </w:rPr>
            </w:pPr>
            <w:r>
              <w:rPr>
                <w:rFonts w:hint="eastAsia"/>
                <w:color w:val="auto"/>
                <w:sz w:val="24"/>
                <w:szCs w:val="24"/>
              </w:rPr>
              <w:t>……</w:t>
            </w:r>
          </w:p>
        </w:tc>
        <w:tc>
          <w:tcPr>
            <w:tcW w:w="1866" w:type="dxa"/>
            <w:vAlign w:val="center"/>
          </w:tcPr>
          <w:p>
            <w:pPr>
              <w:pStyle w:val="34"/>
              <w:jc w:val="center"/>
              <w:rPr>
                <w:rFonts w:hint="eastAsia"/>
                <w:color w:val="auto"/>
                <w:sz w:val="24"/>
                <w:szCs w:val="24"/>
              </w:rPr>
            </w:pPr>
            <w:r>
              <w:rPr>
                <w:rFonts w:hint="eastAsia"/>
                <w:color w:val="auto"/>
                <w:sz w:val="24"/>
                <w:szCs w:val="24"/>
              </w:rPr>
              <w:t>……</w:t>
            </w:r>
          </w:p>
        </w:tc>
        <w:tc>
          <w:tcPr>
            <w:tcW w:w="2010" w:type="dxa"/>
            <w:vAlign w:val="center"/>
          </w:tcPr>
          <w:p>
            <w:pPr>
              <w:pStyle w:val="34"/>
              <w:jc w:val="center"/>
              <w:rPr>
                <w:rFonts w:hint="eastAsia"/>
                <w:color w:val="auto"/>
                <w:sz w:val="24"/>
                <w:szCs w:val="24"/>
              </w:rPr>
            </w:pPr>
            <w:r>
              <w:rPr>
                <w:rFonts w:hint="eastAsia"/>
                <w:color w:val="auto"/>
                <w:sz w:val="24"/>
                <w:szCs w:val="24"/>
              </w:rPr>
              <w:t>……</w:t>
            </w:r>
          </w:p>
        </w:tc>
        <w:tc>
          <w:tcPr>
            <w:tcW w:w="2296" w:type="dxa"/>
            <w:vAlign w:val="center"/>
          </w:tcPr>
          <w:p>
            <w:pPr>
              <w:pStyle w:val="34"/>
              <w:jc w:val="center"/>
              <w:rPr>
                <w:rFonts w:hint="eastAsia"/>
                <w:color w:val="auto"/>
                <w:sz w:val="24"/>
                <w:szCs w:val="24"/>
              </w:rPr>
            </w:pPr>
            <w:r>
              <w:rPr>
                <w:rFonts w:hint="eastAsia"/>
                <w:color w:val="auto"/>
                <w:sz w:val="24"/>
                <w:szCs w:val="24"/>
              </w:rPr>
              <w:t>……</w:t>
            </w:r>
          </w:p>
        </w:tc>
        <w:tc>
          <w:tcPr>
            <w:tcW w:w="1784" w:type="dxa"/>
            <w:vAlign w:val="center"/>
          </w:tcPr>
          <w:p>
            <w:pPr>
              <w:pStyle w:val="34"/>
              <w:jc w:val="center"/>
              <w:rPr>
                <w:rFonts w:hint="eastAsia"/>
                <w:color w:val="auto"/>
                <w:sz w:val="24"/>
                <w:szCs w:val="24"/>
              </w:rPr>
            </w:pPr>
            <w:r>
              <w:rPr>
                <w:rFonts w:hint="eastAsia"/>
                <w:color w:val="auto"/>
                <w:sz w:val="24"/>
                <w:szCs w:val="24"/>
              </w:rPr>
              <w:t>……</w:t>
            </w:r>
          </w:p>
        </w:tc>
      </w:tr>
    </w:tbl>
    <w:p>
      <w:pPr>
        <w:pStyle w:val="2"/>
        <w:tabs>
          <w:tab w:val="left" w:pos="562"/>
          <w:tab w:val="left" w:pos="3372"/>
          <w:tab w:val="left" w:pos="3653"/>
        </w:tabs>
        <w:spacing w:before="128"/>
        <w:ind w:left="4220" w:right="1843"/>
        <w:rPr>
          <w:rFonts w:hint="eastAsia" w:ascii="宋体" w:hAnsi="宋体" w:cs="宋体"/>
          <w:color w:val="auto"/>
        </w:rPr>
      </w:pPr>
      <w:r>
        <w:rPr>
          <w:rFonts w:hint="eastAsia" w:ascii="宋体" w:hAnsi="宋体" w:cs="宋体"/>
          <w:color w:val="auto"/>
        </w:rPr>
        <w:t>部门（单位）名称： 日期：</w:t>
      </w:r>
    </w:p>
    <w:p>
      <w:pPr>
        <w:pStyle w:val="2"/>
        <w:tabs>
          <w:tab w:val="left" w:pos="562"/>
          <w:tab w:val="left" w:pos="3372"/>
          <w:tab w:val="left" w:pos="3653"/>
        </w:tabs>
        <w:rPr>
          <w:rFonts w:hint="eastAsia" w:ascii="宋体" w:hAnsi="宋体" w:cs="宋体"/>
          <w:color w:val="auto"/>
        </w:rPr>
      </w:pPr>
    </w:p>
    <w:p>
      <w:pPr>
        <w:pStyle w:val="18"/>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auto"/>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18"/>
        <w:jc w:val="both"/>
        <w:outlineLvl w:val="9"/>
        <w:rPr>
          <w:rFonts w:hint="eastAsia" w:ascii="宋体" w:hAnsi="宋体" w:eastAsia="宋体" w:cs="宋体"/>
          <w:color w:val="auto"/>
          <w:sz w:val="24"/>
          <w:szCs w:val="24"/>
        </w:rPr>
      </w:pPr>
    </w:p>
    <w:p>
      <w:pPr>
        <w:pStyle w:val="18"/>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auto"/>
        </w:rPr>
      </w:pPr>
    </w:p>
    <w:p>
      <w:pPr>
        <w:pStyle w:val="18"/>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7"/>
        <w:shd w:val="clear" w:color="auto" w:fill="FFFFFF"/>
        <w:spacing w:before="0" w:beforeAutospacing="0" w:after="0" w:afterAutospacing="0"/>
        <w:jc w:val="center"/>
        <w:rPr>
          <w:rFonts w:hint="eastAsia"/>
          <w:color w:val="auto"/>
        </w:rPr>
      </w:pPr>
      <w:r>
        <w:rPr>
          <w:rFonts w:hint="eastAsia"/>
          <w:color w:val="auto"/>
        </w:rPr>
        <w:t>　　</w:t>
      </w:r>
      <w:bookmarkStart w:id="42" w:name="sendNo"/>
      <w:r>
        <w:rPr>
          <w:rFonts w:hint="eastAsia"/>
          <w:color w:val="auto"/>
        </w:rPr>
        <w:t>财库〔</w:t>
      </w:r>
      <w:bookmarkEnd w:id="42"/>
      <w:r>
        <w:rPr>
          <w:rFonts w:hint="eastAsia"/>
          <w:color w:val="auto"/>
        </w:rPr>
        <w:t>2017〕141号</w:t>
      </w:r>
    </w:p>
    <w:p>
      <w:pPr>
        <w:pStyle w:val="17"/>
        <w:shd w:val="clear" w:color="auto" w:fill="FFFFFF"/>
        <w:spacing w:before="0" w:beforeAutospacing="0" w:after="0" w:afterAutospacing="0"/>
        <w:ind w:firstLine="480" w:firstLineChars="200"/>
        <w:rPr>
          <w:rFonts w:hint="eastAsia"/>
          <w:color w:val="auto"/>
        </w:rPr>
      </w:pPr>
      <w:bookmarkStart w:id="43"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3"/>
      <w:r>
        <w:rPr>
          <w:rFonts w:hint="eastAsia"/>
          <w:color w:val="auto"/>
        </w:rPr>
        <w:t>：</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7"/>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7"/>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35"/>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35"/>
        <w:shd w:val="clear" w:color="auto" w:fill="FFFFFF"/>
        <w:spacing w:before="0" w:beforeAutospacing="0" w:after="0" w:afterAutospacing="0" w:line="560" w:lineRule="exact"/>
        <w:ind w:firstLine="482" w:firstLineChars="200"/>
        <w:jc w:val="center"/>
        <w:rPr>
          <w:rFonts w:hint="eastAsia"/>
          <w:color w:val="auto"/>
        </w:rPr>
      </w:pPr>
      <w:r>
        <w:rPr>
          <w:rStyle w:val="36"/>
          <w:rFonts w:hint="eastAsia"/>
          <w:b/>
          <w:bCs/>
          <w:color w:val="auto"/>
        </w:rPr>
        <w:t>残疾人福利性单位声明函</w:t>
      </w:r>
    </w:p>
    <w:p>
      <w:pPr>
        <w:pStyle w:val="35"/>
        <w:shd w:val="clear" w:color="auto" w:fill="FFFFFF"/>
        <w:spacing w:before="0" w:beforeAutospacing="0" w:after="0" w:afterAutospacing="0" w:line="560" w:lineRule="exact"/>
        <w:ind w:firstLine="480" w:firstLineChars="200"/>
        <w:jc w:val="both"/>
        <w:rPr>
          <w:rFonts w:hint="eastAsia"/>
          <w:color w:val="auto"/>
        </w:rPr>
      </w:pPr>
      <w:r>
        <w:rPr>
          <w:rStyle w:val="36"/>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hd w:val="clear" w:color="auto" w:fill="FFFFFF"/>
        <w:spacing w:before="0" w:beforeAutospacing="0" w:after="0" w:afterAutospacing="0" w:line="560" w:lineRule="exact"/>
        <w:ind w:firstLine="480" w:firstLineChars="200"/>
        <w:jc w:val="both"/>
        <w:rPr>
          <w:rFonts w:hint="eastAsia"/>
          <w:color w:val="auto"/>
        </w:rPr>
      </w:pPr>
      <w:r>
        <w:rPr>
          <w:rStyle w:val="36"/>
          <w:rFonts w:hint="eastAsia"/>
          <w:color w:val="auto"/>
        </w:rPr>
        <w:t>本单位对上述声明的真实性负责。如有虚假，将依法承担相应责任。</w:t>
      </w:r>
    </w:p>
    <w:p>
      <w:pPr>
        <w:pStyle w:val="35"/>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35"/>
        <w:shd w:val="clear" w:color="auto" w:fill="FFFFFF"/>
        <w:spacing w:before="0" w:beforeAutospacing="0" w:after="0" w:afterAutospacing="0" w:line="560" w:lineRule="exact"/>
        <w:ind w:right="2100" w:rightChars="1000"/>
        <w:jc w:val="right"/>
        <w:rPr>
          <w:rFonts w:hint="eastAsia"/>
          <w:color w:val="auto"/>
        </w:rPr>
      </w:pPr>
      <w:r>
        <w:rPr>
          <w:rStyle w:val="36"/>
          <w:rFonts w:hint="eastAsia"/>
          <w:color w:val="auto"/>
        </w:rPr>
        <w:t>单位名称（盖章）：</w:t>
      </w:r>
    </w:p>
    <w:p>
      <w:pPr>
        <w:pStyle w:val="35"/>
        <w:shd w:val="clear" w:color="auto" w:fill="FFFFFF"/>
        <w:spacing w:before="0" w:beforeAutospacing="0" w:after="0" w:afterAutospacing="0" w:line="560" w:lineRule="exact"/>
        <w:ind w:right="2100" w:rightChars="1000"/>
        <w:jc w:val="right"/>
        <w:rPr>
          <w:rFonts w:hint="eastAsia"/>
          <w:color w:val="auto"/>
          <w:lang w:val="fr-CH"/>
        </w:rPr>
      </w:pPr>
      <w:r>
        <w:rPr>
          <w:rStyle w:val="36"/>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pPr>
        <w:pStyle w:val="30"/>
        <w:rPr>
          <w:color w:val="auto"/>
          <w:lang w:val="fr-CH"/>
        </w:rPr>
      </w:pPr>
    </w:p>
    <w:p>
      <w:pPr>
        <w:rPr>
          <w:color w:val="auto"/>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4</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5"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6"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02D9F"/>
    <w:rsid w:val="000821F1"/>
    <w:rsid w:val="00095226"/>
    <w:rsid w:val="000C0C4C"/>
    <w:rsid w:val="001109FF"/>
    <w:rsid w:val="001E0F5C"/>
    <w:rsid w:val="00291AA1"/>
    <w:rsid w:val="003043BD"/>
    <w:rsid w:val="003425DC"/>
    <w:rsid w:val="0046340A"/>
    <w:rsid w:val="004E616D"/>
    <w:rsid w:val="00500680"/>
    <w:rsid w:val="00552E4B"/>
    <w:rsid w:val="00591ED4"/>
    <w:rsid w:val="006A5E20"/>
    <w:rsid w:val="00785F49"/>
    <w:rsid w:val="007F6682"/>
    <w:rsid w:val="00832935"/>
    <w:rsid w:val="00870BFD"/>
    <w:rsid w:val="00977B14"/>
    <w:rsid w:val="009C337D"/>
    <w:rsid w:val="009D033E"/>
    <w:rsid w:val="009E70F5"/>
    <w:rsid w:val="009F1B47"/>
    <w:rsid w:val="00A73F84"/>
    <w:rsid w:val="00A81D22"/>
    <w:rsid w:val="00AA1DFC"/>
    <w:rsid w:val="00AC7D6D"/>
    <w:rsid w:val="00BF1095"/>
    <w:rsid w:val="00C33D8C"/>
    <w:rsid w:val="00C74C3D"/>
    <w:rsid w:val="00D2452C"/>
    <w:rsid w:val="00DE5743"/>
    <w:rsid w:val="00DF15AF"/>
    <w:rsid w:val="00F80C5D"/>
    <w:rsid w:val="00F87FEB"/>
    <w:rsid w:val="00FC1BE0"/>
    <w:rsid w:val="01064C9A"/>
    <w:rsid w:val="01070590"/>
    <w:rsid w:val="01211AD4"/>
    <w:rsid w:val="012B1DC1"/>
    <w:rsid w:val="013B4944"/>
    <w:rsid w:val="013F391C"/>
    <w:rsid w:val="0159301C"/>
    <w:rsid w:val="01623C7B"/>
    <w:rsid w:val="016E57A9"/>
    <w:rsid w:val="017E0CD4"/>
    <w:rsid w:val="018C0929"/>
    <w:rsid w:val="01AA3877"/>
    <w:rsid w:val="01B8192A"/>
    <w:rsid w:val="01CC1A40"/>
    <w:rsid w:val="01E27A17"/>
    <w:rsid w:val="02177F1F"/>
    <w:rsid w:val="021A1BEE"/>
    <w:rsid w:val="021C29C7"/>
    <w:rsid w:val="022618D2"/>
    <w:rsid w:val="02274EC8"/>
    <w:rsid w:val="023A5F04"/>
    <w:rsid w:val="02641C78"/>
    <w:rsid w:val="02661E94"/>
    <w:rsid w:val="026E4740"/>
    <w:rsid w:val="02881E0B"/>
    <w:rsid w:val="02947948"/>
    <w:rsid w:val="02A92B78"/>
    <w:rsid w:val="02B05BAB"/>
    <w:rsid w:val="02CB7F49"/>
    <w:rsid w:val="031134B4"/>
    <w:rsid w:val="031C47EB"/>
    <w:rsid w:val="03223064"/>
    <w:rsid w:val="0341645D"/>
    <w:rsid w:val="03634626"/>
    <w:rsid w:val="036B3325"/>
    <w:rsid w:val="0375603F"/>
    <w:rsid w:val="037A0E7B"/>
    <w:rsid w:val="03875A9D"/>
    <w:rsid w:val="0389238A"/>
    <w:rsid w:val="038A0222"/>
    <w:rsid w:val="03990047"/>
    <w:rsid w:val="03A2798C"/>
    <w:rsid w:val="03A82039"/>
    <w:rsid w:val="03AF4145"/>
    <w:rsid w:val="03BC1A16"/>
    <w:rsid w:val="03BE360A"/>
    <w:rsid w:val="03CA1FAF"/>
    <w:rsid w:val="03D35563"/>
    <w:rsid w:val="03DD6186"/>
    <w:rsid w:val="03E219EE"/>
    <w:rsid w:val="03E272F9"/>
    <w:rsid w:val="03F4702C"/>
    <w:rsid w:val="042277B0"/>
    <w:rsid w:val="043343BF"/>
    <w:rsid w:val="043F299D"/>
    <w:rsid w:val="044004C3"/>
    <w:rsid w:val="0442248D"/>
    <w:rsid w:val="04474B37"/>
    <w:rsid w:val="04A005CC"/>
    <w:rsid w:val="04A35474"/>
    <w:rsid w:val="04B2316F"/>
    <w:rsid w:val="04B50EB1"/>
    <w:rsid w:val="04C63705"/>
    <w:rsid w:val="04C729CA"/>
    <w:rsid w:val="04FF037E"/>
    <w:rsid w:val="05062697"/>
    <w:rsid w:val="053973EC"/>
    <w:rsid w:val="054269F8"/>
    <w:rsid w:val="05497666"/>
    <w:rsid w:val="054B35C3"/>
    <w:rsid w:val="057B3913"/>
    <w:rsid w:val="05804BC2"/>
    <w:rsid w:val="058E7EB0"/>
    <w:rsid w:val="0594022D"/>
    <w:rsid w:val="05A01219"/>
    <w:rsid w:val="05A21435"/>
    <w:rsid w:val="05A351AD"/>
    <w:rsid w:val="05C21607"/>
    <w:rsid w:val="05CD1439"/>
    <w:rsid w:val="05D74AE1"/>
    <w:rsid w:val="05F652DD"/>
    <w:rsid w:val="060E0879"/>
    <w:rsid w:val="06336033"/>
    <w:rsid w:val="066E57BB"/>
    <w:rsid w:val="066E7569"/>
    <w:rsid w:val="06820CAF"/>
    <w:rsid w:val="068A098C"/>
    <w:rsid w:val="069E458D"/>
    <w:rsid w:val="06BC14B2"/>
    <w:rsid w:val="06BE2A9A"/>
    <w:rsid w:val="06C44D16"/>
    <w:rsid w:val="06CC4290"/>
    <w:rsid w:val="06D00EEB"/>
    <w:rsid w:val="06DE6F2D"/>
    <w:rsid w:val="06E23AB3"/>
    <w:rsid w:val="06E332E1"/>
    <w:rsid w:val="06F30D45"/>
    <w:rsid w:val="07046BC9"/>
    <w:rsid w:val="070956AA"/>
    <w:rsid w:val="070D6D82"/>
    <w:rsid w:val="07235607"/>
    <w:rsid w:val="072D6233"/>
    <w:rsid w:val="072F63A4"/>
    <w:rsid w:val="07521B5C"/>
    <w:rsid w:val="07756761"/>
    <w:rsid w:val="07787DB5"/>
    <w:rsid w:val="077961C6"/>
    <w:rsid w:val="0797489E"/>
    <w:rsid w:val="07977CB1"/>
    <w:rsid w:val="07994850"/>
    <w:rsid w:val="07AC659B"/>
    <w:rsid w:val="07B13BB2"/>
    <w:rsid w:val="07CA5F0B"/>
    <w:rsid w:val="07FD54F6"/>
    <w:rsid w:val="08045A7E"/>
    <w:rsid w:val="08071A24"/>
    <w:rsid w:val="080A32D3"/>
    <w:rsid w:val="08180F8C"/>
    <w:rsid w:val="08246E93"/>
    <w:rsid w:val="085E70A3"/>
    <w:rsid w:val="087602D4"/>
    <w:rsid w:val="087C541A"/>
    <w:rsid w:val="088300A5"/>
    <w:rsid w:val="088E3EF3"/>
    <w:rsid w:val="08950582"/>
    <w:rsid w:val="089C0455"/>
    <w:rsid w:val="08A66936"/>
    <w:rsid w:val="08CE609D"/>
    <w:rsid w:val="08D35DAA"/>
    <w:rsid w:val="08D86F1C"/>
    <w:rsid w:val="08DA1976"/>
    <w:rsid w:val="08E57A87"/>
    <w:rsid w:val="08E92ED7"/>
    <w:rsid w:val="08EB4289"/>
    <w:rsid w:val="08F43C68"/>
    <w:rsid w:val="090306E4"/>
    <w:rsid w:val="090A34E0"/>
    <w:rsid w:val="09151F1E"/>
    <w:rsid w:val="09300B06"/>
    <w:rsid w:val="093305F6"/>
    <w:rsid w:val="09373214"/>
    <w:rsid w:val="093822B1"/>
    <w:rsid w:val="09491BC8"/>
    <w:rsid w:val="094D42E8"/>
    <w:rsid w:val="09592469"/>
    <w:rsid w:val="096F55F7"/>
    <w:rsid w:val="09823515"/>
    <w:rsid w:val="09992B4F"/>
    <w:rsid w:val="09A42169"/>
    <w:rsid w:val="09AF2373"/>
    <w:rsid w:val="09C84ED3"/>
    <w:rsid w:val="09D1743A"/>
    <w:rsid w:val="09DF007E"/>
    <w:rsid w:val="09E81EE9"/>
    <w:rsid w:val="09F77876"/>
    <w:rsid w:val="0A2A768E"/>
    <w:rsid w:val="0A312D88"/>
    <w:rsid w:val="0A3B3C06"/>
    <w:rsid w:val="0A4B62C5"/>
    <w:rsid w:val="0A570F70"/>
    <w:rsid w:val="0A5E16A3"/>
    <w:rsid w:val="0A602146"/>
    <w:rsid w:val="0A6A44EC"/>
    <w:rsid w:val="0A6D37F6"/>
    <w:rsid w:val="0A7556E7"/>
    <w:rsid w:val="0A896457"/>
    <w:rsid w:val="0A8A693C"/>
    <w:rsid w:val="0A8E01DA"/>
    <w:rsid w:val="0A9E7CF1"/>
    <w:rsid w:val="0AA03A6A"/>
    <w:rsid w:val="0AA51080"/>
    <w:rsid w:val="0AA72E75"/>
    <w:rsid w:val="0AB80AEB"/>
    <w:rsid w:val="0AB85257"/>
    <w:rsid w:val="0ACB4F8A"/>
    <w:rsid w:val="0AD731CB"/>
    <w:rsid w:val="0AE20526"/>
    <w:rsid w:val="0AF81AF7"/>
    <w:rsid w:val="0B0C40B2"/>
    <w:rsid w:val="0B0F38FC"/>
    <w:rsid w:val="0B140280"/>
    <w:rsid w:val="0B260413"/>
    <w:rsid w:val="0B352F5D"/>
    <w:rsid w:val="0B445AA4"/>
    <w:rsid w:val="0B66170E"/>
    <w:rsid w:val="0B7B37EB"/>
    <w:rsid w:val="0B925AA8"/>
    <w:rsid w:val="0BAA59C1"/>
    <w:rsid w:val="0BAB25C9"/>
    <w:rsid w:val="0BB91DF1"/>
    <w:rsid w:val="0BCB4B16"/>
    <w:rsid w:val="0BD240F7"/>
    <w:rsid w:val="0BD31C1D"/>
    <w:rsid w:val="0BE62205"/>
    <w:rsid w:val="0BEF0E64"/>
    <w:rsid w:val="0C032502"/>
    <w:rsid w:val="0C216BD0"/>
    <w:rsid w:val="0C2B0B3A"/>
    <w:rsid w:val="0C41127C"/>
    <w:rsid w:val="0C45359F"/>
    <w:rsid w:val="0C471F98"/>
    <w:rsid w:val="0C70493E"/>
    <w:rsid w:val="0C725700"/>
    <w:rsid w:val="0C822ACA"/>
    <w:rsid w:val="0CAB21EE"/>
    <w:rsid w:val="0CAC4948"/>
    <w:rsid w:val="0CB70393"/>
    <w:rsid w:val="0CBB0F79"/>
    <w:rsid w:val="0CBB2DDD"/>
    <w:rsid w:val="0CCA3020"/>
    <w:rsid w:val="0CEF0CD8"/>
    <w:rsid w:val="0CEF2A86"/>
    <w:rsid w:val="0CF81CD8"/>
    <w:rsid w:val="0CF956B3"/>
    <w:rsid w:val="0CFA3905"/>
    <w:rsid w:val="0D0429D6"/>
    <w:rsid w:val="0D046532"/>
    <w:rsid w:val="0D185140"/>
    <w:rsid w:val="0D1954AC"/>
    <w:rsid w:val="0D255A21"/>
    <w:rsid w:val="0D2C7836"/>
    <w:rsid w:val="0D3F1CF7"/>
    <w:rsid w:val="0D4402D3"/>
    <w:rsid w:val="0D447276"/>
    <w:rsid w:val="0D5374B9"/>
    <w:rsid w:val="0D597A12"/>
    <w:rsid w:val="0D5C54A5"/>
    <w:rsid w:val="0D624FA8"/>
    <w:rsid w:val="0D6E75D5"/>
    <w:rsid w:val="0D7E4CC4"/>
    <w:rsid w:val="0D9237C2"/>
    <w:rsid w:val="0D9B4B4C"/>
    <w:rsid w:val="0D9F3011"/>
    <w:rsid w:val="0DC34AA9"/>
    <w:rsid w:val="0DD46C7B"/>
    <w:rsid w:val="0DDA3736"/>
    <w:rsid w:val="0DDC6E3D"/>
    <w:rsid w:val="0DFD4239"/>
    <w:rsid w:val="0DFE5677"/>
    <w:rsid w:val="0E1A34FE"/>
    <w:rsid w:val="0E1C329C"/>
    <w:rsid w:val="0E303356"/>
    <w:rsid w:val="0E3C1CFB"/>
    <w:rsid w:val="0E430BBB"/>
    <w:rsid w:val="0E43308A"/>
    <w:rsid w:val="0E4B0853"/>
    <w:rsid w:val="0E59465B"/>
    <w:rsid w:val="0E745939"/>
    <w:rsid w:val="0E8D1EBF"/>
    <w:rsid w:val="0E9953A0"/>
    <w:rsid w:val="0EA53D44"/>
    <w:rsid w:val="0EA77ABC"/>
    <w:rsid w:val="0EB126E9"/>
    <w:rsid w:val="0EB86C56"/>
    <w:rsid w:val="0EC73CBB"/>
    <w:rsid w:val="0ECA37AB"/>
    <w:rsid w:val="0ED40186"/>
    <w:rsid w:val="0EDC703A"/>
    <w:rsid w:val="0EDE2DB2"/>
    <w:rsid w:val="0EE83D6C"/>
    <w:rsid w:val="0EEB7B1C"/>
    <w:rsid w:val="0EEE550D"/>
    <w:rsid w:val="0F040A6B"/>
    <w:rsid w:val="0F18170A"/>
    <w:rsid w:val="0F1D3412"/>
    <w:rsid w:val="0F1D38DB"/>
    <w:rsid w:val="0F2A5DFB"/>
    <w:rsid w:val="0F6063AF"/>
    <w:rsid w:val="0F670FFA"/>
    <w:rsid w:val="0F7D081D"/>
    <w:rsid w:val="0FAC4C5F"/>
    <w:rsid w:val="0FAF41DB"/>
    <w:rsid w:val="0FDF48E7"/>
    <w:rsid w:val="0FE254EF"/>
    <w:rsid w:val="0FE47C3D"/>
    <w:rsid w:val="0FE96BFE"/>
    <w:rsid w:val="0FF5D091"/>
    <w:rsid w:val="0FFD5E0B"/>
    <w:rsid w:val="0FFF254C"/>
    <w:rsid w:val="0FFF663B"/>
    <w:rsid w:val="10134CDE"/>
    <w:rsid w:val="102A7B27"/>
    <w:rsid w:val="102D2243"/>
    <w:rsid w:val="10365E2E"/>
    <w:rsid w:val="10394744"/>
    <w:rsid w:val="105A46BB"/>
    <w:rsid w:val="105B405A"/>
    <w:rsid w:val="10634BF3"/>
    <w:rsid w:val="10686DD7"/>
    <w:rsid w:val="10792762"/>
    <w:rsid w:val="108B0D18"/>
    <w:rsid w:val="108B4148"/>
    <w:rsid w:val="10AA3690"/>
    <w:rsid w:val="10B40C48"/>
    <w:rsid w:val="10E02E12"/>
    <w:rsid w:val="10FB7C4C"/>
    <w:rsid w:val="113F222E"/>
    <w:rsid w:val="115832F0"/>
    <w:rsid w:val="117B2B3A"/>
    <w:rsid w:val="119473B4"/>
    <w:rsid w:val="11CB3AC2"/>
    <w:rsid w:val="11D128DC"/>
    <w:rsid w:val="11D42AA6"/>
    <w:rsid w:val="11E626AA"/>
    <w:rsid w:val="123376EC"/>
    <w:rsid w:val="12431D83"/>
    <w:rsid w:val="12437AFC"/>
    <w:rsid w:val="125B755A"/>
    <w:rsid w:val="126B1F8B"/>
    <w:rsid w:val="126E28EB"/>
    <w:rsid w:val="12723F3D"/>
    <w:rsid w:val="127D2D24"/>
    <w:rsid w:val="12820336"/>
    <w:rsid w:val="12A16CD2"/>
    <w:rsid w:val="12A847C9"/>
    <w:rsid w:val="12A8795F"/>
    <w:rsid w:val="12D149BF"/>
    <w:rsid w:val="12D65CA8"/>
    <w:rsid w:val="12E91C37"/>
    <w:rsid w:val="130D18FD"/>
    <w:rsid w:val="130F4553"/>
    <w:rsid w:val="13160D6D"/>
    <w:rsid w:val="13167AEC"/>
    <w:rsid w:val="13242E4C"/>
    <w:rsid w:val="13315BA7"/>
    <w:rsid w:val="13426006"/>
    <w:rsid w:val="13433EE9"/>
    <w:rsid w:val="13623D17"/>
    <w:rsid w:val="137139FA"/>
    <w:rsid w:val="1373154F"/>
    <w:rsid w:val="137B2173"/>
    <w:rsid w:val="137FA8DD"/>
    <w:rsid w:val="138A5087"/>
    <w:rsid w:val="13903A45"/>
    <w:rsid w:val="13951544"/>
    <w:rsid w:val="139B74C4"/>
    <w:rsid w:val="13A1291C"/>
    <w:rsid w:val="13CC58CF"/>
    <w:rsid w:val="13D11138"/>
    <w:rsid w:val="13D76995"/>
    <w:rsid w:val="13DA0C71"/>
    <w:rsid w:val="13E90B4A"/>
    <w:rsid w:val="13F36B3B"/>
    <w:rsid w:val="13F57F6C"/>
    <w:rsid w:val="140E7C96"/>
    <w:rsid w:val="14136CAE"/>
    <w:rsid w:val="14171F90"/>
    <w:rsid w:val="144E5BAF"/>
    <w:rsid w:val="145B077C"/>
    <w:rsid w:val="14691987"/>
    <w:rsid w:val="148F7029"/>
    <w:rsid w:val="149363ED"/>
    <w:rsid w:val="14BE346A"/>
    <w:rsid w:val="14C64A14"/>
    <w:rsid w:val="14D47131"/>
    <w:rsid w:val="14D47CF8"/>
    <w:rsid w:val="14D8301B"/>
    <w:rsid w:val="14D83808"/>
    <w:rsid w:val="14D94748"/>
    <w:rsid w:val="14FE7D0A"/>
    <w:rsid w:val="1528122B"/>
    <w:rsid w:val="15293404"/>
    <w:rsid w:val="152B6B2E"/>
    <w:rsid w:val="15334DC3"/>
    <w:rsid w:val="15347304"/>
    <w:rsid w:val="153B0F5F"/>
    <w:rsid w:val="153B4ABB"/>
    <w:rsid w:val="153E27FD"/>
    <w:rsid w:val="15567B46"/>
    <w:rsid w:val="15610299"/>
    <w:rsid w:val="1569013A"/>
    <w:rsid w:val="156E7876"/>
    <w:rsid w:val="15897F1C"/>
    <w:rsid w:val="15A6116F"/>
    <w:rsid w:val="15B9101B"/>
    <w:rsid w:val="15BC1451"/>
    <w:rsid w:val="15C70A44"/>
    <w:rsid w:val="15DB68E9"/>
    <w:rsid w:val="16027A14"/>
    <w:rsid w:val="161B669A"/>
    <w:rsid w:val="162A366D"/>
    <w:rsid w:val="16322361"/>
    <w:rsid w:val="1633052E"/>
    <w:rsid w:val="164B3423"/>
    <w:rsid w:val="165C2117"/>
    <w:rsid w:val="16817906"/>
    <w:rsid w:val="16B46578"/>
    <w:rsid w:val="16C52AF8"/>
    <w:rsid w:val="16C805D0"/>
    <w:rsid w:val="16CF7BB0"/>
    <w:rsid w:val="16D44183"/>
    <w:rsid w:val="16D8450A"/>
    <w:rsid w:val="16E45D72"/>
    <w:rsid w:val="17033CFE"/>
    <w:rsid w:val="171F4A71"/>
    <w:rsid w:val="17361B83"/>
    <w:rsid w:val="173F4503"/>
    <w:rsid w:val="174A0D2D"/>
    <w:rsid w:val="176431CF"/>
    <w:rsid w:val="17797B1C"/>
    <w:rsid w:val="17847815"/>
    <w:rsid w:val="179208FE"/>
    <w:rsid w:val="17A322AC"/>
    <w:rsid w:val="17A4103D"/>
    <w:rsid w:val="17FD60AF"/>
    <w:rsid w:val="180C2F5C"/>
    <w:rsid w:val="181A4BC0"/>
    <w:rsid w:val="18441ED8"/>
    <w:rsid w:val="184B770B"/>
    <w:rsid w:val="184C6FDF"/>
    <w:rsid w:val="18584184"/>
    <w:rsid w:val="18587FD8"/>
    <w:rsid w:val="186C142F"/>
    <w:rsid w:val="18822A00"/>
    <w:rsid w:val="188449CB"/>
    <w:rsid w:val="189C0C23"/>
    <w:rsid w:val="189D2014"/>
    <w:rsid w:val="18A44D0C"/>
    <w:rsid w:val="18B03A11"/>
    <w:rsid w:val="18C46036"/>
    <w:rsid w:val="18CB2B97"/>
    <w:rsid w:val="18DF1533"/>
    <w:rsid w:val="18E667DE"/>
    <w:rsid w:val="18F356AC"/>
    <w:rsid w:val="19045FB6"/>
    <w:rsid w:val="19056169"/>
    <w:rsid w:val="190B1AB7"/>
    <w:rsid w:val="190D676E"/>
    <w:rsid w:val="190E1E92"/>
    <w:rsid w:val="190E4E8A"/>
    <w:rsid w:val="191E2C88"/>
    <w:rsid w:val="191E47AE"/>
    <w:rsid w:val="19213D00"/>
    <w:rsid w:val="192E19B5"/>
    <w:rsid w:val="193E2DCB"/>
    <w:rsid w:val="194336DE"/>
    <w:rsid w:val="194A5C14"/>
    <w:rsid w:val="194A79C2"/>
    <w:rsid w:val="194B4539"/>
    <w:rsid w:val="19524450"/>
    <w:rsid w:val="19677F5C"/>
    <w:rsid w:val="199FA76B"/>
    <w:rsid w:val="19A8293B"/>
    <w:rsid w:val="19AA0461"/>
    <w:rsid w:val="19BB266E"/>
    <w:rsid w:val="19C1510B"/>
    <w:rsid w:val="19D13C3F"/>
    <w:rsid w:val="19D35C0A"/>
    <w:rsid w:val="19D614F4"/>
    <w:rsid w:val="19D63004"/>
    <w:rsid w:val="19EC5329"/>
    <w:rsid w:val="19ED121F"/>
    <w:rsid w:val="19EF3664"/>
    <w:rsid w:val="1A0256C7"/>
    <w:rsid w:val="1A037B71"/>
    <w:rsid w:val="1A0F6EBC"/>
    <w:rsid w:val="1A202A12"/>
    <w:rsid w:val="1A352420"/>
    <w:rsid w:val="1A3C3E2A"/>
    <w:rsid w:val="1A3D12D5"/>
    <w:rsid w:val="1A4A5089"/>
    <w:rsid w:val="1A680537"/>
    <w:rsid w:val="1A7854F8"/>
    <w:rsid w:val="1A8A3DEE"/>
    <w:rsid w:val="1A8E78C8"/>
    <w:rsid w:val="1A914D5C"/>
    <w:rsid w:val="1A9B5FFB"/>
    <w:rsid w:val="1ACB068F"/>
    <w:rsid w:val="1AD31C39"/>
    <w:rsid w:val="1AD46734"/>
    <w:rsid w:val="1AD87250"/>
    <w:rsid w:val="1ADF413A"/>
    <w:rsid w:val="1AE259D8"/>
    <w:rsid w:val="1AE8103C"/>
    <w:rsid w:val="1AED4941"/>
    <w:rsid w:val="1AED6666"/>
    <w:rsid w:val="1B022F94"/>
    <w:rsid w:val="1B1069E9"/>
    <w:rsid w:val="1B155DAE"/>
    <w:rsid w:val="1B1A5316"/>
    <w:rsid w:val="1B252495"/>
    <w:rsid w:val="1B3E1A1E"/>
    <w:rsid w:val="1B417F7A"/>
    <w:rsid w:val="1B5508A0"/>
    <w:rsid w:val="1B783377"/>
    <w:rsid w:val="1B822B4E"/>
    <w:rsid w:val="1B9637E8"/>
    <w:rsid w:val="1BB235FD"/>
    <w:rsid w:val="1BB9498B"/>
    <w:rsid w:val="1BC947C4"/>
    <w:rsid w:val="1BD27C70"/>
    <w:rsid w:val="1BD96DDB"/>
    <w:rsid w:val="1C00080C"/>
    <w:rsid w:val="1C0F6CA1"/>
    <w:rsid w:val="1C200EAE"/>
    <w:rsid w:val="1C2529FF"/>
    <w:rsid w:val="1C2F0C24"/>
    <w:rsid w:val="1C427076"/>
    <w:rsid w:val="1C522596"/>
    <w:rsid w:val="1C5648D0"/>
    <w:rsid w:val="1C5B5A42"/>
    <w:rsid w:val="1C5D752D"/>
    <w:rsid w:val="1C6F14EE"/>
    <w:rsid w:val="1C7D1E5D"/>
    <w:rsid w:val="1C9176B6"/>
    <w:rsid w:val="1C9211BE"/>
    <w:rsid w:val="1CA23671"/>
    <w:rsid w:val="1CA266AD"/>
    <w:rsid w:val="1CA97D42"/>
    <w:rsid w:val="1CB43DBF"/>
    <w:rsid w:val="1CD31A7D"/>
    <w:rsid w:val="1CDD45A3"/>
    <w:rsid w:val="1CEF358F"/>
    <w:rsid w:val="1D174D30"/>
    <w:rsid w:val="1D274825"/>
    <w:rsid w:val="1D2B18B9"/>
    <w:rsid w:val="1D385F00"/>
    <w:rsid w:val="1D44297A"/>
    <w:rsid w:val="1D552DD9"/>
    <w:rsid w:val="1D734FE3"/>
    <w:rsid w:val="1D7414B2"/>
    <w:rsid w:val="1D815FCC"/>
    <w:rsid w:val="1D927B8A"/>
    <w:rsid w:val="1DA82F09"/>
    <w:rsid w:val="1DC42A0B"/>
    <w:rsid w:val="1DCA2E80"/>
    <w:rsid w:val="1DCF4116"/>
    <w:rsid w:val="1E024641"/>
    <w:rsid w:val="1E0F0C19"/>
    <w:rsid w:val="1E1C04D7"/>
    <w:rsid w:val="1E340C41"/>
    <w:rsid w:val="1E403142"/>
    <w:rsid w:val="1E5821EC"/>
    <w:rsid w:val="1E6B7566"/>
    <w:rsid w:val="1E7159F1"/>
    <w:rsid w:val="1E781388"/>
    <w:rsid w:val="1E9516DF"/>
    <w:rsid w:val="1E9B2886"/>
    <w:rsid w:val="1EA400D2"/>
    <w:rsid w:val="1EA47B74"/>
    <w:rsid w:val="1EAE454F"/>
    <w:rsid w:val="1EB25197"/>
    <w:rsid w:val="1EC51899"/>
    <w:rsid w:val="1ECC5479"/>
    <w:rsid w:val="1EEF7754"/>
    <w:rsid w:val="1F0625DD"/>
    <w:rsid w:val="1F27593E"/>
    <w:rsid w:val="1F3204AD"/>
    <w:rsid w:val="1F394761"/>
    <w:rsid w:val="1F457A27"/>
    <w:rsid w:val="1F5A41F8"/>
    <w:rsid w:val="1F6A2B6C"/>
    <w:rsid w:val="1F820A56"/>
    <w:rsid w:val="1F9BB067"/>
    <w:rsid w:val="1FA31BDA"/>
    <w:rsid w:val="1FB47A5D"/>
    <w:rsid w:val="1FE16BA6"/>
    <w:rsid w:val="1FE54162"/>
    <w:rsid w:val="1FED10A7"/>
    <w:rsid w:val="1FF42436"/>
    <w:rsid w:val="1FFF00F8"/>
    <w:rsid w:val="20000011"/>
    <w:rsid w:val="200655C0"/>
    <w:rsid w:val="200C59D1"/>
    <w:rsid w:val="200E78F3"/>
    <w:rsid w:val="20126D60"/>
    <w:rsid w:val="201C198C"/>
    <w:rsid w:val="20266068"/>
    <w:rsid w:val="206A26F8"/>
    <w:rsid w:val="20717F2A"/>
    <w:rsid w:val="207417C9"/>
    <w:rsid w:val="208E288A"/>
    <w:rsid w:val="209C776B"/>
    <w:rsid w:val="20AA3CDC"/>
    <w:rsid w:val="20B23D8A"/>
    <w:rsid w:val="20B55B96"/>
    <w:rsid w:val="20D54766"/>
    <w:rsid w:val="20D626D7"/>
    <w:rsid w:val="20EB6469"/>
    <w:rsid w:val="20F51321"/>
    <w:rsid w:val="20F86993"/>
    <w:rsid w:val="20FD531A"/>
    <w:rsid w:val="210B2B5C"/>
    <w:rsid w:val="210E7527"/>
    <w:rsid w:val="212F5A64"/>
    <w:rsid w:val="213760C2"/>
    <w:rsid w:val="213D22F1"/>
    <w:rsid w:val="213F6706"/>
    <w:rsid w:val="2165078C"/>
    <w:rsid w:val="217557F8"/>
    <w:rsid w:val="21825EFC"/>
    <w:rsid w:val="218B0B78"/>
    <w:rsid w:val="21A63C04"/>
    <w:rsid w:val="21A734D8"/>
    <w:rsid w:val="21CC3D6A"/>
    <w:rsid w:val="21DC7625"/>
    <w:rsid w:val="21E85FCA"/>
    <w:rsid w:val="21F030D1"/>
    <w:rsid w:val="22053E70"/>
    <w:rsid w:val="221C2372"/>
    <w:rsid w:val="2221328A"/>
    <w:rsid w:val="22225AAB"/>
    <w:rsid w:val="22235254"/>
    <w:rsid w:val="22266AF2"/>
    <w:rsid w:val="2245341D"/>
    <w:rsid w:val="22462A8A"/>
    <w:rsid w:val="22543B20"/>
    <w:rsid w:val="22574EFE"/>
    <w:rsid w:val="22696FF6"/>
    <w:rsid w:val="228A1178"/>
    <w:rsid w:val="22993768"/>
    <w:rsid w:val="229B431D"/>
    <w:rsid w:val="229F2035"/>
    <w:rsid w:val="22B7264E"/>
    <w:rsid w:val="22C5455D"/>
    <w:rsid w:val="22C87E82"/>
    <w:rsid w:val="22D630A1"/>
    <w:rsid w:val="22D6459C"/>
    <w:rsid w:val="22E24891"/>
    <w:rsid w:val="22E83DA8"/>
    <w:rsid w:val="22EB1161"/>
    <w:rsid w:val="23006025"/>
    <w:rsid w:val="230102D9"/>
    <w:rsid w:val="2303418B"/>
    <w:rsid w:val="23052BAC"/>
    <w:rsid w:val="230B7162"/>
    <w:rsid w:val="230C1C0F"/>
    <w:rsid w:val="231A4A0C"/>
    <w:rsid w:val="232748D0"/>
    <w:rsid w:val="232A4834"/>
    <w:rsid w:val="23345707"/>
    <w:rsid w:val="233A5256"/>
    <w:rsid w:val="23445482"/>
    <w:rsid w:val="23531B69"/>
    <w:rsid w:val="23664217"/>
    <w:rsid w:val="236B0C61"/>
    <w:rsid w:val="238E2BA1"/>
    <w:rsid w:val="23915FA1"/>
    <w:rsid w:val="23A5639B"/>
    <w:rsid w:val="23A67435"/>
    <w:rsid w:val="23AE4FF1"/>
    <w:rsid w:val="23BC770E"/>
    <w:rsid w:val="23D04F68"/>
    <w:rsid w:val="23FE3883"/>
    <w:rsid w:val="240F5A90"/>
    <w:rsid w:val="24106476"/>
    <w:rsid w:val="24162D28"/>
    <w:rsid w:val="241E49B5"/>
    <w:rsid w:val="24213888"/>
    <w:rsid w:val="24293F8F"/>
    <w:rsid w:val="243674C1"/>
    <w:rsid w:val="24380CC8"/>
    <w:rsid w:val="243A63CC"/>
    <w:rsid w:val="2468568B"/>
    <w:rsid w:val="246C10ED"/>
    <w:rsid w:val="24904744"/>
    <w:rsid w:val="249F3FA9"/>
    <w:rsid w:val="24C745BD"/>
    <w:rsid w:val="24C77BCA"/>
    <w:rsid w:val="24D83DB6"/>
    <w:rsid w:val="24DB2419"/>
    <w:rsid w:val="24DE5462"/>
    <w:rsid w:val="2505221B"/>
    <w:rsid w:val="25181323"/>
    <w:rsid w:val="252606F3"/>
    <w:rsid w:val="252F6C1F"/>
    <w:rsid w:val="25333A00"/>
    <w:rsid w:val="2536704D"/>
    <w:rsid w:val="25561143"/>
    <w:rsid w:val="255928EB"/>
    <w:rsid w:val="25781413"/>
    <w:rsid w:val="257A162F"/>
    <w:rsid w:val="257B7047"/>
    <w:rsid w:val="258C4EBE"/>
    <w:rsid w:val="259A146C"/>
    <w:rsid w:val="259D2BCF"/>
    <w:rsid w:val="25B43E15"/>
    <w:rsid w:val="25B44CD6"/>
    <w:rsid w:val="25C71167"/>
    <w:rsid w:val="25D07231"/>
    <w:rsid w:val="25D53C59"/>
    <w:rsid w:val="25D6438C"/>
    <w:rsid w:val="25E75A1D"/>
    <w:rsid w:val="25FC2044"/>
    <w:rsid w:val="26025181"/>
    <w:rsid w:val="2606007E"/>
    <w:rsid w:val="260F2A28"/>
    <w:rsid w:val="26176E7E"/>
    <w:rsid w:val="26201D24"/>
    <w:rsid w:val="262367AC"/>
    <w:rsid w:val="26265313"/>
    <w:rsid w:val="26322643"/>
    <w:rsid w:val="263631A5"/>
    <w:rsid w:val="2637667A"/>
    <w:rsid w:val="26655E3B"/>
    <w:rsid w:val="269F15EB"/>
    <w:rsid w:val="26A60202"/>
    <w:rsid w:val="26B35DCE"/>
    <w:rsid w:val="26BE19EF"/>
    <w:rsid w:val="26D7485F"/>
    <w:rsid w:val="26E24FAE"/>
    <w:rsid w:val="26F7280B"/>
    <w:rsid w:val="26F927DC"/>
    <w:rsid w:val="26FD42C6"/>
    <w:rsid w:val="27167136"/>
    <w:rsid w:val="27233DB5"/>
    <w:rsid w:val="27545EB0"/>
    <w:rsid w:val="2759312C"/>
    <w:rsid w:val="27734588"/>
    <w:rsid w:val="27781B9E"/>
    <w:rsid w:val="277F4CDB"/>
    <w:rsid w:val="2780146B"/>
    <w:rsid w:val="278231CA"/>
    <w:rsid w:val="2786250D"/>
    <w:rsid w:val="27914CC8"/>
    <w:rsid w:val="27A42993"/>
    <w:rsid w:val="27AA2337"/>
    <w:rsid w:val="27AC7A9A"/>
    <w:rsid w:val="27C565C7"/>
    <w:rsid w:val="27CF7A19"/>
    <w:rsid w:val="27D019DA"/>
    <w:rsid w:val="27D52687"/>
    <w:rsid w:val="27D8088F"/>
    <w:rsid w:val="27DA0163"/>
    <w:rsid w:val="28131C63"/>
    <w:rsid w:val="28150C75"/>
    <w:rsid w:val="282F222C"/>
    <w:rsid w:val="284D4DD9"/>
    <w:rsid w:val="28626D75"/>
    <w:rsid w:val="286914E7"/>
    <w:rsid w:val="286F3F95"/>
    <w:rsid w:val="287B7F79"/>
    <w:rsid w:val="28844573"/>
    <w:rsid w:val="288F4298"/>
    <w:rsid w:val="28A4024E"/>
    <w:rsid w:val="28BC481A"/>
    <w:rsid w:val="28C01A4F"/>
    <w:rsid w:val="28D92B11"/>
    <w:rsid w:val="28DB0637"/>
    <w:rsid w:val="28F434A6"/>
    <w:rsid w:val="28F57FB9"/>
    <w:rsid w:val="28FC23EA"/>
    <w:rsid w:val="28FC558A"/>
    <w:rsid w:val="29053273"/>
    <w:rsid w:val="290C61FF"/>
    <w:rsid w:val="291458F7"/>
    <w:rsid w:val="29290FE4"/>
    <w:rsid w:val="29376315"/>
    <w:rsid w:val="29462DE1"/>
    <w:rsid w:val="29567BFF"/>
    <w:rsid w:val="295F5B00"/>
    <w:rsid w:val="2973086F"/>
    <w:rsid w:val="29A273A6"/>
    <w:rsid w:val="29A30A29"/>
    <w:rsid w:val="29AA3515"/>
    <w:rsid w:val="29CD4DD1"/>
    <w:rsid w:val="29D86924"/>
    <w:rsid w:val="29ED6BDD"/>
    <w:rsid w:val="29EF3D8C"/>
    <w:rsid w:val="29F64E70"/>
    <w:rsid w:val="29FA073B"/>
    <w:rsid w:val="29FC66E6"/>
    <w:rsid w:val="2A042187"/>
    <w:rsid w:val="2A1061A1"/>
    <w:rsid w:val="2A200E38"/>
    <w:rsid w:val="2A2E29E8"/>
    <w:rsid w:val="2A306760"/>
    <w:rsid w:val="2A431C41"/>
    <w:rsid w:val="2A445BEE"/>
    <w:rsid w:val="2A4D7312"/>
    <w:rsid w:val="2A5341FD"/>
    <w:rsid w:val="2A5A1A2F"/>
    <w:rsid w:val="2A602202"/>
    <w:rsid w:val="2A6237E6"/>
    <w:rsid w:val="2A750617"/>
    <w:rsid w:val="2A7FF3BA"/>
    <w:rsid w:val="2A85159C"/>
    <w:rsid w:val="2A97058D"/>
    <w:rsid w:val="2A9A007E"/>
    <w:rsid w:val="2AC670C5"/>
    <w:rsid w:val="2ADD42BC"/>
    <w:rsid w:val="2B004385"/>
    <w:rsid w:val="2B033E75"/>
    <w:rsid w:val="2B0674C1"/>
    <w:rsid w:val="2B0F71F8"/>
    <w:rsid w:val="2B1716CE"/>
    <w:rsid w:val="2B193CEA"/>
    <w:rsid w:val="2B353322"/>
    <w:rsid w:val="2B37239C"/>
    <w:rsid w:val="2B3D7387"/>
    <w:rsid w:val="2B3E6C5B"/>
    <w:rsid w:val="2B5400F2"/>
    <w:rsid w:val="2B6A63EC"/>
    <w:rsid w:val="2B9D7E25"/>
    <w:rsid w:val="2BA50A88"/>
    <w:rsid w:val="2BB9468C"/>
    <w:rsid w:val="2BC2163A"/>
    <w:rsid w:val="2BD73CFD"/>
    <w:rsid w:val="2BE710A1"/>
    <w:rsid w:val="2C131E96"/>
    <w:rsid w:val="2C155109"/>
    <w:rsid w:val="2C2422F5"/>
    <w:rsid w:val="2C2474F0"/>
    <w:rsid w:val="2C2A71DF"/>
    <w:rsid w:val="2C41042A"/>
    <w:rsid w:val="2C4B2E8B"/>
    <w:rsid w:val="2C6F14EE"/>
    <w:rsid w:val="2C87095E"/>
    <w:rsid w:val="2C884632"/>
    <w:rsid w:val="2C892158"/>
    <w:rsid w:val="2C8F2CCE"/>
    <w:rsid w:val="2CC7543A"/>
    <w:rsid w:val="2CCF5161"/>
    <w:rsid w:val="2D0068BE"/>
    <w:rsid w:val="2D016192"/>
    <w:rsid w:val="2D063AA5"/>
    <w:rsid w:val="2D4B565F"/>
    <w:rsid w:val="2D546C0A"/>
    <w:rsid w:val="2D5B7F98"/>
    <w:rsid w:val="2D614E83"/>
    <w:rsid w:val="2D702E73"/>
    <w:rsid w:val="2D720E3E"/>
    <w:rsid w:val="2D8017AD"/>
    <w:rsid w:val="2D9E60D7"/>
    <w:rsid w:val="2DD077B2"/>
    <w:rsid w:val="2DDB3287"/>
    <w:rsid w:val="2DDD2CBF"/>
    <w:rsid w:val="2DE932D2"/>
    <w:rsid w:val="2DEE662F"/>
    <w:rsid w:val="2DF301D1"/>
    <w:rsid w:val="2E121DD7"/>
    <w:rsid w:val="2E1E4B22"/>
    <w:rsid w:val="2E28112D"/>
    <w:rsid w:val="2E3563A4"/>
    <w:rsid w:val="2E4E2D73"/>
    <w:rsid w:val="2E615CCD"/>
    <w:rsid w:val="2E7A444E"/>
    <w:rsid w:val="2EA35514"/>
    <w:rsid w:val="2EBB2326"/>
    <w:rsid w:val="2ED942C4"/>
    <w:rsid w:val="2EF04710"/>
    <w:rsid w:val="2EF97A69"/>
    <w:rsid w:val="2EFB4D0B"/>
    <w:rsid w:val="2F3445FD"/>
    <w:rsid w:val="2F37730B"/>
    <w:rsid w:val="2F4A02C4"/>
    <w:rsid w:val="2F666780"/>
    <w:rsid w:val="2F827A5E"/>
    <w:rsid w:val="2F845C8B"/>
    <w:rsid w:val="2F8A6913"/>
    <w:rsid w:val="2F8C268B"/>
    <w:rsid w:val="2F940B9B"/>
    <w:rsid w:val="2FAF6379"/>
    <w:rsid w:val="2FB35454"/>
    <w:rsid w:val="2FB83480"/>
    <w:rsid w:val="2FBE036A"/>
    <w:rsid w:val="2FBE65BC"/>
    <w:rsid w:val="2FC41ED7"/>
    <w:rsid w:val="2FCA4F61"/>
    <w:rsid w:val="2FD24B22"/>
    <w:rsid w:val="2FD8767E"/>
    <w:rsid w:val="2FDC47FC"/>
    <w:rsid w:val="2FE364D9"/>
    <w:rsid w:val="2FF11F73"/>
    <w:rsid w:val="2FF6EBD2"/>
    <w:rsid w:val="300761B5"/>
    <w:rsid w:val="3024533F"/>
    <w:rsid w:val="302610FC"/>
    <w:rsid w:val="30392F7A"/>
    <w:rsid w:val="30403475"/>
    <w:rsid w:val="3043586B"/>
    <w:rsid w:val="304C5976"/>
    <w:rsid w:val="3058256D"/>
    <w:rsid w:val="305A38D0"/>
    <w:rsid w:val="306E2419"/>
    <w:rsid w:val="30705B08"/>
    <w:rsid w:val="30727D7D"/>
    <w:rsid w:val="30766E97"/>
    <w:rsid w:val="3078676B"/>
    <w:rsid w:val="309243C0"/>
    <w:rsid w:val="309D2676"/>
    <w:rsid w:val="30A47610"/>
    <w:rsid w:val="30B71989"/>
    <w:rsid w:val="30E3277E"/>
    <w:rsid w:val="30E33504"/>
    <w:rsid w:val="30F4201C"/>
    <w:rsid w:val="30F524B2"/>
    <w:rsid w:val="30F6790D"/>
    <w:rsid w:val="30FF4B22"/>
    <w:rsid w:val="310B6BF3"/>
    <w:rsid w:val="312B3FDA"/>
    <w:rsid w:val="313703D4"/>
    <w:rsid w:val="31496359"/>
    <w:rsid w:val="31532D34"/>
    <w:rsid w:val="315C727B"/>
    <w:rsid w:val="316B1125"/>
    <w:rsid w:val="316D0BA9"/>
    <w:rsid w:val="3176774E"/>
    <w:rsid w:val="3183419F"/>
    <w:rsid w:val="31A627B9"/>
    <w:rsid w:val="31A62D61"/>
    <w:rsid w:val="31BB2DB3"/>
    <w:rsid w:val="31BC6B2B"/>
    <w:rsid w:val="31C9211B"/>
    <w:rsid w:val="31E513C0"/>
    <w:rsid w:val="31F60A7B"/>
    <w:rsid w:val="31F76721"/>
    <w:rsid w:val="31FC4E6F"/>
    <w:rsid w:val="32122CD4"/>
    <w:rsid w:val="32236C2E"/>
    <w:rsid w:val="322546D1"/>
    <w:rsid w:val="32425E75"/>
    <w:rsid w:val="32496611"/>
    <w:rsid w:val="32542002"/>
    <w:rsid w:val="32562ADC"/>
    <w:rsid w:val="32607DFF"/>
    <w:rsid w:val="3281224F"/>
    <w:rsid w:val="3296737C"/>
    <w:rsid w:val="329B2BE5"/>
    <w:rsid w:val="329F256E"/>
    <w:rsid w:val="32B242CA"/>
    <w:rsid w:val="32BB5035"/>
    <w:rsid w:val="32C65EB4"/>
    <w:rsid w:val="32CB34CA"/>
    <w:rsid w:val="32EE540A"/>
    <w:rsid w:val="33095248"/>
    <w:rsid w:val="33154745"/>
    <w:rsid w:val="331704BD"/>
    <w:rsid w:val="331E0C55"/>
    <w:rsid w:val="3330332D"/>
    <w:rsid w:val="3332198B"/>
    <w:rsid w:val="333D443C"/>
    <w:rsid w:val="335A65FC"/>
    <w:rsid w:val="335A7075"/>
    <w:rsid w:val="335D7410"/>
    <w:rsid w:val="3364747B"/>
    <w:rsid w:val="33661445"/>
    <w:rsid w:val="336D3EA4"/>
    <w:rsid w:val="33835B53"/>
    <w:rsid w:val="33841FF1"/>
    <w:rsid w:val="3384586B"/>
    <w:rsid w:val="33870E59"/>
    <w:rsid w:val="338F1270"/>
    <w:rsid w:val="338F7128"/>
    <w:rsid w:val="339A10EE"/>
    <w:rsid w:val="33A14FBA"/>
    <w:rsid w:val="33A342A9"/>
    <w:rsid w:val="33AC6E70"/>
    <w:rsid w:val="33B66E47"/>
    <w:rsid w:val="33C64EB5"/>
    <w:rsid w:val="33CF0EE6"/>
    <w:rsid w:val="33D44600"/>
    <w:rsid w:val="33DC674E"/>
    <w:rsid w:val="33EC6C5A"/>
    <w:rsid w:val="33F22CD8"/>
    <w:rsid w:val="33F456B4"/>
    <w:rsid w:val="33FE78CF"/>
    <w:rsid w:val="340622E0"/>
    <w:rsid w:val="340A0AB2"/>
    <w:rsid w:val="341713FC"/>
    <w:rsid w:val="342A00DC"/>
    <w:rsid w:val="34316ACF"/>
    <w:rsid w:val="343E641F"/>
    <w:rsid w:val="344468FB"/>
    <w:rsid w:val="345230EA"/>
    <w:rsid w:val="34526541"/>
    <w:rsid w:val="34541E69"/>
    <w:rsid w:val="3464195E"/>
    <w:rsid w:val="346A0AC1"/>
    <w:rsid w:val="347A51A8"/>
    <w:rsid w:val="34924BC9"/>
    <w:rsid w:val="34B6134C"/>
    <w:rsid w:val="34C74165"/>
    <w:rsid w:val="34CC74F6"/>
    <w:rsid w:val="34E00D83"/>
    <w:rsid w:val="34E751DD"/>
    <w:rsid w:val="34E924AB"/>
    <w:rsid w:val="34EB5A9A"/>
    <w:rsid w:val="34F211E2"/>
    <w:rsid w:val="350360C6"/>
    <w:rsid w:val="35061B43"/>
    <w:rsid w:val="350E58AA"/>
    <w:rsid w:val="352F64C7"/>
    <w:rsid w:val="3532618A"/>
    <w:rsid w:val="353C7D87"/>
    <w:rsid w:val="35531555"/>
    <w:rsid w:val="35615866"/>
    <w:rsid w:val="357563ED"/>
    <w:rsid w:val="359E269F"/>
    <w:rsid w:val="35A434F0"/>
    <w:rsid w:val="35A57EBA"/>
    <w:rsid w:val="35B77D36"/>
    <w:rsid w:val="35C012AA"/>
    <w:rsid w:val="35C249F4"/>
    <w:rsid w:val="35D17237"/>
    <w:rsid w:val="35ED4004"/>
    <w:rsid w:val="35ED7BFB"/>
    <w:rsid w:val="35EF74CF"/>
    <w:rsid w:val="35FC3D7E"/>
    <w:rsid w:val="36125819"/>
    <w:rsid w:val="36162CAE"/>
    <w:rsid w:val="362058DB"/>
    <w:rsid w:val="36246BDF"/>
    <w:rsid w:val="363D6170"/>
    <w:rsid w:val="36401C22"/>
    <w:rsid w:val="36525CB0"/>
    <w:rsid w:val="36570DD6"/>
    <w:rsid w:val="36590DED"/>
    <w:rsid w:val="365C268B"/>
    <w:rsid w:val="3660286C"/>
    <w:rsid w:val="367125DA"/>
    <w:rsid w:val="36747AE9"/>
    <w:rsid w:val="36913CE5"/>
    <w:rsid w:val="36AF6603"/>
    <w:rsid w:val="36B44275"/>
    <w:rsid w:val="36B4642D"/>
    <w:rsid w:val="36B91E63"/>
    <w:rsid w:val="36C4095C"/>
    <w:rsid w:val="36C546D4"/>
    <w:rsid w:val="36E97B08"/>
    <w:rsid w:val="371116C7"/>
    <w:rsid w:val="371F2EB5"/>
    <w:rsid w:val="37205FF6"/>
    <w:rsid w:val="372633C5"/>
    <w:rsid w:val="373272C1"/>
    <w:rsid w:val="374E46CA"/>
    <w:rsid w:val="375B2943"/>
    <w:rsid w:val="37602480"/>
    <w:rsid w:val="37625626"/>
    <w:rsid w:val="37865C12"/>
    <w:rsid w:val="378A5007"/>
    <w:rsid w:val="379876F3"/>
    <w:rsid w:val="379A16BD"/>
    <w:rsid w:val="37C404E8"/>
    <w:rsid w:val="37C624B2"/>
    <w:rsid w:val="37CD1A92"/>
    <w:rsid w:val="37CE6DD4"/>
    <w:rsid w:val="37D44BCF"/>
    <w:rsid w:val="37DA7D0B"/>
    <w:rsid w:val="37E06FFE"/>
    <w:rsid w:val="37E25508"/>
    <w:rsid w:val="38004C87"/>
    <w:rsid w:val="3808355A"/>
    <w:rsid w:val="3832770C"/>
    <w:rsid w:val="383907FA"/>
    <w:rsid w:val="383E120C"/>
    <w:rsid w:val="384855BD"/>
    <w:rsid w:val="38624A88"/>
    <w:rsid w:val="38664899"/>
    <w:rsid w:val="386C12AB"/>
    <w:rsid w:val="388760E5"/>
    <w:rsid w:val="38A5089C"/>
    <w:rsid w:val="38A670D3"/>
    <w:rsid w:val="38AA5930"/>
    <w:rsid w:val="38AE714C"/>
    <w:rsid w:val="38B1729A"/>
    <w:rsid w:val="38B60778"/>
    <w:rsid w:val="38DC3EDC"/>
    <w:rsid w:val="38FA68B7"/>
    <w:rsid w:val="38FB98C4"/>
    <w:rsid w:val="38FF20BA"/>
    <w:rsid w:val="391B4A7F"/>
    <w:rsid w:val="39202096"/>
    <w:rsid w:val="39394B01"/>
    <w:rsid w:val="394668D6"/>
    <w:rsid w:val="39477622"/>
    <w:rsid w:val="396E2E01"/>
    <w:rsid w:val="39777F08"/>
    <w:rsid w:val="39874323"/>
    <w:rsid w:val="398923B8"/>
    <w:rsid w:val="39A64349"/>
    <w:rsid w:val="39B62C55"/>
    <w:rsid w:val="39C03AB0"/>
    <w:rsid w:val="39CD5D7A"/>
    <w:rsid w:val="39D54C2E"/>
    <w:rsid w:val="39F50E2C"/>
    <w:rsid w:val="39F63BBE"/>
    <w:rsid w:val="3A126AF7"/>
    <w:rsid w:val="3A241712"/>
    <w:rsid w:val="3A2B2AA0"/>
    <w:rsid w:val="3A405A09"/>
    <w:rsid w:val="3A445910"/>
    <w:rsid w:val="3A47599D"/>
    <w:rsid w:val="3A6477A9"/>
    <w:rsid w:val="3A8B0640"/>
    <w:rsid w:val="3A950543"/>
    <w:rsid w:val="3A9932D4"/>
    <w:rsid w:val="3A9E7716"/>
    <w:rsid w:val="3AA0523C"/>
    <w:rsid w:val="3AA23F47"/>
    <w:rsid w:val="3AAA1C17"/>
    <w:rsid w:val="3AB365A7"/>
    <w:rsid w:val="3ABE2449"/>
    <w:rsid w:val="3ABE3914"/>
    <w:rsid w:val="3AC65AE3"/>
    <w:rsid w:val="3ADA56C8"/>
    <w:rsid w:val="3AE35129"/>
    <w:rsid w:val="3B00217F"/>
    <w:rsid w:val="3B082DE1"/>
    <w:rsid w:val="3B141C39"/>
    <w:rsid w:val="3B1F2B5E"/>
    <w:rsid w:val="3B20012B"/>
    <w:rsid w:val="3B251BE5"/>
    <w:rsid w:val="3B2A60E9"/>
    <w:rsid w:val="3B3360B0"/>
    <w:rsid w:val="3B506A3A"/>
    <w:rsid w:val="3B5B2B94"/>
    <w:rsid w:val="3B607364"/>
    <w:rsid w:val="3B7566C9"/>
    <w:rsid w:val="3B7641EF"/>
    <w:rsid w:val="3B7647E5"/>
    <w:rsid w:val="3B792ECF"/>
    <w:rsid w:val="3B827166"/>
    <w:rsid w:val="3B855DC3"/>
    <w:rsid w:val="3B9052B1"/>
    <w:rsid w:val="3B974891"/>
    <w:rsid w:val="3BA041DC"/>
    <w:rsid w:val="3BB16FD5"/>
    <w:rsid w:val="3BD21711"/>
    <w:rsid w:val="3BD54987"/>
    <w:rsid w:val="3BD80F0D"/>
    <w:rsid w:val="3BDA2944"/>
    <w:rsid w:val="3BDB85C8"/>
    <w:rsid w:val="3BE467D1"/>
    <w:rsid w:val="3BE62300"/>
    <w:rsid w:val="3BE63123"/>
    <w:rsid w:val="3BFF8581"/>
    <w:rsid w:val="3C066FA7"/>
    <w:rsid w:val="3C1C38AF"/>
    <w:rsid w:val="3C1C4D96"/>
    <w:rsid w:val="3C215F09"/>
    <w:rsid w:val="3C31001D"/>
    <w:rsid w:val="3C4B11D8"/>
    <w:rsid w:val="3C592A47"/>
    <w:rsid w:val="3C6F5B2F"/>
    <w:rsid w:val="3C926E07"/>
    <w:rsid w:val="3CB26F41"/>
    <w:rsid w:val="3CC17DD4"/>
    <w:rsid w:val="3CDD2778"/>
    <w:rsid w:val="3CDE204C"/>
    <w:rsid w:val="3CE277AA"/>
    <w:rsid w:val="3CE8111C"/>
    <w:rsid w:val="3CE9395A"/>
    <w:rsid w:val="3CEA279F"/>
    <w:rsid w:val="3CF03B2D"/>
    <w:rsid w:val="3CF46FDB"/>
    <w:rsid w:val="3D42082D"/>
    <w:rsid w:val="3D5E2F4D"/>
    <w:rsid w:val="3D5F3C0A"/>
    <w:rsid w:val="3D766728"/>
    <w:rsid w:val="3D7F382F"/>
    <w:rsid w:val="3D8F31BA"/>
    <w:rsid w:val="3D9B4E64"/>
    <w:rsid w:val="3D9F76BF"/>
    <w:rsid w:val="3DA70690"/>
    <w:rsid w:val="3DB84CF0"/>
    <w:rsid w:val="3DC54FBA"/>
    <w:rsid w:val="3DDB658B"/>
    <w:rsid w:val="3DDE6DA0"/>
    <w:rsid w:val="3DFA2303"/>
    <w:rsid w:val="3DFB09DB"/>
    <w:rsid w:val="3DFC2092"/>
    <w:rsid w:val="3E0E4BB3"/>
    <w:rsid w:val="3E12336F"/>
    <w:rsid w:val="3E3A13BC"/>
    <w:rsid w:val="3E3A37E1"/>
    <w:rsid w:val="3E6432A1"/>
    <w:rsid w:val="3E6B3DB3"/>
    <w:rsid w:val="3E7419D3"/>
    <w:rsid w:val="3E8B0813"/>
    <w:rsid w:val="3E90273A"/>
    <w:rsid w:val="3EA352FB"/>
    <w:rsid w:val="3EA846BF"/>
    <w:rsid w:val="3EBE3EE3"/>
    <w:rsid w:val="3EC534C3"/>
    <w:rsid w:val="3EC62D97"/>
    <w:rsid w:val="3ED835C0"/>
    <w:rsid w:val="3EE14075"/>
    <w:rsid w:val="3EE33949"/>
    <w:rsid w:val="3EE53B65"/>
    <w:rsid w:val="3EF97772"/>
    <w:rsid w:val="3EFF671D"/>
    <w:rsid w:val="3F012022"/>
    <w:rsid w:val="3F187179"/>
    <w:rsid w:val="3F261A88"/>
    <w:rsid w:val="3F2773A5"/>
    <w:rsid w:val="3F2859A4"/>
    <w:rsid w:val="3F3C7CCF"/>
    <w:rsid w:val="3F5D194E"/>
    <w:rsid w:val="3F6031EC"/>
    <w:rsid w:val="3F6251B6"/>
    <w:rsid w:val="3F7722E4"/>
    <w:rsid w:val="3F7D3370"/>
    <w:rsid w:val="3F8C5D8F"/>
    <w:rsid w:val="3FCC669D"/>
    <w:rsid w:val="3FD00372"/>
    <w:rsid w:val="3FD753EE"/>
    <w:rsid w:val="3FDD483D"/>
    <w:rsid w:val="3FE07E89"/>
    <w:rsid w:val="3FE69656"/>
    <w:rsid w:val="3FF77793"/>
    <w:rsid w:val="40095632"/>
    <w:rsid w:val="40142730"/>
    <w:rsid w:val="401A579E"/>
    <w:rsid w:val="402F22B4"/>
    <w:rsid w:val="407D110C"/>
    <w:rsid w:val="40864ED4"/>
    <w:rsid w:val="408C3992"/>
    <w:rsid w:val="409475F1"/>
    <w:rsid w:val="40A05314"/>
    <w:rsid w:val="40B732E0"/>
    <w:rsid w:val="40CA79F1"/>
    <w:rsid w:val="40F71321"/>
    <w:rsid w:val="41115F4D"/>
    <w:rsid w:val="411B561D"/>
    <w:rsid w:val="41200E85"/>
    <w:rsid w:val="41287D39"/>
    <w:rsid w:val="41306BEE"/>
    <w:rsid w:val="41326E0A"/>
    <w:rsid w:val="41361B95"/>
    <w:rsid w:val="41526B64"/>
    <w:rsid w:val="415E19AD"/>
    <w:rsid w:val="418A27A2"/>
    <w:rsid w:val="418E2292"/>
    <w:rsid w:val="41933A6D"/>
    <w:rsid w:val="41970AE1"/>
    <w:rsid w:val="419E624E"/>
    <w:rsid w:val="41A35612"/>
    <w:rsid w:val="41AE7C60"/>
    <w:rsid w:val="41B02C98"/>
    <w:rsid w:val="41B617E9"/>
    <w:rsid w:val="41C27B89"/>
    <w:rsid w:val="41C37A62"/>
    <w:rsid w:val="41CC6917"/>
    <w:rsid w:val="41CE08E1"/>
    <w:rsid w:val="41E87DEF"/>
    <w:rsid w:val="41F1637D"/>
    <w:rsid w:val="420A5691"/>
    <w:rsid w:val="421C7965"/>
    <w:rsid w:val="422634B4"/>
    <w:rsid w:val="422F678A"/>
    <w:rsid w:val="425410BD"/>
    <w:rsid w:val="42583355"/>
    <w:rsid w:val="426D63FE"/>
    <w:rsid w:val="42717F20"/>
    <w:rsid w:val="4276750D"/>
    <w:rsid w:val="428A37DB"/>
    <w:rsid w:val="428F6994"/>
    <w:rsid w:val="42957651"/>
    <w:rsid w:val="4297632A"/>
    <w:rsid w:val="429E4757"/>
    <w:rsid w:val="42A15FF5"/>
    <w:rsid w:val="42BE177B"/>
    <w:rsid w:val="42D31F27"/>
    <w:rsid w:val="42D55690"/>
    <w:rsid w:val="42DE3E28"/>
    <w:rsid w:val="42ED7CB9"/>
    <w:rsid w:val="43150B1F"/>
    <w:rsid w:val="431C567C"/>
    <w:rsid w:val="432D2509"/>
    <w:rsid w:val="433E55F2"/>
    <w:rsid w:val="434075BC"/>
    <w:rsid w:val="43421586"/>
    <w:rsid w:val="434370AD"/>
    <w:rsid w:val="436A31D4"/>
    <w:rsid w:val="436E5EB8"/>
    <w:rsid w:val="438A3F43"/>
    <w:rsid w:val="43900783"/>
    <w:rsid w:val="43905BEF"/>
    <w:rsid w:val="439971FA"/>
    <w:rsid w:val="43A833B4"/>
    <w:rsid w:val="43BD6E5F"/>
    <w:rsid w:val="43C53F65"/>
    <w:rsid w:val="43D16909"/>
    <w:rsid w:val="43F213F1"/>
    <w:rsid w:val="43F41FD8"/>
    <w:rsid w:val="43FA3B13"/>
    <w:rsid w:val="43FD19B4"/>
    <w:rsid w:val="43FD1DA6"/>
    <w:rsid w:val="44006D4C"/>
    <w:rsid w:val="440209A9"/>
    <w:rsid w:val="44047C33"/>
    <w:rsid w:val="441B3B85"/>
    <w:rsid w:val="444B19C8"/>
    <w:rsid w:val="44555820"/>
    <w:rsid w:val="44774926"/>
    <w:rsid w:val="44A21CDC"/>
    <w:rsid w:val="44C85ABB"/>
    <w:rsid w:val="44D65FFB"/>
    <w:rsid w:val="44DA134B"/>
    <w:rsid w:val="45050ABD"/>
    <w:rsid w:val="45234D20"/>
    <w:rsid w:val="45237196"/>
    <w:rsid w:val="45244CBC"/>
    <w:rsid w:val="452A5140"/>
    <w:rsid w:val="4535500F"/>
    <w:rsid w:val="454809AA"/>
    <w:rsid w:val="456974E5"/>
    <w:rsid w:val="457271D8"/>
    <w:rsid w:val="457F1EF2"/>
    <w:rsid w:val="45857508"/>
    <w:rsid w:val="458D79D2"/>
    <w:rsid w:val="45A82E9E"/>
    <w:rsid w:val="45AB64B6"/>
    <w:rsid w:val="45B1654F"/>
    <w:rsid w:val="45CE5353"/>
    <w:rsid w:val="45D40490"/>
    <w:rsid w:val="45E10B02"/>
    <w:rsid w:val="45ED1E9D"/>
    <w:rsid w:val="45F66658"/>
    <w:rsid w:val="46115240"/>
    <w:rsid w:val="461A0599"/>
    <w:rsid w:val="461B60BF"/>
    <w:rsid w:val="46352889"/>
    <w:rsid w:val="46362EF9"/>
    <w:rsid w:val="4649255C"/>
    <w:rsid w:val="46510A2F"/>
    <w:rsid w:val="46765CB1"/>
    <w:rsid w:val="46841EBD"/>
    <w:rsid w:val="46843C64"/>
    <w:rsid w:val="46974134"/>
    <w:rsid w:val="469C746C"/>
    <w:rsid w:val="46A47E62"/>
    <w:rsid w:val="46B651A1"/>
    <w:rsid w:val="46CE2315"/>
    <w:rsid w:val="46ED34FB"/>
    <w:rsid w:val="46F245F5"/>
    <w:rsid w:val="46F26E20"/>
    <w:rsid w:val="46FA5AAD"/>
    <w:rsid w:val="47113E40"/>
    <w:rsid w:val="47120309"/>
    <w:rsid w:val="472015A9"/>
    <w:rsid w:val="47234906"/>
    <w:rsid w:val="47282841"/>
    <w:rsid w:val="47354BD4"/>
    <w:rsid w:val="474E4E09"/>
    <w:rsid w:val="47867568"/>
    <w:rsid w:val="479A733C"/>
    <w:rsid w:val="479D7445"/>
    <w:rsid w:val="47A00374"/>
    <w:rsid w:val="47A46DFB"/>
    <w:rsid w:val="47E2414E"/>
    <w:rsid w:val="47E57A30"/>
    <w:rsid w:val="48083249"/>
    <w:rsid w:val="480E7A25"/>
    <w:rsid w:val="48180B08"/>
    <w:rsid w:val="484E4529"/>
    <w:rsid w:val="48561F5C"/>
    <w:rsid w:val="485D6071"/>
    <w:rsid w:val="48614BFD"/>
    <w:rsid w:val="4861515F"/>
    <w:rsid w:val="48790E7B"/>
    <w:rsid w:val="487B4BF3"/>
    <w:rsid w:val="487F2935"/>
    <w:rsid w:val="48B1532F"/>
    <w:rsid w:val="48C26B67"/>
    <w:rsid w:val="48C81442"/>
    <w:rsid w:val="48DB38E3"/>
    <w:rsid w:val="48E85B1A"/>
    <w:rsid w:val="490168B9"/>
    <w:rsid w:val="49080B7C"/>
    <w:rsid w:val="49465201"/>
    <w:rsid w:val="49523359"/>
    <w:rsid w:val="49662A11"/>
    <w:rsid w:val="496C156E"/>
    <w:rsid w:val="49831138"/>
    <w:rsid w:val="49997A26"/>
    <w:rsid w:val="49B51C43"/>
    <w:rsid w:val="49D36A87"/>
    <w:rsid w:val="49DE06CA"/>
    <w:rsid w:val="49E113CD"/>
    <w:rsid w:val="49E51A63"/>
    <w:rsid w:val="4A1452FF"/>
    <w:rsid w:val="4A1B043B"/>
    <w:rsid w:val="4A1B40A3"/>
    <w:rsid w:val="4A301681"/>
    <w:rsid w:val="4A396B13"/>
    <w:rsid w:val="4A5E4C5F"/>
    <w:rsid w:val="4A945EF9"/>
    <w:rsid w:val="4A9560CC"/>
    <w:rsid w:val="4A9B0F28"/>
    <w:rsid w:val="4AA04DE4"/>
    <w:rsid w:val="4AB850BF"/>
    <w:rsid w:val="4ABD14F2"/>
    <w:rsid w:val="4AC408E4"/>
    <w:rsid w:val="4ACC3E2B"/>
    <w:rsid w:val="4AD66A58"/>
    <w:rsid w:val="4ADD3943"/>
    <w:rsid w:val="4AE253FD"/>
    <w:rsid w:val="4AE5022F"/>
    <w:rsid w:val="4AE7656F"/>
    <w:rsid w:val="4AF313B8"/>
    <w:rsid w:val="4AFE15E2"/>
    <w:rsid w:val="4B4B11F4"/>
    <w:rsid w:val="4B4E4840"/>
    <w:rsid w:val="4B582E12"/>
    <w:rsid w:val="4B713354"/>
    <w:rsid w:val="4B7778F3"/>
    <w:rsid w:val="4BA60AB1"/>
    <w:rsid w:val="4BA95231"/>
    <w:rsid w:val="4BAF1783"/>
    <w:rsid w:val="4BB2670B"/>
    <w:rsid w:val="4BB365B5"/>
    <w:rsid w:val="4BBA0128"/>
    <w:rsid w:val="4BC114B6"/>
    <w:rsid w:val="4BCB7C3F"/>
    <w:rsid w:val="4BCF4955"/>
    <w:rsid w:val="4BDA3B82"/>
    <w:rsid w:val="4BE34546"/>
    <w:rsid w:val="4BE76F02"/>
    <w:rsid w:val="4BEB02E1"/>
    <w:rsid w:val="4BF03B4A"/>
    <w:rsid w:val="4BF37AF5"/>
    <w:rsid w:val="4BF94C2F"/>
    <w:rsid w:val="4BFA7575"/>
    <w:rsid w:val="4C0118B3"/>
    <w:rsid w:val="4C2630C7"/>
    <w:rsid w:val="4C40062D"/>
    <w:rsid w:val="4C416153"/>
    <w:rsid w:val="4C462F90"/>
    <w:rsid w:val="4C545E87"/>
    <w:rsid w:val="4C562B54"/>
    <w:rsid w:val="4C906769"/>
    <w:rsid w:val="4C9F7D96"/>
    <w:rsid w:val="4CA0243F"/>
    <w:rsid w:val="4CA666C3"/>
    <w:rsid w:val="4CC90623"/>
    <w:rsid w:val="4CE40E7D"/>
    <w:rsid w:val="4CE74F4D"/>
    <w:rsid w:val="4CEA3819"/>
    <w:rsid w:val="4CF84A64"/>
    <w:rsid w:val="4D1473C4"/>
    <w:rsid w:val="4D1A2C2C"/>
    <w:rsid w:val="4D241CFD"/>
    <w:rsid w:val="4D2E2B7B"/>
    <w:rsid w:val="4D3B0DF4"/>
    <w:rsid w:val="4D654113"/>
    <w:rsid w:val="4D6A4DD7"/>
    <w:rsid w:val="4DB35167"/>
    <w:rsid w:val="4DB55F14"/>
    <w:rsid w:val="4DDF102B"/>
    <w:rsid w:val="4DE33966"/>
    <w:rsid w:val="4DE96C85"/>
    <w:rsid w:val="4DEB45C9"/>
    <w:rsid w:val="4DEB6377"/>
    <w:rsid w:val="4E077171"/>
    <w:rsid w:val="4E1844A1"/>
    <w:rsid w:val="4E355844"/>
    <w:rsid w:val="4E376C89"/>
    <w:rsid w:val="4E4468A4"/>
    <w:rsid w:val="4E45017D"/>
    <w:rsid w:val="4E5B75AC"/>
    <w:rsid w:val="4E5E1120"/>
    <w:rsid w:val="4E6C51B8"/>
    <w:rsid w:val="4E6F1BD8"/>
    <w:rsid w:val="4E742810"/>
    <w:rsid w:val="4E9208C3"/>
    <w:rsid w:val="4EA84268"/>
    <w:rsid w:val="4EBD41B7"/>
    <w:rsid w:val="4EDA5678"/>
    <w:rsid w:val="4EDE6657"/>
    <w:rsid w:val="4EDF644C"/>
    <w:rsid w:val="4EEA4880"/>
    <w:rsid w:val="4EF23735"/>
    <w:rsid w:val="4EF86F9D"/>
    <w:rsid w:val="4EFB6C2C"/>
    <w:rsid w:val="4EFE20DA"/>
    <w:rsid w:val="4F0A0AD1"/>
    <w:rsid w:val="4F0C76FA"/>
    <w:rsid w:val="4F212F50"/>
    <w:rsid w:val="4F226DC8"/>
    <w:rsid w:val="4F234ACC"/>
    <w:rsid w:val="4F244236"/>
    <w:rsid w:val="4F2A7373"/>
    <w:rsid w:val="4F343D4D"/>
    <w:rsid w:val="4F3E697A"/>
    <w:rsid w:val="4F493C9D"/>
    <w:rsid w:val="4F5010E4"/>
    <w:rsid w:val="4F5A37B4"/>
    <w:rsid w:val="4F5E53C7"/>
    <w:rsid w:val="4F6351A5"/>
    <w:rsid w:val="4F7EFCB4"/>
    <w:rsid w:val="4F7F44DF"/>
    <w:rsid w:val="4F854876"/>
    <w:rsid w:val="4FA71C3F"/>
    <w:rsid w:val="4FAE5BAC"/>
    <w:rsid w:val="4FB01626"/>
    <w:rsid w:val="4FB11910"/>
    <w:rsid w:val="4FB530E0"/>
    <w:rsid w:val="4FB84E80"/>
    <w:rsid w:val="4FB854F8"/>
    <w:rsid w:val="4FBA3692"/>
    <w:rsid w:val="4FC715BA"/>
    <w:rsid w:val="4FCE41A2"/>
    <w:rsid w:val="4FDC1ACA"/>
    <w:rsid w:val="4FE985C7"/>
    <w:rsid w:val="500264E9"/>
    <w:rsid w:val="500C08AC"/>
    <w:rsid w:val="500E56FC"/>
    <w:rsid w:val="501C6CBB"/>
    <w:rsid w:val="501F0559"/>
    <w:rsid w:val="502703FE"/>
    <w:rsid w:val="505C668F"/>
    <w:rsid w:val="50601F36"/>
    <w:rsid w:val="507329BF"/>
    <w:rsid w:val="5079410E"/>
    <w:rsid w:val="50964CC0"/>
    <w:rsid w:val="50A6410D"/>
    <w:rsid w:val="50AB003F"/>
    <w:rsid w:val="50B94D1D"/>
    <w:rsid w:val="50C96457"/>
    <w:rsid w:val="50D25854"/>
    <w:rsid w:val="50D852D8"/>
    <w:rsid w:val="50FE0AB7"/>
    <w:rsid w:val="51042AC7"/>
    <w:rsid w:val="51085492"/>
    <w:rsid w:val="511115E0"/>
    <w:rsid w:val="51207956"/>
    <w:rsid w:val="512978E2"/>
    <w:rsid w:val="51330760"/>
    <w:rsid w:val="51346847"/>
    <w:rsid w:val="51475669"/>
    <w:rsid w:val="515D758B"/>
    <w:rsid w:val="5161537B"/>
    <w:rsid w:val="516C5CF7"/>
    <w:rsid w:val="51786173"/>
    <w:rsid w:val="517D7266"/>
    <w:rsid w:val="5181771E"/>
    <w:rsid w:val="51867B3E"/>
    <w:rsid w:val="519D3E2C"/>
    <w:rsid w:val="51A575B0"/>
    <w:rsid w:val="51AF6AC8"/>
    <w:rsid w:val="51C25FE7"/>
    <w:rsid w:val="51C969CF"/>
    <w:rsid w:val="51D33CF1"/>
    <w:rsid w:val="51D3545F"/>
    <w:rsid w:val="51E1510C"/>
    <w:rsid w:val="51E2385D"/>
    <w:rsid w:val="51FF4AE6"/>
    <w:rsid w:val="520774F7"/>
    <w:rsid w:val="520C5A74"/>
    <w:rsid w:val="522B58DB"/>
    <w:rsid w:val="522E2CD6"/>
    <w:rsid w:val="523522B6"/>
    <w:rsid w:val="523D3E11"/>
    <w:rsid w:val="524467E0"/>
    <w:rsid w:val="524C2569"/>
    <w:rsid w:val="524D5852"/>
    <w:rsid w:val="525564B4"/>
    <w:rsid w:val="525941F7"/>
    <w:rsid w:val="525B75EF"/>
    <w:rsid w:val="525E35BB"/>
    <w:rsid w:val="526341EB"/>
    <w:rsid w:val="52666914"/>
    <w:rsid w:val="5267529D"/>
    <w:rsid w:val="5269686F"/>
    <w:rsid w:val="527116E6"/>
    <w:rsid w:val="527C0E43"/>
    <w:rsid w:val="52902DFA"/>
    <w:rsid w:val="52992845"/>
    <w:rsid w:val="52D725C8"/>
    <w:rsid w:val="52DB2E5E"/>
    <w:rsid w:val="52DC2732"/>
    <w:rsid w:val="52F64D27"/>
    <w:rsid w:val="52FE6B4C"/>
    <w:rsid w:val="530E3233"/>
    <w:rsid w:val="53135B7C"/>
    <w:rsid w:val="5314011E"/>
    <w:rsid w:val="53146A66"/>
    <w:rsid w:val="53157191"/>
    <w:rsid w:val="53360094"/>
    <w:rsid w:val="536B319B"/>
    <w:rsid w:val="53740BBC"/>
    <w:rsid w:val="53755060"/>
    <w:rsid w:val="53A1287F"/>
    <w:rsid w:val="53A133BA"/>
    <w:rsid w:val="53A6051D"/>
    <w:rsid w:val="53AF2171"/>
    <w:rsid w:val="53B37937"/>
    <w:rsid w:val="53B60FA0"/>
    <w:rsid w:val="53B92BD0"/>
    <w:rsid w:val="53C27B7A"/>
    <w:rsid w:val="53CA4C80"/>
    <w:rsid w:val="53CF48A7"/>
    <w:rsid w:val="53D27C3B"/>
    <w:rsid w:val="53E61F03"/>
    <w:rsid w:val="53E81EA7"/>
    <w:rsid w:val="5406215C"/>
    <w:rsid w:val="541B2D69"/>
    <w:rsid w:val="542E6C2A"/>
    <w:rsid w:val="543C5B7E"/>
    <w:rsid w:val="543F566E"/>
    <w:rsid w:val="545C3B2A"/>
    <w:rsid w:val="547215A0"/>
    <w:rsid w:val="549F610D"/>
    <w:rsid w:val="54AD677F"/>
    <w:rsid w:val="54BE47E5"/>
    <w:rsid w:val="54BE5581"/>
    <w:rsid w:val="54BF230B"/>
    <w:rsid w:val="54C3413E"/>
    <w:rsid w:val="54C343AC"/>
    <w:rsid w:val="54C87412"/>
    <w:rsid w:val="54E3424B"/>
    <w:rsid w:val="54E67898"/>
    <w:rsid w:val="54EC3ADA"/>
    <w:rsid w:val="54FF095A"/>
    <w:rsid w:val="54FF7783"/>
    <w:rsid w:val="550B72FE"/>
    <w:rsid w:val="550C37A2"/>
    <w:rsid w:val="55124B31"/>
    <w:rsid w:val="55195ED1"/>
    <w:rsid w:val="55222FC6"/>
    <w:rsid w:val="552503C0"/>
    <w:rsid w:val="55356592"/>
    <w:rsid w:val="55363B79"/>
    <w:rsid w:val="553757FC"/>
    <w:rsid w:val="553920BD"/>
    <w:rsid w:val="553B086B"/>
    <w:rsid w:val="55523CC0"/>
    <w:rsid w:val="55561A9C"/>
    <w:rsid w:val="55690BF5"/>
    <w:rsid w:val="556C5FEF"/>
    <w:rsid w:val="556E259A"/>
    <w:rsid w:val="55886BA1"/>
    <w:rsid w:val="55A0038E"/>
    <w:rsid w:val="55A13EAF"/>
    <w:rsid w:val="55A531BA"/>
    <w:rsid w:val="55E4027B"/>
    <w:rsid w:val="55F12998"/>
    <w:rsid w:val="55F85AD5"/>
    <w:rsid w:val="56113BC9"/>
    <w:rsid w:val="5621327D"/>
    <w:rsid w:val="562C774E"/>
    <w:rsid w:val="563F6BD5"/>
    <w:rsid w:val="565E627F"/>
    <w:rsid w:val="56621F53"/>
    <w:rsid w:val="56654B63"/>
    <w:rsid w:val="566D4FAA"/>
    <w:rsid w:val="566D64C3"/>
    <w:rsid w:val="5677F382"/>
    <w:rsid w:val="567F6CCF"/>
    <w:rsid w:val="568052DE"/>
    <w:rsid w:val="56A84A65"/>
    <w:rsid w:val="56AF6ADB"/>
    <w:rsid w:val="56B2576C"/>
    <w:rsid w:val="56B9194B"/>
    <w:rsid w:val="56C33BDD"/>
    <w:rsid w:val="56DA167E"/>
    <w:rsid w:val="56E40324"/>
    <w:rsid w:val="56EE5088"/>
    <w:rsid w:val="56EFBCE7"/>
    <w:rsid w:val="56F79C35"/>
    <w:rsid w:val="570916A0"/>
    <w:rsid w:val="571006E4"/>
    <w:rsid w:val="57191362"/>
    <w:rsid w:val="57680A38"/>
    <w:rsid w:val="57785D2A"/>
    <w:rsid w:val="577949F3"/>
    <w:rsid w:val="57E502DB"/>
    <w:rsid w:val="58107F88"/>
    <w:rsid w:val="582C2D91"/>
    <w:rsid w:val="58373846"/>
    <w:rsid w:val="583D01CF"/>
    <w:rsid w:val="5844151B"/>
    <w:rsid w:val="58577D85"/>
    <w:rsid w:val="586475A6"/>
    <w:rsid w:val="586D1D32"/>
    <w:rsid w:val="586E207E"/>
    <w:rsid w:val="58810003"/>
    <w:rsid w:val="58831FCD"/>
    <w:rsid w:val="588A3598"/>
    <w:rsid w:val="588C0756"/>
    <w:rsid w:val="5899321A"/>
    <w:rsid w:val="58C63C68"/>
    <w:rsid w:val="58D50A2B"/>
    <w:rsid w:val="58EC0D07"/>
    <w:rsid w:val="58F702C5"/>
    <w:rsid w:val="59092819"/>
    <w:rsid w:val="59142C25"/>
    <w:rsid w:val="591A2160"/>
    <w:rsid w:val="5923730C"/>
    <w:rsid w:val="593F501F"/>
    <w:rsid w:val="59401C6C"/>
    <w:rsid w:val="59487733"/>
    <w:rsid w:val="595C4F2E"/>
    <w:rsid w:val="596949DD"/>
    <w:rsid w:val="59707498"/>
    <w:rsid w:val="597F1167"/>
    <w:rsid w:val="59A22076"/>
    <w:rsid w:val="59C21056"/>
    <w:rsid w:val="59C363FA"/>
    <w:rsid w:val="59C74AA1"/>
    <w:rsid w:val="59E25784"/>
    <w:rsid w:val="59F111B9"/>
    <w:rsid w:val="59F44805"/>
    <w:rsid w:val="5A0013FC"/>
    <w:rsid w:val="5A407A4A"/>
    <w:rsid w:val="5A4E09B0"/>
    <w:rsid w:val="5A56B2A4"/>
    <w:rsid w:val="5A6A4308"/>
    <w:rsid w:val="5A6D05DB"/>
    <w:rsid w:val="5A736072"/>
    <w:rsid w:val="5A7B0A82"/>
    <w:rsid w:val="5A876EE7"/>
    <w:rsid w:val="5A9C02D5"/>
    <w:rsid w:val="5AA13369"/>
    <w:rsid w:val="5AA44386"/>
    <w:rsid w:val="5AA867D1"/>
    <w:rsid w:val="5AA94A6E"/>
    <w:rsid w:val="5AB05047"/>
    <w:rsid w:val="5ABA15AB"/>
    <w:rsid w:val="5AC93EE4"/>
    <w:rsid w:val="5AE26D53"/>
    <w:rsid w:val="5AE723C6"/>
    <w:rsid w:val="5AEA041D"/>
    <w:rsid w:val="5AF01470"/>
    <w:rsid w:val="5AFE1DDF"/>
    <w:rsid w:val="5B0E2E46"/>
    <w:rsid w:val="5B116199"/>
    <w:rsid w:val="5B1834F7"/>
    <w:rsid w:val="5B48365A"/>
    <w:rsid w:val="5B7633B4"/>
    <w:rsid w:val="5BD743DE"/>
    <w:rsid w:val="5BF07EDE"/>
    <w:rsid w:val="5BF60D08"/>
    <w:rsid w:val="5BFA07CE"/>
    <w:rsid w:val="5C0C052C"/>
    <w:rsid w:val="5C1271C4"/>
    <w:rsid w:val="5C237623"/>
    <w:rsid w:val="5C2631A6"/>
    <w:rsid w:val="5C276FB7"/>
    <w:rsid w:val="5C4D4754"/>
    <w:rsid w:val="5C6F429B"/>
    <w:rsid w:val="5C700ABB"/>
    <w:rsid w:val="5C7F56DC"/>
    <w:rsid w:val="5C9C6B0B"/>
    <w:rsid w:val="5C9D3DA7"/>
    <w:rsid w:val="5CA249EC"/>
    <w:rsid w:val="5CA644DC"/>
    <w:rsid w:val="5CA7449A"/>
    <w:rsid w:val="5CBD35D4"/>
    <w:rsid w:val="5CC67A71"/>
    <w:rsid w:val="5CCE6402"/>
    <w:rsid w:val="5CD050B5"/>
    <w:rsid w:val="5CDC6150"/>
    <w:rsid w:val="5CFE308C"/>
    <w:rsid w:val="5D192F00"/>
    <w:rsid w:val="5D1A517B"/>
    <w:rsid w:val="5D1C479E"/>
    <w:rsid w:val="5D1D4002"/>
    <w:rsid w:val="5D2E6280"/>
    <w:rsid w:val="5D4476A0"/>
    <w:rsid w:val="5D46181B"/>
    <w:rsid w:val="5D605600"/>
    <w:rsid w:val="5D635829"/>
    <w:rsid w:val="5D6D3B91"/>
    <w:rsid w:val="5D7B1BAB"/>
    <w:rsid w:val="5D801B4F"/>
    <w:rsid w:val="5D9E1657"/>
    <w:rsid w:val="5D9E3405"/>
    <w:rsid w:val="5DA1635C"/>
    <w:rsid w:val="5DA828DC"/>
    <w:rsid w:val="5DBB5D65"/>
    <w:rsid w:val="5DBB6CD7"/>
    <w:rsid w:val="5DD35E0B"/>
    <w:rsid w:val="5DDB1F64"/>
    <w:rsid w:val="5DE80B25"/>
    <w:rsid w:val="5DEA6951"/>
    <w:rsid w:val="5DFC408A"/>
    <w:rsid w:val="5E162F9C"/>
    <w:rsid w:val="5E316028"/>
    <w:rsid w:val="5E343D6A"/>
    <w:rsid w:val="5E436EA1"/>
    <w:rsid w:val="5E6737F7"/>
    <w:rsid w:val="5E6E5F24"/>
    <w:rsid w:val="5EA06D09"/>
    <w:rsid w:val="5EA17B8B"/>
    <w:rsid w:val="5EAB4A36"/>
    <w:rsid w:val="5EB21B8E"/>
    <w:rsid w:val="5EB729BA"/>
    <w:rsid w:val="5EBC3661"/>
    <w:rsid w:val="5ECC1698"/>
    <w:rsid w:val="5EE94B54"/>
    <w:rsid w:val="5EEC0726"/>
    <w:rsid w:val="5EF07C91"/>
    <w:rsid w:val="5EF26FBB"/>
    <w:rsid w:val="5F132FF0"/>
    <w:rsid w:val="5F1A6ABC"/>
    <w:rsid w:val="5F1E0A25"/>
    <w:rsid w:val="5F1E3BFB"/>
    <w:rsid w:val="5F2A371A"/>
    <w:rsid w:val="5F335DCF"/>
    <w:rsid w:val="5F337B7D"/>
    <w:rsid w:val="5F37766E"/>
    <w:rsid w:val="5F5572F2"/>
    <w:rsid w:val="5F6103B4"/>
    <w:rsid w:val="5F6CADD2"/>
    <w:rsid w:val="5F702B80"/>
    <w:rsid w:val="5F710660"/>
    <w:rsid w:val="5F73189A"/>
    <w:rsid w:val="5F7C1524"/>
    <w:rsid w:val="5F824661"/>
    <w:rsid w:val="5F97010C"/>
    <w:rsid w:val="5F9C3975"/>
    <w:rsid w:val="5FCC1544"/>
    <w:rsid w:val="5FD01870"/>
    <w:rsid w:val="5FE77D07"/>
    <w:rsid w:val="5FEE2EC4"/>
    <w:rsid w:val="5FEFCB6A"/>
    <w:rsid w:val="5FF90DC7"/>
    <w:rsid w:val="5FF92B75"/>
    <w:rsid w:val="60152F95"/>
    <w:rsid w:val="60204437"/>
    <w:rsid w:val="60211516"/>
    <w:rsid w:val="60301004"/>
    <w:rsid w:val="60382473"/>
    <w:rsid w:val="603B26DF"/>
    <w:rsid w:val="603E67DA"/>
    <w:rsid w:val="604F1CFF"/>
    <w:rsid w:val="605204D7"/>
    <w:rsid w:val="605E3790"/>
    <w:rsid w:val="606F1089"/>
    <w:rsid w:val="607E751E"/>
    <w:rsid w:val="60820DBC"/>
    <w:rsid w:val="609B1E7E"/>
    <w:rsid w:val="60A725D1"/>
    <w:rsid w:val="60C81BC8"/>
    <w:rsid w:val="60CA5C5B"/>
    <w:rsid w:val="60E45417"/>
    <w:rsid w:val="60EA0710"/>
    <w:rsid w:val="61025A59"/>
    <w:rsid w:val="6110461A"/>
    <w:rsid w:val="61161505"/>
    <w:rsid w:val="613227E3"/>
    <w:rsid w:val="613335B3"/>
    <w:rsid w:val="61333E65"/>
    <w:rsid w:val="613876CD"/>
    <w:rsid w:val="613F0A5C"/>
    <w:rsid w:val="614C5210"/>
    <w:rsid w:val="61550DBD"/>
    <w:rsid w:val="616404C2"/>
    <w:rsid w:val="616A6E87"/>
    <w:rsid w:val="617701F5"/>
    <w:rsid w:val="618F2C11"/>
    <w:rsid w:val="61907509"/>
    <w:rsid w:val="61936344"/>
    <w:rsid w:val="6198016C"/>
    <w:rsid w:val="619E1C26"/>
    <w:rsid w:val="61AC071D"/>
    <w:rsid w:val="61B11535"/>
    <w:rsid w:val="61B937B8"/>
    <w:rsid w:val="61D34BF9"/>
    <w:rsid w:val="61D94A0C"/>
    <w:rsid w:val="61E1416E"/>
    <w:rsid w:val="61E45BE1"/>
    <w:rsid w:val="61EF2482"/>
    <w:rsid w:val="61F25ACE"/>
    <w:rsid w:val="61FC06FB"/>
    <w:rsid w:val="620E7C5F"/>
    <w:rsid w:val="62143C96"/>
    <w:rsid w:val="62161BC7"/>
    <w:rsid w:val="6220088D"/>
    <w:rsid w:val="623B56C7"/>
    <w:rsid w:val="62403290"/>
    <w:rsid w:val="624D667E"/>
    <w:rsid w:val="624F2F20"/>
    <w:rsid w:val="626D4A1D"/>
    <w:rsid w:val="627E3805"/>
    <w:rsid w:val="628C4608"/>
    <w:rsid w:val="62944DD7"/>
    <w:rsid w:val="62966DA1"/>
    <w:rsid w:val="62C162DF"/>
    <w:rsid w:val="62C31218"/>
    <w:rsid w:val="62C52604"/>
    <w:rsid w:val="62E74267"/>
    <w:rsid w:val="6337271C"/>
    <w:rsid w:val="633B16F7"/>
    <w:rsid w:val="6341070D"/>
    <w:rsid w:val="63493E13"/>
    <w:rsid w:val="634C56B2"/>
    <w:rsid w:val="635D78BF"/>
    <w:rsid w:val="636D679A"/>
    <w:rsid w:val="63770981"/>
    <w:rsid w:val="637901FC"/>
    <w:rsid w:val="63882ED5"/>
    <w:rsid w:val="638C3E3F"/>
    <w:rsid w:val="63972DD1"/>
    <w:rsid w:val="63A075C4"/>
    <w:rsid w:val="63A92582"/>
    <w:rsid w:val="63BB361B"/>
    <w:rsid w:val="63C27722"/>
    <w:rsid w:val="63C52A41"/>
    <w:rsid w:val="63DF6146"/>
    <w:rsid w:val="63E40472"/>
    <w:rsid w:val="642C2FFF"/>
    <w:rsid w:val="64427DEE"/>
    <w:rsid w:val="64444777"/>
    <w:rsid w:val="644B139F"/>
    <w:rsid w:val="644C3BBB"/>
    <w:rsid w:val="644F5459"/>
    <w:rsid w:val="646C5FB1"/>
    <w:rsid w:val="64793B97"/>
    <w:rsid w:val="647B5FF0"/>
    <w:rsid w:val="64842818"/>
    <w:rsid w:val="649B4C85"/>
    <w:rsid w:val="64AD5650"/>
    <w:rsid w:val="64B63FEE"/>
    <w:rsid w:val="64C64FF0"/>
    <w:rsid w:val="64E421D7"/>
    <w:rsid w:val="64E536C8"/>
    <w:rsid w:val="65000502"/>
    <w:rsid w:val="651A1B13"/>
    <w:rsid w:val="651D5558"/>
    <w:rsid w:val="653603C7"/>
    <w:rsid w:val="653B778C"/>
    <w:rsid w:val="654900FB"/>
    <w:rsid w:val="65490704"/>
    <w:rsid w:val="65662D40"/>
    <w:rsid w:val="657A6506"/>
    <w:rsid w:val="658E3D60"/>
    <w:rsid w:val="65975ABE"/>
    <w:rsid w:val="65980C88"/>
    <w:rsid w:val="65C15EE3"/>
    <w:rsid w:val="65E358B9"/>
    <w:rsid w:val="65F6028D"/>
    <w:rsid w:val="65FC3B45"/>
    <w:rsid w:val="66094559"/>
    <w:rsid w:val="660B1854"/>
    <w:rsid w:val="661D6515"/>
    <w:rsid w:val="662C3362"/>
    <w:rsid w:val="66377F53"/>
    <w:rsid w:val="66486604"/>
    <w:rsid w:val="664D59C9"/>
    <w:rsid w:val="664D5FF4"/>
    <w:rsid w:val="6677416F"/>
    <w:rsid w:val="667E2026"/>
    <w:rsid w:val="66903B07"/>
    <w:rsid w:val="669C06FE"/>
    <w:rsid w:val="66AF21DF"/>
    <w:rsid w:val="66C34FCC"/>
    <w:rsid w:val="66EA3BE6"/>
    <w:rsid w:val="66FE6CC3"/>
    <w:rsid w:val="6721001D"/>
    <w:rsid w:val="67334BBF"/>
    <w:rsid w:val="6739419F"/>
    <w:rsid w:val="674768BC"/>
    <w:rsid w:val="674A1F08"/>
    <w:rsid w:val="677D4646"/>
    <w:rsid w:val="678629DB"/>
    <w:rsid w:val="6791687C"/>
    <w:rsid w:val="679259FF"/>
    <w:rsid w:val="679744DF"/>
    <w:rsid w:val="67980EC5"/>
    <w:rsid w:val="679F2254"/>
    <w:rsid w:val="67A45ABC"/>
    <w:rsid w:val="67A80828"/>
    <w:rsid w:val="67C1041C"/>
    <w:rsid w:val="67C47140"/>
    <w:rsid w:val="67C577BD"/>
    <w:rsid w:val="681D3F04"/>
    <w:rsid w:val="682E5386"/>
    <w:rsid w:val="68354427"/>
    <w:rsid w:val="68430E0B"/>
    <w:rsid w:val="684E77D6"/>
    <w:rsid w:val="686F41A0"/>
    <w:rsid w:val="6873723D"/>
    <w:rsid w:val="68752FB5"/>
    <w:rsid w:val="687C5E53"/>
    <w:rsid w:val="687E455F"/>
    <w:rsid w:val="68803A39"/>
    <w:rsid w:val="68953657"/>
    <w:rsid w:val="689B3CF8"/>
    <w:rsid w:val="689C69F1"/>
    <w:rsid w:val="689E3048"/>
    <w:rsid w:val="68B66537"/>
    <w:rsid w:val="68B7625C"/>
    <w:rsid w:val="68B9412F"/>
    <w:rsid w:val="68BE07D7"/>
    <w:rsid w:val="68C0757E"/>
    <w:rsid w:val="68C44E48"/>
    <w:rsid w:val="68CA77A4"/>
    <w:rsid w:val="68D12617"/>
    <w:rsid w:val="68DE6DAC"/>
    <w:rsid w:val="68E24BB9"/>
    <w:rsid w:val="68F14D31"/>
    <w:rsid w:val="68F16ADF"/>
    <w:rsid w:val="68FA02C2"/>
    <w:rsid w:val="68FC7232"/>
    <w:rsid w:val="690533C7"/>
    <w:rsid w:val="69064ECD"/>
    <w:rsid w:val="69117181"/>
    <w:rsid w:val="691B590A"/>
    <w:rsid w:val="692F585A"/>
    <w:rsid w:val="69344C1E"/>
    <w:rsid w:val="6944742F"/>
    <w:rsid w:val="69486D80"/>
    <w:rsid w:val="694F07A9"/>
    <w:rsid w:val="69502F14"/>
    <w:rsid w:val="69613711"/>
    <w:rsid w:val="696279DD"/>
    <w:rsid w:val="69847953"/>
    <w:rsid w:val="69B018C1"/>
    <w:rsid w:val="69B33D95"/>
    <w:rsid w:val="69DF4B8A"/>
    <w:rsid w:val="69F85C4B"/>
    <w:rsid w:val="69FF1A78"/>
    <w:rsid w:val="6A010FA4"/>
    <w:rsid w:val="6A22006E"/>
    <w:rsid w:val="6A232E0D"/>
    <w:rsid w:val="6A2536C5"/>
    <w:rsid w:val="6A2A7525"/>
    <w:rsid w:val="6A436FC0"/>
    <w:rsid w:val="6A5F748C"/>
    <w:rsid w:val="6A6634FD"/>
    <w:rsid w:val="6A7259FE"/>
    <w:rsid w:val="6A7C062B"/>
    <w:rsid w:val="6A841D70"/>
    <w:rsid w:val="6AE85CC0"/>
    <w:rsid w:val="6AF61265"/>
    <w:rsid w:val="6B083125"/>
    <w:rsid w:val="6B0A032C"/>
    <w:rsid w:val="6B0A3E88"/>
    <w:rsid w:val="6B0B007F"/>
    <w:rsid w:val="6B133FD7"/>
    <w:rsid w:val="6B297183"/>
    <w:rsid w:val="6B4E5CCB"/>
    <w:rsid w:val="6B833C3B"/>
    <w:rsid w:val="6B8A321B"/>
    <w:rsid w:val="6BA53BB1"/>
    <w:rsid w:val="6BB6110A"/>
    <w:rsid w:val="6BBA12EE"/>
    <w:rsid w:val="6BC57F00"/>
    <w:rsid w:val="6BE36266"/>
    <w:rsid w:val="6BE741CA"/>
    <w:rsid w:val="6C094140"/>
    <w:rsid w:val="6C0C1E82"/>
    <w:rsid w:val="6C134FBF"/>
    <w:rsid w:val="6C1C3133"/>
    <w:rsid w:val="6C330ED2"/>
    <w:rsid w:val="6C335661"/>
    <w:rsid w:val="6C3527D4"/>
    <w:rsid w:val="6C3867D3"/>
    <w:rsid w:val="6C537AB1"/>
    <w:rsid w:val="6C5B0466"/>
    <w:rsid w:val="6C5F0204"/>
    <w:rsid w:val="6C643B3D"/>
    <w:rsid w:val="6C674CA3"/>
    <w:rsid w:val="6C6770B8"/>
    <w:rsid w:val="6C6B17D9"/>
    <w:rsid w:val="6C7C7008"/>
    <w:rsid w:val="6C7D081B"/>
    <w:rsid w:val="6C847C6A"/>
    <w:rsid w:val="6C8F45A2"/>
    <w:rsid w:val="6C922387"/>
    <w:rsid w:val="6CC369E5"/>
    <w:rsid w:val="6CC47E5A"/>
    <w:rsid w:val="6CD26C28"/>
    <w:rsid w:val="6CD96208"/>
    <w:rsid w:val="6CDB1543"/>
    <w:rsid w:val="6CDE737B"/>
    <w:rsid w:val="6CED272F"/>
    <w:rsid w:val="6CF77E48"/>
    <w:rsid w:val="6CFE7A1D"/>
    <w:rsid w:val="6D142D9C"/>
    <w:rsid w:val="6D152C7A"/>
    <w:rsid w:val="6D3276C6"/>
    <w:rsid w:val="6D3708FB"/>
    <w:rsid w:val="6D3E250F"/>
    <w:rsid w:val="6D401DE3"/>
    <w:rsid w:val="6D4C769A"/>
    <w:rsid w:val="6D5238C5"/>
    <w:rsid w:val="6D5835D1"/>
    <w:rsid w:val="6D632B13"/>
    <w:rsid w:val="6D8A305E"/>
    <w:rsid w:val="6D8C6AB1"/>
    <w:rsid w:val="6D9050BE"/>
    <w:rsid w:val="6D964261"/>
    <w:rsid w:val="6DB36A59"/>
    <w:rsid w:val="6DB41A6A"/>
    <w:rsid w:val="6DBE0F5A"/>
    <w:rsid w:val="6DC36570"/>
    <w:rsid w:val="6DC53514"/>
    <w:rsid w:val="6DFD26E1"/>
    <w:rsid w:val="6E3B07FD"/>
    <w:rsid w:val="6E40436D"/>
    <w:rsid w:val="6E4A456A"/>
    <w:rsid w:val="6E5518BE"/>
    <w:rsid w:val="6E603434"/>
    <w:rsid w:val="6E645F09"/>
    <w:rsid w:val="6E777A87"/>
    <w:rsid w:val="6E7865D7"/>
    <w:rsid w:val="6E7C1B49"/>
    <w:rsid w:val="6E9835C9"/>
    <w:rsid w:val="6E9B56B7"/>
    <w:rsid w:val="6E9D0F19"/>
    <w:rsid w:val="6EA00A64"/>
    <w:rsid w:val="6EA13F6B"/>
    <w:rsid w:val="6EB81E4D"/>
    <w:rsid w:val="6EBA5BC5"/>
    <w:rsid w:val="6EEA46FD"/>
    <w:rsid w:val="6F101C89"/>
    <w:rsid w:val="6F152D9A"/>
    <w:rsid w:val="6F5B1846"/>
    <w:rsid w:val="6F600666"/>
    <w:rsid w:val="6F6354D2"/>
    <w:rsid w:val="6F87083E"/>
    <w:rsid w:val="6FA526CF"/>
    <w:rsid w:val="6FA64098"/>
    <w:rsid w:val="6FB865A9"/>
    <w:rsid w:val="6FD107B4"/>
    <w:rsid w:val="6FE4739E"/>
    <w:rsid w:val="6FEF5D43"/>
    <w:rsid w:val="6FF97C75"/>
    <w:rsid w:val="6FFA135B"/>
    <w:rsid w:val="6FFF7C0E"/>
    <w:rsid w:val="70096EFE"/>
    <w:rsid w:val="700D06A2"/>
    <w:rsid w:val="702247F7"/>
    <w:rsid w:val="70357BF9"/>
    <w:rsid w:val="70384FF4"/>
    <w:rsid w:val="7049709F"/>
    <w:rsid w:val="704B27CF"/>
    <w:rsid w:val="705E306D"/>
    <w:rsid w:val="7073599E"/>
    <w:rsid w:val="70736AC3"/>
    <w:rsid w:val="707515C1"/>
    <w:rsid w:val="707FDCA3"/>
    <w:rsid w:val="70865C9C"/>
    <w:rsid w:val="708A4D58"/>
    <w:rsid w:val="708F6BDE"/>
    <w:rsid w:val="70A373E5"/>
    <w:rsid w:val="70A42689"/>
    <w:rsid w:val="70A84617"/>
    <w:rsid w:val="70AE6A31"/>
    <w:rsid w:val="70B754FD"/>
    <w:rsid w:val="70C8091E"/>
    <w:rsid w:val="70CB04E6"/>
    <w:rsid w:val="70D27294"/>
    <w:rsid w:val="70FD6A55"/>
    <w:rsid w:val="711D364F"/>
    <w:rsid w:val="71286E22"/>
    <w:rsid w:val="713809B6"/>
    <w:rsid w:val="71427771"/>
    <w:rsid w:val="7143236C"/>
    <w:rsid w:val="7147045D"/>
    <w:rsid w:val="714A76D4"/>
    <w:rsid w:val="71562C1B"/>
    <w:rsid w:val="717D5BC9"/>
    <w:rsid w:val="71A566B9"/>
    <w:rsid w:val="71B2527A"/>
    <w:rsid w:val="71CA25C3"/>
    <w:rsid w:val="71D376CA"/>
    <w:rsid w:val="71D944F7"/>
    <w:rsid w:val="71DB20DB"/>
    <w:rsid w:val="71DB657E"/>
    <w:rsid w:val="71DC5974"/>
    <w:rsid w:val="71F413EE"/>
    <w:rsid w:val="72050D92"/>
    <w:rsid w:val="720E0702"/>
    <w:rsid w:val="72113D4E"/>
    <w:rsid w:val="722045E7"/>
    <w:rsid w:val="72231699"/>
    <w:rsid w:val="72273572"/>
    <w:rsid w:val="722C6DDA"/>
    <w:rsid w:val="723D0FE7"/>
    <w:rsid w:val="72583E79"/>
    <w:rsid w:val="725A654C"/>
    <w:rsid w:val="72602357"/>
    <w:rsid w:val="72693B8A"/>
    <w:rsid w:val="727E26C2"/>
    <w:rsid w:val="72872262"/>
    <w:rsid w:val="72C45265"/>
    <w:rsid w:val="72CC236B"/>
    <w:rsid w:val="72D57472"/>
    <w:rsid w:val="72D60AF4"/>
    <w:rsid w:val="72D8187A"/>
    <w:rsid w:val="72DB435C"/>
    <w:rsid w:val="72F0605A"/>
    <w:rsid w:val="72F3388B"/>
    <w:rsid w:val="72F85FEB"/>
    <w:rsid w:val="72FE159D"/>
    <w:rsid w:val="73153BB6"/>
    <w:rsid w:val="73155AC0"/>
    <w:rsid w:val="731C29AB"/>
    <w:rsid w:val="731E31D8"/>
    <w:rsid w:val="73243F55"/>
    <w:rsid w:val="734D5117"/>
    <w:rsid w:val="734F61F6"/>
    <w:rsid w:val="735E0EFB"/>
    <w:rsid w:val="73631948"/>
    <w:rsid w:val="73735C26"/>
    <w:rsid w:val="737547B1"/>
    <w:rsid w:val="737650A4"/>
    <w:rsid w:val="73797DFD"/>
    <w:rsid w:val="737E5413"/>
    <w:rsid w:val="73830C7C"/>
    <w:rsid w:val="738531BD"/>
    <w:rsid w:val="738A2DD7"/>
    <w:rsid w:val="73915B78"/>
    <w:rsid w:val="73941CCC"/>
    <w:rsid w:val="73993FFB"/>
    <w:rsid w:val="73AA26AC"/>
    <w:rsid w:val="73AE12EC"/>
    <w:rsid w:val="73AF3118"/>
    <w:rsid w:val="73B272DC"/>
    <w:rsid w:val="73B452D9"/>
    <w:rsid w:val="73BBD34C"/>
    <w:rsid w:val="73EA4857"/>
    <w:rsid w:val="73EC4A73"/>
    <w:rsid w:val="73F277FB"/>
    <w:rsid w:val="73FC458A"/>
    <w:rsid w:val="74035F8D"/>
    <w:rsid w:val="7416389E"/>
    <w:rsid w:val="7419513C"/>
    <w:rsid w:val="74222C41"/>
    <w:rsid w:val="74250B2B"/>
    <w:rsid w:val="743374A1"/>
    <w:rsid w:val="743467DF"/>
    <w:rsid w:val="744213FF"/>
    <w:rsid w:val="744A1799"/>
    <w:rsid w:val="74714F78"/>
    <w:rsid w:val="748051BB"/>
    <w:rsid w:val="748756D3"/>
    <w:rsid w:val="7491607B"/>
    <w:rsid w:val="74942A15"/>
    <w:rsid w:val="749B3DA3"/>
    <w:rsid w:val="74A2737D"/>
    <w:rsid w:val="74C55EC1"/>
    <w:rsid w:val="74DB6895"/>
    <w:rsid w:val="74DEE34C"/>
    <w:rsid w:val="74F31E31"/>
    <w:rsid w:val="74FE3011"/>
    <w:rsid w:val="74FF729A"/>
    <w:rsid w:val="751029E3"/>
    <w:rsid w:val="754B3A1B"/>
    <w:rsid w:val="755201BF"/>
    <w:rsid w:val="75521133"/>
    <w:rsid w:val="75532CC9"/>
    <w:rsid w:val="75640639"/>
    <w:rsid w:val="75680129"/>
    <w:rsid w:val="757F36C5"/>
    <w:rsid w:val="7590142E"/>
    <w:rsid w:val="75AE7D3B"/>
    <w:rsid w:val="75B01F58"/>
    <w:rsid w:val="75CB7DAE"/>
    <w:rsid w:val="75CE4A51"/>
    <w:rsid w:val="75D27C98"/>
    <w:rsid w:val="75D752AF"/>
    <w:rsid w:val="75D92DD5"/>
    <w:rsid w:val="75DF5F11"/>
    <w:rsid w:val="75ED7A1C"/>
    <w:rsid w:val="75FC4D15"/>
    <w:rsid w:val="75FE45EA"/>
    <w:rsid w:val="75FF7042"/>
    <w:rsid w:val="7603295D"/>
    <w:rsid w:val="76070558"/>
    <w:rsid w:val="76085468"/>
    <w:rsid w:val="760905A3"/>
    <w:rsid w:val="760925E8"/>
    <w:rsid w:val="760F4A49"/>
    <w:rsid w:val="761402B1"/>
    <w:rsid w:val="76487F5B"/>
    <w:rsid w:val="766765D8"/>
    <w:rsid w:val="766D0198"/>
    <w:rsid w:val="768F354A"/>
    <w:rsid w:val="76934ECB"/>
    <w:rsid w:val="7696746C"/>
    <w:rsid w:val="76AC04E9"/>
    <w:rsid w:val="76BD3B8F"/>
    <w:rsid w:val="76DB2B7D"/>
    <w:rsid w:val="76E063E5"/>
    <w:rsid w:val="76EF79DF"/>
    <w:rsid w:val="76F58E6F"/>
    <w:rsid w:val="76FA74A7"/>
    <w:rsid w:val="76FD6F97"/>
    <w:rsid w:val="77075582"/>
    <w:rsid w:val="77076AA4"/>
    <w:rsid w:val="770C0F88"/>
    <w:rsid w:val="77107490"/>
    <w:rsid w:val="77123C65"/>
    <w:rsid w:val="771A4CBB"/>
    <w:rsid w:val="772269FE"/>
    <w:rsid w:val="77424D1F"/>
    <w:rsid w:val="7754671E"/>
    <w:rsid w:val="77597EB6"/>
    <w:rsid w:val="775B051B"/>
    <w:rsid w:val="775B1D3D"/>
    <w:rsid w:val="777233CA"/>
    <w:rsid w:val="77807586"/>
    <w:rsid w:val="778B6351"/>
    <w:rsid w:val="779421ED"/>
    <w:rsid w:val="779B3936"/>
    <w:rsid w:val="77C11D73"/>
    <w:rsid w:val="77C51666"/>
    <w:rsid w:val="77C61FA0"/>
    <w:rsid w:val="77CB0E43"/>
    <w:rsid w:val="77D17A45"/>
    <w:rsid w:val="77D744B6"/>
    <w:rsid w:val="77ED294E"/>
    <w:rsid w:val="77FE2FC7"/>
    <w:rsid w:val="7800397B"/>
    <w:rsid w:val="78055809"/>
    <w:rsid w:val="78056103"/>
    <w:rsid w:val="78125870"/>
    <w:rsid w:val="78267E28"/>
    <w:rsid w:val="78336E8F"/>
    <w:rsid w:val="78454752"/>
    <w:rsid w:val="78462278"/>
    <w:rsid w:val="78485FF0"/>
    <w:rsid w:val="78561266"/>
    <w:rsid w:val="78573EE9"/>
    <w:rsid w:val="785A48DB"/>
    <w:rsid w:val="78623556"/>
    <w:rsid w:val="786728C9"/>
    <w:rsid w:val="786848E4"/>
    <w:rsid w:val="786C7F30"/>
    <w:rsid w:val="78811502"/>
    <w:rsid w:val="78827687"/>
    <w:rsid w:val="78867F50"/>
    <w:rsid w:val="78885567"/>
    <w:rsid w:val="7899684C"/>
    <w:rsid w:val="78A7540C"/>
    <w:rsid w:val="78C22246"/>
    <w:rsid w:val="78CB0EA0"/>
    <w:rsid w:val="78E82ECC"/>
    <w:rsid w:val="78F74CE4"/>
    <w:rsid w:val="78F9177F"/>
    <w:rsid w:val="79061938"/>
    <w:rsid w:val="790F6B0E"/>
    <w:rsid w:val="79157058"/>
    <w:rsid w:val="791B1604"/>
    <w:rsid w:val="79277E07"/>
    <w:rsid w:val="795D5ACB"/>
    <w:rsid w:val="796C21B2"/>
    <w:rsid w:val="797572B9"/>
    <w:rsid w:val="798153CC"/>
    <w:rsid w:val="79A100AE"/>
    <w:rsid w:val="79A90D10"/>
    <w:rsid w:val="79B0209F"/>
    <w:rsid w:val="79B7342D"/>
    <w:rsid w:val="79BF480D"/>
    <w:rsid w:val="79CE4C1B"/>
    <w:rsid w:val="79CF5E40"/>
    <w:rsid w:val="79D20267"/>
    <w:rsid w:val="79D32B34"/>
    <w:rsid w:val="79E63FF4"/>
    <w:rsid w:val="79E66321"/>
    <w:rsid w:val="79EE2BC7"/>
    <w:rsid w:val="79FF70B5"/>
    <w:rsid w:val="7A023D76"/>
    <w:rsid w:val="7A0643B5"/>
    <w:rsid w:val="7A105034"/>
    <w:rsid w:val="7A293F92"/>
    <w:rsid w:val="7A2F7FBA"/>
    <w:rsid w:val="7A305EDC"/>
    <w:rsid w:val="7A344A7E"/>
    <w:rsid w:val="7A4455AE"/>
    <w:rsid w:val="7A4D6A17"/>
    <w:rsid w:val="7A5F5873"/>
    <w:rsid w:val="7A613399"/>
    <w:rsid w:val="7A886B78"/>
    <w:rsid w:val="7A8D418E"/>
    <w:rsid w:val="7A97325F"/>
    <w:rsid w:val="7A9A7EC7"/>
    <w:rsid w:val="7AD93877"/>
    <w:rsid w:val="7AD9755A"/>
    <w:rsid w:val="7ADC0FEC"/>
    <w:rsid w:val="7AF97A75"/>
    <w:rsid w:val="7B1F572E"/>
    <w:rsid w:val="7B205002"/>
    <w:rsid w:val="7B2C1BF9"/>
    <w:rsid w:val="7B315461"/>
    <w:rsid w:val="7B4C5DF7"/>
    <w:rsid w:val="7B4D23D0"/>
    <w:rsid w:val="7B5178B1"/>
    <w:rsid w:val="7B560A24"/>
    <w:rsid w:val="7B7E4AEF"/>
    <w:rsid w:val="7B9854E0"/>
    <w:rsid w:val="7B9D74A9"/>
    <w:rsid w:val="7B9F10AC"/>
    <w:rsid w:val="7BA615A2"/>
    <w:rsid w:val="7BAD2EC7"/>
    <w:rsid w:val="7BB00C9D"/>
    <w:rsid w:val="7BB8348D"/>
    <w:rsid w:val="7BBE11FB"/>
    <w:rsid w:val="7BBF715B"/>
    <w:rsid w:val="7BD302C6"/>
    <w:rsid w:val="7BDE554C"/>
    <w:rsid w:val="7BE14DA1"/>
    <w:rsid w:val="7BEB297C"/>
    <w:rsid w:val="7BF546E1"/>
    <w:rsid w:val="7BF71835"/>
    <w:rsid w:val="7BFF585B"/>
    <w:rsid w:val="7C031C34"/>
    <w:rsid w:val="7C1459E2"/>
    <w:rsid w:val="7C1F175E"/>
    <w:rsid w:val="7C232FFC"/>
    <w:rsid w:val="7C244DCF"/>
    <w:rsid w:val="7C3A6597"/>
    <w:rsid w:val="7C4756E9"/>
    <w:rsid w:val="7C5D696C"/>
    <w:rsid w:val="7C7B014B"/>
    <w:rsid w:val="7C8141C6"/>
    <w:rsid w:val="7C8616B1"/>
    <w:rsid w:val="7C8E41ED"/>
    <w:rsid w:val="7CB43C54"/>
    <w:rsid w:val="7CBB1486"/>
    <w:rsid w:val="7CBD6EBB"/>
    <w:rsid w:val="7CCC3693"/>
    <w:rsid w:val="7CCD2F68"/>
    <w:rsid w:val="7CD267D0"/>
    <w:rsid w:val="7CDFA69B"/>
    <w:rsid w:val="7CEE34EF"/>
    <w:rsid w:val="7CF209C2"/>
    <w:rsid w:val="7CF229CE"/>
    <w:rsid w:val="7D0A41BC"/>
    <w:rsid w:val="7D171AF4"/>
    <w:rsid w:val="7D1E216D"/>
    <w:rsid w:val="7D23036F"/>
    <w:rsid w:val="7D337C34"/>
    <w:rsid w:val="7D382AD7"/>
    <w:rsid w:val="7D40373A"/>
    <w:rsid w:val="7D4A0A5C"/>
    <w:rsid w:val="7D580E3B"/>
    <w:rsid w:val="7D60202E"/>
    <w:rsid w:val="7D700C27"/>
    <w:rsid w:val="7D7E6B8B"/>
    <w:rsid w:val="7D9046C1"/>
    <w:rsid w:val="7DBFAEB0"/>
    <w:rsid w:val="7DCD02A0"/>
    <w:rsid w:val="7DD563A4"/>
    <w:rsid w:val="7DEB3451"/>
    <w:rsid w:val="7DF12C86"/>
    <w:rsid w:val="7DFF5852"/>
    <w:rsid w:val="7E0E19EC"/>
    <w:rsid w:val="7E2748F9"/>
    <w:rsid w:val="7E3257BC"/>
    <w:rsid w:val="7E3C65F7"/>
    <w:rsid w:val="7E3D5ECB"/>
    <w:rsid w:val="7E4E1E86"/>
    <w:rsid w:val="7E584026"/>
    <w:rsid w:val="7E5F4093"/>
    <w:rsid w:val="7E624705"/>
    <w:rsid w:val="7E6B34F5"/>
    <w:rsid w:val="7E7B1E6F"/>
    <w:rsid w:val="7E7B3A3F"/>
    <w:rsid w:val="7E807A39"/>
    <w:rsid w:val="7E8B30DA"/>
    <w:rsid w:val="7E9417C7"/>
    <w:rsid w:val="7E9C6F9B"/>
    <w:rsid w:val="7EA814F0"/>
    <w:rsid w:val="7EAB72D9"/>
    <w:rsid w:val="7EAF501B"/>
    <w:rsid w:val="7EBF4B32"/>
    <w:rsid w:val="7EC5039A"/>
    <w:rsid w:val="7EC91358"/>
    <w:rsid w:val="7ED73CC9"/>
    <w:rsid w:val="7ED7DDCE"/>
    <w:rsid w:val="7EE97F06"/>
    <w:rsid w:val="7EEB3B79"/>
    <w:rsid w:val="7EED1546"/>
    <w:rsid w:val="7F062761"/>
    <w:rsid w:val="7F07550C"/>
    <w:rsid w:val="7F0D1D41"/>
    <w:rsid w:val="7F1255AA"/>
    <w:rsid w:val="7F141322"/>
    <w:rsid w:val="7F1453DB"/>
    <w:rsid w:val="7F1475B9"/>
    <w:rsid w:val="7F1E1CCB"/>
    <w:rsid w:val="7F1E7F5F"/>
    <w:rsid w:val="7F341DFF"/>
    <w:rsid w:val="7F3948E4"/>
    <w:rsid w:val="7F590AE3"/>
    <w:rsid w:val="7F7FE64A"/>
    <w:rsid w:val="7F866F8E"/>
    <w:rsid w:val="7F956761"/>
    <w:rsid w:val="7F9B49B0"/>
    <w:rsid w:val="7FB422C4"/>
    <w:rsid w:val="7FBD72C3"/>
    <w:rsid w:val="7FDC3989"/>
    <w:rsid w:val="7FE81605"/>
    <w:rsid w:val="7FEA09E2"/>
    <w:rsid w:val="7FEC1957"/>
    <w:rsid w:val="7FF37189"/>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E3F8DC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68F70A5"/>
    <w:rsid w:val="F7BBF211"/>
    <w:rsid w:val="F7DEF1EE"/>
    <w:rsid w:val="F7F38D57"/>
    <w:rsid w:val="F7FF55DE"/>
    <w:rsid w:val="F98567CE"/>
    <w:rsid w:val="F9BEFF0E"/>
    <w:rsid w:val="F9EFC684"/>
    <w:rsid w:val="FADDB4F8"/>
    <w:rsid w:val="FAE9CD5D"/>
    <w:rsid w:val="FB5F9FE3"/>
    <w:rsid w:val="FB692196"/>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6"/>
    <w:basedOn w:val="1"/>
    <w:next w:val="1"/>
    <w:qFormat/>
    <w:uiPriority w:val="0"/>
    <w:pPr>
      <w:spacing w:before="60" w:after="60" w:line="360" w:lineRule="auto"/>
      <w:outlineLvl w:val="5"/>
    </w:pPr>
    <w:rPr>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7">
    <w:name w:val="Normal Indent"/>
    <w:basedOn w:val="1"/>
    <w:qFormat/>
    <w:uiPriority w:val="0"/>
    <w:pPr>
      <w:ind w:firstLine="420" w:firstLineChars="200"/>
    </w:pPr>
    <w:rPr>
      <w:szCs w:val="20"/>
    </w:rPr>
  </w:style>
  <w:style w:type="paragraph" w:styleId="8">
    <w:name w:val="annotation text"/>
    <w:basedOn w:val="1"/>
    <w:link w:val="41"/>
    <w:unhideWhenUsed/>
    <w:qFormat/>
    <w:uiPriority w:val="0"/>
    <w:pPr>
      <w:jc w:val="left"/>
    </w:pPr>
    <w:rPr>
      <w:kern w:val="0"/>
      <w:sz w:val="20"/>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43"/>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2"/>
    <w:basedOn w:val="1"/>
    <w:next w:val="1"/>
    <w:qFormat/>
    <w:uiPriority w:val="0"/>
    <w:pPr>
      <w:spacing w:line="600" w:lineRule="exact"/>
      <w:ind w:firstLine="880" w:firstLineChars="200"/>
    </w:pPr>
    <w:rPr>
      <w:rFonts w:eastAsia="仿宋_GB2312"/>
      <w:sz w:val="3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8"/>
    <w:next w:val="8"/>
    <w:link w:val="42"/>
    <w:qFormat/>
    <w:uiPriority w:val="0"/>
    <w:rPr>
      <w:b/>
      <w:bCs/>
      <w:kern w:val="2"/>
      <w:sz w:val="21"/>
    </w:rPr>
  </w:style>
  <w:style w:type="paragraph" w:styleId="20">
    <w:name w:val="Body Text First Indent"/>
    <w:basedOn w:val="2"/>
    <w:qFormat/>
    <w:uiPriority w:val="0"/>
    <w:pPr>
      <w:snapToGrid w:val="0"/>
      <w:spacing w:line="560" w:lineRule="exact"/>
      <w:ind w:firstLine="200" w:firstLineChars="200"/>
    </w:pPr>
    <w:rPr>
      <w:rFonts w:ascii="仿宋" w:hAnsi="仿宋" w:cs="仿宋"/>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style>
  <w:style w:type="character" w:styleId="26">
    <w:name w:val="FollowedHyperlink"/>
    <w:basedOn w:val="23"/>
    <w:qFormat/>
    <w:uiPriority w:val="0"/>
    <w:rPr>
      <w:color w:val="800080"/>
      <w:u w:val="none"/>
    </w:rPr>
  </w:style>
  <w:style w:type="character" w:styleId="27">
    <w:name w:val="Hyperlink"/>
    <w:basedOn w:val="23"/>
    <w:qFormat/>
    <w:uiPriority w:val="0"/>
    <w:rPr>
      <w:color w:val="0000FF"/>
      <w:u w:val="none"/>
    </w:rPr>
  </w:style>
  <w:style w:type="character" w:styleId="28">
    <w:name w:val="annotation reference"/>
    <w:basedOn w:val="23"/>
    <w:qFormat/>
    <w:uiPriority w:val="0"/>
    <w:rPr>
      <w:sz w:val="21"/>
      <w:szCs w:val="21"/>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正文格式"/>
    <w:basedOn w:val="9"/>
    <w:qFormat/>
    <w:uiPriority w:val="99"/>
    <w:pPr>
      <w:spacing w:after="0" w:line="360" w:lineRule="auto"/>
      <w:ind w:left="0" w:leftChars="0" w:firstLine="600"/>
    </w:pPr>
    <w:rPr>
      <w:rFonts w:eastAsia="仿宋_GB2312"/>
      <w:sz w:val="30"/>
      <w:szCs w:val="30"/>
    </w:r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2">
    <w:name w:val="List Paragraph"/>
    <w:basedOn w:val="1"/>
    <w:qFormat/>
    <w:uiPriority w:val="34"/>
    <w:pPr>
      <w:ind w:firstLine="420" w:firstLineChars="200"/>
    </w:pPr>
  </w:style>
  <w:style w:type="paragraph" w:customStyle="1" w:styleId="33">
    <w:name w:val="（）列表模式"/>
    <w:basedOn w:val="1"/>
    <w:qFormat/>
    <w:uiPriority w:val="0"/>
    <w:pPr>
      <w:tabs>
        <w:tab w:val="left" w:pos="960"/>
        <w:tab w:val="left" w:pos="1470"/>
      </w:tabs>
      <w:spacing w:line="360" w:lineRule="auto"/>
      <w:ind w:left="1470" w:hanging="420"/>
    </w:pPr>
    <w:rPr>
      <w:sz w:val="24"/>
      <w:szCs w:val="20"/>
    </w:rPr>
  </w:style>
  <w:style w:type="paragraph" w:customStyle="1" w:styleId="34">
    <w:name w:val="Table Paragraph"/>
    <w:basedOn w:val="1"/>
    <w:qFormat/>
    <w:uiPriority w:val="0"/>
    <w:pPr>
      <w:autoSpaceDE w:val="0"/>
      <w:autoSpaceDN w:val="0"/>
      <w:jc w:val="left"/>
    </w:pPr>
    <w:rPr>
      <w:rFonts w:ascii="宋体" w:hAnsi="宋体" w:cs="宋体"/>
      <w:kern w:val="0"/>
      <w:sz w:val="22"/>
      <w:szCs w:val="22"/>
    </w:rPr>
  </w:style>
  <w:style w:type="paragraph" w:customStyle="1" w:styleId="35">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qowt-font5-gb2312"/>
    <w:qFormat/>
    <w:uiPriority w:val="0"/>
  </w:style>
  <w:style w:type="paragraph" w:customStyle="1" w:styleId="37">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8">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8"/>
    <w:qFormat/>
    <w:uiPriority w:val="0"/>
    <w:rPr>
      <w:szCs w:val="24"/>
    </w:rPr>
  </w:style>
  <w:style w:type="character" w:customStyle="1" w:styleId="42">
    <w:name w:val="批注主题 字符"/>
    <w:basedOn w:val="41"/>
    <w:link w:val="19"/>
    <w:qFormat/>
    <w:uiPriority w:val="0"/>
    <w:rPr>
      <w:b/>
      <w:bCs/>
      <w:kern w:val="2"/>
      <w:sz w:val="21"/>
      <w:szCs w:val="24"/>
    </w:rPr>
  </w:style>
  <w:style w:type="character" w:customStyle="1" w:styleId="43">
    <w:name w:val="批注框文本 字符"/>
    <w:basedOn w:val="23"/>
    <w:link w:val="12"/>
    <w:qFormat/>
    <w:uiPriority w:val="0"/>
    <w:rPr>
      <w:kern w:val="2"/>
      <w:sz w:val="18"/>
      <w:szCs w:val="18"/>
    </w:rPr>
  </w:style>
  <w:style w:type="character" w:customStyle="1" w:styleId="44">
    <w:name w:val="NormalCharacter"/>
    <w:qFormat/>
    <w:uiPriority w:val="0"/>
    <w:rPr>
      <w:kern w:val="2"/>
      <w:sz w:val="21"/>
      <w:szCs w:val="24"/>
      <w:lang w:val="en-US" w:eastAsia="zh-CN" w:bidi="ar-SA"/>
    </w:rPr>
  </w:style>
  <w:style w:type="paragraph" w:customStyle="1" w:styleId="4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18677</Words>
  <Characters>19443</Characters>
  <Lines>362</Lines>
  <Paragraphs>101</Paragraphs>
  <TotalTime>2</TotalTime>
  <ScaleCrop>false</ScaleCrop>
  <LinksUpToDate>false</LinksUpToDate>
  <CharactersWithSpaces>20246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2023-11-16T04:59:00Z</dcterms:created>
  <dc:creator>姬崽</dc:creator>
  <cp:lastModifiedBy>黎俊</cp:lastModifiedBy>
  <dcterms:modified xsi:type="dcterms:W3CDTF">2025-05-20T07:29:35Z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9F6EEEE61B654EDFAA6FE324D9ECE02A_13</vt:lpwstr>
  </property>
  <property fmtid="{D5CDD505-2E9C-101B-9397-08002B2CF9AE}" pid="4" name="KSOTemplateDocerSaveRecord">
    <vt:lpwstr>eyJoZGlkIjoiM2RmNWY1YjM4YzcyY2I4NDQzY2NmMzc3ZjczYjA0NmUiLCJ1c2VySWQiOiIzOTQyODIxNTkifQ==</vt:lpwstr>
  </property>
</Properties>
</file>