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rPr>
        <w:t>2025年度业务监督和财务辅助服务项目</w:t>
      </w:r>
      <w:r>
        <w:rPr>
          <w:rFonts w:hint="eastAsia" w:asciiTheme="majorEastAsia" w:hAnsiTheme="majorEastAsia" w:eastAsiaTheme="majorEastAsia" w:cstheme="majorEastAsia"/>
          <w:color w:val="auto"/>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采联国际招标采购集团有限公司（以下简称‘采购代理机构’）受</w:t>
      </w:r>
      <w:r>
        <w:rPr>
          <w:rFonts w:hint="eastAsia" w:ascii="宋体" w:hAnsi="宋体" w:cs="宋体"/>
          <w:color w:val="auto"/>
          <w:szCs w:val="21"/>
          <w:lang w:eastAsia="zh-CN"/>
        </w:rPr>
        <w:t>深圳市人事人才公共服务中心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2025年度业务监督和财务辅助服务项目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CLF0125SZ06QY30</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2025年度业务监督和财务辅助服务项目</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33"/>
        <w:gridCol w:w="289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0"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933"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2894"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2521"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90" w:type="dxa"/>
            <w:vAlign w:val="center"/>
          </w:tcPr>
          <w:p>
            <w:pPr>
              <w:keepLines w:val="0"/>
              <w:pageBreakBefore w:val="0"/>
              <w:widowControl w:val="0"/>
              <w:kinsoku/>
              <w:wordWrap/>
              <w:overflowPunct/>
              <w:topLinePunct w:val="0"/>
              <w:autoSpaceDE/>
              <w:autoSpaceDN/>
              <w:bidi w:val="0"/>
              <w:snapToGrid w:val="0"/>
              <w:spacing w:line="240" w:lineRule="auto"/>
              <w:jc w:val="center"/>
              <w:rPr>
                <w:rFonts w:ascii="宋体" w:hAnsi="宋体" w:cs="宋体"/>
                <w:bCs/>
                <w:color w:val="auto"/>
                <w:szCs w:val="21"/>
              </w:rPr>
            </w:pPr>
            <w:r>
              <w:rPr>
                <w:rFonts w:hint="eastAsia" w:ascii="宋体" w:hAnsi="宋体" w:eastAsia="宋体" w:cs="宋体"/>
                <w:color w:val="auto"/>
                <w:sz w:val="21"/>
                <w:szCs w:val="21"/>
                <w:lang w:eastAsia="zh-CN"/>
              </w:rPr>
              <w:t>深圳市人事人才公共服务中心2025年度业务监督和财务辅助服务</w:t>
            </w:r>
          </w:p>
        </w:tc>
        <w:tc>
          <w:tcPr>
            <w:tcW w:w="933" w:type="dxa"/>
            <w:vAlign w:val="center"/>
          </w:tcPr>
          <w:p>
            <w:pPr>
              <w:keepLines w:val="0"/>
              <w:pageBreakBefore w:val="0"/>
              <w:widowControl w:val="0"/>
              <w:kinsoku/>
              <w:wordWrap/>
              <w:overflowPunct/>
              <w:topLinePunct w:val="0"/>
              <w:autoSpaceDE/>
              <w:autoSpaceDN/>
              <w:bidi w:val="0"/>
              <w:snapToGrid w:val="0"/>
              <w:spacing w:line="240" w:lineRule="auto"/>
              <w:jc w:val="center"/>
              <w:rPr>
                <w:rFonts w:ascii="宋体" w:hAnsi="宋体" w:cs="宋体"/>
                <w:bCs/>
                <w:color w:val="auto"/>
                <w:szCs w:val="21"/>
              </w:rPr>
            </w:pPr>
            <w:r>
              <w:rPr>
                <w:rFonts w:hint="eastAsia" w:ascii="宋体" w:hAnsi="宋体" w:eastAsia="宋体" w:cs="宋体"/>
                <w:bCs/>
                <w:color w:val="auto"/>
                <w:sz w:val="21"/>
                <w:szCs w:val="21"/>
                <w:lang w:val="en-US" w:eastAsia="zh-CN"/>
              </w:rPr>
              <w:t>1项</w:t>
            </w:r>
          </w:p>
        </w:tc>
        <w:tc>
          <w:tcPr>
            <w:tcW w:w="2894" w:type="dxa"/>
            <w:vAlign w:val="center"/>
          </w:tcPr>
          <w:p>
            <w:pPr>
              <w:pStyle w:val="6"/>
              <w:keepLines w:val="0"/>
              <w:pageBreakBefore w:val="0"/>
              <w:widowControl w:val="0"/>
              <w:kinsoku/>
              <w:wordWrap/>
              <w:overflowPunct/>
              <w:topLinePunct w:val="0"/>
              <w:autoSpaceDE/>
              <w:autoSpaceDN/>
              <w:bidi w:val="0"/>
              <w:snapToGrid w:val="0"/>
              <w:spacing w:before="0" w:after="0" w:line="240" w:lineRule="auto"/>
              <w:rPr>
                <w:rFonts w:ascii="宋体" w:hAnsi="宋体" w:cs="宋体"/>
                <w:snapToGrid/>
                <w:color w:val="auto"/>
                <w:spacing w:val="0"/>
                <w:kern w:val="2"/>
                <w:sz w:val="21"/>
                <w:szCs w:val="24"/>
              </w:rPr>
            </w:pPr>
            <w:r>
              <w:rPr>
                <w:rFonts w:hint="eastAsia" w:ascii="宋体" w:hAnsi="宋体" w:eastAsia="宋体" w:cs="宋体"/>
                <w:snapToGrid/>
                <w:color w:val="auto"/>
                <w:spacing w:val="0"/>
                <w:kern w:val="2"/>
                <w:sz w:val="21"/>
                <w:szCs w:val="21"/>
              </w:rPr>
              <w:t>合同签订之日起一年。本项目为长期服务项目，第1年服务期满前，由</w:t>
            </w:r>
            <w:r>
              <w:rPr>
                <w:rFonts w:hint="eastAsia" w:ascii="宋体" w:hAnsi="宋体" w:cs="宋体"/>
                <w:snapToGrid/>
                <w:color w:val="auto"/>
                <w:spacing w:val="0"/>
                <w:kern w:val="2"/>
                <w:sz w:val="21"/>
                <w:szCs w:val="21"/>
                <w:lang w:val="en-US" w:eastAsia="zh-CN"/>
              </w:rPr>
              <w:t>采购人</w:t>
            </w:r>
            <w:r>
              <w:rPr>
                <w:rFonts w:hint="eastAsia" w:ascii="宋体" w:hAnsi="宋体" w:eastAsia="宋体" w:cs="宋体"/>
                <w:snapToGrid/>
                <w:color w:val="auto"/>
                <w:spacing w:val="0"/>
                <w:kern w:val="2"/>
                <w:sz w:val="21"/>
                <w:szCs w:val="21"/>
              </w:rPr>
              <w:t>依据</w:t>
            </w:r>
            <w:r>
              <w:rPr>
                <w:rFonts w:hint="eastAsia" w:ascii="宋体" w:hAnsi="宋体" w:cs="宋体"/>
                <w:snapToGrid/>
                <w:color w:val="auto"/>
                <w:spacing w:val="0"/>
                <w:kern w:val="2"/>
                <w:sz w:val="21"/>
                <w:szCs w:val="21"/>
                <w:lang w:val="en-US" w:eastAsia="zh-CN"/>
              </w:rPr>
              <w:t>中标人</w:t>
            </w:r>
            <w:r>
              <w:rPr>
                <w:rFonts w:hint="eastAsia" w:ascii="宋体" w:hAnsi="宋体" w:eastAsia="宋体" w:cs="宋体"/>
                <w:snapToGrid/>
                <w:color w:val="auto"/>
                <w:spacing w:val="0"/>
                <w:kern w:val="2"/>
                <w:sz w:val="21"/>
                <w:szCs w:val="21"/>
              </w:rPr>
              <w:t>履约情况确定是否延长合同期限，合同每年一签，但最长不超过3年。若最终采购方式由公开招标转为竞争性谈判或单一来源的，合同期为一年且不延长。</w:t>
            </w:r>
          </w:p>
        </w:tc>
        <w:tc>
          <w:tcPr>
            <w:tcW w:w="2521" w:type="dxa"/>
            <w:vAlign w:val="center"/>
          </w:tcPr>
          <w:p>
            <w:pPr>
              <w:pStyle w:val="6"/>
              <w:keepLines w:val="0"/>
              <w:pageBreakBefore w:val="0"/>
              <w:widowControl w:val="0"/>
              <w:kinsoku/>
              <w:wordWrap/>
              <w:overflowPunct/>
              <w:topLinePunct w:val="0"/>
              <w:autoSpaceDE/>
              <w:autoSpaceDN/>
              <w:bidi w:val="0"/>
              <w:snapToGrid w:val="0"/>
              <w:spacing w:before="0" w:after="0" w:line="240" w:lineRule="auto"/>
              <w:rPr>
                <w:rFonts w:ascii="宋体" w:hAnsi="宋体" w:cs="宋体"/>
                <w:snapToGrid/>
                <w:color w:val="auto"/>
                <w:spacing w:val="0"/>
                <w:kern w:val="2"/>
                <w:sz w:val="21"/>
                <w:szCs w:val="24"/>
              </w:rPr>
            </w:pPr>
            <w:r>
              <w:rPr>
                <w:rFonts w:hint="eastAsia" w:ascii="宋体" w:hAnsi="宋体" w:eastAsia="宋体" w:cs="宋体"/>
                <w:snapToGrid/>
                <w:color w:val="auto"/>
                <w:spacing w:val="0"/>
                <w:kern w:val="2"/>
                <w:sz w:val="21"/>
                <w:szCs w:val="21"/>
              </w:rPr>
              <w:t>人民币520420.34元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7"/>
        <w:adjustRightInd w:val="0"/>
        <w:snapToGrid w:val="0"/>
        <w:spacing w:line="360" w:lineRule="auto"/>
        <w:ind w:firstLine="424" w:firstLineChars="202"/>
        <w:rPr>
          <w:rFonts w:ascii="宋体" w:hAnsi="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szCs w:val="21"/>
          <w:lang w:val="en-US" w:eastAsia="zh-CN"/>
        </w:rPr>
        <w:t>[</w:t>
      </w:r>
      <w:r>
        <w:rPr>
          <w:rFonts w:hint="eastAsia" w:ascii="宋体" w:hAnsi="宋体"/>
          <w:bCs/>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szCs w:val="21"/>
          <w:lang w:val="en-US" w:eastAsia="zh-CN"/>
        </w:rPr>
        <w:t>]</w:t>
      </w:r>
    </w:p>
    <w:p>
      <w:pPr>
        <w:adjustRightInd w:val="0"/>
        <w:snapToGrid w:val="0"/>
        <w:spacing w:line="360" w:lineRule="auto"/>
        <w:ind w:firstLine="420" w:firstLineChars="200"/>
        <w:rPr>
          <w:rFonts w:asciiTheme="minorEastAsia" w:hAnsiTheme="minorEastAsia" w:eastAsiaTheme="minorEastAsia"/>
          <w:color w:val="FF0000"/>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szCs w:val="21"/>
        </w:rPr>
        <w:t>本项目的特定资格要</w:t>
      </w:r>
      <w:r>
        <w:rPr>
          <w:rFonts w:hint="eastAsia" w:ascii="宋体" w:hAnsi="宋体"/>
          <w:color w:val="auto"/>
          <w:szCs w:val="21"/>
        </w:rPr>
        <w:t>求：无</w:t>
      </w:r>
      <w:r>
        <w:rPr>
          <w:rStyle w:val="5"/>
          <w:rFonts w:hint="eastAsia" w:ascii="宋体" w:hAnsi="宋体" w:cstheme="minorBidi"/>
          <w:color w:val="auto"/>
          <w:lang w:eastAsia="zh-CN"/>
        </w:rPr>
        <w:t>。</w:t>
      </w:r>
    </w:p>
    <w:p>
      <w:pPr>
        <w:adjustRightInd w:val="0"/>
        <w:snapToGrid w:val="0"/>
        <w:spacing w:line="360" w:lineRule="auto"/>
        <w:ind w:firstLine="420" w:firstLineChars="200"/>
        <w:rPr>
          <w:rFonts w:ascii="宋体" w:hAnsi="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参与本项目投标前三年内，在经营活动中没有重大违法记录（由供应商在《投标人资格声明函》中作出声</w:t>
      </w:r>
      <w:r>
        <w:rPr>
          <w:rFonts w:hint="eastAsia" w:ascii="宋体" w:hAnsi="宋体"/>
          <w:szCs w:val="21"/>
          <w:highlight w:val="none"/>
        </w:rPr>
        <w:t>明）</w:t>
      </w:r>
      <w:r>
        <w:rPr>
          <w:rFonts w:hint="eastAsia" w:ascii="宋体" w:hAnsi="宋体"/>
          <w:bCs/>
          <w:szCs w:val="21"/>
          <w:lang w:val="en-US" w:eastAsia="zh-CN"/>
        </w:rPr>
        <w:t>[</w:t>
      </w:r>
      <w:r>
        <w:rPr>
          <w:rFonts w:hint="eastAsia" w:ascii="宋体" w:hAnsi="宋体"/>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FF0000"/>
          <w:szCs w:val="20"/>
          <w:highlight w:val="none"/>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szCs w:val="21"/>
        </w:rPr>
        <w:t>未</w:t>
      </w:r>
      <w:bookmarkStart w:id="1" w:name="_Hlk41992259"/>
      <w:r>
        <w:rPr>
          <w:rFonts w:hint="eastAsia" w:ascii="宋体" w:hAnsi="宋体"/>
          <w:szCs w:val="21"/>
        </w:rPr>
        <w:t>被列入失信被执行</w:t>
      </w:r>
      <w:r>
        <w:rPr>
          <w:rFonts w:hint="eastAsia" w:ascii="宋体" w:hAnsi="宋体"/>
          <w:szCs w:val="21"/>
          <w:highlight w:val="none"/>
        </w:rPr>
        <w:t>人、</w:t>
      </w:r>
      <w:r>
        <w:rPr>
          <w:rFonts w:hint="eastAsia" w:ascii="宋体" w:hAnsi="宋体"/>
          <w:szCs w:val="21"/>
          <w:highlight w:val="none"/>
          <w:lang w:eastAsia="zh-CN"/>
        </w:rPr>
        <w:t>重大税收违法失信主体</w:t>
      </w:r>
      <w:r>
        <w:rPr>
          <w:rFonts w:hint="eastAsia" w:ascii="宋体" w:hAnsi="宋体"/>
          <w:szCs w:val="21"/>
          <w:highlight w:val="none"/>
        </w:rPr>
        <w:t>、政</w:t>
      </w:r>
      <w:r>
        <w:rPr>
          <w:rFonts w:hint="eastAsia" w:ascii="宋体" w:hAnsi="宋体"/>
          <w:szCs w:val="21"/>
        </w:rPr>
        <w:t>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szCs w:val="21"/>
          <w:highlight w:val="none"/>
        </w:rPr>
        <w:t>。</w:t>
      </w:r>
      <w:bookmarkEnd w:id="0"/>
      <w:bookmarkEnd w:id="1"/>
    </w:p>
    <w:p>
      <w:pPr>
        <w:pStyle w:val="7"/>
        <w:adjustRightInd w:val="0"/>
        <w:snapToGrid w:val="0"/>
        <w:spacing w:line="360" w:lineRule="auto"/>
        <w:ind w:firstLine="424" w:firstLineChars="202"/>
        <w:rPr>
          <w:rFonts w:hint="eastAsia" w:ascii="宋体" w:hAnsi="宋体" w:cs="宋体"/>
          <w:color w:val="FF0000"/>
          <w:highlight w:val="none"/>
        </w:rPr>
      </w:pPr>
      <w:r>
        <w:rPr>
          <w:rFonts w:hint="eastAsia" w:ascii="宋体" w:hAnsi="宋体" w:cs="宋体"/>
          <w:bCs/>
          <w:szCs w:val="20"/>
          <w:highlight w:val="none"/>
          <w:lang w:eastAsia="zh-CN"/>
        </w:rPr>
        <w:t>（</w:t>
      </w:r>
      <w:r>
        <w:rPr>
          <w:rFonts w:hint="eastAsia" w:ascii="宋体" w:hAnsi="宋体" w:cs="宋体"/>
          <w:bCs/>
          <w:szCs w:val="20"/>
          <w:highlight w:val="none"/>
          <w:lang w:val="en-US" w:eastAsia="zh-CN"/>
        </w:rPr>
        <w:t>七</w:t>
      </w:r>
      <w:r>
        <w:rPr>
          <w:rFonts w:hint="eastAsia" w:ascii="宋体" w:hAnsi="宋体" w:cs="宋体"/>
          <w:bCs/>
          <w:szCs w:val="20"/>
          <w:highlight w:val="none"/>
          <w:lang w:eastAsia="zh-CN"/>
        </w:rPr>
        <w:t>）</w:t>
      </w:r>
      <w:r>
        <w:rPr>
          <w:rFonts w:hint="eastAsia" w:ascii="宋体" w:hAnsi="宋体"/>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在开标当日以采购人或采购代理机构根据供应商提供的《供应商基本情况表》、《供应商基本情况表》附件以及采购人或采购代理机构核实的结果为准。</w:t>
      </w:r>
    </w:p>
    <w:p>
      <w:pPr>
        <w:adjustRightInd w:val="0"/>
        <w:snapToGrid w:val="0"/>
        <w:spacing w:line="360" w:lineRule="auto"/>
        <w:ind w:firstLine="420" w:firstLineChars="200"/>
        <w:rPr>
          <w:rFonts w:hint="eastAsia" w:ascii="宋体" w:hAnsi="宋体" w:cs="宋体"/>
          <w:color w:val="auto"/>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w:t>
      </w:r>
      <w:r>
        <w:rPr>
          <w:rFonts w:hint="eastAsia" w:ascii="宋体" w:hAnsi="宋体" w:cs="宋体"/>
          <w:bCs/>
          <w:color w:val="auto"/>
          <w:szCs w:val="20"/>
        </w:rPr>
        <w:t>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1"/>
        </w:rPr>
        <w:t>采用线上获取招标文件方式：供应商应填写并打印《采购文件领购登记表》</w:t>
      </w:r>
      <w:r>
        <w:rPr>
          <w:rFonts w:hint="eastAsia" w:ascii="宋体" w:hAnsi="宋体" w:cs="宋体"/>
          <w:color w:val="auto"/>
          <w:szCs w:val="21"/>
        </w:rPr>
        <w:t>（可在采购代理机构网站（www.chinapsp.cn）中“下载中心</w:t>
      </w:r>
      <w:r>
        <w:rPr>
          <w:rFonts w:hint="eastAsia" w:ascii="宋体" w:hAnsi="宋体"/>
          <w:color w:val="auto"/>
          <w:szCs w:val="21"/>
        </w:rPr>
        <w:t>（http://www.chinapsp.cn/channels/36.html?siteId=2&amp;channelIndex=%E4%B8%8B%E8%BD%BD%E4%B8%AD%E5%BF%83）</w:t>
      </w:r>
      <w:r>
        <w:rPr>
          <w:rFonts w:hint="eastAsia" w:ascii="宋体" w:hAnsi="宋体" w:cs="宋体"/>
          <w:color w:val="auto"/>
          <w:szCs w:val="21"/>
        </w:rPr>
        <w:t>”下载）及提供本项目招标文件获取人最近三个月任意一个月的社会保险证明（如依法不需要缴纳社会保险的，应提供相应文件证明），均</w:t>
      </w:r>
      <w:r>
        <w:rPr>
          <w:rFonts w:hint="eastAsia" w:ascii="宋体" w:hAnsi="宋体" w:cs="宋体"/>
          <w:bCs/>
          <w:color w:val="auto"/>
          <w:szCs w:val="21"/>
        </w:rPr>
        <w:t>加盖供应商公章扫描发至采购代理机</w:t>
      </w:r>
      <w:r>
        <w:rPr>
          <w:rFonts w:hint="eastAsia" w:ascii="宋体" w:hAnsi="宋体" w:cs="宋体"/>
          <w:bCs/>
          <w:szCs w:val="21"/>
        </w:rPr>
        <w:t>构邮箱（cailiansz@126.com）。资料审核通过后即为获取成功。</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填写好的《采购文件领购登记表》及提供本项目招标文件获取人最近三个月任意一个月的社会保险证明（如依法不需要缴纳社会保险的，应提供相应文件证明），均加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采联国际招标采购集团有限公司深圳分公司进行</w:t>
      </w:r>
      <w:r>
        <w:rPr>
          <w:rFonts w:hint="eastAsia" w:ascii="宋体" w:hAnsi="宋体" w:cs="宋体"/>
          <w:bCs/>
          <w:szCs w:val="21"/>
          <w:highlight w:val="none"/>
          <w:lang w:eastAsia="zh-CN"/>
        </w:rPr>
        <w:t>获取</w:t>
      </w:r>
      <w:r>
        <w:rPr>
          <w:rFonts w:hint="eastAsia" w:ascii="宋体" w:hAnsi="宋体" w:cs="宋体"/>
          <w:bCs/>
          <w:szCs w:val="21"/>
          <w:highlight w:val="none"/>
        </w:rPr>
        <w:t>，</w:t>
      </w:r>
      <w:r>
        <w:rPr>
          <w:rFonts w:hint="eastAsia" w:ascii="宋体" w:hAnsi="宋体" w:cs="宋体"/>
          <w:bCs/>
          <w:szCs w:val="21"/>
        </w:rPr>
        <w:t>资料审核通过后</w:t>
      </w:r>
      <w:r>
        <w:rPr>
          <w:rFonts w:hint="eastAsia" w:ascii="宋体" w:hAnsi="宋体" w:cs="宋体"/>
          <w:bCs/>
          <w:szCs w:val="21"/>
          <w:highlight w:val="none"/>
        </w:rPr>
        <w:t>即为成功获取招标文件。（不建议线下获取招标文件）</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
          <w:bCs w:val="0"/>
          <w:szCs w:val="21"/>
          <w:u w:val="double"/>
        </w:rPr>
        <w:t>获取招标文件过程问题咨询联系</w:t>
      </w:r>
      <w:r>
        <w:rPr>
          <w:rFonts w:hint="eastAsia" w:ascii="宋体" w:hAnsi="宋体" w:cs="宋体"/>
          <w:b/>
          <w:bCs w:val="0"/>
          <w:color w:val="auto"/>
          <w:szCs w:val="21"/>
          <w:u w:val="double"/>
        </w:rPr>
        <w:t>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cs="宋体"/>
          <w:bCs/>
          <w:szCs w:val="21"/>
        </w:rPr>
        <w:t>符合资格的供应商应当在</w:t>
      </w:r>
      <w:r>
        <w:rPr>
          <w:rFonts w:hint="eastAsia" w:ascii="宋体" w:hAnsi="宋体" w:cs="宋体"/>
          <w:bCs/>
          <w:color w:val="auto"/>
          <w:szCs w:val="21"/>
          <w:lang w:val="en-US" w:eastAsia="zh-CN"/>
        </w:rPr>
        <w:t>2025</w:t>
      </w:r>
      <w:r>
        <w:rPr>
          <w:rFonts w:hint="eastAsia" w:ascii="宋体" w:hAnsi="宋体" w:cs="宋体"/>
          <w:bCs/>
          <w:color w:val="auto"/>
          <w:szCs w:val="21"/>
        </w:rPr>
        <w:t>年</w:t>
      </w:r>
      <w:r>
        <w:rPr>
          <w:rFonts w:hint="eastAsia" w:ascii="宋体" w:hAnsi="宋体" w:cs="宋体"/>
          <w:bCs/>
          <w:color w:val="auto"/>
          <w:szCs w:val="21"/>
          <w:lang w:val="en-US" w:eastAsia="zh-CN"/>
        </w:rPr>
        <w:t>5</w:t>
      </w:r>
      <w:r>
        <w:rPr>
          <w:rFonts w:hint="eastAsia" w:ascii="宋体" w:hAnsi="宋体" w:cs="宋体"/>
          <w:bCs/>
          <w:color w:val="auto"/>
          <w:szCs w:val="21"/>
        </w:rPr>
        <w:t>月</w:t>
      </w:r>
      <w:r>
        <w:rPr>
          <w:rFonts w:hint="eastAsia" w:ascii="宋体" w:hAnsi="宋体" w:cs="宋体"/>
          <w:bCs/>
          <w:color w:val="auto"/>
          <w:szCs w:val="21"/>
          <w:lang w:val="en-US" w:eastAsia="zh-CN"/>
        </w:rPr>
        <w:t>12</w:t>
      </w:r>
      <w:r>
        <w:rPr>
          <w:rFonts w:hint="eastAsia" w:ascii="宋体" w:hAnsi="宋体" w:cs="宋体"/>
          <w:bCs/>
          <w:color w:val="auto"/>
          <w:szCs w:val="21"/>
        </w:rPr>
        <w:t>日至</w:t>
      </w:r>
      <w:r>
        <w:rPr>
          <w:rFonts w:hint="eastAsia" w:ascii="宋体" w:hAnsi="宋体" w:cs="宋体"/>
          <w:bCs/>
          <w:color w:val="auto"/>
          <w:szCs w:val="21"/>
          <w:lang w:val="en-US" w:eastAsia="zh-CN"/>
        </w:rPr>
        <w:t>2025</w:t>
      </w:r>
      <w:r>
        <w:rPr>
          <w:rFonts w:hint="eastAsia" w:ascii="宋体" w:hAnsi="宋体" w:cs="宋体"/>
          <w:bCs/>
          <w:color w:val="auto"/>
          <w:szCs w:val="21"/>
        </w:rPr>
        <w:t>年</w:t>
      </w:r>
      <w:r>
        <w:rPr>
          <w:rFonts w:hint="eastAsia" w:ascii="宋体" w:hAnsi="宋体" w:cs="宋体"/>
          <w:bCs/>
          <w:color w:val="auto"/>
          <w:szCs w:val="21"/>
          <w:lang w:val="en-US" w:eastAsia="zh-CN"/>
        </w:rPr>
        <w:t>5</w:t>
      </w:r>
      <w:r>
        <w:rPr>
          <w:rFonts w:hint="eastAsia" w:ascii="宋体" w:hAnsi="宋体" w:cs="宋体"/>
          <w:bCs/>
          <w:color w:val="auto"/>
          <w:szCs w:val="21"/>
        </w:rPr>
        <w:t>月</w:t>
      </w:r>
      <w:r>
        <w:rPr>
          <w:rFonts w:hint="eastAsia" w:ascii="宋体" w:hAnsi="宋体" w:cs="宋体"/>
          <w:bCs/>
          <w:color w:val="auto"/>
          <w:szCs w:val="21"/>
          <w:lang w:val="en-US" w:eastAsia="zh-CN"/>
        </w:rPr>
        <w:t>19</w:t>
      </w:r>
      <w:r>
        <w:rPr>
          <w:rFonts w:hint="eastAsia" w:ascii="宋体" w:hAnsi="宋体" w:cs="宋体"/>
          <w:bCs/>
          <w:color w:val="auto"/>
          <w:szCs w:val="21"/>
        </w:rPr>
        <w:t>日期</w:t>
      </w:r>
      <w:r>
        <w:rPr>
          <w:rFonts w:hint="eastAsia" w:ascii="宋体" w:hAnsi="宋体" w:cs="宋体"/>
          <w:bCs/>
          <w:szCs w:val="21"/>
        </w:rPr>
        <w:t>间（上午10：00-12：00，下午15：00-17：30，法定节假日除外，不少于5个工作日）到采联国际招标采购集团有限公司（详细地址：详见上述招标文件获取方式的采购代理机构邮箱、线下地址</w:t>
      </w:r>
      <w:r>
        <w:rPr>
          <w:rFonts w:hint="eastAsia" w:ascii="宋体" w:hAnsi="宋体" w:cs="宋体"/>
          <w:szCs w:val="21"/>
        </w:rPr>
        <w:t>）</w:t>
      </w:r>
      <w:r>
        <w:rPr>
          <w:rFonts w:hint="eastAsia" w:ascii="宋体" w:hAnsi="宋体" w:cs="宋体"/>
          <w:bCs/>
          <w:szCs w:val="21"/>
          <w:lang w:eastAsia="zh-CN"/>
        </w:rPr>
        <w:t>获取</w:t>
      </w:r>
      <w:r>
        <w:rPr>
          <w:rFonts w:hint="eastAsia" w:ascii="宋体" w:hAnsi="宋体" w:cs="宋体"/>
          <w:bCs/>
          <w:szCs w:val="21"/>
        </w:rPr>
        <w:t>招标文件</w:t>
      </w:r>
      <w:r>
        <w:rPr>
          <w:rFonts w:hint="eastAsia" w:ascii="宋体" w:hAnsi="宋体" w:cs="宋体"/>
          <w:bCs/>
          <w:color w:val="595959" w:themeColor="text1" w:themeTint="A6"/>
          <w:szCs w:val="21"/>
          <w14:textFill>
            <w14:solidFill>
              <w14:schemeClr w14:val="tx1">
                <w14:lumMod w14:val="65000"/>
                <w14:lumOff w14:val="35000"/>
              </w14:schemeClr>
            </w14:solidFill>
          </w14:textFill>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六、</w:t>
      </w:r>
      <w:r>
        <w:rPr>
          <w:rFonts w:hint="eastAsia" w:ascii="宋体" w:hAnsi="宋体" w:cs="宋体"/>
          <w:bCs/>
          <w:szCs w:val="20"/>
        </w:rPr>
        <w:t>接收</w:t>
      </w:r>
      <w:r>
        <w:rPr>
          <w:rFonts w:hint="eastAsia" w:ascii="宋体" w:hAnsi="宋体" w:cs="宋体"/>
          <w:bCs/>
          <w:color w:val="auto"/>
          <w:szCs w:val="20"/>
        </w:rPr>
        <w:t>投标文件时间：20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5</w:t>
      </w:r>
      <w:r>
        <w:rPr>
          <w:rFonts w:hint="eastAsia" w:ascii="宋体" w:hAnsi="宋体" w:cs="宋体"/>
          <w:bCs/>
          <w:color w:val="auto"/>
          <w:szCs w:val="20"/>
        </w:rPr>
        <w:t>月</w:t>
      </w:r>
      <w:r>
        <w:rPr>
          <w:rFonts w:hint="eastAsia" w:ascii="宋体" w:hAnsi="宋体" w:cs="宋体"/>
          <w:bCs/>
          <w:color w:val="auto"/>
          <w:szCs w:val="20"/>
          <w:lang w:val="en-US" w:eastAsia="zh-CN"/>
        </w:rPr>
        <w:t>23</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15</w:t>
      </w:r>
      <w:r>
        <w:rPr>
          <w:rFonts w:hint="eastAsia" w:ascii="宋体" w:hAnsi="宋体" w:cs="宋体"/>
          <w:bCs/>
          <w:color w:val="auto"/>
          <w:szCs w:val="20"/>
        </w:rPr>
        <w:t>分-</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45</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八、投标截止时间及开标时间：20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5</w:t>
      </w:r>
      <w:r>
        <w:rPr>
          <w:rFonts w:hint="eastAsia" w:ascii="宋体" w:hAnsi="宋体" w:cs="宋体"/>
          <w:bCs/>
          <w:color w:val="auto"/>
          <w:szCs w:val="20"/>
        </w:rPr>
        <w:t>月</w:t>
      </w:r>
      <w:r>
        <w:rPr>
          <w:rFonts w:hint="eastAsia" w:ascii="宋体" w:hAnsi="宋体" w:cs="宋体"/>
          <w:bCs/>
          <w:color w:val="auto"/>
          <w:szCs w:val="20"/>
          <w:lang w:val="en-US" w:eastAsia="zh-CN"/>
        </w:rPr>
        <w:t>23</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45</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0000FF"/>
          <w:szCs w:val="20"/>
        </w:rPr>
      </w:pPr>
      <w:r>
        <w:rPr>
          <w:rFonts w:ascii="宋体" w:hAnsi="宋体" w:cs="宋体"/>
          <w:szCs w:val="21"/>
        </w:rPr>
        <w:t>备注：</w:t>
      </w:r>
      <w:r>
        <w:rPr>
          <w:rFonts w:hint="eastAsia"/>
          <w:lang w:eastAsia="zh-CN"/>
        </w:rPr>
        <w:t>如</w:t>
      </w:r>
      <w:r>
        <w:rPr>
          <w:rFonts w:ascii="宋体" w:hAnsi="宋体" w:cs="宋体"/>
          <w:szCs w:val="21"/>
        </w:rPr>
        <w:t>投标人法定代表人或其授权代表通过</w:t>
      </w:r>
      <w:r>
        <w:rPr>
          <w:rFonts w:ascii="宋体" w:hAnsi="宋体" w:cs="宋体"/>
          <w:szCs w:val="21"/>
          <w:highlight w:val="none"/>
        </w:rPr>
        <w:t>邮寄方式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，按照规定的投标截止时间前向我司邮寄投标文件（应有一定时间的</w:t>
      </w:r>
      <w:r>
        <w:rPr>
          <w:rFonts w:ascii="宋体" w:hAnsi="宋体" w:cs="宋体"/>
          <w:szCs w:val="21"/>
        </w:rPr>
        <w:t>提前保证在投标截止时间前送达），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为确保项目顺利开展，通过邮寄方式递交投标文件的各投标人需盖章签署《投标人邮寄投标文件承诺书》，在投标截止前将扫描件发送至</w:t>
      </w:r>
      <w:r>
        <w:rPr>
          <w:rFonts w:hint="eastAsia" w:ascii="宋体" w:hAnsi="宋体" w:cs="宋体"/>
          <w:b/>
          <w:bCs/>
          <w:szCs w:val="21"/>
          <w:u w:val="double"/>
          <w:lang w:eastAsia="zh-CN"/>
        </w:rPr>
        <w:t>我司</w:t>
      </w:r>
      <w:r>
        <w:rPr>
          <w:rFonts w:hint="eastAsia" w:ascii="宋体" w:hAnsi="宋体" w:cs="宋体"/>
          <w:b/>
          <w:bCs/>
          <w:szCs w:val="21"/>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7"/>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szCs w:val="21"/>
        </w:rPr>
      </w:pPr>
      <w:r>
        <w:rPr>
          <w:rFonts w:hint="eastAsia" w:ascii="宋体" w:hAnsi="宋体"/>
          <w:color w:val="auto"/>
          <w:szCs w:val="21"/>
        </w:rPr>
        <w:t>相关媒体：</w:t>
      </w:r>
      <w:r>
        <w:rPr>
          <w:rFonts w:hint="eastAsia" w:cs="宋体" w:asciiTheme="minorEastAsia" w:hAnsiTheme="minorEastAsia" w:eastAsiaTheme="minorEastAsia"/>
          <w:color w:val="auto"/>
          <w:szCs w:val="21"/>
          <w:lang w:eastAsia="zh-CN"/>
        </w:rPr>
        <w:t>深圳市人力资源和社会保障局官网（http://hrss.sz.gov.cn/）、</w:t>
      </w:r>
      <w:r>
        <w:rPr>
          <w:rFonts w:hint="eastAsia" w:ascii="宋体" w:hAnsi="宋体"/>
          <w:color w:val="auto"/>
          <w:szCs w:val="21"/>
        </w:rPr>
        <w:t>采购代理机构网</w:t>
      </w:r>
      <w:r>
        <w:rPr>
          <w:rFonts w:hint="eastAsia" w:ascii="宋体" w:hAnsi="宋体"/>
          <w:szCs w:val="21"/>
        </w:rPr>
        <w:t>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w:t>
      </w:r>
      <w:r>
        <w:rPr>
          <w:rFonts w:hint="eastAsia" w:ascii="宋体" w:hAnsi="宋体" w:cs="宋体"/>
          <w:bCs/>
          <w:color w:val="auto"/>
          <w:szCs w:val="20"/>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9"/>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深圳市人事人才公共服务中心</w:t>
      </w:r>
    </w:p>
    <w:p>
      <w:pPr>
        <w:pStyle w:val="9"/>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snapToGrid w:val="0"/>
          <w:color w:val="auto"/>
          <w:sz w:val="21"/>
          <w:szCs w:val="21"/>
          <w:highlight w:val="none"/>
        </w:rPr>
        <w:t>深圳市福田区香蜜湖街道深南大道8005号人才园四楼</w:t>
      </w:r>
    </w:p>
    <w:p>
      <w:pPr>
        <w:pStyle w:val="9"/>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highlight w:val="none"/>
        </w:rPr>
        <w:t>地址：深圳市福田区竹子</w:t>
      </w:r>
      <w:r>
        <w:rPr>
          <w:rFonts w:hint="eastAsia" w:ascii="宋体" w:hAnsi="宋体" w:cs="宋体"/>
          <w:color w:val="auto"/>
          <w:szCs w:val="21"/>
        </w:rPr>
        <w:t>林中国经贸大厦10楼采联国际招标采购集团有限公司深圳分公司</w:t>
      </w:r>
    </w:p>
    <w:p>
      <w:pPr>
        <w:pStyle w:val="9"/>
        <w:spacing w:line="360" w:lineRule="auto"/>
        <w:ind w:left="0" w:leftChars="0"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val="en-US" w:eastAsia="zh-CN"/>
        </w:rPr>
        <w:t>朱小姐</w:t>
      </w:r>
    </w:p>
    <w:p>
      <w:pPr>
        <w:pStyle w:val="9"/>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2314</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tabs>
          <w:tab w:val="right" w:pos="9180"/>
        </w:tabs>
        <w:adjustRightInd w:val="0"/>
        <w:snapToGrid w:val="0"/>
        <w:spacing w:line="360" w:lineRule="auto"/>
        <w:ind w:firstLine="435"/>
        <w:jc w:val="right"/>
        <w:rPr>
          <w:rFonts w:hint="eastAsia"/>
          <w:b/>
          <w:color w:val="auto"/>
        </w:rPr>
      </w:pPr>
      <w:bookmarkStart w:id="2" w:name="_GoBack"/>
      <w:bookmarkEnd w:id="2"/>
      <w:r>
        <w:rPr>
          <w:rFonts w:hint="eastAsia"/>
          <w:b/>
          <w:color w:val="auto"/>
        </w:rPr>
        <w:t>采联国际招标采购集团有限公司</w:t>
      </w:r>
    </w:p>
    <w:p>
      <w:pPr>
        <w:jc w:val="right"/>
      </w:pP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w:t>
      </w:r>
      <w:r>
        <w:rPr>
          <w:rFonts w:hint="eastAsia" w:ascii="宋体" w:hAnsi="宋体"/>
          <w:b/>
          <w:color w:val="auto"/>
          <w:lang w:val="en-US" w:eastAsia="zh-CN"/>
        </w:rPr>
        <w:t>5</w:t>
      </w:r>
      <w:r>
        <w:rPr>
          <w:rFonts w:hint="eastAsia" w:ascii="宋体" w:hAnsi="宋体"/>
          <w:b/>
          <w:color w:val="auto"/>
        </w:rPr>
        <w:t>月</w:t>
      </w:r>
      <w:r>
        <w:rPr>
          <w:rFonts w:hint="eastAsia" w:ascii="宋体" w:hAnsi="宋体"/>
          <w:b/>
          <w:color w:val="auto"/>
          <w:lang w:val="en-US" w:eastAsia="zh-CN"/>
        </w:rPr>
        <w:t>12</w:t>
      </w:r>
      <w:r>
        <w:rPr>
          <w:rFonts w:hint="eastAsia" w:ascii="宋体" w:hAnsi="宋体"/>
          <w:b/>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72A6C"/>
    <w:rsid w:val="0DF61F60"/>
    <w:rsid w:val="20FB0AD9"/>
    <w:rsid w:val="2EC333C5"/>
    <w:rsid w:val="37EDB5D1"/>
    <w:rsid w:val="3B63253F"/>
    <w:rsid w:val="49A72A6C"/>
    <w:rsid w:val="574868BE"/>
    <w:rsid w:val="60D1126E"/>
    <w:rsid w:val="61691F7C"/>
    <w:rsid w:val="9AFF8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annotation reference"/>
    <w:qFormat/>
    <w:uiPriority w:val="0"/>
    <w:rPr>
      <w:sz w:val="21"/>
      <w:szCs w:val="21"/>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3049</Words>
  <Characters>3501</Characters>
  <Lines>0</Lines>
  <Paragraphs>0</Paragraphs>
  <TotalTime>0</TotalTime>
  <ScaleCrop>false</ScaleCrop>
  <LinksUpToDate>false</LinksUpToDate>
  <CharactersWithSpaces>3504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2025-05-10T05:09:00Z</dcterms:created>
  <dc:creator>采联-朱小姐</dc:creator>
  <cp:lastModifiedBy>rsj</cp:lastModifiedBy>
  <dcterms:modified xsi:type="dcterms:W3CDTF">2025-05-12T15:17:37Z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5BECB890A38B4E298ED04C33AE5E3C58_13</vt:lpwstr>
  </property>
  <property fmtid="{D5CDD505-2E9C-101B-9397-08002B2CF9AE}" pid="4" name="KSOTemplateDocerSaveRecord">
    <vt:lpwstr>eyJoZGlkIjoiMGRlNzAwNGZjOWQ4ZDg4MjQ4ZmM1MDZiNjM3NjUzNDEiLCJ1c2VySWQiOiI1NTUyNTU0MjgifQ==</vt:lpwstr>
  </property>
</Properties>
</file>