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p>
    <w:p>
      <w:pPr>
        <w:jc w:val="center"/>
        <w:rPr>
          <w:b/>
          <w:bCs/>
          <w:sz w:val="36"/>
          <w:szCs w:val="36"/>
        </w:rPr>
      </w:pPr>
    </w:p>
    <w:p>
      <w:pPr>
        <w:jc w:val="center"/>
        <w:rPr>
          <w:b/>
          <w:bCs/>
          <w:sz w:val="36"/>
          <w:szCs w:val="36"/>
        </w:rPr>
      </w:pPr>
      <w:r>
        <w:rPr>
          <w:b/>
          <w:bCs/>
          <w:sz w:val="36"/>
          <w:szCs w:val="36"/>
        </w:rPr>
        <w:t>深圳市南山区元凤幼儿园董事会</w:t>
      </w:r>
    </w:p>
    <w:p>
      <w:pPr>
        <w:jc w:val="center"/>
        <w:rPr>
          <w:b/>
          <w:bCs/>
          <w:sz w:val="36"/>
          <w:szCs w:val="36"/>
        </w:rPr>
      </w:pPr>
      <w:r>
        <w:rPr>
          <w:b/>
          <w:bCs/>
          <w:sz w:val="36"/>
          <w:szCs w:val="36"/>
        </w:rPr>
        <w:t>关于202</w:t>
      </w:r>
      <w:r>
        <w:rPr>
          <w:rFonts w:hint="eastAsia"/>
          <w:b/>
          <w:bCs/>
          <w:sz w:val="36"/>
          <w:szCs w:val="36"/>
          <w:lang w:val="en-US" w:eastAsia="zh-CN"/>
        </w:rPr>
        <w:t>4</w:t>
      </w:r>
      <w:r>
        <w:rPr>
          <w:b/>
          <w:bCs/>
          <w:sz w:val="36"/>
          <w:szCs w:val="36"/>
        </w:rPr>
        <w:t>年度财务审计结果的公告</w:t>
      </w:r>
    </w:p>
    <w:p>
      <w:pPr>
        <w:rPr>
          <w:b/>
          <w:bCs/>
          <w:sz w:val="24"/>
        </w:rPr>
      </w:pPr>
    </w:p>
    <w:p>
      <w:pPr>
        <w:spacing w:line="360" w:lineRule="auto"/>
        <w:ind w:firstLine="560" w:firstLineChars="200"/>
        <w:rPr>
          <w:sz w:val="28"/>
          <w:szCs w:val="28"/>
        </w:rPr>
      </w:pPr>
      <w:r>
        <w:rPr>
          <w:sz w:val="28"/>
          <w:szCs w:val="28"/>
        </w:rPr>
        <w:t>本董事会委托深圳</w:t>
      </w:r>
      <w:r>
        <w:rPr>
          <w:rFonts w:hint="eastAsia"/>
          <w:sz w:val="28"/>
          <w:szCs w:val="28"/>
        </w:rPr>
        <w:t>恒瑞</w:t>
      </w:r>
      <w:r>
        <w:rPr>
          <w:sz w:val="28"/>
          <w:szCs w:val="28"/>
        </w:rPr>
        <w:t>会计师事务所（普通合伙）对我园202</w:t>
      </w:r>
      <w:r>
        <w:rPr>
          <w:rFonts w:hint="eastAsia"/>
          <w:sz w:val="28"/>
          <w:szCs w:val="28"/>
          <w:lang w:val="en-US" w:eastAsia="zh-CN"/>
        </w:rPr>
        <w:t>4</w:t>
      </w:r>
      <w:r>
        <w:rPr>
          <w:sz w:val="28"/>
          <w:szCs w:val="28"/>
        </w:rPr>
        <w:t>年度的财务会计报告依法进行了审计。根据《中华人民共和国民办教育促进法》及其实施条例、《深圳市民办幼儿园财务管理办法（试行）》等有关法规和规范的规定，现予以公告。</w:t>
      </w:r>
    </w:p>
    <w:p>
      <w:pPr>
        <w:spacing w:line="360" w:lineRule="auto"/>
        <w:rPr>
          <w:sz w:val="28"/>
          <w:szCs w:val="28"/>
        </w:rPr>
      </w:pPr>
    </w:p>
    <w:p>
      <w:pPr>
        <w:spacing w:line="360" w:lineRule="auto"/>
        <w:rPr>
          <w:sz w:val="28"/>
          <w:szCs w:val="28"/>
        </w:rPr>
      </w:pPr>
      <w:r>
        <w:rPr>
          <w:sz w:val="28"/>
          <w:szCs w:val="28"/>
        </w:rPr>
        <w:t xml:space="preserve">   附件：审计报告全文及附表</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480" w:lineRule="auto"/>
        <w:jc w:val="right"/>
        <w:rPr>
          <w:sz w:val="28"/>
          <w:szCs w:val="28"/>
        </w:rPr>
      </w:pPr>
      <w:r>
        <w:rPr>
          <w:sz w:val="28"/>
          <w:szCs w:val="28"/>
        </w:rPr>
        <w:t>深圳市南山区元凤幼儿园董事会（盖章）</w:t>
      </w:r>
    </w:p>
    <w:p>
      <w:pPr>
        <w:spacing w:line="480" w:lineRule="auto"/>
        <w:ind w:firstLine="5320" w:firstLineChars="1900"/>
        <w:rPr>
          <w:sz w:val="28"/>
          <w:szCs w:val="28"/>
        </w:rPr>
      </w:pPr>
      <w:r>
        <w:rPr>
          <w:sz w:val="28"/>
          <w:szCs w:val="28"/>
        </w:rPr>
        <w:t>年月日</w:t>
      </w:r>
    </w:p>
    <w:p>
      <w:pPr>
        <w:topLinePunct/>
        <w:spacing w:line="480" w:lineRule="exact"/>
        <w:jc w:val="center"/>
        <w:rPr>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361" w:bottom="1440" w:left="1588" w:header="851" w:footer="992" w:gutter="0"/>
          <w:pgNumType w:start="0"/>
          <w:cols w:space="425" w:num="1"/>
          <w:titlePg/>
          <w:docGrid w:type="lines" w:linePitch="312" w:charSpace="0"/>
        </w:sectPr>
      </w:pPr>
    </w:p>
    <w:p>
      <w:pPr>
        <w:topLinePunct/>
        <w:spacing w:line="480" w:lineRule="exact"/>
        <w:jc w:val="center"/>
        <w:rPr>
          <w:b/>
          <w:sz w:val="44"/>
          <w:szCs w:val="44"/>
        </w:rPr>
      </w:pPr>
    </w:p>
    <w:p>
      <w:pPr>
        <w:topLinePunct/>
        <w:spacing w:line="480" w:lineRule="exact"/>
        <w:jc w:val="center"/>
        <w:rPr>
          <w:b/>
          <w:sz w:val="44"/>
          <w:szCs w:val="44"/>
        </w:rPr>
      </w:pPr>
    </w:p>
    <w:p>
      <w:pPr>
        <w:topLinePunct/>
        <w:spacing w:line="480" w:lineRule="exact"/>
        <w:jc w:val="center"/>
        <w:rPr>
          <w:b/>
          <w:sz w:val="44"/>
          <w:szCs w:val="44"/>
        </w:rPr>
      </w:pPr>
    </w:p>
    <w:p>
      <w:pPr>
        <w:topLinePunct/>
        <w:spacing w:line="480" w:lineRule="exact"/>
        <w:rPr>
          <w:b/>
          <w:sz w:val="44"/>
          <w:szCs w:val="44"/>
        </w:rPr>
      </w:pPr>
    </w:p>
    <w:p>
      <w:pPr>
        <w:topLinePunct/>
        <w:spacing w:line="480" w:lineRule="exact"/>
        <w:jc w:val="center"/>
        <w:rPr>
          <w:b/>
          <w:sz w:val="44"/>
          <w:szCs w:val="44"/>
        </w:rPr>
      </w:pPr>
    </w:p>
    <w:p>
      <w:pPr>
        <w:topLinePunct/>
        <w:spacing w:line="1000" w:lineRule="exact"/>
        <w:jc w:val="center"/>
        <w:rPr>
          <w:b/>
          <w:sz w:val="32"/>
          <w:szCs w:val="32"/>
        </w:rPr>
      </w:pPr>
      <w:r>
        <w:rPr>
          <w:rFonts w:hint="eastAsia"/>
          <w:b/>
          <w:bCs/>
          <w:sz w:val="32"/>
          <w:szCs w:val="32"/>
        </w:rPr>
        <w:t>深圳市南山区元凤幼儿园</w:t>
      </w:r>
      <w:r>
        <w:rPr>
          <w:b/>
          <w:sz w:val="32"/>
          <w:szCs w:val="32"/>
        </w:rPr>
        <w:t>审计报告</w:t>
      </w:r>
    </w:p>
    <w:p>
      <w:pPr>
        <w:topLinePunct/>
        <w:spacing w:line="1000" w:lineRule="exact"/>
        <w:jc w:val="center"/>
        <w:rPr>
          <w:b/>
          <w:sz w:val="32"/>
          <w:szCs w:val="32"/>
        </w:rPr>
      </w:pPr>
      <w:r>
        <w:rPr>
          <w:b/>
          <w:sz w:val="32"/>
          <w:szCs w:val="32"/>
        </w:rPr>
        <w:t>（</w:t>
      </w:r>
      <w:r>
        <w:rPr>
          <w:rFonts w:hint="eastAsia"/>
          <w:b/>
          <w:sz w:val="32"/>
          <w:szCs w:val="32"/>
        </w:rPr>
        <w:t>202</w:t>
      </w:r>
      <w:r>
        <w:rPr>
          <w:rFonts w:hint="eastAsia"/>
          <w:b/>
          <w:sz w:val="32"/>
          <w:szCs w:val="32"/>
          <w:lang w:val="en-US" w:eastAsia="zh-CN"/>
        </w:rPr>
        <w:t>4</w:t>
      </w:r>
      <w:r>
        <w:rPr>
          <w:rFonts w:hint="eastAsia"/>
          <w:b/>
          <w:sz w:val="32"/>
          <w:szCs w:val="32"/>
        </w:rPr>
        <w:t>年度</w:t>
      </w:r>
      <w:r>
        <w:rPr>
          <w:b/>
          <w:sz w:val="32"/>
          <w:szCs w:val="32"/>
        </w:rPr>
        <w:t>）</w:t>
      </w:r>
    </w:p>
    <w:p>
      <w:pPr>
        <w:topLinePunct/>
        <w:spacing w:line="360" w:lineRule="auto"/>
        <w:ind w:firstLine="643" w:firstLineChars="200"/>
        <w:jc w:val="left"/>
        <w:rPr>
          <w:b/>
          <w:sz w:val="32"/>
          <w:szCs w:val="32"/>
        </w:rPr>
      </w:pPr>
    </w:p>
    <w:p>
      <w:pPr>
        <w:topLinePunct/>
        <w:spacing w:line="580" w:lineRule="exact"/>
        <w:ind w:firstLine="964" w:firstLineChars="400"/>
        <w:rPr>
          <w:sz w:val="24"/>
        </w:rPr>
      </w:pPr>
      <w:r>
        <w:rPr>
          <w:b/>
          <w:sz w:val="24"/>
        </w:rPr>
        <w:t>目   录 页  次</w:t>
      </w:r>
    </w:p>
    <w:p>
      <w:pPr>
        <w:pStyle w:val="20"/>
        <w:numPr>
          <w:ilvl w:val="0"/>
          <w:numId w:val="1"/>
        </w:numPr>
        <w:topLinePunct/>
        <w:spacing w:line="580" w:lineRule="exact"/>
        <w:ind w:firstLineChars="0"/>
        <w:jc w:val="left"/>
        <w:rPr>
          <w:sz w:val="24"/>
        </w:rPr>
      </w:pPr>
      <w:r>
        <w:rPr>
          <w:b/>
          <w:sz w:val="24"/>
        </w:rPr>
        <w:t>审计报告</w:t>
      </w:r>
      <w:r>
        <w:rPr>
          <w:sz w:val="24"/>
        </w:rPr>
        <w:t>……………………………………………</w:t>
      </w:r>
      <w:r>
        <w:rPr>
          <w:rFonts w:hint="eastAsia"/>
          <w:sz w:val="24"/>
        </w:rPr>
        <w:t>1-2</w:t>
      </w:r>
      <w:r>
        <w:rPr>
          <w:rFonts w:hint="eastAsia"/>
          <w:sz w:val="24"/>
          <w:lang w:val="en-US" w:eastAsia="zh-CN"/>
        </w:rPr>
        <w:t xml:space="preserve"> </w:t>
      </w:r>
      <w:r>
        <w:rPr>
          <w:sz w:val="24"/>
        </w:rPr>
        <w:t>页</w:t>
      </w:r>
    </w:p>
    <w:p>
      <w:pPr>
        <w:topLinePunct/>
        <w:spacing w:line="580" w:lineRule="exact"/>
        <w:ind w:left="643"/>
        <w:jc w:val="left"/>
        <w:rPr>
          <w:b/>
          <w:sz w:val="24"/>
        </w:rPr>
      </w:pPr>
      <w:r>
        <w:rPr>
          <w:b/>
          <w:sz w:val="24"/>
        </w:rPr>
        <w:t>二、已审财务报表</w:t>
      </w:r>
      <w:r>
        <w:rPr>
          <w:sz w:val="24"/>
        </w:rPr>
        <w:t>………………………………………</w:t>
      </w:r>
      <w:r>
        <w:rPr>
          <w:rFonts w:hint="eastAsia"/>
          <w:sz w:val="24"/>
          <w:lang w:val="en-US" w:eastAsia="zh-CN"/>
        </w:rPr>
        <w:t xml:space="preserve"> </w:t>
      </w:r>
      <w:r>
        <w:rPr>
          <w:rFonts w:hint="eastAsia"/>
          <w:sz w:val="24"/>
        </w:rPr>
        <w:t>3-10</w:t>
      </w:r>
      <w:r>
        <w:rPr>
          <w:sz w:val="24"/>
        </w:rPr>
        <w:t xml:space="preserve"> 页</w:t>
      </w:r>
    </w:p>
    <w:p>
      <w:pPr>
        <w:tabs>
          <w:tab w:val="left" w:pos="1134"/>
        </w:tabs>
        <w:topLinePunct/>
        <w:spacing w:line="580" w:lineRule="exact"/>
        <w:ind w:firstLine="960" w:firstLineChars="400"/>
        <w:jc w:val="left"/>
        <w:rPr>
          <w:sz w:val="24"/>
        </w:rPr>
      </w:pPr>
      <w:r>
        <w:rPr>
          <w:sz w:val="24"/>
        </w:rPr>
        <w:t>1.资产负债表……………………………………………</w:t>
      </w:r>
      <w:r>
        <w:rPr>
          <w:rFonts w:hint="eastAsia"/>
          <w:sz w:val="24"/>
        </w:rPr>
        <w:t>...3</w:t>
      </w:r>
      <w:r>
        <w:rPr>
          <w:rFonts w:hint="eastAsia"/>
          <w:sz w:val="24"/>
          <w:lang w:val="en-US" w:eastAsia="zh-CN"/>
        </w:rPr>
        <w:t xml:space="preserve"> </w:t>
      </w:r>
      <w:r>
        <w:rPr>
          <w:sz w:val="24"/>
        </w:rPr>
        <w:t>页</w:t>
      </w:r>
    </w:p>
    <w:p>
      <w:pPr>
        <w:tabs>
          <w:tab w:val="left" w:pos="1365"/>
        </w:tabs>
        <w:topLinePunct/>
        <w:spacing w:line="580" w:lineRule="exact"/>
        <w:ind w:firstLine="960" w:firstLineChars="400"/>
        <w:jc w:val="left"/>
        <w:rPr>
          <w:sz w:val="24"/>
        </w:rPr>
      </w:pPr>
      <w:r>
        <w:rPr>
          <w:sz w:val="24"/>
        </w:rPr>
        <w:t>2.业务活动表……………………………………………</w:t>
      </w:r>
      <w:r>
        <w:rPr>
          <w:rFonts w:hint="eastAsia"/>
          <w:sz w:val="24"/>
        </w:rPr>
        <w:t>... 4</w:t>
      </w:r>
      <w:r>
        <w:rPr>
          <w:sz w:val="24"/>
        </w:rPr>
        <w:t xml:space="preserve"> 页</w:t>
      </w:r>
    </w:p>
    <w:p>
      <w:pPr>
        <w:tabs>
          <w:tab w:val="left" w:pos="1365"/>
        </w:tabs>
        <w:topLinePunct/>
        <w:spacing w:line="580" w:lineRule="exact"/>
        <w:ind w:firstLine="960" w:firstLineChars="400"/>
        <w:jc w:val="left"/>
        <w:rPr>
          <w:sz w:val="24"/>
        </w:rPr>
      </w:pPr>
      <w:r>
        <w:rPr>
          <w:sz w:val="24"/>
        </w:rPr>
        <w:t>3.保教活动成本表………………………………………</w:t>
      </w:r>
      <w:r>
        <w:rPr>
          <w:rFonts w:hint="eastAsia"/>
          <w:sz w:val="24"/>
        </w:rPr>
        <w:t>. ..5</w:t>
      </w:r>
      <w:r>
        <w:rPr>
          <w:sz w:val="24"/>
        </w:rPr>
        <w:t xml:space="preserve"> 页</w:t>
      </w:r>
    </w:p>
    <w:p>
      <w:pPr>
        <w:tabs>
          <w:tab w:val="left" w:pos="1365"/>
        </w:tabs>
        <w:topLinePunct/>
        <w:spacing w:line="580" w:lineRule="exact"/>
        <w:ind w:firstLine="960" w:firstLineChars="400"/>
        <w:jc w:val="left"/>
        <w:rPr>
          <w:color w:val="FF0000"/>
          <w:sz w:val="24"/>
        </w:rPr>
      </w:pPr>
      <w:r>
        <w:rPr>
          <w:sz w:val="24"/>
        </w:rPr>
        <w:t>4.费用表…………………………………………………</w:t>
      </w:r>
      <w:r>
        <w:rPr>
          <w:rFonts w:hint="eastAsia"/>
          <w:sz w:val="24"/>
        </w:rPr>
        <w:t>....6</w:t>
      </w:r>
      <w:r>
        <w:rPr>
          <w:rFonts w:hint="eastAsia"/>
          <w:sz w:val="24"/>
          <w:lang w:val="en-US" w:eastAsia="zh-CN"/>
        </w:rPr>
        <w:t xml:space="preserve"> </w:t>
      </w:r>
      <w:r>
        <w:rPr>
          <w:sz w:val="24"/>
        </w:rPr>
        <w:t>页</w:t>
      </w:r>
    </w:p>
    <w:p>
      <w:pPr>
        <w:tabs>
          <w:tab w:val="left" w:pos="1365"/>
        </w:tabs>
        <w:topLinePunct/>
        <w:spacing w:line="580" w:lineRule="exact"/>
        <w:ind w:firstLine="960" w:firstLineChars="400"/>
        <w:jc w:val="left"/>
        <w:rPr>
          <w:sz w:val="24"/>
        </w:rPr>
      </w:pPr>
      <w:r>
        <w:rPr>
          <w:sz w:val="24"/>
        </w:rPr>
        <w:t>5.政府资助收支表………………………………………</w:t>
      </w:r>
      <w:r>
        <w:rPr>
          <w:rFonts w:hint="eastAsia"/>
          <w:sz w:val="24"/>
        </w:rPr>
        <w:t>. ..7</w:t>
      </w:r>
      <w:r>
        <w:rPr>
          <w:sz w:val="24"/>
        </w:rPr>
        <w:t xml:space="preserve"> 页</w:t>
      </w:r>
    </w:p>
    <w:p>
      <w:pPr>
        <w:tabs>
          <w:tab w:val="left" w:pos="1365"/>
        </w:tabs>
        <w:topLinePunct/>
        <w:spacing w:line="580" w:lineRule="exact"/>
        <w:ind w:firstLine="960" w:firstLineChars="400"/>
        <w:jc w:val="left"/>
        <w:rPr>
          <w:sz w:val="24"/>
        </w:rPr>
      </w:pPr>
      <w:r>
        <w:rPr>
          <w:sz w:val="24"/>
        </w:rPr>
        <w:t>6.现金流量表………………………………………… …</w:t>
      </w:r>
      <w:r>
        <w:rPr>
          <w:rFonts w:hint="eastAsia"/>
          <w:sz w:val="24"/>
        </w:rPr>
        <w:t>.. .8</w:t>
      </w:r>
      <w:r>
        <w:rPr>
          <w:sz w:val="24"/>
        </w:rPr>
        <w:t>页</w:t>
      </w:r>
    </w:p>
    <w:p>
      <w:pPr>
        <w:tabs>
          <w:tab w:val="left" w:pos="1365"/>
        </w:tabs>
        <w:topLinePunct/>
        <w:spacing w:line="580" w:lineRule="exact"/>
        <w:ind w:firstLine="960" w:firstLineChars="400"/>
        <w:jc w:val="left"/>
        <w:rPr>
          <w:sz w:val="24"/>
        </w:rPr>
      </w:pPr>
      <w:r>
        <w:rPr>
          <w:sz w:val="24"/>
        </w:rPr>
        <w:t>7.基本数字表………………………………………… …</w:t>
      </w:r>
      <w:r>
        <w:rPr>
          <w:rFonts w:hint="eastAsia"/>
          <w:sz w:val="24"/>
        </w:rPr>
        <w:t>. . .9</w:t>
      </w:r>
      <w:r>
        <w:rPr>
          <w:sz w:val="24"/>
        </w:rPr>
        <w:t>页</w:t>
      </w:r>
    </w:p>
    <w:p>
      <w:pPr>
        <w:tabs>
          <w:tab w:val="left" w:pos="1365"/>
        </w:tabs>
        <w:topLinePunct/>
        <w:spacing w:line="580" w:lineRule="exact"/>
        <w:ind w:firstLine="960" w:firstLineChars="400"/>
        <w:jc w:val="left"/>
        <w:rPr>
          <w:sz w:val="24"/>
        </w:rPr>
      </w:pPr>
      <w:r>
        <w:rPr>
          <w:sz w:val="24"/>
        </w:rPr>
        <w:t>8.财务指标表……………………………………………</w:t>
      </w:r>
      <w:r>
        <w:rPr>
          <w:rFonts w:hint="eastAsia"/>
          <w:sz w:val="24"/>
        </w:rPr>
        <w:t>...</w:t>
      </w:r>
      <w:r>
        <w:rPr>
          <w:rFonts w:hint="eastAsia"/>
          <w:sz w:val="24"/>
          <w:lang w:val="en-US" w:eastAsia="zh-CN"/>
        </w:rPr>
        <w:t xml:space="preserve"> </w:t>
      </w:r>
      <w:r>
        <w:rPr>
          <w:rFonts w:hint="eastAsia"/>
          <w:sz w:val="24"/>
        </w:rPr>
        <w:t>10</w:t>
      </w:r>
      <w:r>
        <w:rPr>
          <w:sz w:val="24"/>
        </w:rPr>
        <w:t>页</w:t>
      </w:r>
    </w:p>
    <w:p>
      <w:pPr>
        <w:topLinePunct/>
        <w:spacing w:line="580" w:lineRule="exact"/>
        <w:ind w:left="643"/>
        <w:jc w:val="left"/>
        <w:rPr>
          <w:b/>
          <w:sz w:val="24"/>
        </w:rPr>
      </w:pPr>
      <w:r>
        <w:rPr>
          <w:b/>
          <w:sz w:val="24"/>
        </w:rPr>
        <w:t>三、财务报表附注</w:t>
      </w:r>
      <w:r>
        <w:rPr>
          <w:sz w:val="24"/>
        </w:rPr>
        <w:t>…………………………………………</w:t>
      </w:r>
      <w:r>
        <w:rPr>
          <w:rFonts w:hint="eastAsia"/>
          <w:sz w:val="24"/>
        </w:rPr>
        <w:t>11-16</w:t>
      </w:r>
      <w:r>
        <w:rPr>
          <w:sz w:val="24"/>
        </w:rPr>
        <w:t>页</w:t>
      </w:r>
    </w:p>
    <w:p>
      <w:pPr>
        <w:pStyle w:val="20"/>
        <w:numPr>
          <w:ilvl w:val="0"/>
          <w:numId w:val="2"/>
        </w:numPr>
        <w:topLinePunct/>
        <w:spacing w:line="580" w:lineRule="exact"/>
        <w:ind w:firstLineChars="0"/>
        <w:jc w:val="left"/>
        <w:rPr>
          <w:b/>
          <w:sz w:val="24"/>
        </w:rPr>
      </w:pPr>
      <w:r>
        <w:rPr>
          <w:b/>
          <w:sz w:val="24"/>
        </w:rPr>
        <w:t>需要说明的其他事项</w:t>
      </w:r>
      <w:r>
        <w:rPr>
          <w:sz w:val="24"/>
        </w:rPr>
        <w:t>………………………………</w:t>
      </w:r>
      <w:r>
        <w:rPr>
          <w:rFonts w:hint="eastAsia"/>
          <w:sz w:val="24"/>
        </w:rPr>
        <w:t>16-18</w:t>
      </w:r>
      <w:r>
        <w:rPr>
          <w:sz w:val="24"/>
        </w:rPr>
        <w:t xml:space="preserve"> 页</w:t>
      </w:r>
    </w:p>
    <w:p>
      <w:pPr>
        <w:pStyle w:val="20"/>
        <w:numPr>
          <w:ilvl w:val="0"/>
          <w:numId w:val="2"/>
        </w:numPr>
        <w:topLinePunct/>
        <w:spacing w:line="580" w:lineRule="exact"/>
        <w:ind w:firstLineChars="0"/>
        <w:jc w:val="left"/>
        <w:rPr>
          <w:b/>
          <w:sz w:val="24"/>
        </w:rPr>
      </w:pPr>
      <w:r>
        <w:rPr>
          <w:b/>
          <w:sz w:val="24"/>
        </w:rPr>
        <w:t>审计建议</w:t>
      </w:r>
      <w:r>
        <w:rPr>
          <w:sz w:val="24"/>
        </w:rPr>
        <w:t>………………………………………………</w:t>
      </w:r>
      <w:r>
        <w:rPr>
          <w:rFonts w:hint="eastAsia"/>
          <w:sz w:val="24"/>
        </w:rPr>
        <w:t>18</w:t>
      </w:r>
      <w:r>
        <w:rPr>
          <w:rFonts w:hint="eastAsia"/>
          <w:sz w:val="24"/>
          <w:lang w:val="en-US" w:eastAsia="zh-CN"/>
        </w:rPr>
        <w:t xml:space="preserve">  </w:t>
      </w:r>
      <w:r>
        <w:rPr>
          <w:sz w:val="24"/>
        </w:rPr>
        <w:t>页</w:t>
      </w:r>
    </w:p>
    <w:p>
      <w:pPr>
        <w:topLinePunct/>
        <w:spacing w:line="580" w:lineRule="exact"/>
        <w:ind w:firstLine="482" w:firstLineChars="200"/>
        <w:jc w:val="left"/>
        <w:rPr>
          <w:b/>
          <w:sz w:val="24"/>
        </w:rPr>
      </w:pPr>
    </w:p>
    <w:p>
      <w:pPr>
        <w:spacing w:line="560" w:lineRule="exact"/>
        <w:jc w:val="center"/>
        <w:outlineLvl w:val="0"/>
        <w:rPr>
          <w:b/>
          <w:sz w:val="36"/>
        </w:rPr>
      </w:pPr>
    </w:p>
    <w:p>
      <w:pPr>
        <w:spacing w:line="560" w:lineRule="exact"/>
        <w:jc w:val="center"/>
        <w:outlineLvl w:val="0"/>
        <w:rPr>
          <w:b/>
          <w:sz w:val="36"/>
        </w:rPr>
      </w:pPr>
      <w:r>
        <w:rPr>
          <w:b/>
          <w:sz w:val="36"/>
        </w:rPr>
        <w:t>审   计   报   告</w:t>
      </w:r>
    </w:p>
    <w:p>
      <w:pPr>
        <w:spacing w:line="560" w:lineRule="exact"/>
        <w:jc w:val="center"/>
        <w:outlineLvl w:val="0"/>
        <w:rPr>
          <w:b/>
          <w:sz w:val="36"/>
        </w:rPr>
      </w:pPr>
    </w:p>
    <w:p>
      <w:pPr>
        <w:spacing w:line="500" w:lineRule="exact"/>
        <w:ind w:firstLine="482"/>
        <w:jc w:val="right"/>
        <w:rPr>
          <w:b/>
          <w:sz w:val="24"/>
        </w:rPr>
      </w:pPr>
      <w:r>
        <w:rPr>
          <w:b/>
          <w:sz w:val="24"/>
        </w:rPr>
        <w:t>深恒瑞[202</w:t>
      </w:r>
      <w:r>
        <w:rPr>
          <w:rFonts w:hint="eastAsia"/>
          <w:b/>
          <w:sz w:val="24"/>
          <w:lang w:val="en-US" w:eastAsia="zh-CN"/>
        </w:rPr>
        <w:t>5</w:t>
      </w:r>
      <w:r>
        <w:rPr>
          <w:b/>
          <w:sz w:val="24"/>
        </w:rPr>
        <w:t>]</w:t>
      </w:r>
      <w:r>
        <w:rPr>
          <w:rFonts w:hint="eastAsia"/>
          <w:b/>
          <w:sz w:val="24"/>
        </w:rPr>
        <w:t>专</w:t>
      </w:r>
      <w:r>
        <w:rPr>
          <w:b/>
          <w:sz w:val="24"/>
        </w:rPr>
        <w:t>审字号</w:t>
      </w:r>
    </w:p>
    <w:p>
      <w:pPr>
        <w:topLinePunct/>
        <w:spacing w:line="580" w:lineRule="exact"/>
        <w:jc w:val="left"/>
        <w:rPr>
          <w:sz w:val="24"/>
        </w:rPr>
      </w:pPr>
    </w:p>
    <w:p>
      <w:pPr>
        <w:topLinePunct/>
        <w:spacing w:line="560" w:lineRule="exact"/>
        <w:jc w:val="left"/>
        <w:rPr>
          <w:b/>
          <w:sz w:val="24"/>
        </w:rPr>
      </w:pPr>
      <w:r>
        <w:rPr>
          <w:rFonts w:hint="eastAsia"/>
          <w:b/>
          <w:sz w:val="24"/>
        </w:rPr>
        <w:t>深圳市南山区元凤幼儿园</w:t>
      </w:r>
      <w:r>
        <w:rPr>
          <w:b/>
          <w:sz w:val="24"/>
        </w:rPr>
        <w:t>:</w:t>
      </w:r>
    </w:p>
    <w:p>
      <w:pPr>
        <w:topLinePunct/>
        <w:spacing w:line="560" w:lineRule="exact"/>
        <w:ind w:firstLine="480" w:firstLineChars="200"/>
        <w:jc w:val="left"/>
        <w:rPr>
          <w:sz w:val="24"/>
        </w:rPr>
      </w:pPr>
      <w:r>
        <w:rPr>
          <w:sz w:val="24"/>
        </w:rPr>
        <w:t>我们接受委托，审计了后附的</w:t>
      </w:r>
      <w:r>
        <w:rPr>
          <w:rFonts w:hint="eastAsia"/>
          <w:sz w:val="24"/>
        </w:rPr>
        <w:t>深圳市南山区元凤幼儿园</w:t>
      </w:r>
      <w:r>
        <w:rPr>
          <w:sz w:val="24"/>
        </w:rPr>
        <w:t>（以下简称“</w:t>
      </w:r>
      <w:r>
        <w:rPr>
          <w:rFonts w:hint="eastAsia"/>
          <w:sz w:val="24"/>
        </w:rPr>
        <w:t>元凤幼儿园</w:t>
      </w:r>
      <w:r>
        <w:rPr>
          <w:sz w:val="24"/>
        </w:rPr>
        <w:t>”）财务报表，包括20</w:t>
      </w:r>
      <w:r>
        <w:rPr>
          <w:rFonts w:hint="eastAsia"/>
          <w:sz w:val="24"/>
        </w:rPr>
        <w:t>2</w:t>
      </w:r>
      <w:r>
        <w:rPr>
          <w:rFonts w:hint="eastAsia"/>
          <w:sz w:val="24"/>
          <w:lang w:val="en-US" w:eastAsia="zh-CN"/>
        </w:rPr>
        <w:t>4</w:t>
      </w:r>
      <w:r>
        <w:rPr>
          <w:rFonts w:hint="eastAsia"/>
          <w:sz w:val="24"/>
        </w:rPr>
        <w:t>年</w:t>
      </w:r>
      <w:r>
        <w:rPr>
          <w:sz w:val="24"/>
        </w:rPr>
        <w:t>12月31日的资产负债表，</w:t>
      </w:r>
      <w:r>
        <w:rPr>
          <w:rFonts w:hint="eastAsia"/>
          <w:sz w:val="24"/>
        </w:rPr>
        <w:t>202</w:t>
      </w:r>
      <w:r>
        <w:rPr>
          <w:rFonts w:hint="eastAsia"/>
          <w:sz w:val="24"/>
          <w:lang w:val="en-US" w:eastAsia="zh-CN"/>
        </w:rPr>
        <w:t>4</w:t>
      </w:r>
      <w:r>
        <w:rPr>
          <w:rFonts w:hint="eastAsia"/>
          <w:sz w:val="24"/>
        </w:rPr>
        <w:t>年度</w:t>
      </w:r>
      <w:r>
        <w:rPr>
          <w:sz w:val="24"/>
        </w:rPr>
        <w:t>的业务活动表、保教活动成本表、费用表、政府资助收支表、现金流量表、基本数字表、财务指标表及财务报表附注，并根据主管部门的要求，审计了财务管理的有关情况。</w:t>
      </w:r>
    </w:p>
    <w:p>
      <w:pPr>
        <w:widowControl/>
        <w:adjustRightInd w:val="0"/>
        <w:snapToGrid w:val="0"/>
        <w:spacing w:line="560" w:lineRule="exact"/>
        <w:ind w:firstLine="482" w:firstLineChars="200"/>
        <w:outlineLvl w:val="1"/>
        <w:rPr>
          <w:b/>
          <w:bCs/>
          <w:sz w:val="24"/>
        </w:rPr>
      </w:pPr>
      <w:r>
        <w:rPr>
          <w:b/>
          <w:bCs/>
          <w:sz w:val="24"/>
        </w:rPr>
        <w:t>一、管理层对财务报表的责任</w:t>
      </w:r>
    </w:p>
    <w:p>
      <w:pPr>
        <w:spacing w:line="560" w:lineRule="exact"/>
        <w:ind w:firstLine="480" w:firstLineChars="200"/>
        <w:jc w:val="left"/>
        <w:rPr>
          <w:sz w:val="24"/>
        </w:rPr>
      </w:pPr>
      <w:r>
        <w:rPr>
          <w:sz w:val="24"/>
        </w:rPr>
        <w:t>编制和公允列报财务报表是幼儿园管理层的责任。这种责任包括：1.按照《深圳市民办幼儿园财务管理办法（试行）》的规定编制财务报表，对会计资料的真实性、合法性和完整性负责，使其实现公允反映；2.设计、实施和维护必要的内部控制，以使财务报表不存在由于舞弊或错误而导致的重大错报。3.作出合理的会计估计。</w:t>
      </w:r>
    </w:p>
    <w:p>
      <w:pPr>
        <w:widowControl/>
        <w:adjustRightInd w:val="0"/>
        <w:snapToGrid w:val="0"/>
        <w:spacing w:line="560" w:lineRule="exact"/>
        <w:ind w:firstLine="482" w:firstLineChars="200"/>
        <w:outlineLvl w:val="1"/>
        <w:rPr>
          <w:b/>
          <w:bCs/>
          <w:sz w:val="24"/>
        </w:rPr>
      </w:pPr>
      <w:bookmarkStart w:id="0" w:name="bookmark75"/>
      <w:r>
        <w:rPr>
          <w:b/>
          <w:bCs/>
          <w:sz w:val="24"/>
        </w:rPr>
        <w:t>二、注册会计师的责任</w:t>
      </w:r>
      <w:bookmarkEnd w:id="0"/>
    </w:p>
    <w:p>
      <w:pPr>
        <w:widowControl/>
        <w:adjustRightInd w:val="0"/>
        <w:snapToGrid w:val="0"/>
        <w:spacing w:line="560" w:lineRule="exact"/>
        <w:ind w:firstLine="480" w:firstLineChars="200"/>
        <w:rPr>
          <w:sz w:val="24"/>
        </w:rPr>
      </w:pPr>
      <w:r>
        <w:rPr>
          <w:sz w:val="24"/>
        </w:rPr>
        <w:t>我们的责任是在实施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widowControl/>
        <w:adjustRightInd w:val="0"/>
        <w:snapToGrid w:val="0"/>
        <w:spacing w:line="560" w:lineRule="exact"/>
        <w:ind w:firstLine="480" w:firstLineChars="200"/>
        <w:rPr>
          <w:sz w:val="24"/>
        </w:rPr>
      </w:pPr>
      <w:r>
        <w:rPr>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widowControl/>
        <w:adjustRightInd w:val="0"/>
        <w:snapToGrid w:val="0"/>
        <w:spacing w:line="560" w:lineRule="exact"/>
        <w:ind w:firstLine="480" w:firstLineChars="200"/>
        <w:rPr>
          <w:sz w:val="24"/>
        </w:rPr>
      </w:pPr>
      <w:r>
        <w:rPr>
          <w:sz w:val="24"/>
        </w:rPr>
        <w:t>我们相信，我们获取的审计证据是充分、适当的，为发表审计意见提供了基础。</w:t>
      </w:r>
    </w:p>
    <w:p>
      <w:pPr>
        <w:widowControl/>
        <w:adjustRightInd w:val="0"/>
        <w:snapToGrid w:val="0"/>
        <w:spacing w:line="580" w:lineRule="exact"/>
        <w:ind w:firstLine="482" w:firstLineChars="200"/>
        <w:outlineLvl w:val="1"/>
        <w:rPr>
          <w:b/>
          <w:bCs/>
          <w:sz w:val="24"/>
        </w:rPr>
      </w:pPr>
      <w:r>
        <w:rPr>
          <w:b/>
          <w:bCs/>
          <w:sz w:val="24"/>
        </w:rPr>
        <w:t>三、审计意见</w:t>
      </w:r>
    </w:p>
    <w:p>
      <w:pPr>
        <w:pStyle w:val="14"/>
        <w:shd w:val="clear" w:color="auto" w:fill="auto"/>
        <w:adjustRightInd w:val="0"/>
        <w:snapToGrid w:val="0"/>
        <w:spacing w:line="580" w:lineRule="exact"/>
        <w:ind w:firstLine="480" w:firstLineChars="200"/>
        <w:jc w:val="both"/>
        <w:rPr>
          <w:rFonts w:ascii="Times New Roman" w:hAnsi="Times New Roman"/>
          <w:color w:val="000000"/>
          <w:sz w:val="24"/>
          <w:szCs w:val="24"/>
        </w:rPr>
      </w:pPr>
      <w:r>
        <w:rPr>
          <w:rFonts w:ascii="Times New Roman" w:hAnsi="Times New Roman"/>
          <w:sz w:val="24"/>
          <w:szCs w:val="24"/>
        </w:rPr>
        <w:t>我们认为，</w:t>
      </w:r>
      <w:r>
        <w:rPr>
          <w:rFonts w:hint="eastAsia" w:ascii="Times New Roman" w:hAnsi="Times New Roman"/>
          <w:sz w:val="24"/>
          <w:szCs w:val="24"/>
        </w:rPr>
        <w:t>元凤幼儿园</w:t>
      </w:r>
      <w:r>
        <w:rPr>
          <w:rFonts w:ascii="Times New Roman" w:hAnsi="Times New Roman"/>
          <w:color w:val="000000"/>
          <w:sz w:val="24"/>
          <w:szCs w:val="24"/>
        </w:rPr>
        <w:t>财务报表在所有重大方面按照《深圳市民办幼儿园财务管理办法（试行）》及其他有关法律法规的规定编制，</w:t>
      </w:r>
      <w:bookmarkStart w:id="1" w:name="OLE_LINK4"/>
      <w:bookmarkStart w:id="2" w:name="OLE_LINK3"/>
      <w:r>
        <w:rPr>
          <w:rFonts w:ascii="Times New Roman" w:hAnsi="Times New Roman"/>
          <w:color w:val="000000"/>
          <w:sz w:val="24"/>
          <w:szCs w:val="24"/>
        </w:rPr>
        <w:t>公允反映了</w:t>
      </w:r>
      <w:r>
        <w:rPr>
          <w:rFonts w:hint="eastAsia" w:ascii="Times New Roman" w:hAnsi="Times New Roman"/>
          <w:sz w:val="24"/>
        </w:rPr>
        <w:t>元凤幼儿园</w:t>
      </w:r>
      <w:r>
        <w:rPr>
          <w:rFonts w:ascii="Times New Roman" w:hAnsi="Times New Roman"/>
          <w:color w:val="000000"/>
          <w:sz w:val="24"/>
          <w:szCs w:val="24"/>
        </w:rPr>
        <w:t>20</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4</w:t>
      </w:r>
      <w:r>
        <w:rPr>
          <w:rFonts w:hint="eastAsia" w:ascii="Times New Roman" w:hAnsi="Times New Roman"/>
          <w:color w:val="000000"/>
          <w:sz w:val="24"/>
          <w:szCs w:val="24"/>
        </w:rPr>
        <w:t>年</w:t>
      </w:r>
      <w:r>
        <w:rPr>
          <w:rFonts w:ascii="Times New Roman" w:hAnsi="Times New Roman"/>
          <w:color w:val="000000"/>
          <w:sz w:val="24"/>
          <w:szCs w:val="24"/>
        </w:rPr>
        <w:t>12月31日的财务状况以及</w:t>
      </w:r>
      <w:bookmarkEnd w:id="1"/>
      <w:bookmarkEnd w:id="2"/>
      <w:r>
        <w:rPr>
          <w:rFonts w:hint="eastAsia" w:ascii="Times New Roman" w:hAnsi="Times New Roman"/>
          <w:color w:val="000000"/>
          <w:sz w:val="24"/>
          <w:szCs w:val="24"/>
        </w:rPr>
        <w:t>202</w:t>
      </w:r>
      <w:r>
        <w:rPr>
          <w:rFonts w:hint="eastAsia" w:ascii="Times New Roman" w:hAnsi="Times New Roman"/>
          <w:color w:val="000000"/>
          <w:sz w:val="24"/>
          <w:szCs w:val="24"/>
          <w:lang w:val="en-US" w:eastAsia="zh-CN"/>
        </w:rPr>
        <w:t>4</w:t>
      </w:r>
      <w:r>
        <w:rPr>
          <w:rFonts w:hint="eastAsia" w:ascii="Times New Roman" w:hAnsi="Times New Roman"/>
          <w:color w:val="000000"/>
          <w:sz w:val="24"/>
          <w:szCs w:val="24"/>
        </w:rPr>
        <w:t>年度</w:t>
      </w:r>
      <w:r>
        <w:rPr>
          <w:rFonts w:ascii="Times New Roman" w:hAnsi="Times New Roman"/>
          <w:color w:val="000000"/>
          <w:sz w:val="24"/>
          <w:szCs w:val="24"/>
        </w:rPr>
        <w:t>的业务成果。</w:t>
      </w:r>
    </w:p>
    <w:p>
      <w:pPr>
        <w:topLinePunct/>
        <w:spacing w:line="580" w:lineRule="exact"/>
        <w:ind w:firstLine="480" w:firstLineChars="200"/>
        <w:jc w:val="left"/>
        <w:rPr>
          <w:sz w:val="24"/>
        </w:rPr>
      </w:pPr>
    </w:p>
    <w:p>
      <w:pPr>
        <w:topLinePunct/>
        <w:spacing w:line="580" w:lineRule="exact"/>
        <w:ind w:firstLine="480" w:firstLineChars="200"/>
        <w:jc w:val="left"/>
        <w:rPr>
          <w:sz w:val="24"/>
        </w:rPr>
      </w:pPr>
    </w:p>
    <w:p>
      <w:pPr>
        <w:topLinePunct/>
        <w:spacing w:line="580" w:lineRule="exact"/>
        <w:ind w:firstLine="480" w:firstLineChars="200"/>
        <w:jc w:val="left"/>
        <w:rPr>
          <w:sz w:val="24"/>
        </w:rPr>
      </w:pPr>
    </w:p>
    <w:p>
      <w:pPr>
        <w:topLinePunct/>
        <w:spacing w:line="580" w:lineRule="exact"/>
        <w:ind w:firstLine="480" w:firstLineChars="200"/>
        <w:jc w:val="left"/>
        <w:rPr>
          <w:sz w:val="24"/>
        </w:rPr>
      </w:pPr>
    </w:p>
    <w:p>
      <w:pPr>
        <w:topLinePunct/>
        <w:spacing w:line="580" w:lineRule="exact"/>
        <w:ind w:firstLine="480" w:firstLineChars="200"/>
        <w:jc w:val="left"/>
        <w:rPr>
          <w:sz w:val="24"/>
        </w:rPr>
      </w:pPr>
    </w:p>
    <w:p>
      <w:pPr>
        <w:topLinePunct/>
        <w:spacing w:line="580" w:lineRule="exact"/>
        <w:ind w:firstLine="480" w:firstLineChars="200"/>
        <w:jc w:val="left"/>
        <w:rPr>
          <w:sz w:val="24"/>
        </w:rPr>
      </w:pPr>
    </w:p>
    <w:p>
      <w:pPr>
        <w:tabs>
          <w:tab w:val="left" w:pos="5580"/>
          <w:tab w:val="left" w:pos="5760"/>
          <w:tab w:val="left" w:pos="5940"/>
        </w:tabs>
        <w:spacing w:line="440" w:lineRule="exact"/>
        <w:ind w:firstLine="261" w:firstLineChars="100"/>
        <w:rPr>
          <w:b/>
          <w:sz w:val="26"/>
          <w:szCs w:val="20"/>
        </w:rPr>
      </w:pPr>
      <w:r>
        <w:rPr>
          <w:b/>
          <w:sz w:val="26"/>
          <w:szCs w:val="20"/>
        </w:rPr>
        <w:t>深圳</w:t>
      </w:r>
      <w:r>
        <w:rPr>
          <w:rFonts w:hint="eastAsia"/>
          <w:b/>
          <w:sz w:val="26"/>
          <w:szCs w:val="20"/>
        </w:rPr>
        <w:t>恒瑞</w:t>
      </w:r>
      <w:r>
        <w:rPr>
          <w:b/>
          <w:sz w:val="26"/>
          <w:szCs w:val="20"/>
        </w:rPr>
        <w:t>会计师事务所               中国注册会计师：</w:t>
      </w:r>
    </w:p>
    <w:p>
      <w:pPr>
        <w:spacing w:line="440" w:lineRule="exact"/>
        <w:rPr>
          <w:b/>
          <w:sz w:val="26"/>
          <w:szCs w:val="20"/>
        </w:rPr>
      </w:pPr>
    </w:p>
    <w:p>
      <w:pPr>
        <w:spacing w:line="440" w:lineRule="exact"/>
        <w:rPr>
          <w:b/>
          <w:sz w:val="26"/>
          <w:szCs w:val="20"/>
        </w:rPr>
      </w:pPr>
    </w:p>
    <w:p>
      <w:pPr>
        <w:spacing w:line="440" w:lineRule="exact"/>
        <w:rPr>
          <w:b/>
          <w:sz w:val="26"/>
          <w:szCs w:val="20"/>
        </w:rPr>
      </w:pPr>
      <w:r>
        <w:rPr>
          <w:b/>
          <w:sz w:val="26"/>
          <w:szCs w:val="20"/>
        </w:rPr>
        <w:t xml:space="preserve">      （普通合伙）                   中国注册会计师：</w:t>
      </w:r>
    </w:p>
    <w:p>
      <w:pPr>
        <w:tabs>
          <w:tab w:val="left" w:pos="5220"/>
          <w:tab w:val="left" w:pos="5400"/>
        </w:tabs>
        <w:spacing w:line="440" w:lineRule="exact"/>
        <w:ind w:firstLine="5055"/>
        <w:rPr>
          <w:b/>
          <w:sz w:val="26"/>
          <w:szCs w:val="20"/>
        </w:rPr>
      </w:pPr>
    </w:p>
    <w:p>
      <w:pPr>
        <w:tabs>
          <w:tab w:val="left" w:pos="5220"/>
          <w:tab w:val="left" w:pos="5400"/>
        </w:tabs>
        <w:spacing w:line="440" w:lineRule="exact"/>
        <w:ind w:firstLine="5055"/>
        <w:rPr>
          <w:b/>
          <w:sz w:val="26"/>
          <w:szCs w:val="20"/>
        </w:rPr>
      </w:pPr>
    </w:p>
    <w:p>
      <w:pPr>
        <w:ind w:firstLine="914" w:firstLineChars="350"/>
        <w:rPr>
          <w:b/>
          <w:sz w:val="26"/>
          <w:szCs w:val="20"/>
        </w:rPr>
      </w:pPr>
      <w:r>
        <w:rPr>
          <w:b/>
          <w:sz w:val="26"/>
          <w:szCs w:val="20"/>
        </w:rPr>
        <w:t>中国   深圳                   二〇二</w:t>
      </w:r>
      <w:r>
        <w:rPr>
          <w:rFonts w:hint="eastAsia"/>
          <w:b/>
          <w:sz w:val="26"/>
          <w:szCs w:val="20"/>
          <w:lang w:val="en-US" w:eastAsia="zh-CN"/>
        </w:rPr>
        <w:t>五</w:t>
      </w:r>
      <w:r>
        <w:rPr>
          <w:b/>
          <w:sz w:val="26"/>
          <w:szCs w:val="20"/>
        </w:rPr>
        <w:t>年月日</w:t>
      </w:r>
    </w:p>
    <w:p>
      <w:pPr>
        <w:topLinePunct/>
        <w:spacing w:line="580" w:lineRule="exact"/>
        <w:jc w:val="left"/>
        <w:rPr>
          <w:b/>
          <w:sz w:val="24"/>
        </w:rPr>
      </w:pPr>
    </w:p>
    <w:p>
      <w:pPr>
        <w:topLinePunct/>
        <w:spacing w:line="580" w:lineRule="exact"/>
        <w:jc w:val="left"/>
        <w:rPr>
          <w:b/>
          <w:sz w:val="24"/>
        </w:rPr>
      </w:pPr>
    </w:p>
    <w:p>
      <w:pPr>
        <w:topLinePunct/>
        <w:spacing w:line="580" w:lineRule="exact"/>
        <w:jc w:val="left"/>
        <w:rPr>
          <w:b/>
          <w:sz w:val="24"/>
        </w:rPr>
      </w:pPr>
    </w:p>
    <w:p>
      <w:pPr>
        <w:topLinePunct/>
        <w:spacing w:line="580" w:lineRule="exact"/>
        <w:jc w:val="left"/>
        <w:rPr>
          <w:b/>
          <w:sz w:val="24"/>
        </w:rPr>
      </w:pPr>
    </w:p>
    <w:p>
      <w:pPr>
        <w:topLinePunct/>
        <w:spacing w:line="580" w:lineRule="exact"/>
        <w:jc w:val="left"/>
        <w:rPr>
          <w:b/>
          <w:sz w:val="24"/>
        </w:rPr>
      </w:pPr>
    </w:p>
    <w:tbl>
      <w:tblPr>
        <w:tblStyle w:val="6"/>
        <w:tblW w:w="10624" w:type="dxa"/>
        <w:jc w:val="center"/>
        <w:tblLayout w:type="autofit"/>
        <w:tblCellMar>
          <w:top w:w="0" w:type="dxa"/>
          <w:left w:w="108" w:type="dxa"/>
          <w:bottom w:w="0" w:type="dxa"/>
          <w:right w:w="108" w:type="dxa"/>
        </w:tblCellMar>
      </w:tblPr>
      <w:tblGrid>
        <w:gridCol w:w="2206"/>
        <w:gridCol w:w="655"/>
        <w:gridCol w:w="1270"/>
        <w:gridCol w:w="339"/>
        <w:gridCol w:w="931"/>
        <w:gridCol w:w="1893"/>
        <w:gridCol w:w="655"/>
        <w:gridCol w:w="1337"/>
        <w:gridCol w:w="1433"/>
      </w:tblGrid>
      <w:tr>
        <w:tblPrEx>
          <w:tblCellMar>
            <w:top w:w="0" w:type="dxa"/>
            <w:left w:w="108" w:type="dxa"/>
            <w:bottom w:w="0" w:type="dxa"/>
            <w:right w:w="108" w:type="dxa"/>
          </w:tblCellMar>
        </w:tblPrEx>
        <w:trPr>
          <w:trHeight w:val="428" w:hRule="atLeast"/>
          <w:jc w:val="center"/>
        </w:trPr>
        <w:tc>
          <w:tcPr>
            <w:tcW w:w="10624" w:type="dxa"/>
            <w:gridSpan w:val="9"/>
            <w:tcBorders>
              <w:top w:val="nil"/>
              <w:left w:val="nil"/>
              <w:bottom w:val="nil"/>
              <w:right w:val="nil"/>
            </w:tcBorders>
            <w:shd w:val="clear" w:color="auto" w:fill="auto"/>
            <w:vAlign w:val="center"/>
          </w:tcPr>
          <w:p>
            <w:pPr>
              <w:widowControl/>
              <w:spacing w:line="400" w:lineRule="exact"/>
              <w:jc w:val="center"/>
              <w:rPr>
                <w:b/>
                <w:bCs/>
                <w:kern w:val="0"/>
                <w:sz w:val="32"/>
                <w:szCs w:val="32"/>
              </w:rPr>
            </w:pPr>
            <w:bookmarkStart w:id="3" w:name="RANGE!A1:H44"/>
            <w:r>
              <w:rPr>
                <w:rFonts w:hint="eastAsia" w:ascii="宋体" w:hAnsi="宋体"/>
                <w:b/>
                <w:bCs/>
                <w:kern w:val="0"/>
                <w:sz w:val="32"/>
                <w:szCs w:val="32"/>
              </w:rPr>
              <w:t>资产负债表</w:t>
            </w:r>
            <w:bookmarkEnd w:id="3"/>
          </w:p>
        </w:tc>
      </w:tr>
      <w:tr>
        <w:tblPrEx>
          <w:tblCellMar>
            <w:top w:w="0" w:type="dxa"/>
            <w:left w:w="108" w:type="dxa"/>
            <w:bottom w:w="0" w:type="dxa"/>
            <w:right w:w="108" w:type="dxa"/>
          </w:tblCellMar>
        </w:tblPrEx>
        <w:trPr>
          <w:trHeight w:val="287" w:hRule="atLeast"/>
          <w:jc w:val="center"/>
        </w:trPr>
        <w:tc>
          <w:tcPr>
            <w:tcW w:w="4470" w:type="dxa"/>
            <w:gridSpan w:val="4"/>
            <w:tcBorders>
              <w:top w:val="nil"/>
              <w:left w:val="nil"/>
              <w:bottom w:val="nil"/>
              <w:right w:val="nil"/>
            </w:tcBorders>
            <w:shd w:val="clear" w:color="auto" w:fill="auto"/>
            <w:vAlign w:val="center"/>
          </w:tcPr>
          <w:p>
            <w:pPr>
              <w:widowControl/>
              <w:spacing w:line="240" w:lineRule="exact"/>
              <w:jc w:val="left"/>
              <w:rPr>
                <w:kern w:val="0"/>
                <w:sz w:val="20"/>
                <w:szCs w:val="20"/>
              </w:rPr>
            </w:pPr>
            <w:r>
              <w:rPr>
                <w:rFonts w:hint="eastAsia" w:ascii="宋体" w:hAnsi="宋体"/>
                <w:kern w:val="0"/>
                <w:sz w:val="20"/>
                <w:szCs w:val="20"/>
              </w:rPr>
              <w:t>编制单位：深圳市南山区元凤幼儿园</w:t>
            </w:r>
          </w:p>
        </w:tc>
        <w:tc>
          <w:tcPr>
            <w:tcW w:w="2824" w:type="dxa"/>
            <w:gridSpan w:val="2"/>
            <w:tcBorders>
              <w:top w:val="nil"/>
              <w:left w:val="nil"/>
              <w:bottom w:val="nil"/>
              <w:right w:val="nil"/>
            </w:tcBorders>
            <w:shd w:val="clear" w:color="auto" w:fill="auto"/>
            <w:vAlign w:val="center"/>
          </w:tcPr>
          <w:p>
            <w:pPr>
              <w:widowControl/>
              <w:spacing w:line="240" w:lineRule="exact"/>
              <w:jc w:val="left"/>
              <w:rPr>
                <w:kern w:val="0"/>
                <w:sz w:val="20"/>
                <w:szCs w:val="20"/>
              </w:rPr>
            </w:pPr>
            <w:r>
              <w:rPr>
                <w:kern w:val="0"/>
                <w:sz w:val="20"/>
                <w:szCs w:val="20"/>
              </w:rPr>
              <w:t>20</w:t>
            </w:r>
            <w:r>
              <w:rPr>
                <w:rFonts w:hint="eastAsia"/>
                <w:kern w:val="0"/>
                <w:sz w:val="20"/>
                <w:szCs w:val="20"/>
              </w:rPr>
              <w:t>2</w:t>
            </w:r>
            <w:r>
              <w:rPr>
                <w:rFonts w:hint="eastAsia"/>
                <w:kern w:val="0"/>
                <w:sz w:val="20"/>
                <w:szCs w:val="20"/>
                <w:lang w:val="en-US" w:eastAsia="zh-CN"/>
              </w:rPr>
              <w:t>4</w:t>
            </w:r>
            <w:r>
              <w:rPr>
                <w:rFonts w:hint="eastAsia"/>
                <w:kern w:val="0"/>
                <w:sz w:val="20"/>
                <w:szCs w:val="20"/>
              </w:rPr>
              <w:t>年</w:t>
            </w:r>
            <w:r>
              <w:rPr>
                <w:kern w:val="0"/>
                <w:sz w:val="20"/>
                <w:szCs w:val="20"/>
              </w:rPr>
              <w:t>12月31日</w:t>
            </w:r>
          </w:p>
        </w:tc>
        <w:tc>
          <w:tcPr>
            <w:tcW w:w="655" w:type="dxa"/>
            <w:tcBorders>
              <w:top w:val="nil"/>
              <w:left w:val="nil"/>
              <w:bottom w:val="nil"/>
              <w:right w:val="nil"/>
            </w:tcBorders>
            <w:shd w:val="clear" w:color="auto" w:fill="auto"/>
            <w:vAlign w:val="center"/>
          </w:tcPr>
          <w:p>
            <w:pPr>
              <w:widowControl/>
              <w:spacing w:line="240" w:lineRule="exact"/>
              <w:jc w:val="center"/>
              <w:rPr>
                <w:kern w:val="0"/>
                <w:sz w:val="20"/>
                <w:szCs w:val="20"/>
              </w:rPr>
            </w:pPr>
          </w:p>
        </w:tc>
        <w:tc>
          <w:tcPr>
            <w:tcW w:w="2675" w:type="dxa"/>
            <w:gridSpan w:val="2"/>
            <w:tcBorders>
              <w:top w:val="nil"/>
              <w:left w:val="nil"/>
              <w:bottom w:val="nil"/>
              <w:right w:val="nil"/>
            </w:tcBorders>
            <w:shd w:val="clear" w:color="auto" w:fill="auto"/>
            <w:vAlign w:val="center"/>
          </w:tcPr>
          <w:p>
            <w:pPr>
              <w:widowControl/>
              <w:spacing w:line="240" w:lineRule="exact"/>
              <w:jc w:val="right"/>
              <w:rPr>
                <w:kern w:val="0"/>
                <w:sz w:val="20"/>
                <w:szCs w:val="20"/>
              </w:rPr>
            </w:pPr>
            <w:r>
              <w:rPr>
                <w:rFonts w:hint="eastAsia" w:ascii="宋体" w:hAnsi="宋体"/>
                <w:kern w:val="0"/>
                <w:sz w:val="20"/>
                <w:szCs w:val="20"/>
              </w:rPr>
              <w:t>会民幼</w:t>
            </w:r>
            <w:r>
              <w:rPr>
                <w:kern w:val="0"/>
                <w:sz w:val="20"/>
                <w:szCs w:val="20"/>
              </w:rPr>
              <w:t>01</w:t>
            </w:r>
            <w:r>
              <w:rPr>
                <w:rFonts w:hint="eastAsia" w:ascii="宋体" w:hAnsi="宋体"/>
                <w:kern w:val="0"/>
                <w:sz w:val="20"/>
                <w:szCs w:val="20"/>
              </w:rPr>
              <w:t>表单位：元</w:t>
            </w:r>
          </w:p>
        </w:tc>
      </w:tr>
      <w:tr>
        <w:tblPrEx>
          <w:tblCellMar>
            <w:top w:w="0" w:type="dxa"/>
            <w:left w:w="108" w:type="dxa"/>
            <w:bottom w:w="0" w:type="dxa"/>
            <w:right w:w="108" w:type="dxa"/>
          </w:tblCellMar>
        </w:tblPrEx>
        <w:trPr>
          <w:trHeight w:val="287"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rFonts w:hint="eastAsia" w:ascii="宋体" w:hAnsi="宋体"/>
                <w:b/>
                <w:bCs/>
                <w:kern w:val="0"/>
                <w:sz w:val="20"/>
                <w:szCs w:val="20"/>
              </w:rPr>
              <w:t>资产</w:t>
            </w:r>
          </w:p>
        </w:tc>
        <w:tc>
          <w:tcPr>
            <w:tcW w:w="655"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rFonts w:hint="eastAsia" w:ascii="宋体" w:hAnsi="宋体"/>
                <w:b/>
                <w:bCs/>
                <w:kern w:val="0"/>
                <w:sz w:val="20"/>
                <w:szCs w:val="20"/>
              </w:rPr>
              <w:t>行次</w:t>
            </w:r>
          </w:p>
        </w:tc>
        <w:tc>
          <w:tcPr>
            <w:tcW w:w="1270"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rFonts w:hint="eastAsia" w:ascii="宋体" w:hAnsi="宋体"/>
                <w:b/>
                <w:bCs/>
                <w:kern w:val="0"/>
                <w:sz w:val="20"/>
                <w:szCs w:val="20"/>
              </w:rPr>
              <w:t>年初数</w:t>
            </w:r>
          </w:p>
        </w:tc>
        <w:tc>
          <w:tcPr>
            <w:tcW w:w="127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rFonts w:hint="eastAsia" w:ascii="宋体" w:hAnsi="宋体"/>
                <w:b/>
                <w:bCs/>
                <w:kern w:val="0"/>
                <w:sz w:val="20"/>
                <w:szCs w:val="20"/>
              </w:rPr>
              <w:t>期末数</w:t>
            </w:r>
          </w:p>
        </w:tc>
        <w:tc>
          <w:tcPr>
            <w:tcW w:w="1893"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rFonts w:hint="eastAsia" w:ascii="宋体" w:hAnsi="宋体"/>
                <w:b/>
                <w:bCs/>
                <w:kern w:val="0"/>
                <w:sz w:val="20"/>
                <w:szCs w:val="20"/>
              </w:rPr>
              <w:t>负债和净资产</w:t>
            </w:r>
          </w:p>
        </w:tc>
        <w:tc>
          <w:tcPr>
            <w:tcW w:w="655"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rFonts w:hint="eastAsia" w:ascii="宋体" w:hAnsi="宋体"/>
                <w:b/>
                <w:bCs/>
                <w:kern w:val="0"/>
                <w:sz w:val="20"/>
                <w:szCs w:val="20"/>
              </w:rPr>
              <w:t>行次</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rFonts w:hint="eastAsia" w:ascii="宋体" w:hAnsi="宋体"/>
                <w:b/>
                <w:bCs/>
                <w:kern w:val="0"/>
                <w:sz w:val="20"/>
                <w:szCs w:val="20"/>
              </w:rPr>
              <w:t>年初数</w:t>
            </w:r>
          </w:p>
        </w:tc>
        <w:tc>
          <w:tcPr>
            <w:tcW w:w="1338"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rFonts w:hint="eastAsia" w:ascii="宋体" w:hAnsi="宋体"/>
                <w:b/>
                <w:bCs/>
                <w:kern w:val="0"/>
                <w:sz w:val="20"/>
                <w:szCs w:val="20"/>
              </w:rPr>
              <w:t>期末数</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流动资产：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1</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kern w:val="0"/>
                <w:sz w:val="20"/>
                <w:szCs w:val="20"/>
              </w:rPr>
              <w:t>　</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kern w:val="0"/>
                <w:sz w:val="20"/>
                <w:szCs w:val="20"/>
              </w:rPr>
              <w:t>　</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流动负债：</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41</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kern w:val="0"/>
                <w:sz w:val="20"/>
                <w:szCs w:val="20"/>
              </w:rPr>
              <w:t>　</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现金</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2</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121,725.52</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2</w:t>
            </w:r>
            <w:r>
              <w:rPr>
                <w:rFonts w:hint="eastAsia"/>
                <w:b/>
                <w:bCs/>
                <w:kern w:val="0"/>
                <w:sz w:val="20"/>
                <w:szCs w:val="20"/>
                <w:lang w:val="en-US" w:eastAsia="zh-CN"/>
              </w:rPr>
              <w:t>,</w:t>
            </w:r>
            <w:r>
              <w:rPr>
                <w:rFonts w:hint="eastAsia"/>
                <w:b/>
                <w:bCs/>
                <w:kern w:val="0"/>
                <w:sz w:val="20"/>
                <w:szCs w:val="20"/>
              </w:rPr>
              <w:t>762.15</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短期借款</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42</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其中：人民币</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3</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121,725.52</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2,762.15</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应付票据</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43</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kern w:val="0"/>
                <w:sz w:val="20"/>
                <w:szCs w:val="20"/>
              </w:rPr>
              <w:t>　</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外币折合人民币</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4</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应付账款</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44</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kern w:val="0"/>
                <w:sz w:val="20"/>
                <w:szCs w:val="20"/>
              </w:rPr>
              <w:t>　</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银行存款</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5</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lang w:val="en-US" w:eastAsia="zh-CN"/>
              </w:rPr>
              <w:t>1,161,672.67</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rFonts w:hint="default" w:eastAsia="宋体"/>
                <w:b/>
                <w:bCs/>
                <w:kern w:val="0"/>
                <w:sz w:val="20"/>
                <w:szCs w:val="20"/>
                <w:lang w:val="en-US" w:eastAsia="zh-CN"/>
              </w:rPr>
            </w:pPr>
            <w:r>
              <w:rPr>
                <w:rFonts w:hint="eastAsia"/>
                <w:b/>
                <w:bCs/>
                <w:kern w:val="0"/>
                <w:sz w:val="20"/>
                <w:szCs w:val="20"/>
                <w:lang w:val="en-US" w:eastAsia="zh-CN"/>
              </w:rPr>
              <w:t>990,554.46</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预收账款</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45</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kern w:val="0"/>
                <w:sz w:val="20"/>
                <w:szCs w:val="20"/>
              </w:rPr>
              <w:t>521,770.00</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其中：基本账户</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6</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10,183.84</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26,295.78</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其中：保教费</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46</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kern w:val="0"/>
                <w:sz w:val="20"/>
                <w:szCs w:val="20"/>
              </w:rPr>
              <w:t>521,770.00</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共管账户</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7</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853,228.77</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853,228.77</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伙食费</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48</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kern w:val="0"/>
                <w:sz w:val="20"/>
                <w:szCs w:val="20"/>
              </w:rPr>
              <w:t>　</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其他账户</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8</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298,260.06</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111,029.91</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校车费</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49</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kern w:val="0"/>
                <w:sz w:val="20"/>
                <w:szCs w:val="20"/>
              </w:rPr>
              <w:t>　</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其他货币资金</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9</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托管费</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50</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kern w:val="0"/>
                <w:sz w:val="20"/>
                <w:szCs w:val="20"/>
              </w:rPr>
              <w:t>　</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短期投资</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10</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其他预收款项</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51</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kern w:val="0"/>
                <w:sz w:val="20"/>
                <w:szCs w:val="20"/>
              </w:rPr>
              <w:t>　</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短期投资跌价准备</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11</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应付工资</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52</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527,013.30</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479,621.69</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应收票据</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12</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应交税金</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53</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应收账款</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13</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其他应付款</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54</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6,807,217.26</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8,507,658.93</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其他应收款</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14</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96,710.77</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19,084.06</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15"/>
                <w:szCs w:val="15"/>
              </w:rPr>
            </w:pPr>
            <w:r>
              <w:rPr>
                <w:rFonts w:hint="eastAsia" w:ascii="宋体" w:hAnsi="宋体"/>
                <w:kern w:val="0"/>
                <w:sz w:val="15"/>
                <w:szCs w:val="15"/>
              </w:rPr>
              <w:t>其中：应付出资人回报</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55</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坏账准备</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15</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15"/>
                <w:szCs w:val="15"/>
              </w:rPr>
            </w:pPr>
            <w:r>
              <w:rPr>
                <w:rFonts w:hint="eastAsia" w:ascii="宋体" w:hAnsi="宋体"/>
                <w:kern w:val="0"/>
                <w:sz w:val="15"/>
                <w:szCs w:val="15"/>
              </w:rPr>
              <w:t>代收费</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56</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7,332.51</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预付账款</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16</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15"/>
                <w:szCs w:val="15"/>
              </w:rPr>
            </w:pPr>
            <w:r>
              <w:rPr>
                <w:rFonts w:hint="eastAsia" w:ascii="宋体" w:hAnsi="宋体"/>
                <w:kern w:val="0"/>
                <w:sz w:val="15"/>
                <w:szCs w:val="15"/>
              </w:rPr>
              <w:t>代收政府对儿童资助</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57</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kern w:val="0"/>
                <w:sz w:val="20"/>
                <w:szCs w:val="20"/>
              </w:rPr>
              <w:t>-4,414.34</w:t>
            </w:r>
          </w:p>
        </w:tc>
        <w:tc>
          <w:tcPr>
            <w:tcW w:w="1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存货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17</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15"/>
                <w:szCs w:val="15"/>
              </w:rPr>
            </w:pPr>
            <w:r>
              <w:rPr>
                <w:rFonts w:hint="eastAsia" w:ascii="宋体" w:hAnsi="宋体"/>
                <w:kern w:val="0"/>
                <w:sz w:val="15"/>
                <w:szCs w:val="15"/>
              </w:rPr>
              <w:t>代收政府对教职工资助</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58</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kern w:val="0"/>
                <w:sz w:val="20"/>
                <w:szCs w:val="20"/>
              </w:rPr>
              <w:t>-13,000.00</w:t>
            </w:r>
          </w:p>
        </w:tc>
        <w:tc>
          <w:tcPr>
            <w:tcW w:w="1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存货跌价准备</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18</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15"/>
                <w:szCs w:val="15"/>
              </w:rPr>
              <w:t>其他应付款项</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59</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kern w:val="0"/>
                <w:sz w:val="20"/>
                <w:szCs w:val="20"/>
              </w:rPr>
              <w:t>6,817,299.09</w:t>
            </w:r>
          </w:p>
        </w:tc>
        <w:tc>
          <w:tcPr>
            <w:tcW w:w="1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kern w:val="0"/>
                <w:sz w:val="20"/>
                <w:szCs w:val="20"/>
              </w:rPr>
              <w:t>8,507,658.93</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待摊费用</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19</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预提费用</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60</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一年内到期的长期债权投资</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20</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预计负债</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61</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其他流动资产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21</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15"/>
                <w:szCs w:val="15"/>
              </w:rPr>
            </w:pPr>
            <w:r>
              <w:rPr>
                <w:rFonts w:hint="eastAsia" w:ascii="宋体" w:hAnsi="宋体"/>
                <w:kern w:val="0"/>
                <w:sz w:val="15"/>
                <w:szCs w:val="15"/>
              </w:rPr>
              <w:t>一年内到期的长期负债</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62</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rFonts w:hint="eastAsia" w:ascii="宋体" w:hAnsi="宋体"/>
                <w:kern w:val="0"/>
                <w:sz w:val="20"/>
                <w:szCs w:val="20"/>
              </w:rPr>
              <w:t>流动资产合计</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22</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1,380,108.96</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1,012,400.67</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其他流动负债</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63</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长期投资：</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23</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rFonts w:hint="eastAsia" w:ascii="宋体" w:hAnsi="宋体"/>
                <w:kern w:val="0"/>
                <w:sz w:val="20"/>
                <w:szCs w:val="20"/>
              </w:rPr>
              <w:t>流动负债合计</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64</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7,334,230.56</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9,509,050.62</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长期股权投资</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24</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长期借款</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65</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长期债权投资</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25</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长期应付款</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66</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15"/>
                <w:szCs w:val="15"/>
              </w:rPr>
            </w:pPr>
            <w:r>
              <w:rPr>
                <w:rFonts w:hint="eastAsia" w:ascii="宋体" w:hAnsi="宋体"/>
                <w:kern w:val="0"/>
                <w:sz w:val="15"/>
                <w:szCs w:val="15"/>
              </w:rPr>
              <w:t>长期债权投资减值准备</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26</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受托代理负债</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67</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rFonts w:hint="eastAsia" w:ascii="宋体" w:hAnsi="宋体"/>
                <w:kern w:val="0"/>
                <w:sz w:val="20"/>
                <w:szCs w:val="20"/>
              </w:rPr>
              <w:t>长期投资合计</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27</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rFonts w:hint="eastAsia" w:ascii="宋体" w:hAnsi="宋体"/>
                <w:kern w:val="0"/>
                <w:sz w:val="20"/>
                <w:szCs w:val="20"/>
              </w:rPr>
              <w:t>负债合计</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68</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7,334,230.56</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9,509,050.62</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固定资产：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28</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净资产：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69</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固定资产原价</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29</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2,549,476.29</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2,565,559.29</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非限定性净资产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70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color w:val="000000"/>
                <w:kern w:val="0"/>
                <w:sz w:val="20"/>
                <w:szCs w:val="20"/>
              </w:rPr>
              <w:t>-5,701,446.51</w:t>
            </w:r>
          </w:p>
        </w:tc>
        <w:tc>
          <w:tcPr>
            <w:tcW w:w="1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color w:val="000000"/>
                <w:kern w:val="0"/>
                <w:sz w:val="20"/>
                <w:szCs w:val="20"/>
              </w:rPr>
              <w:t>-8,250,743.31</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减：累计折旧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30</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2,315,738.72</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2,367,657.83</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其中：出资人投入</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71</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color w:val="000000"/>
                <w:kern w:val="0"/>
                <w:sz w:val="20"/>
                <w:szCs w:val="20"/>
              </w:rPr>
              <w:t>1,752,221.44</w:t>
            </w:r>
          </w:p>
        </w:tc>
        <w:tc>
          <w:tcPr>
            <w:tcW w:w="1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color w:val="000000"/>
                <w:kern w:val="0"/>
                <w:sz w:val="20"/>
                <w:szCs w:val="20"/>
              </w:rPr>
              <w:t>1,752,221.44</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固定资产净值</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31</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233,737.57</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197,901.46</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发展基金</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72</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在建工程</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32</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风险防范金</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73</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文物文化资产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33</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其他专用基金</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74</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固定资产清理</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34</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未分配结余</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75</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kern w:val="0"/>
                <w:sz w:val="20"/>
                <w:szCs w:val="20"/>
              </w:rPr>
              <w:t>-7,453,667.95</w:t>
            </w:r>
          </w:p>
        </w:tc>
        <w:tc>
          <w:tcPr>
            <w:tcW w:w="1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kern w:val="0"/>
                <w:sz w:val="20"/>
                <w:szCs w:val="20"/>
              </w:rPr>
              <w:t>-10,002,964.75</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rFonts w:hint="eastAsia" w:ascii="宋体" w:hAnsi="宋体"/>
                <w:kern w:val="0"/>
                <w:sz w:val="20"/>
                <w:szCs w:val="20"/>
              </w:rPr>
              <w:t>固定资产合计</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35</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233,737.57</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197,901.46</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限定性净资产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76</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-18,937.52</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-48005.18</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无形资产：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36</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15"/>
                <w:szCs w:val="15"/>
              </w:rPr>
            </w:pPr>
            <w:r>
              <w:rPr>
                <w:rFonts w:hint="eastAsia" w:ascii="宋体" w:hAnsi="宋体"/>
                <w:kern w:val="0"/>
                <w:sz w:val="15"/>
                <w:szCs w:val="15"/>
              </w:rPr>
              <w:t>其中：接受捐赠项目结存</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77</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无形资产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37</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rFonts w:hint="eastAsia" w:ascii="宋体" w:hAnsi="宋体"/>
                <w:kern w:val="0"/>
                <w:sz w:val="20"/>
                <w:szCs w:val="20"/>
              </w:rPr>
              <w:t>政府补助项目结存</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78</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kern w:val="0"/>
                <w:sz w:val="20"/>
                <w:szCs w:val="20"/>
              </w:rPr>
              <w:t>-18,937.52</w:t>
            </w:r>
          </w:p>
        </w:tc>
        <w:tc>
          <w:tcPr>
            <w:tcW w:w="1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kern w:val="0"/>
                <w:sz w:val="20"/>
                <w:szCs w:val="20"/>
              </w:rPr>
              <w:t>-48,005.18</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受托代理资产：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38</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rFonts w:hint="eastAsia" w:ascii="宋体" w:hAnsi="宋体"/>
                <w:kern w:val="0"/>
                <w:sz w:val="20"/>
                <w:szCs w:val="20"/>
              </w:rPr>
              <w:t>净资产合计</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79</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kern w:val="0"/>
                <w:sz w:val="20"/>
                <w:szCs w:val="20"/>
              </w:rPr>
            </w:pPr>
            <w:r>
              <w:rPr>
                <w:rFonts w:hint="eastAsia"/>
                <w:b/>
                <w:bCs/>
                <w:kern w:val="0"/>
                <w:sz w:val="20"/>
                <w:szCs w:val="20"/>
              </w:rPr>
              <w:t>-5,720,384.03</w:t>
            </w:r>
          </w:p>
        </w:tc>
        <w:tc>
          <w:tcPr>
            <w:tcW w:w="1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b/>
                <w:bCs/>
                <w:kern w:val="0"/>
                <w:sz w:val="20"/>
                <w:szCs w:val="20"/>
              </w:rPr>
            </w:pPr>
            <w:r>
              <w:rPr>
                <w:rFonts w:hint="eastAsia"/>
                <w:b/>
                <w:bCs/>
                <w:kern w:val="0"/>
                <w:sz w:val="20"/>
                <w:szCs w:val="20"/>
              </w:rPr>
              <w:t>-8,298,748.49</w:t>
            </w: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rFonts w:hint="eastAsia" w:ascii="宋体" w:hAnsi="宋体"/>
                <w:kern w:val="0"/>
                <w:sz w:val="20"/>
                <w:szCs w:val="20"/>
              </w:rPr>
              <w:t>受托代理资产</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39</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kern w:val="0"/>
                <w:sz w:val="20"/>
                <w:szCs w:val="20"/>
              </w:rPr>
            </w:pPr>
            <w:r>
              <w:rPr>
                <w:kern w:val="0"/>
                <w:sz w:val="20"/>
                <w:szCs w:val="20"/>
              </w:rPr>
              <w:t>　</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kern w:val="0"/>
                <w:sz w:val="20"/>
                <w:szCs w:val="20"/>
              </w:rPr>
            </w:pPr>
            <w:r>
              <w:rPr>
                <w:kern w:val="0"/>
                <w:sz w:val="20"/>
                <w:szCs w:val="20"/>
              </w:rPr>
              <w:t>　</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287" w:hRule="atLeast"/>
          <w:jc w:val="center"/>
        </w:trPr>
        <w:tc>
          <w:tcPr>
            <w:tcW w:w="220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rFonts w:hint="eastAsia" w:ascii="宋体" w:hAnsi="宋体"/>
                <w:b/>
                <w:bCs/>
                <w:kern w:val="0"/>
                <w:sz w:val="20"/>
                <w:szCs w:val="20"/>
              </w:rPr>
              <w:t>资产总计</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b/>
                <w:bCs/>
                <w:kern w:val="0"/>
                <w:sz w:val="20"/>
                <w:szCs w:val="20"/>
              </w:rPr>
              <w:t>40</w:t>
            </w:r>
          </w:p>
        </w:tc>
        <w:tc>
          <w:tcPr>
            <w:tcW w:w="127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1,613,846.53</w:t>
            </w:r>
          </w:p>
        </w:tc>
        <w:tc>
          <w:tcPr>
            <w:tcW w:w="1270"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1,210,302.13</w:t>
            </w:r>
          </w:p>
        </w:tc>
        <w:tc>
          <w:tcPr>
            <w:tcW w:w="1893"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rFonts w:hint="eastAsia" w:ascii="宋体" w:hAnsi="宋体"/>
                <w:b/>
                <w:bCs/>
                <w:kern w:val="0"/>
                <w:sz w:val="20"/>
                <w:szCs w:val="20"/>
              </w:rPr>
              <w:t>负债和净资产总计</w:t>
            </w:r>
          </w:p>
        </w:tc>
        <w:tc>
          <w:tcPr>
            <w:tcW w:w="65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b/>
                <w:bCs/>
                <w:kern w:val="0"/>
                <w:sz w:val="20"/>
                <w:szCs w:val="20"/>
              </w:rPr>
            </w:pPr>
            <w:r>
              <w:rPr>
                <w:b/>
                <w:bCs/>
                <w:kern w:val="0"/>
                <w:sz w:val="20"/>
                <w:szCs w:val="20"/>
              </w:rPr>
              <w:t>80</w:t>
            </w:r>
          </w:p>
        </w:tc>
        <w:tc>
          <w:tcPr>
            <w:tcW w:w="1337"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1,613,846.53</w:t>
            </w:r>
          </w:p>
        </w:tc>
        <w:tc>
          <w:tcPr>
            <w:tcW w:w="133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right"/>
              <w:rPr>
                <w:b/>
                <w:bCs/>
                <w:kern w:val="0"/>
                <w:sz w:val="20"/>
                <w:szCs w:val="20"/>
              </w:rPr>
            </w:pPr>
            <w:r>
              <w:rPr>
                <w:rFonts w:hint="eastAsia"/>
                <w:b/>
                <w:bCs/>
                <w:kern w:val="0"/>
                <w:sz w:val="20"/>
                <w:szCs w:val="20"/>
              </w:rPr>
              <w:t>1,210,302.13</w:t>
            </w:r>
          </w:p>
        </w:tc>
      </w:tr>
      <w:tr>
        <w:tblPrEx>
          <w:tblCellMar>
            <w:top w:w="0" w:type="dxa"/>
            <w:left w:w="108" w:type="dxa"/>
            <w:bottom w:w="0" w:type="dxa"/>
            <w:right w:w="108" w:type="dxa"/>
          </w:tblCellMar>
        </w:tblPrEx>
        <w:trPr>
          <w:trHeight w:val="287" w:hRule="atLeast"/>
          <w:jc w:val="center"/>
        </w:trPr>
        <w:tc>
          <w:tcPr>
            <w:tcW w:w="2206" w:type="dxa"/>
            <w:tcBorders>
              <w:top w:val="nil"/>
              <w:left w:val="nil"/>
              <w:bottom w:val="nil"/>
              <w:right w:val="nil"/>
            </w:tcBorders>
            <w:shd w:val="clear" w:color="auto" w:fill="auto"/>
            <w:vAlign w:val="center"/>
          </w:tcPr>
          <w:p>
            <w:pPr>
              <w:widowControl/>
              <w:spacing w:line="240" w:lineRule="exact"/>
              <w:jc w:val="left"/>
              <w:rPr>
                <w:kern w:val="0"/>
                <w:sz w:val="20"/>
                <w:szCs w:val="20"/>
              </w:rPr>
            </w:pPr>
            <w:r>
              <w:rPr>
                <w:rFonts w:hint="eastAsia" w:ascii="宋体" w:hAnsi="宋体"/>
                <w:kern w:val="0"/>
                <w:sz w:val="20"/>
                <w:szCs w:val="20"/>
              </w:rPr>
              <w:t>单位负责人：</w:t>
            </w:r>
          </w:p>
        </w:tc>
        <w:tc>
          <w:tcPr>
            <w:tcW w:w="655" w:type="dxa"/>
            <w:tcBorders>
              <w:top w:val="nil"/>
              <w:left w:val="nil"/>
              <w:bottom w:val="nil"/>
              <w:right w:val="nil"/>
            </w:tcBorders>
            <w:shd w:val="clear" w:color="auto" w:fill="auto"/>
            <w:vAlign w:val="center"/>
          </w:tcPr>
          <w:p>
            <w:pPr>
              <w:widowControl/>
              <w:spacing w:line="240" w:lineRule="exact"/>
              <w:jc w:val="center"/>
              <w:rPr>
                <w:kern w:val="0"/>
                <w:sz w:val="20"/>
                <w:szCs w:val="20"/>
              </w:rPr>
            </w:pPr>
          </w:p>
        </w:tc>
        <w:tc>
          <w:tcPr>
            <w:tcW w:w="1270" w:type="dxa"/>
            <w:tcBorders>
              <w:top w:val="nil"/>
              <w:left w:val="nil"/>
              <w:bottom w:val="nil"/>
              <w:right w:val="nil"/>
            </w:tcBorders>
            <w:shd w:val="clear" w:color="auto" w:fill="auto"/>
            <w:vAlign w:val="center"/>
          </w:tcPr>
          <w:p>
            <w:pPr>
              <w:widowControl/>
              <w:spacing w:line="240" w:lineRule="exact"/>
              <w:jc w:val="right"/>
              <w:rPr>
                <w:kern w:val="0"/>
                <w:sz w:val="20"/>
                <w:szCs w:val="20"/>
              </w:rPr>
            </w:pPr>
          </w:p>
        </w:tc>
        <w:tc>
          <w:tcPr>
            <w:tcW w:w="1270" w:type="dxa"/>
            <w:gridSpan w:val="2"/>
            <w:tcBorders>
              <w:top w:val="nil"/>
              <w:left w:val="nil"/>
              <w:bottom w:val="nil"/>
              <w:right w:val="nil"/>
            </w:tcBorders>
            <w:shd w:val="clear" w:color="auto" w:fill="auto"/>
            <w:vAlign w:val="center"/>
          </w:tcPr>
          <w:p>
            <w:pPr>
              <w:widowControl/>
              <w:spacing w:line="240" w:lineRule="exact"/>
              <w:jc w:val="right"/>
              <w:rPr>
                <w:kern w:val="0"/>
                <w:sz w:val="20"/>
                <w:szCs w:val="20"/>
              </w:rPr>
            </w:pPr>
            <w:r>
              <w:rPr>
                <w:rFonts w:hint="eastAsia" w:ascii="宋体" w:hAnsi="宋体"/>
                <w:kern w:val="0"/>
                <w:sz w:val="20"/>
                <w:szCs w:val="20"/>
              </w:rPr>
              <w:t>制表：</w:t>
            </w:r>
          </w:p>
        </w:tc>
        <w:tc>
          <w:tcPr>
            <w:tcW w:w="1893" w:type="dxa"/>
            <w:tcBorders>
              <w:top w:val="nil"/>
              <w:left w:val="nil"/>
              <w:bottom w:val="nil"/>
              <w:right w:val="nil"/>
            </w:tcBorders>
            <w:shd w:val="clear" w:color="auto" w:fill="auto"/>
            <w:vAlign w:val="center"/>
          </w:tcPr>
          <w:p>
            <w:pPr>
              <w:widowControl/>
              <w:spacing w:line="240" w:lineRule="exact"/>
              <w:jc w:val="left"/>
              <w:rPr>
                <w:kern w:val="0"/>
                <w:sz w:val="20"/>
                <w:szCs w:val="20"/>
              </w:rPr>
            </w:pPr>
          </w:p>
        </w:tc>
        <w:tc>
          <w:tcPr>
            <w:tcW w:w="655" w:type="dxa"/>
            <w:tcBorders>
              <w:top w:val="nil"/>
              <w:left w:val="nil"/>
              <w:bottom w:val="nil"/>
              <w:right w:val="nil"/>
            </w:tcBorders>
            <w:shd w:val="clear" w:color="auto" w:fill="auto"/>
            <w:vAlign w:val="center"/>
          </w:tcPr>
          <w:p>
            <w:pPr>
              <w:widowControl/>
              <w:spacing w:line="240" w:lineRule="exact"/>
              <w:jc w:val="center"/>
              <w:rPr>
                <w:kern w:val="0"/>
                <w:sz w:val="20"/>
                <w:szCs w:val="20"/>
              </w:rPr>
            </w:pPr>
          </w:p>
        </w:tc>
        <w:tc>
          <w:tcPr>
            <w:tcW w:w="1337" w:type="dxa"/>
            <w:tcBorders>
              <w:top w:val="nil"/>
              <w:left w:val="nil"/>
              <w:bottom w:val="nil"/>
              <w:right w:val="nil"/>
            </w:tcBorders>
            <w:shd w:val="clear" w:color="auto" w:fill="auto"/>
            <w:vAlign w:val="center"/>
          </w:tcPr>
          <w:p>
            <w:pPr>
              <w:widowControl/>
              <w:spacing w:line="240" w:lineRule="exact"/>
              <w:jc w:val="left"/>
              <w:rPr>
                <w:kern w:val="0"/>
                <w:sz w:val="20"/>
                <w:szCs w:val="20"/>
              </w:rPr>
            </w:pPr>
            <w:r>
              <w:rPr>
                <w:rFonts w:hint="eastAsia" w:ascii="宋体" w:hAnsi="宋体"/>
                <w:kern w:val="0"/>
                <w:sz w:val="20"/>
                <w:szCs w:val="20"/>
              </w:rPr>
              <w:t>主管</w:t>
            </w:r>
            <w:r>
              <w:rPr>
                <w:kern w:val="0"/>
                <w:sz w:val="20"/>
                <w:szCs w:val="20"/>
              </w:rPr>
              <w:t>/</w:t>
            </w:r>
            <w:r>
              <w:rPr>
                <w:rFonts w:hint="eastAsia" w:ascii="宋体" w:hAnsi="宋体"/>
                <w:kern w:val="0"/>
                <w:sz w:val="20"/>
                <w:szCs w:val="20"/>
              </w:rPr>
              <w:t>复核：</w:t>
            </w:r>
          </w:p>
        </w:tc>
        <w:tc>
          <w:tcPr>
            <w:tcW w:w="1338" w:type="dxa"/>
            <w:tcBorders>
              <w:top w:val="nil"/>
              <w:left w:val="nil"/>
              <w:bottom w:val="nil"/>
              <w:right w:val="nil"/>
            </w:tcBorders>
            <w:shd w:val="clear" w:color="auto" w:fill="auto"/>
            <w:vAlign w:val="center"/>
          </w:tcPr>
          <w:p>
            <w:pPr>
              <w:widowControl/>
              <w:spacing w:line="240" w:lineRule="exact"/>
              <w:jc w:val="right"/>
              <w:rPr>
                <w:kern w:val="0"/>
                <w:sz w:val="20"/>
                <w:szCs w:val="20"/>
              </w:rPr>
            </w:pPr>
          </w:p>
        </w:tc>
      </w:tr>
    </w:tbl>
    <w:p>
      <w:pPr>
        <w:topLinePunct/>
        <w:spacing w:line="20" w:lineRule="exact"/>
        <w:jc w:val="center"/>
        <w:outlineLvl w:val="0"/>
        <w:rPr>
          <w:rFonts w:eastAsiaTheme="minorEastAsia"/>
          <w:b/>
          <w:color w:val="000000" w:themeColor="text1"/>
          <w:sz w:val="32"/>
          <w:szCs w:val="32"/>
          <w14:textFill>
            <w14:solidFill>
              <w14:schemeClr w14:val="tx1"/>
            </w14:solidFill>
          </w14:textFill>
        </w:rPr>
      </w:pPr>
    </w:p>
    <w:tbl>
      <w:tblPr>
        <w:tblStyle w:val="6"/>
        <w:tblW w:w="9959" w:type="dxa"/>
        <w:jc w:val="center"/>
        <w:tblLayout w:type="autofit"/>
        <w:tblCellMar>
          <w:top w:w="0" w:type="dxa"/>
          <w:left w:w="108" w:type="dxa"/>
          <w:bottom w:w="0" w:type="dxa"/>
          <w:right w:w="108" w:type="dxa"/>
        </w:tblCellMar>
      </w:tblPr>
      <w:tblGrid>
        <w:gridCol w:w="4068"/>
        <w:gridCol w:w="326"/>
        <w:gridCol w:w="520"/>
        <w:gridCol w:w="1682"/>
        <w:gridCol w:w="1680"/>
        <w:gridCol w:w="1683"/>
      </w:tblGrid>
      <w:tr>
        <w:tblPrEx>
          <w:tblCellMar>
            <w:top w:w="0" w:type="dxa"/>
            <w:left w:w="108" w:type="dxa"/>
            <w:bottom w:w="0" w:type="dxa"/>
            <w:right w:w="108" w:type="dxa"/>
          </w:tblCellMar>
        </w:tblPrEx>
        <w:trPr>
          <w:trHeight w:val="509" w:hRule="atLeast"/>
          <w:jc w:val="center"/>
        </w:trPr>
        <w:tc>
          <w:tcPr>
            <w:tcW w:w="9959" w:type="dxa"/>
            <w:gridSpan w:val="6"/>
            <w:tcBorders>
              <w:top w:val="nil"/>
              <w:left w:val="nil"/>
              <w:bottom w:val="nil"/>
              <w:right w:val="nil"/>
            </w:tcBorders>
            <w:shd w:val="clear" w:color="auto" w:fill="auto"/>
            <w:vAlign w:val="center"/>
          </w:tcPr>
          <w:p>
            <w:pPr>
              <w:widowControl/>
              <w:jc w:val="center"/>
              <w:rPr>
                <w:b/>
                <w:bCs/>
                <w:kern w:val="0"/>
                <w:sz w:val="32"/>
                <w:szCs w:val="32"/>
              </w:rPr>
            </w:pPr>
            <w:r>
              <w:rPr>
                <w:rFonts w:hint="eastAsia" w:ascii="宋体" w:hAnsi="宋体"/>
                <w:b/>
                <w:bCs/>
                <w:kern w:val="0"/>
                <w:sz w:val="32"/>
                <w:szCs w:val="32"/>
              </w:rPr>
              <w:t>业务活动表</w:t>
            </w:r>
          </w:p>
        </w:tc>
      </w:tr>
      <w:tr>
        <w:tblPrEx>
          <w:tblCellMar>
            <w:top w:w="0" w:type="dxa"/>
            <w:left w:w="108" w:type="dxa"/>
            <w:bottom w:w="0" w:type="dxa"/>
            <w:right w:w="108" w:type="dxa"/>
          </w:tblCellMar>
        </w:tblPrEx>
        <w:trPr>
          <w:trHeight w:val="341" w:hRule="atLeast"/>
          <w:jc w:val="center"/>
        </w:trPr>
        <w:tc>
          <w:tcPr>
            <w:tcW w:w="4068" w:type="dxa"/>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编制单位：深圳市南山区元凤幼儿园</w:t>
            </w:r>
          </w:p>
        </w:tc>
        <w:tc>
          <w:tcPr>
            <w:tcW w:w="2528" w:type="dxa"/>
            <w:gridSpan w:val="3"/>
            <w:tcBorders>
              <w:top w:val="nil"/>
              <w:left w:val="nil"/>
              <w:bottom w:val="nil"/>
              <w:right w:val="nil"/>
            </w:tcBorders>
            <w:shd w:val="clear" w:color="auto" w:fill="auto"/>
            <w:vAlign w:val="center"/>
          </w:tcPr>
          <w:p>
            <w:pPr>
              <w:widowControl/>
              <w:jc w:val="left"/>
              <w:rPr>
                <w:kern w:val="0"/>
                <w:sz w:val="20"/>
                <w:szCs w:val="20"/>
              </w:rPr>
            </w:pPr>
            <w:r>
              <w:rPr>
                <w:kern w:val="0"/>
                <w:sz w:val="20"/>
                <w:szCs w:val="20"/>
              </w:rPr>
              <w:t>20</w:t>
            </w:r>
            <w:r>
              <w:rPr>
                <w:rFonts w:hint="eastAsia"/>
                <w:kern w:val="0"/>
                <w:sz w:val="20"/>
                <w:szCs w:val="20"/>
                <w:lang w:val="en-US" w:eastAsia="zh-CN"/>
              </w:rPr>
              <w:t>24</w:t>
            </w:r>
            <w:r>
              <w:rPr>
                <w:rFonts w:hint="eastAsia"/>
                <w:kern w:val="0"/>
                <w:sz w:val="20"/>
                <w:szCs w:val="20"/>
              </w:rPr>
              <w:t>年</w:t>
            </w:r>
            <w:r>
              <w:rPr>
                <w:kern w:val="0"/>
                <w:sz w:val="20"/>
                <w:szCs w:val="20"/>
              </w:rPr>
              <w:t>12月31日</w:t>
            </w:r>
          </w:p>
        </w:tc>
        <w:tc>
          <w:tcPr>
            <w:tcW w:w="3363" w:type="dxa"/>
            <w:gridSpan w:val="2"/>
            <w:tcBorders>
              <w:top w:val="nil"/>
              <w:left w:val="nil"/>
              <w:bottom w:val="nil"/>
              <w:right w:val="nil"/>
            </w:tcBorders>
            <w:shd w:val="clear" w:color="auto" w:fill="auto"/>
            <w:vAlign w:val="center"/>
          </w:tcPr>
          <w:p>
            <w:pPr>
              <w:widowControl/>
              <w:jc w:val="right"/>
              <w:rPr>
                <w:kern w:val="0"/>
                <w:sz w:val="20"/>
                <w:szCs w:val="20"/>
              </w:rPr>
            </w:pPr>
            <w:r>
              <w:rPr>
                <w:rFonts w:hint="eastAsia" w:ascii="宋体" w:hAnsi="宋体"/>
                <w:kern w:val="0"/>
                <w:sz w:val="20"/>
                <w:szCs w:val="20"/>
              </w:rPr>
              <w:t>会民幼</w:t>
            </w:r>
            <w:r>
              <w:rPr>
                <w:kern w:val="0"/>
                <w:sz w:val="20"/>
                <w:szCs w:val="20"/>
              </w:rPr>
              <w:t>02</w:t>
            </w:r>
            <w:r>
              <w:rPr>
                <w:rFonts w:hint="eastAsia" w:ascii="宋体" w:hAnsi="宋体"/>
                <w:kern w:val="0"/>
                <w:sz w:val="20"/>
                <w:szCs w:val="20"/>
              </w:rPr>
              <w:t>表单位：元</w:t>
            </w:r>
          </w:p>
        </w:tc>
      </w:tr>
      <w:tr>
        <w:tblPrEx>
          <w:tblCellMar>
            <w:top w:w="0" w:type="dxa"/>
            <w:left w:w="108" w:type="dxa"/>
            <w:bottom w:w="0" w:type="dxa"/>
            <w:right w:w="108" w:type="dxa"/>
          </w:tblCellMar>
        </w:tblPrEx>
        <w:trPr>
          <w:trHeight w:val="341" w:hRule="atLeast"/>
          <w:jc w:val="center"/>
        </w:trPr>
        <w:tc>
          <w:tcPr>
            <w:tcW w:w="43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项目</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行次</w:t>
            </w:r>
          </w:p>
        </w:tc>
        <w:tc>
          <w:tcPr>
            <w:tcW w:w="504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本年累计数</w:t>
            </w:r>
          </w:p>
        </w:tc>
      </w:tr>
      <w:tr>
        <w:tblPrEx>
          <w:tblCellMar>
            <w:top w:w="0" w:type="dxa"/>
            <w:left w:w="108" w:type="dxa"/>
            <w:bottom w:w="0" w:type="dxa"/>
            <w:right w:w="108" w:type="dxa"/>
          </w:tblCellMar>
        </w:tblPrEx>
        <w:trPr>
          <w:trHeight w:val="341" w:hRule="atLeast"/>
          <w:jc w:val="center"/>
        </w:trPr>
        <w:tc>
          <w:tcPr>
            <w:tcW w:w="439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kern w:val="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kern w:val="0"/>
                <w:sz w:val="20"/>
                <w:szCs w:val="20"/>
              </w:rPr>
            </w:pPr>
          </w:p>
        </w:tc>
        <w:tc>
          <w:tcPr>
            <w:tcW w:w="1682" w:type="dxa"/>
            <w:tcBorders>
              <w:top w:val="nil"/>
              <w:left w:val="nil"/>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非限定性</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限定性</w:t>
            </w:r>
          </w:p>
        </w:tc>
        <w:tc>
          <w:tcPr>
            <w:tcW w:w="1683" w:type="dxa"/>
            <w:tcBorders>
              <w:top w:val="nil"/>
              <w:left w:val="nil"/>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合计</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一、收入合计</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b/>
                <w:bCs/>
                <w:color w:val="000000"/>
                <w:sz w:val="20"/>
                <w:szCs w:val="20"/>
                <w:lang w:val="en-US" w:eastAsia="zh-CN"/>
              </w:rPr>
            </w:pPr>
            <w:r>
              <w:rPr>
                <w:rFonts w:hint="eastAsia"/>
                <w:b/>
                <w:bCs/>
                <w:color w:val="000000"/>
                <w:kern w:val="0"/>
                <w:sz w:val="20"/>
                <w:szCs w:val="20"/>
                <w:lang w:val="en-US" w:eastAsia="zh-CN"/>
              </w:rPr>
              <w:t>7,672,190.00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textAlignment w:val="center"/>
              <w:rPr>
                <w:b/>
                <w:bCs/>
                <w:color w:val="000000"/>
                <w:sz w:val="20"/>
                <w:szCs w:val="20"/>
              </w:rPr>
            </w:pPr>
            <w:r>
              <w:rPr>
                <w:rFonts w:hint="eastAsia"/>
                <w:b/>
                <w:bCs/>
                <w:color w:val="000000"/>
                <w:kern w:val="0"/>
                <w:sz w:val="20"/>
                <w:szCs w:val="20"/>
              </w:rPr>
              <w:t>78,000.00</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textAlignment w:val="center"/>
              <w:rPr>
                <w:b/>
                <w:bCs/>
                <w:color w:val="000000"/>
                <w:sz w:val="20"/>
                <w:szCs w:val="20"/>
              </w:rPr>
            </w:pPr>
            <w:r>
              <w:rPr>
                <w:rFonts w:hint="eastAsia"/>
                <w:b/>
                <w:bCs/>
                <w:color w:val="000000"/>
                <w:sz w:val="20"/>
                <w:szCs w:val="20"/>
              </w:rPr>
              <w:t>7,750,190.00</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（一）捐赠收入</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（二）提供服务收入</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7,672,190.00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7,672,190.00</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kern w:val="0"/>
                <w:sz w:val="20"/>
                <w:szCs w:val="20"/>
              </w:rPr>
              <w:t>1.</w:t>
            </w:r>
            <w:r>
              <w:rPr>
                <w:rFonts w:hint="eastAsia" w:ascii="宋体" w:hAnsi="宋体"/>
                <w:kern w:val="0"/>
                <w:sz w:val="20"/>
                <w:szCs w:val="20"/>
              </w:rPr>
              <w:t>保教费</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4</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6,479,718.00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6,479,718.00</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kern w:val="0"/>
                <w:sz w:val="20"/>
                <w:szCs w:val="20"/>
              </w:rPr>
              <w:t>2.</w:t>
            </w:r>
            <w:r>
              <w:rPr>
                <w:rFonts w:hint="eastAsia" w:ascii="宋体" w:hAnsi="宋体"/>
                <w:kern w:val="0"/>
                <w:sz w:val="20"/>
                <w:szCs w:val="20"/>
              </w:rPr>
              <w:t>伙食费</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6</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1,192,472.00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1,192,472.00</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kern w:val="0"/>
                <w:sz w:val="20"/>
                <w:szCs w:val="20"/>
              </w:rPr>
              <w:t>3.</w:t>
            </w:r>
            <w:r>
              <w:rPr>
                <w:rFonts w:hint="eastAsia" w:ascii="宋体" w:hAnsi="宋体"/>
                <w:kern w:val="0"/>
                <w:sz w:val="20"/>
                <w:szCs w:val="20"/>
              </w:rPr>
              <w:t>校车费</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7</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kern w:val="0"/>
                <w:sz w:val="20"/>
                <w:szCs w:val="20"/>
              </w:rPr>
              <w:t>4.</w:t>
            </w:r>
            <w:r>
              <w:rPr>
                <w:rFonts w:hint="eastAsia" w:ascii="宋体" w:hAnsi="宋体"/>
                <w:kern w:val="0"/>
                <w:sz w:val="20"/>
                <w:szCs w:val="20"/>
              </w:rPr>
              <w:t>托管费</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8</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kern w:val="0"/>
                <w:sz w:val="20"/>
                <w:szCs w:val="20"/>
              </w:rPr>
              <w:t>5.</w:t>
            </w:r>
            <w:r>
              <w:rPr>
                <w:rFonts w:hint="eastAsia" w:ascii="宋体" w:hAnsi="宋体"/>
                <w:kern w:val="0"/>
                <w:sz w:val="20"/>
                <w:szCs w:val="20"/>
              </w:rPr>
              <w:t>其他服务收入</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9</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（三）政府补助收入</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10</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78,000.00</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78,000.00</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（四）商品销售收入</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11</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（五）投资收益</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12</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（六）其他收入</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13</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二、成本费用合计</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14</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textAlignment w:val="center"/>
              <w:rPr>
                <w:b/>
                <w:bCs/>
                <w:color w:val="000000"/>
                <w:sz w:val="20"/>
                <w:szCs w:val="20"/>
              </w:rPr>
            </w:pPr>
            <w:r>
              <w:rPr>
                <w:rFonts w:hint="eastAsia"/>
                <w:b/>
                <w:bCs/>
                <w:color w:val="000000"/>
                <w:sz w:val="20"/>
                <w:szCs w:val="20"/>
              </w:rPr>
              <w:t>10,328,554.46</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b/>
                <w:bCs/>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textAlignment w:val="center"/>
              <w:rPr>
                <w:b/>
                <w:bCs/>
                <w:color w:val="000000"/>
                <w:sz w:val="20"/>
                <w:szCs w:val="20"/>
              </w:rPr>
            </w:pPr>
            <w:r>
              <w:rPr>
                <w:rFonts w:hint="eastAsia"/>
                <w:b/>
                <w:bCs/>
                <w:color w:val="000000"/>
                <w:sz w:val="20"/>
                <w:szCs w:val="20"/>
              </w:rPr>
              <w:t>10,328,554.46</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（一）保教活动成本</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15</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8,002,910.00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8,002,910.00</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（二）管理费用</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16</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2,325,644.46</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2,325,644.46</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（三）筹资费用</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17</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（四）其他费用</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18</w:t>
            </w:r>
          </w:p>
        </w:tc>
        <w:tc>
          <w:tcPr>
            <w:tcW w:w="16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加：以前年度非限定性净资产税前调整数（调减用负数）</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19</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加：限定性净资产转为非限定性净资产</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20</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107,067.66</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lang w:val="en-US" w:eastAsia="zh-CN"/>
              </w:rPr>
              <w:t>-</w:t>
            </w:r>
            <w:r>
              <w:rPr>
                <w:rFonts w:hint="eastAsia"/>
                <w:color w:val="000000"/>
                <w:kern w:val="0"/>
                <w:sz w:val="20"/>
                <w:szCs w:val="20"/>
              </w:rPr>
              <w:t>107,067.66</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三、非限定性净资产税前增加额（减少用负数）</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21</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-2,549,296.80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-29,067.66</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-2,578,364.46</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减：企业所得税</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22</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b/>
                <w:bCs/>
                <w:kern w:val="0"/>
                <w:sz w:val="20"/>
                <w:szCs w:val="20"/>
              </w:rPr>
            </w:pP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四、非限定性净资产税后增加额（减少用负数）</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23</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-2,549,296.80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-29,067.66</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sz w:val="20"/>
                <w:szCs w:val="20"/>
              </w:rPr>
            </w:pPr>
            <w:r>
              <w:rPr>
                <w:rFonts w:hint="eastAsia"/>
                <w:color w:val="000000"/>
                <w:kern w:val="0"/>
                <w:sz w:val="20"/>
                <w:szCs w:val="20"/>
              </w:rPr>
              <w:t>-2,578,364.46</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补充资料：</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24</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kern w:val="0"/>
                <w:sz w:val="20"/>
                <w:szCs w:val="20"/>
              </w:rPr>
              <w:t>1</w:t>
            </w:r>
            <w:r>
              <w:rPr>
                <w:rFonts w:hint="eastAsia" w:ascii="宋体" w:hAnsi="宋体"/>
                <w:kern w:val="0"/>
                <w:sz w:val="20"/>
                <w:szCs w:val="20"/>
              </w:rPr>
              <w:t>、应纳税所得额的计算：</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25</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非限定性净资产税前增加额（减少用负数）</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26</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减：弥补以前年度超支</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27</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加</w:t>
            </w:r>
            <w:r>
              <w:rPr>
                <w:kern w:val="0"/>
                <w:sz w:val="20"/>
                <w:szCs w:val="20"/>
              </w:rPr>
              <w:t xml:space="preserve">: </w:t>
            </w:r>
            <w:r>
              <w:rPr>
                <w:rFonts w:hint="eastAsia" w:ascii="宋体" w:hAnsi="宋体"/>
                <w:kern w:val="0"/>
                <w:sz w:val="20"/>
                <w:szCs w:val="20"/>
              </w:rPr>
              <w:t>应纳税所得额调增数（依账面数分析填列）</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28</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减：应纳税所得额调减数（依账面数分析填列）</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29</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等于：应纳税所得额</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30</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kern w:val="0"/>
                <w:sz w:val="20"/>
                <w:szCs w:val="20"/>
              </w:rPr>
              <w:t>2</w:t>
            </w:r>
            <w:r>
              <w:rPr>
                <w:rFonts w:hint="eastAsia" w:ascii="宋体" w:hAnsi="宋体"/>
                <w:kern w:val="0"/>
                <w:sz w:val="20"/>
                <w:szCs w:val="20"/>
              </w:rPr>
              <w:t>、企业所得税适用税率</w:t>
            </w:r>
            <w:r>
              <w:rPr>
                <w:kern w:val="0"/>
                <w:sz w:val="20"/>
                <w:szCs w:val="20"/>
              </w:rPr>
              <w:t>%</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31</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kern w:val="0"/>
                <w:sz w:val="20"/>
                <w:szCs w:val="20"/>
              </w:rPr>
              <w:t>3</w:t>
            </w:r>
            <w:r>
              <w:rPr>
                <w:rFonts w:hint="eastAsia" w:ascii="宋体" w:hAnsi="宋体"/>
                <w:kern w:val="0"/>
                <w:sz w:val="20"/>
                <w:szCs w:val="20"/>
              </w:rPr>
              <w:t>、应交纳企业所得税</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32</w:t>
            </w:r>
          </w:p>
        </w:tc>
        <w:tc>
          <w:tcPr>
            <w:tcW w:w="168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c>
          <w:tcPr>
            <w:tcW w:w="1683"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r>
              <w:rPr>
                <w:kern w:val="0"/>
                <w:sz w:val="20"/>
                <w:szCs w:val="20"/>
              </w:rPr>
              <w:t>　</w:t>
            </w:r>
          </w:p>
        </w:tc>
      </w:tr>
      <w:tr>
        <w:tblPrEx>
          <w:tblCellMar>
            <w:top w:w="0" w:type="dxa"/>
            <w:left w:w="108" w:type="dxa"/>
            <w:bottom w:w="0" w:type="dxa"/>
            <w:right w:w="108" w:type="dxa"/>
          </w:tblCellMar>
        </w:tblPrEx>
        <w:trPr>
          <w:trHeight w:val="341" w:hRule="atLeast"/>
          <w:jc w:val="center"/>
        </w:trPr>
        <w:tc>
          <w:tcPr>
            <w:tcW w:w="4394" w:type="dxa"/>
            <w:gridSpan w:val="2"/>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单位负责人：</w:t>
            </w:r>
          </w:p>
        </w:tc>
        <w:tc>
          <w:tcPr>
            <w:tcW w:w="520" w:type="dxa"/>
            <w:tcBorders>
              <w:top w:val="nil"/>
              <w:left w:val="nil"/>
              <w:bottom w:val="nil"/>
              <w:right w:val="nil"/>
            </w:tcBorders>
            <w:shd w:val="clear" w:color="auto" w:fill="auto"/>
            <w:vAlign w:val="center"/>
          </w:tcPr>
          <w:p>
            <w:pPr>
              <w:widowControl/>
              <w:jc w:val="left"/>
              <w:rPr>
                <w:kern w:val="0"/>
                <w:sz w:val="20"/>
                <w:szCs w:val="20"/>
              </w:rPr>
            </w:pPr>
          </w:p>
        </w:tc>
        <w:tc>
          <w:tcPr>
            <w:tcW w:w="1682" w:type="dxa"/>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制表：</w:t>
            </w:r>
          </w:p>
        </w:tc>
        <w:tc>
          <w:tcPr>
            <w:tcW w:w="1680" w:type="dxa"/>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主管</w:t>
            </w:r>
            <w:r>
              <w:rPr>
                <w:kern w:val="0"/>
                <w:sz w:val="20"/>
                <w:szCs w:val="20"/>
              </w:rPr>
              <w:t>/</w:t>
            </w:r>
            <w:r>
              <w:rPr>
                <w:rFonts w:hint="eastAsia" w:ascii="宋体" w:hAnsi="宋体"/>
                <w:kern w:val="0"/>
                <w:sz w:val="20"/>
                <w:szCs w:val="20"/>
              </w:rPr>
              <w:t>复核：</w:t>
            </w:r>
          </w:p>
        </w:tc>
        <w:tc>
          <w:tcPr>
            <w:tcW w:w="1683" w:type="dxa"/>
            <w:tcBorders>
              <w:top w:val="nil"/>
              <w:left w:val="nil"/>
              <w:bottom w:val="nil"/>
              <w:right w:val="nil"/>
            </w:tcBorders>
            <w:shd w:val="clear" w:color="auto" w:fill="auto"/>
            <w:vAlign w:val="center"/>
          </w:tcPr>
          <w:p>
            <w:pPr>
              <w:widowControl/>
              <w:jc w:val="left"/>
              <w:rPr>
                <w:kern w:val="0"/>
                <w:sz w:val="20"/>
                <w:szCs w:val="20"/>
              </w:rPr>
            </w:pPr>
          </w:p>
        </w:tc>
      </w:tr>
    </w:tbl>
    <w:p>
      <w:pPr>
        <w:topLinePunct/>
        <w:spacing w:line="240" w:lineRule="exact"/>
        <w:outlineLvl w:val="0"/>
        <w:rPr>
          <w:rFonts w:eastAsiaTheme="minorEastAsia"/>
          <w:b/>
          <w:color w:val="000000" w:themeColor="text1"/>
          <w:sz w:val="32"/>
          <w:szCs w:val="32"/>
          <w14:textFill>
            <w14:solidFill>
              <w14:schemeClr w14:val="tx1"/>
            </w14:solidFill>
          </w14:textFill>
        </w:rPr>
        <w:sectPr>
          <w:pgSz w:w="11906" w:h="16838"/>
          <w:pgMar w:top="1440" w:right="1361" w:bottom="1440" w:left="1588" w:header="851" w:footer="992" w:gutter="0"/>
          <w:pgNumType w:start="0"/>
          <w:cols w:space="425" w:num="1"/>
          <w:titlePg/>
          <w:docGrid w:type="lines" w:linePitch="312" w:charSpace="0"/>
        </w:sectPr>
      </w:pPr>
    </w:p>
    <w:tbl>
      <w:tblPr>
        <w:tblStyle w:val="6"/>
        <w:tblW w:w="15771" w:type="dxa"/>
        <w:jc w:val="center"/>
        <w:tblLayout w:type="autofit"/>
        <w:tblCellMar>
          <w:top w:w="0" w:type="dxa"/>
          <w:left w:w="108" w:type="dxa"/>
          <w:bottom w:w="0" w:type="dxa"/>
          <w:right w:w="108" w:type="dxa"/>
        </w:tblCellMar>
      </w:tblPr>
      <w:tblGrid>
        <w:gridCol w:w="724"/>
        <w:gridCol w:w="241"/>
        <w:gridCol w:w="2367"/>
        <w:gridCol w:w="100"/>
        <w:gridCol w:w="1636"/>
        <w:gridCol w:w="188"/>
        <w:gridCol w:w="2468"/>
        <w:gridCol w:w="1689"/>
        <w:gridCol w:w="134"/>
        <w:gridCol w:w="2569"/>
        <w:gridCol w:w="6"/>
        <w:gridCol w:w="1818"/>
        <w:gridCol w:w="6"/>
        <w:gridCol w:w="1825"/>
      </w:tblGrid>
      <w:tr>
        <w:tblPrEx>
          <w:tblCellMar>
            <w:top w:w="0" w:type="dxa"/>
            <w:left w:w="108" w:type="dxa"/>
            <w:bottom w:w="0" w:type="dxa"/>
            <w:right w:w="108" w:type="dxa"/>
          </w:tblCellMar>
        </w:tblPrEx>
        <w:trPr>
          <w:trHeight w:val="471" w:hRule="atLeast"/>
          <w:jc w:val="center"/>
        </w:trPr>
        <w:tc>
          <w:tcPr>
            <w:tcW w:w="15771"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b/>
                <w:bCs/>
                <w:kern w:val="0"/>
                <w:sz w:val="32"/>
                <w:szCs w:val="32"/>
              </w:rPr>
            </w:pPr>
            <w:r>
              <w:rPr>
                <w:rFonts w:hint="eastAsia" w:ascii="宋体" w:hAnsi="宋体" w:eastAsia="宋体" w:cs="宋体"/>
                <w:b/>
                <w:bCs/>
                <w:i w:val="0"/>
                <w:iCs w:val="0"/>
                <w:color w:val="000000"/>
                <w:kern w:val="0"/>
                <w:sz w:val="36"/>
                <w:szCs w:val="36"/>
                <w:u w:val="none"/>
                <w:lang w:val="en-US" w:eastAsia="zh-CN" w:bidi="ar"/>
              </w:rPr>
              <w:t>保教活动成本表-本年累计</w:t>
            </w:r>
          </w:p>
        </w:tc>
      </w:tr>
      <w:tr>
        <w:tblPrEx>
          <w:tblCellMar>
            <w:top w:w="0" w:type="dxa"/>
            <w:left w:w="108" w:type="dxa"/>
            <w:bottom w:w="0" w:type="dxa"/>
            <w:right w:w="108" w:type="dxa"/>
          </w:tblCellMar>
        </w:tblPrEx>
        <w:trPr>
          <w:trHeight w:val="297" w:hRule="atLeast"/>
          <w:jc w:val="center"/>
        </w:trPr>
        <w:tc>
          <w:tcPr>
            <w:tcW w:w="7724"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编制单位：深圳市南山区元凤幼儿园</w:t>
            </w:r>
          </w:p>
        </w:tc>
        <w:tc>
          <w:tcPr>
            <w:tcW w:w="18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2024年12月31日</w:t>
            </w:r>
          </w:p>
        </w:tc>
        <w:tc>
          <w:tcPr>
            <w:tcW w:w="2575" w:type="dxa"/>
            <w:gridSpan w:val="2"/>
            <w:tcBorders>
              <w:top w:val="nil"/>
              <w:left w:val="nil"/>
              <w:bottom w:val="nil"/>
              <w:right w:val="nil"/>
            </w:tcBorders>
            <w:shd w:val="clear" w:color="auto" w:fill="auto"/>
            <w:vAlign w:val="center"/>
          </w:tcPr>
          <w:p>
            <w:pPr>
              <w:jc w:val="left"/>
              <w:rPr>
                <w:kern w:val="0"/>
                <w:sz w:val="20"/>
                <w:szCs w:val="20"/>
              </w:rPr>
            </w:pPr>
          </w:p>
        </w:tc>
        <w:tc>
          <w:tcPr>
            <w:tcW w:w="3649"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会民幼02表附2 单位：元</w:t>
            </w:r>
          </w:p>
        </w:tc>
      </w:tr>
      <w:tr>
        <w:tblPrEx>
          <w:tblCellMar>
            <w:top w:w="0" w:type="dxa"/>
            <w:left w:w="108" w:type="dxa"/>
            <w:bottom w:w="0" w:type="dxa"/>
            <w:right w:w="108" w:type="dxa"/>
          </w:tblCellMar>
        </w:tblPrEx>
        <w:trPr>
          <w:trHeight w:val="297" w:hRule="atLeast"/>
          <w:jc w:val="center"/>
        </w:trPr>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行次</w:t>
            </w:r>
          </w:p>
        </w:tc>
        <w:tc>
          <w:tcPr>
            <w:tcW w:w="246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项 目</w:t>
            </w:r>
          </w:p>
        </w:tc>
        <w:tc>
          <w:tcPr>
            <w:tcW w:w="182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本年累计数</w:t>
            </w:r>
          </w:p>
        </w:tc>
        <w:tc>
          <w:tcPr>
            <w:tcW w:w="24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项 目</w:t>
            </w:r>
          </w:p>
        </w:tc>
        <w:tc>
          <w:tcPr>
            <w:tcW w:w="182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本年累计数</w:t>
            </w:r>
          </w:p>
        </w:tc>
        <w:tc>
          <w:tcPr>
            <w:tcW w:w="257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项 目</w:t>
            </w:r>
          </w:p>
        </w:tc>
        <w:tc>
          <w:tcPr>
            <w:tcW w:w="182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本年累计数</w:t>
            </w:r>
          </w:p>
        </w:tc>
        <w:tc>
          <w:tcPr>
            <w:tcW w:w="1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合计</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一、保育教育服务成本</w:t>
            </w:r>
          </w:p>
        </w:tc>
        <w:tc>
          <w:tcPr>
            <w:tcW w:w="1824" w:type="dxa"/>
            <w:gridSpan w:val="2"/>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二、膳食服务成本</w:t>
            </w:r>
          </w:p>
        </w:tc>
        <w:tc>
          <w:tcPr>
            <w:tcW w:w="1823" w:type="dxa"/>
            <w:gridSpan w:val="2"/>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三、校车服务成本</w:t>
            </w:r>
          </w:p>
        </w:tc>
        <w:tc>
          <w:tcPr>
            <w:tcW w:w="1824" w:type="dxa"/>
            <w:gridSpan w:val="2"/>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825"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1.保教人员工资福利性支出</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4,474,992.33</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1.服务人员工资福利性支出</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539,196.86</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1.服务人员工资福利性支出</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5,014,189.19</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（1）工资奖金补贴</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3,719,368.82</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（1）工资奖金补贴</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499,895.46</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（1）工资奖金补贴</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4,219,264.28</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4</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（2）社保缴费</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400,377.75</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（2）社保缴费</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31,917.65</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（2）社保缴费</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432,295.40</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（3）住房公积金</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74,369.75</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（3）住房公积金</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7,100.70</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（3）住房公积金</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81,470.45</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6</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（4）职工福利费</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280,876.01</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（4）职工福利费</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283.05</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（4）职工福利费</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281,159.06</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7</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2.保教材料及消耗品</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64,729.86</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2.膳食材料</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1,359,203.66</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2.汽油材料及消耗品</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1,423,933.52</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3.其他保教成本</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1,410,275.74</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3.其他膳食成本</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154,511.55</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3.其他校车成本</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1,564,787.29</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9</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w:t>
            </w:r>
          </w:p>
        </w:tc>
        <w:tc>
          <w:tcPr>
            <w:tcW w:w="182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kern w:val="0"/>
                <w:sz w:val="20"/>
                <w:szCs w:val="20"/>
              </w:rPr>
            </w:pP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（1）水费</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24,823.77</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w:t>
            </w:r>
          </w:p>
        </w:tc>
        <w:tc>
          <w:tcPr>
            <w:tcW w:w="182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kern w:val="0"/>
                <w:sz w:val="20"/>
                <w:szCs w:val="20"/>
              </w:rPr>
            </w:pP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24,823.77</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w:t>
            </w:r>
          </w:p>
        </w:tc>
        <w:tc>
          <w:tcPr>
            <w:tcW w:w="182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kern w:val="0"/>
                <w:sz w:val="20"/>
                <w:szCs w:val="20"/>
              </w:rPr>
            </w:pP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（2）电费</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38,140.76</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w:t>
            </w:r>
          </w:p>
        </w:tc>
        <w:tc>
          <w:tcPr>
            <w:tcW w:w="182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kern w:val="0"/>
                <w:sz w:val="20"/>
                <w:szCs w:val="20"/>
              </w:rPr>
            </w:pP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38,140.76</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11</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w:t>
            </w:r>
          </w:p>
        </w:tc>
        <w:tc>
          <w:tcPr>
            <w:tcW w:w="182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kern w:val="0"/>
                <w:sz w:val="20"/>
                <w:szCs w:val="20"/>
              </w:rPr>
            </w:pP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（3）物业管理费</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w:t>
            </w:r>
          </w:p>
        </w:tc>
        <w:tc>
          <w:tcPr>
            <w:tcW w:w="182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kern w:val="0"/>
                <w:sz w:val="20"/>
                <w:szCs w:val="20"/>
              </w:rPr>
            </w:pP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12</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（4）修缮及维修费</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41,689.48</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（4）修缮及维修费</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1,600.00</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（4）修缮及维修费</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43,289.48</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13</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（5）折旧费</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22,130.58</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（5）折旧费</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12,211.29</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（5）折旧费</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34,341.87</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14</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（6）场地租金</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1,235,000.00</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（6）场地租金</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44,200.00</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（6）场地租金</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1,279,200.00</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（7）卫生保健防疫费</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2,934.00</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（7）×</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（7）×</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2,934.00</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16</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（8）文体活动费</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10,294.67</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10,294.67</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17</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（9）×</w:t>
            </w:r>
          </w:p>
        </w:tc>
        <w:tc>
          <w:tcPr>
            <w:tcW w:w="182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kern w:val="0"/>
                <w:sz w:val="20"/>
                <w:szCs w:val="20"/>
              </w:rPr>
            </w:pP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（9）燃气费</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22,694.60</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（9）×</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22,694.60</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18</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（10）其他</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98,227.01</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（10）其他</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10,841.13</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（10）其他</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109,068.14</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19</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保育教育直接成本合计</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b/>
                <w:bCs/>
                <w:kern w:val="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5,949,997.93</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膳食服务直接成本合计</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b/>
                <w:bCs/>
                <w:kern w:val="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2,052,912.07</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校车服务直接成本合计</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b/>
                <w:bCs/>
                <w:kern w:val="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b/>
                <w:bCs/>
                <w:kern w:val="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8,002,910.00</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20</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加：分摊的三项费用</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2,075,558.1</w:t>
            </w:r>
            <w:r>
              <w:rPr>
                <w:rFonts w:hint="eastAsia" w:cs="Times New Roman"/>
                <w:i w:val="0"/>
                <w:iCs w:val="0"/>
                <w:color w:val="000000"/>
                <w:kern w:val="0"/>
                <w:sz w:val="20"/>
                <w:szCs w:val="20"/>
                <w:u w:val="none"/>
                <w:lang w:val="en-US" w:eastAsia="zh-CN" w:bidi="ar"/>
              </w:rPr>
              <w:t>2</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加：分摊的三项费用</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250,086.34</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加：分摊的三项费用</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2,325,644.4</w:t>
            </w:r>
            <w:r>
              <w:rPr>
                <w:rFonts w:hint="eastAsia" w:cs="Times New Roman"/>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297" w:hRule="atLeast"/>
          <w:jc w:val="center"/>
        </w:trPr>
        <w:tc>
          <w:tcPr>
            <w:tcW w:w="9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21</w:t>
            </w:r>
          </w:p>
        </w:tc>
        <w:tc>
          <w:tcPr>
            <w:tcW w:w="246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保育教育总成本</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b/>
                <w:bCs/>
                <w:kern w:val="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8,025,556.0</w:t>
            </w:r>
            <w:r>
              <w:rPr>
                <w:rFonts w:hint="eastAsia" w:cs="Times New Roman"/>
                <w:b/>
                <w:bCs/>
                <w:i w:val="0"/>
                <w:iCs w:val="0"/>
                <w:color w:val="000000"/>
                <w:kern w:val="0"/>
                <w:sz w:val="20"/>
                <w:szCs w:val="20"/>
                <w:u w:val="none"/>
                <w:lang w:val="en-US" w:eastAsia="zh-CN" w:bidi="ar"/>
              </w:rPr>
              <w:t>5</w:t>
            </w:r>
          </w:p>
        </w:tc>
        <w:tc>
          <w:tcPr>
            <w:tcW w:w="24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膳食服务总成本</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b/>
                <w:bCs/>
                <w:kern w:val="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2,302,998.41</w:t>
            </w:r>
          </w:p>
        </w:tc>
        <w:tc>
          <w:tcPr>
            <w:tcW w:w="25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校车服务总成本</w:t>
            </w:r>
          </w:p>
        </w:tc>
        <w:tc>
          <w:tcPr>
            <w:tcW w:w="18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b/>
                <w:bCs/>
                <w:kern w:val="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18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b/>
                <w:bCs/>
                <w:kern w:val="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10,328,554.4</w:t>
            </w:r>
            <w:r>
              <w:rPr>
                <w:rFonts w:hint="eastAsia" w:cs="Times New Roman"/>
                <w:b/>
                <w:bCs/>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297" w:hRule="atLeast"/>
          <w:jc w:val="center"/>
        </w:trPr>
        <w:tc>
          <w:tcPr>
            <w:tcW w:w="724" w:type="dxa"/>
            <w:tcBorders>
              <w:top w:val="nil"/>
              <w:left w:val="nil"/>
              <w:bottom w:val="nil"/>
              <w:right w:val="nil"/>
            </w:tcBorders>
            <w:shd w:val="clear" w:color="auto" w:fill="auto"/>
            <w:vAlign w:val="center"/>
          </w:tcPr>
          <w:p>
            <w:pPr>
              <w:widowControl/>
              <w:jc w:val="center"/>
              <w:rPr>
                <w:kern w:val="0"/>
                <w:sz w:val="20"/>
                <w:szCs w:val="20"/>
              </w:rPr>
            </w:pPr>
          </w:p>
        </w:tc>
        <w:tc>
          <w:tcPr>
            <w:tcW w:w="2608" w:type="dxa"/>
            <w:gridSpan w:val="2"/>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单位负责人：</w:t>
            </w:r>
          </w:p>
        </w:tc>
        <w:tc>
          <w:tcPr>
            <w:tcW w:w="1736" w:type="dxa"/>
            <w:gridSpan w:val="2"/>
            <w:tcBorders>
              <w:top w:val="nil"/>
              <w:left w:val="nil"/>
              <w:bottom w:val="nil"/>
              <w:right w:val="nil"/>
            </w:tcBorders>
            <w:shd w:val="clear" w:color="auto" w:fill="auto"/>
            <w:vAlign w:val="center"/>
          </w:tcPr>
          <w:p>
            <w:pPr>
              <w:widowControl/>
              <w:jc w:val="center"/>
              <w:rPr>
                <w:kern w:val="0"/>
                <w:sz w:val="20"/>
                <w:szCs w:val="20"/>
              </w:rPr>
            </w:pPr>
          </w:p>
        </w:tc>
        <w:tc>
          <w:tcPr>
            <w:tcW w:w="2656" w:type="dxa"/>
            <w:gridSpan w:val="2"/>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制表：</w:t>
            </w:r>
          </w:p>
        </w:tc>
        <w:tc>
          <w:tcPr>
            <w:tcW w:w="1689" w:type="dxa"/>
            <w:tcBorders>
              <w:top w:val="nil"/>
              <w:left w:val="nil"/>
              <w:bottom w:val="nil"/>
              <w:right w:val="nil"/>
            </w:tcBorders>
            <w:shd w:val="clear" w:color="auto" w:fill="auto"/>
            <w:vAlign w:val="center"/>
          </w:tcPr>
          <w:p>
            <w:pPr>
              <w:widowControl/>
              <w:jc w:val="right"/>
              <w:rPr>
                <w:kern w:val="0"/>
                <w:sz w:val="20"/>
                <w:szCs w:val="20"/>
              </w:rPr>
            </w:pPr>
          </w:p>
        </w:tc>
        <w:tc>
          <w:tcPr>
            <w:tcW w:w="2703" w:type="dxa"/>
            <w:gridSpan w:val="2"/>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主管</w:t>
            </w:r>
            <w:r>
              <w:rPr>
                <w:kern w:val="0"/>
                <w:sz w:val="20"/>
                <w:szCs w:val="20"/>
              </w:rPr>
              <w:t>/</w:t>
            </w:r>
            <w:r>
              <w:rPr>
                <w:rFonts w:hint="eastAsia" w:ascii="宋体" w:hAnsi="宋体"/>
                <w:kern w:val="0"/>
                <w:sz w:val="20"/>
                <w:szCs w:val="20"/>
              </w:rPr>
              <w:t>复核：</w:t>
            </w:r>
          </w:p>
        </w:tc>
        <w:tc>
          <w:tcPr>
            <w:tcW w:w="1824" w:type="dxa"/>
            <w:gridSpan w:val="2"/>
            <w:tcBorders>
              <w:top w:val="nil"/>
              <w:left w:val="nil"/>
              <w:bottom w:val="nil"/>
              <w:right w:val="nil"/>
            </w:tcBorders>
            <w:shd w:val="clear" w:color="auto" w:fill="auto"/>
            <w:vAlign w:val="center"/>
          </w:tcPr>
          <w:p>
            <w:pPr>
              <w:widowControl/>
              <w:jc w:val="right"/>
              <w:rPr>
                <w:kern w:val="0"/>
                <w:sz w:val="20"/>
                <w:szCs w:val="20"/>
              </w:rPr>
            </w:pPr>
          </w:p>
        </w:tc>
        <w:tc>
          <w:tcPr>
            <w:tcW w:w="1831" w:type="dxa"/>
            <w:gridSpan w:val="2"/>
            <w:tcBorders>
              <w:top w:val="nil"/>
              <w:left w:val="nil"/>
              <w:bottom w:val="nil"/>
              <w:right w:val="nil"/>
            </w:tcBorders>
            <w:shd w:val="clear" w:color="auto" w:fill="auto"/>
            <w:vAlign w:val="center"/>
          </w:tcPr>
          <w:p>
            <w:pPr>
              <w:widowControl/>
              <w:jc w:val="right"/>
              <w:rPr>
                <w:kern w:val="0"/>
                <w:sz w:val="20"/>
                <w:szCs w:val="20"/>
              </w:rPr>
            </w:pPr>
          </w:p>
        </w:tc>
      </w:tr>
    </w:tbl>
    <w:p>
      <w:pPr>
        <w:topLinePunct/>
        <w:spacing w:line="580" w:lineRule="exact"/>
        <w:jc w:val="center"/>
        <w:outlineLvl w:val="0"/>
        <w:rPr>
          <w:rFonts w:eastAsiaTheme="minorEastAsia"/>
          <w:b/>
          <w:color w:val="000000" w:themeColor="text1"/>
          <w:sz w:val="32"/>
          <w:szCs w:val="32"/>
          <w14:textFill>
            <w14:solidFill>
              <w14:schemeClr w14:val="tx1"/>
            </w14:solidFill>
          </w14:textFill>
        </w:rPr>
        <w:sectPr>
          <w:pgSz w:w="16838" w:h="11906" w:orient="landscape"/>
          <w:pgMar w:top="1588" w:right="1440" w:bottom="1361" w:left="1440" w:header="851" w:footer="992" w:gutter="0"/>
          <w:pgNumType w:start="5"/>
          <w:cols w:space="425" w:num="1"/>
          <w:docGrid w:type="linesAndChars" w:linePitch="312" w:charSpace="0"/>
        </w:sectPr>
      </w:pPr>
    </w:p>
    <w:tbl>
      <w:tblPr>
        <w:tblStyle w:val="6"/>
        <w:tblW w:w="9383" w:type="dxa"/>
        <w:jc w:val="center"/>
        <w:tblLayout w:type="autofit"/>
        <w:tblCellMar>
          <w:top w:w="0" w:type="dxa"/>
          <w:left w:w="108" w:type="dxa"/>
          <w:bottom w:w="0" w:type="dxa"/>
          <w:right w:w="108" w:type="dxa"/>
        </w:tblCellMar>
      </w:tblPr>
      <w:tblGrid>
        <w:gridCol w:w="1042"/>
        <w:gridCol w:w="360"/>
        <w:gridCol w:w="4858"/>
        <w:gridCol w:w="227"/>
        <w:gridCol w:w="2896"/>
      </w:tblGrid>
      <w:tr>
        <w:tblPrEx>
          <w:tblCellMar>
            <w:top w:w="0" w:type="dxa"/>
            <w:left w:w="108" w:type="dxa"/>
            <w:bottom w:w="0" w:type="dxa"/>
            <w:right w:w="108" w:type="dxa"/>
          </w:tblCellMar>
        </w:tblPrEx>
        <w:trPr>
          <w:trHeight w:val="17" w:hRule="atLeast"/>
          <w:jc w:val="center"/>
        </w:trPr>
        <w:tc>
          <w:tcPr>
            <w:tcW w:w="9383"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b/>
                <w:bCs/>
                <w:kern w:val="0"/>
                <w:sz w:val="32"/>
                <w:szCs w:val="32"/>
              </w:rPr>
            </w:pPr>
            <w:r>
              <w:rPr>
                <w:rFonts w:hint="eastAsia" w:ascii="宋体" w:hAnsi="宋体" w:eastAsia="宋体" w:cs="宋体"/>
                <w:b/>
                <w:bCs/>
                <w:i w:val="0"/>
                <w:iCs w:val="0"/>
                <w:color w:val="000000"/>
                <w:kern w:val="0"/>
                <w:sz w:val="38"/>
                <w:szCs w:val="38"/>
                <w:u w:val="none"/>
                <w:lang w:val="en-US" w:eastAsia="zh-CN" w:bidi="ar"/>
              </w:rPr>
              <w:t>费 用 表</w:t>
            </w:r>
          </w:p>
        </w:tc>
      </w:tr>
      <w:tr>
        <w:tblPrEx>
          <w:tblCellMar>
            <w:top w:w="0" w:type="dxa"/>
            <w:left w:w="108" w:type="dxa"/>
            <w:bottom w:w="0" w:type="dxa"/>
            <w:right w:w="108" w:type="dxa"/>
          </w:tblCellMar>
        </w:tblPrEx>
        <w:trPr>
          <w:trHeight w:val="90" w:hRule="atLeast"/>
          <w:jc w:val="center"/>
        </w:trPr>
        <w:tc>
          <w:tcPr>
            <w:tcW w:w="6487"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编制单位：深圳市南山区元凤幼儿园          2024年12月31日</w:t>
            </w:r>
          </w:p>
        </w:tc>
        <w:tc>
          <w:tcPr>
            <w:tcW w:w="289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会民幼02表附3  单位：元</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行次</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项  目</w:t>
            </w:r>
          </w:p>
        </w:tc>
        <w:tc>
          <w:tcPr>
            <w:tcW w:w="28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本年累计</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一、管理费用</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b/>
                <w:bCs/>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2,325,644.46</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1.管理人员工资福利性支出</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1,777,482.10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（1）工资奖金补贴</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1,634,705.25</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4</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（2）社保缴费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125,978.71</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5</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（3）住房公积金</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14,700.90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6</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（4）职工福利费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2,097.24</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7</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2.工勤人员工资福利性支出</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247,458.06</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8</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（1）工资奖金补贴</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229,357.47</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9</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（2）社保缴费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15,611.53</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（3）住房公积金</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2,353.20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11</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（4）职工福利费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135.86</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12</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3.水费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42,506.22</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13</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4.电费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67,564.66</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14</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5.物业管理费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6.修缮及维修费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5,280.80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16</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7.折旧费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17,577.24</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17</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8.场地租金</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20,800.00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18</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9.职工教育经费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19</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10.办公费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9,690.11</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20</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11.邮电通讯网络费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18,405.45</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21</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12.会议费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22</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13.差旅费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23</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14.汽车费用</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24</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15.劳务费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25</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16.业务招待费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2,825.98</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26</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17.低值易耗品及摊销</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25,874.13</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27</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18.绿化及养护费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28</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19.工会经费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29</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20.待摊费用摊销</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21.广告宣传费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11,760.00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31</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22.财务费用</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27,109.31</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32</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23.董事会（理事会）费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33</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24.聘请中介机构费</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34</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25.车船税印花税房产税等</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35</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27.其他</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51,310.40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36</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二、筹资费用</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37</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三、其他费用</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0" w:hRule="atLeast"/>
          <w:jc w:val="center"/>
        </w:trPr>
        <w:tc>
          <w:tcPr>
            <w:tcW w:w="10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38</w:t>
            </w:r>
          </w:p>
        </w:tc>
        <w:tc>
          <w:tcPr>
            <w:tcW w:w="54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kern w:val="0"/>
                <w:sz w:val="20"/>
                <w:szCs w:val="20"/>
              </w:rPr>
            </w:pPr>
            <w:r>
              <w:rPr>
                <w:rFonts w:hint="eastAsia" w:ascii="宋体" w:hAnsi="宋体" w:eastAsia="宋体" w:cs="宋体"/>
                <w:b/>
                <w:bCs/>
                <w:i w:val="0"/>
                <w:iCs w:val="0"/>
                <w:color w:val="000000"/>
                <w:kern w:val="0"/>
                <w:sz w:val="20"/>
                <w:szCs w:val="20"/>
                <w:u w:val="none"/>
                <w:lang w:val="en-US" w:eastAsia="zh-CN" w:bidi="ar"/>
              </w:rPr>
              <w:t>（一）+（二）+（三）总计</w:t>
            </w:r>
          </w:p>
        </w:tc>
        <w:tc>
          <w:tcPr>
            <w:tcW w:w="2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b/>
                <w:bCs/>
                <w:kern w:val="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2,325,644.46</w:t>
            </w:r>
          </w:p>
        </w:tc>
      </w:tr>
      <w:tr>
        <w:tblPrEx>
          <w:tblCellMar>
            <w:top w:w="0" w:type="dxa"/>
            <w:left w:w="108" w:type="dxa"/>
            <w:bottom w:w="0" w:type="dxa"/>
            <w:right w:w="108" w:type="dxa"/>
          </w:tblCellMar>
        </w:tblPrEx>
        <w:trPr>
          <w:trHeight w:val="10" w:hRule="atLeast"/>
          <w:jc w:val="center"/>
        </w:trPr>
        <w:tc>
          <w:tcPr>
            <w:tcW w:w="1402" w:type="dxa"/>
            <w:gridSpan w:val="2"/>
            <w:tcBorders>
              <w:top w:val="nil"/>
              <w:left w:val="nil"/>
              <w:bottom w:val="nil"/>
              <w:right w:val="nil"/>
            </w:tcBorders>
            <w:shd w:val="clear" w:color="auto" w:fill="auto"/>
            <w:vAlign w:val="center"/>
          </w:tcPr>
          <w:p>
            <w:pPr>
              <w:widowControl/>
              <w:spacing w:line="300" w:lineRule="exact"/>
              <w:jc w:val="center"/>
              <w:rPr>
                <w:kern w:val="0"/>
                <w:sz w:val="20"/>
                <w:szCs w:val="20"/>
              </w:rPr>
            </w:pPr>
          </w:p>
        </w:tc>
        <w:tc>
          <w:tcPr>
            <w:tcW w:w="4858" w:type="dxa"/>
            <w:tcBorders>
              <w:top w:val="nil"/>
              <w:left w:val="nil"/>
              <w:bottom w:val="nil"/>
              <w:right w:val="nil"/>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单位负责人：</w:t>
            </w:r>
            <w:r>
              <w:rPr>
                <w:kern w:val="0"/>
                <w:sz w:val="20"/>
                <w:szCs w:val="20"/>
              </w:rPr>
              <w:t xml:space="preserve">                    </w:t>
            </w:r>
            <w:r>
              <w:rPr>
                <w:rFonts w:hint="eastAsia" w:ascii="宋体" w:hAnsi="宋体"/>
                <w:kern w:val="0"/>
                <w:sz w:val="20"/>
                <w:szCs w:val="20"/>
              </w:rPr>
              <w:t>制表：</w:t>
            </w:r>
          </w:p>
        </w:tc>
        <w:tc>
          <w:tcPr>
            <w:tcW w:w="3123" w:type="dxa"/>
            <w:gridSpan w:val="2"/>
            <w:tcBorders>
              <w:top w:val="nil"/>
              <w:left w:val="nil"/>
              <w:bottom w:val="nil"/>
              <w:right w:val="nil"/>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主管</w:t>
            </w:r>
            <w:r>
              <w:rPr>
                <w:kern w:val="0"/>
                <w:sz w:val="20"/>
                <w:szCs w:val="20"/>
              </w:rPr>
              <w:t>/</w:t>
            </w:r>
            <w:r>
              <w:rPr>
                <w:rFonts w:hint="eastAsia" w:ascii="宋体" w:hAnsi="宋体"/>
                <w:kern w:val="0"/>
                <w:sz w:val="20"/>
                <w:szCs w:val="20"/>
              </w:rPr>
              <w:t>复核：</w:t>
            </w:r>
          </w:p>
        </w:tc>
      </w:tr>
    </w:tbl>
    <w:p>
      <w:pPr>
        <w:topLinePunct/>
        <w:spacing w:line="240" w:lineRule="exact"/>
        <w:outlineLvl w:val="0"/>
        <w:rPr>
          <w:rFonts w:eastAsiaTheme="minorEastAsia"/>
          <w:b/>
          <w:color w:val="000000" w:themeColor="text1"/>
          <w:sz w:val="32"/>
          <w:szCs w:val="32"/>
          <w14:textFill>
            <w14:solidFill>
              <w14:schemeClr w14:val="tx1"/>
            </w14:solidFill>
          </w14:textFill>
        </w:rPr>
        <w:sectPr>
          <w:pgSz w:w="11906" w:h="16838"/>
          <w:pgMar w:top="1440" w:right="1361" w:bottom="1440" w:left="1588" w:header="851" w:footer="992" w:gutter="0"/>
          <w:pgNumType w:start="6"/>
          <w:cols w:space="425" w:num="1"/>
          <w:docGrid w:type="lines" w:linePitch="312" w:charSpace="0"/>
        </w:sectPr>
      </w:pPr>
    </w:p>
    <w:tbl>
      <w:tblPr>
        <w:tblStyle w:val="6"/>
        <w:tblW w:w="14712" w:type="dxa"/>
        <w:tblInd w:w="93" w:type="dxa"/>
        <w:tblLayout w:type="autofit"/>
        <w:tblCellMar>
          <w:top w:w="0" w:type="dxa"/>
          <w:left w:w="108" w:type="dxa"/>
          <w:bottom w:w="0" w:type="dxa"/>
          <w:right w:w="108" w:type="dxa"/>
        </w:tblCellMar>
      </w:tblPr>
      <w:tblGrid>
        <w:gridCol w:w="3166"/>
        <w:gridCol w:w="1784"/>
        <w:gridCol w:w="1246"/>
        <w:gridCol w:w="538"/>
        <w:gridCol w:w="1784"/>
        <w:gridCol w:w="1722"/>
        <w:gridCol w:w="1846"/>
        <w:gridCol w:w="2626"/>
      </w:tblGrid>
      <w:tr>
        <w:tblPrEx>
          <w:tblCellMar>
            <w:top w:w="0" w:type="dxa"/>
            <w:left w:w="108" w:type="dxa"/>
            <w:bottom w:w="0" w:type="dxa"/>
            <w:right w:w="108" w:type="dxa"/>
          </w:tblCellMar>
        </w:tblPrEx>
        <w:trPr>
          <w:trHeight w:val="341" w:hRule="atLeast"/>
        </w:trPr>
        <w:tc>
          <w:tcPr>
            <w:tcW w:w="14712" w:type="dxa"/>
            <w:gridSpan w:val="8"/>
            <w:tcBorders>
              <w:top w:val="nil"/>
              <w:left w:val="nil"/>
              <w:bottom w:val="nil"/>
              <w:right w:val="nil"/>
            </w:tcBorders>
            <w:shd w:val="clear" w:color="auto" w:fill="auto"/>
            <w:vAlign w:val="center"/>
          </w:tcPr>
          <w:p>
            <w:pPr>
              <w:widowControl/>
              <w:jc w:val="center"/>
              <w:rPr>
                <w:b/>
                <w:bCs/>
                <w:kern w:val="0"/>
                <w:sz w:val="32"/>
                <w:szCs w:val="32"/>
              </w:rPr>
            </w:pPr>
            <w:r>
              <w:rPr>
                <w:rFonts w:hint="eastAsia" w:ascii="宋体" w:hAnsi="宋体"/>
                <w:b/>
                <w:bCs/>
                <w:kern w:val="0"/>
                <w:sz w:val="32"/>
                <w:szCs w:val="32"/>
              </w:rPr>
              <w:t>政府资助收支表</w:t>
            </w:r>
          </w:p>
        </w:tc>
      </w:tr>
      <w:tr>
        <w:tblPrEx>
          <w:tblCellMar>
            <w:top w:w="0" w:type="dxa"/>
            <w:left w:w="108" w:type="dxa"/>
            <w:bottom w:w="0" w:type="dxa"/>
            <w:right w:w="108" w:type="dxa"/>
          </w:tblCellMar>
        </w:tblPrEx>
        <w:trPr>
          <w:trHeight w:val="292" w:hRule="atLeast"/>
        </w:trPr>
        <w:tc>
          <w:tcPr>
            <w:tcW w:w="6196" w:type="dxa"/>
            <w:gridSpan w:val="3"/>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编制单位：深圳市南山区元凤幼儿园</w:t>
            </w:r>
          </w:p>
        </w:tc>
        <w:tc>
          <w:tcPr>
            <w:tcW w:w="2322" w:type="dxa"/>
            <w:gridSpan w:val="2"/>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20</w:t>
            </w:r>
            <w:r>
              <w:rPr>
                <w:rFonts w:hint="eastAsia"/>
                <w:kern w:val="0"/>
                <w:sz w:val="20"/>
                <w:szCs w:val="20"/>
              </w:rPr>
              <w:t>2</w:t>
            </w:r>
            <w:r>
              <w:rPr>
                <w:rFonts w:hint="eastAsia"/>
                <w:kern w:val="0"/>
                <w:sz w:val="20"/>
                <w:szCs w:val="20"/>
                <w:lang w:val="en-US" w:eastAsia="zh-CN"/>
              </w:rPr>
              <w:t>4</w:t>
            </w:r>
            <w:r>
              <w:rPr>
                <w:rFonts w:hint="eastAsia"/>
                <w:kern w:val="0"/>
                <w:sz w:val="20"/>
                <w:szCs w:val="20"/>
              </w:rPr>
              <w:t>年</w:t>
            </w:r>
            <w:r>
              <w:rPr>
                <w:kern w:val="0"/>
                <w:sz w:val="20"/>
                <w:szCs w:val="20"/>
              </w:rPr>
              <w:t>12月31日</w:t>
            </w:r>
          </w:p>
        </w:tc>
        <w:tc>
          <w:tcPr>
            <w:tcW w:w="1722" w:type="dxa"/>
            <w:tcBorders>
              <w:top w:val="nil"/>
              <w:left w:val="nil"/>
              <w:bottom w:val="nil"/>
              <w:right w:val="nil"/>
            </w:tcBorders>
            <w:shd w:val="clear" w:color="auto" w:fill="auto"/>
            <w:vAlign w:val="center"/>
          </w:tcPr>
          <w:p>
            <w:pPr>
              <w:widowControl/>
              <w:jc w:val="right"/>
              <w:rPr>
                <w:kern w:val="0"/>
                <w:sz w:val="20"/>
                <w:szCs w:val="20"/>
              </w:rPr>
            </w:pPr>
          </w:p>
        </w:tc>
        <w:tc>
          <w:tcPr>
            <w:tcW w:w="4472" w:type="dxa"/>
            <w:gridSpan w:val="2"/>
            <w:tcBorders>
              <w:top w:val="nil"/>
              <w:left w:val="nil"/>
              <w:bottom w:val="nil"/>
              <w:right w:val="nil"/>
            </w:tcBorders>
            <w:shd w:val="clear" w:color="auto" w:fill="auto"/>
            <w:vAlign w:val="center"/>
          </w:tcPr>
          <w:p>
            <w:pPr>
              <w:widowControl/>
              <w:jc w:val="right"/>
              <w:rPr>
                <w:kern w:val="0"/>
                <w:sz w:val="20"/>
                <w:szCs w:val="20"/>
              </w:rPr>
            </w:pPr>
            <w:r>
              <w:rPr>
                <w:rFonts w:hint="eastAsia" w:ascii="宋体" w:hAnsi="宋体"/>
                <w:kern w:val="0"/>
                <w:sz w:val="20"/>
                <w:szCs w:val="20"/>
              </w:rPr>
              <w:t>会民幼</w:t>
            </w:r>
            <w:r>
              <w:rPr>
                <w:kern w:val="0"/>
                <w:sz w:val="20"/>
                <w:szCs w:val="20"/>
              </w:rPr>
              <w:t>02</w:t>
            </w:r>
            <w:r>
              <w:rPr>
                <w:rFonts w:hint="eastAsia" w:ascii="宋体" w:hAnsi="宋体"/>
                <w:kern w:val="0"/>
                <w:sz w:val="20"/>
                <w:szCs w:val="20"/>
              </w:rPr>
              <w:t>表附</w:t>
            </w:r>
            <w:r>
              <w:rPr>
                <w:kern w:val="0"/>
                <w:sz w:val="20"/>
                <w:szCs w:val="20"/>
              </w:rPr>
              <w:t xml:space="preserve">5   </w:t>
            </w:r>
            <w:r>
              <w:rPr>
                <w:rFonts w:hint="eastAsia" w:ascii="宋体" w:hAnsi="宋体"/>
                <w:kern w:val="0"/>
                <w:sz w:val="20"/>
                <w:szCs w:val="20"/>
              </w:rPr>
              <w:t>单位：元</w:t>
            </w:r>
          </w:p>
        </w:tc>
      </w:tr>
      <w:tr>
        <w:tblPrEx>
          <w:tblCellMar>
            <w:top w:w="0" w:type="dxa"/>
            <w:left w:w="108" w:type="dxa"/>
            <w:bottom w:w="0" w:type="dxa"/>
            <w:right w:w="108" w:type="dxa"/>
          </w:tblCellMar>
        </w:tblPrEx>
        <w:trPr>
          <w:trHeight w:val="327" w:hRule="atLeast"/>
        </w:trPr>
        <w:tc>
          <w:tcPr>
            <w:tcW w:w="3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项目</w:t>
            </w:r>
          </w:p>
        </w:tc>
        <w:tc>
          <w:tcPr>
            <w:tcW w:w="178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年初余额</w:t>
            </w:r>
          </w:p>
        </w:tc>
        <w:tc>
          <w:tcPr>
            <w:tcW w:w="356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本年累计</w:t>
            </w:r>
          </w:p>
        </w:tc>
        <w:tc>
          <w:tcPr>
            <w:tcW w:w="172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年末余额</w:t>
            </w:r>
          </w:p>
        </w:tc>
        <w:tc>
          <w:tcPr>
            <w:tcW w:w="184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转非限定性净资产</w:t>
            </w:r>
          </w:p>
        </w:tc>
        <w:tc>
          <w:tcPr>
            <w:tcW w:w="262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资金来源（选项：教育事业费、教育费附加、其他）</w:t>
            </w:r>
          </w:p>
        </w:tc>
      </w:tr>
      <w:tr>
        <w:tblPrEx>
          <w:tblCellMar>
            <w:top w:w="0" w:type="dxa"/>
            <w:left w:w="108" w:type="dxa"/>
            <w:bottom w:w="0" w:type="dxa"/>
            <w:right w:w="108" w:type="dxa"/>
          </w:tblCellMar>
        </w:tblPrEx>
        <w:trPr>
          <w:trHeight w:val="327" w:hRule="atLeast"/>
        </w:trPr>
        <w:tc>
          <w:tcPr>
            <w:tcW w:w="3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kern w:val="0"/>
                <w:sz w:val="20"/>
                <w:szCs w:val="20"/>
              </w:rPr>
            </w:pPr>
          </w:p>
        </w:tc>
        <w:tc>
          <w:tcPr>
            <w:tcW w:w="1784" w:type="dxa"/>
            <w:vMerge w:val="continue"/>
            <w:tcBorders>
              <w:top w:val="single" w:color="000000" w:sz="4" w:space="0"/>
              <w:left w:val="single" w:color="000000" w:sz="4" w:space="0"/>
              <w:bottom w:val="nil"/>
              <w:right w:val="single" w:color="000000" w:sz="4" w:space="0"/>
            </w:tcBorders>
            <w:vAlign w:val="center"/>
          </w:tcPr>
          <w:p>
            <w:pPr>
              <w:widowControl/>
              <w:jc w:val="left"/>
              <w:rPr>
                <w:b/>
                <w:bCs/>
                <w:kern w:val="0"/>
                <w:sz w:val="20"/>
                <w:szCs w:val="20"/>
              </w:rPr>
            </w:pPr>
          </w:p>
        </w:tc>
        <w:tc>
          <w:tcPr>
            <w:tcW w:w="1784" w:type="dxa"/>
            <w:gridSpan w:val="2"/>
            <w:tcBorders>
              <w:top w:val="nil"/>
              <w:left w:val="nil"/>
              <w:bottom w:val="nil"/>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收入</w:t>
            </w:r>
          </w:p>
        </w:tc>
        <w:tc>
          <w:tcPr>
            <w:tcW w:w="1784" w:type="dxa"/>
            <w:tcBorders>
              <w:top w:val="nil"/>
              <w:left w:val="nil"/>
              <w:bottom w:val="nil"/>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支出</w:t>
            </w:r>
          </w:p>
        </w:tc>
        <w:tc>
          <w:tcPr>
            <w:tcW w:w="1722" w:type="dxa"/>
            <w:vMerge w:val="continue"/>
            <w:tcBorders>
              <w:top w:val="single" w:color="000000" w:sz="4" w:space="0"/>
              <w:left w:val="single" w:color="000000" w:sz="4" w:space="0"/>
              <w:bottom w:val="nil"/>
              <w:right w:val="single" w:color="000000" w:sz="4" w:space="0"/>
            </w:tcBorders>
            <w:vAlign w:val="center"/>
          </w:tcPr>
          <w:p>
            <w:pPr>
              <w:widowControl/>
              <w:jc w:val="left"/>
              <w:rPr>
                <w:b/>
                <w:bCs/>
                <w:kern w:val="0"/>
                <w:sz w:val="20"/>
                <w:szCs w:val="20"/>
              </w:rPr>
            </w:pPr>
          </w:p>
        </w:tc>
        <w:tc>
          <w:tcPr>
            <w:tcW w:w="1846" w:type="dxa"/>
            <w:vMerge w:val="continue"/>
            <w:tcBorders>
              <w:top w:val="single" w:color="000000" w:sz="4" w:space="0"/>
              <w:left w:val="single" w:color="000000" w:sz="4" w:space="0"/>
              <w:bottom w:val="nil"/>
              <w:right w:val="single" w:color="000000" w:sz="4" w:space="0"/>
            </w:tcBorders>
            <w:vAlign w:val="center"/>
          </w:tcPr>
          <w:p>
            <w:pPr>
              <w:widowControl/>
              <w:jc w:val="left"/>
              <w:rPr>
                <w:b/>
                <w:bCs/>
                <w:kern w:val="0"/>
                <w:sz w:val="20"/>
                <w:szCs w:val="20"/>
              </w:rPr>
            </w:pPr>
          </w:p>
        </w:tc>
        <w:tc>
          <w:tcPr>
            <w:tcW w:w="2626" w:type="dxa"/>
            <w:vMerge w:val="continue"/>
            <w:tcBorders>
              <w:top w:val="single" w:color="000000" w:sz="4" w:space="0"/>
              <w:left w:val="single" w:color="000000" w:sz="4" w:space="0"/>
              <w:bottom w:val="nil"/>
              <w:right w:val="single" w:color="000000" w:sz="4" w:space="0"/>
            </w:tcBorders>
            <w:vAlign w:val="center"/>
          </w:tcPr>
          <w:p>
            <w:pPr>
              <w:widowControl/>
              <w:jc w:val="left"/>
              <w:rPr>
                <w:b/>
                <w:bCs/>
                <w:kern w:val="0"/>
                <w:sz w:val="20"/>
                <w:szCs w:val="20"/>
              </w:rPr>
            </w:pP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一、对儿童的资助</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-4,414.34</w:t>
            </w:r>
          </w:p>
        </w:tc>
        <w:tc>
          <w:tcPr>
            <w:tcW w:w="178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597,627.00</w:t>
            </w:r>
          </w:p>
        </w:tc>
        <w:tc>
          <w:tcPr>
            <w:tcW w:w="1784" w:type="dxa"/>
            <w:tcBorders>
              <w:top w:val="single" w:color="000000" w:sz="4" w:space="0"/>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593,212.66</w:t>
            </w:r>
          </w:p>
        </w:tc>
        <w:tc>
          <w:tcPr>
            <w:tcW w:w="1722" w:type="dxa"/>
            <w:tcBorders>
              <w:top w:val="single" w:color="000000" w:sz="4" w:space="0"/>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single" w:color="000000" w:sz="4" w:space="0"/>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（一）代收儿童健康成长补贴</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-4,414.34</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597,627.00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593,212.66</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kern w:val="0"/>
                <w:sz w:val="20"/>
                <w:szCs w:val="20"/>
              </w:rPr>
              <w:t>1.</w:t>
            </w:r>
            <w:r>
              <w:rPr>
                <w:rFonts w:hint="eastAsia" w:ascii="宋体" w:hAnsi="宋体"/>
                <w:kern w:val="0"/>
                <w:sz w:val="20"/>
                <w:szCs w:val="20"/>
              </w:rPr>
              <w:t>对儿童补贴</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kern w:val="0"/>
                <w:sz w:val="20"/>
                <w:szCs w:val="20"/>
                <w:lang w:val="en-US"/>
              </w:rPr>
            </w:pPr>
            <w:r>
              <w:rPr>
                <w:rFonts w:hint="eastAsia"/>
                <w:color w:val="000000"/>
                <w:kern w:val="0"/>
                <w:sz w:val="20"/>
                <w:szCs w:val="20"/>
                <w:lang w:val="en-US" w:eastAsia="zh-CN"/>
              </w:rPr>
              <w:t>521,702.00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521,702.00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kern w:val="0"/>
                <w:sz w:val="20"/>
                <w:szCs w:val="20"/>
              </w:rPr>
              <w:t>2.</w:t>
            </w:r>
            <w:r>
              <w:rPr>
                <w:rFonts w:hint="eastAsia" w:ascii="宋体" w:hAnsi="宋体"/>
                <w:kern w:val="0"/>
                <w:sz w:val="20"/>
                <w:szCs w:val="20"/>
              </w:rPr>
              <w:t>体检费</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kern w:val="0"/>
                <w:sz w:val="20"/>
                <w:szCs w:val="20"/>
                <w:lang w:val="en-US"/>
              </w:rPr>
            </w:pPr>
            <w:r>
              <w:rPr>
                <w:rFonts w:hint="eastAsia"/>
                <w:color w:val="000000"/>
                <w:kern w:val="0"/>
                <w:sz w:val="20"/>
                <w:szCs w:val="20"/>
                <w:lang w:val="en-US" w:eastAsia="zh-CN"/>
              </w:rPr>
              <w:t>52,198.00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52,198.00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kern w:val="0"/>
                <w:sz w:val="20"/>
                <w:szCs w:val="20"/>
              </w:rPr>
              <w:t>3.</w:t>
            </w:r>
            <w:r>
              <w:rPr>
                <w:rFonts w:hint="eastAsia" w:ascii="宋体" w:hAnsi="宋体"/>
                <w:kern w:val="0"/>
                <w:sz w:val="20"/>
                <w:szCs w:val="20"/>
              </w:rPr>
              <w:t>购买儿童读物</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-4,414.34</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kern w:val="0"/>
                <w:sz w:val="20"/>
                <w:szCs w:val="20"/>
                <w:lang w:val="en-US"/>
              </w:rPr>
            </w:pPr>
            <w:r>
              <w:rPr>
                <w:rFonts w:hint="eastAsia"/>
                <w:color w:val="000000"/>
                <w:kern w:val="0"/>
                <w:sz w:val="20"/>
                <w:szCs w:val="20"/>
                <w:lang w:val="en-US" w:eastAsia="zh-CN"/>
              </w:rPr>
              <w:t>23,727.00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19,312.66</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（二）代收困难儿童保教费资助</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（三）代收其他资助</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二、对教职工的资助</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-13,000.00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1,129,000.00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1,116,000.00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（一）代收长期从教津贴</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1,116,000.00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1,116,000.00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（二）代收对个人的奖励和资助</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-13,000.00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13,000.00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（三）代收对教职工其他资助</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三、对单位的资助</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-18,937.52</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78,000.00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107,067.66</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107,067.66</w:t>
            </w: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（一）普惠性幼儿园奖励性补助</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kern w:val="0"/>
                <w:sz w:val="20"/>
                <w:szCs w:val="20"/>
              </w:rPr>
              <w:t>1.</w:t>
            </w:r>
            <w:r>
              <w:rPr>
                <w:rFonts w:hint="eastAsia" w:ascii="宋体" w:hAnsi="宋体"/>
                <w:kern w:val="0"/>
                <w:sz w:val="20"/>
                <w:szCs w:val="20"/>
              </w:rPr>
              <w:t>提高教职工待遇</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kern w:val="0"/>
                <w:sz w:val="20"/>
                <w:szCs w:val="20"/>
              </w:rPr>
              <w:t>2.</w:t>
            </w:r>
            <w:r>
              <w:rPr>
                <w:rFonts w:hint="eastAsia" w:ascii="宋体" w:hAnsi="宋体"/>
                <w:kern w:val="0"/>
                <w:sz w:val="20"/>
                <w:szCs w:val="20"/>
              </w:rPr>
              <w:t>提升保教质量</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（二）规范优质办学奖励</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（三）督导评估奖励</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（四）先进单位奖励</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（五）教科研课题资助</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left"/>
              <w:rPr>
                <w:kern w:val="0"/>
                <w:sz w:val="20"/>
                <w:szCs w:val="20"/>
              </w:rPr>
            </w:pPr>
            <w:r>
              <w:rPr>
                <w:rFonts w:hint="eastAsia" w:ascii="宋体" w:hAnsi="宋体"/>
                <w:kern w:val="0"/>
                <w:sz w:val="20"/>
                <w:szCs w:val="20"/>
              </w:rPr>
              <w:t>（六）其他资助</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-18,937.52</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78,000.00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107,067.66</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2626"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single" w:color="000000" w:sz="4" w:space="0"/>
              <w:bottom w:val="single" w:color="000000" w:sz="4" w:space="0"/>
              <w:right w:val="nil"/>
            </w:tcBorders>
            <w:shd w:val="clear" w:color="auto" w:fill="auto"/>
            <w:vAlign w:val="center"/>
          </w:tcPr>
          <w:p>
            <w:pPr>
              <w:widowControl/>
              <w:jc w:val="center"/>
              <w:rPr>
                <w:b/>
                <w:bCs/>
                <w:kern w:val="0"/>
                <w:sz w:val="20"/>
                <w:szCs w:val="20"/>
              </w:rPr>
            </w:pPr>
            <w:r>
              <w:rPr>
                <w:rFonts w:hint="eastAsia" w:ascii="宋体" w:hAnsi="宋体"/>
                <w:b/>
                <w:bCs/>
                <w:kern w:val="0"/>
                <w:sz w:val="20"/>
                <w:szCs w:val="20"/>
              </w:rPr>
              <w:t>合计</w:t>
            </w:r>
          </w:p>
        </w:tc>
        <w:tc>
          <w:tcPr>
            <w:tcW w:w="1784"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b/>
                <w:bCs/>
                <w:kern w:val="0"/>
                <w:sz w:val="20"/>
                <w:szCs w:val="20"/>
              </w:rPr>
            </w:pPr>
            <w:r>
              <w:rPr>
                <w:rFonts w:hint="eastAsia"/>
                <w:b/>
                <w:bCs/>
                <w:color w:val="000000"/>
                <w:kern w:val="0"/>
                <w:sz w:val="20"/>
                <w:szCs w:val="20"/>
              </w:rPr>
              <w:t>-36,351.86</w:t>
            </w:r>
          </w:p>
        </w:tc>
        <w:tc>
          <w:tcPr>
            <w:tcW w:w="1784"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b/>
                <w:bCs/>
                <w:kern w:val="0"/>
                <w:sz w:val="20"/>
                <w:szCs w:val="20"/>
              </w:rPr>
            </w:pPr>
            <w:r>
              <w:rPr>
                <w:rFonts w:hint="eastAsia"/>
                <w:b/>
                <w:bCs/>
                <w:color w:val="000000"/>
                <w:kern w:val="0"/>
                <w:sz w:val="20"/>
                <w:szCs w:val="20"/>
                <w:lang w:val="en-US" w:eastAsia="zh-CN"/>
              </w:rPr>
              <w:t>1,804,627.00</w:t>
            </w:r>
          </w:p>
        </w:tc>
        <w:tc>
          <w:tcPr>
            <w:tcW w:w="1784" w:type="dxa"/>
            <w:tcBorders>
              <w:top w:val="nil"/>
              <w:left w:val="nil"/>
              <w:bottom w:val="single" w:color="000000" w:sz="4" w:space="0"/>
              <w:right w:val="single" w:color="000000" w:sz="4" w:space="0"/>
            </w:tcBorders>
            <w:shd w:val="clear" w:color="auto" w:fill="auto"/>
            <w:vAlign w:val="center"/>
          </w:tcPr>
          <w:p>
            <w:pPr>
              <w:widowControl/>
              <w:jc w:val="right"/>
              <w:textAlignment w:val="center"/>
              <w:rPr>
                <w:b/>
                <w:bCs/>
                <w:kern w:val="0"/>
                <w:sz w:val="20"/>
                <w:szCs w:val="20"/>
              </w:rPr>
            </w:pPr>
            <w:r>
              <w:rPr>
                <w:rFonts w:hint="eastAsia"/>
                <w:b/>
                <w:bCs/>
                <w:kern w:val="0"/>
                <w:sz w:val="20"/>
                <w:szCs w:val="20"/>
              </w:rPr>
              <w:t>1,816,280.32</w:t>
            </w:r>
          </w:p>
        </w:tc>
        <w:tc>
          <w:tcPr>
            <w:tcW w:w="172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b/>
                <w:bCs/>
                <w:kern w:val="0"/>
                <w:sz w:val="20"/>
                <w:szCs w:val="20"/>
                <w:lang w:val="en-US" w:eastAsia="zh-CN"/>
              </w:rPr>
            </w:pPr>
            <w:r>
              <w:rPr>
                <w:rFonts w:hint="eastAsia"/>
                <w:b/>
                <w:bCs/>
                <w:color w:val="000000"/>
                <w:kern w:val="0"/>
                <w:sz w:val="20"/>
                <w:szCs w:val="20"/>
                <w:lang w:val="en-US" w:eastAsia="zh-CN"/>
              </w:rPr>
              <w:t>0.00</w:t>
            </w:r>
          </w:p>
        </w:tc>
        <w:tc>
          <w:tcPr>
            <w:tcW w:w="1846" w:type="dxa"/>
            <w:tcBorders>
              <w:top w:val="nil"/>
              <w:left w:val="nil"/>
              <w:bottom w:val="single" w:color="000000" w:sz="4" w:space="0"/>
              <w:right w:val="single" w:color="000000" w:sz="4" w:space="0"/>
            </w:tcBorders>
            <w:shd w:val="clear" w:color="auto" w:fill="auto"/>
            <w:vAlign w:val="center"/>
          </w:tcPr>
          <w:p>
            <w:pPr>
              <w:widowControl/>
              <w:jc w:val="right"/>
              <w:textAlignment w:val="center"/>
              <w:rPr>
                <w:b/>
                <w:bCs/>
                <w:kern w:val="0"/>
                <w:sz w:val="20"/>
                <w:szCs w:val="20"/>
              </w:rPr>
            </w:pPr>
            <w:r>
              <w:rPr>
                <w:rFonts w:hint="eastAsia"/>
                <w:b/>
                <w:bCs/>
                <w:color w:val="000000"/>
                <w:kern w:val="0"/>
                <w:sz w:val="20"/>
                <w:szCs w:val="20"/>
              </w:rPr>
              <w:t>107,067.66</w:t>
            </w:r>
          </w:p>
        </w:tc>
        <w:tc>
          <w:tcPr>
            <w:tcW w:w="2626" w:type="dxa"/>
            <w:tcBorders>
              <w:top w:val="nil"/>
              <w:left w:val="nil"/>
              <w:bottom w:val="single" w:color="auto" w:sz="4" w:space="0"/>
              <w:right w:val="single" w:color="auto" w:sz="4" w:space="0"/>
            </w:tcBorders>
            <w:shd w:val="clear" w:color="auto" w:fill="auto"/>
            <w:vAlign w:val="center"/>
          </w:tcPr>
          <w:p>
            <w:pPr>
              <w:widowControl/>
              <w:jc w:val="right"/>
              <w:rPr>
                <w:b/>
                <w:bCs/>
                <w:kern w:val="0"/>
                <w:sz w:val="20"/>
                <w:szCs w:val="20"/>
              </w:rPr>
            </w:pPr>
            <w:r>
              <w:rPr>
                <w:b/>
                <w:bCs/>
                <w:kern w:val="0"/>
                <w:sz w:val="20"/>
                <w:szCs w:val="20"/>
              </w:rPr>
              <w:t>　</w:t>
            </w:r>
          </w:p>
        </w:tc>
      </w:tr>
      <w:tr>
        <w:tblPrEx>
          <w:tblCellMar>
            <w:top w:w="0" w:type="dxa"/>
            <w:left w:w="108" w:type="dxa"/>
            <w:bottom w:w="0" w:type="dxa"/>
            <w:right w:w="108" w:type="dxa"/>
          </w:tblCellMar>
        </w:tblPrEx>
        <w:trPr>
          <w:trHeight w:val="292" w:hRule="atLeast"/>
        </w:trPr>
        <w:tc>
          <w:tcPr>
            <w:tcW w:w="3166" w:type="dxa"/>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单位负责人：</w:t>
            </w:r>
          </w:p>
        </w:tc>
        <w:tc>
          <w:tcPr>
            <w:tcW w:w="1784" w:type="dxa"/>
            <w:tcBorders>
              <w:top w:val="nil"/>
              <w:left w:val="nil"/>
              <w:bottom w:val="nil"/>
              <w:right w:val="nil"/>
            </w:tcBorders>
            <w:shd w:val="clear" w:color="auto" w:fill="auto"/>
            <w:vAlign w:val="center"/>
          </w:tcPr>
          <w:p>
            <w:pPr>
              <w:widowControl/>
              <w:jc w:val="right"/>
              <w:rPr>
                <w:kern w:val="0"/>
                <w:sz w:val="20"/>
                <w:szCs w:val="20"/>
              </w:rPr>
            </w:pPr>
          </w:p>
        </w:tc>
        <w:tc>
          <w:tcPr>
            <w:tcW w:w="1784" w:type="dxa"/>
            <w:gridSpan w:val="2"/>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制表：</w:t>
            </w:r>
          </w:p>
        </w:tc>
        <w:tc>
          <w:tcPr>
            <w:tcW w:w="1784" w:type="dxa"/>
            <w:tcBorders>
              <w:top w:val="nil"/>
              <w:left w:val="nil"/>
              <w:bottom w:val="nil"/>
              <w:right w:val="nil"/>
            </w:tcBorders>
            <w:shd w:val="clear" w:color="auto" w:fill="auto"/>
            <w:vAlign w:val="center"/>
          </w:tcPr>
          <w:p>
            <w:pPr>
              <w:widowControl/>
              <w:jc w:val="right"/>
              <w:rPr>
                <w:kern w:val="0"/>
                <w:sz w:val="20"/>
                <w:szCs w:val="20"/>
              </w:rPr>
            </w:pPr>
          </w:p>
        </w:tc>
        <w:tc>
          <w:tcPr>
            <w:tcW w:w="1722" w:type="dxa"/>
            <w:tcBorders>
              <w:top w:val="nil"/>
              <w:left w:val="nil"/>
              <w:bottom w:val="nil"/>
              <w:right w:val="nil"/>
            </w:tcBorders>
            <w:shd w:val="clear" w:color="auto" w:fill="auto"/>
            <w:vAlign w:val="center"/>
          </w:tcPr>
          <w:p>
            <w:pPr>
              <w:widowControl/>
              <w:jc w:val="right"/>
              <w:rPr>
                <w:kern w:val="0"/>
                <w:sz w:val="20"/>
                <w:szCs w:val="20"/>
              </w:rPr>
            </w:pPr>
          </w:p>
        </w:tc>
        <w:tc>
          <w:tcPr>
            <w:tcW w:w="4472" w:type="dxa"/>
            <w:gridSpan w:val="2"/>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主管</w:t>
            </w:r>
            <w:r>
              <w:rPr>
                <w:kern w:val="0"/>
                <w:sz w:val="20"/>
                <w:szCs w:val="20"/>
              </w:rPr>
              <w:t>/</w:t>
            </w:r>
            <w:r>
              <w:rPr>
                <w:rFonts w:hint="eastAsia" w:ascii="宋体" w:hAnsi="宋体"/>
                <w:kern w:val="0"/>
                <w:sz w:val="20"/>
                <w:szCs w:val="20"/>
              </w:rPr>
              <w:t>复核：</w:t>
            </w:r>
          </w:p>
        </w:tc>
      </w:tr>
    </w:tbl>
    <w:p>
      <w:pPr>
        <w:topLinePunct/>
        <w:spacing w:line="240" w:lineRule="exact"/>
        <w:jc w:val="center"/>
        <w:outlineLvl w:val="0"/>
        <w:rPr>
          <w:rFonts w:eastAsiaTheme="minorEastAsia"/>
          <w:b/>
          <w:color w:val="000000" w:themeColor="text1"/>
          <w:sz w:val="32"/>
          <w:szCs w:val="32"/>
          <w14:textFill>
            <w14:solidFill>
              <w14:schemeClr w14:val="tx1"/>
            </w14:solidFill>
          </w14:textFill>
        </w:rPr>
        <w:sectPr>
          <w:pgSz w:w="16838" w:h="11906" w:orient="landscape"/>
          <w:pgMar w:top="1588" w:right="1440" w:bottom="1361" w:left="1440" w:header="851" w:footer="992" w:gutter="0"/>
          <w:pgNumType w:start="7"/>
          <w:cols w:space="425" w:num="1"/>
          <w:docGrid w:type="linesAndChars" w:linePitch="312" w:charSpace="0"/>
        </w:sectPr>
      </w:pPr>
    </w:p>
    <w:tbl>
      <w:tblPr>
        <w:tblStyle w:val="6"/>
        <w:tblW w:w="9746" w:type="dxa"/>
        <w:jc w:val="center"/>
        <w:tblLayout w:type="autofit"/>
        <w:tblCellMar>
          <w:top w:w="0" w:type="dxa"/>
          <w:left w:w="108" w:type="dxa"/>
          <w:bottom w:w="0" w:type="dxa"/>
          <w:right w:w="108" w:type="dxa"/>
        </w:tblCellMar>
      </w:tblPr>
      <w:tblGrid>
        <w:gridCol w:w="5683"/>
        <w:gridCol w:w="801"/>
        <w:gridCol w:w="3262"/>
      </w:tblGrid>
      <w:tr>
        <w:tblPrEx>
          <w:tblCellMar>
            <w:top w:w="0" w:type="dxa"/>
            <w:left w:w="108" w:type="dxa"/>
            <w:bottom w:w="0" w:type="dxa"/>
            <w:right w:w="108" w:type="dxa"/>
          </w:tblCellMar>
        </w:tblPrEx>
        <w:trPr>
          <w:trHeight w:val="639" w:hRule="atLeast"/>
          <w:jc w:val="center"/>
        </w:trPr>
        <w:tc>
          <w:tcPr>
            <w:tcW w:w="9746" w:type="dxa"/>
            <w:gridSpan w:val="3"/>
            <w:tcBorders>
              <w:top w:val="nil"/>
              <w:left w:val="nil"/>
              <w:bottom w:val="nil"/>
              <w:right w:val="nil"/>
            </w:tcBorders>
            <w:shd w:val="clear" w:color="auto" w:fill="auto"/>
            <w:vAlign w:val="center"/>
          </w:tcPr>
          <w:p>
            <w:pPr>
              <w:widowControl/>
              <w:jc w:val="center"/>
              <w:rPr>
                <w:b/>
                <w:bCs/>
                <w:kern w:val="0"/>
                <w:sz w:val="32"/>
                <w:szCs w:val="32"/>
              </w:rPr>
            </w:pPr>
            <w:r>
              <w:rPr>
                <w:rFonts w:hint="eastAsia" w:ascii="宋体" w:hAnsi="宋体"/>
                <w:b/>
                <w:bCs/>
                <w:kern w:val="0"/>
                <w:sz w:val="32"/>
                <w:szCs w:val="32"/>
              </w:rPr>
              <w:t>现金流量表</w:t>
            </w:r>
          </w:p>
        </w:tc>
      </w:tr>
      <w:tr>
        <w:tblPrEx>
          <w:tblCellMar>
            <w:top w:w="0" w:type="dxa"/>
            <w:left w:w="108" w:type="dxa"/>
            <w:bottom w:w="0" w:type="dxa"/>
            <w:right w:w="108" w:type="dxa"/>
          </w:tblCellMar>
        </w:tblPrEx>
        <w:trPr>
          <w:trHeight w:val="285" w:hRule="atLeast"/>
          <w:jc w:val="center"/>
        </w:trPr>
        <w:tc>
          <w:tcPr>
            <w:tcW w:w="6484" w:type="dxa"/>
            <w:gridSpan w:val="2"/>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编制单位：深圳市南山区元凤幼儿园</w:t>
            </w:r>
            <w:r>
              <w:rPr>
                <w:rFonts w:hint="eastAsia" w:ascii="宋体" w:hAnsi="宋体"/>
                <w:kern w:val="0"/>
                <w:sz w:val="20"/>
                <w:szCs w:val="20"/>
                <w:lang w:val="en-US" w:eastAsia="zh-CN"/>
              </w:rPr>
              <w:t xml:space="preserve">               </w:t>
            </w:r>
            <w:r>
              <w:rPr>
                <w:rFonts w:hint="eastAsia"/>
                <w:kern w:val="0"/>
                <w:sz w:val="20"/>
                <w:szCs w:val="20"/>
              </w:rPr>
              <w:t>202</w:t>
            </w:r>
            <w:r>
              <w:rPr>
                <w:rFonts w:hint="eastAsia"/>
                <w:kern w:val="0"/>
                <w:sz w:val="20"/>
                <w:szCs w:val="20"/>
                <w:lang w:val="en-US" w:eastAsia="zh-CN"/>
              </w:rPr>
              <w:t>4</w:t>
            </w:r>
            <w:r>
              <w:rPr>
                <w:rFonts w:hint="eastAsia"/>
                <w:kern w:val="0"/>
                <w:sz w:val="20"/>
                <w:szCs w:val="20"/>
              </w:rPr>
              <w:t>年度</w:t>
            </w:r>
          </w:p>
        </w:tc>
        <w:tc>
          <w:tcPr>
            <w:tcW w:w="3262" w:type="dxa"/>
            <w:tcBorders>
              <w:top w:val="nil"/>
              <w:left w:val="nil"/>
              <w:bottom w:val="nil"/>
              <w:right w:val="nil"/>
            </w:tcBorders>
            <w:shd w:val="clear" w:color="auto" w:fill="auto"/>
            <w:vAlign w:val="center"/>
          </w:tcPr>
          <w:p>
            <w:pPr>
              <w:widowControl/>
              <w:jc w:val="right"/>
              <w:rPr>
                <w:kern w:val="0"/>
                <w:sz w:val="20"/>
                <w:szCs w:val="20"/>
              </w:rPr>
            </w:pPr>
            <w:r>
              <w:rPr>
                <w:rFonts w:hint="eastAsia" w:ascii="宋体" w:hAnsi="宋体"/>
                <w:kern w:val="0"/>
                <w:sz w:val="20"/>
                <w:szCs w:val="20"/>
              </w:rPr>
              <w:t>会民幼</w:t>
            </w:r>
            <w:r>
              <w:rPr>
                <w:kern w:val="0"/>
                <w:sz w:val="20"/>
                <w:szCs w:val="20"/>
              </w:rPr>
              <w:t>03</w:t>
            </w:r>
            <w:r>
              <w:rPr>
                <w:rFonts w:hint="eastAsia" w:ascii="宋体" w:hAnsi="宋体"/>
                <w:kern w:val="0"/>
                <w:sz w:val="20"/>
                <w:szCs w:val="20"/>
              </w:rPr>
              <w:t>表单位：元</w:t>
            </w:r>
          </w:p>
        </w:tc>
      </w:tr>
      <w:tr>
        <w:tblPrEx>
          <w:tblCellMar>
            <w:top w:w="0" w:type="dxa"/>
            <w:left w:w="108" w:type="dxa"/>
            <w:bottom w:w="0" w:type="dxa"/>
            <w:right w:w="108" w:type="dxa"/>
          </w:tblCellMar>
        </w:tblPrEx>
        <w:trPr>
          <w:trHeight w:val="285" w:hRule="atLeast"/>
          <w:jc w:val="center"/>
        </w:trPr>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项目</w:t>
            </w:r>
          </w:p>
        </w:tc>
        <w:tc>
          <w:tcPr>
            <w:tcW w:w="80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行次</w:t>
            </w:r>
          </w:p>
        </w:tc>
        <w:tc>
          <w:tcPr>
            <w:tcW w:w="326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金额</w:t>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一、服务活动产生的现金流量：</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接受捐赠收到的现金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提供服务收到的现金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w:t>
            </w:r>
          </w:p>
        </w:tc>
        <w:tc>
          <w:tcPr>
            <w:tcW w:w="3262" w:type="dxa"/>
            <w:tcBorders>
              <w:top w:val="nil"/>
              <w:left w:val="nil"/>
              <w:bottom w:val="single" w:color="000000" w:sz="4" w:space="0"/>
              <w:right w:val="single" w:color="000000" w:sz="4" w:space="0"/>
            </w:tcBorders>
            <w:shd w:val="clear" w:color="auto" w:fill="auto"/>
            <w:vAlign w:val="center"/>
          </w:tcPr>
          <w:p>
            <w:pPr>
              <w:jc w:val="right"/>
              <w:rPr>
                <w:rFonts w:hint="default" w:eastAsia="宋体"/>
                <w:bCs/>
                <w:color w:val="000000"/>
                <w:sz w:val="20"/>
                <w:szCs w:val="20"/>
                <w:lang w:val="en-US" w:eastAsia="zh-CN"/>
              </w:rPr>
            </w:pPr>
            <w:r>
              <w:rPr>
                <w:rFonts w:hint="eastAsia"/>
                <w:bCs/>
                <w:color w:val="000000"/>
                <w:sz w:val="20"/>
                <w:szCs w:val="20"/>
                <w:lang w:val="en-US" w:eastAsia="zh-CN"/>
              </w:rPr>
              <w:t>8,193,960.00</w:t>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销售商品收到的现金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4</w:t>
            </w:r>
          </w:p>
        </w:tc>
        <w:tc>
          <w:tcPr>
            <w:tcW w:w="3262" w:type="dxa"/>
            <w:tcBorders>
              <w:top w:val="nil"/>
              <w:left w:val="nil"/>
              <w:bottom w:val="single" w:color="000000" w:sz="4" w:space="0"/>
              <w:right w:val="single" w:color="000000" w:sz="4" w:space="0"/>
            </w:tcBorders>
            <w:shd w:val="clear" w:color="auto" w:fill="auto"/>
            <w:vAlign w:val="bottom"/>
          </w:tcPr>
          <w:p>
            <w:pPr>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政府资助收到的现金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5</w:t>
            </w:r>
          </w:p>
        </w:tc>
        <w:tc>
          <w:tcPr>
            <w:tcW w:w="3262" w:type="dxa"/>
            <w:tcBorders>
              <w:top w:val="nil"/>
              <w:left w:val="nil"/>
              <w:bottom w:val="single" w:color="000000" w:sz="4" w:space="0"/>
              <w:right w:val="single" w:color="000000" w:sz="4" w:space="0"/>
            </w:tcBorders>
            <w:shd w:val="clear" w:color="auto" w:fill="auto"/>
            <w:vAlign w:val="bottom"/>
          </w:tcPr>
          <w:p>
            <w:pPr>
              <w:jc w:val="right"/>
              <w:rPr>
                <w:rFonts w:hint="default" w:eastAsia="宋体"/>
                <w:kern w:val="0"/>
                <w:sz w:val="20"/>
                <w:szCs w:val="20"/>
                <w:lang w:val="en-US" w:eastAsia="zh-CN"/>
              </w:rPr>
            </w:pPr>
            <w:r>
              <w:rPr>
                <w:rFonts w:hint="eastAsia"/>
                <w:kern w:val="0"/>
                <w:sz w:val="20"/>
                <w:szCs w:val="20"/>
                <w:lang w:val="en-US" w:eastAsia="zh-CN"/>
              </w:rPr>
              <w:t>78,000.00</w:t>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收到的其他与业务活动有关的现金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6</w:t>
            </w:r>
          </w:p>
        </w:tc>
        <w:tc>
          <w:tcPr>
            <w:tcW w:w="3262" w:type="dxa"/>
            <w:tcBorders>
              <w:top w:val="nil"/>
              <w:left w:val="nil"/>
              <w:bottom w:val="single" w:color="000000" w:sz="4" w:space="0"/>
              <w:right w:val="single" w:color="000000" w:sz="4" w:space="0"/>
            </w:tcBorders>
            <w:shd w:val="clear" w:color="auto" w:fill="auto"/>
            <w:vAlign w:val="bottom"/>
          </w:tcPr>
          <w:p>
            <w:pPr>
              <w:widowControl/>
              <w:jc w:val="right"/>
              <w:textAlignment w:val="bottom"/>
              <w:rPr>
                <w:rFonts w:hint="default" w:eastAsia="宋体"/>
                <w:kern w:val="0"/>
                <w:sz w:val="20"/>
                <w:szCs w:val="20"/>
                <w:lang w:val="en-US" w:eastAsia="zh-CN"/>
              </w:rPr>
            </w:pPr>
            <w:r>
              <w:rPr>
                <w:rFonts w:hint="eastAsia"/>
                <w:kern w:val="0"/>
                <w:sz w:val="20"/>
                <w:szCs w:val="20"/>
                <w:lang w:val="en-US" w:eastAsia="zh-CN"/>
              </w:rPr>
              <w:t>1,653,050.06</w:t>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现金流入小计</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7</w:t>
            </w:r>
          </w:p>
        </w:tc>
        <w:tc>
          <w:tcPr>
            <w:tcW w:w="3262" w:type="dxa"/>
            <w:tcBorders>
              <w:top w:val="nil"/>
              <w:left w:val="nil"/>
              <w:bottom w:val="single" w:color="000000" w:sz="4" w:space="0"/>
              <w:right w:val="single" w:color="000000" w:sz="4" w:space="0"/>
            </w:tcBorders>
            <w:shd w:val="clear" w:color="auto" w:fill="auto"/>
            <w:vAlign w:val="bottom"/>
          </w:tcPr>
          <w:p>
            <w:pPr>
              <w:jc w:val="right"/>
              <w:rPr>
                <w:rFonts w:hint="default" w:eastAsia="宋体"/>
                <w:b/>
                <w:bCs/>
                <w:kern w:val="0"/>
                <w:sz w:val="20"/>
                <w:szCs w:val="20"/>
                <w:lang w:val="en-US" w:eastAsia="zh-CN"/>
              </w:rPr>
            </w:pPr>
            <w:r>
              <w:rPr>
                <w:rFonts w:hint="default" w:eastAsia="宋体"/>
                <w:b/>
                <w:bCs/>
                <w:kern w:val="0"/>
                <w:sz w:val="20"/>
                <w:szCs w:val="20"/>
                <w:lang w:val="en-US" w:eastAsia="zh-CN"/>
              </w:rPr>
              <w:fldChar w:fldCharType="begin"/>
            </w:r>
            <w:r>
              <w:rPr>
                <w:rFonts w:hint="default" w:eastAsia="宋体"/>
                <w:b/>
                <w:bCs/>
                <w:kern w:val="0"/>
                <w:sz w:val="20"/>
                <w:szCs w:val="20"/>
                <w:lang w:val="en-US" w:eastAsia="zh-CN"/>
              </w:rPr>
              <w:instrText xml:space="preserve"> = sum(C6:C9) \* MERGEFORMAT </w:instrText>
            </w:r>
            <w:r>
              <w:rPr>
                <w:rFonts w:hint="default" w:eastAsia="宋体"/>
                <w:b/>
                <w:bCs/>
                <w:kern w:val="0"/>
                <w:sz w:val="20"/>
                <w:szCs w:val="20"/>
                <w:lang w:val="en-US" w:eastAsia="zh-CN"/>
              </w:rPr>
              <w:fldChar w:fldCharType="separate"/>
            </w:r>
            <w:r>
              <w:rPr>
                <w:rFonts w:hint="default" w:eastAsia="宋体"/>
                <w:b/>
                <w:bCs/>
                <w:kern w:val="0"/>
                <w:sz w:val="20"/>
                <w:szCs w:val="20"/>
                <w:lang w:val="en-US" w:eastAsia="zh-CN"/>
              </w:rPr>
              <w:t>9</w:t>
            </w:r>
            <w:r>
              <w:rPr>
                <w:rFonts w:hint="eastAsia"/>
                <w:b/>
                <w:bCs/>
                <w:kern w:val="0"/>
                <w:sz w:val="20"/>
                <w:szCs w:val="20"/>
                <w:lang w:val="en-US" w:eastAsia="zh-CN"/>
              </w:rPr>
              <w:t>,</w:t>
            </w:r>
            <w:r>
              <w:rPr>
                <w:rFonts w:hint="default" w:eastAsia="宋体"/>
                <w:b/>
                <w:bCs/>
                <w:kern w:val="0"/>
                <w:sz w:val="20"/>
                <w:szCs w:val="20"/>
                <w:lang w:val="en-US" w:eastAsia="zh-CN"/>
              </w:rPr>
              <w:t>925</w:t>
            </w:r>
            <w:r>
              <w:rPr>
                <w:rFonts w:hint="eastAsia"/>
                <w:b/>
                <w:bCs/>
                <w:kern w:val="0"/>
                <w:sz w:val="20"/>
                <w:szCs w:val="20"/>
                <w:lang w:val="en-US" w:eastAsia="zh-CN"/>
              </w:rPr>
              <w:t>,</w:t>
            </w:r>
            <w:r>
              <w:rPr>
                <w:rFonts w:hint="default" w:eastAsia="宋体"/>
                <w:b/>
                <w:bCs/>
                <w:kern w:val="0"/>
                <w:sz w:val="20"/>
                <w:szCs w:val="20"/>
                <w:lang w:val="en-US" w:eastAsia="zh-CN"/>
              </w:rPr>
              <w:t>010.06</w:t>
            </w:r>
            <w:r>
              <w:rPr>
                <w:rFonts w:hint="default" w:eastAsia="宋体"/>
                <w:b/>
                <w:bCs/>
                <w:kern w:val="0"/>
                <w:sz w:val="20"/>
                <w:szCs w:val="20"/>
                <w:lang w:val="en-US" w:eastAsia="zh-CN"/>
              </w:rPr>
              <w:fldChar w:fldCharType="end"/>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提供捐赠或者资助支付的现金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8</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bookmarkStart w:id="4" w:name="OLE_LINK1" w:colFirst="2" w:colLast="2"/>
            <w:r>
              <w:rPr>
                <w:rFonts w:hint="eastAsia" w:ascii="宋体" w:hAnsi="宋体"/>
                <w:kern w:val="0"/>
                <w:sz w:val="20"/>
                <w:szCs w:val="20"/>
              </w:rPr>
              <w:t>支付给员工以及为员工支付的现金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9</w:t>
            </w:r>
          </w:p>
        </w:tc>
        <w:tc>
          <w:tcPr>
            <w:tcW w:w="3262" w:type="dxa"/>
            <w:tcBorders>
              <w:top w:val="nil"/>
              <w:left w:val="nil"/>
              <w:bottom w:val="single" w:color="000000" w:sz="4" w:space="0"/>
              <w:right w:val="single" w:color="000000" w:sz="4" w:space="0"/>
            </w:tcBorders>
            <w:shd w:val="clear" w:color="auto" w:fill="auto"/>
            <w:vAlign w:val="bottom"/>
          </w:tcPr>
          <w:p>
            <w:pPr>
              <w:widowControl/>
              <w:jc w:val="right"/>
              <w:textAlignment w:val="bottom"/>
              <w:rPr>
                <w:rFonts w:hint="default" w:eastAsia="宋体"/>
                <w:kern w:val="0"/>
                <w:sz w:val="20"/>
                <w:szCs w:val="20"/>
                <w:lang w:val="en-US" w:eastAsia="zh-CN"/>
              </w:rPr>
            </w:pPr>
            <w:r>
              <w:rPr>
                <w:rFonts w:hint="eastAsia"/>
                <w:kern w:val="0"/>
                <w:sz w:val="20"/>
                <w:szCs w:val="20"/>
                <w:lang w:val="en-US" w:eastAsia="zh-CN"/>
              </w:rPr>
              <w:t>7,039,129.35</w:t>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购买商品、接受服务支付的现金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10</w:t>
            </w:r>
          </w:p>
        </w:tc>
        <w:tc>
          <w:tcPr>
            <w:tcW w:w="3262" w:type="dxa"/>
            <w:tcBorders>
              <w:top w:val="nil"/>
              <w:left w:val="nil"/>
              <w:bottom w:val="single" w:color="000000" w:sz="4" w:space="0"/>
              <w:right w:val="single" w:color="000000" w:sz="4" w:space="0"/>
            </w:tcBorders>
            <w:shd w:val="clear" w:color="auto" w:fill="auto"/>
            <w:vAlign w:val="bottom"/>
          </w:tcPr>
          <w:p>
            <w:pPr>
              <w:widowControl/>
              <w:jc w:val="right"/>
              <w:textAlignment w:val="bottom"/>
              <w:rPr>
                <w:rFonts w:hint="default"/>
                <w:color w:val="000000"/>
                <w:kern w:val="0"/>
                <w:sz w:val="20"/>
                <w:szCs w:val="20"/>
                <w:lang w:val="en-US"/>
              </w:rPr>
            </w:pPr>
            <w:r>
              <w:rPr>
                <w:rFonts w:hint="eastAsia"/>
                <w:color w:val="000000"/>
                <w:kern w:val="0"/>
                <w:sz w:val="20"/>
                <w:szCs w:val="20"/>
                <w:lang w:val="en-US" w:eastAsia="zh-CN"/>
              </w:rPr>
              <w:t>1,423,933.52</w:t>
            </w:r>
          </w:p>
        </w:tc>
      </w:tr>
      <w:bookmarkEnd w:id="4"/>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支付的其他与服务活动有关的现金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11</w:t>
            </w:r>
          </w:p>
        </w:tc>
        <w:tc>
          <w:tcPr>
            <w:tcW w:w="3262" w:type="dxa"/>
            <w:tcBorders>
              <w:top w:val="nil"/>
              <w:left w:val="nil"/>
              <w:bottom w:val="single" w:color="000000" w:sz="4" w:space="0"/>
              <w:right w:val="single" w:color="000000" w:sz="4" w:space="0"/>
            </w:tcBorders>
            <w:shd w:val="clear" w:color="auto" w:fill="auto"/>
            <w:vAlign w:val="bottom"/>
          </w:tcPr>
          <w:p>
            <w:pPr>
              <w:widowControl/>
              <w:jc w:val="right"/>
              <w:textAlignment w:val="bottom"/>
              <w:rPr>
                <w:color w:val="000000"/>
                <w:kern w:val="0"/>
                <w:sz w:val="20"/>
                <w:szCs w:val="20"/>
              </w:rPr>
            </w:pPr>
            <w:r>
              <w:rPr>
                <w:rFonts w:hint="eastAsia"/>
                <w:color w:val="000000"/>
                <w:kern w:val="0"/>
                <w:sz w:val="20"/>
                <w:szCs w:val="20"/>
                <w:lang w:val="en-US" w:eastAsia="zh-CN"/>
              </w:rPr>
              <w:t>1,735,945.77</w:t>
            </w:r>
            <w:r>
              <w:rPr>
                <w:rFonts w:hint="eastAsia"/>
                <w:color w:val="000000"/>
                <w:kern w:val="0"/>
                <w:sz w:val="20"/>
                <w:szCs w:val="20"/>
              </w:rPr>
              <w:t xml:space="preserve"> </w:t>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现金流出小计</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12</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textAlignment w:val="bottom"/>
              <w:rPr>
                <w:rFonts w:hint="default" w:eastAsia="宋体"/>
                <w:b/>
                <w:color w:val="000000"/>
                <w:kern w:val="0"/>
                <w:sz w:val="20"/>
                <w:szCs w:val="20"/>
                <w:lang w:val="en-US" w:eastAsia="zh-CN"/>
              </w:rPr>
            </w:pPr>
            <w:r>
              <w:rPr>
                <w:rFonts w:hint="default" w:eastAsia="宋体"/>
                <w:b/>
                <w:color w:val="000000"/>
                <w:kern w:val="0"/>
                <w:sz w:val="20"/>
                <w:szCs w:val="20"/>
                <w:lang w:val="en-US" w:eastAsia="zh-CN"/>
              </w:rPr>
              <w:fldChar w:fldCharType="begin"/>
            </w:r>
            <w:r>
              <w:rPr>
                <w:rFonts w:hint="default" w:eastAsia="宋体"/>
                <w:b/>
                <w:color w:val="000000"/>
                <w:kern w:val="0"/>
                <w:sz w:val="20"/>
                <w:szCs w:val="20"/>
                <w:lang w:val="en-US" w:eastAsia="zh-CN"/>
              </w:rPr>
              <w:instrText xml:space="preserve"> = sum(C12:C14) \* MERGEFORMAT </w:instrText>
            </w:r>
            <w:r>
              <w:rPr>
                <w:rFonts w:hint="default" w:eastAsia="宋体"/>
                <w:b/>
                <w:color w:val="000000"/>
                <w:kern w:val="0"/>
                <w:sz w:val="20"/>
                <w:szCs w:val="20"/>
                <w:lang w:val="en-US" w:eastAsia="zh-CN"/>
              </w:rPr>
              <w:fldChar w:fldCharType="separate"/>
            </w:r>
            <w:r>
              <w:rPr>
                <w:rFonts w:hint="default" w:eastAsia="宋体"/>
                <w:b/>
                <w:color w:val="000000"/>
                <w:kern w:val="0"/>
                <w:sz w:val="20"/>
                <w:szCs w:val="20"/>
                <w:lang w:val="en-US" w:eastAsia="zh-CN"/>
              </w:rPr>
              <w:t>10</w:t>
            </w:r>
            <w:r>
              <w:rPr>
                <w:rFonts w:hint="eastAsia"/>
                <w:b/>
                <w:color w:val="000000"/>
                <w:kern w:val="0"/>
                <w:sz w:val="20"/>
                <w:szCs w:val="20"/>
                <w:lang w:val="en-US" w:eastAsia="zh-CN"/>
              </w:rPr>
              <w:t>,</w:t>
            </w:r>
            <w:r>
              <w:rPr>
                <w:rFonts w:hint="default" w:eastAsia="宋体"/>
                <w:b/>
                <w:color w:val="000000"/>
                <w:kern w:val="0"/>
                <w:sz w:val="20"/>
                <w:szCs w:val="20"/>
                <w:lang w:val="en-US" w:eastAsia="zh-CN"/>
              </w:rPr>
              <w:t>199</w:t>
            </w:r>
            <w:r>
              <w:rPr>
                <w:rFonts w:hint="eastAsia"/>
                <w:b/>
                <w:color w:val="000000"/>
                <w:kern w:val="0"/>
                <w:sz w:val="20"/>
                <w:szCs w:val="20"/>
                <w:lang w:val="en-US" w:eastAsia="zh-CN"/>
              </w:rPr>
              <w:t>,</w:t>
            </w:r>
            <w:r>
              <w:rPr>
                <w:rFonts w:hint="default" w:eastAsia="宋体"/>
                <w:b/>
                <w:color w:val="000000"/>
                <w:kern w:val="0"/>
                <w:sz w:val="20"/>
                <w:szCs w:val="20"/>
                <w:lang w:val="en-US" w:eastAsia="zh-CN"/>
              </w:rPr>
              <w:t>008.64</w:t>
            </w:r>
            <w:r>
              <w:rPr>
                <w:rFonts w:hint="default" w:eastAsia="宋体"/>
                <w:b/>
                <w:color w:val="000000"/>
                <w:kern w:val="0"/>
                <w:sz w:val="20"/>
                <w:szCs w:val="20"/>
                <w:lang w:val="en-US" w:eastAsia="zh-CN"/>
              </w:rPr>
              <w:fldChar w:fldCharType="end"/>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服务活动产生的现金流量净额</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13</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textAlignment w:val="bottom"/>
              <w:rPr>
                <w:rFonts w:hint="default" w:eastAsia="宋体"/>
                <w:b/>
                <w:color w:val="000000"/>
                <w:kern w:val="0"/>
                <w:sz w:val="20"/>
                <w:szCs w:val="20"/>
                <w:lang w:val="en-US" w:eastAsia="zh-CN"/>
              </w:rPr>
            </w:pPr>
            <w:r>
              <w:rPr>
                <w:rFonts w:hint="eastAsia"/>
                <w:b/>
                <w:color w:val="000000"/>
                <w:kern w:val="0"/>
                <w:sz w:val="20"/>
                <w:szCs w:val="20"/>
                <w:lang w:val="en-US" w:eastAsia="zh-CN"/>
              </w:rPr>
              <w:t>-273,998.58</w:t>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二、投资活动产生的现金流量：</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14</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收回投资所收到的现金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15</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取得投资收益所收到的现金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16</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处置固定资产和无形资产所收回的现金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17</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收到的其他与投资活动有关的现金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18</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现金流入小计</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19</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购置固定资产和无形资产所支付的现金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20</w:t>
            </w:r>
          </w:p>
        </w:tc>
        <w:tc>
          <w:tcPr>
            <w:tcW w:w="3262" w:type="dxa"/>
            <w:tcBorders>
              <w:top w:val="nil"/>
              <w:left w:val="nil"/>
              <w:bottom w:val="single" w:color="000000" w:sz="4" w:space="0"/>
              <w:right w:val="single" w:color="000000" w:sz="4" w:space="0"/>
            </w:tcBorders>
            <w:shd w:val="clear" w:color="auto" w:fill="auto"/>
            <w:vAlign w:val="bottom"/>
          </w:tcPr>
          <w:p>
            <w:pPr>
              <w:jc w:val="right"/>
              <w:rPr>
                <w:kern w:val="0"/>
                <w:sz w:val="20"/>
                <w:szCs w:val="20"/>
              </w:rPr>
            </w:pPr>
            <w:r>
              <w:rPr>
                <w:rFonts w:hint="eastAsia"/>
                <w:kern w:val="0"/>
                <w:sz w:val="20"/>
                <w:szCs w:val="20"/>
                <w:lang w:val="en-US" w:eastAsia="zh-CN"/>
              </w:rPr>
              <w:t>16,083.00</w:t>
            </w:r>
            <w:r>
              <w:rPr>
                <w:rFonts w:hint="default" w:eastAsia="宋体"/>
                <w:kern w:val="0"/>
                <w:sz w:val="20"/>
                <w:szCs w:val="20"/>
                <w:lang w:val="en-US" w:eastAsia="zh-CN"/>
              </w:rPr>
              <w:t xml:space="preserve"> </w:t>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对外投资所支付的现金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21</w:t>
            </w:r>
          </w:p>
        </w:tc>
        <w:tc>
          <w:tcPr>
            <w:tcW w:w="3262" w:type="dxa"/>
            <w:tcBorders>
              <w:top w:val="nil"/>
              <w:left w:val="nil"/>
              <w:bottom w:val="single" w:color="000000" w:sz="4" w:space="0"/>
              <w:right w:val="single" w:color="000000" w:sz="4" w:space="0"/>
            </w:tcBorders>
            <w:shd w:val="clear" w:color="auto" w:fill="auto"/>
            <w:vAlign w:val="bottom"/>
          </w:tcPr>
          <w:p>
            <w:pPr>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支付的其他与投资活动有关的现金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22</w:t>
            </w:r>
          </w:p>
        </w:tc>
        <w:tc>
          <w:tcPr>
            <w:tcW w:w="3262" w:type="dxa"/>
            <w:tcBorders>
              <w:top w:val="nil"/>
              <w:left w:val="nil"/>
              <w:bottom w:val="single" w:color="000000" w:sz="4" w:space="0"/>
              <w:right w:val="single" w:color="000000" w:sz="4" w:space="0"/>
            </w:tcBorders>
            <w:shd w:val="clear" w:color="auto" w:fill="auto"/>
            <w:vAlign w:val="bottom"/>
          </w:tcPr>
          <w:p>
            <w:pPr>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现金流出小计</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23</w:t>
            </w:r>
          </w:p>
        </w:tc>
        <w:tc>
          <w:tcPr>
            <w:tcW w:w="3262" w:type="dxa"/>
            <w:tcBorders>
              <w:top w:val="nil"/>
              <w:left w:val="nil"/>
              <w:bottom w:val="single" w:color="000000" w:sz="4" w:space="0"/>
              <w:right w:val="single" w:color="000000" w:sz="4" w:space="0"/>
            </w:tcBorders>
            <w:shd w:val="clear" w:color="auto" w:fill="auto"/>
            <w:vAlign w:val="bottom"/>
          </w:tcPr>
          <w:p>
            <w:pPr>
              <w:jc w:val="right"/>
              <w:rPr>
                <w:rFonts w:hint="default" w:eastAsia="宋体"/>
                <w:b/>
                <w:kern w:val="0"/>
                <w:sz w:val="20"/>
                <w:szCs w:val="20"/>
                <w:lang w:val="en-US" w:eastAsia="zh-CN"/>
              </w:rPr>
            </w:pPr>
            <w:r>
              <w:rPr>
                <w:rFonts w:hint="eastAsia"/>
                <w:b/>
                <w:kern w:val="0"/>
                <w:sz w:val="20"/>
                <w:szCs w:val="20"/>
                <w:lang w:val="en-US" w:eastAsia="zh-CN"/>
              </w:rPr>
              <w:t>16,083.00</w:t>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投资活动产生的现金流量净额</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24</w:t>
            </w:r>
          </w:p>
        </w:tc>
        <w:tc>
          <w:tcPr>
            <w:tcW w:w="3262" w:type="dxa"/>
            <w:tcBorders>
              <w:top w:val="nil"/>
              <w:left w:val="nil"/>
              <w:bottom w:val="single" w:color="000000" w:sz="4" w:space="0"/>
              <w:right w:val="single" w:color="000000" w:sz="4" w:space="0"/>
            </w:tcBorders>
            <w:shd w:val="clear" w:color="auto" w:fill="auto"/>
            <w:vAlign w:val="bottom"/>
          </w:tcPr>
          <w:p>
            <w:pPr>
              <w:jc w:val="right"/>
              <w:rPr>
                <w:b/>
                <w:kern w:val="0"/>
                <w:sz w:val="20"/>
                <w:szCs w:val="20"/>
              </w:rPr>
            </w:pPr>
            <w:r>
              <w:rPr>
                <w:rFonts w:hint="eastAsia"/>
                <w:b/>
                <w:kern w:val="0"/>
                <w:sz w:val="20"/>
                <w:szCs w:val="20"/>
                <w:lang w:val="en-US" w:eastAsia="zh-CN"/>
              </w:rPr>
              <w:t>-16,083.00</w:t>
            </w: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三、筹资活动产生的现金流量：</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25</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借款所收到的现金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26</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8"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收到的其他与筹资活动有关的现金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27</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现金流入小计</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28</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b/>
                <w:bCs/>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支付出资人回报的现金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54</w:t>
            </w:r>
          </w:p>
        </w:tc>
        <w:tc>
          <w:tcPr>
            <w:tcW w:w="3262" w:type="dxa"/>
            <w:tcBorders>
              <w:top w:val="nil"/>
              <w:left w:val="nil"/>
              <w:bottom w:val="single" w:color="000000" w:sz="4" w:space="0"/>
              <w:right w:val="single" w:color="000000" w:sz="4" w:space="0"/>
            </w:tcBorders>
            <w:shd w:val="clear" w:color="auto" w:fill="auto"/>
            <w:vAlign w:val="center"/>
          </w:tcPr>
          <w:p>
            <w:pPr>
              <w:widowControl/>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偿还借款所支付的现金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29</w:t>
            </w:r>
          </w:p>
        </w:tc>
        <w:tc>
          <w:tcPr>
            <w:tcW w:w="3262" w:type="dxa"/>
            <w:tcBorders>
              <w:top w:val="nil"/>
              <w:left w:val="nil"/>
              <w:bottom w:val="single" w:color="000000" w:sz="4" w:space="0"/>
              <w:right w:val="single" w:color="000000" w:sz="4" w:space="0"/>
            </w:tcBorders>
            <w:shd w:val="clear" w:color="auto" w:fill="auto"/>
            <w:vAlign w:val="bottom"/>
          </w:tcPr>
          <w:p>
            <w:pPr>
              <w:widowControl/>
              <w:jc w:val="right"/>
              <w:textAlignment w:val="bottom"/>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偿付利息所支付的现金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30</w:t>
            </w:r>
          </w:p>
        </w:tc>
        <w:tc>
          <w:tcPr>
            <w:tcW w:w="3262" w:type="dxa"/>
            <w:tcBorders>
              <w:top w:val="nil"/>
              <w:left w:val="nil"/>
              <w:bottom w:val="single" w:color="000000" w:sz="4" w:space="0"/>
              <w:right w:val="single" w:color="000000" w:sz="4" w:space="0"/>
            </w:tcBorders>
            <w:shd w:val="clear" w:color="auto" w:fill="auto"/>
            <w:vAlign w:val="bottom"/>
          </w:tcPr>
          <w:p>
            <w:pPr>
              <w:jc w:val="right"/>
              <w:rPr>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支付的其他与筹资活动有关的现金</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31</w:t>
            </w:r>
          </w:p>
        </w:tc>
        <w:tc>
          <w:tcPr>
            <w:tcW w:w="3262" w:type="dxa"/>
            <w:tcBorders>
              <w:top w:val="nil"/>
              <w:left w:val="nil"/>
              <w:bottom w:val="single" w:color="000000" w:sz="4" w:space="0"/>
              <w:right w:val="single" w:color="000000" w:sz="4" w:space="0"/>
            </w:tcBorders>
            <w:shd w:val="clear" w:color="auto" w:fill="auto"/>
            <w:vAlign w:val="bottom"/>
          </w:tcPr>
          <w:p>
            <w:pPr>
              <w:jc w:val="right"/>
              <w:rPr>
                <w:b/>
                <w:bCs/>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现金流出小计</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32</w:t>
            </w:r>
          </w:p>
        </w:tc>
        <w:tc>
          <w:tcPr>
            <w:tcW w:w="3262" w:type="dxa"/>
            <w:tcBorders>
              <w:top w:val="nil"/>
              <w:left w:val="nil"/>
              <w:bottom w:val="single" w:color="000000" w:sz="4" w:space="0"/>
              <w:right w:val="single" w:color="000000" w:sz="4" w:space="0"/>
            </w:tcBorders>
            <w:shd w:val="clear" w:color="auto" w:fill="auto"/>
            <w:vAlign w:val="bottom"/>
          </w:tcPr>
          <w:p>
            <w:pPr>
              <w:widowControl/>
              <w:jc w:val="center"/>
              <w:textAlignment w:val="bottom"/>
              <w:rPr>
                <w:b/>
                <w:bCs/>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筹资活动产生的现金流量净额</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33</w:t>
            </w:r>
          </w:p>
        </w:tc>
        <w:tc>
          <w:tcPr>
            <w:tcW w:w="3262" w:type="dxa"/>
            <w:tcBorders>
              <w:top w:val="nil"/>
              <w:left w:val="nil"/>
              <w:bottom w:val="single" w:color="000000" w:sz="4" w:space="0"/>
              <w:right w:val="single" w:color="000000" w:sz="4" w:space="0"/>
            </w:tcBorders>
            <w:shd w:val="clear" w:color="auto" w:fill="auto"/>
            <w:vAlign w:val="bottom"/>
          </w:tcPr>
          <w:p>
            <w:pPr>
              <w:widowControl/>
              <w:jc w:val="right"/>
              <w:textAlignment w:val="bottom"/>
              <w:rPr>
                <w:b/>
                <w:bCs/>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kern w:val="0"/>
                <w:sz w:val="20"/>
                <w:szCs w:val="20"/>
              </w:rPr>
            </w:pPr>
            <w:r>
              <w:rPr>
                <w:rFonts w:hint="eastAsia" w:ascii="宋体" w:hAnsi="宋体"/>
                <w:b/>
                <w:bCs/>
                <w:kern w:val="0"/>
                <w:sz w:val="20"/>
                <w:szCs w:val="20"/>
              </w:rPr>
              <w:t>四、汇率变动对现金的影响额</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34</w:t>
            </w:r>
          </w:p>
        </w:tc>
        <w:tc>
          <w:tcPr>
            <w:tcW w:w="3262" w:type="dxa"/>
            <w:tcBorders>
              <w:top w:val="nil"/>
              <w:left w:val="nil"/>
              <w:bottom w:val="single" w:color="000000" w:sz="4" w:space="0"/>
              <w:right w:val="single" w:color="000000" w:sz="4" w:space="0"/>
            </w:tcBorders>
            <w:shd w:val="clear" w:color="auto" w:fill="auto"/>
            <w:vAlign w:val="bottom"/>
          </w:tcPr>
          <w:p>
            <w:pPr>
              <w:jc w:val="right"/>
              <w:rPr>
                <w:b/>
                <w:bCs/>
                <w:kern w:val="0"/>
                <w:sz w:val="20"/>
                <w:szCs w:val="20"/>
              </w:rPr>
            </w:pPr>
          </w:p>
        </w:tc>
      </w:tr>
      <w:tr>
        <w:tblPrEx>
          <w:tblCellMar>
            <w:top w:w="0" w:type="dxa"/>
            <w:left w:w="108" w:type="dxa"/>
            <w:bottom w:w="0" w:type="dxa"/>
            <w:right w:w="108" w:type="dxa"/>
          </w:tblCellMar>
        </w:tblPrEx>
        <w:trPr>
          <w:trHeight w:val="285" w:hRule="atLeast"/>
          <w:jc w:val="center"/>
        </w:trPr>
        <w:tc>
          <w:tcPr>
            <w:tcW w:w="568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kern w:val="0"/>
                <w:sz w:val="20"/>
                <w:szCs w:val="20"/>
              </w:rPr>
            </w:pPr>
            <w:r>
              <w:rPr>
                <w:rFonts w:hint="eastAsia" w:ascii="宋体" w:hAnsi="宋体"/>
                <w:b/>
                <w:bCs/>
                <w:kern w:val="0"/>
                <w:sz w:val="20"/>
                <w:szCs w:val="20"/>
              </w:rPr>
              <w:t>五、现金及现金等价物净增加额</w:t>
            </w:r>
          </w:p>
        </w:tc>
        <w:tc>
          <w:tcPr>
            <w:tcW w:w="801" w:type="dxa"/>
            <w:tcBorders>
              <w:top w:val="nil"/>
              <w:left w:val="nil"/>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35</w:t>
            </w:r>
          </w:p>
        </w:tc>
        <w:tc>
          <w:tcPr>
            <w:tcW w:w="3262" w:type="dxa"/>
            <w:tcBorders>
              <w:top w:val="nil"/>
              <w:left w:val="nil"/>
              <w:bottom w:val="single" w:color="000000" w:sz="4" w:space="0"/>
              <w:right w:val="single" w:color="000000" w:sz="4" w:space="0"/>
            </w:tcBorders>
            <w:shd w:val="clear" w:color="auto" w:fill="auto"/>
            <w:vAlign w:val="bottom"/>
          </w:tcPr>
          <w:p>
            <w:pPr>
              <w:widowControl/>
              <w:jc w:val="right"/>
              <w:textAlignment w:val="bottom"/>
              <w:rPr>
                <w:rFonts w:hint="default" w:eastAsia="宋体"/>
                <w:b/>
                <w:bCs/>
                <w:kern w:val="0"/>
                <w:sz w:val="20"/>
                <w:szCs w:val="20"/>
                <w:lang w:val="en-US" w:eastAsia="zh-CN"/>
              </w:rPr>
            </w:pPr>
            <w:r>
              <w:rPr>
                <w:rFonts w:hint="eastAsia"/>
                <w:b/>
                <w:bCs/>
                <w:color w:val="000000"/>
                <w:kern w:val="0"/>
                <w:sz w:val="20"/>
                <w:szCs w:val="20"/>
                <w:lang w:val="en-US" w:eastAsia="zh-CN"/>
              </w:rPr>
              <w:t>-290,081.58</w:t>
            </w:r>
          </w:p>
        </w:tc>
      </w:tr>
      <w:tr>
        <w:tblPrEx>
          <w:tblCellMar>
            <w:top w:w="0" w:type="dxa"/>
            <w:left w:w="108" w:type="dxa"/>
            <w:bottom w:w="0" w:type="dxa"/>
            <w:right w:w="108" w:type="dxa"/>
          </w:tblCellMar>
        </w:tblPrEx>
        <w:trPr>
          <w:trHeight w:val="285" w:hRule="atLeast"/>
          <w:jc w:val="center"/>
        </w:trPr>
        <w:tc>
          <w:tcPr>
            <w:tcW w:w="5683" w:type="dxa"/>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单位负责人：</w:t>
            </w:r>
          </w:p>
        </w:tc>
        <w:tc>
          <w:tcPr>
            <w:tcW w:w="801" w:type="dxa"/>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制表：</w:t>
            </w:r>
          </w:p>
        </w:tc>
        <w:tc>
          <w:tcPr>
            <w:tcW w:w="3262" w:type="dxa"/>
            <w:tcBorders>
              <w:top w:val="nil"/>
              <w:left w:val="nil"/>
              <w:bottom w:val="nil"/>
              <w:right w:val="nil"/>
            </w:tcBorders>
            <w:shd w:val="clear" w:color="auto" w:fill="auto"/>
            <w:vAlign w:val="center"/>
          </w:tcPr>
          <w:p>
            <w:pPr>
              <w:widowControl/>
              <w:jc w:val="center"/>
              <w:rPr>
                <w:kern w:val="0"/>
                <w:sz w:val="20"/>
                <w:szCs w:val="20"/>
              </w:rPr>
            </w:pPr>
            <w:r>
              <w:rPr>
                <w:rFonts w:hint="eastAsia" w:ascii="宋体" w:hAnsi="宋体"/>
                <w:kern w:val="0"/>
                <w:sz w:val="20"/>
                <w:szCs w:val="20"/>
              </w:rPr>
              <w:t>主管</w:t>
            </w:r>
            <w:r>
              <w:rPr>
                <w:kern w:val="0"/>
                <w:sz w:val="20"/>
                <w:szCs w:val="20"/>
              </w:rPr>
              <w:t>/</w:t>
            </w:r>
            <w:r>
              <w:rPr>
                <w:rFonts w:hint="eastAsia" w:ascii="宋体" w:hAnsi="宋体"/>
                <w:kern w:val="0"/>
                <w:sz w:val="20"/>
                <w:szCs w:val="20"/>
              </w:rPr>
              <w:t>复核：</w:t>
            </w:r>
          </w:p>
        </w:tc>
      </w:tr>
    </w:tbl>
    <w:p>
      <w:pPr>
        <w:topLinePunct/>
        <w:spacing w:line="240" w:lineRule="exact"/>
        <w:jc w:val="center"/>
        <w:outlineLvl w:val="0"/>
        <w:rPr>
          <w:rFonts w:eastAsiaTheme="minorEastAsia"/>
          <w:b/>
          <w:color w:val="000000" w:themeColor="text1"/>
          <w:sz w:val="32"/>
          <w:szCs w:val="32"/>
          <w14:textFill>
            <w14:solidFill>
              <w14:schemeClr w14:val="tx1"/>
            </w14:solidFill>
          </w14:textFill>
        </w:rPr>
      </w:pPr>
    </w:p>
    <w:p>
      <w:pPr>
        <w:topLinePunct/>
        <w:spacing w:line="240" w:lineRule="exact"/>
        <w:jc w:val="center"/>
        <w:outlineLvl w:val="0"/>
        <w:rPr>
          <w:rFonts w:eastAsiaTheme="minorEastAsia"/>
          <w:b/>
          <w:color w:val="000000" w:themeColor="text1"/>
          <w:sz w:val="32"/>
          <w:szCs w:val="32"/>
          <w14:textFill>
            <w14:solidFill>
              <w14:schemeClr w14:val="tx1"/>
            </w14:solidFill>
          </w14:textFill>
        </w:rPr>
      </w:pPr>
    </w:p>
    <w:tbl>
      <w:tblPr>
        <w:tblStyle w:val="6"/>
        <w:tblW w:w="10133" w:type="dxa"/>
        <w:jc w:val="center"/>
        <w:tblLayout w:type="fixed"/>
        <w:tblCellMar>
          <w:top w:w="0" w:type="dxa"/>
          <w:left w:w="108" w:type="dxa"/>
          <w:bottom w:w="0" w:type="dxa"/>
          <w:right w:w="108" w:type="dxa"/>
        </w:tblCellMar>
      </w:tblPr>
      <w:tblGrid>
        <w:gridCol w:w="1957"/>
        <w:gridCol w:w="1309"/>
        <w:gridCol w:w="1000"/>
        <w:gridCol w:w="1282"/>
        <w:gridCol w:w="891"/>
        <w:gridCol w:w="1342"/>
        <w:gridCol w:w="1044"/>
        <w:gridCol w:w="1308"/>
      </w:tblGrid>
      <w:tr>
        <w:tblPrEx>
          <w:tblCellMar>
            <w:top w:w="0" w:type="dxa"/>
            <w:left w:w="108" w:type="dxa"/>
            <w:bottom w:w="0" w:type="dxa"/>
            <w:right w:w="108" w:type="dxa"/>
          </w:tblCellMar>
        </w:tblPrEx>
        <w:trPr>
          <w:trHeight w:val="464" w:hRule="atLeast"/>
          <w:jc w:val="center"/>
        </w:trPr>
        <w:tc>
          <w:tcPr>
            <w:tcW w:w="10133" w:type="dxa"/>
            <w:gridSpan w:val="8"/>
            <w:tcBorders>
              <w:top w:val="nil"/>
              <w:left w:val="nil"/>
              <w:bottom w:val="nil"/>
              <w:right w:val="nil"/>
            </w:tcBorders>
            <w:shd w:val="clear" w:color="auto" w:fill="auto"/>
            <w:vAlign w:val="center"/>
          </w:tcPr>
          <w:p>
            <w:pPr>
              <w:widowControl/>
              <w:spacing w:line="400" w:lineRule="exact"/>
              <w:jc w:val="center"/>
              <w:rPr>
                <w:b/>
                <w:bCs/>
                <w:kern w:val="0"/>
                <w:sz w:val="32"/>
                <w:szCs w:val="32"/>
              </w:rPr>
            </w:pPr>
            <w:r>
              <w:rPr>
                <w:rFonts w:hint="eastAsia" w:ascii="宋体" w:hAnsi="宋体"/>
                <w:b/>
                <w:bCs/>
                <w:kern w:val="0"/>
                <w:sz w:val="32"/>
                <w:szCs w:val="32"/>
              </w:rPr>
              <w:t>基本数字表</w:t>
            </w:r>
          </w:p>
        </w:tc>
      </w:tr>
      <w:tr>
        <w:tblPrEx>
          <w:tblCellMar>
            <w:top w:w="0" w:type="dxa"/>
            <w:left w:w="108" w:type="dxa"/>
            <w:bottom w:w="0" w:type="dxa"/>
            <w:right w:w="108" w:type="dxa"/>
          </w:tblCellMar>
        </w:tblPrEx>
        <w:trPr>
          <w:trHeight w:val="341" w:hRule="atLeast"/>
          <w:jc w:val="center"/>
        </w:trPr>
        <w:tc>
          <w:tcPr>
            <w:tcW w:w="7781" w:type="dxa"/>
            <w:gridSpan w:val="6"/>
            <w:tcBorders>
              <w:top w:val="nil"/>
              <w:left w:val="nil"/>
              <w:bottom w:val="single" w:color="000000" w:sz="4" w:space="0"/>
              <w:right w:val="nil"/>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编制单位：深圳市南山区元凤幼儿园</w:t>
            </w:r>
            <w:r>
              <w:rPr>
                <w:rFonts w:hint="eastAsia" w:ascii="宋体" w:hAnsi="宋体"/>
                <w:kern w:val="0"/>
                <w:sz w:val="20"/>
                <w:szCs w:val="20"/>
                <w:lang w:val="en-US" w:eastAsia="zh-CN"/>
              </w:rPr>
              <w:t xml:space="preserve">             </w:t>
            </w:r>
            <w:r>
              <w:rPr>
                <w:rFonts w:hint="eastAsia"/>
                <w:kern w:val="0"/>
                <w:sz w:val="20"/>
                <w:szCs w:val="20"/>
              </w:rPr>
              <w:t>202</w:t>
            </w:r>
            <w:r>
              <w:rPr>
                <w:rFonts w:hint="eastAsia"/>
                <w:kern w:val="0"/>
                <w:sz w:val="20"/>
                <w:szCs w:val="20"/>
                <w:lang w:val="en-US" w:eastAsia="zh-CN"/>
              </w:rPr>
              <w:t>4</w:t>
            </w:r>
            <w:r>
              <w:rPr>
                <w:rFonts w:hint="eastAsia"/>
                <w:kern w:val="0"/>
                <w:sz w:val="20"/>
                <w:szCs w:val="20"/>
              </w:rPr>
              <w:t>年</w:t>
            </w:r>
            <w:r>
              <w:rPr>
                <w:kern w:val="0"/>
                <w:sz w:val="20"/>
                <w:szCs w:val="20"/>
              </w:rPr>
              <w:t>12</w:t>
            </w:r>
            <w:r>
              <w:rPr>
                <w:rFonts w:hint="eastAsia" w:ascii="宋体" w:hAnsi="宋体"/>
                <w:kern w:val="0"/>
                <w:sz w:val="20"/>
                <w:szCs w:val="20"/>
              </w:rPr>
              <w:t>月</w:t>
            </w:r>
            <w:r>
              <w:rPr>
                <w:kern w:val="0"/>
                <w:sz w:val="20"/>
                <w:szCs w:val="20"/>
              </w:rPr>
              <w:t>31</w:t>
            </w:r>
            <w:r>
              <w:rPr>
                <w:rFonts w:hint="eastAsia" w:ascii="宋体" w:hAnsi="宋体"/>
                <w:kern w:val="0"/>
                <w:sz w:val="20"/>
                <w:szCs w:val="20"/>
              </w:rPr>
              <w:t>日</w:t>
            </w:r>
          </w:p>
        </w:tc>
        <w:tc>
          <w:tcPr>
            <w:tcW w:w="2352" w:type="dxa"/>
            <w:gridSpan w:val="2"/>
            <w:tcBorders>
              <w:top w:val="nil"/>
              <w:left w:val="nil"/>
              <w:bottom w:val="nil"/>
              <w:right w:val="nil"/>
            </w:tcBorders>
            <w:shd w:val="clear" w:color="auto" w:fill="auto"/>
            <w:vAlign w:val="center"/>
          </w:tcPr>
          <w:p>
            <w:pPr>
              <w:widowControl/>
              <w:spacing w:line="300" w:lineRule="exact"/>
              <w:jc w:val="right"/>
              <w:rPr>
                <w:kern w:val="0"/>
                <w:sz w:val="20"/>
                <w:szCs w:val="20"/>
              </w:rPr>
            </w:pPr>
            <w:r>
              <w:rPr>
                <w:rFonts w:hint="eastAsia" w:ascii="宋体" w:hAnsi="宋体"/>
                <w:kern w:val="0"/>
                <w:sz w:val="20"/>
                <w:szCs w:val="20"/>
              </w:rPr>
              <w:t>会民幼</w:t>
            </w:r>
            <w:r>
              <w:rPr>
                <w:kern w:val="0"/>
                <w:sz w:val="20"/>
                <w:szCs w:val="20"/>
              </w:rPr>
              <w:t>04</w:t>
            </w:r>
            <w:r>
              <w:rPr>
                <w:rFonts w:hint="eastAsia" w:ascii="宋体" w:hAnsi="宋体"/>
                <w:kern w:val="0"/>
                <w:sz w:val="20"/>
                <w:szCs w:val="20"/>
              </w:rPr>
              <w:t>表单位：元</w:t>
            </w:r>
          </w:p>
        </w:tc>
      </w:tr>
      <w:tr>
        <w:tblPrEx>
          <w:tblCellMar>
            <w:top w:w="0" w:type="dxa"/>
            <w:left w:w="108" w:type="dxa"/>
            <w:bottom w:w="0" w:type="dxa"/>
            <w:right w:w="108" w:type="dxa"/>
          </w:tblCellMar>
        </w:tblPrEx>
        <w:trPr>
          <w:trHeight w:val="341" w:hRule="atLeast"/>
          <w:jc w:val="center"/>
        </w:trPr>
        <w:tc>
          <w:tcPr>
            <w:tcW w:w="19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项目</w:t>
            </w:r>
          </w:p>
        </w:tc>
        <w:tc>
          <w:tcPr>
            <w:tcW w:w="13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计算单位</w:t>
            </w:r>
          </w:p>
        </w:tc>
        <w:tc>
          <w:tcPr>
            <w:tcW w:w="228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年初</w:t>
            </w:r>
          </w:p>
        </w:tc>
        <w:tc>
          <w:tcPr>
            <w:tcW w:w="223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年末</w:t>
            </w:r>
          </w:p>
        </w:tc>
        <w:tc>
          <w:tcPr>
            <w:tcW w:w="235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全年平均</w:t>
            </w:r>
          </w:p>
        </w:tc>
      </w:tr>
      <w:tr>
        <w:tblPrEx>
          <w:tblCellMar>
            <w:top w:w="0" w:type="dxa"/>
            <w:left w:w="108" w:type="dxa"/>
            <w:bottom w:w="0" w:type="dxa"/>
            <w:right w:w="108" w:type="dxa"/>
          </w:tblCellMar>
        </w:tblPrEx>
        <w:trPr>
          <w:trHeight w:val="341" w:hRule="atLeast"/>
          <w:jc w:val="center"/>
        </w:trPr>
        <w:tc>
          <w:tcPr>
            <w:tcW w:w="1957"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b/>
                <w:bCs/>
                <w:kern w:val="0"/>
                <w:sz w:val="20"/>
                <w:szCs w:val="20"/>
              </w:rPr>
            </w:pPr>
          </w:p>
        </w:tc>
        <w:tc>
          <w:tcPr>
            <w:tcW w:w="130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b/>
                <w:bCs/>
                <w:kern w:val="0"/>
                <w:sz w:val="20"/>
                <w:szCs w:val="20"/>
              </w:rPr>
            </w:pPr>
          </w:p>
        </w:tc>
        <w:tc>
          <w:tcPr>
            <w:tcW w:w="1000"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班数</w:t>
            </w:r>
          </w:p>
        </w:tc>
        <w:tc>
          <w:tcPr>
            <w:tcW w:w="128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人数</w:t>
            </w:r>
          </w:p>
        </w:tc>
        <w:tc>
          <w:tcPr>
            <w:tcW w:w="89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班数</w:t>
            </w:r>
          </w:p>
        </w:tc>
        <w:tc>
          <w:tcPr>
            <w:tcW w:w="134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人数</w:t>
            </w:r>
          </w:p>
        </w:tc>
        <w:tc>
          <w:tcPr>
            <w:tcW w:w="1044"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班数</w:t>
            </w:r>
          </w:p>
        </w:tc>
        <w:tc>
          <w:tcPr>
            <w:tcW w:w="1308"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人数</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b/>
                <w:bCs/>
                <w:kern w:val="0"/>
                <w:sz w:val="20"/>
                <w:szCs w:val="20"/>
              </w:rPr>
            </w:pPr>
            <w:r>
              <w:rPr>
                <w:rFonts w:hint="eastAsia" w:ascii="宋体" w:hAnsi="宋体"/>
                <w:b/>
                <w:bCs/>
                <w:kern w:val="0"/>
                <w:sz w:val="20"/>
                <w:szCs w:val="20"/>
              </w:rPr>
              <w:t>一、在园儿童</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kern w:val="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18</w:t>
            </w:r>
            <w:r>
              <w:rPr>
                <w:color w:val="000000"/>
                <w:kern w:val="0"/>
                <w:sz w:val="20"/>
                <w:szCs w:val="20"/>
              </w:rPr>
              <w:t>.00</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424</w:t>
            </w:r>
            <w:r>
              <w:rPr>
                <w:color w:val="000000"/>
                <w:kern w:val="0"/>
                <w:sz w:val="20"/>
                <w:szCs w:val="20"/>
              </w:rPr>
              <w:t>.00</w:t>
            </w:r>
          </w:p>
        </w:tc>
        <w:tc>
          <w:tcPr>
            <w:tcW w:w="891"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12</w:t>
            </w:r>
            <w:r>
              <w:rPr>
                <w:color w:val="000000"/>
                <w:kern w:val="0"/>
                <w:sz w:val="20"/>
                <w:szCs w:val="20"/>
              </w:rPr>
              <w:t>.00</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279</w:t>
            </w:r>
            <w:r>
              <w:rPr>
                <w:color w:val="000000"/>
                <w:kern w:val="0"/>
                <w:sz w:val="20"/>
                <w:szCs w:val="20"/>
              </w:rPr>
              <w:t>.00</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15.0</w:t>
            </w:r>
            <w:r>
              <w:rPr>
                <w:color w:val="000000"/>
                <w:kern w:val="0"/>
                <w:sz w:val="20"/>
                <w:szCs w:val="20"/>
              </w:rPr>
              <w:t>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351.50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大班</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kern w:val="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eastAsia="宋体"/>
                <w:kern w:val="0"/>
                <w:sz w:val="20"/>
                <w:szCs w:val="20"/>
                <w:lang w:eastAsia="zh-CN"/>
              </w:rPr>
            </w:pPr>
            <w:r>
              <w:rPr>
                <w:rFonts w:hint="eastAsia"/>
                <w:color w:val="000000"/>
                <w:kern w:val="0"/>
                <w:sz w:val="20"/>
                <w:szCs w:val="20"/>
                <w:lang w:val="en-US" w:eastAsia="zh-CN"/>
              </w:rPr>
              <w:t>7</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169</w:t>
            </w:r>
          </w:p>
        </w:tc>
        <w:tc>
          <w:tcPr>
            <w:tcW w:w="89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eastAsia="宋体"/>
                <w:kern w:val="0"/>
                <w:sz w:val="20"/>
                <w:szCs w:val="20"/>
                <w:lang w:eastAsia="zh-CN"/>
              </w:rPr>
            </w:pPr>
            <w:r>
              <w:rPr>
                <w:rFonts w:hint="eastAsia"/>
                <w:color w:val="000000"/>
                <w:kern w:val="0"/>
                <w:sz w:val="20"/>
                <w:szCs w:val="20"/>
                <w:lang w:val="en-US" w:eastAsia="zh-CN"/>
              </w:rPr>
              <w:t>4</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137</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kern w:val="0"/>
                <w:sz w:val="20"/>
                <w:szCs w:val="20"/>
                <w:lang w:val="en-US" w:eastAsia="zh-CN"/>
              </w:rPr>
              <w:t>5.50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153</w:t>
            </w:r>
            <w:r>
              <w:rPr>
                <w:color w:val="000000"/>
                <w:kern w:val="0"/>
                <w:sz w:val="20"/>
                <w:szCs w:val="20"/>
              </w:rPr>
              <w:t>.00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中班</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kern w:val="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eastAsia="宋体"/>
                <w:kern w:val="0"/>
                <w:sz w:val="20"/>
                <w:szCs w:val="20"/>
                <w:lang w:eastAsia="zh-CN"/>
              </w:rPr>
            </w:pPr>
            <w:r>
              <w:rPr>
                <w:rFonts w:hint="eastAsia"/>
                <w:color w:val="000000"/>
                <w:kern w:val="0"/>
                <w:sz w:val="20"/>
                <w:szCs w:val="20"/>
                <w:lang w:val="en-US" w:eastAsia="zh-CN"/>
              </w:rPr>
              <w:t>5</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132</w:t>
            </w:r>
          </w:p>
        </w:tc>
        <w:tc>
          <w:tcPr>
            <w:tcW w:w="89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eastAsia="宋体"/>
                <w:kern w:val="0"/>
                <w:sz w:val="20"/>
                <w:szCs w:val="20"/>
                <w:lang w:eastAsia="zh-CN"/>
              </w:rPr>
            </w:pPr>
            <w:r>
              <w:rPr>
                <w:rFonts w:hint="eastAsia"/>
                <w:color w:val="000000"/>
                <w:kern w:val="0"/>
                <w:sz w:val="20"/>
                <w:szCs w:val="20"/>
                <w:lang w:val="en-US" w:eastAsia="zh-CN"/>
              </w:rPr>
              <w:t>4</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82</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4</w:t>
            </w:r>
            <w:r>
              <w:rPr>
                <w:color w:val="000000"/>
                <w:kern w:val="0"/>
                <w:sz w:val="20"/>
                <w:szCs w:val="20"/>
              </w:rPr>
              <w:t>.50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107.0</w:t>
            </w:r>
            <w:r>
              <w:rPr>
                <w:color w:val="000000"/>
                <w:kern w:val="0"/>
                <w:sz w:val="20"/>
                <w:szCs w:val="20"/>
              </w:rPr>
              <w:t>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小班</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kern w:val="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eastAsia="宋体"/>
                <w:kern w:val="0"/>
                <w:sz w:val="20"/>
                <w:szCs w:val="20"/>
                <w:lang w:eastAsia="zh-CN"/>
              </w:rPr>
            </w:pPr>
            <w:r>
              <w:rPr>
                <w:rFonts w:hint="eastAsia"/>
                <w:color w:val="000000"/>
                <w:kern w:val="0"/>
                <w:sz w:val="20"/>
                <w:szCs w:val="20"/>
                <w:lang w:val="en-US" w:eastAsia="zh-CN"/>
              </w:rPr>
              <w:t>4</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109</w:t>
            </w:r>
          </w:p>
        </w:tc>
        <w:tc>
          <w:tcPr>
            <w:tcW w:w="89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eastAsia="宋体"/>
                <w:kern w:val="0"/>
                <w:sz w:val="20"/>
                <w:szCs w:val="20"/>
                <w:lang w:eastAsia="zh-CN"/>
              </w:rPr>
            </w:pPr>
            <w:r>
              <w:rPr>
                <w:rFonts w:hint="eastAsia"/>
                <w:color w:val="000000"/>
                <w:kern w:val="0"/>
                <w:sz w:val="20"/>
                <w:szCs w:val="20"/>
                <w:lang w:val="en-US" w:eastAsia="zh-CN"/>
              </w:rPr>
              <w:t>2</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40</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3.00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74.5</w:t>
            </w:r>
            <w:r>
              <w:rPr>
                <w:color w:val="000000"/>
                <w:kern w:val="0"/>
                <w:sz w:val="20"/>
                <w:szCs w:val="20"/>
              </w:rPr>
              <w:t>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小小班</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kern w:val="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eastAsia="宋体"/>
                <w:kern w:val="0"/>
                <w:sz w:val="20"/>
                <w:szCs w:val="20"/>
                <w:lang w:val="en-US" w:eastAsia="zh-CN"/>
              </w:rPr>
            </w:pPr>
            <w:r>
              <w:rPr>
                <w:rFonts w:hint="eastAsia"/>
                <w:kern w:val="0"/>
                <w:sz w:val="20"/>
                <w:szCs w:val="20"/>
                <w:lang w:val="en-US" w:eastAsia="zh-CN"/>
              </w:rPr>
              <w:t>2</w:t>
            </w:r>
          </w:p>
        </w:tc>
        <w:tc>
          <w:tcPr>
            <w:tcW w:w="1282" w:type="dxa"/>
            <w:tcBorders>
              <w:top w:val="nil"/>
              <w:left w:val="nil"/>
              <w:bottom w:val="single" w:color="000000" w:sz="4" w:space="0"/>
              <w:right w:val="single" w:color="000000" w:sz="4" w:space="0"/>
            </w:tcBorders>
            <w:shd w:val="clear" w:color="auto" w:fill="auto"/>
            <w:vAlign w:val="center"/>
          </w:tcPr>
          <w:p>
            <w:pPr>
              <w:jc w:val="right"/>
              <w:rPr>
                <w:rFonts w:hint="default" w:eastAsia="宋体"/>
                <w:kern w:val="0"/>
                <w:sz w:val="20"/>
                <w:szCs w:val="20"/>
                <w:lang w:val="en-US" w:eastAsia="zh-CN"/>
              </w:rPr>
            </w:pPr>
            <w:r>
              <w:rPr>
                <w:rFonts w:hint="eastAsia"/>
                <w:kern w:val="0"/>
                <w:sz w:val="20"/>
                <w:szCs w:val="20"/>
                <w:lang w:val="en-US" w:eastAsia="zh-CN"/>
              </w:rPr>
              <w:t>14</w:t>
            </w:r>
          </w:p>
        </w:tc>
        <w:tc>
          <w:tcPr>
            <w:tcW w:w="891"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2</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20</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2</w:t>
            </w:r>
            <w:r>
              <w:rPr>
                <w:color w:val="000000"/>
                <w:kern w:val="0"/>
                <w:sz w:val="20"/>
                <w:szCs w:val="20"/>
              </w:rPr>
              <w:t>.00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w:t>
            </w:r>
            <w:r>
              <w:rPr>
                <w:color w:val="000000"/>
                <w:kern w:val="0"/>
                <w:sz w:val="20"/>
                <w:szCs w:val="20"/>
              </w:rPr>
              <w:t>7.00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b/>
                <w:bCs/>
                <w:kern w:val="0"/>
                <w:sz w:val="20"/>
                <w:szCs w:val="20"/>
              </w:rPr>
            </w:pPr>
            <w:r>
              <w:rPr>
                <w:rFonts w:hint="eastAsia" w:ascii="宋体" w:hAnsi="宋体"/>
                <w:b/>
                <w:bCs/>
                <w:kern w:val="0"/>
                <w:sz w:val="20"/>
                <w:szCs w:val="20"/>
              </w:rPr>
              <w:t>二、就餐</w:t>
            </w:r>
            <w:r>
              <w:rPr>
                <w:b/>
                <w:bCs/>
                <w:kern w:val="0"/>
                <w:sz w:val="20"/>
                <w:szCs w:val="20"/>
              </w:rPr>
              <w:t>\</w:t>
            </w:r>
            <w:r>
              <w:rPr>
                <w:rFonts w:hint="eastAsia" w:ascii="宋体" w:hAnsi="宋体"/>
                <w:b/>
                <w:bCs/>
                <w:kern w:val="0"/>
                <w:sz w:val="20"/>
                <w:szCs w:val="20"/>
              </w:rPr>
              <w:t>接送生</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人</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08"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就餐生</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人</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接送生</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人</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项目</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计算单位</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合计</w:t>
            </w:r>
          </w:p>
        </w:tc>
        <w:tc>
          <w:tcPr>
            <w:tcW w:w="12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其中编内</w:t>
            </w:r>
          </w:p>
        </w:tc>
        <w:tc>
          <w:tcPr>
            <w:tcW w:w="891"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合计</w:t>
            </w:r>
          </w:p>
        </w:tc>
        <w:tc>
          <w:tcPr>
            <w:tcW w:w="1342"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其中编内</w:t>
            </w:r>
          </w:p>
        </w:tc>
        <w:tc>
          <w:tcPr>
            <w:tcW w:w="1044"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合计</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其中编内</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b/>
                <w:bCs/>
                <w:kern w:val="0"/>
                <w:sz w:val="20"/>
                <w:szCs w:val="20"/>
              </w:rPr>
            </w:pPr>
            <w:r>
              <w:rPr>
                <w:rFonts w:hint="eastAsia" w:ascii="宋体" w:hAnsi="宋体"/>
                <w:b/>
                <w:bCs/>
                <w:kern w:val="0"/>
                <w:sz w:val="20"/>
                <w:szCs w:val="20"/>
              </w:rPr>
              <w:t>三、教职工</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人</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80</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kern w:val="0"/>
                <w:sz w:val="20"/>
                <w:szCs w:val="20"/>
                <w:lang w:val="en-US" w:eastAsia="zh-CN"/>
              </w:rPr>
              <w:t>62</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71</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管理人员</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人</w:t>
            </w:r>
          </w:p>
        </w:tc>
        <w:tc>
          <w:tcPr>
            <w:tcW w:w="1000" w:type="dxa"/>
            <w:tcBorders>
              <w:top w:val="nil"/>
              <w:left w:val="nil"/>
              <w:bottom w:val="single" w:color="000000" w:sz="4" w:space="0"/>
              <w:right w:val="single" w:color="000000" w:sz="4" w:space="0"/>
            </w:tcBorders>
            <w:shd w:val="clear" w:color="auto" w:fill="auto"/>
            <w:vAlign w:val="center"/>
          </w:tcPr>
          <w:p>
            <w:pPr>
              <w:jc w:val="right"/>
              <w:rPr>
                <w:rFonts w:hint="default" w:eastAsia="宋体"/>
                <w:kern w:val="0"/>
                <w:sz w:val="20"/>
                <w:szCs w:val="20"/>
                <w:lang w:val="en-US" w:eastAsia="zh-CN"/>
              </w:rPr>
            </w:pPr>
            <w:r>
              <w:rPr>
                <w:rFonts w:hint="eastAsia"/>
                <w:kern w:val="0"/>
                <w:sz w:val="20"/>
                <w:szCs w:val="20"/>
                <w:lang w:val="en-US" w:eastAsia="zh-CN"/>
              </w:rPr>
              <w:t>9</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jc w:val="right"/>
              <w:rPr>
                <w:rFonts w:hint="eastAsia" w:eastAsia="宋体"/>
                <w:kern w:val="0"/>
                <w:sz w:val="20"/>
                <w:szCs w:val="20"/>
                <w:lang w:val="en-US" w:eastAsia="zh-CN"/>
              </w:rPr>
            </w:pPr>
            <w:r>
              <w:rPr>
                <w:rFonts w:hint="eastAsia"/>
                <w:kern w:val="0"/>
                <w:sz w:val="20"/>
                <w:szCs w:val="20"/>
                <w:lang w:val="en-US" w:eastAsia="zh-CN"/>
              </w:rPr>
              <w:t>9</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9.0</w:t>
            </w:r>
            <w:r>
              <w:rPr>
                <w:color w:val="000000"/>
                <w:kern w:val="0"/>
                <w:sz w:val="20"/>
                <w:szCs w:val="20"/>
              </w:rPr>
              <w:t>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专任教师</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人</w:t>
            </w:r>
          </w:p>
        </w:tc>
        <w:tc>
          <w:tcPr>
            <w:tcW w:w="1000" w:type="dxa"/>
            <w:tcBorders>
              <w:top w:val="nil"/>
              <w:left w:val="nil"/>
              <w:bottom w:val="single" w:color="000000" w:sz="4" w:space="0"/>
              <w:right w:val="single" w:color="000000" w:sz="4" w:space="0"/>
            </w:tcBorders>
            <w:shd w:val="clear" w:color="auto" w:fill="auto"/>
            <w:vAlign w:val="center"/>
          </w:tcPr>
          <w:p>
            <w:pPr>
              <w:jc w:val="right"/>
              <w:rPr>
                <w:rFonts w:hint="default" w:eastAsia="宋体"/>
                <w:kern w:val="0"/>
                <w:sz w:val="20"/>
                <w:szCs w:val="20"/>
                <w:lang w:val="en-US" w:eastAsia="zh-CN"/>
              </w:rPr>
            </w:pPr>
            <w:r>
              <w:rPr>
                <w:rFonts w:hint="eastAsia"/>
                <w:kern w:val="0"/>
                <w:sz w:val="20"/>
                <w:szCs w:val="20"/>
                <w:lang w:val="en-US" w:eastAsia="zh-CN"/>
              </w:rPr>
              <w:t>35</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jc w:val="right"/>
              <w:rPr>
                <w:rFonts w:hint="default" w:eastAsia="宋体"/>
                <w:kern w:val="0"/>
                <w:sz w:val="20"/>
                <w:szCs w:val="20"/>
                <w:lang w:val="en-US" w:eastAsia="zh-CN"/>
              </w:rPr>
            </w:pPr>
            <w:r>
              <w:rPr>
                <w:rFonts w:hint="eastAsia"/>
                <w:kern w:val="0"/>
                <w:sz w:val="20"/>
                <w:szCs w:val="20"/>
                <w:lang w:val="en-US" w:eastAsia="zh-CN"/>
              </w:rPr>
              <w:t>26</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30</w:t>
            </w:r>
            <w:r>
              <w:rPr>
                <w:color w:val="000000"/>
                <w:kern w:val="0"/>
                <w:sz w:val="20"/>
                <w:szCs w:val="20"/>
              </w:rPr>
              <w:t>.50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保育员</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人</w:t>
            </w:r>
          </w:p>
        </w:tc>
        <w:tc>
          <w:tcPr>
            <w:tcW w:w="1000" w:type="dxa"/>
            <w:tcBorders>
              <w:top w:val="nil"/>
              <w:left w:val="nil"/>
              <w:bottom w:val="single" w:color="000000" w:sz="4" w:space="0"/>
              <w:right w:val="single" w:color="000000" w:sz="4" w:space="0"/>
            </w:tcBorders>
            <w:shd w:val="clear" w:color="auto" w:fill="auto"/>
            <w:vAlign w:val="center"/>
          </w:tcPr>
          <w:p>
            <w:pPr>
              <w:jc w:val="right"/>
              <w:rPr>
                <w:rFonts w:hint="default" w:eastAsia="宋体"/>
                <w:kern w:val="0"/>
                <w:sz w:val="20"/>
                <w:szCs w:val="20"/>
                <w:lang w:val="en-US" w:eastAsia="zh-CN"/>
              </w:rPr>
            </w:pPr>
            <w:r>
              <w:rPr>
                <w:rFonts w:hint="eastAsia"/>
                <w:kern w:val="0"/>
                <w:sz w:val="20"/>
                <w:szCs w:val="20"/>
                <w:lang w:val="en-US" w:eastAsia="zh-CN"/>
              </w:rPr>
              <w:t>19</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jc w:val="right"/>
              <w:rPr>
                <w:rFonts w:hint="default" w:eastAsia="宋体"/>
                <w:kern w:val="0"/>
                <w:sz w:val="20"/>
                <w:szCs w:val="20"/>
                <w:lang w:val="en-US" w:eastAsia="zh-CN"/>
              </w:rPr>
            </w:pPr>
            <w:r>
              <w:rPr>
                <w:rFonts w:hint="eastAsia"/>
                <w:kern w:val="0"/>
                <w:sz w:val="20"/>
                <w:szCs w:val="20"/>
                <w:lang w:val="en-US" w:eastAsia="zh-CN"/>
              </w:rPr>
              <w:t>12</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15</w:t>
            </w:r>
            <w:r>
              <w:rPr>
                <w:color w:val="000000"/>
                <w:kern w:val="0"/>
                <w:sz w:val="20"/>
                <w:szCs w:val="20"/>
              </w:rPr>
              <w:t>.50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保健人员</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人</w:t>
            </w: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eastAsia="宋体"/>
                <w:kern w:val="0"/>
                <w:sz w:val="20"/>
                <w:szCs w:val="20"/>
                <w:lang w:val="en-US" w:eastAsia="zh-CN"/>
              </w:rPr>
            </w:pPr>
            <w:r>
              <w:rPr>
                <w:rFonts w:hint="eastAsia"/>
                <w:kern w:val="0"/>
                <w:sz w:val="20"/>
                <w:szCs w:val="20"/>
                <w:lang w:val="en-US" w:eastAsia="zh-CN"/>
              </w:rPr>
              <w:t>3</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jc w:val="right"/>
              <w:rPr>
                <w:rFonts w:hint="eastAsia" w:eastAsia="宋体"/>
                <w:kern w:val="0"/>
                <w:sz w:val="20"/>
                <w:szCs w:val="20"/>
                <w:lang w:val="en-US" w:eastAsia="zh-CN"/>
              </w:rPr>
            </w:pPr>
            <w:r>
              <w:rPr>
                <w:rFonts w:hint="eastAsia"/>
                <w:kern w:val="0"/>
                <w:sz w:val="20"/>
                <w:szCs w:val="20"/>
                <w:lang w:val="en-US" w:eastAsia="zh-CN"/>
              </w:rPr>
              <w:t>2</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2</w:t>
            </w:r>
            <w:r>
              <w:rPr>
                <w:color w:val="000000"/>
                <w:kern w:val="0"/>
                <w:sz w:val="20"/>
                <w:szCs w:val="20"/>
              </w:rPr>
              <w:t>.50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膳食服务人员</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人</w:t>
            </w: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eastAsia="宋体"/>
                <w:kern w:val="0"/>
                <w:sz w:val="20"/>
                <w:szCs w:val="20"/>
                <w:lang w:val="en-US" w:eastAsia="zh-CN"/>
              </w:rPr>
            </w:pPr>
            <w:r>
              <w:rPr>
                <w:rFonts w:hint="eastAsia"/>
                <w:kern w:val="0"/>
                <w:sz w:val="20"/>
                <w:szCs w:val="20"/>
                <w:lang w:val="en-US" w:eastAsia="zh-CN"/>
              </w:rPr>
              <w:t>6</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jc w:val="right"/>
              <w:rPr>
                <w:rFonts w:hint="eastAsia" w:eastAsia="宋体"/>
                <w:kern w:val="0"/>
                <w:sz w:val="20"/>
                <w:szCs w:val="20"/>
                <w:lang w:val="en-US" w:eastAsia="zh-CN"/>
              </w:rPr>
            </w:pPr>
            <w:r>
              <w:rPr>
                <w:rFonts w:hint="eastAsia"/>
                <w:kern w:val="0"/>
                <w:sz w:val="20"/>
                <w:szCs w:val="20"/>
                <w:lang w:val="en-US" w:eastAsia="zh-CN"/>
              </w:rPr>
              <w:t>5</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5</w:t>
            </w:r>
            <w:r>
              <w:rPr>
                <w:color w:val="000000"/>
                <w:kern w:val="0"/>
                <w:sz w:val="20"/>
                <w:szCs w:val="20"/>
              </w:rPr>
              <w:t>.50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校车服务人员</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人</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其他工勤人员</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人</w:t>
            </w:r>
          </w:p>
        </w:tc>
        <w:tc>
          <w:tcPr>
            <w:tcW w:w="1000" w:type="dxa"/>
            <w:tcBorders>
              <w:top w:val="nil"/>
              <w:left w:val="nil"/>
              <w:bottom w:val="single" w:color="000000" w:sz="4" w:space="0"/>
              <w:right w:val="single" w:color="000000" w:sz="4" w:space="0"/>
            </w:tcBorders>
            <w:shd w:val="clear" w:color="auto" w:fill="auto"/>
            <w:vAlign w:val="center"/>
          </w:tcPr>
          <w:p>
            <w:pPr>
              <w:jc w:val="right"/>
              <w:rPr>
                <w:rFonts w:hint="eastAsia" w:eastAsia="宋体"/>
                <w:kern w:val="0"/>
                <w:sz w:val="20"/>
                <w:szCs w:val="20"/>
                <w:lang w:val="en-US" w:eastAsia="zh-CN"/>
              </w:rPr>
            </w:pPr>
            <w:r>
              <w:rPr>
                <w:rFonts w:hint="eastAsia"/>
                <w:kern w:val="0"/>
                <w:sz w:val="20"/>
                <w:szCs w:val="20"/>
                <w:lang w:val="en-US" w:eastAsia="zh-CN"/>
              </w:rPr>
              <w:t>8</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jc w:val="right"/>
              <w:rPr>
                <w:rFonts w:hint="eastAsia" w:eastAsia="宋体"/>
                <w:kern w:val="0"/>
                <w:sz w:val="20"/>
                <w:szCs w:val="20"/>
                <w:lang w:val="en-US" w:eastAsia="zh-CN"/>
              </w:rPr>
            </w:pPr>
            <w:r>
              <w:rPr>
                <w:rFonts w:hint="eastAsia"/>
                <w:kern w:val="0"/>
                <w:sz w:val="20"/>
                <w:szCs w:val="20"/>
                <w:lang w:val="en-US" w:eastAsia="zh-CN"/>
              </w:rPr>
              <w:t>8</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8.0</w:t>
            </w:r>
            <w:r>
              <w:rPr>
                <w:color w:val="000000"/>
                <w:kern w:val="0"/>
                <w:sz w:val="20"/>
                <w:szCs w:val="20"/>
              </w:rPr>
              <w:t>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项目</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计算单位</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合计</w:t>
            </w:r>
          </w:p>
        </w:tc>
        <w:tc>
          <w:tcPr>
            <w:tcW w:w="12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生均</w:t>
            </w:r>
          </w:p>
        </w:tc>
        <w:tc>
          <w:tcPr>
            <w:tcW w:w="891"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合计</w:t>
            </w:r>
          </w:p>
        </w:tc>
        <w:tc>
          <w:tcPr>
            <w:tcW w:w="1342"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生均</w:t>
            </w:r>
          </w:p>
        </w:tc>
        <w:tc>
          <w:tcPr>
            <w:tcW w:w="1044"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合计</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生均</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b/>
                <w:bCs/>
                <w:kern w:val="0"/>
                <w:sz w:val="20"/>
                <w:szCs w:val="20"/>
              </w:rPr>
            </w:pPr>
            <w:r>
              <w:rPr>
                <w:rFonts w:hint="eastAsia" w:ascii="宋体" w:hAnsi="宋体"/>
                <w:b/>
                <w:bCs/>
                <w:kern w:val="0"/>
                <w:sz w:val="20"/>
                <w:szCs w:val="20"/>
              </w:rPr>
              <w:t>四、园舍</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b/>
                <w:bCs/>
                <w:kern w:val="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jc w:val="right"/>
              <w:rPr>
                <w:b/>
                <w:bCs/>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jc w:val="right"/>
              <w:rPr>
                <w:b/>
                <w:bCs/>
                <w:kern w:val="0"/>
                <w:sz w:val="20"/>
                <w:szCs w:val="20"/>
              </w:rPr>
            </w:pPr>
          </w:p>
        </w:tc>
        <w:tc>
          <w:tcPr>
            <w:tcW w:w="891" w:type="dxa"/>
            <w:tcBorders>
              <w:top w:val="nil"/>
              <w:left w:val="nil"/>
              <w:bottom w:val="single" w:color="000000" w:sz="4" w:space="0"/>
              <w:right w:val="single" w:color="000000" w:sz="4" w:space="0"/>
            </w:tcBorders>
            <w:shd w:val="clear" w:color="auto" w:fill="auto"/>
            <w:vAlign w:val="center"/>
          </w:tcPr>
          <w:p>
            <w:pPr>
              <w:jc w:val="right"/>
              <w:rPr>
                <w:b/>
                <w:bCs/>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jc w:val="right"/>
              <w:rPr>
                <w:b/>
                <w:bCs/>
                <w:kern w:val="0"/>
                <w:sz w:val="20"/>
                <w:szCs w:val="20"/>
              </w:rPr>
            </w:pPr>
          </w:p>
        </w:tc>
        <w:tc>
          <w:tcPr>
            <w:tcW w:w="1044" w:type="dxa"/>
            <w:tcBorders>
              <w:top w:val="nil"/>
              <w:left w:val="nil"/>
              <w:bottom w:val="single" w:color="000000" w:sz="4" w:space="0"/>
              <w:right w:val="single" w:color="000000" w:sz="4" w:space="0"/>
            </w:tcBorders>
            <w:shd w:val="clear" w:color="auto" w:fill="auto"/>
            <w:vAlign w:val="center"/>
          </w:tcPr>
          <w:p>
            <w:pPr>
              <w:jc w:val="right"/>
              <w:rPr>
                <w:b/>
                <w:bCs/>
                <w:kern w:val="0"/>
                <w:sz w:val="20"/>
                <w:szCs w:val="20"/>
              </w:rPr>
            </w:pPr>
          </w:p>
        </w:tc>
        <w:tc>
          <w:tcPr>
            <w:tcW w:w="1308" w:type="dxa"/>
            <w:tcBorders>
              <w:top w:val="nil"/>
              <w:left w:val="nil"/>
              <w:bottom w:val="single" w:color="000000" w:sz="4" w:space="0"/>
              <w:right w:val="single" w:color="000000" w:sz="4" w:space="0"/>
            </w:tcBorders>
            <w:shd w:val="clear" w:color="auto" w:fill="auto"/>
            <w:vAlign w:val="center"/>
          </w:tcPr>
          <w:p>
            <w:pPr>
              <w:jc w:val="right"/>
              <w:rPr>
                <w:b/>
                <w:bCs/>
                <w:kern w:val="0"/>
                <w:sz w:val="20"/>
                <w:szCs w:val="20"/>
              </w:rPr>
            </w:pP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占地面积</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平方米</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6012.79</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14.18</w:t>
            </w:r>
          </w:p>
        </w:tc>
        <w:tc>
          <w:tcPr>
            <w:tcW w:w="891"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6012.79</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21.55</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6,012.79</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17.87</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建筑面积（自有）</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平方米</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建筑面积（租用）</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平方米</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4440.01</w:t>
            </w: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10.47</w:t>
            </w:r>
          </w:p>
        </w:tc>
        <w:tc>
          <w:tcPr>
            <w:tcW w:w="891"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4440.01</w:t>
            </w: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15.91</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4,440.01</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13.19</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18"/>
                <w:szCs w:val="18"/>
              </w:rPr>
            </w:pPr>
            <w:r>
              <w:rPr>
                <w:rFonts w:hint="eastAsia" w:ascii="宋体" w:hAnsi="宋体"/>
                <w:kern w:val="0"/>
                <w:sz w:val="18"/>
                <w:szCs w:val="18"/>
              </w:rPr>
              <w:t>室外活动场所（自有）</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平方米</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spacing w:val="-11"/>
                <w:kern w:val="0"/>
                <w:sz w:val="18"/>
                <w:szCs w:val="18"/>
              </w:rPr>
            </w:pPr>
            <w:r>
              <w:rPr>
                <w:rFonts w:hint="eastAsia" w:ascii="宋体" w:hAnsi="宋体"/>
                <w:spacing w:val="-11"/>
                <w:kern w:val="0"/>
                <w:sz w:val="18"/>
                <w:szCs w:val="18"/>
              </w:rPr>
              <w:t>室外活动场所（非自有）</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平方米</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r>
      <w:tr>
        <w:tblPrEx>
          <w:tblCellMar>
            <w:top w:w="0" w:type="dxa"/>
            <w:left w:w="108" w:type="dxa"/>
            <w:bottom w:w="0" w:type="dxa"/>
            <w:right w:w="108" w:type="dxa"/>
          </w:tblCellMar>
        </w:tblPrEx>
        <w:trPr>
          <w:trHeight w:val="341" w:hRule="atLeast"/>
          <w:jc w:val="center"/>
        </w:trPr>
        <w:tc>
          <w:tcPr>
            <w:tcW w:w="19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项目</w:t>
            </w:r>
          </w:p>
        </w:tc>
        <w:tc>
          <w:tcPr>
            <w:tcW w:w="13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b/>
                <w:bCs/>
                <w:kern w:val="0"/>
                <w:sz w:val="20"/>
                <w:szCs w:val="20"/>
              </w:rPr>
            </w:pPr>
            <w:r>
              <w:rPr>
                <w:rFonts w:hint="eastAsia" w:ascii="宋体" w:hAnsi="宋体"/>
                <w:b/>
                <w:bCs/>
                <w:kern w:val="0"/>
                <w:sz w:val="20"/>
                <w:szCs w:val="20"/>
              </w:rPr>
              <w:t>计算单位</w:t>
            </w:r>
          </w:p>
        </w:tc>
        <w:tc>
          <w:tcPr>
            <w:tcW w:w="228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年初</w:t>
            </w:r>
          </w:p>
        </w:tc>
        <w:tc>
          <w:tcPr>
            <w:tcW w:w="223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年末</w:t>
            </w:r>
          </w:p>
        </w:tc>
        <w:tc>
          <w:tcPr>
            <w:tcW w:w="23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全年平均</w:t>
            </w:r>
          </w:p>
        </w:tc>
      </w:tr>
      <w:tr>
        <w:tblPrEx>
          <w:tblCellMar>
            <w:top w:w="0" w:type="dxa"/>
            <w:left w:w="108" w:type="dxa"/>
            <w:bottom w:w="0" w:type="dxa"/>
            <w:right w:w="108" w:type="dxa"/>
          </w:tblCellMar>
        </w:tblPrEx>
        <w:trPr>
          <w:trHeight w:val="341" w:hRule="atLeast"/>
          <w:jc w:val="center"/>
        </w:trPr>
        <w:tc>
          <w:tcPr>
            <w:tcW w:w="1957"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b/>
                <w:bCs/>
                <w:kern w:val="0"/>
                <w:sz w:val="20"/>
                <w:szCs w:val="20"/>
              </w:rPr>
            </w:pPr>
          </w:p>
        </w:tc>
        <w:tc>
          <w:tcPr>
            <w:tcW w:w="130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b/>
                <w:bCs/>
                <w:kern w:val="0"/>
                <w:sz w:val="20"/>
                <w:szCs w:val="20"/>
              </w:rPr>
            </w:pPr>
          </w:p>
        </w:tc>
        <w:tc>
          <w:tcPr>
            <w:tcW w:w="10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数量</w:t>
            </w:r>
          </w:p>
        </w:tc>
        <w:tc>
          <w:tcPr>
            <w:tcW w:w="12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金额</w:t>
            </w:r>
          </w:p>
        </w:tc>
        <w:tc>
          <w:tcPr>
            <w:tcW w:w="891"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数量</w:t>
            </w:r>
          </w:p>
        </w:tc>
        <w:tc>
          <w:tcPr>
            <w:tcW w:w="1342"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金额</w:t>
            </w:r>
          </w:p>
        </w:tc>
        <w:tc>
          <w:tcPr>
            <w:tcW w:w="1044"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数量</w:t>
            </w:r>
          </w:p>
        </w:tc>
        <w:tc>
          <w:tcPr>
            <w:tcW w:w="1308" w:type="dxa"/>
            <w:tcBorders>
              <w:top w:val="nil"/>
              <w:left w:val="nil"/>
              <w:bottom w:val="single" w:color="000000" w:sz="4" w:space="0"/>
              <w:right w:val="single" w:color="000000" w:sz="4" w:space="0"/>
            </w:tcBorders>
            <w:shd w:val="clear" w:color="auto" w:fill="auto"/>
            <w:vAlign w:val="center"/>
          </w:tcPr>
          <w:p>
            <w:pPr>
              <w:widowControl/>
              <w:jc w:val="center"/>
              <w:textAlignment w:val="center"/>
              <w:rPr>
                <w:b/>
                <w:bCs/>
                <w:kern w:val="0"/>
                <w:sz w:val="20"/>
                <w:szCs w:val="20"/>
              </w:rPr>
            </w:pPr>
            <w:r>
              <w:rPr>
                <w:rStyle w:val="22"/>
                <w:rFonts w:hint="default"/>
              </w:rPr>
              <w:t>金额</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五、固定资产</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kern w:val="0"/>
                <w:sz w:val="20"/>
                <w:szCs w:val="20"/>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color w:val="000000"/>
                <w:kern w:val="0"/>
                <w:sz w:val="20"/>
                <w:szCs w:val="20"/>
              </w:rPr>
              <w:t>0.00</w:t>
            </w:r>
          </w:p>
        </w:tc>
        <w:tc>
          <w:tcPr>
            <w:tcW w:w="128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color w:val="000000"/>
                <w:kern w:val="0"/>
                <w:sz w:val="20"/>
                <w:szCs w:val="20"/>
              </w:rPr>
              <w:t>2,549,476.29</w:t>
            </w:r>
          </w:p>
        </w:tc>
        <w:tc>
          <w:tcPr>
            <w:tcW w:w="89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color w:val="000000"/>
                <w:kern w:val="0"/>
                <w:sz w:val="20"/>
                <w:szCs w:val="20"/>
              </w:rPr>
              <w:t>0.00</w:t>
            </w:r>
          </w:p>
        </w:tc>
        <w:tc>
          <w:tcPr>
            <w:tcW w:w="13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color w:val="000000"/>
                <w:kern w:val="0"/>
                <w:sz w:val="20"/>
                <w:szCs w:val="20"/>
              </w:rPr>
              <w:t>2,565,559.29</w:t>
            </w:r>
          </w:p>
        </w:tc>
        <w:tc>
          <w:tcPr>
            <w:tcW w:w="104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kern w:val="0"/>
                <w:sz w:val="20"/>
                <w:szCs w:val="20"/>
              </w:rPr>
            </w:pPr>
            <w:r>
              <w:rPr>
                <w:rFonts w:hint="eastAsia"/>
                <w:color w:val="000000"/>
                <w:kern w:val="0"/>
                <w:sz w:val="20"/>
                <w:szCs w:val="20"/>
              </w:rPr>
              <w:t>2,557,517.79</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土地</w:t>
            </w:r>
            <w:r>
              <w:rPr>
                <w:kern w:val="0"/>
                <w:sz w:val="20"/>
                <w:szCs w:val="20"/>
              </w:rPr>
              <w:t>\</w:t>
            </w:r>
            <w:r>
              <w:rPr>
                <w:rFonts w:hint="eastAsia" w:ascii="宋体" w:hAnsi="宋体"/>
                <w:kern w:val="0"/>
                <w:sz w:val="20"/>
                <w:szCs w:val="20"/>
              </w:rPr>
              <w:t>房屋及构筑物</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平方米等</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189,000.00</w:t>
            </w: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189,000.00</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189,000.00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通用设备</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台</w:t>
            </w:r>
            <w:r>
              <w:rPr>
                <w:kern w:val="0"/>
                <w:sz w:val="20"/>
                <w:szCs w:val="20"/>
              </w:rPr>
              <w:t>/</w:t>
            </w:r>
            <w:r>
              <w:rPr>
                <w:rFonts w:hint="eastAsia" w:ascii="宋体" w:hAnsi="宋体"/>
                <w:kern w:val="0"/>
                <w:sz w:val="20"/>
                <w:szCs w:val="20"/>
              </w:rPr>
              <w:t>件等</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830,973.85</w:t>
            </w: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847,056.85</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839,015.35</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专用设备</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台</w:t>
            </w:r>
            <w:r>
              <w:rPr>
                <w:kern w:val="0"/>
                <w:sz w:val="20"/>
                <w:szCs w:val="20"/>
              </w:rPr>
              <w:t>/</w:t>
            </w:r>
            <w:r>
              <w:rPr>
                <w:rFonts w:hint="eastAsia" w:ascii="宋体" w:hAnsi="宋体"/>
                <w:kern w:val="0"/>
                <w:sz w:val="20"/>
                <w:szCs w:val="20"/>
              </w:rPr>
              <w:t>件等</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733,761.64</w:t>
            </w: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733,761.64</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733,761.64</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文物和陈列品</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台</w:t>
            </w:r>
            <w:r>
              <w:rPr>
                <w:kern w:val="0"/>
                <w:sz w:val="20"/>
                <w:szCs w:val="20"/>
              </w:rPr>
              <w:t>/</w:t>
            </w:r>
            <w:r>
              <w:rPr>
                <w:rFonts w:hint="eastAsia" w:ascii="宋体" w:hAnsi="宋体"/>
                <w:kern w:val="0"/>
                <w:sz w:val="20"/>
                <w:szCs w:val="20"/>
              </w:rPr>
              <w:t>件等</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图书</w:t>
            </w:r>
            <w:r>
              <w:rPr>
                <w:kern w:val="0"/>
                <w:sz w:val="20"/>
                <w:szCs w:val="20"/>
              </w:rPr>
              <w:t>\</w:t>
            </w:r>
            <w:r>
              <w:rPr>
                <w:rFonts w:hint="eastAsia" w:ascii="宋体" w:hAnsi="宋体"/>
                <w:kern w:val="0"/>
                <w:sz w:val="20"/>
                <w:szCs w:val="20"/>
              </w:rPr>
              <w:t>档案</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台</w:t>
            </w:r>
            <w:r>
              <w:rPr>
                <w:kern w:val="0"/>
                <w:sz w:val="20"/>
                <w:szCs w:val="20"/>
              </w:rPr>
              <w:t>/</w:t>
            </w:r>
            <w:r>
              <w:rPr>
                <w:rFonts w:hint="eastAsia" w:ascii="宋体" w:hAnsi="宋体"/>
                <w:kern w:val="0"/>
                <w:sz w:val="20"/>
                <w:szCs w:val="20"/>
              </w:rPr>
              <w:t>件</w:t>
            </w:r>
            <w:r>
              <w:rPr>
                <w:kern w:val="0"/>
                <w:sz w:val="20"/>
                <w:szCs w:val="20"/>
              </w:rPr>
              <w:t>/</w:t>
            </w:r>
            <w:r>
              <w:rPr>
                <w:rFonts w:hint="eastAsia" w:ascii="宋体" w:hAnsi="宋体"/>
                <w:kern w:val="0"/>
                <w:sz w:val="20"/>
                <w:szCs w:val="20"/>
              </w:rPr>
              <w:t>册</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r>
      <w:tr>
        <w:tblPrEx>
          <w:tblCellMar>
            <w:top w:w="0" w:type="dxa"/>
            <w:left w:w="108" w:type="dxa"/>
            <w:bottom w:w="0" w:type="dxa"/>
            <w:right w:w="108" w:type="dxa"/>
          </w:tblCellMar>
        </w:tblPrEx>
        <w:trPr>
          <w:trHeight w:val="341" w:hRule="atLeast"/>
          <w:jc w:val="center"/>
        </w:trPr>
        <w:tc>
          <w:tcPr>
            <w:tcW w:w="1957"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spacing w:val="-11"/>
                <w:kern w:val="0"/>
                <w:sz w:val="18"/>
                <w:szCs w:val="18"/>
              </w:rPr>
            </w:pPr>
            <w:r>
              <w:rPr>
                <w:rFonts w:hint="eastAsia" w:ascii="宋体" w:hAnsi="宋体"/>
                <w:spacing w:val="-11"/>
                <w:kern w:val="0"/>
                <w:sz w:val="18"/>
                <w:szCs w:val="18"/>
              </w:rPr>
              <w:t>家具</w:t>
            </w:r>
            <w:r>
              <w:rPr>
                <w:spacing w:val="-11"/>
                <w:kern w:val="0"/>
                <w:sz w:val="18"/>
                <w:szCs w:val="18"/>
              </w:rPr>
              <w:t>\</w:t>
            </w:r>
            <w:r>
              <w:rPr>
                <w:rFonts w:hint="eastAsia" w:ascii="宋体" w:hAnsi="宋体"/>
                <w:spacing w:val="-11"/>
                <w:kern w:val="0"/>
                <w:sz w:val="18"/>
                <w:szCs w:val="18"/>
              </w:rPr>
              <w:t>用具</w:t>
            </w:r>
            <w:r>
              <w:rPr>
                <w:spacing w:val="-11"/>
                <w:kern w:val="0"/>
                <w:sz w:val="18"/>
                <w:szCs w:val="18"/>
              </w:rPr>
              <w:t>\</w:t>
            </w:r>
            <w:r>
              <w:rPr>
                <w:rFonts w:hint="eastAsia" w:ascii="宋体" w:hAnsi="宋体"/>
                <w:spacing w:val="-11"/>
                <w:kern w:val="0"/>
                <w:sz w:val="18"/>
                <w:szCs w:val="18"/>
              </w:rPr>
              <w:t>装具及动植物</w:t>
            </w:r>
          </w:p>
        </w:tc>
        <w:tc>
          <w:tcPr>
            <w:tcW w:w="130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kern w:val="0"/>
                <w:sz w:val="20"/>
                <w:szCs w:val="20"/>
              </w:rPr>
            </w:pPr>
            <w:r>
              <w:rPr>
                <w:rFonts w:hint="eastAsia" w:ascii="宋体" w:hAnsi="宋体"/>
                <w:kern w:val="0"/>
                <w:sz w:val="20"/>
                <w:szCs w:val="20"/>
              </w:rPr>
              <w:t>件</w:t>
            </w:r>
            <w:r>
              <w:rPr>
                <w:kern w:val="0"/>
                <w:sz w:val="20"/>
                <w:szCs w:val="20"/>
              </w:rPr>
              <w:t>/</w:t>
            </w:r>
            <w:r>
              <w:rPr>
                <w:rFonts w:hint="eastAsia" w:ascii="宋体" w:hAnsi="宋体"/>
                <w:kern w:val="0"/>
                <w:sz w:val="20"/>
                <w:szCs w:val="20"/>
              </w:rPr>
              <w:t>个等</w:t>
            </w:r>
          </w:p>
        </w:tc>
        <w:tc>
          <w:tcPr>
            <w:tcW w:w="1000"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28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795,740.80</w:t>
            </w:r>
          </w:p>
        </w:tc>
        <w:tc>
          <w:tcPr>
            <w:tcW w:w="891" w:type="dxa"/>
            <w:tcBorders>
              <w:top w:val="nil"/>
              <w:left w:val="nil"/>
              <w:bottom w:val="single" w:color="000000" w:sz="4" w:space="0"/>
              <w:right w:val="single" w:color="000000" w:sz="4" w:space="0"/>
            </w:tcBorders>
            <w:shd w:val="clear" w:color="auto" w:fill="auto"/>
            <w:vAlign w:val="center"/>
          </w:tcPr>
          <w:p>
            <w:pPr>
              <w:jc w:val="right"/>
              <w:rPr>
                <w:kern w:val="0"/>
                <w:sz w:val="20"/>
                <w:szCs w:val="20"/>
              </w:rPr>
            </w:pPr>
          </w:p>
        </w:tc>
        <w:tc>
          <w:tcPr>
            <w:tcW w:w="1342"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795,740.80</w:t>
            </w:r>
          </w:p>
        </w:tc>
        <w:tc>
          <w:tcPr>
            <w:tcW w:w="1044"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308" w:type="dxa"/>
            <w:tcBorders>
              <w:top w:val="nil"/>
              <w:left w:val="nil"/>
              <w:bottom w:val="single" w:color="000000" w:sz="4" w:space="0"/>
              <w:right w:val="single" w:color="000000" w:sz="4" w:space="0"/>
            </w:tcBorders>
            <w:shd w:val="clear" w:color="auto" w:fill="auto"/>
            <w:vAlign w:val="center"/>
          </w:tcPr>
          <w:p>
            <w:pPr>
              <w:widowControl/>
              <w:jc w:val="right"/>
              <w:textAlignment w:val="center"/>
              <w:rPr>
                <w:kern w:val="0"/>
                <w:sz w:val="20"/>
                <w:szCs w:val="20"/>
              </w:rPr>
            </w:pPr>
            <w:r>
              <w:rPr>
                <w:color w:val="000000"/>
                <w:kern w:val="0"/>
                <w:sz w:val="20"/>
                <w:szCs w:val="20"/>
              </w:rPr>
              <w:t>795,740.80</w:t>
            </w:r>
          </w:p>
        </w:tc>
      </w:tr>
      <w:tr>
        <w:tblPrEx>
          <w:tblCellMar>
            <w:top w:w="0" w:type="dxa"/>
            <w:left w:w="108" w:type="dxa"/>
            <w:bottom w:w="0" w:type="dxa"/>
            <w:right w:w="108" w:type="dxa"/>
          </w:tblCellMar>
        </w:tblPrEx>
        <w:trPr>
          <w:trHeight w:val="341" w:hRule="atLeast"/>
          <w:jc w:val="center"/>
        </w:trPr>
        <w:tc>
          <w:tcPr>
            <w:tcW w:w="1957" w:type="dxa"/>
            <w:tcBorders>
              <w:top w:val="nil"/>
              <w:left w:val="nil"/>
              <w:bottom w:val="nil"/>
              <w:right w:val="nil"/>
            </w:tcBorders>
            <w:shd w:val="clear" w:color="auto" w:fill="auto"/>
            <w:vAlign w:val="center"/>
          </w:tcPr>
          <w:p>
            <w:pPr>
              <w:widowControl/>
              <w:spacing w:line="300" w:lineRule="exact"/>
              <w:jc w:val="left"/>
              <w:rPr>
                <w:kern w:val="0"/>
                <w:sz w:val="20"/>
                <w:szCs w:val="20"/>
              </w:rPr>
            </w:pPr>
            <w:r>
              <w:rPr>
                <w:rFonts w:hint="eastAsia" w:ascii="宋体" w:hAnsi="宋体"/>
                <w:kern w:val="0"/>
                <w:sz w:val="20"/>
                <w:szCs w:val="20"/>
              </w:rPr>
              <w:t>单位负责人：</w:t>
            </w:r>
          </w:p>
        </w:tc>
        <w:tc>
          <w:tcPr>
            <w:tcW w:w="1309" w:type="dxa"/>
            <w:tcBorders>
              <w:top w:val="nil"/>
              <w:left w:val="nil"/>
              <w:bottom w:val="nil"/>
              <w:right w:val="nil"/>
            </w:tcBorders>
            <w:shd w:val="clear" w:color="auto" w:fill="auto"/>
            <w:vAlign w:val="center"/>
          </w:tcPr>
          <w:p>
            <w:pPr>
              <w:widowControl/>
              <w:spacing w:line="300" w:lineRule="exact"/>
              <w:jc w:val="center"/>
              <w:rPr>
                <w:kern w:val="0"/>
                <w:sz w:val="20"/>
                <w:szCs w:val="20"/>
              </w:rPr>
            </w:pPr>
          </w:p>
        </w:tc>
        <w:tc>
          <w:tcPr>
            <w:tcW w:w="1000" w:type="dxa"/>
            <w:tcBorders>
              <w:top w:val="nil"/>
              <w:left w:val="nil"/>
              <w:bottom w:val="nil"/>
              <w:right w:val="nil"/>
            </w:tcBorders>
            <w:shd w:val="clear" w:color="auto" w:fill="auto"/>
            <w:vAlign w:val="center"/>
          </w:tcPr>
          <w:p>
            <w:pPr>
              <w:widowControl/>
              <w:spacing w:line="300" w:lineRule="exact"/>
              <w:jc w:val="right"/>
              <w:rPr>
                <w:kern w:val="0"/>
                <w:sz w:val="20"/>
                <w:szCs w:val="20"/>
              </w:rPr>
            </w:pPr>
          </w:p>
        </w:tc>
        <w:tc>
          <w:tcPr>
            <w:tcW w:w="1282" w:type="dxa"/>
            <w:tcBorders>
              <w:top w:val="nil"/>
              <w:left w:val="nil"/>
              <w:bottom w:val="nil"/>
              <w:right w:val="nil"/>
            </w:tcBorders>
            <w:shd w:val="clear" w:color="auto" w:fill="auto"/>
            <w:vAlign w:val="center"/>
          </w:tcPr>
          <w:p>
            <w:pPr>
              <w:widowControl/>
              <w:spacing w:line="300" w:lineRule="exact"/>
              <w:jc w:val="right"/>
              <w:rPr>
                <w:kern w:val="0"/>
                <w:sz w:val="20"/>
                <w:szCs w:val="20"/>
              </w:rPr>
            </w:pPr>
            <w:r>
              <w:rPr>
                <w:rFonts w:hint="eastAsia" w:ascii="宋体" w:hAnsi="宋体"/>
                <w:kern w:val="0"/>
                <w:sz w:val="20"/>
                <w:szCs w:val="20"/>
              </w:rPr>
              <w:t>制表：</w:t>
            </w:r>
          </w:p>
        </w:tc>
        <w:tc>
          <w:tcPr>
            <w:tcW w:w="891" w:type="dxa"/>
            <w:tcBorders>
              <w:top w:val="nil"/>
              <w:left w:val="nil"/>
              <w:bottom w:val="nil"/>
              <w:right w:val="nil"/>
            </w:tcBorders>
            <w:shd w:val="clear" w:color="auto" w:fill="auto"/>
            <w:vAlign w:val="center"/>
          </w:tcPr>
          <w:p>
            <w:pPr>
              <w:widowControl/>
              <w:spacing w:line="300" w:lineRule="exact"/>
              <w:jc w:val="right"/>
              <w:rPr>
                <w:kern w:val="0"/>
                <w:sz w:val="20"/>
                <w:szCs w:val="20"/>
              </w:rPr>
            </w:pPr>
          </w:p>
        </w:tc>
        <w:tc>
          <w:tcPr>
            <w:tcW w:w="1342" w:type="dxa"/>
            <w:tcBorders>
              <w:top w:val="nil"/>
              <w:left w:val="nil"/>
              <w:bottom w:val="nil"/>
              <w:right w:val="nil"/>
            </w:tcBorders>
            <w:shd w:val="clear" w:color="auto" w:fill="auto"/>
            <w:vAlign w:val="center"/>
          </w:tcPr>
          <w:p>
            <w:pPr>
              <w:widowControl/>
              <w:spacing w:line="300" w:lineRule="exact"/>
              <w:jc w:val="right"/>
              <w:rPr>
                <w:kern w:val="0"/>
                <w:sz w:val="20"/>
                <w:szCs w:val="20"/>
              </w:rPr>
            </w:pPr>
            <w:r>
              <w:rPr>
                <w:rFonts w:hint="eastAsia" w:ascii="宋体" w:hAnsi="宋体"/>
                <w:kern w:val="0"/>
                <w:sz w:val="20"/>
                <w:szCs w:val="20"/>
              </w:rPr>
              <w:t>主管</w:t>
            </w:r>
            <w:r>
              <w:rPr>
                <w:kern w:val="0"/>
                <w:sz w:val="20"/>
                <w:szCs w:val="20"/>
              </w:rPr>
              <w:t>/</w:t>
            </w:r>
            <w:r>
              <w:rPr>
                <w:rFonts w:hint="eastAsia" w:ascii="宋体" w:hAnsi="宋体"/>
                <w:kern w:val="0"/>
                <w:sz w:val="20"/>
                <w:szCs w:val="20"/>
              </w:rPr>
              <w:t>复核：</w:t>
            </w:r>
          </w:p>
        </w:tc>
        <w:tc>
          <w:tcPr>
            <w:tcW w:w="1044" w:type="dxa"/>
            <w:tcBorders>
              <w:top w:val="nil"/>
              <w:left w:val="nil"/>
              <w:bottom w:val="nil"/>
              <w:right w:val="nil"/>
            </w:tcBorders>
            <w:shd w:val="clear" w:color="auto" w:fill="auto"/>
            <w:vAlign w:val="center"/>
          </w:tcPr>
          <w:p>
            <w:pPr>
              <w:widowControl/>
              <w:spacing w:line="300" w:lineRule="exact"/>
              <w:jc w:val="right"/>
              <w:rPr>
                <w:kern w:val="0"/>
                <w:sz w:val="20"/>
                <w:szCs w:val="20"/>
              </w:rPr>
            </w:pPr>
          </w:p>
        </w:tc>
        <w:tc>
          <w:tcPr>
            <w:tcW w:w="1308" w:type="dxa"/>
            <w:tcBorders>
              <w:top w:val="nil"/>
              <w:left w:val="nil"/>
              <w:bottom w:val="nil"/>
              <w:right w:val="nil"/>
            </w:tcBorders>
            <w:shd w:val="clear" w:color="auto" w:fill="auto"/>
            <w:vAlign w:val="center"/>
          </w:tcPr>
          <w:p>
            <w:pPr>
              <w:widowControl/>
              <w:spacing w:line="300" w:lineRule="exact"/>
              <w:jc w:val="right"/>
              <w:rPr>
                <w:kern w:val="0"/>
                <w:sz w:val="20"/>
                <w:szCs w:val="20"/>
              </w:rPr>
            </w:pPr>
          </w:p>
        </w:tc>
      </w:tr>
    </w:tbl>
    <w:p>
      <w:pPr>
        <w:topLinePunct/>
        <w:spacing w:line="20" w:lineRule="exact"/>
        <w:jc w:val="center"/>
        <w:outlineLvl w:val="0"/>
        <w:rPr>
          <w:rFonts w:eastAsiaTheme="minorEastAsia"/>
          <w:b/>
          <w:color w:val="000000" w:themeColor="text1"/>
          <w:sz w:val="32"/>
          <w:szCs w:val="32"/>
          <w14:textFill>
            <w14:solidFill>
              <w14:schemeClr w14:val="tx1"/>
            </w14:solidFill>
          </w14:textFill>
        </w:rPr>
      </w:pPr>
    </w:p>
    <w:tbl>
      <w:tblPr>
        <w:tblStyle w:val="6"/>
        <w:tblW w:w="10229" w:type="dxa"/>
        <w:jc w:val="center"/>
        <w:tblLayout w:type="autofit"/>
        <w:tblCellMar>
          <w:top w:w="0" w:type="dxa"/>
          <w:left w:w="108" w:type="dxa"/>
          <w:bottom w:w="0" w:type="dxa"/>
          <w:right w:w="108" w:type="dxa"/>
        </w:tblCellMar>
      </w:tblPr>
      <w:tblGrid>
        <w:gridCol w:w="944"/>
        <w:gridCol w:w="3838"/>
        <w:gridCol w:w="1105"/>
        <w:gridCol w:w="1280"/>
        <w:gridCol w:w="389"/>
        <w:gridCol w:w="1567"/>
        <w:gridCol w:w="1106"/>
      </w:tblGrid>
      <w:tr>
        <w:tblPrEx>
          <w:tblCellMar>
            <w:top w:w="0" w:type="dxa"/>
            <w:left w:w="108" w:type="dxa"/>
            <w:bottom w:w="0" w:type="dxa"/>
            <w:right w:w="108" w:type="dxa"/>
          </w:tblCellMar>
        </w:tblPrEx>
        <w:trPr>
          <w:trHeight w:val="523" w:hRule="atLeast"/>
          <w:jc w:val="center"/>
        </w:trPr>
        <w:tc>
          <w:tcPr>
            <w:tcW w:w="10229" w:type="dxa"/>
            <w:gridSpan w:val="7"/>
            <w:tcBorders>
              <w:top w:val="nil"/>
              <w:left w:val="nil"/>
              <w:bottom w:val="nil"/>
              <w:right w:val="nil"/>
            </w:tcBorders>
            <w:shd w:val="clear" w:color="auto" w:fill="auto"/>
            <w:vAlign w:val="center"/>
          </w:tcPr>
          <w:p>
            <w:pPr>
              <w:widowControl/>
              <w:jc w:val="center"/>
              <w:rPr>
                <w:b/>
                <w:bCs/>
                <w:kern w:val="0"/>
                <w:sz w:val="32"/>
                <w:szCs w:val="32"/>
              </w:rPr>
            </w:pPr>
            <w:r>
              <w:rPr>
                <w:rFonts w:hint="eastAsia" w:ascii="宋体" w:hAnsi="宋体"/>
                <w:b/>
                <w:bCs/>
                <w:kern w:val="0"/>
                <w:sz w:val="32"/>
                <w:szCs w:val="32"/>
              </w:rPr>
              <w:t>财务指标表</w:t>
            </w:r>
          </w:p>
        </w:tc>
      </w:tr>
      <w:tr>
        <w:tblPrEx>
          <w:tblCellMar>
            <w:top w:w="0" w:type="dxa"/>
            <w:left w:w="108" w:type="dxa"/>
            <w:bottom w:w="0" w:type="dxa"/>
            <w:right w:w="108" w:type="dxa"/>
          </w:tblCellMar>
        </w:tblPrEx>
        <w:trPr>
          <w:trHeight w:val="314" w:hRule="atLeast"/>
          <w:jc w:val="center"/>
        </w:trPr>
        <w:tc>
          <w:tcPr>
            <w:tcW w:w="7167" w:type="dxa"/>
            <w:gridSpan w:val="4"/>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编制单位：深圳市南山区元凤幼儿园</w:t>
            </w:r>
            <w:r>
              <w:rPr>
                <w:rFonts w:hint="eastAsia" w:ascii="宋体" w:hAnsi="宋体"/>
                <w:kern w:val="0"/>
                <w:sz w:val="20"/>
                <w:szCs w:val="20"/>
                <w:lang w:val="en-US" w:eastAsia="zh-CN"/>
              </w:rPr>
              <w:t xml:space="preserve">               </w:t>
            </w:r>
            <w:r>
              <w:rPr>
                <w:rFonts w:hint="eastAsia"/>
                <w:kern w:val="0"/>
                <w:sz w:val="20"/>
                <w:szCs w:val="20"/>
              </w:rPr>
              <w:t>202</w:t>
            </w:r>
            <w:r>
              <w:rPr>
                <w:rFonts w:hint="eastAsia"/>
                <w:kern w:val="0"/>
                <w:sz w:val="20"/>
                <w:szCs w:val="20"/>
                <w:lang w:val="en-US" w:eastAsia="zh-CN"/>
              </w:rPr>
              <w:t>4</w:t>
            </w:r>
            <w:r>
              <w:rPr>
                <w:rFonts w:hint="eastAsia"/>
                <w:kern w:val="0"/>
                <w:sz w:val="20"/>
                <w:szCs w:val="20"/>
              </w:rPr>
              <w:t>年</w:t>
            </w:r>
            <w:r>
              <w:rPr>
                <w:kern w:val="0"/>
                <w:sz w:val="20"/>
                <w:szCs w:val="20"/>
              </w:rPr>
              <w:t>12</w:t>
            </w:r>
            <w:r>
              <w:rPr>
                <w:rFonts w:hint="eastAsia" w:ascii="宋体" w:hAnsi="宋体"/>
                <w:kern w:val="0"/>
                <w:sz w:val="20"/>
                <w:szCs w:val="20"/>
              </w:rPr>
              <w:t>月</w:t>
            </w:r>
            <w:r>
              <w:rPr>
                <w:kern w:val="0"/>
                <w:sz w:val="20"/>
                <w:szCs w:val="20"/>
              </w:rPr>
              <w:t>31</w:t>
            </w:r>
            <w:r>
              <w:rPr>
                <w:rFonts w:hint="eastAsia" w:ascii="宋体" w:hAnsi="宋体"/>
                <w:kern w:val="0"/>
                <w:sz w:val="20"/>
                <w:szCs w:val="20"/>
              </w:rPr>
              <w:t>日</w:t>
            </w:r>
          </w:p>
        </w:tc>
        <w:tc>
          <w:tcPr>
            <w:tcW w:w="389" w:type="dxa"/>
            <w:tcBorders>
              <w:top w:val="nil"/>
              <w:left w:val="nil"/>
              <w:bottom w:val="nil"/>
              <w:right w:val="nil"/>
            </w:tcBorders>
            <w:shd w:val="clear" w:color="auto" w:fill="auto"/>
            <w:vAlign w:val="center"/>
          </w:tcPr>
          <w:p>
            <w:pPr>
              <w:widowControl/>
              <w:jc w:val="left"/>
              <w:rPr>
                <w:kern w:val="0"/>
                <w:sz w:val="20"/>
                <w:szCs w:val="20"/>
              </w:rPr>
            </w:pPr>
          </w:p>
        </w:tc>
        <w:tc>
          <w:tcPr>
            <w:tcW w:w="2673" w:type="dxa"/>
            <w:gridSpan w:val="2"/>
            <w:tcBorders>
              <w:top w:val="nil"/>
              <w:left w:val="nil"/>
              <w:bottom w:val="nil"/>
              <w:right w:val="nil"/>
            </w:tcBorders>
            <w:shd w:val="clear" w:color="auto" w:fill="auto"/>
            <w:vAlign w:val="center"/>
          </w:tcPr>
          <w:p>
            <w:pPr>
              <w:widowControl/>
              <w:jc w:val="right"/>
              <w:rPr>
                <w:kern w:val="0"/>
                <w:sz w:val="20"/>
                <w:szCs w:val="20"/>
              </w:rPr>
            </w:pPr>
            <w:r>
              <w:rPr>
                <w:rFonts w:hint="eastAsia" w:ascii="宋体" w:hAnsi="宋体"/>
                <w:kern w:val="0"/>
                <w:sz w:val="20"/>
                <w:szCs w:val="20"/>
              </w:rPr>
              <w:t>会民幼</w:t>
            </w:r>
            <w:r>
              <w:rPr>
                <w:kern w:val="0"/>
                <w:sz w:val="20"/>
                <w:szCs w:val="20"/>
              </w:rPr>
              <w:t>05</w:t>
            </w:r>
            <w:r>
              <w:rPr>
                <w:rFonts w:hint="eastAsia" w:ascii="宋体" w:hAnsi="宋体"/>
                <w:kern w:val="0"/>
                <w:sz w:val="20"/>
                <w:szCs w:val="20"/>
              </w:rPr>
              <w:t>表</w:t>
            </w:r>
          </w:p>
        </w:tc>
      </w:tr>
      <w:tr>
        <w:tblPrEx>
          <w:tblCellMar>
            <w:top w:w="0" w:type="dxa"/>
            <w:left w:w="108" w:type="dxa"/>
            <w:bottom w:w="0" w:type="dxa"/>
            <w:right w:w="108" w:type="dxa"/>
          </w:tblCellMar>
        </w:tblPrEx>
        <w:trPr>
          <w:trHeight w:val="55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行次</w:t>
            </w:r>
          </w:p>
        </w:tc>
        <w:tc>
          <w:tcPr>
            <w:tcW w:w="383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项目</w:t>
            </w:r>
          </w:p>
        </w:tc>
        <w:tc>
          <w:tcPr>
            <w:tcW w:w="110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计算单位</w:t>
            </w:r>
          </w:p>
        </w:tc>
        <w:tc>
          <w:tcPr>
            <w:tcW w:w="1669" w:type="dxa"/>
            <w:gridSpan w:val="2"/>
            <w:tcBorders>
              <w:top w:val="single" w:color="000000" w:sz="4" w:space="0"/>
              <w:left w:val="nil"/>
              <w:bottom w:val="nil"/>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本年度指标数据</w:t>
            </w:r>
          </w:p>
        </w:tc>
        <w:tc>
          <w:tcPr>
            <w:tcW w:w="1567" w:type="dxa"/>
            <w:tcBorders>
              <w:top w:val="single" w:color="000000" w:sz="4" w:space="0"/>
              <w:left w:val="nil"/>
              <w:bottom w:val="nil"/>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相关科目的本年累计发生额</w:t>
            </w:r>
          </w:p>
        </w:tc>
        <w:tc>
          <w:tcPr>
            <w:tcW w:w="1106" w:type="dxa"/>
            <w:tcBorders>
              <w:top w:val="single" w:color="000000" w:sz="4" w:space="0"/>
              <w:left w:val="nil"/>
              <w:bottom w:val="nil"/>
              <w:right w:val="single" w:color="000000"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全年平均人数</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生均保教费收入</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18,434.48</w:t>
            </w:r>
          </w:p>
        </w:tc>
        <w:tc>
          <w:tcPr>
            <w:tcW w:w="1567"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6,479,718.00</w:t>
            </w:r>
          </w:p>
        </w:tc>
        <w:tc>
          <w:tcPr>
            <w:tcW w:w="110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351.5</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生均伙食费收入</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3,392.52</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1,192,472.00</w:t>
            </w:r>
          </w:p>
        </w:tc>
        <w:tc>
          <w:tcPr>
            <w:tcW w:w="1106"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351.5</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3</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生均校车费收入</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106"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4</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生均其他收入</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106"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5</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生均保教成本</w:t>
            </w:r>
            <w:r>
              <w:rPr>
                <w:kern w:val="0"/>
                <w:sz w:val="20"/>
                <w:szCs w:val="20"/>
              </w:rPr>
              <w:t>---</w:t>
            </w:r>
            <w:r>
              <w:rPr>
                <w:rFonts w:hint="eastAsia" w:ascii="宋体" w:hAnsi="宋体"/>
                <w:kern w:val="0"/>
                <w:sz w:val="20"/>
                <w:szCs w:val="20"/>
              </w:rPr>
              <w:t>直接成本</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16,927.45</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5,949,997.93</w:t>
            </w:r>
          </w:p>
        </w:tc>
        <w:tc>
          <w:tcPr>
            <w:tcW w:w="1106"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rPr>
              <w:t>351.5</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6</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生均膳食成本</w:t>
            </w:r>
            <w:r>
              <w:rPr>
                <w:kern w:val="0"/>
                <w:sz w:val="20"/>
                <w:szCs w:val="20"/>
              </w:rPr>
              <w:t>---</w:t>
            </w:r>
            <w:r>
              <w:rPr>
                <w:rFonts w:hint="eastAsia" w:ascii="宋体" w:hAnsi="宋体"/>
                <w:kern w:val="0"/>
                <w:sz w:val="20"/>
                <w:szCs w:val="20"/>
              </w:rPr>
              <w:t>直接成本</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5,840.43</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2,052,912.07</w:t>
            </w:r>
          </w:p>
        </w:tc>
        <w:tc>
          <w:tcPr>
            <w:tcW w:w="1106"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rPr>
              <w:t>351.5</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7</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生均校车成本</w:t>
            </w:r>
            <w:r>
              <w:rPr>
                <w:kern w:val="0"/>
                <w:sz w:val="20"/>
                <w:szCs w:val="20"/>
              </w:rPr>
              <w:t>---</w:t>
            </w:r>
            <w:r>
              <w:rPr>
                <w:rFonts w:hint="eastAsia" w:ascii="宋体" w:hAnsi="宋体"/>
                <w:kern w:val="0"/>
                <w:sz w:val="20"/>
                <w:szCs w:val="20"/>
              </w:rPr>
              <w:t>直接成本</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106"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8</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生均保教成本</w:t>
            </w:r>
            <w:r>
              <w:rPr>
                <w:kern w:val="0"/>
                <w:sz w:val="20"/>
                <w:szCs w:val="20"/>
              </w:rPr>
              <w:t>---</w:t>
            </w:r>
            <w:r>
              <w:rPr>
                <w:rFonts w:hint="eastAsia" w:ascii="宋体" w:hAnsi="宋体"/>
                <w:kern w:val="0"/>
                <w:sz w:val="20"/>
                <w:szCs w:val="20"/>
              </w:rPr>
              <w:t>总成本（含分摊三项费用）</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22,832.31</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8,025,556.07</w:t>
            </w:r>
          </w:p>
        </w:tc>
        <w:tc>
          <w:tcPr>
            <w:tcW w:w="1106"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rPr>
              <w:t>351.5</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9</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生均膳食成本</w:t>
            </w:r>
            <w:r>
              <w:rPr>
                <w:kern w:val="0"/>
                <w:sz w:val="20"/>
                <w:szCs w:val="20"/>
              </w:rPr>
              <w:t>---</w:t>
            </w:r>
            <w:r>
              <w:rPr>
                <w:rFonts w:hint="eastAsia" w:ascii="宋体" w:hAnsi="宋体"/>
                <w:kern w:val="0"/>
                <w:sz w:val="20"/>
                <w:szCs w:val="20"/>
              </w:rPr>
              <w:t>总成本（含分摊三项费用）</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6,551.92</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2,302,998.41</w:t>
            </w:r>
          </w:p>
        </w:tc>
        <w:tc>
          <w:tcPr>
            <w:tcW w:w="1106"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rPr>
              <w:t>351.5</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10</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生均校车成本</w:t>
            </w:r>
            <w:r>
              <w:rPr>
                <w:kern w:val="0"/>
                <w:sz w:val="20"/>
                <w:szCs w:val="20"/>
              </w:rPr>
              <w:t>---</w:t>
            </w:r>
            <w:r>
              <w:rPr>
                <w:rFonts w:hint="eastAsia" w:ascii="宋体" w:hAnsi="宋体"/>
                <w:kern w:val="0"/>
                <w:sz w:val="20"/>
                <w:szCs w:val="20"/>
              </w:rPr>
              <w:t>总成本（含分摊三项费用）</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color w:val="000000"/>
                <w:kern w:val="0"/>
                <w:sz w:val="20"/>
                <w:szCs w:val="20"/>
              </w:rPr>
              <w:t>0.00</w:t>
            </w:r>
          </w:p>
        </w:tc>
        <w:tc>
          <w:tcPr>
            <w:tcW w:w="1106"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11</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生均管理费用</w:t>
            </w:r>
            <w:r>
              <w:rPr>
                <w:kern w:val="0"/>
                <w:sz w:val="20"/>
                <w:szCs w:val="20"/>
              </w:rPr>
              <w:t>\</w:t>
            </w:r>
            <w:r>
              <w:rPr>
                <w:rFonts w:hint="eastAsia" w:ascii="宋体" w:hAnsi="宋体"/>
                <w:kern w:val="0"/>
                <w:sz w:val="20"/>
                <w:szCs w:val="20"/>
              </w:rPr>
              <w:t>筹资费用</w:t>
            </w:r>
            <w:r>
              <w:rPr>
                <w:kern w:val="0"/>
                <w:sz w:val="20"/>
                <w:szCs w:val="20"/>
              </w:rPr>
              <w:t>\</w:t>
            </w:r>
            <w:r>
              <w:rPr>
                <w:rFonts w:hint="eastAsia" w:ascii="宋体" w:hAnsi="宋体"/>
                <w:kern w:val="0"/>
                <w:sz w:val="20"/>
                <w:szCs w:val="20"/>
              </w:rPr>
              <w:t>其他费用</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6,616.34</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2,325,644.46</w:t>
            </w:r>
          </w:p>
        </w:tc>
        <w:tc>
          <w:tcPr>
            <w:tcW w:w="1106"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rPr>
              <w:t>351.5</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12</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资产负债率</w:t>
            </w:r>
            <w:r>
              <w:rPr>
                <w:kern w:val="0"/>
                <w:sz w:val="20"/>
                <w:szCs w:val="20"/>
              </w:rPr>
              <w:t xml:space="preserve"> %</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785.68 %</w:t>
            </w:r>
          </w:p>
        </w:tc>
        <w:tc>
          <w:tcPr>
            <w:tcW w:w="1567"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c>
          <w:tcPr>
            <w:tcW w:w="1106"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13</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非限定性净资产增长率</w:t>
            </w:r>
            <w:r>
              <w:rPr>
                <w:kern w:val="0"/>
                <w:sz w:val="20"/>
                <w:szCs w:val="20"/>
              </w:rPr>
              <w:t xml:space="preserve"> %</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44.71 %</w:t>
            </w:r>
          </w:p>
        </w:tc>
        <w:tc>
          <w:tcPr>
            <w:tcW w:w="1567"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c>
          <w:tcPr>
            <w:tcW w:w="1106"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14</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保教人员人均年工资性支出</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97,282.44</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4,474,992.33</w:t>
            </w:r>
          </w:p>
        </w:tc>
        <w:tc>
          <w:tcPr>
            <w:tcW w:w="110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46</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15</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其中：最高</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rPr>
              <w:t>88</w:t>
            </w:r>
            <w:r>
              <w:rPr>
                <w:rFonts w:hint="eastAsia"/>
                <w:color w:val="000000"/>
                <w:kern w:val="0"/>
                <w:sz w:val="20"/>
                <w:szCs w:val="20"/>
                <w:lang w:val="en-US" w:eastAsia="zh-CN"/>
              </w:rPr>
              <w:t>,</w:t>
            </w:r>
            <w:r>
              <w:rPr>
                <w:rFonts w:hint="eastAsia"/>
                <w:color w:val="000000"/>
                <w:kern w:val="0"/>
                <w:sz w:val="20"/>
                <w:szCs w:val="20"/>
              </w:rPr>
              <w:t>757</w:t>
            </w:r>
            <w:r>
              <w:rPr>
                <w:rFonts w:hint="eastAsia"/>
                <w:color w:val="000000"/>
                <w:kern w:val="0"/>
                <w:sz w:val="20"/>
                <w:szCs w:val="20"/>
                <w:lang w:val="en-US" w:eastAsia="zh-CN"/>
              </w:rPr>
              <w:t>.00</w:t>
            </w:r>
          </w:p>
        </w:tc>
        <w:tc>
          <w:tcPr>
            <w:tcW w:w="1567"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c>
          <w:tcPr>
            <w:tcW w:w="1106"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16</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最低</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rPr>
              <w:t>62</w:t>
            </w:r>
            <w:r>
              <w:rPr>
                <w:rFonts w:hint="eastAsia"/>
                <w:color w:val="000000"/>
                <w:kern w:val="0"/>
                <w:sz w:val="20"/>
                <w:szCs w:val="20"/>
                <w:lang w:val="en-US" w:eastAsia="zh-CN"/>
              </w:rPr>
              <w:t>,</w:t>
            </w:r>
            <w:r>
              <w:rPr>
                <w:rFonts w:hint="eastAsia"/>
                <w:color w:val="000000"/>
                <w:kern w:val="0"/>
                <w:sz w:val="20"/>
                <w:szCs w:val="20"/>
              </w:rPr>
              <w:t>337</w:t>
            </w:r>
            <w:r>
              <w:rPr>
                <w:rFonts w:hint="eastAsia"/>
                <w:color w:val="000000"/>
                <w:kern w:val="0"/>
                <w:sz w:val="20"/>
                <w:szCs w:val="20"/>
                <w:lang w:val="en-US" w:eastAsia="zh-CN"/>
              </w:rPr>
              <w:t>.00</w:t>
            </w:r>
          </w:p>
        </w:tc>
        <w:tc>
          <w:tcPr>
            <w:tcW w:w="1567"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c>
          <w:tcPr>
            <w:tcW w:w="1106"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17</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人均支出比上年增长</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18.43%</w:t>
            </w:r>
          </w:p>
        </w:tc>
        <w:tc>
          <w:tcPr>
            <w:tcW w:w="1567"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c>
          <w:tcPr>
            <w:tcW w:w="1106"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18</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全体教职工人均年工资性支出</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rPr>
              <w:t>99,142.67</w:t>
            </w:r>
          </w:p>
        </w:tc>
        <w:tc>
          <w:tcPr>
            <w:tcW w:w="1567" w:type="dxa"/>
            <w:tcBorders>
              <w:top w:val="nil"/>
              <w:left w:val="nil"/>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7,039,129.35</w:t>
            </w:r>
          </w:p>
        </w:tc>
        <w:tc>
          <w:tcPr>
            <w:tcW w:w="110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71</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19</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其中：最高</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eastAsia="宋体"/>
                <w:kern w:val="0"/>
                <w:sz w:val="20"/>
                <w:szCs w:val="20"/>
                <w:lang w:val="en-US" w:eastAsia="zh-CN"/>
              </w:rPr>
            </w:pPr>
            <w:r>
              <w:rPr>
                <w:rFonts w:hint="eastAsia"/>
                <w:color w:val="000000"/>
                <w:kern w:val="0"/>
                <w:sz w:val="20"/>
                <w:szCs w:val="20"/>
                <w:lang w:val="en-US" w:eastAsia="zh-CN"/>
              </w:rPr>
              <w:t>169,010.00</w:t>
            </w:r>
          </w:p>
        </w:tc>
        <w:tc>
          <w:tcPr>
            <w:tcW w:w="1567"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c>
          <w:tcPr>
            <w:tcW w:w="1106"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20</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最低</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rFonts w:hint="eastAsia" w:ascii="宋体" w:hAnsi="宋体"/>
                <w:kern w:val="0"/>
                <w:sz w:val="20"/>
                <w:szCs w:val="20"/>
              </w:rPr>
              <w:t>元</w:t>
            </w:r>
            <w:r>
              <w:rPr>
                <w:kern w:val="0"/>
                <w:sz w:val="20"/>
                <w:szCs w:val="20"/>
              </w:rPr>
              <w:t>/</w:t>
            </w:r>
            <w:r>
              <w:rPr>
                <w:rFonts w:hint="eastAsia" w:ascii="宋体" w:hAnsi="宋体"/>
                <w:kern w:val="0"/>
                <w:sz w:val="20"/>
                <w:szCs w:val="20"/>
              </w:rPr>
              <w:t>人</w:t>
            </w:r>
            <w:r>
              <w:rPr>
                <w:kern w:val="0"/>
                <w:sz w:val="20"/>
                <w:szCs w:val="20"/>
              </w:rPr>
              <w:t>.</w:t>
            </w:r>
            <w:r>
              <w:rPr>
                <w:rFonts w:hint="eastAsia" w:ascii="宋体" w:hAnsi="宋体"/>
                <w:kern w:val="0"/>
                <w:sz w:val="20"/>
                <w:szCs w:val="20"/>
              </w:rPr>
              <w:t>年</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49</w:t>
            </w:r>
            <w:r>
              <w:rPr>
                <w:rFonts w:hint="eastAsia"/>
                <w:color w:val="000000"/>
                <w:kern w:val="0"/>
                <w:sz w:val="20"/>
                <w:szCs w:val="20"/>
                <w:lang w:val="en-US" w:eastAsia="zh-CN"/>
              </w:rPr>
              <w:t>,</w:t>
            </w:r>
            <w:r>
              <w:rPr>
                <w:rFonts w:hint="eastAsia"/>
                <w:color w:val="000000"/>
                <w:kern w:val="0"/>
                <w:sz w:val="20"/>
                <w:szCs w:val="20"/>
              </w:rPr>
              <w:t>013</w:t>
            </w:r>
            <w:r>
              <w:rPr>
                <w:rFonts w:hint="eastAsia"/>
                <w:color w:val="000000"/>
                <w:kern w:val="0"/>
                <w:sz w:val="20"/>
                <w:szCs w:val="20"/>
                <w:lang w:val="en-US" w:eastAsia="zh-CN"/>
              </w:rPr>
              <w:t>.00</w:t>
            </w:r>
          </w:p>
        </w:tc>
        <w:tc>
          <w:tcPr>
            <w:tcW w:w="1567"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c>
          <w:tcPr>
            <w:tcW w:w="1106"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21</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人均支出比上年增长</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rPr>
              <w:t>10</w:t>
            </w:r>
            <w:r>
              <w:rPr>
                <w:rFonts w:hint="eastAsia"/>
                <w:color w:val="000000"/>
                <w:kern w:val="0"/>
                <w:sz w:val="20"/>
                <w:szCs w:val="20"/>
                <w:lang w:val="en-US" w:eastAsia="zh-CN"/>
              </w:rPr>
              <w:t>.00</w:t>
            </w:r>
            <w:r>
              <w:rPr>
                <w:rFonts w:hint="eastAsia"/>
                <w:color w:val="000000"/>
                <w:kern w:val="0"/>
                <w:sz w:val="20"/>
                <w:szCs w:val="20"/>
              </w:rPr>
              <w:t>%</w:t>
            </w:r>
          </w:p>
        </w:tc>
        <w:tc>
          <w:tcPr>
            <w:tcW w:w="1567"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c>
          <w:tcPr>
            <w:tcW w:w="1106" w:type="dxa"/>
            <w:tcBorders>
              <w:top w:val="nil"/>
              <w:left w:val="nil"/>
              <w:bottom w:val="single" w:color="auto" w:sz="4" w:space="0"/>
              <w:right w:val="single" w:color="auto" w:sz="4" w:space="0"/>
            </w:tcBorders>
            <w:shd w:val="clear" w:color="auto" w:fill="auto"/>
            <w:vAlign w:val="center"/>
          </w:tcPr>
          <w:p>
            <w:pPr>
              <w:jc w:val="right"/>
              <w:rPr>
                <w:kern w:val="0"/>
                <w:sz w:val="20"/>
                <w:szCs w:val="20"/>
              </w:rPr>
            </w:pP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22</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保教成本中保教人员工资性支出的比例</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75.21</w:t>
            </w:r>
            <w:r>
              <w:rPr>
                <w:color w:val="000000"/>
                <w:kern w:val="0"/>
                <w:sz w:val="20"/>
                <w:szCs w:val="20"/>
              </w:rPr>
              <w:t xml:space="preserve"> %</w:t>
            </w:r>
          </w:p>
        </w:tc>
        <w:tc>
          <w:tcPr>
            <w:tcW w:w="1567"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c>
          <w:tcPr>
            <w:tcW w:w="1106"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23</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膳食成本中服务人员工资性支出的比例</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26.26</w:t>
            </w:r>
            <w:r>
              <w:rPr>
                <w:color w:val="000000"/>
                <w:kern w:val="0"/>
                <w:sz w:val="20"/>
                <w:szCs w:val="20"/>
              </w:rPr>
              <w:t>%</w:t>
            </w:r>
          </w:p>
        </w:tc>
        <w:tc>
          <w:tcPr>
            <w:tcW w:w="1567"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c>
          <w:tcPr>
            <w:tcW w:w="1106"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24</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校车成本中服务人员工资性支出的比例</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color w:val="000000"/>
                <w:kern w:val="0"/>
                <w:sz w:val="20"/>
                <w:szCs w:val="20"/>
              </w:rPr>
              <w:t>0.00 %</w:t>
            </w:r>
          </w:p>
        </w:tc>
        <w:tc>
          <w:tcPr>
            <w:tcW w:w="1567"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c>
          <w:tcPr>
            <w:tcW w:w="1106"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25</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教职工工资性支出占成本费用的比例</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68.15</w:t>
            </w:r>
            <w:r>
              <w:rPr>
                <w:color w:val="000000"/>
                <w:kern w:val="0"/>
                <w:sz w:val="20"/>
                <w:szCs w:val="20"/>
              </w:rPr>
              <w:t xml:space="preserve"> %</w:t>
            </w:r>
          </w:p>
        </w:tc>
        <w:tc>
          <w:tcPr>
            <w:tcW w:w="1567"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c>
          <w:tcPr>
            <w:tcW w:w="1106"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26</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教职工工资性支出占保教收入的比例</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108.63</w:t>
            </w:r>
            <w:r>
              <w:rPr>
                <w:color w:val="000000"/>
                <w:kern w:val="0"/>
                <w:sz w:val="20"/>
                <w:szCs w:val="20"/>
              </w:rPr>
              <w:t xml:space="preserve"> %</w:t>
            </w:r>
          </w:p>
        </w:tc>
        <w:tc>
          <w:tcPr>
            <w:tcW w:w="1567"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c>
          <w:tcPr>
            <w:tcW w:w="1106"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27</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分摊的三项费用占保教成本的比例</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34.88</w:t>
            </w:r>
            <w:r>
              <w:rPr>
                <w:color w:val="000000"/>
                <w:kern w:val="0"/>
                <w:sz w:val="20"/>
                <w:szCs w:val="20"/>
              </w:rPr>
              <w:t>%</w:t>
            </w:r>
          </w:p>
        </w:tc>
        <w:tc>
          <w:tcPr>
            <w:tcW w:w="1567"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c>
          <w:tcPr>
            <w:tcW w:w="1106"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28</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分摊的三项费用占膳食服务成本的比例</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rFonts w:hint="eastAsia"/>
                <w:color w:val="000000"/>
                <w:kern w:val="0"/>
                <w:sz w:val="20"/>
                <w:szCs w:val="20"/>
                <w:lang w:val="en-US" w:eastAsia="zh-CN"/>
              </w:rPr>
              <w:t>12.18</w:t>
            </w:r>
            <w:r>
              <w:rPr>
                <w:color w:val="000000"/>
                <w:kern w:val="0"/>
                <w:sz w:val="20"/>
                <w:szCs w:val="20"/>
              </w:rPr>
              <w:t>%</w:t>
            </w:r>
          </w:p>
        </w:tc>
        <w:tc>
          <w:tcPr>
            <w:tcW w:w="1567"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c>
          <w:tcPr>
            <w:tcW w:w="1106"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383" w:hRule="atLeast"/>
          <w:jc w:val="center"/>
        </w:trPr>
        <w:tc>
          <w:tcPr>
            <w:tcW w:w="94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kern w:val="0"/>
                <w:sz w:val="20"/>
                <w:szCs w:val="20"/>
              </w:rPr>
            </w:pPr>
            <w:r>
              <w:rPr>
                <w:kern w:val="0"/>
                <w:sz w:val="20"/>
                <w:szCs w:val="20"/>
              </w:rPr>
              <w:t>29</w:t>
            </w:r>
          </w:p>
        </w:tc>
        <w:tc>
          <w:tcPr>
            <w:tcW w:w="3838" w:type="dxa"/>
            <w:tcBorders>
              <w:top w:val="nil"/>
              <w:left w:val="nil"/>
              <w:bottom w:val="single" w:color="000000" w:sz="4" w:space="0"/>
              <w:right w:val="single" w:color="000000" w:sz="4" w:space="0"/>
            </w:tcBorders>
            <w:shd w:val="clear" w:color="auto" w:fill="auto"/>
            <w:vAlign w:val="center"/>
          </w:tcPr>
          <w:p>
            <w:pPr>
              <w:widowControl/>
              <w:jc w:val="left"/>
              <w:rPr>
                <w:kern w:val="0"/>
                <w:sz w:val="20"/>
                <w:szCs w:val="20"/>
              </w:rPr>
            </w:pPr>
            <w:r>
              <w:rPr>
                <w:rFonts w:hint="eastAsia" w:ascii="宋体" w:hAnsi="宋体"/>
                <w:kern w:val="0"/>
                <w:sz w:val="20"/>
                <w:szCs w:val="20"/>
              </w:rPr>
              <w:t>分摊的三项费用占校车服务成本的比例</w:t>
            </w:r>
          </w:p>
        </w:tc>
        <w:tc>
          <w:tcPr>
            <w:tcW w:w="1105" w:type="dxa"/>
            <w:tcBorders>
              <w:top w:val="nil"/>
              <w:left w:val="nil"/>
              <w:bottom w:val="single" w:color="000000" w:sz="4" w:space="0"/>
              <w:right w:val="nil"/>
            </w:tcBorders>
            <w:shd w:val="clear" w:color="auto" w:fill="auto"/>
            <w:vAlign w:val="center"/>
          </w:tcPr>
          <w:p>
            <w:pPr>
              <w:widowControl/>
              <w:jc w:val="center"/>
              <w:rPr>
                <w:kern w:val="0"/>
                <w:sz w:val="20"/>
                <w:szCs w:val="20"/>
              </w:rPr>
            </w:pPr>
            <w:r>
              <w:rPr>
                <w:kern w:val="0"/>
                <w:sz w:val="20"/>
                <w:szCs w:val="20"/>
              </w:rPr>
              <w:t>%</w:t>
            </w:r>
          </w:p>
        </w:tc>
        <w:tc>
          <w:tcPr>
            <w:tcW w:w="16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kern w:val="0"/>
                <w:sz w:val="20"/>
                <w:szCs w:val="20"/>
              </w:rPr>
            </w:pPr>
            <w:r>
              <w:rPr>
                <w:color w:val="000000"/>
                <w:kern w:val="0"/>
                <w:sz w:val="20"/>
                <w:szCs w:val="20"/>
              </w:rPr>
              <w:t>0.00 %</w:t>
            </w:r>
          </w:p>
        </w:tc>
        <w:tc>
          <w:tcPr>
            <w:tcW w:w="1567"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c>
          <w:tcPr>
            <w:tcW w:w="1106"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 w:val="20"/>
                <w:szCs w:val="20"/>
              </w:rPr>
            </w:pPr>
            <w:r>
              <w:rPr>
                <w:color w:val="000000"/>
                <w:kern w:val="0"/>
                <w:sz w:val="20"/>
                <w:szCs w:val="20"/>
              </w:rPr>
              <w:t>×</w:t>
            </w:r>
          </w:p>
        </w:tc>
      </w:tr>
      <w:tr>
        <w:tblPrEx>
          <w:tblCellMar>
            <w:top w:w="0" w:type="dxa"/>
            <w:left w:w="108" w:type="dxa"/>
            <w:bottom w:w="0" w:type="dxa"/>
            <w:right w:w="108" w:type="dxa"/>
          </w:tblCellMar>
        </w:tblPrEx>
        <w:trPr>
          <w:trHeight w:val="383" w:hRule="atLeast"/>
          <w:jc w:val="center"/>
        </w:trPr>
        <w:tc>
          <w:tcPr>
            <w:tcW w:w="944" w:type="dxa"/>
            <w:tcBorders>
              <w:top w:val="nil"/>
              <w:left w:val="nil"/>
              <w:bottom w:val="nil"/>
              <w:right w:val="nil"/>
            </w:tcBorders>
            <w:shd w:val="clear" w:color="auto" w:fill="auto"/>
            <w:vAlign w:val="center"/>
          </w:tcPr>
          <w:p>
            <w:pPr>
              <w:widowControl/>
              <w:jc w:val="center"/>
              <w:rPr>
                <w:kern w:val="0"/>
                <w:sz w:val="20"/>
                <w:szCs w:val="20"/>
              </w:rPr>
            </w:pPr>
          </w:p>
        </w:tc>
        <w:tc>
          <w:tcPr>
            <w:tcW w:w="3838" w:type="dxa"/>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单位负责人：</w:t>
            </w:r>
          </w:p>
        </w:tc>
        <w:tc>
          <w:tcPr>
            <w:tcW w:w="1105" w:type="dxa"/>
            <w:tcBorders>
              <w:top w:val="nil"/>
              <w:left w:val="nil"/>
              <w:bottom w:val="nil"/>
              <w:right w:val="nil"/>
            </w:tcBorders>
            <w:shd w:val="clear" w:color="auto" w:fill="auto"/>
            <w:vAlign w:val="center"/>
          </w:tcPr>
          <w:p>
            <w:pPr>
              <w:widowControl/>
              <w:jc w:val="center"/>
              <w:rPr>
                <w:kern w:val="0"/>
                <w:sz w:val="20"/>
                <w:szCs w:val="20"/>
              </w:rPr>
            </w:pPr>
            <w:r>
              <w:rPr>
                <w:rFonts w:hint="eastAsia" w:ascii="宋体" w:hAnsi="宋体"/>
                <w:kern w:val="0"/>
                <w:sz w:val="20"/>
                <w:szCs w:val="20"/>
              </w:rPr>
              <w:t>制表：</w:t>
            </w:r>
          </w:p>
        </w:tc>
        <w:tc>
          <w:tcPr>
            <w:tcW w:w="1669" w:type="dxa"/>
            <w:gridSpan w:val="2"/>
            <w:tcBorders>
              <w:top w:val="nil"/>
              <w:left w:val="nil"/>
              <w:bottom w:val="nil"/>
              <w:right w:val="nil"/>
            </w:tcBorders>
            <w:shd w:val="clear" w:color="auto" w:fill="auto"/>
            <w:vAlign w:val="center"/>
          </w:tcPr>
          <w:p>
            <w:pPr>
              <w:widowControl/>
              <w:jc w:val="right"/>
              <w:rPr>
                <w:kern w:val="0"/>
                <w:sz w:val="20"/>
                <w:szCs w:val="20"/>
              </w:rPr>
            </w:pPr>
          </w:p>
        </w:tc>
        <w:tc>
          <w:tcPr>
            <w:tcW w:w="1567" w:type="dxa"/>
            <w:tcBorders>
              <w:top w:val="nil"/>
              <w:left w:val="nil"/>
              <w:bottom w:val="nil"/>
              <w:right w:val="nil"/>
            </w:tcBorders>
            <w:shd w:val="clear" w:color="auto" w:fill="auto"/>
            <w:vAlign w:val="center"/>
          </w:tcPr>
          <w:p>
            <w:pPr>
              <w:widowControl/>
              <w:jc w:val="right"/>
              <w:rPr>
                <w:kern w:val="0"/>
                <w:sz w:val="20"/>
                <w:szCs w:val="20"/>
              </w:rPr>
            </w:pPr>
            <w:r>
              <w:rPr>
                <w:rFonts w:hint="eastAsia" w:ascii="宋体" w:hAnsi="宋体"/>
                <w:kern w:val="0"/>
                <w:sz w:val="20"/>
                <w:szCs w:val="20"/>
              </w:rPr>
              <w:t>主管</w:t>
            </w:r>
            <w:r>
              <w:rPr>
                <w:kern w:val="0"/>
                <w:sz w:val="20"/>
                <w:szCs w:val="20"/>
              </w:rPr>
              <w:t>/</w:t>
            </w:r>
            <w:r>
              <w:rPr>
                <w:rFonts w:hint="eastAsia" w:ascii="宋体" w:hAnsi="宋体"/>
                <w:kern w:val="0"/>
                <w:sz w:val="20"/>
                <w:szCs w:val="20"/>
              </w:rPr>
              <w:t>复核：</w:t>
            </w:r>
          </w:p>
        </w:tc>
        <w:tc>
          <w:tcPr>
            <w:tcW w:w="1106" w:type="dxa"/>
            <w:tcBorders>
              <w:top w:val="nil"/>
              <w:left w:val="nil"/>
              <w:bottom w:val="nil"/>
              <w:right w:val="nil"/>
            </w:tcBorders>
            <w:shd w:val="clear" w:color="auto" w:fill="auto"/>
            <w:vAlign w:val="center"/>
          </w:tcPr>
          <w:p>
            <w:pPr>
              <w:widowControl/>
              <w:jc w:val="right"/>
              <w:rPr>
                <w:kern w:val="0"/>
                <w:sz w:val="20"/>
                <w:szCs w:val="20"/>
              </w:rPr>
            </w:pPr>
          </w:p>
        </w:tc>
      </w:tr>
    </w:tbl>
    <w:p>
      <w:pPr>
        <w:topLinePunct/>
        <w:spacing w:line="580" w:lineRule="exact"/>
        <w:jc w:val="center"/>
        <w:outlineLvl w:val="0"/>
        <w:rPr>
          <w:rFonts w:eastAsiaTheme="minorEastAsia"/>
          <w:b/>
          <w:color w:val="000000" w:themeColor="text1"/>
          <w:sz w:val="32"/>
          <w:szCs w:val="32"/>
          <w14:textFill>
            <w14:solidFill>
              <w14:schemeClr w14:val="tx1"/>
            </w14:solidFill>
          </w14:textFill>
        </w:rPr>
      </w:pPr>
      <w:r>
        <w:rPr>
          <w:rFonts w:hint="eastAsia" w:eastAsiaTheme="minorEastAsia"/>
          <w:b/>
          <w:color w:val="000000" w:themeColor="text1"/>
          <w:sz w:val="32"/>
          <w:szCs w:val="32"/>
          <w14:textFill>
            <w14:solidFill>
              <w14:schemeClr w14:val="tx1"/>
            </w14:solidFill>
          </w14:textFill>
        </w:rPr>
        <w:t>深圳市南山区元凤幼儿园</w:t>
      </w:r>
    </w:p>
    <w:p>
      <w:pPr>
        <w:topLinePunct/>
        <w:spacing w:line="580" w:lineRule="exact"/>
        <w:jc w:val="center"/>
        <w:outlineLvl w:val="0"/>
        <w:rPr>
          <w:rFonts w:eastAsiaTheme="minorEastAsia"/>
          <w:b/>
          <w:color w:val="000000" w:themeColor="text1"/>
          <w:sz w:val="32"/>
          <w:szCs w:val="32"/>
          <w14:textFill>
            <w14:solidFill>
              <w14:schemeClr w14:val="tx1"/>
            </w14:solidFill>
          </w14:textFill>
        </w:rPr>
      </w:pPr>
      <w:r>
        <w:rPr>
          <w:rFonts w:eastAsiaTheme="minorEastAsia"/>
          <w:b/>
          <w:color w:val="000000" w:themeColor="text1"/>
          <w:sz w:val="32"/>
          <w:szCs w:val="32"/>
          <w14:textFill>
            <w14:solidFill>
              <w14:schemeClr w14:val="tx1"/>
            </w14:solidFill>
          </w14:textFill>
        </w:rPr>
        <w:t>财务报表附注</w:t>
      </w:r>
    </w:p>
    <w:p>
      <w:pPr>
        <w:topLinePunct/>
        <w:spacing w:line="58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202</w:t>
      </w:r>
      <w:r>
        <w:rPr>
          <w:rFonts w:hint="eastAsia" w:eastAsiaTheme="minorEastAsia"/>
          <w:color w:val="000000" w:themeColor="text1"/>
          <w:sz w:val="24"/>
          <w:lang w:val="en-US" w:eastAsia="zh-CN"/>
          <w14:textFill>
            <w14:solidFill>
              <w14:schemeClr w14:val="tx1"/>
            </w14:solidFill>
          </w14:textFill>
        </w:rPr>
        <w:t>4</w:t>
      </w:r>
      <w:r>
        <w:rPr>
          <w:rFonts w:hint="eastAsia" w:eastAsiaTheme="minorEastAsia"/>
          <w:color w:val="000000" w:themeColor="text1"/>
          <w:sz w:val="24"/>
          <w14:textFill>
            <w14:solidFill>
              <w14:schemeClr w14:val="tx1"/>
            </w14:solidFill>
          </w14:textFill>
        </w:rPr>
        <w:t>年度</w:t>
      </w:r>
      <w:r>
        <w:rPr>
          <w:rFonts w:eastAsiaTheme="minorEastAsia"/>
          <w:color w:val="000000" w:themeColor="text1"/>
          <w:sz w:val="24"/>
          <w14:textFill>
            <w14:solidFill>
              <w14:schemeClr w14:val="tx1"/>
            </w14:solidFill>
          </w14:textFill>
        </w:rPr>
        <w:t>）</w:t>
      </w:r>
    </w:p>
    <w:p>
      <w:pPr>
        <w:topLinePunct/>
        <w:spacing w:line="580" w:lineRule="exact"/>
        <w:ind w:firstLine="5280" w:firstLineChars="2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单位：（除特别说明）人民币元</w:t>
      </w:r>
    </w:p>
    <w:p>
      <w:pPr>
        <w:spacing w:line="500" w:lineRule="exact"/>
        <w:ind w:firstLine="480"/>
        <w:rPr>
          <w:b/>
          <w:color w:val="000000"/>
          <w:sz w:val="24"/>
        </w:rPr>
      </w:pPr>
      <w:r>
        <w:rPr>
          <w:b/>
          <w:color w:val="000000"/>
          <w:sz w:val="24"/>
        </w:rPr>
        <w:t>一、幼儿园基本情况</w:t>
      </w:r>
    </w:p>
    <w:p>
      <w:pPr>
        <w:spacing w:line="500" w:lineRule="exact"/>
        <w:ind w:firstLine="480" w:firstLineChars="200"/>
        <w:rPr>
          <w:color w:val="000000"/>
          <w:sz w:val="24"/>
        </w:rPr>
      </w:pPr>
      <w:r>
        <w:rPr>
          <w:rFonts w:hint="eastAsia"/>
          <w:color w:val="000000"/>
          <w:sz w:val="24"/>
        </w:rPr>
        <w:t>深圳市南山区元凤幼儿园</w:t>
      </w:r>
      <w:r>
        <w:rPr>
          <w:color w:val="000000"/>
          <w:sz w:val="24"/>
        </w:rPr>
        <w:t>系经深圳市南山区教育局批准（批准文号：深南教[2006]55号），20</w:t>
      </w:r>
      <w:r>
        <w:rPr>
          <w:rFonts w:hint="eastAsia"/>
          <w:color w:val="000000"/>
          <w:sz w:val="24"/>
        </w:rPr>
        <w:t>06</w:t>
      </w:r>
      <w:r>
        <w:rPr>
          <w:color w:val="000000"/>
          <w:sz w:val="24"/>
        </w:rPr>
        <w:t>年</w:t>
      </w:r>
      <w:r>
        <w:rPr>
          <w:rFonts w:hint="eastAsia"/>
          <w:color w:val="000000"/>
          <w:sz w:val="24"/>
        </w:rPr>
        <w:t>9</w:t>
      </w:r>
      <w:r>
        <w:rPr>
          <w:color w:val="000000"/>
          <w:sz w:val="24"/>
        </w:rPr>
        <w:t>月</w:t>
      </w:r>
      <w:r>
        <w:rPr>
          <w:rFonts w:hint="eastAsia"/>
          <w:color w:val="000000"/>
          <w:sz w:val="24"/>
        </w:rPr>
        <w:t>01</w:t>
      </w:r>
      <w:r>
        <w:rPr>
          <w:color w:val="000000"/>
          <w:sz w:val="24"/>
        </w:rPr>
        <w:t>日成立。于20</w:t>
      </w:r>
      <w:r>
        <w:rPr>
          <w:rFonts w:hint="eastAsia"/>
          <w:color w:val="000000"/>
          <w:sz w:val="24"/>
        </w:rPr>
        <w:t>22</w:t>
      </w:r>
      <w:r>
        <w:rPr>
          <w:color w:val="000000"/>
          <w:sz w:val="24"/>
        </w:rPr>
        <w:t>年</w:t>
      </w:r>
      <w:r>
        <w:rPr>
          <w:rFonts w:hint="eastAsia"/>
          <w:color w:val="000000"/>
          <w:sz w:val="24"/>
        </w:rPr>
        <w:t>4</w:t>
      </w:r>
      <w:r>
        <w:rPr>
          <w:color w:val="000000"/>
          <w:sz w:val="24"/>
        </w:rPr>
        <w:t>月</w:t>
      </w:r>
      <w:r>
        <w:rPr>
          <w:rFonts w:hint="eastAsia"/>
          <w:color w:val="000000"/>
          <w:sz w:val="24"/>
        </w:rPr>
        <w:t>20</w:t>
      </w:r>
      <w:r>
        <w:rPr>
          <w:color w:val="000000"/>
          <w:sz w:val="24"/>
        </w:rPr>
        <w:t>日换领了教民[144030560001481]号《中华人民共和国民办学校办学许可证》，于</w:t>
      </w:r>
      <w:r>
        <w:rPr>
          <w:rFonts w:hint="eastAsia"/>
          <w:color w:val="000000"/>
          <w:sz w:val="24"/>
        </w:rPr>
        <w:t>2022年05</w:t>
      </w:r>
      <w:r>
        <w:rPr>
          <w:color w:val="000000"/>
          <w:sz w:val="24"/>
        </w:rPr>
        <w:t>月</w:t>
      </w:r>
      <w:r>
        <w:rPr>
          <w:rFonts w:hint="eastAsia"/>
          <w:color w:val="000000"/>
          <w:sz w:val="24"/>
        </w:rPr>
        <w:t>10</w:t>
      </w:r>
      <w:r>
        <w:rPr>
          <w:color w:val="000000"/>
          <w:sz w:val="24"/>
        </w:rPr>
        <w:t>日换领了深圳市南山区民政局颁发的统一社会信用代码[5244030566104350X9]《民办非企业单位登记证书》</w:t>
      </w:r>
      <w:r>
        <w:rPr>
          <w:rFonts w:hint="eastAsia"/>
          <w:color w:val="000000"/>
          <w:sz w:val="24"/>
        </w:rPr>
        <w:t>,于2023年7月14日申请开设托班</w:t>
      </w:r>
      <w:r>
        <w:rPr>
          <w:color w:val="000000"/>
          <w:sz w:val="24"/>
        </w:rPr>
        <w:t>。规定事项和基本情况如下：</w:t>
      </w:r>
    </w:p>
    <w:p>
      <w:pPr>
        <w:spacing w:line="500" w:lineRule="exact"/>
        <w:ind w:firstLine="480" w:firstLineChars="200"/>
        <w:rPr>
          <w:color w:val="000000"/>
          <w:sz w:val="24"/>
        </w:rPr>
      </w:pPr>
      <w:r>
        <w:rPr>
          <w:color w:val="000000"/>
          <w:sz w:val="24"/>
        </w:rPr>
        <w:t>办学地址：深圳市南山区红花路134号</w:t>
      </w:r>
    </w:p>
    <w:p>
      <w:pPr>
        <w:spacing w:line="500" w:lineRule="exact"/>
        <w:ind w:firstLine="480" w:firstLineChars="200"/>
        <w:rPr>
          <w:color w:val="000000"/>
          <w:sz w:val="24"/>
        </w:rPr>
      </w:pPr>
      <w:r>
        <w:rPr>
          <w:color w:val="000000"/>
          <w:sz w:val="24"/>
        </w:rPr>
        <w:t>办学类型：幼儿园</w:t>
      </w:r>
    </w:p>
    <w:p>
      <w:pPr>
        <w:spacing w:line="500" w:lineRule="exact"/>
        <w:ind w:firstLine="480" w:firstLineChars="200"/>
        <w:rPr>
          <w:color w:val="000000"/>
          <w:sz w:val="24"/>
        </w:rPr>
      </w:pPr>
      <w:r>
        <w:rPr>
          <w:color w:val="000000"/>
          <w:sz w:val="24"/>
        </w:rPr>
        <w:t>办学内容：全日制</w:t>
      </w:r>
      <w:r>
        <w:rPr>
          <w:rFonts w:hint="eastAsia"/>
          <w:color w:val="000000"/>
          <w:sz w:val="24"/>
          <w:lang w:val="en-US" w:eastAsia="zh-CN"/>
        </w:rPr>
        <w:t>幼儿园3-6岁</w:t>
      </w:r>
      <w:r>
        <w:rPr>
          <w:color w:val="000000"/>
          <w:sz w:val="24"/>
        </w:rPr>
        <w:t>（1</w:t>
      </w:r>
      <w:r>
        <w:rPr>
          <w:rFonts w:hint="eastAsia"/>
          <w:color w:val="000000"/>
          <w:sz w:val="24"/>
          <w:lang w:val="en-US" w:eastAsia="zh-CN"/>
        </w:rPr>
        <w:t>9</w:t>
      </w:r>
      <w:r>
        <w:rPr>
          <w:color w:val="000000"/>
          <w:sz w:val="24"/>
        </w:rPr>
        <w:t>个班）</w:t>
      </w:r>
      <w:r>
        <w:rPr>
          <w:rFonts w:hint="eastAsia"/>
          <w:color w:val="000000"/>
          <w:sz w:val="24"/>
          <w:lang w:eastAsia="zh-CN"/>
        </w:rPr>
        <w:t>，</w:t>
      </w:r>
      <w:r>
        <w:rPr>
          <w:rFonts w:hint="eastAsia"/>
          <w:color w:val="000000"/>
          <w:sz w:val="24"/>
          <w:lang w:val="en-US" w:eastAsia="zh-CN"/>
        </w:rPr>
        <w:t>全日制托班（2个班）</w:t>
      </w:r>
    </w:p>
    <w:p>
      <w:pPr>
        <w:spacing w:line="500" w:lineRule="exact"/>
        <w:ind w:firstLine="480" w:firstLineChars="200"/>
        <w:rPr>
          <w:color w:val="000000"/>
          <w:sz w:val="24"/>
        </w:rPr>
      </w:pPr>
      <w:r>
        <w:rPr>
          <w:color w:val="000000"/>
          <w:sz w:val="24"/>
        </w:rPr>
        <w:t>主管部门：深圳市南山区教育局</w:t>
      </w:r>
    </w:p>
    <w:p>
      <w:pPr>
        <w:spacing w:line="500" w:lineRule="exact"/>
        <w:ind w:firstLine="480" w:firstLineChars="200"/>
        <w:rPr>
          <w:color w:val="000000"/>
          <w:sz w:val="24"/>
        </w:rPr>
      </w:pPr>
      <w:r>
        <w:rPr>
          <w:color w:val="000000"/>
          <w:sz w:val="24"/>
        </w:rPr>
        <w:t>举办者: 深圳市元凤科技发展有限公司</w:t>
      </w:r>
      <w:r>
        <w:rPr>
          <w:rFonts w:hint="eastAsia"/>
          <w:color w:val="000000"/>
          <w:sz w:val="24"/>
          <w:lang w:val="en-US" w:eastAsia="zh-CN"/>
        </w:rPr>
        <w:t xml:space="preserve">  </w:t>
      </w:r>
      <w:r>
        <w:rPr>
          <w:color w:val="000000"/>
          <w:sz w:val="24"/>
        </w:rPr>
        <w:t>法定代表人:郑佳鑫</w:t>
      </w:r>
    </w:p>
    <w:p>
      <w:pPr>
        <w:spacing w:line="500" w:lineRule="exact"/>
        <w:ind w:firstLine="480" w:firstLineChars="200"/>
        <w:rPr>
          <w:color w:val="000000"/>
          <w:sz w:val="24"/>
        </w:rPr>
      </w:pPr>
      <w:r>
        <w:rPr>
          <w:color w:val="000000"/>
          <w:sz w:val="24"/>
        </w:rPr>
        <w:t>园  长：黄</w:t>
      </w:r>
      <w:r>
        <w:rPr>
          <w:rFonts w:hint="eastAsia"/>
          <w:color w:val="000000"/>
          <w:sz w:val="24"/>
        </w:rPr>
        <w:t>燕</w:t>
      </w:r>
      <w:r>
        <w:rPr>
          <w:color w:val="000000"/>
          <w:sz w:val="24"/>
        </w:rPr>
        <w:t xml:space="preserve">   财务负责人:蔡东玲</w:t>
      </w:r>
    </w:p>
    <w:p>
      <w:pPr>
        <w:spacing w:line="500" w:lineRule="exact"/>
        <w:ind w:firstLine="480" w:firstLineChars="200"/>
        <w:rPr>
          <w:color w:val="000000"/>
          <w:sz w:val="24"/>
        </w:rPr>
      </w:pPr>
      <w:r>
        <w:rPr>
          <w:color w:val="000000"/>
          <w:sz w:val="24"/>
        </w:rPr>
        <w:t>有效期：至20</w:t>
      </w:r>
      <w:r>
        <w:rPr>
          <w:rFonts w:hint="eastAsia"/>
          <w:color w:val="000000"/>
          <w:sz w:val="24"/>
        </w:rPr>
        <w:t>26</w:t>
      </w:r>
      <w:r>
        <w:rPr>
          <w:color w:val="000000"/>
          <w:sz w:val="24"/>
        </w:rPr>
        <w:t>年</w:t>
      </w:r>
      <w:r>
        <w:rPr>
          <w:rFonts w:hint="eastAsia"/>
          <w:color w:val="000000"/>
          <w:sz w:val="24"/>
        </w:rPr>
        <w:t>5</w:t>
      </w:r>
      <w:r>
        <w:rPr>
          <w:color w:val="000000"/>
          <w:sz w:val="24"/>
        </w:rPr>
        <w:t>月1</w:t>
      </w:r>
      <w:r>
        <w:rPr>
          <w:rFonts w:hint="eastAsia"/>
          <w:color w:val="000000"/>
          <w:sz w:val="24"/>
        </w:rPr>
        <w:t>0</w:t>
      </w:r>
      <w:r>
        <w:rPr>
          <w:color w:val="000000"/>
          <w:sz w:val="24"/>
        </w:rPr>
        <w:t>日</w:t>
      </w:r>
    </w:p>
    <w:p>
      <w:pPr>
        <w:spacing w:line="500" w:lineRule="exact"/>
        <w:ind w:firstLine="480" w:firstLineChars="200"/>
        <w:rPr>
          <w:color w:val="000000"/>
          <w:sz w:val="24"/>
        </w:rPr>
      </w:pPr>
      <w:r>
        <w:rPr>
          <w:color w:val="000000"/>
          <w:sz w:val="24"/>
        </w:rPr>
        <w:t>要求取得合理回报。</w:t>
      </w:r>
    </w:p>
    <w:p>
      <w:pPr>
        <w:spacing w:line="500" w:lineRule="exact"/>
        <w:ind w:firstLine="480" w:firstLineChars="200"/>
        <w:rPr>
          <w:sz w:val="24"/>
        </w:rPr>
      </w:pPr>
      <w:r>
        <w:rPr>
          <w:sz w:val="24"/>
        </w:rPr>
        <w:t>收费备案号:2017-102</w:t>
      </w:r>
    </w:p>
    <w:p>
      <w:pPr>
        <w:topLinePunct/>
        <w:spacing w:line="500" w:lineRule="exact"/>
        <w:ind w:left="479" w:leftChars="228"/>
        <w:jc w:val="left"/>
        <w:rPr>
          <w:color w:val="000000"/>
          <w:sz w:val="24"/>
        </w:rPr>
      </w:pPr>
      <w:r>
        <w:rPr>
          <w:color w:val="000000"/>
          <w:sz w:val="24"/>
        </w:rPr>
        <w:t>收费标准：</w:t>
      </w:r>
      <w:r>
        <w:rPr>
          <w:rFonts w:hint="eastAsia"/>
          <w:color w:val="000000"/>
          <w:sz w:val="24"/>
        </w:rPr>
        <w:t>全</w:t>
      </w:r>
      <w:r>
        <w:rPr>
          <w:color w:val="000000"/>
          <w:sz w:val="24"/>
        </w:rPr>
        <w:t>日制</w:t>
      </w:r>
      <w:r>
        <w:rPr>
          <w:rFonts w:hint="eastAsia"/>
          <w:color w:val="000000"/>
          <w:sz w:val="24"/>
        </w:rPr>
        <w:t>幼儿园（3-6岁）</w:t>
      </w:r>
      <w:r>
        <w:rPr>
          <w:color w:val="000000"/>
          <w:sz w:val="24"/>
        </w:rPr>
        <w:t>保教费2000元/生·月，伙食费400元/生·月、托管费、体检费按文件规定收取（自愿选择）、外出活动费、生活用品费按实收取（自愿选择）。</w:t>
      </w:r>
    </w:p>
    <w:p>
      <w:pPr>
        <w:topLinePunct/>
        <w:spacing w:line="500" w:lineRule="exact"/>
        <w:ind w:firstLine="480" w:firstLineChars="200"/>
        <w:jc w:val="left"/>
        <w:rPr>
          <w:color w:val="000000"/>
          <w:sz w:val="24"/>
        </w:rPr>
      </w:pPr>
      <w:r>
        <w:rPr>
          <w:color w:val="000000"/>
          <w:sz w:val="24"/>
        </w:rPr>
        <w:t>基本账户开户银行：建行深圳</w:t>
      </w:r>
      <w:r>
        <w:rPr>
          <w:rFonts w:hint="eastAsia"/>
          <w:color w:val="000000"/>
          <w:sz w:val="24"/>
        </w:rPr>
        <w:t>华侨城</w:t>
      </w:r>
      <w:r>
        <w:rPr>
          <w:color w:val="000000"/>
          <w:sz w:val="24"/>
        </w:rPr>
        <w:t>支行</w:t>
      </w:r>
    </w:p>
    <w:p>
      <w:pPr>
        <w:topLinePunct/>
        <w:spacing w:line="500" w:lineRule="exact"/>
        <w:ind w:firstLine="480" w:firstLineChars="200"/>
        <w:jc w:val="left"/>
        <w:rPr>
          <w:color w:val="000000"/>
          <w:sz w:val="24"/>
        </w:rPr>
      </w:pPr>
      <w:r>
        <w:rPr>
          <w:color w:val="000000"/>
          <w:sz w:val="24"/>
        </w:rPr>
        <w:t>账号：</w:t>
      </w:r>
      <w:r>
        <w:rPr>
          <w:rFonts w:hint="eastAsia"/>
          <w:color w:val="000000"/>
          <w:sz w:val="24"/>
        </w:rPr>
        <w:t>44250100000700002046</w:t>
      </w:r>
    </w:p>
    <w:p>
      <w:pPr>
        <w:topLinePunct/>
        <w:spacing w:line="500" w:lineRule="exact"/>
        <w:ind w:firstLine="480" w:firstLineChars="200"/>
        <w:jc w:val="left"/>
        <w:rPr>
          <w:color w:val="000000"/>
          <w:sz w:val="24"/>
        </w:rPr>
      </w:pPr>
      <w:r>
        <w:rPr>
          <w:color w:val="000000"/>
          <w:sz w:val="24"/>
        </w:rPr>
        <w:t>三方共管账户开户银行：工行深圳南山支行</w:t>
      </w:r>
    </w:p>
    <w:p>
      <w:pPr>
        <w:topLinePunct/>
        <w:spacing w:line="500" w:lineRule="exact"/>
        <w:ind w:firstLine="480" w:firstLineChars="200"/>
        <w:jc w:val="left"/>
        <w:rPr>
          <w:color w:val="000000"/>
          <w:sz w:val="24"/>
        </w:rPr>
      </w:pPr>
      <w:r>
        <w:rPr>
          <w:color w:val="000000"/>
          <w:sz w:val="24"/>
        </w:rPr>
        <w:t>账号：4000020338000019193</w:t>
      </w:r>
    </w:p>
    <w:p>
      <w:pPr>
        <w:topLinePunct/>
        <w:spacing w:line="500" w:lineRule="exact"/>
        <w:ind w:firstLine="480" w:firstLineChars="200"/>
        <w:jc w:val="left"/>
        <w:rPr>
          <w:color w:val="000000"/>
          <w:sz w:val="24"/>
        </w:rPr>
      </w:pPr>
      <w:r>
        <w:rPr>
          <w:color w:val="000000"/>
          <w:sz w:val="24"/>
        </w:rPr>
        <w:t>其他账户开户银行：工行深圳南山支行</w:t>
      </w:r>
    </w:p>
    <w:p>
      <w:pPr>
        <w:topLinePunct/>
        <w:spacing w:line="500" w:lineRule="exact"/>
        <w:ind w:firstLine="480" w:firstLineChars="200"/>
        <w:jc w:val="left"/>
        <w:rPr>
          <w:color w:val="000000"/>
          <w:sz w:val="24"/>
        </w:rPr>
      </w:pPr>
      <w:r>
        <w:rPr>
          <w:color w:val="000000"/>
          <w:sz w:val="24"/>
        </w:rPr>
        <w:t>账号：4000020309200154879</w:t>
      </w:r>
    </w:p>
    <w:p>
      <w:pPr>
        <w:topLinePunct/>
        <w:spacing w:line="500" w:lineRule="exact"/>
        <w:ind w:firstLine="480" w:firstLineChars="200"/>
        <w:jc w:val="left"/>
        <w:rPr>
          <w:color w:val="000000"/>
          <w:sz w:val="24"/>
        </w:rPr>
      </w:pPr>
      <w:r>
        <w:rPr>
          <w:color w:val="000000"/>
          <w:sz w:val="24"/>
        </w:rPr>
        <w:t>其他账户开户银行：</w:t>
      </w:r>
      <w:r>
        <w:rPr>
          <w:rFonts w:hint="eastAsia"/>
          <w:color w:val="000000"/>
          <w:sz w:val="24"/>
        </w:rPr>
        <w:t>招商</w:t>
      </w:r>
      <w:r>
        <w:rPr>
          <w:color w:val="000000"/>
          <w:sz w:val="24"/>
        </w:rPr>
        <w:t>银行深圳</w:t>
      </w:r>
      <w:r>
        <w:rPr>
          <w:rFonts w:hint="eastAsia"/>
          <w:color w:val="000000"/>
          <w:sz w:val="24"/>
        </w:rPr>
        <w:t>分行宝安支行</w:t>
      </w:r>
    </w:p>
    <w:p>
      <w:pPr>
        <w:spacing w:line="500" w:lineRule="exact"/>
        <w:ind w:firstLine="480" w:firstLineChars="200"/>
        <w:rPr>
          <w:color w:val="000000"/>
          <w:sz w:val="24"/>
        </w:rPr>
      </w:pPr>
      <w:r>
        <w:rPr>
          <w:color w:val="000000"/>
          <w:sz w:val="24"/>
        </w:rPr>
        <w:t>账号：</w:t>
      </w:r>
      <w:r>
        <w:rPr>
          <w:rFonts w:hint="eastAsia"/>
          <w:color w:val="000000"/>
          <w:sz w:val="24"/>
        </w:rPr>
        <w:t>755949929210606</w:t>
      </w:r>
    </w:p>
    <w:p>
      <w:pPr>
        <w:spacing w:line="500" w:lineRule="exact"/>
        <w:ind w:firstLine="480" w:firstLineChars="200"/>
        <w:rPr>
          <w:color w:val="000000"/>
          <w:sz w:val="24"/>
        </w:rPr>
      </w:pPr>
      <w:r>
        <w:rPr>
          <w:color w:val="000000"/>
          <w:sz w:val="24"/>
        </w:rPr>
        <w:t>其他账户开户银行：</w:t>
      </w:r>
      <w:r>
        <w:rPr>
          <w:rFonts w:hint="eastAsia"/>
          <w:color w:val="000000"/>
          <w:sz w:val="24"/>
        </w:rPr>
        <w:t>建设银行深圳南山支行</w:t>
      </w:r>
    </w:p>
    <w:p>
      <w:pPr>
        <w:topLinePunct/>
        <w:spacing w:line="500" w:lineRule="exact"/>
        <w:ind w:firstLine="468" w:firstLineChars="195"/>
        <w:jc w:val="left"/>
        <w:rPr>
          <w:color w:val="000000"/>
          <w:sz w:val="24"/>
        </w:rPr>
      </w:pPr>
      <w:r>
        <w:rPr>
          <w:rFonts w:hint="eastAsia"/>
          <w:color w:val="000000"/>
          <w:sz w:val="24"/>
        </w:rPr>
        <w:t>账号：</w:t>
      </w:r>
      <w:r>
        <w:rPr>
          <w:color w:val="000000"/>
          <w:sz w:val="24"/>
        </w:rPr>
        <w:t>44201702800052531963</w:t>
      </w:r>
    </w:p>
    <w:p>
      <w:pPr>
        <w:spacing w:line="500" w:lineRule="exact"/>
        <w:ind w:firstLine="480" w:firstLineChars="200"/>
        <w:rPr>
          <w:color w:val="000000"/>
          <w:sz w:val="24"/>
        </w:rPr>
      </w:pPr>
      <w:r>
        <w:rPr>
          <w:color w:val="000000"/>
          <w:sz w:val="24"/>
        </w:rPr>
        <w:t>其他账户开户银行：</w:t>
      </w:r>
      <w:r>
        <w:rPr>
          <w:rFonts w:hint="eastAsia"/>
          <w:color w:val="000000"/>
          <w:sz w:val="24"/>
        </w:rPr>
        <w:t>广发行深圳南山支行</w:t>
      </w:r>
    </w:p>
    <w:p>
      <w:pPr>
        <w:spacing w:line="500" w:lineRule="exact"/>
        <w:ind w:firstLine="480" w:firstLineChars="200"/>
        <w:rPr>
          <w:color w:val="000000"/>
          <w:sz w:val="24"/>
        </w:rPr>
      </w:pPr>
      <w:r>
        <w:rPr>
          <w:rFonts w:hint="eastAsia"/>
          <w:color w:val="000000"/>
          <w:sz w:val="24"/>
        </w:rPr>
        <w:t>账号：9550880207795300158</w:t>
      </w:r>
    </w:p>
    <w:p>
      <w:pPr>
        <w:spacing w:line="500" w:lineRule="exact"/>
        <w:ind w:firstLine="480" w:firstLineChars="200"/>
        <w:rPr>
          <w:color w:val="000000"/>
          <w:sz w:val="24"/>
        </w:rPr>
      </w:pPr>
      <w:r>
        <w:rPr>
          <w:color w:val="000000"/>
          <w:sz w:val="24"/>
        </w:rPr>
        <w:t>其他账户开户银行：</w:t>
      </w:r>
      <w:r>
        <w:rPr>
          <w:rFonts w:hint="eastAsia"/>
          <w:color w:val="000000"/>
          <w:sz w:val="24"/>
        </w:rPr>
        <w:t>中国银行深圳鹏龙支行</w:t>
      </w:r>
    </w:p>
    <w:p>
      <w:pPr>
        <w:topLinePunct/>
        <w:spacing w:line="500" w:lineRule="exact"/>
        <w:ind w:firstLine="468" w:firstLineChars="195"/>
        <w:jc w:val="left"/>
        <w:rPr>
          <w:color w:val="000000"/>
          <w:sz w:val="24"/>
        </w:rPr>
      </w:pPr>
      <w:r>
        <w:rPr>
          <w:rFonts w:hint="eastAsia"/>
          <w:color w:val="000000"/>
          <w:sz w:val="24"/>
        </w:rPr>
        <w:t>账号：756275502011</w:t>
      </w:r>
    </w:p>
    <w:p>
      <w:pPr>
        <w:spacing w:line="500" w:lineRule="exact"/>
        <w:ind w:firstLine="480" w:firstLineChars="200"/>
        <w:rPr>
          <w:sz w:val="24"/>
        </w:rPr>
      </w:pPr>
      <w:r>
        <w:rPr>
          <w:color w:val="000000"/>
          <w:sz w:val="24"/>
        </w:rPr>
        <w:t>幼儿</w:t>
      </w:r>
      <w:r>
        <w:rPr>
          <w:sz w:val="24"/>
        </w:rPr>
        <w:t>园占地面积：6,012.79平方米；建筑面积：</w:t>
      </w:r>
      <w:r>
        <w:rPr>
          <w:rFonts w:hint="eastAsia"/>
          <w:sz w:val="24"/>
        </w:rPr>
        <w:t>4,440.01</w:t>
      </w:r>
      <w:r>
        <w:rPr>
          <w:sz w:val="24"/>
        </w:rPr>
        <w:t>平方米，户外活动场所面积：2,516.78平方米。</w:t>
      </w:r>
    </w:p>
    <w:p>
      <w:pPr>
        <w:spacing w:line="500" w:lineRule="exact"/>
        <w:ind w:firstLine="475" w:firstLineChars="198"/>
        <w:rPr>
          <w:sz w:val="24"/>
        </w:rPr>
      </w:pPr>
      <w:r>
        <w:rPr>
          <w:sz w:val="24"/>
        </w:rPr>
        <w:t>年末在园幼儿数：</w:t>
      </w:r>
      <w:r>
        <w:rPr>
          <w:rFonts w:hint="eastAsia"/>
          <w:sz w:val="24"/>
          <w:lang w:val="en-US" w:eastAsia="zh-CN"/>
        </w:rPr>
        <w:t>279</w:t>
      </w:r>
      <w:r>
        <w:rPr>
          <w:sz w:val="24"/>
        </w:rPr>
        <w:t>人</w:t>
      </w:r>
      <w:r>
        <w:rPr>
          <w:rFonts w:hint="eastAsia"/>
          <w:sz w:val="24"/>
        </w:rPr>
        <w:t>,</w:t>
      </w:r>
      <w:r>
        <w:rPr>
          <w:sz w:val="24"/>
        </w:rPr>
        <w:t>实有班数：</w:t>
      </w:r>
      <w:r>
        <w:rPr>
          <w:rFonts w:hint="eastAsia"/>
          <w:sz w:val="24"/>
          <w:lang w:val="en-US" w:eastAsia="zh-CN"/>
        </w:rPr>
        <w:t>12</w:t>
      </w:r>
      <w:r>
        <w:rPr>
          <w:sz w:val="24"/>
        </w:rPr>
        <w:t>个班、教职工</w:t>
      </w:r>
      <w:r>
        <w:rPr>
          <w:rFonts w:hint="eastAsia"/>
          <w:sz w:val="24"/>
          <w:lang w:val="en-US" w:eastAsia="zh-CN"/>
        </w:rPr>
        <w:t>62</w:t>
      </w:r>
      <w:r>
        <w:rPr>
          <w:sz w:val="24"/>
        </w:rPr>
        <w:t>人，师生比情况：1：</w:t>
      </w:r>
      <w:r>
        <w:rPr>
          <w:rFonts w:hint="eastAsia"/>
          <w:sz w:val="24"/>
          <w:lang w:val="en-US" w:eastAsia="zh-CN"/>
        </w:rPr>
        <w:t>4.5</w:t>
      </w:r>
      <w:r>
        <w:rPr>
          <w:sz w:val="24"/>
        </w:rPr>
        <w:t>，参见“基本数字表”。</w:t>
      </w:r>
    </w:p>
    <w:p>
      <w:pPr>
        <w:spacing w:line="500" w:lineRule="exact"/>
        <w:ind w:firstLine="475" w:firstLineChars="198"/>
        <w:rPr>
          <w:sz w:val="24"/>
        </w:rPr>
      </w:pPr>
    </w:p>
    <w:p>
      <w:pPr>
        <w:widowControl/>
        <w:adjustRightInd w:val="0"/>
        <w:snapToGrid w:val="0"/>
        <w:spacing w:line="500" w:lineRule="exact"/>
        <w:ind w:firstLine="482" w:firstLineChars="200"/>
        <w:outlineLvl w:val="1"/>
        <w:rPr>
          <w:rFonts w:eastAsiaTheme="minorEastAsia"/>
          <w:b/>
          <w:sz w:val="24"/>
        </w:rPr>
      </w:pPr>
      <w:r>
        <w:rPr>
          <w:rFonts w:eastAsiaTheme="minorEastAsia"/>
          <w:b/>
          <w:sz w:val="24"/>
        </w:rPr>
        <w:t>二、主要会计政策和会计估计</w:t>
      </w:r>
    </w:p>
    <w:p>
      <w:pPr>
        <w:widowControl/>
        <w:adjustRightInd w:val="0"/>
        <w:snapToGrid w:val="0"/>
        <w:spacing w:line="500" w:lineRule="exact"/>
        <w:ind w:firstLine="482" w:firstLineChars="200"/>
        <w:outlineLvl w:val="2"/>
        <w:rPr>
          <w:rFonts w:eastAsiaTheme="minorEastAsia"/>
          <w:b/>
          <w:sz w:val="24"/>
        </w:rPr>
      </w:pPr>
      <w:r>
        <w:rPr>
          <w:rFonts w:eastAsiaTheme="minorEastAsia"/>
          <w:b/>
          <w:sz w:val="24"/>
        </w:rPr>
        <w:t>（一）会计政策</w:t>
      </w:r>
    </w:p>
    <w:p>
      <w:pPr>
        <w:topLinePunct/>
        <w:spacing w:line="500" w:lineRule="exact"/>
        <w:ind w:firstLine="480" w:firstLineChars="200"/>
        <w:jc w:val="left"/>
        <w:rPr>
          <w:rFonts w:hint="eastAsia" w:eastAsiaTheme="minorEastAsia"/>
          <w:sz w:val="24"/>
          <w:lang w:val="en-US" w:eastAsia="zh-CN"/>
        </w:rPr>
      </w:pPr>
      <w:r>
        <w:rPr>
          <w:rFonts w:eastAsiaTheme="minorEastAsia"/>
          <w:sz w:val="24"/>
        </w:rPr>
        <w:t>1.会计年度：20</w:t>
      </w:r>
      <w:r>
        <w:rPr>
          <w:rFonts w:hint="eastAsia" w:eastAsiaTheme="minorEastAsia"/>
          <w:sz w:val="24"/>
        </w:rPr>
        <w:t>2</w:t>
      </w:r>
      <w:r>
        <w:rPr>
          <w:rFonts w:hint="eastAsia" w:eastAsiaTheme="minorEastAsia"/>
          <w:sz w:val="24"/>
          <w:lang w:val="en-US" w:eastAsia="zh-CN"/>
        </w:rPr>
        <w:t>4</w:t>
      </w:r>
    </w:p>
    <w:p>
      <w:pPr>
        <w:topLinePunct/>
        <w:spacing w:line="500" w:lineRule="exact"/>
        <w:ind w:firstLine="480" w:firstLineChars="200"/>
        <w:jc w:val="left"/>
        <w:rPr>
          <w:rFonts w:eastAsiaTheme="minorEastAsia"/>
          <w:sz w:val="24"/>
        </w:rPr>
      </w:pPr>
      <w:r>
        <w:rPr>
          <w:rFonts w:eastAsiaTheme="minorEastAsia"/>
          <w:sz w:val="24"/>
        </w:rPr>
        <w:t>本园采用公历年即1月1日至12月31日为一个会计年度。</w:t>
      </w:r>
    </w:p>
    <w:p>
      <w:pPr>
        <w:topLinePunct/>
        <w:spacing w:line="500" w:lineRule="exact"/>
        <w:ind w:firstLine="480" w:firstLineChars="200"/>
        <w:jc w:val="left"/>
        <w:rPr>
          <w:rFonts w:eastAsiaTheme="minorEastAsia"/>
          <w:sz w:val="24"/>
        </w:rPr>
      </w:pPr>
      <w:r>
        <w:rPr>
          <w:rFonts w:eastAsiaTheme="minorEastAsia"/>
          <w:sz w:val="24"/>
        </w:rPr>
        <w:t>本报告会计期间自20</w:t>
      </w:r>
      <w:r>
        <w:rPr>
          <w:rFonts w:hint="eastAsia" w:eastAsiaTheme="minorEastAsia"/>
          <w:sz w:val="24"/>
        </w:rPr>
        <w:t>2</w:t>
      </w:r>
      <w:r>
        <w:rPr>
          <w:rFonts w:hint="eastAsia" w:eastAsiaTheme="minorEastAsia"/>
          <w:sz w:val="24"/>
          <w:lang w:val="en-US" w:eastAsia="zh-CN"/>
        </w:rPr>
        <w:t>4</w:t>
      </w:r>
      <w:r>
        <w:rPr>
          <w:rFonts w:hint="eastAsia" w:eastAsiaTheme="minorEastAsia"/>
          <w:sz w:val="24"/>
        </w:rPr>
        <w:t>年</w:t>
      </w:r>
      <w:r>
        <w:rPr>
          <w:rFonts w:eastAsiaTheme="minorEastAsia"/>
          <w:sz w:val="24"/>
        </w:rPr>
        <w:t>1月1日至20</w:t>
      </w:r>
      <w:r>
        <w:rPr>
          <w:rFonts w:hint="eastAsia" w:eastAsiaTheme="minorEastAsia"/>
          <w:sz w:val="24"/>
        </w:rPr>
        <w:t>2</w:t>
      </w:r>
      <w:r>
        <w:rPr>
          <w:rFonts w:hint="eastAsia" w:eastAsiaTheme="minorEastAsia"/>
          <w:sz w:val="24"/>
          <w:lang w:val="en-US" w:eastAsia="zh-CN"/>
        </w:rPr>
        <w:t>4</w:t>
      </w:r>
      <w:r>
        <w:rPr>
          <w:rFonts w:hint="eastAsia" w:eastAsiaTheme="minorEastAsia"/>
          <w:sz w:val="24"/>
        </w:rPr>
        <w:t>年</w:t>
      </w:r>
      <w:r>
        <w:rPr>
          <w:rFonts w:eastAsiaTheme="minorEastAsia"/>
          <w:sz w:val="24"/>
        </w:rPr>
        <w:t>12月31日。</w:t>
      </w:r>
    </w:p>
    <w:p>
      <w:pPr>
        <w:topLinePunct/>
        <w:spacing w:line="500" w:lineRule="exact"/>
        <w:ind w:firstLine="480" w:firstLineChars="200"/>
        <w:jc w:val="left"/>
        <w:rPr>
          <w:rFonts w:eastAsiaTheme="minorEastAsia"/>
          <w:sz w:val="24"/>
        </w:rPr>
      </w:pPr>
      <w:r>
        <w:rPr>
          <w:rFonts w:eastAsiaTheme="minorEastAsia"/>
          <w:sz w:val="24"/>
        </w:rPr>
        <w:t>2.会计制度：</w:t>
      </w:r>
    </w:p>
    <w:p>
      <w:pPr>
        <w:topLinePunct/>
        <w:spacing w:line="500" w:lineRule="exact"/>
        <w:ind w:firstLine="480" w:firstLineChars="200"/>
        <w:jc w:val="left"/>
        <w:rPr>
          <w:rFonts w:eastAsiaTheme="minorEastAsia"/>
          <w:sz w:val="24"/>
        </w:rPr>
      </w:pPr>
      <w:r>
        <w:rPr>
          <w:rFonts w:eastAsiaTheme="minorEastAsia"/>
          <w:sz w:val="24"/>
        </w:rPr>
        <w:t>本园执行民间非营利组织会计制度。</w:t>
      </w:r>
    </w:p>
    <w:p>
      <w:pPr>
        <w:numPr>
          <w:ilvl w:val="0"/>
          <w:numId w:val="3"/>
        </w:numPr>
        <w:topLinePunct/>
        <w:spacing w:line="500" w:lineRule="exact"/>
        <w:ind w:firstLine="480" w:firstLineChars="200"/>
        <w:jc w:val="left"/>
        <w:rPr>
          <w:rFonts w:eastAsiaTheme="minorEastAsia"/>
          <w:sz w:val="24"/>
        </w:rPr>
      </w:pPr>
      <w:r>
        <w:rPr>
          <w:rFonts w:eastAsiaTheme="minorEastAsia"/>
          <w:sz w:val="24"/>
        </w:rPr>
        <w:t>记账本位币：人民币</w:t>
      </w:r>
    </w:p>
    <w:p>
      <w:pPr>
        <w:numPr>
          <w:ilvl w:val="0"/>
          <w:numId w:val="3"/>
        </w:numPr>
        <w:topLinePunct/>
        <w:spacing w:line="500" w:lineRule="exact"/>
        <w:ind w:firstLine="480" w:firstLineChars="200"/>
        <w:jc w:val="left"/>
        <w:rPr>
          <w:rFonts w:eastAsiaTheme="minorEastAsia"/>
          <w:sz w:val="24"/>
        </w:rPr>
      </w:pPr>
      <w:r>
        <w:rPr>
          <w:rFonts w:eastAsiaTheme="minorEastAsia"/>
          <w:sz w:val="24"/>
        </w:rPr>
        <w:t>记账基础和计价原则：会计核算以权责发生制为记账基础，以历史成本为计价原则。</w:t>
      </w:r>
    </w:p>
    <w:p>
      <w:pPr>
        <w:widowControl/>
        <w:adjustRightInd w:val="0"/>
        <w:snapToGrid w:val="0"/>
        <w:spacing w:line="500" w:lineRule="exact"/>
        <w:ind w:firstLine="482" w:firstLineChars="200"/>
        <w:outlineLvl w:val="2"/>
        <w:rPr>
          <w:rFonts w:eastAsiaTheme="minorEastAsia"/>
          <w:b/>
          <w:sz w:val="24"/>
        </w:rPr>
      </w:pPr>
      <w:r>
        <w:rPr>
          <w:rFonts w:eastAsiaTheme="minorEastAsia"/>
          <w:b/>
          <w:sz w:val="24"/>
        </w:rPr>
        <w:t>（二）存货计价</w:t>
      </w:r>
    </w:p>
    <w:p>
      <w:pPr>
        <w:topLinePunct/>
        <w:spacing w:line="500" w:lineRule="exact"/>
        <w:ind w:firstLine="480" w:firstLineChars="200"/>
        <w:jc w:val="left"/>
        <w:rPr>
          <w:rFonts w:eastAsiaTheme="minorEastAsia"/>
          <w:sz w:val="24"/>
        </w:rPr>
      </w:pPr>
      <w:r>
        <w:rPr>
          <w:rFonts w:eastAsiaTheme="minorEastAsia"/>
          <w:sz w:val="24"/>
        </w:rPr>
        <w:t>1.存货的购入与入库，按实际成本计价。</w:t>
      </w:r>
    </w:p>
    <w:p>
      <w:pPr>
        <w:topLinePunct/>
        <w:spacing w:line="500" w:lineRule="exact"/>
        <w:ind w:firstLine="480" w:firstLineChars="200"/>
        <w:jc w:val="left"/>
        <w:rPr>
          <w:rFonts w:eastAsiaTheme="minorEastAsia"/>
          <w:sz w:val="24"/>
        </w:rPr>
      </w:pPr>
      <w:r>
        <w:rPr>
          <w:rFonts w:eastAsiaTheme="minorEastAsia"/>
          <w:sz w:val="24"/>
        </w:rPr>
        <w:t>2.存货的领用和发出按加权平均法计价。</w:t>
      </w:r>
    </w:p>
    <w:p>
      <w:pPr>
        <w:topLinePunct/>
        <w:spacing w:line="500" w:lineRule="exact"/>
        <w:ind w:firstLine="480" w:firstLineChars="200"/>
        <w:jc w:val="left"/>
        <w:rPr>
          <w:rFonts w:eastAsiaTheme="minorEastAsia"/>
          <w:sz w:val="24"/>
        </w:rPr>
      </w:pPr>
      <w:r>
        <w:rPr>
          <w:rFonts w:eastAsiaTheme="minorEastAsia"/>
          <w:sz w:val="24"/>
        </w:rPr>
        <w:t>3.低值易耗品采用一次转销法摊销。</w:t>
      </w:r>
    </w:p>
    <w:p>
      <w:pPr>
        <w:topLinePunct/>
        <w:spacing w:line="500" w:lineRule="exact"/>
        <w:ind w:firstLine="480" w:firstLineChars="200"/>
        <w:jc w:val="left"/>
        <w:rPr>
          <w:rFonts w:eastAsiaTheme="minorEastAsia"/>
          <w:sz w:val="24"/>
        </w:rPr>
      </w:pPr>
      <w:r>
        <w:rPr>
          <w:rFonts w:eastAsiaTheme="minorEastAsia"/>
          <w:sz w:val="24"/>
        </w:rPr>
        <w:t>4.存货的盘盈、盘亏、毁损、报废结转营业外收支处理。</w:t>
      </w:r>
    </w:p>
    <w:p>
      <w:pPr>
        <w:topLinePunct/>
        <w:spacing w:line="500" w:lineRule="exact"/>
        <w:ind w:firstLine="482" w:firstLineChars="200"/>
        <w:jc w:val="left"/>
        <w:rPr>
          <w:rFonts w:eastAsiaTheme="minorEastAsia"/>
          <w:b/>
          <w:sz w:val="24"/>
        </w:rPr>
      </w:pPr>
      <w:r>
        <w:rPr>
          <w:rFonts w:eastAsiaTheme="minorEastAsia"/>
          <w:b/>
          <w:sz w:val="24"/>
        </w:rPr>
        <w:t>（三）长期待摊费用、无形资产摊销</w:t>
      </w:r>
    </w:p>
    <w:p>
      <w:pPr>
        <w:topLinePunct/>
        <w:spacing w:line="500" w:lineRule="exact"/>
        <w:ind w:firstLine="480" w:firstLineChars="200"/>
        <w:jc w:val="left"/>
        <w:rPr>
          <w:rFonts w:eastAsiaTheme="minorEastAsia"/>
          <w:sz w:val="24"/>
        </w:rPr>
      </w:pPr>
      <w:r>
        <w:rPr>
          <w:rFonts w:eastAsiaTheme="minorEastAsia"/>
          <w:sz w:val="24"/>
        </w:rPr>
        <w:t>本报告会计期间没有发生长期待摊费用、无形资产摊销。</w:t>
      </w:r>
    </w:p>
    <w:p>
      <w:pPr>
        <w:widowControl/>
        <w:adjustRightInd w:val="0"/>
        <w:snapToGrid w:val="0"/>
        <w:spacing w:line="500" w:lineRule="exact"/>
        <w:ind w:firstLine="482" w:firstLineChars="200"/>
        <w:outlineLvl w:val="2"/>
        <w:rPr>
          <w:rFonts w:eastAsiaTheme="minorEastAsia"/>
          <w:b/>
          <w:sz w:val="24"/>
        </w:rPr>
      </w:pPr>
      <w:r>
        <w:rPr>
          <w:rFonts w:eastAsiaTheme="minorEastAsia"/>
          <w:b/>
          <w:sz w:val="24"/>
        </w:rPr>
        <w:t>（四）固定资产及折旧方法</w:t>
      </w:r>
    </w:p>
    <w:p>
      <w:pPr>
        <w:topLinePunct/>
        <w:spacing w:line="500" w:lineRule="exact"/>
        <w:ind w:firstLine="480" w:firstLineChars="200"/>
        <w:jc w:val="left"/>
        <w:rPr>
          <w:rFonts w:eastAsiaTheme="minorEastAsia"/>
          <w:sz w:val="24"/>
        </w:rPr>
      </w:pPr>
      <w:r>
        <w:rPr>
          <w:rFonts w:eastAsiaTheme="minorEastAsia"/>
          <w:sz w:val="24"/>
        </w:rPr>
        <w:t>1.固定资产按实际成本计价。</w:t>
      </w:r>
    </w:p>
    <w:p>
      <w:pPr>
        <w:topLinePunct/>
        <w:spacing w:line="500" w:lineRule="exact"/>
        <w:ind w:firstLine="480" w:firstLineChars="200"/>
        <w:jc w:val="left"/>
        <w:rPr>
          <w:rFonts w:eastAsiaTheme="minorEastAsia"/>
          <w:sz w:val="24"/>
        </w:rPr>
      </w:pPr>
      <w:r>
        <w:rPr>
          <w:rFonts w:eastAsiaTheme="minorEastAsia"/>
          <w:sz w:val="24"/>
        </w:rPr>
        <w:t>2.固定资产分类执行国家标准《固定资产分类与代码》，分为六大类：土地\房屋及构筑物，通用设备（含计算机设备、车辆、办公设备），专用设备（幼儿园指医务室和文体娱乐设备），文物和陈列品，图书\档案，家具\用具\装具及动植物。</w:t>
      </w:r>
    </w:p>
    <w:p>
      <w:pPr>
        <w:topLinePunct/>
        <w:spacing w:line="500" w:lineRule="exact"/>
        <w:ind w:firstLine="480" w:firstLineChars="200"/>
        <w:jc w:val="left"/>
        <w:rPr>
          <w:rFonts w:eastAsiaTheme="minorEastAsia"/>
          <w:sz w:val="24"/>
        </w:rPr>
      </w:pPr>
      <w:r>
        <w:rPr>
          <w:rFonts w:eastAsiaTheme="minorEastAsia"/>
          <w:sz w:val="24"/>
        </w:rPr>
        <w:t>3.固定资产折旧采用平均年限法，预计残值率3%，折旧年限采用A。</w:t>
      </w:r>
    </w:p>
    <w:p>
      <w:pPr>
        <w:topLinePunct/>
        <w:spacing w:line="500" w:lineRule="exact"/>
        <w:ind w:firstLine="480" w:firstLineChars="200"/>
        <w:jc w:val="left"/>
        <w:rPr>
          <w:rFonts w:eastAsiaTheme="minorEastAsia"/>
          <w:sz w:val="24"/>
        </w:rPr>
      </w:pPr>
      <w:r>
        <w:rPr>
          <w:rFonts w:eastAsiaTheme="minorEastAsia"/>
          <w:sz w:val="24"/>
        </w:rPr>
        <w:t>A.税法允许的最低年限    B.价格监审部门的折旧年限    C.在A和B之间自定</w:t>
      </w:r>
    </w:p>
    <w:p>
      <w:pPr>
        <w:topLinePunct/>
        <w:spacing w:line="500" w:lineRule="exact"/>
        <w:ind w:firstLine="480" w:firstLineChars="200"/>
        <w:jc w:val="left"/>
        <w:rPr>
          <w:rFonts w:eastAsiaTheme="minorEastAsia"/>
          <w:sz w:val="24"/>
        </w:rPr>
      </w:pPr>
      <w:r>
        <w:rPr>
          <w:rFonts w:eastAsiaTheme="minorEastAsia"/>
          <w:sz w:val="24"/>
        </w:rPr>
        <w:t>因税法、价格监审部门与国家标准的固定资产分类不一致、不可比，故固定资产实行个别折旧率。</w:t>
      </w:r>
    </w:p>
    <w:p>
      <w:pPr>
        <w:widowControl/>
        <w:adjustRightInd w:val="0"/>
        <w:snapToGrid w:val="0"/>
        <w:spacing w:line="500" w:lineRule="exact"/>
        <w:ind w:firstLine="482" w:firstLineChars="200"/>
        <w:outlineLvl w:val="2"/>
        <w:rPr>
          <w:rFonts w:eastAsiaTheme="minorEastAsia"/>
          <w:b/>
          <w:sz w:val="24"/>
        </w:rPr>
      </w:pPr>
      <w:r>
        <w:rPr>
          <w:rFonts w:eastAsiaTheme="minorEastAsia"/>
          <w:b/>
          <w:sz w:val="24"/>
        </w:rPr>
        <w:t>（五）坏账处理与准备</w:t>
      </w:r>
    </w:p>
    <w:p>
      <w:pPr>
        <w:topLinePunct/>
        <w:spacing w:line="500" w:lineRule="exact"/>
        <w:ind w:left="420" w:leftChars="200"/>
        <w:jc w:val="left"/>
        <w:rPr>
          <w:rFonts w:eastAsiaTheme="minorEastAsia"/>
          <w:sz w:val="24"/>
        </w:rPr>
      </w:pPr>
      <w:r>
        <w:rPr>
          <w:rFonts w:eastAsiaTheme="minorEastAsia"/>
          <w:sz w:val="24"/>
        </w:rPr>
        <w:t xml:space="preserve">1.坏账处理为:直接转销法                               </w:t>
      </w:r>
    </w:p>
    <w:p>
      <w:pPr>
        <w:topLinePunct/>
        <w:spacing w:line="500" w:lineRule="exact"/>
        <w:ind w:left="420" w:leftChars="200"/>
        <w:jc w:val="left"/>
        <w:rPr>
          <w:rFonts w:eastAsiaTheme="minorEastAsia"/>
          <w:sz w:val="24"/>
        </w:rPr>
      </w:pPr>
      <w:r>
        <w:rPr>
          <w:rFonts w:eastAsiaTheme="minorEastAsia"/>
          <w:sz w:val="24"/>
        </w:rPr>
        <w:t>2.坏账准备未提取。</w:t>
      </w:r>
    </w:p>
    <w:p>
      <w:pPr>
        <w:widowControl/>
        <w:adjustRightInd w:val="0"/>
        <w:snapToGrid w:val="0"/>
        <w:spacing w:line="500" w:lineRule="exact"/>
        <w:ind w:firstLine="482" w:firstLineChars="200"/>
        <w:outlineLvl w:val="2"/>
        <w:rPr>
          <w:rFonts w:eastAsiaTheme="minorEastAsia"/>
          <w:b/>
          <w:sz w:val="24"/>
        </w:rPr>
      </w:pPr>
      <w:r>
        <w:rPr>
          <w:rFonts w:eastAsiaTheme="minorEastAsia"/>
          <w:b/>
          <w:sz w:val="24"/>
        </w:rPr>
        <w:t>（六）收入的确认方法</w:t>
      </w:r>
    </w:p>
    <w:p>
      <w:pPr>
        <w:topLinePunct/>
        <w:spacing w:line="500" w:lineRule="exact"/>
        <w:ind w:firstLine="480" w:firstLineChars="200"/>
        <w:jc w:val="left"/>
        <w:rPr>
          <w:rFonts w:eastAsiaTheme="minorEastAsia"/>
          <w:sz w:val="24"/>
        </w:rPr>
      </w:pPr>
      <w:r>
        <w:rPr>
          <w:rFonts w:eastAsiaTheme="minorEastAsia"/>
          <w:sz w:val="24"/>
        </w:rPr>
        <w:t>1.交换交易所形成的收入。按照规定的收费项目、收费标准和收费期间确认收入，包括保教费和其他服务性收费（如伙食费）。其中，在同一会计年度内开始并完成的服务，在完成服务时确认收入。如果服务的开始和完成分属不同的会计年度，按完成的工作量确认收入。按规定取得预收费先在“预收账款”科目反映，然后按规定结转收入。</w:t>
      </w:r>
    </w:p>
    <w:p>
      <w:pPr>
        <w:topLinePunct/>
        <w:spacing w:line="500" w:lineRule="exact"/>
        <w:ind w:firstLine="480" w:firstLineChars="200"/>
        <w:jc w:val="left"/>
        <w:rPr>
          <w:rFonts w:eastAsiaTheme="minorEastAsia"/>
          <w:sz w:val="24"/>
        </w:rPr>
      </w:pPr>
      <w:r>
        <w:rPr>
          <w:rFonts w:eastAsiaTheme="minorEastAsia"/>
          <w:sz w:val="24"/>
        </w:rPr>
        <w:t>2.非交换交易所形成的收入，如社会捐赠或政府资助，在捐赠或政府资助使用时确认收入。</w:t>
      </w:r>
    </w:p>
    <w:p>
      <w:pPr>
        <w:widowControl/>
        <w:adjustRightInd w:val="0"/>
        <w:snapToGrid w:val="0"/>
        <w:spacing w:line="500" w:lineRule="exact"/>
        <w:ind w:firstLine="482" w:firstLineChars="200"/>
        <w:outlineLvl w:val="2"/>
        <w:rPr>
          <w:rFonts w:eastAsiaTheme="minorEastAsia"/>
          <w:b/>
          <w:sz w:val="24"/>
        </w:rPr>
      </w:pPr>
      <w:r>
        <w:rPr>
          <w:rFonts w:eastAsiaTheme="minorEastAsia"/>
          <w:b/>
          <w:sz w:val="24"/>
        </w:rPr>
        <w:t>（七）重要会计政策和会计估计变更及重大会计差错更正的说明</w:t>
      </w:r>
    </w:p>
    <w:p>
      <w:pPr>
        <w:topLinePunct/>
        <w:spacing w:line="500" w:lineRule="exact"/>
        <w:ind w:firstLine="480" w:firstLineChars="200"/>
        <w:jc w:val="left"/>
        <w:rPr>
          <w:rFonts w:eastAsiaTheme="minorEastAsia"/>
          <w:sz w:val="24"/>
        </w:rPr>
      </w:pPr>
      <w:r>
        <w:rPr>
          <w:rFonts w:eastAsiaTheme="minorEastAsia"/>
          <w:sz w:val="24"/>
        </w:rPr>
        <w:t>A．会计政策和会计估计变更：本园未发生会计政策和会计估计变更</w:t>
      </w:r>
    </w:p>
    <w:p>
      <w:pPr>
        <w:topLinePunct/>
        <w:spacing w:line="500" w:lineRule="exact"/>
        <w:ind w:firstLine="480" w:firstLineChars="200"/>
        <w:jc w:val="left"/>
        <w:rPr>
          <w:rFonts w:eastAsiaTheme="minorEastAsia"/>
          <w:sz w:val="24"/>
        </w:rPr>
      </w:pPr>
      <w:r>
        <w:rPr>
          <w:rFonts w:eastAsiaTheme="minorEastAsia"/>
          <w:sz w:val="24"/>
        </w:rPr>
        <w:t>B. 重大会计差错更正: 本园未发生重大会计差错更正</w:t>
      </w:r>
    </w:p>
    <w:p>
      <w:pPr>
        <w:topLinePunct/>
        <w:spacing w:line="500" w:lineRule="exact"/>
        <w:ind w:firstLine="480" w:firstLineChars="200"/>
        <w:jc w:val="left"/>
        <w:rPr>
          <w:rFonts w:eastAsiaTheme="minorEastAsia"/>
          <w:sz w:val="24"/>
        </w:rPr>
      </w:pPr>
    </w:p>
    <w:p>
      <w:pPr>
        <w:widowControl/>
        <w:adjustRightInd w:val="0"/>
        <w:snapToGrid w:val="0"/>
        <w:spacing w:line="600" w:lineRule="exact"/>
        <w:ind w:firstLine="482" w:firstLineChars="200"/>
        <w:outlineLvl w:val="1"/>
        <w:rPr>
          <w:rFonts w:eastAsiaTheme="minorEastAsia"/>
          <w:b/>
          <w:sz w:val="24"/>
        </w:rPr>
      </w:pPr>
      <w:r>
        <w:rPr>
          <w:rFonts w:eastAsiaTheme="minorEastAsia"/>
          <w:b/>
          <w:sz w:val="24"/>
        </w:rPr>
        <w:t>三、财务报表主要项目注释</w:t>
      </w:r>
    </w:p>
    <w:p>
      <w:pPr>
        <w:widowControl/>
        <w:adjustRightInd w:val="0"/>
        <w:snapToGrid w:val="0"/>
        <w:spacing w:line="600" w:lineRule="exact"/>
        <w:ind w:firstLine="482" w:firstLineChars="200"/>
        <w:outlineLvl w:val="2"/>
        <w:rPr>
          <w:rFonts w:eastAsiaTheme="minorEastAsia"/>
          <w:b/>
          <w:sz w:val="24"/>
        </w:rPr>
      </w:pPr>
      <w:r>
        <w:rPr>
          <w:rFonts w:eastAsiaTheme="minorEastAsia"/>
          <w:b/>
          <w:sz w:val="24"/>
        </w:rPr>
        <w:t>注释1. 银行存款及现金</w:t>
      </w:r>
    </w:p>
    <w:p>
      <w:pPr>
        <w:widowControl/>
        <w:adjustRightInd w:val="0"/>
        <w:snapToGrid w:val="0"/>
        <w:spacing w:line="600" w:lineRule="exact"/>
        <w:ind w:firstLine="480" w:firstLineChars="200"/>
        <w:outlineLvl w:val="2"/>
        <w:rPr>
          <w:rFonts w:eastAsiaTheme="minorEastAsia"/>
          <w:sz w:val="24"/>
        </w:rPr>
      </w:pPr>
      <w:r>
        <w:rPr>
          <w:rFonts w:eastAsiaTheme="minorEastAsia"/>
          <w:sz w:val="24"/>
        </w:rPr>
        <w:t>期末银行存款余额</w:t>
      </w:r>
      <w:r>
        <w:rPr>
          <w:rFonts w:hint="eastAsia" w:eastAsiaTheme="minorEastAsia"/>
          <w:sz w:val="24"/>
        </w:rPr>
        <w:t>990,554.46</w:t>
      </w:r>
      <w:r>
        <w:rPr>
          <w:rFonts w:eastAsiaTheme="minorEastAsia"/>
          <w:sz w:val="24"/>
        </w:rPr>
        <w:t>元</w:t>
      </w:r>
      <w:r>
        <w:rPr>
          <w:rFonts w:hint="eastAsia" w:eastAsiaTheme="minorEastAsia"/>
          <w:sz w:val="24"/>
        </w:rPr>
        <w:t>。</w:t>
      </w:r>
    </w:p>
    <w:p>
      <w:pPr>
        <w:widowControl/>
        <w:adjustRightInd w:val="0"/>
        <w:snapToGrid w:val="0"/>
        <w:spacing w:line="600" w:lineRule="exact"/>
        <w:ind w:firstLine="480" w:firstLineChars="200"/>
        <w:outlineLvl w:val="2"/>
        <w:rPr>
          <w:rFonts w:eastAsiaTheme="minorEastAsia"/>
          <w:sz w:val="24"/>
        </w:rPr>
      </w:pPr>
      <w:r>
        <w:rPr>
          <w:rFonts w:eastAsiaTheme="minorEastAsia"/>
          <w:sz w:val="24"/>
        </w:rPr>
        <w:t>其中：基本账户余额</w:t>
      </w:r>
      <w:r>
        <w:rPr>
          <w:rFonts w:hint="eastAsia" w:eastAsiaTheme="minorEastAsia"/>
          <w:sz w:val="24"/>
        </w:rPr>
        <w:t>26,295.78</w:t>
      </w:r>
      <w:r>
        <w:rPr>
          <w:rFonts w:eastAsiaTheme="minorEastAsia"/>
          <w:sz w:val="24"/>
        </w:rPr>
        <w:t>元，三方共管账户余额</w:t>
      </w:r>
      <w:r>
        <w:rPr>
          <w:rFonts w:hint="eastAsia" w:eastAsiaTheme="minorEastAsia"/>
          <w:sz w:val="24"/>
        </w:rPr>
        <w:t>853,228.77</w:t>
      </w:r>
      <w:r>
        <w:rPr>
          <w:rFonts w:eastAsiaTheme="minorEastAsia"/>
          <w:sz w:val="24"/>
        </w:rPr>
        <w:t>元，其他账户余额</w:t>
      </w:r>
      <w:r>
        <w:rPr>
          <w:rFonts w:hint="eastAsia" w:eastAsiaTheme="minorEastAsia"/>
          <w:sz w:val="24"/>
        </w:rPr>
        <w:t>111,029.91</w:t>
      </w:r>
      <w:r>
        <w:rPr>
          <w:rFonts w:eastAsiaTheme="minorEastAsia"/>
          <w:sz w:val="24"/>
        </w:rPr>
        <w:t>元。</w:t>
      </w:r>
    </w:p>
    <w:p>
      <w:pPr>
        <w:widowControl/>
        <w:adjustRightInd w:val="0"/>
        <w:snapToGrid w:val="0"/>
        <w:spacing w:line="600" w:lineRule="exact"/>
        <w:ind w:firstLine="480" w:firstLineChars="200"/>
        <w:outlineLvl w:val="2"/>
        <w:rPr>
          <w:rFonts w:eastAsiaTheme="minorEastAsia"/>
          <w:sz w:val="24"/>
        </w:rPr>
      </w:pPr>
      <w:r>
        <w:rPr>
          <w:rFonts w:eastAsiaTheme="minorEastAsia"/>
          <w:sz w:val="24"/>
        </w:rPr>
        <w:t>期末现金余额</w:t>
      </w:r>
      <w:r>
        <w:rPr>
          <w:rFonts w:hint="eastAsia" w:eastAsiaTheme="minorEastAsia"/>
          <w:sz w:val="24"/>
        </w:rPr>
        <w:t>2,762.15</w:t>
      </w:r>
      <w:r>
        <w:rPr>
          <w:rFonts w:eastAsiaTheme="minorEastAsia"/>
          <w:sz w:val="24"/>
        </w:rPr>
        <w:t>元。</w:t>
      </w:r>
    </w:p>
    <w:p>
      <w:pPr>
        <w:widowControl/>
        <w:adjustRightInd w:val="0"/>
        <w:snapToGrid w:val="0"/>
        <w:spacing w:line="400" w:lineRule="exact"/>
        <w:ind w:firstLine="480" w:firstLineChars="200"/>
        <w:outlineLvl w:val="2"/>
        <w:rPr>
          <w:rFonts w:eastAsiaTheme="minorEastAsia"/>
          <w:sz w:val="24"/>
        </w:rPr>
      </w:pPr>
    </w:p>
    <w:p>
      <w:pPr>
        <w:widowControl/>
        <w:adjustRightInd w:val="0"/>
        <w:snapToGrid w:val="0"/>
        <w:spacing w:line="600" w:lineRule="exact"/>
        <w:ind w:firstLine="482" w:firstLineChars="200"/>
        <w:outlineLvl w:val="2"/>
        <w:rPr>
          <w:rFonts w:eastAsiaTheme="minorEastAsia"/>
          <w:b/>
          <w:sz w:val="24"/>
        </w:rPr>
      </w:pPr>
      <w:r>
        <w:rPr>
          <w:rFonts w:eastAsiaTheme="minorEastAsia"/>
          <w:b/>
          <w:sz w:val="24"/>
        </w:rPr>
        <w:t>注释</w:t>
      </w:r>
      <w:r>
        <w:rPr>
          <w:rFonts w:hint="eastAsia" w:eastAsiaTheme="minorEastAsia"/>
          <w:b/>
          <w:sz w:val="24"/>
        </w:rPr>
        <w:t>2</w:t>
      </w:r>
      <w:r>
        <w:rPr>
          <w:rFonts w:eastAsiaTheme="minorEastAsia"/>
          <w:b/>
          <w:sz w:val="24"/>
        </w:rPr>
        <w:t>. 其他应收账款明细：</w:t>
      </w:r>
    </w:p>
    <w:tbl>
      <w:tblPr>
        <w:tblStyle w:val="6"/>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2087"/>
        <w:gridCol w:w="247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3289" w:type="dxa"/>
            <w:vAlign w:val="center"/>
          </w:tcPr>
          <w:p>
            <w:pPr>
              <w:topLinePunct/>
              <w:spacing w:line="300" w:lineRule="exact"/>
              <w:jc w:val="center"/>
              <w:rPr>
                <w:rFonts w:eastAsiaTheme="minorEastAsia"/>
                <w:sz w:val="24"/>
              </w:rPr>
            </w:pPr>
            <w:r>
              <w:rPr>
                <w:rFonts w:eastAsiaTheme="minorEastAsia"/>
                <w:sz w:val="24"/>
              </w:rPr>
              <w:t>项目(或应付款单位)</w:t>
            </w:r>
          </w:p>
        </w:tc>
        <w:tc>
          <w:tcPr>
            <w:tcW w:w="2087" w:type="dxa"/>
            <w:vAlign w:val="center"/>
          </w:tcPr>
          <w:p>
            <w:pPr>
              <w:topLinePunct/>
              <w:spacing w:line="300" w:lineRule="exact"/>
              <w:jc w:val="center"/>
              <w:rPr>
                <w:rFonts w:eastAsiaTheme="minorEastAsia"/>
                <w:sz w:val="24"/>
              </w:rPr>
            </w:pPr>
            <w:r>
              <w:rPr>
                <w:rFonts w:eastAsiaTheme="minorEastAsia"/>
                <w:sz w:val="24"/>
              </w:rPr>
              <w:t>年末余额</w:t>
            </w:r>
          </w:p>
        </w:tc>
        <w:tc>
          <w:tcPr>
            <w:tcW w:w="2470" w:type="dxa"/>
            <w:vAlign w:val="center"/>
          </w:tcPr>
          <w:p>
            <w:pPr>
              <w:tabs>
                <w:tab w:val="left" w:pos="1361"/>
              </w:tabs>
              <w:spacing w:line="300" w:lineRule="exact"/>
              <w:ind w:left="-635" w:firstLine="633" w:firstLineChars="264"/>
              <w:jc w:val="center"/>
              <w:rPr>
                <w:rFonts w:eastAsiaTheme="minorEastAsia"/>
                <w:sz w:val="24"/>
              </w:rPr>
            </w:pPr>
            <w:r>
              <w:rPr>
                <w:rFonts w:eastAsiaTheme="minorEastAsia"/>
                <w:sz w:val="24"/>
              </w:rPr>
              <w:t>欠款原因</w:t>
            </w:r>
          </w:p>
        </w:tc>
        <w:tc>
          <w:tcPr>
            <w:tcW w:w="1472" w:type="dxa"/>
            <w:vAlign w:val="center"/>
          </w:tcPr>
          <w:p>
            <w:pPr>
              <w:tabs>
                <w:tab w:val="left" w:pos="1361"/>
              </w:tabs>
              <w:spacing w:line="300" w:lineRule="exact"/>
              <w:ind w:left="-635" w:firstLine="633" w:firstLineChars="264"/>
              <w:jc w:val="center"/>
              <w:rPr>
                <w:rFonts w:eastAsiaTheme="minorEastAsia"/>
                <w:sz w:val="24"/>
              </w:rPr>
            </w:pPr>
            <w:r>
              <w:rPr>
                <w:rFonts w:eastAsiaTheme="minorEastAsia"/>
                <w:sz w:val="24"/>
              </w:rPr>
              <w:t>账龄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3289" w:type="dxa"/>
            <w:vAlign w:val="center"/>
          </w:tcPr>
          <w:p>
            <w:pPr>
              <w:spacing w:line="300" w:lineRule="exact"/>
              <w:rPr>
                <w:rFonts w:eastAsiaTheme="minorEastAsia"/>
                <w:sz w:val="24"/>
              </w:rPr>
            </w:pPr>
            <w:r>
              <w:rPr>
                <w:rFonts w:eastAsiaTheme="minorEastAsia"/>
                <w:sz w:val="24"/>
              </w:rPr>
              <w:t>社保费</w:t>
            </w:r>
          </w:p>
        </w:tc>
        <w:tc>
          <w:tcPr>
            <w:tcW w:w="2087" w:type="dxa"/>
            <w:vAlign w:val="center"/>
          </w:tcPr>
          <w:p>
            <w:pPr>
              <w:widowControl/>
              <w:spacing w:line="300" w:lineRule="exact"/>
              <w:jc w:val="right"/>
              <w:textAlignment w:val="center"/>
              <w:rPr>
                <w:rFonts w:eastAsiaTheme="minorEastAsia"/>
                <w:sz w:val="24"/>
              </w:rPr>
            </w:pPr>
            <w:r>
              <w:rPr>
                <w:rFonts w:hint="eastAsia" w:eastAsiaTheme="minorEastAsia"/>
                <w:sz w:val="24"/>
              </w:rPr>
              <w:t>59</w:t>
            </w:r>
            <w:r>
              <w:rPr>
                <w:rFonts w:hint="eastAsia" w:eastAsiaTheme="minorEastAsia"/>
                <w:sz w:val="24"/>
                <w:lang w:val="en-US" w:eastAsia="zh-CN"/>
              </w:rPr>
              <w:t>,</w:t>
            </w:r>
            <w:r>
              <w:rPr>
                <w:rFonts w:hint="eastAsia" w:eastAsiaTheme="minorEastAsia"/>
                <w:sz w:val="24"/>
              </w:rPr>
              <w:t>945.25</w:t>
            </w:r>
          </w:p>
        </w:tc>
        <w:tc>
          <w:tcPr>
            <w:tcW w:w="2470" w:type="dxa"/>
            <w:vAlign w:val="center"/>
          </w:tcPr>
          <w:p>
            <w:pPr>
              <w:tabs>
                <w:tab w:val="left" w:pos="1361"/>
              </w:tabs>
              <w:spacing w:line="300" w:lineRule="exact"/>
              <w:ind w:left="-635" w:firstLine="633" w:firstLineChars="264"/>
              <w:jc w:val="center"/>
              <w:rPr>
                <w:rFonts w:eastAsiaTheme="minorEastAsia"/>
                <w:sz w:val="24"/>
              </w:rPr>
            </w:pPr>
            <w:r>
              <w:rPr>
                <w:rFonts w:eastAsiaTheme="minorEastAsia"/>
                <w:sz w:val="24"/>
              </w:rPr>
              <w:t>社保</w:t>
            </w:r>
          </w:p>
        </w:tc>
        <w:tc>
          <w:tcPr>
            <w:tcW w:w="1472" w:type="dxa"/>
            <w:vAlign w:val="center"/>
          </w:tcPr>
          <w:p>
            <w:pPr>
              <w:tabs>
                <w:tab w:val="left" w:pos="1572"/>
              </w:tabs>
              <w:spacing w:line="300" w:lineRule="exact"/>
              <w:ind w:left="-635" w:firstLine="633" w:firstLineChars="264"/>
              <w:jc w:val="center"/>
              <w:rPr>
                <w:rFonts w:eastAsiaTheme="minorEastAsia"/>
                <w:sz w:val="24"/>
              </w:rPr>
            </w:pPr>
            <w:r>
              <w:rPr>
                <w:rFonts w:eastAsiaTheme="minorEastAsia"/>
                <w:sz w:val="24"/>
              </w:rPr>
              <w:t>1年以内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3289" w:type="dxa"/>
            <w:vAlign w:val="center"/>
          </w:tcPr>
          <w:p>
            <w:pPr>
              <w:spacing w:line="300" w:lineRule="exact"/>
              <w:rPr>
                <w:rFonts w:eastAsiaTheme="minorEastAsia"/>
                <w:sz w:val="24"/>
              </w:rPr>
            </w:pPr>
            <w:r>
              <w:rPr>
                <w:rFonts w:eastAsiaTheme="minorEastAsia"/>
                <w:sz w:val="24"/>
              </w:rPr>
              <w:t>燃气公司</w:t>
            </w:r>
          </w:p>
        </w:tc>
        <w:tc>
          <w:tcPr>
            <w:tcW w:w="2087" w:type="dxa"/>
            <w:vAlign w:val="center"/>
          </w:tcPr>
          <w:p>
            <w:pPr>
              <w:widowControl/>
              <w:spacing w:line="300" w:lineRule="exact"/>
              <w:jc w:val="right"/>
              <w:textAlignment w:val="center"/>
              <w:rPr>
                <w:rFonts w:eastAsiaTheme="minorEastAsia"/>
                <w:sz w:val="24"/>
              </w:rPr>
            </w:pPr>
            <w:r>
              <w:rPr>
                <w:rFonts w:hint="eastAsia" w:eastAsiaTheme="minorEastAsia"/>
                <w:sz w:val="24"/>
              </w:rPr>
              <w:t>15,000.00</w:t>
            </w:r>
          </w:p>
        </w:tc>
        <w:tc>
          <w:tcPr>
            <w:tcW w:w="2470" w:type="dxa"/>
            <w:vAlign w:val="center"/>
          </w:tcPr>
          <w:p>
            <w:pPr>
              <w:tabs>
                <w:tab w:val="left" w:pos="1361"/>
              </w:tabs>
              <w:spacing w:line="300" w:lineRule="exact"/>
              <w:ind w:left="-635" w:firstLine="633" w:firstLineChars="264"/>
              <w:jc w:val="center"/>
              <w:rPr>
                <w:rFonts w:eastAsiaTheme="minorEastAsia"/>
                <w:sz w:val="24"/>
              </w:rPr>
            </w:pPr>
            <w:r>
              <w:rPr>
                <w:rFonts w:eastAsiaTheme="minorEastAsia"/>
                <w:sz w:val="24"/>
              </w:rPr>
              <w:t>煤气押金</w:t>
            </w:r>
          </w:p>
        </w:tc>
        <w:tc>
          <w:tcPr>
            <w:tcW w:w="1472" w:type="dxa"/>
            <w:vAlign w:val="center"/>
          </w:tcPr>
          <w:p>
            <w:pPr>
              <w:tabs>
                <w:tab w:val="left" w:pos="1572"/>
              </w:tabs>
              <w:spacing w:line="300" w:lineRule="exact"/>
              <w:ind w:left="-635" w:firstLine="633" w:firstLineChars="264"/>
              <w:jc w:val="center"/>
              <w:rPr>
                <w:rFonts w:eastAsiaTheme="minorEastAsia"/>
                <w:sz w:val="24"/>
              </w:rPr>
            </w:pPr>
            <w:r>
              <w:rPr>
                <w:rFonts w:eastAsiaTheme="minorEastAsia"/>
                <w:sz w:val="24"/>
              </w:rPr>
              <w:t>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3289" w:type="dxa"/>
            <w:vAlign w:val="center"/>
          </w:tcPr>
          <w:p>
            <w:pPr>
              <w:spacing w:line="300" w:lineRule="exact"/>
              <w:rPr>
                <w:rFonts w:eastAsiaTheme="minorEastAsia"/>
                <w:sz w:val="24"/>
              </w:rPr>
            </w:pPr>
            <w:r>
              <w:rPr>
                <w:rFonts w:eastAsiaTheme="minorEastAsia"/>
                <w:sz w:val="24"/>
              </w:rPr>
              <w:t>住房公积金</w:t>
            </w:r>
          </w:p>
        </w:tc>
        <w:tc>
          <w:tcPr>
            <w:tcW w:w="2087" w:type="dxa"/>
            <w:vAlign w:val="center"/>
          </w:tcPr>
          <w:p>
            <w:pPr>
              <w:widowControl/>
              <w:spacing w:line="300" w:lineRule="exact"/>
              <w:jc w:val="right"/>
              <w:textAlignment w:val="center"/>
              <w:rPr>
                <w:rFonts w:hint="eastAsia" w:eastAsiaTheme="minorEastAsia"/>
                <w:sz w:val="24"/>
                <w:lang w:val="en-US" w:eastAsia="zh-CN"/>
              </w:rPr>
            </w:pPr>
            <w:r>
              <w:rPr>
                <w:rFonts w:hint="eastAsia" w:eastAsiaTheme="minorEastAsia"/>
                <w:sz w:val="24"/>
              </w:rPr>
              <w:t>19</w:t>
            </w:r>
            <w:r>
              <w:rPr>
                <w:rFonts w:hint="eastAsia" w:eastAsiaTheme="minorEastAsia"/>
                <w:sz w:val="24"/>
                <w:lang w:val="en-US" w:eastAsia="zh-CN"/>
              </w:rPr>
              <w:t>,</w:t>
            </w:r>
            <w:r>
              <w:rPr>
                <w:rFonts w:hint="eastAsia" w:eastAsiaTheme="minorEastAsia"/>
                <w:sz w:val="24"/>
              </w:rPr>
              <w:t>781.3</w:t>
            </w:r>
            <w:r>
              <w:rPr>
                <w:rFonts w:hint="eastAsia" w:eastAsiaTheme="minorEastAsia"/>
                <w:sz w:val="24"/>
                <w:lang w:val="en-US" w:eastAsia="zh-CN"/>
              </w:rPr>
              <w:t>0</w:t>
            </w:r>
          </w:p>
        </w:tc>
        <w:tc>
          <w:tcPr>
            <w:tcW w:w="2470" w:type="dxa"/>
            <w:vAlign w:val="center"/>
          </w:tcPr>
          <w:p>
            <w:pPr>
              <w:tabs>
                <w:tab w:val="left" w:pos="1361"/>
              </w:tabs>
              <w:spacing w:line="300" w:lineRule="exact"/>
              <w:ind w:left="-635" w:firstLine="633" w:firstLineChars="264"/>
              <w:jc w:val="center"/>
              <w:rPr>
                <w:rFonts w:eastAsiaTheme="minorEastAsia"/>
                <w:sz w:val="24"/>
              </w:rPr>
            </w:pPr>
            <w:r>
              <w:rPr>
                <w:rFonts w:eastAsiaTheme="minorEastAsia"/>
                <w:sz w:val="24"/>
              </w:rPr>
              <w:t>个人</w:t>
            </w:r>
            <w:r>
              <w:rPr>
                <w:rFonts w:hint="eastAsia" w:eastAsiaTheme="minorEastAsia"/>
                <w:sz w:val="24"/>
                <w:lang w:val="en-US" w:eastAsia="zh-CN"/>
              </w:rPr>
              <w:t>住</w:t>
            </w:r>
            <w:bookmarkStart w:id="5" w:name="_GoBack"/>
            <w:bookmarkEnd w:id="5"/>
            <w:r>
              <w:rPr>
                <w:rFonts w:eastAsiaTheme="minorEastAsia"/>
                <w:sz w:val="24"/>
              </w:rPr>
              <w:t>房公积金</w:t>
            </w:r>
          </w:p>
        </w:tc>
        <w:tc>
          <w:tcPr>
            <w:tcW w:w="1472" w:type="dxa"/>
            <w:vAlign w:val="center"/>
          </w:tcPr>
          <w:p>
            <w:pPr>
              <w:tabs>
                <w:tab w:val="left" w:pos="1572"/>
              </w:tabs>
              <w:spacing w:line="300" w:lineRule="exact"/>
              <w:ind w:left="-635" w:firstLine="633" w:firstLineChars="264"/>
              <w:jc w:val="center"/>
              <w:rPr>
                <w:rFonts w:eastAsiaTheme="minorEastAsia"/>
                <w:sz w:val="24"/>
              </w:rPr>
            </w:pPr>
            <w:r>
              <w:rPr>
                <w:rFonts w:eastAsiaTheme="minorEastAsia"/>
                <w:sz w:val="24"/>
              </w:rPr>
              <w:t>1年以内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3289" w:type="dxa"/>
            <w:vAlign w:val="center"/>
          </w:tcPr>
          <w:p>
            <w:pPr>
              <w:spacing w:line="300" w:lineRule="exact"/>
              <w:rPr>
                <w:rFonts w:eastAsiaTheme="minorEastAsia"/>
                <w:sz w:val="24"/>
              </w:rPr>
            </w:pPr>
            <w:r>
              <w:rPr>
                <w:rFonts w:eastAsiaTheme="minorEastAsia"/>
                <w:sz w:val="24"/>
              </w:rPr>
              <w:t>个人所得税</w:t>
            </w:r>
          </w:p>
        </w:tc>
        <w:tc>
          <w:tcPr>
            <w:tcW w:w="2087" w:type="dxa"/>
            <w:vAlign w:val="center"/>
          </w:tcPr>
          <w:p>
            <w:pPr>
              <w:widowControl/>
              <w:spacing w:line="300" w:lineRule="exact"/>
              <w:jc w:val="right"/>
              <w:textAlignment w:val="center"/>
              <w:rPr>
                <w:rFonts w:eastAsiaTheme="minorEastAsia"/>
                <w:sz w:val="24"/>
              </w:rPr>
            </w:pPr>
            <w:r>
              <w:rPr>
                <w:rFonts w:hint="eastAsia" w:eastAsiaTheme="minorEastAsia"/>
                <w:sz w:val="24"/>
              </w:rPr>
              <w:t>2</w:t>
            </w:r>
            <w:r>
              <w:rPr>
                <w:rFonts w:hint="eastAsia" w:eastAsiaTheme="minorEastAsia"/>
                <w:sz w:val="24"/>
                <w:lang w:val="en-US" w:eastAsia="zh-CN"/>
              </w:rPr>
              <w:t>,</w:t>
            </w:r>
            <w:r>
              <w:rPr>
                <w:rFonts w:hint="eastAsia" w:eastAsiaTheme="minorEastAsia"/>
                <w:sz w:val="24"/>
              </w:rPr>
              <w:t>613.85</w:t>
            </w:r>
          </w:p>
        </w:tc>
        <w:tc>
          <w:tcPr>
            <w:tcW w:w="2470" w:type="dxa"/>
            <w:vAlign w:val="center"/>
          </w:tcPr>
          <w:p>
            <w:pPr>
              <w:tabs>
                <w:tab w:val="left" w:pos="1361"/>
              </w:tabs>
              <w:spacing w:line="300" w:lineRule="exact"/>
              <w:ind w:left="-635" w:firstLine="633" w:firstLineChars="264"/>
              <w:jc w:val="center"/>
              <w:rPr>
                <w:rFonts w:eastAsiaTheme="minorEastAsia"/>
                <w:sz w:val="24"/>
              </w:rPr>
            </w:pPr>
            <w:r>
              <w:rPr>
                <w:rFonts w:eastAsiaTheme="minorEastAsia"/>
                <w:sz w:val="24"/>
              </w:rPr>
              <w:t>个税</w:t>
            </w:r>
          </w:p>
        </w:tc>
        <w:tc>
          <w:tcPr>
            <w:tcW w:w="1472" w:type="dxa"/>
            <w:vAlign w:val="center"/>
          </w:tcPr>
          <w:p>
            <w:pPr>
              <w:tabs>
                <w:tab w:val="left" w:pos="1572"/>
              </w:tabs>
              <w:spacing w:line="300" w:lineRule="exact"/>
              <w:ind w:left="-635" w:firstLine="633" w:firstLineChars="264"/>
              <w:jc w:val="center"/>
              <w:rPr>
                <w:rFonts w:eastAsiaTheme="minorEastAsia"/>
                <w:sz w:val="24"/>
              </w:rPr>
            </w:pPr>
            <w:r>
              <w:rPr>
                <w:rFonts w:eastAsiaTheme="minorEastAsia"/>
                <w:sz w:val="24"/>
              </w:rPr>
              <w:t>1年以内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3289" w:type="dxa"/>
            <w:vAlign w:val="center"/>
          </w:tcPr>
          <w:p>
            <w:pPr>
              <w:spacing w:line="300" w:lineRule="exact"/>
              <w:rPr>
                <w:rFonts w:eastAsiaTheme="minorEastAsia"/>
                <w:sz w:val="24"/>
              </w:rPr>
            </w:pPr>
            <w:r>
              <w:rPr>
                <w:rFonts w:eastAsiaTheme="minorEastAsia"/>
                <w:sz w:val="24"/>
              </w:rPr>
              <w:t>幼儿</w:t>
            </w:r>
          </w:p>
        </w:tc>
        <w:tc>
          <w:tcPr>
            <w:tcW w:w="2087" w:type="dxa"/>
            <w:vAlign w:val="center"/>
          </w:tcPr>
          <w:p>
            <w:pPr>
              <w:widowControl/>
              <w:spacing w:line="300" w:lineRule="exact"/>
              <w:jc w:val="right"/>
              <w:textAlignment w:val="center"/>
              <w:rPr>
                <w:rFonts w:eastAsiaTheme="minorEastAsia"/>
                <w:sz w:val="24"/>
              </w:rPr>
            </w:pPr>
            <w:r>
              <w:rPr>
                <w:rFonts w:hint="eastAsia" w:eastAsiaTheme="minorEastAsia"/>
                <w:sz w:val="24"/>
              </w:rPr>
              <w:t>-2</w:t>
            </w:r>
            <w:r>
              <w:rPr>
                <w:rFonts w:hint="eastAsia" w:eastAsiaTheme="minorEastAsia"/>
                <w:sz w:val="24"/>
                <w:lang w:val="en-US" w:eastAsia="zh-CN"/>
              </w:rPr>
              <w:t>,</w:t>
            </w:r>
            <w:r>
              <w:rPr>
                <w:rFonts w:hint="eastAsia" w:eastAsiaTheme="minorEastAsia"/>
                <w:sz w:val="24"/>
              </w:rPr>
              <w:t>832.51</w:t>
            </w:r>
          </w:p>
        </w:tc>
        <w:tc>
          <w:tcPr>
            <w:tcW w:w="2470" w:type="dxa"/>
            <w:vAlign w:val="center"/>
          </w:tcPr>
          <w:p>
            <w:pPr>
              <w:tabs>
                <w:tab w:val="left" w:pos="1361"/>
              </w:tabs>
              <w:spacing w:line="300" w:lineRule="exact"/>
              <w:ind w:left="-635" w:firstLine="633" w:firstLineChars="264"/>
              <w:jc w:val="center"/>
              <w:rPr>
                <w:rFonts w:eastAsiaTheme="minorEastAsia"/>
                <w:sz w:val="24"/>
              </w:rPr>
            </w:pPr>
            <w:r>
              <w:rPr>
                <w:rFonts w:eastAsiaTheme="minorEastAsia"/>
                <w:sz w:val="24"/>
              </w:rPr>
              <w:t>书包园服款</w:t>
            </w:r>
          </w:p>
        </w:tc>
        <w:tc>
          <w:tcPr>
            <w:tcW w:w="1472" w:type="dxa"/>
            <w:vAlign w:val="center"/>
          </w:tcPr>
          <w:p>
            <w:pPr>
              <w:tabs>
                <w:tab w:val="left" w:pos="1572"/>
              </w:tabs>
              <w:spacing w:line="300" w:lineRule="exact"/>
              <w:ind w:left="-635" w:firstLine="633" w:firstLineChars="264"/>
              <w:jc w:val="center"/>
              <w:rPr>
                <w:rFonts w:eastAsiaTheme="minorEastAsia"/>
                <w:sz w:val="24"/>
              </w:rPr>
            </w:pPr>
            <w:r>
              <w:rPr>
                <w:rFonts w:eastAsiaTheme="minorEastAsia"/>
                <w:sz w:val="24"/>
              </w:rPr>
              <w:t>1年以内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3289" w:type="dxa"/>
            <w:vAlign w:val="center"/>
          </w:tcPr>
          <w:p>
            <w:pPr>
              <w:spacing w:line="300" w:lineRule="exact"/>
              <w:rPr>
                <w:rFonts w:eastAsiaTheme="minorEastAsia"/>
                <w:sz w:val="24"/>
              </w:rPr>
            </w:pPr>
            <w:r>
              <w:rPr>
                <w:rFonts w:eastAsiaTheme="minorEastAsia"/>
                <w:sz w:val="24"/>
              </w:rPr>
              <w:t>教师伙食</w:t>
            </w:r>
          </w:p>
        </w:tc>
        <w:tc>
          <w:tcPr>
            <w:tcW w:w="2087" w:type="dxa"/>
            <w:vAlign w:val="center"/>
          </w:tcPr>
          <w:p>
            <w:pPr>
              <w:widowControl/>
              <w:spacing w:line="300" w:lineRule="exact"/>
              <w:jc w:val="right"/>
              <w:textAlignment w:val="center"/>
              <w:rPr>
                <w:rFonts w:eastAsiaTheme="minorEastAsia"/>
                <w:sz w:val="24"/>
              </w:rPr>
            </w:pPr>
            <w:r>
              <w:rPr>
                <w:rFonts w:hint="eastAsia" w:eastAsiaTheme="minorEastAsia"/>
                <w:sz w:val="24"/>
              </w:rPr>
              <w:t>-80</w:t>
            </w:r>
            <w:r>
              <w:rPr>
                <w:rFonts w:hint="eastAsia" w:eastAsiaTheme="minorEastAsia"/>
                <w:sz w:val="24"/>
                <w:lang w:val="en-US" w:eastAsia="zh-CN"/>
              </w:rPr>
              <w:t>,</w:t>
            </w:r>
            <w:r>
              <w:rPr>
                <w:rFonts w:hint="eastAsia" w:eastAsiaTheme="minorEastAsia"/>
                <w:sz w:val="24"/>
              </w:rPr>
              <w:t>423.83</w:t>
            </w:r>
          </w:p>
        </w:tc>
        <w:tc>
          <w:tcPr>
            <w:tcW w:w="2470" w:type="dxa"/>
            <w:vAlign w:val="center"/>
          </w:tcPr>
          <w:p>
            <w:pPr>
              <w:tabs>
                <w:tab w:val="left" w:pos="1361"/>
              </w:tabs>
              <w:spacing w:line="300" w:lineRule="exact"/>
              <w:ind w:left="-635" w:firstLine="633" w:firstLineChars="264"/>
              <w:jc w:val="center"/>
              <w:rPr>
                <w:rFonts w:eastAsiaTheme="minorEastAsia"/>
                <w:sz w:val="24"/>
              </w:rPr>
            </w:pPr>
            <w:r>
              <w:rPr>
                <w:rFonts w:eastAsiaTheme="minorEastAsia"/>
                <w:sz w:val="24"/>
              </w:rPr>
              <w:t>教师伙食</w:t>
            </w:r>
          </w:p>
        </w:tc>
        <w:tc>
          <w:tcPr>
            <w:tcW w:w="1472" w:type="dxa"/>
            <w:vAlign w:val="center"/>
          </w:tcPr>
          <w:p>
            <w:pPr>
              <w:tabs>
                <w:tab w:val="left" w:pos="1572"/>
              </w:tabs>
              <w:spacing w:line="300" w:lineRule="exact"/>
              <w:ind w:left="-635" w:firstLine="633" w:firstLineChars="264"/>
              <w:jc w:val="center"/>
              <w:rPr>
                <w:rFonts w:eastAsiaTheme="minorEastAsia"/>
                <w:sz w:val="24"/>
              </w:rPr>
            </w:pPr>
            <w:r>
              <w:rPr>
                <w:rFonts w:eastAsiaTheme="minorEastAsia"/>
                <w:sz w:val="24"/>
              </w:rPr>
              <w:t>1年以内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3289" w:type="dxa"/>
            <w:vAlign w:val="center"/>
          </w:tcPr>
          <w:p>
            <w:pPr>
              <w:spacing w:line="300" w:lineRule="exact"/>
              <w:rPr>
                <w:rFonts w:eastAsiaTheme="minorEastAsia"/>
                <w:sz w:val="24"/>
              </w:rPr>
            </w:pPr>
            <w:r>
              <w:rPr>
                <w:rFonts w:hint="eastAsia" w:eastAsiaTheme="minorEastAsia"/>
                <w:sz w:val="24"/>
              </w:rPr>
              <w:t>沈映淳</w:t>
            </w:r>
          </w:p>
        </w:tc>
        <w:tc>
          <w:tcPr>
            <w:tcW w:w="2087" w:type="dxa"/>
            <w:vAlign w:val="center"/>
          </w:tcPr>
          <w:p>
            <w:pPr>
              <w:widowControl/>
              <w:spacing w:line="300" w:lineRule="exact"/>
              <w:jc w:val="right"/>
              <w:textAlignment w:val="center"/>
              <w:rPr>
                <w:rFonts w:eastAsiaTheme="minorEastAsia"/>
                <w:sz w:val="24"/>
              </w:rPr>
            </w:pPr>
            <w:r>
              <w:rPr>
                <w:rFonts w:hint="eastAsia" w:eastAsiaTheme="minorEastAsia"/>
                <w:sz w:val="24"/>
              </w:rPr>
              <w:t>5,000.00</w:t>
            </w:r>
          </w:p>
        </w:tc>
        <w:tc>
          <w:tcPr>
            <w:tcW w:w="2470" w:type="dxa"/>
            <w:vAlign w:val="center"/>
          </w:tcPr>
          <w:p>
            <w:pPr>
              <w:tabs>
                <w:tab w:val="left" w:pos="1361"/>
              </w:tabs>
              <w:spacing w:line="300" w:lineRule="exact"/>
              <w:ind w:left="-635" w:firstLine="633" w:firstLineChars="264"/>
              <w:jc w:val="center"/>
              <w:rPr>
                <w:rFonts w:eastAsiaTheme="minorEastAsia"/>
                <w:sz w:val="24"/>
              </w:rPr>
            </w:pPr>
            <w:r>
              <w:rPr>
                <w:rFonts w:hint="eastAsia" w:eastAsiaTheme="minorEastAsia"/>
                <w:sz w:val="24"/>
              </w:rPr>
              <w:t>备用金</w:t>
            </w:r>
          </w:p>
        </w:tc>
        <w:tc>
          <w:tcPr>
            <w:tcW w:w="1472" w:type="dxa"/>
            <w:vAlign w:val="center"/>
          </w:tcPr>
          <w:p>
            <w:pPr>
              <w:tabs>
                <w:tab w:val="left" w:pos="1572"/>
              </w:tabs>
              <w:spacing w:line="300" w:lineRule="exact"/>
              <w:ind w:left="-635" w:firstLine="633" w:firstLineChars="264"/>
              <w:jc w:val="center"/>
              <w:rPr>
                <w:rFonts w:hint="eastAsia" w:eastAsiaTheme="minorEastAsia"/>
                <w:sz w:val="24"/>
                <w:lang w:val="en-US" w:eastAsia="zh-CN"/>
              </w:rPr>
            </w:pPr>
            <w:r>
              <w:rPr>
                <w:rFonts w:eastAsiaTheme="minorEastAsia"/>
                <w:sz w:val="24"/>
              </w:rPr>
              <w:t>1年以</w:t>
            </w:r>
            <w:r>
              <w:rPr>
                <w:rFonts w:hint="eastAsia" w:eastAsiaTheme="minorEastAsia"/>
                <w:sz w:val="24"/>
                <w:lang w:val="en-US" w:eastAsia="zh-C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3289" w:type="dxa"/>
            <w:vAlign w:val="center"/>
          </w:tcPr>
          <w:p>
            <w:pPr>
              <w:topLinePunct/>
              <w:spacing w:line="300" w:lineRule="exact"/>
              <w:jc w:val="center"/>
              <w:rPr>
                <w:rFonts w:eastAsiaTheme="minorEastAsia"/>
                <w:sz w:val="24"/>
              </w:rPr>
            </w:pPr>
            <w:r>
              <w:rPr>
                <w:rFonts w:eastAsiaTheme="minorEastAsia"/>
                <w:sz w:val="24"/>
              </w:rPr>
              <w:t>合计</w:t>
            </w:r>
          </w:p>
        </w:tc>
        <w:tc>
          <w:tcPr>
            <w:tcW w:w="2087" w:type="dxa"/>
            <w:vAlign w:val="center"/>
          </w:tcPr>
          <w:p>
            <w:pPr>
              <w:widowControl/>
              <w:spacing w:line="300" w:lineRule="exact"/>
              <w:jc w:val="right"/>
              <w:textAlignment w:val="center"/>
              <w:rPr>
                <w:rFonts w:eastAsiaTheme="minorEastAsia"/>
                <w:sz w:val="24"/>
              </w:rPr>
            </w:pPr>
            <w:r>
              <w:rPr>
                <w:rFonts w:eastAsiaTheme="minorEastAsia"/>
                <w:sz w:val="24"/>
              </w:rPr>
              <w:fldChar w:fldCharType="begin"/>
            </w:r>
            <w:r>
              <w:rPr>
                <w:rFonts w:eastAsiaTheme="minorEastAsia"/>
                <w:sz w:val="24"/>
              </w:rPr>
              <w:instrText xml:space="preserve"> = sum(B2:B8) \* MERGEFORMAT </w:instrText>
            </w:r>
            <w:r>
              <w:rPr>
                <w:rFonts w:eastAsiaTheme="minorEastAsia"/>
                <w:sz w:val="24"/>
              </w:rPr>
              <w:fldChar w:fldCharType="separate"/>
            </w:r>
            <w:r>
              <w:rPr>
                <w:rFonts w:eastAsiaTheme="minorEastAsia"/>
                <w:sz w:val="24"/>
              </w:rPr>
              <w:t>19</w:t>
            </w:r>
            <w:r>
              <w:rPr>
                <w:rFonts w:hint="eastAsia" w:eastAsiaTheme="minorEastAsia"/>
                <w:sz w:val="24"/>
                <w:lang w:val="en-US" w:eastAsia="zh-CN"/>
              </w:rPr>
              <w:t>,</w:t>
            </w:r>
            <w:r>
              <w:rPr>
                <w:rFonts w:eastAsiaTheme="minorEastAsia"/>
                <w:sz w:val="24"/>
              </w:rPr>
              <w:t>084.06</w:t>
            </w:r>
            <w:r>
              <w:rPr>
                <w:rFonts w:eastAsiaTheme="minorEastAsia"/>
                <w:sz w:val="24"/>
              </w:rPr>
              <w:fldChar w:fldCharType="end"/>
            </w:r>
          </w:p>
        </w:tc>
        <w:tc>
          <w:tcPr>
            <w:tcW w:w="2470" w:type="dxa"/>
            <w:vAlign w:val="center"/>
          </w:tcPr>
          <w:p>
            <w:pPr>
              <w:widowControl/>
              <w:spacing w:line="300" w:lineRule="exact"/>
              <w:jc w:val="right"/>
              <w:textAlignment w:val="center"/>
              <w:rPr>
                <w:rFonts w:eastAsiaTheme="minorEastAsia"/>
                <w:sz w:val="24"/>
              </w:rPr>
            </w:pPr>
          </w:p>
        </w:tc>
        <w:tc>
          <w:tcPr>
            <w:tcW w:w="1472" w:type="dxa"/>
            <w:vAlign w:val="center"/>
          </w:tcPr>
          <w:p>
            <w:pPr>
              <w:tabs>
                <w:tab w:val="left" w:pos="1572"/>
              </w:tabs>
              <w:spacing w:line="300" w:lineRule="exact"/>
              <w:ind w:left="-3" w:firstLine="631" w:firstLineChars="263"/>
              <w:jc w:val="center"/>
              <w:rPr>
                <w:rFonts w:eastAsiaTheme="minorEastAsia"/>
                <w:sz w:val="24"/>
              </w:rPr>
            </w:pPr>
          </w:p>
        </w:tc>
      </w:tr>
    </w:tbl>
    <w:p>
      <w:pPr>
        <w:widowControl/>
        <w:adjustRightInd w:val="0"/>
        <w:snapToGrid w:val="0"/>
        <w:spacing w:line="600" w:lineRule="exact"/>
        <w:ind w:firstLine="482" w:firstLineChars="200"/>
        <w:outlineLvl w:val="2"/>
        <w:rPr>
          <w:rFonts w:eastAsiaTheme="minorEastAsia"/>
          <w:b/>
          <w:sz w:val="24"/>
        </w:rPr>
      </w:pPr>
    </w:p>
    <w:p>
      <w:pPr>
        <w:widowControl/>
        <w:adjustRightInd w:val="0"/>
        <w:snapToGrid w:val="0"/>
        <w:spacing w:line="600" w:lineRule="exact"/>
        <w:ind w:firstLine="482" w:firstLineChars="200"/>
        <w:outlineLvl w:val="2"/>
        <w:rPr>
          <w:rFonts w:eastAsiaTheme="minorEastAsia"/>
          <w:b/>
          <w:sz w:val="24"/>
        </w:rPr>
      </w:pPr>
      <w:r>
        <w:rPr>
          <w:rFonts w:eastAsiaTheme="minorEastAsia"/>
          <w:b/>
          <w:sz w:val="24"/>
        </w:rPr>
        <w:t>注释</w:t>
      </w:r>
      <w:r>
        <w:rPr>
          <w:rFonts w:hint="eastAsia" w:eastAsiaTheme="minorEastAsia"/>
          <w:b/>
          <w:sz w:val="24"/>
        </w:rPr>
        <w:t>3</w:t>
      </w:r>
      <w:r>
        <w:rPr>
          <w:rFonts w:eastAsiaTheme="minorEastAsia"/>
          <w:b/>
          <w:sz w:val="24"/>
        </w:rPr>
        <w:t>.固定资产和累计折旧</w:t>
      </w:r>
    </w:p>
    <w:tbl>
      <w:tblPr>
        <w:tblStyle w:val="6"/>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1701"/>
        <w:gridCol w:w="1499"/>
        <w:gridCol w:w="127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blHeader/>
        </w:trPr>
        <w:tc>
          <w:tcPr>
            <w:tcW w:w="3298" w:type="dxa"/>
            <w:vAlign w:val="center"/>
          </w:tcPr>
          <w:p>
            <w:pPr>
              <w:topLinePunct/>
              <w:spacing w:line="300" w:lineRule="exact"/>
              <w:jc w:val="center"/>
              <w:rPr>
                <w:rFonts w:eastAsiaTheme="minorEastAsia"/>
                <w:bCs/>
                <w:sz w:val="24"/>
              </w:rPr>
            </w:pPr>
            <w:r>
              <w:rPr>
                <w:rFonts w:eastAsiaTheme="minorEastAsia"/>
                <w:bCs/>
                <w:sz w:val="24"/>
              </w:rPr>
              <w:t>项    目</w:t>
            </w:r>
          </w:p>
        </w:tc>
        <w:tc>
          <w:tcPr>
            <w:tcW w:w="1701" w:type="dxa"/>
            <w:vAlign w:val="center"/>
          </w:tcPr>
          <w:p>
            <w:pPr>
              <w:topLinePunct/>
              <w:spacing w:line="300" w:lineRule="exact"/>
              <w:jc w:val="center"/>
              <w:rPr>
                <w:rFonts w:eastAsiaTheme="minorEastAsia"/>
                <w:bCs/>
                <w:sz w:val="24"/>
              </w:rPr>
            </w:pPr>
            <w:r>
              <w:rPr>
                <w:rFonts w:eastAsiaTheme="minorEastAsia"/>
                <w:bCs/>
                <w:sz w:val="24"/>
              </w:rPr>
              <w:t>期初余额</w:t>
            </w:r>
          </w:p>
        </w:tc>
        <w:tc>
          <w:tcPr>
            <w:tcW w:w="1499" w:type="dxa"/>
            <w:vAlign w:val="center"/>
          </w:tcPr>
          <w:p>
            <w:pPr>
              <w:topLinePunct/>
              <w:spacing w:line="300" w:lineRule="exact"/>
              <w:jc w:val="center"/>
              <w:rPr>
                <w:rFonts w:eastAsiaTheme="minorEastAsia"/>
                <w:bCs/>
                <w:sz w:val="24"/>
              </w:rPr>
            </w:pPr>
            <w:r>
              <w:rPr>
                <w:rFonts w:eastAsiaTheme="minorEastAsia"/>
                <w:bCs/>
                <w:sz w:val="24"/>
              </w:rPr>
              <w:t>本期增加</w:t>
            </w:r>
          </w:p>
        </w:tc>
        <w:tc>
          <w:tcPr>
            <w:tcW w:w="1278" w:type="dxa"/>
            <w:vAlign w:val="center"/>
          </w:tcPr>
          <w:p>
            <w:pPr>
              <w:topLinePunct/>
              <w:spacing w:line="300" w:lineRule="exact"/>
              <w:jc w:val="center"/>
              <w:rPr>
                <w:rFonts w:eastAsiaTheme="minorEastAsia"/>
                <w:bCs/>
                <w:sz w:val="24"/>
              </w:rPr>
            </w:pPr>
            <w:r>
              <w:rPr>
                <w:rFonts w:eastAsiaTheme="minorEastAsia"/>
                <w:bCs/>
                <w:sz w:val="24"/>
              </w:rPr>
              <w:t>本期减少</w:t>
            </w:r>
          </w:p>
        </w:tc>
        <w:tc>
          <w:tcPr>
            <w:tcW w:w="1561" w:type="dxa"/>
            <w:vAlign w:val="center"/>
          </w:tcPr>
          <w:p>
            <w:pPr>
              <w:topLinePunct/>
              <w:spacing w:line="300" w:lineRule="exact"/>
              <w:jc w:val="center"/>
              <w:rPr>
                <w:rFonts w:eastAsiaTheme="minorEastAsia"/>
                <w:bCs/>
                <w:sz w:val="24"/>
              </w:rPr>
            </w:pPr>
            <w:r>
              <w:rPr>
                <w:rFonts w:eastAsiaTheme="minorEastAsia"/>
                <w:bCs/>
                <w:sz w:val="24"/>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rPr>
                <w:rFonts w:eastAsiaTheme="minorEastAsia"/>
                <w:bCs/>
                <w:sz w:val="24"/>
              </w:rPr>
            </w:pPr>
            <w:r>
              <w:rPr>
                <w:rFonts w:eastAsiaTheme="minorEastAsia"/>
                <w:bCs/>
                <w:sz w:val="24"/>
              </w:rPr>
              <w:t>一、固定资产原值</w:t>
            </w:r>
          </w:p>
        </w:tc>
        <w:tc>
          <w:tcPr>
            <w:tcW w:w="1701" w:type="dxa"/>
            <w:vAlign w:val="center"/>
          </w:tcPr>
          <w:p>
            <w:pPr>
              <w:topLinePunct/>
              <w:spacing w:line="300" w:lineRule="exact"/>
              <w:ind w:leftChars="-49" w:hanging="103" w:hangingChars="43"/>
              <w:jc w:val="right"/>
              <w:rPr>
                <w:sz w:val="24"/>
              </w:rPr>
            </w:pPr>
            <w:r>
              <w:rPr>
                <w:rFonts w:hint="eastAsia" w:eastAsiaTheme="minorEastAsia"/>
                <w:sz w:val="24"/>
              </w:rPr>
              <w:t>2</w:t>
            </w:r>
            <w:r>
              <w:rPr>
                <w:rFonts w:hint="eastAsia" w:eastAsiaTheme="minorEastAsia"/>
                <w:sz w:val="24"/>
                <w:lang w:val="en-US" w:eastAsia="zh-CN"/>
              </w:rPr>
              <w:t>,</w:t>
            </w:r>
            <w:r>
              <w:rPr>
                <w:rFonts w:hint="eastAsia" w:eastAsiaTheme="minorEastAsia"/>
                <w:sz w:val="24"/>
              </w:rPr>
              <w:t>549</w:t>
            </w:r>
            <w:r>
              <w:rPr>
                <w:rFonts w:hint="eastAsia" w:eastAsiaTheme="minorEastAsia"/>
                <w:sz w:val="24"/>
                <w:lang w:val="en-US" w:eastAsia="zh-CN"/>
              </w:rPr>
              <w:t>,</w:t>
            </w:r>
            <w:r>
              <w:rPr>
                <w:rFonts w:hint="eastAsia" w:eastAsiaTheme="minorEastAsia"/>
                <w:sz w:val="24"/>
              </w:rPr>
              <w:t>476.29</w:t>
            </w:r>
          </w:p>
        </w:tc>
        <w:tc>
          <w:tcPr>
            <w:tcW w:w="1499" w:type="dxa"/>
            <w:vAlign w:val="center"/>
          </w:tcPr>
          <w:p>
            <w:pPr>
              <w:widowControl/>
              <w:jc w:val="right"/>
              <w:textAlignment w:val="center"/>
              <w:rPr>
                <w:rFonts w:hint="default" w:eastAsia="宋体"/>
                <w:color w:val="000000"/>
                <w:sz w:val="24"/>
                <w:lang w:val="en-US" w:eastAsia="zh-CN"/>
              </w:rPr>
            </w:pPr>
            <w:r>
              <w:rPr>
                <w:rFonts w:hint="eastAsia"/>
                <w:color w:val="000000"/>
                <w:kern w:val="0"/>
                <w:sz w:val="24"/>
              </w:rPr>
              <w:t>16</w:t>
            </w:r>
            <w:r>
              <w:rPr>
                <w:rFonts w:hint="eastAsia"/>
                <w:color w:val="000000"/>
                <w:kern w:val="0"/>
                <w:sz w:val="24"/>
                <w:lang w:val="en-US" w:eastAsia="zh-CN"/>
              </w:rPr>
              <w:t>,</w:t>
            </w:r>
            <w:r>
              <w:rPr>
                <w:rFonts w:hint="eastAsia"/>
                <w:color w:val="000000"/>
                <w:kern w:val="0"/>
                <w:sz w:val="24"/>
              </w:rPr>
              <w:t>083</w:t>
            </w:r>
            <w:r>
              <w:rPr>
                <w:rFonts w:hint="eastAsia"/>
                <w:color w:val="000000"/>
                <w:kern w:val="0"/>
                <w:sz w:val="24"/>
                <w:lang w:val="en-US" w:eastAsia="zh-CN"/>
              </w:rPr>
              <w:t>.00</w:t>
            </w:r>
          </w:p>
        </w:tc>
        <w:tc>
          <w:tcPr>
            <w:tcW w:w="1278" w:type="dxa"/>
            <w:vAlign w:val="center"/>
          </w:tcPr>
          <w:p>
            <w:pPr>
              <w:topLinePunct/>
              <w:spacing w:line="300" w:lineRule="exact"/>
              <w:ind w:leftChars="-49" w:hanging="103" w:hangingChars="43"/>
              <w:jc w:val="right"/>
              <w:rPr>
                <w:rFonts w:eastAsiaTheme="minorEastAsia"/>
                <w:sz w:val="24"/>
              </w:rPr>
            </w:pPr>
          </w:p>
        </w:tc>
        <w:tc>
          <w:tcPr>
            <w:tcW w:w="1561" w:type="dxa"/>
            <w:vAlign w:val="center"/>
          </w:tcPr>
          <w:p>
            <w:pPr>
              <w:topLinePunct/>
              <w:spacing w:line="300" w:lineRule="exact"/>
              <w:ind w:leftChars="-49" w:hanging="103" w:hangingChars="43"/>
              <w:jc w:val="right"/>
              <w:rPr>
                <w:rFonts w:eastAsiaTheme="minorEastAsia"/>
                <w:sz w:val="24"/>
              </w:rPr>
            </w:pPr>
            <w:r>
              <w:rPr>
                <w:rFonts w:eastAsiaTheme="minorEastAsia"/>
                <w:sz w:val="24"/>
              </w:rPr>
              <w:fldChar w:fldCharType="begin"/>
            </w:r>
            <w:r>
              <w:rPr>
                <w:rFonts w:eastAsiaTheme="minorEastAsia"/>
                <w:sz w:val="24"/>
              </w:rPr>
              <w:instrText xml:space="preserve"> = sum(B2:D2) \* MERGEFORMAT </w:instrText>
            </w:r>
            <w:r>
              <w:rPr>
                <w:rFonts w:eastAsiaTheme="minorEastAsia"/>
                <w:sz w:val="24"/>
              </w:rPr>
              <w:fldChar w:fldCharType="separate"/>
            </w:r>
            <w:r>
              <w:rPr>
                <w:rFonts w:eastAsiaTheme="minorEastAsia"/>
                <w:sz w:val="24"/>
              </w:rPr>
              <w:t>2</w:t>
            </w:r>
            <w:r>
              <w:rPr>
                <w:rFonts w:hint="eastAsia" w:eastAsiaTheme="minorEastAsia"/>
                <w:sz w:val="24"/>
                <w:lang w:val="en-US" w:eastAsia="zh-CN"/>
              </w:rPr>
              <w:t>,</w:t>
            </w:r>
            <w:r>
              <w:rPr>
                <w:rFonts w:eastAsiaTheme="minorEastAsia"/>
                <w:sz w:val="24"/>
              </w:rPr>
              <w:t>565</w:t>
            </w:r>
            <w:r>
              <w:rPr>
                <w:rFonts w:hint="eastAsia" w:eastAsiaTheme="minorEastAsia"/>
                <w:sz w:val="24"/>
                <w:lang w:val="en-US" w:eastAsia="zh-CN"/>
              </w:rPr>
              <w:t>,</w:t>
            </w:r>
            <w:r>
              <w:rPr>
                <w:rFonts w:eastAsiaTheme="minorEastAsia"/>
                <w:sz w:val="24"/>
              </w:rPr>
              <w:t>559.29</w:t>
            </w:r>
            <w:r>
              <w:rPr>
                <w:rFonts w:eastAsiaTheme="minorEastAsia"/>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ind w:firstLine="360" w:firstLineChars="150"/>
              <w:rPr>
                <w:rFonts w:eastAsiaTheme="minorEastAsia"/>
                <w:bCs/>
                <w:sz w:val="24"/>
              </w:rPr>
            </w:pPr>
            <w:r>
              <w:rPr>
                <w:rFonts w:eastAsiaTheme="minorEastAsia"/>
                <w:bCs/>
                <w:sz w:val="24"/>
              </w:rPr>
              <w:t>1.土地\房屋及构筑物</w:t>
            </w:r>
          </w:p>
        </w:tc>
        <w:tc>
          <w:tcPr>
            <w:tcW w:w="1701" w:type="dxa"/>
            <w:vAlign w:val="center"/>
          </w:tcPr>
          <w:p>
            <w:pPr>
              <w:widowControl/>
              <w:jc w:val="right"/>
              <w:textAlignment w:val="center"/>
              <w:rPr>
                <w:sz w:val="24"/>
              </w:rPr>
            </w:pPr>
            <w:r>
              <w:rPr>
                <w:color w:val="000000"/>
                <w:kern w:val="0"/>
                <w:sz w:val="24"/>
              </w:rPr>
              <w:t>189,000.00</w:t>
            </w:r>
          </w:p>
        </w:tc>
        <w:tc>
          <w:tcPr>
            <w:tcW w:w="1499" w:type="dxa"/>
            <w:vAlign w:val="center"/>
          </w:tcPr>
          <w:p>
            <w:pPr>
              <w:topLinePunct/>
              <w:spacing w:line="300" w:lineRule="exact"/>
              <w:jc w:val="right"/>
              <w:rPr>
                <w:rFonts w:eastAsiaTheme="minorEastAsia"/>
                <w:sz w:val="24"/>
              </w:rPr>
            </w:pPr>
          </w:p>
        </w:tc>
        <w:tc>
          <w:tcPr>
            <w:tcW w:w="1278" w:type="dxa"/>
            <w:vAlign w:val="center"/>
          </w:tcPr>
          <w:p>
            <w:pPr>
              <w:topLinePunct/>
              <w:spacing w:line="300" w:lineRule="exact"/>
              <w:jc w:val="right"/>
              <w:rPr>
                <w:rFonts w:eastAsiaTheme="minorEastAsia"/>
                <w:sz w:val="24"/>
              </w:rPr>
            </w:pPr>
          </w:p>
        </w:tc>
        <w:tc>
          <w:tcPr>
            <w:tcW w:w="1561" w:type="dxa"/>
            <w:vAlign w:val="center"/>
          </w:tcPr>
          <w:p>
            <w:pPr>
              <w:widowControl/>
              <w:jc w:val="right"/>
              <w:textAlignment w:val="center"/>
              <w:rPr>
                <w:sz w:val="24"/>
              </w:rPr>
            </w:pPr>
            <w:r>
              <w:rPr>
                <w:color w:val="000000"/>
                <w:kern w:val="0"/>
                <w:sz w:val="24"/>
              </w:rPr>
              <w:t>189,000.00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ind w:firstLine="360" w:firstLineChars="150"/>
              <w:rPr>
                <w:rFonts w:eastAsiaTheme="minorEastAsia"/>
                <w:bCs/>
                <w:sz w:val="24"/>
              </w:rPr>
            </w:pPr>
            <w:r>
              <w:rPr>
                <w:rFonts w:eastAsiaTheme="minorEastAsia"/>
                <w:bCs/>
                <w:sz w:val="24"/>
              </w:rPr>
              <w:t>2.通用设备</w:t>
            </w:r>
          </w:p>
        </w:tc>
        <w:tc>
          <w:tcPr>
            <w:tcW w:w="1701" w:type="dxa"/>
            <w:vAlign w:val="center"/>
          </w:tcPr>
          <w:p>
            <w:pPr>
              <w:widowControl/>
              <w:jc w:val="right"/>
              <w:textAlignment w:val="center"/>
              <w:rPr>
                <w:sz w:val="24"/>
              </w:rPr>
            </w:pPr>
            <w:r>
              <w:rPr>
                <w:rFonts w:hint="eastAsia"/>
                <w:color w:val="000000"/>
                <w:kern w:val="0"/>
                <w:sz w:val="24"/>
              </w:rPr>
              <w:t>830</w:t>
            </w:r>
            <w:r>
              <w:rPr>
                <w:rFonts w:hint="eastAsia"/>
                <w:color w:val="000000"/>
                <w:kern w:val="0"/>
                <w:sz w:val="24"/>
                <w:lang w:val="en-US" w:eastAsia="zh-CN"/>
              </w:rPr>
              <w:t>,</w:t>
            </w:r>
            <w:r>
              <w:rPr>
                <w:rFonts w:hint="eastAsia"/>
                <w:color w:val="000000"/>
                <w:kern w:val="0"/>
                <w:sz w:val="24"/>
              </w:rPr>
              <w:t>973.85</w:t>
            </w:r>
          </w:p>
        </w:tc>
        <w:tc>
          <w:tcPr>
            <w:tcW w:w="1499" w:type="dxa"/>
            <w:vAlign w:val="center"/>
          </w:tcPr>
          <w:p>
            <w:pPr>
              <w:widowControl/>
              <w:jc w:val="right"/>
              <w:textAlignment w:val="center"/>
              <w:rPr>
                <w:rFonts w:hint="default" w:eastAsia="宋体"/>
                <w:color w:val="000000"/>
                <w:sz w:val="24"/>
                <w:lang w:val="en-US" w:eastAsia="zh-CN"/>
              </w:rPr>
            </w:pPr>
            <w:r>
              <w:rPr>
                <w:rFonts w:hint="eastAsia"/>
                <w:color w:val="000000"/>
                <w:kern w:val="0"/>
                <w:sz w:val="24"/>
              </w:rPr>
              <w:t>16</w:t>
            </w:r>
            <w:r>
              <w:rPr>
                <w:rFonts w:hint="eastAsia"/>
                <w:color w:val="000000"/>
                <w:kern w:val="0"/>
                <w:sz w:val="24"/>
                <w:lang w:val="en-US" w:eastAsia="zh-CN"/>
              </w:rPr>
              <w:t>,</w:t>
            </w:r>
            <w:r>
              <w:rPr>
                <w:rFonts w:hint="eastAsia"/>
                <w:color w:val="000000"/>
                <w:kern w:val="0"/>
                <w:sz w:val="24"/>
              </w:rPr>
              <w:t>083</w:t>
            </w:r>
            <w:r>
              <w:rPr>
                <w:rFonts w:hint="eastAsia"/>
                <w:color w:val="000000"/>
                <w:kern w:val="0"/>
                <w:sz w:val="24"/>
                <w:lang w:val="en-US" w:eastAsia="zh-CN"/>
              </w:rPr>
              <w:t>.00</w:t>
            </w:r>
          </w:p>
        </w:tc>
        <w:tc>
          <w:tcPr>
            <w:tcW w:w="1278" w:type="dxa"/>
            <w:vAlign w:val="center"/>
          </w:tcPr>
          <w:p>
            <w:pPr>
              <w:topLinePunct/>
              <w:spacing w:line="300" w:lineRule="exact"/>
              <w:jc w:val="right"/>
              <w:rPr>
                <w:rFonts w:eastAsiaTheme="minorEastAsia"/>
                <w:sz w:val="24"/>
              </w:rPr>
            </w:pPr>
          </w:p>
        </w:tc>
        <w:tc>
          <w:tcPr>
            <w:tcW w:w="1561" w:type="dxa"/>
            <w:vAlign w:val="center"/>
          </w:tcPr>
          <w:p>
            <w:pPr>
              <w:widowControl/>
              <w:jc w:val="right"/>
              <w:textAlignment w:val="center"/>
              <w:rPr>
                <w:sz w:val="24"/>
              </w:rPr>
            </w:pPr>
            <w:r>
              <w:rPr>
                <w:sz w:val="24"/>
              </w:rPr>
              <w:fldChar w:fldCharType="begin"/>
            </w:r>
            <w:r>
              <w:rPr>
                <w:sz w:val="24"/>
              </w:rPr>
              <w:instrText xml:space="preserve"> = sum(B4:D4) \* MERGEFORMAT </w:instrText>
            </w:r>
            <w:r>
              <w:rPr>
                <w:sz w:val="24"/>
              </w:rPr>
              <w:fldChar w:fldCharType="separate"/>
            </w:r>
            <w:r>
              <w:rPr>
                <w:sz w:val="24"/>
              </w:rPr>
              <w:t>847</w:t>
            </w:r>
            <w:r>
              <w:rPr>
                <w:rFonts w:hint="eastAsia"/>
                <w:sz w:val="24"/>
                <w:lang w:val="en-US" w:eastAsia="zh-CN"/>
              </w:rPr>
              <w:t>,</w:t>
            </w:r>
            <w:r>
              <w:rPr>
                <w:sz w:val="24"/>
              </w:rPr>
              <w:t>056.85</w:t>
            </w:r>
            <w:r>
              <w:rPr>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ind w:firstLine="360" w:firstLineChars="150"/>
              <w:rPr>
                <w:rFonts w:eastAsiaTheme="minorEastAsia"/>
                <w:bCs/>
                <w:sz w:val="24"/>
              </w:rPr>
            </w:pPr>
            <w:r>
              <w:rPr>
                <w:rFonts w:eastAsiaTheme="minorEastAsia"/>
                <w:bCs/>
                <w:sz w:val="24"/>
              </w:rPr>
              <w:t>3.专用设备</w:t>
            </w:r>
          </w:p>
        </w:tc>
        <w:tc>
          <w:tcPr>
            <w:tcW w:w="1701" w:type="dxa"/>
            <w:vAlign w:val="center"/>
          </w:tcPr>
          <w:p>
            <w:pPr>
              <w:widowControl/>
              <w:jc w:val="right"/>
              <w:textAlignment w:val="center"/>
              <w:rPr>
                <w:sz w:val="24"/>
              </w:rPr>
            </w:pPr>
            <w:r>
              <w:rPr>
                <w:color w:val="000000"/>
                <w:kern w:val="0"/>
                <w:sz w:val="24"/>
              </w:rPr>
              <w:t>733,761.64</w:t>
            </w:r>
          </w:p>
        </w:tc>
        <w:tc>
          <w:tcPr>
            <w:tcW w:w="1499" w:type="dxa"/>
            <w:vAlign w:val="center"/>
          </w:tcPr>
          <w:p>
            <w:pPr>
              <w:topLinePunct/>
              <w:spacing w:line="300" w:lineRule="exact"/>
              <w:ind w:leftChars="-49" w:hanging="103" w:hangingChars="43"/>
              <w:jc w:val="right"/>
              <w:rPr>
                <w:rFonts w:eastAsiaTheme="minorEastAsia"/>
                <w:sz w:val="24"/>
              </w:rPr>
            </w:pPr>
          </w:p>
        </w:tc>
        <w:tc>
          <w:tcPr>
            <w:tcW w:w="1278" w:type="dxa"/>
            <w:vAlign w:val="center"/>
          </w:tcPr>
          <w:p>
            <w:pPr>
              <w:topLinePunct/>
              <w:spacing w:line="300" w:lineRule="exact"/>
              <w:ind w:leftChars="-49" w:hanging="103" w:hangingChars="43"/>
              <w:jc w:val="right"/>
              <w:rPr>
                <w:rFonts w:eastAsiaTheme="minorEastAsia"/>
                <w:sz w:val="24"/>
              </w:rPr>
            </w:pPr>
          </w:p>
        </w:tc>
        <w:tc>
          <w:tcPr>
            <w:tcW w:w="1561" w:type="dxa"/>
            <w:vAlign w:val="center"/>
          </w:tcPr>
          <w:p>
            <w:pPr>
              <w:widowControl/>
              <w:jc w:val="right"/>
              <w:textAlignment w:val="center"/>
              <w:rPr>
                <w:sz w:val="24"/>
              </w:rPr>
            </w:pPr>
            <w:r>
              <w:rPr>
                <w:color w:val="000000"/>
                <w:kern w:val="0"/>
                <w:sz w:val="24"/>
              </w:rPr>
              <w:t>733,761.64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ind w:firstLine="360" w:firstLineChars="150"/>
              <w:rPr>
                <w:rFonts w:eastAsiaTheme="minorEastAsia"/>
                <w:bCs/>
                <w:sz w:val="24"/>
              </w:rPr>
            </w:pPr>
            <w:r>
              <w:rPr>
                <w:rFonts w:eastAsiaTheme="minorEastAsia"/>
                <w:bCs/>
                <w:sz w:val="24"/>
              </w:rPr>
              <w:t>4.文物和陈列品</w:t>
            </w:r>
          </w:p>
        </w:tc>
        <w:tc>
          <w:tcPr>
            <w:tcW w:w="1701" w:type="dxa"/>
            <w:vAlign w:val="center"/>
          </w:tcPr>
          <w:p>
            <w:pPr>
              <w:jc w:val="right"/>
              <w:rPr>
                <w:sz w:val="24"/>
              </w:rPr>
            </w:pPr>
          </w:p>
        </w:tc>
        <w:tc>
          <w:tcPr>
            <w:tcW w:w="1499" w:type="dxa"/>
            <w:vAlign w:val="center"/>
          </w:tcPr>
          <w:p>
            <w:pPr>
              <w:spacing w:line="300" w:lineRule="exact"/>
              <w:ind w:leftChars="-49" w:hanging="103" w:hangingChars="43"/>
              <w:jc w:val="right"/>
              <w:rPr>
                <w:rFonts w:eastAsiaTheme="minorEastAsia"/>
                <w:sz w:val="24"/>
              </w:rPr>
            </w:pPr>
          </w:p>
        </w:tc>
        <w:tc>
          <w:tcPr>
            <w:tcW w:w="1278" w:type="dxa"/>
            <w:vAlign w:val="center"/>
          </w:tcPr>
          <w:p>
            <w:pPr>
              <w:topLinePunct/>
              <w:spacing w:line="300" w:lineRule="exact"/>
              <w:ind w:leftChars="-49" w:hanging="103" w:hangingChars="43"/>
              <w:jc w:val="right"/>
              <w:rPr>
                <w:rFonts w:eastAsiaTheme="minorEastAsia"/>
                <w:sz w:val="24"/>
              </w:rPr>
            </w:pPr>
          </w:p>
        </w:tc>
        <w:tc>
          <w:tcPr>
            <w:tcW w:w="1561" w:type="dxa"/>
            <w:vAlign w:val="center"/>
          </w:tcPr>
          <w:p>
            <w:pPr>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ind w:firstLine="360" w:firstLineChars="150"/>
              <w:rPr>
                <w:rFonts w:eastAsiaTheme="minorEastAsia"/>
                <w:bCs/>
                <w:sz w:val="24"/>
              </w:rPr>
            </w:pPr>
            <w:r>
              <w:rPr>
                <w:rFonts w:eastAsiaTheme="minorEastAsia"/>
                <w:bCs/>
                <w:sz w:val="24"/>
              </w:rPr>
              <w:t>5.图书\档案</w:t>
            </w:r>
          </w:p>
        </w:tc>
        <w:tc>
          <w:tcPr>
            <w:tcW w:w="1701" w:type="dxa"/>
            <w:vAlign w:val="center"/>
          </w:tcPr>
          <w:p>
            <w:pPr>
              <w:jc w:val="right"/>
              <w:rPr>
                <w:sz w:val="24"/>
              </w:rPr>
            </w:pPr>
          </w:p>
        </w:tc>
        <w:tc>
          <w:tcPr>
            <w:tcW w:w="1499" w:type="dxa"/>
            <w:vAlign w:val="center"/>
          </w:tcPr>
          <w:p>
            <w:pPr>
              <w:topLinePunct/>
              <w:spacing w:line="300" w:lineRule="exact"/>
              <w:ind w:leftChars="-49" w:hanging="103" w:hangingChars="43"/>
              <w:jc w:val="right"/>
              <w:rPr>
                <w:rFonts w:eastAsiaTheme="minorEastAsia"/>
                <w:sz w:val="24"/>
              </w:rPr>
            </w:pPr>
          </w:p>
        </w:tc>
        <w:tc>
          <w:tcPr>
            <w:tcW w:w="1278" w:type="dxa"/>
            <w:vAlign w:val="center"/>
          </w:tcPr>
          <w:p>
            <w:pPr>
              <w:topLinePunct/>
              <w:spacing w:line="300" w:lineRule="exact"/>
              <w:ind w:leftChars="-49" w:hanging="103" w:hangingChars="43"/>
              <w:jc w:val="right"/>
              <w:rPr>
                <w:rFonts w:eastAsiaTheme="minorEastAsia"/>
                <w:sz w:val="24"/>
              </w:rPr>
            </w:pPr>
          </w:p>
        </w:tc>
        <w:tc>
          <w:tcPr>
            <w:tcW w:w="1561" w:type="dxa"/>
          </w:tcPr>
          <w:p>
            <w:pPr>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tcBorders>
              <w:bottom w:val="single" w:color="auto" w:sz="4" w:space="0"/>
            </w:tcBorders>
            <w:vAlign w:val="center"/>
          </w:tcPr>
          <w:p>
            <w:pPr>
              <w:topLinePunct/>
              <w:spacing w:line="300" w:lineRule="exact"/>
              <w:ind w:firstLine="360" w:firstLineChars="150"/>
              <w:rPr>
                <w:rFonts w:eastAsiaTheme="minorEastAsia"/>
                <w:bCs/>
                <w:sz w:val="24"/>
              </w:rPr>
            </w:pPr>
            <w:r>
              <w:rPr>
                <w:rFonts w:eastAsiaTheme="minorEastAsia"/>
                <w:bCs/>
                <w:sz w:val="24"/>
              </w:rPr>
              <w:t>6.家具\用具\装具及动植物</w:t>
            </w:r>
          </w:p>
        </w:tc>
        <w:tc>
          <w:tcPr>
            <w:tcW w:w="1701" w:type="dxa"/>
            <w:tcBorders>
              <w:bottom w:val="single" w:color="auto" w:sz="4" w:space="0"/>
            </w:tcBorders>
            <w:vAlign w:val="center"/>
          </w:tcPr>
          <w:p>
            <w:pPr>
              <w:topLinePunct/>
              <w:spacing w:line="300" w:lineRule="exact"/>
              <w:ind w:leftChars="-49" w:hanging="103" w:hangingChars="43"/>
              <w:jc w:val="right"/>
              <w:rPr>
                <w:sz w:val="24"/>
              </w:rPr>
            </w:pPr>
            <w:r>
              <w:rPr>
                <w:rFonts w:hint="eastAsia" w:eastAsiaTheme="minorEastAsia"/>
                <w:sz w:val="24"/>
              </w:rPr>
              <w:t>795,740.80</w:t>
            </w:r>
          </w:p>
        </w:tc>
        <w:tc>
          <w:tcPr>
            <w:tcW w:w="1499" w:type="dxa"/>
            <w:tcBorders>
              <w:bottom w:val="single" w:color="auto" w:sz="4" w:space="0"/>
            </w:tcBorders>
            <w:vAlign w:val="center"/>
          </w:tcPr>
          <w:p>
            <w:pPr>
              <w:topLinePunct/>
              <w:spacing w:line="300" w:lineRule="exact"/>
              <w:ind w:leftChars="-49" w:hanging="103" w:hangingChars="43"/>
              <w:jc w:val="right"/>
              <w:rPr>
                <w:rFonts w:eastAsiaTheme="minorEastAsia"/>
                <w:sz w:val="24"/>
              </w:rPr>
            </w:pPr>
          </w:p>
        </w:tc>
        <w:tc>
          <w:tcPr>
            <w:tcW w:w="1278" w:type="dxa"/>
            <w:tcBorders>
              <w:bottom w:val="single" w:color="auto" w:sz="4" w:space="0"/>
            </w:tcBorders>
            <w:vAlign w:val="center"/>
          </w:tcPr>
          <w:p>
            <w:pPr>
              <w:topLinePunct/>
              <w:spacing w:line="300" w:lineRule="exact"/>
              <w:ind w:leftChars="-49" w:hanging="103" w:hangingChars="43"/>
              <w:jc w:val="right"/>
              <w:rPr>
                <w:rFonts w:eastAsiaTheme="minorEastAsia"/>
                <w:sz w:val="24"/>
              </w:rPr>
            </w:pPr>
          </w:p>
        </w:tc>
        <w:tc>
          <w:tcPr>
            <w:tcW w:w="1561" w:type="dxa"/>
            <w:tcBorders>
              <w:bottom w:val="single" w:color="auto" w:sz="4" w:space="0"/>
            </w:tcBorders>
            <w:vAlign w:val="center"/>
          </w:tcPr>
          <w:p>
            <w:pPr>
              <w:topLinePunct/>
              <w:spacing w:line="300" w:lineRule="exact"/>
              <w:ind w:leftChars="-49" w:hanging="103" w:hangingChars="43"/>
              <w:jc w:val="right"/>
              <w:rPr>
                <w:rFonts w:eastAsiaTheme="minorEastAsia"/>
                <w:sz w:val="24"/>
              </w:rPr>
            </w:pPr>
            <w:r>
              <w:rPr>
                <w:rFonts w:hint="eastAsia" w:eastAsiaTheme="minorEastAsia"/>
                <w:sz w:val="24"/>
              </w:rPr>
              <w:t>795,740.80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tcBorders>
              <w:top w:val="single" w:color="auto" w:sz="4" w:space="0"/>
            </w:tcBorders>
            <w:vAlign w:val="center"/>
          </w:tcPr>
          <w:p>
            <w:pPr>
              <w:topLinePunct/>
              <w:spacing w:line="300" w:lineRule="exact"/>
              <w:rPr>
                <w:rFonts w:eastAsiaTheme="minorEastAsia"/>
                <w:bCs/>
                <w:sz w:val="24"/>
              </w:rPr>
            </w:pPr>
            <w:r>
              <w:rPr>
                <w:rFonts w:eastAsiaTheme="minorEastAsia"/>
                <w:bCs/>
                <w:sz w:val="24"/>
              </w:rPr>
              <w:t>二、累计折旧</w:t>
            </w:r>
          </w:p>
        </w:tc>
        <w:tc>
          <w:tcPr>
            <w:tcW w:w="1701" w:type="dxa"/>
            <w:tcBorders>
              <w:top w:val="single" w:color="auto" w:sz="4" w:space="0"/>
            </w:tcBorders>
            <w:vAlign w:val="center"/>
          </w:tcPr>
          <w:p>
            <w:pPr>
              <w:topLinePunct/>
              <w:spacing w:line="300" w:lineRule="exact"/>
              <w:ind w:leftChars="-49" w:hanging="103" w:hangingChars="43"/>
              <w:jc w:val="right"/>
              <w:rPr>
                <w:rFonts w:eastAsiaTheme="minorEastAsia"/>
                <w:sz w:val="24"/>
              </w:rPr>
            </w:pPr>
            <w:r>
              <w:rPr>
                <w:rFonts w:hint="eastAsia" w:eastAsiaTheme="minorEastAsia"/>
                <w:sz w:val="24"/>
              </w:rPr>
              <w:t>2</w:t>
            </w:r>
            <w:r>
              <w:rPr>
                <w:rFonts w:hint="eastAsia" w:eastAsiaTheme="minorEastAsia"/>
                <w:sz w:val="24"/>
                <w:lang w:val="en-US" w:eastAsia="zh-CN"/>
              </w:rPr>
              <w:t>,</w:t>
            </w:r>
            <w:r>
              <w:rPr>
                <w:rFonts w:hint="eastAsia" w:eastAsiaTheme="minorEastAsia"/>
                <w:sz w:val="24"/>
              </w:rPr>
              <w:t>315</w:t>
            </w:r>
            <w:r>
              <w:rPr>
                <w:rFonts w:hint="eastAsia" w:eastAsiaTheme="minorEastAsia"/>
                <w:sz w:val="24"/>
                <w:lang w:val="en-US" w:eastAsia="zh-CN"/>
              </w:rPr>
              <w:t>,</w:t>
            </w:r>
            <w:r>
              <w:rPr>
                <w:rFonts w:hint="eastAsia" w:eastAsiaTheme="minorEastAsia"/>
                <w:sz w:val="24"/>
              </w:rPr>
              <w:t>738.72</w:t>
            </w:r>
          </w:p>
        </w:tc>
        <w:tc>
          <w:tcPr>
            <w:tcW w:w="1499" w:type="dxa"/>
            <w:tcBorders>
              <w:top w:val="single" w:color="auto" w:sz="4" w:space="0"/>
            </w:tcBorders>
            <w:vAlign w:val="center"/>
          </w:tcPr>
          <w:p>
            <w:pPr>
              <w:widowControl/>
              <w:jc w:val="right"/>
              <w:textAlignment w:val="center"/>
              <w:rPr>
                <w:rFonts w:eastAsiaTheme="minorEastAsia"/>
                <w:sz w:val="24"/>
              </w:rPr>
            </w:pPr>
            <w:r>
              <w:rPr>
                <w:rFonts w:hint="eastAsia"/>
                <w:color w:val="000000"/>
                <w:kern w:val="0"/>
                <w:sz w:val="24"/>
              </w:rPr>
              <w:t>51</w:t>
            </w:r>
            <w:r>
              <w:rPr>
                <w:rFonts w:hint="eastAsia"/>
                <w:color w:val="000000"/>
                <w:kern w:val="0"/>
                <w:sz w:val="24"/>
                <w:lang w:val="en-US" w:eastAsia="zh-CN"/>
              </w:rPr>
              <w:t>,</w:t>
            </w:r>
            <w:r>
              <w:rPr>
                <w:rFonts w:hint="eastAsia"/>
                <w:color w:val="000000"/>
                <w:kern w:val="0"/>
                <w:sz w:val="24"/>
              </w:rPr>
              <w:t>919.11</w:t>
            </w:r>
          </w:p>
        </w:tc>
        <w:tc>
          <w:tcPr>
            <w:tcW w:w="1278" w:type="dxa"/>
            <w:tcBorders>
              <w:top w:val="single" w:color="auto" w:sz="4" w:space="0"/>
            </w:tcBorders>
            <w:vAlign w:val="center"/>
          </w:tcPr>
          <w:p>
            <w:pPr>
              <w:topLinePunct/>
              <w:spacing w:line="300" w:lineRule="exact"/>
              <w:ind w:leftChars="-49" w:hanging="103" w:hangingChars="43"/>
              <w:jc w:val="right"/>
              <w:rPr>
                <w:rFonts w:eastAsiaTheme="minorEastAsia"/>
                <w:sz w:val="24"/>
              </w:rPr>
            </w:pPr>
          </w:p>
        </w:tc>
        <w:tc>
          <w:tcPr>
            <w:tcW w:w="1561" w:type="dxa"/>
            <w:tcBorders>
              <w:top w:val="single" w:color="auto" w:sz="4" w:space="0"/>
            </w:tcBorders>
            <w:vAlign w:val="center"/>
          </w:tcPr>
          <w:p>
            <w:pPr>
              <w:topLinePunct/>
              <w:spacing w:line="300" w:lineRule="exact"/>
              <w:ind w:leftChars="-49" w:hanging="103" w:hangingChars="43"/>
              <w:jc w:val="right"/>
              <w:rPr>
                <w:rFonts w:eastAsiaTheme="minorEastAsia"/>
                <w:sz w:val="24"/>
              </w:rPr>
            </w:pPr>
            <w:r>
              <w:rPr>
                <w:rFonts w:eastAsiaTheme="minorEastAsia"/>
                <w:sz w:val="24"/>
              </w:rPr>
              <w:fldChar w:fldCharType="begin"/>
            </w:r>
            <w:r>
              <w:rPr>
                <w:rFonts w:eastAsiaTheme="minorEastAsia"/>
                <w:sz w:val="24"/>
              </w:rPr>
              <w:instrText xml:space="preserve"> = sum(B9:D9) \* MERGEFORMAT </w:instrText>
            </w:r>
            <w:r>
              <w:rPr>
                <w:rFonts w:eastAsiaTheme="minorEastAsia"/>
                <w:sz w:val="24"/>
              </w:rPr>
              <w:fldChar w:fldCharType="separate"/>
            </w:r>
            <w:r>
              <w:rPr>
                <w:rFonts w:eastAsiaTheme="minorEastAsia"/>
                <w:sz w:val="24"/>
              </w:rPr>
              <w:t>2</w:t>
            </w:r>
            <w:r>
              <w:rPr>
                <w:rFonts w:hint="eastAsia" w:eastAsiaTheme="minorEastAsia"/>
                <w:sz w:val="24"/>
                <w:lang w:val="en-US" w:eastAsia="zh-CN"/>
              </w:rPr>
              <w:t>,</w:t>
            </w:r>
            <w:r>
              <w:rPr>
                <w:rFonts w:eastAsiaTheme="minorEastAsia"/>
                <w:sz w:val="24"/>
              </w:rPr>
              <w:t>367</w:t>
            </w:r>
            <w:r>
              <w:rPr>
                <w:rFonts w:hint="eastAsia" w:eastAsiaTheme="minorEastAsia"/>
                <w:sz w:val="24"/>
                <w:lang w:val="en-US" w:eastAsia="zh-CN"/>
              </w:rPr>
              <w:t>,</w:t>
            </w:r>
            <w:r>
              <w:rPr>
                <w:rFonts w:eastAsiaTheme="minorEastAsia"/>
                <w:sz w:val="24"/>
              </w:rPr>
              <w:t>657.83</w:t>
            </w:r>
            <w:r>
              <w:rPr>
                <w:rFonts w:eastAsiaTheme="minorEastAsia"/>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ind w:firstLine="360" w:firstLineChars="150"/>
              <w:rPr>
                <w:rFonts w:eastAsiaTheme="minorEastAsia"/>
                <w:bCs/>
                <w:sz w:val="24"/>
              </w:rPr>
            </w:pPr>
            <w:r>
              <w:rPr>
                <w:rFonts w:eastAsiaTheme="minorEastAsia"/>
                <w:bCs/>
                <w:sz w:val="24"/>
              </w:rPr>
              <w:t>1.土地\房屋及构筑物</w:t>
            </w:r>
          </w:p>
        </w:tc>
        <w:tc>
          <w:tcPr>
            <w:tcW w:w="1701" w:type="dxa"/>
            <w:vAlign w:val="center"/>
          </w:tcPr>
          <w:p>
            <w:pPr>
              <w:widowControl/>
              <w:jc w:val="right"/>
              <w:textAlignment w:val="center"/>
              <w:rPr>
                <w:rFonts w:eastAsiaTheme="minorEastAsia"/>
                <w:sz w:val="24"/>
              </w:rPr>
            </w:pPr>
            <w:r>
              <w:rPr>
                <w:color w:val="000000"/>
                <w:kern w:val="0"/>
                <w:sz w:val="24"/>
              </w:rPr>
              <w:t>179,550.00</w:t>
            </w:r>
          </w:p>
        </w:tc>
        <w:tc>
          <w:tcPr>
            <w:tcW w:w="1499" w:type="dxa"/>
            <w:vAlign w:val="center"/>
          </w:tcPr>
          <w:p>
            <w:pPr>
              <w:widowControl/>
              <w:jc w:val="right"/>
              <w:textAlignment w:val="center"/>
              <w:rPr>
                <w:rFonts w:eastAsiaTheme="minorEastAsia"/>
                <w:sz w:val="24"/>
              </w:rPr>
            </w:pPr>
          </w:p>
        </w:tc>
        <w:tc>
          <w:tcPr>
            <w:tcW w:w="1278" w:type="dxa"/>
            <w:vAlign w:val="center"/>
          </w:tcPr>
          <w:p>
            <w:pPr>
              <w:topLinePunct/>
              <w:spacing w:line="300" w:lineRule="exact"/>
              <w:ind w:leftChars="-49" w:hanging="103" w:hangingChars="43"/>
              <w:jc w:val="right"/>
              <w:rPr>
                <w:rFonts w:eastAsiaTheme="minorEastAsia"/>
                <w:sz w:val="24"/>
              </w:rPr>
            </w:pPr>
          </w:p>
        </w:tc>
        <w:tc>
          <w:tcPr>
            <w:tcW w:w="1561" w:type="dxa"/>
            <w:vAlign w:val="center"/>
          </w:tcPr>
          <w:p>
            <w:pPr>
              <w:widowControl/>
              <w:jc w:val="right"/>
              <w:textAlignment w:val="center"/>
              <w:rPr>
                <w:sz w:val="24"/>
              </w:rPr>
            </w:pPr>
            <w:r>
              <w:rPr>
                <w:color w:val="000000"/>
                <w:kern w:val="0"/>
                <w:sz w:val="24"/>
              </w:rPr>
              <w:t>179,550.00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ind w:firstLine="360" w:firstLineChars="150"/>
              <w:rPr>
                <w:rFonts w:eastAsiaTheme="minorEastAsia"/>
                <w:bCs/>
                <w:sz w:val="24"/>
              </w:rPr>
            </w:pPr>
            <w:r>
              <w:rPr>
                <w:rFonts w:eastAsiaTheme="minorEastAsia"/>
                <w:bCs/>
                <w:sz w:val="24"/>
              </w:rPr>
              <w:t>2.通用设备</w:t>
            </w:r>
          </w:p>
        </w:tc>
        <w:tc>
          <w:tcPr>
            <w:tcW w:w="1701" w:type="dxa"/>
            <w:vAlign w:val="center"/>
          </w:tcPr>
          <w:p>
            <w:pPr>
              <w:widowControl/>
              <w:jc w:val="right"/>
              <w:textAlignment w:val="center"/>
              <w:rPr>
                <w:rFonts w:eastAsiaTheme="minorEastAsia"/>
                <w:sz w:val="24"/>
              </w:rPr>
            </w:pPr>
            <w:r>
              <w:rPr>
                <w:color w:val="000000"/>
                <w:kern w:val="0"/>
                <w:sz w:val="24"/>
              </w:rPr>
              <w:t>690,557.77</w:t>
            </w:r>
          </w:p>
        </w:tc>
        <w:tc>
          <w:tcPr>
            <w:tcW w:w="1499" w:type="dxa"/>
            <w:vAlign w:val="center"/>
          </w:tcPr>
          <w:p>
            <w:pPr>
              <w:widowControl/>
              <w:jc w:val="right"/>
              <w:textAlignment w:val="center"/>
              <w:rPr>
                <w:rFonts w:eastAsiaTheme="minorEastAsia"/>
                <w:sz w:val="24"/>
              </w:rPr>
            </w:pPr>
            <w:r>
              <w:rPr>
                <w:rFonts w:hint="eastAsia"/>
                <w:color w:val="000000"/>
                <w:kern w:val="0"/>
                <w:sz w:val="24"/>
              </w:rPr>
              <w:t>41</w:t>
            </w:r>
            <w:r>
              <w:rPr>
                <w:rFonts w:hint="eastAsia"/>
                <w:color w:val="000000"/>
                <w:kern w:val="0"/>
                <w:sz w:val="24"/>
                <w:lang w:val="en-US" w:eastAsia="zh-CN"/>
              </w:rPr>
              <w:t>,</w:t>
            </w:r>
            <w:r>
              <w:rPr>
                <w:rFonts w:hint="eastAsia"/>
                <w:color w:val="000000"/>
                <w:kern w:val="0"/>
                <w:sz w:val="24"/>
              </w:rPr>
              <w:t>377.67</w:t>
            </w:r>
          </w:p>
        </w:tc>
        <w:tc>
          <w:tcPr>
            <w:tcW w:w="1278" w:type="dxa"/>
            <w:vAlign w:val="center"/>
          </w:tcPr>
          <w:p>
            <w:pPr>
              <w:topLinePunct/>
              <w:spacing w:line="300" w:lineRule="exact"/>
              <w:ind w:leftChars="-49" w:hanging="103" w:hangingChars="43"/>
              <w:jc w:val="right"/>
              <w:rPr>
                <w:rFonts w:eastAsiaTheme="minorEastAsia"/>
                <w:sz w:val="24"/>
              </w:rPr>
            </w:pPr>
          </w:p>
        </w:tc>
        <w:tc>
          <w:tcPr>
            <w:tcW w:w="1561" w:type="dxa"/>
            <w:vAlign w:val="center"/>
          </w:tcPr>
          <w:p>
            <w:pPr>
              <w:widowControl/>
              <w:jc w:val="right"/>
              <w:textAlignment w:val="center"/>
              <w:rPr>
                <w:sz w:val="24"/>
              </w:rPr>
            </w:pPr>
            <w:r>
              <w:rPr>
                <w:sz w:val="24"/>
              </w:rPr>
              <w:fldChar w:fldCharType="begin"/>
            </w:r>
            <w:r>
              <w:rPr>
                <w:sz w:val="24"/>
              </w:rPr>
              <w:instrText xml:space="preserve"> = sum(B11:D11) \* MERGEFORMAT </w:instrText>
            </w:r>
            <w:r>
              <w:rPr>
                <w:sz w:val="24"/>
              </w:rPr>
              <w:fldChar w:fldCharType="separate"/>
            </w:r>
            <w:r>
              <w:rPr>
                <w:sz w:val="24"/>
              </w:rPr>
              <w:t>731</w:t>
            </w:r>
            <w:r>
              <w:rPr>
                <w:rFonts w:hint="eastAsia"/>
                <w:sz w:val="24"/>
                <w:lang w:val="en-US" w:eastAsia="zh-CN"/>
              </w:rPr>
              <w:t>,</w:t>
            </w:r>
            <w:r>
              <w:rPr>
                <w:sz w:val="24"/>
              </w:rPr>
              <w:t>935.44</w:t>
            </w:r>
            <w:r>
              <w:rPr>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ind w:firstLine="360" w:firstLineChars="150"/>
              <w:rPr>
                <w:rFonts w:eastAsiaTheme="minorEastAsia"/>
                <w:bCs/>
                <w:sz w:val="24"/>
              </w:rPr>
            </w:pPr>
            <w:r>
              <w:rPr>
                <w:rFonts w:eastAsiaTheme="minorEastAsia"/>
                <w:bCs/>
                <w:sz w:val="24"/>
              </w:rPr>
              <w:t>3.专用设备</w:t>
            </w:r>
          </w:p>
        </w:tc>
        <w:tc>
          <w:tcPr>
            <w:tcW w:w="1701" w:type="dxa"/>
            <w:vAlign w:val="center"/>
          </w:tcPr>
          <w:p>
            <w:pPr>
              <w:widowControl/>
              <w:jc w:val="right"/>
              <w:textAlignment w:val="center"/>
              <w:rPr>
                <w:rFonts w:eastAsiaTheme="minorEastAsia"/>
                <w:sz w:val="24"/>
              </w:rPr>
            </w:pPr>
            <w:r>
              <w:rPr>
                <w:color w:val="000000"/>
                <w:kern w:val="0"/>
                <w:sz w:val="24"/>
              </w:rPr>
              <w:t>701,841.70</w:t>
            </w:r>
          </w:p>
        </w:tc>
        <w:tc>
          <w:tcPr>
            <w:tcW w:w="1499" w:type="dxa"/>
            <w:vAlign w:val="center"/>
          </w:tcPr>
          <w:p>
            <w:pPr>
              <w:widowControl/>
              <w:jc w:val="right"/>
              <w:textAlignment w:val="center"/>
              <w:rPr>
                <w:rFonts w:hint="eastAsia" w:eastAsia="宋体"/>
                <w:sz w:val="24"/>
                <w:lang w:val="en-US" w:eastAsia="zh-CN"/>
              </w:rPr>
            </w:pPr>
            <w:r>
              <w:rPr>
                <w:rFonts w:hint="eastAsia"/>
                <w:color w:val="000000"/>
                <w:kern w:val="0"/>
                <w:sz w:val="24"/>
              </w:rPr>
              <w:t>518.4</w:t>
            </w:r>
            <w:r>
              <w:rPr>
                <w:rFonts w:hint="eastAsia"/>
                <w:color w:val="000000"/>
                <w:kern w:val="0"/>
                <w:sz w:val="24"/>
                <w:lang w:val="en-US" w:eastAsia="zh-CN"/>
              </w:rPr>
              <w:t>0</w:t>
            </w:r>
          </w:p>
        </w:tc>
        <w:tc>
          <w:tcPr>
            <w:tcW w:w="1278" w:type="dxa"/>
            <w:vAlign w:val="center"/>
          </w:tcPr>
          <w:p>
            <w:pPr>
              <w:topLinePunct/>
              <w:spacing w:line="300" w:lineRule="exact"/>
              <w:ind w:leftChars="-49" w:hanging="103" w:hangingChars="43"/>
              <w:jc w:val="right"/>
              <w:rPr>
                <w:rFonts w:eastAsiaTheme="minorEastAsia"/>
                <w:sz w:val="24"/>
              </w:rPr>
            </w:pPr>
          </w:p>
        </w:tc>
        <w:tc>
          <w:tcPr>
            <w:tcW w:w="1561" w:type="dxa"/>
            <w:vAlign w:val="center"/>
          </w:tcPr>
          <w:p>
            <w:pPr>
              <w:widowControl/>
              <w:jc w:val="right"/>
              <w:textAlignment w:val="center"/>
              <w:rPr>
                <w:rFonts w:hint="eastAsia" w:eastAsia="宋体"/>
                <w:sz w:val="24"/>
                <w:lang w:val="en-US" w:eastAsia="zh-CN"/>
              </w:rPr>
            </w:pPr>
            <w:r>
              <w:rPr>
                <w:sz w:val="24"/>
              </w:rPr>
              <w:fldChar w:fldCharType="begin"/>
            </w:r>
            <w:r>
              <w:rPr>
                <w:sz w:val="24"/>
              </w:rPr>
              <w:instrText xml:space="preserve"> = sum(B12:D12) \* MERGEFORMAT </w:instrText>
            </w:r>
            <w:r>
              <w:rPr>
                <w:sz w:val="24"/>
              </w:rPr>
              <w:fldChar w:fldCharType="separate"/>
            </w:r>
            <w:r>
              <w:rPr>
                <w:sz w:val="24"/>
              </w:rPr>
              <w:t>702</w:t>
            </w:r>
            <w:r>
              <w:rPr>
                <w:rFonts w:hint="eastAsia"/>
                <w:sz w:val="24"/>
                <w:lang w:val="en-US" w:eastAsia="zh-CN"/>
              </w:rPr>
              <w:t>,</w:t>
            </w:r>
            <w:r>
              <w:rPr>
                <w:sz w:val="24"/>
              </w:rPr>
              <w:t>360.1</w:t>
            </w:r>
            <w:r>
              <w:rPr>
                <w:sz w:val="24"/>
              </w:rPr>
              <w:fldChar w:fldCharType="end"/>
            </w: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ind w:firstLine="360" w:firstLineChars="150"/>
              <w:rPr>
                <w:rFonts w:eastAsiaTheme="minorEastAsia"/>
                <w:bCs/>
                <w:sz w:val="24"/>
              </w:rPr>
            </w:pPr>
            <w:r>
              <w:rPr>
                <w:rFonts w:eastAsiaTheme="minorEastAsia"/>
                <w:bCs/>
                <w:sz w:val="24"/>
              </w:rPr>
              <w:t>4.文物和陈列品</w:t>
            </w:r>
          </w:p>
        </w:tc>
        <w:tc>
          <w:tcPr>
            <w:tcW w:w="1701" w:type="dxa"/>
            <w:vAlign w:val="center"/>
          </w:tcPr>
          <w:p>
            <w:pPr>
              <w:jc w:val="right"/>
              <w:rPr>
                <w:rFonts w:eastAsiaTheme="minorEastAsia"/>
                <w:sz w:val="24"/>
              </w:rPr>
            </w:pPr>
          </w:p>
        </w:tc>
        <w:tc>
          <w:tcPr>
            <w:tcW w:w="1499" w:type="dxa"/>
            <w:vAlign w:val="center"/>
          </w:tcPr>
          <w:p>
            <w:pPr>
              <w:topLinePunct/>
              <w:spacing w:line="300" w:lineRule="exact"/>
              <w:ind w:leftChars="-49" w:hanging="103" w:hangingChars="43"/>
              <w:jc w:val="right"/>
              <w:rPr>
                <w:rFonts w:eastAsiaTheme="minorEastAsia"/>
                <w:sz w:val="24"/>
              </w:rPr>
            </w:pPr>
          </w:p>
        </w:tc>
        <w:tc>
          <w:tcPr>
            <w:tcW w:w="1278" w:type="dxa"/>
            <w:vAlign w:val="center"/>
          </w:tcPr>
          <w:p>
            <w:pPr>
              <w:topLinePunct/>
              <w:spacing w:line="300" w:lineRule="exact"/>
              <w:ind w:leftChars="-49" w:hanging="103" w:hangingChars="43"/>
              <w:jc w:val="right"/>
              <w:rPr>
                <w:rFonts w:eastAsiaTheme="minorEastAsia"/>
                <w:sz w:val="24"/>
              </w:rPr>
            </w:pPr>
          </w:p>
        </w:tc>
        <w:tc>
          <w:tcPr>
            <w:tcW w:w="1561" w:type="dxa"/>
            <w:vAlign w:val="center"/>
          </w:tcPr>
          <w:p>
            <w:pPr>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ind w:firstLine="360" w:firstLineChars="150"/>
              <w:rPr>
                <w:rFonts w:eastAsiaTheme="minorEastAsia"/>
                <w:bCs/>
                <w:sz w:val="24"/>
              </w:rPr>
            </w:pPr>
            <w:r>
              <w:rPr>
                <w:rFonts w:eastAsiaTheme="minorEastAsia"/>
                <w:bCs/>
                <w:sz w:val="24"/>
              </w:rPr>
              <w:t>5.图书\档案</w:t>
            </w:r>
          </w:p>
        </w:tc>
        <w:tc>
          <w:tcPr>
            <w:tcW w:w="1701" w:type="dxa"/>
            <w:vAlign w:val="center"/>
          </w:tcPr>
          <w:p>
            <w:pPr>
              <w:jc w:val="right"/>
              <w:rPr>
                <w:rFonts w:eastAsiaTheme="minorEastAsia"/>
                <w:sz w:val="24"/>
              </w:rPr>
            </w:pPr>
          </w:p>
        </w:tc>
        <w:tc>
          <w:tcPr>
            <w:tcW w:w="1499" w:type="dxa"/>
            <w:vAlign w:val="center"/>
          </w:tcPr>
          <w:p>
            <w:pPr>
              <w:topLinePunct/>
              <w:spacing w:line="300" w:lineRule="exact"/>
              <w:ind w:leftChars="-49" w:hanging="103" w:hangingChars="43"/>
              <w:jc w:val="right"/>
              <w:rPr>
                <w:rFonts w:eastAsiaTheme="minorEastAsia"/>
                <w:sz w:val="24"/>
              </w:rPr>
            </w:pPr>
          </w:p>
        </w:tc>
        <w:tc>
          <w:tcPr>
            <w:tcW w:w="1278" w:type="dxa"/>
            <w:vAlign w:val="center"/>
          </w:tcPr>
          <w:p>
            <w:pPr>
              <w:topLinePunct/>
              <w:spacing w:line="300" w:lineRule="exact"/>
              <w:ind w:leftChars="-49" w:hanging="103" w:hangingChars="43"/>
              <w:jc w:val="right"/>
              <w:rPr>
                <w:rFonts w:eastAsiaTheme="minorEastAsia"/>
                <w:sz w:val="24"/>
              </w:rPr>
            </w:pPr>
          </w:p>
        </w:tc>
        <w:tc>
          <w:tcPr>
            <w:tcW w:w="1561" w:type="dxa"/>
            <w:vAlign w:val="center"/>
          </w:tcPr>
          <w:p>
            <w:pPr>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98" w:type="dxa"/>
            <w:vAlign w:val="center"/>
          </w:tcPr>
          <w:p>
            <w:pPr>
              <w:topLinePunct/>
              <w:spacing w:line="300" w:lineRule="exact"/>
              <w:ind w:firstLine="360" w:firstLineChars="150"/>
              <w:rPr>
                <w:rFonts w:eastAsiaTheme="minorEastAsia"/>
                <w:bCs/>
                <w:sz w:val="24"/>
              </w:rPr>
            </w:pPr>
            <w:r>
              <w:rPr>
                <w:rFonts w:eastAsiaTheme="minorEastAsia"/>
                <w:bCs/>
                <w:sz w:val="24"/>
              </w:rPr>
              <w:t>6.家具\用具\装具及动植物</w:t>
            </w:r>
          </w:p>
        </w:tc>
        <w:tc>
          <w:tcPr>
            <w:tcW w:w="1701" w:type="dxa"/>
            <w:vAlign w:val="center"/>
          </w:tcPr>
          <w:p>
            <w:pPr>
              <w:jc w:val="right"/>
              <w:rPr>
                <w:rFonts w:hint="default" w:eastAsiaTheme="minorEastAsia"/>
                <w:sz w:val="24"/>
                <w:lang w:val="en-US" w:eastAsia="zh-CN"/>
              </w:rPr>
            </w:pPr>
            <w:r>
              <w:rPr>
                <w:rFonts w:hint="eastAsia" w:eastAsiaTheme="minorEastAsia"/>
                <w:sz w:val="24"/>
                <w:lang w:val="en-US" w:eastAsia="zh-CN"/>
              </w:rPr>
              <w:t>743,789.25</w:t>
            </w:r>
          </w:p>
        </w:tc>
        <w:tc>
          <w:tcPr>
            <w:tcW w:w="1499" w:type="dxa"/>
            <w:vAlign w:val="center"/>
          </w:tcPr>
          <w:p>
            <w:pPr>
              <w:topLinePunct/>
              <w:spacing w:line="300" w:lineRule="exact"/>
              <w:ind w:leftChars="-49" w:hanging="103" w:hangingChars="43"/>
              <w:jc w:val="right"/>
              <w:rPr>
                <w:rFonts w:eastAsiaTheme="minorEastAsia"/>
                <w:sz w:val="24"/>
              </w:rPr>
            </w:pPr>
            <w:r>
              <w:rPr>
                <w:rFonts w:hint="eastAsia"/>
                <w:color w:val="000000"/>
                <w:kern w:val="0"/>
                <w:sz w:val="24"/>
              </w:rPr>
              <w:t>10</w:t>
            </w:r>
            <w:r>
              <w:rPr>
                <w:rFonts w:hint="eastAsia"/>
                <w:color w:val="000000"/>
                <w:kern w:val="0"/>
                <w:sz w:val="24"/>
                <w:lang w:val="en-US" w:eastAsia="zh-CN"/>
              </w:rPr>
              <w:t>,</w:t>
            </w:r>
            <w:r>
              <w:rPr>
                <w:rFonts w:hint="eastAsia"/>
                <w:color w:val="000000"/>
                <w:kern w:val="0"/>
                <w:sz w:val="24"/>
              </w:rPr>
              <w:t>023.04</w:t>
            </w:r>
          </w:p>
        </w:tc>
        <w:tc>
          <w:tcPr>
            <w:tcW w:w="1278" w:type="dxa"/>
            <w:vAlign w:val="center"/>
          </w:tcPr>
          <w:p>
            <w:pPr>
              <w:topLinePunct/>
              <w:spacing w:line="300" w:lineRule="exact"/>
              <w:ind w:leftChars="-49" w:hanging="103" w:hangingChars="43"/>
              <w:jc w:val="right"/>
              <w:rPr>
                <w:rFonts w:eastAsiaTheme="minorEastAsia"/>
                <w:sz w:val="24"/>
              </w:rPr>
            </w:pPr>
          </w:p>
        </w:tc>
        <w:tc>
          <w:tcPr>
            <w:tcW w:w="1561" w:type="dxa"/>
            <w:vAlign w:val="center"/>
          </w:tcPr>
          <w:p>
            <w:pPr>
              <w:jc w:val="right"/>
              <w:rPr>
                <w:sz w:val="24"/>
              </w:rPr>
            </w:pPr>
            <w:r>
              <w:rPr>
                <w:rFonts w:hint="eastAsia"/>
                <w:color w:val="000000"/>
                <w:kern w:val="0"/>
                <w:sz w:val="24"/>
              </w:rPr>
              <w:t>753</w:t>
            </w:r>
            <w:r>
              <w:rPr>
                <w:rFonts w:hint="eastAsia"/>
                <w:color w:val="000000"/>
                <w:kern w:val="0"/>
                <w:sz w:val="24"/>
                <w:lang w:val="en-US" w:eastAsia="zh-CN"/>
              </w:rPr>
              <w:t>,</w:t>
            </w:r>
            <w:r>
              <w:rPr>
                <w:rFonts w:hint="eastAsia"/>
                <w:color w:val="000000"/>
                <w:kern w:val="0"/>
                <w:sz w:val="24"/>
              </w:rPr>
              <w:t>812.29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3298" w:type="dxa"/>
            <w:tcBorders>
              <w:top w:val="single" w:color="auto" w:sz="4" w:space="0"/>
            </w:tcBorders>
            <w:vAlign w:val="center"/>
          </w:tcPr>
          <w:p>
            <w:pPr>
              <w:topLinePunct/>
              <w:spacing w:line="300" w:lineRule="exact"/>
              <w:rPr>
                <w:rFonts w:eastAsiaTheme="minorEastAsia"/>
                <w:bCs/>
                <w:sz w:val="24"/>
              </w:rPr>
            </w:pPr>
            <w:r>
              <w:rPr>
                <w:rFonts w:eastAsiaTheme="minorEastAsia"/>
                <w:bCs/>
                <w:sz w:val="24"/>
              </w:rPr>
              <w:t>三、固定资产净值</w:t>
            </w:r>
          </w:p>
        </w:tc>
        <w:tc>
          <w:tcPr>
            <w:tcW w:w="1701" w:type="dxa"/>
            <w:tcBorders>
              <w:top w:val="single" w:color="auto" w:sz="4" w:space="0"/>
            </w:tcBorders>
            <w:vAlign w:val="center"/>
          </w:tcPr>
          <w:p>
            <w:pPr>
              <w:widowControl/>
              <w:jc w:val="right"/>
              <w:textAlignment w:val="center"/>
              <w:rPr>
                <w:color w:val="000000"/>
                <w:kern w:val="0"/>
                <w:sz w:val="24"/>
              </w:rPr>
            </w:pPr>
            <w:r>
              <w:rPr>
                <w:rFonts w:hint="eastAsia"/>
                <w:color w:val="000000"/>
                <w:kern w:val="0"/>
                <w:sz w:val="24"/>
              </w:rPr>
              <w:t xml:space="preserve">233,737.57 </w:t>
            </w:r>
          </w:p>
        </w:tc>
        <w:tc>
          <w:tcPr>
            <w:tcW w:w="1499" w:type="dxa"/>
            <w:tcBorders>
              <w:top w:val="single" w:color="auto" w:sz="4" w:space="0"/>
            </w:tcBorders>
            <w:vAlign w:val="center"/>
          </w:tcPr>
          <w:p>
            <w:pPr>
              <w:widowControl/>
              <w:jc w:val="right"/>
              <w:textAlignment w:val="center"/>
              <w:rPr>
                <w:color w:val="000000"/>
                <w:kern w:val="0"/>
                <w:sz w:val="24"/>
              </w:rPr>
            </w:pPr>
          </w:p>
        </w:tc>
        <w:tc>
          <w:tcPr>
            <w:tcW w:w="1278" w:type="dxa"/>
            <w:tcBorders>
              <w:top w:val="single" w:color="auto" w:sz="4" w:space="0"/>
            </w:tcBorders>
            <w:vAlign w:val="center"/>
          </w:tcPr>
          <w:p>
            <w:pPr>
              <w:widowControl/>
              <w:jc w:val="right"/>
              <w:textAlignment w:val="center"/>
              <w:rPr>
                <w:color w:val="000000"/>
                <w:kern w:val="0"/>
                <w:sz w:val="24"/>
              </w:rPr>
            </w:pPr>
          </w:p>
        </w:tc>
        <w:tc>
          <w:tcPr>
            <w:tcW w:w="1561" w:type="dxa"/>
            <w:tcBorders>
              <w:top w:val="single" w:color="auto" w:sz="4" w:space="0"/>
            </w:tcBorders>
            <w:vAlign w:val="center"/>
          </w:tcPr>
          <w:p>
            <w:pPr>
              <w:widowControl/>
              <w:jc w:val="right"/>
              <w:textAlignment w:val="center"/>
              <w:rPr>
                <w:color w:val="000000"/>
                <w:kern w:val="0"/>
                <w:sz w:val="24"/>
              </w:rPr>
            </w:pPr>
            <w:r>
              <w:rPr>
                <w:rFonts w:hint="eastAsia"/>
                <w:color w:val="000000"/>
                <w:kern w:val="0"/>
                <w:sz w:val="24"/>
              </w:rPr>
              <w:t>197</w:t>
            </w:r>
            <w:r>
              <w:rPr>
                <w:rFonts w:hint="eastAsia"/>
                <w:color w:val="000000"/>
                <w:kern w:val="0"/>
                <w:sz w:val="24"/>
                <w:lang w:val="en-US" w:eastAsia="zh-CN"/>
              </w:rPr>
              <w:t>,</w:t>
            </w:r>
            <w:r>
              <w:rPr>
                <w:rFonts w:hint="eastAsia"/>
                <w:color w:val="000000"/>
                <w:kern w:val="0"/>
                <w:sz w:val="24"/>
              </w:rPr>
              <w:t>901.46</w:t>
            </w:r>
          </w:p>
        </w:tc>
      </w:tr>
    </w:tbl>
    <w:p>
      <w:pPr>
        <w:widowControl/>
        <w:adjustRightInd w:val="0"/>
        <w:snapToGrid w:val="0"/>
        <w:spacing w:line="400" w:lineRule="exact"/>
        <w:ind w:firstLine="424" w:firstLineChars="176"/>
        <w:outlineLvl w:val="2"/>
        <w:rPr>
          <w:rFonts w:eastAsiaTheme="minorEastAsia"/>
          <w:b/>
          <w:sz w:val="24"/>
        </w:rPr>
      </w:pPr>
    </w:p>
    <w:p>
      <w:pPr>
        <w:widowControl/>
        <w:adjustRightInd w:val="0"/>
        <w:snapToGrid w:val="0"/>
        <w:spacing w:line="600" w:lineRule="exact"/>
        <w:ind w:firstLine="482" w:firstLineChars="200"/>
        <w:outlineLvl w:val="2"/>
        <w:rPr>
          <w:rFonts w:eastAsiaTheme="minorEastAsia"/>
          <w:b/>
          <w:sz w:val="24"/>
        </w:rPr>
      </w:pPr>
      <w:r>
        <w:rPr>
          <w:rFonts w:eastAsiaTheme="minorEastAsia"/>
          <w:b/>
          <w:sz w:val="24"/>
        </w:rPr>
        <w:t>注释</w:t>
      </w:r>
      <w:r>
        <w:rPr>
          <w:rFonts w:hint="eastAsia" w:eastAsiaTheme="minorEastAsia"/>
          <w:b/>
          <w:sz w:val="24"/>
        </w:rPr>
        <w:t>4</w:t>
      </w:r>
      <w:r>
        <w:rPr>
          <w:rFonts w:eastAsiaTheme="minorEastAsia"/>
          <w:b/>
          <w:sz w:val="24"/>
        </w:rPr>
        <w:t>. 应付工资</w:t>
      </w:r>
    </w:p>
    <w:tbl>
      <w:tblPr>
        <w:tblStyle w:val="6"/>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120"/>
        <w:gridCol w:w="268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2938" w:type="dxa"/>
            <w:vAlign w:val="center"/>
          </w:tcPr>
          <w:p>
            <w:pPr>
              <w:topLinePunct/>
              <w:spacing w:line="300" w:lineRule="exact"/>
              <w:jc w:val="center"/>
              <w:rPr>
                <w:rFonts w:eastAsiaTheme="minorEastAsia"/>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项    目</w:t>
            </w:r>
          </w:p>
        </w:tc>
        <w:tc>
          <w:tcPr>
            <w:tcW w:w="2120" w:type="dxa"/>
            <w:vAlign w:val="center"/>
          </w:tcPr>
          <w:p>
            <w:pPr>
              <w:topLinePunct/>
              <w:spacing w:line="30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年末余额</w:t>
            </w:r>
          </w:p>
        </w:tc>
        <w:tc>
          <w:tcPr>
            <w:tcW w:w="2685" w:type="dxa"/>
            <w:vAlign w:val="center"/>
          </w:tcPr>
          <w:p>
            <w:pPr>
              <w:topLinePunct/>
              <w:spacing w:line="30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经济内容</w:t>
            </w:r>
          </w:p>
        </w:tc>
        <w:tc>
          <w:tcPr>
            <w:tcW w:w="1554" w:type="dxa"/>
            <w:vAlign w:val="center"/>
          </w:tcPr>
          <w:p>
            <w:pPr>
              <w:topLinePunct/>
              <w:spacing w:line="30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账龄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2938" w:type="dxa"/>
            <w:vAlign w:val="center"/>
          </w:tcPr>
          <w:p>
            <w:pPr>
              <w:topLinePunct/>
              <w:spacing w:line="300" w:lineRule="exact"/>
              <w:rPr>
                <w:rFonts w:eastAsiaTheme="minorEastAsia"/>
                <w:color w:val="FF0000"/>
                <w:sz w:val="24"/>
              </w:rPr>
            </w:pPr>
            <w:r>
              <w:rPr>
                <w:rFonts w:eastAsiaTheme="minorEastAsia"/>
                <w:color w:val="000000" w:themeColor="text1"/>
                <w:sz w:val="24"/>
                <w14:textFill>
                  <w14:solidFill>
                    <w14:schemeClr w14:val="tx1"/>
                  </w14:solidFill>
                </w14:textFill>
              </w:rPr>
              <w:t>职工</w:t>
            </w:r>
          </w:p>
        </w:tc>
        <w:tc>
          <w:tcPr>
            <w:tcW w:w="2120" w:type="dxa"/>
            <w:vAlign w:val="center"/>
          </w:tcPr>
          <w:p>
            <w:pPr>
              <w:widowControl/>
              <w:jc w:val="right"/>
              <w:textAlignment w:val="center"/>
              <w:rPr>
                <w:color w:val="000000"/>
                <w:sz w:val="24"/>
              </w:rPr>
            </w:pPr>
            <w:r>
              <w:rPr>
                <w:rFonts w:hint="eastAsia"/>
                <w:color w:val="000000"/>
                <w:kern w:val="0"/>
                <w:sz w:val="24"/>
              </w:rPr>
              <w:t>479</w:t>
            </w:r>
            <w:r>
              <w:rPr>
                <w:rFonts w:hint="eastAsia"/>
                <w:color w:val="000000"/>
                <w:kern w:val="0"/>
                <w:sz w:val="24"/>
                <w:lang w:val="en-US" w:eastAsia="zh-CN"/>
              </w:rPr>
              <w:t>,</w:t>
            </w:r>
            <w:r>
              <w:rPr>
                <w:rFonts w:hint="eastAsia"/>
                <w:color w:val="000000"/>
                <w:kern w:val="0"/>
                <w:sz w:val="24"/>
              </w:rPr>
              <w:t>621.69</w:t>
            </w:r>
          </w:p>
        </w:tc>
        <w:tc>
          <w:tcPr>
            <w:tcW w:w="2685" w:type="dxa"/>
            <w:vAlign w:val="center"/>
          </w:tcPr>
          <w:p>
            <w:pPr>
              <w:tabs>
                <w:tab w:val="left" w:pos="1361"/>
              </w:tabs>
              <w:spacing w:line="30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工资</w:t>
            </w:r>
          </w:p>
        </w:tc>
        <w:tc>
          <w:tcPr>
            <w:tcW w:w="1554" w:type="dxa"/>
            <w:vAlign w:val="center"/>
          </w:tcPr>
          <w:p>
            <w:pPr>
              <w:topLinePunct/>
              <w:spacing w:line="300" w:lineRule="exact"/>
              <w:jc w:val="center"/>
              <w:rPr>
                <w:rFonts w:eastAsiaTheme="minorEastAsia"/>
                <w:color w:val="FF0000"/>
                <w:sz w:val="24"/>
              </w:rPr>
            </w:pPr>
            <w:r>
              <w:rPr>
                <w:rFonts w:eastAsiaTheme="minorEastAsia"/>
                <w:color w:val="000000" w:themeColor="text1"/>
                <w:sz w:val="24"/>
                <w14:textFill>
                  <w14:solidFill>
                    <w14:schemeClr w14:val="tx1"/>
                  </w14:solidFill>
                </w14:textFill>
              </w:rPr>
              <w:t>1年以内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2938" w:type="dxa"/>
            <w:vAlign w:val="center"/>
          </w:tcPr>
          <w:p>
            <w:pPr>
              <w:topLinePunct/>
              <w:spacing w:line="30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合    计</w:t>
            </w:r>
          </w:p>
        </w:tc>
        <w:tc>
          <w:tcPr>
            <w:tcW w:w="2120" w:type="dxa"/>
            <w:vAlign w:val="center"/>
          </w:tcPr>
          <w:p>
            <w:pPr>
              <w:widowControl/>
              <w:jc w:val="right"/>
              <w:textAlignment w:val="center"/>
              <w:rPr>
                <w:color w:val="000000"/>
                <w:sz w:val="24"/>
              </w:rPr>
            </w:pPr>
            <w:r>
              <w:rPr>
                <w:rFonts w:hint="eastAsia"/>
                <w:color w:val="000000"/>
                <w:kern w:val="0"/>
                <w:sz w:val="24"/>
              </w:rPr>
              <w:t>479</w:t>
            </w:r>
            <w:r>
              <w:rPr>
                <w:rFonts w:hint="eastAsia"/>
                <w:color w:val="000000"/>
                <w:kern w:val="0"/>
                <w:sz w:val="24"/>
                <w:lang w:val="en-US" w:eastAsia="zh-CN"/>
              </w:rPr>
              <w:t>,</w:t>
            </w:r>
            <w:r>
              <w:rPr>
                <w:rFonts w:hint="eastAsia"/>
                <w:color w:val="000000"/>
                <w:kern w:val="0"/>
                <w:sz w:val="24"/>
              </w:rPr>
              <w:t>621.69</w:t>
            </w:r>
          </w:p>
        </w:tc>
        <w:tc>
          <w:tcPr>
            <w:tcW w:w="2685" w:type="dxa"/>
            <w:vAlign w:val="center"/>
          </w:tcPr>
          <w:p>
            <w:pPr>
              <w:tabs>
                <w:tab w:val="left" w:pos="1361"/>
              </w:tabs>
              <w:spacing w:line="300" w:lineRule="exact"/>
              <w:ind w:left="-3" w:firstLine="2" w:firstLineChars="1"/>
              <w:jc w:val="center"/>
              <w:rPr>
                <w:rFonts w:eastAsiaTheme="minorEastAsia"/>
                <w:color w:val="000000" w:themeColor="text1"/>
                <w:sz w:val="24"/>
                <w14:textFill>
                  <w14:solidFill>
                    <w14:schemeClr w14:val="tx1"/>
                  </w14:solidFill>
                </w14:textFill>
              </w:rPr>
            </w:pPr>
          </w:p>
        </w:tc>
        <w:tc>
          <w:tcPr>
            <w:tcW w:w="1554" w:type="dxa"/>
            <w:vAlign w:val="center"/>
          </w:tcPr>
          <w:p>
            <w:pPr>
              <w:topLinePunct/>
              <w:spacing w:line="300" w:lineRule="exact"/>
              <w:jc w:val="center"/>
              <w:rPr>
                <w:rFonts w:eastAsiaTheme="minorEastAsia"/>
                <w:color w:val="000000" w:themeColor="text1"/>
                <w:sz w:val="24"/>
                <w14:textFill>
                  <w14:solidFill>
                    <w14:schemeClr w14:val="tx1"/>
                  </w14:solidFill>
                </w14:textFill>
              </w:rPr>
            </w:pPr>
          </w:p>
        </w:tc>
      </w:tr>
    </w:tbl>
    <w:p>
      <w:pPr>
        <w:widowControl/>
        <w:adjustRightInd w:val="0"/>
        <w:snapToGrid w:val="0"/>
        <w:spacing w:line="400" w:lineRule="exact"/>
        <w:ind w:firstLine="424" w:firstLineChars="176"/>
        <w:outlineLvl w:val="2"/>
        <w:rPr>
          <w:rFonts w:eastAsiaTheme="minorEastAsia"/>
          <w:b/>
          <w:sz w:val="24"/>
        </w:rPr>
      </w:pPr>
    </w:p>
    <w:p>
      <w:pPr>
        <w:widowControl/>
        <w:adjustRightInd w:val="0"/>
        <w:snapToGrid w:val="0"/>
        <w:spacing w:line="600" w:lineRule="exact"/>
        <w:ind w:firstLine="482" w:firstLineChars="200"/>
        <w:outlineLvl w:val="2"/>
        <w:rPr>
          <w:rFonts w:eastAsiaTheme="minorEastAsia"/>
          <w:b/>
          <w:sz w:val="24"/>
        </w:rPr>
      </w:pPr>
      <w:r>
        <w:rPr>
          <w:rFonts w:eastAsiaTheme="minorEastAsia"/>
          <w:b/>
          <w:sz w:val="24"/>
        </w:rPr>
        <w:t>注释</w:t>
      </w:r>
      <w:r>
        <w:rPr>
          <w:rFonts w:hint="eastAsia" w:eastAsiaTheme="minorEastAsia"/>
          <w:b/>
          <w:sz w:val="24"/>
        </w:rPr>
        <w:t>5</w:t>
      </w:r>
      <w:r>
        <w:rPr>
          <w:rFonts w:eastAsiaTheme="minorEastAsia"/>
          <w:b/>
          <w:sz w:val="24"/>
        </w:rPr>
        <w:t>. 其他应付款</w:t>
      </w:r>
    </w:p>
    <w:tbl>
      <w:tblPr>
        <w:tblStyle w:val="6"/>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2124"/>
        <w:gridCol w:w="2680"/>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2939" w:type="dxa"/>
            <w:vAlign w:val="center"/>
          </w:tcPr>
          <w:p>
            <w:pPr>
              <w:topLinePunct/>
              <w:spacing w:line="30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项目(或应付款单位)</w:t>
            </w:r>
          </w:p>
        </w:tc>
        <w:tc>
          <w:tcPr>
            <w:tcW w:w="2124" w:type="dxa"/>
            <w:vAlign w:val="center"/>
          </w:tcPr>
          <w:p>
            <w:pPr>
              <w:topLinePunct/>
              <w:spacing w:line="30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年末余额</w:t>
            </w:r>
          </w:p>
        </w:tc>
        <w:tc>
          <w:tcPr>
            <w:tcW w:w="2680" w:type="dxa"/>
            <w:vAlign w:val="center"/>
          </w:tcPr>
          <w:p>
            <w:pPr>
              <w:topLinePunct/>
              <w:spacing w:line="30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经济内容</w:t>
            </w:r>
          </w:p>
        </w:tc>
        <w:tc>
          <w:tcPr>
            <w:tcW w:w="1554" w:type="dxa"/>
            <w:vAlign w:val="center"/>
          </w:tcPr>
          <w:p>
            <w:pPr>
              <w:topLinePunct/>
              <w:spacing w:line="30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账龄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2939" w:type="dxa"/>
            <w:vAlign w:val="center"/>
          </w:tcPr>
          <w:p>
            <w:pPr>
              <w:topLinePunct/>
              <w:spacing w:line="300" w:lineRule="exact"/>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其他应付款项</w:t>
            </w:r>
          </w:p>
        </w:tc>
        <w:tc>
          <w:tcPr>
            <w:tcW w:w="2124" w:type="dxa"/>
            <w:vAlign w:val="center"/>
          </w:tcPr>
          <w:p>
            <w:pPr>
              <w:topLinePunct/>
              <w:spacing w:line="300" w:lineRule="exact"/>
              <w:jc w:val="righ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8</w:t>
            </w:r>
            <w:r>
              <w:rPr>
                <w:rFonts w:hint="eastAsia" w:eastAsiaTheme="minorEastAsia"/>
                <w:color w:val="000000" w:themeColor="text1"/>
                <w:sz w:val="24"/>
                <w:lang w:val="en-US" w:eastAsia="zh-CN"/>
                <w14:textFill>
                  <w14:solidFill>
                    <w14:schemeClr w14:val="tx1"/>
                  </w14:solidFill>
                </w14:textFill>
              </w:rPr>
              <w:t>,</w:t>
            </w:r>
            <w:r>
              <w:rPr>
                <w:rFonts w:hint="eastAsia" w:eastAsiaTheme="minorEastAsia"/>
                <w:color w:val="000000" w:themeColor="text1"/>
                <w:sz w:val="24"/>
                <w14:textFill>
                  <w14:solidFill>
                    <w14:schemeClr w14:val="tx1"/>
                  </w14:solidFill>
                </w14:textFill>
              </w:rPr>
              <w:t>507</w:t>
            </w:r>
            <w:r>
              <w:rPr>
                <w:rFonts w:hint="eastAsia" w:eastAsiaTheme="minorEastAsia"/>
                <w:color w:val="000000" w:themeColor="text1"/>
                <w:sz w:val="24"/>
                <w:lang w:val="en-US" w:eastAsia="zh-CN"/>
                <w14:textFill>
                  <w14:solidFill>
                    <w14:schemeClr w14:val="tx1"/>
                  </w14:solidFill>
                </w14:textFill>
              </w:rPr>
              <w:t>,</w:t>
            </w:r>
            <w:r>
              <w:rPr>
                <w:rFonts w:hint="eastAsia" w:eastAsiaTheme="minorEastAsia"/>
                <w:color w:val="000000" w:themeColor="text1"/>
                <w:sz w:val="24"/>
                <w14:textFill>
                  <w14:solidFill>
                    <w14:schemeClr w14:val="tx1"/>
                  </w14:solidFill>
                </w14:textFill>
              </w:rPr>
              <w:t>658.93</w:t>
            </w:r>
          </w:p>
        </w:tc>
        <w:tc>
          <w:tcPr>
            <w:tcW w:w="2680" w:type="dxa"/>
            <w:vAlign w:val="center"/>
          </w:tcPr>
          <w:p>
            <w:pPr>
              <w:tabs>
                <w:tab w:val="left" w:pos="1361"/>
              </w:tabs>
              <w:spacing w:line="300" w:lineRule="exact"/>
              <w:ind w:left="-3" w:firstLine="2" w:firstLineChars="1"/>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其他应付的款项</w:t>
            </w:r>
          </w:p>
        </w:tc>
        <w:tc>
          <w:tcPr>
            <w:tcW w:w="1554" w:type="dxa"/>
            <w:vAlign w:val="center"/>
          </w:tcPr>
          <w:p>
            <w:pPr>
              <w:topLinePunct/>
              <w:spacing w:line="30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2939" w:type="dxa"/>
            <w:vAlign w:val="center"/>
          </w:tcPr>
          <w:p>
            <w:pPr>
              <w:topLinePunct/>
              <w:spacing w:line="30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合    计</w:t>
            </w:r>
          </w:p>
        </w:tc>
        <w:tc>
          <w:tcPr>
            <w:tcW w:w="2124" w:type="dxa"/>
            <w:vAlign w:val="center"/>
          </w:tcPr>
          <w:p>
            <w:pPr>
              <w:topLinePunct/>
              <w:spacing w:line="300" w:lineRule="exact"/>
              <w:jc w:val="righ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8</w:t>
            </w:r>
            <w:r>
              <w:rPr>
                <w:rFonts w:hint="eastAsia" w:eastAsiaTheme="minorEastAsia"/>
                <w:color w:val="000000" w:themeColor="text1"/>
                <w:sz w:val="24"/>
                <w:lang w:val="en-US" w:eastAsia="zh-CN"/>
                <w14:textFill>
                  <w14:solidFill>
                    <w14:schemeClr w14:val="tx1"/>
                  </w14:solidFill>
                </w14:textFill>
              </w:rPr>
              <w:t>,</w:t>
            </w:r>
            <w:r>
              <w:rPr>
                <w:rFonts w:hint="eastAsia" w:eastAsiaTheme="minorEastAsia"/>
                <w:color w:val="000000" w:themeColor="text1"/>
                <w:sz w:val="24"/>
                <w14:textFill>
                  <w14:solidFill>
                    <w14:schemeClr w14:val="tx1"/>
                  </w14:solidFill>
                </w14:textFill>
              </w:rPr>
              <w:t>507</w:t>
            </w:r>
            <w:r>
              <w:rPr>
                <w:rFonts w:hint="eastAsia" w:eastAsiaTheme="minorEastAsia"/>
                <w:color w:val="000000" w:themeColor="text1"/>
                <w:sz w:val="24"/>
                <w:lang w:val="en-US" w:eastAsia="zh-CN"/>
                <w14:textFill>
                  <w14:solidFill>
                    <w14:schemeClr w14:val="tx1"/>
                  </w14:solidFill>
                </w14:textFill>
              </w:rPr>
              <w:t>,</w:t>
            </w:r>
            <w:r>
              <w:rPr>
                <w:rFonts w:hint="eastAsia" w:eastAsiaTheme="minorEastAsia"/>
                <w:color w:val="000000" w:themeColor="text1"/>
                <w:sz w:val="24"/>
                <w14:textFill>
                  <w14:solidFill>
                    <w14:schemeClr w14:val="tx1"/>
                  </w14:solidFill>
                </w14:textFill>
              </w:rPr>
              <w:t>658.93</w:t>
            </w:r>
          </w:p>
        </w:tc>
        <w:tc>
          <w:tcPr>
            <w:tcW w:w="2680" w:type="dxa"/>
          </w:tcPr>
          <w:p>
            <w:pPr>
              <w:tabs>
                <w:tab w:val="left" w:pos="1361"/>
              </w:tabs>
              <w:spacing w:line="300" w:lineRule="exact"/>
              <w:ind w:left="-3" w:firstLine="2" w:firstLineChars="1"/>
              <w:jc w:val="center"/>
              <w:rPr>
                <w:rFonts w:eastAsiaTheme="minorEastAsia"/>
                <w:color w:val="000000" w:themeColor="text1"/>
                <w:sz w:val="24"/>
                <w14:textFill>
                  <w14:solidFill>
                    <w14:schemeClr w14:val="tx1"/>
                  </w14:solidFill>
                </w14:textFill>
              </w:rPr>
            </w:pPr>
          </w:p>
        </w:tc>
        <w:tc>
          <w:tcPr>
            <w:tcW w:w="1554" w:type="dxa"/>
          </w:tcPr>
          <w:p>
            <w:pPr>
              <w:topLinePunct/>
              <w:spacing w:line="300" w:lineRule="exact"/>
              <w:jc w:val="center"/>
              <w:rPr>
                <w:rFonts w:eastAsiaTheme="minorEastAsia"/>
                <w:color w:val="000000" w:themeColor="text1"/>
                <w:sz w:val="24"/>
                <w14:textFill>
                  <w14:solidFill>
                    <w14:schemeClr w14:val="tx1"/>
                  </w14:solidFill>
                </w14:textFill>
              </w:rPr>
            </w:pPr>
          </w:p>
        </w:tc>
      </w:tr>
    </w:tbl>
    <w:p>
      <w:pPr>
        <w:widowControl/>
        <w:adjustRightInd w:val="0"/>
        <w:snapToGrid w:val="0"/>
        <w:spacing w:line="400" w:lineRule="exact"/>
        <w:ind w:firstLine="424" w:firstLineChars="176"/>
        <w:outlineLvl w:val="2"/>
        <w:rPr>
          <w:rFonts w:eastAsiaTheme="minorEastAsia"/>
          <w:b/>
          <w:sz w:val="24"/>
        </w:rPr>
      </w:pPr>
    </w:p>
    <w:p>
      <w:pPr>
        <w:widowControl/>
        <w:adjustRightInd w:val="0"/>
        <w:snapToGrid w:val="0"/>
        <w:spacing w:line="600" w:lineRule="exact"/>
        <w:ind w:firstLine="482" w:firstLineChars="200"/>
        <w:outlineLvl w:val="2"/>
        <w:rPr>
          <w:rFonts w:eastAsiaTheme="minorEastAsia"/>
          <w:b/>
          <w:sz w:val="24"/>
        </w:rPr>
      </w:pPr>
      <w:r>
        <w:rPr>
          <w:rFonts w:eastAsiaTheme="minorEastAsia"/>
          <w:b/>
          <w:sz w:val="24"/>
        </w:rPr>
        <w:t>注释</w:t>
      </w:r>
      <w:r>
        <w:rPr>
          <w:rFonts w:hint="eastAsia" w:eastAsiaTheme="minorEastAsia"/>
          <w:b/>
          <w:sz w:val="24"/>
        </w:rPr>
        <w:t>6</w:t>
      </w:r>
      <w:r>
        <w:rPr>
          <w:rFonts w:eastAsiaTheme="minorEastAsia"/>
          <w:b/>
          <w:sz w:val="24"/>
        </w:rPr>
        <w:t>.</w:t>
      </w:r>
      <w:r>
        <w:rPr>
          <w:rFonts w:hint="eastAsia" w:eastAsiaTheme="minorEastAsia"/>
          <w:b/>
          <w:sz w:val="24"/>
        </w:rPr>
        <w:t xml:space="preserve"> 出</w:t>
      </w:r>
      <w:r>
        <w:rPr>
          <w:rFonts w:eastAsiaTheme="minorEastAsia"/>
          <w:b/>
          <w:sz w:val="24"/>
        </w:rPr>
        <w:t>资人投入</w:t>
      </w:r>
    </w:p>
    <w:tbl>
      <w:tblPr>
        <w:tblStyle w:val="6"/>
        <w:tblW w:w="931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134"/>
        <w:gridCol w:w="1701"/>
        <w:gridCol w:w="1134"/>
        <w:gridCol w:w="18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2232" w:type="dxa"/>
            <w:vMerge w:val="restart"/>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出资人</w:t>
            </w:r>
          </w:p>
        </w:tc>
        <w:tc>
          <w:tcPr>
            <w:tcW w:w="2835" w:type="dxa"/>
            <w:gridSpan w:val="2"/>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约定出资</w:t>
            </w:r>
          </w:p>
        </w:tc>
        <w:tc>
          <w:tcPr>
            <w:tcW w:w="2976" w:type="dxa"/>
            <w:gridSpan w:val="2"/>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实际出资</w:t>
            </w:r>
          </w:p>
        </w:tc>
        <w:tc>
          <w:tcPr>
            <w:tcW w:w="1276" w:type="dxa"/>
            <w:vMerge w:val="restart"/>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232" w:type="dxa"/>
            <w:vMerge w:val="continue"/>
            <w:vAlign w:val="center"/>
          </w:tcPr>
          <w:p>
            <w:pPr>
              <w:topLinePunct/>
              <w:spacing w:line="300" w:lineRule="exact"/>
              <w:ind w:firstLine="480" w:firstLineChars="200"/>
              <w:jc w:val="center"/>
              <w:rPr>
                <w:rFonts w:eastAsiaTheme="minorEastAsia"/>
                <w:bCs/>
                <w:color w:val="000000" w:themeColor="text1"/>
                <w:sz w:val="24"/>
                <w14:textFill>
                  <w14:solidFill>
                    <w14:schemeClr w14:val="tx1"/>
                  </w14:solidFill>
                </w14:textFill>
              </w:rPr>
            </w:pPr>
          </w:p>
        </w:tc>
        <w:tc>
          <w:tcPr>
            <w:tcW w:w="1134"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比例%</w:t>
            </w:r>
          </w:p>
        </w:tc>
        <w:tc>
          <w:tcPr>
            <w:tcW w:w="1701" w:type="dxa"/>
            <w:vAlign w:val="center"/>
          </w:tcPr>
          <w:p>
            <w:pPr>
              <w:topLinePunct/>
              <w:spacing w:line="300" w:lineRule="exact"/>
              <w:ind w:firstLine="240" w:firstLineChars="100"/>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出资额</w:t>
            </w:r>
          </w:p>
        </w:tc>
        <w:tc>
          <w:tcPr>
            <w:tcW w:w="1134"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比例%</w:t>
            </w:r>
          </w:p>
        </w:tc>
        <w:tc>
          <w:tcPr>
            <w:tcW w:w="1842"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出资额</w:t>
            </w:r>
          </w:p>
        </w:tc>
        <w:tc>
          <w:tcPr>
            <w:tcW w:w="1276" w:type="dxa"/>
            <w:vMerge w:val="continue"/>
            <w:vAlign w:val="center"/>
          </w:tcPr>
          <w:p>
            <w:pPr>
              <w:topLinePunct/>
              <w:spacing w:line="300" w:lineRule="exact"/>
              <w:ind w:firstLine="720" w:firstLineChars="300"/>
              <w:jc w:val="center"/>
              <w:rPr>
                <w:rFonts w:eastAsia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232"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深圳市元凤科技发展有限公司</w:t>
            </w:r>
          </w:p>
        </w:tc>
        <w:tc>
          <w:tcPr>
            <w:tcW w:w="1134"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100.00</w:t>
            </w:r>
          </w:p>
        </w:tc>
        <w:tc>
          <w:tcPr>
            <w:tcW w:w="1701"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1,752,221.44</w:t>
            </w:r>
          </w:p>
        </w:tc>
        <w:tc>
          <w:tcPr>
            <w:tcW w:w="1134"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100.00</w:t>
            </w:r>
          </w:p>
        </w:tc>
        <w:tc>
          <w:tcPr>
            <w:tcW w:w="1842"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1,752,221.44</w:t>
            </w:r>
          </w:p>
        </w:tc>
        <w:tc>
          <w:tcPr>
            <w:tcW w:w="1276"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实物出资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32"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合计</w:t>
            </w:r>
          </w:p>
        </w:tc>
        <w:tc>
          <w:tcPr>
            <w:tcW w:w="1134"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100.00</w:t>
            </w:r>
          </w:p>
        </w:tc>
        <w:tc>
          <w:tcPr>
            <w:tcW w:w="1701"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1,752,221.44</w:t>
            </w:r>
          </w:p>
        </w:tc>
        <w:tc>
          <w:tcPr>
            <w:tcW w:w="1134"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100.00</w:t>
            </w:r>
          </w:p>
        </w:tc>
        <w:tc>
          <w:tcPr>
            <w:tcW w:w="1842" w:type="dxa"/>
            <w:vAlign w:val="center"/>
          </w:tcPr>
          <w:p>
            <w:pPr>
              <w:topLinePunct/>
              <w:spacing w:line="300" w:lineRule="exact"/>
              <w:jc w:val="center"/>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1,752,221.44</w:t>
            </w:r>
          </w:p>
        </w:tc>
        <w:tc>
          <w:tcPr>
            <w:tcW w:w="1276" w:type="dxa"/>
            <w:vAlign w:val="center"/>
          </w:tcPr>
          <w:p>
            <w:pPr>
              <w:topLinePunct/>
              <w:spacing w:line="300" w:lineRule="exact"/>
              <w:ind w:firstLine="480" w:firstLineChars="200"/>
              <w:jc w:val="center"/>
              <w:rPr>
                <w:rFonts w:eastAsiaTheme="minorEastAsia"/>
                <w:bCs/>
                <w:color w:val="000000" w:themeColor="text1"/>
                <w:sz w:val="24"/>
                <w14:textFill>
                  <w14:solidFill>
                    <w14:schemeClr w14:val="tx1"/>
                  </w14:solidFill>
                </w14:textFill>
              </w:rPr>
            </w:pPr>
          </w:p>
        </w:tc>
      </w:tr>
    </w:tbl>
    <w:p>
      <w:pPr>
        <w:topLinePunct/>
        <w:spacing w:line="500" w:lineRule="exact"/>
        <w:ind w:firstLine="480" w:firstLineChars="200"/>
        <w:jc w:val="left"/>
        <w:rPr>
          <w:rFonts w:eastAsiaTheme="minorEastAsia"/>
          <w:bCs/>
          <w:color w:val="000000" w:themeColor="text1"/>
          <w:sz w:val="24"/>
          <w14:textFill>
            <w14:solidFill>
              <w14:schemeClr w14:val="tx1"/>
            </w14:solidFill>
          </w14:textFill>
        </w:rPr>
      </w:pPr>
      <w:r>
        <w:rPr>
          <w:rFonts w:eastAsiaTheme="minorEastAsia"/>
          <w:color w:val="000000" w:themeColor="text1"/>
          <w:kern w:val="0"/>
          <w:sz w:val="24"/>
          <w14:textFill>
            <w14:solidFill>
              <w14:schemeClr w14:val="tx1"/>
            </w14:solidFill>
          </w14:textFill>
        </w:rPr>
        <w:t>以上实物出资已经深圳市国友大正资产评估有限公司国友大正资评报字(2006)第A073号评估报告验证，投资者实际出资总额中</w:t>
      </w:r>
      <w:r>
        <w:rPr>
          <w:rFonts w:hint="eastAsia" w:eastAsiaTheme="minorEastAsia"/>
          <w:color w:val="000000" w:themeColor="text1"/>
          <w:kern w:val="0"/>
          <w:sz w:val="24"/>
          <w14:textFill>
            <w14:solidFill>
              <w14:schemeClr w14:val="tx1"/>
            </w14:solidFill>
          </w14:textFill>
        </w:rPr>
        <w:t>：</w:t>
      </w:r>
      <w:r>
        <w:rPr>
          <w:rFonts w:eastAsiaTheme="minorEastAsia"/>
          <w:color w:val="000000" w:themeColor="text1"/>
          <w:kern w:val="0"/>
          <w:sz w:val="24"/>
          <w14:textFill>
            <w14:solidFill>
              <w14:schemeClr w14:val="tx1"/>
            </w14:solidFill>
          </w14:textFill>
        </w:rPr>
        <w:t>固定资产1,752,221.44元，占100%。</w:t>
      </w:r>
    </w:p>
    <w:p>
      <w:pPr>
        <w:widowControl/>
        <w:adjustRightInd w:val="0"/>
        <w:snapToGrid w:val="0"/>
        <w:spacing w:line="600" w:lineRule="exact"/>
        <w:ind w:firstLine="482" w:firstLineChars="200"/>
        <w:outlineLvl w:val="2"/>
        <w:rPr>
          <w:rFonts w:eastAsiaTheme="minorEastAsia"/>
          <w:b/>
          <w:sz w:val="24"/>
        </w:rPr>
      </w:pPr>
      <w:r>
        <w:rPr>
          <w:rFonts w:eastAsiaTheme="minorEastAsia"/>
          <w:b/>
          <w:sz w:val="24"/>
        </w:rPr>
        <w:t>注释</w:t>
      </w:r>
      <w:r>
        <w:rPr>
          <w:rFonts w:hint="eastAsia" w:eastAsiaTheme="minorEastAsia"/>
          <w:b/>
          <w:sz w:val="24"/>
        </w:rPr>
        <w:t>7</w:t>
      </w:r>
      <w:r>
        <w:rPr>
          <w:rFonts w:eastAsiaTheme="minorEastAsia"/>
          <w:b/>
          <w:sz w:val="24"/>
        </w:rPr>
        <w:t>. 限定性净资产</w:t>
      </w:r>
    </w:p>
    <w:tbl>
      <w:tblPr>
        <w:tblStyle w:val="6"/>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699"/>
        <w:gridCol w:w="1699"/>
        <w:gridCol w:w="1699"/>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2520" w:type="dxa"/>
            <w:vAlign w:val="center"/>
          </w:tcPr>
          <w:p>
            <w:pPr>
              <w:topLinePunct/>
              <w:spacing w:line="300" w:lineRule="exact"/>
              <w:jc w:val="center"/>
              <w:rPr>
                <w:rFonts w:eastAsiaTheme="minorEastAsia"/>
                <w:bCs/>
                <w:sz w:val="24"/>
              </w:rPr>
            </w:pPr>
            <w:r>
              <w:rPr>
                <w:rFonts w:eastAsiaTheme="minorEastAsia"/>
                <w:bCs/>
                <w:sz w:val="24"/>
              </w:rPr>
              <w:t>项    目</w:t>
            </w:r>
          </w:p>
        </w:tc>
        <w:tc>
          <w:tcPr>
            <w:tcW w:w="1699" w:type="dxa"/>
            <w:vAlign w:val="center"/>
          </w:tcPr>
          <w:p>
            <w:pPr>
              <w:topLinePunct/>
              <w:spacing w:line="300" w:lineRule="exact"/>
              <w:jc w:val="center"/>
              <w:rPr>
                <w:rFonts w:eastAsiaTheme="minorEastAsia"/>
                <w:bCs/>
                <w:sz w:val="24"/>
              </w:rPr>
            </w:pPr>
            <w:r>
              <w:rPr>
                <w:rFonts w:eastAsiaTheme="minorEastAsia"/>
                <w:bCs/>
                <w:sz w:val="24"/>
              </w:rPr>
              <w:t>期初余额</w:t>
            </w:r>
          </w:p>
        </w:tc>
        <w:tc>
          <w:tcPr>
            <w:tcW w:w="1699" w:type="dxa"/>
            <w:vAlign w:val="center"/>
          </w:tcPr>
          <w:p>
            <w:pPr>
              <w:topLinePunct/>
              <w:spacing w:line="300" w:lineRule="exact"/>
              <w:jc w:val="center"/>
              <w:rPr>
                <w:rFonts w:eastAsiaTheme="minorEastAsia"/>
                <w:bCs/>
                <w:sz w:val="24"/>
              </w:rPr>
            </w:pPr>
            <w:r>
              <w:rPr>
                <w:rFonts w:eastAsiaTheme="minorEastAsia"/>
                <w:bCs/>
                <w:sz w:val="24"/>
              </w:rPr>
              <w:t>本期增加</w:t>
            </w:r>
          </w:p>
        </w:tc>
        <w:tc>
          <w:tcPr>
            <w:tcW w:w="1699" w:type="dxa"/>
            <w:vAlign w:val="center"/>
          </w:tcPr>
          <w:p>
            <w:pPr>
              <w:topLinePunct/>
              <w:spacing w:line="300" w:lineRule="exact"/>
              <w:jc w:val="center"/>
              <w:rPr>
                <w:rFonts w:eastAsiaTheme="minorEastAsia"/>
                <w:bCs/>
                <w:sz w:val="24"/>
              </w:rPr>
            </w:pPr>
            <w:r>
              <w:rPr>
                <w:rFonts w:eastAsiaTheme="minorEastAsia"/>
                <w:bCs/>
                <w:sz w:val="24"/>
              </w:rPr>
              <w:t>本期减少</w:t>
            </w:r>
          </w:p>
        </w:tc>
        <w:tc>
          <w:tcPr>
            <w:tcW w:w="1700" w:type="dxa"/>
            <w:vAlign w:val="center"/>
          </w:tcPr>
          <w:p>
            <w:pPr>
              <w:topLinePunct/>
              <w:spacing w:line="300" w:lineRule="exact"/>
              <w:jc w:val="center"/>
              <w:rPr>
                <w:rFonts w:eastAsiaTheme="minorEastAsia"/>
                <w:bCs/>
                <w:sz w:val="24"/>
              </w:rPr>
            </w:pPr>
            <w:r>
              <w:rPr>
                <w:rFonts w:eastAsiaTheme="minorEastAsia"/>
                <w:bCs/>
                <w:sz w:val="24"/>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2520" w:type="dxa"/>
            <w:vAlign w:val="center"/>
          </w:tcPr>
          <w:p>
            <w:pPr>
              <w:topLinePunct/>
              <w:spacing w:line="300" w:lineRule="exact"/>
              <w:rPr>
                <w:rFonts w:eastAsiaTheme="minorEastAsia"/>
                <w:bCs/>
                <w:sz w:val="24"/>
              </w:rPr>
            </w:pPr>
            <w:r>
              <w:rPr>
                <w:rFonts w:eastAsiaTheme="minorEastAsia"/>
                <w:bCs/>
                <w:sz w:val="24"/>
              </w:rPr>
              <w:t>限定性净资产</w:t>
            </w:r>
          </w:p>
        </w:tc>
        <w:tc>
          <w:tcPr>
            <w:tcW w:w="1699" w:type="dxa"/>
            <w:vAlign w:val="center"/>
          </w:tcPr>
          <w:p>
            <w:pPr>
              <w:topLinePunct/>
              <w:spacing w:line="300" w:lineRule="exact"/>
              <w:jc w:val="right"/>
              <w:rPr>
                <w:rFonts w:eastAsiaTheme="minorEastAsia"/>
                <w:sz w:val="24"/>
              </w:rPr>
            </w:pPr>
            <w:r>
              <w:rPr>
                <w:rFonts w:eastAsiaTheme="minorEastAsia"/>
                <w:sz w:val="24"/>
              </w:rPr>
              <w:t>-18</w:t>
            </w:r>
            <w:r>
              <w:rPr>
                <w:rFonts w:hint="eastAsia" w:eastAsiaTheme="minorEastAsia"/>
                <w:sz w:val="24"/>
              </w:rPr>
              <w:t>,</w:t>
            </w:r>
            <w:r>
              <w:rPr>
                <w:rFonts w:eastAsiaTheme="minorEastAsia"/>
                <w:sz w:val="24"/>
              </w:rPr>
              <w:t>937.52</w:t>
            </w:r>
          </w:p>
        </w:tc>
        <w:tc>
          <w:tcPr>
            <w:tcW w:w="1699" w:type="dxa"/>
            <w:vAlign w:val="center"/>
          </w:tcPr>
          <w:p>
            <w:pPr>
              <w:widowControl/>
              <w:jc w:val="right"/>
              <w:textAlignment w:val="center"/>
              <w:rPr>
                <w:rFonts w:hint="default" w:eastAsia="宋体"/>
                <w:color w:val="000000"/>
                <w:sz w:val="24"/>
                <w:lang w:val="en-US" w:eastAsia="zh-CN"/>
              </w:rPr>
            </w:pPr>
            <w:r>
              <w:rPr>
                <w:rFonts w:hint="eastAsia"/>
                <w:color w:val="000000"/>
                <w:kern w:val="0"/>
                <w:sz w:val="24"/>
              </w:rPr>
              <w:t>78</w:t>
            </w:r>
            <w:r>
              <w:rPr>
                <w:rFonts w:hint="eastAsia"/>
                <w:color w:val="000000"/>
                <w:kern w:val="0"/>
                <w:sz w:val="24"/>
                <w:lang w:val="en-US" w:eastAsia="zh-CN"/>
              </w:rPr>
              <w:t>,</w:t>
            </w:r>
            <w:r>
              <w:rPr>
                <w:rFonts w:hint="eastAsia"/>
                <w:color w:val="000000"/>
                <w:kern w:val="0"/>
                <w:sz w:val="24"/>
              </w:rPr>
              <w:t>000</w:t>
            </w:r>
            <w:r>
              <w:rPr>
                <w:rFonts w:hint="eastAsia"/>
                <w:color w:val="000000"/>
                <w:kern w:val="0"/>
                <w:sz w:val="24"/>
                <w:lang w:val="en-US" w:eastAsia="zh-CN"/>
              </w:rPr>
              <w:t>.00</w:t>
            </w:r>
          </w:p>
        </w:tc>
        <w:tc>
          <w:tcPr>
            <w:tcW w:w="1699" w:type="dxa"/>
            <w:vAlign w:val="center"/>
          </w:tcPr>
          <w:p>
            <w:pPr>
              <w:widowControl/>
              <w:jc w:val="right"/>
              <w:textAlignment w:val="center"/>
              <w:rPr>
                <w:rFonts w:eastAsiaTheme="minorEastAsia"/>
                <w:sz w:val="24"/>
              </w:rPr>
            </w:pPr>
            <w:r>
              <w:rPr>
                <w:rFonts w:hint="eastAsia"/>
                <w:color w:val="000000"/>
                <w:kern w:val="0"/>
                <w:sz w:val="24"/>
              </w:rPr>
              <w:t>107</w:t>
            </w:r>
            <w:r>
              <w:rPr>
                <w:rFonts w:hint="eastAsia"/>
                <w:color w:val="000000"/>
                <w:kern w:val="0"/>
                <w:sz w:val="24"/>
                <w:lang w:val="en-US" w:eastAsia="zh-CN"/>
              </w:rPr>
              <w:t>,</w:t>
            </w:r>
            <w:r>
              <w:rPr>
                <w:rFonts w:hint="eastAsia"/>
                <w:color w:val="000000"/>
                <w:kern w:val="0"/>
                <w:sz w:val="24"/>
              </w:rPr>
              <w:t>067.66</w:t>
            </w:r>
          </w:p>
        </w:tc>
        <w:tc>
          <w:tcPr>
            <w:tcW w:w="1700" w:type="dxa"/>
            <w:vAlign w:val="center"/>
          </w:tcPr>
          <w:p>
            <w:pPr>
              <w:widowControl/>
              <w:jc w:val="right"/>
              <w:textAlignment w:val="center"/>
              <w:rPr>
                <w:rFonts w:eastAsiaTheme="minorEastAsia"/>
                <w:sz w:val="24"/>
              </w:rPr>
            </w:pPr>
            <w:r>
              <w:rPr>
                <w:rFonts w:hint="eastAsia" w:eastAsiaTheme="minorEastAsia"/>
                <w:sz w:val="24"/>
              </w:rPr>
              <w:t>-48</w:t>
            </w:r>
            <w:r>
              <w:rPr>
                <w:rFonts w:hint="eastAsia" w:eastAsiaTheme="minorEastAsia"/>
                <w:sz w:val="24"/>
                <w:lang w:val="en-US" w:eastAsia="zh-CN"/>
              </w:rPr>
              <w:t>,</w:t>
            </w:r>
            <w:r>
              <w:rPr>
                <w:rFonts w:hint="eastAsia" w:eastAsiaTheme="minorEastAsia"/>
                <w:sz w:val="24"/>
              </w:rPr>
              <w:t>005.18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2520" w:type="dxa"/>
            <w:vAlign w:val="center"/>
          </w:tcPr>
          <w:p>
            <w:pPr>
              <w:topLinePunct/>
              <w:spacing w:line="300" w:lineRule="exact"/>
              <w:ind w:firstLine="360" w:firstLineChars="150"/>
              <w:jc w:val="center"/>
              <w:rPr>
                <w:rFonts w:eastAsiaTheme="minorEastAsia"/>
                <w:bCs/>
                <w:sz w:val="24"/>
              </w:rPr>
            </w:pPr>
            <w:r>
              <w:rPr>
                <w:rFonts w:eastAsiaTheme="minorEastAsia"/>
                <w:color w:val="000000" w:themeColor="text1"/>
                <w:sz w:val="24"/>
                <w14:textFill>
                  <w14:solidFill>
                    <w14:schemeClr w14:val="tx1"/>
                  </w14:solidFill>
                </w14:textFill>
              </w:rPr>
              <w:t>合    计</w:t>
            </w:r>
          </w:p>
        </w:tc>
        <w:tc>
          <w:tcPr>
            <w:tcW w:w="1699" w:type="dxa"/>
            <w:vAlign w:val="center"/>
          </w:tcPr>
          <w:p>
            <w:pPr>
              <w:topLinePunct/>
              <w:spacing w:line="300" w:lineRule="exact"/>
              <w:jc w:val="right"/>
              <w:rPr>
                <w:rFonts w:eastAsiaTheme="minorEastAsia"/>
                <w:sz w:val="24"/>
              </w:rPr>
            </w:pPr>
            <w:r>
              <w:rPr>
                <w:rFonts w:eastAsiaTheme="minorEastAsia"/>
                <w:sz w:val="24"/>
              </w:rPr>
              <w:t>-18</w:t>
            </w:r>
            <w:r>
              <w:rPr>
                <w:rFonts w:hint="eastAsia" w:eastAsiaTheme="minorEastAsia"/>
                <w:sz w:val="24"/>
              </w:rPr>
              <w:t>,</w:t>
            </w:r>
            <w:r>
              <w:rPr>
                <w:rFonts w:eastAsiaTheme="minorEastAsia"/>
                <w:sz w:val="24"/>
              </w:rPr>
              <w:t>937.52</w:t>
            </w:r>
          </w:p>
        </w:tc>
        <w:tc>
          <w:tcPr>
            <w:tcW w:w="1699" w:type="dxa"/>
            <w:vAlign w:val="center"/>
          </w:tcPr>
          <w:p>
            <w:pPr>
              <w:widowControl/>
              <w:jc w:val="right"/>
              <w:textAlignment w:val="center"/>
              <w:rPr>
                <w:color w:val="000000"/>
                <w:sz w:val="24"/>
              </w:rPr>
            </w:pPr>
            <w:r>
              <w:rPr>
                <w:rFonts w:hint="eastAsia"/>
                <w:color w:val="000000"/>
                <w:kern w:val="0"/>
                <w:sz w:val="24"/>
              </w:rPr>
              <w:t>78</w:t>
            </w:r>
            <w:r>
              <w:rPr>
                <w:rFonts w:hint="eastAsia"/>
                <w:color w:val="000000"/>
                <w:kern w:val="0"/>
                <w:sz w:val="24"/>
                <w:lang w:val="en-US" w:eastAsia="zh-CN"/>
              </w:rPr>
              <w:t>,</w:t>
            </w:r>
            <w:r>
              <w:rPr>
                <w:rFonts w:hint="eastAsia"/>
                <w:color w:val="000000"/>
                <w:kern w:val="0"/>
                <w:sz w:val="24"/>
              </w:rPr>
              <w:t>000</w:t>
            </w:r>
            <w:r>
              <w:rPr>
                <w:rFonts w:hint="eastAsia"/>
                <w:color w:val="000000"/>
                <w:kern w:val="0"/>
                <w:sz w:val="24"/>
                <w:lang w:val="en-US" w:eastAsia="zh-CN"/>
              </w:rPr>
              <w:t>.00</w:t>
            </w:r>
          </w:p>
        </w:tc>
        <w:tc>
          <w:tcPr>
            <w:tcW w:w="1699" w:type="dxa"/>
            <w:vAlign w:val="center"/>
          </w:tcPr>
          <w:p>
            <w:pPr>
              <w:widowControl/>
              <w:jc w:val="right"/>
              <w:textAlignment w:val="center"/>
              <w:rPr>
                <w:rFonts w:eastAsiaTheme="minorEastAsia"/>
                <w:sz w:val="24"/>
              </w:rPr>
            </w:pPr>
            <w:r>
              <w:rPr>
                <w:rFonts w:hint="eastAsia"/>
                <w:color w:val="000000"/>
                <w:kern w:val="0"/>
                <w:sz w:val="24"/>
              </w:rPr>
              <w:t>107</w:t>
            </w:r>
            <w:r>
              <w:rPr>
                <w:rFonts w:hint="eastAsia"/>
                <w:color w:val="000000"/>
                <w:kern w:val="0"/>
                <w:sz w:val="24"/>
                <w:lang w:val="en-US" w:eastAsia="zh-CN"/>
              </w:rPr>
              <w:t>,</w:t>
            </w:r>
            <w:r>
              <w:rPr>
                <w:rFonts w:hint="eastAsia"/>
                <w:color w:val="000000"/>
                <w:kern w:val="0"/>
                <w:sz w:val="24"/>
              </w:rPr>
              <w:t>067.66</w:t>
            </w:r>
          </w:p>
        </w:tc>
        <w:tc>
          <w:tcPr>
            <w:tcW w:w="1700" w:type="dxa"/>
            <w:vAlign w:val="center"/>
          </w:tcPr>
          <w:p>
            <w:pPr>
              <w:widowControl/>
              <w:jc w:val="right"/>
              <w:textAlignment w:val="center"/>
              <w:rPr>
                <w:rFonts w:eastAsiaTheme="minorEastAsia"/>
                <w:sz w:val="24"/>
              </w:rPr>
            </w:pPr>
            <w:r>
              <w:rPr>
                <w:rFonts w:hint="eastAsia" w:eastAsiaTheme="minorEastAsia"/>
                <w:sz w:val="24"/>
              </w:rPr>
              <w:t>-48</w:t>
            </w:r>
            <w:r>
              <w:rPr>
                <w:rFonts w:hint="eastAsia" w:eastAsiaTheme="minorEastAsia"/>
                <w:sz w:val="24"/>
                <w:lang w:val="en-US" w:eastAsia="zh-CN"/>
              </w:rPr>
              <w:t>,</w:t>
            </w:r>
            <w:r>
              <w:rPr>
                <w:rFonts w:hint="eastAsia" w:eastAsiaTheme="minorEastAsia"/>
                <w:sz w:val="24"/>
              </w:rPr>
              <w:t>005.18</w:t>
            </w:r>
          </w:p>
        </w:tc>
      </w:tr>
    </w:tbl>
    <w:p>
      <w:pPr>
        <w:widowControl/>
        <w:adjustRightInd w:val="0"/>
        <w:snapToGrid w:val="0"/>
        <w:spacing w:line="400" w:lineRule="exact"/>
        <w:ind w:firstLine="424" w:firstLineChars="176"/>
        <w:outlineLvl w:val="2"/>
        <w:rPr>
          <w:rFonts w:eastAsiaTheme="minorEastAsia"/>
          <w:b/>
          <w:sz w:val="24"/>
        </w:rPr>
      </w:pPr>
    </w:p>
    <w:p>
      <w:pPr>
        <w:widowControl/>
        <w:adjustRightInd w:val="0"/>
        <w:snapToGrid w:val="0"/>
        <w:spacing w:line="600" w:lineRule="exact"/>
        <w:ind w:firstLine="482" w:firstLineChars="200"/>
        <w:outlineLvl w:val="2"/>
        <w:rPr>
          <w:rFonts w:eastAsiaTheme="minorEastAsia"/>
          <w:b/>
          <w:sz w:val="24"/>
        </w:rPr>
      </w:pPr>
      <w:r>
        <w:rPr>
          <w:rFonts w:eastAsiaTheme="minorEastAsia"/>
          <w:b/>
          <w:sz w:val="24"/>
        </w:rPr>
        <w:t>注释</w:t>
      </w:r>
      <w:r>
        <w:rPr>
          <w:rFonts w:hint="eastAsia" w:eastAsiaTheme="minorEastAsia"/>
          <w:b/>
          <w:sz w:val="24"/>
        </w:rPr>
        <w:t>8</w:t>
      </w:r>
      <w:r>
        <w:rPr>
          <w:rFonts w:eastAsiaTheme="minorEastAsia"/>
          <w:b/>
          <w:sz w:val="24"/>
        </w:rPr>
        <w:t>. 或有事项（或有损失、或有负债）</w:t>
      </w:r>
    </w:p>
    <w:p>
      <w:pPr>
        <w:topLinePunct/>
        <w:spacing w:line="500" w:lineRule="exact"/>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深圳市南山区元凤幼儿园</w:t>
      </w:r>
      <w:r>
        <w:rPr>
          <w:rFonts w:eastAsiaTheme="minorEastAsia"/>
          <w:color w:val="000000" w:themeColor="text1"/>
          <w:sz w:val="24"/>
          <w14:textFill>
            <w14:solidFill>
              <w14:schemeClr w14:val="tx1"/>
            </w14:solidFill>
          </w14:textFill>
        </w:rPr>
        <w:t>无重大资产减值情况，无对外承诺事项和或有事项情况，无作为保证人或利用幼儿园资产为他人提供担保等事项。</w:t>
      </w:r>
    </w:p>
    <w:p>
      <w:pPr>
        <w:widowControl/>
        <w:adjustRightInd w:val="0"/>
        <w:snapToGrid w:val="0"/>
        <w:spacing w:line="400" w:lineRule="exact"/>
        <w:ind w:firstLine="361" w:firstLineChars="150"/>
        <w:outlineLvl w:val="2"/>
        <w:rPr>
          <w:rFonts w:eastAsiaTheme="minorEastAsia"/>
          <w:b/>
          <w:color w:val="000000" w:themeColor="text1"/>
          <w:sz w:val="24"/>
          <w14:textFill>
            <w14:solidFill>
              <w14:schemeClr w14:val="tx1"/>
            </w14:solidFill>
          </w14:textFill>
        </w:rPr>
      </w:pPr>
    </w:p>
    <w:p>
      <w:pPr>
        <w:widowControl/>
        <w:adjustRightInd w:val="0"/>
        <w:snapToGrid w:val="0"/>
        <w:spacing w:line="600" w:lineRule="exact"/>
        <w:ind w:firstLine="482" w:firstLineChars="200"/>
        <w:outlineLvl w:val="2"/>
        <w:rPr>
          <w:rFonts w:eastAsiaTheme="minorEastAsia"/>
          <w:b/>
          <w:sz w:val="24"/>
        </w:rPr>
      </w:pPr>
      <w:r>
        <w:rPr>
          <w:rFonts w:eastAsiaTheme="minorEastAsia"/>
          <w:b/>
          <w:sz w:val="24"/>
        </w:rPr>
        <w:t>注释</w:t>
      </w:r>
      <w:r>
        <w:rPr>
          <w:rFonts w:hint="eastAsia" w:eastAsiaTheme="minorEastAsia"/>
          <w:b/>
          <w:sz w:val="24"/>
        </w:rPr>
        <w:t>9</w:t>
      </w:r>
      <w:r>
        <w:rPr>
          <w:rFonts w:eastAsiaTheme="minorEastAsia"/>
          <w:b/>
          <w:sz w:val="24"/>
        </w:rPr>
        <w:t>. 资产负债表日后非调整事项</w:t>
      </w:r>
    </w:p>
    <w:p>
      <w:pPr>
        <w:topLinePunct/>
        <w:spacing w:line="500" w:lineRule="exact"/>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本次审计未发现元凤幼儿园资产负债表日后非调整事项。</w:t>
      </w:r>
    </w:p>
    <w:p>
      <w:pPr>
        <w:widowControl/>
        <w:adjustRightInd w:val="0"/>
        <w:snapToGrid w:val="0"/>
        <w:spacing w:line="400" w:lineRule="exact"/>
        <w:ind w:firstLine="361" w:firstLineChars="150"/>
        <w:outlineLvl w:val="2"/>
        <w:rPr>
          <w:b/>
          <w:sz w:val="24"/>
        </w:rPr>
      </w:pPr>
    </w:p>
    <w:p>
      <w:pPr>
        <w:widowControl/>
        <w:adjustRightInd w:val="0"/>
        <w:snapToGrid w:val="0"/>
        <w:spacing w:line="560" w:lineRule="exact"/>
        <w:ind w:firstLine="361" w:firstLineChars="150"/>
        <w:outlineLvl w:val="2"/>
        <w:rPr>
          <w:b/>
          <w:sz w:val="24"/>
        </w:rPr>
      </w:pPr>
      <w:r>
        <w:rPr>
          <w:b/>
          <w:sz w:val="24"/>
        </w:rPr>
        <w:t>四、需要说明的其他事项</w:t>
      </w:r>
    </w:p>
    <w:p>
      <w:pPr>
        <w:widowControl/>
        <w:adjustRightInd w:val="0"/>
        <w:snapToGrid w:val="0"/>
        <w:spacing w:line="560" w:lineRule="exact"/>
        <w:ind w:firstLine="361" w:firstLineChars="150"/>
        <w:outlineLvl w:val="2"/>
        <w:rPr>
          <w:b/>
          <w:sz w:val="24"/>
        </w:rPr>
      </w:pPr>
      <w:r>
        <w:rPr>
          <w:b/>
          <w:sz w:val="24"/>
        </w:rPr>
        <w:t>（一）资产、负债和净资产管理情况</w:t>
      </w:r>
    </w:p>
    <w:p>
      <w:pPr>
        <w:widowControl/>
        <w:adjustRightInd w:val="0"/>
        <w:snapToGrid w:val="0"/>
        <w:spacing w:line="560" w:lineRule="exact"/>
        <w:ind w:firstLine="360" w:firstLineChars="150"/>
        <w:outlineLvl w:val="2"/>
        <w:rPr>
          <w:sz w:val="24"/>
        </w:rPr>
      </w:pPr>
      <w:r>
        <w:rPr>
          <w:sz w:val="24"/>
        </w:rPr>
        <w:t>1.</w:t>
      </w:r>
      <w:r>
        <w:rPr>
          <w:rFonts w:hint="eastAsia"/>
          <w:sz w:val="24"/>
        </w:rPr>
        <w:t>元凤幼儿园</w:t>
      </w:r>
      <w:r>
        <w:rPr>
          <w:sz w:val="24"/>
        </w:rPr>
        <w:t>建筑面积</w:t>
      </w:r>
      <w:r>
        <w:rPr>
          <w:rFonts w:hint="eastAsia"/>
          <w:sz w:val="24"/>
        </w:rPr>
        <w:t>6012.79</w:t>
      </w:r>
      <w:r>
        <w:rPr>
          <w:sz w:val="24"/>
        </w:rPr>
        <w:t>平方米，</w:t>
      </w:r>
      <w:r>
        <w:rPr>
          <w:rFonts w:hint="eastAsia"/>
          <w:sz w:val="24"/>
        </w:rPr>
        <w:t>房屋来源是租赁，租赁合同期限</w:t>
      </w:r>
      <w:r>
        <w:rPr>
          <w:sz w:val="24"/>
        </w:rPr>
        <w:t>从20</w:t>
      </w:r>
      <w:r>
        <w:rPr>
          <w:rFonts w:hint="eastAsia"/>
          <w:sz w:val="24"/>
          <w:lang w:val="en-US" w:eastAsia="zh-CN"/>
        </w:rPr>
        <w:t>24</w:t>
      </w:r>
      <w:r>
        <w:rPr>
          <w:sz w:val="24"/>
        </w:rPr>
        <w:t>年</w:t>
      </w:r>
      <w:r>
        <w:rPr>
          <w:rFonts w:hint="eastAsia"/>
          <w:sz w:val="24"/>
        </w:rPr>
        <w:t>7</w:t>
      </w:r>
      <w:r>
        <w:rPr>
          <w:sz w:val="24"/>
        </w:rPr>
        <w:t>月1</w:t>
      </w:r>
      <w:r>
        <w:rPr>
          <w:rFonts w:hint="eastAsia"/>
          <w:sz w:val="24"/>
        </w:rPr>
        <w:t>6</w:t>
      </w:r>
      <w:r>
        <w:rPr>
          <w:sz w:val="24"/>
        </w:rPr>
        <w:t>日至20</w:t>
      </w:r>
      <w:r>
        <w:rPr>
          <w:rFonts w:hint="eastAsia"/>
          <w:sz w:val="24"/>
          <w:lang w:val="en-US" w:eastAsia="zh-CN"/>
        </w:rPr>
        <w:t>35</w:t>
      </w:r>
      <w:r>
        <w:rPr>
          <w:sz w:val="24"/>
        </w:rPr>
        <w:t>年</w:t>
      </w:r>
      <w:r>
        <w:rPr>
          <w:rFonts w:hint="eastAsia"/>
          <w:sz w:val="24"/>
          <w:lang w:val="en-US" w:eastAsia="zh-CN"/>
        </w:rPr>
        <w:t>03</w:t>
      </w:r>
      <w:r>
        <w:rPr>
          <w:sz w:val="24"/>
        </w:rPr>
        <w:t>月</w:t>
      </w:r>
      <w:r>
        <w:rPr>
          <w:rFonts w:hint="eastAsia"/>
          <w:sz w:val="24"/>
          <w:lang w:val="en-US" w:eastAsia="zh-CN"/>
        </w:rPr>
        <w:t>09</w:t>
      </w:r>
      <w:r>
        <w:rPr>
          <w:sz w:val="24"/>
        </w:rPr>
        <w:t>日，月租金</w:t>
      </w:r>
      <w:r>
        <w:rPr>
          <w:rFonts w:hint="eastAsia"/>
          <w:sz w:val="24"/>
          <w:lang w:val="en-US" w:eastAsia="zh-CN"/>
        </w:rPr>
        <w:t>20</w:t>
      </w:r>
      <w:r>
        <w:rPr>
          <w:rFonts w:hint="eastAsia"/>
          <w:sz w:val="24"/>
        </w:rPr>
        <w:t>0,000.00</w:t>
      </w:r>
      <w:r>
        <w:rPr>
          <w:sz w:val="24"/>
        </w:rPr>
        <w:t>元。</w:t>
      </w:r>
    </w:p>
    <w:p>
      <w:pPr>
        <w:widowControl/>
        <w:adjustRightInd w:val="0"/>
        <w:snapToGrid w:val="0"/>
        <w:spacing w:line="560" w:lineRule="exact"/>
        <w:ind w:firstLine="360" w:firstLineChars="150"/>
        <w:outlineLvl w:val="2"/>
        <w:rPr>
          <w:sz w:val="24"/>
        </w:rPr>
      </w:pPr>
      <w:r>
        <w:rPr>
          <w:sz w:val="24"/>
        </w:rPr>
        <w:t xml:space="preserve">2. </w:t>
      </w:r>
      <w:r>
        <w:rPr>
          <w:rFonts w:hint="eastAsia"/>
          <w:sz w:val="24"/>
        </w:rPr>
        <w:t>元凤幼儿园</w:t>
      </w:r>
      <w:r>
        <w:rPr>
          <w:sz w:val="24"/>
        </w:rPr>
        <w:t>20</w:t>
      </w:r>
      <w:r>
        <w:rPr>
          <w:rFonts w:hint="eastAsia"/>
          <w:sz w:val="24"/>
        </w:rPr>
        <w:t>2</w:t>
      </w:r>
      <w:r>
        <w:rPr>
          <w:rFonts w:hint="eastAsia"/>
          <w:sz w:val="24"/>
          <w:lang w:val="en-US" w:eastAsia="zh-CN"/>
        </w:rPr>
        <w:t>4</w:t>
      </w:r>
      <w:r>
        <w:rPr>
          <w:rFonts w:hint="eastAsia"/>
          <w:sz w:val="24"/>
        </w:rPr>
        <w:t>年</w:t>
      </w:r>
      <w:r>
        <w:rPr>
          <w:sz w:val="24"/>
        </w:rPr>
        <w:t>收取的保教费、服务性收费和代收费按要求存入银行或资金监管账户，无存入个人账户情况，有现金收支的内部控制制度或措施；建立“三方共管账户”，并纳入会计核算。</w:t>
      </w:r>
    </w:p>
    <w:p>
      <w:pPr>
        <w:widowControl/>
        <w:adjustRightInd w:val="0"/>
        <w:snapToGrid w:val="0"/>
        <w:spacing w:line="560" w:lineRule="exact"/>
        <w:ind w:firstLine="360" w:firstLineChars="150"/>
        <w:outlineLvl w:val="2"/>
        <w:rPr>
          <w:sz w:val="24"/>
        </w:rPr>
      </w:pPr>
      <w:r>
        <w:rPr>
          <w:sz w:val="24"/>
        </w:rPr>
        <w:t>3.建立存货、低值易耗品、固定资产明细账，定期盘点、账实相符；固定资产的折旧计算和减少、处置符合规定。</w:t>
      </w:r>
    </w:p>
    <w:p>
      <w:pPr>
        <w:widowControl/>
        <w:adjustRightInd w:val="0"/>
        <w:snapToGrid w:val="0"/>
        <w:spacing w:line="560" w:lineRule="exact"/>
        <w:ind w:firstLine="360" w:firstLineChars="150"/>
        <w:outlineLvl w:val="2"/>
        <w:rPr>
          <w:sz w:val="24"/>
        </w:rPr>
      </w:pPr>
      <w:r>
        <w:rPr>
          <w:sz w:val="24"/>
        </w:rPr>
        <w:t>4. 预收保教费是按规定结转收入。</w:t>
      </w:r>
    </w:p>
    <w:p>
      <w:pPr>
        <w:widowControl/>
        <w:adjustRightInd w:val="0"/>
        <w:snapToGrid w:val="0"/>
        <w:spacing w:line="560" w:lineRule="exact"/>
        <w:ind w:firstLine="360" w:firstLineChars="150"/>
        <w:outlineLvl w:val="2"/>
        <w:rPr>
          <w:bCs/>
          <w:sz w:val="24"/>
        </w:rPr>
      </w:pPr>
      <w:r>
        <w:rPr>
          <w:sz w:val="24"/>
        </w:rPr>
        <w:t>5.</w:t>
      </w:r>
      <w:r>
        <w:rPr>
          <w:bCs/>
          <w:sz w:val="24"/>
        </w:rPr>
        <w:t xml:space="preserve"> 幼儿园收取学生的代管款项，如伙食费，已按照物价部门的批复收费，并按学期与学生结算。</w:t>
      </w:r>
    </w:p>
    <w:p>
      <w:pPr>
        <w:widowControl/>
        <w:adjustRightInd w:val="0"/>
        <w:snapToGrid w:val="0"/>
        <w:spacing w:line="560" w:lineRule="exact"/>
        <w:ind w:firstLine="360" w:firstLineChars="150"/>
        <w:outlineLvl w:val="2"/>
        <w:rPr>
          <w:sz w:val="24"/>
        </w:rPr>
      </w:pPr>
      <w:r>
        <w:rPr>
          <w:sz w:val="24"/>
        </w:rPr>
        <w:t>6.代收代发政府对教职工津贴和奖励、儿童健康成长补贴等及时、足额发放，纳入账内核算。</w:t>
      </w:r>
    </w:p>
    <w:p>
      <w:pPr>
        <w:widowControl/>
        <w:adjustRightInd w:val="0"/>
        <w:snapToGrid w:val="0"/>
        <w:spacing w:line="540" w:lineRule="exact"/>
        <w:ind w:firstLine="360" w:firstLineChars="150"/>
        <w:outlineLvl w:val="2"/>
        <w:rPr>
          <w:sz w:val="24"/>
        </w:rPr>
      </w:pPr>
      <w:r>
        <w:rPr>
          <w:sz w:val="24"/>
        </w:rPr>
        <w:t>7.</w:t>
      </w:r>
      <w:r>
        <w:rPr>
          <w:rFonts w:hint="eastAsia"/>
          <w:sz w:val="24"/>
        </w:rPr>
        <w:t>元凤幼儿园</w:t>
      </w:r>
      <w:r>
        <w:rPr>
          <w:sz w:val="24"/>
        </w:rPr>
        <w:t>与出资人</w:t>
      </w:r>
      <w:r>
        <w:rPr>
          <w:rFonts w:eastAsiaTheme="minorEastAsia"/>
          <w:color w:val="000000" w:themeColor="text1"/>
          <w:sz w:val="24"/>
          <w14:textFill>
            <w14:solidFill>
              <w14:schemeClr w14:val="tx1"/>
            </w14:solidFill>
          </w14:textFill>
        </w:rPr>
        <w:t>深圳市元凤科技发展有限公司</w:t>
      </w:r>
      <w:r>
        <w:rPr>
          <w:sz w:val="24"/>
        </w:rPr>
        <w:t>往来通过其他应付款核算。原始凭证齐全，无长期挂账往来，本次审计未发现出资人向幼儿园借款、抽逃资金的情况。</w:t>
      </w:r>
    </w:p>
    <w:p>
      <w:pPr>
        <w:widowControl/>
        <w:adjustRightInd w:val="0"/>
        <w:snapToGrid w:val="0"/>
        <w:spacing w:line="540" w:lineRule="exact"/>
        <w:ind w:firstLine="360" w:firstLineChars="150"/>
        <w:outlineLvl w:val="2"/>
        <w:rPr>
          <w:sz w:val="24"/>
        </w:rPr>
      </w:pPr>
      <w:r>
        <w:rPr>
          <w:sz w:val="24"/>
        </w:rPr>
        <w:t>8.</w:t>
      </w:r>
      <w:r>
        <w:rPr>
          <w:rFonts w:hint="eastAsia"/>
          <w:sz w:val="24"/>
        </w:rPr>
        <w:t>元凤幼儿园</w:t>
      </w:r>
      <w:r>
        <w:rPr>
          <w:sz w:val="24"/>
        </w:rPr>
        <w:t>无接受捐赠的情况。</w:t>
      </w:r>
    </w:p>
    <w:p>
      <w:pPr>
        <w:widowControl/>
        <w:adjustRightInd w:val="0"/>
        <w:snapToGrid w:val="0"/>
        <w:spacing w:line="540" w:lineRule="exact"/>
        <w:ind w:firstLine="361" w:firstLineChars="150"/>
        <w:outlineLvl w:val="2"/>
        <w:rPr>
          <w:b/>
          <w:sz w:val="24"/>
        </w:rPr>
      </w:pPr>
      <w:r>
        <w:rPr>
          <w:b/>
          <w:sz w:val="24"/>
        </w:rPr>
        <w:t>（二）收入、支出和结余管理情况</w:t>
      </w:r>
    </w:p>
    <w:p>
      <w:pPr>
        <w:widowControl/>
        <w:adjustRightInd w:val="0"/>
        <w:snapToGrid w:val="0"/>
        <w:spacing w:line="540" w:lineRule="exact"/>
        <w:ind w:firstLine="360" w:firstLineChars="150"/>
        <w:outlineLvl w:val="2"/>
        <w:rPr>
          <w:sz w:val="24"/>
        </w:rPr>
      </w:pPr>
      <w:r>
        <w:rPr>
          <w:sz w:val="24"/>
        </w:rPr>
        <w:t>1. 全日制</w:t>
      </w:r>
      <w:r>
        <w:rPr>
          <w:rFonts w:eastAsiaTheme="minorEastAsia"/>
          <w:sz w:val="24"/>
        </w:rPr>
        <w:t>保教费</w:t>
      </w:r>
      <w:r>
        <w:rPr>
          <w:rFonts w:hint="eastAsia" w:eastAsiaTheme="minorEastAsia"/>
          <w:sz w:val="24"/>
        </w:rPr>
        <w:t>2000</w:t>
      </w:r>
      <w:r>
        <w:rPr>
          <w:rFonts w:eastAsiaTheme="minorEastAsia"/>
          <w:sz w:val="24"/>
        </w:rPr>
        <w:t>元/生·月，伙食费</w:t>
      </w:r>
      <w:r>
        <w:rPr>
          <w:rFonts w:hint="eastAsia" w:eastAsiaTheme="minorEastAsia"/>
          <w:sz w:val="24"/>
        </w:rPr>
        <w:t>400</w:t>
      </w:r>
      <w:r>
        <w:rPr>
          <w:rFonts w:eastAsiaTheme="minorEastAsia"/>
          <w:sz w:val="24"/>
        </w:rPr>
        <w:t>元/生·月、托管费、体检费按文件规定收取（自愿选择）、外出活动费、生活用品费按实收取（自愿选择）</w:t>
      </w:r>
      <w:r>
        <w:rPr>
          <w:sz w:val="24"/>
        </w:rPr>
        <w:t>。</w:t>
      </w:r>
    </w:p>
    <w:p>
      <w:pPr>
        <w:widowControl/>
        <w:adjustRightInd w:val="0"/>
        <w:snapToGrid w:val="0"/>
        <w:spacing w:line="540" w:lineRule="exact"/>
        <w:ind w:firstLine="360" w:firstLineChars="150"/>
        <w:outlineLvl w:val="2"/>
        <w:rPr>
          <w:sz w:val="24"/>
        </w:rPr>
      </w:pPr>
      <w:r>
        <w:rPr>
          <w:sz w:val="24"/>
        </w:rPr>
        <w:t>2.各项政府补助收入是使用专用会计科目核算，设立专门的科目和报表进行反映，按规定的项目和用途使用资助资金，专款专用。</w:t>
      </w:r>
    </w:p>
    <w:p>
      <w:pPr>
        <w:widowControl/>
        <w:adjustRightInd w:val="0"/>
        <w:snapToGrid w:val="0"/>
        <w:spacing w:line="540" w:lineRule="exact"/>
        <w:ind w:firstLine="360" w:firstLineChars="150"/>
        <w:outlineLvl w:val="2"/>
        <w:rPr>
          <w:sz w:val="24"/>
        </w:rPr>
      </w:pPr>
      <w:r>
        <w:rPr>
          <w:sz w:val="24"/>
        </w:rPr>
        <w:t>（1）儿童成长补贴：上年结转金额</w:t>
      </w:r>
      <w:r>
        <w:rPr>
          <w:rFonts w:hint="eastAsia"/>
          <w:sz w:val="24"/>
        </w:rPr>
        <w:t>-4,414.34</w:t>
      </w:r>
      <w:r>
        <w:rPr>
          <w:sz w:val="24"/>
        </w:rPr>
        <w:t>元，本年收到</w:t>
      </w:r>
      <w:r>
        <w:rPr>
          <w:rFonts w:hint="eastAsia"/>
          <w:sz w:val="24"/>
        </w:rPr>
        <w:t>597</w:t>
      </w:r>
      <w:r>
        <w:rPr>
          <w:rFonts w:hint="eastAsia"/>
          <w:sz w:val="24"/>
          <w:lang w:val="en-US" w:eastAsia="zh-CN"/>
        </w:rPr>
        <w:t>,</w:t>
      </w:r>
      <w:r>
        <w:rPr>
          <w:rFonts w:hint="eastAsia"/>
          <w:sz w:val="24"/>
        </w:rPr>
        <w:t>627</w:t>
      </w:r>
      <w:r>
        <w:rPr>
          <w:rFonts w:hint="eastAsia"/>
          <w:sz w:val="24"/>
          <w:lang w:val="en-US" w:eastAsia="zh-CN"/>
        </w:rPr>
        <w:t>.00</w:t>
      </w:r>
      <w:r>
        <w:rPr>
          <w:sz w:val="24"/>
        </w:rPr>
        <w:t>元，支出</w:t>
      </w:r>
      <w:r>
        <w:rPr>
          <w:rFonts w:hint="eastAsia"/>
          <w:sz w:val="24"/>
        </w:rPr>
        <w:t>593</w:t>
      </w:r>
      <w:r>
        <w:rPr>
          <w:rFonts w:hint="eastAsia"/>
          <w:sz w:val="24"/>
          <w:lang w:val="en-US" w:eastAsia="zh-CN"/>
        </w:rPr>
        <w:t>,</w:t>
      </w:r>
      <w:r>
        <w:rPr>
          <w:rFonts w:hint="eastAsia"/>
          <w:sz w:val="24"/>
        </w:rPr>
        <w:t>212.66</w:t>
      </w:r>
      <w:r>
        <w:rPr>
          <w:sz w:val="24"/>
        </w:rPr>
        <w:t>元，结余</w:t>
      </w:r>
      <w:r>
        <w:rPr>
          <w:rFonts w:hint="eastAsia"/>
          <w:sz w:val="24"/>
          <w:lang w:val="en-US" w:eastAsia="zh-CN"/>
        </w:rPr>
        <w:t>0.00</w:t>
      </w:r>
      <w:r>
        <w:rPr>
          <w:sz w:val="24"/>
        </w:rPr>
        <w:t>元；</w:t>
      </w:r>
    </w:p>
    <w:p>
      <w:pPr>
        <w:widowControl/>
        <w:adjustRightInd w:val="0"/>
        <w:snapToGrid w:val="0"/>
        <w:spacing w:line="540" w:lineRule="exact"/>
        <w:ind w:firstLine="360" w:firstLineChars="150"/>
        <w:outlineLvl w:val="2"/>
        <w:rPr>
          <w:sz w:val="24"/>
        </w:rPr>
      </w:pPr>
      <w:r>
        <w:rPr>
          <w:sz w:val="24"/>
        </w:rPr>
        <w:t>（2）教师补助：上年结转金额</w:t>
      </w:r>
      <w:r>
        <w:rPr>
          <w:rFonts w:hint="eastAsia"/>
          <w:sz w:val="24"/>
          <w:lang w:val="en-US" w:eastAsia="zh-CN"/>
        </w:rPr>
        <w:t>0.00</w:t>
      </w:r>
      <w:r>
        <w:rPr>
          <w:sz w:val="24"/>
        </w:rPr>
        <w:t>元，本年收到</w:t>
      </w:r>
      <w:r>
        <w:rPr>
          <w:rFonts w:hint="eastAsia"/>
          <w:sz w:val="24"/>
        </w:rPr>
        <w:t>1,116,000.00</w:t>
      </w:r>
      <w:r>
        <w:rPr>
          <w:sz w:val="24"/>
        </w:rPr>
        <w:t>元，支出</w:t>
      </w:r>
      <w:r>
        <w:rPr>
          <w:rFonts w:hint="eastAsia"/>
          <w:sz w:val="24"/>
        </w:rPr>
        <w:t>1,116,000.00</w:t>
      </w:r>
      <w:r>
        <w:rPr>
          <w:sz w:val="24"/>
        </w:rPr>
        <w:t>元，结余</w:t>
      </w:r>
      <w:r>
        <w:rPr>
          <w:rFonts w:hint="eastAsia"/>
          <w:sz w:val="24"/>
        </w:rPr>
        <w:t>0.00</w:t>
      </w:r>
      <w:r>
        <w:rPr>
          <w:sz w:val="24"/>
        </w:rPr>
        <w:t>元</w:t>
      </w:r>
      <w:r>
        <w:rPr>
          <w:rFonts w:hint="eastAsia"/>
          <w:sz w:val="24"/>
        </w:rPr>
        <w:t>。</w:t>
      </w:r>
    </w:p>
    <w:p>
      <w:pPr>
        <w:widowControl/>
        <w:adjustRightInd w:val="0"/>
        <w:snapToGrid w:val="0"/>
        <w:spacing w:line="560" w:lineRule="exact"/>
        <w:ind w:firstLine="360" w:firstLineChars="150"/>
        <w:outlineLvl w:val="2"/>
        <w:rPr>
          <w:bCs/>
          <w:sz w:val="24"/>
        </w:rPr>
      </w:pPr>
      <w:r>
        <w:rPr>
          <w:sz w:val="24"/>
        </w:rPr>
        <w:t>3.</w:t>
      </w:r>
      <w:r>
        <w:rPr>
          <w:rFonts w:hint="eastAsia"/>
          <w:bCs/>
          <w:sz w:val="24"/>
        </w:rPr>
        <w:t>元凤幼儿园</w:t>
      </w:r>
      <w:r>
        <w:rPr>
          <w:bCs/>
          <w:sz w:val="24"/>
        </w:rPr>
        <w:t>审批手续完善，票据较规范，但是存在部分收据入账的现象。</w:t>
      </w:r>
    </w:p>
    <w:p>
      <w:pPr>
        <w:widowControl/>
        <w:adjustRightInd w:val="0"/>
        <w:snapToGrid w:val="0"/>
        <w:spacing w:line="560" w:lineRule="exact"/>
        <w:ind w:firstLine="360" w:firstLineChars="150"/>
        <w:outlineLvl w:val="2"/>
        <w:rPr>
          <w:rFonts w:hint="default"/>
          <w:bCs/>
          <w:sz w:val="24"/>
          <w:lang w:val="en-US" w:eastAsia="zh-CN"/>
        </w:rPr>
      </w:pPr>
      <w:r>
        <w:rPr>
          <w:sz w:val="24"/>
        </w:rPr>
        <w:t xml:space="preserve">4. </w:t>
      </w:r>
      <w:r>
        <w:rPr>
          <w:bCs/>
          <w:sz w:val="24"/>
        </w:rPr>
        <w:t>教职工薪酬总额</w:t>
      </w:r>
      <w:r>
        <w:rPr>
          <w:rFonts w:hint="eastAsia"/>
          <w:color w:val="000000"/>
          <w:kern w:val="0"/>
          <w:sz w:val="24"/>
          <w:szCs w:val="24"/>
        </w:rPr>
        <w:t>7,039,129.35</w:t>
      </w:r>
      <w:r>
        <w:rPr>
          <w:bCs/>
          <w:sz w:val="24"/>
        </w:rPr>
        <w:t>元，</w:t>
      </w:r>
      <w:r>
        <w:rPr>
          <w:rFonts w:hint="eastAsia"/>
          <w:bCs/>
          <w:sz w:val="24"/>
          <w:lang w:val="en-US" w:eastAsia="zh-CN"/>
        </w:rPr>
        <w:t>全年平均人数71人，</w:t>
      </w:r>
      <w:r>
        <w:rPr>
          <w:bCs/>
          <w:sz w:val="24"/>
        </w:rPr>
        <w:t>人均薪酬</w:t>
      </w:r>
      <w:r>
        <w:rPr>
          <w:rFonts w:hint="eastAsia"/>
          <w:color w:val="000000"/>
          <w:kern w:val="0"/>
          <w:sz w:val="24"/>
          <w:szCs w:val="24"/>
          <w:lang w:val="en-US" w:eastAsia="zh-CN"/>
        </w:rPr>
        <w:t>99,142.67</w:t>
      </w:r>
      <w:r>
        <w:rPr>
          <w:bCs/>
          <w:sz w:val="24"/>
        </w:rPr>
        <w:t>元</w:t>
      </w:r>
      <w:r>
        <w:rPr>
          <w:rFonts w:hint="eastAsia"/>
          <w:bCs/>
          <w:sz w:val="24"/>
          <w:lang w:eastAsia="zh-CN"/>
        </w:rPr>
        <w:t>；</w:t>
      </w:r>
      <w:r>
        <w:rPr>
          <w:bCs/>
          <w:sz w:val="24"/>
        </w:rPr>
        <w:t>未发现拖欠教职工工资情况，教职工签订劳动合同人数占总人数的100%，</w:t>
      </w:r>
      <w:r>
        <w:rPr>
          <w:rFonts w:hint="eastAsia"/>
          <w:bCs/>
          <w:sz w:val="24"/>
          <w:lang w:val="en-US" w:eastAsia="zh-CN"/>
        </w:rPr>
        <w:t>社保缴费人数54人，公积金缴费人数53人，其余未缴纳人数为退休人员，缴纳社保比例100%，缴纳住房公积金比例100%。</w:t>
      </w:r>
    </w:p>
    <w:p>
      <w:pPr>
        <w:widowControl/>
        <w:adjustRightInd w:val="0"/>
        <w:snapToGrid w:val="0"/>
        <w:spacing w:line="560" w:lineRule="exact"/>
        <w:ind w:firstLine="360" w:firstLineChars="150"/>
        <w:outlineLvl w:val="2"/>
        <w:rPr>
          <w:bCs/>
          <w:sz w:val="24"/>
        </w:rPr>
      </w:pPr>
      <w:r>
        <w:rPr>
          <w:bCs/>
          <w:sz w:val="24"/>
        </w:rPr>
        <w:t>5.</w:t>
      </w:r>
      <w:r>
        <w:rPr>
          <w:rFonts w:hint="eastAsia"/>
          <w:bCs/>
          <w:sz w:val="24"/>
        </w:rPr>
        <w:t>元凤幼儿园</w:t>
      </w:r>
      <w:r>
        <w:rPr>
          <w:bCs/>
          <w:sz w:val="24"/>
        </w:rPr>
        <w:t>截止20</w:t>
      </w:r>
      <w:r>
        <w:rPr>
          <w:rFonts w:hint="eastAsia"/>
          <w:bCs/>
          <w:sz w:val="24"/>
        </w:rPr>
        <w:t>2</w:t>
      </w:r>
      <w:r>
        <w:rPr>
          <w:rFonts w:hint="eastAsia"/>
          <w:bCs/>
          <w:sz w:val="24"/>
          <w:lang w:val="en-US" w:eastAsia="zh-CN"/>
        </w:rPr>
        <w:t>4</w:t>
      </w:r>
      <w:r>
        <w:rPr>
          <w:rFonts w:hint="eastAsia"/>
          <w:bCs/>
          <w:sz w:val="24"/>
        </w:rPr>
        <w:t>年</w:t>
      </w:r>
      <w:r>
        <w:rPr>
          <w:bCs/>
          <w:sz w:val="24"/>
        </w:rPr>
        <w:t>12月31日，年度非限定性净资产为</w:t>
      </w:r>
      <w:r>
        <w:rPr>
          <w:rFonts w:hint="eastAsia"/>
          <w:bCs/>
          <w:sz w:val="24"/>
        </w:rPr>
        <w:t>-8,250,743.31</w:t>
      </w:r>
      <w:r>
        <w:rPr>
          <w:bCs/>
          <w:sz w:val="24"/>
        </w:rPr>
        <w:t>元。本年未提取办学结余，未提取发展基金，未向出资人支付合理回报。</w:t>
      </w:r>
    </w:p>
    <w:p>
      <w:pPr>
        <w:widowControl/>
        <w:adjustRightInd w:val="0"/>
        <w:snapToGrid w:val="0"/>
        <w:spacing w:line="560" w:lineRule="exact"/>
        <w:ind w:firstLine="360" w:firstLineChars="150"/>
        <w:outlineLvl w:val="2"/>
        <w:rPr>
          <w:bCs/>
          <w:sz w:val="24"/>
        </w:rPr>
      </w:pPr>
      <w:r>
        <w:rPr>
          <w:bCs/>
          <w:sz w:val="24"/>
        </w:rPr>
        <w:t>6.重要收入的取得和大额成本费用的支出情况。</w:t>
      </w:r>
    </w:p>
    <w:p>
      <w:pPr>
        <w:widowControl/>
        <w:adjustRightInd w:val="0"/>
        <w:snapToGrid w:val="0"/>
        <w:spacing w:line="560" w:lineRule="exact"/>
        <w:ind w:firstLine="360" w:firstLineChars="150"/>
        <w:outlineLvl w:val="2"/>
        <w:rPr>
          <w:bCs/>
          <w:sz w:val="24"/>
        </w:rPr>
      </w:pPr>
      <w:r>
        <w:rPr>
          <w:bCs/>
          <w:sz w:val="24"/>
        </w:rPr>
        <w:t>收入情况：</w:t>
      </w:r>
      <w:r>
        <w:rPr>
          <w:rFonts w:hint="eastAsia"/>
          <w:bCs/>
          <w:sz w:val="24"/>
        </w:rPr>
        <w:t>元凤幼儿园</w:t>
      </w:r>
      <w:r>
        <w:rPr>
          <w:bCs/>
          <w:sz w:val="24"/>
        </w:rPr>
        <w:t>收入总额为</w:t>
      </w:r>
      <w:r>
        <w:rPr>
          <w:rFonts w:hint="eastAsia"/>
          <w:bCs/>
          <w:sz w:val="24"/>
          <w:lang w:val="en-US" w:eastAsia="zh-CN"/>
        </w:rPr>
        <w:t>7,750,190</w:t>
      </w:r>
      <w:r>
        <w:rPr>
          <w:rFonts w:hint="eastAsia"/>
          <w:bCs/>
          <w:sz w:val="24"/>
        </w:rPr>
        <w:t>.00</w:t>
      </w:r>
      <w:r>
        <w:rPr>
          <w:bCs/>
          <w:sz w:val="24"/>
        </w:rPr>
        <w:t>元，其中保教费收入为</w:t>
      </w:r>
      <w:r>
        <w:rPr>
          <w:rFonts w:hint="eastAsia"/>
          <w:bCs/>
          <w:sz w:val="24"/>
        </w:rPr>
        <w:t>6</w:t>
      </w:r>
      <w:r>
        <w:rPr>
          <w:rFonts w:hint="eastAsia"/>
          <w:bCs/>
          <w:sz w:val="24"/>
          <w:lang w:val="en-US" w:eastAsia="zh-CN"/>
        </w:rPr>
        <w:t>,</w:t>
      </w:r>
      <w:r>
        <w:rPr>
          <w:rFonts w:hint="eastAsia"/>
          <w:bCs/>
          <w:sz w:val="24"/>
        </w:rPr>
        <w:t>479</w:t>
      </w:r>
      <w:r>
        <w:rPr>
          <w:rFonts w:hint="eastAsia"/>
          <w:bCs/>
          <w:sz w:val="24"/>
          <w:lang w:val="en-US" w:eastAsia="zh-CN"/>
        </w:rPr>
        <w:t>,</w:t>
      </w:r>
      <w:r>
        <w:rPr>
          <w:rFonts w:hint="eastAsia"/>
          <w:bCs/>
          <w:sz w:val="24"/>
        </w:rPr>
        <w:t>718</w:t>
      </w:r>
      <w:r>
        <w:rPr>
          <w:rFonts w:hint="eastAsia"/>
          <w:bCs/>
          <w:sz w:val="24"/>
          <w:lang w:val="en-US" w:eastAsia="zh-CN"/>
        </w:rPr>
        <w:t>.00</w:t>
      </w:r>
      <w:r>
        <w:rPr>
          <w:bCs/>
          <w:sz w:val="24"/>
        </w:rPr>
        <w:t>元，伙食费收入</w:t>
      </w:r>
      <w:r>
        <w:rPr>
          <w:rFonts w:hint="eastAsia"/>
          <w:bCs/>
          <w:sz w:val="24"/>
        </w:rPr>
        <w:t>1</w:t>
      </w:r>
      <w:r>
        <w:rPr>
          <w:rFonts w:hint="eastAsia"/>
          <w:bCs/>
          <w:sz w:val="24"/>
          <w:lang w:val="en-US" w:eastAsia="zh-CN"/>
        </w:rPr>
        <w:t>,</w:t>
      </w:r>
      <w:r>
        <w:rPr>
          <w:rFonts w:hint="eastAsia"/>
          <w:bCs/>
          <w:sz w:val="24"/>
        </w:rPr>
        <w:t>192</w:t>
      </w:r>
      <w:r>
        <w:rPr>
          <w:rFonts w:hint="eastAsia"/>
          <w:bCs/>
          <w:sz w:val="24"/>
          <w:lang w:val="en-US" w:eastAsia="zh-CN"/>
        </w:rPr>
        <w:t>,</w:t>
      </w:r>
      <w:r>
        <w:rPr>
          <w:rFonts w:hint="eastAsia"/>
          <w:bCs/>
          <w:sz w:val="24"/>
        </w:rPr>
        <w:t>472</w:t>
      </w:r>
      <w:r>
        <w:rPr>
          <w:rFonts w:hint="eastAsia"/>
          <w:bCs/>
          <w:sz w:val="24"/>
          <w:lang w:val="en-US" w:eastAsia="zh-CN"/>
        </w:rPr>
        <w:t>.00</w:t>
      </w:r>
      <w:r>
        <w:rPr>
          <w:bCs/>
          <w:sz w:val="24"/>
        </w:rPr>
        <w:t>元，政府补助收入</w:t>
      </w:r>
      <w:r>
        <w:rPr>
          <w:rFonts w:hint="eastAsia"/>
          <w:bCs/>
          <w:sz w:val="24"/>
        </w:rPr>
        <w:t>78</w:t>
      </w:r>
      <w:r>
        <w:rPr>
          <w:rFonts w:hint="eastAsia"/>
          <w:bCs/>
          <w:sz w:val="24"/>
          <w:lang w:val="en-US" w:eastAsia="zh-CN"/>
        </w:rPr>
        <w:t>,</w:t>
      </w:r>
      <w:r>
        <w:rPr>
          <w:rFonts w:hint="eastAsia"/>
          <w:bCs/>
          <w:sz w:val="24"/>
        </w:rPr>
        <w:t>000</w:t>
      </w:r>
      <w:r>
        <w:rPr>
          <w:rFonts w:hint="eastAsia"/>
          <w:bCs/>
          <w:sz w:val="24"/>
          <w:lang w:val="en-US" w:eastAsia="zh-CN"/>
        </w:rPr>
        <w:t>.00</w:t>
      </w:r>
      <w:r>
        <w:rPr>
          <w:bCs/>
          <w:sz w:val="24"/>
        </w:rPr>
        <w:t>元</w:t>
      </w:r>
      <w:r>
        <w:rPr>
          <w:rFonts w:hint="eastAsia"/>
          <w:bCs/>
          <w:sz w:val="24"/>
        </w:rPr>
        <w:t>，其他服务收入0.00元</w:t>
      </w:r>
      <w:r>
        <w:rPr>
          <w:bCs/>
          <w:sz w:val="24"/>
        </w:rPr>
        <w:t>。</w:t>
      </w:r>
    </w:p>
    <w:p>
      <w:pPr>
        <w:widowControl/>
        <w:adjustRightInd w:val="0"/>
        <w:snapToGrid w:val="0"/>
        <w:spacing w:line="560" w:lineRule="exact"/>
        <w:ind w:firstLine="360" w:firstLineChars="150"/>
        <w:outlineLvl w:val="2"/>
        <w:rPr>
          <w:bCs/>
          <w:sz w:val="24"/>
        </w:rPr>
      </w:pPr>
      <w:r>
        <w:rPr>
          <w:bCs/>
          <w:sz w:val="24"/>
        </w:rPr>
        <w:t>大额成本费用的支出情况：</w:t>
      </w:r>
      <w:r>
        <w:rPr>
          <w:rFonts w:hint="eastAsia"/>
          <w:bCs/>
          <w:sz w:val="24"/>
        </w:rPr>
        <w:t>元凤幼儿园</w:t>
      </w:r>
      <w:r>
        <w:rPr>
          <w:bCs/>
          <w:sz w:val="24"/>
        </w:rPr>
        <w:t>成本费用总额为</w:t>
      </w:r>
      <w:r>
        <w:rPr>
          <w:rFonts w:hint="eastAsia"/>
          <w:bCs/>
          <w:sz w:val="24"/>
        </w:rPr>
        <w:t>10,328,554.4</w:t>
      </w:r>
      <w:r>
        <w:rPr>
          <w:rFonts w:hint="eastAsia"/>
          <w:bCs/>
          <w:sz w:val="24"/>
          <w:lang w:val="en-US" w:eastAsia="zh-CN"/>
        </w:rPr>
        <w:t>6</w:t>
      </w:r>
      <w:r>
        <w:rPr>
          <w:bCs/>
          <w:sz w:val="24"/>
        </w:rPr>
        <w:t>元，其中保教教育直接成本</w:t>
      </w:r>
      <w:r>
        <w:rPr>
          <w:rFonts w:hint="eastAsia"/>
          <w:bCs/>
          <w:sz w:val="24"/>
        </w:rPr>
        <w:t>5</w:t>
      </w:r>
      <w:r>
        <w:rPr>
          <w:rFonts w:hint="eastAsia"/>
          <w:bCs/>
          <w:sz w:val="24"/>
          <w:lang w:val="en-US" w:eastAsia="zh-CN"/>
        </w:rPr>
        <w:t>,</w:t>
      </w:r>
      <w:r>
        <w:rPr>
          <w:rFonts w:hint="eastAsia"/>
          <w:bCs/>
          <w:sz w:val="24"/>
        </w:rPr>
        <w:t>949</w:t>
      </w:r>
      <w:r>
        <w:rPr>
          <w:rFonts w:hint="eastAsia"/>
          <w:bCs/>
          <w:sz w:val="24"/>
          <w:lang w:val="en-US" w:eastAsia="zh-CN"/>
        </w:rPr>
        <w:t>,</w:t>
      </w:r>
      <w:r>
        <w:rPr>
          <w:rFonts w:hint="eastAsia"/>
          <w:bCs/>
          <w:sz w:val="24"/>
        </w:rPr>
        <w:t>997.93</w:t>
      </w:r>
      <w:r>
        <w:rPr>
          <w:bCs/>
          <w:sz w:val="24"/>
        </w:rPr>
        <w:t>元，膳食直接成本</w:t>
      </w:r>
      <w:r>
        <w:rPr>
          <w:rFonts w:hint="eastAsia"/>
          <w:bCs/>
          <w:sz w:val="24"/>
        </w:rPr>
        <w:t>2</w:t>
      </w:r>
      <w:r>
        <w:rPr>
          <w:rFonts w:hint="eastAsia"/>
          <w:bCs/>
          <w:sz w:val="24"/>
          <w:lang w:val="en-US" w:eastAsia="zh-CN"/>
        </w:rPr>
        <w:t>,</w:t>
      </w:r>
      <w:r>
        <w:rPr>
          <w:rFonts w:hint="eastAsia"/>
          <w:bCs/>
          <w:sz w:val="24"/>
        </w:rPr>
        <w:t>052</w:t>
      </w:r>
      <w:r>
        <w:rPr>
          <w:rFonts w:hint="eastAsia"/>
          <w:bCs/>
          <w:sz w:val="24"/>
          <w:lang w:val="en-US" w:eastAsia="zh-CN"/>
        </w:rPr>
        <w:t>,</w:t>
      </w:r>
      <w:r>
        <w:rPr>
          <w:rFonts w:hint="eastAsia"/>
          <w:bCs/>
          <w:sz w:val="24"/>
        </w:rPr>
        <w:t>912.07</w:t>
      </w:r>
      <w:r>
        <w:rPr>
          <w:bCs/>
          <w:sz w:val="24"/>
        </w:rPr>
        <w:t>元，管理费用</w:t>
      </w:r>
      <w:r>
        <w:rPr>
          <w:rFonts w:hint="eastAsia"/>
          <w:bCs/>
          <w:sz w:val="24"/>
        </w:rPr>
        <w:t>2</w:t>
      </w:r>
      <w:r>
        <w:rPr>
          <w:rFonts w:hint="eastAsia"/>
          <w:bCs/>
          <w:sz w:val="24"/>
          <w:lang w:val="en-US" w:eastAsia="zh-CN"/>
        </w:rPr>
        <w:t>,</w:t>
      </w:r>
      <w:r>
        <w:rPr>
          <w:rFonts w:hint="eastAsia"/>
          <w:bCs/>
          <w:sz w:val="24"/>
        </w:rPr>
        <w:t>325</w:t>
      </w:r>
      <w:r>
        <w:rPr>
          <w:rFonts w:hint="eastAsia"/>
          <w:bCs/>
          <w:sz w:val="24"/>
          <w:lang w:val="en-US" w:eastAsia="zh-CN"/>
        </w:rPr>
        <w:t>,</w:t>
      </w:r>
      <w:r>
        <w:rPr>
          <w:rFonts w:hint="eastAsia"/>
          <w:bCs/>
          <w:sz w:val="24"/>
        </w:rPr>
        <w:t>644.46</w:t>
      </w:r>
      <w:r>
        <w:rPr>
          <w:bCs/>
          <w:sz w:val="24"/>
        </w:rPr>
        <w:t>元，</w:t>
      </w:r>
      <w:r>
        <w:rPr>
          <w:rFonts w:hint="eastAsia"/>
          <w:bCs/>
          <w:sz w:val="24"/>
        </w:rPr>
        <w:t>筹资费用0.00元</w:t>
      </w:r>
      <w:r>
        <w:rPr>
          <w:bCs/>
          <w:sz w:val="24"/>
        </w:rPr>
        <w:t>，其他费用</w:t>
      </w:r>
      <w:r>
        <w:rPr>
          <w:rFonts w:hint="eastAsia"/>
          <w:bCs/>
          <w:sz w:val="24"/>
        </w:rPr>
        <w:t>0.00</w:t>
      </w:r>
      <w:r>
        <w:rPr>
          <w:bCs/>
          <w:sz w:val="24"/>
        </w:rPr>
        <w:t>元。</w:t>
      </w:r>
    </w:p>
    <w:p>
      <w:pPr>
        <w:widowControl/>
        <w:adjustRightInd w:val="0"/>
        <w:snapToGrid w:val="0"/>
        <w:spacing w:line="580" w:lineRule="exact"/>
        <w:ind w:firstLine="361" w:firstLineChars="150"/>
        <w:outlineLvl w:val="2"/>
        <w:rPr>
          <w:b/>
          <w:sz w:val="24"/>
        </w:rPr>
      </w:pPr>
      <w:r>
        <w:rPr>
          <w:b/>
          <w:sz w:val="24"/>
        </w:rPr>
        <w:t>（三）组织机构、财务人员和财务基本信息</w:t>
      </w:r>
    </w:p>
    <w:p>
      <w:pPr>
        <w:widowControl/>
        <w:adjustRightInd w:val="0"/>
        <w:snapToGrid w:val="0"/>
        <w:spacing w:line="580" w:lineRule="exact"/>
        <w:ind w:firstLine="360" w:firstLineChars="150"/>
        <w:outlineLvl w:val="2"/>
        <w:rPr>
          <w:sz w:val="24"/>
        </w:rPr>
      </w:pPr>
      <w:r>
        <w:rPr>
          <w:sz w:val="24"/>
        </w:rPr>
        <w:t>1. 本园董事会</w:t>
      </w:r>
      <w:r>
        <w:rPr>
          <w:rFonts w:hint="eastAsia"/>
          <w:sz w:val="24"/>
        </w:rPr>
        <w:t>未</w:t>
      </w:r>
      <w:r>
        <w:rPr>
          <w:sz w:val="24"/>
        </w:rPr>
        <w:t>发生变动</w:t>
      </w:r>
      <w:r>
        <w:rPr>
          <w:rFonts w:hint="eastAsia"/>
          <w:sz w:val="24"/>
        </w:rPr>
        <w:t>。</w:t>
      </w:r>
    </w:p>
    <w:p>
      <w:pPr>
        <w:widowControl/>
        <w:adjustRightInd w:val="0"/>
        <w:snapToGrid w:val="0"/>
        <w:spacing w:line="580" w:lineRule="exact"/>
        <w:ind w:firstLine="360" w:firstLineChars="150"/>
        <w:outlineLvl w:val="2"/>
        <w:rPr>
          <w:sz w:val="24"/>
        </w:rPr>
      </w:pPr>
      <w:r>
        <w:rPr>
          <w:sz w:val="24"/>
        </w:rPr>
        <w:t>2. 本园现有财务人员2人，其中会计1人；具备从事会计工作所需要的专业能力；专职出纳1人，具备从事会计工作所需要的专业能力；采用电脑和财务软件记账。</w:t>
      </w:r>
    </w:p>
    <w:p>
      <w:pPr>
        <w:widowControl/>
        <w:adjustRightInd w:val="0"/>
        <w:snapToGrid w:val="0"/>
        <w:spacing w:line="580" w:lineRule="exact"/>
        <w:ind w:firstLine="360" w:firstLineChars="150"/>
        <w:outlineLvl w:val="2"/>
        <w:rPr>
          <w:sz w:val="24"/>
        </w:rPr>
      </w:pPr>
      <w:r>
        <w:rPr>
          <w:sz w:val="24"/>
        </w:rPr>
        <w:t>3.</w:t>
      </w:r>
      <w:r>
        <w:rPr>
          <w:rFonts w:hint="eastAsia"/>
          <w:sz w:val="24"/>
        </w:rPr>
        <w:t>元凤幼儿园</w:t>
      </w:r>
      <w:r>
        <w:rPr>
          <w:sz w:val="24"/>
        </w:rPr>
        <w:t>按照会计法的规定独立设置会计账簿、未发现与举办者、举办者投资的其他机构的会计核算混同一起或者合并记账，</w:t>
      </w:r>
      <w:r>
        <w:rPr>
          <w:rFonts w:hint="eastAsia"/>
          <w:sz w:val="24"/>
        </w:rPr>
        <w:t>元凤幼儿园</w:t>
      </w:r>
      <w:r>
        <w:rPr>
          <w:sz w:val="24"/>
        </w:rPr>
        <w:t>采用电脑记账。</w:t>
      </w:r>
    </w:p>
    <w:p>
      <w:pPr>
        <w:widowControl/>
        <w:adjustRightInd w:val="0"/>
        <w:snapToGrid w:val="0"/>
        <w:spacing w:line="580" w:lineRule="exact"/>
        <w:ind w:firstLine="360" w:firstLineChars="150"/>
        <w:outlineLvl w:val="2"/>
        <w:rPr>
          <w:sz w:val="24"/>
        </w:rPr>
      </w:pPr>
      <w:r>
        <w:rPr>
          <w:sz w:val="24"/>
        </w:rPr>
        <w:t xml:space="preserve">4. </w:t>
      </w:r>
      <w:r>
        <w:rPr>
          <w:rFonts w:hint="eastAsia"/>
          <w:sz w:val="24"/>
        </w:rPr>
        <w:t>元凤幼儿园</w:t>
      </w:r>
      <w:r>
        <w:rPr>
          <w:sz w:val="24"/>
        </w:rPr>
        <w:t>按照《深圳市民办幼儿园财务管理办法（试行）》的要求进行会计核算、编制财务报告、计算各项服务成本；各项财务信息真实、完整、合规；所有应该入账的经济事项按规定入账，未发现存在截留收入、虚增支出、挪用办学经费和政府资助的情况。</w:t>
      </w:r>
    </w:p>
    <w:p>
      <w:pPr>
        <w:widowControl/>
        <w:adjustRightInd w:val="0"/>
        <w:snapToGrid w:val="0"/>
        <w:spacing w:line="400" w:lineRule="exact"/>
        <w:ind w:firstLine="361" w:firstLineChars="150"/>
        <w:outlineLvl w:val="2"/>
        <w:rPr>
          <w:b/>
          <w:sz w:val="24"/>
        </w:rPr>
      </w:pPr>
    </w:p>
    <w:p>
      <w:pPr>
        <w:widowControl/>
        <w:adjustRightInd w:val="0"/>
        <w:snapToGrid w:val="0"/>
        <w:spacing w:line="580" w:lineRule="exact"/>
        <w:ind w:firstLine="361" w:firstLineChars="150"/>
        <w:outlineLvl w:val="2"/>
        <w:rPr>
          <w:b/>
          <w:sz w:val="24"/>
        </w:rPr>
      </w:pPr>
      <w:r>
        <w:rPr>
          <w:b/>
          <w:sz w:val="24"/>
        </w:rPr>
        <w:t>五、存在问题及审计建议</w:t>
      </w:r>
    </w:p>
    <w:p>
      <w:pPr>
        <w:widowControl/>
        <w:adjustRightInd w:val="0"/>
        <w:snapToGrid w:val="0"/>
        <w:spacing w:line="580" w:lineRule="exact"/>
        <w:ind w:firstLine="360" w:firstLineChars="150"/>
        <w:outlineLvl w:val="2"/>
        <w:rPr>
          <w:sz w:val="24"/>
        </w:rPr>
      </w:pPr>
      <w:r>
        <w:rPr>
          <w:sz w:val="24"/>
        </w:rPr>
        <w:t>1、需加强内部财务管理与内部控制，规范票据取得与管理，严格执行《会计法》及《会计基础工作规范》相关管理规定。</w:t>
      </w:r>
    </w:p>
    <w:p>
      <w:pPr>
        <w:widowControl/>
        <w:adjustRightInd w:val="0"/>
        <w:snapToGrid w:val="0"/>
        <w:spacing w:line="580" w:lineRule="exact"/>
        <w:ind w:firstLine="360" w:firstLineChars="150"/>
        <w:outlineLvl w:val="2"/>
        <w:rPr>
          <w:rFonts w:eastAsiaTheme="minorEastAsia"/>
          <w:color w:val="000000" w:themeColor="text1"/>
          <w:sz w:val="24"/>
          <w14:textFill>
            <w14:solidFill>
              <w14:schemeClr w14:val="tx1"/>
            </w14:solidFill>
          </w14:textFill>
        </w:rPr>
      </w:pPr>
      <w:r>
        <w:rPr>
          <w:sz w:val="24"/>
        </w:rPr>
        <w:t>2、加强现金内部管理控制，严格按照《现金管理暂行条例》的规定办理现金收支业务。</w:t>
      </w:r>
    </w:p>
    <w:sectPr>
      <w:pgSz w:w="11906" w:h="16838"/>
      <w:pgMar w:top="1440" w:right="1361" w:bottom="1440" w:left="1588" w:header="851" w:footer="992"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7983126"/>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tabs>
        <w:tab w:val="center" w:pos="7001"/>
        <w:tab w:val="clear" w:pos="4153"/>
        <w:tab w:val="clear" w:pos="8306"/>
      </w:tabs>
      <w:rPr>
        <w:rFonts w:ascii="宋体" w:hAnsi="宋体" w:cs="Lucida Sans Unicode"/>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98B2E"/>
    <w:multiLevelType w:val="singleLevel"/>
    <w:tmpl w:val="55498B2E"/>
    <w:lvl w:ilvl="0" w:tentative="0">
      <w:start w:val="3"/>
      <w:numFmt w:val="decimal"/>
      <w:suff w:val="nothing"/>
      <w:lvlText w:val="%1."/>
      <w:lvlJc w:val="left"/>
    </w:lvl>
  </w:abstractNum>
  <w:abstractNum w:abstractNumId="1">
    <w:nsid w:val="6000285E"/>
    <w:multiLevelType w:val="multilevel"/>
    <w:tmpl w:val="6000285E"/>
    <w:lvl w:ilvl="0" w:tentative="0">
      <w:start w:val="4"/>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7A5C7B7C"/>
    <w:multiLevelType w:val="multilevel"/>
    <w:tmpl w:val="7A5C7B7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MmI3NjM2ZWYyMGI5MDZjNzE5Zjc2NzliODczZGEifQ=="/>
    <w:docVar w:name="KSO_WPS_MARK_KEY" w:val="5e4cc8fd-da8d-4e80-9989-b8856d13c27b"/>
  </w:docVars>
  <w:rsids>
    <w:rsidRoot w:val="00172A27"/>
    <w:rsid w:val="00000F8A"/>
    <w:rsid w:val="00010250"/>
    <w:rsid w:val="000170E7"/>
    <w:rsid w:val="00023C97"/>
    <w:rsid w:val="00034398"/>
    <w:rsid w:val="000345C9"/>
    <w:rsid w:val="000422AF"/>
    <w:rsid w:val="00043DF9"/>
    <w:rsid w:val="00045EF6"/>
    <w:rsid w:val="000460B6"/>
    <w:rsid w:val="00056E96"/>
    <w:rsid w:val="0006428D"/>
    <w:rsid w:val="00072862"/>
    <w:rsid w:val="0008121B"/>
    <w:rsid w:val="00083AD3"/>
    <w:rsid w:val="0008431E"/>
    <w:rsid w:val="00092283"/>
    <w:rsid w:val="00096A3E"/>
    <w:rsid w:val="00096AC8"/>
    <w:rsid w:val="000A1BC1"/>
    <w:rsid w:val="000A6E5B"/>
    <w:rsid w:val="000B11A2"/>
    <w:rsid w:val="000C2E42"/>
    <w:rsid w:val="000E47BB"/>
    <w:rsid w:val="000E6CAA"/>
    <w:rsid w:val="000F087E"/>
    <w:rsid w:val="000F106B"/>
    <w:rsid w:val="00100008"/>
    <w:rsid w:val="00101825"/>
    <w:rsid w:val="00107A78"/>
    <w:rsid w:val="0011105A"/>
    <w:rsid w:val="001137BE"/>
    <w:rsid w:val="001170D6"/>
    <w:rsid w:val="00133047"/>
    <w:rsid w:val="00143737"/>
    <w:rsid w:val="00144F03"/>
    <w:rsid w:val="00145251"/>
    <w:rsid w:val="00147465"/>
    <w:rsid w:val="0015372A"/>
    <w:rsid w:val="00165CDD"/>
    <w:rsid w:val="00172A27"/>
    <w:rsid w:val="00177093"/>
    <w:rsid w:val="00186FBB"/>
    <w:rsid w:val="001901F6"/>
    <w:rsid w:val="00193194"/>
    <w:rsid w:val="001A10C8"/>
    <w:rsid w:val="001A6740"/>
    <w:rsid w:val="001B2A04"/>
    <w:rsid w:val="001B662A"/>
    <w:rsid w:val="001C0DF3"/>
    <w:rsid w:val="001C45BD"/>
    <w:rsid w:val="001D11C9"/>
    <w:rsid w:val="001D6065"/>
    <w:rsid w:val="001D7CA6"/>
    <w:rsid w:val="001E0377"/>
    <w:rsid w:val="001E68C4"/>
    <w:rsid w:val="001F653C"/>
    <w:rsid w:val="001F6F3B"/>
    <w:rsid w:val="001F7696"/>
    <w:rsid w:val="00207172"/>
    <w:rsid w:val="0020781D"/>
    <w:rsid w:val="002136C6"/>
    <w:rsid w:val="00213739"/>
    <w:rsid w:val="00217CE2"/>
    <w:rsid w:val="002368B8"/>
    <w:rsid w:val="002448EF"/>
    <w:rsid w:val="00255D00"/>
    <w:rsid w:val="00273751"/>
    <w:rsid w:val="00283A0C"/>
    <w:rsid w:val="00286263"/>
    <w:rsid w:val="0029639C"/>
    <w:rsid w:val="002A0F88"/>
    <w:rsid w:val="002B2535"/>
    <w:rsid w:val="002C003A"/>
    <w:rsid w:val="002C289B"/>
    <w:rsid w:val="002E6EA5"/>
    <w:rsid w:val="002F22CE"/>
    <w:rsid w:val="002F5D8C"/>
    <w:rsid w:val="002F73EF"/>
    <w:rsid w:val="00304962"/>
    <w:rsid w:val="00304AC1"/>
    <w:rsid w:val="00312F1C"/>
    <w:rsid w:val="00315841"/>
    <w:rsid w:val="00317337"/>
    <w:rsid w:val="003179F1"/>
    <w:rsid w:val="0033051E"/>
    <w:rsid w:val="003319D1"/>
    <w:rsid w:val="00331C26"/>
    <w:rsid w:val="00345EB9"/>
    <w:rsid w:val="00346075"/>
    <w:rsid w:val="00353725"/>
    <w:rsid w:val="00355BD9"/>
    <w:rsid w:val="00364BC0"/>
    <w:rsid w:val="003677B4"/>
    <w:rsid w:val="00367ABC"/>
    <w:rsid w:val="003710C9"/>
    <w:rsid w:val="00375D0F"/>
    <w:rsid w:val="00392ACC"/>
    <w:rsid w:val="003B128A"/>
    <w:rsid w:val="003B2635"/>
    <w:rsid w:val="003C00F8"/>
    <w:rsid w:val="003C1785"/>
    <w:rsid w:val="003C3669"/>
    <w:rsid w:val="003C672F"/>
    <w:rsid w:val="003D085D"/>
    <w:rsid w:val="003D4826"/>
    <w:rsid w:val="003D527D"/>
    <w:rsid w:val="003D6579"/>
    <w:rsid w:val="003D7C19"/>
    <w:rsid w:val="003F7BD1"/>
    <w:rsid w:val="004007C9"/>
    <w:rsid w:val="00400F0B"/>
    <w:rsid w:val="00406DC7"/>
    <w:rsid w:val="004133EE"/>
    <w:rsid w:val="00417A0C"/>
    <w:rsid w:val="004218E2"/>
    <w:rsid w:val="00424BD4"/>
    <w:rsid w:val="0043137B"/>
    <w:rsid w:val="00433FE5"/>
    <w:rsid w:val="004363B9"/>
    <w:rsid w:val="004376FF"/>
    <w:rsid w:val="004475D4"/>
    <w:rsid w:val="00453FBB"/>
    <w:rsid w:val="00455494"/>
    <w:rsid w:val="00456138"/>
    <w:rsid w:val="004604CB"/>
    <w:rsid w:val="00465DC9"/>
    <w:rsid w:val="00470C55"/>
    <w:rsid w:val="0047725C"/>
    <w:rsid w:val="004868A2"/>
    <w:rsid w:val="004876F9"/>
    <w:rsid w:val="00487D9F"/>
    <w:rsid w:val="004A2AE2"/>
    <w:rsid w:val="004A7B93"/>
    <w:rsid w:val="004B1C03"/>
    <w:rsid w:val="004B3C18"/>
    <w:rsid w:val="004B53B2"/>
    <w:rsid w:val="004B755F"/>
    <w:rsid w:val="004C146B"/>
    <w:rsid w:val="004C1C9D"/>
    <w:rsid w:val="004D0A5C"/>
    <w:rsid w:val="004D5D5B"/>
    <w:rsid w:val="004D622A"/>
    <w:rsid w:val="004D718C"/>
    <w:rsid w:val="004E1657"/>
    <w:rsid w:val="004E4208"/>
    <w:rsid w:val="004F37D4"/>
    <w:rsid w:val="004F477D"/>
    <w:rsid w:val="004F652A"/>
    <w:rsid w:val="00500A6E"/>
    <w:rsid w:val="00505C2E"/>
    <w:rsid w:val="00516185"/>
    <w:rsid w:val="005171E9"/>
    <w:rsid w:val="00531B34"/>
    <w:rsid w:val="005339AC"/>
    <w:rsid w:val="00533F46"/>
    <w:rsid w:val="00537833"/>
    <w:rsid w:val="00550B77"/>
    <w:rsid w:val="00555422"/>
    <w:rsid w:val="00571B48"/>
    <w:rsid w:val="0057403E"/>
    <w:rsid w:val="00575542"/>
    <w:rsid w:val="0058051E"/>
    <w:rsid w:val="00584507"/>
    <w:rsid w:val="00586930"/>
    <w:rsid w:val="00593132"/>
    <w:rsid w:val="00594655"/>
    <w:rsid w:val="005B4806"/>
    <w:rsid w:val="005B61C6"/>
    <w:rsid w:val="005C23CF"/>
    <w:rsid w:val="005C2B15"/>
    <w:rsid w:val="005C724A"/>
    <w:rsid w:val="005E47AE"/>
    <w:rsid w:val="005E7C37"/>
    <w:rsid w:val="005F36D8"/>
    <w:rsid w:val="005F5950"/>
    <w:rsid w:val="005F6636"/>
    <w:rsid w:val="00605420"/>
    <w:rsid w:val="006056B5"/>
    <w:rsid w:val="0061229C"/>
    <w:rsid w:val="00614B5B"/>
    <w:rsid w:val="00614BA5"/>
    <w:rsid w:val="00623868"/>
    <w:rsid w:val="00633E19"/>
    <w:rsid w:val="00641092"/>
    <w:rsid w:val="00652CA2"/>
    <w:rsid w:val="00652DE6"/>
    <w:rsid w:val="00660361"/>
    <w:rsid w:val="0066583F"/>
    <w:rsid w:val="0067192E"/>
    <w:rsid w:val="00673EE7"/>
    <w:rsid w:val="0067470F"/>
    <w:rsid w:val="0067477B"/>
    <w:rsid w:val="00674A4C"/>
    <w:rsid w:val="00677214"/>
    <w:rsid w:val="006833F7"/>
    <w:rsid w:val="0069105F"/>
    <w:rsid w:val="0069792C"/>
    <w:rsid w:val="006A065D"/>
    <w:rsid w:val="006A0BDC"/>
    <w:rsid w:val="006A3480"/>
    <w:rsid w:val="006A5612"/>
    <w:rsid w:val="006A6A3C"/>
    <w:rsid w:val="006B54D8"/>
    <w:rsid w:val="006C1F6D"/>
    <w:rsid w:val="006D1520"/>
    <w:rsid w:val="006D553A"/>
    <w:rsid w:val="006E734D"/>
    <w:rsid w:val="006F1518"/>
    <w:rsid w:val="006F2A84"/>
    <w:rsid w:val="006F4199"/>
    <w:rsid w:val="006F4878"/>
    <w:rsid w:val="00704211"/>
    <w:rsid w:val="0071080A"/>
    <w:rsid w:val="00711467"/>
    <w:rsid w:val="00711BE7"/>
    <w:rsid w:val="007160E5"/>
    <w:rsid w:val="00716CBB"/>
    <w:rsid w:val="007362E7"/>
    <w:rsid w:val="00737D01"/>
    <w:rsid w:val="007464D4"/>
    <w:rsid w:val="00746608"/>
    <w:rsid w:val="00755279"/>
    <w:rsid w:val="00765755"/>
    <w:rsid w:val="0076765A"/>
    <w:rsid w:val="00774A84"/>
    <w:rsid w:val="00782019"/>
    <w:rsid w:val="00785BC8"/>
    <w:rsid w:val="007879EF"/>
    <w:rsid w:val="0079188A"/>
    <w:rsid w:val="00794C3B"/>
    <w:rsid w:val="00795491"/>
    <w:rsid w:val="00796E82"/>
    <w:rsid w:val="007A3653"/>
    <w:rsid w:val="007A3FCD"/>
    <w:rsid w:val="007A68A6"/>
    <w:rsid w:val="007B3E29"/>
    <w:rsid w:val="007C2516"/>
    <w:rsid w:val="007D04E8"/>
    <w:rsid w:val="007D10D3"/>
    <w:rsid w:val="007D6FDA"/>
    <w:rsid w:val="007E5DF8"/>
    <w:rsid w:val="007F1008"/>
    <w:rsid w:val="007F42D6"/>
    <w:rsid w:val="007F6164"/>
    <w:rsid w:val="007F6808"/>
    <w:rsid w:val="0080152F"/>
    <w:rsid w:val="00801F74"/>
    <w:rsid w:val="00802A0D"/>
    <w:rsid w:val="00810230"/>
    <w:rsid w:val="00816DD3"/>
    <w:rsid w:val="00817CE7"/>
    <w:rsid w:val="00834AE1"/>
    <w:rsid w:val="008402E4"/>
    <w:rsid w:val="0084579E"/>
    <w:rsid w:val="0084695F"/>
    <w:rsid w:val="008570C6"/>
    <w:rsid w:val="008577E6"/>
    <w:rsid w:val="008579CC"/>
    <w:rsid w:val="00857C41"/>
    <w:rsid w:val="008602DC"/>
    <w:rsid w:val="00863306"/>
    <w:rsid w:val="00872C71"/>
    <w:rsid w:val="0087382C"/>
    <w:rsid w:val="00877AC2"/>
    <w:rsid w:val="008A1801"/>
    <w:rsid w:val="008A37B3"/>
    <w:rsid w:val="008A50D6"/>
    <w:rsid w:val="008B35F7"/>
    <w:rsid w:val="008B6800"/>
    <w:rsid w:val="008C1061"/>
    <w:rsid w:val="008C1215"/>
    <w:rsid w:val="008C6296"/>
    <w:rsid w:val="008D1AE0"/>
    <w:rsid w:val="008E08A7"/>
    <w:rsid w:val="008E08E3"/>
    <w:rsid w:val="008E2635"/>
    <w:rsid w:val="008F0C04"/>
    <w:rsid w:val="008F672F"/>
    <w:rsid w:val="00923193"/>
    <w:rsid w:val="00926CC0"/>
    <w:rsid w:val="0093098C"/>
    <w:rsid w:val="009346BD"/>
    <w:rsid w:val="0094259A"/>
    <w:rsid w:val="0094294E"/>
    <w:rsid w:val="0094331C"/>
    <w:rsid w:val="00944A55"/>
    <w:rsid w:val="00945E80"/>
    <w:rsid w:val="009468B5"/>
    <w:rsid w:val="00947123"/>
    <w:rsid w:val="0095786F"/>
    <w:rsid w:val="00960426"/>
    <w:rsid w:val="00960912"/>
    <w:rsid w:val="00960B3E"/>
    <w:rsid w:val="00962623"/>
    <w:rsid w:val="00970B1A"/>
    <w:rsid w:val="00971AA4"/>
    <w:rsid w:val="00972307"/>
    <w:rsid w:val="009A4B81"/>
    <w:rsid w:val="009A7E44"/>
    <w:rsid w:val="009B4D3E"/>
    <w:rsid w:val="009C34AB"/>
    <w:rsid w:val="009C5A8E"/>
    <w:rsid w:val="009D2A70"/>
    <w:rsid w:val="009E52C9"/>
    <w:rsid w:val="009E7659"/>
    <w:rsid w:val="009F220D"/>
    <w:rsid w:val="00A145FE"/>
    <w:rsid w:val="00A217A3"/>
    <w:rsid w:val="00A21BBC"/>
    <w:rsid w:val="00A23255"/>
    <w:rsid w:val="00A233CE"/>
    <w:rsid w:val="00A2508F"/>
    <w:rsid w:val="00A30700"/>
    <w:rsid w:val="00A34213"/>
    <w:rsid w:val="00A51234"/>
    <w:rsid w:val="00A55794"/>
    <w:rsid w:val="00A55CF5"/>
    <w:rsid w:val="00A570FE"/>
    <w:rsid w:val="00A61696"/>
    <w:rsid w:val="00A64CC9"/>
    <w:rsid w:val="00A65AA0"/>
    <w:rsid w:val="00A660D7"/>
    <w:rsid w:val="00A70156"/>
    <w:rsid w:val="00A801CD"/>
    <w:rsid w:val="00A831EA"/>
    <w:rsid w:val="00A837F5"/>
    <w:rsid w:val="00A97127"/>
    <w:rsid w:val="00AA1AE4"/>
    <w:rsid w:val="00AA579D"/>
    <w:rsid w:val="00AC1824"/>
    <w:rsid w:val="00AC679D"/>
    <w:rsid w:val="00AC7D6D"/>
    <w:rsid w:val="00AE2028"/>
    <w:rsid w:val="00AF3AFC"/>
    <w:rsid w:val="00AF3B34"/>
    <w:rsid w:val="00B03B1C"/>
    <w:rsid w:val="00B051DD"/>
    <w:rsid w:val="00B053AB"/>
    <w:rsid w:val="00B12765"/>
    <w:rsid w:val="00B1541A"/>
    <w:rsid w:val="00B16006"/>
    <w:rsid w:val="00B20D3B"/>
    <w:rsid w:val="00B25EB3"/>
    <w:rsid w:val="00B27475"/>
    <w:rsid w:val="00B3676F"/>
    <w:rsid w:val="00B403F9"/>
    <w:rsid w:val="00B523F4"/>
    <w:rsid w:val="00B60A70"/>
    <w:rsid w:val="00B614AD"/>
    <w:rsid w:val="00B62D60"/>
    <w:rsid w:val="00B67E1B"/>
    <w:rsid w:val="00B712CF"/>
    <w:rsid w:val="00B7506B"/>
    <w:rsid w:val="00B76A32"/>
    <w:rsid w:val="00B80DB3"/>
    <w:rsid w:val="00B90578"/>
    <w:rsid w:val="00B914AE"/>
    <w:rsid w:val="00B93A3E"/>
    <w:rsid w:val="00BA13BC"/>
    <w:rsid w:val="00BB0F4C"/>
    <w:rsid w:val="00BB13B5"/>
    <w:rsid w:val="00BC501B"/>
    <w:rsid w:val="00BC51BE"/>
    <w:rsid w:val="00BD048A"/>
    <w:rsid w:val="00BD2F6C"/>
    <w:rsid w:val="00BD3668"/>
    <w:rsid w:val="00BD4C7E"/>
    <w:rsid w:val="00BE3436"/>
    <w:rsid w:val="00BE51C4"/>
    <w:rsid w:val="00BE540B"/>
    <w:rsid w:val="00BF1C71"/>
    <w:rsid w:val="00BF30F9"/>
    <w:rsid w:val="00BF35A7"/>
    <w:rsid w:val="00BF3D8C"/>
    <w:rsid w:val="00BF57F1"/>
    <w:rsid w:val="00C00DD0"/>
    <w:rsid w:val="00C03860"/>
    <w:rsid w:val="00C156AE"/>
    <w:rsid w:val="00C214A0"/>
    <w:rsid w:val="00C2537C"/>
    <w:rsid w:val="00C27FEF"/>
    <w:rsid w:val="00C30CD8"/>
    <w:rsid w:val="00C319C7"/>
    <w:rsid w:val="00C33996"/>
    <w:rsid w:val="00C36914"/>
    <w:rsid w:val="00C37CE5"/>
    <w:rsid w:val="00C4068A"/>
    <w:rsid w:val="00C45D50"/>
    <w:rsid w:val="00C461A9"/>
    <w:rsid w:val="00C464CA"/>
    <w:rsid w:val="00C60450"/>
    <w:rsid w:val="00C62672"/>
    <w:rsid w:val="00C7464C"/>
    <w:rsid w:val="00C85147"/>
    <w:rsid w:val="00C87588"/>
    <w:rsid w:val="00C90E0A"/>
    <w:rsid w:val="00C923E2"/>
    <w:rsid w:val="00CA2039"/>
    <w:rsid w:val="00CB2FE4"/>
    <w:rsid w:val="00CB4161"/>
    <w:rsid w:val="00CB5BAF"/>
    <w:rsid w:val="00CD7C6A"/>
    <w:rsid w:val="00CF3825"/>
    <w:rsid w:val="00CF42F6"/>
    <w:rsid w:val="00CF5D98"/>
    <w:rsid w:val="00D005D9"/>
    <w:rsid w:val="00D031C8"/>
    <w:rsid w:val="00D0334D"/>
    <w:rsid w:val="00D050D1"/>
    <w:rsid w:val="00D112D3"/>
    <w:rsid w:val="00D21C12"/>
    <w:rsid w:val="00D23643"/>
    <w:rsid w:val="00D333F7"/>
    <w:rsid w:val="00D33752"/>
    <w:rsid w:val="00D359F1"/>
    <w:rsid w:val="00D3673A"/>
    <w:rsid w:val="00D37968"/>
    <w:rsid w:val="00D40176"/>
    <w:rsid w:val="00D44FDA"/>
    <w:rsid w:val="00D47E46"/>
    <w:rsid w:val="00D5405A"/>
    <w:rsid w:val="00D543EC"/>
    <w:rsid w:val="00D561C6"/>
    <w:rsid w:val="00D6330E"/>
    <w:rsid w:val="00D67B18"/>
    <w:rsid w:val="00D67EEF"/>
    <w:rsid w:val="00D72D70"/>
    <w:rsid w:val="00D80765"/>
    <w:rsid w:val="00D83038"/>
    <w:rsid w:val="00D83784"/>
    <w:rsid w:val="00D864A7"/>
    <w:rsid w:val="00D87FFA"/>
    <w:rsid w:val="00D93441"/>
    <w:rsid w:val="00D9540E"/>
    <w:rsid w:val="00DA2F54"/>
    <w:rsid w:val="00DA62E6"/>
    <w:rsid w:val="00DB3E87"/>
    <w:rsid w:val="00DB477D"/>
    <w:rsid w:val="00DB510E"/>
    <w:rsid w:val="00DC1238"/>
    <w:rsid w:val="00DC157B"/>
    <w:rsid w:val="00DC6897"/>
    <w:rsid w:val="00DD1D8D"/>
    <w:rsid w:val="00DD274C"/>
    <w:rsid w:val="00DD5286"/>
    <w:rsid w:val="00DE611B"/>
    <w:rsid w:val="00DE690D"/>
    <w:rsid w:val="00DF37DC"/>
    <w:rsid w:val="00E0297B"/>
    <w:rsid w:val="00E13B4C"/>
    <w:rsid w:val="00E208DF"/>
    <w:rsid w:val="00E21963"/>
    <w:rsid w:val="00E22B62"/>
    <w:rsid w:val="00E24E91"/>
    <w:rsid w:val="00E30917"/>
    <w:rsid w:val="00E32938"/>
    <w:rsid w:val="00E34330"/>
    <w:rsid w:val="00E45D59"/>
    <w:rsid w:val="00E5068B"/>
    <w:rsid w:val="00E52142"/>
    <w:rsid w:val="00E5233E"/>
    <w:rsid w:val="00E54B9E"/>
    <w:rsid w:val="00E60184"/>
    <w:rsid w:val="00E6091C"/>
    <w:rsid w:val="00E617BA"/>
    <w:rsid w:val="00E628A6"/>
    <w:rsid w:val="00E63E49"/>
    <w:rsid w:val="00E663EB"/>
    <w:rsid w:val="00E664F1"/>
    <w:rsid w:val="00E74FDA"/>
    <w:rsid w:val="00E77B86"/>
    <w:rsid w:val="00E81D30"/>
    <w:rsid w:val="00E843BC"/>
    <w:rsid w:val="00EB18E0"/>
    <w:rsid w:val="00EB3607"/>
    <w:rsid w:val="00EB5812"/>
    <w:rsid w:val="00EB5964"/>
    <w:rsid w:val="00EB757A"/>
    <w:rsid w:val="00EC0607"/>
    <w:rsid w:val="00EC072D"/>
    <w:rsid w:val="00EC1557"/>
    <w:rsid w:val="00EC2260"/>
    <w:rsid w:val="00EC235B"/>
    <w:rsid w:val="00EC6214"/>
    <w:rsid w:val="00ED2712"/>
    <w:rsid w:val="00ED271E"/>
    <w:rsid w:val="00ED40E0"/>
    <w:rsid w:val="00ED6F24"/>
    <w:rsid w:val="00ED7B1B"/>
    <w:rsid w:val="00EE2940"/>
    <w:rsid w:val="00EE2D7B"/>
    <w:rsid w:val="00EE649B"/>
    <w:rsid w:val="00EE6B5B"/>
    <w:rsid w:val="00EE744D"/>
    <w:rsid w:val="00EF0108"/>
    <w:rsid w:val="00EF0C40"/>
    <w:rsid w:val="00EF542D"/>
    <w:rsid w:val="00F16DFB"/>
    <w:rsid w:val="00F2471B"/>
    <w:rsid w:val="00F24E88"/>
    <w:rsid w:val="00F25720"/>
    <w:rsid w:val="00F25C73"/>
    <w:rsid w:val="00F310F1"/>
    <w:rsid w:val="00F43032"/>
    <w:rsid w:val="00F43B67"/>
    <w:rsid w:val="00F50FA5"/>
    <w:rsid w:val="00F525DF"/>
    <w:rsid w:val="00F62C87"/>
    <w:rsid w:val="00F778EF"/>
    <w:rsid w:val="00F8628C"/>
    <w:rsid w:val="00F87936"/>
    <w:rsid w:val="00F9289A"/>
    <w:rsid w:val="00FA50E8"/>
    <w:rsid w:val="00FB25AC"/>
    <w:rsid w:val="00FB3F5F"/>
    <w:rsid w:val="00FB6CC1"/>
    <w:rsid w:val="00FC0A14"/>
    <w:rsid w:val="00FD2738"/>
    <w:rsid w:val="00FD36DF"/>
    <w:rsid w:val="00FD6EF8"/>
    <w:rsid w:val="00FE25D7"/>
    <w:rsid w:val="00FF4459"/>
    <w:rsid w:val="01882183"/>
    <w:rsid w:val="01D61B89"/>
    <w:rsid w:val="027F4D04"/>
    <w:rsid w:val="043A35D9"/>
    <w:rsid w:val="04531FA4"/>
    <w:rsid w:val="045B70AB"/>
    <w:rsid w:val="058B2BF2"/>
    <w:rsid w:val="07EF6488"/>
    <w:rsid w:val="08FA3336"/>
    <w:rsid w:val="09267C87"/>
    <w:rsid w:val="095C383A"/>
    <w:rsid w:val="09DE353A"/>
    <w:rsid w:val="0A5371A2"/>
    <w:rsid w:val="0AE738C2"/>
    <w:rsid w:val="0B55695D"/>
    <w:rsid w:val="0B5F56D3"/>
    <w:rsid w:val="0B631121"/>
    <w:rsid w:val="0BD96405"/>
    <w:rsid w:val="0D2766C4"/>
    <w:rsid w:val="0E455054"/>
    <w:rsid w:val="0E6871EC"/>
    <w:rsid w:val="0E8611C8"/>
    <w:rsid w:val="0E8C2C83"/>
    <w:rsid w:val="0EC87A33"/>
    <w:rsid w:val="0F29227F"/>
    <w:rsid w:val="0F455550"/>
    <w:rsid w:val="0F4F757F"/>
    <w:rsid w:val="1188005A"/>
    <w:rsid w:val="11C049F1"/>
    <w:rsid w:val="12513042"/>
    <w:rsid w:val="127929E7"/>
    <w:rsid w:val="12A460C1"/>
    <w:rsid w:val="130D0278"/>
    <w:rsid w:val="13EF3233"/>
    <w:rsid w:val="14AF1AFB"/>
    <w:rsid w:val="15510782"/>
    <w:rsid w:val="15B34F99"/>
    <w:rsid w:val="15B900D5"/>
    <w:rsid w:val="15F943A0"/>
    <w:rsid w:val="16D41BEC"/>
    <w:rsid w:val="1776002C"/>
    <w:rsid w:val="18DF60A5"/>
    <w:rsid w:val="195A572B"/>
    <w:rsid w:val="19E9491B"/>
    <w:rsid w:val="1A0A11CB"/>
    <w:rsid w:val="1A320676"/>
    <w:rsid w:val="1AB50F2C"/>
    <w:rsid w:val="1B34092A"/>
    <w:rsid w:val="1CC27A95"/>
    <w:rsid w:val="1D807E56"/>
    <w:rsid w:val="1D8B05A9"/>
    <w:rsid w:val="1EA90CE7"/>
    <w:rsid w:val="1EF26B32"/>
    <w:rsid w:val="1F0245CF"/>
    <w:rsid w:val="1F261B4A"/>
    <w:rsid w:val="1F45531C"/>
    <w:rsid w:val="20A44DD5"/>
    <w:rsid w:val="20AA51EA"/>
    <w:rsid w:val="218A6AA5"/>
    <w:rsid w:val="224D26CF"/>
    <w:rsid w:val="228F28EA"/>
    <w:rsid w:val="22CA0F58"/>
    <w:rsid w:val="22D327D6"/>
    <w:rsid w:val="237C2E6E"/>
    <w:rsid w:val="25284930"/>
    <w:rsid w:val="25302162"/>
    <w:rsid w:val="25886712"/>
    <w:rsid w:val="26103D41"/>
    <w:rsid w:val="26E24F00"/>
    <w:rsid w:val="271237A1"/>
    <w:rsid w:val="27541A0C"/>
    <w:rsid w:val="275B0FEC"/>
    <w:rsid w:val="28285372"/>
    <w:rsid w:val="287E31E4"/>
    <w:rsid w:val="28AA3FD9"/>
    <w:rsid w:val="29E70B31"/>
    <w:rsid w:val="29E862CE"/>
    <w:rsid w:val="2A355B25"/>
    <w:rsid w:val="2B744A61"/>
    <w:rsid w:val="2D8742CF"/>
    <w:rsid w:val="2E1E474F"/>
    <w:rsid w:val="2EFB4447"/>
    <w:rsid w:val="2F210F41"/>
    <w:rsid w:val="305F7D9F"/>
    <w:rsid w:val="30782C0F"/>
    <w:rsid w:val="30F80167"/>
    <w:rsid w:val="324C4353"/>
    <w:rsid w:val="32AC7C0C"/>
    <w:rsid w:val="32B814B6"/>
    <w:rsid w:val="33A043C9"/>
    <w:rsid w:val="342D5ABF"/>
    <w:rsid w:val="371E0226"/>
    <w:rsid w:val="37340074"/>
    <w:rsid w:val="373D070E"/>
    <w:rsid w:val="374C0A04"/>
    <w:rsid w:val="393671C3"/>
    <w:rsid w:val="3989161F"/>
    <w:rsid w:val="39F252A9"/>
    <w:rsid w:val="3A2D4A6A"/>
    <w:rsid w:val="3A5F37E6"/>
    <w:rsid w:val="3AA077A8"/>
    <w:rsid w:val="3BCB080C"/>
    <w:rsid w:val="3CEF3FF6"/>
    <w:rsid w:val="3CF278A5"/>
    <w:rsid w:val="3DA13CAE"/>
    <w:rsid w:val="3E097360"/>
    <w:rsid w:val="3EC82FB3"/>
    <w:rsid w:val="3F052789"/>
    <w:rsid w:val="3FA11CB8"/>
    <w:rsid w:val="40290606"/>
    <w:rsid w:val="4047615A"/>
    <w:rsid w:val="404B5C4A"/>
    <w:rsid w:val="405577B6"/>
    <w:rsid w:val="408703CC"/>
    <w:rsid w:val="40C47D8F"/>
    <w:rsid w:val="419D4283"/>
    <w:rsid w:val="41DC688C"/>
    <w:rsid w:val="424A0036"/>
    <w:rsid w:val="42982C9D"/>
    <w:rsid w:val="42C41CE4"/>
    <w:rsid w:val="44B30262"/>
    <w:rsid w:val="44B65ABF"/>
    <w:rsid w:val="44BC431E"/>
    <w:rsid w:val="44FB0DD5"/>
    <w:rsid w:val="458416D6"/>
    <w:rsid w:val="45B918A8"/>
    <w:rsid w:val="46703237"/>
    <w:rsid w:val="46F72688"/>
    <w:rsid w:val="479D5B89"/>
    <w:rsid w:val="47D226C1"/>
    <w:rsid w:val="47DF7F53"/>
    <w:rsid w:val="47FB05FF"/>
    <w:rsid w:val="495F4514"/>
    <w:rsid w:val="49B66DFA"/>
    <w:rsid w:val="4A0D5D1E"/>
    <w:rsid w:val="4A317D31"/>
    <w:rsid w:val="4BD74836"/>
    <w:rsid w:val="4C4C4A68"/>
    <w:rsid w:val="4CDC4B4D"/>
    <w:rsid w:val="4D5D0D6B"/>
    <w:rsid w:val="4D6A3B36"/>
    <w:rsid w:val="4DD3102D"/>
    <w:rsid w:val="4E3E7ABD"/>
    <w:rsid w:val="4EAF3848"/>
    <w:rsid w:val="4EE47C9B"/>
    <w:rsid w:val="4F192ACE"/>
    <w:rsid w:val="4F950215"/>
    <w:rsid w:val="4FB944D9"/>
    <w:rsid w:val="50526B81"/>
    <w:rsid w:val="50895297"/>
    <w:rsid w:val="50A02E6C"/>
    <w:rsid w:val="50A224C3"/>
    <w:rsid w:val="520774F7"/>
    <w:rsid w:val="523C3645"/>
    <w:rsid w:val="526112FD"/>
    <w:rsid w:val="527252B8"/>
    <w:rsid w:val="52C76A06"/>
    <w:rsid w:val="52EC0626"/>
    <w:rsid w:val="548C744E"/>
    <w:rsid w:val="54BC350F"/>
    <w:rsid w:val="54C227C1"/>
    <w:rsid w:val="54E16725"/>
    <w:rsid w:val="54E40188"/>
    <w:rsid w:val="5511700B"/>
    <w:rsid w:val="559A7000"/>
    <w:rsid w:val="55EE4C56"/>
    <w:rsid w:val="567019A6"/>
    <w:rsid w:val="567A0423"/>
    <w:rsid w:val="589B7DA3"/>
    <w:rsid w:val="58FB73D6"/>
    <w:rsid w:val="593B28A8"/>
    <w:rsid w:val="5A074538"/>
    <w:rsid w:val="5A58046A"/>
    <w:rsid w:val="5AAD14E0"/>
    <w:rsid w:val="5B340B86"/>
    <w:rsid w:val="5B927A9B"/>
    <w:rsid w:val="5C735EB5"/>
    <w:rsid w:val="5C86208C"/>
    <w:rsid w:val="5DEB5F1F"/>
    <w:rsid w:val="5E820631"/>
    <w:rsid w:val="5ED9260B"/>
    <w:rsid w:val="601616A0"/>
    <w:rsid w:val="6134408D"/>
    <w:rsid w:val="614A4E3C"/>
    <w:rsid w:val="6151078F"/>
    <w:rsid w:val="61BF7E80"/>
    <w:rsid w:val="629923ED"/>
    <w:rsid w:val="62B45479"/>
    <w:rsid w:val="62F13FD7"/>
    <w:rsid w:val="63673908"/>
    <w:rsid w:val="646D58E0"/>
    <w:rsid w:val="64E57B6C"/>
    <w:rsid w:val="65090D47"/>
    <w:rsid w:val="6591528A"/>
    <w:rsid w:val="65945DCF"/>
    <w:rsid w:val="65AD2D96"/>
    <w:rsid w:val="65C445FB"/>
    <w:rsid w:val="66132255"/>
    <w:rsid w:val="66BC2B4E"/>
    <w:rsid w:val="67FA7C4A"/>
    <w:rsid w:val="68683AB4"/>
    <w:rsid w:val="6BCA243E"/>
    <w:rsid w:val="6CA64F89"/>
    <w:rsid w:val="6D741A8D"/>
    <w:rsid w:val="6D8A6060"/>
    <w:rsid w:val="6DE91A8C"/>
    <w:rsid w:val="6DEC53BD"/>
    <w:rsid w:val="6E6E53B2"/>
    <w:rsid w:val="6F0A1E85"/>
    <w:rsid w:val="6F2E7F0B"/>
    <w:rsid w:val="70151CD5"/>
    <w:rsid w:val="70DC1E23"/>
    <w:rsid w:val="71041BF8"/>
    <w:rsid w:val="73114931"/>
    <w:rsid w:val="73CE5E32"/>
    <w:rsid w:val="74DF4F36"/>
    <w:rsid w:val="74EB311C"/>
    <w:rsid w:val="75507D7E"/>
    <w:rsid w:val="76361FD5"/>
    <w:rsid w:val="764D7FA9"/>
    <w:rsid w:val="76796366"/>
    <w:rsid w:val="76C03F95"/>
    <w:rsid w:val="78007B88"/>
    <w:rsid w:val="78B02C09"/>
    <w:rsid w:val="78C10E76"/>
    <w:rsid w:val="791A3E30"/>
    <w:rsid w:val="79354FFF"/>
    <w:rsid w:val="79382508"/>
    <w:rsid w:val="7B152B01"/>
    <w:rsid w:val="7C091BA9"/>
    <w:rsid w:val="7CC06686"/>
    <w:rsid w:val="7CE04A49"/>
    <w:rsid w:val="7D912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rPr>
      <w:rFonts w:eastAsiaTheme="minorEastAsia" w:cstheme="minorBidi"/>
      <w:lang w:eastAsia="en-US"/>
    </w:rPr>
  </w:style>
  <w:style w:type="paragraph" w:styleId="3">
    <w:name w:val="Balloon Text"/>
    <w:basedOn w:val="1"/>
    <w:link w:val="11"/>
    <w:unhideWhenUsed/>
    <w:qFormat/>
    <w:uiPriority w:val="99"/>
    <w:rPr>
      <w:rFonts w:eastAsiaTheme="minorEastAsia" w:cstheme="minorBidi"/>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Char"/>
    <w:link w:val="5"/>
    <w:qFormat/>
    <w:uiPriority w:val="99"/>
    <w:rPr>
      <w:rFonts w:ascii="Times New Roman" w:hAnsi="Times New Roman" w:eastAsia="宋体" w:cs="Times New Roman"/>
      <w:sz w:val="18"/>
      <w:szCs w:val="18"/>
    </w:rPr>
  </w:style>
  <w:style w:type="character" w:customStyle="1" w:styleId="10">
    <w:name w:val="页脚 Char"/>
    <w:link w:val="4"/>
    <w:qFormat/>
    <w:uiPriority w:val="99"/>
    <w:rPr>
      <w:rFonts w:ascii="Times New Roman" w:hAnsi="Times New Roman" w:eastAsia="宋体" w:cs="Times New Roman"/>
      <w:sz w:val="18"/>
      <w:szCs w:val="18"/>
    </w:rPr>
  </w:style>
  <w:style w:type="character" w:customStyle="1" w:styleId="11">
    <w:name w:val="批注框文本 Char"/>
    <w:link w:val="3"/>
    <w:qFormat/>
    <w:uiPriority w:val="99"/>
    <w:rPr>
      <w:rFonts w:ascii="Times New Roman" w:hAnsi="Times New Roman"/>
      <w:sz w:val="18"/>
      <w:szCs w:val="18"/>
    </w:rPr>
  </w:style>
  <w:style w:type="character" w:customStyle="1" w:styleId="12">
    <w:name w:val="日期 Char"/>
    <w:basedOn w:val="7"/>
    <w:link w:val="2"/>
    <w:qFormat/>
    <w:uiPriority w:val="99"/>
    <w:rPr>
      <w:rFonts w:ascii="Times New Roman" w:hAnsi="Times New Roman"/>
      <w:szCs w:val="24"/>
      <w:lang w:eastAsia="en-US"/>
    </w:rPr>
  </w:style>
  <w:style w:type="character" w:customStyle="1" w:styleId="13">
    <w:name w:val="正文文本_"/>
    <w:link w:val="14"/>
    <w:qFormat/>
    <w:locked/>
    <w:uiPriority w:val="99"/>
    <w:rPr>
      <w:rFonts w:ascii="宋体" w:hAnsi="宋体"/>
      <w:sz w:val="22"/>
      <w:shd w:val="clear" w:color="auto" w:fill="FFFFFF"/>
    </w:rPr>
  </w:style>
  <w:style w:type="paragraph" w:customStyle="1" w:styleId="14">
    <w:name w:val="正文文本10"/>
    <w:basedOn w:val="1"/>
    <w:link w:val="13"/>
    <w:qFormat/>
    <w:uiPriority w:val="99"/>
    <w:pPr>
      <w:widowControl/>
      <w:shd w:val="clear" w:color="auto" w:fill="FFFFFF"/>
      <w:spacing w:line="466" w:lineRule="exact"/>
      <w:ind w:hanging="560"/>
      <w:jc w:val="distribute"/>
    </w:pPr>
    <w:rPr>
      <w:rFonts w:ascii="宋体" w:hAnsi="宋体" w:eastAsiaTheme="minorEastAsia" w:cstheme="minorBidi"/>
      <w:sz w:val="22"/>
      <w:szCs w:val="22"/>
    </w:rPr>
  </w:style>
  <w:style w:type="character" w:customStyle="1" w:styleId="15">
    <w:name w:val="页眉 Char1"/>
    <w:basedOn w:val="7"/>
    <w:semiHidden/>
    <w:qFormat/>
    <w:uiPriority w:val="99"/>
    <w:rPr>
      <w:rFonts w:ascii="Times New Roman" w:hAnsi="Times New Roman" w:eastAsia="宋体" w:cs="Times New Roman"/>
      <w:sz w:val="18"/>
      <w:szCs w:val="18"/>
    </w:rPr>
  </w:style>
  <w:style w:type="character" w:customStyle="1" w:styleId="16">
    <w:name w:val="页脚 Char1"/>
    <w:basedOn w:val="7"/>
    <w:semiHidden/>
    <w:qFormat/>
    <w:uiPriority w:val="99"/>
    <w:rPr>
      <w:rFonts w:ascii="Times New Roman" w:hAnsi="Times New Roman" w:eastAsia="宋体" w:cs="Times New Roman"/>
      <w:sz w:val="18"/>
      <w:szCs w:val="18"/>
    </w:rPr>
  </w:style>
  <w:style w:type="character" w:customStyle="1" w:styleId="17">
    <w:name w:val="批注框文本 Char1"/>
    <w:basedOn w:val="7"/>
    <w:semiHidden/>
    <w:qFormat/>
    <w:uiPriority w:val="99"/>
    <w:rPr>
      <w:rFonts w:ascii="Times New Roman" w:hAnsi="Times New Roman" w:eastAsia="宋体" w:cs="Times New Roman"/>
      <w:sz w:val="18"/>
      <w:szCs w:val="18"/>
    </w:rPr>
  </w:style>
  <w:style w:type="character" w:customStyle="1" w:styleId="18">
    <w:name w:val="日期 Char1"/>
    <w:basedOn w:val="7"/>
    <w:semiHidden/>
    <w:qFormat/>
    <w:uiPriority w:val="99"/>
    <w:rPr>
      <w:rFonts w:ascii="Times New Roman" w:hAnsi="Times New Roman" w:eastAsia="宋体" w:cs="Times New Roman"/>
      <w:szCs w:val="24"/>
    </w:rPr>
  </w:style>
  <w:style w:type="paragraph" w:customStyle="1" w:styleId="19">
    <w:name w:val="Char2 Char Char1 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styleId="20">
    <w:name w:val="List Paragraph"/>
    <w:basedOn w:val="1"/>
    <w:qFormat/>
    <w:uiPriority w:val="34"/>
    <w:pPr>
      <w:ind w:firstLine="420" w:firstLineChars="200"/>
    </w:pPr>
  </w:style>
  <w:style w:type="paragraph" w:customStyle="1" w:styleId="21">
    <w:name w:val="Char2 Char Char1 Char Char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character" w:customStyle="1" w:styleId="22">
    <w:name w:val="font31"/>
    <w:basedOn w:val="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2DFB3-CFFC-4A5D-80A0-7A08D916A8F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8777</Words>
  <Characters>13298</Characters>
  <Lines>116</Lines>
  <Paragraphs>32</Paragraphs>
  <TotalTime>0</TotalTime>
  <ScaleCrop>false</ScaleCrop>
  <LinksUpToDate>false</LinksUpToDate>
  <CharactersWithSpaces>13653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2022-02-24T01:53:00Z</dcterms:created>
  <dc:creator>微软用户</dc:creator>
  <cp:lastModifiedBy>llp</cp:lastModifiedBy>
  <cp:lastPrinted>2024-02-27T06:06:00Z</cp:lastPrinted>
  <dcterms:modified xsi:type="dcterms:W3CDTF">2025-05-08T03:36:25Z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71BA732FF0424EFCBC9F1166270FEC7C_13</vt:lpwstr>
  </property>
  <property fmtid="{D5CDD505-2E9C-101B-9397-08002B2CF9AE}" pid="4" name="KSOTemplateDocerSaveRecord">
    <vt:lpwstr>eyJoZGlkIjoiNzcyNTIwNWQ0ZjIwYjBkMThjNzNhNDAzMGE5YmNhNTciLCJ1c2VySWQiOiIyODUxNDg3NzIifQ==</vt:lpwstr>
  </property>
</Properties>
</file>