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深圳市古树名木行政处罚裁量权</w:t>
      </w:r>
      <w:r>
        <w:rPr>
          <w:rFonts w:hint="eastAsia"/>
          <w:b/>
          <w:bCs/>
          <w:sz w:val="32"/>
          <w:szCs w:val="32"/>
          <w:lang w:eastAsia="zh-CN"/>
        </w:rPr>
        <w:t>基</w:t>
      </w:r>
      <w:r>
        <w:rPr>
          <w:rFonts w:hint="eastAsia"/>
          <w:b/>
          <w:bCs/>
          <w:sz w:val="32"/>
          <w:szCs w:val="32"/>
        </w:rPr>
        <w:t>准</w:t>
      </w:r>
    </w:p>
    <w:tbl>
      <w:tblPr>
        <w:tblStyle w:val="5"/>
        <w:tblW w:w="15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3"/>
        <w:gridCol w:w="1318"/>
        <w:gridCol w:w="3480"/>
        <w:gridCol w:w="1320"/>
        <w:gridCol w:w="2700"/>
        <w:gridCol w:w="1710"/>
        <w:gridCol w:w="2797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违法行为</w:t>
            </w:r>
          </w:p>
        </w:tc>
        <w:tc>
          <w:tcPr>
            <w:tcW w:w="348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设定依据</w:t>
            </w:r>
          </w:p>
        </w:tc>
        <w:tc>
          <w:tcPr>
            <w:tcW w:w="132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处罚幅度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违法情节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适用对象、条件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处罚标准</w:t>
            </w:r>
          </w:p>
        </w:tc>
        <w:tc>
          <w:tcPr>
            <w:tcW w:w="129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pStyle w:val="7"/>
              <w:spacing w:line="240" w:lineRule="atLeast"/>
              <w:ind w:left="257" w:leftChars="107" w:right="254" w:rightChars="10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在古树名木上刻划、张贴或者悬挂物品</w:t>
            </w:r>
          </w:p>
        </w:tc>
        <w:tc>
          <w:tcPr>
            <w:tcW w:w="3480" w:type="dxa"/>
            <w:vAlign w:val="center"/>
          </w:tcPr>
          <w:p>
            <w:pPr>
              <w:pStyle w:val="7"/>
              <w:spacing w:line="240" w:lineRule="atLeast"/>
              <w:ind w:left="274" w:leftChars="114" w:right="190" w:rightChars="79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《行政处罚法》第三十三条规定，违法行为轻微并及时改正，没有造成危害后果的，不予行政处罚。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spacing w:line="240" w:lineRule="atLeast"/>
              <w:ind w:left="209" w:leftChars="87" w:right="65" w:rightChars="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不予处罚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首次</w:t>
            </w:r>
            <w:r>
              <w:rPr>
                <w:rFonts w:hint="eastAsia"/>
                <w:sz w:val="18"/>
                <w:szCs w:val="18"/>
              </w:rPr>
              <w:t>在古树名木上张贴或者悬挂物品行为</w:t>
            </w:r>
            <w:r>
              <w:rPr>
                <w:rFonts w:hint="eastAsia"/>
                <w:sz w:val="18"/>
                <w:szCs w:val="18"/>
                <w:lang w:eastAsia="zh-CN"/>
              </w:rPr>
              <w:t>，且在责令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期限内改正</w:t>
            </w: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没有造成危害后果。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spacing w:line="240" w:lineRule="atLeast"/>
              <w:ind w:left="343" w:leftChars="143" w:right="192" w:rightChars="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二级古树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三级古树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797" w:type="dxa"/>
            <w:vAlign w:val="center"/>
          </w:tcPr>
          <w:p>
            <w:pPr>
              <w:pStyle w:val="7"/>
              <w:spacing w:line="240" w:lineRule="atLeast"/>
              <w:ind w:left="274" w:leftChars="114" w:right="190" w:rightChars="79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不予处罚。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加强教育，及时复查整改情况、加强行政检查。</w:t>
            </w:r>
          </w:p>
        </w:tc>
        <w:tc>
          <w:tcPr>
            <w:tcW w:w="129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深圳市规划和自然资源局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ind w:left="257" w:leftChars="107" w:right="254" w:rightChars="10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restart"/>
            <w:vAlign w:val="center"/>
          </w:tcPr>
          <w:p>
            <w:pPr>
              <w:pStyle w:val="7"/>
              <w:spacing w:line="240" w:lineRule="atLeast"/>
              <w:ind w:left="274" w:leftChars="114" w:right="190" w:rightChars="79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《深圳经济特区绿化条例》</w:t>
            </w:r>
            <w:r>
              <w:rPr>
                <w:rFonts w:hint="eastAsia"/>
                <w:sz w:val="18"/>
                <w:szCs w:val="18"/>
              </w:rPr>
              <w:t>第七十条，违反本条例第五十四条规定，损害古树名木的，由规划和自然资源部门处三千元以上一万元以下罚款。第五十四条，禁止下列损害古树名木的行为</w:t>
            </w:r>
            <w:r>
              <w:rPr>
                <w:rFonts w:hint="eastAsia"/>
                <w:sz w:val="18"/>
                <w:szCs w:val="18"/>
                <w:lang w:eastAsia="zh-CN"/>
              </w:rPr>
              <w:t>：（一）在古树名木上刻划、张贴或者悬挂物品。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7"/>
              <w:spacing w:line="240" w:lineRule="atLeast"/>
              <w:ind w:left="209" w:leftChars="87" w:right="65" w:rightChars="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处三千元以上五千元以下罚款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在古树名木上张贴或者悬挂物品行为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spacing w:line="240" w:lineRule="atLeast"/>
              <w:ind w:left="343" w:leftChars="143" w:right="192" w:rightChars="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180" w:firstLineChars="100"/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每株处三千元罚款。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7"/>
              <w:spacing w:line="240" w:lineRule="atLeast"/>
              <w:ind w:left="343" w:leftChars="143" w:right="192" w:rightChars="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180" w:firstLineChars="100"/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每株处四千元罚款。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7"/>
              <w:spacing w:line="240" w:lineRule="atLeast"/>
              <w:ind w:left="343" w:leftChars="143" w:right="192" w:rightChars="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180" w:firstLineChars="100"/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每株处五千元罚款。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在古树名木上刻划行为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spacing w:line="240" w:lineRule="atLeast"/>
              <w:ind w:left="343" w:leftChars="143" w:right="192" w:rightChars="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180" w:firstLineChars="100"/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每株处三千元罚款。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7"/>
              <w:spacing w:line="240" w:lineRule="atLeast"/>
              <w:ind w:left="343" w:leftChars="143" w:right="192" w:rightChars="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180" w:firstLineChars="100"/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每株处四千元罚款。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7"/>
              <w:spacing w:line="240" w:lineRule="atLeast"/>
              <w:ind w:left="343" w:leftChars="143" w:right="192" w:rightChars="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180" w:firstLineChars="100"/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每株处五千元罚款。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88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firstLine="180" w:firstLineChars="100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2</w:t>
            </w:r>
          </w:p>
        </w:tc>
        <w:tc>
          <w:tcPr>
            <w:tcW w:w="1318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Segoe UI" w:hAnsi="Segoe UI" w:cs="Segoe UI"/>
                <w:b/>
                <w:bCs/>
                <w:color w:val="222222"/>
                <w:sz w:val="18"/>
                <w:szCs w:val="18"/>
              </w:rPr>
              <w:t>对古树名木攀树、折枝、截干、挖根、剥皮等</w:t>
            </w:r>
          </w:p>
        </w:tc>
        <w:tc>
          <w:tcPr>
            <w:tcW w:w="348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《行政处罚法》第三十三条规定，违法行为轻微并及时改正，没有造成危害后果的，不予行政处罚。</w:t>
            </w:r>
          </w:p>
        </w:tc>
        <w:tc>
          <w:tcPr>
            <w:tcW w:w="132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不予处罚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首次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对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古树名木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攀树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行为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且在责令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期限内改正</w:t>
            </w: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没有造成危害后果。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right="127" w:rightChars="53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一级古树、名木、二级古树、三级古树。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right="127" w:rightChars="53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不予处罚。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加强教育，及时复查整改情况、加强行政检查。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firstLine="180" w:firstLineChars="100"/>
              <w:rPr>
                <w:rFonts w:hint="eastAsia"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348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深圳经济特区绿化条例》第七十条，违反本条例第五十四条规定，损害古树名木的，由规划和自然资源部门处三千元以上一万元以下罚款。第五十四条，禁止下列损害古树名木的行为：（二）攀树、折枝、截干、挖根、剥皮等。</w:t>
            </w:r>
          </w:p>
        </w:tc>
        <w:tc>
          <w:tcPr>
            <w:tcW w:w="132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处三千元以上</w:t>
            </w:r>
            <w:r>
              <w:rPr>
                <w:rFonts w:hint="eastAsia"/>
                <w:sz w:val="18"/>
                <w:szCs w:val="18"/>
                <w:lang w:eastAsia="zh-CN"/>
              </w:rPr>
              <w:t>一万</w:t>
            </w:r>
            <w:r>
              <w:rPr>
                <w:rFonts w:hint="eastAsia"/>
                <w:sz w:val="18"/>
                <w:szCs w:val="18"/>
              </w:rPr>
              <w:t>元以下罚款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对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古树名木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攀树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行为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 w:ascii="Segoe UI" w:hAnsi="Segoe UI" w:eastAsia="宋体" w:cs="Segoe UI"/>
                <w:color w:val="222222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每株处三千元罚款。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每株处四千元罚款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每株处五千元罚款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对古树名木</w:t>
            </w: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折枝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行为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每株处五千元罚款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222222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每株处六千元罚款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222222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每株处八千元罚款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="Segoe UI" w:hAnsi="Segoe UI" w:eastAsia="宋体" w:cs="Segoe UI"/>
                <w:color w:val="222222"/>
                <w:sz w:val="18"/>
                <w:szCs w:val="18"/>
                <w:lang w:eastAsia="zh-CN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对古树名木</w:t>
            </w: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截干、挖根、剥皮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行为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每株处八千元罚款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222222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每株处九千元罚款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每株处一万元罚款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8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bookmarkStart w:id="0" w:name="_Hlk179885699"/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3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pStyle w:val="7"/>
              <w:spacing w:line="240" w:lineRule="atLeast"/>
              <w:ind w:left="257" w:leftChars="107" w:right="254" w:rightChars="106"/>
              <w:rPr>
                <w:rFonts w:hint="eastAsia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  <w:t>在古树名木控制保护范围内堆放物料、取土、兴建临时建筑物、构筑物及倾倒污水、垃圾等</w:t>
            </w:r>
          </w:p>
        </w:tc>
        <w:tc>
          <w:tcPr>
            <w:tcW w:w="3480" w:type="dxa"/>
            <w:vAlign w:val="center"/>
          </w:tcPr>
          <w:p>
            <w:pPr>
              <w:pStyle w:val="7"/>
              <w:spacing w:line="240" w:lineRule="atLeast"/>
              <w:ind w:left="274" w:leftChars="114" w:right="190" w:rightChars="7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《行政处罚法》第三十三条规定，违法行为轻微并及时改正，没有造成危害后果的，不予行政处罚。</w:t>
            </w:r>
          </w:p>
          <w:bookmarkEnd w:id="0"/>
        </w:tc>
        <w:tc>
          <w:tcPr>
            <w:tcW w:w="1320" w:type="dxa"/>
            <w:vAlign w:val="center"/>
          </w:tcPr>
          <w:p>
            <w:pPr>
              <w:pStyle w:val="7"/>
              <w:spacing w:line="240" w:lineRule="atLeast"/>
              <w:ind w:left="209" w:leftChars="87" w:right="65" w:rightChars="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不予处罚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首次</w:t>
            </w: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在古树名木控制保护范围内堆放物料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且在责令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期限内改正</w:t>
            </w: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没有造成危害后果。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二级古树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三级古树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不予处罚。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加强教育，及时复查整改情况、加强行政检查。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ind w:left="257" w:leftChars="107" w:right="254" w:rightChars="106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3480" w:type="dxa"/>
            <w:vMerge w:val="restart"/>
            <w:vAlign w:val="center"/>
          </w:tcPr>
          <w:p>
            <w:pPr>
              <w:pStyle w:val="7"/>
              <w:spacing w:line="240" w:lineRule="atLeast"/>
              <w:ind w:left="274" w:leftChars="114" w:right="190" w:right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《深圳经济特区绿化条例》</w:t>
            </w:r>
            <w:r>
              <w:rPr>
                <w:rFonts w:hint="eastAsia"/>
                <w:sz w:val="18"/>
                <w:szCs w:val="18"/>
              </w:rPr>
              <w:t>第七十条，违反本条例第五十四条规定，损害古树名木的，由规划和自然资源部门处三千元以上一万元以下罚款。第五十四条，禁止下列损害古树名木的行为</w:t>
            </w:r>
            <w:r>
              <w:rPr>
                <w:rFonts w:hint="eastAsia"/>
                <w:sz w:val="18"/>
                <w:szCs w:val="18"/>
                <w:lang w:eastAsia="zh-CN"/>
              </w:rPr>
              <w:t>：（三）</w:t>
            </w:r>
            <w:r>
              <w:rPr>
                <w:rFonts w:ascii="Segoe UI" w:hAnsi="Segoe UI" w:cs="Segoe UI"/>
                <w:b w:val="0"/>
                <w:bCs w:val="0"/>
                <w:color w:val="222222"/>
                <w:sz w:val="18"/>
                <w:szCs w:val="18"/>
              </w:rPr>
              <w:t>在古树名木控制保护范围内堆放物料、取土、兴建临时建筑物、构筑物及倾倒污水、垃圾等</w:t>
            </w:r>
            <w:r>
              <w:rPr>
                <w:rFonts w:hint="eastAsia" w:ascii="Segoe UI" w:hAnsi="Segoe UI" w:cs="Segoe UI"/>
                <w:b w:val="0"/>
                <w:bCs w:val="0"/>
                <w:color w:val="22222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7"/>
              <w:spacing w:line="240" w:lineRule="atLeast"/>
              <w:ind w:left="209" w:leftChars="87" w:right="65" w:rightChars="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处三千元以上一万元以下罚款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在古树名木控制保护范围内堆放物料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每株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每株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每株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在古树名木控制保护范围内倾倒污水、垃圾等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每株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每株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每株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在古树名木控制保护范围内取土、兴建临时建筑物、构筑物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九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一万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4</w:t>
            </w:r>
          </w:p>
        </w:tc>
        <w:tc>
          <w:tcPr>
            <w:tcW w:w="1318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  <w:t>擅自修剪古树名木</w:t>
            </w:r>
          </w:p>
        </w:tc>
        <w:tc>
          <w:tcPr>
            <w:tcW w:w="348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《深圳经济特区绿化条例》</w:t>
            </w:r>
            <w:r>
              <w:rPr>
                <w:rFonts w:hint="eastAsia"/>
                <w:sz w:val="18"/>
                <w:szCs w:val="18"/>
              </w:rPr>
              <w:t>第七十条，违反本条例第五十四条规定，损害古树名木的，由规划和自然资源部门处三千元以上一万元以下罚款。第五十四条，禁止下列损害古树名木的行为</w:t>
            </w:r>
            <w:r>
              <w:rPr>
                <w:rFonts w:hint="eastAsia"/>
                <w:sz w:val="18"/>
                <w:szCs w:val="18"/>
                <w:lang w:eastAsia="zh-CN"/>
              </w:rPr>
              <w:t>：（四）擅自修剪古树名木。</w:t>
            </w:r>
          </w:p>
        </w:tc>
        <w:tc>
          <w:tcPr>
            <w:tcW w:w="132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</w:t>
            </w:r>
            <w:r>
              <w:rPr>
                <w:rFonts w:hint="eastAsia"/>
                <w:sz w:val="18"/>
                <w:szCs w:val="18"/>
                <w:lang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千元以上一万元以下罚款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="Segoe UI" w:hAnsi="Segoe UI" w:eastAsia="宋体" w:cs="Segoe UI"/>
                <w:color w:val="222222"/>
                <w:sz w:val="18"/>
                <w:szCs w:val="18"/>
                <w:lang w:eastAsia="zh-CN"/>
              </w:rPr>
            </w:pPr>
            <w:r>
              <w:rPr>
                <w:rFonts w:ascii="Segoe UI" w:hAnsi="Segoe UI" w:cs="Segoe UI"/>
                <w:color w:val="222222"/>
                <w:sz w:val="18"/>
                <w:szCs w:val="18"/>
              </w:rPr>
              <w:t>擅自修剪古树名木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bookmarkStart w:id="1" w:name="_Hlk179884137"/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九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一万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57" w:hRule="atLeast"/>
          <w:jc w:val="center"/>
        </w:trPr>
        <w:tc>
          <w:tcPr>
            <w:tcW w:w="88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8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  <w:r>
              <w:rPr>
                <w:rFonts w:hint="eastAsia" w:ascii="Segoe UI" w:hAnsi="Segoe UI" w:cs="Segoe UI"/>
                <w:b/>
                <w:bCs/>
                <w:color w:val="222222"/>
                <w:sz w:val="18"/>
                <w:szCs w:val="18"/>
              </w:rPr>
              <w:t>其他损害古树名木的行为</w:t>
            </w:r>
          </w:p>
        </w:tc>
        <w:tc>
          <w:tcPr>
            <w:tcW w:w="348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《行政处罚法》第三十三条规定，违法行为轻微并及时改正，没有造成危害后果的，不予行政处罚。</w:t>
            </w:r>
          </w:p>
        </w:tc>
        <w:tc>
          <w:tcPr>
            <w:tcW w:w="132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不予处罚</w:t>
            </w:r>
          </w:p>
        </w:tc>
        <w:tc>
          <w:tcPr>
            <w:tcW w:w="2700" w:type="dxa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="Segoe UI" w:hAnsi="Segoe UI" w:eastAsia="宋体" w:cs="Segoe UI"/>
                <w:color w:val="222222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首次</w:t>
            </w:r>
            <w:r>
              <w:rPr>
                <w:rFonts w:hint="eastAsia"/>
                <w:sz w:val="18"/>
                <w:szCs w:val="18"/>
              </w:rPr>
              <w:t>擅自移动</w:t>
            </w:r>
            <w:r>
              <w:rPr>
                <w:rFonts w:hint="eastAsia"/>
                <w:sz w:val="18"/>
                <w:szCs w:val="18"/>
                <w:lang w:eastAsia="zh-CN"/>
              </w:rPr>
              <w:t>、毁坏</w:t>
            </w:r>
            <w:r>
              <w:rPr>
                <w:rFonts w:hint="eastAsia"/>
                <w:sz w:val="18"/>
                <w:szCs w:val="18"/>
              </w:rPr>
              <w:t>古树名木</w:t>
            </w:r>
            <w:r>
              <w:rPr>
                <w:rFonts w:hint="eastAsia"/>
                <w:sz w:val="18"/>
                <w:szCs w:val="18"/>
                <w:lang w:eastAsia="zh-CN"/>
              </w:rPr>
              <w:t>的保护标志、</w:t>
            </w:r>
            <w:r>
              <w:rPr>
                <w:rFonts w:hint="eastAsia"/>
                <w:sz w:val="18"/>
                <w:szCs w:val="18"/>
              </w:rPr>
              <w:t>保护设施</w:t>
            </w:r>
            <w:r>
              <w:rPr>
                <w:rFonts w:hint="eastAsia"/>
                <w:sz w:val="18"/>
                <w:szCs w:val="18"/>
                <w:lang w:eastAsia="zh-CN"/>
              </w:rPr>
              <w:t>，或</w:t>
            </w:r>
            <w:r>
              <w:rPr>
                <w:rFonts w:hint="eastAsia" w:ascii="Segoe UI" w:hAnsi="Segoe UI" w:eastAsia="宋体" w:cs="Segoe UI"/>
                <w:color w:val="222222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在古树名木上缠绕其他物品</w:t>
            </w:r>
            <w:r>
              <w:rPr>
                <w:rFonts w:hint="eastAsia" w:ascii="Segoe UI" w:hAnsi="Segoe UI" w:cs="Segoe UI"/>
                <w:color w:val="222222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且在责令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期限内改正</w:t>
            </w: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没有造成危害后果。</w:t>
            </w:r>
          </w:p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二级古树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三级古树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</w:p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不予处罚。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加强教育，及时复查整改情况、加强行政检查。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 w:ascii="Segoe UI" w:hAnsi="Segoe UI" w:cs="Segoe UI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348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《深圳经济特区绿化条例》</w:t>
            </w:r>
            <w:r>
              <w:rPr>
                <w:rFonts w:hint="eastAsia"/>
                <w:sz w:val="18"/>
                <w:szCs w:val="18"/>
              </w:rPr>
              <w:t>第七十条，违反本条例第五十四条规定，损害古树名木的，由规划和自然资源部门处三千元以上一万元以下罚款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第五十四条，禁止下列损害古树名木的行为</w:t>
            </w:r>
            <w:r>
              <w:rPr>
                <w:rFonts w:hint="eastAsia"/>
                <w:sz w:val="18"/>
                <w:szCs w:val="18"/>
                <w:lang w:eastAsia="zh-CN"/>
              </w:rPr>
              <w:t>：（五）其他损害古树名木的行为。《广东省森林保护管理条例》第五十二条：任何单位和个人不得擅自移动、毁坏古树名木的保护标志和保护设施；第五十八条，禁止实施下列损害古树名木及其生长环境的行为：（三）借用树干做支撑物，在树上悬挂或者缠绕影响古树名木正常生长的其他物品；（四）敲钉；（五）擅自采摘花果叶；（六）向古树名木灌注有毒有害物质；（七）在古树名木保护范围内淹渍或者封死地面、排放烟气等破坏古树名木生长环境的行为；（八）法律法规禁止实施的其他行为。</w:t>
            </w:r>
          </w:p>
        </w:tc>
        <w:tc>
          <w:tcPr>
            <w:tcW w:w="132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处三千元以上一万元以下罚款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="Segoe UI" w:hAnsi="Segoe UI" w:eastAsia="宋体" w:cs="Segoe UI"/>
                <w:color w:val="222222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  <w:sz w:val="18"/>
                <w:szCs w:val="18"/>
              </w:rPr>
              <w:t>擅自移动</w:t>
            </w:r>
            <w:r>
              <w:rPr>
                <w:rFonts w:hint="eastAsia"/>
                <w:sz w:val="18"/>
                <w:szCs w:val="18"/>
                <w:lang w:eastAsia="zh-CN"/>
              </w:rPr>
              <w:t>、毁坏</w:t>
            </w:r>
            <w:r>
              <w:rPr>
                <w:rFonts w:hint="eastAsia"/>
                <w:sz w:val="18"/>
                <w:szCs w:val="18"/>
              </w:rPr>
              <w:t>古树名木</w:t>
            </w:r>
            <w:r>
              <w:rPr>
                <w:rFonts w:hint="eastAsia"/>
                <w:sz w:val="18"/>
                <w:szCs w:val="18"/>
                <w:lang w:eastAsia="zh-CN"/>
              </w:rPr>
              <w:t>的保护标志、</w:t>
            </w:r>
            <w:r>
              <w:rPr>
                <w:rFonts w:hint="eastAsia"/>
                <w:sz w:val="18"/>
                <w:szCs w:val="18"/>
              </w:rPr>
              <w:t>保护设施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Segoe UI" w:hAnsi="Segoe UI" w:eastAsia="宋体" w:cs="Segoe UI"/>
                <w:color w:val="222222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在古树名木上缠绕其他物品。</w:t>
            </w:r>
          </w:p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千元罚款</w:t>
            </w: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每株处四千元罚款。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一级古树、名木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每株处五千元罚款。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Fonts w:hint="eastAsia" w:ascii="Segoe UI" w:hAnsi="Segoe UI" w:eastAsia="宋体" w:cs="Segoe UI"/>
                <w:color w:val="222222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敲钉；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擅自采摘花果叶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每株处三千元罚款。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每株处四千元罚款。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每株处五千元罚款。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="Segoe UI" w:hAnsi="Segoe UI" w:eastAsia="宋体" w:cs="Segoe UI"/>
                <w:color w:val="222222"/>
                <w:sz w:val="18"/>
                <w:szCs w:val="18"/>
                <w:lang w:eastAsia="zh-CN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向古树名木灌注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有毒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有害物质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lang w:eastAsia="zh-CN"/>
              </w:rPr>
              <w:t>在古树名木保护范围内淹渍或者封死地面、排放烟气等破坏古树名木生长环境的行为。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每株处五千元罚款。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每株处六千元罚款。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每株处八千元罚款。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="Segoe UI" w:hAnsi="Segoe UI" w:eastAsia="宋体" w:cs="Segoe UI"/>
                <w:color w:val="222222"/>
                <w:sz w:val="18"/>
                <w:szCs w:val="18"/>
                <w:lang w:eastAsia="zh-CN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建设项目涉及古树名木，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未制订保护方案或保护方案未通过主管部门审核，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擅自施工的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未按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经主管部门批准的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保护方案实施的</w:t>
            </w:r>
            <w:r>
              <w:rPr>
                <w:rFonts w:hint="eastAsia" w:ascii="Segoe UI" w:hAnsi="Segoe UI" w:cs="Segoe UI"/>
                <w:color w:val="22222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left="7" w:leftChars="3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每株处八千元罚款。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top"/>
          </w:tcPr>
          <w:p>
            <w:pPr>
              <w:ind w:firstLine="360" w:firstLineChars="20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left="7" w:leftChars="3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每株处九千元罚款。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top"/>
          </w:tcPr>
          <w:p>
            <w:pPr>
              <w:ind w:firstLine="360" w:firstLineChars="200"/>
              <w:rPr>
                <w:rFonts w:ascii="Segoe UI" w:hAnsi="Segoe UI" w:cs="Segoe UI"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left="7" w:leftChars="3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每株处一万元罚款。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18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Segoe UI" w:hAnsi="Segoe UI" w:cs="Segoe UI"/>
                <w:b/>
                <w:bCs/>
                <w:color w:val="222222"/>
                <w:sz w:val="18"/>
                <w:szCs w:val="18"/>
              </w:rPr>
              <w:t>擅自迁移古树名木</w:t>
            </w:r>
          </w:p>
        </w:tc>
        <w:tc>
          <w:tcPr>
            <w:tcW w:w="348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《深圳经济特区绿化条例》</w:t>
            </w:r>
            <w:r>
              <w:rPr>
                <w:rFonts w:hint="eastAsia"/>
                <w:sz w:val="18"/>
                <w:szCs w:val="18"/>
              </w:rPr>
              <w:t>第五十五条，任何组织和个人不得擅自迁移、砍伐古树名木；第七十一条，违反本条例第五十五条规定，擅自迁移古树名木的，按照每株十万元以上二十万元以下的标准处以罚款。</w:t>
            </w:r>
          </w:p>
        </w:tc>
        <w:tc>
          <w:tcPr>
            <w:tcW w:w="132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处十万元以上二十万元以下的罚款 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擅自迁移古树名木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每株处十万元罚款。</w:t>
            </w:r>
          </w:p>
        </w:tc>
        <w:tc>
          <w:tcPr>
            <w:tcW w:w="129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每株处十五万元罚款。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18"/>
                <w:szCs w:val="18"/>
              </w:rPr>
              <w:t>每株处二十万元罚款。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18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Segoe UI" w:hAnsi="Segoe UI" w:cs="Segoe UI"/>
                <w:b/>
                <w:bCs/>
                <w:color w:val="222222"/>
                <w:sz w:val="18"/>
                <w:szCs w:val="18"/>
              </w:rPr>
              <w:t>擅自迁移致古树名木死亡、擅自砍伐古树名木</w:t>
            </w:r>
          </w:p>
        </w:tc>
        <w:tc>
          <w:tcPr>
            <w:tcW w:w="348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《深圳经济特区绿化条例》</w:t>
            </w:r>
            <w:r>
              <w:rPr>
                <w:rFonts w:hint="eastAsia"/>
                <w:sz w:val="18"/>
                <w:szCs w:val="18"/>
              </w:rPr>
              <w:t>第五十五条，任何组织和个人不得擅自迁移、砍伐古树名木；第七十一条，违反本条例第五十五条规定，擅自迁移致古树名木死亡或者擅自砍伐古树名木的，按照每株三十万元以上五十万元以下的标准处以罚款。</w:t>
            </w:r>
          </w:p>
        </w:tc>
        <w:tc>
          <w:tcPr>
            <w:tcW w:w="1320" w:type="dxa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处三十万元以上五十万元以下的罚款</w:t>
            </w:r>
            <w:bookmarkStart w:id="2" w:name="_GoBack"/>
            <w:bookmarkEnd w:id="2"/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Segoe UI" w:hAnsi="Segoe UI" w:cs="Segoe UI"/>
                <w:color w:val="222222"/>
                <w:sz w:val="18"/>
                <w:szCs w:val="18"/>
              </w:rPr>
              <w:t>擅自迁移致古树名木死亡、擅自砍伐古树名木</w:t>
            </w: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每株处三十万元罚款。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二级古树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每株处四十万元罚款。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</w:p>
        </w:tc>
        <w:tc>
          <w:tcPr>
            <w:tcW w:w="171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一级古树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名木</w:t>
            </w:r>
          </w:p>
        </w:tc>
        <w:tc>
          <w:tcPr>
            <w:tcW w:w="279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每株处五十万元罚款。</w:t>
            </w:r>
          </w:p>
        </w:tc>
        <w:tc>
          <w:tcPr>
            <w:tcW w:w="1293" w:type="dxa"/>
            <w:vMerge w:val="continue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5501" w:type="dxa"/>
            <w:gridSpan w:val="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pStyle w:val="7"/>
              <w:spacing w:line="240" w:lineRule="atLeast"/>
              <w:ind w:left="192" w:leftChars="80" w:right="192" w:rightChars="80"/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备注：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tLeast"/>
              <w:ind w:left="192" w:leftChars="80" w:right="192" w:rightChars="80" w:firstLine="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本表职权所依据的适用法律、法规、规章以及相关文件的具体全称、条款及其内容，皆以国家、省、市正式公布的为准。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tLeast"/>
              <w:ind w:left="192" w:leftChars="80" w:right="192" w:rightChars="80" w:firstLine="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若针对同一违法行为，深圳经济特区法规有变通规定的情况，则适用特区法规的相应规定。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tLeast"/>
              <w:ind w:left="192" w:leftChars="80" w:right="192" w:rightChars="80" w:firstLine="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当事人的违法行为同时契合两个及以上程度的违法情节时，以较重的情节来明确违法程度。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tLeast"/>
              <w:ind w:left="192" w:leftChars="80" w:right="192" w:rightChars="80" w:firstLine="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以上违法行为导致古树名木死亡的，以本标准第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条处罚标准执行。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tLeast"/>
              <w:ind w:left="192" w:leftChars="80" w:right="192" w:rightChars="80" w:firstLine="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有下列情形之一的，不予行政处罚：</w:t>
            </w:r>
          </w:p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（1）违法行为轻微并及时纠正，没有造成危害后果的；（2）违法行为人不满14周岁的；（3）除法律另有规定外，违法行为在2年内未被发现的；（4）法律、法规、规章规定不予处罚的其他情形。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tLeast"/>
              <w:ind w:left="192" w:leftChars="80" w:right="192" w:rightChars="80" w:firstLine="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存在下列情形之一的，应当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按处罚幅度从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轻处罚：</w:t>
            </w:r>
          </w:p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（1）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年龄已满 14 周岁但不满 18 周岁的未成年人实施了违法行为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；（2）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主动采取措施消除或者减轻违法行为所带来的危害后果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；（3）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受到他人胁迫或者诱骗从而实施违法行为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；（4）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主动向行政机关供述其尚未掌握的违法行为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；（5）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在配合综合执法机关查处违法行为的过程中有立功表现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；（6）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法律、法规、规章明确规定应当从轻或者减轻处罚的其他情形。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tLeast"/>
              <w:ind w:left="192" w:leftChars="80" w:right="192" w:rightChars="80" w:firstLine="0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具有下列情形之一的，可以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按处罚幅度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从重处罚：</w:t>
            </w:r>
          </w:p>
          <w:p>
            <w:pPr>
              <w:pStyle w:val="7"/>
              <w:spacing w:line="240" w:lineRule="atLeast"/>
              <w:ind w:left="192" w:leftChars="80" w:right="192" w:rightChars="8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（1）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扰乱公共秩序，妨害公共安全，侵犯人身权利、财产权利，妨害社会管理，且情节严重，但尚未构成犯罪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；（2）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经行政处罚实施机关及其执法人员责令停止、责令纠正违法行为后，仍继续实施该违法行为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；（3）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对违法行为证据进行隐匿、销毁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；（4）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在共同违法行为中起到主要作用或者教唆、胁迫、诱骗他人实施违法行为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；（5）1年内发生3次或者3次以上相同违法行为的；（6）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对举报人、证人进行打击报复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；（7）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妨碍执法人员对违法行为进行查处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；（8）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法律、法规、规章规定应当从重处罚的其他情形。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680" w:right="851" w:bottom="680" w:left="851" w:header="454" w:footer="51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B3D1E"/>
    <w:multiLevelType w:val="multilevel"/>
    <w:tmpl w:val="2A4B3D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E424D"/>
    <w:rsid w:val="2BFD67B4"/>
    <w:rsid w:val="3537D2BA"/>
    <w:rsid w:val="363F4AEE"/>
    <w:rsid w:val="5F771770"/>
    <w:rsid w:val="5F7F0D1D"/>
    <w:rsid w:val="5F8FD52D"/>
    <w:rsid w:val="6CD667DB"/>
    <w:rsid w:val="76F7F1AB"/>
    <w:rsid w:val="7FC5DCC4"/>
    <w:rsid w:val="7FDF954C"/>
    <w:rsid w:val="7FF5BBA2"/>
    <w:rsid w:val="7FF7130A"/>
    <w:rsid w:val="97F22C9E"/>
    <w:rsid w:val="9ACF0154"/>
    <w:rsid w:val="A15B4B8F"/>
    <w:rsid w:val="CFFF8BD4"/>
    <w:rsid w:val="DEF7B924"/>
    <w:rsid w:val="DFF795A2"/>
    <w:rsid w:val="E477218A"/>
    <w:rsid w:val="F1BDCE17"/>
    <w:rsid w:val="F5F37C76"/>
    <w:rsid w:val="F6D5D975"/>
    <w:rsid w:val="F9BE424D"/>
    <w:rsid w:val="FD9B9052"/>
    <w:rsid w:val="FDF5FA4B"/>
    <w:rsid w:val="FFD3D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1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2025-01-04T03:16:00Z</dcterms:created>
  <dc:creator>qilin</dc:creator>
  <cp:lastModifiedBy>qilin</cp:lastModifiedBy>
  <dcterms:modified xsi:type="dcterms:W3CDTF">2025-01-08T16:31:30Z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EBA430A1AAED55D014057667AA3B469E</vt:lpwstr>
  </property>
</Properties>
</file>