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227CA">
      <w:pPr>
        <w:widowControl/>
        <w:jc w:val="center"/>
        <w:rPr>
          <w:rFonts w:ascii="宋体" w:hAnsi="宋体" w:cs="Arial"/>
          <w:b/>
          <w:bCs/>
          <w:sz w:val="44"/>
          <w:szCs w:val="44"/>
        </w:rPr>
      </w:pPr>
      <w:r>
        <w:rPr>
          <w:rFonts w:hint="eastAsia" w:ascii="宋体" w:hAnsi="宋体" w:cs="Arial"/>
          <w:b/>
          <w:bCs/>
          <w:sz w:val="44"/>
          <w:szCs w:val="44"/>
          <w:lang w:val="en-US" w:eastAsia="zh-CN"/>
        </w:rPr>
        <w:t>2025年南山区建筑施工安全教育和小散工程安全培训</w:t>
      </w:r>
      <w:r>
        <w:rPr>
          <w:rFonts w:hint="eastAsia" w:ascii="宋体" w:hAnsi="宋体" w:cs="Arial"/>
          <w:b/>
          <w:bCs/>
          <w:sz w:val="44"/>
          <w:szCs w:val="44"/>
        </w:rPr>
        <w:t>工作</w:t>
      </w:r>
    </w:p>
    <w:p w14:paraId="32447BC1">
      <w:pPr>
        <w:widowControl/>
        <w:jc w:val="center"/>
        <w:rPr>
          <w:rFonts w:ascii="宋体" w:hAnsi="宋体" w:cs="Arial"/>
          <w:b/>
          <w:bCs/>
          <w:sz w:val="44"/>
          <w:szCs w:val="44"/>
        </w:rPr>
      </w:pPr>
    </w:p>
    <w:p w14:paraId="35631304">
      <w:pPr>
        <w:widowControl/>
        <w:jc w:val="center"/>
        <w:rPr>
          <w:rFonts w:ascii="宋体" w:hAnsi="宋体" w:cs="Arial"/>
          <w:b/>
          <w:bCs/>
          <w:sz w:val="44"/>
          <w:szCs w:val="44"/>
        </w:rPr>
      </w:pPr>
    </w:p>
    <w:p w14:paraId="4DE3A8B0">
      <w:pPr>
        <w:spacing w:before="156" w:beforeLines="50" w:after="156" w:afterLines="50" w:line="360" w:lineRule="auto"/>
        <w:jc w:val="center"/>
        <w:rPr>
          <w:rFonts w:ascii="黑体" w:hAnsi="宋体" w:eastAsia="黑体"/>
          <w:b/>
          <w:bCs/>
          <w:sz w:val="72"/>
          <w:szCs w:val="72"/>
        </w:rPr>
      </w:pPr>
      <w:r>
        <w:rPr>
          <w:rFonts w:hint="eastAsia" w:ascii="黑体" w:hAnsi="黑体" w:eastAsia="黑体"/>
          <w:b/>
          <w:bCs/>
          <w:sz w:val="72"/>
          <w:szCs w:val="72"/>
        </w:rPr>
        <w:t>招</w:t>
      </w:r>
    </w:p>
    <w:p w14:paraId="323B66CD">
      <w:pPr>
        <w:spacing w:before="156" w:beforeLines="50" w:after="156" w:afterLines="50" w:line="360" w:lineRule="auto"/>
        <w:jc w:val="center"/>
        <w:rPr>
          <w:rFonts w:ascii="黑体" w:hAnsi="宋体" w:eastAsia="黑体"/>
          <w:b/>
          <w:bCs/>
          <w:sz w:val="72"/>
          <w:szCs w:val="72"/>
        </w:rPr>
      </w:pPr>
    </w:p>
    <w:p w14:paraId="0C021398">
      <w:pPr>
        <w:spacing w:before="156" w:beforeLines="50" w:after="156" w:afterLines="50" w:line="360" w:lineRule="auto"/>
        <w:jc w:val="center"/>
        <w:rPr>
          <w:rFonts w:ascii="黑体" w:hAnsi="宋体" w:eastAsia="黑体"/>
          <w:b/>
          <w:bCs/>
          <w:sz w:val="72"/>
          <w:szCs w:val="72"/>
        </w:rPr>
      </w:pPr>
      <w:r>
        <w:rPr>
          <w:rFonts w:hint="eastAsia" w:ascii="黑体" w:hAnsi="黑体" w:eastAsia="黑体"/>
          <w:b/>
          <w:bCs/>
          <w:sz w:val="72"/>
          <w:szCs w:val="72"/>
        </w:rPr>
        <w:t>标</w:t>
      </w:r>
    </w:p>
    <w:p w14:paraId="5304E19C">
      <w:pPr>
        <w:spacing w:before="156" w:beforeLines="50" w:after="156" w:afterLines="50" w:line="360" w:lineRule="auto"/>
        <w:jc w:val="center"/>
        <w:rPr>
          <w:rFonts w:ascii="黑体" w:hAnsi="宋体" w:eastAsia="黑体"/>
          <w:b/>
          <w:bCs/>
          <w:sz w:val="48"/>
          <w:szCs w:val="48"/>
        </w:rPr>
      </w:pPr>
    </w:p>
    <w:p w14:paraId="2CEF5B37">
      <w:pPr>
        <w:spacing w:before="156" w:beforeLines="50" w:after="156" w:afterLines="50" w:line="360" w:lineRule="auto"/>
        <w:jc w:val="center"/>
        <w:rPr>
          <w:rFonts w:ascii="黑体" w:hAnsi="宋体" w:eastAsia="黑体"/>
          <w:b/>
          <w:bCs/>
          <w:sz w:val="72"/>
          <w:szCs w:val="72"/>
        </w:rPr>
      </w:pPr>
      <w:r>
        <w:rPr>
          <w:rFonts w:hint="eastAsia" w:ascii="黑体" w:hAnsi="黑体" w:eastAsia="黑体"/>
          <w:b/>
          <w:bCs/>
          <w:sz w:val="72"/>
          <w:szCs w:val="72"/>
        </w:rPr>
        <w:t>书</w:t>
      </w:r>
    </w:p>
    <w:p w14:paraId="0E6BC5B4">
      <w:pPr>
        <w:spacing w:line="360" w:lineRule="auto"/>
        <w:ind w:left="420" w:leftChars="200"/>
        <w:jc w:val="center"/>
        <w:rPr>
          <w:rFonts w:ascii="宋体" w:hAnsi="宋体"/>
          <w:sz w:val="44"/>
          <w:szCs w:val="44"/>
        </w:rPr>
      </w:pPr>
    </w:p>
    <w:p w14:paraId="4BB88A0A">
      <w:pPr>
        <w:spacing w:line="360" w:lineRule="auto"/>
        <w:ind w:left="420" w:leftChars="200"/>
        <w:jc w:val="center"/>
        <w:rPr>
          <w:rFonts w:ascii="方正小标宋简体" w:hAnsi="宋体" w:cs="Arial"/>
          <w:sz w:val="48"/>
          <w:szCs w:val="48"/>
        </w:rPr>
      </w:pPr>
    </w:p>
    <w:p w14:paraId="00A59ADD">
      <w:pPr>
        <w:spacing w:line="600" w:lineRule="exact"/>
        <w:jc w:val="center"/>
        <w:rPr>
          <w:rFonts w:ascii="宋体" w:hAnsi="宋体"/>
          <w:b/>
          <w:bCs/>
          <w:sz w:val="32"/>
          <w:szCs w:val="32"/>
        </w:rPr>
      </w:pPr>
      <w:r>
        <w:rPr>
          <w:rFonts w:hint="eastAsia" w:ascii="宋体" w:hAnsi="宋体"/>
          <w:b/>
          <w:bCs/>
          <w:sz w:val="32"/>
          <w:szCs w:val="32"/>
        </w:rPr>
        <w:t>深圳市南山区住房和建设局</w:t>
      </w:r>
    </w:p>
    <w:p w14:paraId="438771F4">
      <w:pPr>
        <w:spacing w:line="600" w:lineRule="exact"/>
        <w:jc w:val="center"/>
      </w:pPr>
      <w:r>
        <w:rPr>
          <w:rFonts w:hint="eastAsia" w:ascii="宋体" w:hAnsi="宋体"/>
          <w:b/>
          <w:bCs/>
          <w:sz w:val="32"/>
          <w:szCs w:val="32"/>
        </w:rPr>
        <w:t>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14:paraId="26EF898C">
      <w:pPr>
        <w:widowControl/>
        <w:jc w:val="left"/>
        <w:rPr>
          <w:rFonts w:ascii="宋体" w:hAnsi="宋体" w:cs="宋体"/>
          <w:b/>
          <w:bCs/>
          <w:sz w:val="44"/>
          <w:szCs w:val="44"/>
        </w:rPr>
      </w:pPr>
    </w:p>
    <w:p w14:paraId="68AC3F3F">
      <w:pPr>
        <w:rPr>
          <w:rFonts w:ascii="宋体" w:hAnsi="宋体" w:cs="宋体"/>
          <w:b/>
          <w:bCs/>
          <w:sz w:val="44"/>
          <w:szCs w:val="44"/>
        </w:rPr>
      </w:pPr>
      <w:r>
        <w:rPr>
          <w:rFonts w:ascii="宋体" w:hAnsi="宋体" w:cs="宋体"/>
          <w:b/>
          <w:bCs/>
          <w:sz w:val="44"/>
          <w:szCs w:val="44"/>
        </w:rPr>
        <w:br w:type="page"/>
      </w:r>
    </w:p>
    <w:p w14:paraId="37AD0F0A">
      <w:pPr>
        <w:widowControl/>
        <w:jc w:val="left"/>
        <w:rPr>
          <w:rFonts w:ascii="宋体" w:hAnsi="宋体" w:cs="宋体"/>
          <w:b/>
          <w:bCs/>
          <w:sz w:val="44"/>
          <w:szCs w:val="44"/>
        </w:rPr>
        <w:sectPr>
          <w:headerReference r:id="rId3" w:type="default"/>
          <w:footerReference r:id="rId4" w:type="default"/>
          <w:pgSz w:w="11906" w:h="16838"/>
          <w:pgMar w:top="1400" w:right="1797" w:bottom="1089" w:left="1797" w:header="720" w:footer="720" w:gutter="0"/>
          <w:cols w:space="720" w:num="1"/>
          <w:docGrid w:type="lines" w:linePitch="312" w:charSpace="0"/>
        </w:sectPr>
      </w:pPr>
    </w:p>
    <w:p w14:paraId="3B554131">
      <w:pPr>
        <w:spacing w:before="156" w:beforeLines="50" w:after="156" w:afterLines="50" w:line="500" w:lineRule="exact"/>
        <w:jc w:val="center"/>
        <w:outlineLvl w:val="0"/>
        <w:rPr>
          <w:rFonts w:ascii="黑体" w:hAnsi="黑体" w:eastAsia="黑体"/>
          <w:sz w:val="44"/>
          <w:szCs w:val="44"/>
        </w:rPr>
      </w:pPr>
      <w:r>
        <w:rPr>
          <w:rFonts w:ascii="黑体" w:hAnsi="黑体" w:eastAsia="黑体"/>
          <w:sz w:val="44"/>
          <w:szCs w:val="44"/>
        </w:rPr>
        <w:t>第一部分</w:t>
      </w:r>
      <w:r>
        <w:rPr>
          <w:rFonts w:hint="eastAsia" w:ascii="黑体" w:hAnsi="黑体" w:eastAsia="黑体"/>
          <w:sz w:val="44"/>
          <w:szCs w:val="44"/>
          <w:lang w:val="en-US" w:eastAsia="zh-CN"/>
        </w:rPr>
        <w:t xml:space="preserve"> </w:t>
      </w:r>
      <w:r>
        <w:rPr>
          <w:rFonts w:ascii="黑体" w:hAnsi="黑体" w:eastAsia="黑体"/>
          <w:sz w:val="44"/>
          <w:szCs w:val="44"/>
        </w:rPr>
        <w:t>投标须知</w:t>
      </w:r>
    </w:p>
    <w:p w14:paraId="5BC49983">
      <w:pPr>
        <w:spacing w:before="156" w:beforeLines="50" w:after="156" w:afterLines="50" w:line="500" w:lineRule="exact"/>
        <w:ind w:firstLine="640" w:firstLineChars="200"/>
        <w:outlineLvl w:val="0"/>
        <w:rPr>
          <w:rFonts w:hint="eastAsia" w:ascii="黑体" w:hAnsi="黑体" w:eastAsia="黑体"/>
          <w:sz w:val="32"/>
          <w:szCs w:val="32"/>
        </w:rPr>
      </w:pPr>
    </w:p>
    <w:p w14:paraId="674F373D">
      <w:pPr>
        <w:spacing w:before="156" w:beforeLines="50" w:after="156" w:afterLines="50" w:line="500" w:lineRule="exact"/>
        <w:ind w:firstLine="640" w:firstLineChars="200"/>
        <w:outlineLvl w:val="0"/>
        <w:rPr>
          <w:rFonts w:ascii="黑体" w:hAnsi="黑体" w:eastAsia="黑体"/>
          <w:sz w:val="32"/>
          <w:szCs w:val="32"/>
        </w:rPr>
      </w:pPr>
      <w:r>
        <w:rPr>
          <w:rFonts w:hint="eastAsia" w:ascii="黑体" w:hAnsi="黑体" w:eastAsia="黑体"/>
          <w:sz w:val="32"/>
          <w:szCs w:val="32"/>
        </w:rPr>
        <w:t>一、项目背景</w:t>
      </w:r>
    </w:p>
    <w:p w14:paraId="0D331C64">
      <w:pPr>
        <w:spacing w:before="156" w:beforeLines="50" w:after="156" w:afterLines="50" w:line="500" w:lineRule="exact"/>
        <w:ind w:firstLine="640" w:firstLineChars="200"/>
        <w:outlineLvl w:val="0"/>
        <w:rPr>
          <w:rFonts w:ascii="仿宋_GB2312" w:hAnsi="仿宋_GB2312" w:eastAsia="仿宋_GB2312" w:cs="仿宋_GB2312"/>
          <w:sz w:val="32"/>
          <w:szCs w:val="32"/>
        </w:rPr>
      </w:pPr>
      <w:r>
        <w:rPr>
          <w:rFonts w:hint="eastAsia" w:ascii="仿宋_GB2312" w:eastAsia="仿宋_GB2312"/>
          <w:sz w:val="32"/>
          <w:szCs w:val="32"/>
          <w:highlight w:val="none"/>
        </w:rPr>
        <w:t>根据</w:t>
      </w:r>
      <w:r>
        <w:rPr>
          <w:rFonts w:hint="eastAsia" w:ascii="仿宋_GB2312" w:eastAsia="仿宋_GB2312"/>
          <w:sz w:val="32"/>
          <w:szCs w:val="32"/>
          <w:highlight w:val="none"/>
          <w:lang w:eastAsia="zh-CN"/>
        </w:rPr>
        <w:t>国家、省、市关于安全生产治本攻坚三年行动计划的</w:t>
      </w:r>
      <w:r>
        <w:rPr>
          <w:rFonts w:hint="eastAsia" w:ascii="仿宋_GB2312" w:eastAsia="仿宋_GB2312"/>
          <w:sz w:val="32"/>
          <w:szCs w:val="32"/>
          <w:highlight w:val="none"/>
        </w:rPr>
        <w:t>战略部署</w:t>
      </w:r>
      <w:r>
        <w:rPr>
          <w:rFonts w:hint="eastAsia" w:ascii="仿宋_GB2312" w:eastAsia="仿宋_GB2312"/>
          <w:sz w:val="32"/>
          <w:szCs w:val="32"/>
          <w:highlight w:val="none"/>
          <w:lang w:eastAsia="zh-CN"/>
        </w:rPr>
        <w:t>和《深圳市小散工程和零星作业安全生产纳管暂行办法》、《</w:t>
      </w:r>
      <w:r>
        <w:rPr>
          <w:rFonts w:hint="eastAsia" w:ascii="仿宋_GB2312" w:eastAsia="仿宋_GB2312"/>
          <w:sz w:val="32"/>
          <w:szCs w:val="32"/>
          <w:highlight w:val="none"/>
          <w:lang w:val="en-US" w:eastAsia="zh-CN"/>
        </w:rPr>
        <w:t>全市房屋市政工程安全生产治本攻坚三年行动实施方案（2024-2026年）</w:t>
      </w:r>
      <w:r>
        <w:rPr>
          <w:rFonts w:hint="eastAsia" w:ascii="仿宋_GB2312" w:eastAsia="仿宋_GB2312"/>
          <w:sz w:val="32"/>
          <w:szCs w:val="32"/>
          <w:highlight w:val="none"/>
          <w:lang w:eastAsia="zh-CN"/>
        </w:rPr>
        <w:t>》要求，</w:t>
      </w:r>
      <w:r>
        <w:rPr>
          <w:rFonts w:hint="eastAsia" w:ascii="仿宋_GB2312" w:hAnsi="仿宋_GB2312" w:eastAsia="仿宋_GB2312" w:cs="仿宋_GB2312"/>
          <w:sz w:val="32"/>
          <w:szCs w:val="32"/>
        </w:rPr>
        <w:t>进一步深化南山区建筑行业安全教育</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局拟对区管在建项目的各参建方从业人员</w:t>
      </w:r>
      <w:r>
        <w:rPr>
          <w:rFonts w:hint="eastAsia" w:ascii="仿宋_GB2312" w:hAnsi="仿宋_GB2312" w:eastAsia="仿宋_GB2312" w:cs="仿宋_GB2312"/>
          <w:sz w:val="32"/>
          <w:szCs w:val="32"/>
          <w:lang w:eastAsia="zh-CN"/>
        </w:rPr>
        <w:t>和各街道办、社区工作站以及物业服务企业的小散工程管理人员</w:t>
      </w:r>
      <w:r>
        <w:rPr>
          <w:rFonts w:hint="eastAsia" w:ascii="仿宋_GB2312" w:hAnsi="仿宋_GB2312" w:eastAsia="仿宋_GB2312" w:cs="仿宋_GB2312"/>
          <w:sz w:val="32"/>
          <w:szCs w:val="32"/>
        </w:rPr>
        <w:t>，采取集中式教育</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和工地现场</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的方式，开展全方位、多层次的安全教育</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工作。</w:t>
      </w:r>
    </w:p>
    <w:p w14:paraId="4557400D">
      <w:pPr>
        <w:numPr>
          <w:ilvl w:val="0"/>
          <w:numId w:val="2"/>
        </w:numPr>
        <w:spacing w:before="156" w:beforeLines="50" w:after="156" w:afterLines="50" w:line="500" w:lineRule="exact"/>
        <w:ind w:firstLine="640" w:firstLineChars="200"/>
        <w:outlineLvl w:val="0"/>
        <w:rPr>
          <w:rFonts w:ascii="黑体" w:hAnsi="黑体" w:eastAsia="黑体"/>
          <w:b/>
          <w:bCs/>
          <w:sz w:val="32"/>
          <w:szCs w:val="32"/>
        </w:rPr>
      </w:pPr>
      <w:r>
        <w:rPr>
          <w:rFonts w:hint="eastAsia" w:ascii="黑体" w:hAnsi="黑体" w:eastAsia="黑体"/>
          <w:sz w:val="32"/>
          <w:szCs w:val="32"/>
        </w:rPr>
        <w:t>项目服务内容</w:t>
      </w:r>
    </w:p>
    <w:p w14:paraId="2EDC159A">
      <w:pPr>
        <w:spacing w:line="5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区管在建项目从业人员安全教育培训</w:t>
      </w:r>
      <w:r>
        <w:rPr>
          <w:rFonts w:hint="eastAsia" w:ascii="楷体_GB2312" w:hAnsi="楷体_GB2312" w:eastAsia="楷体_GB2312" w:cs="楷体_GB2312"/>
          <w:sz w:val="32"/>
          <w:szCs w:val="32"/>
        </w:rPr>
        <w:t>内容</w:t>
      </w:r>
    </w:p>
    <w:p w14:paraId="72B1D5C1">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1.培训对象:南山区在建项目建设、施工、监理单位安全管理人员和现场施工作业人员。</w:t>
      </w:r>
    </w:p>
    <w:p w14:paraId="55ABB8D1">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内容：针对管理人员主要包括《建筑工地防火安全管理》、《物体打击事故的预防》、《高处坠落事故的预防》、《模板坍塌事故的预防》、《起重机械伤害事故的预防》、《基坑坍塌事故的预防》、《触电事故的预防》、《中毒和窒息的预防》、《台风雨季期间施工安全管理》、《暑季高温期间施工安全管理》、《交通安全》等专题内容；针对现场施工作业人员主要包括建设工程施工过程的基本安全知识、安全生产操作、危险源和风险点的辨识、安全防护设施和器材的正确使用、典型事故案例分析等内容培训。</w:t>
      </w:r>
    </w:p>
    <w:p w14:paraId="729B6D0A">
      <w:pPr>
        <w:spacing w:line="560"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方式：对建筑施工项目管理人员开展集中式</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；对建筑施工人员安排专家深入工地开展小型安全教育</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负责制定培训课件</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印制培训材料，注重</w:t>
      </w:r>
      <w:r>
        <w:rPr>
          <w:rFonts w:hint="eastAsia" w:ascii="仿宋_GB2312" w:hAnsi="仿宋_GB2312" w:eastAsia="仿宋_GB2312" w:cs="仿宋_GB2312"/>
          <w:bCs/>
          <w:sz w:val="32"/>
          <w:szCs w:val="32"/>
        </w:rPr>
        <w:t>案例剖析、互动问答等形式</w:t>
      </w:r>
      <w:r>
        <w:rPr>
          <w:rFonts w:hint="eastAsia" w:ascii="仿宋_GB2312" w:hAnsi="仿宋_GB2312" w:eastAsia="仿宋_GB2312" w:cs="仿宋_GB2312"/>
          <w:bCs/>
          <w:sz w:val="32"/>
          <w:szCs w:val="32"/>
          <w:lang w:eastAsia="zh-CN"/>
        </w:rPr>
        <w:t>。</w:t>
      </w:r>
    </w:p>
    <w:p w14:paraId="3F9A7F57">
      <w:pPr>
        <w:keepNext w:val="0"/>
        <w:keepLines w:val="0"/>
        <w:pageBreakBefore w:val="0"/>
        <w:kinsoku/>
        <w:wordWrap/>
        <w:overflowPunct/>
        <w:topLinePunct w:val="0"/>
        <w:autoSpaceDE/>
        <w:autoSpaceDN/>
        <w:bidi w:val="0"/>
        <w:adjustRightInd/>
        <w:spacing w:line="560" w:lineRule="exact"/>
        <w:ind w:left="0" w:leftChars="0" w:right="0" w:firstLine="640" w:firstLineChars="200"/>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4.培训场次：126场次，其中集中式培训6场次，深入工地培训120场次。</w:t>
      </w:r>
    </w:p>
    <w:p w14:paraId="3BC3DDE5">
      <w:pPr>
        <w:spacing w:line="5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（二）小散工程管理人员安全教育培训内容</w:t>
      </w:r>
    </w:p>
    <w:p w14:paraId="53C2567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1.培训对象：</w:t>
      </w:r>
      <w:r>
        <w:rPr>
          <w:rFonts w:hint="eastAsia" w:ascii="仿宋_GB2312" w:hAnsi="仿宋_GB2312" w:eastAsia="仿宋_GB2312" w:cs="仿宋_GB2312"/>
          <w:sz w:val="32"/>
          <w:szCs w:val="32"/>
        </w:rPr>
        <w:t>各街道</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、社区工作站小散工程管理人员和执法人员、网格员、物业企业服务人员、股份有限公司相关</w:t>
      </w:r>
      <w:r>
        <w:rPr>
          <w:rFonts w:hint="eastAsia" w:ascii="仿宋_GB2312" w:hAnsi="仿宋_GB2312" w:eastAsia="仿宋_GB2312" w:cs="仿宋_GB2312"/>
          <w:sz w:val="32"/>
          <w:szCs w:val="32"/>
          <w:lang w:eastAsia="zh-CN"/>
        </w:rPr>
        <w:t>小散工程管理</w:t>
      </w:r>
      <w:r>
        <w:rPr>
          <w:rFonts w:hint="eastAsia" w:ascii="仿宋_GB2312" w:hAnsi="仿宋_GB2312" w:eastAsia="仿宋_GB2312" w:cs="仿宋_GB2312"/>
          <w:sz w:val="32"/>
          <w:szCs w:val="32"/>
        </w:rPr>
        <w:t>人员等。</w:t>
      </w:r>
    </w:p>
    <w:p w14:paraId="0A45F97D">
      <w:pPr>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2.培训内容：高空作业、施工临时用电、施工机具、吊篮作业、脚手架作业等方面巡查要点知识、小散工程安全生产纳管知识等。</w:t>
      </w:r>
    </w:p>
    <w:p w14:paraId="3B53A996">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方式：</w:t>
      </w:r>
      <w:r>
        <w:rPr>
          <w:rFonts w:hint="eastAsia" w:ascii="仿宋_GB2312" w:hAnsi="仿宋_GB2312" w:eastAsia="仿宋_GB2312" w:cs="仿宋_GB2312"/>
          <w:bCs/>
          <w:sz w:val="32"/>
          <w:szCs w:val="32"/>
          <w:lang w:eastAsia="zh-CN"/>
        </w:rPr>
        <w:t>负责制定培训课件</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印制培训材料，</w:t>
      </w:r>
      <w:r>
        <w:rPr>
          <w:rFonts w:hint="eastAsia" w:ascii="仿宋_GB2312" w:hAnsi="仿宋_GB2312" w:eastAsia="仿宋_GB2312" w:cs="仿宋_GB2312"/>
          <w:bCs/>
          <w:sz w:val="32"/>
          <w:szCs w:val="32"/>
        </w:rPr>
        <w:t>采取PPT幻灯片展示、案例剖析、互动问答等形式，开展集中式</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，讲解小散工程安全生产纳管的重要性、巡查工作的要点等。</w:t>
      </w:r>
    </w:p>
    <w:p w14:paraId="7D94DD63">
      <w:pPr>
        <w:widowControl/>
        <w:spacing w:line="620" w:lineRule="exact"/>
        <w:ind w:firstLine="64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4.</w:t>
      </w:r>
      <w:r>
        <w:rPr>
          <w:rFonts w:hint="eastAsia" w:ascii="仿宋_GB2312" w:eastAsia="仿宋_GB2312" w:cs="Times New Roman"/>
          <w:sz w:val="32"/>
          <w:szCs w:val="32"/>
          <w:highlight w:val="none"/>
          <w:lang w:val="en-US" w:eastAsia="zh-CN"/>
        </w:rPr>
        <w:t>培训</w:t>
      </w:r>
      <w:r>
        <w:rPr>
          <w:rFonts w:hint="eastAsia" w:ascii="仿宋_GB2312" w:hAnsi="Times New Roman" w:eastAsia="仿宋_GB2312" w:cs="Times New Roman"/>
          <w:sz w:val="32"/>
          <w:szCs w:val="32"/>
          <w:highlight w:val="none"/>
          <w:lang w:val="en-US" w:eastAsia="zh-CN"/>
        </w:rPr>
        <w:t>场次：</w:t>
      </w:r>
      <w:r>
        <w:rPr>
          <w:rFonts w:hint="eastAsia" w:ascii="仿宋_GB2312" w:eastAsia="仿宋_GB2312" w:cs="Times New Roman"/>
          <w:sz w:val="32"/>
          <w:szCs w:val="32"/>
          <w:highlight w:val="none"/>
          <w:lang w:val="en-US" w:eastAsia="zh-CN"/>
        </w:rPr>
        <w:t>16</w:t>
      </w:r>
      <w:r>
        <w:rPr>
          <w:rFonts w:hint="eastAsia" w:ascii="仿宋_GB2312" w:hAnsi="Times New Roman" w:eastAsia="仿宋_GB2312" w:cs="Times New Roman"/>
          <w:sz w:val="32"/>
          <w:szCs w:val="32"/>
          <w:highlight w:val="none"/>
          <w:lang w:val="en-US" w:eastAsia="zh-CN"/>
        </w:rPr>
        <w:t>场次，每个街道</w:t>
      </w:r>
      <w:r>
        <w:rPr>
          <w:rFonts w:hint="eastAsia" w:ascii="仿宋_GB2312"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lang w:val="en-US" w:eastAsia="zh-CN"/>
        </w:rPr>
        <w:t>场次</w:t>
      </w:r>
      <w:r>
        <w:rPr>
          <w:rFonts w:hint="eastAsia" w:ascii="仿宋_GB2312" w:eastAsia="仿宋_GB2312" w:cs="Times New Roman"/>
          <w:sz w:val="32"/>
          <w:szCs w:val="32"/>
          <w:highlight w:val="none"/>
          <w:lang w:val="en-US" w:eastAsia="zh-CN"/>
        </w:rPr>
        <w:t>。</w:t>
      </w:r>
    </w:p>
    <w:p w14:paraId="09E10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（三）成果验收</w:t>
      </w:r>
    </w:p>
    <w:p w14:paraId="76A54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结束后中标单位要对培训工作进行梳理，形成完整的档案资料和工作总结。档案资料一场次一档案，包括参培人员签到表、课件、影像资料等，一式两份（含电子档和纸质档）；工作总结包括培训的情况、对项目工人安全水平的评价等。</w:t>
      </w:r>
    </w:p>
    <w:p w14:paraId="3FF07796">
      <w:pPr>
        <w:spacing w:before="156" w:beforeLines="50" w:after="156" w:afterLines="50" w:line="500" w:lineRule="exact"/>
        <w:ind w:firstLine="640" w:firstLineChars="200"/>
        <w:outlineLvl w:val="0"/>
        <w:rPr>
          <w:rFonts w:ascii="黑体" w:hAnsi="黑体" w:eastAsia="黑体"/>
          <w:sz w:val="32"/>
          <w:szCs w:val="32"/>
        </w:rPr>
      </w:pPr>
      <w:r>
        <w:rPr>
          <w:rFonts w:hint="eastAsia" w:ascii="黑体" w:hAnsi="黑体" w:eastAsia="黑体"/>
          <w:sz w:val="32"/>
          <w:szCs w:val="32"/>
        </w:rPr>
        <w:t>三、项目服务价格上限</w:t>
      </w:r>
    </w:p>
    <w:p w14:paraId="1D3FECDD">
      <w:pPr>
        <w:spacing w:line="50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本项目控制金额为人民币</w:t>
      </w:r>
      <w:r>
        <w:rPr>
          <w:rFonts w:hint="eastAsia" w:ascii="仿宋_GB2312" w:hAnsi="仿宋_GB2312" w:eastAsia="仿宋_GB2312" w:cs="仿宋_GB2312"/>
          <w:sz w:val="32"/>
          <w:szCs w:val="32"/>
          <w:highlight w:val="none"/>
          <w:lang w:val="en-US" w:eastAsia="zh-CN"/>
        </w:rPr>
        <w:t>58.9</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/年，参与投标单位的报价不可高于控制金额，否则</w:t>
      </w:r>
      <w:r>
        <w:rPr>
          <w:rFonts w:hint="eastAsia" w:ascii="仿宋_GB2312" w:hAnsi="仿宋_GB2312" w:eastAsia="仿宋_GB2312" w:cs="仿宋_GB2312"/>
          <w:sz w:val="32"/>
          <w:szCs w:val="32"/>
        </w:rPr>
        <w:t>投标单位的投标文件视同无效。本项目服务费采用包干制，应包括服务成本、法定税费和企业的利润。由投标单位根据采购文件所提供的资料自行测算投标报价；一经中标，投标报价总价作为中标单位与采购单位签定的合同金额，合同期限内不做调整。</w:t>
      </w:r>
    </w:p>
    <w:p w14:paraId="47DFA016">
      <w:pPr>
        <w:spacing w:before="156" w:beforeLines="50" w:after="156" w:afterLines="50" w:line="500" w:lineRule="exact"/>
        <w:ind w:firstLine="640" w:firstLineChars="200"/>
        <w:outlineLvl w:val="0"/>
        <w:rPr>
          <w:rFonts w:ascii="黑体" w:hAnsi="黑体" w:eastAsia="黑体"/>
          <w:sz w:val="32"/>
          <w:szCs w:val="32"/>
          <w:highlight w:val="none"/>
        </w:rPr>
      </w:pPr>
      <w:r>
        <w:rPr>
          <w:rFonts w:hint="eastAsia" w:ascii="黑体" w:hAnsi="黑体" w:eastAsia="黑体"/>
          <w:sz w:val="32"/>
          <w:szCs w:val="32"/>
          <w:highlight w:val="none"/>
        </w:rPr>
        <w:t>四、投标人的资格要求</w:t>
      </w:r>
    </w:p>
    <w:p w14:paraId="4A940FD0">
      <w:pPr>
        <w:spacing w:line="500" w:lineRule="exact"/>
        <w:ind w:firstLine="640" w:firstLineChars="200"/>
        <w:outlineLvl w:val="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1.投标人单位具备</w:t>
      </w:r>
      <w:r>
        <w:rPr>
          <w:rFonts w:hint="eastAsia" w:ascii="仿宋_GB2312" w:hAnsi="仿宋_GB2312" w:eastAsia="仿宋_GB2312" w:cs="仿宋_GB2312"/>
          <w:sz w:val="32"/>
          <w:szCs w:val="32"/>
          <w:highlight w:val="none"/>
        </w:rPr>
        <w:t>独立法人</w:t>
      </w:r>
      <w:r>
        <w:rPr>
          <w:rFonts w:hint="eastAsia" w:ascii="仿宋_GB2312" w:hAnsi="仿宋_GB2312" w:eastAsia="仿宋_GB2312" w:cs="仿宋_GB2312"/>
          <w:sz w:val="32"/>
          <w:szCs w:val="32"/>
          <w:highlight w:val="none"/>
          <w:lang w:eastAsia="zh-CN"/>
        </w:rPr>
        <w:t>资格的企业法人</w:t>
      </w:r>
      <w:r>
        <w:rPr>
          <w:rFonts w:hint="eastAsia" w:ascii="仿宋_GB2312" w:hAnsi="仿宋_GB2312" w:eastAsia="仿宋_GB2312" w:cs="仿宋_GB2312"/>
          <w:sz w:val="32"/>
          <w:szCs w:val="32"/>
          <w:highlight w:val="none"/>
        </w:rPr>
        <w:t>或合伙制企业或其他合法组织形式；</w:t>
      </w:r>
    </w:p>
    <w:p w14:paraId="349AC0E7">
      <w:pPr>
        <w:spacing w:line="500" w:lineRule="exact"/>
        <w:ind w:firstLine="640" w:firstLineChars="200"/>
        <w:outlineLvl w:val="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2.投标人须承诺近两年无违法违规行为，无行为处罚、惩戒等不良执业记录及不良反映；</w:t>
      </w:r>
    </w:p>
    <w:p w14:paraId="2A5BEC88">
      <w:pPr>
        <w:spacing w:line="500" w:lineRule="exact"/>
        <w:ind w:firstLine="640" w:firstLineChars="200"/>
        <w:outlineLvl w:val="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3.投标人的授权代表应为单位法人或经法人授权的该单位在职社保员工；</w:t>
      </w:r>
    </w:p>
    <w:p w14:paraId="486FE338">
      <w:pPr>
        <w:spacing w:line="5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ascii="仿宋_GB2312" w:hAnsi="仿宋_GB2312" w:eastAsia="仿宋_GB2312" w:cs="仿宋_GB2312"/>
          <w:sz w:val="32"/>
          <w:szCs w:val="32"/>
          <w:highlight w:val="none"/>
        </w:rPr>
        <w:t>.在招投标活动中因串通投标被暂停投标资格期间或涉嫌串通投标并正在接受主管部门调查的投标人不被接受</w:t>
      </w:r>
      <w:r>
        <w:rPr>
          <w:rFonts w:hint="eastAsia" w:ascii="仿宋_GB2312" w:hAnsi="仿宋_GB2312" w:eastAsia="仿宋_GB2312" w:cs="仿宋_GB2312"/>
          <w:sz w:val="32"/>
          <w:szCs w:val="32"/>
          <w:highlight w:val="none"/>
          <w:lang w:eastAsia="zh-CN"/>
        </w:rPr>
        <w:t>；</w:t>
      </w:r>
    </w:p>
    <w:p w14:paraId="034ECE5F">
      <w:pPr>
        <w:spacing w:line="5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rPr>
        <w:t>.本项目不接受联合体投标。</w:t>
      </w:r>
    </w:p>
    <w:p w14:paraId="77798781">
      <w:pPr>
        <w:spacing w:before="156" w:beforeLines="50" w:after="156" w:afterLines="50" w:line="500" w:lineRule="exact"/>
        <w:ind w:firstLine="640" w:firstLineChars="200"/>
        <w:outlineLvl w:val="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五、服务团队及人员的要求</w:t>
      </w:r>
    </w:p>
    <w:p w14:paraId="56B2A55D">
      <w:pPr>
        <w:spacing w:line="5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1、投标人必须组建不少于4人的项目服务团队提供本项目安全教育培训服务工作，其中项目负责人1人，讲师1人，助教2人；</w:t>
      </w:r>
    </w:p>
    <w:p w14:paraId="0BC66C8E">
      <w:pPr>
        <w:keepNext w:val="0"/>
        <w:keepLines w:val="0"/>
        <w:pageBreakBefore w:val="0"/>
        <w:widowControl/>
        <w:kinsoku/>
        <w:wordWrap/>
        <w:overflowPunct/>
        <w:topLinePunct w:val="0"/>
        <w:autoSpaceDE/>
        <w:autoSpaceDN/>
        <w:bidi w:val="0"/>
        <w:adjustRightInd/>
        <w:snapToGrid w:val="0"/>
        <w:spacing w:line="560" w:lineRule="exact"/>
        <w:ind w:left="0" w:leftChars="0" w:right="0" w:firstLine="640" w:firstLineChars="200"/>
        <w:jc w:val="left"/>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2、项目负责人具备建筑工程相关专业高级工程师证或一级建造师或注册监理工程师或注册安全工程师证，具备广东省安全生产培训教员证，并有15年以上从事相关工作经验；</w:t>
      </w:r>
    </w:p>
    <w:p w14:paraId="2195B39A">
      <w:pPr>
        <w:spacing w:line="5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3、讲师应具备建筑工程相关专业副高级工程师证，并有5年以上从事建设工程安全教育培训相关工作经验；</w:t>
      </w:r>
    </w:p>
    <w:p w14:paraId="47D1D545">
      <w:pPr>
        <w:spacing w:line="5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4、助教应具有全日制大专以上学历，1年以上工作经验。</w:t>
      </w:r>
    </w:p>
    <w:p w14:paraId="72F5940E">
      <w:pPr>
        <w:spacing w:before="156" w:beforeLines="50" w:after="156" w:afterLines="50" w:line="500" w:lineRule="exact"/>
        <w:ind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六、服务期限</w:t>
      </w:r>
    </w:p>
    <w:p w14:paraId="45BE68C9">
      <w:pPr>
        <w:spacing w:line="5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服务期限：自</w:t>
      </w:r>
      <w:r>
        <w:rPr>
          <w:rFonts w:hint="eastAsia" w:ascii="仿宋_GB2312" w:hAnsi="宋体" w:eastAsia="仿宋_GB2312"/>
          <w:sz w:val="32"/>
          <w:szCs w:val="32"/>
          <w:lang w:val="en-US" w:eastAsia="zh-CN"/>
        </w:rPr>
        <w:t>合同生效之日</w:t>
      </w:r>
      <w:r>
        <w:rPr>
          <w:rFonts w:hint="eastAsia" w:ascii="仿宋_GB2312" w:hAnsi="宋体" w:eastAsia="仿宋_GB2312"/>
          <w:sz w:val="32"/>
          <w:szCs w:val="32"/>
        </w:rPr>
        <w:t>起</w:t>
      </w:r>
      <w:r>
        <w:rPr>
          <w:rFonts w:hint="eastAsia" w:ascii="仿宋_GB2312" w:hAnsi="仿宋_GB2312" w:eastAsia="仿宋_GB2312" w:cs="仿宋_GB2312"/>
          <w:sz w:val="32"/>
          <w:szCs w:val="32"/>
          <w:lang w:val="en-US" w:eastAsia="zh-CN"/>
        </w:rPr>
        <w:t>至2025年12月10日止。</w:t>
      </w:r>
    </w:p>
    <w:p w14:paraId="6D5FCBBB">
      <w:pPr>
        <w:spacing w:before="156" w:beforeLines="50" w:after="156" w:afterLines="50" w:line="500" w:lineRule="exact"/>
        <w:ind w:firstLine="640" w:firstLineChars="200"/>
        <w:outlineLvl w:val="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、定标方法</w:t>
      </w:r>
    </w:p>
    <w:p w14:paraId="0CDB926A">
      <w:pPr>
        <w:spacing w:line="5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本项目定标采用综合评分法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以每位评委根据评分标准的评分</w:t>
      </w:r>
      <w:r>
        <w:rPr>
          <w:rFonts w:hint="eastAsia" w:ascii="仿宋_GB2312" w:hAnsi="仿宋_GB2312" w:eastAsia="仿宋_GB2312" w:cs="仿宋_GB2312"/>
          <w:sz w:val="32"/>
          <w:szCs w:val="32"/>
          <w:lang w:eastAsia="zh-CN"/>
        </w:rPr>
        <w:t>总和</w:t>
      </w:r>
      <w:r>
        <w:rPr>
          <w:rFonts w:hint="eastAsia" w:ascii="仿宋_GB2312" w:hAnsi="仿宋_GB2312" w:eastAsia="仿宋_GB2312" w:cs="仿宋_GB2312"/>
          <w:sz w:val="32"/>
          <w:szCs w:val="32"/>
        </w:rPr>
        <w:t>得出最后得分，将得分从高至低排序，排列第一名的投标人即为中标单位。若总得分相同，</w:t>
      </w:r>
      <w:r>
        <w:rPr>
          <w:rFonts w:hint="eastAsia" w:ascii="仿宋_GB2312" w:hAnsi="仿宋_GB2312" w:eastAsia="仿宋_GB2312" w:cs="仿宋_GB2312"/>
          <w:sz w:val="32"/>
          <w:szCs w:val="32"/>
          <w:lang w:eastAsia="zh-CN"/>
        </w:rPr>
        <w:t>建筑业行业培训经验得分</w:t>
      </w:r>
      <w:r>
        <w:rPr>
          <w:rFonts w:hint="eastAsia" w:ascii="仿宋_GB2312" w:hAnsi="仿宋_GB2312" w:eastAsia="仿宋_GB2312" w:cs="仿宋_GB2312"/>
          <w:sz w:val="32"/>
          <w:szCs w:val="32"/>
        </w:rPr>
        <w:t>高者优先</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评分标准详见</w:t>
      </w:r>
      <w:r>
        <w:rPr>
          <w:rFonts w:hint="eastAsia" w:ascii="仿宋_GB2312" w:hAnsi="仿宋_GB2312" w:eastAsia="仿宋_GB2312" w:cs="仿宋_GB2312"/>
          <w:sz w:val="32"/>
          <w:szCs w:val="32"/>
          <w:lang w:eastAsia="zh-CN"/>
        </w:rPr>
        <w:t>下表：</w:t>
      </w:r>
    </w:p>
    <w:tbl>
      <w:tblPr>
        <w:tblStyle w:val="15"/>
        <w:tblW w:w="93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2"/>
        <w:gridCol w:w="1763"/>
        <w:gridCol w:w="4693"/>
        <w:gridCol w:w="687"/>
        <w:gridCol w:w="1545"/>
      </w:tblGrid>
      <w:tr w14:paraId="24D81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300" w:type="dxa"/>
            <w:gridSpan w:val="5"/>
            <w:tcBorders>
              <w:top w:val="single" w:color="auto" w:sz="6" w:space="0"/>
              <w:left w:val="single" w:color="auto" w:sz="6" w:space="0"/>
              <w:bottom w:val="single" w:color="auto" w:sz="6" w:space="0"/>
              <w:right w:val="single" w:color="auto" w:sz="6" w:space="0"/>
            </w:tcBorders>
            <w:vAlign w:val="center"/>
          </w:tcPr>
          <w:p w14:paraId="525911C8">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b/>
                <w:color w:val="auto"/>
                <w:szCs w:val="21"/>
                <w:highlight w:val="none"/>
                <w:lang w:val="zh-CN"/>
              </w:rPr>
              <w:t>评分项及评分规则（满分</w:t>
            </w:r>
            <w:r>
              <w:rPr>
                <w:rFonts w:hint="eastAsia" w:ascii="宋体" w:hAnsi="宋体" w:cs="Times New Roman"/>
                <w:b/>
                <w:color w:val="auto"/>
                <w:szCs w:val="21"/>
                <w:highlight w:val="none"/>
              </w:rPr>
              <w:t>100分</w:t>
            </w:r>
            <w:r>
              <w:rPr>
                <w:rFonts w:hint="eastAsia" w:ascii="宋体" w:hAnsi="宋体" w:cs="Times New Roman"/>
                <w:b/>
                <w:color w:val="auto"/>
                <w:szCs w:val="21"/>
                <w:highlight w:val="none"/>
                <w:lang w:val="zh-CN"/>
              </w:rPr>
              <w:t>）</w:t>
            </w:r>
          </w:p>
        </w:tc>
      </w:tr>
      <w:tr w14:paraId="28B80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068" w:type="dxa"/>
            <w:gridSpan w:val="3"/>
            <w:tcBorders>
              <w:top w:val="single" w:color="auto" w:sz="6" w:space="0"/>
              <w:left w:val="single" w:color="auto" w:sz="6" w:space="0"/>
              <w:bottom w:val="single" w:color="auto" w:sz="6" w:space="0"/>
              <w:right w:val="single" w:color="auto" w:sz="6" w:space="0"/>
            </w:tcBorders>
            <w:vAlign w:val="center"/>
          </w:tcPr>
          <w:p w14:paraId="535255FB">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b/>
                <w:color w:val="auto"/>
                <w:szCs w:val="21"/>
                <w:highlight w:val="none"/>
                <w:lang w:val="zh-CN"/>
              </w:rPr>
              <w:t>一、价格部分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14:paraId="0D22F5DB">
            <w:pPr>
              <w:autoSpaceDE w:val="0"/>
              <w:autoSpaceDN w:val="0"/>
              <w:adjustRightInd w:val="0"/>
              <w:jc w:val="center"/>
              <w:rPr>
                <w:rFonts w:ascii="宋体" w:hAnsi="宋体" w:cs="Times New Roman"/>
                <w:color w:val="auto"/>
                <w:szCs w:val="21"/>
                <w:highlight w:val="none"/>
              </w:rPr>
            </w:pPr>
            <w:r>
              <w:rPr>
                <w:rFonts w:hint="eastAsia" w:ascii="宋体" w:hAnsi="宋体" w:cs="Times New Roman"/>
                <w:b/>
                <w:bCs/>
                <w:color w:val="auto"/>
                <w:szCs w:val="21"/>
                <w:highlight w:val="none"/>
                <w:lang w:val="en-US" w:eastAsia="zh-CN"/>
              </w:rPr>
              <w:t>20</w:t>
            </w:r>
            <w:r>
              <w:rPr>
                <w:rFonts w:hint="eastAsia" w:ascii="宋体" w:hAnsi="宋体" w:cs="Times New Roman"/>
                <w:b/>
                <w:bCs/>
                <w:color w:val="auto"/>
                <w:szCs w:val="21"/>
                <w:highlight w:val="none"/>
              </w:rPr>
              <w:t>分</w:t>
            </w:r>
          </w:p>
        </w:tc>
      </w:tr>
      <w:tr w14:paraId="270F4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612" w:type="dxa"/>
            <w:tcBorders>
              <w:top w:val="single" w:color="auto" w:sz="6" w:space="0"/>
              <w:left w:val="single" w:color="auto" w:sz="4" w:space="0"/>
              <w:bottom w:val="single" w:color="auto" w:sz="6" w:space="0"/>
              <w:right w:val="single" w:color="auto" w:sz="4" w:space="0"/>
            </w:tcBorders>
            <w:vAlign w:val="center"/>
          </w:tcPr>
          <w:p w14:paraId="783AA938">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bCs/>
                <w:color w:val="auto"/>
                <w:szCs w:val="21"/>
                <w:highlight w:val="none"/>
                <w:lang w:val="zh-CN"/>
              </w:rPr>
              <w:t>序号</w:t>
            </w:r>
          </w:p>
        </w:tc>
        <w:tc>
          <w:tcPr>
            <w:tcW w:w="6456" w:type="dxa"/>
            <w:gridSpan w:val="2"/>
            <w:tcBorders>
              <w:top w:val="single" w:color="auto" w:sz="6" w:space="0"/>
              <w:left w:val="single" w:color="auto" w:sz="4" w:space="0"/>
              <w:bottom w:val="single" w:color="auto" w:sz="6" w:space="0"/>
              <w:right w:val="single" w:color="auto" w:sz="6" w:space="0"/>
            </w:tcBorders>
            <w:vAlign w:val="center"/>
          </w:tcPr>
          <w:p w14:paraId="29BC676B">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color w:val="auto"/>
                <w:szCs w:val="21"/>
                <w:highlight w:val="none"/>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14:paraId="67EC165A">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rPr>
              <w:t>权重</w:t>
            </w:r>
          </w:p>
        </w:tc>
        <w:tc>
          <w:tcPr>
            <w:tcW w:w="1545" w:type="dxa"/>
            <w:tcBorders>
              <w:top w:val="single" w:color="auto" w:sz="6" w:space="0"/>
              <w:left w:val="single" w:color="auto" w:sz="4" w:space="0"/>
              <w:bottom w:val="single" w:color="auto" w:sz="6" w:space="0"/>
              <w:right w:val="single" w:color="auto" w:sz="6" w:space="0"/>
            </w:tcBorders>
            <w:vAlign w:val="center"/>
          </w:tcPr>
          <w:p w14:paraId="7431BC4A">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评分方式</w:t>
            </w:r>
          </w:p>
        </w:tc>
      </w:tr>
      <w:tr w14:paraId="2873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612" w:type="dxa"/>
            <w:tcBorders>
              <w:top w:val="single" w:color="auto" w:sz="6" w:space="0"/>
              <w:left w:val="single" w:color="auto" w:sz="4" w:space="0"/>
              <w:bottom w:val="single" w:color="auto" w:sz="6" w:space="0"/>
              <w:right w:val="single" w:color="auto" w:sz="4" w:space="0"/>
            </w:tcBorders>
            <w:vAlign w:val="center"/>
          </w:tcPr>
          <w:p w14:paraId="1537839B">
            <w:pPr>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1</w:t>
            </w:r>
          </w:p>
        </w:tc>
        <w:tc>
          <w:tcPr>
            <w:tcW w:w="6456" w:type="dxa"/>
            <w:gridSpan w:val="2"/>
            <w:tcBorders>
              <w:top w:val="single" w:color="auto" w:sz="6" w:space="0"/>
              <w:left w:val="single" w:color="auto" w:sz="4" w:space="0"/>
              <w:bottom w:val="single" w:color="auto" w:sz="6" w:space="0"/>
              <w:right w:val="single" w:color="auto" w:sz="6" w:space="0"/>
            </w:tcBorders>
            <w:vAlign w:val="center"/>
          </w:tcPr>
          <w:p w14:paraId="348A6589">
            <w:pPr>
              <w:autoSpaceDE w:val="0"/>
              <w:autoSpaceDN w:val="0"/>
              <w:adjustRightInd w:val="0"/>
              <w:ind w:firstLine="420" w:firstLineChars="200"/>
              <w:jc w:val="left"/>
              <w:rPr>
                <w:rFonts w:ascii="宋体" w:hAnsi="宋体" w:cs="Times New Roman"/>
                <w:color w:val="auto"/>
                <w:szCs w:val="21"/>
                <w:highlight w:val="none"/>
              </w:rPr>
            </w:pPr>
            <w:r>
              <w:rPr>
                <w:rFonts w:hint="eastAsia" w:ascii="宋体" w:hAnsi="宋体" w:cs="Times New Roman"/>
                <w:color w:val="auto"/>
                <w:szCs w:val="21"/>
                <w:highlight w:val="none"/>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w:t>
            </w:r>
            <w:r>
              <w:rPr>
                <w:rFonts w:hint="eastAsia" w:cs="Times New Roman"/>
                <w:color w:val="auto"/>
                <w:szCs w:val="21"/>
                <w:highlight w:val="none"/>
              </w:rPr>
              <w:t>。</w:t>
            </w:r>
          </w:p>
        </w:tc>
        <w:tc>
          <w:tcPr>
            <w:tcW w:w="687" w:type="dxa"/>
            <w:tcBorders>
              <w:top w:val="single" w:color="auto" w:sz="6" w:space="0"/>
              <w:left w:val="single" w:color="auto" w:sz="6" w:space="0"/>
              <w:bottom w:val="single" w:color="auto" w:sz="6" w:space="0"/>
              <w:right w:val="single" w:color="auto" w:sz="4" w:space="0"/>
            </w:tcBorders>
            <w:vAlign w:val="center"/>
          </w:tcPr>
          <w:p w14:paraId="4ED9B0E8">
            <w:pPr>
              <w:autoSpaceDE w:val="0"/>
              <w:autoSpaceDN w:val="0"/>
              <w:adjustRightIn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20</w:t>
            </w:r>
          </w:p>
        </w:tc>
        <w:tc>
          <w:tcPr>
            <w:tcW w:w="1545" w:type="dxa"/>
            <w:tcBorders>
              <w:top w:val="single" w:color="auto" w:sz="6" w:space="0"/>
              <w:left w:val="single" w:color="auto" w:sz="4" w:space="0"/>
              <w:bottom w:val="single" w:color="auto" w:sz="6" w:space="0"/>
              <w:right w:val="single" w:color="auto" w:sz="6" w:space="0"/>
            </w:tcBorders>
            <w:vAlign w:val="center"/>
          </w:tcPr>
          <w:p w14:paraId="28522FCD">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按公式计算</w:t>
            </w:r>
          </w:p>
        </w:tc>
      </w:tr>
      <w:tr w14:paraId="44E9E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7068" w:type="dxa"/>
            <w:gridSpan w:val="3"/>
            <w:tcBorders>
              <w:top w:val="single" w:color="auto" w:sz="6" w:space="0"/>
              <w:left w:val="single" w:color="auto" w:sz="6" w:space="0"/>
              <w:bottom w:val="single" w:color="auto" w:sz="6" w:space="0"/>
              <w:right w:val="single" w:color="auto" w:sz="6" w:space="0"/>
            </w:tcBorders>
            <w:vAlign w:val="center"/>
          </w:tcPr>
          <w:p w14:paraId="70E35EDC">
            <w:pPr>
              <w:autoSpaceDE w:val="0"/>
              <w:autoSpaceDN w:val="0"/>
              <w:adjustRightInd w:val="0"/>
              <w:jc w:val="center"/>
              <w:rPr>
                <w:rFonts w:ascii="宋体" w:hAnsi="宋体" w:cs="Times New Roman"/>
                <w:b/>
                <w:color w:val="auto"/>
                <w:szCs w:val="21"/>
                <w:highlight w:val="none"/>
              </w:rPr>
            </w:pPr>
            <w:r>
              <w:rPr>
                <w:rFonts w:hint="eastAsia" w:ascii="宋体" w:hAnsi="宋体" w:cs="Times New Roman"/>
                <w:b/>
                <w:color w:val="auto"/>
                <w:szCs w:val="21"/>
                <w:highlight w:val="none"/>
                <w:lang w:val="zh-CN"/>
              </w:rPr>
              <w:t>二、业绩部分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14:paraId="1504170B">
            <w:pPr>
              <w:autoSpaceDE w:val="0"/>
              <w:autoSpaceDN w:val="0"/>
              <w:adjustRightInd w:val="0"/>
              <w:jc w:val="center"/>
              <w:rPr>
                <w:rFonts w:ascii="宋体" w:hAnsi="宋体" w:cs="Times New Roman"/>
                <w:color w:val="auto"/>
                <w:szCs w:val="21"/>
                <w:highlight w:val="none"/>
              </w:rPr>
            </w:pPr>
            <w:r>
              <w:rPr>
                <w:rFonts w:hint="eastAsia" w:ascii="宋体" w:hAnsi="宋体" w:cs="Times New Roman"/>
                <w:b/>
                <w:bCs/>
                <w:color w:val="auto"/>
                <w:szCs w:val="21"/>
                <w:highlight w:val="none"/>
                <w:lang w:val="en-US" w:eastAsia="zh-CN"/>
              </w:rPr>
              <w:t>40</w:t>
            </w:r>
            <w:r>
              <w:rPr>
                <w:rFonts w:hint="eastAsia" w:ascii="宋体" w:hAnsi="宋体" w:cs="Times New Roman"/>
                <w:b/>
                <w:bCs/>
                <w:color w:val="auto"/>
                <w:szCs w:val="21"/>
                <w:highlight w:val="none"/>
              </w:rPr>
              <w:t>分</w:t>
            </w:r>
          </w:p>
        </w:tc>
      </w:tr>
      <w:tr w14:paraId="34BF7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612" w:type="dxa"/>
            <w:tcBorders>
              <w:top w:val="single" w:color="auto" w:sz="6" w:space="0"/>
              <w:left w:val="single" w:color="auto" w:sz="6" w:space="0"/>
              <w:bottom w:val="single" w:color="auto" w:sz="6" w:space="0"/>
              <w:right w:val="single" w:color="auto" w:sz="6" w:space="0"/>
            </w:tcBorders>
            <w:vAlign w:val="center"/>
          </w:tcPr>
          <w:p w14:paraId="34713BEC">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序号</w:t>
            </w:r>
          </w:p>
        </w:tc>
        <w:tc>
          <w:tcPr>
            <w:tcW w:w="1763" w:type="dxa"/>
            <w:tcBorders>
              <w:top w:val="single" w:color="auto" w:sz="6" w:space="0"/>
              <w:left w:val="single" w:color="auto" w:sz="6" w:space="0"/>
              <w:bottom w:val="single" w:color="auto" w:sz="6" w:space="0"/>
              <w:right w:val="single" w:color="auto" w:sz="6" w:space="0"/>
            </w:tcBorders>
            <w:vAlign w:val="center"/>
          </w:tcPr>
          <w:p w14:paraId="3A222FDE">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内容</w:t>
            </w:r>
          </w:p>
        </w:tc>
        <w:tc>
          <w:tcPr>
            <w:tcW w:w="4693" w:type="dxa"/>
            <w:tcBorders>
              <w:top w:val="single" w:color="auto" w:sz="6" w:space="0"/>
              <w:left w:val="single" w:color="auto" w:sz="6" w:space="0"/>
              <w:bottom w:val="single" w:color="auto" w:sz="6" w:space="0"/>
              <w:right w:val="single" w:color="auto" w:sz="6" w:space="0"/>
            </w:tcBorders>
            <w:vAlign w:val="center"/>
          </w:tcPr>
          <w:p w14:paraId="12F2100E">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14:paraId="48FE072E">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权重</w:t>
            </w:r>
          </w:p>
        </w:tc>
        <w:tc>
          <w:tcPr>
            <w:tcW w:w="1545" w:type="dxa"/>
            <w:tcBorders>
              <w:top w:val="single" w:color="auto" w:sz="6" w:space="0"/>
              <w:left w:val="single" w:color="auto" w:sz="4" w:space="0"/>
              <w:bottom w:val="single" w:color="auto" w:sz="6" w:space="0"/>
              <w:right w:val="single" w:color="auto" w:sz="6" w:space="0"/>
            </w:tcBorders>
            <w:vAlign w:val="center"/>
          </w:tcPr>
          <w:p w14:paraId="4D9B551C">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评分方式</w:t>
            </w:r>
          </w:p>
        </w:tc>
      </w:tr>
      <w:tr w14:paraId="6DE1E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12" w:type="dxa"/>
            <w:tcBorders>
              <w:top w:val="single" w:color="auto" w:sz="6" w:space="0"/>
              <w:left w:val="single" w:color="auto" w:sz="6" w:space="0"/>
              <w:bottom w:val="single" w:color="auto" w:sz="4" w:space="0"/>
              <w:right w:val="single" w:color="auto" w:sz="6" w:space="0"/>
            </w:tcBorders>
            <w:vAlign w:val="center"/>
          </w:tcPr>
          <w:p w14:paraId="583949B1">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1</w:t>
            </w:r>
          </w:p>
        </w:tc>
        <w:tc>
          <w:tcPr>
            <w:tcW w:w="1763" w:type="dxa"/>
            <w:tcBorders>
              <w:top w:val="single" w:color="auto" w:sz="6" w:space="0"/>
              <w:left w:val="single" w:color="auto" w:sz="6" w:space="0"/>
              <w:bottom w:val="single" w:color="auto" w:sz="6" w:space="0"/>
              <w:right w:val="single" w:color="auto" w:sz="6" w:space="0"/>
            </w:tcBorders>
            <w:vAlign w:val="center"/>
          </w:tcPr>
          <w:p w14:paraId="144A52CF">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企业资质情况</w:t>
            </w:r>
          </w:p>
        </w:tc>
        <w:tc>
          <w:tcPr>
            <w:tcW w:w="4693" w:type="dxa"/>
            <w:tcBorders>
              <w:top w:val="single" w:color="auto" w:sz="6" w:space="0"/>
              <w:left w:val="single" w:color="auto" w:sz="6" w:space="0"/>
              <w:bottom w:val="single" w:color="auto" w:sz="6" w:space="0"/>
              <w:right w:val="single" w:color="auto" w:sz="6" w:space="0"/>
            </w:tcBorders>
            <w:vAlign w:val="center"/>
          </w:tcPr>
          <w:p w14:paraId="5491618D">
            <w:pPr>
              <w:autoSpaceDE w:val="0"/>
              <w:autoSpaceDN w:val="0"/>
              <w:adjustRightInd w:val="0"/>
              <w:ind w:firstLine="420" w:firstLineChars="200"/>
              <w:jc w:val="left"/>
              <w:rPr>
                <w:rFonts w:hint="eastAsia" w:ascii="宋体" w:hAnsi="宋体" w:cs="Times New Roman"/>
                <w:color w:val="auto"/>
                <w:szCs w:val="21"/>
                <w:highlight w:val="none"/>
                <w:lang w:val="zh-CN"/>
              </w:rPr>
            </w:pPr>
            <w:r>
              <w:rPr>
                <w:rFonts w:hint="eastAsia" w:ascii="宋体" w:hAnsi="宋体" w:cs="Times New Roman"/>
                <w:color w:val="auto"/>
                <w:szCs w:val="21"/>
                <w:highlight w:val="none"/>
              </w:rPr>
              <w:t>投标人营业或业务范围内包含</w:t>
            </w:r>
            <w:r>
              <w:rPr>
                <w:rFonts w:hint="eastAsia" w:ascii="宋体" w:hAnsi="宋体" w:cs="Times New Roman"/>
                <w:color w:val="auto"/>
                <w:szCs w:val="21"/>
                <w:highlight w:val="none"/>
                <w:lang w:eastAsia="zh-CN"/>
              </w:rPr>
              <w:t>培训</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安全管理、安全评价、安全评估</w:t>
            </w:r>
            <w:r>
              <w:rPr>
                <w:rFonts w:hint="eastAsia" w:ascii="宋体" w:hAnsi="宋体" w:cs="Times New Roman"/>
                <w:color w:val="auto"/>
                <w:szCs w:val="21"/>
                <w:highlight w:val="none"/>
              </w:rPr>
              <w:t>等相关工作的，得</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分（提供相关纸质证书或机构代码证书扫描件为证，否则不得分）。</w:t>
            </w:r>
          </w:p>
        </w:tc>
        <w:tc>
          <w:tcPr>
            <w:tcW w:w="687" w:type="dxa"/>
            <w:tcBorders>
              <w:top w:val="single" w:color="auto" w:sz="6" w:space="0"/>
              <w:left w:val="single" w:color="auto" w:sz="6" w:space="0"/>
              <w:bottom w:val="single" w:color="auto" w:sz="6" w:space="0"/>
              <w:right w:val="single" w:color="auto" w:sz="4" w:space="0"/>
            </w:tcBorders>
            <w:vAlign w:val="center"/>
          </w:tcPr>
          <w:p w14:paraId="1C25AC1B">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rPr>
              <w:t>5</w:t>
            </w:r>
          </w:p>
        </w:tc>
        <w:tc>
          <w:tcPr>
            <w:tcW w:w="1545" w:type="dxa"/>
            <w:tcBorders>
              <w:top w:val="single" w:color="auto" w:sz="6" w:space="0"/>
              <w:left w:val="single" w:color="auto" w:sz="4" w:space="0"/>
              <w:bottom w:val="single" w:color="auto" w:sz="6" w:space="0"/>
              <w:right w:val="single" w:color="auto" w:sz="6" w:space="0"/>
            </w:tcBorders>
            <w:vAlign w:val="center"/>
          </w:tcPr>
          <w:p w14:paraId="08BABA54">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71C3B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12" w:type="dxa"/>
            <w:vMerge w:val="restart"/>
            <w:tcBorders>
              <w:top w:val="single" w:color="auto" w:sz="6" w:space="0"/>
              <w:left w:val="single" w:color="auto" w:sz="6" w:space="0"/>
              <w:right w:val="single" w:color="auto" w:sz="6" w:space="0"/>
            </w:tcBorders>
            <w:vAlign w:val="center"/>
          </w:tcPr>
          <w:p w14:paraId="2462C3F5">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2</w:t>
            </w:r>
          </w:p>
        </w:tc>
        <w:tc>
          <w:tcPr>
            <w:tcW w:w="1763" w:type="dxa"/>
            <w:vMerge w:val="restart"/>
            <w:tcBorders>
              <w:top w:val="single" w:color="auto" w:sz="6" w:space="0"/>
              <w:left w:val="single" w:color="auto" w:sz="6" w:space="0"/>
              <w:right w:val="single" w:color="auto" w:sz="6" w:space="0"/>
            </w:tcBorders>
            <w:vAlign w:val="center"/>
          </w:tcPr>
          <w:p w14:paraId="2ECEA8CA">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企业近三年以来有关业绩情况</w:t>
            </w:r>
          </w:p>
        </w:tc>
        <w:tc>
          <w:tcPr>
            <w:tcW w:w="4693" w:type="dxa"/>
            <w:tcBorders>
              <w:top w:val="single" w:color="auto" w:sz="6" w:space="0"/>
              <w:left w:val="single" w:color="auto" w:sz="6" w:space="0"/>
              <w:bottom w:val="single" w:color="auto" w:sz="6" w:space="0"/>
              <w:right w:val="single" w:color="auto" w:sz="6" w:space="0"/>
            </w:tcBorders>
            <w:vAlign w:val="center"/>
          </w:tcPr>
          <w:p w14:paraId="02DC8DB5">
            <w:pPr>
              <w:autoSpaceDE w:val="0"/>
              <w:autoSpaceDN w:val="0"/>
              <w:adjustRightInd w:val="0"/>
              <w:ind w:firstLine="420" w:firstLineChars="200"/>
              <w:jc w:val="left"/>
              <w:rPr>
                <w:rFonts w:hint="eastAsia" w:ascii="宋体" w:hAnsi="宋体" w:cs="Times New Roman"/>
                <w:color w:val="auto"/>
                <w:szCs w:val="21"/>
                <w:highlight w:val="none"/>
                <w:lang w:val="zh-CN"/>
              </w:rPr>
            </w:pPr>
            <w:r>
              <w:rPr>
                <w:rFonts w:hint="eastAsia" w:ascii="宋体" w:hAnsi="宋体" w:cs="Times New Roman"/>
                <w:color w:val="auto"/>
                <w:szCs w:val="21"/>
                <w:highlight w:val="none"/>
                <w:lang w:eastAsia="zh-CN"/>
              </w:rPr>
              <w:t>20</w:t>
            </w:r>
            <w:r>
              <w:rPr>
                <w:rFonts w:hint="eastAsia" w:ascii="宋体" w:hAnsi="宋体" w:cs="Times New Roman"/>
                <w:color w:val="auto"/>
                <w:szCs w:val="21"/>
                <w:highlight w:val="none"/>
                <w:lang w:val="en-US" w:eastAsia="zh-CN"/>
              </w:rPr>
              <w:t>21</w:t>
            </w:r>
            <w:r>
              <w:rPr>
                <w:rFonts w:hint="eastAsia" w:ascii="宋体" w:hAnsi="宋体" w:cs="Times New Roman"/>
                <w:color w:val="auto"/>
                <w:szCs w:val="21"/>
                <w:highlight w:val="none"/>
                <w:lang w:eastAsia="zh-CN"/>
              </w:rPr>
              <w:t>年1月1日至今期间，投标人受政府部门委托开展涉及安全管理相关培训的，一次得</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分，累计上限最高为</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lang w:eastAsia="zh-CN"/>
              </w:rPr>
              <w:t>分（提供合同扫描件为证，否则不得分）；</w:t>
            </w:r>
          </w:p>
        </w:tc>
        <w:tc>
          <w:tcPr>
            <w:tcW w:w="687" w:type="dxa"/>
            <w:tcBorders>
              <w:top w:val="single" w:color="auto" w:sz="6" w:space="0"/>
              <w:left w:val="single" w:color="auto" w:sz="6" w:space="0"/>
              <w:bottom w:val="single" w:color="auto" w:sz="6" w:space="0"/>
              <w:right w:val="single" w:color="auto" w:sz="4" w:space="0"/>
            </w:tcBorders>
            <w:vAlign w:val="center"/>
          </w:tcPr>
          <w:p w14:paraId="41B49D8D">
            <w:pPr>
              <w:autoSpaceDE w:val="0"/>
              <w:autoSpaceDN w:val="0"/>
              <w:adjustRightIn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tcBorders>
              <w:top w:val="single" w:color="auto" w:sz="6" w:space="0"/>
              <w:left w:val="single" w:color="auto" w:sz="4" w:space="0"/>
              <w:bottom w:val="single" w:color="auto" w:sz="6" w:space="0"/>
              <w:right w:val="single" w:color="auto" w:sz="6" w:space="0"/>
            </w:tcBorders>
            <w:vAlign w:val="center"/>
          </w:tcPr>
          <w:p w14:paraId="789EE870">
            <w:pPr>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586CC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12" w:type="dxa"/>
            <w:vMerge w:val="continue"/>
            <w:tcBorders>
              <w:left w:val="single" w:color="auto" w:sz="6" w:space="0"/>
              <w:right w:val="single" w:color="auto" w:sz="6" w:space="0"/>
            </w:tcBorders>
            <w:vAlign w:val="center"/>
          </w:tcPr>
          <w:p w14:paraId="0ED9657A">
            <w:pPr>
              <w:widowControl/>
              <w:jc w:val="left"/>
              <w:rPr>
                <w:rFonts w:ascii="宋体" w:hAnsi="宋体" w:cs="Times New Roman"/>
                <w:color w:val="auto"/>
                <w:szCs w:val="21"/>
                <w:highlight w:val="none"/>
                <w:lang w:val="zh-CN"/>
              </w:rPr>
            </w:pPr>
          </w:p>
        </w:tc>
        <w:tc>
          <w:tcPr>
            <w:tcW w:w="1763" w:type="dxa"/>
            <w:vMerge w:val="continue"/>
            <w:tcBorders>
              <w:left w:val="single" w:color="auto" w:sz="6" w:space="0"/>
              <w:right w:val="single" w:color="auto" w:sz="6" w:space="0"/>
            </w:tcBorders>
            <w:vAlign w:val="center"/>
          </w:tcPr>
          <w:p w14:paraId="67C2A5DC">
            <w:pPr>
              <w:widowControl/>
              <w:jc w:val="left"/>
              <w:rPr>
                <w:rFonts w:ascii="宋体" w:hAnsi="宋体" w:cs="Times New Roman"/>
                <w:color w:val="auto"/>
                <w:szCs w:val="21"/>
                <w:highlight w:val="none"/>
                <w:lang w:val="zh-CN"/>
              </w:rPr>
            </w:pPr>
          </w:p>
        </w:tc>
        <w:tc>
          <w:tcPr>
            <w:tcW w:w="4693" w:type="dxa"/>
            <w:tcBorders>
              <w:top w:val="single" w:color="auto" w:sz="6" w:space="0"/>
              <w:left w:val="single" w:color="auto" w:sz="6" w:space="0"/>
              <w:bottom w:val="single" w:color="auto" w:sz="6" w:space="0"/>
              <w:right w:val="single" w:color="auto" w:sz="6" w:space="0"/>
            </w:tcBorders>
            <w:vAlign w:val="center"/>
          </w:tcPr>
          <w:p w14:paraId="7DEE9101">
            <w:pPr>
              <w:autoSpaceDE w:val="0"/>
              <w:autoSpaceDN w:val="0"/>
              <w:adjustRightInd w:val="0"/>
              <w:ind w:firstLine="420" w:firstLineChars="20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20</w:t>
            </w:r>
            <w:r>
              <w:rPr>
                <w:rFonts w:hint="eastAsia" w:ascii="宋体" w:hAnsi="宋体" w:cs="Times New Roman"/>
                <w:color w:val="auto"/>
                <w:szCs w:val="21"/>
                <w:highlight w:val="none"/>
                <w:lang w:val="en-US" w:eastAsia="zh-CN"/>
              </w:rPr>
              <w:t>21</w:t>
            </w:r>
            <w:r>
              <w:rPr>
                <w:rFonts w:hint="eastAsia" w:ascii="宋体" w:hAnsi="宋体" w:cs="Times New Roman"/>
                <w:color w:val="auto"/>
                <w:szCs w:val="21"/>
                <w:highlight w:val="none"/>
              </w:rPr>
              <w:t>年1月1日至今期间</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受政府</w:t>
            </w:r>
            <w:r>
              <w:rPr>
                <w:rFonts w:hint="eastAsia" w:ascii="宋体" w:hAnsi="宋体" w:cs="Times New Roman"/>
                <w:color w:val="auto"/>
                <w:szCs w:val="21"/>
                <w:highlight w:val="none"/>
                <w:lang w:eastAsia="zh-CN"/>
              </w:rPr>
              <w:t>部门</w:t>
            </w:r>
            <w:r>
              <w:rPr>
                <w:rFonts w:hint="eastAsia" w:ascii="宋体" w:hAnsi="宋体" w:cs="Times New Roman"/>
                <w:color w:val="auto"/>
                <w:szCs w:val="21"/>
                <w:highlight w:val="none"/>
              </w:rPr>
              <w:t>委托开展</w:t>
            </w:r>
            <w:r>
              <w:rPr>
                <w:rFonts w:hint="eastAsia" w:ascii="宋体" w:hAnsi="宋体" w:cs="Times New Roman"/>
                <w:color w:val="auto"/>
                <w:szCs w:val="21"/>
                <w:highlight w:val="none"/>
                <w:lang w:eastAsia="zh-CN"/>
              </w:rPr>
              <w:t>涉及建筑行业（含小散工程）</w:t>
            </w:r>
            <w:r>
              <w:rPr>
                <w:rFonts w:hint="eastAsia" w:ascii="宋体" w:hAnsi="宋体" w:cs="Times New Roman"/>
                <w:color w:val="auto"/>
                <w:szCs w:val="21"/>
                <w:highlight w:val="none"/>
              </w:rPr>
              <w:t>相关</w:t>
            </w:r>
            <w:r>
              <w:rPr>
                <w:rFonts w:hint="eastAsia" w:ascii="宋体" w:hAnsi="宋体" w:cs="Times New Roman"/>
                <w:color w:val="auto"/>
                <w:szCs w:val="21"/>
                <w:highlight w:val="none"/>
                <w:lang w:eastAsia="zh-CN"/>
              </w:rPr>
              <w:t>培训</w:t>
            </w:r>
            <w:r>
              <w:rPr>
                <w:rFonts w:hint="eastAsia" w:ascii="宋体" w:hAnsi="宋体" w:cs="Times New Roman"/>
                <w:color w:val="auto"/>
                <w:szCs w:val="21"/>
                <w:highlight w:val="none"/>
              </w:rPr>
              <w:t>的</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一</w:t>
            </w:r>
            <w:r>
              <w:rPr>
                <w:rFonts w:hint="eastAsia" w:ascii="宋体" w:hAnsi="宋体" w:cs="Times New Roman"/>
                <w:color w:val="auto"/>
                <w:szCs w:val="21"/>
                <w:highlight w:val="none"/>
                <w:lang w:eastAsia="zh-CN"/>
              </w:rPr>
              <w:t>次</w:t>
            </w:r>
            <w:r>
              <w:rPr>
                <w:rFonts w:hint="eastAsia" w:ascii="宋体" w:hAnsi="宋体" w:cs="Times New Roman"/>
                <w:color w:val="auto"/>
                <w:szCs w:val="21"/>
                <w:highlight w:val="none"/>
              </w:rPr>
              <w:t>得</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分，最高得</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rPr>
              <w:t>分（提供合同扫描件为证，否则不得分）</w:t>
            </w:r>
            <w:r>
              <w:rPr>
                <w:rFonts w:hint="eastAsia" w:ascii="宋体" w:hAnsi="宋体" w:cs="Times New Roman"/>
                <w:color w:val="auto"/>
                <w:szCs w:val="21"/>
                <w:highlight w:val="none"/>
                <w:lang w:eastAsia="zh-CN"/>
              </w:rPr>
              <w:t>；</w:t>
            </w:r>
          </w:p>
        </w:tc>
        <w:tc>
          <w:tcPr>
            <w:tcW w:w="687" w:type="dxa"/>
            <w:tcBorders>
              <w:top w:val="single" w:color="auto" w:sz="6" w:space="0"/>
              <w:left w:val="single" w:color="auto" w:sz="6" w:space="0"/>
              <w:bottom w:val="single" w:color="auto" w:sz="6" w:space="0"/>
              <w:right w:val="single" w:color="auto" w:sz="4" w:space="0"/>
            </w:tcBorders>
            <w:vAlign w:val="center"/>
          </w:tcPr>
          <w:p w14:paraId="17BA98EA">
            <w:pPr>
              <w:autoSpaceDE w:val="0"/>
              <w:autoSpaceDN w:val="0"/>
              <w:adjustRightIn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tcBorders>
              <w:top w:val="single" w:color="auto" w:sz="6" w:space="0"/>
              <w:left w:val="single" w:color="auto" w:sz="4" w:space="0"/>
              <w:bottom w:val="single" w:color="auto" w:sz="6" w:space="0"/>
              <w:right w:val="single" w:color="auto" w:sz="6" w:space="0"/>
            </w:tcBorders>
            <w:vAlign w:val="center"/>
          </w:tcPr>
          <w:p w14:paraId="0F55F109">
            <w:pPr>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7EBFE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12" w:type="dxa"/>
            <w:vMerge w:val="continue"/>
            <w:tcBorders>
              <w:left w:val="single" w:color="auto" w:sz="6" w:space="0"/>
              <w:right w:val="single" w:color="auto" w:sz="6" w:space="0"/>
            </w:tcBorders>
            <w:vAlign w:val="center"/>
          </w:tcPr>
          <w:p w14:paraId="05B3B86B">
            <w:pPr>
              <w:widowControl/>
              <w:jc w:val="left"/>
              <w:rPr>
                <w:rFonts w:ascii="宋体" w:hAnsi="宋体" w:cs="Times New Roman"/>
                <w:color w:val="auto"/>
                <w:szCs w:val="21"/>
                <w:highlight w:val="none"/>
                <w:lang w:val="zh-CN"/>
              </w:rPr>
            </w:pPr>
          </w:p>
        </w:tc>
        <w:tc>
          <w:tcPr>
            <w:tcW w:w="1763" w:type="dxa"/>
            <w:vMerge w:val="continue"/>
            <w:tcBorders>
              <w:left w:val="single" w:color="auto" w:sz="6" w:space="0"/>
              <w:right w:val="single" w:color="auto" w:sz="6" w:space="0"/>
            </w:tcBorders>
            <w:vAlign w:val="center"/>
          </w:tcPr>
          <w:p w14:paraId="528FB294">
            <w:pPr>
              <w:widowControl/>
              <w:jc w:val="left"/>
              <w:rPr>
                <w:rFonts w:ascii="宋体" w:hAnsi="宋体" w:cs="Times New Roman"/>
                <w:color w:val="auto"/>
                <w:szCs w:val="21"/>
                <w:highlight w:val="none"/>
                <w:lang w:val="zh-CN"/>
              </w:rPr>
            </w:pPr>
          </w:p>
        </w:tc>
        <w:tc>
          <w:tcPr>
            <w:tcW w:w="4693" w:type="dxa"/>
            <w:tcBorders>
              <w:top w:val="single" w:color="auto" w:sz="6" w:space="0"/>
              <w:left w:val="single" w:color="auto" w:sz="6" w:space="0"/>
              <w:bottom w:val="single" w:color="auto" w:sz="6" w:space="0"/>
              <w:right w:val="single" w:color="auto" w:sz="6" w:space="0"/>
            </w:tcBorders>
            <w:vAlign w:val="center"/>
          </w:tcPr>
          <w:p w14:paraId="05251C46">
            <w:pPr>
              <w:autoSpaceDE w:val="0"/>
              <w:autoSpaceDN w:val="0"/>
              <w:adjustRightInd w:val="0"/>
              <w:ind w:firstLine="420" w:firstLineChars="20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20</w:t>
            </w:r>
            <w:r>
              <w:rPr>
                <w:rFonts w:hint="eastAsia" w:ascii="宋体" w:hAnsi="宋体" w:cs="Times New Roman"/>
                <w:color w:val="auto"/>
                <w:szCs w:val="21"/>
                <w:highlight w:val="none"/>
                <w:lang w:val="en-US" w:eastAsia="zh-CN"/>
              </w:rPr>
              <w:t>21</w:t>
            </w:r>
            <w:r>
              <w:rPr>
                <w:rFonts w:hint="eastAsia" w:ascii="宋体" w:hAnsi="宋体" w:cs="Times New Roman"/>
                <w:color w:val="auto"/>
                <w:szCs w:val="21"/>
                <w:highlight w:val="none"/>
              </w:rPr>
              <w:t>年1月1日至今期间，投标人受政府</w:t>
            </w:r>
            <w:r>
              <w:rPr>
                <w:rFonts w:hint="eastAsia" w:ascii="宋体" w:hAnsi="宋体" w:cs="Times New Roman"/>
                <w:color w:val="auto"/>
                <w:szCs w:val="21"/>
                <w:highlight w:val="none"/>
                <w:lang w:eastAsia="zh-CN"/>
              </w:rPr>
              <w:t>部门</w:t>
            </w:r>
            <w:r>
              <w:rPr>
                <w:rFonts w:hint="eastAsia" w:ascii="宋体" w:hAnsi="宋体" w:cs="Times New Roman"/>
                <w:color w:val="auto"/>
                <w:szCs w:val="21"/>
                <w:highlight w:val="none"/>
              </w:rPr>
              <w:t>委托开展涉及</w:t>
            </w:r>
            <w:r>
              <w:rPr>
                <w:rFonts w:hint="eastAsia" w:ascii="宋体" w:hAnsi="宋体" w:cs="Times New Roman"/>
                <w:color w:val="auto"/>
                <w:szCs w:val="21"/>
                <w:highlight w:val="none"/>
                <w:lang w:eastAsia="zh-CN"/>
              </w:rPr>
              <w:t>建筑行业（含小散工程）</w:t>
            </w:r>
            <w:r>
              <w:rPr>
                <w:rFonts w:hint="eastAsia" w:ascii="宋体" w:hAnsi="宋体" w:cs="Times New Roman"/>
                <w:color w:val="auto"/>
                <w:szCs w:val="21"/>
                <w:highlight w:val="none"/>
              </w:rPr>
              <w:t>相关</w:t>
            </w:r>
            <w:r>
              <w:rPr>
                <w:rFonts w:hint="eastAsia" w:ascii="宋体" w:hAnsi="宋体" w:cs="Times New Roman"/>
                <w:color w:val="auto"/>
                <w:szCs w:val="21"/>
                <w:highlight w:val="none"/>
                <w:lang w:eastAsia="zh-CN"/>
              </w:rPr>
              <w:t>培训的</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且</w:t>
            </w:r>
            <w:r>
              <w:rPr>
                <w:rFonts w:hint="eastAsia" w:ascii="宋体" w:hAnsi="宋体" w:cs="Times New Roman"/>
                <w:color w:val="auto"/>
                <w:szCs w:val="21"/>
                <w:highlight w:val="none"/>
              </w:rPr>
              <w:t>履约评价为优的，一次得</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分，累计上限最高为1</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分（提供相关页扫描件为证，否则不得分）</w:t>
            </w:r>
            <w:r>
              <w:rPr>
                <w:rFonts w:hint="eastAsia" w:ascii="宋体" w:hAnsi="宋体" w:cs="Times New Roman"/>
                <w:color w:val="auto"/>
                <w:szCs w:val="21"/>
                <w:highlight w:val="none"/>
                <w:lang w:eastAsia="zh-CN"/>
              </w:rPr>
              <w:t>；</w:t>
            </w:r>
          </w:p>
        </w:tc>
        <w:tc>
          <w:tcPr>
            <w:tcW w:w="687" w:type="dxa"/>
            <w:tcBorders>
              <w:top w:val="single" w:color="auto" w:sz="6" w:space="0"/>
              <w:left w:val="single" w:color="auto" w:sz="6" w:space="0"/>
              <w:bottom w:val="single" w:color="auto" w:sz="6" w:space="0"/>
              <w:right w:val="single" w:color="auto" w:sz="4" w:space="0"/>
            </w:tcBorders>
            <w:vAlign w:val="center"/>
          </w:tcPr>
          <w:p w14:paraId="6A4A6159">
            <w:pPr>
              <w:autoSpaceDE w:val="0"/>
              <w:autoSpaceDN w:val="0"/>
              <w:adjustRightInd w:val="0"/>
              <w:jc w:val="center"/>
              <w:rPr>
                <w:rFonts w:hint="eastAsia" w:ascii="宋体" w:hAnsi="宋体" w:eastAsia="宋体" w:cs="Times New Roman"/>
                <w:color w:val="auto"/>
                <w:szCs w:val="21"/>
                <w:highlight w:val="none"/>
                <w:lang w:val="zh-CN" w:eastAsia="zh-CN"/>
              </w:rPr>
            </w:pPr>
            <w:r>
              <w:rPr>
                <w:rFonts w:hint="eastAsia" w:ascii="宋体" w:hAnsi="宋体" w:cs="Times New Roman"/>
                <w:color w:val="auto"/>
                <w:szCs w:val="21"/>
                <w:highlight w:val="none"/>
                <w:lang w:val="zh-CN"/>
              </w:rPr>
              <w:t>1</w:t>
            </w:r>
            <w:r>
              <w:rPr>
                <w:rFonts w:hint="eastAsia" w:ascii="宋体" w:hAnsi="宋体" w:cs="Times New Roman"/>
                <w:color w:val="auto"/>
                <w:szCs w:val="21"/>
                <w:highlight w:val="none"/>
                <w:lang w:val="en-US" w:eastAsia="zh-CN"/>
              </w:rPr>
              <w:t>5</w:t>
            </w:r>
          </w:p>
        </w:tc>
        <w:tc>
          <w:tcPr>
            <w:tcW w:w="1545" w:type="dxa"/>
            <w:tcBorders>
              <w:top w:val="single" w:color="auto" w:sz="6" w:space="0"/>
              <w:left w:val="single" w:color="auto" w:sz="4" w:space="0"/>
              <w:bottom w:val="single" w:color="auto" w:sz="6" w:space="0"/>
              <w:right w:val="single" w:color="auto" w:sz="6" w:space="0"/>
            </w:tcBorders>
            <w:vAlign w:val="center"/>
          </w:tcPr>
          <w:p w14:paraId="22FC4E5B">
            <w:pPr>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7495C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068" w:type="dxa"/>
            <w:gridSpan w:val="3"/>
            <w:tcBorders>
              <w:top w:val="single" w:color="auto" w:sz="6" w:space="0"/>
              <w:left w:val="single" w:color="auto" w:sz="6" w:space="0"/>
              <w:bottom w:val="single" w:color="auto" w:sz="6" w:space="0"/>
              <w:right w:val="single" w:color="auto" w:sz="6" w:space="0"/>
            </w:tcBorders>
            <w:vAlign w:val="center"/>
          </w:tcPr>
          <w:p w14:paraId="0E74CC9E">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b/>
                <w:color w:val="auto"/>
                <w:szCs w:val="21"/>
                <w:highlight w:val="none"/>
                <w:lang w:val="zh-CN"/>
              </w:rPr>
              <w:t>三、技术部分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14:paraId="1D7D5C77">
            <w:pPr>
              <w:autoSpaceDE w:val="0"/>
              <w:autoSpaceDN w:val="0"/>
              <w:adjustRightInd w:val="0"/>
              <w:jc w:val="center"/>
              <w:rPr>
                <w:rFonts w:ascii="宋体" w:hAnsi="宋体" w:cs="Times New Roman"/>
                <w:color w:val="auto"/>
                <w:szCs w:val="21"/>
                <w:highlight w:val="none"/>
              </w:rPr>
            </w:pPr>
            <w:r>
              <w:rPr>
                <w:rFonts w:hint="eastAsia" w:ascii="宋体" w:hAnsi="宋体" w:cs="Times New Roman"/>
                <w:b/>
                <w:bCs/>
                <w:color w:val="auto"/>
                <w:szCs w:val="21"/>
                <w:highlight w:val="none"/>
                <w:lang w:val="en-US" w:eastAsia="zh-CN"/>
              </w:rPr>
              <w:t>40</w:t>
            </w:r>
            <w:r>
              <w:rPr>
                <w:rFonts w:hint="eastAsia" w:ascii="宋体" w:hAnsi="宋体" w:cs="Times New Roman"/>
                <w:b/>
                <w:bCs/>
                <w:color w:val="auto"/>
                <w:szCs w:val="21"/>
                <w:highlight w:val="none"/>
              </w:rPr>
              <w:t>分</w:t>
            </w:r>
          </w:p>
        </w:tc>
      </w:tr>
      <w:tr w14:paraId="5E44A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612" w:type="dxa"/>
            <w:tcBorders>
              <w:top w:val="single" w:color="auto" w:sz="6" w:space="0"/>
              <w:left w:val="single" w:color="auto" w:sz="6" w:space="0"/>
              <w:bottom w:val="single" w:color="auto" w:sz="6" w:space="0"/>
              <w:right w:val="single" w:color="auto" w:sz="6" w:space="0"/>
            </w:tcBorders>
            <w:vAlign w:val="center"/>
          </w:tcPr>
          <w:p w14:paraId="3699B864">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序号</w:t>
            </w:r>
          </w:p>
        </w:tc>
        <w:tc>
          <w:tcPr>
            <w:tcW w:w="1763" w:type="dxa"/>
            <w:tcBorders>
              <w:top w:val="single" w:color="auto" w:sz="6" w:space="0"/>
              <w:left w:val="single" w:color="auto" w:sz="6" w:space="0"/>
              <w:bottom w:val="single" w:color="auto" w:sz="6" w:space="0"/>
              <w:right w:val="single" w:color="auto" w:sz="6" w:space="0"/>
            </w:tcBorders>
            <w:vAlign w:val="center"/>
          </w:tcPr>
          <w:p w14:paraId="193C2A66">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内容</w:t>
            </w:r>
          </w:p>
        </w:tc>
        <w:tc>
          <w:tcPr>
            <w:tcW w:w="4693" w:type="dxa"/>
            <w:tcBorders>
              <w:top w:val="single" w:color="auto" w:sz="6" w:space="0"/>
              <w:left w:val="single" w:color="auto" w:sz="6" w:space="0"/>
              <w:bottom w:val="single" w:color="auto" w:sz="6" w:space="0"/>
              <w:right w:val="single" w:color="auto" w:sz="6" w:space="0"/>
            </w:tcBorders>
            <w:vAlign w:val="center"/>
          </w:tcPr>
          <w:p w14:paraId="4DFC5E35">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14:paraId="46856F6C">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权重</w:t>
            </w:r>
          </w:p>
        </w:tc>
        <w:tc>
          <w:tcPr>
            <w:tcW w:w="1545" w:type="dxa"/>
            <w:tcBorders>
              <w:top w:val="single" w:color="auto" w:sz="6" w:space="0"/>
              <w:left w:val="single" w:color="auto" w:sz="4" w:space="0"/>
              <w:bottom w:val="single" w:color="auto" w:sz="6" w:space="0"/>
              <w:right w:val="single" w:color="auto" w:sz="6" w:space="0"/>
            </w:tcBorders>
            <w:vAlign w:val="center"/>
          </w:tcPr>
          <w:p w14:paraId="125CA6E7">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评分方式</w:t>
            </w:r>
          </w:p>
        </w:tc>
      </w:tr>
      <w:tr w14:paraId="38297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612" w:type="dxa"/>
            <w:vMerge w:val="restart"/>
            <w:tcBorders>
              <w:top w:val="single" w:color="auto" w:sz="6" w:space="0"/>
              <w:left w:val="single" w:color="auto" w:sz="6" w:space="0"/>
              <w:right w:val="single" w:color="auto" w:sz="6" w:space="0"/>
            </w:tcBorders>
            <w:vAlign w:val="center"/>
          </w:tcPr>
          <w:p w14:paraId="2085770F">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1</w:t>
            </w:r>
          </w:p>
        </w:tc>
        <w:tc>
          <w:tcPr>
            <w:tcW w:w="1763" w:type="dxa"/>
            <w:vMerge w:val="restart"/>
            <w:tcBorders>
              <w:top w:val="single" w:color="auto" w:sz="6" w:space="0"/>
              <w:left w:val="single" w:color="auto" w:sz="6" w:space="0"/>
              <w:right w:val="single" w:color="auto" w:sz="6" w:space="0"/>
            </w:tcBorders>
            <w:vAlign w:val="center"/>
          </w:tcPr>
          <w:p w14:paraId="74464138">
            <w:pPr>
              <w:autoSpaceDE w:val="0"/>
              <w:autoSpaceDN w:val="0"/>
              <w:adjustRightInd w:val="0"/>
              <w:snapToGrid w:val="0"/>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zh-CN"/>
              </w:rPr>
              <w:t>项目负责人资历</w:t>
            </w:r>
          </w:p>
        </w:tc>
        <w:tc>
          <w:tcPr>
            <w:tcW w:w="4693" w:type="dxa"/>
            <w:tcBorders>
              <w:top w:val="single" w:color="auto" w:sz="6" w:space="0"/>
              <w:left w:val="single" w:color="auto" w:sz="6" w:space="0"/>
              <w:bottom w:val="single" w:color="auto" w:sz="4" w:space="0"/>
              <w:right w:val="single" w:color="auto" w:sz="6" w:space="0"/>
            </w:tcBorders>
            <w:vAlign w:val="center"/>
          </w:tcPr>
          <w:p w14:paraId="09F5FFC8">
            <w:pPr>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项目负责人必须是投标人正式任职的人员（提供近6个月的社保证明），具</w:t>
            </w:r>
            <w:r>
              <w:rPr>
                <w:rFonts w:hint="eastAsia" w:ascii="宋体" w:hAnsi="宋体" w:cs="Times New Roman"/>
                <w:color w:val="auto"/>
                <w:szCs w:val="21"/>
                <w:highlight w:val="none"/>
                <w:lang w:val="zh-CN" w:eastAsia="zh-CN"/>
              </w:rPr>
              <w:t>备建筑工程相关专业高级工程师证或一级建造师或注册监理工程师或注册安全工程师证，得</w:t>
            </w:r>
            <w:r>
              <w:rPr>
                <w:rFonts w:hint="eastAsia" w:ascii="宋体" w:hAnsi="宋体" w:cs="Times New Roman"/>
                <w:color w:val="auto"/>
                <w:szCs w:val="21"/>
                <w:highlight w:val="none"/>
                <w:lang w:val="en-US" w:eastAsia="zh-CN"/>
              </w:rPr>
              <w:t>5分；具备广东省安全生产培训教员证，得5分</w:t>
            </w:r>
            <w:r>
              <w:rPr>
                <w:rFonts w:hint="eastAsia" w:ascii="宋体" w:hAnsi="宋体" w:cs="Times New Roman"/>
                <w:color w:val="auto"/>
                <w:szCs w:val="21"/>
                <w:highlight w:val="none"/>
                <w:lang w:val="zh-CN"/>
              </w:rPr>
              <w:t>。</w:t>
            </w:r>
          </w:p>
        </w:tc>
        <w:tc>
          <w:tcPr>
            <w:tcW w:w="687" w:type="dxa"/>
            <w:tcBorders>
              <w:top w:val="single" w:color="auto" w:sz="6" w:space="0"/>
              <w:left w:val="single" w:color="auto" w:sz="6" w:space="0"/>
              <w:bottom w:val="single" w:color="auto" w:sz="4" w:space="0"/>
              <w:right w:val="single" w:color="auto" w:sz="4" w:space="0"/>
            </w:tcBorders>
            <w:vAlign w:val="center"/>
          </w:tcPr>
          <w:p w14:paraId="1FEBD48D">
            <w:pPr>
              <w:autoSpaceDE w:val="0"/>
              <w:autoSpaceDN w:val="0"/>
              <w:adjustRightInd w:val="0"/>
              <w:snapToGrid w:val="0"/>
              <w:jc w:val="center"/>
              <w:rPr>
                <w:rFonts w:ascii="宋体" w:hAnsi="宋体" w:cs="Times New Roman"/>
                <w:color w:val="auto"/>
                <w:szCs w:val="21"/>
                <w:highlight w:val="none"/>
              </w:rPr>
            </w:pPr>
            <w:r>
              <w:rPr>
                <w:rFonts w:hint="eastAsia" w:ascii="宋体" w:hAnsi="宋体" w:cs="Times New Roman"/>
                <w:color w:val="auto"/>
                <w:szCs w:val="21"/>
                <w:highlight w:val="none"/>
              </w:rPr>
              <w:t>10</w:t>
            </w:r>
          </w:p>
        </w:tc>
        <w:tc>
          <w:tcPr>
            <w:tcW w:w="1545" w:type="dxa"/>
            <w:vMerge w:val="restart"/>
            <w:tcBorders>
              <w:top w:val="single" w:color="auto" w:sz="6" w:space="0"/>
              <w:left w:val="single" w:color="auto" w:sz="4" w:space="0"/>
              <w:right w:val="single" w:color="auto" w:sz="6" w:space="0"/>
            </w:tcBorders>
            <w:vAlign w:val="center"/>
          </w:tcPr>
          <w:p w14:paraId="585EFE25">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1B87E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612" w:type="dxa"/>
            <w:vMerge w:val="continue"/>
            <w:tcBorders>
              <w:left w:val="single" w:color="auto" w:sz="6" w:space="0"/>
              <w:bottom w:val="single" w:color="auto" w:sz="6" w:space="0"/>
              <w:right w:val="single" w:color="auto" w:sz="6" w:space="0"/>
            </w:tcBorders>
            <w:vAlign w:val="center"/>
          </w:tcPr>
          <w:p w14:paraId="04694265">
            <w:pPr>
              <w:autoSpaceDE w:val="0"/>
              <w:autoSpaceDN w:val="0"/>
              <w:adjustRightInd w:val="0"/>
              <w:jc w:val="center"/>
              <w:rPr>
                <w:rFonts w:hint="eastAsia" w:ascii="宋体" w:hAnsi="宋体" w:cs="Times New Roman"/>
                <w:color w:val="auto"/>
                <w:szCs w:val="21"/>
                <w:highlight w:val="none"/>
                <w:lang w:val="zh-CN"/>
              </w:rPr>
            </w:pPr>
          </w:p>
        </w:tc>
        <w:tc>
          <w:tcPr>
            <w:tcW w:w="1763" w:type="dxa"/>
            <w:vMerge w:val="continue"/>
            <w:tcBorders>
              <w:left w:val="single" w:color="auto" w:sz="6" w:space="0"/>
              <w:bottom w:val="single" w:color="auto" w:sz="6" w:space="0"/>
              <w:right w:val="single" w:color="auto" w:sz="6" w:space="0"/>
            </w:tcBorders>
            <w:vAlign w:val="center"/>
          </w:tcPr>
          <w:p w14:paraId="4F076BC7">
            <w:pPr>
              <w:autoSpaceDE w:val="0"/>
              <w:autoSpaceDN w:val="0"/>
              <w:adjustRightInd w:val="0"/>
              <w:snapToGrid w:val="0"/>
              <w:jc w:val="center"/>
              <w:rPr>
                <w:rFonts w:hint="eastAsia" w:ascii="宋体" w:hAnsi="宋体" w:cs="Times New Roman"/>
                <w:color w:val="auto"/>
                <w:szCs w:val="21"/>
                <w:highlight w:val="none"/>
                <w:lang w:val="zh-CN"/>
              </w:rPr>
            </w:pPr>
          </w:p>
        </w:tc>
        <w:tc>
          <w:tcPr>
            <w:tcW w:w="4693" w:type="dxa"/>
            <w:tcBorders>
              <w:top w:val="single" w:color="auto" w:sz="4" w:space="0"/>
              <w:left w:val="single" w:color="auto" w:sz="6" w:space="0"/>
              <w:bottom w:val="single" w:color="auto" w:sz="6" w:space="0"/>
              <w:right w:val="single" w:color="auto" w:sz="6" w:space="0"/>
            </w:tcBorders>
            <w:vAlign w:val="center"/>
          </w:tcPr>
          <w:p w14:paraId="08F1567B">
            <w:pPr>
              <w:autoSpaceDE w:val="0"/>
              <w:autoSpaceDN w:val="0"/>
              <w:adjustRightInd w:val="0"/>
              <w:jc w:val="left"/>
              <w:rPr>
                <w:rFonts w:hint="eastAsia" w:ascii="宋体" w:hAnsi="宋体" w:cs="Times New Roman"/>
                <w:color w:val="auto"/>
                <w:szCs w:val="21"/>
                <w:highlight w:val="none"/>
                <w:lang w:val="zh-CN"/>
              </w:rPr>
            </w:pPr>
            <w:r>
              <w:rPr>
                <w:rFonts w:hint="eastAsia" w:ascii="宋体" w:hAnsi="宋体" w:cs="Times New Roman"/>
                <w:color w:val="auto"/>
                <w:szCs w:val="21"/>
                <w:highlight w:val="none"/>
              </w:rPr>
              <w:t>近</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年内有</w:t>
            </w:r>
            <w:r>
              <w:rPr>
                <w:rFonts w:hint="eastAsia" w:ascii="宋体" w:hAnsi="宋体" w:cs="Times New Roman"/>
                <w:color w:val="auto"/>
                <w:szCs w:val="21"/>
                <w:highlight w:val="none"/>
                <w:lang w:eastAsia="zh-CN"/>
              </w:rPr>
              <w:t>建设工程</w:t>
            </w:r>
            <w:r>
              <w:rPr>
                <w:rFonts w:hint="eastAsia" w:ascii="宋体" w:hAnsi="宋体" w:cs="Times New Roman"/>
                <w:color w:val="auto"/>
                <w:szCs w:val="21"/>
                <w:highlight w:val="none"/>
                <w:lang w:val="en-US" w:eastAsia="zh-CN"/>
              </w:rPr>
              <w:t>安全教育</w:t>
            </w:r>
            <w:r>
              <w:rPr>
                <w:rFonts w:hint="eastAsia" w:ascii="宋体" w:hAnsi="宋体" w:cs="Times New Roman"/>
                <w:color w:val="auto"/>
                <w:szCs w:val="21"/>
                <w:highlight w:val="none"/>
                <w:lang w:eastAsia="zh-CN"/>
              </w:rPr>
              <w:t>培训项目负责人</w:t>
            </w:r>
            <w:r>
              <w:rPr>
                <w:rFonts w:hint="eastAsia" w:ascii="宋体" w:hAnsi="宋体" w:cs="Times New Roman"/>
                <w:color w:val="auto"/>
                <w:szCs w:val="21"/>
                <w:highlight w:val="none"/>
              </w:rPr>
              <w:t>经验</w:t>
            </w:r>
            <w:r>
              <w:rPr>
                <w:rFonts w:hint="eastAsia" w:ascii="宋体" w:hAnsi="宋体" w:cs="Times New Roman"/>
                <w:color w:val="auto"/>
                <w:szCs w:val="21"/>
                <w:highlight w:val="none"/>
                <w:lang w:eastAsia="zh-CN"/>
              </w:rPr>
              <w:t>，每个项目得</w:t>
            </w:r>
            <w:r>
              <w:rPr>
                <w:rFonts w:hint="eastAsia" w:ascii="宋体" w:hAnsi="宋体" w:cs="Times New Roman"/>
                <w:color w:val="auto"/>
                <w:szCs w:val="21"/>
                <w:highlight w:val="none"/>
                <w:lang w:val="en-US" w:eastAsia="zh-CN"/>
              </w:rPr>
              <w:t>2分，最高得10分。</w:t>
            </w:r>
          </w:p>
        </w:tc>
        <w:tc>
          <w:tcPr>
            <w:tcW w:w="687" w:type="dxa"/>
            <w:tcBorders>
              <w:top w:val="single" w:color="auto" w:sz="4" w:space="0"/>
              <w:left w:val="single" w:color="auto" w:sz="6" w:space="0"/>
              <w:bottom w:val="single" w:color="auto" w:sz="6" w:space="0"/>
              <w:right w:val="single" w:color="auto" w:sz="4" w:space="0"/>
            </w:tcBorders>
            <w:vAlign w:val="center"/>
          </w:tcPr>
          <w:p w14:paraId="78C2931C">
            <w:pPr>
              <w:autoSpaceDE w:val="0"/>
              <w:autoSpaceDN w:val="0"/>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vMerge w:val="continue"/>
            <w:tcBorders>
              <w:left w:val="single" w:color="auto" w:sz="4" w:space="0"/>
              <w:bottom w:val="single" w:color="auto" w:sz="6" w:space="0"/>
              <w:right w:val="single" w:color="auto" w:sz="6" w:space="0"/>
            </w:tcBorders>
            <w:vAlign w:val="center"/>
          </w:tcPr>
          <w:p w14:paraId="30AC9138">
            <w:pPr>
              <w:autoSpaceDE w:val="0"/>
              <w:autoSpaceDN w:val="0"/>
              <w:adjustRightInd w:val="0"/>
              <w:jc w:val="center"/>
              <w:rPr>
                <w:rFonts w:hint="eastAsia" w:ascii="宋体" w:hAnsi="宋体" w:cs="Times New Roman"/>
                <w:color w:val="auto"/>
                <w:szCs w:val="21"/>
                <w:highlight w:val="none"/>
                <w:lang w:val="zh-CN"/>
              </w:rPr>
            </w:pPr>
          </w:p>
        </w:tc>
      </w:tr>
      <w:tr w14:paraId="7F53A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612" w:type="dxa"/>
            <w:vMerge w:val="restart"/>
            <w:tcBorders>
              <w:top w:val="single" w:color="auto" w:sz="6" w:space="0"/>
              <w:left w:val="single" w:color="auto" w:sz="6" w:space="0"/>
              <w:right w:val="single" w:color="auto" w:sz="6" w:space="0"/>
            </w:tcBorders>
            <w:vAlign w:val="center"/>
          </w:tcPr>
          <w:p w14:paraId="495A561E">
            <w:pPr>
              <w:autoSpaceDE w:val="0"/>
              <w:autoSpaceDN w:val="0"/>
              <w:adjustRightInd w:val="0"/>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p>
        </w:tc>
        <w:tc>
          <w:tcPr>
            <w:tcW w:w="1763" w:type="dxa"/>
            <w:vMerge w:val="restart"/>
            <w:tcBorders>
              <w:top w:val="single" w:color="auto" w:sz="6" w:space="0"/>
              <w:left w:val="single" w:color="auto" w:sz="6" w:space="0"/>
              <w:right w:val="single" w:color="auto" w:sz="6" w:space="0"/>
            </w:tcBorders>
            <w:vAlign w:val="center"/>
          </w:tcPr>
          <w:p w14:paraId="7029175E">
            <w:pPr>
              <w:autoSpaceDE w:val="0"/>
              <w:autoSpaceDN w:val="0"/>
              <w:adjustRightInd w:val="0"/>
              <w:snapToGrid w:val="0"/>
              <w:jc w:val="center"/>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讲师资历</w:t>
            </w:r>
          </w:p>
        </w:tc>
        <w:tc>
          <w:tcPr>
            <w:tcW w:w="4693" w:type="dxa"/>
            <w:tcBorders>
              <w:top w:val="single" w:color="auto" w:sz="6" w:space="0"/>
              <w:left w:val="single" w:color="auto" w:sz="6" w:space="0"/>
              <w:bottom w:val="single" w:color="auto" w:sz="4" w:space="0"/>
              <w:right w:val="single" w:color="auto" w:sz="6" w:space="0"/>
            </w:tcBorders>
            <w:vAlign w:val="center"/>
          </w:tcPr>
          <w:p w14:paraId="7017A4FE">
            <w:pPr>
              <w:autoSpaceDE w:val="0"/>
              <w:autoSpaceDN w:val="0"/>
              <w:adjustRightInd w:val="0"/>
              <w:ind w:firstLine="420" w:firstLineChars="200"/>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讲师应具备建筑工程相关专业副高级工程师证，得10分</w:t>
            </w:r>
            <w:r>
              <w:rPr>
                <w:rFonts w:hint="eastAsia" w:ascii="宋体" w:hAnsi="宋体" w:cs="Times New Roman"/>
                <w:color w:val="auto"/>
                <w:szCs w:val="21"/>
                <w:highlight w:val="none"/>
                <w:lang w:val="zh-CN"/>
              </w:rPr>
              <w:t>（必须是投标人正式任职的人员，提供近</w:t>
            </w:r>
            <w:r>
              <w:rPr>
                <w:rFonts w:hint="eastAsia" w:ascii="宋体" w:hAnsi="宋体" w:cs="Times New Roman"/>
                <w:color w:val="auto"/>
                <w:szCs w:val="21"/>
                <w:highlight w:val="none"/>
              </w:rPr>
              <w:t>6个月的社保证明</w:t>
            </w:r>
            <w:r>
              <w:rPr>
                <w:rFonts w:hint="eastAsia" w:ascii="宋体" w:hAnsi="宋体" w:cs="Times New Roman"/>
                <w:color w:val="auto"/>
                <w:szCs w:val="21"/>
                <w:highlight w:val="none"/>
                <w:lang w:val="zh-CN"/>
              </w:rPr>
              <w:t>）</w:t>
            </w:r>
            <w:r>
              <w:rPr>
                <w:rFonts w:hint="eastAsia" w:ascii="宋体" w:hAnsi="宋体" w:cs="Times New Roman"/>
                <w:color w:val="auto"/>
                <w:szCs w:val="21"/>
                <w:highlight w:val="none"/>
                <w:lang w:eastAsia="zh-CN"/>
              </w:rPr>
              <w:t>；</w:t>
            </w:r>
          </w:p>
        </w:tc>
        <w:tc>
          <w:tcPr>
            <w:tcW w:w="687" w:type="dxa"/>
            <w:tcBorders>
              <w:top w:val="single" w:color="auto" w:sz="6" w:space="0"/>
              <w:left w:val="single" w:color="auto" w:sz="6" w:space="0"/>
              <w:bottom w:val="single" w:color="auto" w:sz="4" w:space="0"/>
              <w:right w:val="single" w:color="auto" w:sz="4" w:space="0"/>
            </w:tcBorders>
            <w:vAlign w:val="center"/>
          </w:tcPr>
          <w:p w14:paraId="42307158">
            <w:pPr>
              <w:autoSpaceDE w:val="0"/>
              <w:autoSpaceDN w:val="0"/>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vMerge w:val="restart"/>
            <w:tcBorders>
              <w:top w:val="single" w:color="auto" w:sz="6" w:space="0"/>
              <w:left w:val="single" w:color="auto" w:sz="4" w:space="0"/>
              <w:right w:val="single" w:color="auto" w:sz="6" w:space="0"/>
            </w:tcBorders>
            <w:vAlign w:val="center"/>
          </w:tcPr>
          <w:p w14:paraId="67217E2D">
            <w:pPr>
              <w:autoSpaceDE w:val="0"/>
              <w:autoSpaceDN w:val="0"/>
              <w:adjustRightInd w:val="0"/>
              <w:jc w:val="center"/>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4F00F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612" w:type="dxa"/>
            <w:vMerge w:val="continue"/>
            <w:tcBorders>
              <w:left w:val="single" w:color="auto" w:sz="6" w:space="0"/>
              <w:bottom w:val="single" w:color="auto" w:sz="6" w:space="0"/>
              <w:right w:val="single" w:color="auto" w:sz="6" w:space="0"/>
            </w:tcBorders>
            <w:vAlign w:val="center"/>
          </w:tcPr>
          <w:p w14:paraId="26F97DDB">
            <w:pPr>
              <w:autoSpaceDE w:val="0"/>
              <w:autoSpaceDN w:val="0"/>
              <w:adjustRightInd w:val="0"/>
              <w:jc w:val="center"/>
              <w:rPr>
                <w:rFonts w:hint="eastAsia" w:ascii="宋体" w:hAnsi="宋体" w:cs="Times New Roman"/>
                <w:color w:val="auto"/>
                <w:szCs w:val="21"/>
                <w:highlight w:val="none"/>
                <w:lang w:val="en-US" w:eastAsia="zh-CN"/>
              </w:rPr>
            </w:pPr>
          </w:p>
        </w:tc>
        <w:tc>
          <w:tcPr>
            <w:tcW w:w="1763" w:type="dxa"/>
            <w:vMerge w:val="continue"/>
            <w:tcBorders>
              <w:left w:val="single" w:color="auto" w:sz="6" w:space="0"/>
              <w:bottom w:val="single" w:color="auto" w:sz="6" w:space="0"/>
              <w:right w:val="single" w:color="auto" w:sz="6" w:space="0"/>
            </w:tcBorders>
            <w:vAlign w:val="center"/>
          </w:tcPr>
          <w:p w14:paraId="09B391EF">
            <w:pPr>
              <w:autoSpaceDE w:val="0"/>
              <w:autoSpaceDN w:val="0"/>
              <w:adjustRightInd w:val="0"/>
              <w:snapToGrid w:val="0"/>
              <w:jc w:val="center"/>
              <w:rPr>
                <w:rFonts w:hint="eastAsia" w:ascii="宋体" w:hAnsi="宋体" w:cs="Times New Roman"/>
                <w:color w:val="auto"/>
                <w:szCs w:val="21"/>
                <w:highlight w:val="none"/>
                <w:lang w:val="zh-CN"/>
              </w:rPr>
            </w:pPr>
          </w:p>
        </w:tc>
        <w:tc>
          <w:tcPr>
            <w:tcW w:w="4693" w:type="dxa"/>
            <w:tcBorders>
              <w:top w:val="single" w:color="auto" w:sz="4" w:space="0"/>
              <w:left w:val="single" w:color="auto" w:sz="6" w:space="0"/>
              <w:bottom w:val="single" w:color="auto" w:sz="6" w:space="0"/>
              <w:right w:val="single" w:color="auto" w:sz="6" w:space="0"/>
            </w:tcBorders>
            <w:vAlign w:val="center"/>
          </w:tcPr>
          <w:p w14:paraId="528FB333">
            <w:pPr>
              <w:autoSpaceDE w:val="0"/>
              <w:autoSpaceDN w:val="0"/>
              <w:adjustRightInd w:val="0"/>
              <w:ind w:firstLine="420" w:firstLineChars="200"/>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eastAsia="zh-CN"/>
              </w:rPr>
              <w:t>讲师</w:t>
            </w:r>
            <w:r>
              <w:rPr>
                <w:rFonts w:hint="eastAsia" w:ascii="宋体" w:hAnsi="宋体" w:cs="Times New Roman"/>
                <w:color w:val="auto"/>
                <w:szCs w:val="21"/>
                <w:highlight w:val="none"/>
              </w:rPr>
              <w:t>近</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年内有</w:t>
            </w:r>
            <w:r>
              <w:rPr>
                <w:rFonts w:hint="eastAsia" w:ascii="宋体" w:hAnsi="宋体" w:cs="Times New Roman"/>
                <w:color w:val="auto"/>
                <w:szCs w:val="21"/>
                <w:highlight w:val="none"/>
                <w:lang w:eastAsia="zh-CN"/>
              </w:rPr>
              <w:t>建设工程</w:t>
            </w:r>
            <w:r>
              <w:rPr>
                <w:rFonts w:hint="eastAsia" w:ascii="宋体" w:hAnsi="宋体" w:cs="Times New Roman"/>
                <w:color w:val="auto"/>
                <w:szCs w:val="21"/>
                <w:highlight w:val="none"/>
                <w:lang w:val="en-US" w:eastAsia="zh-CN"/>
              </w:rPr>
              <w:t>安全教育</w:t>
            </w:r>
            <w:r>
              <w:rPr>
                <w:rFonts w:hint="eastAsia" w:ascii="宋体" w:hAnsi="宋体" w:cs="Times New Roman"/>
                <w:color w:val="auto"/>
                <w:szCs w:val="21"/>
                <w:highlight w:val="none"/>
                <w:lang w:eastAsia="zh-CN"/>
              </w:rPr>
              <w:t>培训项目</w:t>
            </w:r>
            <w:r>
              <w:rPr>
                <w:rFonts w:hint="eastAsia" w:ascii="宋体" w:hAnsi="宋体" w:cs="Times New Roman"/>
                <w:color w:val="auto"/>
                <w:szCs w:val="21"/>
                <w:highlight w:val="none"/>
              </w:rPr>
              <w:t>相关经验</w:t>
            </w:r>
            <w:r>
              <w:rPr>
                <w:rFonts w:hint="eastAsia" w:ascii="宋体" w:hAnsi="宋体" w:cs="Times New Roman"/>
                <w:color w:val="auto"/>
                <w:szCs w:val="21"/>
                <w:highlight w:val="none"/>
                <w:lang w:eastAsia="zh-CN"/>
              </w:rPr>
              <w:t>，每个项目得</w:t>
            </w:r>
            <w:r>
              <w:rPr>
                <w:rFonts w:hint="eastAsia" w:ascii="宋体" w:hAnsi="宋体" w:cs="Times New Roman"/>
                <w:color w:val="auto"/>
                <w:szCs w:val="21"/>
                <w:highlight w:val="none"/>
                <w:lang w:val="en-US" w:eastAsia="zh-CN"/>
              </w:rPr>
              <w:t>2分，最高得10分。</w:t>
            </w:r>
          </w:p>
        </w:tc>
        <w:tc>
          <w:tcPr>
            <w:tcW w:w="687" w:type="dxa"/>
            <w:tcBorders>
              <w:top w:val="single" w:color="auto" w:sz="4" w:space="0"/>
              <w:left w:val="single" w:color="auto" w:sz="6" w:space="0"/>
              <w:bottom w:val="single" w:color="auto" w:sz="6" w:space="0"/>
              <w:right w:val="single" w:color="auto" w:sz="4" w:space="0"/>
            </w:tcBorders>
            <w:vAlign w:val="center"/>
          </w:tcPr>
          <w:p w14:paraId="07280F67">
            <w:pPr>
              <w:autoSpaceDE w:val="0"/>
              <w:autoSpaceDN w:val="0"/>
              <w:adjustRightInd w:val="0"/>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vMerge w:val="continue"/>
            <w:tcBorders>
              <w:left w:val="single" w:color="auto" w:sz="4" w:space="0"/>
              <w:bottom w:val="single" w:color="auto" w:sz="6" w:space="0"/>
              <w:right w:val="single" w:color="auto" w:sz="6" w:space="0"/>
            </w:tcBorders>
            <w:vAlign w:val="center"/>
          </w:tcPr>
          <w:p w14:paraId="04BB86DB">
            <w:pPr>
              <w:autoSpaceDE w:val="0"/>
              <w:autoSpaceDN w:val="0"/>
              <w:adjustRightInd w:val="0"/>
              <w:jc w:val="center"/>
              <w:rPr>
                <w:rFonts w:hint="eastAsia" w:ascii="宋体" w:hAnsi="宋体" w:cs="Times New Roman"/>
                <w:color w:val="auto"/>
                <w:szCs w:val="21"/>
                <w:highlight w:val="none"/>
                <w:lang w:val="zh-CN"/>
              </w:rPr>
            </w:pPr>
          </w:p>
        </w:tc>
      </w:tr>
    </w:tbl>
    <w:p w14:paraId="28022DAB">
      <w:pPr>
        <w:spacing w:before="156" w:beforeLines="50" w:after="156" w:afterLines="50" w:line="500" w:lineRule="exact"/>
        <w:ind w:firstLine="640" w:firstLineChars="200"/>
        <w:outlineLvl w:val="0"/>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、投标文件要求</w:t>
      </w:r>
    </w:p>
    <w:p w14:paraId="39DC7032">
      <w:pPr>
        <w:spacing w:line="500" w:lineRule="exact"/>
        <w:outlineLvl w:val="0"/>
        <w:rPr>
          <w:rFonts w:hint="eastAsia" w:ascii="楷体_GB2312" w:hAnsi="楷体_GB2312" w:eastAsia="楷体_GB2312" w:cs="楷体_GB2312"/>
          <w:sz w:val="32"/>
          <w:szCs w:val="32"/>
          <w:lang w:eastAsia="zh-CN"/>
        </w:rPr>
      </w:pPr>
      <w:r>
        <w:rPr>
          <w:rFonts w:hint="eastAsia" w:ascii="仿宋" w:hAnsi="仿宋" w:eastAsia="仿宋"/>
          <w:b/>
          <w:bCs/>
          <w:sz w:val="32"/>
          <w:szCs w:val="32"/>
        </w:rPr>
        <w:t xml:space="preserve">   </w:t>
      </w:r>
      <w:r>
        <w:rPr>
          <w:rFonts w:hint="eastAsia" w:ascii="楷体_GB2312" w:hAnsi="楷体_GB2312" w:eastAsia="楷体_GB2312" w:cs="楷体_GB2312"/>
          <w:sz w:val="32"/>
          <w:szCs w:val="32"/>
        </w:rPr>
        <w:t>（一）投标文件的组成和格式</w:t>
      </w:r>
      <w:r>
        <w:rPr>
          <w:rFonts w:hint="eastAsia" w:ascii="楷体_GB2312" w:hAnsi="楷体_GB2312" w:eastAsia="楷体_GB2312" w:cs="楷体_GB2312"/>
          <w:sz w:val="32"/>
          <w:szCs w:val="32"/>
          <w:lang w:eastAsia="zh-CN"/>
        </w:rPr>
        <w:t>（格式见附件）</w:t>
      </w:r>
    </w:p>
    <w:p w14:paraId="1FF1D7CC">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1.招标文件响应声明书及投标报价</w:t>
      </w:r>
      <w:r>
        <w:rPr>
          <w:rFonts w:hint="eastAsia" w:ascii="仿宋_GB2312" w:hAnsi="仿宋_GB2312" w:eastAsia="仿宋_GB2312" w:cs="仿宋_GB2312"/>
          <w:sz w:val="32"/>
          <w:szCs w:val="32"/>
        </w:rPr>
        <w:t>。</w:t>
      </w:r>
    </w:p>
    <w:p w14:paraId="6D50296F">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.投标资格证明文件：</w:t>
      </w:r>
    </w:p>
    <w:p w14:paraId="5516F6F4">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1）投标单位</w:t>
      </w:r>
      <w:r>
        <w:rPr>
          <w:rFonts w:hint="eastAsia" w:ascii="仿宋_GB2312" w:hAnsi="仿宋_GB2312" w:eastAsia="仿宋_GB2312" w:cs="仿宋_GB2312"/>
          <w:sz w:val="32"/>
          <w:szCs w:val="32"/>
        </w:rPr>
        <w:t>营业执照复印件</w:t>
      </w:r>
      <w:r>
        <w:rPr>
          <w:rFonts w:hint="eastAsia" w:ascii="仿宋_GB2312" w:hAnsi="仿宋_GB2312" w:eastAsia="仿宋_GB2312" w:cs="仿宋_GB2312"/>
          <w:sz w:val="32"/>
          <w:szCs w:val="32"/>
          <w:lang w:eastAsia="zh-CN"/>
        </w:rPr>
        <w:t>和企业许可经营信息截图</w:t>
      </w:r>
      <w:r>
        <w:rPr>
          <w:rFonts w:hint="eastAsia" w:ascii="仿宋_GB2312" w:hAnsi="仿宋_GB2312" w:eastAsia="仿宋_GB2312" w:cs="仿宋_GB2312"/>
          <w:sz w:val="32"/>
          <w:szCs w:val="32"/>
        </w:rPr>
        <w:t>，加盖公章；</w:t>
      </w:r>
    </w:p>
    <w:p w14:paraId="51505154">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2）法定代表人身份证明书、法定代表人授权委托书，加盖公章。</w:t>
      </w:r>
    </w:p>
    <w:p w14:paraId="4DC2E010">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.投标承诺函，加盖公章</w:t>
      </w:r>
      <w:r>
        <w:rPr>
          <w:rFonts w:hint="eastAsia" w:ascii="仿宋_GB2312" w:hAnsi="仿宋_GB2312" w:eastAsia="仿宋_GB2312" w:cs="仿宋_GB2312"/>
          <w:sz w:val="32"/>
          <w:szCs w:val="32"/>
        </w:rPr>
        <w:t>。</w:t>
      </w:r>
    </w:p>
    <w:p w14:paraId="67FF941A">
      <w:pPr>
        <w:spacing w:line="5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4.招标文件编制内容：</w:t>
      </w:r>
    </w:p>
    <w:p w14:paraId="13184D34">
      <w:pPr>
        <w:spacing w:line="5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投标单位</w:t>
      </w:r>
      <w:r>
        <w:rPr>
          <w:rFonts w:hint="eastAsia" w:ascii="仿宋_GB2312" w:hAnsi="仿宋_GB2312" w:eastAsia="仿宋_GB2312" w:cs="仿宋_GB2312"/>
          <w:sz w:val="32"/>
          <w:szCs w:val="32"/>
          <w:lang w:eastAsia="zh-CN"/>
        </w:rPr>
        <w:t>提供相关</w:t>
      </w:r>
      <w:r>
        <w:rPr>
          <w:rFonts w:hint="eastAsia" w:ascii="仿宋_GB2312" w:hAnsi="仿宋_GB2312" w:eastAsia="仿宋_GB2312" w:cs="仿宋_GB2312"/>
          <w:sz w:val="32"/>
          <w:szCs w:val="32"/>
          <w:lang w:val="en-US" w:eastAsia="zh-CN"/>
        </w:rPr>
        <w:t>服务的合同等证明文件和业绩证明文件复印件以及履约评价复印件，加盖公章。</w:t>
      </w:r>
    </w:p>
    <w:p w14:paraId="3B9204E0">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）项目团队成员名单、</w:t>
      </w:r>
      <w:r>
        <w:rPr>
          <w:rFonts w:ascii="仿宋_GB2312" w:hAnsi="仿宋_GB2312" w:eastAsia="仿宋_GB2312" w:cs="仿宋_GB2312"/>
          <w:sz w:val="32"/>
          <w:szCs w:val="32"/>
        </w:rPr>
        <w:t>资格证书、从业经验及业绩证明材料，加盖公章</w:t>
      </w:r>
      <w:r>
        <w:rPr>
          <w:rFonts w:hint="eastAsia" w:ascii="仿宋_GB2312" w:hAnsi="仿宋_GB2312" w:eastAsia="仿宋_GB2312" w:cs="仿宋_GB2312"/>
          <w:sz w:val="32"/>
          <w:szCs w:val="32"/>
        </w:rPr>
        <w:t>。</w:t>
      </w:r>
    </w:p>
    <w:p w14:paraId="08EB5491">
      <w:pPr>
        <w:spacing w:line="5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投标单位的纳税证明及社保情况，提交的资料应加盖公章。</w:t>
      </w:r>
    </w:p>
    <w:p w14:paraId="588E3F8A">
      <w:pPr>
        <w:spacing w:line="500" w:lineRule="exact"/>
        <w:ind w:firstLine="640" w:firstLineChars="200"/>
        <w:outlineLvl w:val="0"/>
        <w:rPr>
          <w:rFonts w:ascii="仿宋" w:hAnsi="仿宋" w:eastAsia="仿宋" w:cs="仿宋_GB2312"/>
          <w:sz w:val="32"/>
          <w:szCs w:val="32"/>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.其它招标文件要求的内容及投标人认为需要补充的内容（格式自定），提交的资料应加盖公章。</w:t>
      </w:r>
    </w:p>
    <w:p w14:paraId="55006899">
      <w:pPr>
        <w:spacing w:line="500" w:lineRule="exact"/>
        <w:outlineLvl w:val="0"/>
        <w:rPr>
          <w:rFonts w:ascii="楷体_GB2312" w:hAnsi="楷体_GB2312" w:eastAsia="楷体_GB2312" w:cs="楷体_GB2312"/>
          <w:sz w:val="32"/>
          <w:szCs w:val="32"/>
        </w:rPr>
      </w:pPr>
      <w:r>
        <w:rPr>
          <w:rFonts w:hint="eastAsia" w:ascii="仿宋" w:hAnsi="仿宋" w:eastAsia="仿宋"/>
          <w:b/>
          <w:bCs/>
          <w:sz w:val="32"/>
          <w:szCs w:val="32"/>
        </w:rPr>
        <w:t xml:space="preserve">   </w:t>
      </w:r>
      <w:r>
        <w:rPr>
          <w:rFonts w:hint="eastAsia" w:ascii="楷体_GB2312" w:hAnsi="楷体_GB2312" w:eastAsia="楷体_GB2312" w:cs="楷体_GB2312"/>
          <w:sz w:val="32"/>
          <w:szCs w:val="32"/>
        </w:rPr>
        <w:t>（二）投标文件的份数及装订、密封要求</w:t>
      </w:r>
    </w:p>
    <w:p w14:paraId="6A252656">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1.投标人应准备投标文件正本一套和副本二套，所有封袋上都应写明投标人的名称、项目名称。文件封面须清楚地标明“正本”或“副本”，当正本与副本有不一致时，以正本为准。</w:t>
      </w:r>
    </w:p>
    <w:p w14:paraId="2D03EFAE">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2.投标文件正、副本均应使用A4纸统一装订，且均应使用不能擦去的墨水书写或打印，并由投标人加盖公章和法定代表人或法定代表人委托的代理人签字。</w:t>
      </w:r>
    </w:p>
    <w:p w14:paraId="7FDEF84B">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3.投标文件的正本及所有副本必须密封，封面均须加盖投标人公章并在密封口骑缝加盖公章。</w:t>
      </w:r>
    </w:p>
    <w:p w14:paraId="647BC5C1">
      <w:pPr>
        <w:spacing w:line="500" w:lineRule="exact"/>
        <w:outlineLvl w:val="0"/>
        <w:rPr>
          <w:rFonts w:ascii="楷体_GB2312" w:hAnsi="楷体_GB2312" w:eastAsia="楷体_GB2312" w:cs="楷体_GB2312"/>
          <w:sz w:val="32"/>
          <w:szCs w:val="32"/>
        </w:rPr>
      </w:pPr>
      <w:r>
        <w:rPr>
          <w:rFonts w:hint="eastAsia" w:ascii="仿宋" w:hAnsi="仿宋" w:eastAsia="仿宋"/>
          <w:b/>
          <w:bCs/>
          <w:sz w:val="32"/>
          <w:szCs w:val="32"/>
        </w:rPr>
        <w:t xml:space="preserve">   </w:t>
      </w:r>
      <w:r>
        <w:rPr>
          <w:rFonts w:hint="eastAsia" w:ascii="楷体_GB2312" w:hAnsi="楷体_GB2312" w:eastAsia="楷体_GB2312" w:cs="楷体_GB2312"/>
          <w:sz w:val="32"/>
          <w:szCs w:val="32"/>
        </w:rPr>
        <w:t>（三）投标文件的递交</w:t>
      </w:r>
    </w:p>
    <w:p w14:paraId="612B2456">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1.投标人将投标文件按以上规定密封和标记后，按以下注明的地址在投标截</w:t>
      </w:r>
      <w:r>
        <w:rPr>
          <w:rFonts w:hint="eastAsia" w:ascii="仿宋_GB2312" w:hAnsi="仿宋_GB2312" w:eastAsia="仿宋_GB2312" w:cs="仿宋_GB2312"/>
          <w:sz w:val="32"/>
          <w:szCs w:val="32"/>
        </w:rPr>
        <w:t>止时间之前送至招标单位。</w:t>
      </w:r>
    </w:p>
    <w:p w14:paraId="4F627D39">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2.递交资料截止时间：202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bookmarkStart w:id="7" w:name="_GoBack"/>
      <w:bookmarkEnd w:id="7"/>
      <w:r>
        <w:rPr>
          <w:rFonts w:hint="eastAsia" w:ascii="仿宋_GB2312" w:hAnsi="仿宋_GB2312" w:eastAsia="仿宋_GB2312" w:cs="仿宋_GB2312"/>
          <w:sz w:val="32"/>
          <w:szCs w:val="32"/>
          <w:lang w:val="en-US" w:eastAsia="zh-CN"/>
        </w:rPr>
        <w:t>:00</w:t>
      </w:r>
      <w:r>
        <w:rPr>
          <w:rFonts w:ascii="仿宋_GB2312" w:hAnsi="仿宋_GB2312" w:eastAsia="仿宋_GB2312" w:cs="仿宋_GB2312"/>
          <w:sz w:val="32"/>
          <w:szCs w:val="32"/>
        </w:rPr>
        <w:t>时</w:t>
      </w:r>
    </w:p>
    <w:p w14:paraId="7FDD25AA">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地点：深圳市南山区桃园路区委大楼</w:t>
      </w:r>
      <w:r>
        <w:rPr>
          <w:rFonts w:ascii="仿宋_GB2312" w:hAnsi="仿宋_GB2312" w:eastAsia="仿宋_GB2312" w:cs="仿宋_GB2312"/>
          <w:sz w:val="32"/>
          <w:szCs w:val="32"/>
        </w:rPr>
        <w:t>A</w:t>
      </w:r>
      <w:r>
        <w:rPr>
          <w:rFonts w:hint="eastAsia" w:ascii="仿宋_GB2312" w:hAnsi="仿宋_GB2312" w:eastAsia="仿宋_GB2312" w:cs="仿宋_GB2312"/>
          <w:sz w:val="32"/>
          <w:szCs w:val="32"/>
          <w:lang w:val="en-US" w:eastAsia="zh-CN"/>
        </w:rPr>
        <w:t>421</w:t>
      </w:r>
      <w:r>
        <w:rPr>
          <w:rFonts w:ascii="仿宋_GB2312" w:hAnsi="仿宋_GB2312" w:eastAsia="仿宋_GB2312" w:cs="仿宋_GB2312"/>
          <w:sz w:val="32"/>
          <w:szCs w:val="32"/>
        </w:rPr>
        <w:t>室</w:t>
      </w:r>
    </w:p>
    <w:p w14:paraId="3BB81E0A">
      <w:pPr>
        <w:spacing w:line="5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蒋坚</w:t>
      </w: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 0755-</w:t>
      </w:r>
      <w:r>
        <w:rPr>
          <w:rFonts w:hint="eastAsia" w:ascii="仿宋_GB2312" w:hAnsi="仿宋_GB2312" w:eastAsia="仿宋_GB2312" w:cs="仿宋_GB2312"/>
          <w:sz w:val="32"/>
          <w:szCs w:val="32"/>
          <w:lang w:val="en-US" w:eastAsia="zh-CN"/>
        </w:rPr>
        <w:t>88167633</w:t>
      </w:r>
    </w:p>
    <w:p w14:paraId="2CA748BC">
      <w:pPr>
        <w:spacing w:line="500" w:lineRule="exact"/>
        <w:outlineLvl w:val="0"/>
        <w:rPr>
          <w:rFonts w:ascii="楷体_GB2312" w:hAnsi="楷体_GB2312" w:eastAsia="楷体_GB2312" w:cs="楷体_GB2312"/>
          <w:sz w:val="32"/>
          <w:szCs w:val="32"/>
        </w:rPr>
      </w:pPr>
      <w:r>
        <w:rPr>
          <w:rFonts w:hint="eastAsia" w:ascii="仿宋" w:hAnsi="仿宋" w:eastAsia="仿宋"/>
          <w:b/>
          <w:bCs/>
          <w:sz w:val="32"/>
          <w:szCs w:val="32"/>
        </w:rPr>
        <w:t xml:space="preserve">   </w:t>
      </w:r>
      <w:r>
        <w:rPr>
          <w:rFonts w:hint="eastAsia" w:ascii="楷体_GB2312" w:hAnsi="楷体_GB2312" w:eastAsia="楷体_GB2312" w:cs="楷体_GB2312"/>
          <w:sz w:val="32"/>
          <w:szCs w:val="32"/>
        </w:rPr>
        <w:t>（四）投标文件有效期</w:t>
      </w:r>
    </w:p>
    <w:p w14:paraId="0D511382">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投标文件从投标截止日起有效期为</w:t>
      </w:r>
      <w:r>
        <w:rPr>
          <w:rFonts w:hint="eastAsia" w:ascii="仿宋_GB2312" w:hAnsi="仿宋_GB2312" w:eastAsia="仿宋_GB2312" w:cs="仿宋_GB2312"/>
          <w:sz w:val="32"/>
          <w:szCs w:val="32"/>
          <w:lang w:val="en-US" w:eastAsia="zh-CN"/>
        </w:rPr>
        <w:t>30</w:t>
      </w:r>
      <w:r>
        <w:rPr>
          <w:rFonts w:ascii="仿宋_GB2312" w:hAnsi="仿宋_GB2312" w:eastAsia="仿宋_GB2312" w:cs="仿宋_GB2312"/>
          <w:sz w:val="32"/>
          <w:szCs w:val="32"/>
        </w:rPr>
        <w:t>天。</w:t>
      </w:r>
    </w:p>
    <w:p w14:paraId="0A672314">
      <w:pPr>
        <w:spacing w:before="156" w:beforeLines="50" w:after="156" w:afterLines="50" w:line="500" w:lineRule="exact"/>
        <w:ind w:firstLine="640" w:firstLineChars="200"/>
        <w:outlineLvl w:val="0"/>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、废标条款</w:t>
      </w:r>
    </w:p>
    <w:p w14:paraId="3A0DFFF3">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符合下列条件之一，即可定为废标：</w:t>
      </w:r>
    </w:p>
    <w:p w14:paraId="161AF11D">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1.投标人不满足本项目应具备的资格、经验；</w:t>
      </w:r>
    </w:p>
    <w:p w14:paraId="40A72A39">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2.报价文件无投标人盖章，无法定代表人或授权代表签字或盖章的；</w:t>
      </w:r>
    </w:p>
    <w:p w14:paraId="5356B349">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3.投标文件未按规定的格式填写，内容不全或关键字迹模糊、无法辨认的；</w:t>
      </w:r>
    </w:p>
    <w:p w14:paraId="537ECFBC">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4.投标人递交两份或多份内容不同的投标文件，或在一份投标文件中对同一招标项目报有两个或多个报价，且未声明哪一个有效的，按招标文件规定提交备选投标方案的除外；</w:t>
      </w:r>
    </w:p>
    <w:p w14:paraId="593BD0E9">
      <w:pPr>
        <w:spacing w:line="500" w:lineRule="exact"/>
        <w:ind w:firstLine="640" w:firstLineChars="200"/>
        <w:outlineLvl w:val="0"/>
        <w:rPr>
          <w:rFonts w:ascii="仿宋" w:hAnsi="仿宋" w:eastAsia="仿宋" w:cs="仿宋_GB2312"/>
          <w:sz w:val="32"/>
          <w:szCs w:val="32"/>
        </w:rPr>
      </w:pPr>
      <w:r>
        <w:rPr>
          <w:rFonts w:ascii="仿宋_GB2312" w:hAnsi="仿宋_GB2312" w:eastAsia="仿宋_GB2312" w:cs="仿宋_GB2312"/>
          <w:sz w:val="32"/>
          <w:szCs w:val="32"/>
        </w:rPr>
        <w:t>5.投标人以低于成本的报价竞标恶意骗取中标或以他人的名义投标、串通投标、以行贿手段谋取中标或者以其他弄虚作假方式投标的。</w:t>
      </w:r>
    </w:p>
    <w:p w14:paraId="4AE7A73B">
      <w:pPr>
        <w:spacing w:before="156" w:beforeLines="50" w:after="156" w:afterLines="50" w:line="500" w:lineRule="exact"/>
        <w:ind w:firstLine="640" w:firstLineChars="200"/>
        <w:outlineLvl w:val="0"/>
        <w:rPr>
          <w:rFonts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、流标情形</w:t>
      </w:r>
    </w:p>
    <w:p w14:paraId="4E2DE460">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符合下列情形之一，本次招标流标</w:t>
      </w:r>
      <w:r>
        <w:rPr>
          <w:rFonts w:hint="eastAsia" w:ascii="仿宋_GB2312" w:hAnsi="仿宋_GB2312" w:eastAsia="仿宋_GB2312" w:cs="仿宋_GB2312"/>
          <w:sz w:val="32"/>
          <w:szCs w:val="32"/>
          <w:lang w:eastAsia="zh-CN"/>
        </w:rPr>
        <w:t>，需重新招标</w:t>
      </w:r>
      <w:r>
        <w:rPr>
          <w:rFonts w:hint="eastAsia" w:ascii="仿宋_GB2312" w:hAnsi="仿宋_GB2312" w:eastAsia="仿宋_GB2312" w:cs="仿宋_GB2312"/>
          <w:sz w:val="32"/>
          <w:szCs w:val="32"/>
        </w:rPr>
        <w:t>。</w:t>
      </w:r>
    </w:p>
    <w:p w14:paraId="7C3F5E8B">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1.采购的公正性受到影响；</w:t>
      </w:r>
    </w:p>
    <w:p w14:paraId="7500D34F">
      <w:pPr>
        <w:spacing w:line="50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2.投标报价均超过了采购预算；</w:t>
      </w:r>
    </w:p>
    <w:p w14:paraId="7A69B6E7">
      <w:pPr>
        <w:spacing w:line="500" w:lineRule="exact"/>
        <w:ind w:firstLine="640" w:firstLineChars="200"/>
        <w:outlineLvl w:val="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3.采购任务取消</w:t>
      </w:r>
      <w:r>
        <w:rPr>
          <w:rFonts w:hint="eastAsia" w:ascii="仿宋_GB2312" w:hAnsi="仿宋_GB2312" w:eastAsia="仿宋_GB2312" w:cs="仿宋_GB2312"/>
          <w:sz w:val="32"/>
          <w:szCs w:val="32"/>
          <w:lang w:eastAsia="zh-CN"/>
        </w:rPr>
        <w:t>。</w:t>
      </w:r>
    </w:p>
    <w:p w14:paraId="5BFDEA22">
      <w:pPr>
        <w:spacing w:before="156" w:beforeLines="50" w:after="156" w:afterLines="50" w:line="500" w:lineRule="exact"/>
        <w:ind w:firstLine="640" w:firstLineChars="200"/>
        <w:outlineLvl w:val="0"/>
        <w:rPr>
          <w:rFonts w:hint="eastAsia" w:ascii="黑体" w:hAnsi="黑体" w:eastAsia="黑体"/>
          <w:sz w:val="32"/>
          <w:szCs w:val="32"/>
          <w:lang w:eastAsia="zh-CN"/>
        </w:rPr>
      </w:pPr>
      <w:bookmarkStart w:id="0" w:name="_Toc73518160"/>
      <w:bookmarkStart w:id="1" w:name="_Toc100052410"/>
      <w:bookmarkStart w:id="2" w:name="_Toc73521589"/>
      <w:bookmarkStart w:id="3" w:name="_Toc73521677"/>
      <w:bookmarkStart w:id="4" w:name="_Toc73517682"/>
      <w:r>
        <w:rPr>
          <w:rFonts w:hint="eastAsia" w:ascii="黑体" w:hAnsi="黑体" w:eastAsia="黑体"/>
          <w:sz w:val="32"/>
          <w:szCs w:val="32"/>
          <w:lang w:eastAsia="zh-CN"/>
        </w:rPr>
        <w:t>十一、合同协议书的签订</w:t>
      </w:r>
      <w:bookmarkEnd w:id="0"/>
      <w:bookmarkEnd w:id="1"/>
      <w:bookmarkEnd w:id="2"/>
      <w:bookmarkEnd w:id="3"/>
      <w:bookmarkEnd w:id="4"/>
    </w:p>
    <w:p w14:paraId="6CFA6D90">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中标人将于中标通知书发出之日起十个工作日内，按照招标文件和投标文件内容与采购单位签订书面合同，合同书应采用本招标文件第</w:t>
      </w: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部分规定的合同样本；</w:t>
      </w:r>
    </w:p>
    <w:p w14:paraId="6D0C7423">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中标人应当按照合同约定履行义务，完成中标项目，未</w:t>
      </w:r>
      <w:r>
        <w:rPr>
          <w:rFonts w:hint="eastAsia" w:ascii="仿宋_GB2312" w:hAnsi="仿宋_GB2312" w:eastAsia="仿宋_GB2312" w:cs="仿宋_GB2312"/>
          <w:sz w:val="32"/>
          <w:szCs w:val="32"/>
          <w:lang w:eastAsia="zh-CN"/>
        </w:rPr>
        <w:t>经</w:t>
      </w:r>
      <w:r>
        <w:rPr>
          <w:rFonts w:ascii="仿宋_GB2312" w:hAnsi="仿宋_GB2312" w:eastAsia="仿宋_GB2312" w:cs="仿宋_GB2312"/>
          <w:sz w:val="32"/>
          <w:szCs w:val="32"/>
        </w:rPr>
        <w:t>招标人及监管部门许可不得将中标项目转让（转包）给他人；</w:t>
      </w:r>
    </w:p>
    <w:p w14:paraId="5F02AD18">
      <w:pPr>
        <w:spacing w:line="5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招标人</w:t>
      </w:r>
      <w:r>
        <w:rPr>
          <w:rFonts w:ascii="仿宋_GB2312" w:hAnsi="仿宋_GB2312" w:eastAsia="仿宋_GB2312" w:cs="仿宋_GB2312"/>
          <w:sz w:val="32"/>
          <w:szCs w:val="32"/>
        </w:rPr>
        <w:t>与中标人签订的服务合同必须遵守本招标文件的合同条件，并且不得更改合同条件。</w:t>
      </w:r>
    </w:p>
    <w:p w14:paraId="09532A1D">
      <w:pPr>
        <w:spacing w:before="156" w:beforeLines="50" w:after="156" w:afterLines="50" w:line="500" w:lineRule="exact"/>
        <w:ind w:firstLine="640" w:firstLineChars="200"/>
        <w:outlineLvl w:val="0"/>
        <w:rPr>
          <w:rFonts w:hint="eastAsia" w:ascii="黑体" w:hAnsi="黑体" w:eastAsia="黑体"/>
          <w:sz w:val="32"/>
          <w:szCs w:val="32"/>
          <w:lang w:eastAsia="zh-CN"/>
        </w:rPr>
      </w:pPr>
      <w:r>
        <w:rPr>
          <w:rFonts w:hint="eastAsia" w:ascii="黑体" w:hAnsi="黑体" w:eastAsia="黑体"/>
          <w:sz w:val="32"/>
          <w:szCs w:val="32"/>
          <w:lang w:eastAsia="zh-CN"/>
        </w:rPr>
        <w:t>十二、其他说明</w:t>
      </w:r>
    </w:p>
    <w:p w14:paraId="11A6F456">
      <w:pPr>
        <w:spacing w:line="5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回标投标人不足3家的，将重新发布一次招标信息，时间不少于3个自然日。若两次发布信息后，回标投标人仍不足3家时，则在回标投标人中进行定标。如果没有投标人回标，则按照招标信息中的不高于价格直接委托并公示。</w:t>
      </w:r>
    </w:p>
    <w:p w14:paraId="5D0F0841">
      <w:pPr>
        <w:spacing w:line="5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本次招标不一定接受最低报价的投标。</w:t>
      </w:r>
    </w:p>
    <w:p w14:paraId="5D897C7B">
      <w:pPr>
        <w:spacing w:line="500" w:lineRule="exact"/>
        <w:ind w:firstLine="640" w:firstLineChars="200"/>
        <w:outlineLvl w:val="0"/>
        <w:rPr>
          <w:rFonts w:hint="eastAsia" w:ascii="仿宋_GB2312" w:hAnsi="仿宋_GB2312" w:eastAsia="仿宋_GB2312" w:cs="仿宋_GB2312"/>
          <w:sz w:val="32"/>
          <w:szCs w:val="32"/>
          <w:lang w:eastAsia="zh-CN"/>
        </w:rPr>
      </w:pPr>
    </w:p>
    <w:p w14:paraId="785EBE2C">
      <w:pPr>
        <w:jc w:val="left"/>
        <w:rPr>
          <w:rFonts w:hint="eastAsia" w:ascii="宋体" w:hAnsi="宋体"/>
          <w:sz w:val="44"/>
          <w:szCs w:val="44"/>
        </w:rPr>
      </w:pPr>
    </w:p>
    <w:p w14:paraId="477AE56F">
      <w:pPr>
        <w:rPr>
          <w:rFonts w:hint="eastAsia" w:ascii="宋体" w:hAnsi="宋体"/>
          <w:sz w:val="44"/>
          <w:szCs w:val="44"/>
        </w:rPr>
      </w:pPr>
      <w:r>
        <w:rPr>
          <w:rFonts w:hint="eastAsia" w:ascii="宋体" w:hAnsi="宋体"/>
          <w:sz w:val="44"/>
          <w:szCs w:val="44"/>
        </w:rPr>
        <w:br w:type="page"/>
      </w:r>
    </w:p>
    <w:p w14:paraId="5FB28884">
      <w:pPr>
        <w:jc w:val="center"/>
        <w:rPr>
          <w:rFonts w:ascii="宋体" w:hAnsi="宋体" w:cs="宋体"/>
          <w:b/>
          <w:sz w:val="30"/>
          <w:szCs w:val="30"/>
        </w:rPr>
      </w:pPr>
      <w:r>
        <w:rPr>
          <w:rFonts w:hint="eastAsia" w:ascii="黑体" w:hAnsi="黑体" w:eastAsia="黑体" w:cs="黑体"/>
          <w:b w:val="0"/>
          <w:bCs/>
          <w:sz w:val="44"/>
          <w:szCs w:val="44"/>
        </w:rPr>
        <w:t>第</w:t>
      </w:r>
      <w:r>
        <w:rPr>
          <w:rFonts w:hint="eastAsia" w:ascii="黑体" w:hAnsi="黑体" w:eastAsia="黑体" w:cs="黑体"/>
          <w:b w:val="0"/>
          <w:bCs/>
          <w:sz w:val="44"/>
          <w:szCs w:val="44"/>
          <w:lang w:eastAsia="zh-CN"/>
        </w:rPr>
        <w:t>二</w:t>
      </w:r>
      <w:r>
        <w:rPr>
          <w:rFonts w:hint="eastAsia" w:ascii="黑体" w:hAnsi="黑体" w:eastAsia="黑体" w:cs="黑体"/>
          <w:b w:val="0"/>
          <w:bCs/>
          <w:sz w:val="44"/>
          <w:szCs w:val="44"/>
        </w:rPr>
        <w:t>部分</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rPr>
        <w:t>格式及附件</w:t>
      </w:r>
    </w:p>
    <w:p w14:paraId="58B0B455">
      <w:pPr>
        <w:spacing w:line="360" w:lineRule="auto"/>
        <w:rPr>
          <w:rFonts w:hint="eastAsia" w:ascii="仿宋_GB2312" w:hAnsi="仿宋_GB2312" w:eastAsia="仿宋_GB2312" w:cs="仿宋_GB2312"/>
          <w:sz w:val="32"/>
          <w:szCs w:val="32"/>
        </w:rPr>
      </w:pPr>
    </w:p>
    <w:p w14:paraId="4016F492">
      <w:pPr>
        <w:pStyle w:val="13"/>
        <w:jc w:val="both"/>
        <w:outlineLvl w:val="1"/>
        <w:rPr>
          <w:rFonts w:hint="eastAsia" w:ascii="Times New Roman" w:hAnsi="Times New Roman" w:eastAsia="宋体" w:cs="Times New Roman"/>
          <w:b/>
          <w:bCs/>
          <w:kern w:val="44"/>
          <w:sz w:val="32"/>
          <w:szCs w:val="52"/>
          <w:lang w:val="en-US" w:eastAsia="zh-CN" w:bidi="ar-SA"/>
        </w:rPr>
      </w:pPr>
      <w:r>
        <w:rPr>
          <w:rFonts w:hint="eastAsia" w:ascii="Times New Roman" w:hAnsi="Times New Roman" w:eastAsia="宋体" w:cs="Times New Roman"/>
          <w:b/>
          <w:bCs/>
          <w:kern w:val="44"/>
          <w:sz w:val="32"/>
          <w:szCs w:val="52"/>
          <w:lang w:val="en-US" w:eastAsia="zh-CN" w:bidi="ar-SA"/>
        </w:rPr>
        <w:t>投标文件格式</w:t>
      </w:r>
    </w:p>
    <w:p w14:paraId="1BCD1956">
      <w:pPr>
        <w:pStyle w:val="6"/>
        <w:spacing w:before="120" w:after="120" w:line="600" w:lineRule="exact"/>
        <w:ind w:left="0" w:leftChars="0" w:firstLine="0" w:firstLineChars="0"/>
        <w:jc w:val="both"/>
        <w:rPr>
          <w:rFonts w:ascii="宋体"/>
          <w:b/>
          <w:bCs/>
        </w:rPr>
      </w:pPr>
      <w:r>
        <w:rPr>
          <w:rFonts w:hint="eastAsia" w:ascii="宋体" w:hAnsi="宋体"/>
          <w:b/>
          <w:bCs/>
          <w:lang w:val="en-US" w:eastAsia="zh-CN"/>
        </w:rPr>
        <w:t>一</w:t>
      </w:r>
      <w:r>
        <w:rPr>
          <w:rFonts w:hint="eastAsia" w:ascii="宋体" w:hAnsi="宋体"/>
          <w:b/>
          <w:bCs/>
        </w:rPr>
        <w:t>、招标文件响应声明书</w:t>
      </w:r>
      <w:r>
        <w:rPr>
          <w:rFonts w:hint="eastAsia" w:ascii="宋体" w:hAnsi="宋体"/>
          <w:b/>
          <w:bCs/>
          <w:lang w:eastAsia="zh-CN"/>
        </w:rPr>
        <w:t>模板</w:t>
      </w:r>
      <w:r>
        <w:rPr>
          <w:rFonts w:hint="eastAsia" w:ascii="宋体" w:hAnsi="宋体"/>
          <w:b/>
          <w:bCs/>
        </w:rPr>
        <w:t>版</w:t>
      </w:r>
    </w:p>
    <w:p w14:paraId="582F6A01"/>
    <w:p w14:paraId="5CBBCDBA">
      <w:pPr>
        <w:autoSpaceDE w:val="0"/>
        <w:autoSpaceDN w:val="0"/>
        <w:adjustRightInd w:val="0"/>
        <w:snapToGrid w:val="0"/>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（招标人）</w:t>
      </w:r>
      <w:r>
        <w:rPr>
          <w:rFonts w:hint="eastAsia" w:ascii="仿宋_GB2312" w:hAnsi="仿宋_GB2312" w:eastAsia="仿宋_GB2312" w:cs="仿宋_GB2312"/>
          <w:sz w:val="24"/>
          <w:szCs w:val="24"/>
        </w:rPr>
        <w:t>：</w:t>
      </w:r>
    </w:p>
    <w:p w14:paraId="4164FABA">
      <w:p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（投标单位全称）</w:t>
      </w:r>
      <w:r>
        <w:rPr>
          <w:rFonts w:hint="eastAsia" w:ascii="仿宋_GB2312" w:hAnsi="仿宋_GB2312" w:eastAsia="仿宋_GB2312" w:cs="仿宋_GB2312"/>
          <w:sz w:val="24"/>
          <w:szCs w:val="24"/>
        </w:rPr>
        <w:t>授权</w:t>
      </w:r>
      <w:r>
        <w:rPr>
          <w:rFonts w:hint="eastAsia" w:ascii="仿宋_GB2312" w:hAnsi="仿宋_GB2312" w:eastAsia="仿宋_GB2312" w:cs="仿宋_GB2312"/>
          <w:sz w:val="24"/>
          <w:szCs w:val="24"/>
          <w:u w:val="single"/>
        </w:rPr>
        <w:t>（全名、职务）</w:t>
      </w:r>
      <w:r>
        <w:rPr>
          <w:rFonts w:hint="eastAsia" w:ascii="仿宋_GB2312" w:hAnsi="仿宋_GB2312" w:eastAsia="仿宋_GB2312" w:cs="仿宋_GB2312"/>
          <w:sz w:val="24"/>
          <w:szCs w:val="24"/>
        </w:rPr>
        <w:t>为全权代表，参加贵方组织的</w:t>
      </w:r>
      <w:r>
        <w:rPr>
          <w:rFonts w:hint="eastAsia" w:ascii="仿宋_GB2312" w:hAnsi="仿宋_GB2312" w:eastAsia="仿宋_GB2312" w:cs="仿宋_GB2312"/>
          <w:sz w:val="24"/>
          <w:szCs w:val="24"/>
          <w:u w:val="single"/>
        </w:rPr>
        <w:t>（项目）</w:t>
      </w:r>
      <w:r>
        <w:rPr>
          <w:rFonts w:hint="eastAsia" w:ascii="仿宋_GB2312" w:hAnsi="仿宋_GB2312" w:eastAsia="仿宋_GB2312" w:cs="仿宋_GB2312"/>
          <w:sz w:val="24"/>
          <w:szCs w:val="24"/>
        </w:rPr>
        <w:t>招标活动并投标，根据贵方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的招标文件，我方针对该项目的投标报价为</w:t>
      </w:r>
      <w:r>
        <w:rPr>
          <w:rFonts w:hint="eastAsia" w:ascii="仿宋_GB2312" w:hAnsi="仿宋_GB2312" w:eastAsia="仿宋_GB2312" w:cs="仿宋_GB2312"/>
          <w:sz w:val="24"/>
          <w:szCs w:val="24"/>
          <w:lang w:val="en-US" w:eastAsia="zh-CN"/>
        </w:rPr>
        <w:t>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rPr>
        <w:t>元</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rPr>
        <w:t>服务周期为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日历天。</w:t>
      </w:r>
    </w:p>
    <w:p w14:paraId="149DE3C5">
      <w:p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为此：</w:t>
      </w:r>
    </w:p>
    <w:p w14:paraId="070EBDFA">
      <w:pPr>
        <w:numPr>
          <w:ilvl w:val="0"/>
          <w:numId w:val="3"/>
        </w:num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我方已详细阅读了全部招标文件，包括修改文件（如有）及全部参考资料和附件。我们完全理解并同意放弃对这方面有不明及误解的权利。愿意接受招标文件中的各项要求。</w:t>
      </w:r>
    </w:p>
    <w:p w14:paraId="06B55D99">
      <w:pPr>
        <w:numPr>
          <w:ilvl w:val="0"/>
          <w:numId w:val="3"/>
        </w:num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我方提供招标文件要求的全部资料，并保证真实性、合法性。</w:t>
      </w:r>
    </w:p>
    <w:p w14:paraId="03A1DD4F">
      <w:pPr>
        <w:numPr>
          <w:ilvl w:val="0"/>
          <w:numId w:val="3"/>
        </w:num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若中标，我方将按照招标文件规定，履行合同责任和义务。</w:t>
      </w:r>
    </w:p>
    <w:p w14:paraId="384B726C">
      <w:pPr>
        <w:numPr>
          <w:ilvl w:val="0"/>
          <w:numId w:val="3"/>
        </w:num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询价响应书自开标日起有效期为30天。</w:t>
      </w:r>
    </w:p>
    <w:p w14:paraId="3393E801">
      <w:pPr>
        <w:numPr>
          <w:ilvl w:val="0"/>
          <w:numId w:val="3"/>
        </w:num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我方与本招标文件响应有关的一切正式往来通讯请寄：</w:t>
      </w:r>
    </w:p>
    <w:p w14:paraId="1472EBF4">
      <w:pPr>
        <w:autoSpaceDE w:val="0"/>
        <w:autoSpaceDN w:val="0"/>
        <w:adjustRightInd w:val="0"/>
        <w:snapToGrid w:val="0"/>
        <w:spacing w:line="300" w:lineRule="auto"/>
        <w:ind w:firstLine="960" w:firstLineChars="4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邮编：</w:t>
      </w:r>
    </w:p>
    <w:p w14:paraId="32F725EA">
      <w:pPr>
        <w:autoSpaceDE w:val="0"/>
        <w:autoSpaceDN w:val="0"/>
        <w:adjustRightInd w:val="0"/>
        <w:snapToGrid w:val="0"/>
        <w:spacing w:line="300" w:lineRule="auto"/>
        <w:ind w:firstLine="960" w:firstLineChars="4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传真：</w:t>
      </w:r>
    </w:p>
    <w:p w14:paraId="152C1C01">
      <w:pPr>
        <w:numPr>
          <w:ilvl w:val="0"/>
          <w:numId w:val="3"/>
        </w:numPr>
        <w:autoSpaceDE w:val="0"/>
        <w:autoSpaceDN w:val="0"/>
        <w:adjustRightInd w:val="0"/>
        <w:snapToGrid w:val="0"/>
        <w:spacing w:line="300" w:lineRule="auto"/>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我方同意招标人不一定接受最低报价的投标。</w:t>
      </w:r>
    </w:p>
    <w:p w14:paraId="13592FD5">
      <w:pPr>
        <w:autoSpaceDE w:val="0"/>
        <w:autoSpaceDN w:val="0"/>
        <w:adjustRightInd w:val="0"/>
        <w:snapToGrid w:val="0"/>
        <w:spacing w:line="300" w:lineRule="auto"/>
        <w:rPr>
          <w:rFonts w:hint="eastAsia" w:ascii="仿宋_GB2312" w:hAnsi="仿宋_GB2312" w:eastAsia="仿宋_GB2312" w:cs="仿宋_GB2312"/>
          <w:sz w:val="24"/>
          <w:szCs w:val="24"/>
        </w:rPr>
      </w:pPr>
    </w:p>
    <w:p w14:paraId="41B6EF93">
      <w:pPr>
        <w:autoSpaceDE w:val="0"/>
        <w:autoSpaceDN w:val="0"/>
        <w:adjustRightInd w:val="0"/>
        <w:snapToGrid w:val="0"/>
        <w:spacing w:line="300" w:lineRule="auto"/>
        <w:rPr>
          <w:rFonts w:hint="eastAsia" w:ascii="仿宋_GB2312" w:hAnsi="仿宋_GB2312" w:eastAsia="仿宋_GB2312" w:cs="仿宋_GB2312"/>
          <w:sz w:val="24"/>
          <w:szCs w:val="24"/>
        </w:rPr>
      </w:pPr>
    </w:p>
    <w:p w14:paraId="02ED16EE">
      <w:p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投标单位名称（公章）：</w:t>
      </w:r>
    </w:p>
    <w:p w14:paraId="24791800">
      <w:p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授权代表签字：</w:t>
      </w:r>
    </w:p>
    <w:p w14:paraId="446B56A1">
      <w:pPr>
        <w:autoSpaceDE w:val="0"/>
        <w:autoSpaceDN w:val="0"/>
        <w:adjustRightInd w:val="0"/>
        <w:snapToGrid w:val="0"/>
        <w:spacing w:line="30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投标响应日期：</w:t>
      </w:r>
      <w:r>
        <w:rPr>
          <w:rFonts w:hint="eastAsia" w:ascii="仿宋_GB2312" w:hAnsi="仿宋_GB2312" w:eastAsia="仿宋_GB2312" w:cs="仿宋_GB2312"/>
          <w:sz w:val="24"/>
          <w:szCs w:val="24"/>
          <w:lang w:val="en-US" w:eastAsia="zh-CN"/>
        </w:rPr>
        <w:t xml:space="preserve">  </w:t>
      </w:r>
    </w:p>
    <w:p w14:paraId="2679D376">
      <w:pPr>
        <w:pStyle w:val="6"/>
        <w:spacing w:before="120" w:after="120" w:line="600" w:lineRule="exact"/>
        <w:ind w:left="420" w:leftChars="200"/>
        <w:jc w:val="center"/>
        <w:rPr>
          <w:rFonts w:ascii="宋体"/>
          <w:sz w:val="22"/>
          <w:szCs w:val="18"/>
        </w:rPr>
      </w:pPr>
    </w:p>
    <w:p w14:paraId="43DC1070"/>
    <w:p w14:paraId="5C0069EC"/>
    <w:p w14:paraId="69AD2D9C"/>
    <w:p w14:paraId="2ED17898">
      <w:pPr>
        <w:pStyle w:val="2"/>
      </w:pPr>
    </w:p>
    <w:p w14:paraId="4D979A3A">
      <w:pPr>
        <w:pStyle w:val="2"/>
      </w:pPr>
    </w:p>
    <w:p w14:paraId="4B111F23">
      <w:pPr>
        <w:pStyle w:val="2"/>
      </w:pPr>
    </w:p>
    <w:p w14:paraId="47365F41">
      <w:pPr>
        <w:pStyle w:val="6"/>
        <w:spacing w:before="120" w:after="120" w:line="600" w:lineRule="exact"/>
        <w:ind w:left="420" w:leftChars="200"/>
        <w:jc w:val="left"/>
        <w:rPr>
          <w:rFonts w:ascii="宋体"/>
          <w:b/>
          <w:bCs/>
        </w:rPr>
      </w:pPr>
      <w:r>
        <w:rPr>
          <w:rFonts w:hint="eastAsia" w:ascii="宋体" w:hAnsi="宋体"/>
          <w:b/>
          <w:bCs/>
          <w:lang w:val="en-US" w:eastAsia="zh-CN"/>
        </w:rPr>
        <w:t>二</w:t>
      </w:r>
      <w:r>
        <w:rPr>
          <w:rFonts w:hint="eastAsia" w:ascii="宋体" w:hAnsi="宋体"/>
          <w:b/>
          <w:bCs/>
        </w:rPr>
        <w:t>、投标一览表</w:t>
      </w:r>
    </w:p>
    <w:p w14:paraId="0AB0E98B">
      <w:pPr>
        <w:spacing w:line="600" w:lineRule="exact"/>
        <w:ind w:left="420" w:leftChars="200"/>
        <w:rPr>
          <w:rStyle w:val="20"/>
          <w:rFonts w:hint="eastAsia" w:ascii="仿宋_GB2312" w:hAnsi="仿宋_GB2312" w:eastAsia="仿宋_GB2312" w:cs="仿宋_GB2312"/>
          <w:sz w:val="24"/>
          <w:szCs w:val="24"/>
          <w:u w:val="single"/>
        </w:rPr>
      </w:pPr>
      <w:r>
        <w:rPr>
          <w:rStyle w:val="20"/>
          <w:rFonts w:hint="eastAsia" w:ascii="仿宋_GB2312" w:hAnsi="仿宋_GB2312" w:eastAsia="仿宋_GB2312" w:cs="仿宋_GB2312"/>
          <w:sz w:val="24"/>
          <w:szCs w:val="24"/>
        </w:rPr>
        <w:t>项目名称：</w:t>
      </w:r>
    </w:p>
    <w:p w14:paraId="7538548E">
      <w:pPr>
        <w:spacing w:line="600" w:lineRule="exact"/>
        <w:ind w:left="420" w:leftChars="200"/>
        <w:rPr>
          <w:rStyle w:val="20"/>
          <w:rFonts w:hint="eastAsia" w:ascii="仿宋_GB2312" w:hAnsi="仿宋_GB2312" w:eastAsia="仿宋_GB2312" w:cs="仿宋_GB2312"/>
          <w:sz w:val="24"/>
          <w:szCs w:val="24"/>
        </w:rPr>
      </w:pPr>
      <w:r>
        <w:rPr>
          <w:rStyle w:val="20"/>
          <w:rFonts w:hint="eastAsia" w:ascii="仿宋_GB2312" w:hAnsi="仿宋_GB2312" w:eastAsia="仿宋_GB2312" w:cs="仿宋_GB2312"/>
          <w:sz w:val="24"/>
          <w:szCs w:val="24"/>
          <w:lang w:eastAsia="zh-CN"/>
        </w:rPr>
        <w:t>投标单位</w:t>
      </w:r>
      <w:r>
        <w:rPr>
          <w:rStyle w:val="20"/>
          <w:rFonts w:hint="eastAsia" w:ascii="仿宋_GB2312" w:hAnsi="仿宋_GB2312" w:eastAsia="仿宋_GB2312" w:cs="仿宋_GB2312"/>
          <w:sz w:val="24"/>
          <w:szCs w:val="24"/>
        </w:rPr>
        <w:t>名称：</w:t>
      </w:r>
    </w:p>
    <w:tbl>
      <w:tblPr>
        <w:tblStyle w:val="15"/>
        <w:tblW w:w="5000" w:type="pct"/>
        <w:jc w:val="center"/>
        <w:tblLayout w:type="fixed"/>
        <w:tblCellMar>
          <w:top w:w="0" w:type="dxa"/>
          <w:left w:w="108" w:type="dxa"/>
          <w:bottom w:w="0" w:type="dxa"/>
          <w:right w:w="108" w:type="dxa"/>
        </w:tblCellMar>
      </w:tblPr>
      <w:tblGrid>
        <w:gridCol w:w="5893"/>
        <w:gridCol w:w="1979"/>
        <w:gridCol w:w="1416"/>
      </w:tblGrid>
      <w:tr w14:paraId="7A8EEF92">
        <w:tblPrEx>
          <w:tblCellMar>
            <w:top w:w="0" w:type="dxa"/>
            <w:left w:w="108" w:type="dxa"/>
            <w:bottom w:w="0" w:type="dxa"/>
            <w:right w:w="108" w:type="dxa"/>
          </w:tblCellMar>
        </w:tblPrEx>
        <w:trPr>
          <w:cantSplit/>
          <w:trHeight w:val="490" w:hRule="atLeast"/>
          <w:jc w:val="center"/>
        </w:trPr>
        <w:tc>
          <w:tcPr>
            <w:tcW w:w="5309" w:type="dxa"/>
            <w:tcBorders>
              <w:top w:val="single" w:color="auto" w:sz="4" w:space="0"/>
              <w:left w:val="single" w:color="auto" w:sz="4" w:space="0"/>
              <w:bottom w:val="single" w:color="auto" w:sz="4" w:space="0"/>
              <w:right w:val="single" w:color="auto" w:sz="4" w:space="0"/>
            </w:tcBorders>
            <w:noWrap w:val="0"/>
            <w:vAlign w:val="center"/>
          </w:tcPr>
          <w:p w14:paraId="37762050">
            <w:pPr>
              <w:spacing w:line="400" w:lineRule="exact"/>
              <w:jc w:val="center"/>
              <w:rPr>
                <w:rStyle w:val="20"/>
                <w:rFonts w:hint="eastAsia" w:ascii="仿宋_GB2312" w:hAnsi="仿宋_GB2312" w:eastAsia="仿宋_GB2312" w:cs="仿宋_GB2312"/>
                <w:sz w:val="22"/>
                <w:szCs w:val="22"/>
              </w:rPr>
            </w:pPr>
            <w:r>
              <w:rPr>
                <w:rStyle w:val="20"/>
                <w:rFonts w:hint="eastAsia" w:ascii="仿宋_GB2312" w:hAnsi="仿宋_GB2312" w:eastAsia="仿宋_GB2312" w:cs="仿宋_GB2312"/>
                <w:sz w:val="22"/>
                <w:szCs w:val="22"/>
              </w:rPr>
              <w:t>项目名称</w:t>
            </w:r>
          </w:p>
        </w:tc>
        <w:tc>
          <w:tcPr>
            <w:tcW w:w="1783" w:type="dxa"/>
            <w:tcBorders>
              <w:top w:val="single" w:color="auto" w:sz="4" w:space="0"/>
              <w:left w:val="nil"/>
              <w:bottom w:val="single" w:color="auto" w:sz="4" w:space="0"/>
              <w:right w:val="single" w:color="auto" w:sz="4" w:space="0"/>
            </w:tcBorders>
            <w:noWrap w:val="0"/>
            <w:vAlign w:val="center"/>
          </w:tcPr>
          <w:p w14:paraId="67BF34FD">
            <w:pPr>
              <w:spacing w:line="400" w:lineRule="exact"/>
              <w:jc w:val="center"/>
              <w:rPr>
                <w:rStyle w:val="20"/>
                <w:rFonts w:hint="eastAsia" w:ascii="仿宋_GB2312" w:hAnsi="仿宋_GB2312" w:eastAsia="仿宋_GB2312" w:cs="仿宋_GB2312"/>
                <w:sz w:val="22"/>
                <w:szCs w:val="22"/>
              </w:rPr>
            </w:pPr>
            <w:r>
              <w:rPr>
                <w:rStyle w:val="20"/>
                <w:rFonts w:hint="eastAsia" w:ascii="仿宋_GB2312" w:hAnsi="仿宋_GB2312" w:eastAsia="仿宋_GB2312" w:cs="仿宋_GB2312"/>
                <w:sz w:val="22"/>
                <w:szCs w:val="22"/>
              </w:rPr>
              <w:t>投标总价</w:t>
            </w:r>
          </w:p>
        </w:tc>
        <w:tc>
          <w:tcPr>
            <w:tcW w:w="1276" w:type="dxa"/>
            <w:tcBorders>
              <w:top w:val="single" w:color="auto" w:sz="4" w:space="0"/>
              <w:left w:val="nil"/>
              <w:bottom w:val="single" w:color="auto" w:sz="4" w:space="0"/>
              <w:right w:val="single" w:color="auto" w:sz="4" w:space="0"/>
            </w:tcBorders>
            <w:noWrap w:val="0"/>
            <w:vAlign w:val="center"/>
          </w:tcPr>
          <w:p w14:paraId="75CB353A">
            <w:pPr>
              <w:spacing w:line="400" w:lineRule="exact"/>
              <w:jc w:val="center"/>
              <w:rPr>
                <w:rStyle w:val="20"/>
                <w:rFonts w:hint="eastAsia" w:ascii="仿宋_GB2312" w:hAnsi="仿宋_GB2312" w:eastAsia="仿宋_GB2312" w:cs="仿宋_GB2312"/>
                <w:sz w:val="22"/>
                <w:szCs w:val="22"/>
              </w:rPr>
            </w:pPr>
            <w:r>
              <w:rPr>
                <w:rStyle w:val="20"/>
                <w:rFonts w:hint="eastAsia" w:ascii="仿宋_GB2312" w:hAnsi="仿宋_GB2312" w:eastAsia="仿宋_GB2312" w:cs="仿宋_GB2312"/>
                <w:sz w:val="22"/>
                <w:szCs w:val="22"/>
              </w:rPr>
              <w:t>备注</w:t>
            </w:r>
          </w:p>
        </w:tc>
      </w:tr>
      <w:tr w14:paraId="2BAFB541">
        <w:tblPrEx>
          <w:tblCellMar>
            <w:top w:w="0" w:type="dxa"/>
            <w:left w:w="108" w:type="dxa"/>
            <w:bottom w:w="0" w:type="dxa"/>
            <w:right w:w="108" w:type="dxa"/>
          </w:tblCellMar>
        </w:tblPrEx>
        <w:trPr>
          <w:cantSplit/>
          <w:trHeight w:val="762" w:hRule="atLeast"/>
          <w:jc w:val="center"/>
        </w:trPr>
        <w:tc>
          <w:tcPr>
            <w:tcW w:w="5309" w:type="dxa"/>
            <w:tcBorders>
              <w:top w:val="single" w:color="auto" w:sz="4" w:space="0"/>
              <w:left w:val="single" w:color="auto" w:sz="4" w:space="0"/>
              <w:bottom w:val="single" w:color="auto" w:sz="4" w:space="0"/>
              <w:right w:val="single" w:color="auto" w:sz="4" w:space="0"/>
            </w:tcBorders>
            <w:noWrap w:val="0"/>
            <w:vAlign w:val="center"/>
          </w:tcPr>
          <w:p w14:paraId="7C671911">
            <w:pPr>
              <w:spacing w:line="400" w:lineRule="exact"/>
              <w:ind w:firstLine="0" w:firstLineChars="0"/>
              <w:jc w:val="center"/>
              <w:rPr>
                <w:rStyle w:val="20"/>
              </w:rPr>
            </w:pPr>
          </w:p>
        </w:tc>
        <w:tc>
          <w:tcPr>
            <w:tcW w:w="1783" w:type="dxa"/>
            <w:tcBorders>
              <w:top w:val="single" w:color="auto" w:sz="4" w:space="0"/>
              <w:left w:val="nil"/>
              <w:bottom w:val="single" w:color="auto" w:sz="4" w:space="0"/>
              <w:right w:val="single" w:color="auto" w:sz="4" w:space="0"/>
            </w:tcBorders>
            <w:noWrap w:val="0"/>
            <w:vAlign w:val="center"/>
          </w:tcPr>
          <w:p w14:paraId="0F03A905">
            <w:pPr>
              <w:spacing w:line="400" w:lineRule="exact"/>
              <w:ind w:firstLine="0" w:firstLineChars="0"/>
              <w:jc w:val="center"/>
              <w:rPr>
                <w:rStyle w:val="20"/>
              </w:rPr>
            </w:pPr>
          </w:p>
        </w:tc>
        <w:tc>
          <w:tcPr>
            <w:tcW w:w="1276" w:type="dxa"/>
            <w:tcBorders>
              <w:top w:val="single" w:color="auto" w:sz="4" w:space="0"/>
              <w:left w:val="nil"/>
              <w:bottom w:val="single" w:color="auto" w:sz="4" w:space="0"/>
              <w:right w:val="single" w:color="auto" w:sz="4" w:space="0"/>
            </w:tcBorders>
            <w:noWrap w:val="0"/>
            <w:vAlign w:val="center"/>
          </w:tcPr>
          <w:p w14:paraId="51775180">
            <w:pPr>
              <w:spacing w:line="400" w:lineRule="exact"/>
              <w:ind w:firstLine="0" w:firstLineChars="0"/>
              <w:jc w:val="center"/>
              <w:rPr>
                <w:rStyle w:val="20"/>
              </w:rPr>
            </w:pPr>
          </w:p>
        </w:tc>
      </w:tr>
    </w:tbl>
    <w:p w14:paraId="1CA538E8">
      <w:pPr>
        <w:keepNext w:val="0"/>
        <w:keepLines w:val="0"/>
        <w:widowControl/>
        <w:adjustRightInd/>
        <w:spacing w:before="0" w:beforeLines="0" w:after="0" w:afterLines="0" w:line="600" w:lineRule="exact"/>
        <w:ind w:left="420" w:leftChars="200"/>
        <w:textAlignment w:val="auto"/>
        <w:outlineLvl w:val="9"/>
        <w:rPr>
          <w:rStyle w:val="20"/>
          <w:rFonts w:ascii="仿宋_GB2312" w:hAnsi="仿宋_GB2312" w:eastAsia="仿宋_GB2312" w:cs="仿宋_GB2312"/>
          <w:szCs w:val="24"/>
        </w:rPr>
      </w:pPr>
      <w:r>
        <w:rPr>
          <w:rStyle w:val="20"/>
          <w:rFonts w:ascii="仿宋_GB2312" w:hAnsi="仿宋_GB2312" w:eastAsia="仿宋_GB2312" w:cs="仿宋_GB2312"/>
          <w:szCs w:val="24"/>
        </w:rPr>
        <w:t>拟安排的项目负责人情况（仅限</w:t>
      </w:r>
      <w:r>
        <w:rPr>
          <w:rStyle w:val="20"/>
          <w:rFonts w:hint="eastAsia" w:ascii="仿宋_GB2312" w:hAnsi="仿宋_GB2312" w:eastAsia="仿宋_GB2312" w:cs="仿宋_GB2312"/>
          <w:szCs w:val="24"/>
        </w:rPr>
        <w:t>1人）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745"/>
        <w:gridCol w:w="2333"/>
        <w:gridCol w:w="2387"/>
        <w:gridCol w:w="1737"/>
      </w:tblGrid>
      <w:tr w14:paraId="698D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76" w:type="dxa"/>
            <w:noWrap w:val="0"/>
            <w:vAlign w:val="center"/>
          </w:tcPr>
          <w:p w14:paraId="0844B942">
            <w:pPr>
              <w:widowControl w:val="0"/>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序号</w:t>
            </w:r>
          </w:p>
        </w:tc>
        <w:tc>
          <w:tcPr>
            <w:tcW w:w="1569" w:type="dxa"/>
            <w:noWrap w:val="0"/>
            <w:vAlign w:val="center"/>
          </w:tcPr>
          <w:p w14:paraId="1BFEC13B">
            <w:pPr>
              <w:widowControl w:val="0"/>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姓名</w:t>
            </w:r>
          </w:p>
        </w:tc>
        <w:tc>
          <w:tcPr>
            <w:tcW w:w="2099" w:type="dxa"/>
            <w:noWrap w:val="0"/>
            <w:vAlign w:val="center"/>
          </w:tcPr>
          <w:p w14:paraId="482E5BDA">
            <w:pPr>
              <w:widowControl w:val="0"/>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职称</w:t>
            </w:r>
          </w:p>
        </w:tc>
        <w:tc>
          <w:tcPr>
            <w:tcW w:w="2147" w:type="dxa"/>
            <w:noWrap w:val="0"/>
            <w:vAlign w:val="center"/>
          </w:tcPr>
          <w:p w14:paraId="10A6EE65">
            <w:pPr>
              <w:widowControl w:val="0"/>
              <w:spacing w:line="400" w:lineRule="exact"/>
              <w:jc w:val="center"/>
              <w:rPr>
                <w:rStyle w:val="20"/>
                <w:rFonts w:hint="eastAsia" w:ascii="仿宋_GB2312" w:hAnsi="仿宋_GB2312" w:eastAsia="仿宋_GB2312" w:cs="仿宋_GB2312"/>
              </w:rPr>
            </w:pPr>
            <w:r>
              <w:rPr>
                <w:rStyle w:val="20"/>
                <w:rFonts w:ascii="仿宋_GB2312" w:hAnsi="仿宋_GB2312" w:eastAsia="仿宋_GB2312" w:cs="仿宋_GB2312"/>
              </w:rPr>
              <w:t>学历</w:t>
            </w:r>
          </w:p>
        </w:tc>
        <w:tc>
          <w:tcPr>
            <w:tcW w:w="1562" w:type="dxa"/>
            <w:noWrap w:val="0"/>
            <w:vAlign w:val="center"/>
          </w:tcPr>
          <w:p w14:paraId="63EC1E6D">
            <w:pPr>
              <w:widowControl w:val="0"/>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备注</w:t>
            </w:r>
          </w:p>
        </w:tc>
      </w:tr>
      <w:tr w14:paraId="4F68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76" w:type="dxa"/>
            <w:noWrap w:val="0"/>
            <w:vAlign w:val="top"/>
          </w:tcPr>
          <w:p w14:paraId="2E5A96F7">
            <w:pPr>
              <w:widowControl/>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1</w:t>
            </w:r>
          </w:p>
        </w:tc>
        <w:tc>
          <w:tcPr>
            <w:tcW w:w="1569" w:type="dxa"/>
            <w:noWrap w:val="0"/>
            <w:vAlign w:val="top"/>
          </w:tcPr>
          <w:p w14:paraId="28671F95">
            <w:pPr>
              <w:widowControl/>
              <w:spacing w:line="400" w:lineRule="exact"/>
              <w:jc w:val="center"/>
              <w:rPr>
                <w:rStyle w:val="20"/>
                <w:rFonts w:hint="eastAsia" w:ascii="仿宋_GB2312" w:hAnsi="仿宋_GB2312" w:eastAsia="仿宋_GB2312" w:cs="仿宋_GB2312"/>
              </w:rPr>
            </w:pPr>
          </w:p>
        </w:tc>
        <w:tc>
          <w:tcPr>
            <w:tcW w:w="2099" w:type="dxa"/>
            <w:noWrap w:val="0"/>
            <w:vAlign w:val="top"/>
          </w:tcPr>
          <w:p w14:paraId="6C2FCD53">
            <w:pPr>
              <w:widowControl/>
              <w:spacing w:line="400" w:lineRule="exact"/>
              <w:jc w:val="center"/>
              <w:rPr>
                <w:rStyle w:val="20"/>
                <w:rFonts w:hint="eastAsia" w:ascii="仿宋_GB2312" w:hAnsi="仿宋_GB2312" w:eastAsia="仿宋_GB2312" w:cs="仿宋_GB2312"/>
              </w:rPr>
            </w:pPr>
          </w:p>
        </w:tc>
        <w:tc>
          <w:tcPr>
            <w:tcW w:w="2147" w:type="dxa"/>
            <w:noWrap w:val="0"/>
            <w:vAlign w:val="top"/>
          </w:tcPr>
          <w:p w14:paraId="63070CF5">
            <w:pPr>
              <w:widowControl/>
              <w:spacing w:line="400" w:lineRule="exact"/>
              <w:jc w:val="center"/>
              <w:rPr>
                <w:rStyle w:val="20"/>
                <w:rFonts w:hint="eastAsia" w:ascii="仿宋_GB2312" w:hAnsi="仿宋_GB2312" w:eastAsia="仿宋_GB2312" w:cs="仿宋_GB2312"/>
              </w:rPr>
            </w:pPr>
          </w:p>
        </w:tc>
        <w:tc>
          <w:tcPr>
            <w:tcW w:w="1562" w:type="dxa"/>
            <w:noWrap w:val="0"/>
            <w:vAlign w:val="top"/>
          </w:tcPr>
          <w:p w14:paraId="190BAE8D">
            <w:pPr>
              <w:widowControl/>
              <w:spacing w:line="400" w:lineRule="exact"/>
              <w:jc w:val="center"/>
              <w:rPr>
                <w:rStyle w:val="20"/>
                <w:rFonts w:hint="eastAsia" w:ascii="仿宋_GB2312" w:hAnsi="仿宋_GB2312" w:eastAsia="仿宋_GB2312" w:cs="仿宋_GB2312"/>
              </w:rPr>
            </w:pPr>
          </w:p>
        </w:tc>
      </w:tr>
    </w:tbl>
    <w:p w14:paraId="381CA92F">
      <w:pPr>
        <w:keepNext w:val="0"/>
        <w:keepLines w:val="0"/>
        <w:widowControl/>
        <w:adjustRightInd/>
        <w:spacing w:before="0" w:beforeLines="0" w:after="0" w:afterLines="0" w:line="600" w:lineRule="exact"/>
        <w:ind w:left="420" w:leftChars="200"/>
        <w:textAlignment w:val="auto"/>
        <w:outlineLvl w:val="9"/>
        <w:rPr>
          <w:rStyle w:val="20"/>
          <w:rFonts w:ascii="仿宋_GB2312" w:hAnsi="仿宋_GB2312" w:eastAsia="仿宋_GB2312" w:cs="仿宋_GB2312"/>
          <w:szCs w:val="24"/>
        </w:rPr>
      </w:pPr>
      <w:r>
        <w:rPr>
          <w:rStyle w:val="20"/>
          <w:rFonts w:hint="eastAsia" w:ascii="仿宋_GB2312" w:hAnsi="仿宋_GB2312" w:eastAsia="仿宋_GB2312" w:cs="仿宋_GB2312"/>
          <w:szCs w:val="24"/>
          <w:lang w:val="en-US" w:eastAsia="zh-CN"/>
        </w:rPr>
        <w:t>拟</w:t>
      </w:r>
      <w:r>
        <w:rPr>
          <w:rStyle w:val="20"/>
          <w:rFonts w:ascii="仿宋_GB2312" w:hAnsi="仿宋_GB2312" w:eastAsia="仿宋_GB2312" w:cs="仿宋_GB2312"/>
          <w:szCs w:val="24"/>
        </w:rPr>
        <w:t>安排的项目团队成员（项目负责人除外）情况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745"/>
        <w:gridCol w:w="2333"/>
        <w:gridCol w:w="2387"/>
        <w:gridCol w:w="1737"/>
      </w:tblGrid>
      <w:tr w14:paraId="08C2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76" w:type="dxa"/>
            <w:noWrap w:val="0"/>
            <w:vAlign w:val="center"/>
          </w:tcPr>
          <w:p w14:paraId="496205A0">
            <w:pPr>
              <w:widowControl w:val="0"/>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序号</w:t>
            </w:r>
          </w:p>
        </w:tc>
        <w:tc>
          <w:tcPr>
            <w:tcW w:w="1569" w:type="dxa"/>
            <w:noWrap w:val="0"/>
            <w:vAlign w:val="center"/>
          </w:tcPr>
          <w:p w14:paraId="3FCC0875">
            <w:pPr>
              <w:widowControl w:val="0"/>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姓名</w:t>
            </w:r>
          </w:p>
        </w:tc>
        <w:tc>
          <w:tcPr>
            <w:tcW w:w="2099" w:type="dxa"/>
            <w:noWrap w:val="0"/>
            <w:vAlign w:val="center"/>
          </w:tcPr>
          <w:p w14:paraId="61B843EC">
            <w:pPr>
              <w:widowControl w:val="0"/>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职称</w:t>
            </w:r>
          </w:p>
        </w:tc>
        <w:tc>
          <w:tcPr>
            <w:tcW w:w="2147" w:type="dxa"/>
            <w:noWrap w:val="0"/>
            <w:vAlign w:val="center"/>
          </w:tcPr>
          <w:p w14:paraId="0B1E3EBD">
            <w:pPr>
              <w:widowControl w:val="0"/>
              <w:spacing w:line="400" w:lineRule="exact"/>
              <w:jc w:val="center"/>
              <w:rPr>
                <w:rStyle w:val="20"/>
                <w:rFonts w:hint="eastAsia" w:ascii="仿宋_GB2312" w:hAnsi="仿宋_GB2312" w:eastAsia="仿宋_GB2312" w:cs="仿宋_GB2312"/>
              </w:rPr>
            </w:pPr>
            <w:r>
              <w:rPr>
                <w:rStyle w:val="20"/>
                <w:rFonts w:ascii="仿宋_GB2312" w:hAnsi="仿宋_GB2312" w:eastAsia="仿宋_GB2312" w:cs="仿宋_GB2312"/>
              </w:rPr>
              <w:t>学历</w:t>
            </w:r>
          </w:p>
        </w:tc>
        <w:tc>
          <w:tcPr>
            <w:tcW w:w="1562" w:type="dxa"/>
            <w:noWrap w:val="0"/>
            <w:vAlign w:val="center"/>
          </w:tcPr>
          <w:p w14:paraId="3EFE99BC">
            <w:pPr>
              <w:widowControl w:val="0"/>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备注</w:t>
            </w:r>
          </w:p>
        </w:tc>
      </w:tr>
      <w:tr w14:paraId="377D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76" w:type="dxa"/>
            <w:noWrap w:val="0"/>
            <w:vAlign w:val="top"/>
          </w:tcPr>
          <w:p w14:paraId="57CDABC0">
            <w:pPr>
              <w:widowControl/>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1</w:t>
            </w:r>
          </w:p>
        </w:tc>
        <w:tc>
          <w:tcPr>
            <w:tcW w:w="1569" w:type="dxa"/>
            <w:noWrap w:val="0"/>
            <w:vAlign w:val="top"/>
          </w:tcPr>
          <w:p w14:paraId="20CB170B">
            <w:pPr>
              <w:widowControl/>
              <w:spacing w:line="400" w:lineRule="exact"/>
              <w:jc w:val="center"/>
              <w:rPr>
                <w:rStyle w:val="20"/>
                <w:rFonts w:hint="eastAsia" w:ascii="仿宋_GB2312" w:hAnsi="仿宋_GB2312" w:eastAsia="仿宋_GB2312" w:cs="仿宋_GB2312"/>
              </w:rPr>
            </w:pPr>
          </w:p>
        </w:tc>
        <w:tc>
          <w:tcPr>
            <w:tcW w:w="2099" w:type="dxa"/>
            <w:noWrap w:val="0"/>
            <w:vAlign w:val="top"/>
          </w:tcPr>
          <w:p w14:paraId="309DA3C8">
            <w:pPr>
              <w:widowControl/>
              <w:spacing w:line="400" w:lineRule="exact"/>
              <w:jc w:val="center"/>
              <w:rPr>
                <w:rStyle w:val="20"/>
                <w:rFonts w:hint="eastAsia" w:ascii="仿宋_GB2312" w:hAnsi="仿宋_GB2312" w:eastAsia="仿宋_GB2312" w:cs="仿宋_GB2312"/>
              </w:rPr>
            </w:pPr>
          </w:p>
        </w:tc>
        <w:tc>
          <w:tcPr>
            <w:tcW w:w="2147" w:type="dxa"/>
            <w:noWrap w:val="0"/>
            <w:vAlign w:val="top"/>
          </w:tcPr>
          <w:p w14:paraId="02FAE89B">
            <w:pPr>
              <w:widowControl/>
              <w:spacing w:line="400" w:lineRule="exact"/>
              <w:jc w:val="center"/>
              <w:rPr>
                <w:rStyle w:val="20"/>
                <w:rFonts w:hint="eastAsia" w:ascii="仿宋_GB2312" w:hAnsi="仿宋_GB2312" w:eastAsia="仿宋_GB2312" w:cs="仿宋_GB2312"/>
              </w:rPr>
            </w:pPr>
          </w:p>
        </w:tc>
        <w:tc>
          <w:tcPr>
            <w:tcW w:w="1562" w:type="dxa"/>
            <w:noWrap w:val="0"/>
            <w:vAlign w:val="top"/>
          </w:tcPr>
          <w:p w14:paraId="18DE63CE">
            <w:pPr>
              <w:widowControl/>
              <w:spacing w:line="400" w:lineRule="exact"/>
              <w:jc w:val="center"/>
              <w:rPr>
                <w:rStyle w:val="20"/>
                <w:rFonts w:hint="eastAsia" w:ascii="仿宋_GB2312" w:hAnsi="仿宋_GB2312" w:eastAsia="仿宋_GB2312" w:cs="仿宋_GB2312"/>
              </w:rPr>
            </w:pPr>
          </w:p>
        </w:tc>
      </w:tr>
      <w:tr w14:paraId="5E5C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76" w:type="dxa"/>
            <w:noWrap w:val="0"/>
            <w:vAlign w:val="top"/>
          </w:tcPr>
          <w:p w14:paraId="34B4AB16">
            <w:pPr>
              <w:widowControl/>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2</w:t>
            </w:r>
          </w:p>
        </w:tc>
        <w:tc>
          <w:tcPr>
            <w:tcW w:w="1569" w:type="dxa"/>
            <w:noWrap w:val="0"/>
            <w:vAlign w:val="top"/>
          </w:tcPr>
          <w:p w14:paraId="632E88F1">
            <w:pPr>
              <w:widowControl/>
              <w:spacing w:line="400" w:lineRule="exact"/>
              <w:jc w:val="center"/>
              <w:rPr>
                <w:rStyle w:val="20"/>
                <w:rFonts w:hint="eastAsia" w:ascii="仿宋_GB2312" w:hAnsi="仿宋_GB2312" w:eastAsia="仿宋_GB2312" w:cs="仿宋_GB2312"/>
              </w:rPr>
            </w:pPr>
          </w:p>
        </w:tc>
        <w:tc>
          <w:tcPr>
            <w:tcW w:w="2099" w:type="dxa"/>
            <w:noWrap w:val="0"/>
            <w:vAlign w:val="top"/>
          </w:tcPr>
          <w:p w14:paraId="5EB5D9C3">
            <w:pPr>
              <w:widowControl/>
              <w:spacing w:line="400" w:lineRule="exact"/>
              <w:jc w:val="center"/>
              <w:rPr>
                <w:rStyle w:val="20"/>
                <w:rFonts w:hint="eastAsia" w:ascii="仿宋_GB2312" w:hAnsi="仿宋_GB2312" w:eastAsia="仿宋_GB2312" w:cs="仿宋_GB2312"/>
              </w:rPr>
            </w:pPr>
          </w:p>
        </w:tc>
        <w:tc>
          <w:tcPr>
            <w:tcW w:w="2147" w:type="dxa"/>
            <w:noWrap w:val="0"/>
            <w:vAlign w:val="top"/>
          </w:tcPr>
          <w:p w14:paraId="74E5841D">
            <w:pPr>
              <w:widowControl/>
              <w:spacing w:line="400" w:lineRule="exact"/>
              <w:jc w:val="center"/>
              <w:rPr>
                <w:rStyle w:val="20"/>
                <w:rFonts w:hint="eastAsia" w:ascii="仿宋_GB2312" w:hAnsi="仿宋_GB2312" w:eastAsia="仿宋_GB2312" w:cs="仿宋_GB2312"/>
              </w:rPr>
            </w:pPr>
          </w:p>
        </w:tc>
        <w:tc>
          <w:tcPr>
            <w:tcW w:w="1562" w:type="dxa"/>
            <w:noWrap w:val="0"/>
            <w:vAlign w:val="top"/>
          </w:tcPr>
          <w:p w14:paraId="11C6DBBA">
            <w:pPr>
              <w:widowControl/>
              <w:spacing w:line="400" w:lineRule="exact"/>
              <w:jc w:val="center"/>
              <w:rPr>
                <w:rStyle w:val="20"/>
                <w:rFonts w:hint="eastAsia" w:ascii="仿宋_GB2312" w:hAnsi="仿宋_GB2312" w:eastAsia="仿宋_GB2312" w:cs="仿宋_GB2312"/>
              </w:rPr>
            </w:pPr>
          </w:p>
        </w:tc>
      </w:tr>
      <w:tr w14:paraId="212C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6" w:type="dxa"/>
            <w:noWrap w:val="0"/>
            <w:vAlign w:val="top"/>
          </w:tcPr>
          <w:p w14:paraId="6F4BBA63">
            <w:pPr>
              <w:widowControl/>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3</w:t>
            </w:r>
          </w:p>
        </w:tc>
        <w:tc>
          <w:tcPr>
            <w:tcW w:w="1569" w:type="dxa"/>
            <w:noWrap w:val="0"/>
            <w:vAlign w:val="top"/>
          </w:tcPr>
          <w:p w14:paraId="5D24A645">
            <w:pPr>
              <w:widowControl/>
              <w:spacing w:line="400" w:lineRule="exact"/>
              <w:jc w:val="center"/>
              <w:rPr>
                <w:rStyle w:val="20"/>
                <w:rFonts w:hint="eastAsia" w:ascii="仿宋_GB2312" w:hAnsi="仿宋_GB2312" w:eastAsia="仿宋_GB2312" w:cs="仿宋_GB2312"/>
              </w:rPr>
            </w:pPr>
          </w:p>
        </w:tc>
        <w:tc>
          <w:tcPr>
            <w:tcW w:w="2099" w:type="dxa"/>
            <w:noWrap w:val="0"/>
            <w:vAlign w:val="top"/>
          </w:tcPr>
          <w:p w14:paraId="6690115E">
            <w:pPr>
              <w:widowControl/>
              <w:spacing w:line="400" w:lineRule="exact"/>
              <w:jc w:val="center"/>
              <w:rPr>
                <w:rStyle w:val="20"/>
                <w:rFonts w:hint="eastAsia" w:ascii="仿宋_GB2312" w:hAnsi="仿宋_GB2312" w:eastAsia="仿宋_GB2312" w:cs="仿宋_GB2312"/>
              </w:rPr>
            </w:pPr>
          </w:p>
        </w:tc>
        <w:tc>
          <w:tcPr>
            <w:tcW w:w="2147" w:type="dxa"/>
            <w:noWrap w:val="0"/>
            <w:vAlign w:val="top"/>
          </w:tcPr>
          <w:p w14:paraId="0B2CDF35">
            <w:pPr>
              <w:widowControl/>
              <w:spacing w:line="400" w:lineRule="exact"/>
              <w:jc w:val="center"/>
              <w:rPr>
                <w:rStyle w:val="20"/>
                <w:rFonts w:hint="eastAsia" w:ascii="仿宋_GB2312" w:hAnsi="仿宋_GB2312" w:eastAsia="仿宋_GB2312" w:cs="仿宋_GB2312"/>
              </w:rPr>
            </w:pPr>
          </w:p>
        </w:tc>
        <w:tc>
          <w:tcPr>
            <w:tcW w:w="1562" w:type="dxa"/>
            <w:noWrap w:val="0"/>
            <w:vAlign w:val="top"/>
          </w:tcPr>
          <w:p w14:paraId="29B3AB65">
            <w:pPr>
              <w:widowControl/>
              <w:spacing w:line="400" w:lineRule="exact"/>
              <w:jc w:val="center"/>
              <w:rPr>
                <w:rStyle w:val="20"/>
                <w:rFonts w:hint="eastAsia" w:ascii="仿宋_GB2312" w:hAnsi="仿宋_GB2312" w:eastAsia="仿宋_GB2312" w:cs="仿宋_GB2312"/>
              </w:rPr>
            </w:pPr>
          </w:p>
        </w:tc>
      </w:tr>
      <w:tr w14:paraId="61D2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76" w:type="dxa"/>
            <w:noWrap w:val="0"/>
            <w:vAlign w:val="top"/>
          </w:tcPr>
          <w:p w14:paraId="6D2BFCE3">
            <w:pPr>
              <w:widowControl/>
              <w:spacing w:line="400" w:lineRule="exact"/>
              <w:jc w:val="center"/>
              <w:rPr>
                <w:rStyle w:val="20"/>
                <w:rFonts w:hint="eastAsia" w:ascii="仿宋_GB2312" w:hAnsi="仿宋_GB2312" w:eastAsia="仿宋_GB2312" w:cs="仿宋_GB2312"/>
              </w:rPr>
            </w:pPr>
            <w:r>
              <w:rPr>
                <w:rStyle w:val="20"/>
                <w:rFonts w:hint="eastAsia" w:ascii="仿宋_GB2312" w:hAnsi="仿宋_GB2312" w:eastAsia="仿宋_GB2312" w:cs="仿宋_GB2312"/>
              </w:rPr>
              <w:t>…</w:t>
            </w:r>
          </w:p>
        </w:tc>
        <w:tc>
          <w:tcPr>
            <w:tcW w:w="1569" w:type="dxa"/>
            <w:noWrap w:val="0"/>
            <w:vAlign w:val="top"/>
          </w:tcPr>
          <w:p w14:paraId="381B5AFF">
            <w:pPr>
              <w:widowControl/>
              <w:spacing w:line="400" w:lineRule="exact"/>
              <w:jc w:val="center"/>
              <w:rPr>
                <w:rStyle w:val="20"/>
                <w:rFonts w:hint="eastAsia" w:ascii="仿宋_GB2312" w:hAnsi="仿宋_GB2312" w:eastAsia="仿宋_GB2312" w:cs="仿宋_GB2312"/>
              </w:rPr>
            </w:pPr>
          </w:p>
        </w:tc>
        <w:tc>
          <w:tcPr>
            <w:tcW w:w="2099" w:type="dxa"/>
            <w:noWrap w:val="0"/>
            <w:vAlign w:val="top"/>
          </w:tcPr>
          <w:p w14:paraId="02437EB6">
            <w:pPr>
              <w:widowControl/>
              <w:spacing w:line="400" w:lineRule="exact"/>
              <w:jc w:val="center"/>
              <w:rPr>
                <w:rStyle w:val="20"/>
                <w:rFonts w:hint="eastAsia" w:ascii="仿宋_GB2312" w:hAnsi="仿宋_GB2312" w:eastAsia="仿宋_GB2312" w:cs="仿宋_GB2312"/>
              </w:rPr>
            </w:pPr>
          </w:p>
        </w:tc>
        <w:tc>
          <w:tcPr>
            <w:tcW w:w="2147" w:type="dxa"/>
            <w:noWrap w:val="0"/>
            <w:vAlign w:val="top"/>
          </w:tcPr>
          <w:p w14:paraId="47EA553B">
            <w:pPr>
              <w:widowControl/>
              <w:spacing w:line="400" w:lineRule="exact"/>
              <w:jc w:val="center"/>
              <w:rPr>
                <w:rStyle w:val="20"/>
                <w:rFonts w:hint="eastAsia" w:ascii="仿宋_GB2312" w:hAnsi="仿宋_GB2312" w:eastAsia="仿宋_GB2312" w:cs="仿宋_GB2312"/>
              </w:rPr>
            </w:pPr>
          </w:p>
        </w:tc>
        <w:tc>
          <w:tcPr>
            <w:tcW w:w="1562" w:type="dxa"/>
            <w:noWrap w:val="0"/>
            <w:vAlign w:val="top"/>
          </w:tcPr>
          <w:p w14:paraId="04B1AADA">
            <w:pPr>
              <w:widowControl/>
              <w:spacing w:line="400" w:lineRule="exact"/>
              <w:jc w:val="center"/>
              <w:rPr>
                <w:rStyle w:val="20"/>
                <w:rFonts w:hint="eastAsia" w:ascii="仿宋_GB2312" w:hAnsi="仿宋_GB2312" w:eastAsia="仿宋_GB2312" w:cs="仿宋_GB2312"/>
              </w:rPr>
            </w:pPr>
          </w:p>
        </w:tc>
      </w:tr>
    </w:tbl>
    <w:p w14:paraId="19DF615D">
      <w:pPr>
        <w:widowControl/>
        <w:spacing w:line="400" w:lineRule="exact"/>
        <w:ind w:firstLine="480" w:firstLineChars="200"/>
        <w:jc w:val="left"/>
        <w:rPr>
          <w:rStyle w:val="20"/>
          <w:rFonts w:hint="eastAsia" w:ascii="仿宋_GB2312" w:hAnsi="仿宋_GB2312" w:eastAsia="仿宋_GB2312" w:cs="仿宋_GB2312"/>
          <w:sz w:val="24"/>
          <w:szCs w:val="24"/>
        </w:rPr>
      </w:pPr>
      <w:r>
        <w:rPr>
          <w:rStyle w:val="20"/>
          <w:rFonts w:hint="eastAsia" w:ascii="仿宋_GB2312" w:hAnsi="仿宋_GB2312" w:eastAsia="仿宋_GB2312" w:cs="仿宋_GB2312"/>
          <w:sz w:val="24"/>
          <w:szCs w:val="24"/>
        </w:rPr>
        <w:t>注：</w:t>
      </w:r>
    </w:p>
    <w:p w14:paraId="1C02649A">
      <w:pPr>
        <w:widowControl/>
        <w:spacing w:line="400" w:lineRule="exact"/>
        <w:ind w:firstLine="480" w:firstLineChars="200"/>
        <w:jc w:val="left"/>
        <w:rPr>
          <w:rStyle w:val="20"/>
          <w:rFonts w:hint="eastAsia" w:ascii="仿宋_GB2312" w:hAnsi="仿宋_GB2312" w:eastAsia="仿宋_GB2312" w:cs="仿宋_GB2312"/>
          <w:sz w:val="24"/>
          <w:szCs w:val="24"/>
        </w:rPr>
      </w:pPr>
      <w:r>
        <w:rPr>
          <w:rStyle w:val="20"/>
          <w:rFonts w:hint="eastAsia" w:ascii="仿宋_GB2312" w:hAnsi="仿宋_GB2312" w:eastAsia="仿宋_GB2312" w:cs="仿宋_GB2312"/>
          <w:sz w:val="24"/>
          <w:szCs w:val="24"/>
        </w:rPr>
        <w:t>1.请按以上表格填写相关内容，并明确内容相关证明材料在投标文件中的页码。</w:t>
      </w:r>
    </w:p>
    <w:p w14:paraId="1E375547">
      <w:pPr>
        <w:widowControl/>
        <w:spacing w:line="400" w:lineRule="exact"/>
        <w:ind w:firstLine="480" w:firstLineChars="200"/>
        <w:jc w:val="left"/>
        <w:rPr>
          <w:rStyle w:val="20"/>
          <w:rFonts w:hint="eastAsia" w:ascii="仿宋_GB2312" w:hAnsi="仿宋_GB2312" w:eastAsia="仿宋_GB2312" w:cs="仿宋_GB2312"/>
          <w:sz w:val="24"/>
          <w:szCs w:val="24"/>
        </w:rPr>
      </w:pPr>
      <w:r>
        <w:rPr>
          <w:rStyle w:val="20"/>
          <w:rFonts w:ascii="仿宋_GB2312" w:hAnsi="仿宋_GB2312" w:eastAsia="仿宋_GB2312" w:cs="仿宋_GB2312"/>
          <w:sz w:val="24"/>
          <w:szCs w:val="24"/>
        </w:rPr>
        <w:t>2.</w:t>
      </w:r>
      <w:r>
        <w:rPr>
          <w:rStyle w:val="20"/>
          <w:rFonts w:hint="eastAsia" w:ascii="仿宋_GB2312" w:hAnsi="仿宋_GB2312" w:eastAsia="仿宋_GB2312" w:cs="仿宋_GB2312"/>
          <w:sz w:val="24"/>
          <w:szCs w:val="24"/>
        </w:rPr>
        <w:t>要求提供投标人工作单位所开出的在职证明，并承诺该员工在本公司</w:t>
      </w:r>
      <w:r>
        <w:rPr>
          <w:rStyle w:val="20"/>
          <w:rFonts w:ascii="仿宋_GB2312" w:hAnsi="仿宋_GB2312" w:eastAsia="仿宋_GB2312" w:cs="仿宋_GB2312"/>
          <w:sz w:val="24"/>
          <w:szCs w:val="24"/>
        </w:rPr>
        <w:t>截标前</w:t>
      </w:r>
      <w:r>
        <w:rPr>
          <w:rStyle w:val="20"/>
          <w:rFonts w:hint="eastAsia" w:ascii="仿宋_GB2312" w:hAnsi="仿宋_GB2312" w:eastAsia="仿宋_GB2312" w:cs="仿宋_GB2312"/>
          <w:sz w:val="24"/>
          <w:szCs w:val="24"/>
        </w:rPr>
        <w:t>任职并在本公司连续缴纳社保3个月以上作为得分依据</w:t>
      </w:r>
      <w:r>
        <w:rPr>
          <w:rStyle w:val="20"/>
          <w:rFonts w:ascii="仿宋_GB2312" w:hAnsi="仿宋_GB2312" w:eastAsia="仿宋_GB2312" w:cs="仿宋_GB2312"/>
          <w:sz w:val="24"/>
          <w:szCs w:val="24"/>
        </w:rPr>
        <w:t>，否则不得分。</w:t>
      </w:r>
    </w:p>
    <w:p w14:paraId="64D103B0">
      <w:pPr>
        <w:spacing w:line="400" w:lineRule="exact"/>
        <w:ind w:left="0" w:leftChars="0" w:firstLine="480" w:firstLineChars="200"/>
        <w:rPr>
          <w:rFonts w:hint="eastAsia" w:ascii="仿宋_GB2312" w:hAnsi="仿宋_GB2312" w:eastAsia="仿宋_GB2312" w:cs="仿宋_GB2312"/>
          <w:sz w:val="24"/>
          <w:szCs w:val="24"/>
        </w:rPr>
      </w:pPr>
      <w:r>
        <w:rPr>
          <w:rStyle w:val="20"/>
          <w:rFonts w:ascii="仿宋_GB2312" w:hAnsi="仿宋_GB2312" w:eastAsia="仿宋_GB2312" w:cs="仿宋_GB2312"/>
          <w:sz w:val="24"/>
          <w:szCs w:val="24"/>
        </w:rPr>
        <w:t>3.</w:t>
      </w:r>
      <w:r>
        <w:rPr>
          <w:rStyle w:val="20"/>
          <w:rFonts w:hint="eastAsia" w:ascii="仿宋_GB2312" w:hAnsi="仿宋_GB2312" w:eastAsia="仿宋_GB2312" w:cs="仿宋_GB2312"/>
          <w:sz w:val="24"/>
          <w:szCs w:val="24"/>
        </w:rPr>
        <w:t>提供相关职业资格证书、</w:t>
      </w:r>
      <w:r>
        <w:rPr>
          <w:rStyle w:val="20"/>
          <w:rFonts w:ascii="仿宋_GB2312" w:hAnsi="仿宋_GB2312" w:eastAsia="仿宋_GB2312" w:cs="仿宋_GB2312"/>
          <w:sz w:val="24"/>
          <w:szCs w:val="24"/>
        </w:rPr>
        <w:t>职称证书、</w:t>
      </w:r>
      <w:r>
        <w:rPr>
          <w:rStyle w:val="20"/>
          <w:rFonts w:hint="eastAsia" w:ascii="仿宋_GB2312" w:hAnsi="仿宋_GB2312" w:eastAsia="仿宋_GB2312" w:cs="仿宋_GB2312"/>
          <w:sz w:val="24"/>
          <w:szCs w:val="24"/>
        </w:rPr>
        <w:t>工作经验证明材料扫描件及能证明相关人员经验的项目相关证明文件扫描件，原件备查。以合同签订时间为准，工作经验证明材料为项目合同关键信息或合同甲方出具的证明文件。</w:t>
      </w:r>
    </w:p>
    <w:p w14:paraId="6469F7C6">
      <w:pPr>
        <w:spacing w:line="360" w:lineRule="auto"/>
        <w:ind w:left="420" w:left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附价格核算明细及依据。</w:t>
      </w:r>
    </w:p>
    <w:p w14:paraId="145B3408">
      <w:pPr>
        <w:spacing w:line="360" w:lineRule="auto"/>
        <w:ind w:left="420" w:leftChars="200"/>
        <w:rPr>
          <w:rFonts w:hint="eastAsia" w:ascii="仿宋_GB2312" w:hAnsi="仿宋_GB2312" w:eastAsia="仿宋_GB2312" w:cs="仿宋_GB2312"/>
          <w:sz w:val="24"/>
          <w:szCs w:val="24"/>
        </w:rPr>
      </w:pPr>
    </w:p>
    <w:p w14:paraId="012ADEC7">
      <w:pPr>
        <w:spacing w:line="360" w:lineRule="exact"/>
        <w:ind w:left="420" w:leftChars="200"/>
        <w:rPr>
          <w:rStyle w:val="20"/>
          <w:rFonts w:hint="eastAsia" w:ascii="仿宋_GB2312" w:hAnsi="仿宋_GB2312" w:eastAsia="仿宋_GB2312" w:cs="仿宋_GB2312"/>
          <w:sz w:val="24"/>
          <w:szCs w:val="24"/>
          <w:lang w:val="en-US" w:eastAsia="zh-CN"/>
        </w:rPr>
      </w:pPr>
      <w:r>
        <w:rPr>
          <w:rStyle w:val="20"/>
          <w:rFonts w:hint="eastAsia" w:ascii="仿宋_GB2312" w:hAnsi="仿宋_GB2312" w:eastAsia="仿宋_GB2312" w:cs="仿宋_GB2312"/>
          <w:sz w:val="24"/>
          <w:szCs w:val="24"/>
          <w:lang w:eastAsia="zh-CN"/>
        </w:rPr>
        <w:t>投标单位</w:t>
      </w:r>
      <w:r>
        <w:rPr>
          <w:rStyle w:val="20"/>
          <w:rFonts w:hint="eastAsia" w:ascii="仿宋_GB2312" w:hAnsi="仿宋_GB2312" w:eastAsia="仿宋_GB2312" w:cs="仿宋_GB2312"/>
          <w:sz w:val="24"/>
          <w:szCs w:val="24"/>
        </w:rPr>
        <w:t xml:space="preserve">代表签字:  </w:t>
      </w:r>
      <w:r>
        <w:rPr>
          <w:rStyle w:val="20"/>
          <w:rFonts w:hint="eastAsia" w:ascii="仿宋_GB2312" w:hAnsi="仿宋_GB2312" w:eastAsia="仿宋_GB2312" w:cs="仿宋_GB2312"/>
          <w:sz w:val="24"/>
          <w:szCs w:val="24"/>
          <w:lang w:val="en-US" w:eastAsia="zh-CN"/>
        </w:rPr>
        <w:t xml:space="preserve">           </w:t>
      </w:r>
    </w:p>
    <w:p w14:paraId="4B6AD371">
      <w:pPr>
        <w:spacing w:line="360" w:lineRule="exact"/>
        <w:ind w:left="0" w:leftChars="0"/>
        <w:rPr>
          <w:rStyle w:val="20"/>
          <w:rFonts w:hint="eastAsia" w:ascii="仿宋_GB2312" w:hAnsi="仿宋_GB2312" w:eastAsia="仿宋_GB2312" w:cs="仿宋_GB2312"/>
          <w:sz w:val="24"/>
          <w:szCs w:val="24"/>
          <w:lang w:val="en-US" w:eastAsia="zh-CN"/>
        </w:rPr>
      </w:pPr>
    </w:p>
    <w:p w14:paraId="4F57D11B">
      <w:pPr>
        <w:spacing w:line="360" w:lineRule="exact"/>
        <w:ind w:left="420" w:leftChars="200"/>
        <w:rPr>
          <w:rFonts w:ascii="宋体"/>
          <w:sz w:val="22"/>
          <w:szCs w:val="22"/>
        </w:rPr>
      </w:pPr>
      <w:r>
        <w:rPr>
          <w:rStyle w:val="20"/>
          <w:rFonts w:hint="eastAsia" w:ascii="仿宋_GB2312" w:hAnsi="仿宋_GB2312" w:eastAsia="仿宋_GB2312" w:cs="仿宋_GB2312"/>
          <w:sz w:val="24"/>
          <w:szCs w:val="24"/>
        </w:rPr>
        <w:t>单位盖章</w:t>
      </w:r>
      <w:r>
        <w:rPr>
          <w:rStyle w:val="20"/>
          <w:rFonts w:hint="eastAsia" w:ascii="仿宋_GB2312" w:hAnsi="仿宋_GB2312" w:eastAsia="仿宋_GB2312" w:cs="仿宋_GB2312"/>
          <w:sz w:val="24"/>
          <w:szCs w:val="24"/>
          <w:lang w:eastAsia="zh-CN"/>
        </w:rPr>
        <w:t>：</w:t>
      </w:r>
    </w:p>
    <w:p w14:paraId="5D58FD5C">
      <w:pPr>
        <w:pStyle w:val="2"/>
        <w:ind w:firstLine="0" w:firstLineChars="0"/>
        <w:rPr>
          <w:rFonts w:ascii="宋体"/>
          <w:sz w:val="22"/>
          <w:szCs w:val="22"/>
        </w:rPr>
      </w:pPr>
    </w:p>
    <w:p w14:paraId="444222BB">
      <w:pPr>
        <w:pStyle w:val="2"/>
        <w:rPr>
          <w:rFonts w:ascii="宋体"/>
          <w:sz w:val="22"/>
          <w:szCs w:val="22"/>
        </w:rPr>
      </w:pPr>
    </w:p>
    <w:p w14:paraId="46681513">
      <w:pPr>
        <w:pStyle w:val="2"/>
        <w:ind w:firstLine="560"/>
      </w:pPr>
      <w:r>
        <w:rPr>
          <w:rFonts w:hint="eastAsia" w:ascii="仿宋_GB2312" w:hAnsi="仿宋_GB2312" w:eastAsia="仿宋_GB2312" w:cs="仿宋_GB2312"/>
          <w:sz w:val="24"/>
          <w:szCs w:val="24"/>
          <w:lang w:eastAsia="zh-CN"/>
        </w:rPr>
        <w:t>日期：</w:t>
      </w:r>
    </w:p>
    <w:p w14:paraId="3FE91350">
      <w:pPr>
        <w:pStyle w:val="6"/>
        <w:spacing w:before="120" w:after="120" w:line="600" w:lineRule="exact"/>
        <w:jc w:val="left"/>
        <w:rPr>
          <w:rFonts w:hint="eastAsia" w:ascii="宋体" w:hAnsi="宋体" w:eastAsia="宋体" w:cs="宋体"/>
          <w:b/>
          <w:bCs/>
        </w:rPr>
      </w:pPr>
      <w:r>
        <w:rPr>
          <w:rFonts w:hint="eastAsia" w:ascii="宋体" w:hAnsi="宋体" w:eastAsia="宋体" w:cs="宋体"/>
          <w:b/>
          <w:bCs/>
          <w:lang w:val="en-US" w:eastAsia="zh-CN"/>
        </w:rPr>
        <w:br w:type="page"/>
      </w:r>
      <w:r>
        <w:rPr>
          <w:rFonts w:hint="eastAsia" w:ascii="宋体" w:hAnsi="宋体" w:eastAsia="宋体" w:cs="宋体"/>
          <w:b/>
          <w:bCs/>
          <w:lang w:val="en-US" w:eastAsia="zh-CN"/>
        </w:rPr>
        <w:t>三</w:t>
      </w:r>
      <w:r>
        <w:rPr>
          <w:rFonts w:hint="eastAsia" w:ascii="宋体" w:hAnsi="宋体" w:eastAsia="宋体" w:cs="宋体"/>
          <w:b/>
          <w:bCs/>
        </w:rPr>
        <w:t>、</w:t>
      </w:r>
      <w:r>
        <w:rPr>
          <w:rFonts w:hint="eastAsia" w:ascii="宋体" w:hAnsi="宋体" w:eastAsia="宋体" w:cs="宋体"/>
          <w:b/>
          <w:bCs/>
          <w:lang w:eastAsia="zh-CN"/>
        </w:rPr>
        <w:t>投标单位</w:t>
      </w:r>
      <w:r>
        <w:rPr>
          <w:rFonts w:hint="eastAsia" w:ascii="宋体" w:hAnsi="宋体" w:eastAsia="宋体" w:cs="宋体"/>
          <w:b/>
          <w:bCs/>
        </w:rPr>
        <w:t>资格证明文件</w:t>
      </w:r>
    </w:p>
    <w:p w14:paraId="3445CCFB">
      <w:pPr>
        <w:jc w:val="center"/>
        <w:rPr>
          <w:b/>
          <w:bCs/>
          <w:sz w:val="28"/>
          <w:szCs w:val="28"/>
        </w:rPr>
      </w:pPr>
    </w:p>
    <w:p w14:paraId="1853E434">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1、执业许可证、税务登记证、组织机构代码证；</w:t>
      </w:r>
    </w:p>
    <w:p w14:paraId="40EE4197">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2、法定代表人身份证明书、法定代表人授权委托书；</w:t>
      </w:r>
    </w:p>
    <w:p w14:paraId="328B2900">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3、项目负责人资质证明文件及社保证明；</w:t>
      </w:r>
    </w:p>
    <w:p w14:paraId="7B860825">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人员资质文件及社保证明。</w:t>
      </w:r>
    </w:p>
    <w:p w14:paraId="2EE24746">
      <w:pPr>
        <w:spacing w:line="360" w:lineRule="auto"/>
        <w:rPr>
          <w:rFonts w:hint="eastAsia" w:ascii="仿宋_GB2312" w:hAnsi="仿宋_GB2312" w:eastAsia="仿宋_GB2312" w:cs="仿宋_GB2312"/>
          <w:sz w:val="24"/>
          <w:szCs w:val="24"/>
        </w:rPr>
      </w:pPr>
    </w:p>
    <w:p w14:paraId="6782B9B5">
      <w:pPr>
        <w:spacing w:line="360" w:lineRule="auto"/>
        <w:rPr>
          <w:rFonts w:hint="eastAsia" w:ascii="仿宋_GB2312" w:hAnsi="仿宋_GB2312" w:eastAsia="仿宋_GB2312" w:cs="仿宋_GB2312"/>
          <w:sz w:val="24"/>
          <w:szCs w:val="24"/>
        </w:rPr>
      </w:pPr>
    </w:p>
    <w:p w14:paraId="521FC69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代表签字:</w:t>
      </w:r>
    </w:p>
    <w:p w14:paraId="2D328D30">
      <w:pPr>
        <w:spacing w:line="360" w:lineRule="auto"/>
        <w:rPr>
          <w:rFonts w:hint="eastAsia" w:ascii="仿宋_GB2312" w:hAnsi="仿宋_GB2312" w:eastAsia="仿宋_GB2312" w:cs="仿宋_GB2312"/>
          <w:sz w:val="24"/>
          <w:szCs w:val="24"/>
        </w:rPr>
      </w:pPr>
    </w:p>
    <w:p w14:paraId="240959B0">
      <w:pPr>
        <w:spacing w:line="360" w:lineRule="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单位盖章：</w:t>
      </w:r>
    </w:p>
    <w:p w14:paraId="7B218800">
      <w:pPr>
        <w:spacing w:line="360" w:lineRule="auto"/>
        <w:rPr>
          <w:rFonts w:ascii="仿宋" w:hAnsi="仿宋" w:eastAsia="仿宋"/>
          <w:kern w:val="0"/>
          <w:sz w:val="22"/>
          <w:szCs w:val="22"/>
        </w:rPr>
      </w:pPr>
    </w:p>
    <w:p w14:paraId="30203327">
      <w:pPr>
        <w:pStyle w:val="2"/>
        <w:rPr>
          <w:rFonts w:ascii="仿宋" w:hAnsi="仿宋" w:eastAsia="仿宋"/>
          <w:kern w:val="0"/>
          <w:sz w:val="22"/>
          <w:szCs w:val="22"/>
        </w:rPr>
      </w:pPr>
    </w:p>
    <w:p w14:paraId="1DB1254B">
      <w:pPr>
        <w:pStyle w:val="2"/>
        <w:ind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0912F86B">
      <w:pPr>
        <w:pStyle w:val="2"/>
        <w:rPr>
          <w:rFonts w:ascii="仿宋" w:hAnsi="仿宋" w:eastAsia="仿宋"/>
          <w:kern w:val="0"/>
          <w:sz w:val="22"/>
          <w:szCs w:val="22"/>
        </w:rPr>
      </w:pPr>
    </w:p>
    <w:p w14:paraId="670DE393">
      <w:pPr>
        <w:rPr>
          <w:rFonts w:ascii="仿宋" w:hAnsi="仿宋" w:eastAsia="仿宋"/>
          <w:sz w:val="22"/>
          <w:szCs w:val="22"/>
        </w:rPr>
      </w:pPr>
    </w:p>
    <w:p w14:paraId="7CA56F67">
      <w:pPr>
        <w:rPr>
          <w:rFonts w:ascii="仿宋" w:hAnsi="仿宋" w:eastAsia="仿宋"/>
          <w:sz w:val="22"/>
          <w:szCs w:val="22"/>
        </w:rPr>
      </w:pPr>
    </w:p>
    <w:p w14:paraId="4465251B">
      <w:pPr>
        <w:rPr>
          <w:sz w:val="22"/>
          <w:szCs w:val="22"/>
        </w:rPr>
      </w:pPr>
    </w:p>
    <w:p w14:paraId="2E1FDB63">
      <w:pPr>
        <w:spacing w:line="360" w:lineRule="auto"/>
        <w:jc w:val="both"/>
        <w:rPr>
          <w:rFonts w:ascii="宋体"/>
          <w:b/>
          <w:bCs/>
        </w:rPr>
      </w:pPr>
      <w:r>
        <w:rPr>
          <w:rFonts w:ascii="楷体_GB2312" w:hAnsi="宋体"/>
          <w:sz w:val="22"/>
          <w:szCs w:val="22"/>
        </w:rPr>
        <w:br w:type="page"/>
      </w:r>
      <w:r>
        <w:rPr>
          <w:rFonts w:hint="eastAsia" w:ascii="楷体_GB2312" w:hAnsi="宋体" w:eastAsia="宋体"/>
          <w:b/>
          <w:bCs/>
          <w:sz w:val="24"/>
          <w:szCs w:val="24"/>
          <w:lang w:val="en-US" w:eastAsia="zh-CN"/>
        </w:rPr>
        <w:t>四</w:t>
      </w:r>
      <w:r>
        <w:rPr>
          <w:rFonts w:hint="eastAsia" w:ascii="楷体_GB2312" w:hAnsi="宋体" w:eastAsia="宋体"/>
          <w:b/>
          <w:bCs/>
          <w:sz w:val="24"/>
          <w:szCs w:val="24"/>
        </w:rPr>
        <w:t>、《政府采购投标及履约承诺函》</w:t>
      </w:r>
    </w:p>
    <w:p w14:paraId="7ECE60CB">
      <w:pPr>
        <w:jc w:val="center"/>
        <w:rPr>
          <w:b/>
          <w:bCs/>
          <w:sz w:val="24"/>
          <w:szCs w:val="24"/>
        </w:rPr>
      </w:pPr>
    </w:p>
    <w:p w14:paraId="749B5DC5">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致：深圳市南山区住房和建设局</w:t>
      </w:r>
    </w:p>
    <w:p w14:paraId="20F60BED">
      <w:pPr>
        <w:jc w:val="left"/>
        <w:rPr>
          <w:rFonts w:hint="eastAsia" w:ascii="仿宋_GB2312" w:hAnsi="仿宋_GB2312" w:eastAsia="仿宋_GB2312" w:cs="仿宋_GB2312"/>
          <w:b/>
          <w:bCs/>
          <w:sz w:val="24"/>
          <w:szCs w:val="24"/>
        </w:rPr>
      </w:pPr>
    </w:p>
    <w:p w14:paraId="113180ED">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lang w:val="en-US" w:eastAsia="zh-CN"/>
        </w:rPr>
        <w:t xml:space="preserve">                    </w:t>
      </w:r>
    </w:p>
    <w:p w14:paraId="20BF2B3C">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我公司承诺：</w:t>
      </w:r>
    </w:p>
    <w:p w14:paraId="254D979F">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1.我公司本招标项目所提供的货物或服务未侵犯</w:t>
      </w:r>
      <w:r>
        <w:rPr>
          <w:rFonts w:hint="eastAsia" w:eastAsia="宋体" w:cs="宋体"/>
          <w:sz w:val="24"/>
          <w:szCs w:val="24"/>
          <w:lang w:val="en-US" w:eastAsia="zh-CN"/>
        </w:rPr>
        <w:t>他人</w:t>
      </w:r>
      <w:r>
        <w:rPr>
          <w:rFonts w:hint="eastAsia" w:ascii="宋体" w:hAnsi="宋体" w:eastAsia="宋体" w:cs="宋体"/>
          <w:sz w:val="24"/>
          <w:szCs w:val="24"/>
        </w:rPr>
        <w:t>知识产权。</w:t>
      </w:r>
    </w:p>
    <w:p w14:paraId="0FA697A5">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2.我公司参与本项目投标前三年内，在经营活动中没有重大违法记录。</w:t>
      </w:r>
    </w:p>
    <w:p w14:paraId="1F95D598">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3.我公司参与本项目政府采购活动时不存在被有关部门禁止参与政府采购活动且在有效期内的情况。</w:t>
      </w:r>
    </w:p>
    <w:p w14:paraId="510E0C59">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4.我公司具备《中华人民共和国政府采购法》第二十二条第一款的条件。</w:t>
      </w:r>
    </w:p>
    <w:p w14:paraId="7425FB03">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5.我公司未被列入失信被执行人、重大税收违法案件当事人名单、政府采购严重违法失信行为记录名单。</w:t>
      </w:r>
    </w:p>
    <w:p w14:paraId="142F6D75">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6.我公司参与该项目投标，严格遵循公平竞争的原则，不恶意串通，不妨碍其他投标人的竞争行为，不损害采购人或者其他投标人的合法权益。我公司已清楚，如违反上述要求，将作投标无效处理。</w:t>
      </w:r>
    </w:p>
    <w:p w14:paraId="3769CD52">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7.我公司如果中标，做到守信，不</w:t>
      </w:r>
      <w:r>
        <w:rPr>
          <w:rFonts w:hint="eastAsia" w:ascii="宋体" w:hAnsi="宋体" w:eastAsia="宋体" w:cs="宋体"/>
          <w:sz w:val="24"/>
          <w:szCs w:val="24"/>
          <w:lang w:val="en-US" w:eastAsia="zh-CN"/>
        </w:rPr>
        <w:t>弄虚作假</w:t>
      </w:r>
      <w:r>
        <w:rPr>
          <w:rFonts w:hint="eastAsia" w:ascii="宋体" w:hAnsi="宋体" w:eastAsia="宋体" w:cs="宋体"/>
          <w:sz w:val="24"/>
          <w:szCs w:val="24"/>
        </w:rPr>
        <w:t>，依照本项目招标文件需求内容、签署的采购合同及本公司在投标中所作的一切承诺履约。</w:t>
      </w:r>
    </w:p>
    <w:p w14:paraId="4324E34A">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5AD2BEDF">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54F3C53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10.我公司承诺不转包、非法分包。</w:t>
      </w:r>
    </w:p>
    <w:p w14:paraId="1730EFA6">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以上承诺，如有违反，愿依照国家相关法律处理，并承担由此给采购人带来的损失。</w:t>
      </w:r>
    </w:p>
    <w:p w14:paraId="65613C4D">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投标人：                       单位地址：               </w:t>
      </w:r>
    </w:p>
    <w:p w14:paraId="28788647">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                   </w:t>
      </w:r>
    </w:p>
    <w:p w14:paraId="73C9E1B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36AA095A">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p>
    <w:p w14:paraId="57183654">
      <w:pPr>
        <w:pStyle w:val="2"/>
        <w:rPr>
          <w:rFonts w:hint="eastAsia" w:ascii="宋体" w:hAnsi="宋体" w:eastAsia="宋体" w:cs="宋体"/>
          <w:sz w:val="21"/>
          <w:szCs w:val="21"/>
          <w:lang w:val="en-US" w:eastAsia="zh-CN"/>
        </w:rPr>
      </w:pPr>
    </w:p>
    <w:p w14:paraId="0DF9D142">
      <w:pPr>
        <w:pStyle w:val="2"/>
        <w:ind w:firstLine="0" w:firstLineChars="0"/>
        <w:rPr>
          <w:rFonts w:hint="eastAsia" w:ascii="宋体" w:hAnsi="宋体" w:eastAsia="宋体" w:cs="宋体"/>
          <w:sz w:val="21"/>
          <w:szCs w:val="21"/>
          <w:lang w:val="en-US" w:eastAsia="zh-CN"/>
        </w:rPr>
      </w:pPr>
    </w:p>
    <w:p w14:paraId="7BB0ECDF">
      <w:pPr>
        <w:pStyle w:val="2"/>
        <w:ind w:firstLine="0" w:firstLineChars="0"/>
        <w:rPr>
          <w:rFonts w:hint="eastAsia" w:ascii="宋体" w:hAnsi="宋体" w:eastAsia="宋体" w:cs="宋体"/>
          <w:sz w:val="21"/>
          <w:szCs w:val="21"/>
          <w:lang w:val="en-US" w:eastAsia="zh-CN"/>
        </w:rPr>
      </w:pPr>
    </w:p>
    <w:p w14:paraId="4F5268E9">
      <w:pPr>
        <w:pStyle w:val="2"/>
        <w:ind w:firstLine="0" w:firstLineChars="0"/>
        <w:rPr>
          <w:rFonts w:hint="eastAsia" w:ascii="宋体" w:hAnsi="宋体" w:eastAsia="宋体" w:cs="宋体"/>
          <w:sz w:val="21"/>
          <w:szCs w:val="21"/>
          <w:lang w:val="en-US" w:eastAsia="zh-CN"/>
        </w:rPr>
      </w:pPr>
    </w:p>
    <w:p w14:paraId="4917E513">
      <w:pPr>
        <w:pStyle w:val="2"/>
        <w:rPr>
          <w:rFonts w:hint="eastAsia" w:ascii="宋体" w:hAnsi="宋体" w:eastAsia="宋体" w:cs="宋体"/>
          <w:sz w:val="21"/>
          <w:szCs w:val="21"/>
          <w:lang w:val="en-US" w:eastAsia="zh-CN"/>
        </w:rPr>
      </w:pPr>
    </w:p>
    <w:p w14:paraId="2E811F9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14:paraId="2636619C">
      <w:pPr>
        <w:keepNext w:val="0"/>
        <w:keepLines w:val="0"/>
        <w:pageBreakBefore w:val="0"/>
        <w:widowControl/>
        <w:kinsoku/>
        <w:wordWrap/>
        <w:overflowPunct/>
        <w:topLinePunct w:val="0"/>
        <w:autoSpaceDE/>
        <w:autoSpaceDN/>
        <w:bidi w:val="0"/>
        <w:adjustRightInd/>
        <w:snapToGrid/>
        <w:spacing w:line="240" w:lineRule="auto"/>
        <w:textAlignment w:val="auto"/>
        <w:rPr>
          <w:b/>
          <w:bCs/>
          <w:sz w:val="22"/>
          <w:szCs w:val="22"/>
        </w:rPr>
      </w:pPr>
      <w:r>
        <w:rPr>
          <w:rFonts w:hint="eastAsia" w:ascii="宋体" w:hAnsi="宋体" w:eastAsia="宋体" w:cs="宋体"/>
          <w:b/>
          <w:bCs/>
          <w:sz w:val="21"/>
          <w:szCs w:val="21"/>
          <w:lang w:val="en-US" w:eastAsia="zh-CN"/>
        </w:rPr>
        <w:t>备注：本函所称的“公司”由各投标单位根据自身主体性质进行修改。</w:t>
      </w:r>
    </w:p>
    <w:p w14:paraId="2F7BA782">
      <w:pPr>
        <w:keepNext/>
        <w:keepLines/>
        <w:widowControl w:val="0"/>
        <w:adjustRightInd w:val="0"/>
        <w:spacing w:before="244" w:beforeLines="50" w:after="244"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lang w:val="en-US" w:eastAsia="zh-CN"/>
        </w:rPr>
        <w:br w:type="page"/>
      </w:r>
      <w:r>
        <w:rPr>
          <w:rFonts w:hint="eastAsia" w:ascii="Times New Roman" w:hAnsi="Times New Roman" w:cs="Times New Roman"/>
          <w:b/>
          <w:bCs/>
          <w:szCs w:val="20"/>
          <w:lang w:val="en-US" w:eastAsia="zh-CN"/>
        </w:rPr>
        <w:t>五</w:t>
      </w:r>
      <w:r>
        <w:rPr>
          <w:rFonts w:ascii="Times New Roman" w:hAnsi="Times New Roman" w:cs="Times New Roman"/>
          <w:b/>
          <w:bCs/>
          <w:szCs w:val="20"/>
        </w:rPr>
        <w:t>、</w:t>
      </w:r>
      <w:r>
        <w:rPr>
          <w:rFonts w:hint="eastAsia" w:ascii="Times New Roman" w:hAnsi="Times New Roman" w:cs="Times New Roman"/>
          <w:b/>
          <w:bCs/>
          <w:szCs w:val="20"/>
          <w:lang w:val="en-US" w:eastAsia="zh-CN"/>
        </w:rPr>
        <w:t>项目</w:t>
      </w:r>
      <w:r>
        <w:rPr>
          <w:rFonts w:ascii="Times New Roman" w:hAnsi="Times New Roman" w:cs="Times New Roman"/>
          <w:b/>
          <w:bCs/>
          <w:szCs w:val="20"/>
        </w:rPr>
        <w:t>服务方案</w:t>
      </w:r>
    </w:p>
    <w:p w14:paraId="0731BB28">
      <w:pPr>
        <w:keepNext/>
        <w:keepLines/>
        <w:widowControl w:val="0"/>
        <w:adjustRightInd w:val="0"/>
        <w:spacing w:before="244" w:beforeLines="50" w:after="244"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lang w:val="en-US" w:eastAsia="zh-CN"/>
        </w:rPr>
        <w:t>六</w:t>
      </w:r>
      <w:r>
        <w:rPr>
          <w:rFonts w:ascii="Times New Roman" w:hAnsi="Times New Roman" w:cs="Times New Roman"/>
          <w:b/>
          <w:bCs/>
          <w:szCs w:val="20"/>
        </w:rPr>
        <w:t>、项目重点难点分析、应对措施及相关的合理化建议（格式自定）</w:t>
      </w:r>
    </w:p>
    <w:p w14:paraId="235B1A01">
      <w:pPr>
        <w:keepNext/>
        <w:keepLines/>
        <w:widowControl w:val="0"/>
        <w:adjustRightInd w:val="0"/>
        <w:spacing w:before="244" w:beforeLines="50" w:after="244" w:afterLines="50"/>
        <w:textAlignment w:val="baseline"/>
        <w:outlineLvl w:val="1"/>
        <w:rPr>
          <w:rFonts w:ascii="Times New Roman" w:hAnsi="Times New Roman" w:cs="Times New Roman"/>
          <w:b/>
          <w:bCs/>
          <w:szCs w:val="20"/>
        </w:rPr>
      </w:pPr>
      <w:r>
        <w:rPr>
          <w:rFonts w:hint="eastAsia" w:ascii="Times New Roman" w:hAnsi="Times New Roman" w:cs="Times New Roman"/>
          <w:b/>
          <w:bCs/>
          <w:szCs w:val="20"/>
          <w:lang w:val="en-US" w:eastAsia="zh-CN"/>
        </w:rPr>
        <w:t>七</w:t>
      </w:r>
      <w:r>
        <w:rPr>
          <w:rFonts w:ascii="Times New Roman" w:hAnsi="Times New Roman" w:cs="Times New Roman"/>
          <w:b/>
          <w:bCs/>
          <w:szCs w:val="20"/>
        </w:rPr>
        <w:t>、质量（完成时间、安全、环保）保障措施及方案（格式自定）</w:t>
      </w:r>
    </w:p>
    <w:p w14:paraId="76EC5337">
      <w:pPr>
        <w:keepNext/>
        <w:keepLines/>
        <w:adjustRightInd w:val="0"/>
        <w:snapToGrid w:val="0"/>
        <w:spacing w:before="244" w:beforeLines="50" w:after="244" w:afterLines="50" w:line="240" w:lineRule="auto"/>
        <w:textAlignment w:val="baseline"/>
        <w:outlineLvl w:val="1"/>
        <w:rPr>
          <w:rFonts w:hint="default" w:ascii="Times New Roman" w:hAnsi="Times New Roman" w:eastAsia="宋体" w:cs="Times New Roman"/>
          <w:b/>
          <w:bCs/>
          <w:sz w:val="21"/>
          <w:szCs w:val="20"/>
          <w:lang w:val="en-US" w:eastAsia="zh-CN"/>
        </w:rPr>
      </w:pPr>
      <w:r>
        <w:rPr>
          <w:rFonts w:hint="default" w:ascii="Times New Roman" w:hAnsi="Times New Roman" w:eastAsia="宋体" w:cs="Times New Roman"/>
          <w:b/>
          <w:bCs/>
          <w:szCs w:val="20"/>
          <w:lang w:val="en-US" w:eastAsia="zh-CN"/>
        </w:rPr>
        <w:t>八、</w:t>
      </w:r>
      <w:r>
        <w:rPr>
          <w:rFonts w:hint="default" w:ascii="Times New Roman" w:hAnsi="Times New Roman" w:eastAsia="宋体" w:cs="Times New Roman"/>
          <w:b/>
          <w:bCs/>
          <w:sz w:val="21"/>
          <w:szCs w:val="20"/>
          <w:lang w:val="en-US" w:eastAsia="zh-CN"/>
        </w:rPr>
        <w:t>供应商基本情况表</w:t>
      </w:r>
    </w:p>
    <w:p w14:paraId="7B8E6B6A">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513714B4">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568C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296B96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BEE857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A3FD6B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613B989">
            <w:pPr>
              <w:jc w:val="center"/>
              <w:rPr>
                <w:rFonts w:hint="eastAsia" w:ascii="方正仿宋_GBK" w:hAnsi="方正仿宋_GBK" w:eastAsia="方正仿宋_GBK" w:cs="方正仿宋_GBK"/>
                <w:sz w:val="24"/>
                <w:szCs w:val="24"/>
                <w:vertAlign w:val="baseline"/>
                <w:lang w:val="en-US" w:eastAsia="zh-CN"/>
              </w:rPr>
            </w:pPr>
          </w:p>
        </w:tc>
      </w:tr>
      <w:tr w14:paraId="112E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958EB6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0FB4C72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E2195E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5D99FC5F">
            <w:pPr>
              <w:jc w:val="center"/>
              <w:rPr>
                <w:rFonts w:hint="eastAsia" w:ascii="方正仿宋_GBK" w:hAnsi="方正仿宋_GBK" w:eastAsia="方正仿宋_GBK" w:cs="方正仿宋_GBK"/>
                <w:sz w:val="24"/>
                <w:szCs w:val="24"/>
                <w:vertAlign w:val="baseline"/>
                <w:lang w:val="en-US" w:eastAsia="zh-CN"/>
              </w:rPr>
            </w:pPr>
          </w:p>
        </w:tc>
      </w:tr>
      <w:tr w14:paraId="484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A7AB3A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0C83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483C58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BF2845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5E8AEF6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22F1B0F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37A6B95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60AFD23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144AAA8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A74710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75D1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071722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EA24DD1">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17D49E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CDCBFC7">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27FC172">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2F12D13">
            <w:pPr>
              <w:jc w:val="center"/>
              <w:rPr>
                <w:rFonts w:hint="eastAsia" w:ascii="方正仿宋_GBK" w:hAnsi="方正仿宋_GBK" w:eastAsia="方正仿宋_GBK" w:cs="方正仿宋_GBK"/>
                <w:sz w:val="24"/>
                <w:szCs w:val="24"/>
                <w:vertAlign w:val="baseline"/>
                <w:lang w:val="en-US" w:eastAsia="zh-CN"/>
              </w:rPr>
            </w:pPr>
          </w:p>
        </w:tc>
      </w:tr>
      <w:tr w14:paraId="20EB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D9EED0F">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E003AE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752688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7AB1DAF">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EF711A7">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E7019F2">
            <w:pPr>
              <w:jc w:val="center"/>
              <w:rPr>
                <w:rFonts w:hint="eastAsia" w:ascii="方正仿宋_GBK" w:hAnsi="方正仿宋_GBK" w:eastAsia="方正仿宋_GBK" w:cs="方正仿宋_GBK"/>
                <w:sz w:val="24"/>
                <w:szCs w:val="24"/>
                <w:vertAlign w:val="baseline"/>
                <w:lang w:val="en-US" w:eastAsia="zh-CN"/>
              </w:rPr>
            </w:pPr>
          </w:p>
        </w:tc>
      </w:tr>
      <w:tr w14:paraId="6C3F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97D324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98F0D7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263A111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0CCFBC6B">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641455E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6C67E457">
            <w:pPr>
              <w:jc w:val="center"/>
              <w:rPr>
                <w:rFonts w:hint="eastAsia" w:ascii="方正仿宋_GBK" w:hAnsi="方正仿宋_GBK" w:eastAsia="方正仿宋_GBK" w:cs="方正仿宋_GBK"/>
                <w:sz w:val="24"/>
                <w:szCs w:val="24"/>
                <w:vertAlign w:val="baseline"/>
                <w:lang w:val="en-US" w:eastAsia="zh-CN"/>
              </w:rPr>
            </w:pPr>
          </w:p>
        </w:tc>
      </w:tr>
      <w:tr w14:paraId="1C48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A4C54D2">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76829ED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5E87F66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84F2D15">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3C06C85E">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4AE0DEA">
            <w:pPr>
              <w:jc w:val="center"/>
              <w:rPr>
                <w:rFonts w:hint="eastAsia" w:ascii="方正仿宋_GBK" w:hAnsi="方正仿宋_GBK" w:eastAsia="方正仿宋_GBK" w:cs="方正仿宋_GBK"/>
                <w:sz w:val="24"/>
                <w:szCs w:val="24"/>
                <w:vertAlign w:val="baseline"/>
                <w:lang w:val="en-US" w:eastAsia="zh-CN"/>
              </w:rPr>
            </w:pPr>
          </w:p>
        </w:tc>
      </w:tr>
      <w:tr w14:paraId="3AE1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1E7192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5D924AA5">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46A59B5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BA0023E">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0C1CEDC">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6DEE37A8">
            <w:pPr>
              <w:jc w:val="center"/>
              <w:rPr>
                <w:rFonts w:hint="eastAsia" w:ascii="方正仿宋_GBK" w:hAnsi="方正仿宋_GBK" w:eastAsia="方正仿宋_GBK" w:cs="方正仿宋_GBK"/>
                <w:sz w:val="24"/>
                <w:szCs w:val="24"/>
                <w:vertAlign w:val="baseline"/>
                <w:lang w:val="en-US" w:eastAsia="zh-CN"/>
              </w:rPr>
            </w:pPr>
          </w:p>
        </w:tc>
      </w:tr>
      <w:tr w14:paraId="39FD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36EB7EA">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6322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138C37EA">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5A35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724E01D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39187DA5">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08626AB8">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5A40B546">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1931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D9F39B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F103D9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A3C6E3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F630AF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83C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C7FDE0F">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3FC5E3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516D54E">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01185E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05D9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4836EB9">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22F33FB2"/>
    <w:p w14:paraId="32DBF7FF">
      <w:pPr>
        <w:keepNext/>
        <w:keepLines/>
        <w:widowControl w:val="0"/>
        <w:adjustRightInd w:val="0"/>
        <w:spacing w:before="244" w:beforeLines="50" w:after="244" w:afterLines="50"/>
        <w:textAlignment w:val="baseline"/>
        <w:outlineLvl w:val="1"/>
        <w:rPr>
          <w:rFonts w:hint="eastAsia" w:ascii="Times New Roman" w:hAnsi="Times New Roman" w:cs="Times New Roman"/>
          <w:b/>
          <w:bCs/>
          <w:szCs w:val="20"/>
          <w:lang w:val="en-US" w:eastAsia="zh-CN"/>
        </w:rPr>
      </w:pPr>
    </w:p>
    <w:p w14:paraId="7024FB77">
      <w:pPr>
        <w:keepNext/>
        <w:keepLines/>
        <w:widowControl w:val="0"/>
        <w:adjustRightInd w:val="0"/>
        <w:spacing w:before="244" w:beforeLines="50" w:after="244" w:afterLines="50"/>
        <w:textAlignment w:val="baseline"/>
        <w:outlineLvl w:val="1"/>
        <w:rPr>
          <w:rFonts w:hint="eastAsia" w:ascii="黑体" w:hAnsi="黑体" w:eastAsia="黑体"/>
          <w:sz w:val="40"/>
          <w:szCs w:val="40"/>
        </w:rPr>
      </w:pPr>
      <w:r>
        <w:rPr>
          <w:rFonts w:hint="eastAsia" w:ascii="Times New Roman" w:hAnsi="Times New Roman" w:cs="Times New Roman"/>
          <w:b/>
          <w:bCs/>
          <w:szCs w:val="20"/>
          <w:lang w:val="en-US" w:eastAsia="zh-CN"/>
        </w:rPr>
        <w:t>九</w:t>
      </w:r>
      <w:r>
        <w:rPr>
          <w:rFonts w:hint="eastAsia" w:ascii="Times New Roman" w:hAnsi="Times New Roman" w:cs="Times New Roman"/>
          <w:b/>
          <w:bCs/>
          <w:szCs w:val="20"/>
        </w:rPr>
        <w:t>、</w:t>
      </w:r>
      <w:r>
        <w:rPr>
          <w:rFonts w:ascii="Times New Roman" w:hAnsi="Times New Roman" w:cs="Times New Roman"/>
          <w:b/>
          <w:bCs/>
          <w:szCs w:val="20"/>
        </w:rPr>
        <w:t>其他招标文件要求的资料或投标人认为需要补充的资料（格式自定）</w:t>
      </w:r>
      <w:bookmarkStart w:id="5" w:name="bt合同的授予"/>
      <w:bookmarkEnd w:id="5"/>
    </w:p>
    <w:p w14:paraId="413ACB3A">
      <w:pPr>
        <w:rPr>
          <w:rFonts w:hint="eastAsia" w:ascii="黑体" w:hAnsi="黑体" w:eastAsia="黑体"/>
          <w:sz w:val="32"/>
          <w:szCs w:val="32"/>
          <w:lang w:eastAsia="zh-CN"/>
        </w:rPr>
      </w:pPr>
    </w:p>
    <w:p w14:paraId="3ECD78E1">
      <w:pPr>
        <w:pStyle w:val="14"/>
        <w:rPr>
          <w:rFonts w:hint="eastAsia" w:ascii="黑体" w:hAnsi="黑体" w:eastAsia="黑体"/>
          <w:sz w:val="32"/>
          <w:szCs w:val="32"/>
          <w:lang w:eastAsia="zh-CN"/>
        </w:rPr>
      </w:pPr>
    </w:p>
    <w:p w14:paraId="6889E32A">
      <w:pPr>
        <w:pStyle w:val="14"/>
        <w:rPr>
          <w:rFonts w:hint="eastAsia" w:ascii="黑体" w:hAnsi="黑体" w:eastAsia="黑体"/>
          <w:sz w:val="32"/>
          <w:szCs w:val="32"/>
          <w:lang w:eastAsia="zh-CN"/>
        </w:rPr>
      </w:pPr>
    </w:p>
    <w:p w14:paraId="4A9F3BA6">
      <w:pPr>
        <w:pStyle w:val="14"/>
        <w:rPr>
          <w:rFonts w:hint="eastAsia" w:ascii="黑体" w:hAnsi="黑体" w:eastAsia="黑体"/>
          <w:sz w:val="32"/>
          <w:szCs w:val="32"/>
          <w:lang w:eastAsia="zh-CN"/>
        </w:rPr>
      </w:pPr>
    </w:p>
    <w:p w14:paraId="44835C18">
      <w:pPr>
        <w:pStyle w:val="14"/>
        <w:rPr>
          <w:rFonts w:hint="eastAsia" w:ascii="黑体" w:hAnsi="黑体" w:eastAsia="黑体"/>
          <w:sz w:val="32"/>
          <w:szCs w:val="32"/>
          <w:lang w:eastAsia="zh-CN"/>
        </w:rPr>
      </w:pPr>
    </w:p>
    <w:p w14:paraId="5C204504">
      <w:pPr>
        <w:pStyle w:val="14"/>
        <w:rPr>
          <w:rFonts w:hint="eastAsia" w:ascii="黑体" w:hAnsi="黑体" w:eastAsia="黑体"/>
          <w:sz w:val="32"/>
          <w:szCs w:val="32"/>
          <w:lang w:eastAsia="zh-CN"/>
        </w:rPr>
      </w:pPr>
    </w:p>
    <w:p w14:paraId="1D9B83B1">
      <w:pPr>
        <w:pStyle w:val="14"/>
        <w:rPr>
          <w:rFonts w:hint="eastAsia" w:ascii="黑体" w:hAnsi="黑体" w:eastAsia="黑体"/>
          <w:sz w:val="32"/>
          <w:szCs w:val="32"/>
          <w:lang w:eastAsia="zh-CN"/>
        </w:rPr>
      </w:pPr>
    </w:p>
    <w:p w14:paraId="00121B0B">
      <w:pPr>
        <w:pStyle w:val="14"/>
        <w:rPr>
          <w:rFonts w:hint="eastAsia" w:ascii="黑体" w:hAnsi="黑体" w:eastAsia="黑体"/>
          <w:sz w:val="32"/>
          <w:szCs w:val="32"/>
          <w:lang w:eastAsia="zh-CN"/>
        </w:rPr>
      </w:pPr>
    </w:p>
    <w:p w14:paraId="64E39A56">
      <w:pPr>
        <w:pStyle w:val="14"/>
        <w:rPr>
          <w:rFonts w:hint="eastAsia" w:ascii="黑体" w:hAnsi="黑体" w:eastAsia="黑体"/>
          <w:sz w:val="32"/>
          <w:szCs w:val="32"/>
          <w:lang w:eastAsia="zh-CN"/>
        </w:rPr>
      </w:pPr>
    </w:p>
    <w:p w14:paraId="07524A9B">
      <w:pPr>
        <w:pStyle w:val="14"/>
        <w:rPr>
          <w:rFonts w:hint="eastAsia" w:ascii="黑体" w:hAnsi="黑体" w:eastAsia="黑体"/>
          <w:sz w:val="32"/>
          <w:szCs w:val="32"/>
          <w:lang w:eastAsia="zh-CN"/>
        </w:rPr>
      </w:pPr>
    </w:p>
    <w:p w14:paraId="76623BB7">
      <w:pPr>
        <w:pStyle w:val="14"/>
        <w:rPr>
          <w:rFonts w:hint="eastAsia" w:ascii="黑体" w:hAnsi="黑体" w:eastAsia="黑体"/>
          <w:sz w:val="32"/>
          <w:szCs w:val="32"/>
          <w:lang w:eastAsia="zh-CN"/>
        </w:rPr>
      </w:pPr>
    </w:p>
    <w:p w14:paraId="38ED5344">
      <w:pPr>
        <w:pStyle w:val="14"/>
        <w:rPr>
          <w:rFonts w:hint="eastAsia" w:ascii="黑体" w:hAnsi="黑体" w:eastAsia="黑体"/>
          <w:sz w:val="32"/>
          <w:szCs w:val="32"/>
          <w:lang w:eastAsia="zh-CN"/>
        </w:rPr>
      </w:pPr>
    </w:p>
    <w:p w14:paraId="36E10F72">
      <w:pPr>
        <w:pStyle w:val="14"/>
        <w:rPr>
          <w:rFonts w:hint="eastAsia" w:ascii="黑体" w:hAnsi="黑体" w:eastAsia="黑体"/>
          <w:sz w:val="32"/>
          <w:szCs w:val="32"/>
          <w:lang w:eastAsia="zh-CN"/>
        </w:rPr>
      </w:pPr>
    </w:p>
    <w:p w14:paraId="47C7A97E">
      <w:pPr>
        <w:pStyle w:val="14"/>
        <w:rPr>
          <w:rFonts w:hint="eastAsia" w:ascii="黑体" w:hAnsi="黑体" w:eastAsia="黑体"/>
          <w:sz w:val="32"/>
          <w:szCs w:val="32"/>
          <w:lang w:eastAsia="zh-CN"/>
        </w:rPr>
      </w:pPr>
    </w:p>
    <w:p w14:paraId="41BE87B0">
      <w:pPr>
        <w:pStyle w:val="14"/>
        <w:rPr>
          <w:rFonts w:hint="eastAsia" w:ascii="黑体" w:hAnsi="黑体" w:eastAsia="黑体"/>
          <w:sz w:val="32"/>
          <w:szCs w:val="32"/>
          <w:lang w:eastAsia="zh-CN"/>
        </w:rPr>
      </w:pPr>
    </w:p>
    <w:p w14:paraId="0A07578C">
      <w:pPr>
        <w:pStyle w:val="14"/>
        <w:rPr>
          <w:rFonts w:hint="eastAsia" w:ascii="黑体" w:hAnsi="黑体" w:eastAsia="黑体"/>
          <w:sz w:val="32"/>
          <w:szCs w:val="32"/>
          <w:lang w:eastAsia="zh-CN"/>
        </w:rPr>
      </w:pPr>
    </w:p>
    <w:p w14:paraId="591089C7">
      <w:pPr>
        <w:pStyle w:val="14"/>
        <w:rPr>
          <w:rFonts w:hint="eastAsia" w:ascii="黑体" w:hAnsi="黑体" w:eastAsia="黑体"/>
          <w:sz w:val="32"/>
          <w:szCs w:val="32"/>
          <w:lang w:eastAsia="zh-CN"/>
        </w:rPr>
      </w:pPr>
    </w:p>
    <w:p w14:paraId="166A7020">
      <w:pPr>
        <w:pStyle w:val="14"/>
        <w:rPr>
          <w:rFonts w:hint="eastAsia" w:ascii="黑体" w:hAnsi="黑体" w:eastAsia="黑体"/>
          <w:sz w:val="32"/>
          <w:szCs w:val="32"/>
          <w:lang w:eastAsia="zh-CN"/>
        </w:rPr>
      </w:pPr>
    </w:p>
    <w:p w14:paraId="15EFE247">
      <w:pPr>
        <w:pStyle w:val="14"/>
        <w:rPr>
          <w:rFonts w:hint="eastAsia" w:ascii="黑体" w:hAnsi="黑体" w:eastAsia="黑体"/>
          <w:sz w:val="32"/>
          <w:szCs w:val="32"/>
          <w:lang w:eastAsia="zh-CN"/>
        </w:rPr>
      </w:pPr>
    </w:p>
    <w:p w14:paraId="7D287593">
      <w:pPr>
        <w:jc w:val="center"/>
        <w:rPr>
          <w:rFonts w:hint="eastAsia" w:ascii="黑体" w:hAnsi="黑体" w:eastAsia="黑体" w:cs="黑体"/>
          <w:b w:val="0"/>
          <w:bCs/>
          <w:sz w:val="44"/>
          <w:szCs w:val="44"/>
          <w:lang w:eastAsia="zh-CN"/>
        </w:rPr>
      </w:pPr>
      <w:r>
        <w:rPr>
          <w:rFonts w:hint="eastAsia" w:ascii="黑体" w:hAnsi="黑体" w:eastAsia="黑体" w:cs="黑体"/>
          <w:b w:val="0"/>
          <w:bCs/>
          <w:sz w:val="44"/>
          <w:szCs w:val="44"/>
          <w:lang w:eastAsia="zh-CN"/>
        </w:rPr>
        <w:t>第三部分</w:t>
      </w:r>
    </w:p>
    <w:p w14:paraId="44AAFD38">
      <w:pPr>
        <w:spacing w:before="156" w:beforeLines="50" w:after="156" w:afterLines="50" w:line="500" w:lineRule="exact"/>
        <w:jc w:val="center"/>
        <w:outlineLvl w:val="0"/>
        <w:rPr>
          <w:rFonts w:hint="default" w:ascii="黑体" w:hAnsi="黑体" w:eastAsia="黑体"/>
          <w:sz w:val="32"/>
          <w:szCs w:val="32"/>
          <w:lang w:val="en-US" w:eastAsia="zh-CN"/>
        </w:rPr>
      </w:pPr>
      <w:r>
        <w:rPr>
          <w:rFonts w:hint="eastAsia" w:ascii="黑体" w:hAnsi="黑体" w:eastAsia="黑体"/>
          <w:sz w:val="32"/>
          <w:szCs w:val="32"/>
          <w:lang w:val="en-US" w:eastAsia="zh-CN"/>
        </w:rPr>
        <w:t>合同条款及格式</w:t>
      </w:r>
    </w:p>
    <w:p w14:paraId="418BCE3A">
      <w:pPr>
        <w:adjustRightInd w:val="0"/>
        <w:snapToGrid w:val="0"/>
        <w:spacing w:line="560" w:lineRule="exact"/>
        <w:ind w:firstLine="640"/>
        <w:rPr>
          <w:rFonts w:hint="eastAsia" w:ascii="仿宋_GB2312" w:eastAsia="仿宋_GB2312"/>
          <w:sz w:val="32"/>
          <w:szCs w:val="32"/>
        </w:rPr>
      </w:pPr>
      <w:r>
        <w:rPr>
          <w:rFonts w:hint="eastAsia" w:ascii="仿宋_GB2312" w:eastAsia="仿宋_GB2312"/>
          <w:sz w:val="32"/>
          <w:szCs w:val="32"/>
        </w:rPr>
        <w:t xml:space="preserve">合同编号： </w:t>
      </w:r>
    </w:p>
    <w:p w14:paraId="26B03F58">
      <w:pPr>
        <w:bidi w:val="0"/>
        <w:rPr>
          <w:rFonts w:hint="eastAsia"/>
        </w:rPr>
      </w:pPr>
    </w:p>
    <w:p w14:paraId="3FB6BB21">
      <w:pPr>
        <w:adjustRightInd w:val="0"/>
        <w:snapToGrid w:val="0"/>
        <w:spacing w:line="700" w:lineRule="exact"/>
        <w:ind w:firstLine="560"/>
        <w:jc w:val="center"/>
      </w:pPr>
    </w:p>
    <w:p w14:paraId="6B62CD42">
      <w:pPr>
        <w:adjustRightInd w:val="0"/>
        <w:snapToGrid w:val="0"/>
        <w:spacing w:line="560" w:lineRule="exact"/>
        <w:ind w:firstLine="0" w:firstLineChars="0"/>
        <w:jc w:val="center"/>
        <w:rPr>
          <w:rFonts w:hint="eastAsia" w:ascii="宋体" w:hAnsi="宋体" w:cs="宋体"/>
          <w:bCs/>
          <w:sz w:val="44"/>
          <w:szCs w:val="44"/>
          <w:highlight w:val="none"/>
        </w:rPr>
      </w:pPr>
      <w:r>
        <w:rPr>
          <w:rFonts w:hint="eastAsia" w:ascii="宋体" w:hAnsi="宋体" w:cs="宋体"/>
          <w:bCs/>
          <w:sz w:val="44"/>
          <w:szCs w:val="44"/>
          <w:highlight w:val="none"/>
        </w:rPr>
        <w:t>深圳市南山区住房和建设局202</w:t>
      </w:r>
      <w:r>
        <w:rPr>
          <w:rFonts w:hint="eastAsia" w:ascii="宋体" w:hAnsi="宋体" w:cs="宋体"/>
          <w:bCs/>
          <w:sz w:val="44"/>
          <w:szCs w:val="44"/>
          <w:highlight w:val="none"/>
          <w:lang w:val="en-US" w:eastAsia="zh-CN"/>
        </w:rPr>
        <w:t>5</w:t>
      </w:r>
      <w:r>
        <w:rPr>
          <w:rFonts w:hint="eastAsia" w:ascii="宋体" w:hAnsi="宋体" w:cs="宋体"/>
          <w:bCs/>
          <w:sz w:val="44"/>
          <w:szCs w:val="44"/>
          <w:highlight w:val="none"/>
        </w:rPr>
        <w:t>年南山区</w:t>
      </w:r>
    </w:p>
    <w:p w14:paraId="7825E792">
      <w:pPr>
        <w:adjustRightInd w:val="0"/>
        <w:snapToGrid w:val="0"/>
        <w:spacing w:line="560" w:lineRule="exact"/>
        <w:ind w:firstLine="0" w:firstLineChars="0"/>
        <w:jc w:val="center"/>
        <w:rPr>
          <w:rFonts w:hint="eastAsia" w:ascii="宋体" w:hAnsi="宋体" w:cs="宋体"/>
          <w:bCs/>
          <w:sz w:val="44"/>
          <w:szCs w:val="44"/>
          <w:highlight w:val="none"/>
        </w:rPr>
      </w:pPr>
      <w:r>
        <w:rPr>
          <w:rFonts w:hint="eastAsia" w:ascii="宋体" w:hAnsi="宋体" w:cs="宋体"/>
          <w:bCs/>
          <w:sz w:val="44"/>
          <w:szCs w:val="44"/>
          <w:highlight w:val="none"/>
        </w:rPr>
        <w:t>建筑施工安全教育和小散工程</w:t>
      </w:r>
    </w:p>
    <w:p w14:paraId="111733C2">
      <w:pPr>
        <w:adjustRightInd w:val="0"/>
        <w:snapToGrid w:val="0"/>
        <w:spacing w:line="560" w:lineRule="exact"/>
        <w:ind w:firstLine="0" w:firstLineChars="0"/>
        <w:jc w:val="center"/>
        <w:rPr>
          <w:rFonts w:hint="eastAsia" w:ascii="宋体" w:hAnsi="宋体" w:cs="宋体"/>
          <w:bCs/>
          <w:sz w:val="44"/>
          <w:szCs w:val="44"/>
        </w:rPr>
      </w:pPr>
      <w:r>
        <w:rPr>
          <w:rFonts w:hint="eastAsia" w:ascii="宋体" w:hAnsi="宋体" w:cs="宋体"/>
          <w:bCs/>
          <w:sz w:val="44"/>
          <w:szCs w:val="44"/>
        </w:rPr>
        <w:t>安全</w:t>
      </w:r>
      <w:r>
        <w:rPr>
          <w:rFonts w:hint="eastAsia" w:ascii="宋体" w:hAnsi="宋体" w:cs="宋体"/>
          <w:bCs/>
          <w:sz w:val="44"/>
          <w:szCs w:val="44"/>
          <w:lang w:eastAsia="zh-CN"/>
        </w:rPr>
        <w:t>培训</w:t>
      </w:r>
      <w:r>
        <w:rPr>
          <w:rFonts w:hint="eastAsia" w:ascii="宋体" w:hAnsi="宋体" w:cs="宋体"/>
          <w:bCs/>
          <w:sz w:val="44"/>
          <w:szCs w:val="44"/>
        </w:rPr>
        <w:t>工作</w:t>
      </w:r>
    </w:p>
    <w:p w14:paraId="69115104">
      <w:pPr>
        <w:adjustRightInd w:val="0"/>
        <w:snapToGrid w:val="0"/>
        <w:spacing w:line="800" w:lineRule="exact"/>
        <w:ind w:firstLine="0" w:firstLineChars="0"/>
        <w:jc w:val="center"/>
        <w:rPr>
          <w:rFonts w:hint="eastAsia" w:ascii="黑体" w:eastAsia="黑体"/>
          <w:bCs/>
          <w:sz w:val="84"/>
          <w:szCs w:val="84"/>
        </w:rPr>
      </w:pPr>
    </w:p>
    <w:p w14:paraId="00379887">
      <w:pPr>
        <w:adjustRightInd w:val="0"/>
        <w:snapToGrid w:val="0"/>
        <w:spacing w:line="800" w:lineRule="exact"/>
        <w:ind w:firstLine="0" w:firstLineChars="0"/>
        <w:jc w:val="center"/>
        <w:rPr>
          <w:rFonts w:hint="eastAsia" w:ascii="黑体" w:eastAsia="黑体"/>
          <w:bCs/>
          <w:sz w:val="84"/>
          <w:szCs w:val="84"/>
        </w:rPr>
      </w:pPr>
      <w:r>
        <w:rPr>
          <w:rFonts w:hint="eastAsia" w:ascii="黑体" w:eastAsia="黑体"/>
          <w:bCs/>
          <w:sz w:val="84"/>
          <w:szCs w:val="84"/>
        </w:rPr>
        <w:t>合同书</w:t>
      </w:r>
    </w:p>
    <w:p w14:paraId="132DA87C">
      <w:pPr>
        <w:adjustRightInd w:val="0"/>
        <w:snapToGrid w:val="0"/>
        <w:spacing w:line="560" w:lineRule="exact"/>
        <w:ind w:firstLine="0" w:firstLineChars="0"/>
        <w:jc w:val="center"/>
        <w:rPr>
          <w:rFonts w:hint="eastAsia"/>
          <w:b/>
          <w:sz w:val="48"/>
          <w:szCs w:val="48"/>
        </w:rPr>
      </w:pPr>
    </w:p>
    <w:p w14:paraId="6ACA18AE">
      <w:pPr>
        <w:adjustRightInd w:val="0"/>
        <w:snapToGrid w:val="0"/>
        <w:spacing w:line="560" w:lineRule="exact"/>
        <w:ind w:firstLine="0" w:firstLineChars="0"/>
        <w:jc w:val="center"/>
        <w:rPr>
          <w:rFonts w:hint="eastAsia"/>
          <w:b/>
          <w:sz w:val="48"/>
          <w:szCs w:val="48"/>
        </w:rPr>
      </w:pPr>
    </w:p>
    <w:p w14:paraId="16BB7A0C">
      <w:pPr>
        <w:adjustRightInd w:val="0"/>
        <w:snapToGrid w:val="0"/>
        <w:spacing w:line="560" w:lineRule="exact"/>
        <w:ind w:firstLine="0" w:firstLineChars="0"/>
        <w:jc w:val="center"/>
        <w:rPr>
          <w:rFonts w:hint="eastAsia"/>
          <w:b/>
          <w:sz w:val="48"/>
          <w:szCs w:val="48"/>
        </w:rPr>
      </w:pPr>
    </w:p>
    <w:p w14:paraId="4D49F3EE">
      <w:pPr>
        <w:adjustRightInd w:val="0"/>
        <w:snapToGrid w:val="0"/>
        <w:spacing w:line="560" w:lineRule="exact"/>
        <w:ind w:firstLine="0" w:firstLineChars="0"/>
        <w:jc w:val="center"/>
        <w:rPr>
          <w:rFonts w:hint="eastAsia"/>
          <w:b/>
          <w:sz w:val="48"/>
          <w:szCs w:val="48"/>
        </w:rPr>
      </w:pPr>
    </w:p>
    <w:p w14:paraId="0B8A1859">
      <w:pPr>
        <w:adjustRightInd w:val="0"/>
        <w:snapToGrid w:val="0"/>
        <w:spacing w:line="560" w:lineRule="exact"/>
        <w:ind w:left="2520" w:hanging="2519" w:hangingChars="430"/>
        <w:rPr>
          <w:rFonts w:hint="eastAsia" w:ascii="仿宋_GB2312" w:eastAsia="仿宋_GB2312"/>
          <w:sz w:val="32"/>
          <w:szCs w:val="32"/>
        </w:rPr>
      </w:pPr>
      <w:r>
        <w:rPr>
          <w:rFonts w:hint="eastAsia" w:ascii="仿宋_GB2312" w:eastAsia="仿宋_GB2312"/>
          <w:spacing w:val="133"/>
          <w:kern w:val="0"/>
          <w:sz w:val="32"/>
          <w:szCs w:val="32"/>
        </w:rPr>
        <w:t>项目名</w:t>
      </w:r>
      <w:r>
        <w:rPr>
          <w:rFonts w:hint="eastAsia" w:ascii="仿宋_GB2312" w:eastAsia="仿宋_GB2312"/>
          <w:spacing w:val="1"/>
          <w:kern w:val="0"/>
          <w:sz w:val="32"/>
          <w:szCs w:val="32"/>
        </w:rPr>
        <w:t>称</w:t>
      </w:r>
      <w:r>
        <w:rPr>
          <w:rFonts w:hint="eastAsia" w:ascii="仿宋_GB2312" w:eastAsia="仿宋_GB2312"/>
          <w:sz w:val="32"/>
          <w:szCs w:val="32"/>
        </w:rPr>
        <w:t xml:space="preserve">： </w:t>
      </w:r>
      <w:r>
        <w:rPr>
          <w:rFonts w:hint="eastAsia" w:ascii="仿宋_GB2312" w:eastAsia="仿宋_GB2312"/>
          <w:sz w:val="32"/>
          <w:szCs w:val="32"/>
          <w:highlight w:val="none"/>
          <w:u w:val="single"/>
        </w:rPr>
        <w:t>202</w:t>
      </w:r>
      <w:r>
        <w:rPr>
          <w:rFonts w:hint="eastAsia" w:ascii="仿宋_GB2312" w:eastAsia="仿宋_GB2312"/>
          <w:sz w:val="32"/>
          <w:szCs w:val="32"/>
          <w:highlight w:val="none"/>
          <w:u w:val="single"/>
          <w:lang w:val="en-US" w:eastAsia="zh-CN"/>
        </w:rPr>
        <w:t>5</w:t>
      </w:r>
      <w:r>
        <w:rPr>
          <w:rFonts w:hint="eastAsia" w:ascii="仿宋_GB2312" w:eastAsia="仿宋_GB2312"/>
          <w:sz w:val="32"/>
          <w:szCs w:val="32"/>
          <w:highlight w:val="none"/>
          <w:u w:val="single"/>
        </w:rPr>
        <w:t>年南山区建筑施工安全教育和小散工程安全</w:t>
      </w:r>
      <w:r>
        <w:rPr>
          <w:rFonts w:hint="eastAsia" w:ascii="仿宋_GB2312" w:eastAsia="仿宋_GB2312"/>
          <w:sz w:val="32"/>
          <w:szCs w:val="32"/>
          <w:highlight w:val="none"/>
          <w:u w:val="single"/>
          <w:lang w:eastAsia="zh-CN"/>
        </w:rPr>
        <w:t>培训</w:t>
      </w:r>
      <w:r>
        <w:rPr>
          <w:rFonts w:hint="eastAsia" w:ascii="仿宋_GB2312" w:eastAsia="仿宋_GB2312"/>
          <w:sz w:val="32"/>
          <w:szCs w:val="32"/>
          <w:highlight w:val="none"/>
          <w:u w:val="single"/>
        </w:rPr>
        <w:t xml:space="preserve">工作 </w:t>
      </w:r>
      <w:r>
        <w:rPr>
          <w:rFonts w:ascii="仿宋_GB2312" w:eastAsia="仿宋_GB2312"/>
          <w:sz w:val="32"/>
          <w:szCs w:val="32"/>
          <w:highlight w:val="none"/>
          <w:u w:val="single"/>
        </w:rPr>
        <w:t xml:space="preserve"> </w:t>
      </w:r>
    </w:p>
    <w:p w14:paraId="3A5F92B0">
      <w:pPr>
        <w:adjustRightInd w:val="0"/>
        <w:snapToGrid w:val="0"/>
        <w:spacing w:line="560" w:lineRule="exact"/>
        <w:ind w:firstLine="0" w:firstLineChars="0"/>
        <w:rPr>
          <w:rFonts w:hint="eastAsia" w:ascii="仿宋_GB2312" w:eastAsia="仿宋_GB2312"/>
          <w:sz w:val="32"/>
          <w:szCs w:val="32"/>
          <w:u w:val="single"/>
        </w:rPr>
      </w:pPr>
      <w:r>
        <w:rPr>
          <w:rFonts w:hint="eastAsia" w:ascii="仿宋_GB2312" w:eastAsia="仿宋_GB2312"/>
          <w:sz w:val="32"/>
          <w:szCs w:val="32"/>
        </w:rPr>
        <w:t>委托方（甲方）：</w:t>
      </w:r>
      <w:r>
        <w:rPr>
          <w:rFonts w:hint="eastAsia" w:ascii="仿宋_GB2312" w:eastAsia="仿宋_GB2312"/>
          <w:sz w:val="32"/>
          <w:szCs w:val="32"/>
          <w:u w:val="single"/>
        </w:rPr>
        <w:t xml:space="preserve"> 深圳市南山区住房和建设局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09D6238C">
      <w:pPr>
        <w:adjustRightInd w:val="0"/>
        <w:snapToGrid w:val="0"/>
        <w:spacing w:line="560" w:lineRule="exact"/>
        <w:ind w:firstLine="0" w:firstLineChars="0"/>
        <w:rPr>
          <w:rFonts w:hint="eastAsia" w:ascii="仿宋_GB2312" w:eastAsia="仿宋_GB2312"/>
          <w:sz w:val="32"/>
          <w:szCs w:val="32"/>
          <w:u w:val="single"/>
        </w:rPr>
      </w:pPr>
      <w:r>
        <w:rPr>
          <w:rFonts w:hint="eastAsia" w:ascii="仿宋_GB2312" w:eastAsia="仿宋_GB2312"/>
          <w:sz w:val="32"/>
          <w:szCs w:val="32"/>
        </w:rPr>
        <w:t>受托方（乙方）：</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7CD1E122">
      <w:pPr>
        <w:adjustRightInd w:val="0"/>
        <w:snapToGrid w:val="0"/>
        <w:spacing w:line="560" w:lineRule="exact"/>
        <w:ind w:firstLine="0" w:firstLineChars="0"/>
        <w:rPr>
          <w:rFonts w:hint="eastAsia" w:ascii="仿宋_GB2312" w:eastAsia="仿宋_GB2312"/>
          <w:sz w:val="32"/>
          <w:szCs w:val="32"/>
          <w:u w:val="single"/>
        </w:rPr>
      </w:pPr>
      <w:r>
        <w:rPr>
          <w:rFonts w:hint="eastAsia" w:ascii="仿宋_GB2312" w:eastAsia="仿宋_GB2312"/>
          <w:spacing w:val="133"/>
          <w:kern w:val="0"/>
          <w:sz w:val="32"/>
          <w:szCs w:val="32"/>
        </w:rPr>
        <w:t>签订时</w:t>
      </w:r>
      <w:r>
        <w:rPr>
          <w:rFonts w:hint="eastAsia" w:ascii="仿宋_GB2312" w:eastAsia="仿宋_GB2312"/>
          <w:spacing w:val="1"/>
          <w:kern w:val="0"/>
          <w:sz w:val="32"/>
          <w:szCs w:val="32"/>
        </w:rPr>
        <w:t>间</w:t>
      </w: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highlight w:val="yellow"/>
          <w:u w:val="single"/>
        </w:rPr>
        <w:t xml:space="preserve"> 年    月    日</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0C10DC2E">
      <w:pPr>
        <w:adjustRightInd w:val="0"/>
        <w:snapToGrid w:val="0"/>
        <w:spacing w:line="560" w:lineRule="exact"/>
        <w:ind w:firstLine="640"/>
        <w:rPr>
          <w:rFonts w:hint="eastAsia" w:ascii="仿宋_GB2312" w:hAnsi="宋体" w:eastAsia="仿宋_GB2312"/>
          <w:sz w:val="32"/>
          <w:szCs w:val="32"/>
        </w:rPr>
      </w:pPr>
    </w:p>
    <w:p w14:paraId="5571200D">
      <w:pPr>
        <w:adjustRightInd w:val="0"/>
        <w:snapToGrid w:val="0"/>
        <w:spacing w:line="560" w:lineRule="exact"/>
        <w:ind w:firstLine="640"/>
        <w:rPr>
          <w:rFonts w:hint="eastAsia" w:ascii="仿宋_GB2312" w:hAnsi="宋体" w:eastAsia="仿宋_GB2312"/>
          <w:sz w:val="32"/>
          <w:szCs w:val="32"/>
        </w:rPr>
      </w:pPr>
    </w:p>
    <w:p w14:paraId="221EEDD4">
      <w:pPr>
        <w:adjustRightInd w:val="0"/>
        <w:snapToGrid w:val="0"/>
        <w:spacing w:line="560" w:lineRule="exact"/>
        <w:ind w:firstLine="640"/>
        <w:rPr>
          <w:rFonts w:hint="eastAsia" w:ascii="仿宋_GB2312" w:hAnsi="宋体" w:eastAsia="仿宋_GB2312"/>
          <w:sz w:val="32"/>
          <w:szCs w:val="32"/>
        </w:rPr>
      </w:pPr>
    </w:p>
    <w:p w14:paraId="14A0E0F8">
      <w:pPr>
        <w:adjustRightInd w:val="0"/>
        <w:snapToGrid w:val="0"/>
        <w:spacing w:line="560" w:lineRule="exact"/>
        <w:ind w:firstLine="640"/>
        <w:rPr>
          <w:rFonts w:hint="eastAsia" w:ascii="仿宋_GB2312" w:hAnsi="宋体" w:eastAsia="仿宋_GB2312"/>
          <w:sz w:val="32"/>
          <w:szCs w:val="32"/>
        </w:rPr>
      </w:pPr>
    </w:p>
    <w:p w14:paraId="2C03B350">
      <w:pPr>
        <w:adjustRightInd w:val="0"/>
        <w:snapToGrid w:val="0"/>
        <w:spacing w:line="560" w:lineRule="exact"/>
        <w:ind w:firstLine="640"/>
        <w:rPr>
          <w:rFonts w:hint="eastAsia" w:ascii="仿宋_GB2312" w:hAnsi="宋体" w:eastAsia="仿宋_GB2312"/>
          <w:sz w:val="32"/>
          <w:szCs w:val="32"/>
        </w:rPr>
      </w:pPr>
    </w:p>
    <w:p w14:paraId="523A3207">
      <w:pPr>
        <w:adjustRightInd w:val="0"/>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甲、乙双方按照</w:t>
      </w:r>
      <w:r>
        <w:rPr>
          <w:rFonts w:hint="eastAsia" w:ascii="仿宋_GB2312" w:hAnsi="宋体" w:eastAsia="仿宋_GB2312"/>
          <w:sz w:val="32"/>
          <w:szCs w:val="32"/>
          <w:highlight w:val="none"/>
        </w:rPr>
        <w:t>《中华人民共和国</w:t>
      </w:r>
      <w:r>
        <w:rPr>
          <w:rFonts w:hint="eastAsia" w:ascii="仿宋_GB2312" w:hAnsi="宋体" w:eastAsia="仿宋_GB2312"/>
          <w:sz w:val="32"/>
          <w:szCs w:val="32"/>
          <w:highlight w:val="none"/>
          <w:lang w:eastAsia="zh-CN"/>
        </w:rPr>
        <w:t>民法典</w:t>
      </w:r>
      <w:r>
        <w:rPr>
          <w:rFonts w:hint="eastAsia" w:ascii="仿宋_GB2312" w:hAnsi="宋体" w:eastAsia="仿宋_GB2312"/>
          <w:sz w:val="32"/>
          <w:szCs w:val="32"/>
          <w:highlight w:val="none"/>
        </w:rPr>
        <w:t>》、</w:t>
      </w:r>
      <w:r>
        <w:rPr>
          <w:rFonts w:hint="eastAsia" w:ascii="仿宋_GB2312" w:hAnsi="宋体" w:eastAsia="仿宋_GB2312"/>
          <w:sz w:val="32"/>
          <w:szCs w:val="32"/>
        </w:rPr>
        <w:t>《深圳经济特区政府采购条例》及其他相关法律、法规和规章的规定，经协商，遵循平等、自愿、公平和诚实信用的原则</w:t>
      </w:r>
      <w:r>
        <w:rPr>
          <w:rFonts w:hint="eastAsia" w:ascii="仿宋_GB2312" w:hAnsi="宋体" w:eastAsia="仿宋_GB2312"/>
          <w:sz w:val="32"/>
          <w:szCs w:val="32"/>
          <w:highlight w:val="none"/>
        </w:rPr>
        <w:t>，就202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年南山区建筑施工安全教育和小散工程安全</w:t>
      </w:r>
      <w:r>
        <w:rPr>
          <w:rFonts w:hint="eastAsia" w:ascii="仿宋_GB2312" w:hAnsi="宋体" w:eastAsia="仿宋_GB2312"/>
          <w:sz w:val="32"/>
          <w:szCs w:val="32"/>
          <w:highlight w:val="none"/>
          <w:lang w:eastAsia="zh-CN"/>
        </w:rPr>
        <w:t>培训</w:t>
      </w:r>
      <w:r>
        <w:rPr>
          <w:rFonts w:hint="eastAsia" w:ascii="仿宋_GB2312" w:hAnsi="宋体" w:eastAsia="仿宋_GB2312"/>
          <w:sz w:val="32"/>
          <w:szCs w:val="32"/>
          <w:highlight w:val="none"/>
        </w:rPr>
        <w:t>工作事宜，</w:t>
      </w:r>
      <w:r>
        <w:rPr>
          <w:rFonts w:hint="eastAsia" w:ascii="仿宋_GB2312" w:hAnsi="宋体" w:eastAsia="仿宋_GB2312"/>
          <w:sz w:val="32"/>
          <w:szCs w:val="32"/>
        </w:rPr>
        <w:t>达成一致协议，签订本合同。有关条款如下：</w:t>
      </w:r>
    </w:p>
    <w:p w14:paraId="7C99B62A">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第一条 项目内容</w:t>
      </w:r>
    </w:p>
    <w:p w14:paraId="14369B76">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本合同的建设内容由项目招标文件规定、投标文件承诺以及双方约定的内容组成，依据本合同乙方负责为</w:t>
      </w:r>
      <w:r>
        <w:rPr>
          <w:rFonts w:hint="eastAsia" w:ascii="仿宋_GB2312" w:hAnsi="宋体" w:eastAsia="仿宋_GB2312"/>
          <w:sz w:val="32"/>
          <w:szCs w:val="32"/>
          <w:highlight w:val="none"/>
        </w:rPr>
        <w:t>甲方提供202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年南山区建筑施工安全教育和小散工程安全</w:t>
      </w:r>
      <w:r>
        <w:rPr>
          <w:rFonts w:hint="eastAsia" w:ascii="仿宋_GB2312" w:hAnsi="宋体" w:eastAsia="仿宋_GB2312"/>
          <w:sz w:val="32"/>
          <w:szCs w:val="32"/>
          <w:highlight w:val="none"/>
          <w:lang w:eastAsia="zh-CN"/>
        </w:rPr>
        <w:t>培训</w:t>
      </w:r>
      <w:r>
        <w:rPr>
          <w:rFonts w:hint="eastAsia" w:ascii="仿宋_GB2312" w:hAnsi="宋体" w:eastAsia="仿宋_GB2312"/>
          <w:sz w:val="32"/>
          <w:szCs w:val="32"/>
          <w:highlight w:val="none"/>
        </w:rPr>
        <w:t>工作。</w:t>
      </w:r>
    </w:p>
    <w:p w14:paraId="66DC3586">
      <w:pPr>
        <w:spacing w:line="560" w:lineRule="exact"/>
        <w:ind w:firstLine="640"/>
        <w:rPr>
          <w:rFonts w:hint="eastAsia" w:ascii="黑体" w:hAnsi="黑体" w:eastAsia="黑体"/>
          <w:bCs/>
          <w:sz w:val="32"/>
          <w:szCs w:val="32"/>
        </w:rPr>
      </w:pPr>
      <w:r>
        <w:rPr>
          <w:rFonts w:hint="eastAsia" w:ascii="黑体" w:hAnsi="黑体" w:eastAsia="黑体"/>
          <w:bCs/>
          <w:sz w:val="32"/>
          <w:szCs w:val="32"/>
        </w:rPr>
        <w:t>第二条 双方义务</w:t>
      </w:r>
    </w:p>
    <w:p w14:paraId="4F24A766">
      <w:pPr>
        <w:spacing w:line="56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（一）甲方义务</w:t>
      </w:r>
    </w:p>
    <w:p w14:paraId="5B56BB04">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1.甲方结合项目实际，结合项目进展节点对乙方的工作情况进行检查和督促乙方按照合同时间节点交付项目成果。</w:t>
      </w:r>
    </w:p>
    <w:p w14:paraId="144AA92B">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2.甲方应根据本合同要求按期向乙方支付服务费用。</w:t>
      </w:r>
    </w:p>
    <w:p w14:paraId="4FBA3B7A">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3.甲方应当在合同约定的范围内向乙方提供与本合同业务有关的资料，或协助乙方收集资料，若项目及其有关信息发生变更时，应及时以书面形式通知乙方。甲方应指派专人负责与乙方联系，以及接受乙方就本项目的咨询。</w:t>
      </w:r>
    </w:p>
    <w:p w14:paraId="74AB9679">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4.甲方负责与本合同业务有关的项目关系的协调，应配合乙方，对其在项目进行过程中与相关部门的沟通提供支持，为乙方履行本合同提供必要的外部条件。</w:t>
      </w:r>
    </w:p>
    <w:p w14:paraId="4B540DBA">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5.甲方应对乙方按要求完成的工作成果予以接收和确认，需现场验收的，甲方须进行现场核验。验收合格后，甲方应按本合同第六条规定向乙方支付各阶段合同价款。</w:t>
      </w:r>
    </w:p>
    <w:p w14:paraId="318036A7">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6.若合同服务要求发生变化时，甲方应及时通知乙方，否则乙方仍按原要求进行，甲方应认可乙方在接到通知前所完成的工作成果。</w:t>
      </w:r>
    </w:p>
    <w:p w14:paraId="0DBA35C3">
      <w:pPr>
        <w:spacing w:line="56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（二）乙方义务</w:t>
      </w:r>
    </w:p>
    <w:p w14:paraId="56F6AB17">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1.乙方应指定专人对接甲方，负责统筹安排项目开展和工作进度。</w:t>
      </w:r>
    </w:p>
    <w:p w14:paraId="222A1990">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2.乙方承诺并保证具备履行本合同委托事项的各项法定资格、并提供相关证明文件。</w:t>
      </w:r>
    </w:p>
    <w:p w14:paraId="633203EB">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3.乙方不得将本合同约定委托事项全部或者部分转委托给第三方。</w:t>
      </w:r>
    </w:p>
    <w:p w14:paraId="4148BDE1">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4.乙方应按照本合同约定的工作内容、技术标准、工作进度和成果要求以及甲方要求，安排专人负责项目开展，对相关的安全教育</w:t>
      </w:r>
      <w:r>
        <w:rPr>
          <w:rFonts w:hint="eastAsia" w:ascii="仿宋_GB2312" w:hAnsi="宋体" w:eastAsia="仿宋_GB2312"/>
          <w:sz w:val="32"/>
          <w:szCs w:val="32"/>
          <w:lang w:eastAsia="zh-CN"/>
        </w:rPr>
        <w:t>培训</w:t>
      </w:r>
      <w:r>
        <w:rPr>
          <w:rFonts w:hint="eastAsia" w:ascii="仿宋_GB2312" w:hAnsi="宋体" w:eastAsia="仿宋_GB2312"/>
          <w:sz w:val="32"/>
          <w:szCs w:val="32"/>
        </w:rPr>
        <w:t>资料、数据、成果进行整理分析，按时向甲方提交符合要求的报告，并积极配合甲方提出的建议改进工作。乙方应对其提交的各阶段成果文件以及相关资料的真实性、完整性和质量负责</w:t>
      </w:r>
    </w:p>
    <w:p w14:paraId="63EFEDEA">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5.乙方按照招标文件的要求，组建不少于4人的项目服务团队，其中项目负责人1人，讲师1人，助理2人；服务人员与投标文件保持一致，项目负责人为XXX。乙方应保证项目团队成员的相对稳定，无正当理由，不得随意更换项目团队成员，确需更换人员须提前10个工作日，与甲方沟通确认，除人员离职等特殊原因外。乙方可根据项目进度，增加项目团队人员，新增人员必须经过甲方同意认可后方可开展工作。</w:t>
      </w:r>
    </w:p>
    <w:p w14:paraId="262C08C9">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6.乙方在履行合同过程中所有产生的费用已包含在本合同款项中。</w:t>
      </w:r>
    </w:p>
    <w:p w14:paraId="39A16427">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7.乙方应遵守甲方的规章、制度，接受甲方的管理。</w:t>
      </w:r>
    </w:p>
    <w:p w14:paraId="69BAB8D6">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8.乙方对合同履行过程中产生的台账和相关记录及接触到的甲方的内部资料负有保密责任，若因乙方原因发生泄密，乙方须承担由此引起的一切法律责任。</w:t>
      </w:r>
    </w:p>
    <w:p w14:paraId="3CDD4150">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9.乙方有义务根据甲方需求对服务任务、方式及团队及时进行调整。</w:t>
      </w:r>
    </w:p>
    <w:p w14:paraId="25EDC28E">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10.合同期间，乙方人员严禁参加施工单位、供货方单位等其他单位任何形式的宴请或接受任何礼物。</w:t>
      </w:r>
    </w:p>
    <w:p w14:paraId="36EA0597">
      <w:pPr>
        <w:spacing w:line="560" w:lineRule="exact"/>
        <w:ind w:firstLine="640"/>
        <w:rPr>
          <w:rFonts w:hint="eastAsia" w:ascii="黑体" w:hAnsi="黑体" w:eastAsia="黑体"/>
          <w:bCs/>
          <w:sz w:val="32"/>
          <w:szCs w:val="32"/>
        </w:rPr>
      </w:pPr>
      <w:r>
        <w:rPr>
          <w:rFonts w:hint="eastAsia" w:ascii="黑体" w:hAnsi="黑体" w:eastAsia="黑体"/>
          <w:bCs/>
          <w:sz w:val="32"/>
          <w:szCs w:val="32"/>
        </w:rPr>
        <w:t>第三条  服务内容</w:t>
      </w:r>
    </w:p>
    <w:p w14:paraId="2F81445C">
      <w:pPr>
        <w:spacing w:line="560" w:lineRule="exact"/>
        <w:ind w:firstLine="64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（一）区管在建项目从业人员安全教育</w:t>
      </w:r>
      <w:r>
        <w:rPr>
          <w:rFonts w:hint="eastAsia" w:ascii="楷体_GB2312" w:hAnsi="楷体_GB2312" w:eastAsia="楷体_GB2312" w:cs="楷体_GB2312"/>
          <w:bCs/>
          <w:sz w:val="32"/>
          <w:szCs w:val="32"/>
          <w:lang w:eastAsia="zh-CN"/>
        </w:rPr>
        <w:t>培训</w:t>
      </w:r>
      <w:r>
        <w:rPr>
          <w:rFonts w:hint="eastAsia" w:ascii="楷体_GB2312" w:hAnsi="楷体_GB2312" w:eastAsia="楷体_GB2312" w:cs="楷体_GB2312"/>
          <w:bCs/>
          <w:sz w:val="32"/>
          <w:szCs w:val="32"/>
        </w:rPr>
        <w:t>内容</w:t>
      </w:r>
    </w:p>
    <w:p w14:paraId="518FB7BB">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对象:南山区在建项目建设、施工、监理单位安全管理人员和现场施工作业人员。</w:t>
      </w:r>
    </w:p>
    <w:p w14:paraId="322B542E">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内容：针对管理人员主要包括《建筑工地防火安全管理》、《物体打击事故的预防》、《高处坠落事故的预防》、《模板坍塌事故的预防》、《起重机械伤害事故的预防》、《基坑坍塌事故的预防》、《触电事故的预防》、</w:t>
      </w:r>
      <w:r>
        <w:rPr>
          <w:rFonts w:hint="eastAsia" w:ascii="仿宋_GB2312" w:hAnsi="仿宋_GB2312" w:eastAsia="仿宋_GB2312" w:cs="仿宋_GB2312"/>
          <w:bCs/>
          <w:sz w:val="32"/>
          <w:szCs w:val="32"/>
          <w:lang w:eastAsia="zh-CN"/>
        </w:rPr>
        <w:t>《中毒和窒息的预防》、</w:t>
      </w:r>
      <w:r>
        <w:rPr>
          <w:rFonts w:hint="eastAsia" w:ascii="仿宋_GB2312" w:hAnsi="仿宋_GB2312" w:eastAsia="仿宋_GB2312" w:cs="仿宋_GB2312"/>
          <w:bCs/>
          <w:sz w:val="32"/>
          <w:szCs w:val="32"/>
        </w:rPr>
        <w:t>《台风雨季期间施工安全管理》、《暑季高温期间施工安全管理》、《交通安全》等专题内容；针对现场施工作业人员主要包括建设工程施工过程的基本安全知识、安全生产操作、危险源和风险点的辨识、安全防护设施和器材的正确使用、典型事故案例分析等内容</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w:t>
      </w:r>
    </w:p>
    <w:p w14:paraId="247A2291">
      <w:pPr>
        <w:spacing w:line="560"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方式：对建筑施工项目管理人员开展集中式</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；对建筑施工人员安排专家深入工地开展小型安全教育</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负责制定培训课件</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印制培训材料，注重</w:t>
      </w:r>
      <w:r>
        <w:rPr>
          <w:rFonts w:hint="eastAsia" w:ascii="仿宋_GB2312" w:hAnsi="仿宋_GB2312" w:eastAsia="仿宋_GB2312" w:cs="仿宋_GB2312"/>
          <w:bCs/>
          <w:sz w:val="32"/>
          <w:szCs w:val="32"/>
        </w:rPr>
        <w:t>案例剖析、互动问答等形式</w:t>
      </w:r>
      <w:r>
        <w:rPr>
          <w:rFonts w:hint="eastAsia" w:ascii="仿宋_GB2312" w:hAnsi="仿宋_GB2312" w:eastAsia="仿宋_GB2312" w:cs="仿宋_GB2312"/>
          <w:bCs/>
          <w:sz w:val="32"/>
          <w:szCs w:val="32"/>
          <w:lang w:eastAsia="zh-CN"/>
        </w:rPr>
        <w:t>。</w:t>
      </w:r>
    </w:p>
    <w:p w14:paraId="6D9CA2F4">
      <w:pPr>
        <w:spacing w:line="560" w:lineRule="exact"/>
        <w:ind w:firstLine="64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eastAsia="zh-CN"/>
        </w:rPr>
        <w:t>培训</w:t>
      </w:r>
      <w:r>
        <w:rPr>
          <w:rFonts w:hint="eastAsia" w:ascii="仿宋_GB2312" w:hAnsi="仿宋_GB2312" w:eastAsia="仿宋_GB2312" w:cs="仿宋_GB2312"/>
          <w:bCs/>
          <w:sz w:val="32"/>
          <w:szCs w:val="32"/>
          <w:highlight w:val="none"/>
        </w:rPr>
        <w:t>场次：</w:t>
      </w:r>
      <w:r>
        <w:rPr>
          <w:rFonts w:hint="eastAsia" w:ascii="仿宋_GB2312" w:hAnsi="仿宋_GB2312" w:eastAsia="仿宋_GB2312" w:cs="仿宋_GB2312"/>
          <w:bCs/>
          <w:sz w:val="32"/>
          <w:szCs w:val="32"/>
          <w:highlight w:val="none"/>
          <w:lang w:val="en-US" w:eastAsia="zh-CN"/>
        </w:rPr>
        <w:t>126</w:t>
      </w:r>
      <w:r>
        <w:rPr>
          <w:rFonts w:hint="eastAsia" w:ascii="仿宋_GB2312" w:hAnsi="仿宋_GB2312" w:eastAsia="仿宋_GB2312" w:cs="仿宋_GB2312"/>
          <w:bCs/>
          <w:sz w:val="32"/>
          <w:szCs w:val="32"/>
          <w:highlight w:val="none"/>
        </w:rPr>
        <w:t>场次，其中集中式</w:t>
      </w:r>
      <w:r>
        <w:rPr>
          <w:rFonts w:hint="eastAsia" w:ascii="仿宋_GB2312" w:hAnsi="仿宋_GB2312" w:eastAsia="仿宋_GB2312" w:cs="仿宋_GB2312"/>
          <w:bCs/>
          <w:sz w:val="32"/>
          <w:szCs w:val="32"/>
          <w:highlight w:val="none"/>
          <w:lang w:eastAsia="zh-CN"/>
        </w:rPr>
        <w:t>培训6</w:t>
      </w:r>
      <w:r>
        <w:rPr>
          <w:rFonts w:hint="eastAsia" w:ascii="仿宋_GB2312" w:hAnsi="仿宋_GB2312" w:eastAsia="仿宋_GB2312" w:cs="仿宋_GB2312"/>
          <w:bCs/>
          <w:sz w:val="32"/>
          <w:szCs w:val="32"/>
          <w:highlight w:val="none"/>
        </w:rPr>
        <w:t>场次，深入工地</w:t>
      </w:r>
      <w:r>
        <w:rPr>
          <w:rFonts w:hint="eastAsia" w:ascii="仿宋_GB2312" w:hAnsi="仿宋_GB2312" w:eastAsia="仿宋_GB2312" w:cs="仿宋_GB2312"/>
          <w:bCs/>
          <w:sz w:val="32"/>
          <w:szCs w:val="32"/>
          <w:highlight w:val="none"/>
          <w:lang w:eastAsia="zh-CN"/>
        </w:rPr>
        <w:t>培训</w:t>
      </w:r>
      <w:r>
        <w:rPr>
          <w:rFonts w:hint="eastAsia" w:ascii="仿宋_GB2312" w:hAnsi="仿宋_GB2312" w:eastAsia="仿宋_GB2312" w:cs="仿宋_GB2312"/>
          <w:bCs/>
          <w:sz w:val="32"/>
          <w:szCs w:val="32"/>
          <w:highlight w:val="none"/>
          <w:lang w:val="en-US" w:eastAsia="zh-CN"/>
        </w:rPr>
        <w:t>120</w:t>
      </w:r>
      <w:r>
        <w:rPr>
          <w:rFonts w:hint="eastAsia" w:ascii="仿宋_GB2312" w:hAnsi="仿宋_GB2312" w:eastAsia="仿宋_GB2312" w:cs="仿宋_GB2312"/>
          <w:bCs/>
          <w:sz w:val="32"/>
          <w:szCs w:val="32"/>
          <w:highlight w:val="none"/>
        </w:rPr>
        <w:t>场次。</w:t>
      </w:r>
    </w:p>
    <w:p w14:paraId="4913988F">
      <w:pPr>
        <w:spacing w:line="560" w:lineRule="exact"/>
        <w:ind w:firstLine="64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（二）小散工程管理人员安全教育</w:t>
      </w:r>
      <w:r>
        <w:rPr>
          <w:rFonts w:hint="eastAsia" w:ascii="楷体_GB2312" w:hAnsi="楷体_GB2312" w:eastAsia="楷体_GB2312" w:cs="楷体_GB2312"/>
          <w:bCs/>
          <w:sz w:val="32"/>
          <w:szCs w:val="32"/>
          <w:lang w:eastAsia="zh-CN"/>
        </w:rPr>
        <w:t>培训</w:t>
      </w:r>
      <w:r>
        <w:rPr>
          <w:rFonts w:hint="eastAsia" w:ascii="楷体_GB2312" w:hAnsi="楷体_GB2312" w:eastAsia="楷体_GB2312" w:cs="楷体_GB2312"/>
          <w:bCs/>
          <w:sz w:val="32"/>
          <w:szCs w:val="32"/>
        </w:rPr>
        <w:t>内容</w:t>
      </w:r>
    </w:p>
    <w:p w14:paraId="5711E940">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对象：各街道、社区工作站小散工程管理人员和执法人员、网格员、物业企业服务人员、股份有限公司相关小散工程管理人员等。</w:t>
      </w:r>
    </w:p>
    <w:p w14:paraId="1281455B">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内容：小散工程安全生产巡查知识培训、小散工程安全生产纳管工作培训、小散工程安全生产教育等。</w:t>
      </w:r>
    </w:p>
    <w:p w14:paraId="37FEE5DE">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方式：</w:t>
      </w:r>
      <w:r>
        <w:rPr>
          <w:rFonts w:hint="eastAsia" w:ascii="仿宋_GB2312" w:hAnsi="仿宋_GB2312" w:eastAsia="仿宋_GB2312" w:cs="仿宋_GB2312"/>
          <w:bCs/>
          <w:sz w:val="32"/>
          <w:szCs w:val="32"/>
          <w:lang w:eastAsia="zh-CN"/>
        </w:rPr>
        <w:t>负责制定培训课件</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印制培训材料，</w:t>
      </w:r>
      <w:r>
        <w:rPr>
          <w:rFonts w:hint="eastAsia" w:ascii="仿宋_GB2312" w:hAnsi="仿宋_GB2312" w:eastAsia="仿宋_GB2312" w:cs="仿宋_GB2312"/>
          <w:bCs/>
          <w:sz w:val="32"/>
          <w:szCs w:val="32"/>
        </w:rPr>
        <w:t>采取PPT幻灯片展示、案例剖析、互动问答等形式，开展集中式</w:t>
      </w:r>
      <w:r>
        <w:rPr>
          <w:rFonts w:hint="eastAsia" w:ascii="仿宋_GB2312" w:hAnsi="仿宋_GB2312" w:eastAsia="仿宋_GB2312" w:cs="仿宋_GB2312"/>
          <w:bCs/>
          <w:sz w:val="32"/>
          <w:szCs w:val="32"/>
          <w:lang w:eastAsia="zh-CN"/>
        </w:rPr>
        <w:t>培训</w:t>
      </w:r>
      <w:r>
        <w:rPr>
          <w:rFonts w:hint="eastAsia" w:ascii="仿宋_GB2312" w:hAnsi="仿宋_GB2312" w:eastAsia="仿宋_GB2312" w:cs="仿宋_GB2312"/>
          <w:bCs/>
          <w:sz w:val="32"/>
          <w:szCs w:val="32"/>
        </w:rPr>
        <w:t>，讲解小散工程安全生产纳管的重要性、巡查工作的要点等。</w:t>
      </w:r>
    </w:p>
    <w:p w14:paraId="0AD7B729">
      <w:pPr>
        <w:spacing w:line="560" w:lineRule="exact"/>
        <w:ind w:firstLine="64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eastAsia="zh-CN"/>
        </w:rPr>
        <w:t>培训</w:t>
      </w:r>
      <w:r>
        <w:rPr>
          <w:rFonts w:hint="eastAsia" w:ascii="仿宋_GB2312" w:hAnsi="仿宋_GB2312" w:eastAsia="仿宋_GB2312" w:cs="仿宋_GB2312"/>
          <w:bCs/>
          <w:sz w:val="32"/>
          <w:szCs w:val="32"/>
          <w:highlight w:val="none"/>
        </w:rPr>
        <w:t>场次：</w:t>
      </w:r>
      <w:r>
        <w:rPr>
          <w:rFonts w:hint="eastAsia" w:ascii="仿宋_GB2312" w:hAnsi="仿宋_GB2312" w:eastAsia="仿宋_GB2312" w:cs="仿宋_GB2312"/>
          <w:bCs/>
          <w:sz w:val="32"/>
          <w:szCs w:val="32"/>
          <w:highlight w:val="none"/>
          <w:lang w:val="en-US" w:eastAsia="zh-CN"/>
        </w:rPr>
        <w:t>16</w:t>
      </w:r>
      <w:r>
        <w:rPr>
          <w:rFonts w:hint="eastAsia" w:ascii="仿宋_GB2312" w:hAnsi="仿宋_GB2312" w:eastAsia="仿宋_GB2312" w:cs="仿宋_GB2312"/>
          <w:bCs/>
          <w:sz w:val="32"/>
          <w:szCs w:val="32"/>
          <w:highlight w:val="none"/>
        </w:rPr>
        <w:t>场次，每个街道</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场次。</w:t>
      </w:r>
    </w:p>
    <w:p w14:paraId="2F16842A">
      <w:pPr>
        <w:spacing w:line="560" w:lineRule="exact"/>
        <w:ind w:firstLine="640"/>
        <w:rPr>
          <w:rFonts w:hint="eastAsia" w:ascii="黑体" w:hAnsi="黑体" w:eastAsia="黑体" w:cs="黑体"/>
          <w:bCs/>
          <w:sz w:val="32"/>
          <w:szCs w:val="32"/>
        </w:rPr>
      </w:pPr>
      <w:r>
        <w:rPr>
          <w:rFonts w:hint="eastAsia" w:ascii="黑体" w:hAnsi="黑体" w:eastAsia="黑体" w:cs="黑体"/>
          <w:bCs/>
          <w:sz w:val="32"/>
          <w:szCs w:val="32"/>
        </w:rPr>
        <w:t>第四条 服务成果验收和履约评价</w:t>
      </w:r>
    </w:p>
    <w:p w14:paraId="10DF63CA">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1.按照甲方要求完成安全教育培训及宣贯日常工作。</w:t>
      </w:r>
    </w:p>
    <w:p w14:paraId="7718387E">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2.培训结束后乙方要对培训工作进行梳理，形成完整的档案资料和工作总结。档案资料按照一场次一档案，包括参培人员签到表、课件、</w:t>
      </w:r>
      <w:r>
        <w:rPr>
          <w:rFonts w:hint="eastAsia" w:ascii="仿宋_GB2312" w:hAnsi="宋体" w:eastAsia="仿宋_GB2312"/>
          <w:sz w:val="32"/>
          <w:szCs w:val="32"/>
          <w:lang w:eastAsia="zh-CN"/>
        </w:rPr>
        <w:t>影像</w:t>
      </w:r>
      <w:r>
        <w:rPr>
          <w:rFonts w:hint="eastAsia" w:ascii="仿宋_GB2312" w:hAnsi="宋体" w:eastAsia="仿宋_GB2312"/>
          <w:sz w:val="32"/>
          <w:szCs w:val="32"/>
        </w:rPr>
        <w:t>资料等，一式两份（含电子档和纸质档）；工作总结包括培训的情况、对项目工人安全水平的评价等。</w:t>
      </w:r>
    </w:p>
    <w:p w14:paraId="60AB8872">
      <w:pPr>
        <w:spacing w:line="560" w:lineRule="exact"/>
        <w:ind w:firstLine="640"/>
        <w:rPr>
          <w:rFonts w:ascii="仿宋_GB2312" w:hAnsi="宋体" w:eastAsia="仿宋_GB2312"/>
          <w:sz w:val="32"/>
          <w:szCs w:val="32"/>
        </w:rPr>
      </w:pPr>
      <w:r>
        <w:rPr>
          <w:rFonts w:hint="eastAsia" w:ascii="仿宋_GB2312" w:hAnsi="宋体" w:eastAsia="仿宋_GB2312"/>
          <w:sz w:val="32"/>
          <w:szCs w:val="32"/>
        </w:rPr>
        <w:t>3.项目完成后，甲方对乙方工作完成情况进行履约评价，并将评价情况存档备案，履约评价不合格的单位不允许参与甲方后续同类项目招投标。</w:t>
      </w:r>
    </w:p>
    <w:p w14:paraId="772E6561">
      <w:pPr>
        <w:spacing w:line="560" w:lineRule="exact"/>
        <w:ind w:firstLine="640"/>
        <w:rPr>
          <w:rFonts w:hint="eastAsia" w:ascii="黑体" w:hAnsi="黑体" w:eastAsia="黑体"/>
          <w:bCs/>
          <w:sz w:val="32"/>
          <w:szCs w:val="32"/>
        </w:rPr>
      </w:pPr>
      <w:r>
        <w:rPr>
          <w:rFonts w:hint="eastAsia" w:ascii="黑体" w:hAnsi="黑体" w:eastAsia="黑体"/>
          <w:bCs/>
          <w:sz w:val="32"/>
          <w:szCs w:val="32"/>
        </w:rPr>
        <w:t>第五条 服务时间</w:t>
      </w:r>
    </w:p>
    <w:p w14:paraId="3EF822C6">
      <w:pPr>
        <w:spacing w:line="560" w:lineRule="exact"/>
        <w:ind w:firstLine="640"/>
        <w:rPr>
          <w:rFonts w:hint="eastAsia" w:ascii="仿宋_GB2312" w:hAnsi="宋体" w:eastAsia="仿宋_GB2312"/>
          <w:sz w:val="32"/>
          <w:szCs w:val="32"/>
          <w:highlight w:val="none"/>
        </w:rPr>
      </w:pPr>
      <w:r>
        <w:rPr>
          <w:rFonts w:hint="eastAsia" w:ascii="仿宋_GB2312" w:hAnsi="宋体" w:eastAsia="仿宋_GB2312"/>
          <w:sz w:val="32"/>
          <w:szCs w:val="32"/>
        </w:rPr>
        <w:t>本项目服务期自</w:t>
      </w:r>
      <w:r>
        <w:rPr>
          <w:rFonts w:hint="eastAsia" w:ascii="仿宋_GB2312" w:hAnsi="宋体" w:eastAsia="仿宋_GB2312"/>
          <w:sz w:val="32"/>
          <w:szCs w:val="32"/>
          <w:highlight w:val="yellow"/>
          <w:u w:val="single"/>
          <w:lang w:val="en-US" w:eastAsia="zh-CN"/>
        </w:rPr>
        <w:t>2025</w:t>
      </w:r>
      <w:r>
        <w:rPr>
          <w:rFonts w:hint="eastAsia" w:ascii="仿宋_GB2312" w:hAnsi="宋体" w:eastAsia="仿宋_GB2312"/>
          <w:sz w:val="32"/>
          <w:szCs w:val="32"/>
          <w:highlight w:val="yellow"/>
          <w:lang w:val="en-US" w:eastAsia="zh-CN"/>
        </w:rPr>
        <w:t>年</w:t>
      </w:r>
      <w:r>
        <w:rPr>
          <w:rFonts w:hint="eastAsia" w:ascii="仿宋_GB2312" w:hAnsi="宋体" w:eastAsia="仿宋_GB2312"/>
          <w:sz w:val="32"/>
          <w:szCs w:val="32"/>
          <w:highlight w:val="yellow"/>
          <w:u w:val="single"/>
          <w:lang w:val="en-US" w:eastAsia="zh-CN"/>
        </w:rPr>
        <w:t>xx</w:t>
      </w:r>
      <w:r>
        <w:rPr>
          <w:rFonts w:hint="eastAsia" w:ascii="仿宋_GB2312" w:hAnsi="宋体" w:eastAsia="仿宋_GB2312"/>
          <w:sz w:val="32"/>
          <w:szCs w:val="32"/>
          <w:highlight w:val="yellow"/>
          <w:lang w:val="en-US" w:eastAsia="zh-CN"/>
        </w:rPr>
        <w:t>月</w:t>
      </w:r>
      <w:r>
        <w:rPr>
          <w:rFonts w:hint="eastAsia" w:ascii="仿宋_GB2312" w:hAnsi="宋体" w:eastAsia="仿宋_GB2312"/>
          <w:sz w:val="32"/>
          <w:szCs w:val="32"/>
          <w:highlight w:val="yellow"/>
          <w:u w:val="single"/>
          <w:lang w:val="en-US" w:eastAsia="zh-CN"/>
        </w:rPr>
        <w:t>xx</w:t>
      </w:r>
      <w:r>
        <w:rPr>
          <w:rFonts w:hint="eastAsia" w:ascii="仿宋_GB2312" w:hAnsi="宋体" w:eastAsia="仿宋_GB2312"/>
          <w:sz w:val="32"/>
          <w:szCs w:val="32"/>
          <w:highlight w:val="yellow"/>
          <w:lang w:val="en-US" w:eastAsia="zh-CN"/>
        </w:rPr>
        <w:t>日</w:t>
      </w:r>
      <w:r>
        <w:rPr>
          <w:rFonts w:hint="eastAsia" w:ascii="仿宋_GB2312" w:hAnsi="宋体" w:eastAsia="仿宋_GB2312"/>
          <w:sz w:val="32"/>
          <w:szCs w:val="32"/>
          <w:highlight w:val="yellow"/>
        </w:rPr>
        <w:t>起至</w:t>
      </w:r>
      <w:r>
        <w:rPr>
          <w:rFonts w:hint="eastAsia" w:ascii="仿宋_GB2312" w:hAnsi="宋体" w:eastAsia="仿宋_GB2312"/>
          <w:sz w:val="32"/>
          <w:szCs w:val="32"/>
          <w:highlight w:val="yellow"/>
          <w:u w:val="single"/>
        </w:rPr>
        <w:t>202</w:t>
      </w:r>
      <w:r>
        <w:rPr>
          <w:rFonts w:hint="eastAsia" w:ascii="仿宋_GB2312" w:hAnsi="宋体" w:eastAsia="仿宋_GB2312"/>
          <w:sz w:val="32"/>
          <w:szCs w:val="32"/>
          <w:highlight w:val="yellow"/>
          <w:u w:val="single"/>
          <w:lang w:val="en-US" w:eastAsia="zh-CN"/>
        </w:rPr>
        <w:t>5</w:t>
      </w:r>
      <w:r>
        <w:rPr>
          <w:rFonts w:hint="eastAsia" w:ascii="仿宋_GB2312" w:hAnsi="宋体" w:eastAsia="仿宋_GB2312"/>
          <w:sz w:val="32"/>
          <w:szCs w:val="32"/>
          <w:highlight w:val="yellow"/>
        </w:rPr>
        <w:t>年</w:t>
      </w:r>
      <w:r>
        <w:rPr>
          <w:rFonts w:hint="eastAsia" w:ascii="仿宋_GB2312" w:hAnsi="宋体" w:eastAsia="仿宋_GB2312"/>
          <w:sz w:val="32"/>
          <w:szCs w:val="32"/>
          <w:highlight w:val="yellow"/>
          <w:u w:val="single"/>
        </w:rPr>
        <w:t xml:space="preserve"> </w:t>
      </w:r>
      <w:r>
        <w:rPr>
          <w:rFonts w:ascii="仿宋_GB2312" w:hAnsi="宋体" w:eastAsia="仿宋_GB2312"/>
          <w:sz w:val="32"/>
          <w:szCs w:val="32"/>
          <w:highlight w:val="yellow"/>
          <w:u w:val="single"/>
        </w:rPr>
        <w:t>12</w:t>
      </w:r>
      <w:r>
        <w:rPr>
          <w:rFonts w:hint="eastAsia" w:ascii="仿宋_GB2312" w:hAnsi="宋体" w:eastAsia="仿宋_GB2312"/>
          <w:sz w:val="32"/>
          <w:szCs w:val="32"/>
          <w:highlight w:val="yellow"/>
        </w:rPr>
        <w:t>月</w:t>
      </w:r>
      <w:r>
        <w:rPr>
          <w:rFonts w:hint="eastAsia" w:ascii="仿宋_GB2312" w:hAnsi="宋体" w:eastAsia="仿宋_GB2312"/>
          <w:sz w:val="32"/>
          <w:szCs w:val="32"/>
          <w:highlight w:val="yellow"/>
          <w:u w:val="single"/>
          <w:lang w:val="en-US" w:eastAsia="zh-CN"/>
        </w:rPr>
        <w:t>10</w:t>
      </w:r>
      <w:r>
        <w:rPr>
          <w:rFonts w:hint="eastAsia" w:ascii="仿宋_GB2312" w:hAnsi="宋体" w:eastAsia="仿宋_GB2312"/>
          <w:sz w:val="32"/>
          <w:szCs w:val="32"/>
          <w:highlight w:val="yellow"/>
        </w:rPr>
        <w:t>日止</w:t>
      </w:r>
      <w:r>
        <w:rPr>
          <w:rFonts w:hint="eastAsia" w:ascii="仿宋_GB2312" w:hAnsi="宋体" w:eastAsia="仿宋_GB2312"/>
          <w:sz w:val="32"/>
          <w:szCs w:val="32"/>
          <w:highlight w:val="none"/>
        </w:rPr>
        <w:t>。</w:t>
      </w:r>
    </w:p>
    <w:p w14:paraId="756FD96D">
      <w:pPr>
        <w:spacing w:line="560" w:lineRule="exact"/>
        <w:ind w:firstLine="640"/>
        <w:rPr>
          <w:rFonts w:hint="eastAsia" w:ascii="黑体" w:hAnsi="黑体" w:eastAsia="黑体"/>
          <w:bCs/>
          <w:sz w:val="32"/>
          <w:szCs w:val="32"/>
        </w:rPr>
      </w:pPr>
      <w:r>
        <w:rPr>
          <w:rFonts w:hint="eastAsia" w:ascii="黑体" w:hAnsi="黑体" w:eastAsia="黑体"/>
          <w:bCs/>
          <w:sz w:val="32"/>
          <w:szCs w:val="32"/>
        </w:rPr>
        <w:t>第六条  付款方式</w:t>
      </w:r>
    </w:p>
    <w:p w14:paraId="3283C829">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1.服务的费用总额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含税</w:t>
      </w:r>
      <w:r>
        <w:rPr>
          <w:rFonts w:hint="eastAsia" w:ascii="仿宋_GB2312" w:hAnsi="宋体" w:eastAsia="仿宋_GB2312"/>
          <w:sz w:val="32"/>
          <w:szCs w:val="32"/>
          <w:lang w:eastAsia="zh-CN"/>
        </w:rPr>
        <w:t>）</w:t>
      </w:r>
      <w:r>
        <w:rPr>
          <w:rFonts w:hint="eastAsia" w:ascii="仿宋_GB2312" w:hAnsi="宋体" w:eastAsia="仿宋_GB2312"/>
          <w:sz w:val="32"/>
          <w:szCs w:val="32"/>
        </w:rPr>
        <w:t>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元整（小写：￥</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元），此费用为包干总价，是乙方依合同约定履行了全部义务后适用的总价格。</w:t>
      </w:r>
    </w:p>
    <w:p w14:paraId="3C87CCB2">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在甲方付款前，乙方需要提供国家合规含税发票。甲方将服务费用以转账方式支付至乙方以下账户。如因政策或内部审批原因导致甲方付款延期的，甲方不承担违约责任。</w:t>
      </w:r>
    </w:p>
    <w:p w14:paraId="28BC9360">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乙方收款的开户银行名称和账号为：</w:t>
      </w:r>
    </w:p>
    <w:p w14:paraId="1178D841">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 xml:space="preserve">开户名称： </w:t>
      </w:r>
    </w:p>
    <w:p w14:paraId="116E5850">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 xml:space="preserve">开户银行：  </w:t>
      </w:r>
    </w:p>
    <w:p w14:paraId="34E31988">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 xml:space="preserve">账    号：   </w:t>
      </w:r>
    </w:p>
    <w:p w14:paraId="75F43326">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2.支付方式</w:t>
      </w:r>
    </w:p>
    <w:p w14:paraId="57C296CE">
      <w:pPr>
        <w:spacing w:line="560" w:lineRule="exact"/>
        <w:ind w:firstLine="640"/>
        <w:rPr>
          <w:rFonts w:hint="eastAsia" w:ascii="仿宋_GB2312" w:hAnsi="宋体" w:eastAsia="仿宋_GB2312"/>
          <w:sz w:val="32"/>
          <w:szCs w:val="32"/>
          <w:highlight w:val="yellow"/>
          <w:lang w:eastAsia="zh-CN"/>
        </w:rPr>
      </w:pPr>
      <w:r>
        <w:rPr>
          <w:rFonts w:hint="eastAsia" w:ascii="仿宋_GB2312" w:eastAsia="仿宋_GB2312"/>
          <w:sz w:val="32"/>
          <w:szCs w:val="32"/>
          <w:highlight w:val="none"/>
          <w:lang w:val="en-US" w:eastAsia="zh-CN"/>
        </w:rPr>
        <w:t>2025年3月15日前</w:t>
      </w:r>
      <w:r>
        <w:rPr>
          <w:rFonts w:hint="eastAsia" w:ascii="仿宋_GB2312" w:eastAsia="仿宋_GB2312"/>
          <w:sz w:val="32"/>
          <w:szCs w:val="32"/>
          <w:highlight w:val="none"/>
          <w:lang w:eastAsia="zh-CN"/>
        </w:rPr>
        <w:t>，完成项目培训工作方案及培训</w:t>
      </w:r>
      <w:r>
        <w:rPr>
          <w:rFonts w:hint="eastAsia" w:ascii="仿宋_GB2312" w:eastAsia="仿宋_GB2312"/>
          <w:sz w:val="32"/>
          <w:szCs w:val="32"/>
          <w:highlight w:val="none"/>
          <w:lang w:val="en-US" w:eastAsia="zh-CN"/>
        </w:rPr>
        <w:t>ppt后，</w:t>
      </w:r>
      <w:r>
        <w:rPr>
          <w:rFonts w:hint="eastAsia" w:ascii="仿宋_GB2312" w:eastAsia="仿宋_GB2312"/>
          <w:sz w:val="32"/>
          <w:szCs w:val="32"/>
          <w:highlight w:val="none"/>
          <w:lang w:eastAsia="zh-CN"/>
        </w:rPr>
        <w:t>支付项目合同总价的30%；余下款项按项目进度支付，</w:t>
      </w:r>
      <w:r>
        <w:rPr>
          <w:rFonts w:hint="eastAsia" w:ascii="仿宋_GB2312" w:eastAsia="仿宋_GB2312"/>
          <w:sz w:val="32"/>
          <w:szCs w:val="32"/>
          <w:highlight w:val="none"/>
          <w:lang w:val="en-US" w:eastAsia="zh-CN"/>
        </w:rPr>
        <w:t>2025年9月15日前，</w:t>
      </w:r>
      <w:r>
        <w:rPr>
          <w:rFonts w:hint="eastAsia" w:ascii="仿宋_GB2312" w:eastAsia="仿宋_GB2312"/>
          <w:sz w:val="32"/>
          <w:szCs w:val="32"/>
          <w:highlight w:val="none"/>
          <w:lang w:eastAsia="zh-CN"/>
        </w:rPr>
        <w:t>完成培训总场次</w:t>
      </w:r>
      <w:r>
        <w:rPr>
          <w:rFonts w:hint="eastAsia" w:ascii="仿宋_GB2312" w:eastAsia="仿宋_GB2312"/>
          <w:sz w:val="32"/>
          <w:szCs w:val="32"/>
          <w:highlight w:val="none"/>
          <w:lang w:val="en-US" w:eastAsia="zh-CN"/>
        </w:rPr>
        <w:t>70%，经复核确认</w:t>
      </w:r>
      <w:r>
        <w:rPr>
          <w:rFonts w:hint="eastAsia" w:ascii="仿宋_GB2312" w:eastAsia="仿宋_GB2312"/>
          <w:sz w:val="32"/>
          <w:szCs w:val="32"/>
          <w:highlight w:val="none"/>
          <w:lang w:eastAsia="zh-CN"/>
        </w:rPr>
        <w:t>后，支付项目合同总价的</w:t>
      </w:r>
      <w:r>
        <w:rPr>
          <w:rFonts w:hint="eastAsia" w:ascii="仿宋_GB2312" w:eastAsia="仿宋_GB2312"/>
          <w:sz w:val="32"/>
          <w:szCs w:val="32"/>
          <w:highlight w:val="none"/>
          <w:lang w:val="en-US" w:eastAsia="zh-CN"/>
        </w:rPr>
        <w:t>40%；2025年12月10日前，</w:t>
      </w:r>
      <w:r>
        <w:rPr>
          <w:rFonts w:hint="eastAsia" w:ascii="仿宋_GB2312" w:eastAsia="仿宋_GB2312"/>
          <w:sz w:val="32"/>
          <w:szCs w:val="32"/>
          <w:highlight w:val="none"/>
          <w:lang w:eastAsia="zh-CN"/>
        </w:rPr>
        <w:t>完成全部培训后并验收合格后，支付完全部合同</w:t>
      </w:r>
      <w:r>
        <w:rPr>
          <w:rFonts w:hint="eastAsia" w:ascii="仿宋_GB2312" w:eastAsia="仿宋_GB2312"/>
          <w:sz w:val="32"/>
          <w:szCs w:val="32"/>
          <w:highlight w:val="none"/>
          <w:lang w:val="en-US" w:eastAsia="zh-CN"/>
        </w:rPr>
        <w:t>款项</w:t>
      </w:r>
      <w:r>
        <w:rPr>
          <w:rFonts w:hint="eastAsia" w:ascii="仿宋_GB2312" w:eastAsia="仿宋_GB2312"/>
          <w:sz w:val="32"/>
          <w:szCs w:val="32"/>
          <w:highlight w:val="none"/>
          <w:lang w:eastAsia="zh-CN"/>
        </w:rPr>
        <w:t>（即人民币大写：</w:t>
      </w:r>
      <w:r>
        <w:rPr>
          <w:rFonts w:hint="eastAsia" w:ascii="仿宋_GB2312" w:eastAsia="仿宋_GB2312"/>
          <w:sz w:val="32"/>
          <w:szCs w:val="32"/>
          <w:highlight w:val="none"/>
          <w:lang w:val="en-US" w:eastAsia="zh-CN"/>
        </w:rPr>
        <w:t>XXXX</w:t>
      </w:r>
      <w:r>
        <w:rPr>
          <w:rFonts w:hint="eastAsia" w:ascii="仿宋_GB2312" w:eastAsia="仿宋_GB2312"/>
          <w:sz w:val="32"/>
          <w:szCs w:val="32"/>
          <w:highlight w:val="none"/>
          <w:lang w:eastAsia="zh-CN"/>
        </w:rPr>
        <w:t>元整，小写:¥</w:t>
      </w:r>
      <w:r>
        <w:rPr>
          <w:rFonts w:hint="eastAsia" w:ascii="仿宋_GB2312" w:eastAsia="仿宋_GB2312"/>
          <w:sz w:val="32"/>
          <w:szCs w:val="32"/>
          <w:highlight w:val="none"/>
          <w:lang w:val="en-US" w:eastAsia="zh-CN"/>
        </w:rPr>
        <w:t>XXXX</w:t>
      </w:r>
      <w:r>
        <w:rPr>
          <w:rFonts w:hint="eastAsia" w:ascii="仿宋_GB2312" w:eastAsia="仿宋_GB2312"/>
          <w:sz w:val="32"/>
          <w:szCs w:val="32"/>
          <w:highlight w:val="none"/>
          <w:lang w:eastAsia="zh-CN"/>
        </w:rPr>
        <w:t>元），乙方应提供等额的</w:t>
      </w:r>
      <w:r>
        <w:rPr>
          <w:rFonts w:hint="eastAsia" w:ascii="仿宋_GB2312" w:eastAsia="仿宋_GB2312"/>
          <w:sz w:val="32"/>
          <w:szCs w:val="32"/>
          <w:highlight w:val="none"/>
          <w:lang w:val="en-US" w:eastAsia="zh-CN"/>
        </w:rPr>
        <w:t>合法</w:t>
      </w:r>
      <w:r>
        <w:rPr>
          <w:rFonts w:hint="eastAsia" w:ascii="仿宋_GB2312" w:eastAsia="仿宋_GB2312"/>
          <w:sz w:val="32"/>
          <w:szCs w:val="32"/>
          <w:highlight w:val="none"/>
          <w:lang w:eastAsia="zh-CN"/>
        </w:rPr>
        <w:t>有效发票。</w:t>
      </w:r>
    </w:p>
    <w:p w14:paraId="3A78892B">
      <w:pPr>
        <w:spacing w:line="560" w:lineRule="exact"/>
        <w:ind w:firstLine="640"/>
        <w:rPr>
          <w:rFonts w:ascii="黑体" w:hAnsi="黑体" w:eastAsia="黑体"/>
          <w:bCs/>
          <w:sz w:val="32"/>
          <w:szCs w:val="32"/>
        </w:rPr>
      </w:pPr>
      <w:r>
        <w:rPr>
          <w:rFonts w:hint="eastAsia" w:ascii="黑体" w:hAnsi="黑体" w:eastAsia="黑体"/>
          <w:bCs/>
          <w:sz w:val="32"/>
          <w:szCs w:val="32"/>
        </w:rPr>
        <w:t xml:space="preserve">第七条 </w:t>
      </w:r>
      <w:r>
        <w:rPr>
          <w:rFonts w:ascii="黑体" w:hAnsi="黑体" w:eastAsia="黑体"/>
          <w:bCs/>
          <w:sz w:val="32"/>
          <w:szCs w:val="32"/>
        </w:rPr>
        <w:t xml:space="preserve"> </w:t>
      </w:r>
      <w:r>
        <w:rPr>
          <w:rFonts w:hint="eastAsia" w:ascii="黑体" w:hAnsi="黑体" w:eastAsia="黑体"/>
          <w:bCs/>
          <w:sz w:val="32"/>
          <w:szCs w:val="32"/>
        </w:rPr>
        <w:t>双方确定服务资料归属</w:t>
      </w:r>
    </w:p>
    <w:p w14:paraId="3C4C5969">
      <w:pPr>
        <w:spacing w:line="560" w:lineRule="exact"/>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.乙方向甲方提交的工作成果属于甲方所有。</w:t>
      </w:r>
    </w:p>
    <w:p w14:paraId="5078A9EF">
      <w:pPr>
        <w:spacing w:line="560" w:lineRule="exact"/>
        <w:ind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.甲方利用乙方提交的工作成果所完成的新的技术成果，归甲方所有。</w:t>
      </w:r>
    </w:p>
    <w:p w14:paraId="18103CF2">
      <w:pPr>
        <w:spacing w:line="560" w:lineRule="exact"/>
        <w:ind w:firstLine="64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.乙方利用工作成果所完成的新的技术成果，归乙方所有，但乙方对新的技术成果遵循本合同第十条保密条款的约定。</w:t>
      </w:r>
    </w:p>
    <w:p w14:paraId="60CA74A8">
      <w:pPr>
        <w:spacing w:line="560" w:lineRule="exact"/>
        <w:ind w:firstLine="640"/>
        <w:rPr>
          <w:rFonts w:ascii="黑体" w:hAnsi="黑体" w:eastAsia="黑体"/>
          <w:bCs/>
          <w:sz w:val="32"/>
          <w:szCs w:val="32"/>
        </w:rPr>
      </w:pPr>
      <w:r>
        <w:rPr>
          <w:rFonts w:hint="eastAsia" w:ascii="黑体" w:hAnsi="黑体" w:eastAsia="黑体"/>
          <w:bCs/>
          <w:sz w:val="32"/>
          <w:szCs w:val="32"/>
        </w:rPr>
        <w:t xml:space="preserve">第八条 </w:t>
      </w:r>
      <w:r>
        <w:rPr>
          <w:rFonts w:ascii="黑体" w:hAnsi="黑体" w:eastAsia="黑体"/>
          <w:bCs/>
          <w:sz w:val="32"/>
          <w:szCs w:val="32"/>
        </w:rPr>
        <w:t xml:space="preserve"> </w:t>
      </w:r>
      <w:r>
        <w:rPr>
          <w:rFonts w:hint="eastAsia" w:ascii="黑体" w:hAnsi="黑体" w:eastAsia="黑体"/>
          <w:bCs/>
          <w:sz w:val="32"/>
          <w:szCs w:val="32"/>
        </w:rPr>
        <w:t>双方确定，本合同有效期内，甲方指定</w:t>
      </w:r>
      <w:r>
        <w:rPr>
          <w:rFonts w:hint="eastAsia" w:ascii="黑体" w:hAnsi="黑体" w:eastAsia="黑体"/>
          <w:bCs/>
          <w:sz w:val="32"/>
          <w:szCs w:val="32"/>
          <w:u w:val="single"/>
        </w:rPr>
        <w:t>XXX</w:t>
      </w:r>
      <w:r>
        <w:rPr>
          <w:rFonts w:hint="eastAsia" w:ascii="黑体" w:hAnsi="黑体" w:eastAsia="黑体"/>
          <w:bCs/>
          <w:sz w:val="32"/>
          <w:szCs w:val="32"/>
        </w:rPr>
        <w:t>为甲方项目联系人，乙方指定</w:t>
      </w:r>
      <w:r>
        <w:rPr>
          <w:rFonts w:hint="eastAsia" w:ascii="黑体" w:hAnsi="黑体" w:eastAsia="黑体"/>
          <w:bCs/>
          <w:sz w:val="32"/>
          <w:szCs w:val="32"/>
          <w:u w:val="single"/>
        </w:rPr>
        <w:t xml:space="preserve">XXX </w:t>
      </w:r>
      <w:r>
        <w:rPr>
          <w:rFonts w:hint="eastAsia" w:ascii="黑体" w:hAnsi="黑体" w:eastAsia="黑体"/>
          <w:bCs/>
          <w:sz w:val="32"/>
          <w:szCs w:val="32"/>
        </w:rPr>
        <w:t>为乙方项目联系人。项目联系人承担以下责任：</w:t>
      </w:r>
    </w:p>
    <w:p w14:paraId="6156D138">
      <w:pPr>
        <w:spacing w:line="560" w:lineRule="exact"/>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.负责传送资料及完成项目需要的资料；</w:t>
      </w:r>
    </w:p>
    <w:p w14:paraId="0698B8C4">
      <w:pPr>
        <w:spacing w:line="560" w:lineRule="exact"/>
        <w:ind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.负责督促项目完成的进度；</w:t>
      </w:r>
    </w:p>
    <w:p w14:paraId="6341743C">
      <w:pPr>
        <w:spacing w:line="560" w:lineRule="exact"/>
        <w:ind w:firstLine="64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.安排乙方的相关人员进行服务。</w:t>
      </w:r>
    </w:p>
    <w:p w14:paraId="6CB925C8">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一方变更项目联系人的，应当及时以书面形式通知另一方。未及时通知并影响本合同履行或造成损失的，应承担相应的责任。</w:t>
      </w:r>
    </w:p>
    <w:p w14:paraId="1FEC8D84">
      <w:pPr>
        <w:spacing w:line="560" w:lineRule="exact"/>
        <w:ind w:firstLine="640"/>
        <w:rPr>
          <w:rFonts w:hint="eastAsia" w:ascii="黑体" w:hAnsi="黑体" w:eastAsia="黑体"/>
          <w:bCs/>
          <w:sz w:val="32"/>
          <w:szCs w:val="32"/>
        </w:rPr>
      </w:pPr>
      <w:r>
        <w:rPr>
          <w:rFonts w:hint="eastAsia" w:ascii="黑体" w:hAnsi="黑体" w:eastAsia="黑体"/>
          <w:bCs/>
          <w:sz w:val="32"/>
          <w:szCs w:val="32"/>
        </w:rPr>
        <w:t xml:space="preserve">第九条 </w:t>
      </w:r>
      <w:r>
        <w:rPr>
          <w:rFonts w:ascii="黑体" w:hAnsi="黑体" w:eastAsia="黑体"/>
          <w:bCs/>
          <w:sz w:val="32"/>
          <w:szCs w:val="32"/>
        </w:rPr>
        <w:t xml:space="preserve"> </w:t>
      </w:r>
      <w:r>
        <w:rPr>
          <w:rFonts w:hint="eastAsia" w:ascii="黑体" w:hAnsi="黑体" w:eastAsia="黑体"/>
          <w:bCs/>
          <w:sz w:val="32"/>
          <w:szCs w:val="32"/>
        </w:rPr>
        <w:t>其他条款及违约责任</w:t>
      </w:r>
    </w:p>
    <w:p w14:paraId="416C08DE">
      <w:pPr>
        <w:spacing w:line="56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1.合同终止</w:t>
      </w:r>
    </w:p>
    <w:p w14:paraId="295CD7FF">
      <w:pPr>
        <w:spacing w:line="560" w:lineRule="exact"/>
        <w:ind w:firstLine="640"/>
        <w:rPr>
          <w:rFonts w:ascii="仿宋_GB2312" w:hAnsi="宋体" w:eastAsia="仿宋_GB2312"/>
          <w:sz w:val="32"/>
          <w:szCs w:val="32"/>
        </w:rPr>
      </w:pPr>
      <w:r>
        <w:rPr>
          <w:rFonts w:ascii="仿宋_GB2312" w:hAnsi="宋体" w:eastAsia="仿宋_GB2312"/>
          <w:sz w:val="32"/>
          <w:szCs w:val="32"/>
        </w:rPr>
        <w:t xml:space="preserve">1.1 </w:t>
      </w:r>
      <w:r>
        <w:rPr>
          <w:rFonts w:hint="eastAsia" w:ascii="仿宋_GB2312" w:hAnsi="宋体" w:eastAsia="仿宋_GB2312"/>
          <w:sz w:val="32"/>
          <w:szCs w:val="32"/>
        </w:rPr>
        <w:t>甲方因自身原因终止委托、解除本合同，对乙方已完成并提交相应成果的工作，应按照合同付清已完成部分的服务费用。</w:t>
      </w:r>
    </w:p>
    <w:p w14:paraId="5CE76FF2">
      <w:pPr>
        <w:spacing w:line="560" w:lineRule="exact"/>
        <w:ind w:firstLine="640"/>
        <w:rPr>
          <w:rFonts w:ascii="仿宋_GB2312" w:hAnsi="宋体" w:eastAsia="仿宋_GB2312"/>
          <w:sz w:val="32"/>
          <w:szCs w:val="32"/>
        </w:rPr>
      </w:pPr>
      <w:bookmarkStart w:id="6" w:name="_Hlk13230309"/>
      <w:r>
        <w:rPr>
          <w:rFonts w:ascii="仿宋_GB2312" w:hAnsi="宋体" w:eastAsia="仿宋_GB2312"/>
          <w:sz w:val="32"/>
          <w:szCs w:val="32"/>
        </w:rPr>
        <w:t>1.2</w:t>
      </w:r>
      <w:bookmarkEnd w:id="6"/>
      <w:r>
        <w:rPr>
          <w:rFonts w:ascii="仿宋_GB2312" w:hAnsi="宋体" w:eastAsia="仿宋_GB2312"/>
          <w:sz w:val="32"/>
          <w:szCs w:val="32"/>
        </w:rPr>
        <w:t xml:space="preserve"> </w:t>
      </w:r>
      <w:r>
        <w:rPr>
          <w:rFonts w:hint="eastAsia" w:ascii="仿宋_GB2312" w:hAnsi="宋体" w:eastAsia="仿宋_GB2312"/>
          <w:sz w:val="32"/>
          <w:szCs w:val="32"/>
        </w:rPr>
        <w:t>乙方因自身原因无法履行合同，甲方按实际完成的成果支付乙方服务费用，乙方应按合同总价10%赔偿甲方。</w:t>
      </w:r>
    </w:p>
    <w:p w14:paraId="46FC6558">
      <w:pPr>
        <w:spacing w:line="560" w:lineRule="exact"/>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 xml:space="preserve"> </w:t>
      </w:r>
      <w:r>
        <w:rPr>
          <w:rFonts w:hint="eastAsia" w:ascii="仿宋_GB2312" w:hAnsi="宋体" w:eastAsia="仿宋_GB2312"/>
          <w:sz w:val="32"/>
          <w:szCs w:val="32"/>
        </w:rPr>
        <w:t>不可抗力导致的终止合同：如果不可抗力发生，如行政命令、政策法规、罢工、故意破坏、资方停工、禁运、战争、自然灾害（如洪水和地震）或其他超出协议双方控制的事件，因而一方无法履行协议，受到不可抗力影响的一方可以提前十五天书面通知对方终止合同。</w:t>
      </w:r>
    </w:p>
    <w:p w14:paraId="59A47093">
      <w:pPr>
        <w:spacing w:line="560" w:lineRule="exact"/>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4本合同因不可抗力而终止的，甲方应按乙方实际完成并提交成果的工作量支付报酬。</w:t>
      </w:r>
    </w:p>
    <w:p w14:paraId="6C26687A">
      <w:pPr>
        <w:spacing w:line="56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2.违约责任</w:t>
      </w:r>
    </w:p>
    <w:p w14:paraId="7F44D2E2">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2.1甲方有权对乙</w:t>
      </w:r>
      <w:r>
        <w:rPr>
          <w:rFonts w:hint="eastAsia" w:ascii="仿宋_GB2312" w:hAnsi="宋体" w:eastAsia="仿宋_GB2312"/>
          <w:sz w:val="32"/>
          <w:szCs w:val="32"/>
          <w:lang w:eastAsia="zh-CN"/>
        </w:rPr>
        <w:t>方提</w:t>
      </w:r>
      <w:r>
        <w:rPr>
          <w:rFonts w:hint="eastAsia" w:ascii="仿宋_GB2312" w:hAnsi="宋体" w:eastAsia="仿宋_GB2312"/>
          <w:sz w:val="32"/>
          <w:szCs w:val="32"/>
        </w:rPr>
        <w:t>供培训的真实性及培训情况进行检查。如存在虚假行为的，每一场次处项目合同总价1%的罚款，罚款可直接在合同款中扣除。</w:t>
      </w:r>
    </w:p>
    <w:p w14:paraId="20A27888">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2由于乙方原因造成未能</w:t>
      </w:r>
      <w:r>
        <w:rPr>
          <w:rFonts w:hint="eastAsia" w:ascii="仿宋_GB2312" w:hAnsi="宋体" w:eastAsia="仿宋_GB2312"/>
          <w:sz w:val="32"/>
          <w:szCs w:val="32"/>
          <w:highlight w:val="none"/>
        </w:rPr>
        <w:t>在202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年12月</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日以</w:t>
      </w:r>
      <w:r>
        <w:rPr>
          <w:rFonts w:hint="eastAsia" w:ascii="仿宋_GB2312" w:hAnsi="宋体" w:eastAsia="仿宋_GB2312"/>
          <w:sz w:val="32"/>
          <w:szCs w:val="32"/>
        </w:rPr>
        <w:t>前完成服务内容的，责任由乙方承担，并视为乙方违约，乙方应当按照合同总价的10%向甲方支付违约金，违约金可直接在合同款中扣除。</w:t>
      </w:r>
    </w:p>
    <w:p w14:paraId="4EB6036C">
      <w:pPr>
        <w:spacing w:line="560" w:lineRule="exact"/>
        <w:ind w:firstLine="640"/>
        <w:rPr>
          <w:rFonts w:ascii="仿宋_GB2312" w:hAnsi="宋体" w:eastAsia="仿宋_GB2312"/>
          <w:sz w:val="32"/>
          <w:szCs w:val="32"/>
        </w:rPr>
      </w:pPr>
      <w:r>
        <w:rPr>
          <w:rFonts w:hint="eastAsia" w:ascii="仿宋_GB2312" w:hAnsi="宋体" w:eastAsia="仿宋_GB2312"/>
          <w:sz w:val="32"/>
          <w:szCs w:val="32"/>
        </w:rPr>
        <w:t>2.3经甲方核查，乙方提供的服务达不到合同约定的有关要求的，甲方有权视服务质量瑕疵严重程度进行合同总价30%内的扣款。</w:t>
      </w:r>
    </w:p>
    <w:p w14:paraId="78ED826D">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2.4乙方未经甲方同意擅自更换项目团队成员，应按照本合同总价5%向甲方支付违约金，违约金可直接在合同款中扣除。</w:t>
      </w:r>
    </w:p>
    <w:p w14:paraId="5E1DE8ED">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2.5乙方将本合同项目与第三方合作，或将本合同标的全部或部分擅自转包给第三方的，甲方有权要求乙方终止与第三方的合同。乙方应承担因此而产生的一切责任。</w:t>
      </w:r>
    </w:p>
    <w:p w14:paraId="65EC9579">
      <w:pPr>
        <w:spacing w:line="560" w:lineRule="exact"/>
        <w:ind w:firstLine="640"/>
        <w:rPr>
          <w:rFonts w:ascii="仿宋_GB2312" w:hAnsi="宋体" w:eastAsia="仿宋_GB2312"/>
          <w:sz w:val="32"/>
          <w:szCs w:val="32"/>
        </w:rPr>
      </w:pPr>
      <w:r>
        <w:rPr>
          <w:rFonts w:hint="eastAsia" w:ascii="仿宋_GB2312" w:hAnsi="宋体" w:eastAsia="仿宋_GB2312"/>
          <w:sz w:val="32"/>
          <w:szCs w:val="32"/>
        </w:rPr>
        <w:t>2.6乙方不能以甲方的名义开展与本合同约定的服务内容无关的活动或者从事商业活动，如有则视为乙方违约，甲方有权利解除合同，并要求乙方按照合同总价的30%向甲方支付违约金，违约金可直接在合同款中扣除。</w:t>
      </w:r>
    </w:p>
    <w:p w14:paraId="0FAC2A94">
      <w:pPr>
        <w:spacing w:line="56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3.一般条款</w:t>
      </w:r>
    </w:p>
    <w:p w14:paraId="22A8775E">
      <w:pPr>
        <w:spacing w:line="560" w:lineRule="exact"/>
        <w:ind w:firstLine="640"/>
        <w:rPr>
          <w:rFonts w:ascii="仿宋_GB2312" w:hAnsi="宋体" w:eastAsia="仿宋_GB2312"/>
          <w:sz w:val="32"/>
          <w:szCs w:val="32"/>
        </w:rPr>
      </w:pPr>
      <w:r>
        <w:rPr>
          <w:rFonts w:hint="eastAsia" w:ascii="仿宋_GB2312" w:hAnsi="宋体" w:eastAsia="仿宋_GB2312"/>
          <w:sz w:val="32"/>
          <w:szCs w:val="32"/>
        </w:rPr>
        <w:t>3.1本合同要求乙方提供的相关资料和文件与本合同一并使用，并与本合同具有同等法律效力，如两者之间有不符之处，以本合同为准。</w:t>
      </w:r>
    </w:p>
    <w:p w14:paraId="586372D6">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3.2本合同未尽事宜，双方可签订补充协议作为附件，补充协议与本合同具有同等法律效力。</w:t>
      </w:r>
    </w:p>
    <w:p w14:paraId="7D265AC1">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3.3双方因履行本合同而发生的争议，应协商、调解解决。协商、调解不成的，确定按以下第2种方式处理</w:t>
      </w:r>
    </w:p>
    <w:p w14:paraId="7E801D3C">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（1）提交甲方所在地仲裁委员会仲裁；</w:t>
      </w:r>
    </w:p>
    <w:p w14:paraId="678FD17C">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（2）依法向甲方所在地人民法院起诉。</w:t>
      </w:r>
    </w:p>
    <w:p w14:paraId="167D44B4">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第十条  保密要求</w:t>
      </w:r>
    </w:p>
    <w:p w14:paraId="0E60CC95">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1.保密内容（包括技术信息和经营信息）：甲方的管理等相关信息，乙方不得向第三方透露。</w:t>
      </w:r>
    </w:p>
    <w:p w14:paraId="6985831F">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2.涉密人员范围：乙方为履行本合同而指派的人员及其他可能了解甲方经营管理信息的技术信息人员。</w:t>
      </w:r>
    </w:p>
    <w:p w14:paraId="31503997">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3.技术保密期限：项目验收之日起两年止。</w:t>
      </w:r>
    </w:p>
    <w:p w14:paraId="23A921A3">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4.泄密责任：依法赔偿相应损失。</w:t>
      </w:r>
    </w:p>
    <w:p w14:paraId="03F9FA37">
      <w:pPr>
        <w:spacing w:line="560" w:lineRule="exact"/>
        <w:ind w:firstLine="640"/>
        <w:rPr>
          <w:rFonts w:ascii="黑体" w:hAnsi="黑体" w:eastAsia="黑体"/>
          <w:bCs/>
          <w:sz w:val="32"/>
          <w:szCs w:val="32"/>
        </w:rPr>
      </w:pPr>
      <w:r>
        <w:rPr>
          <w:rFonts w:hint="eastAsia" w:ascii="黑体" w:hAnsi="黑体" w:eastAsia="黑体"/>
          <w:bCs/>
          <w:sz w:val="32"/>
          <w:szCs w:val="32"/>
        </w:rPr>
        <w:t>第十一条 本合同一式</w:t>
      </w:r>
      <w:r>
        <w:rPr>
          <w:rFonts w:hint="eastAsia" w:ascii="黑体" w:hAnsi="黑体" w:eastAsia="黑体"/>
          <w:bCs/>
          <w:sz w:val="32"/>
          <w:szCs w:val="32"/>
          <w:lang w:eastAsia="zh-CN"/>
        </w:rPr>
        <w:t>陆</w:t>
      </w:r>
      <w:r>
        <w:rPr>
          <w:rFonts w:hint="eastAsia" w:ascii="黑体" w:hAnsi="黑体" w:eastAsia="黑体"/>
          <w:bCs/>
          <w:sz w:val="32"/>
          <w:szCs w:val="32"/>
        </w:rPr>
        <w:t>份，甲方执肆份，乙方执</w:t>
      </w:r>
      <w:r>
        <w:rPr>
          <w:rFonts w:hint="eastAsia" w:ascii="黑体" w:hAnsi="黑体" w:eastAsia="黑体"/>
          <w:bCs/>
          <w:sz w:val="32"/>
          <w:szCs w:val="32"/>
          <w:lang w:eastAsia="zh-CN"/>
        </w:rPr>
        <w:t>贰</w:t>
      </w:r>
      <w:r>
        <w:rPr>
          <w:rFonts w:hint="eastAsia" w:ascii="黑体" w:hAnsi="黑体" w:eastAsia="黑体"/>
          <w:bCs/>
          <w:sz w:val="32"/>
          <w:szCs w:val="32"/>
        </w:rPr>
        <w:t>份，具有同等法律效力。</w:t>
      </w:r>
    </w:p>
    <w:p w14:paraId="4BDBD71A">
      <w:pPr>
        <w:spacing w:line="560" w:lineRule="exact"/>
        <w:ind w:firstLine="640"/>
        <w:rPr>
          <w:rFonts w:hint="eastAsia" w:ascii="黑体" w:hAnsi="黑体" w:eastAsia="黑体"/>
          <w:bCs/>
          <w:sz w:val="32"/>
          <w:szCs w:val="32"/>
        </w:rPr>
      </w:pPr>
      <w:r>
        <w:rPr>
          <w:rFonts w:hint="eastAsia" w:ascii="黑体" w:hAnsi="黑体" w:eastAsia="黑体"/>
          <w:bCs/>
          <w:sz w:val="32"/>
          <w:szCs w:val="32"/>
        </w:rPr>
        <w:t xml:space="preserve">第十二条 </w:t>
      </w:r>
      <w:r>
        <w:rPr>
          <w:rFonts w:ascii="黑体" w:hAnsi="黑体" w:eastAsia="黑体"/>
          <w:bCs/>
          <w:sz w:val="32"/>
          <w:szCs w:val="32"/>
        </w:rPr>
        <w:t xml:space="preserve"> </w:t>
      </w:r>
      <w:r>
        <w:rPr>
          <w:rFonts w:hint="eastAsia" w:ascii="黑体" w:hAnsi="黑体" w:eastAsia="黑体"/>
          <w:bCs/>
          <w:sz w:val="32"/>
          <w:szCs w:val="32"/>
        </w:rPr>
        <w:t>本合同</w:t>
      </w:r>
      <w:r>
        <w:rPr>
          <w:rFonts w:hint="eastAsia" w:ascii="黑体" w:hAnsi="黑体" w:eastAsia="黑体"/>
          <w:bCs/>
          <w:sz w:val="32"/>
          <w:szCs w:val="32"/>
          <w:lang w:val="en-US" w:eastAsia="zh-CN"/>
        </w:rPr>
        <w:t>自</w:t>
      </w:r>
      <w:r>
        <w:rPr>
          <w:rFonts w:hint="eastAsia" w:ascii="黑体" w:hAnsi="黑体" w:eastAsia="黑体"/>
          <w:bCs/>
          <w:sz w:val="32"/>
          <w:szCs w:val="32"/>
        </w:rPr>
        <w:t>双方</w:t>
      </w:r>
      <w:r>
        <w:rPr>
          <w:rFonts w:hint="eastAsia" w:ascii="黑体" w:hAnsi="黑体" w:eastAsia="黑体"/>
          <w:bCs/>
          <w:sz w:val="32"/>
          <w:szCs w:val="32"/>
          <w:lang w:val="en-US" w:eastAsia="zh-CN"/>
        </w:rPr>
        <w:t>法定代表人或授权代表</w:t>
      </w:r>
      <w:r>
        <w:rPr>
          <w:rFonts w:hint="eastAsia" w:ascii="黑体" w:hAnsi="黑体" w:eastAsia="黑体"/>
          <w:bCs/>
          <w:sz w:val="32"/>
          <w:szCs w:val="32"/>
        </w:rPr>
        <w:t>签字</w:t>
      </w:r>
      <w:r>
        <w:rPr>
          <w:rFonts w:hint="eastAsia" w:ascii="黑体" w:hAnsi="黑体" w:eastAsia="黑体"/>
          <w:bCs/>
          <w:sz w:val="32"/>
          <w:szCs w:val="32"/>
          <w:lang w:val="en-US" w:eastAsia="zh-CN"/>
        </w:rPr>
        <w:t>并</w:t>
      </w:r>
      <w:r>
        <w:rPr>
          <w:rFonts w:hint="eastAsia" w:ascii="黑体" w:hAnsi="黑体" w:eastAsia="黑体"/>
          <w:bCs/>
          <w:sz w:val="32"/>
          <w:szCs w:val="32"/>
        </w:rPr>
        <w:t>盖章</w:t>
      </w:r>
      <w:r>
        <w:rPr>
          <w:rFonts w:hint="eastAsia" w:ascii="黑体" w:hAnsi="黑体" w:eastAsia="黑体"/>
          <w:bCs/>
          <w:sz w:val="32"/>
          <w:szCs w:val="32"/>
          <w:lang w:val="en-US" w:eastAsia="zh-CN"/>
        </w:rPr>
        <w:t>之日起</w:t>
      </w:r>
      <w:r>
        <w:rPr>
          <w:rFonts w:hint="eastAsia" w:ascii="黑体" w:hAnsi="黑体" w:eastAsia="黑体"/>
          <w:bCs/>
          <w:sz w:val="32"/>
          <w:szCs w:val="32"/>
        </w:rPr>
        <w:t>生效。</w:t>
      </w:r>
    </w:p>
    <w:p w14:paraId="78B7559E">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u w:val="single"/>
        </w:rPr>
        <w:t xml:space="preserve">深圳市南山区住房和建设局 </w:t>
      </w:r>
      <w:r>
        <w:rPr>
          <w:rFonts w:hint="eastAsia" w:ascii="仿宋_GB2312" w:hAnsi="宋体" w:eastAsia="仿宋_GB2312"/>
          <w:sz w:val="32"/>
          <w:szCs w:val="32"/>
        </w:rPr>
        <w:t>（签章）</w:t>
      </w:r>
    </w:p>
    <w:p w14:paraId="7ADEC35F">
      <w:pPr>
        <w:spacing w:line="560" w:lineRule="exact"/>
        <w:ind w:firstLine="640"/>
        <w:rPr>
          <w:rFonts w:hint="eastAsia" w:ascii="仿宋_GB2312" w:hAnsi="宋体" w:eastAsia="仿宋_GB2312"/>
          <w:sz w:val="32"/>
          <w:szCs w:val="32"/>
          <w:u w:val="single"/>
        </w:rPr>
      </w:pPr>
      <w:r>
        <w:rPr>
          <w:rFonts w:hint="eastAsia" w:ascii="仿宋_GB2312" w:hAnsi="宋体" w:eastAsia="仿宋_GB2312"/>
          <w:sz w:val="32"/>
          <w:szCs w:val="32"/>
        </w:rPr>
        <w:t>地址：</w:t>
      </w:r>
      <w:r>
        <w:rPr>
          <w:rFonts w:hint="eastAsia" w:ascii="仿宋_GB2312" w:hAnsi="宋体" w:eastAsia="仿宋_GB2312"/>
          <w:sz w:val="32"/>
          <w:szCs w:val="32"/>
          <w:u w:val="single"/>
        </w:rPr>
        <w:t>深圳市南山区桃园路2号区政府大楼</w:t>
      </w:r>
    </w:p>
    <w:p w14:paraId="6F228EF2">
      <w:pPr>
        <w:spacing w:line="560" w:lineRule="exact"/>
        <w:ind w:firstLine="640"/>
        <w:rPr>
          <w:rFonts w:hint="eastAsia" w:ascii="仿宋_GB2312" w:hAnsi="宋体" w:eastAsia="仿宋_GB2312"/>
          <w:sz w:val="32"/>
          <w:szCs w:val="32"/>
          <w:u w:val="single"/>
        </w:rPr>
      </w:pPr>
      <w:r>
        <w:rPr>
          <w:rFonts w:hint="eastAsia" w:ascii="仿宋_GB2312" w:hAnsi="宋体" w:eastAsia="仿宋_GB2312"/>
          <w:sz w:val="32"/>
          <w:szCs w:val="32"/>
        </w:rPr>
        <w:t>法定代表人/委托代理人：</w:t>
      </w:r>
      <w:r>
        <w:rPr>
          <w:rFonts w:hint="eastAsia" w:ascii="仿宋_GB2312" w:hAnsi="宋体" w:eastAsia="仿宋_GB2312"/>
          <w:sz w:val="32"/>
          <w:szCs w:val="32"/>
          <w:u w:val="single"/>
        </w:rPr>
        <w:t xml:space="preserve">               </w:t>
      </w:r>
    </w:p>
    <w:p w14:paraId="7F610C1F">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项目负责人：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p>
    <w:p w14:paraId="282E91B9">
      <w:pPr>
        <w:spacing w:line="560" w:lineRule="exact"/>
        <w:ind w:firstLine="640"/>
        <w:rPr>
          <w:rFonts w:hint="eastAsia" w:ascii="仿宋_GB2312" w:hAnsi="宋体" w:eastAsia="仿宋_GB2312"/>
          <w:sz w:val="32"/>
          <w:szCs w:val="32"/>
          <w:u w:val="single"/>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p>
    <w:p w14:paraId="65ABFDD9">
      <w:pPr>
        <w:spacing w:line="560" w:lineRule="exact"/>
        <w:ind w:firstLine="640"/>
        <w:rPr>
          <w:rFonts w:ascii="仿宋_GB2312" w:hAnsi="宋体" w:eastAsia="仿宋_GB2312"/>
          <w:sz w:val="32"/>
          <w:szCs w:val="32"/>
        </w:rPr>
      </w:pPr>
    </w:p>
    <w:p w14:paraId="569B67D3">
      <w:pPr>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乙方：</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（签章）</w:t>
      </w:r>
    </w:p>
    <w:p w14:paraId="2B821967">
      <w:pPr>
        <w:spacing w:line="560" w:lineRule="exact"/>
        <w:ind w:firstLine="640"/>
        <w:rPr>
          <w:rFonts w:ascii="仿宋_GB2312" w:hAnsi="宋体" w:eastAsia="仿宋_GB2312"/>
          <w:sz w:val="32"/>
          <w:szCs w:val="32"/>
          <w:u w:val="single"/>
        </w:rPr>
      </w:pPr>
      <w:r>
        <w:rPr>
          <w:rFonts w:hint="eastAsia" w:ascii="仿宋_GB2312" w:hAnsi="宋体" w:eastAsia="仿宋_GB2312"/>
          <w:sz w:val="32"/>
          <w:szCs w:val="32"/>
        </w:rPr>
        <w:t>地址：</w:t>
      </w:r>
      <w:r>
        <w:rPr>
          <w:rFonts w:hint="eastAsia" w:ascii="仿宋_GB2312" w:hAnsi="宋体" w:eastAsia="仿宋_GB2312"/>
          <w:sz w:val="32"/>
          <w:szCs w:val="32"/>
          <w:u w:val="single"/>
        </w:rPr>
        <w:t xml:space="preserve">                                    </w:t>
      </w:r>
    </w:p>
    <w:p w14:paraId="71537362">
      <w:pPr>
        <w:spacing w:line="560" w:lineRule="exact"/>
        <w:ind w:firstLine="640"/>
        <w:rPr>
          <w:rFonts w:hint="eastAsia" w:ascii="仿宋_GB2312" w:hAnsi="宋体" w:eastAsia="仿宋_GB2312"/>
          <w:sz w:val="32"/>
          <w:szCs w:val="32"/>
          <w:u w:val="single"/>
        </w:rPr>
      </w:pPr>
      <w:r>
        <w:rPr>
          <w:rFonts w:hint="eastAsia" w:ascii="仿宋_GB2312" w:hAnsi="宋体" w:eastAsia="仿宋_GB2312"/>
          <w:sz w:val="32"/>
          <w:szCs w:val="32"/>
        </w:rPr>
        <w:t>法定代表人/委托代理人：</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p>
    <w:p w14:paraId="11FEA08E">
      <w:pPr>
        <w:spacing w:line="560" w:lineRule="exact"/>
        <w:ind w:firstLine="640"/>
        <w:rPr>
          <w:rFonts w:ascii="仿宋_GB2312" w:hAnsi="宋体" w:eastAsia="仿宋_GB2312"/>
          <w:sz w:val="32"/>
          <w:szCs w:val="32"/>
          <w:u w:val="single"/>
        </w:rPr>
      </w:pPr>
      <w:r>
        <w:rPr>
          <w:rFonts w:hint="eastAsia" w:ascii="仿宋_GB2312" w:hAnsi="宋体" w:eastAsia="仿宋_GB2312"/>
          <w:sz w:val="32"/>
          <w:szCs w:val="32"/>
        </w:rPr>
        <w:t>项目负责人：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14:paraId="77ECA571">
      <w:pPr>
        <w:spacing w:line="560" w:lineRule="exact"/>
        <w:ind w:firstLine="640"/>
        <w:rPr>
          <w:rFonts w:hint="eastAsia"/>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p>
    <w:p w14:paraId="692B2CCA">
      <w:pPr>
        <w:jc w:val="center"/>
        <w:rPr>
          <w:sz w:val="44"/>
          <w:szCs w:val="44"/>
          <w:highlight w:val="none"/>
        </w:rPr>
      </w:pPr>
      <w:r>
        <w:rPr>
          <w:rFonts w:hint="eastAsia"/>
          <w:sz w:val="44"/>
          <w:szCs w:val="44"/>
          <w:highlight w:val="none"/>
          <w:lang w:eastAsia="zh-CN"/>
        </w:rPr>
        <w:t>第四部分</w:t>
      </w:r>
      <w:r>
        <w:rPr>
          <w:rFonts w:hint="eastAsia"/>
          <w:sz w:val="44"/>
          <w:szCs w:val="44"/>
          <w:highlight w:val="none"/>
          <w:lang w:val="en-US" w:eastAsia="zh-CN"/>
        </w:rPr>
        <w:t xml:space="preserve"> </w:t>
      </w:r>
      <w:r>
        <w:rPr>
          <w:rFonts w:hint="eastAsia"/>
          <w:sz w:val="44"/>
          <w:szCs w:val="44"/>
          <w:highlight w:val="none"/>
        </w:rPr>
        <w:t>评分细则表</w:t>
      </w:r>
    </w:p>
    <w:p w14:paraId="350B5B83">
      <w:pPr>
        <w:rPr>
          <w:rFonts w:hint="eastAsia"/>
          <w:highlight w:val="none"/>
        </w:rPr>
      </w:pPr>
    </w:p>
    <w:p w14:paraId="11565D5E">
      <w:pPr>
        <w:spacing w:line="5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评标方法：本项目定标采用综合评分法,评分最高者即为中标单位。</w:t>
      </w:r>
      <w:r>
        <w:rPr>
          <w:rFonts w:ascii="仿宋_GB2312" w:hAnsi="仿宋_GB2312" w:eastAsia="仿宋_GB2312" w:cs="仿宋_GB2312"/>
          <w:sz w:val="32"/>
          <w:szCs w:val="32"/>
        </w:rPr>
        <w:t>评分标准详见</w:t>
      </w:r>
      <w:r>
        <w:rPr>
          <w:rFonts w:hint="eastAsia" w:ascii="仿宋_GB2312" w:hAnsi="仿宋_GB2312" w:eastAsia="仿宋_GB2312" w:cs="仿宋_GB2312"/>
          <w:sz w:val="32"/>
          <w:szCs w:val="32"/>
          <w:lang w:eastAsia="zh-CN"/>
        </w:rPr>
        <w:t>下表：</w:t>
      </w:r>
    </w:p>
    <w:tbl>
      <w:tblPr>
        <w:tblStyle w:val="15"/>
        <w:tblW w:w="93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2"/>
        <w:gridCol w:w="1763"/>
        <w:gridCol w:w="4693"/>
        <w:gridCol w:w="687"/>
        <w:gridCol w:w="1545"/>
      </w:tblGrid>
      <w:tr w14:paraId="403AF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300" w:type="dxa"/>
            <w:gridSpan w:val="5"/>
            <w:tcBorders>
              <w:top w:val="single" w:color="auto" w:sz="6" w:space="0"/>
              <w:left w:val="single" w:color="auto" w:sz="6" w:space="0"/>
              <w:bottom w:val="single" w:color="auto" w:sz="6" w:space="0"/>
              <w:right w:val="single" w:color="auto" w:sz="6" w:space="0"/>
            </w:tcBorders>
            <w:vAlign w:val="center"/>
          </w:tcPr>
          <w:p w14:paraId="66E92E35">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b/>
                <w:color w:val="auto"/>
                <w:szCs w:val="21"/>
                <w:highlight w:val="none"/>
                <w:lang w:val="zh-CN"/>
              </w:rPr>
              <w:t>评分项及评分规则（满分</w:t>
            </w:r>
            <w:r>
              <w:rPr>
                <w:rFonts w:hint="eastAsia" w:ascii="宋体" w:hAnsi="宋体" w:cs="Times New Roman"/>
                <w:b/>
                <w:color w:val="auto"/>
                <w:szCs w:val="21"/>
                <w:highlight w:val="none"/>
              </w:rPr>
              <w:t>100分</w:t>
            </w:r>
            <w:r>
              <w:rPr>
                <w:rFonts w:hint="eastAsia" w:ascii="宋体" w:hAnsi="宋体" w:cs="Times New Roman"/>
                <w:b/>
                <w:color w:val="auto"/>
                <w:szCs w:val="21"/>
                <w:highlight w:val="none"/>
                <w:lang w:val="zh-CN"/>
              </w:rPr>
              <w:t>）</w:t>
            </w:r>
          </w:p>
        </w:tc>
      </w:tr>
      <w:tr w14:paraId="79BB4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068" w:type="dxa"/>
            <w:gridSpan w:val="3"/>
            <w:tcBorders>
              <w:top w:val="single" w:color="auto" w:sz="6" w:space="0"/>
              <w:left w:val="single" w:color="auto" w:sz="6" w:space="0"/>
              <w:bottom w:val="single" w:color="auto" w:sz="6" w:space="0"/>
              <w:right w:val="single" w:color="auto" w:sz="6" w:space="0"/>
            </w:tcBorders>
            <w:vAlign w:val="center"/>
          </w:tcPr>
          <w:p w14:paraId="453BCBB5">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b/>
                <w:color w:val="auto"/>
                <w:szCs w:val="21"/>
                <w:highlight w:val="none"/>
                <w:lang w:val="zh-CN"/>
              </w:rPr>
              <w:t>一、价格部分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14:paraId="023DC1E9">
            <w:pPr>
              <w:autoSpaceDE w:val="0"/>
              <w:autoSpaceDN w:val="0"/>
              <w:adjustRightInd w:val="0"/>
              <w:jc w:val="center"/>
              <w:rPr>
                <w:rFonts w:ascii="宋体" w:hAnsi="宋体" w:cs="Times New Roman"/>
                <w:color w:val="auto"/>
                <w:szCs w:val="21"/>
                <w:highlight w:val="none"/>
              </w:rPr>
            </w:pPr>
            <w:r>
              <w:rPr>
                <w:rFonts w:hint="eastAsia" w:ascii="宋体" w:hAnsi="宋体" w:cs="Times New Roman"/>
                <w:b/>
                <w:bCs/>
                <w:color w:val="auto"/>
                <w:szCs w:val="21"/>
                <w:highlight w:val="none"/>
                <w:lang w:val="en-US" w:eastAsia="zh-CN"/>
              </w:rPr>
              <w:t>20</w:t>
            </w:r>
            <w:r>
              <w:rPr>
                <w:rFonts w:hint="eastAsia" w:ascii="宋体" w:hAnsi="宋体" w:cs="Times New Roman"/>
                <w:b/>
                <w:bCs/>
                <w:color w:val="auto"/>
                <w:szCs w:val="21"/>
                <w:highlight w:val="none"/>
              </w:rPr>
              <w:t>分</w:t>
            </w:r>
          </w:p>
        </w:tc>
      </w:tr>
      <w:tr w14:paraId="1AED2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612" w:type="dxa"/>
            <w:tcBorders>
              <w:top w:val="single" w:color="auto" w:sz="6" w:space="0"/>
              <w:left w:val="single" w:color="auto" w:sz="4" w:space="0"/>
              <w:bottom w:val="single" w:color="auto" w:sz="6" w:space="0"/>
              <w:right w:val="single" w:color="auto" w:sz="4" w:space="0"/>
            </w:tcBorders>
            <w:vAlign w:val="center"/>
          </w:tcPr>
          <w:p w14:paraId="59FB8B0C">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bCs/>
                <w:color w:val="auto"/>
                <w:szCs w:val="21"/>
                <w:highlight w:val="none"/>
                <w:lang w:val="zh-CN"/>
              </w:rPr>
              <w:t>序号</w:t>
            </w:r>
          </w:p>
        </w:tc>
        <w:tc>
          <w:tcPr>
            <w:tcW w:w="6456" w:type="dxa"/>
            <w:gridSpan w:val="2"/>
            <w:tcBorders>
              <w:top w:val="single" w:color="auto" w:sz="6" w:space="0"/>
              <w:left w:val="single" w:color="auto" w:sz="4" w:space="0"/>
              <w:bottom w:val="single" w:color="auto" w:sz="6" w:space="0"/>
              <w:right w:val="single" w:color="auto" w:sz="6" w:space="0"/>
            </w:tcBorders>
            <w:vAlign w:val="center"/>
          </w:tcPr>
          <w:p w14:paraId="6DF71915">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color w:val="auto"/>
                <w:szCs w:val="21"/>
                <w:highlight w:val="none"/>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14:paraId="4AA92963">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rPr>
              <w:t>权重</w:t>
            </w:r>
          </w:p>
        </w:tc>
        <w:tc>
          <w:tcPr>
            <w:tcW w:w="1545" w:type="dxa"/>
            <w:tcBorders>
              <w:top w:val="single" w:color="auto" w:sz="6" w:space="0"/>
              <w:left w:val="single" w:color="auto" w:sz="4" w:space="0"/>
              <w:bottom w:val="single" w:color="auto" w:sz="6" w:space="0"/>
              <w:right w:val="single" w:color="auto" w:sz="6" w:space="0"/>
            </w:tcBorders>
            <w:vAlign w:val="center"/>
          </w:tcPr>
          <w:p w14:paraId="69873C13">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评分方式</w:t>
            </w:r>
          </w:p>
        </w:tc>
      </w:tr>
      <w:tr w14:paraId="7134F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612" w:type="dxa"/>
            <w:tcBorders>
              <w:top w:val="single" w:color="auto" w:sz="6" w:space="0"/>
              <w:left w:val="single" w:color="auto" w:sz="4" w:space="0"/>
              <w:bottom w:val="single" w:color="auto" w:sz="6" w:space="0"/>
              <w:right w:val="single" w:color="auto" w:sz="4" w:space="0"/>
            </w:tcBorders>
            <w:vAlign w:val="center"/>
          </w:tcPr>
          <w:p w14:paraId="741AF045">
            <w:pPr>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1</w:t>
            </w:r>
          </w:p>
        </w:tc>
        <w:tc>
          <w:tcPr>
            <w:tcW w:w="6456" w:type="dxa"/>
            <w:gridSpan w:val="2"/>
            <w:tcBorders>
              <w:top w:val="single" w:color="auto" w:sz="6" w:space="0"/>
              <w:left w:val="single" w:color="auto" w:sz="4" w:space="0"/>
              <w:bottom w:val="single" w:color="auto" w:sz="6" w:space="0"/>
              <w:right w:val="single" w:color="auto" w:sz="6" w:space="0"/>
            </w:tcBorders>
            <w:vAlign w:val="center"/>
          </w:tcPr>
          <w:p w14:paraId="3F030475">
            <w:pPr>
              <w:autoSpaceDE w:val="0"/>
              <w:autoSpaceDN w:val="0"/>
              <w:adjustRightInd w:val="0"/>
              <w:ind w:firstLine="420" w:firstLineChars="200"/>
              <w:jc w:val="left"/>
              <w:rPr>
                <w:rFonts w:ascii="宋体" w:hAnsi="宋体" w:cs="Times New Roman"/>
                <w:color w:val="auto"/>
                <w:szCs w:val="21"/>
                <w:highlight w:val="none"/>
              </w:rPr>
            </w:pPr>
            <w:r>
              <w:rPr>
                <w:rFonts w:hint="eastAsia" w:ascii="宋体" w:hAnsi="宋体" w:cs="Times New Roman"/>
                <w:color w:val="auto"/>
                <w:szCs w:val="21"/>
                <w:highlight w:val="none"/>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w:t>
            </w:r>
            <w:r>
              <w:rPr>
                <w:rFonts w:hint="eastAsia" w:cs="Times New Roman"/>
                <w:color w:val="auto"/>
                <w:szCs w:val="21"/>
                <w:highlight w:val="none"/>
              </w:rPr>
              <w:t>。</w:t>
            </w:r>
          </w:p>
        </w:tc>
        <w:tc>
          <w:tcPr>
            <w:tcW w:w="687" w:type="dxa"/>
            <w:tcBorders>
              <w:top w:val="single" w:color="auto" w:sz="6" w:space="0"/>
              <w:left w:val="single" w:color="auto" w:sz="6" w:space="0"/>
              <w:bottom w:val="single" w:color="auto" w:sz="6" w:space="0"/>
              <w:right w:val="single" w:color="auto" w:sz="4" w:space="0"/>
            </w:tcBorders>
            <w:vAlign w:val="center"/>
          </w:tcPr>
          <w:p w14:paraId="642CB496">
            <w:pPr>
              <w:autoSpaceDE w:val="0"/>
              <w:autoSpaceDN w:val="0"/>
              <w:adjustRightIn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20</w:t>
            </w:r>
          </w:p>
        </w:tc>
        <w:tc>
          <w:tcPr>
            <w:tcW w:w="1545" w:type="dxa"/>
            <w:tcBorders>
              <w:top w:val="single" w:color="auto" w:sz="6" w:space="0"/>
              <w:left w:val="single" w:color="auto" w:sz="4" w:space="0"/>
              <w:bottom w:val="single" w:color="auto" w:sz="6" w:space="0"/>
              <w:right w:val="single" w:color="auto" w:sz="6" w:space="0"/>
            </w:tcBorders>
            <w:vAlign w:val="center"/>
          </w:tcPr>
          <w:p w14:paraId="65814E71">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按公式计算</w:t>
            </w:r>
          </w:p>
        </w:tc>
      </w:tr>
      <w:tr w14:paraId="27BC8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7068" w:type="dxa"/>
            <w:gridSpan w:val="3"/>
            <w:tcBorders>
              <w:top w:val="single" w:color="auto" w:sz="6" w:space="0"/>
              <w:left w:val="single" w:color="auto" w:sz="6" w:space="0"/>
              <w:bottom w:val="single" w:color="auto" w:sz="6" w:space="0"/>
              <w:right w:val="single" w:color="auto" w:sz="6" w:space="0"/>
            </w:tcBorders>
            <w:vAlign w:val="center"/>
          </w:tcPr>
          <w:p w14:paraId="40412FDC">
            <w:pPr>
              <w:autoSpaceDE w:val="0"/>
              <w:autoSpaceDN w:val="0"/>
              <w:adjustRightInd w:val="0"/>
              <w:jc w:val="center"/>
              <w:rPr>
                <w:rFonts w:ascii="宋体" w:hAnsi="宋体" w:cs="Times New Roman"/>
                <w:b/>
                <w:color w:val="auto"/>
                <w:szCs w:val="21"/>
                <w:highlight w:val="none"/>
              </w:rPr>
            </w:pPr>
            <w:r>
              <w:rPr>
                <w:rFonts w:hint="eastAsia" w:ascii="宋体" w:hAnsi="宋体" w:cs="Times New Roman"/>
                <w:b/>
                <w:color w:val="auto"/>
                <w:szCs w:val="21"/>
                <w:highlight w:val="none"/>
                <w:lang w:val="zh-CN"/>
              </w:rPr>
              <w:t>二、业绩部分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14:paraId="140EC498">
            <w:pPr>
              <w:autoSpaceDE w:val="0"/>
              <w:autoSpaceDN w:val="0"/>
              <w:adjustRightInd w:val="0"/>
              <w:jc w:val="center"/>
              <w:rPr>
                <w:rFonts w:ascii="宋体" w:hAnsi="宋体" w:cs="Times New Roman"/>
                <w:color w:val="auto"/>
                <w:szCs w:val="21"/>
                <w:highlight w:val="none"/>
              </w:rPr>
            </w:pPr>
            <w:r>
              <w:rPr>
                <w:rFonts w:hint="eastAsia" w:ascii="宋体" w:hAnsi="宋体" w:cs="Times New Roman"/>
                <w:b/>
                <w:bCs/>
                <w:color w:val="auto"/>
                <w:szCs w:val="21"/>
                <w:highlight w:val="none"/>
                <w:lang w:val="en-US" w:eastAsia="zh-CN"/>
              </w:rPr>
              <w:t>40</w:t>
            </w:r>
            <w:r>
              <w:rPr>
                <w:rFonts w:hint="eastAsia" w:ascii="宋体" w:hAnsi="宋体" w:cs="Times New Roman"/>
                <w:b/>
                <w:bCs/>
                <w:color w:val="auto"/>
                <w:szCs w:val="21"/>
                <w:highlight w:val="none"/>
              </w:rPr>
              <w:t>分</w:t>
            </w:r>
          </w:p>
        </w:tc>
      </w:tr>
      <w:tr w14:paraId="763A4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612" w:type="dxa"/>
            <w:tcBorders>
              <w:top w:val="single" w:color="auto" w:sz="6" w:space="0"/>
              <w:left w:val="single" w:color="auto" w:sz="6" w:space="0"/>
              <w:bottom w:val="single" w:color="auto" w:sz="6" w:space="0"/>
              <w:right w:val="single" w:color="auto" w:sz="6" w:space="0"/>
            </w:tcBorders>
            <w:vAlign w:val="center"/>
          </w:tcPr>
          <w:p w14:paraId="2B66EED0">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序号</w:t>
            </w:r>
          </w:p>
        </w:tc>
        <w:tc>
          <w:tcPr>
            <w:tcW w:w="1763" w:type="dxa"/>
            <w:tcBorders>
              <w:top w:val="single" w:color="auto" w:sz="6" w:space="0"/>
              <w:left w:val="single" w:color="auto" w:sz="6" w:space="0"/>
              <w:bottom w:val="single" w:color="auto" w:sz="6" w:space="0"/>
              <w:right w:val="single" w:color="auto" w:sz="6" w:space="0"/>
            </w:tcBorders>
            <w:vAlign w:val="center"/>
          </w:tcPr>
          <w:p w14:paraId="34FC4C9F">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内容</w:t>
            </w:r>
          </w:p>
        </w:tc>
        <w:tc>
          <w:tcPr>
            <w:tcW w:w="4693" w:type="dxa"/>
            <w:tcBorders>
              <w:top w:val="single" w:color="auto" w:sz="6" w:space="0"/>
              <w:left w:val="single" w:color="auto" w:sz="6" w:space="0"/>
              <w:bottom w:val="single" w:color="auto" w:sz="6" w:space="0"/>
              <w:right w:val="single" w:color="auto" w:sz="6" w:space="0"/>
            </w:tcBorders>
            <w:vAlign w:val="center"/>
          </w:tcPr>
          <w:p w14:paraId="3DA6986C">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14:paraId="1913E82B">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权重</w:t>
            </w:r>
          </w:p>
        </w:tc>
        <w:tc>
          <w:tcPr>
            <w:tcW w:w="1545" w:type="dxa"/>
            <w:tcBorders>
              <w:top w:val="single" w:color="auto" w:sz="6" w:space="0"/>
              <w:left w:val="single" w:color="auto" w:sz="4" w:space="0"/>
              <w:bottom w:val="single" w:color="auto" w:sz="6" w:space="0"/>
              <w:right w:val="single" w:color="auto" w:sz="6" w:space="0"/>
            </w:tcBorders>
            <w:vAlign w:val="center"/>
          </w:tcPr>
          <w:p w14:paraId="75E04332">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评分方式</w:t>
            </w:r>
          </w:p>
        </w:tc>
      </w:tr>
      <w:tr w14:paraId="3DCF0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12" w:type="dxa"/>
            <w:tcBorders>
              <w:top w:val="single" w:color="auto" w:sz="6" w:space="0"/>
              <w:left w:val="single" w:color="auto" w:sz="6" w:space="0"/>
              <w:bottom w:val="single" w:color="auto" w:sz="4" w:space="0"/>
              <w:right w:val="single" w:color="auto" w:sz="6" w:space="0"/>
            </w:tcBorders>
            <w:vAlign w:val="center"/>
          </w:tcPr>
          <w:p w14:paraId="48B1DE38">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1</w:t>
            </w:r>
          </w:p>
        </w:tc>
        <w:tc>
          <w:tcPr>
            <w:tcW w:w="1763" w:type="dxa"/>
            <w:tcBorders>
              <w:top w:val="single" w:color="auto" w:sz="6" w:space="0"/>
              <w:left w:val="single" w:color="auto" w:sz="6" w:space="0"/>
              <w:bottom w:val="single" w:color="auto" w:sz="6" w:space="0"/>
              <w:right w:val="single" w:color="auto" w:sz="6" w:space="0"/>
            </w:tcBorders>
            <w:vAlign w:val="center"/>
          </w:tcPr>
          <w:p w14:paraId="6378366E">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企业资质情况</w:t>
            </w:r>
          </w:p>
        </w:tc>
        <w:tc>
          <w:tcPr>
            <w:tcW w:w="4693" w:type="dxa"/>
            <w:tcBorders>
              <w:top w:val="single" w:color="auto" w:sz="6" w:space="0"/>
              <w:left w:val="single" w:color="auto" w:sz="6" w:space="0"/>
              <w:bottom w:val="single" w:color="auto" w:sz="6" w:space="0"/>
              <w:right w:val="single" w:color="auto" w:sz="6" w:space="0"/>
            </w:tcBorders>
            <w:vAlign w:val="center"/>
          </w:tcPr>
          <w:p w14:paraId="2ABE2072">
            <w:pPr>
              <w:autoSpaceDE w:val="0"/>
              <w:autoSpaceDN w:val="0"/>
              <w:adjustRightInd w:val="0"/>
              <w:ind w:firstLine="420" w:firstLineChars="200"/>
              <w:jc w:val="left"/>
              <w:rPr>
                <w:rFonts w:hint="eastAsia" w:ascii="宋体" w:hAnsi="宋体" w:cs="Times New Roman"/>
                <w:color w:val="auto"/>
                <w:szCs w:val="21"/>
                <w:highlight w:val="none"/>
                <w:lang w:val="zh-CN"/>
              </w:rPr>
            </w:pPr>
            <w:r>
              <w:rPr>
                <w:rFonts w:hint="eastAsia" w:ascii="宋体" w:hAnsi="宋体" w:cs="Times New Roman"/>
                <w:color w:val="auto"/>
                <w:szCs w:val="21"/>
                <w:highlight w:val="none"/>
              </w:rPr>
              <w:t>投标人营业或业务范围内包含</w:t>
            </w:r>
            <w:r>
              <w:rPr>
                <w:rFonts w:hint="eastAsia" w:ascii="宋体" w:hAnsi="宋体" w:cs="Times New Roman"/>
                <w:color w:val="auto"/>
                <w:szCs w:val="21"/>
                <w:highlight w:val="none"/>
                <w:lang w:eastAsia="zh-CN"/>
              </w:rPr>
              <w:t>培训</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安全管理、安全评价、安全评估</w:t>
            </w:r>
            <w:r>
              <w:rPr>
                <w:rFonts w:hint="eastAsia" w:ascii="宋体" w:hAnsi="宋体" w:cs="Times New Roman"/>
                <w:color w:val="auto"/>
                <w:szCs w:val="21"/>
                <w:highlight w:val="none"/>
              </w:rPr>
              <w:t>等相关工作的，得</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分（提供相关纸质证书或机构代码证书扫描件为证，否则不得分）。</w:t>
            </w:r>
          </w:p>
        </w:tc>
        <w:tc>
          <w:tcPr>
            <w:tcW w:w="687" w:type="dxa"/>
            <w:tcBorders>
              <w:top w:val="single" w:color="auto" w:sz="6" w:space="0"/>
              <w:left w:val="single" w:color="auto" w:sz="6" w:space="0"/>
              <w:bottom w:val="single" w:color="auto" w:sz="6" w:space="0"/>
              <w:right w:val="single" w:color="auto" w:sz="4" w:space="0"/>
            </w:tcBorders>
            <w:vAlign w:val="center"/>
          </w:tcPr>
          <w:p w14:paraId="25C780EA">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rPr>
              <w:t>5</w:t>
            </w:r>
          </w:p>
        </w:tc>
        <w:tc>
          <w:tcPr>
            <w:tcW w:w="1545" w:type="dxa"/>
            <w:tcBorders>
              <w:top w:val="single" w:color="auto" w:sz="6" w:space="0"/>
              <w:left w:val="single" w:color="auto" w:sz="4" w:space="0"/>
              <w:bottom w:val="single" w:color="auto" w:sz="6" w:space="0"/>
              <w:right w:val="single" w:color="auto" w:sz="6" w:space="0"/>
            </w:tcBorders>
            <w:vAlign w:val="center"/>
          </w:tcPr>
          <w:p w14:paraId="5302E383">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10026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12" w:type="dxa"/>
            <w:vMerge w:val="restart"/>
            <w:tcBorders>
              <w:top w:val="single" w:color="auto" w:sz="6" w:space="0"/>
              <w:left w:val="single" w:color="auto" w:sz="6" w:space="0"/>
              <w:right w:val="single" w:color="auto" w:sz="6" w:space="0"/>
            </w:tcBorders>
            <w:vAlign w:val="center"/>
          </w:tcPr>
          <w:p w14:paraId="5BFC365A">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2</w:t>
            </w:r>
          </w:p>
        </w:tc>
        <w:tc>
          <w:tcPr>
            <w:tcW w:w="1763" w:type="dxa"/>
            <w:vMerge w:val="restart"/>
            <w:tcBorders>
              <w:top w:val="single" w:color="auto" w:sz="6" w:space="0"/>
              <w:left w:val="single" w:color="auto" w:sz="6" w:space="0"/>
              <w:right w:val="single" w:color="auto" w:sz="6" w:space="0"/>
            </w:tcBorders>
            <w:vAlign w:val="center"/>
          </w:tcPr>
          <w:p w14:paraId="1DD20A5A">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企业近三年以来有关业绩情况</w:t>
            </w:r>
          </w:p>
        </w:tc>
        <w:tc>
          <w:tcPr>
            <w:tcW w:w="4693" w:type="dxa"/>
            <w:tcBorders>
              <w:top w:val="single" w:color="auto" w:sz="6" w:space="0"/>
              <w:left w:val="single" w:color="auto" w:sz="6" w:space="0"/>
              <w:bottom w:val="single" w:color="auto" w:sz="6" w:space="0"/>
              <w:right w:val="single" w:color="auto" w:sz="6" w:space="0"/>
            </w:tcBorders>
            <w:vAlign w:val="center"/>
          </w:tcPr>
          <w:p w14:paraId="69DB9C9D">
            <w:pPr>
              <w:autoSpaceDE w:val="0"/>
              <w:autoSpaceDN w:val="0"/>
              <w:adjustRightInd w:val="0"/>
              <w:ind w:firstLine="420" w:firstLineChars="200"/>
              <w:jc w:val="left"/>
              <w:rPr>
                <w:rFonts w:hint="eastAsia" w:ascii="宋体" w:hAnsi="宋体" w:cs="Times New Roman"/>
                <w:color w:val="auto"/>
                <w:szCs w:val="21"/>
                <w:highlight w:val="none"/>
                <w:lang w:val="zh-CN"/>
              </w:rPr>
            </w:pPr>
            <w:r>
              <w:rPr>
                <w:rFonts w:hint="eastAsia" w:ascii="宋体" w:hAnsi="宋体" w:cs="Times New Roman"/>
                <w:color w:val="auto"/>
                <w:szCs w:val="21"/>
                <w:highlight w:val="none"/>
                <w:lang w:eastAsia="zh-CN"/>
              </w:rPr>
              <w:t>20</w:t>
            </w:r>
            <w:r>
              <w:rPr>
                <w:rFonts w:hint="eastAsia" w:ascii="宋体" w:hAnsi="宋体" w:cs="Times New Roman"/>
                <w:color w:val="auto"/>
                <w:szCs w:val="21"/>
                <w:highlight w:val="none"/>
                <w:lang w:val="en-US" w:eastAsia="zh-CN"/>
              </w:rPr>
              <w:t>21</w:t>
            </w:r>
            <w:r>
              <w:rPr>
                <w:rFonts w:hint="eastAsia" w:ascii="宋体" w:hAnsi="宋体" w:cs="Times New Roman"/>
                <w:color w:val="auto"/>
                <w:szCs w:val="21"/>
                <w:highlight w:val="none"/>
                <w:lang w:eastAsia="zh-CN"/>
              </w:rPr>
              <w:t>年1月1日至今期间，投标人受政府部门委托开展涉及安全管理相关培训的，一次得</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分，累计上限最高为</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lang w:eastAsia="zh-CN"/>
              </w:rPr>
              <w:t>分（提供合同扫描件为证，否则不得分）；</w:t>
            </w:r>
          </w:p>
        </w:tc>
        <w:tc>
          <w:tcPr>
            <w:tcW w:w="687" w:type="dxa"/>
            <w:tcBorders>
              <w:top w:val="single" w:color="auto" w:sz="6" w:space="0"/>
              <w:left w:val="single" w:color="auto" w:sz="6" w:space="0"/>
              <w:bottom w:val="single" w:color="auto" w:sz="6" w:space="0"/>
              <w:right w:val="single" w:color="auto" w:sz="4" w:space="0"/>
            </w:tcBorders>
            <w:vAlign w:val="center"/>
          </w:tcPr>
          <w:p w14:paraId="1C5EDE22">
            <w:pPr>
              <w:autoSpaceDE w:val="0"/>
              <w:autoSpaceDN w:val="0"/>
              <w:adjustRightIn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tcBorders>
              <w:top w:val="single" w:color="auto" w:sz="6" w:space="0"/>
              <w:left w:val="single" w:color="auto" w:sz="4" w:space="0"/>
              <w:bottom w:val="single" w:color="auto" w:sz="6" w:space="0"/>
              <w:right w:val="single" w:color="auto" w:sz="6" w:space="0"/>
            </w:tcBorders>
            <w:vAlign w:val="center"/>
          </w:tcPr>
          <w:p w14:paraId="5EF7F098">
            <w:pPr>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37495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12" w:type="dxa"/>
            <w:vMerge w:val="continue"/>
            <w:tcBorders>
              <w:left w:val="single" w:color="auto" w:sz="6" w:space="0"/>
              <w:right w:val="single" w:color="auto" w:sz="6" w:space="0"/>
            </w:tcBorders>
            <w:vAlign w:val="center"/>
          </w:tcPr>
          <w:p w14:paraId="3261F94E">
            <w:pPr>
              <w:widowControl/>
              <w:jc w:val="left"/>
              <w:rPr>
                <w:rFonts w:ascii="宋体" w:hAnsi="宋体" w:cs="Times New Roman"/>
                <w:color w:val="auto"/>
                <w:szCs w:val="21"/>
                <w:highlight w:val="none"/>
                <w:lang w:val="zh-CN"/>
              </w:rPr>
            </w:pPr>
          </w:p>
        </w:tc>
        <w:tc>
          <w:tcPr>
            <w:tcW w:w="1763" w:type="dxa"/>
            <w:vMerge w:val="continue"/>
            <w:tcBorders>
              <w:left w:val="single" w:color="auto" w:sz="6" w:space="0"/>
              <w:right w:val="single" w:color="auto" w:sz="6" w:space="0"/>
            </w:tcBorders>
            <w:vAlign w:val="center"/>
          </w:tcPr>
          <w:p w14:paraId="7E8980C7">
            <w:pPr>
              <w:widowControl/>
              <w:jc w:val="left"/>
              <w:rPr>
                <w:rFonts w:ascii="宋体" w:hAnsi="宋体" w:cs="Times New Roman"/>
                <w:color w:val="auto"/>
                <w:szCs w:val="21"/>
                <w:highlight w:val="none"/>
                <w:lang w:val="zh-CN"/>
              </w:rPr>
            </w:pPr>
          </w:p>
        </w:tc>
        <w:tc>
          <w:tcPr>
            <w:tcW w:w="4693" w:type="dxa"/>
            <w:tcBorders>
              <w:top w:val="single" w:color="auto" w:sz="6" w:space="0"/>
              <w:left w:val="single" w:color="auto" w:sz="6" w:space="0"/>
              <w:bottom w:val="single" w:color="auto" w:sz="6" w:space="0"/>
              <w:right w:val="single" w:color="auto" w:sz="6" w:space="0"/>
            </w:tcBorders>
            <w:vAlign w:val="center"/>
          </w:tcPr>
          <w:p w14:paraId="25D14F75">
            <w:pPr>
              <w:autoSpaceDE w:val="0"/>
              <w:autoSpaceDN w:val="0"/>
              <w:adjustRightInd w:val="0"/>
              <w:ind w:firstLine="420" w:firstLineChars="20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20</w:t>
            </w:r>
            <w:r>
              <w:rPr>
                <w:rFonts w:hint="eastAsia" w:ascii="宋体" w:hAnsi="宋体" w:cs="Times New Roman"/>
                <w:color w:val="auto"/>
                <w:szCs w:val="21"/>
                <w:highlight w:val="none"/>
                <w:lang w:val="en-US" w:eastAsia="zh-CN"/>
              </w:rPr>
              <w:t>21</w:t>
            </w:r>
            <w:r>
              <w:rPr>
                <w:rFonts w:hint="eastAsia" w:ascii="宋体" w:hAnsi="宋体" w:cs="Times New Roman"/>
                <w:color w:val="auto"/>
                <w:szCs w:val="21"/>
                <w:highlight w:val="none"/>
              </w:rPr>
              <w:t>年1月1日至今期间</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受政府</w:t>
            </w:r>
            <w:r>
              <w:rPr>
                <w:rFonts w:hint="eastAsia" w:ascii="宋体" w:hAnsi="宋体" w:cs="Times New Roman"/>
                <w:color w:val="auto"/>
                <w:szCs w:val="21"/>
                <w:highlight w:val="none"/>
                <w:lang w:eastAsia="zh-CN"/>
              </w:rPr>
              <w:t>部门</w:t>
            </w:r>
            <w:r>
              <w:rPr>
                <w:rFonts w:hint="eastAsia" w:ascii="宋体" w:hAnsi="宋体" w:cs="Times New Roman"/>
                <w:color w:val="auto"/>
                <w:szCs w:val="21"/>
                <w:highlight w:val="none"/>
              </w:rPr>
              <w:t>委托开展</w:t>
            </w:r>
            <w:r>
              <w:rPr>
                <w:rFonts w:hint="eastAsia" w:ascii="宋体" w:hAnsi="宋体" w:cs="Times New Roman"/>
                <w:color w:val="auto"/>
                <w:szCs w:val="21"/>
                <w:highlight w:val="none"/>
                <w:lang w:eastAsia="zh-CN"/>
              </w:rPr>
              <w:t>涉及建筑行业（含小散工程）</w:t>
            </w:r>
            <w:r>
              <w:rPr>
                <w:rFonts w:hint="eastAsia" w:ascii="宋体" w:hAnsi="宋体" w:cs="Times New Roman"/>
                <w:color w:val="auto"/>
                <w:szCs w:val="21"/>
                <w:highlight w:val="none"/>
              </w:rPr>
              <w:t>相关</w:t>
            </w:r>
            <w:r>
              <w:rPr>
                <w:rFonts w:hint="eastAsia" w:ascii="宋体" w:hAnsi="宋体" w:cs="Times New Roman"/>
                <w:color w:val="auto"/>
                <w:szCs w:val="21"/>
                <w:highlight w:val="none"/>
                <w:lang w:eastAsia="zh-CN"/>
              </w:rPr>
              <w:t>培训</w:t>
            </w:r>
            <w:r>
              <w:rPr>
                <w:rFonts w:hint="eastAsia" w:ascii="宋体" w:hAnsi="宋体" w:cs="Times New Roman"/>
                <w:color w:val="auto"/>
                <w:szCs w:val="21"/>
                <w:highlight w:val="none"/>
              </w:rPr>
              <w:t>的</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一</w:t>
            </w:r>
            <w:r>
              <w:rPr>
                <w:rFonts w:hint="eastAsia" w:ascii="宋体" w:hAnsi="宋体" w:cs="Times New Roman"/>
                <w:color w:val="auto"/>
                <w:szCs w:val="21"/>
                <w:highlight w:val="none"/>
                <w:lang w:eastAsia="zh-CN"/>
              </w:rPr>
              <w:t>次</w:t>
            </w:r>
            <w:r>
              <w:rPr>
                <w:rFonts w:hint="eastAsia" w:ascii="宋体" w:hAnsi="宋体" w:cs="Times New Roman"/>
                <w:color w:val="auto"/>
                <w:szCs w:val="21"/>
                <w:highlight w:val="none"/>
              </w:rPr>
              <w:t>得</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分，最高得</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rPr>
              <w:t>分（提供合同扫描件为证，否则不得分）</w:t>
            </w:r>
            <w:r>
              <w:rPr>
                <w:rFonts w:hint="eastAsia" w:ascii="宋体" w:hAnsi="宋体" w:cs="Times New Roman"/>
                <w:color w:val="auto"/>
                <w:szCs w:val="21"/>
                <w:highlight w:val="none"/>
                <w:lang w:eastAsia="zh-CN"/>
              </w:rPr>
              <w:t>；</w:t>
            </w:r>
          </w:p>
        </w:tc>
        <w:tc>
          <w:tcPr>
            <w:tcW w:w="687" w:type="dxa"/>
            <w:tcBorders>
              <w:top w:val="single" w:color="auto" w:sz="6" w:space="0"/>
              <w:left w:val="single" w:color="auto" w:sz="6" w:space="0"/>
              <w:bottom w:val="single" w:color="auto" w:sz="6" w:space="0"/>
              <w:right w:val="single" w:color="auto" w:sz="4" w:space="0"/>
            </w:tcBorders>
            <w:vAlign w:val="center"/>
          </w:tcPr>
          <w:p w14:paraId="2340D4D3">
            <w:pPr>
              <w:autoSpaceDE w:val="0"/>
              <w:autoSpaceDN w:val="0"/>
              <w:adjustRightIn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tcBorders>
              <w:top w:val="single" w:color="auto" w:sz="6" w:space="0"/>
              <w:left w:val="single" w:color="auto" w:sz="4" w:space="0"/>
              <w:bottom w:val="single" w:color="auto" w:sz="6" w:space="0"/>
              <w:right w:val="single" w:color="auto" w:sz="6" w:space="0"/>
            </w:tcBorders>
            <w:vAlign w:val="center"/>
          </w:tcPr>
          <w:p w14:paraId="5B8CD0E7">
            <w:pPr>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69E96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12" w:type="dxa"/>
            <w:vMerge w:val="continue"/>
            <w:tcBorders>
              <w:left w:val="single" w:color="auto" w:sz="6" w:space="0"/>
              <w:right w:val="single" w:color="auto" w:sz="6" w:space="0"/>
            </w:tcBorders>
            <w:vAlign w:val="center"/>
          </w:tcPr>
          <w:p w14:paraId="1F50BE68">
            <w:pPr>
              <w:widowControl/>
              <w:jc w:val="left"/>
              <w:rPr>
                <w:rFonts w:ascii="宋体" w:hAnsi="宋体" w:cs="Times New Roman"/>
                <w:color w:val="auto"/>
                <w:szCs w:val="21"/>
                <w:highlight w:val="none"/>
                <w:lang w:val="zh-CN"/>
              </w:rPr>
            </w:pPr>
          </w:p>
        </w:tc>
        <w:tc>
          <w:tcPr>
            <w:tcW w:w="1763" w:type="dxa"/>
            <w:vMerge w:val="continue"/>
            <w:tcBorders>
              <w:left w:val="single" w:color="auto" w:sz="6" w:space="0"/>
              <w:right w:val="single" w:color="auto" w:sz="6" w:space="0"/>
            </w:tcBorders>
            <w:vAlign w:val="center"/>
          </w:tcPr>
          <w:p w14:paraId="60E9E14A">
            <w:pPr>
              <w:widowControl/>
              <w:jc w:val="left"/>
              <w:rPr>
                <w:rFonts w:ascii="宋体" w:hAnsi="宋体" w:cs="Times New Roman"/>
                <w:color w:val="auto"/>
                <w:szCs w:val="21"/>
                <w:highlight w:val="none"/>
                <w:lang w:val="zh-CN"/>
              </w:rPr>
            </w:pPr>
          </w:p>
        </w:tc>
        <w:tc>
          <w:tcPr>
            <w:tcW w:w="4693" w:type="dxa"/>
            <w:tcBorders>
              <w:top w:val="single" w:color="auto" w:sz="6" w:space="0"/>
              <w:left w:val="single" w:color="auto" w:sz="6" w:space="0"/>
              <w:bottom w:val="single" w:color="auto" w:sz="6" w:space="0"/>
              <w:right w:val="single" w:color="auto" w:sz="6" w:space="0"/>
            </w:tcBorders>
            <w:vAlign w:val="center"/>
          </w:tcPr>
          <w:p w14:paraId="113626DF">
            <w:pPr>
              <w:autoSpaceDE w:val="0"/>
              <w:autoSpaceDN w:val="0"/>
              <w:adjustRightInd w:val="0"/>
              <w:ind w:firstLine="420" w:firstLineChars="200"/>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rPr>
              <w:t>20</w:t>
            </w:r>
            <w:r>
              <w:rPr>
                <w:rFonts w:hint="eastAsia" w:ascii="宋体" w:hAnsi="宋体" w:cs="Times New Roman"/>
                <w:color w:val="auto"/>
                <w:szCs w:val="21"/>
                <w:highlight w:val="none"/>
                <w:lang w:val="en-US" w:eastAsia="zh-CN"/>
              </w:rPr>
              <w:t>21</w:t>
            </w:r>
            <w:r>
              <w:rPr>
                <w:rFonts w:hint="eastAsia" w:ascii="宋体" w:hAnsi="宋体" w:cs="Times New Roman"/>
                <w:color w:val="auto"/>
                <w:szCs w:val="21"/>
                <w:highlight w:val="none"/>
              </w:rPr>
              <w:t>年1月1日至今期间，投标人受政府</w:t>
            </w:r>
            <w:r>
              <w:rPr>
                <w:rFonts w:hint="eastAsia" w:ascii="宋体" w:hAnsi="宋体" w:cs="Times New Roman"/>
                <w:color w:val="auto"/>
                <w:szCs w:val="21"/>
                <w:highlight w:val="none"/>
                <w:lang w:eastAsia="zh-CN"/>
              </w:rPr>
              <w:t>部门</w:t>
            </w:r>
            <w:r>
              <w:rPr>
                <w:rFonts w:hint="eastAsia" w:ascii="宋体" w:hAnsi="宋体" w:cs="Times New Roman"/>
                <w:color w:val="auto"/>
                <w:szCs w:val="21"/>
                <w:highlight w:val="none"/>
              </w:rPr>
              <w:t>委托开展涉及</w:t>
            </w:r>
            <w:r>
              <w:rPr>
                <w:rFonts w:hint="eastAsia" w:ascii="宋体" w:hAnsi="宋体" w:cs="Times New Roman"/>
                <w:color w:val="auto"/>
                <w:szCs w:val="21"/>
                <w:highlight w:val="none"/>
                <w:lang w:eastAsia="zh-CN"/>
              </w:rPr>
              <w:t>建筑行业（含小散工程）</w:t>
            </w:r>
            <w:r>
              <w:rPr>
                <w:rFonts w:hint="eastAsia" w:ascii="宋体" w:hAnsi="宋体" w:cs="Times New Roman"/>
                <w:color w:val="auto"/>
                <w:szCs w:val="21"/>
                <w:highlight w:val="none"/>
              </w:rPr>
              <w:t>相关</w:t>
            </w:r>
            <w:r>
              <w:rPr>
                <w:rFonts w:hint="eastAsia" w:ascii="宋体" w:hAnsi="宋体" w:cs="Times New Roman"/>
                <w:color w:val="auto"/>
                <w:szCs w:val="21"/>
                <w:highlight w:val="none"/>
                <w:lang w:eastAsia="zh-CN"/>
              </w:rPr>
              <w:t>培训的</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且</w:t>
            </w:r>
            <w:r>
              <w:rPr>
                <w:rFonts w:hint="eastAsia" w:ascii="宋体" w:hAnsi="宋体" w:cs="Times New Roman"/>
                <w:color w:val="auto"/>
                <w:szCs w:val="21"/>
                <w:highlight w:val="none"/>
              </w:rPr>
              <w:t>履约评价为优的，一次得</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分，累计上限最高为1</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分（提供相关页扫描件为证，否则不得分）</w:t>
            </w:r>
            <w:r>
              <w:rPr>
                <w:rFonts w:hint="eastAsia" w:ascii="宋体" w:hAnsi="宋体" w:cs="Times New Roman"/>
                <w:color w:val="auto"/>
                <w:szCs w:val="21"/>
                <w:highlight w:val="none"/>
                <w:lang w:eastAsia="zh-CN"/>
              </w:rPr>
              <w:t>；</w:t>
            </w:r>
          </w:p>
        </w:tc>
        <w:tc>
          <w:tcPr>
            <w:tcW w:w="687" w:type="dxa"/>
            <w:tcBorders>
              <w:top w:val="single" w:color="auto" w:sz="6" w:space="0"/>
              <w:left w:val="single" w:color="auto" w:sz="6" w:space="0"/>
              <w:bottom w:val="single" w:color="auto" w:sz="6" w:space="0"/>
              <w:right w:val="single" w:color="auto" w:sz="4" w:space="0"/>
            </w:tcBorders>
            <w:vAlign w:val="center"/>
          </w:tcPr>
          <w:p w14:paraId="256CF31F">
            <w:pPr>
              <w:autoSpaceDE w:val="0"/>
              <w:autoSpaceDN w:val="0"/>
              <w:adjustRightInd w:val="0"/>
              <w:jc w:val="center"/>
              <w:rPr>
                <w:rFonts w:hint="eastAsia" w:ascii="宋体" w:hAnsi="宋体" w:eastAsia="宋体" w:cs="Times New Roman"/>
                <w:color w:val="auto"/>
                <w:szCs w:val="21"/>
                <w:highlight w:val="none"/>
                <w:lang w:val="zh-CN" w:eastAsia="zh-CN"/>
              </w:rPr>
            </w:pPr>
            <w:r>
              <w:rPr>
                <w:rFonts w:hint="eastAsia" w:ascii="宋体" w:hAnsi="宋体" w:cs="Times New Roman"/>
                <w:color w:val="auto"/>
                <w:szCs w:val="21"/>
                <w:highlight w:val="none"/>
                <w:lang w:val="zh-CN"/>
              </w:rPr>
              <w:t>1</w:t>
            </w:r>
            <w:r>
              <w:rPr>
                <w:rFonts w:hint="eastAsia" w:ascii="宋体" w:hAnsi="宋体" w:cs="Times New Roman"/>
                <w:color w:val="auto"/>
                <w:szCs w:val="21"/>
                <w:highlight w:val="none"/>
                <w:lang w:val="en-US" w:eastAsia="zh-CN"/>
              </w:rPr>
              <w:t>5</w:t>
            </w:r>
          </w:p>
        </w:tc>
        <w:tc>
          <w:tcPr>
            <w:tcW w:w="1545" w:type="dxa"/>
            <w:tcBorders>
              <w:top w:val="single" w:color="auto" w:sz="6" w:space="0"/>
              <w:left w:val="single" w:color="auto" w:sz="4" w:space="0"/>
              <w:bottom w:val="single" w:color="auto" w:sz="6" w:space="0"/>
              <w:right w:val="single" w:color="auto" w:sz="6" w:space="0"/>
            </w:tcBorders>
            <w:vAlign w:val="center"/>
          </w:tcPr>
          <w:p w14:paraId="6CB967EB">
            <w:pPr>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2D233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068" w:type="dxa"/>
            <w:gridSpan w:val="3"/>
            <w:tcBorders>
              <w:top w:val="single" w:color="auto" w:sz="6" w:space="0"/>
              <w:left w:val="single" w:color="auto" w:sz="6" w:space="0"/>
              <w:bottom w:val="single" w:color="auto" w:sz="6" w:space="0"/>
              <w:right w:val="single" w:color="auto" w:sz="6" w:space="0"/>
            </w:tcBorders>
            <w:vAlign w:val="center"/>
          </w:tcPr>
          <w:p w14:paraId="56FAE276">
            <w:pPr>
              <w:autoSpaceDE w:val="0"/>
              <w:autoSpaceDN w:val="0"/>
              <w:adjustRightInd w:val="0"/>
              <w:jc w:val="center"/>
              <w:rPr>
                <w:rFonts w:ascii="宋体" w:hAnsi="宋体" w:cs="Times New Roman"/>
                <w:b/>
                <w:color w:val="auto"/>
                <w:szCs w:val="21"/>
                <w:highlight w:val="none"/>
                <w:lang w:val="zh-CN"/>
              </w:rPr>
            </w:pPr>
            <w:r>
              <w:rPr>
                <w:rFonts w:hint="eastAsia" w:ascii="宋体" w:hAnsi="宋体" w:cs="Times New Roman"/>
                <w:b/>
                <w:color w:val="auto"/>
                <w:szCs w:val="21"/>
                <w:highlight w:val="none"/>
                <w:lang w:val="zh-CN"/>
              </w:rPr>
              <w:t>三、技术部分</w:t>
            </w:r>
          </w:p>
        </w:tc>
        <w:tc>
          <w:tcPr>
            <w:tcW w:w="2232" w:type="dxa"/>
            <w:gridSpan w:val="2"/>
            <w:tcBorders>
              <w:top w:val="single" w:color="auto" w:sz="6" w:space="0"/>
              <w:left w:val="single" w:color="auto" w:sz="6" w:space="0"/>
              <w:bottom w:val="single" w:color="auto" w:sz="6" w:space="0"/>
              <w:right w:val="single" w:color="auto" w:sz="6" w:space="0"/>
            </w:tcBorders>
            <w:vAlign w:val="center"/>
          </w:tcPr>
          <w:p w14:paraId="496528AA">
            <w:pPr>
              <w:autoSpaceDE w:val="0"/>
              <w:autoSpaceDN w:val="0"/>
              <w:adjustRightInd w:val="0"/>
              <w:jc w:val="center"/>
              <w:rPr>
                <w:rFonts w:ascii="宋体" w:hAnsi="宋体" w:cs="Times New Roman"/>
                <w:color w:val="auto"/>
                <w:szCs w:val="21"/>
                <w:highlight w:val="none"/>
              </w:rPr>
            </w:pPr>
            <w:r>
              <w:rPr>
                <w:rFonts w:hint="eastAsia" w:ascii="宋体" w:hAnsi="宋体" w:cs="Times New Roman"/>
                <w:b/>
                <w:bCs/>
                <w:color w:val="auto"/>
                <w:szCs w:val="21"/>
                <w:highlight w:val="none"/>
                <w:lang w:val="en-US" w:eastAsia="zh-CN"/>
              </w:rPr>
              <w:t>40</w:t>
            </w:r>
            <w:r>
              <w:rPr>
                <w:rFonts w:hint="eastAsia" w:ascii="宋体" w:hAnsi="宋体" w:cs="Times New Roman"/>
                <w:b/>
                <w:bCs/>
                <w:color w:val="auto"/>
                <w:szCs w:val="21"/>
                <w:highlight w:val="none"/>
              </w:rPr>
              <w:t>分</w:t>
            </w:r>
          </w:p>
        </w:tc>
      </w:tr>
      <w:tr w14:paraId="25DD8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612" w:type="dxa"/>
            <w:tcBorders>
              <w:top w:val="single" w:color="auto" w:sz="6" w:space="0"/>
              <w:left w:val="single" w:color="auto" w:sz="6" w:space="0"/>
              <w:bottom w:val="single" w:color="auto" w:sz="6" w:space="0"/>
              <w:right w:val="single" w:color="auto" w:sz="6" w:space="0"/>
            </w:tcBorders>
            <w:vAlign w:val="center"/>
          </w:tcPr>
          <w:p w14:paraId="4BB307F0">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序号</w:t>
            </w:r>
          </w:p>
        </w:tc>
        <w:tc>
          <w:tcPr>
            <w:tcW w:w="1763" w:type="dxa"/>
            <w:tcBorders>
              <w:top w:val="single" w:color="auto" w:sz="6" w:space="0"/>
              <w:left w:val="single" w:color="auto" w:sz="6" w:space="0"/>
              <w:bottom w:val="single" w:color="auto" w:sz="6" w:space="0"/>
              <w:right w:val="single" w:color="auto" w:sz="6" w:space="0"/>
            </w:tcBorders>
            <w:vAlign w:val="center"/>
          </w:tcPr>
          <w:p w14:paraId="2FF6651F">
            <w:pPr>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lang w:val="zh-CN"/>
              </w:rPr>
              <w:t>内容</w:t>
            </w:r>
          </w:p>
        </w:tc>
        <w:tc>
          <w:tcPr>
            <w:tcW w:w="4693" w:type="dxa"/>
            <w:tcBorders>
              <w:top w:val="single" w:color="auto" w:sz="6" w:space="0"/>
              <w:left w:val="single" w:color="auto" w:sz="6" w:space="0"/>
              <w:bottom w:val="single" w:color="auto" w:sz="6" w:space="0"/>
              <w:right w:val="single" w:color="auto" w:sz="6" w:space="0"/>
            </w:tcBorders>
            <w:vAlign w:val="center"/>
          </w:tcPr>
          <w:p w14:paraId="1877986A">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评分规则</w:t>
            </w:r>
          </w:p>
        </w:tc>
        <w:tc>
          <w:tcPr>
            <w:tcW w:w="687" w:type="dxa"/>
            <w:tcBorders>
              <w:top w:val="single" w:color="auto" w:sz="6" w:space="0"/>
              <w:left w:val="single" w:color="auto" w:sz="6" w:space="0"/>
              <w:bottom w:val="single" w:color="auto" w:sz="6" w:space="0"/>
              <w:right w:val="single" w:color="auto" w:sz="4" w:space="0"/>
            </w:tcBorders>
            <w:vAlign w:val="center"/>
          </w:tcPr>
          <w:p w14:paraId="2A6F903D">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权重</w:t>
            </w:r>
          </w:p>
        </w:tc>
        <w:tc>
          <w:tcPr>
            <w:tcW w:w="1545" w:type="dxa"/>
            <w:tcBorders>
              <w:top w:val="single" w:color="auto" w:sz="6" w:space="0"/>
              <w:left w:val="single" w:color="auto" w:sz="4" w:space="0"/>
              <w:bottom w:val="single" w:color="auto" w:sz="6" w:space="0"/>
              <w:right w:val="single" w:color="auto" w:sz="6" w:space="0"/>
            </w:tcBorders>
            <w:vAlign w:val="center"/>
          </w:tcPr>
          <w:p w14:paraId="05665429">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评分方式</w:t>
            </w:r>
          </w:p>
        </w:tc>
      </w:tr>
      <w:tr w14:paraId="29D69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612" w:type="dxa"/>
            <w:vMerge w:val="restart"/>
            <w:tcBorders>
              <w:top w:val="single" w:color="auto" w:sz="6" w:space="0"/>
              <w:left w:val="single" w:color="auto" w:sz="6" w:space="0"/>
              <w:right w:val="single" w:color="auto" w:sz="6" w:space="0"/>
            </w:tcBorders>
            <w:vAlign w:val="center"/>
          </w:tcPr>
          <w:p w14:paraId="617359FA">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1</w:t>
            </w:r>
          </w:p>
        </w:tc>
        <w:tc>
          <w:tcPr>
            <w:tcW w:w="1763" w:type="dxa"/>
            <w:vMerge w:val="restart"/>
            <w:tcBorders>
              <w:top w:val="single" w:color="auto" w:sz="6" w:space="0"/>
              <w:left w:val="single" w:color="auto" w:sz="6" w:space="0"/>
              <w:right w:val="single" w:color="auto" w:sz="6" w:space="0"/>
            </w:tcBorders>
            <w:vAlign w:val="center"/>
          </w:tcPr>
          <w:p w14:paraId="052164C4">
            <w:pPr>
              <w:autoSpaceDE w:val="0"/>
              <w:autoSpaceDN w:val="0"/>
              <w:adjustRightInd w:val="0"/>
              <w:snapToGrid w:val="0"/>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zh-CN"/>
              </w:rPr>
              <w:t>项目负责人资历</w:t>
            </w:r>
          </w:p>
        </w:tc>
        <w:tc>
          <w:tcPr>
            <w:tcW w:w="4693" w:type="dxa"/>
            <w:tcBorders>
              <w:top w:val="single" w:color="auto" w:sz="6" w:space="0"/>
              <w:left w:val="single" w:color="auto" w:sz="6" w:space="0"/>
              <w:bottom w:val="single" w:color="auto" w:sz="4" w:space="0"/>
              <w:right w:val="single" w:color="auto" w:sz="6" w:space="0"/>
            </w:tcBorders>
            <w:vAlign w:val="center"/>
          </w:tcPr>
          <w:p w14:paraId="7DA28603">
            <w:pPr>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项目负责人必须是投标人正式任职的人员（提供近6个月的社保证明），具</w:t>
            </w:r>
            <w:r>
              <w:rPr>
                <w:rFonts w:hint="eastAsia" w:ascii="宋体" w:hAnsi="宋体" w:cs="Times New Roman"/>
                <w:color w:val="auto"/>
                <w:szCs w:val="21"/>
                <w:highlight w:val="none"/>
                <w:lang w:val="zh-CN" w:eastAsia="zh-CN"/>
              </w:rPr>
              <w:t>备建筑工程相关专业高级工程师证或一级建造师或注册监理工程师或注册安全工程师证，得</w:t>
            </w:r>
            <w:r>
              <w:rPr>
                <w:rFonts w:hint="eastAsia" w:ascii="宋体" w:hAnsi="宋体" w:cs="Times New Roman"/>
                <w:color w:val="auto"/>
                <w:szCs w:val="21"/>
                <w:highlight w:val="none"/>
                <w:lang w:val="en-US" w:eastAsia="zh-CN"/>
              </w:rPr>
              <w:t>5分；具备广东省安全生产培训教员证，得5分</w:t>
            </w:r>
            <w:r>
              <w:rPr>
                <w:rFonts w:hint="eastAsia" w:ascii="宋体" w:hAnsi="宋体" w:cs="Times New Roman"/>
                <w:color w:val="auto"/>
                <w:szCs w:val="21"/>
                <w:highlight w:val="none"/>
                <w:lang w:val="zh-CN"/>
              </w:rPr>
              <w:t>。</w:t>
            </w:r>
          </w:p>
        </w:tc>
        <w:tc>
          <w:tcPr>
            <w:tcW w:w="687" w:type="dxa"/>
            <w:tcBorders>
              <w:top w:val="single" w:color="auto" w:sz="6" w:space="0"/>
              <w:left w:val="single" w:color="auto" w:sz="6" w:space="0"/>
              <w:bottom w:val="single" w:color="auto" w:sz="4" w:space="0"/>
              <w:right w:val="single" w:color="auto" w:sz="4" w:space="0"/>
            </w:tcBorders>
            <w:vAlign w:val="center"/>
          </w:tcPr>
          <w:p w14:paraId="355B6984">
            <w:pPr>
              <w:autoSpaceDE w:val="0"/>
              <w:autoSpaceDN w:val="0"/>
              <w:adjustRightInd w:val="0"/>
              <w:snapToGrid w:val="0"/>
              <w:jc w:val="center"/>
              <w:rPr>
                <w:rFonts w:ascii="宋体" w:hAnsi="宋体" w:cs="Times New Roman"/>
                <w:color w:val="auto"/>
                <w:szCs w:val="21"/>
                <w:highlight w:val="none"/>
              </w:rPr>
            </w:pPr>
            <w:r>
              <w:rPr>
                <w:rFonts w:hint="eastAsia" w:ascii="宋体" w:hAnsi="宋体" w:cs="Times New Roman"/>
                <w:color w:val="auto"/>
                <w:szCs w:val="21"/>
                <w:highlight w:val="none"/>
              </w:rPr>
              <w:t>10</w:t>
            </w:r>
          </w:p>
        </w:tc>
        <w:tc>
          <w:tcPr>
            <w:tcW w:w="1545" w:type="dxa"/>
            <w:vMerge w:val="restart"/>
            <w:tcBorders>
              <w:top w:val="single" w:color="auto" w:sz="6" w:space="0"/>
              <w:left w:val="single" w:color="auto" w:sz="4" w:space="0"/>
              <w:right w:val="single" w:color="auto" w:sz="6" w:space="0"/>
            </w:tcBorders>
            <w:vAlign w:val="center"/>
          </w:tcPr>
          <w:p w14:paraId="1264FF68">
            <w:pPr>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064B5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612" w:type="dxa"/>
            <w:vMerge w:val="continue"/>
            <w:tcBorders>
              <w:left w:val="single" w:color="auto" w:sz="6" w:space="0"/>
              <w:bottom w:val="single" w:color="auto" w:sz="6" w:space="0"/>
              <w:right w:val="single" w:color="auto" w:sz="6" w:space="0"/>
            </w:tcBorders>
            <w:vAlign w:val="center"/>
          </w:tcPr>
          <w:p w14:paraId="5D6D251C">
            <w:pPr>
              <w:autoSpaceDE w:val="0"/>
              <w:autoSpaceDN w:val="0"/>
              <w:adjustRightInd w:val="0"/>
              <w:jc w:val="center"/>
              <w:rPr>
                <w:rFonts w:hint="eastAsia" w:ascii="宋体" w:hAnsi="宋体" w:cs="Times New Roman"/>
                <w:color w:val="auto"/>
                <w:szCs w:val="21"/>
                <w:highlight w:val="none"/>
                <w:lang w:val="zh-CN"/>
              </w:rPr>
            </w:pPr>
          </w:p>
        </w:tc>
        <w:tc>
          <w:tcPr>
            <w:tcW w:w="1763" w:type="dxa"/>
            <w:vMerge w:val="continue"/>
            <w:tcBorders>
              <w:left w:val="single" w:color="auto" w:sz="6" w:space="0"/>
              <w:bottom w:val="single" w:color="auto" w:sz="6" w:space="0"/>
              <w:right w:val="single" w:color="auto" w:sz="6" w:space="0"/>
            </w:tcBorders>
            <w:vAlign w:val="center"/>
          </w:tcPr>
          <w:p w14:paraId="66F76397">
            <w:pPr>
              <w:autoSpaceDE w:val="0"/>
              <w:autoSpaceDN w:val="0"/>
              <w:adjustRightInd w:val="0"/>
              <w:snapToGrid w:val="0"/>
              <w:jc w:val="center"/>
              <w:rPr>
                <w:rFonts w:hint="eastAsia" w:ascii="宋体" w:hAnsi="宋体" w:cs="Times New Roman"/>
                <w:color w:val="auto"/>
                <w:szCs w:val="21"/>
                <w:highlight w:val="none"/>
                <w:lang w:val="zh-CN"/>
              </w:rPr>
            </w:pPr>
          </w:p>
        </w:tc>
        <w:tc>
          <w:tcPr>
            <w:tcW w:w="4693" w:type="dxa"/>
            <w:tcBorders>
              <w:top w:val="single" w:color="auto" w:sz="4" w:space="0"/>
              <w:left w:val="single" w:color="auto" w:sz="6" w:space="0"/>
              <w:bottom w:val="single" w:color="auto" w:sz="6" w:space="0"/>
              <w:right w:val="single" w:color="auto" w:sz="6" w:space="0"/>
            </w:tcBorders>
            <w:vAlign w:val="center"/>
          </w:tcPr>
          <w:p w14:paraId="45B94E54">
            <w:pPr>
              <w:autoSpaceDE w:val="0"/>
              <w:autoSpaceDN w:val="0"/>
              <w:adjustRightInd w:val="0"/>
              <w:jc w:val="left"/>
              <w:rPr>
                <w:rFonts w:hint="eastAsia" w:ascii="宋体" w:hAnsi="宋体" w:cs="Times New Roman"/>
                <w:color w:val="auto"/>
                <w:szCs w:val="21"/>
                <w:highlight w:val="none"/>
                <w:lang w:val="zh-CN"/>
              </w:rPr>
            </w:pPr>
            <w:r>
              <w:rPr>
                <w:rFonts w:hint="eastAsia" w:ascii="宋体" w:hAnsi="宋体" w:cs="Times New Roman"/>
                <w:color w:val="auto"/>
                <w:szCs w:val="21"/>
                <w:highlight w:val="none"/>
              </w:rPr>
              <w:t>近</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年内有</w:t>
            </w:r>
            <w:r>
              <w:rPr>
                <w:rFonts w:hint="eastAsia" w:ascii="宋体" w:hAnsi="宋体" w:cs="Times New Roman"/>
                <w:color w:val="auto"/>
                <w:szCs w:val="21"/>
                <w:highlight w:val="none"/>
                <w:lang w:eastAsia="zh-CN"/>
              </w:rPr>
              <w:t>建设工程</w:t>
            </w:r>
            <w:r>
              <w:rPr>
                <w:rFonts w:hint="eastAsia" w:ascii="宋体" w:hAnsi="宋体" w:cs="Times New Roman"/>
                <w:color w:val="auto"/>
                <w:szCs w:val="21"/>
                <w:highlight w:val="none"/>
                <w:lang w:val="en-US" w:eastAsia="zh-CN"/>
              </w:rPr>
              <w:t>安全教育</w:t>
            </w:r>
            <w:r>
              <w:rPr>
                <w:rFonts w:hint="eastAsia" w:ascii="宋体" w:hAnsi="宋体" w:cs="Times New Roman"/>
                <w:color w:val="auto"/>
                <w:szCs w:val="21"/>
                <w:highlight w:val="none"/>
                <w:lang w:eastAsia="zh-CN"/>
              </w:rPr>
              <w:t>培训项目负责人</w:t>
            </w:r>
            <w:r>
              <w:rPr>
                <w:rFonts w:hint="eastAsia" w:ascii="宋体" w:hAnsi="宋体" w:cs="Times New Roman"/>
                <w:color w:val="auto"/>
                <w:szCs w:val="21"/>
                <w:highlight w:val="none"/>
              </w:rPr>
              <w:t>经验</w:t>
            </w:r>
            <w:r>
              <w:rPr>
                <w:rFonts w:hint="eastAsia" w:ascii="宋体" w:hAnsi="宋体" w:cs="Times New Roman"/>
                <w:color w:val="auto"/>
                <w:szCs w:val="21"/>
                <w:highlight w:val="none"/>
                <w:lang w:eastAsia="zh-CN"/>
              </w:rPr>
              <w:t>，每个项目得</w:t>
            </w:r>
            <w:r>
              <w:rPr>
                <w:rFonts w:hint="eastAsia" w:ascii="宋体" w:hAnsi="宋体" w:cs="Times New Roman"/>
                <w:color w:val="auto"/>
                <w:szCs w:val="21"/>
                <w:highlight w:val="none"/>
                <w:lang w:val="en-US" w:eastAsia="zh-CN"/>
              </w:rPr>
              <w:t>2分，最高得10分。</w:t>
            </w:r>
          </w:p>
        </w:tc>
        <w:tc>
          <w:tcPr>
            <w:tcW w:w="687" w:type="dxa"/>
            <w:tcBorders>
              <w:top w:val="single" w:color="auto" w:sz="4" w:space="0"/>
              <w:left w:val="single" w:color="auto" w:sz="6" w:space="0"/>
              <w:bottom w:val="single" w:color="auto" w:sz="6" w:space="0"/>
              <w:right w:val="single" w:color="auto" w:sz="4" w:space="0"/>
            </w:tcBorders>
            <w:vAlign w:val="center"/>
          </w:tcPr>
          <w:p w14:paraId="7C20307F">
            <w:pPr>
              <w:autoSpaceDE w:val="0"/>
              <w:autoSpaceDN w:val="0"/>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vMerge w:val="continue"/>
            <w:tcBorders>
              <w:left w:val="single" w:color="auto" w:sz="4" w:space="0"/>
              <w:bottom w:val="single" w:color="auto" w:sz="6" w:space="0"/>
              <w:right w:val="single" w:color="auto" w:sz="6" w:space="0"/>
            </w:tcBorders>
            <w:vAlign w:val="center"/>
          </w:tcPr>
          <w:p w14:paraId="3BEA8357">
            <w:pPr>
              <w:autoSpaceDE w:val="0"/>
              <w:autoSpaceDN w:val="0"/>
              <w:adjustRightInd w:val="0"/>
              <w:jc w:val="center"/>
              <w:rPr>
                <w:rFonts w:hint="eastAsia" w:ascii="宋体" w:hAnsi="宋体" w:cs="Times New Roman"/>
                <w:color w:val="auto"/>
                <w:szCs w:val="21"/>
                <w:highlight w:val="none"/>
                <w:lang w:val="zh-CN"/>
              </w:rPr>
            </w:pPr>
          </w:p>
        </w:tc>
      </w:tr>
      <w:tr w14:paraId="36F47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612" w:type="dxa"/>
            <w:vMerge w:val="restart"/>
            <w:tcBorders>
              <w:top w:val="single" w:color="auto" w:sz="6" w:space="0"/>
              <w:left w:val="single" w:color="auto" w:sz="6" w:space="0"/>
              <w:right w:val="single" w:color="auto" w:sz="6" w:space="0"/>
            </w:tcBorders>
            <w:vAlign w:val="center"/>
          </w:tcPr>
          <w:p w14:paraId="5C192F34">
            <w:pPr>
              <w:autoSpaceDE w:val="0"/>
              <w:autoSpaceDN w:val="0"/>
              <w:adjustRightInd w:val="0"/>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p>
        </w:tc>
        <w:tc>
          <w:tcPr>
            <w:tcW w:w="1763" w:type="dxa"/>
            <w:vMerge w:val="restart"/>
            <w:tcBorders>
              <w:top w:val="single" w:color="auto" w:sz="6" w:space="0"/>
              <w:left w:val="single" w:color="auto" w:sz="6" w:space="0"/>
              <w:right w:val="single" w:color="auto" w:sz="6" w:space="0"/>
            </w:tcBorders>
            <w:vAlign w:val="center"/>
          </w:tcPr>
          <w:p w14:paraId="78806030">
            <w:pPr>
              <w:autoSpaceDE w:val="0"/>
              <w:autoSpaceDN w:val="0"/>
              <w:adjustRightInd w:val="0"/>
              <w:snapToGrid w:val="0"/>
              <w:jc w:val="center"/>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讲师资历</w:t>
            </w:r>
          </w:p>
        </w:tc>
        <w:tc>
          <w:tcPr>
            <w:tcW w:w="4693" w:type="dxa"/>
            <w:tcBorders>
              <w:top w:val="single" w:color="auto" w:sz="6" w:space="0"/>
              <w:left w:val="single" w:color="auto" w:sz="6" w:space="0"/>
              <w:bottom w:val="single" w:color="auto" w:sz="4" w:space="0"/>
              <w:right w:val="single" w:color="auto" w:sz="6" w:space="0"/>
            </w:tcBorders>
            <w:vAlign w:val="center"/>
          </w:tcPr>
          <w:p w14:paraId="0EB4FEC3">
            <w:pPr>
              <w:autoSpaceDE w:val="0"/>
              <w:autoSpaceDN w:val="0"/>
              <w:adjustRightInd w:val="0"/>
              <w:ind w:firstLine="420" w:firstLineChars="200"/>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讲师应具备建筑工程相关专业副高级工程师证，得10分</w:t>
            </w:r>
            <w:r>
              <w:rPr>
                <w:rFonts w:hint="eastAsia" w:ascii="宋体" w:hAnsi="宋体" w:cs="Times New Roman"/>
                <w:color w:val="auto"/>
                <w:szCs w:val="21"/>
                <w:highlight w:val="none"/>
                <w:lang w:val="zh-CN"/>
              </w:rPr>
              <w:t>（必须是投标人正式任职的人员，提供近</w:t>
            </w:r>
            <w:r>
              <w:rPr>
                <w:rFonts w:hint="eastAsia" w:ascii="宋体" w:hAnsi="宋体" w:cs="Times New Roman"/>
                <w:color w:val="auto"/>
                <w:szCs w:val="21"/>
                <w:highlight w:val="none"/>
              </w:rPr>
              <w:t>6个月的社保证明</w:t>
            </w:r>
            <w:r>
              <w:rPr>
                <w:rFonts w:hint="eastAsia" w:ascii="宋体" w:hAnsi="宋体" w:cs="Times New Roman"/>
                <w:color w:val="auto"/>
                <w:szCs w:val="21"/>
                <w:highlight w:val="none"/>
                <w:lang w:val="zh-CN"/>
              </w:rPr>
              <w:t>）</w:t>
            </w:r>
            <w:r>
              <w:rPr>
                <w:rFonts w:hint="eastAsia" w:ascii="宋体" w:hAnsi="宋体" w:cs="Times New Roman"/>
                <w:color w:val="auto"/>
                <w:szCs w:val="21"/>
                <w:highlight w:val="none"/>
                <w:lang w:eastAsia="zh-CN"/>
              </w:rPr>
              <w:t>；</w:t>
            </w:r>
          </w:p>
        </w:tc>
        <w:tc>
          <w:tcPr>
            <w:tcW w:w="687" w:type="dxa"/>
            <w:tcBorders>
              <w:top w:val="single" w:color="auto" w:sz="6" w:space="0"/>
              <w:left w:val="single" w:color="auto" w:sz="6" w:space="0"/>
              <w:bottom w:val="single" w:color="auto" w:sz="4" w:space="0"/>
              <w:right w:val="single" w:color="auto" w:sz="4" w:space="0"/>
            </w:tcBorders>
            <w:vAlign w:val="center"/>
          </w:tcPr>
          <w:p w14:paraId="10CC085D">
            <w:pPr>
              <w:autoSpaceDE w:val="0"/>
              <w:autoSpaceDN w:val="0"/>
              <w:adjustRightInd w:val="0"/>
              <w:snapToGrid w:val="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vMerge w:val="restart"/>
            <w:tcBorders>
              <w:top w:val="single" w:color="auto" w:sz="6" w:space="0"/>
              <w:left w:val="single" w:color="auto" w:sz="4" w:space="0"/>
              <w:right w:val="single" w:color="auto" w:sz="6" w:space="0"/>
            </w:tcBorders>
            <w:vAlign w:val="center"/>
          </w:tcPr>
          <w:p w14:paraId="52E62CAA">
            <w:pPr>
              <w:autoSpaceDE w:val="0"/>
              <w:autoSpaceDN w:val="0"/>
              <w:adjustRightInd w:val="0"/>
              <w:jc w:val="center"/>
              <w:rPr>
                <w:rFonts w:hint="eastAsia" w:ascii="宋体" w:hAnsi="宋体" w:cs="Times New Roman"/>
                <w:color w:val="auto"/>
                <w:szCs w:val="21"/>
                <w:highlight w:val="none"/>
                <w:lang w:val="zh-CN"/>
              </w:rPr>
            </w:pPr>
            <w:r>
              <w:rPr>
                <w:rFonts w:hint="eastAsia" w:ascii="宋体" w:hAnsi="宋体" w:cs="Times New Roman"/>
                <w:color w:val="auto"/>
                <w:szCs w:val="21"/>
                <w:highlight w:val="none"/>
                <w:lang w:val="zh-CN"/>
              </w:rPr>
              <w:t>专家打分</w:t>
            </w:r>
          </w:p>
        </w:tc>
      </w:tr>
      <w:tr w14:paraId="7156F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612" w:type="dxa"/>
            <w:vMerge w:val="continue"/>
            <w:tcBorders>
              <w:left w:val="single" w:color="auto" w:sz="6" w:space="0"/>
              <w:bottom w:val="single" w:color="auto" w:sz="6" w:space="0"/>
              <w:right w:val="single" w:color="auto" w:sz="6" w:space="0"/>
            </w:tcBorders>
            <w:vAlign w:val="center"/>
          </w:tcPr>
          <w:p w14:paraId="004BBF2D">
            <w:pPr>
              <w:autoSpaceDE w:val="0"/>
              <w:autoSpaceDN w:val="0"/>
              <w:adjustRightInd w:val="0"/>
              <w:jc w:val="center"/>
              <w:rPr>
                <w:rFonts w:hint="eastAsia" w:ascii="宋体" w:hAnsi="宋体" w:cs="Times New Roman"/>
                <w:color w:val="auto"/>
                <w:szCs w:val="21"/>
                <w:highlight w:val="none"/>
                <w:lang w:val="en-US" w:eastAsia="zh-CN"/>
              </w:rPr>
            </w:pPr>
          </w:p>
        </w:tc>
        <w:tc>
          <w:tcPr>
            <w:tcW w:w="1763" w:type="dxa"/>
            <w:vMerge w:val="continue"/>
            <w:tcBorders>
              <w:left w:val="single" w:color="auto" w:sz="6" w:space="0"/>
              <w:bottom w:val="single" w:color="auto" w:sz="6" w:space="0"/>
              <w:right w:val="single" w:color="auto" w:sz="6" w:space="0"/>
            </w:tcBorders>
            <w:vAlign w:val="center"/>
          </w:tcPr>
          <w:p w14:paraId="018E6893">
            <w:pPr>
              <w:autoSpaceDE w:val="0"/>
              <w:autoSpaceDN w:val="0"/>
              <w:adjustRightInd w:val="0"/>
              <w:snapToGrid w:val="0"/>
              <w:jc w:val="center"/>
              <w:rPr>
                <w:rFonts w:hint="eastAsia" w:ascii="宋体" w:hAnsi="宋体" w:cs="Times New Roman"/>
                <w:color w:val="auto"/>
                <w:szCs w:val="21"/>
                <w:highlight w:val="none"/>
                <w:lang w:val="zh-CN"/>
              </w:rPr>
            </w:pPr>
          </w:p>
        </w:tc>
        <w:tc>
          <w:tcPr>
            <w:tcW w:w="4693" w:type="dxa"/>
            <w:tcBorders>
              <w:top w:val="single" w:color="auto" w:sz="4" w:space="0"/>
              <w:left w:val="single" w:color="auto" w:sz="6" w:space="0"/>
              <w:bottom w:val="single" w:color="auto" w:sz="6" w:space="0"/>
              <w:right w:val="single" w:color="auto" w:sz="6" w:space="0"/>
            </w:tcBorders>
            <w:vAlign w:val="center"/>
          </w:tcPr>
          <w:p w14:paraId="00F99E73">
            <w:pPr>
              <w:autoSpaceDE w:val="0"/>
              <w:autoSpaceDN w:val="0"/>
              <w:adjustRightInd w:val="0"/>
              <w:ind w:firstLine="420" w:firstLineChars="200"/>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eastAsia="zh-CN"/>
              </w:rPr>
              <w:t>讲师</w:t>
            </w:r>
            <w:r>
              <w:rPr>
                <w:rFonts w:hint="eastAsia" w:ascii="宋体" w:hAnsi="宋体" w:cs="Times New Roman"/>
                <w:color w:val="auto"/>
                <w:szCs w:val="21"/>
                <w:highlight w:val="none"/>
              </w:rPr>
              <w:t>近</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年内有</w:t>
            </w:r>
            <w:r>
              <w:rPr>
                <w:rFonts w:hint="eastAsia" w:ascii="宋体" w:hAnsi="宋体" w:cs="Times New Roman"/>
                <w:color w:val="auto"/>
                <w:szCs w:val="21"/>
                <w:highlight w:val="none"/>
                <w:lang w:eastAsia="zh-CN"/>
              </w:rPr>
              <w:t>建设工程</w:t>
            </w:r>
            <w:r>
              <w:rPr>
                <w:rFonts w:hint="eastAsia" w:ascii="宋体" w:hAnsi="宋体" w:cs="Times New Roman"/>
                <w:color w:val="auto"/>
                <w:szCs w:val="21"/>
                <w:highlight w:val="none"/>
                <w:lang w:val="en-US" w:eastAsia="zh-CN"/>
              </w:rPr>
              <w:t>安全教育</w:t>
            </w:r>
            <w:r>
              <w:rPr>
                <w:rFonts w:hint="eastAsia" w:ascii="宋体" w:hAnsi="宋体" w:cs="Times New Roman"/>
                <w:color w:val="auto"/>
                <w:szCs w:val="21"/>
                <w:highlight w:val="none"/>
                <w:lang w:eastAsia="zh-CN"/>
              </w:rPr>
              <w:t>培训项目</w:t>
            </w:r>
            <w:r>
              <w:rPr>
                <w:rFonts w:hint="eastAsia" w:ascii="宋体" w:hAnsi="宋体" w:cs="Times New Roman"/>
                <w:color w:val="auto"/>
                <w:szCs w:val="21"/>
                <w:highlight w:val="none"/>
              </w:rPr>
              <w:t>相关经验</w:t>
            </w:r>
            <w:r>
              <w:rPr>
                <w:rFonts w:hint="eastAsia" w:ascii="宋体" w:hAnsi="宋体" w:cs="Times New Roman"/>
                <w:color w:val="auto"/>
                <w:szCs w:val="21"/>
                <w:highlight w:val="none"/>
                <w:lang w:eastAsia="zh-CN"/>
              </w:rPr>
              <w:t>，每个项目得</w:t>
            </w:r>
            <w:r>
              <w:rPr>
                <w:rFonts w:hint="eastAsia" w:ascii="宋体" w:hAnsi="宋体" w:cs="Times New Roman"/>
                <w:color w:val="auto"/>
                <w:szCs w:val="21"/>
                <w:highlight w:val="none"/>
                <w:lang w:val="en-US" w:eastAsia="zh-CN"/>
              </w:rPr>
              <w:t>2分，最高得10分。</w:t>
            </w:r>
          </w:p>
        </w:tc>
        <w:tc>
          <w:tcPr>
            <w:tcW w:w="687" w:type="dxa"/>
            <w:tcBorders>
              <w:top w:val="single" w:color="auto" w:sz="4" w:space="0"/>
              <w:left w:val="single" w:color="auto" w:sz="6" w:space="0"/>
              <w:bottom w:val="single" w:color="auto" w:sz="6" w:space="0"/>
              <w:right w:val="single" w:color="auto" w:sz="4" w:space="0"/>
            </w:tcBorders>
            <w:vAlign w:val="center"/>
          </w:tcPr>
          <w:p w14:paraId="34B93C9A">
            <w:pPr>
              <w:autoSpaceDE w:val="0"/>
              <w:autoSpaceDN w:val="0"/>
              <w:adjustRightInd w:val="0"/>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1545" w:type="dxa"/>
            <w:vMerge w:val="continue"/>
            <w:tcBorders>
              <w:left w:val="single" w:color="auto" w:sz="4" w:space="0"/>
              <w:bottom w:val="single" w:color="auto" w:sz="6" w:space="0"/>
              <w:right w:val="single" w:color="auto" w:sz="6" w:space="0"/>
            </w:tcBorders>
            <w:vAlign w:val="center"/>
          </w:tcPr>
          <w:p w14:paraId="24B9ACB9">
            <w:pPr>
              <w:autoSpaceDE w:val="0"/>
              <w:autoSpaceDN w:val="0"/>
              <w:adjustRightInd w:val="0"/>
              <w:jc w:val="center"/>
              <w:rPr>
                <w:rFonts w:hint="eastAsia" w:ascii="宋体" w:hAnsi="宋体" w:cs="Times New Roman"/>
                <w:color w:val="auto"/>
                <w:szCs w:val="21"/>
                <w:highlight w:val="none"/>
                <w:lang w:val="zh-CN"/>
              </w:rPr>
            </w:pPr>
          </w:p>
        </w:tc>
      </w:tr>
    </w:tbl>
    <w:p w14:paraId="7BBD3B08">
      <w:pPr>
        <w:rPr>
          <w:highlight w:val="none"/>
        </w:rPr>
      </w:pPr>
    </w:p>
    <w:p w14:paraId="1152BAD5">
      <w:pPr>
        <w:rPr>
          <w:rFonts w:hint="eastAsia"/>
          <w:highlight w:val="none"/>
        </w:rPr>
      </w:pPr>
      <w:r>
        <w:rPr>
          <w:rFonts w:hint="eastAsia"/>
          <w:highlight w:val="none"/>
        </w:rPr>
        <w:t>备注：有取值范围的，含上限值不含下限值。每一项的得分均不能超过该项最高分值；缺项则该项为0分或不合格为0分。</w:t>
      </w:r>
    </w:p>
    <w:p w14:paraId="073CBAE3"/>
    <w:sectPr>
      <w:headerReference r:id="rId5"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AB03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3167">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3F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B25EA"/>
    <w:multiLevelType w:val="singleLevel"/>
    <w:tmpl w:val="B9DB25EA"/>
    <w:lvl w:ilvl="0" w:tentative="0">
      <w:start w:val="2"/>
      <w:numFmt w:val="chineseCounting"/>
      <w:suff w:val="nothing"/>
      <w:lvlText w:val="%1、"/>
      <w:lvlJc w:val="left"/>
      <w:rPr>
        <w:rFonts w:hint="eastAsia"/>
      </w:rPr>
    </w:lvl>
  </w:abstractNum>
  <w:abstractNum w:abstractNumId="1">
    <w:nsid w:val="38C10E5F"/>
    <w:multiLevelType w:val="multilevel"/>
    <w:tmpl w:val="38C10E5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F7E50D4"/>
    <w:multiLevelType w:val="singleLevel"/>
    <w:tmpl w:val="7F7E50D4"/>
    <w:lvl w:ilvl="0" w:tentative="0">
      <w:start w:val="1"/>
      <w:numFmt w:val="chineseCounting"/>
      <w:pStyle w:val="19"/>
      <w:suff w:val="nothing"/>
      <w:lvlText w:val="%1、"/>
      <w:lvlJc w:val="left"/>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D2E6E"/>
    <w:rsid w:val="00901A81"/>
    <w:rsid w:val="00B32F31"/>
    <w:rsid w:val="00B43886"/>
    <w:rsid w:val="00CA135B"/>
    <w:rsid w:val="011D39A8"/>
    <w:rsid w:val="021D2F14"/>
    <w:rsid w:val="02276C4A"/>
    <w:rsid w:val="0256735F"/>
    <w:rsid w:val="02C860F0"/>
    <w:rsid w:val="03A86282"/>
    <w:rsid w:val="05084D8F"/>
    <w:rsid w:val="05410B0F"/>
    <w:rsid w:val="062A7F5E"/>
    <w:rsid w:val="06FB750B"/>
    <w:rsid w:val="07F800AB"/>
    <w:rsid w:val="08F56282"/>
    <w:rsid w:val="0AAA77CB"/>
    <w:rsid w:val="0AC842FF"/>
    <w:rsid w:val="0AF348D5"/>
    <w:rsid w:val="0AF56EDB"/>
    <w:rsid w:val="0B1B7439"/>
    <w:rsid w:val="0C0F2F61"/>
    <w:rsid w:val="0C2E02DE"/>
    <w:rsid w:val="0C771BAF"/>
    <w:rsid w:val="0CEA30E4"/>
    <w:rsid w:val="0D657EB5"/>
    <w:rsid w:val="0DB15155"/>
    <w:rsid w:val="0DB3293E"/>
    <w:rsid w:val="0E230CC5"/>
    <w:rsid w:val="0E807DED"/>
    <w:rsid w:val="0EFF7A5B"/>
    <w:rsid w:val="102513DC"/>
    <w:rsid w:val="10551BDA"/>
    <w:rsid w:val="111F502F"/>
    <w:rsid w:val="113D52BC"/>
    <w:rsid w:val="11445087"/>
    <w:rsid w:val="12956A61"/>
    <w:rsid w:val="12A51E03"/>
    <w:rsid w:val="14572BAF"/>
    <w:rsid w:val="153A0183"/>
    <w:rsid w:val="15B73296"/>
    <w:rsid w:val="16321AD6"/>
    <w:rsid w:val="167816D6"/>
    <w:rsid w:val="16813B44"/>
    <w:rsid w:val="175D162F"/>
    <w:rsid w:val="186F7D3C"/>
    <w:rsid w:val="19C92D41"/>
    <w:rsid w:val="19F71892"/>
    <w:rsid w:val="1AE747FE"/>
    <w:rsid w:val="1BE16C0B"/>
    <w:rsid w:val="1C033B7C"/>
    <w:rsid w:val="1C426008"/>
    <w:rsid w:val="1CC54F5C"/>
    <w:rsid w:val="1D6D18DF"/>
    <w:rsid w:val="1EB10CF4"/>
    <w:rsid w:val="1FA4396C"/>
    <w:rsid w:val="211D352D"/>
    <w:rsid w:val="21820531"/>
    <w:rsid w:val="235617C1"/>
    <w:rsid w:val="23677DFB"/>
    <w:rsid w:val="238B034B"/>
    <w:rsid w:val="23981A28"/>
    <w:rsid w:val="24AA0FE5"/>
    <w:rsid w:val="257F60D4"/>
    <w:rsid w:val="26B508AB"/>
    <w:rsid w:val="26D20D7F"/>
    <w:rsid w:val="27FA6A57"/>
    <w:rsid w:val="284C7F0C"/>
    <w:rsid w:val="28CE47F1"/>
    <w:rsid w:val="29A32625"/>
    <w:rsid w:val="2AB720A2"/>
    <w:rsid w:val="2AEF6572"/>
    <w:rsid w:val="2BFB1009"/>
    <w:rsid w:val="2D4345E1"/>
    <w:rsid w:val="2D496E21"/>
    <w:rsid w:val="2EB60318"/>
    <w:rsid w:val="3008253F"/>
    <w:rsid w:val="31350845"/>
    <w:rsid w:val="315F1634"/>
    <w:rsid w:val="323018E8"/>
    <w:rsid w:val="33587E53"/>
    <w:rsid w:val="335E6C7C"/>
    <w:rsid w:val="3427011B"/>
    <w:rsid w:val="34626177"/>
    <w:rsid w:val="3463549B"/>
    <w:rsid w:val="347436ED"/>
    <w:rsid w:val="35D2111A"/>
    <w:rsid w:val="36116FF2"/>
    <w:rsid w:val="36854CC3"/>
    <w:rsid w:val="390A0991"/>
    <w:rsid w:val="3AB11154"/>
    <w:rsid w:val="3B075089"/>
    <w:rsid w:val="3C0D5708"/>
    <w:rsid w:val="3C4230F3"/>
    <w:rsid w:val="3CF15FC8"/>
    <w:rsid w:val="3D0125F3"/>
    <w:rsid w:val="3D38657A"/>
    <w:rsid w:val="3D8800F5"/>
    <w:rsid w:val="3DC8240C"/>
    <w:rsid w:val="3E80335B"/>
    <w:rsid w:val="3EBC66DC"/>
    <w:rsid w:val="3FFC6C0C"/>
    <w:rsid w:val="403768E5"/>
    <w:rsid w:val="40B12396"/>
    <w:rsid w:val="40B438DB"/>
    <w:rsid w:val="419200DA"/>
    <w:rsid w:val="419D0AEB"/>
    <w:rsid w:val="42CD3B89"/>
    <w:rsid w:val="43455469"/>
    <w:rsid w:val="43B67897"/>
    <w:rsid w:val="43E419BB"/>
    <w:rsid w:val="44FD31A7"/>
    <w:rsid w:val="45AB6797"/>
    <w:rsid w:val="464A6521"/>
    <w:rsid w:val="46C75626"/>
    <w:rsid w:val="472E1929"/>
    <w:rsid w:val="474A4E16"/>
    <w:rsid w:val="476762C9"/>
    <w:rsid w:val="477F6BBB"/>
    <w:rsid w:val="47AA54DE"/>
    <w:rsid w:val="47C64586"/>
    <w:rsid w:val="48126D28"/>
    <w:rsid w:val="48187FF1"/>
    <w:rsid w:val="488F42C2"/>
    <w:rsid w:val="48BF52CA"/>
    <w:rsid w:val="4AD5036E"/>
    <w:rsid w:val="4CAE52EA"/>
    <w:rsid w:val="4D2F6E72"/>
    <w:rsid w:val="4D7E0232"/>
    <w:rsid w:val="4E2242F4"/>
    <w:rsid w:val="4F3872D7"/>
    <w:rsid w:val="505F3C21"/>
    <w:rsid w:val="50831875"/>
    <w:rsid w:val="50E52560"/>
    <w:rsid w:val="512E5025"/>
    <w:rsid w:val="51700199"/>
    <w:rsid w:val="52A95472"/>
    <w:rsid w:val="53EA0C39"/>
    <w:rsid w:val="5481071B"/>
    <w:rsid w:val="549D1853"/>
    <w:rsid w:val="552D39FA"/>
    <w:rsid w:val="5564366F"/>
    <w:rsid w:val="55CA7F31"/>
    <w:rsid w:val="55FA5171"/>
    <w:rsid w:val="568424E9"/>
    <w:rsid w:val="56C4546A"/>
    <w:rsid w:val="56DB5D94"/>
    <w:rsid w:val="59DE7D3B"/>
    <w:rsid w:val="5A4872CB"/>
    <w:rsid w:val="5A603752"/>
    <w:rsid w:val="5A6650BA"/>
    <w:rsid w:val="5AE44300"/>
    <w:rsid w:val="5AFD6CE9"/>
    <w:rsid w:val="5C497605"/>
    <w:rsid w:val="5C520CA1"/>
    <w:rsid w:val="5D245E55"/>
    <w:rsid w:val="5D2A2697"/>
    <w:rsid w:val="5D7D1AB7"/>
    <w:rsid w:val="5D87222A"/>
    <w:rsid w:val="5DB5306F"/>
    <w:rsid w:val="5E954433"/>
    <w:rsid w:val="608E4865"/>
    <w:rsid w:val="61F84885"/>
    <w:rsid w:val="63131E3D"/>
    <w:rsid w:val="63603C0E"/>
    <w:rsid w:val="63CD146D"/>
    <w:rsid w:val="65065C5B"/>
    <w:rsid w:val="66866D67"/>
    <w:rsid w:val="66903E9E"/>
    <w:rsid w:val="67397CED"/>
    <w:rsid w:val="67E31CAB"/>
    <w:rsid w:val="67E60158"/>
    <w:rsid w:val="68F449C6"/>
    <w:rsid w:val="6AE7307C"/>
    <w:rsid w:val="6B1469ED"/>
    <w:rsid w:val="6B2654AB"/>
    <w:rsid w:val="6D05691B"/>
    <w:rsid w:val="6EBB6FB1"/>
    <w:rsid w:val="6EF22C6F"/>
    <w:rsid w:val="6F4A6C9C"/>
    <w:rsid w:val="6FD215A1"/>
    <w:rsid w:val="70115BAF"/>
    <w:rsid w:val="705C3541"/>
    <w:rsid w:val="720206ED"/>
    <w:rsid w:val="721021E1"/>
    <w:rsid w:val="726D5D94"/>
    <w:rsid w:val="73F3185A"/>
    <w:rsid w:val="745F394F"/>
    <w:rsid w:val="75554A67"/>
    <w:rsid w:val="767309FE"/>
    <w:rsid w:val="76CC03F0"/>
    <w:rsid w:val="775105EC"/>
    <w:rsid w:val="78EB5F7C"/>
    <w:rsid w:val="79860A18"/>
    <w:rsid w:val="7A076467"/>
    <w:rsid w:val="7A504988"/>
    <w:rsid w:val="7A7D2278"/>
    <w:rsid w:val="7B3A704B"/>
    <w:rsid w:val="7BBD0AC9"/>
    <w:rsid w:val="7BC736D0"/>
    <w:rsid w:val="7C5F60A7"/>
    <w:rsid w:val="7ED11C70"/>
    <w:rsid w:val="7EEE542A"/>
    <w:rsid w:val="7F6F4642"/>
    <w:rsid w:val="AF579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4"/>
    <w:next w:val="1"/>
    <w:qFormat/>
    <w:uiPriority w:val="0"/>
    <w:pPr>
      <w:keepNext/>
      <w:keepLines/>
    </w:pPr>
    <w:rPr>
      <w:rFonts w:ascii="黑体" w:hAnsi="黑体"/>
      <w:b w:val="0"/>
      <w:kern w:val="44"/>
      <w:sz w:val="44"/>
    </w:rPr>
  </w:style>
  <w:style w:type="paragraph" w:styleId="6">
    <w:name w:val="heading 2"/>
    <w:basedOn w:val="1"/>
    <w:next w:val="1"/>
    <w:semiHidden/>
    <w:unhideWhenUsed/>
    <w:qFormat/>
    <w:uiPriority w:val="0"/>
    <w:pPr>
      <w:keepNext/>
      <w:keepLines/>
      <w:ind w:firstLine="880" w:firstLineChars="200"/>
      <w:outlineLvl w:val="1"/>
    </w:pPr>
    <w:rPr>
      <w:rFonts w:eastAsia="黑体"/>
      <w:sz w:val="32"/>
    </w:rPr>
  </w:style>
  <w:style w:type="paragraph" w:styleId="7">
    <w:name w:val="heading 3"/>
    <w:basedOn w:val="6"/>
    <w:next w:val="1"/>
    <w:semiHidden/>
    <w:unhideWhenUsed/>
    <w:qFormat/>
    <w:uiPriority w:val="0"/>
    <w:pPr>
      <w:outlineLvl w:val="2"/>
    </w:pPr>
    <w:rPr>
      <w:rFonts w:ascii="楷体" w:hAnsi="楷体" w:eastAsia="楷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jc w:val="center"/>
      <w:outlineLvl w:val="0"/>
    </w:pPr>
    <w:rPr>
      <w:rFonts w:ascii="Arial" w:hAnsi="Arial"/>
      <w:b/>
      <w:sz w:val="32"/>
    </w:rPr>
  </w:style>
  <w:style w:type="paragraph" w:styleId="8">
    <w:name w:val="annotation text"/>
    <w:basedOn w:val="1"/>
    <w:unhideWhenUsed/>
    <w:qFormat/>
    <w:uiPriority w:val="99"/>
    <w:pPr>
      <w:jc w:val="left"/>
    </w:pPr>
  </w:style>
  <w:style w:type="paragraph" w:styleId="9">
    <w:name w:val="Body Text Indent 2"/>
    <w:basedOn w:val="1"/>
    <w:qFormat/>
    <w:uiPriority w:val="0"/>
    <w:pPr>
      <w:spacing w:line="360" w:lineRule="auto"/>
      <w:ind w:firstLine="480" w:firstLineChars="200"/>
    </w:pPr>
    <w:rPr>
      <w:rFonts w:ascii="宋体"/>
      <w:sz w:val="24"/>
    </w:rPr>
  </w:style>
  <w:style w:type="paragraph" w:styleId="10">
    <w:name w:val="Balloon Text"/>
    <w:basedOn w:val="1"/>
    <w:link w:val="23"/>
    <w:qFormat/>
    <w:uiPriority w:val="0"/>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Autospacing="1" w:afterAutospacing="1"/>
    </w:pPr>
    <w:rPr>
      <w:rFonts w:cs="Times New Roman"/>
    </w:rPr>
  </w:style>
  <w:style w:type="paragraph" w:styleId="14">
    <w:name w:val="Body Text First Indent 2"/>
    <w:basedOn w:val="1"/>
    <w:qFormat/>
    <w:uiPriority w:val="0"/>
    <w:pPr>
      <w:ind w:firstLine="420" w:firstLineChars="200"/>
    </w:pPr>
    <w:rPr>
      <w:rFonts w:ascii="Calibri" w:hAnsi="Calibri"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unhideWhenUsed/>
    <w:qFormat/>
    <w:uiPriority w:val="99"/>
    <w:rPr>
      <w:sz w:val="21"/>
      <w:szCs w:val="21"/>
    </w:rPr>
  </w:style>
  <w:style w:type="paragraph" w:customStyle="1" w:styleId="19">
    <w:name w:val="大标题"/>
    <w:basedOn w:val="4"/>
    <w:next w:val="1"/>
    <w:qFormat/>
    <w:uiPriority w:val="0"/>
    <w:pPr>
      <w:numPr>
        <w:ilvl w:val="0"/>
        <w:numId w:val="1"/>
      </w:numPr>
    </w:pPr>
    <w:rPr>
      <w:rFonts w:hint="eastAsia" w:ascii="黑体" w:hAnsi="黑体"/>
      <w:sz w:val="44"/>
      <w:szCs w:val="32"/>
    </w:rPr>
  </w:style>
  <w:style w:type="character" w:customStyle="1" w:styleId="20">
    <w:name w:val="15"/>
    <w:basedOn w:val="17"/>
    <w:qFormat/>
    <w:uiPriority w:val="0"/>
    <w:rPr>
      <w:rFonts w:hint="default" w:ascii="Calibri" w:hAnsi="Calibri" w:cs="Calibri"/>
      <w:sz w:val="22"/>
      <w:szCs w:val="22"/>
    </w:rPr>
  </w:style>
  <w:style w:type="character" w:customStyle="1" w:styleId="21">
    <w:name w:val="页眉 Char"/>
    <w:basedOn w:val="17"/>
    <w:link w:val="12"/>
    <w:qFormat/>
    <w:uiPriority w:val="0"/>
    <w:rPr>
      <w:kern w:val="2"/>
      <w:sz w:val="18"/>
      <w:szCs w:val="18"/>
    </w:rPr>
  </w:style>
  <w:style w:type="character" w:customStyle="1" w:styleId="22">
    <w:name w:val="页脚 Char"/>
    <w:basedOn w:val="17"/>
    <w:link w:val="11"/>
    <w:qFormat/>
    <w:uiPriority w:val="0"/>
    <w:rPr>
      <w:kern w:val="2"/>
      <w:sz w:val="18"/>
      <w:szCs w:val="18"/>
    </w:rPr>
  </w:style>
  <w:style w:type="character" w:customStyle="1" w:styleId="23">
    <w:name w:val="批注框文本 Char"/>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25</Pages>
  <Words>51</Words>
  <Characters>57</Characters>
  <Lines>62</Lines>
  <Paragraphs>17</Paragraphs>
  <TotalTime>8</TotalTime>
  <ScaleCrop>false</ScaleCrop>
  <LinksUpToDate>false</LinksUpToDate>
  <CharactersWithSpaces>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魏维</dc:creator>
  <cp:lastModifiedBy>God T</cp:lastModifiedBy>
  <cp:lastPrinted>2025-03-03T06:29:00Z</cp:lastPrinted>
  <dcterms:modified xsi:type="dcterms:W3CDTF">2025-03-10T01:56:54Z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AF76DE47A98A4F4388179DE4C7917BDE_12</vt:lpwstr>
  </property>
  <property fmtid="{D5CDD505-2E9C-101B-9397-08002B2CF9AE}" pid="4" name="KSOTemplateDocerSaveRecord">
    <vt:lpwstr>eyJoZGlkIjoiZTQ4Y2E4NTc4OTIzZmE3ZWZjNjMwYzlhNDI4NDc3NGEiLCJ1c2VySWQiOiIyMTc4ODY0MTIifQ==</vt:lpwstr>
  </property>
</Properties>
</file>