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color w:val="auto"/>
          <w:sz w:val="32"/>
          <w:szCs w:val="32"/>
          <w:highlight w:val="none"/>
        </w:rPr>
      </w:pPr>
      <w:r>
        <w:rPr>
          <w:rFonts w:hint="eastAsia" w:ascii="华文中宋" w:hAnsi="华文中宋" w:eastAsia="华文中宋"/>
          <w:color w:val="auto"/>
          <w:sz w:val="32"/>
          <w:szCs w:val="32"/>
          <w:highlight w:val="none"/>
          <w:lang w:eastAsia="zh-CN"/>
        </w:rPr>
        <w:t>深圳市公共就业服务中心2025年深圳市高校毕业生校园招聘会</w:t>
      </w:r>
      <w:r>
        <w:rPr>
          <w:rFonts w:hint="eastAsia" w:ascii="华文中宋" w:hAnsi="华文中宋" w:eastAsia="华文中宋"/>
          <w:color w:val="auto"/>
          <w:sz w:val="32"/>
          <w:szCs w:val="32"/>
          <w:highlight w:val="none"/>
        </w:rPr>
        <w:t>中标（成交）结果公示</w:t>
      </w:r>
    </w:p>
    <w:p>
      <w:pPr>
        <w:ind w:left="42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一、项目编号：</w:t>
      </w:r>
      <w:r>
        <w:rPr>
          <w:rFonts w:hint="eastAsia" w:ascii="仿宋" w:hAnsi="仿宋" w:eastAsia="仿宋"/>
          <w:color w:val="auto"/>
          <w:sz w:val="28"/>
          <w:szCs w:val="28"/>
          <w:highlight w:val="none"/>
          <w:lang w:eastAsia="zh-CN"/>
        </w:rPr>
        <w:t>CLF0125SZ01QY15</w:t>
      </w:r>
    </w:p>
    <w:p>
      <w:pPr>
        <w:ind w:left="420"/>
        <w:rPr>
          <w:rFonts w:hint="eastAsia" w:ascii="仿宋" w:hAnsi="仿宋" w:eastAsia="仿宋"/>
          <w:color w:val="auto"/>
          <w:sz w:val="28"/>
          <w:szCs w:val="28"/>
          <w:highlight w:val="none"/>
          <w:u w:val="single"/>
          <w:lang w:eastAsia="zh-CN"/>
        </w:rPr>
      </w:pPr>
      <w:r>
        <w:rPr>
          <w:rFonts w:hint="eastAsia" w:ascii="仿宋" w:hAnsi="仿宋" w:eastAsia="仿宋"/>
          <w:color w:val="auto"/>
          <w:sz w:val="28"/>
          <w:szCs w:val="28"/>
          <w:highlight w:val="none"/>
        </w:rPr>
        <w:t>二、项目名称：</w:t>
      </w:r>
      <w:r>
        <w:rPr>
          <w:rFonts w:hint="eastAsia" w:ascii="仿宋" w:hAnsi="仿宋" w:eastAsia="仿宋"/>
          <w:color w:val="auto"/>
          <w:sz w:val="28"/>
          <w:szCs w:val="28"/>
          <w:highlight w:val="none"/>
          <w:lang w:eastAsia="zh-CN"/>
        </w:rPr>
        <w:t>2025年深圳市高校毕业生校园招聘会</w:t>
      </w:r>
    </w:p>
    <w:p>
      <w:pPr>
        <w:ind w:left="420"/>
        <w:rPr>
          <w:rFonts w:ascii="仿宋" w:hAnsi="仿宋" w:eastAsia="仿宋"/>
          <w:color w:val="auto"/>
          <w:sz w:val="28"/>
          <w:szCs w:val="28"/>
          <w:highlight w:val="none"/>
        </w:rPr>
      </w:pPr>
      <w:r>
        <w:rPr>
          <w:rFonts w:hint="eastAsia" w:ascii="仿宋" w:hAnsi="仿宋" w:eastAsia="仿宋"/>
          <w:color w:val="auto"/>
          <w:sz w:val="28"/>
          <w:szCs w:val="28"/>
          <w:highlight w:val="none"/>
        </w:rPr>
        <w:t>三、投标供应商名称及报价：</w:t>
      </w:r>
    </w:p>
    <w:tbl>
      <w:tblPr>
        <w:tblStyle w:val="13"/>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4"/>
        <w:gridCol w:w="2070"/>
        <w:gridCol w:w="1500"/>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494" w:type="dxa"/>
            <w:vAlign w:val="center"/>
          </w:tcPr>
          <w:p>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投标供应商名称</w:t>
            </w:r>
          </w:p>
        </w:tc>
        <w:tc>
          <w:tcPr>
            <w:tcW w:w="2070" w:type="dxa"/>
          </w:tcPr>
          <w:p>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投标报价</w:t>
            </w:r>
          </w:p>
          <w:p>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（人民币 元）</w:t>
            </w:r>
          </w:p>
        </w:tc>
        <w:tc>
          <w:tcPr>
            <w:tcW w:w="1500" w:type="dxa"/>
          </w:tcPr>
          <w:p>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资格性审查结果</w:t>
            </w:r>
          </w:p>
        </w:tc>
        <w:tc>
          <w:tcPr>
            <w:tcW w:w="1496" w:type="dxa"/>
          </w:tcPr>
          <w:p>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符合性审查结果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494" w:type="dxa"/>
            <w:vAlign w:val="center"/>
          </w:tcPr>
          <w:p>
            <w:pPr>
              <w:jc w:val="cente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深圳市天域人力资源有限公司</w:t>
            </w:r>
          </w:p>
        </w:tc>
        <w:tc>
          <w:tcPr>
            <w:tcW w:w="2070" w:type="dxa"/>
            <w:vAlign w:val="center"/>
          </w:tcPr>
          <w:p>
            <w:pPr>
              <w:jc w:val="cente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 xml:space="preserve">494,994.00 </w:t>
            </w:r>
          </w:p>
        </w:tc>
        <w:tc>
          <w:tcPr>
            <w:tcW w:w="1500" w:type="dxa"/>
          </w:tcPr>
          <w:p>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通过</w:t>
            </w:r>
          </w:p>
        </w:tc>
        <w:tc>
          <w:tcPr>
            <w:tcW w:w="1496" w:type="dxa"/>
          </w:tcPr>
          <w:p>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494" w:type="dxa"/>
            <w:vAlign w:val="center"/>
          </w:tcPr>
          <w:p>
            <w:pPr>
              <w:jc w:val="cente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深圳市恒泰人才交流服务有限公司</w:t>
            </w:r>
          </w:p>
        </w:tc>
        <w:tc>
          <w:tcPr>
            <w:tcW w:w="2070" w:type="dxa"/>
            <w:vAlign w:val="center"/>
          </w:tcPr>
          <w:p>
            <w:pPr>
              <w:jc w:val="cente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 xml:space="preserve">559,242.75 </w:t>
            </w:r>
          </w:p>
        </w:tc>
        <w:tc>
          <w:tcPr>
            <w:tcW w:w="1500" w:type="dxa"/>
          </w:tcPr>
          <w:p>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通过</w:t>
            </w:r>
          </w:p>
        </w:tc>
        <w:tc>
          <w:tcPr>
            <w:tcW w:w="1496" w:type="dxa"/>
          </w:tcPr>
          <w:p>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494" w:type="dxa"/>
            <w:vAlign w:val="center"/>
          </w:tcPr>
          <w:p>
            <w:pPr>
              <w:jc w:val="cente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深圳市一览网络股份有限公司</w:t>
            </w:r>
          </w:p>
        </w:tc>
        <w:tc>
          <w:tcPr>
            <w:tcW w:w="2070" w:type="dxa"/>
            <w:vAlign w:val="center"/>
          </w:tcPr>
          <w:p>
            <w:pPr>
              <w:jc w:val="cente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 xml:space="preserve">556,600.00 </w:t>
            </w:r>
          </w:p>
        </w:tc>
        <w:tc>
          <w:tcPr>
            <w:tcW w:w="1500" w:type="dxa"/>
          </w:tcPr>
          <w:p>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通过</w:t>
            </w:r>
          </w:p>
        </w:tc>
        <w:tc>
          <w:tcPr>
            <w:tcW w:w="1496" w:type="dxa"/>
          </w:tcPr>
          <w:p>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494" w:type="dxa"/>
            <w:vAlign w:val="center"/>
          </w:tcPr>
          <w:p>
            <w:pPr>
              <w:jc w:val="cente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深圳市鹏程人力资源配置有限公司</w:t>
            </w:r>
          </w:p>
        </w:tc>
        <w:tc>
          <w:tcPr>
            <w:tcW w:w="2070" w:type="dxa"/>
            <w:vAlign w:val="center"/>
          </w:tcPr>
          <w:p>
            <w:pPr>
              <w:jc w:val="cente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 xml:space="preserve">549,995.22 </w:t>
            </w:r>
          </w:p>
        </w:tc>
        <w:tc>
          <w:tcPr>
            <w:tcW w:w="1500" w:type="dxa"/>
            <w:vAlign w:val="top"/>
          </w:tcPr>
          <w:p>
            <w:pPr>
              <w:jc w:val="cente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rPr>
              <w:t>通过</w:t>
            </w:r>
          </w:p>
        </w:tc>
        <w:tc>
          <w:tcPr>
            <w:tcW w:w="1496" w:type="dxa"/>
            <w:vAlign w:val="top"/>
          </w:tcPr>
          <w:p>
            <w:pPr>
              <w:jc w:val="cente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494" w:type="dxa"/>
            <w:vAlign w:val="center"/>
          </w:tcPr>
          <w:p>
            <w:pPr>
              <w:jc w:val="cente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深圳永葆好奇科技有限公司</w:t>
            </w:r>
          </w:p>
        </w:tc>
        <w:tc>
          <w:tcPr>
            <w:tcW w:w="2070" w:type="dxa"/>
            <w:vAlign w:val="center"/>
          </w:tcPr>
          <w:p>
            <w:pPr>
              <w:jc w:val="cente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 xml:space="preserve">561,778.80 </w:t>
            </w:r>
          </w:p>
        </w:tc>
        <w:tc>
          <w:tcPr>
            <w:tcW w:w="1500" w:type="dxa"/>
            <w:vAlign w:val="top"/>
          </w:tcPr>
          <w:p>
            <w:pPr>
              <w:jc w:val="cente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rPr>
              <w:t>通过</w:t>
            </w:r>
          </w:p>
        </w:tc>
        <w:tc>
          <w:tcPr>
            <w:tcW w:w="1496" w:type="dxa"/>
            <w:vAlign w:val="top"/>
          </w:tcPr>
          <w:p>
            <w:pPr>
              <w:jc w:val="cente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494" w:type="dxa"/>
            <w:vAlign w:val="center"/>
          </w:tcPr>
          <w:p>
            <w:pPr>
              <w:jc w:val="cente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职接（深圳）信息科技有限公司</w:t>
            </w:r>
          </w:p>
        </w:tc>
        <w:tc>
          <w:tcPr>
            <w:tcW w:w="2070" w:type="dxa"/>
            <w:vAlign w:val="center"/>
          </w:tcPr>
          <w:p>
            <w:pPr>
              <w:jc w:val="cente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 xml:space="preserve">546,408.80 </w:t>
            </w:r>
          </w:p>
        </w:tc>
        <w:tc>
          <w:tcPr>
            <w:tcW w:w="1500" w:type="dxa"/>
            <w:vAlign w:val="top"/>
          </w:tcPr>
          <w:p>
            <w:pPr>
              <w:jc w:val="cente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rPr>
              <w:t>通过</w:t>
            </w:r>
          </w:p>
        </w:tc>
        <w:tc>
          <w:tcPr>
            <w:tcW w:w="1496" w:type="dxa"/>
            <w:vAlign w:val="top"/>
          </w:tcPr>
          <w:p>
            <w:pPr>
              <w:jc w:val="cente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rPr>
              <w:t>通过</w:t>
            </w:r>
          </w:p>
        </w:tc>
      </w:tr>
    </w:tbl>
    <w:p>
      <w:pPr>
        <w:ind w:left="420"/>
        <w:rPr>
          <w:rFonts w:ascii="仿宋" w:hAnsi="仿宋" w:eastAsia="仿宋"/>
          <w:color w:val="auto"/>
          <w:sz w:val="28"/>
          <w:szCs w:val="28"/>
          <w:highlight w:val="none"/>
        </w:rPr>
      </w:pPr>
      <w:r>
        <w:rPr>
          <w:rFonts w:hint="eastAsia" w:ascii="仿宋" w:hAnsi="仿宋" w:eastAsia="仿宋"/>
          <w:color w:val="auto"/>
          <w:sz w:val="28"/>
          <w:szCs w:val="28"/>
          <w:highlight w:val="none"/>
        </w:rPr>
        <w:t>四、候选中标供应商名单：深圳市一览网络股份有限公司</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深圳市鹏程人力资源配置有限公司</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深圳市恒泰人才交流服务有限公司</w:t>
      </w:r>
    </w:p>
    <w:p>
      <w:pPr>
        <w:ind w:left="42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五、中标（成交）信息</w:t>
      </w:r>
      <w:r>
        <w:rPr>
          <w:rFonts w:hint="eastAsia" w:ascii="仿宋" w:hAnsi="仿宋" w:eastAsia="仿宋"/>
          <w:color w:val="auto"/>
          <w:sz w:val="28"/>
          <w:szCs w:val="28"/>
          <w:highlight w:val="none"/>
          <w:lang w:val="en-US" w:eastAsia="zh-CN"/>
        </w:rPr>
        <w:tab/>
      </w:r>
    </w:p>
    <w:p>
      <w:pPr>
        <w:ind w:left="0" w:leftChars="0" w:firstLine="439" w:firstLineChars="157"/>
        <w:rPr>
          <w:rFonts w:ascii="仿宋" w:hAnsi="仿宋" w:eastAsia="仿宋"/>
          <w:color w:val="auto"/>
          <w:sz w:val="28"/>
          <w:szCs w:val="28"/>
          <w:highlight w:val="none"/>
        </w:rPr>
      </w:pPr>
      <w:r>
        <w:rPr>
          <w:rFonts w:hint="eastAsia" w:ascii="仿宋" w:hAnsi="仿宋" w:eastAsia="仿宋"/>
          <w:color w:val="auto"/>
          <w:sz w:val="28"/>
          <w:szCs w:val="28"/>
          <w:highlight w:val="none"/>
        </w:rPr>
        <w:t>供应商名称：深圳市一览网络股份有限公司</w:t>
      </w:r>
    </w:p>
    <w:p>
      <w:pPr>
        <w:ind w:left="0" w:leftChars="0" w:firstLine="439" w:firstLineChars="157"/>
        <w:rPr>
          <w:rFonts w:ascii="仿宋" w:hAnsi="仿宋" w:eastAsia="仿宋"/>
          <w:color w:val="auto"/>
          <w:sz w:val="28"/>
          <w:szCs w:val="28"/>
          <w:highlight w:val="none"/>
        </w:rPr>
      </w:pPr>
      <w:r>
        <w:rPr>
          <w:rFonts w:hint="eastAsia" w:ascii="仿宋" w:hAnsi="仿宋" w:eastAsia="仿宋"/>
          <w:color w:val="auto"/>
          <w:sz w:val="28"/>
          <w:szCs w:val="28"/>
          <w:highlight w:val="none"/>
        </w:rPr>
        <w:t>供应商地址：深圳市南山区粤海街道白石路3609号深圳湾科技生态园9栋B座07层17-18号</w:t>
      </w:r>
    </w:p>
    <w:p>
      <w:pPr>
        <w:ind w:left="0" w:leftChars="0" w:firstLine="439" w:firstLineChars="157"/>
        <w:rPr>
          <w:rFonts w:hint="eastAsia" w:ascii="仿宋" w:hAnsi="仿宋" w:eastAsia="仿宋"/>
          <w:color w:val="auto"/>
          <w:sz w:val="28"/>
          <w:szCs w:val="28"/>
          <w:highlight w:val="none"/>
          <w:u w:val="single"/>
        </w:rPr>
      </w:pPr>
      <w:r>
        <w:rPr>
          <w:rFonts w:hint="eastAsia" w:ascii="仿宋" w:hAnsi="仿宋" w:eastAsia="仿宋"/>
          <w:color w:val="auto"/>
          <w:sz w:val="28"/>
          <w:szCs w:val="28"/>
          <w:highlight w:val="none"/>
        </w:rPr>
        <w:t>中标（成交）金额：人民币556,600.00元</w:t>
      </w:r>
    </w:p>
    <w:p>
      <w:pPr>
        <w:ind w:left="0" w:leftChars="0" w:firstLine="439" w:firstLineChars="157"/>
        <w:rPr>
          <w:rFonts w:hint="eastAsia" w:ascii="仿宋" w:hAnsi="仿宋" w:eastAsia="仿宋"/>
          <w:color w:val="auto"/>
          <w:sz w:val="28"/>
          <w:szCs w:val="28"/>
          <w:highlight w:val="none"/>
          <w:shd w:val="clear" w:color="FFFFFF" w:fill="D9D9D9"/>
          <w:lang w:val="en-US" w:eastAsia="zh-CN"/>
        </w:rPr>
      </w:pPr>
      <w:r>
        <w:rPr>
          <w:rFonts w:hint="eastAsia" w:ascii="仿宋" w:hAnsi="仿宋" w:eastAsia="仿宋"/>
          <w:color w:val="auto"/>
          <w:sz w:val="28"/>
          <w:szCs w:val="28"/>
          <w:highlight w:val="none"/>
          <w:lang w:val="en-US" w:eastAsia="zh-CN"/>
        </w:rPr>
        <w:t>评审总得分：96.05分</w:t>
      </w:r>
    </w:p>
    <w:p>
      <w:pPr>
        <w:ind w:left="420"/>
        <w:rPr>
          <w:rFonts w:ascii="仿宋" w:hAnsi="仿宋" w:eastAsia="仿宋"/>
          <w:color w:val="auto"/>
          <w:sz w:val="28"/>
          <w:szCs w:val="28"/>
          <w:highlight w:val="none"/>
        </w:rPr>
      </w:pPr>
      <w:r>
        <w:rPr>
          <w:rFonts w:hint="eastAsia" w:ascii="仿宋" w:hAnsi="仿宋" w:eastAsia="仿宋"/>
          <w:color w:val="auto"/>
          <w:sz w:val="28"/>
          <w:szCs w:val="28"/>
          <w:highlight w:val="none"/>
        </w:rPr>
        <w:t>六、主要标的信息</w:t>
      </w:r>
    </w:p>
    <w:tbl>
      <w:tblPr>
        <w:tblStyle w:val="13"/>
        <w:tblW w:w="7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1" w:type="dxa"/>
          </w:tcPr>
          <w:p>
            <w:pPr>
              <w:jc w:val="cente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1" w:type="dxa"/>
          </w:tcPr>
          <w:p>
            <w:pP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rPr>
              <w:t>名称：2025年深圳市高校毕业生校园招聘会</w:t>
            </w:r>
          </w:p>
          <w:p>
            <w:pP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服务范围：</w:t>
            </w:r>
            <w:r>
              <w:rPr>
                <w:rFonts w:hint="eastAsia" w:ascii="仿宋" w:hAnsi="仿宋" w:eastAsia="仿宋"/>
                <w:color w:val="auto"/>
                <w:kern w:val="0"/>
                <w:sz w:val="28"/>
                <w:szCs w:val="28"/>
                <w:highlight w:val="none"/>
                <w:lang w:eastAsia="zh-CN"/>
              </w:rPr>
              <w:t>详见招标文件</w:t>
            </w:r>
          </w:p>
          <w:p>
            <w:pPr>
              <w:rPr>
                <w:rFonts w:ascii="仿宋" w:hAnsi="仿宋" w:eastAsia="仿宋"/>
                <w:color w:val="auto"/>
                <w:kern w:val="0"/>
                <w:sz w:val="28"/>
                <w:szCs w:val="28"/>
                <w:highlight w:val="none"/>
                <w:u w:val="single"/>
              </w:rPr>
            </w:pPr>
            <w:r>
              <w:rPr>
                <w:rFonts w:hint="eastAsia" w:ascii="仿宋" w:hAnsi="仿宋" w:eastAsia="仿宋"/>
                <w:color w:val="auto"/>
                <w:kern w:val="0"/>
                <w:sz w:val="28"/>
                <w:szCs w:val="28"/>
                <w:highlight w:val="none"/>
              </w:rPr>
              <w:t>服务要求：</w:t>
            </w:r>
            <w:r>
              <w:rPr>
                <w:rFonts w:hint="eastAsia" w:ascii="仿宋" w:hAnsi="仿宋" w:eastAsia="仿宋"/>
                <w:color w:val="auto"/>
                <w:kern w:val="0"/>
                <w:sz w:val="28"/>
                <w:szCs w:val="28"/>
                <w:highlight w:val="none"/>
                <w:lang w:eastAsia="zh-CN"/>
              </w:rPr>
              <w:t>详见招标文件</w:t>
            </w:r>
          </w:p>
          <w:p>
            <w:pPr>
              <w:rPr>
                <w:rFonts w:ascii="仿宋" w:hAnsi="仿宋" w:eastAsia="仿宋"/>
                <w:color w:val="auto"/>
                <w:kern w:val="0"/>
                <w:sz w:val="28"/>
                <w:szCs w:val="28"/>
                <w:highlight w:val="none"/>
                <w:u w:val="single"/>
              </w:rPr>
            </w:pPr>
            <w:r>
              <w:rPr>
                <w:rFonts w:hint="eastAsia" w:ascii="仿宋" w:hAnsi="仿宋" w:eastAsia="仿宋"/>
                <w:color w:val="auto"/>
                <w:kern w:val="0"/>
                <w:sz w:val="28"/>
                <w:szCs w:val="28"/>
                <w:highlight w:val="none"/>
              </w:rPr>
              <w:t>服务时间：</w:t>
            </w:r>
            <w:r>
              <w:rPr>
                <w:rFonts w:hint="eastAsia" w:ascii="仿宋" w:hAnsi="仿宋" w:eastAsia="仿宋"/>
                <w:color w:val="auto"/>
                <w:kern w:val="0"/>
                <w:sz w:val="28"/>
                <w:szCs w:val="28"/>
                <w:highlight w:val="none"/>
                <w:lang w:eastAsia="zh-CN"/>
              </w:rPr>
              <w:t>详见招标文件</w:t>
            </w:r>
          </w:p>
          <w:p>
            <w:pPr>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服务标准：</w:t>
            </w:r>
            <w:r>
              <w:rPr>
                <w:rFonts w:hint="eastAsia" w:ascii="仿宋" w:hAnsi="仿宋" w:eastAsia="仿宋"/>
                <w:color w:val="auto"/>
                <w:kern w:val="0"/>
                <w:sz w:val="28"/>
                <w:szCs w:val="28"/>
                <w:highlight w:val="none"/>
                <w:lang w:eastAsia="zh-CN"/>
              </w:rPr>
              <w:t>详见招标文件</w:t>
            </w:r>
          </w:p>
        </w:tc>
      </w:tr>
    </w:tbl>
    <w:p>
      <w:pPr>
        <w:numPr>
          <w:ilvl w:val="0"/>
          <w:numId w:val="0"/>
        </w:numPr>
        <w:ind w:left="420" w:leftChars="0"/>
        <w:rPr>
          <w:rFonts w:hint="eastAsia" w:ascii="仿宋" w:hAnsi="仿宋" w:eastAsia="仿宋"/>
          <w:i/>
          <w:iCs/>
          <w:color w:val="auto"/>
          <w:sz w:val="28"/>
          <w:szCs w:val="28"/>
          <w:highlight w:val="none"/>
        </w:rPr>
      </w:pPr>
      <w:r>
        <w:rPr>
          <w:rFonts w:hint="eastAsia" w:ascii="仿宋" w:hAnsi="仿宋" w:eastAsia="仿宋"/>
          <w:color w:val="auto"/>
          <w:sz w:val="28"/>
          <w:szCs w:val="28"/>
          <w:highlight w:val="none"/>
          <w:lang w:val="en-US" w:eastAsia="zh-CN"/>
        </w:rPr>
        <w:t>七、</w:t>
      </w:r>
      <w:r>
        <w:rPr>
          <w:rFonts w:hint="eastAsia" w:ascii="仿宋" w:hAnsi="仿宋" w:eastAsia="仿宋"/>
          <w:color w:val="auto"/>
          <w:sz w:val="28"/>
          <w:szCs w:val="28"/>
          <w:highlight w:val="none"/>
        </w:rPr>
        <w:t>评审委员会成员名单：李雪霜、顾梅、程惠镇、王丽娟、屈恩东</w:t>
      </w:r>
    </w:p>
    <w:p>
      <w:pPr>
        <w:keepNext w:val="0"/>
        <w:keepLines w:val="0"/>
        <w:pageBreakBefore w:val="0"/>
        <w:widowControl w:val="0"/>
        <w:kinsoku/>
        <w:wordWrap/>
        <w:overflowPunct/>
        <w:topLinePunct w:val="0"/>
        <w:autoSpaceDE/>
        <w:autoSpaceDN/>
        <w:bidi w:val="0"/>
        <w:adjustRightInd/>
        <w:snapToGrid/>
        <w:ind w:left="420" w:leftChars="0" w:firstLine="39" w:firstLineChars="14"/>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八、代理服务收费标准及金额：按《深圳市财政委员会关于规范深圳市社会采购代理机构管理有关事项的补充通知》（深财购〔2018〕27号）代理费用参考标准规定的“服务类”计算，乘以代理服务费折扣率87%收取</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当中标金额小于50万元时，按50万元计取</w:t>
      </w:r>
      <w:r>
        <w:rPr>
          <w:rFonts w:hint="eastAsia" w:ascii="仿宋" w:hAnsi="仿宋" w:eastAsia="仿宋" w:cs="宋体"/>
          <w:color w:val="auto"/>
          <w:kern w:val="0"/>
          <w:sz w:val="28"/>
          <w:szCs w:val="28"/>
          <w:highlight w:val="none"/>
        </w:rPr>
        <w:t>；向中标人收取人民币7,263元。</w:t>
      </w:r>
    </w:p>
    <w:p>
      <w:pPr>
        <w:ind w:left="420"/>
        <w:rPr>
          <w:rFonts w:ascii="仿宋" w:hAnsi="仿宋" w:eastAsia="仿宋"/>
          <w:color w:val="auto"/>
          <w:sz w:val="28"/>
          <w:szCs w:val="28"/>
          <w:highlight w:val="none"/>
        </w:rPr>
      </w:pPr>
      <w:r>
        <w:rPr>
          <w:rFonts w:hint="eastAsia" w:ascii="仿宋" w:hAnsi="仿宋" w:eastAsia="仿宋"/>
          <w:color w:val="auto"/>
          <w:sz w:val="28"/>
          <w:szCs w:val="28"/>
          <w:highlight w:val="none"/>
        </w:rPr>
        <w:t>九、公示期限</w:t>
      </w:r>
    </w:p>
    <w:p>
      <w:pPr>
        <w:ind w:firstLine="560" w:firstLineChars="200"/>
        <w:rPr>
          <w:rFonts w:ascii="仿宋" w:hAnsi="仿宋" w:eastAsia="仿宋" w:cs="宋体"/>
          <w:color w:val="auto"/>
          <w:kern w:val="0"/>
          <w:sz w:val="28"/>
          <w:szCs w:val="28"/>
          <w:highlight w:val="none"/>
        </w:rPr>
      </w:pPr>
      <w:r>
        <w:rPr>
          <w:rFonts w:hint="eastAsia" w:ascii="仿宋" w:hAnsi="仿宋" w:eastAsia="仿宋"/>
          <w:color w:val="auto"/>
          <w:sz w:val="28"/>
          <w:szCs w:val="28"/>
          <w:highlight w:val="none"/>
          <w:u w:val="none"/>
          <w:lang w:val="en-US" w:eastAsia="zh-CN"/>
        </w:rPr>
        <w:t>2025</w:t>
      </w:r>
      <w:r>
        <w:rPr>
          <w:rFonts w:hint="eastAsia" w:ascii="仿宋" w:hAnsi="仿宋" w:eastAsia="仿宋"/>
          <w:color w:val="auto"/>
          <w:sz w:val="28"/>
          <w:szCs w:val="28"/>
          <w:highlight w:val="none"/>
          <w:u w:val="none"/>
        </w:rPr>
        <w:t>年</w:t>
      </w:r>
      <w:r>
        <w:rPr>
          <w:rFonts w:hint="eastAsia" w:ascii="仿宋" w:hAnsi="仿宋" w:eastAsia="仿宋"/>
          <w:color w:val="auto"/>
          <w:sz w:val="28"/>
          <w:szCs w:val="28"/>
          <w:highlight w:val="none"/>
          <w:u w:val="none"/>
          <w:lang w:val="en-US" w:eastAsia="zh-CN"/>
        </w:rPr>
        <w:t>3</w:t>
      </w:r>
      <w:r>
        <w:rPr>
          <w:rFonts w:hint="eastAsia" w:ascii="仿宋" w:hAnsi="仿宋" w:eastAsia="仿宋"/>
          <w:color w:val="auto"/>
          <w:sz w:val="28"/>
          <w:szCs w:val="28"/>
          <w:highlight w:val="none"/>
          <w:u w:val="none"/>
        </w:rPr>
        <w:t>月</w:t>
      </w:r>
      <w:r>
        <w:rPr>
          <w:rFonts w:hint="eastAsia" w:ascii="仿宋" w:hAnsi="仿宋" w:eastAsia="仿宋"/>
          <w:color w:val="auto"/>
          <w:sz w:val="28"/>
          <w:szCs w:val="28"/>
          <w:highlight w:val="none"/>
          <w:u w:val="none"/>
          <w:lang w:val="en-US" w:eastAsia="zh-CN"/>
        </w:rPr>
        <w:t>7</w:t>
      </w:r>
      <w:r>
        <w:rPr>
          <w:rFonts w:hint="eastAsia" w:ascii="仿宋" w:hAnsi="仿宋" w:eastAsia="仿宋"/>
          <w:color w:val="auto"/>
          <w:sz w:val="28"/>
          <w:szCs w:val="28"/>
          <w:highlight w:val="none"/>
          <w:u w:val="none"/>
        </w:rPr>
        <w:t>日至</w:t>
      </w:r>
      <w:r>
        <w:rPr>
          <w:rFonts w:hint="eastAsia" w:ascii="仿宋" w:hAnsi="仿宋" w:eastAsia="仿宋"/>
          <w:color w:val="auto"/>
          <w:sz w:val="28"/>
          <w:szCs w:val="28"/>
          <w:highlight w:val="none"/>
          <w:u w:val="none"/>
          <w:lang w:val="en-US" w:eastAsia="zh-CN"/>
        </w:rPr>
        <w:t>2025</w:t>
      </w:r>
      <w:r>
        <w:rPr>
          <w:rFonts w:hint="eastAsia" w:ascii="仿宋" w:hAnsi="仿宋" w:eastAsia="仿宋"/>
          <w:color w:val="auto"/>
          <w:sz w:val="28"/>
          <w:szCs w:val="28"/>
          <w:highlight w:val="none"/>
          <w:u w:val="none"/>
        </w:rPr>
        <w:t>年</w:t>
      </w:r>
      <w:r>
        <w:rPr>
          <w:rFonts w:hint="eastAsia" w:ascii="仿宋" w:hAnsi="仿宋" w:eastAsia="仿宋"/>
          <w:color w:val="auto"/>
          <w:sz w:val="28"/>
          <w:szCs w:val="28"/>
          <w:highlight w:val="none"/>
          <w:u w:val="none"/>
          <w:lang w:val="en-US" w:eastAsia="zh-CN"/>
        </w:rPr>
        <w:t>3</w:t>
      </w:r>
      <w:r>
        <w:rPr>
          <w:rFonts w:hint="eastAsia" w:ascii="仿宋" w:hAnsi="仿宋" w:eastAsia="仿宋"/>
          <w:color w:val="auto"/>
          <w:sz w:val="28"/>
          <w:szCs w:val="28"/>
          <w:highlight w:val="none"/>
          <w:u w:val="none"/>
        </w:rPr>
        <w:t>月</w:t>
      </w:r>
      <w:r>
        <w:rPr>
          <w:rFonts w:hint="eastAsia" w:ascii="仿宋" w:hAnsi="仿宋" w:eastAsia="仿宋"/>
          <w:color w:val="auto"/>
          <w:sz w:val="28"/>
          <w:szCs w:val="28"/>
          <w:highlight w:val="none"/>
          <w:u w:val="none"/>
          <w:lang w:val="en-US" w:eastAsia="zh-CN"/>
        </w:rPr>
        <w:t>9</w:t>
      </w:r>
      <w:r>
        <w:rPr>
          <w:rFonts w:hint="eastAsia" w:ascii="仿宋" w:hAnsi="仿宋" w:eastAsia="仿宋"/>
          <w:color w:val="auto"/>
          <w:sz w:val="28"/>
          <w:szCs w:val="28"/>
          <w:highlight w:val="none"/>
          <w:u w:val="none"/>
        </w:rPr>
        <w:t>日</w:t>
      </w:r>
      <w:r>
        <w:rPr>
          <w:rFonts w:hint="eastAsia" w:ascii="仿宋" w:hAnsi="仿宋" w:eastAsia="仿宋" w:cs="宋体"/>
          <w:color w:val="auto"/>
          <w:kern w:val="0"/>
          <w:sz w:val="28"/>
          <w:szCs w:val="28"/>
          <w:highlight w:val="none"/>
        </w:rPr>
        <w:t>。</w:t>
      </w:r>
    </w:p>
    <w:p>
      <w:pPr>
        <w:ind w:left="4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十、其他补充事宜</w:t>
      </w:r>
    </w:p>
    <w:p>
      <w:pPr>
        <w:ind w:firstLine="280" w:firstLineChars="1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（一）供应商质疑</w:t>
      </w:r>
    </w:p>
    <w:p>
      <w:pPr>
        <w:widowControl/>
        <w:ind w:firstLine="560" w:firstLineChars="20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rPr>
        <w:t>供应商认为中标或者成交结果使自己的权益受到损害的</w:t>
      </w:r>
      <w:r>
        <w:rPr>
          <w:rFonts w:hint="eastAsia" w:ascii="仿宋" w:hAnsi="仿宋" w:eastAsia="仿宋"/>
          <w:color w:val="auto"/>
          <w:kern w:val="0"/>
          <w:sz w:val="28"/>
          <w:szCs w:val="28"/>
          <w:highlight w:val="none"/>
        </w:rPr>
        <w:t>，应当自本公告发布之日起七个工作日内</w:t>
      </w:r>
      <w:bookmarkStart w:id="0" w:name="_Hlk27380774"/>
      <w:r>
        <w:rPr>
          <w:rFonts w:hint="eastAsia" w:ascii="仿宋" w:hAnsi="仿宋" w:eastAsia="仿宋"/>
          <w:color w:val="auto"/>
          <w:kern w:val="0"/>
          <w:sz w:val="28"/>
          <w:szCs w:val="28"/>
          <w:highlight w:val="none"/>
        </w:rPr>
        <w:t>以书面形式向采联国际招标采购集团有限公司（或采购人）提出质疑，逾期将依法不予受理。</w:t>
      </w:r>
      <w:bookmarkEnd w:id="0"/>
    </w:p>
    <w:p>
      <w:pPr>
        <w:spacing w:line="360" w:lineRule="auto"/>
        <w:ind w:firstLine="280" w:firstLineChars="100"/>
        <w:rPr>
          <w:rFonts w:ascii="仿宋" w:hAnsi="仿宋" w:eastAsia="仿宋" w:cs="宋体"/>
          <w:color w:val="auto"/>
          <w:sz w:val="28"/>
          <w:szCs w:val="28"/>
          <w:highlight w:val="none"/>
        </w:rPr>
      </w:pPr>
      <w:r>
        <w:rPr>
          <w:rFonts w:hint="eastAsia" w:ascii="仿宋" w:hAnsi="仿宋" w:eastAsia="仿宋"/>
          <w:color w:val="auto"/>
          <w:kern w:val="0"/>
          <w:sz w:val="28"/>
          <w:szCs w:val="28"/>
          <w:highlight w:val="none"/>
        </w:rPr>
        <w:t>（二）</w:t>
      </w:r>
      <w:r>
        <w:rPr>
          <w:rFonts w:hint="eastAsia" w:ascii="仿宋" w:hAnsi="仿宋" w:eastAsia="仿宋" w:cs="宋体"/>
          <w:color w:val="auto"/>
          <w:sz w:val="28"/>
          <w:szCs w:val="28"/>
          <w:highlight w:val="none"/>
        </w:rPr>
        <w:t>本项目相关公告在以下媒体发布:</w:t>
      </w:r>
    </w:p>
    <w:p>
      <w:pPr>
        <w:ind w:firstLine="560" w:firstLineChars="200"/>
        <w:rPr>
          <w:rFonts w:hint="eastAsia" w:ascii="仿宋" w:hAnsi="仿宋" w:eastAsia="仿宋"/>
          <w:color w:val="auto"/>
          <w:kern w:val="0"/>
          <w:sz w:val="28"/>
          <w:szCs w:val="28"/>
          <w:highlight w:val="none"/>
        </w:rPr>
      </w:pPr>
      <w:bookmarkStart w:id="5" w:name="_GoBack"/>
      <w:bookmarkEnd w:id="5"/>
      <w:r>
        <w:rPr>
          <w:rFonts w:hint="eastAsia" w:ascii="仿宋" w:hAnsi="仿宋" w:eastAsia="仿宋"/>
          <w:color w:val="auto"/>
          <w:kern w:val="0"/>
          <w:sz w:val="28"/>
          <w:szCs w:val="28"/>
          <w:highlight w:val="none"/>
        </w:rPr>
        <w:t>相关媒体：深圳市人力资源和社会保障局（https://hrss.sz.gov.cn）、采购代理机构网站（www.chinapsp.cn）。相关公告在上述媒体上公布之日即视为有效送达，不再另行通知。</w:t>
      </w:r>
    </w:p>
    <w:p>
      <w:pPr>
        <w:ind w:left="42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十一、凡对本次公告内容提出询问，请按以下方式联系。</w:t>
      </w:r>
    </w:p>
    <w:p>
      <w:pPr>
        <w:adjustRightInd w:val="0"/>
        <w:snapToGrid w:val="0"/>
        <w:spacing w:line="360" w:lineRule="auto"/>
        <w:ind w:left="1121" w:leftChars="238" w:hanging="621" w:hangingChars="222"/>
        <w:jc w:val="left"/>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（一）采购人信息</w:t>
      </w:r>
    </w:p>
    <w:p>
      <w:pPr>
        <w:adjustRightInd w:val="0"/>
        <w:snapToGrid w:val="0"/>
        <w:spacing w:line="360" w:lineRule="auto"/>
        <w:ind w:left="1121" w:leftChars="238" w:hanging="621" w:hangingChars="222"/>
        <w:jc w:val="left"/>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名称：</w:t>
      </w:r>
      <w:r>
        <w:rPr>
          <w:rFonts w:hint="eastAsia" w:ascii="仿宋" w:hAnsi="仿宋" w:eastAsia="仿宋" w:cs="宋体"/>
          <w:bCs/>
          <w:color w:val="auto"/>
          <w:kern w:val="0"/>
          <w:sz w:val="28"/>
          <w:szCs w:val="28"/>
          <w:highlight w:val="none"/>
          <w:lang w:eastAsia="zh-CN"/>
        </w:rPr>
        <w:t>深圳市公共就业服务中心</w:t>
      </w:r>
    </w:p>
    <w:p>
      <w:pPr>
        <w:adjustRightInd w:val="0"/>
        <w:snapToGrid w:val="0"/>
        <w:spacing w:line="360" w:lineRule="auto"/>
        <w:ind w:left="1121" w:leftChars="238" w:hanging="621" w:hangingChars="222"/>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地址：</w:t>
      </w:r>
      <w:bookmarkStart w:id="1" w:name="_Toc28359009"/>
      <w:bookmarkStart w:id="2" w:name="_Toc28359086"/>
      <w:r>
        <w:rPr>
          <w:rFonts w:hint="eastAsia" w:ascii="仿宋" w:hAnsi="仿宋" w:eastAsia="仿宋"/>
          <w:color w:val="auto"/>
          <w:sz w:val="28"/>
          <w:szCs w:val="28"/>
          <w:highlight w:val="none"/>
        </w:rPr>
        <w:t>广东省深圳市福田区八卦二路113号劳动就业大厦</w:t>
      </w:r>
    </w:p>
    <w:p>
      <w:pPr>
        <w:adjustRightInd w:val="0"/>
        <w:snapToGrid w:val="0"/>
        <w:spacing w:line="360" w:lineRule="auto"/>
        <w:ind w:left="1121" w:leftChars="238" w:hanging="621" w:hangingChars="222"/>
        <w:jc w:val="left"/>
        <w:rPr>
          <w:rFonts w:ascii="仿宋" w:hAnsi="仿宋" w:eastAsia="仿宋"/>
          <w:color w:val="auto"/>
          <w:sz w:val="28"/>
          <w:szCs w:val="28"/>
          <w:highlight w:val="none"/>
        </w:rPr>
      </w:pPr>
      <w:r>
        <w:rPr>
          <w:rFonts w:hint="eastAsia" w:ascii="仿宋" w:hAnsi="仿宋" w:eastAsia="仿宋" w:cs="宋体"/>
          <w:color w:val="auto"/>
          <w:sz w:val="28"/>
          <w:szCs w:val="28"/>
          <w:highlight w:val="none"/>
        </w:rPr>
        <w:t>（</w:t>
      </w:r>
      <w:r>
        <w:rPr>
          <w:rFonts w:hint="eastAsia" w:ascii="仿宋" w:hAnsi="仿宋" w:eastAsia="仿宋" w:cs="宋体"/>
          <w:color w:val="auto"/>
          <w:sz w:val="28"/>
          <w:szCs w:val="28"/>
          <w:highlight w:val="none"/>
          <w:lang w:eastAsia="zh-CN"/>
        </w:rPr>
        <w:t>二</w:t>
      </w:r>
      <w:r>
        <w:rPr>
          <w:rFonts w:hint="eastAsia" w:ascii="仿宋" w:hAnsi="仿宋" w:eastAsia="仿宋" w:cs="宋体"/>
          <w:color w:val="auto"/>
          <w:sz w:val="28"/>
          <w:szCs w:val="28"/>
          <w:highlight w:val="none"/>
        </w:rPr>
        <w:t>）采购代理机构</w:t>
      </w:r>
      <w:bookmarkEnd w:id="1"/>
      <w:bookmarkEnd w:id="2"/>
    </w:p>
    <w:p>
      <w:pPr>
        <w:adjustRightInd w:val="0"/>
        <w:snapToGrid w:val="0"/>
        <w:spacing w:line="360" w:lineRule="auto"/>
        <w:ind w:left="1121" w:leftChars="238" w:hanging="621" w:hangingChars="222"/>
        <w:rPr>
          <w:rFonts w:ascii="仿宋" w:hAnsi="仿宋" w:eastAsia="仿宋"/>
          <w:color w:val="auto"/>
          <w:sz w:val="28"/>
          <w:szCs w:val="28"/>
          <w:highlight w:val="none"/>
        </w:rPr>
      </w:pPr>
      <w:r>
        <w:rPr>
          <w:rFonts w:hint="eastAsia" w:ascii="仿宋" w:hAnsi="仿宋" w:eastAsia="仿宋"/>
          <w:color w:val="auto"/>
          <w:sz w:val="28"/>
          <w:szCs w:val="28"/>
          <w:highlight w:val="none"/>
        </w:rPr>
        <w:t>名称：</w:t>
      </w:r>
      <w:r>
        <w:rPr>
          <w:rFonts w:hint="eastAsia" w:ascii="仿宋" w:hAnsi="仿宋" w:eastAsia="仿宋" w:cs="宋体"/>
          <w:color w:val="auto"/>
          <w:sz w:val="28"/>
          <w:szCs w:val="28"/>
          <w:highlight w:val="none"/>
        </w:rPr>
        <w:t>采联国际招标采购集团有限公司</w:t>
      </w:r>
    </w:p>
    <w:p>
      <w:pPr>
        <w:adjustRightInd w:val="0"/>
        <w:snapToGrid w:val="0"/>
        <w:spacing w:line="360" w:lineRule="auto"/>
        <w:ind w:left="97" w:leftChars="46" w:firstLine="442" w:firstLineChars="158"/>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地址：深圳市福田区竹子林中国经贸大厦</w:t>
      </w:r>
      <w:bookmarkStart w:id="3" w:name="_Toc28359010"/>
      <w:bookmarkStart w:id="4" w:name="_Toc28359087"/>
      <w:r>
        <w:rPr>
          <w:rFonts w:hint="eastAsia" w:ascii="仿宋" w:hAnsi="仿宋" w:eastAsia="仿宋"/>
          <w:color w:val="auto"/>
          <w:sz w:val="28"/>
          <w:szCs w:val="28"/>
          <w:highlight w:val="none"/>
        </w:rPr>
        <w:t>10楼采联国际招标采购集团有限公司深圳分公司</w:t>
      </w:r>
    </w:p>
    <w:p>
      <w:pPr>
        <w:adjustRightInd w:val="0"/>
        <w:snapToGrid w:val="0"/>
        <w:spacing w:line="360" w:lineRule="auto"/>
        <w:ind w:left="1121" w:leftChars="238" w:hanging="621" w:hangingChars="222"/>
        <w:rPr>
          <w:rFonts w:ascii="仿宋" w:hAnsi="仿宋" w:eastAsia="仿宋"/>
          <w:color w:val="auto"/>
          <w:sz w:val="28"/>
          <w:szCs w:val="28"/>
          <w:highlight w:val="none"/>
          <w:u w:val="single"/>
        </w:rPr>
      </w:pPr>
      <w:r>
        <w:rPr>
          <w:rFonts w:hint="eastAsia" w:ascii="仿宋" w:hAnsi="仿宋" w:eastAsia="仿宋" w:cs="宋体"/>
          <w:color w:val="auto"/>
          <w:sz w:val="28"/>
          <w:szCs w:val="28"/>
          <w:highlight w:val="none"/>
        </w:rPr>
        <w:t>（</w:t>
      </w:r>
      <w:r>
        <w:rPr>
          <w:rFonts w:hint="eastAsia" w:ascii="仿宋" w:hAnsi="仿宋" w:eastAsia="仿宋" w:cs="宋体"/>
          <w:color w:val="auto"/>
          <w:sz w:val="28"/>
          <w:szCs w:val="28"/>
          <w:highlight w:val="none"/>
          <w:lang w:eastAsia="zh-CN"/>
        </w:rPr>
        <w:t>三</w:t>
      </w:r>
      <w:r>
        <w:rPr>
          <w:rFonts w:hint="eastAsia" w:ascii="仿宋" w:hAnsi="仿宋" w:eastAsia="仿宋" w:cs="宋体"/>
          <w:color w:val="auto"/>
          <w:sz w:val="28"/>
          <w:szCs w:val="28"/>
          <w:highlight w:val="none"/>
        </w:rPr>
        <w:t>）项目</w:t>
      </w:r>
      <w:r>
        <w:rPr>
          <w:rFonts w:ascii="仿宋" w:hAnsi="仿宋" w:eastAsia="仿宋" w:cs="宋体"/>
          <w:color w:val="auto"/>
          <w:sz w:val="28"/>
          <w:szCs w:val="28"/>
          <w:highlight w:val="none"/>
        </w:rPr>
        <w:t>联系方式</w:t>
      </w:r>
      <w:bookmarkEnd w:id="3"/>
      <w:bookmarkEnd w:id="4"/>
    </w:p>
    <w:p>
      <w:pPr>
        <w:pStyle w:val="6"/>
        <w:adjustRightInd w:val="0"/>
        <w:snapToGrid w:val="0"/>
        <w:spacing w:line="360" w:lineRule="auto"/>
        <w:ind w:left="1119" w:leftChars="266" w:hanging="560" w:hangingChars="200"/>
        <w:rPr>
          <w:rFonts w:ascii="仿宋" w:hAnsi="仿宋" w:eastAsia="仿宋"/>
          <w:color w:val="auto"/>
          <w:sz w:val="28"/>
          <w:szCs w:val="28"/>
          <w:highlight w:val="none"/>
        </w:rPr>
      </w:pPr>
      <w:r>
        <w:rPr>
          <w:rFonts w:hint="eastAsia" w:ascii="仿宋" w:hAnsi="仿宋" w:eastAsia="仿宋"/>
          <w:color w:val="auto"/>
          <w:sz w:val="28"/>
          <w:szCs w:val="28"/>
          <w:highlight w:val="none"/>
        </w:rPr>
        <w:t>项目联系人：</w:t>
      </w:r>
      <w:r>
        <w:rPr>
          <w:rFonts w:hint="eastAsia" w:ascii="仿宋" w:hAnsi="仿宋" w:eastAsia="仿宋" w:cs="宋体"/>
          <w:color w:val="auto"/>
          <w:sz w:val="28"/>
          <w:szCs w:val="28"/>
          <w:highlight w:val="none"/>
          <w:lang w:val="en-US" w:eastAsia="zh-CN"/>
        </w:rPr>
        <w:t>吴</w:t>
      </w:r>
      <w:r>
        <w:rPr>
          <w:rFonts w:hint="eastAsia" w:ascii="仿宋" w:hAnsi="仿宋" w:eastAsia="仿宋" w:cs="宋体"/>
          <w:color w:val="auto"/>
          <w:sz w:val="28"/>
          <w:szCs w:val="28"/>
          <w:highlight w:val="none"/>
        </w:rPr>
        <w:t>小姐</w:t>
      </w:r>
    </w:p>
    <w:p>
      <w:pPr>
        <w:keepNext w:val="0"/>
        <w:keepLines w:val="0"/>
        <w:pageBreakBefore w:val="0"/>
        <w:widowControl w:val="0"/>
        <w:kinsoku/>
        <w:wordWrap w:val="0"/>
        <w:overflowPunct/>
        <w:topLinePunct w:val="0"/>
        <w:autoSpaceDE/>
        <w:autoSpaceDN/>
        <w:bidi w:val="0"/>
        <w:adjustRightInd w:val="0"/>
        <w:snapToGrid w:val="0"/>
        <w:spacing w:line="360" w:lineRule="auto"/>
        <w:ind w:left="1119" w:leftChars="266" w:hanging="560" w:hanging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电　话：0755-8837757</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转23</w:t>
      </w:r>
      <w:r>
        <w:rPr>
          <w:rFonts w:hint="eastAsia" w:ascii="仿宋" w:hAnsi="仿宋" w:eastAsia="仿宋"/>
          <w:color w:val="auto"/>
          <w:sz w:val="28"/>
          <w:szCs w:val="28"/>
          <w:highlight w:val="none"/>
          <w:lang w:val="en-US" w:eastAsia="zh-CN"/>
        </w:rPr>
        <w:t>31</w:t>
      </w:r>
    </w:p>
    <w:p>
      <w:pPr>
        <w:keepNext w:val="0"/>
        <w:keepLines w:val="0"/>
        <w:pageBreakBefore w:val="0"/>
        <w:widowControl w:val="0"/>
        <w:kinsoku/>
        <w:wordWrap w:val="0"/>
        <w:overflowPunct/>
        <w:topLinePunct w:val="0"/>
        <w:autoSpaceDE/>
        <w:autoSpaceDN/>
        <w:bidi w:val="0"/>
        <w:adjustRightInd w:val="0"/>
        <w:snapToGrid w:val="0"/>
        <w:spacing w:line="360" w:lineRule="auto"/>
        <w:ind w:left="1119" w:leftChars="266" w:hanging="560" w:hanging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备用联系人：廖</w:t>
      </w:r>
      <w:r>
        <w:rPr>
          <w:rFonts w:hint="eastAsia" w:ascii="仿宋" w:hAnsi="仿宋" w:eastAsia="仿宋" w:cs="宋体"/>
          <w:color w:val="auto"/>
          <w:sz w:val="28"/>
          <w:szCs w:val="28"/>
          <w:highlight w:val="none"/>
        </w:rPr>
        <w:t>小姐</w:t>
      </w:r>
      <w:r>
        <w:rPr>
          <w:rFonts w:hint="eastAsia" w:ascii="仿宋" w:hAnsi="仿宋" w:eastAsia="仿宋"/>
          <w:color w:val="auto"/>
          <w:sz w:val="28"/>
          <w:szCs w:val="28"/>
          <w:highlight w:val="non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1119" w:leftChars="266" w:hanging="560" w:hangingChars="200"/>
        <w:textAlignment w:val="auto"/>
        <w:rPr>
          <w:rFonts w:hint="default" w:eastAsia="仿宋"/>
          <w:color w:val="auto"/>
          <w:highlight w:val="none"/>
          <w:lang w:val="en-US" w:eastAsia="zh-CN"/>
        </w:rPr>
      </w:pPr>
      <w:r>
        <w:rPr>
          <w:rFonts w:hint="eastAsia" w:ascii="仿宋" w:hAnsi="仿宋" w:eastAsia="仿宋"/>
          <w:color w:val="auto"/>
          <w:sz w:val="28"/>
          <w:szCs w:val="28"/>
          <w:highlight w:val="none"/>
          <w:lang w:val="en-US" w:eastAsia="zh-CN"/>
        </w:rPr>
        <w:t>备用联系电话：</w:t>
      </w:r>
      <w:r>
        <w:rPr>
          <w:rFonts w:hint="eastAsia" w:ascii="仿宋" w:hAnsi="仿宋" w:eastAsia="仿宋"/>
          <w:color w:val="auto"/>
          <w:sz w:val="28"/>
          <w:szCs w:val="28"/>
          <w:highlight w:val="none"/>
        </w:rPr>
        <w:t>0755-8837757</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转23</w:t>
      </w:r>
      <w:r>
        <w:rPr>
          <w:rFonts w:hint="eastAsia" w:ascii="仿宋" w:hAnsi="仿宋" w:eastAsia="仿宋"/>
          <w:color w:val="auto"/>
          <w:sz w:val="28"/>
          <w:szCs w:val="28"/>
          <w:highlight w:val="none"/>
          <w:lang w:val="en-US" w:eastAsia="zh-CN"/>
        </w:rPr>
        <w:t>21</w:t>
      </w:r>
    </w:p>
    <w:p>
      <w:pPr>
        <w:adjustRightInd w:val="0"/>
        <w:snapToGrid w:val="0"/>
        <w:spacing w:line="360" w:lineRule="auto"/>
        <w:ind w:left="1119" w:leftChars="266" w:hanging="560" w:hangingChars="200"/>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邮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编：518040</w:t>
      </w:r>
    </w:p>
    <w:p>
      <w:pPr>
        <w:adjustRightInd w:val="0"/>
        <w:snapToGrid w:val="0"/>
        <w:spacing w:line="360" w:lineRule="auto"/>
        <w:ind w:left="1119" w:leftChars="266" w:hanging="560" w:hangingChars="200"/>
        <w:rPr>
          <w:rFonts w:ascii="仿宋" w:hAnsi="仿宋" w:eastAsia="仿宋"/>
          <w:color w:val="auto"/>
          <w:sz w:val="28"/>
          <w:szCs w:val="28"/>
          <w:highlight w:val="none"/>
        </w:rPr>
      </w:pPr>
      <w:r>
        <w:rPr>
          <w:rFonts w:hint="eastAsia" w:ascii="仿宋" w:hAnsi="仿宋" w:eastAsia="仿宋"/>
          <w:color w:val="auto"/>
          <w:sz w:val="28"/>
          <w:szCs w:val="28"/>
          <w:highlight w:val="none"/>
        </w:rPr>
        <w:t>邮 箱：cailiansz@126.com</w:t>
      </w:r>
    </w:p>
    <w:p>
      <w:pPr>
        <w:widowControl/>
        <w:ind w:left="42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十二、附件（可在采购代理机构（www.chinapsp.cn）网站查看）</w:t>
      </w:r>
    </w:p>
    <w:p>
      <w:pPr>
        <w:ind w:left="57" w:leftChars="27" w:firstLine="439" w:firstLineChars="157"/>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（一）</w:t>
      </w:r>
      <w:r>
        <w:rPr>
          <w:rFonts w:hint="eastAsia" w:ascii="仿宋" w:hAnsi="仿宋" w:eastAsia="仿宋" w:cs="宋体"/>
          <w:color w:val="auto"/>
          <w:kern w:val="0"/>
          <w:sz w:val="28"/>
          <w:szCs w:val="28"/>
          <w:highlight w:val="none"/>
          <w:lang w:eastAsia="zh-CN"/>
        </w:rPr>
        <w:t>招标文件</w:t>
      </w:r>
    </w:p>
    <w:p>
      <w:pPr>
        <w:ind w:left="57" w:leftChars="27" w:firstLine="439" w:firstLineChars="157"/>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w:t>
      </w:r>
      <w:r>
        <w:rPr>
          <w:rFonts w:hint="eastAsia" w:ascii="仿宋" w:hAnsi="仿宋" w:eastAsia="仿宋" w:cs="宋体"/>
          <w:color w:val="auto"/>
          <w:kern w:val="0"/>
          <w:sz w:val="28"/>
          <w:szCs w:val="28"/>
          <w:highlight w:val="none"/>
          <w:lang w:eastAsia="zh-CN"/>
        </w:rPr>
        <w:t>二</w:t>
      </w:r>
      <w:r>
        <w:rPr>
          <w:rFonts w:hint="eastAsia" w:ascii="仿宋" w:hAnsi="仿宋" w:eastAsia="仿宋" w:cs="宋体"/>
          <w:color w:val="auto"/>
          <w:kern w:val="0"/>
          <w:sz w:val="28"/>
          <w:szCs w:val="28"/>
          <w:highlight w:val="none"/>
        </w:rPr>
        <w:t>）《中小企业声明函》</w:t>
      </w:r>
    </w:p>
    <w:p>
      <w:pPr>
        <w:ind w:left="57" w:leftChars="27" w:firstLine="439" w:firstLineChars="157"/>
        <w:rPr>
          <w:rFonts w:hint="eastAsia" w:ascii="仿宋" w:hAnsi="仿宋" w:eastAsia="仿宋"/>
          <w:b/>
          <w:color w:val="auto"/>
          <w:sz w:val="28"/>
          <w:szCs w:val="28"/>
          <w:highlight w:val="none"/>
          <w:u w:val="none"/>
        </w:rPr>
      </w:pPr>
      <w:r>
        <w:rPr>
          <w:rFonts w:hint="eastAsia" w:ascii="仿宋" w:hAnsi="仿宋" w:eastAsia="仿宋" w:cs="宋体"/>
          <w:color w:val="auto"/>
          <w:kern w:val="0"/>
          <w:sz w:val="28"/>
          <w:szCs w:val="28"/>
          <w:highlight w:val="none"/>
        </w:rPr>
        <w:t>（</w:t>
      </w:r>
      <w:r>
        <w:rPr>
          <w:rFonts w:hint="eastAsia" w:ascii="仿宋" w:hAnsi="仿宋" w:eastAsia="仿宋" w:cs="宋体"/>
          <w:color w:val="auto"/>
          <w:kern w:val="0"/>
          <w:sz w:val="28"/>
          <w:szCs w:val="28"/>
          <w:highlight w:val="none"/>
          <w:lang w:eastAsia="zh-CN"/>
        </w:rPr>
        <w:t>三</w:t>
      </w:r>
      <w:r>
        <w:rPr>
          <w:rFonts w:hint="eastAsia" w:ascii="仿宋" w:hAnsi="仿宋" w:eastAsia="仿宋" w:cs="宋体"/>
          <w:color w:val="auto"/>
          <w:kern w:val="0"/>
          <w:sz w:val="28"/>
          <w:szCs w:val="28"/>
          <w:highlight w:val="none"/>
        </w:rPr>
        <w:t>）供应商诚信</w:t>
      </w:r>
    </w:p>
    <w:p>
      <w:pPr>
        <w:keepNext w:val="0"/>
        <w:keepLines w:val="0"/>
        <w:pageBreakBefore w:val="0"/>
        <w:widowControl w:val="0"/>
        <w:tabs>
          <w:tab w:val="right" w:pos="9180"/>
        </w:tabs>
        <w:kinsoku/>
        <w:wordWrap/>
        <w:overflowPunct/>
        <w:topLinePunct w:val="0"/>
        <w:autoSpaceDE/>
        <w:autoSpaceDN/>
        <w:bidi w:val="0"/>
        <w:adjustRightInd w:val="0"/>
        <w:snapToGrid w:val="0"/>
        <w:spacing w:before="625" w:beforeLines="200" w:line="360" w:lineRule="auto"/>
        <w:ind w:firstLine="437"/>
        <w:jc w:val="right"/>
        <w:textAlignment w:val="auto"/>
        <w:rPr>
          <w:rFonts w:ascii="仿宋" w:hAnsi="仿宋" w:eastAsia="仿宋"/>
          <w:b/>
          <w:color w:val="auto"/>
          <w:sz w:val="28"/>
          <w:szCs w:val="28"/>
          <w:highlight w:val="none"/>
          <w:u w:val="none"/>
        </w:rPr>
      </w:pPr>
      <w:r>
        <w:rPr>
          <w:rFonts w:hint="eastAsia" w:ascii="仿宋" w:hAnsi="仿宋" w:eastAsia="仿宋"/>
          <w:b/>
          <w:color w:val="auto"/>
          <w:sz w:val="28"/>
          <w:szCs w:val="28"/>
          <w:highlight w:val="none"/>
          <w:u w:val="none"/>
        </w:rPr>
        <w:t>采联国际招标采购集团有限公司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37"/>
        <w:jc w:val="right"/>
        <w:textAlignment w:val="auto"/>
        <w:rPr>
          <w:rFonts w:ascii="仿宋" w:hAnsi="仿宋" w:eastAsia="仿宋" w:cstheme="minorBidi"/>
          <w:color w:val="auto"/>
          <w:sz w:val="28"/>
          <w:szCs w:val="28"/>
          <w:highlight w:val="none"/>
        </w:rPr>
      </w:pPr>
      <w:r>
        <w:rPr>
          <w:rFonts w:hint="eastAsia" w:ascii="仿宋" w:hAnsi="仿宋" w:eastAsia="仿宋"/>
          <w:b/>
          <w:color w:val="auto"/>
          <w:sz w:val="28"/>
          <w:szCs w:val="28"/>
          <w:highlight w:val="none"/>
          <w:u w:val="none"/>
          <w:lang w:val="en-US" w:eastAsia="zh-CN"/>
        </w:rPr>
        <w:t>2025</w:t>
      </w:r>
      <w:r>
        <w:rPr>
          <w:rFonts w:hint="eastAsia" w:ascii="仿宋" w:hAnsi="仿宋" w:eastAsia="仿宋"/>
          <w:b/>
          <w:color w:val="auto"/>
          <w:sz w:val="28"/>
          <w:szCs w:val="28"/>
          <w:highlight w:val="none"/>
          <w:u w:val="none"/>
        </w:rPr>
        <w:t>年</w:t>
      </w:r>
      <w:r>
        <w:rPr>
          <w:rFonts w:hint="eastAsia" w:ascii="仿宋" w:hAnsi="仿宋" w:eastAsia="仿宋"/>
          <w:b/>
          <w:color w:val="auto"/>
          <w:sz w:val="28"/>
          <w:szCs w:val="28"/>
          <w:highlight w:val="none"/>
          <w:u w:val="none"/>
          <w:lang w:val="en-US" w:eastAsia="zh-CN"/>
        </w:rPr>
        <w:t>3</w:t>
      </w:r>
      <w:r>
        <w:rPr>
          <w:rFonts w:hint="eastAsia" w:ascii="仿宋" w:hAnsi="仿宋" w:eastAsia="仿宋"/>
          <w:b/>
          <w:color w:val="auto"/>
          <w:sz w:val="28"/>
          <w:szCs w:val="28"/>
          <w:highlight w:val="none"/>
          <w:u w:val="none"/>
        </w:rPr>
        <w:t>月</w:t>
      </w:r>
      <w:r>
        <w:rPr>
          <w:rFonts w:hint="eastAsia" w:ascii="仿宋" w:hAnsi="仿宋" w:eastAsia="仿宋"/>
          <w:b/>
          <w:color w:val="auto"/>
          <w:sz w:val="28"/>
          <w:szCs w:val="28"/>
          <w:highlight w:val="none"/>
          <w:u w:val="none"/>
          <w:lang w:val="en-US" w:eastAsia="zh-CN"/>
        </w:rPr>
        <w:t>6</w:t>
      </w:r>
      <w:r>
        <w:rPr>
          <w:rFonts w:hint="eastAsia" w:ascii="仿宋" w:hAnsi="仿宋" w:eastAsia="仿宋"/>
          <w:b/>
          <w:color w:val="auto"/>
          <w:sz w:val="28"/>
          <w:szCs w:val="28"/>
          <w:highlight w:val="none"/>
          <w:u w:val="none"/>
        </w:rPr>
        <w:t>日</w:t>
      </w: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false"/>
  <w:bordersDoNotSurroundFooter w:val="false"/>
  <w:documentProtection w:enforcement="0"/>
  <w:defaultTabStop w:val="5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RiZGVhN2VlZDFjYWYwOWMyYzY0NzIxYmQwZTk3MzMifQ=="/>
    <w:docVar w:name="KSO_WPS_MARK_KEY" w:val="483f2a57-3b45-44e0-8383-6e8347083170"/>
  </w:docVars>
  <w:rsids>
    <w:rsidRoot w:val="00430B55"/>
    <w:rsid w:val="00004E37"/>
    <w:rsid w:val="0000797F"/>
    <w:rsid w:val="00037406"/>
    <w:rsid w:val="00040F29"/>
    <w:rsid w:val="00045F11"/>
    <w:rsid w:val="000670C8"/>
    <w:rsid w:val="000801F4"/>
    <w:rsid w:val="000815E8"/>
    <w:rsid w:val="00093379"/>
    <w:rsid w:val="000A5B41"/>
    <w:rsid w:val="000D7D7C"/>
    <w:rsid w:val="000F3591"/>
    <w:rsid w:val="00104A74"/>
    <w:rsid w:val="00115AC7"/>
    <w:rsid w:val="00127858"/>
    <w:rsid w:val="00155EC9"/>
    <w:rsid w:val="00174B43"/>
    <w:rsid w:val="001B2FD7"/>
    <w:rsid w:val="001E6BA1"/>
    <w:rsid w:val="00217419"/>
    <w:rsid w:val="00223B06"/>
    <w:rsid w:val="00235A41"/>
    <w:rsid w:val="00251E8D"/>
    <w:rsid w:val="002804FD"/>
    <w:rsid w:val="002D17E3"/>
    <w:rsid w:val="002E78E8"/>
    <w:rsid w:val="002F4CC6"/>
    <w:rsid w:val="002F7D23"/>
    <w:rsid w:val="003021D1"/>
    <w:rsid w:val="00322178"/>
    <w:rsid w:val="003226BB"/>
    <w:rsid w:val="00327A23"/>
    <w:rsid w:val="00334C25"/>
    <w:rsid w:val="0037269B"/>
    <w:rsid w:val="00381BF2"/>
    <w:rsid w:val="003A2ADF"/>
    <w:rsid w:val="003B043D"/>
    <w:rsid w:val="003D66D2"/>
    <w:rsid w:val="003D7060"/>
    <w:rsid w:val="003F61F4"/>
    <w:rsid w:val="00404D7D"/>
    <w:rsid w:val="00416B37"/>
    <w:rsid w:val="00430B55"/>
    <w:rsid w:val="00436061"/>
    <w:rsid w:val="00445B92"/>
    <w:rsid w:val="004662CB"/>
    <w:rsid w:val="00467B93"/>
    <w:rsid w:val="00473E97"/>
    <w:rsid w:val="004754B6"/>
    <w:rsid w:val="004808F2"/>
    <w:rsid w:val="004D455F"/>
    <w:rsid w:val="00573049"/>
    <w:rsid w:val="00576621"/>
    <w:rsid w:val="005B304B"/>
    <w:rsid w:val="005C093E"/>
    <w:rsid w:val="005C5AF3"/>
    <w:rsid w:val="005F5A82"/>
    <w:rsid w:val="005F6720"/>
    <w:rsid w:val="005F735A"/>
    <w:rsid w:val="006337AF"/>
    <w:rsid w:val="00634485"/>
    <w:rsid w:val="006442EB"/>
    <w:rsid w:val="00654071"/>
    <w:rsid w:val="00654BFD"/>
    <w:rsid w:val="00683C3D"/>
    <w:rsid w:val="006B6DB3"/>
    <w:rsid w:val="006C0C4A"/>
    <w:rsid w:val="006D3071"/>
    <w:rsid w:val="006D3201"/>
    <w:rsid w:val="0071272F"/>
    <w:rsid w:val="00733C15"/>
    <w:rsid w:val="00745917"/>
    <w:rsid w:val="00757832"/>
    <w:rsid w:val="00777A20"/>
    <w:rsid w:val="007C2591"/>
    <w:rsid w:val="008025F1"/>
    <w:rsid w:val="00837B6C"/>
    <w:rsid w:val="00842E72"/>
    <w:rsid w:val="008553CE"/>
    <w:rsid w:val="008930D8"/>
    <w:rsid w:val="008F3AE8"/>
    <w:rsid w:val="009127E4"/>
    <w:rsid w:val="0093263A"/>
    <w:rsid w:val="00955E7A"/>
    <w:rsid w:val="0098101D"/>
    <w:rsid w:val="009A63E2"/>
    <w:rsid w:val="009B0517"/>
    <w:rsid w:val="009B3B09"/>
    <w:rsid w:val="009E24D6"/>
    <w:rsid w:val="00A027FF"/>
    <w:rsid w:val="00A02956"/>
    <w:rsid w:val="00A04E2C"/>
    <w:rsid w:val="00A15294"/>
    <w:rsid w:val="00A21FD6"/>
    <w:rsid w:val="00A423F9"/>
    <w:rsid w:val="00A458D3"/>
    <w:rsid w:val="00A82758"/>
    <w:rsid w:val="00A93813"/>
    <w:rsid w:val="00AA046A"/>
    <w:rsid w:val="00AA31A9"/>
    <w:rsid w:val="00AB0337"/>
    <w:rsid w:val="00AB520B"/>
    <w:rsid w:val="00AC347D"/>
    <w:rsid w:val="00AE2241"/>
    <w:rsid w:val="00AF2D84"/>
    <w:rsid w:val="00B00116"/>
    <w:rsid w:val="00B028F3"/>
    <w:rsid w:val="00B22240"/>
    <w:rsid w:val="00B22843"/>
    <w:rsid w:val="00B517A2"/>
    <w:rsid w:val="00B56A3F"/>
    <w:rsid w:val="00B94844"/>
    <w:rsid w:val="00BC5F13"/>
    <w:rsid w:val="00C009CC"/>
    <w:rsid w:val="00C144C2"/>
    <w:rsid w:val="00C14C85"/>
    <w:rsid w:val="00C53726"/>
    <w:rsid w:val="00C662FF"/>
    <w:rsid w:val="00CA4173"/>
    <w:rsid w:val="00CB000E"/>
    <w:rsid w:val="00CB25C8"/>
    <w:rsid w:val="00CC20AC"/>
    <w:rsid w:val="00D34A19"/>
    <w:rsid w:val="00D502B8"/>
    <w:rsid w:val="00D5530F"/>
    <w:rsid w:val="00D6242C"/>
    <w:rsid w:val="00D65D02"/>
    <w:rsid w:val="00D67B1A"/>
    <w:rsid w:val="00DA63EC"/>
    <w:rsid w:val="00DC2E45"/>
    <w:rsid w:val="00DE0CCD"/>
    <w:rsid w:val="00DE7163"/>
    <w:rsid w:val="00DF0334"/>
    <w:rsid w:val="00E1277C"/>
    <w:rsid w:val="00E1422B"/>
    <w:rsid w:val="00E4044F"/>
    <w:rsid w:val="00E80096"/>
    <w:rsid w:val="00EA3824"/>
    <w:rsid w:val="00EC2C7B"/>
    <w:rsid w:val="00EC320F"/>
    <w:rsid w:val="00EF1E0B"/>
    <w:rsid w:val="00EF1F85"/>
    <w:rsid w:val="00F01ED0"/>
    <w:rsid w:val="00F148FE"/>
    <w:rsid w:val="00F830D2"/>
    <w:rsid w:val="00FA5075"/>
    <w:rsid w:val="00FA5FF8"/>
    <w:rsid w:val="00FE1D4A"/>
    <w:rsid w:val="00FE314F"/>
    <w:rsid w:val="00FE3960"/>
    <w:rsid w:val="03477597"/>
    <w:rsid w:val="036E49E1"/>
    <w:rsid w:val="03A9358B"/>
    <w:rsid w:val="087A1F0C"/>
    <w:rsid w:val="09D937EA"/>
    <w:rsid w:val="09E614A1"/>
    <w:rsid w:val="0A6D7B38"/>
    <w:rsid w:val="0B493832"/>
    <w:rsid w:val="0BDF6813"/>
    <w:rsid w:val="0C564D28"/>
    <w:rsid w:val="0C7E602C"/>
    <w:rsid w:val="0E903B52"/>
    <w:rsid w:val="0F307EA4"/>
    <w:rsid w:val="12EF7422"/>
    <w:rsid w:val="13095D43"/>
    <w:rsid w:val="137678B4"/>
    <w:rsid w:val="138275F0"/>
    <w:rsid w:val="14C155ED"/>
    <w:rsid w:val="14D42DB1"/>
    <w:rsid w:val="15761F97"/>
    <w:rsid w:val="17FE0E64"/>
    <w:rsid w:val="188C32F1"/>
    <w:rsid w:val="1CC76CA7"/>
    <w:rsid w:val="1D576A65"/>
    <w:rsid w:val="1FAD62E6"/>
    <w:rsid w:val="201358D5"/>
    <w:rsid w:val="241A2D6E"/>
    <w:rsid w:val="260C212E"/>
    <w:rsid w:val="26E93C26"/>
    <w:rsid w:val="272828C0"/>
    <w:rsid w:val="274E5296"/>
    <w:rsid w:val="284E5408"/>
    <w:rsid w:val="2C0B5CAC"/>
    <w:rsid w:val="2C4F0432"/>
    <w:rsid w:val="2E8064A7"/>
    <w:rsid w:val="2EF87941"/>
    <w:rsid w:val="2FB64A9F"/>
    <w:rsid w:val="30831630"/>
    <w:rsid w:val="32B36CE8"/>
    <w:rsid w:val="32BE2005"/>
    <w:rsid w:val="35BE10C4"/>
    <w:rsid w:val="37DC40A9"/>
    <w:rsid w:val="37E8065D"/>
    <w:rsid w:val="3A3951BD"/>
    <w:rsid w:val="3A9C12B9"/>
    <w:rsid w:val="3B403AF8"/>
    <w:rsid w:val="3C495460"/>
    <w:rsid w:val="3D015476"/>
    <w:rsid w:val="3D340AFA"/>
    <w:rsid w:val="3F8E1B07"/>
    <w:rsid w:val="405C3E41"/>
    <w:rsid w:val="41AD1D1E"/>
    <w:rsid w:val="41BD1B30"/>
    <w:rsid w:val="42480623"/>
    <w:rsid w:val="42E05F26"/>
    <w:rsid w:val="438C5687"/>
    <w:rsid w:val="47143C3C"/>
    <w:rsid w:val="48636B6C"/>
    <w:rsid w:val="4B8E31F1"/>
    <w:rsid w:val="4BF34243"/>
    <w:rsid w:val="501A79B1"/>
    <w:rsid w:val="50431E61"/>
    <w:rsid w:val="52106E8B"/>
    <w:rsid w:val="52826379"/>
    <w:rsid w:val="533A2DE6"/>
    <w:rsid w:val="538A2E61"/>
    <w:rsid w:val="573B2060"/>
    <w:rsid w:val="57CD4D3F"/>
    <w:rsid w:val="593C217C"/>
    <w:rsid w:val="59700C85"/>
    <w:rsid w:val="5BB46074"/>
    <w:rsid w:val="5CBC610A"/>
    <w:rsid w:val="5CDD5A24"/>
    <w:rsid w:val="5D201AFA"/>
    <w:rsid w:val="5F830454"/>
    <w:rsid w:val="5FD70719"/>
    <w:rsid w:val="6062696C"/>
    <w:rsid w:val="61BC3E5A"/>
    <w:rsid w:val="62BC43B0"/>
    <w:rsid w:val="675A1129"/>
    <w:rsid w:val="69A97E87"/>
    <w:rsid w:val="6A466D71"/>
    <w:rsid w:val="6AA818C5"/>
    <w:rsid w:val="6EE964AB"/>
    <w:rsid w:val="6F286FD3"/>
    <w:rsid w:val="72727742"/>
    <w:rsid w:val="74097F98"/>
    <w:rsid w:val="74E0358A"/>
    <w:rsid w:val="76376A59"/>
    <w:rsid w:val="77F1A89D"/>
    <w:rsid w:val="789E5C8D"/>
    <w:rsid w:val="7A63170E"/>
    <w:rsid w:val="7ACD5F49"/>
    <w:rsid w:val="7AFD50A4"/>
    <w:rsid w:val="7AFE508C"/>
    <w:rsid w:val="7B7B7506"/>
    <w:rsid w:val="7C354ADD"/>
    <w:rsid w:val="7DEEE654"/>
    <w:rsid w:val="DE73E8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1"/>
    </w:rPr>
  </w:style>
  <w:style w:type="paragraph" w:styleId="5">
    <w:name w:val="annotation text"/>
    <w:basedOn w:val="1"/>
    <w:link w:val="19"/>
    <w:unhideWhenUsed/>
    <w:qFormat/>
    <w:uiPriority w:val="0"/>
    <w:pPr>
      <w:jc w:val="left"/>
    </w:pPr>
  </w:style>
  <w:style w:type="paragraph" w:styleId="6">
    <w:name w:val="Plain Text"/>
    <w:basedOn w:val="1"/>
    <w:link w:val="18"/>
    <w:qFormat/>
    <w:uiPriority w:val="0"/>
    <w:rPr>
      <w:rFonts w:ascii="宋体" w:hAnsi="Courier New" w:eastAsiaTheme="minorEastAsia" w:cstheme="minorBidi"/>
      <w:szCs w:val="22"/>
    </w:rPr>
  </w:style>
  <w:style w:type="paragraph" w:styleId="7">
    <w:name w:val="Balloon Text"/>
    <w:basedOn w:val="1"/>
    <w:link w:val="20"/>
    <w:semiHidden/>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qFormat/>
    <w:uiPriority w:val="0"/>
    <w:pPr>
      <w:snapToGrid w:val="0"/>
      <w:jc w:val="left"/>
    </w:pPr>
    <w:rPr>
      <w:sz w:val="18"/>
    </w:rPr>
  </w:style>
  <w:style w:type="paragraph" w:styleId="11">
    <w:name w:val="annotation subject"/>
    <w:basedOn w:val="5"/>
    <w:next w:val="5"/>
    <w:link w:val="23"/>
    <w:semiHidden/>
    <w:unhideWhenUsed/>
    <w:qFormat/>
    <w:uiPriority w:val="99"/>
    <w:rPr>
      <w:b/>
      <w:bCs/>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styleId="16">
    <w:name w:val="annotation reference"/>
    <w:basedOn w:val="14"/>
    <w:unhideWhenUsed/>
    <w:qFormat/>
    <w:uiPriority w:val="0"/>
    <w:rPr>
      <w:sz w:val="21"/>
      <w:szCs w:val="21"/>
    </w:rPr>
  </w:style>
  <w:style w:type="character" w:customStyle="1" w:styleId="17">
    <w:name w:val="标题 1 字符"/>
    <w:basedOn w:val="14"/>
    <w:link w:val="3"/>
    <w:qFormat/>
    <w:uiPriority w:val="9"/>
    <w:rPr>
      <w:rFonts w:ascii="Times New Roman" w:hAnsi="Times New Roman" w:eastAsia="宋体" w:cs="Times New Roman"/>
      <w:b/>
      <w:bCs/>
      <w:kern w:val="44"/>
      <w:sz w:val="44"/>
      <w:szCs w:val="44"/>
    </w:rPr>
  </w:style>
  <w:style w:type="character" w:customStyle="1" w:styleId="18">
    <w:name w:val="纯文本 字符"/>
    <w:basedOn w:val="14"/>
    <w:link w:val="6"/>
    <w:qFormat/>
    <w:uiPriority w:val="0"/>
    <w:rPr>
      <w:rFonts w:ascii="宋体" w:hAnsi="Courier New"/>
    </w:rPr>
  </w:style>
  <w:style w:type="character" w:customStyle="1" w:styleId="19">
    <w:name w:val="批注文字 字符"/>
    <w:basedOn w:val="14"/>
    <w:link w:val="5"/>
    <w:qFormat/>
    <w:uiPriority w:val="0"/>
    <w:rPr>
      <w:rFonts w:ascii="Times New Roman" w:hAnsi="Times New Roman" w:eastAsia="宋体" w:cs="Times New Roman"/>
      <w:szCs w:val="21"/>
    </w:rPr>
  </w:style>
  <w:style w:type="character" w:customStyle="1" w:styleId="20">
    <w:name w:val="批注框文本 字符"/>
    <w:basedOn w:val="14"/>
    <w:link w:val="7"/>
    <w:semiHidden/>
    <w:qFormat/>
    <w:uiPriority w:val="99"/>
    <w:rPr>
      <w:rFonts w:ascii="Times New Roman" w:hAnsi="Times New Roman" w:eastAsia="宋体" w:cs="Times New Roman"/>
      <w:sz w:val="18"/>
      <w:szCs w:val="18"/>
    </w:rPr>
  </w:style>
  <w:style w:type="character" w:customStyle="1" w:styleId="21">
    <w:name w:val="页眉 字符"/>
    <w:basedOn w:val="14"/>
    <w:link w:val="9"/>
    <w:qFormat/>
    <w:uiPriority w:val="99"/>
    <w:rPr>
      <w:rFonts w:ascii="Times New Roman" w:hAnsi="Times New Roman" w:eastAsia="宋体" w:cs="Times New Roman"/>
      <w:sz w:val="18"/>
      <w:szCs w:val="18"/>
    </w:rPr>
  </w:style>
  <w:style w:type="character" w:customStyle="1" w:styleId="22">
    <w:name w:val="页脚 字符"/>
    <w:basedOn w:val="14"/>
    <w:link w:val="8"/>
    <w:qFormat/>
    <w:uiPriority w:val="99"/>
    <w:rPr>
      <w:rFonts w:ascii="Times New Roman" w:hAnsi="Times New Roman" w:eastAsia="宋体" w:cs="Times New Roman"/>
      <w:sz w:val="18"/>
      <w:szCs w:val="18"/>
    </w:rPr>
  </w:style>
  <w:style w:type="character" w:customStyle="1" w:styleId="23">
    <w:name w:val="批注主题 字符"/>
    <w:basedOn w:val="19"/>
    <w:link w:val="11"/>
    <w:semiHidden/>
    <w:qFormat/>
    <w:uiPriority w:val="99"/>
    <w:rPr>
      <w:rFonts w:ascii="Times New Roman" w:hAnsi="Times New Roman" w:eastAsia="宋体" w:cs="Times New Roman"/>
      <w:b/>
      <w:bCs/>
      <w:szCs w:val="21"/>
    </w:rPr>
  </w:style>
  <w:style w:type="character" w:customStyle="1" w:styleId="24">
    <w:name w:val="未处理的提及1"/>
    <w:basedOn w:val="14"/>
    <w:semiHidden/>
    <w:unhideWhenUsed/>
    <w:qFormat/>
    <w:uiPriority w:val="99"/>
    <w:rPr>
      <w:color w:val="605E5C"/>
      <w:shd w:val="clear" w:color="auto" w:fill="E1DFDD"/>
    </w:rPr>
  </w:style>
  <w:style w:type="paragraph" w:styleId="25">
    <w:name w:val="List Paragraph"/>
    <w:basedOn w:val="1"/>
    <w:link w:val="26"/>
    <w:qFormat/>
    <w:uiPriority w:val="34"/>
    <w:pPr>
      <w:ind w:firstLine="420" w:firstLineChars="200"/>
    </w:pPr>
  </w:style>
  <w:style w:type="character" w:customStyle="1" w:styleId="26">
    <w:name w:val="列表段落 字符"/>
    <w:link w:val="25"/>
    <w:qFormat/>
    <w:uiPriority w:val="34"/>
    <w:rPr>
      <w:kern w:val="2"/>
      <w:sz w:val="21"/>
      <w:szCs w:val="21"/>
    </w:rPr>
  </w:style>
  <w:style w:type="character" w:customStyle="1" w:styleId="27">
    <w:name w:val="未处理的提及2"/>
    <w:basedOn w:val="1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3</Pages>
  <Words>1034</Words>
  <Characters>1242</Characters>
  <Lines>13</Lines>
  <Paragraphs>3</Paragraphs>
  <TotalTime>0</TotalTime>
  <ScaleCrop>false</ScaleCrop>
  <LinksUpToDate>false</LinksUpToDate>
  <CharactersWithSpaces>1255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2020-08-01T02:45:00Z</dcterms:created>
  <dc:creator>魏炫</dc:creator>
  <cp:lastModifiedBy>rsj</cp:lastModifiedBy>
  <dcterms:modified xsi:type="dcterms:W3CDTF">2025-03-06T17:09:51Z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35B48894556E4C158175E5AD068EA81E</vt:lpwstr>
  </property>
  <property fmtid="{D5CDD505-2E9C-101B-9397-08002B2CF9AE}" pid="4" name="KSOTemplateDocerSaveRecord">
    <vt:lpwstr>eyJoZGlkIjoiOGY1MGY5ZDkyMDk5MDdlMmQzOTcxNWNkZWVlNWU5OTMiLCJ1c2VySWQiOiI1ODk2MjI0MjQifQ==</vt:lpwstr>
  </property>
</Properties>
</file>