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AC2C7">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color w:val="auto"/>
        </w:rPr>
      </w:pPr>
      <w:bookmarkStart w:id="5" w:name="_GoBack"/>
      <w:r>
        <w:rPr>
          <w:rFonts w:hint="eastAsia" w:ascii="华文中宋" w:hAnsi="华文中宋" w:eastAsia="华文中宋"/>
          <w:color w:val="auto"/>
          <w:lang w:eastAsia="zh-CN"/>
        </w:rPr>
        <w:t>专项职业能力考核和职业技能等级认定考务服务</w:t>
      </w:r>
      <w:r>
        <w:rPr>
          <w:rFonts w:hint="eastAsia" w:ascii="华文中宋" w:hAnsi="华文中宋" w:eastAsia="华文中宋"/>
          <w:color w:val="auto"/>
        </w:rPr>
        <w:t>中标（成交）结果公示</w:t>
      </w:r>
    </w:p>
    <w:p w14:paraId="642816AE">
      <w:pPr>
        <w:ind w:left="420"/>
        <w:rPr>
          <w:rFonts w:hint="eastAsia" w:ascii="仿宋" w:hAnsi="仿宋" w:eastAsia="仿宋"/>
          <w:color w:val="auto"/>
          <w:sz w:val="28"/>
          <w:szCs w:val="28"/>
          <w:lang w:eastAsia="zh-CN"/>
        </w:rPr>
      </w:pPr>
      <w:r>
        <w:rPr>
          <w:rFonts w:hint="eastAsia" w:ascii="仿宋" w:hAnsi="仿宋" w:eastAsia="仿宋"/>
          <w:color w:val="auto"/>
          <w:sz w:val="28"/>
          <w:szCs w:val="28"/>
        </w:rPr>
        <w:t>一、项目编号：</w:t>
      </w:r>
      <w:r>
        <w:rPr>
          <w:rFonts w:hint="eastAsia" w:ascii="仿宋" w:hAnsi="仿宋" w:eastAsia="仿宋"/>
          <w:color w:val="auto"/>
          <w:sz w:val="28"/>
          <w:szCs w:val="28"/>
          <w:lang w:eastAsia="zh-CN"/>
        </w:rPr>
        <w:t>YCT2025-ZXCG-F089R</w:t>
      </w:r>
    </w:p>
    <w:p w14:paraId="0B6502B9">
      <w:pPr>
        <w:ind w:left="420"/>
        <w:rPr>
          <w:rFonts w:hint="eastAsia" w:ascii="仿宋" w:hAnsi="仿宋" w:eastAsia="仿宋"/>
          <w:color w:val="auto"/>
          <w:sz w:val="28"/>
          <w:szCs w:val="28"/>
          <w:u w:val="single"/>
          <w:lang w:eastAsia="zh-CN"/>
        </w:rPr>
      </w:pPr>
      <w:r>
        <w:rPr>
          <w:rFonts w:hint="eastAsia" w:ascii="仿宋" w:hAnsi="仿宋" w:eastAsia="仿宋"/>
          <w:color w:val="auto"/>
          <w:sz w:val="28"/>
          <w:szCs w:val="28"/>
        </w:rPr>
        <w:t>二、项目名称：</w:t>
      </w:r>
      <w:r>
        <w:rPr>
          <w:rFonts w:hint="eastAsia" w:ascii="仿宋" w:hAnsi="仿宋" w:eastAsia="仿宋"/>
          <w:color w:val="auto"/>
          <w:sz w:val="28"/>
          <w:szCs w:val="28"/>
          <w:lang w:eastAsia="zh-CN"/>
        </w:rPr>
        <w:t>专项职业能力考核和职业技能等级认定考务服务</w:t>
      </w:r>
    </w:p>
    <w:p w14:paraId="1ECAC235">
      <w:pPr>
        <w:ind w:left="420"/>
        <w:rPr>
          <w:rFonts w:ascii="仿宋" w:hAnsi="仿宋" w:eastAsia="仿宋"/>
          <w:color w:val="auto"/>
          <w:sz w:val="28"/>
          <w:szCs w:val="28"/>
        </w:rPr>
      </w:pPr>
      <w:r>
        <w:rPr>
          <w:rFonts w:hint="eastAsia" w:ascii="仿宋" w:hAnsi="仿宋" w:eastAsia="仿宋"/>
          <w:color w:val="auto"/>
          <w:sz w:val="28"/>
          <w:szCs w:val="28"/>
        </w:rPr>
        <w:t>三、投标供应商名称</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报价、总分</w:t>
      </w:r>
      <w:r>
        <w:rPr>
          <w:rFonts w:hint="eastAsia" w:ascii="仿宋" w:hAnsi="仿宋" w:eastAsia="仿宋"/>
          <w:color w:val="auto"/>
          <w:sz w:val="28"/>
          <w:szCs w:val="28"/>
        </w:rPr>
        <w:t>及</w:t>
      </w:r>
      <w:r>
        <w:rPr>
          <w:rFonts w:hint="eastAsia" w:ascii="仿宋" w:hAnsi="仿宋" w:eastAsia="仿宋"/>
          <w:color w:val="auto"/>
          <w:sz w:val="28"/>
          <w:szCs w:val="28"/>
          <w:lang w:val="en-US" w:eastAsia="zh-CN"/>
        </w:rPr>
        <w:t>排名</w:t>
      </w:r>
      <w:r>
        <w:rPr>
          <w:rFonts w:hint="eastAsia" w:ascii="仿宋" w:hAnsi="仿宋" w:eastAsia="仿宋"/>
          <w:color w:val="auto"/>
          <w:sz w:val="28"/>
          <w:szCs w:val="28"/>
        </w:rPr>
        <w:t>：</w:t>
      </w:r>
    </w:p>
    <w:tbl>
      <w:tblPr>
        <w:tblStyle w:val="12"/>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4"/>
        <w:gridCol w:w="1688"/>
        <w:gridCol w:w="1217"/>
        <w:gridCol w:w="1204"/>
        <w:gridCol w:w="1040"/>
        <w:gridCol w:w="1128"/>
      </w:tblGrid>
      <w:tr w14:paraId="0AE6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639" w:type="pct"/>
            <w:vAlign w:val="center"/>
          </w:tcPr>
          <w:p w14:paraId="1E67C01A">
            <w:pPr>
              <w:jc w:val="center"/>
              <w:rPr>
                <w:rFonts w:hint="eastAsia" w:ascii="仿宋" w:hAnsi="仿宋" w:eastAsia="仿宋"/>
                <w:color w:val="auto"/>
                <w:kern w:val="0"/>
                <w:sz w:val="24"/>
                <w:szCs w:val="24"/>
              </w:rPr>
            </w:pPr>
            <w:r>
              <w:rPr>
                <w:rFonts w:hint="eastAsia" w:ascii="仿宋" w:hAnsi="仿宋" w:eastAsia="仿宋"/>
                <w:color w:val="auto"/>
                <w:kern w:val="0"/>
                <w:sz w:val="24"/>
                <w:szCs w:val="24"/>
              </w:rPr>
              <w:t>投标供应商名称</w:t>
            </w:r>
          </w:p>
        </w:tc>
        <w:tc>
          <w:tcPr>
            <w:tcW w:w="903" w:type="pct"/>
            <w:vAlign w:val="center"/>
          </w:tcPr>
          <w:p w14:paraId="2C87F423">
            <w:pPr>
              <w:jc w:val="center"/>
              <w:rPr>
                <w:rFonts w:hint="eastAsia" w:ascii="仿宋" w:hAnsi="仿宋" w:eastAsia="仿宋"/>
                <w:color w:val="auto"/>
                <w:kern w:val="0"/>
                <w:sz w:val="24"/>
                <w:szCs w:val="24"/>
              </w:rPr>
            </w:pPr>
            <w:r>
              <w:rPr>
                <w:rFonts w:hint="eastAsia" w:ascii="仿宋" w:hAnsi="仿宋" w:eastAsia="仿宋"/>
                <w:color w:val="auto"/>
                <w:kern w:val="0"/>
                <w:sz w:val="24"/>
                <w:szCs w:val="24"/>
              </w:rPr>
              <w:t>投标报价</w:t>
            </w:r>
          </w:p>
          <w:p w14:paraId="588F62E1">
            <w:pPr>
              <w:jc w:val="center"/>
              <w:rPr>
                <w:rFonts w:hint="eastAsia" w:ascii="仿宋" w:hAnsi="仿宋" w:eastAsia="仿宋"/>
                <w:color w:val="auto"/>
                <w:kern w:val="0"/>
                <w:sz w:val="24"/>
                <w:szCs w:val="24"/>
              </w:rPr>
            </w:pPr>
            <w:r>
              <w:rPr>
                <w:rFonts w:hint="eastAsia" w:ascii="仿宋" w:hAnsi="仿宋" w:eastAsia="仿宋"/>
                <w:color w:val="auto"/>
                <w:kern w:val="0"/>
                <w:sz w:val="24"/>
                <w:szCs w:val="24"/>
              </w:rPr>
              <w:t>（</w:t>
            </w:r>
            <w:r>
              <w:rPr>
                <w:rFonts w:hint="eastAsia" w:ascii="仿宋" w:hAnsi="仿宋" w:eastAsia="仿宋"/>
                <w:color w:val="auto"/>
                <w:kern w:val="0"/>
                <w:sz w:val="24"/>
                <w:szCs w:val="24"/>
                <w:lang w:val="en-US" w:eastAsia="zh-CN"/>
              </w:rPr>
              <w:t>人民币 元</w:t>
            </w:r>
            <w:r>
              <w:rPr>
                <w:rFonts w:hint="eastAsia" w:ascii="仿宋" w:hAnsi="仿宋" w:eastAsia="仿宋"/>
                <w:color w:val="auto"/>
                <w:kern w:val="0"/>
                <w:sz w:val="24"/>
                <w:szCs w:val="24"/>
              </w:rPr>
              <w:t>）</w:t>
            </w:r>
          </w:p>
        </w:tc>
        <w:tc>
          <w:tcPr>
            <w:tcW w:w="651" w:type="pct"/>
            <w:vAlign w:val="center"/>
          </w:tcPr>
          <w:p w14:paraId="1BCC382A">
            <w:pPr>
              <w:jc w:val="center"/>
              <w:rPr>
                <w:rFonts w:hint="eastAsia" w:ascii="仿宋" w:hAnsi="仿宋" w:eastAsia="仿宋"/>
                <w:color w:val="auto"/>
                <w:kern w:val="0"/>
                <w:sz w:val="24"/>
                <w:szCs w:val="24"/>
              </w:rPr>
            </w:pPr>
            <w:r>
              <w:rPr>
                <w:rFonts w:hint="eastAsia" w:ascii="仿宋" w:hAnsi="仿宋" w:eastAsia="仿宋"/>
                <w:color w:val="auto"/>
                <w:kern w:val="0"/>
                <w:sz w:val="24"/>
                <w:szCs w:val="24"/>
              </w:rPr>
              <w:t>资格性审查结果</w:t>
            </w:r>
          </w:p>
        </w:tc>
        <w:tc>
          <w:tcPr>
            <w:tcW w:w="644" w:type="pct"/>
            <w:vAlign w:val="center"/>
          </w:tcPr>
          <w:p w14:paraId="2CD0F720">
            <w:pPr>
              <w:jc w:val="center"/>
              <w:rPr>
                <w:rFonts w:hint="eastAsia" w:ascii="仿宋" w:hAnsi="仿宋" w:eastAsia="仿宋"/>
                <w:color w:val="auto"/>
                <w:kern w:val="0"/>
                <w:sz w:val="24"/>
                <w:szCs w:val="24"/>
              </w:rPr>
            </w:pPr>
            <w:r>
              <w:rPr>
                <w:rFonts w:hint="eastAsia" w:ascii="仿宋" w:hAnsi="仿宋" w:eastAsia="仿宋"/>
                <w:color w:val="auto"/>
                <w:kern w:val="0"/>
                <w:sz w:val="24"/>
                <w:szCs w:val="24"/>
              </w:rPr>
              <w:t>符合性审查结果</w:t>
            </w:r>
          </w:p>
        </w:tc>
        <w:tc>
          <w:tcPr>
            <w:tcW w:w="556" w:type="pct"/>
            <w:vAlign w:val="center"/>
          </w:tcPr>
          <w:p w14:paraId="499D2A9D">
            <w:pPr>
              <w:jc w:val="center"/>
              <w:rPr>
                <w:rFonts w:hint="eastAsia" w:ascii="仿宋" w:hAnsi="仿宋" w:eastAsia="仿宋"/>
                <w:color w:val="auto"/>
                <w:kern w:val="0"/>
                <w:sz w:val="24"/>
                <w:szCs w:val="24"/>
              </w:rPr>
            </w:pPr>
            <w:r>
              <w:rPr>
                <w:rFonts w:hint="eastAsia" w:ascii="仿宋" w:hAnsi="仿宋" w:eastAsia="仿宋"/>
                <w:color w:val="auto"/>
                <w:kern w:val="0"/>
                <w:sz w:val="24"/>
                <w:szCs w:val="24"/>
                <w:lang w:val="en-US" w:eastAsia="zh-CN"/>
              </w:rPr>
              <w:t>总分</w:t>
            </w:r>
          </w:p>
        </w:tc>
        <w:tc>
          <w:tcPr>
            <w:tcW w:w="603" w:type="pct"/>
            <w:vAlign w:val="center"/>
          </w:tcPr>
          <w:p w14:paraId="32BA0487">
            <w:pPr>
              <w:jc w:val="center"/>
              <w:rPr>
                <w:rFonts w:hint="eastAsia" w:ascii="仿宋" w:hAnsi="仿宋" w:eastAsia="仿宋"/>
                <w:color w:val="auto"/>
                <w:kern w:val="0"/>
                <w:sz w:val="24"/>
                <w:szCs w:val="24"/>
              </w:rPr>
            </w:pPr>
            <w:r>
              <w:rPr>
                <w:rFonts w:hint="eastAsia" w:ascii="仿宋" w:hAnsi="仿宋" w:eastAsia="仿宋"/>
                <w:color w:val="auto"/>
                <w:kern w:val="0"/>
                <w:sz w:val="24"/>
                <w:szCs w:val="24"/>
                <w:lang w:val="en-US" w:eastAsia="zh-CN"/>
              </w:rPr>
              <w:t>排名</w:t>
            </w:r>
          </w:p>
        </w:tc>
      </w:tr>
      <w:tr w14:paraId="1FE8B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639" w:type="pct"/>
            <w:vAlign w:val="center"/>
          </w:tcPr>
          <w:p w14:paraId="4823BEF0">
            <w:pPr>
              <w:jc w:val="center"/>
              <w:rPr>
                <w:rFonts w:hint="eastAsia" w:ascii="仿宋" w:hAnsi="仿宋" w:eastAsia="仿宋"/>
                <w:color w:val="auto"/>
                <w:kern w:val="0"/>
                <w:sz w:val="24"/>
                <w:szCs w:val="24"/>
              </w:rPr>
            </w:pPr>
            <w:r>
              <w:rPr>
                <w:rFonts w:hint="eastAsia" w:ascii="仿宋" w:hAnsi="仿宋" w:eastAsia="仿宋"/>
                <w:color w:val="auto"/>
                <w:kern w:val="0"/>
                <w:sz w:val="24"/>
                <w:szCs w:val="24"/>
                <w:lang w:val="en-US" w:eastAsia="zh-CN"/>
              </w:rPr>
              <w:t>深圳市鹏程职业培训中心</w:t>
            </w:r>
          </w:p>
        </w:tc>
        <w:tc>
          <w:tcPr>
            <w:tcW w:w="903" w:type="pct"/>
            <w:vAlign w:val="center"/>
          </w:tcPr>
          <w:p w14:paraId="7D41373F">
            <w:pPr>
              <w:jc w:val="center"/>
              <w:rPr>
                <w:rFonts w:hint="eastAsia" w:ascii="仿宋" w:hAnsi="仿宋" w:eastAsia="仿宋"/>
                <w:color w:val="auto"/>
                <w:kern w:val="0"/>
                <w:sz w:val="24"/>
                <w:szCs w:val="24"/>
              </w:rPr>
            </w:pPr>
            <w:r>
              <w:rPr>
                <w:rFonts w:hint="eastAsia" w:ascii="仿宋" w:hAnsi="仿宋" w:eastAsia="仿宋"/>
                <w:color w:val="auto"/>
                <w:kern w:val="0"/>
                <w:sz w:val="24"/>
                <w:szCs w:val="24"/>
                <w:lang w:val="en-US" w:eastAsia="zh-CN"/>
              </w:rPr>
              <w:t xml:space="preserve">480,000.00 </w:t>
            </w:r>
          </w:p>
        </w:tc>
        <w:tc>
          <w:tcPr>
            <w:tcW w:w="651" w:type="pct"/>
            <w:vAlign w:val="center"/>
          </w:tcPr>
          <w:p w14:paraId="7860DC6F">
            <w:pPr>
              <w:jc w:val="center"/>
              <w:rPr>
                <w:rFonts w:hint="eastAsia" w:ascii="仿宋" w:hAnsi="仿宋" w:eastAsia="仿宋"/>
                <w:color w:val="auto"/>
                <w:kern w:val="0"/>
                <w:sz w:val="24"/>
                <w:szCs w:val="24"/>
              </w:rPr>
            </w:pPr>
            <w:r>
              <w:rPr>
                <w:rFonts w:hint="eastAsia" w:ascii="仿宋" w:hAnsi="仿宋" w:eastAsia="仿宋"/>
                <w:color w:val="auto"/>
                <w:kern w:val="0"/>
                <w:sz w:val="24"/>
                <w:szCs w:val="24"/>
              </w:rPr>
              <w:t>通过</w:t>
            </w:r>
          </w:p>
        </w:tc>
        <w:tc>
          <w:tcPr>
            <w:tcW w:w="644" w:type="pct"/>
            <w:vAlign w:val="center"/>
          </w:tcPr>
          <w:p w14:paraId="653595F1">
            <w:pPr>
              <w:jc w:val="center"/>
              <w:rPr>
                <w:rFonts w:hint="eastAsia" w:ascii="仿宋" w:hAnsi="仿宋" w:eastAsia="仿宋"/>
                <w:color w:val="auto"/>
                <w:kern w:val="0"/>
                <w:sz w:val="24"/>
                <w:szCs w:val="24"/>
              </w:rPr>
            </w:pPr>
            <w:r>
              <w:rPr>
                <w:rFonts w:hint="eastAsia" w:ascii="仿宋" w:hAnsi="仿宋" w:eastAsia="仿宋"/>
                <w:color w:val="auto"/>
                <w:kern w:val="0"/>
                <w:sz w:val="24"/>
                <w:szCs w:val="24"/>
              </w:rPr>
              <w:t>通过</w:t>
            </w:r>
          </w:p>
        </w:tc>
        <w:tc>
          <w:tcPr>
            <w:tcW w:w="556" w:type="pct"/>
            <w:vAlign w:val="center"/>
          </w:tcPr>
          <w:p w14:paraId="51286C0E">
            <w:pPr>
              <w:jc w:val="center"/>
              <w:rPr>
                <w:rFonts w:hint="eastAsia" w:ascii="仿宋" w:hAnsi="仿宋" w:eastAsia="仿宋"/>
                <w:color w:val="auto"/>
                <w:kern w:val="0"/>
                <w:sz w:val="24"/>
                <w:szCs w:val="24"/>
              </w:rPr>
            </w:pPr>
            <w:r>
              <w:rPr>
                <w:rFonts w:hint="eastAsia" w:ascii="仿宋" w:hAnsi="仿宋" w:eastAsia="仿宋"/>
                <w:color w:val="auto"/>
                <w:kern w:val="0"/>
                <w:sz w:val="24"/>
                <w:szCs w:val="24"/>
                <w:lang w:val="en-US" w:eastAsia="zh-CN"/>
              </w:rPr>
              <w:t xml:space="preserve">96.80 </w:t>
            </w:r>
          </w:p>
        </w:tc>
        <w:tc>
          <w:tcPr>
            <w:tcW w:w="603" w:type="pct"/>
            <w:vAlign w:val="center"/>
          </w:tcPr>
          <w:p w14:paraId="7C31AE30">
            <w:pPr>
              <w:jc w:val="center"/>
              <w:rPr>
                <w:rFonts w:hint="eastAsia" w:ascii="仿宋" w:hAnsi="仿宋" w:eastAsia="仿宋"/>
                <w:color w:val="auto"/>
                <w:kern w:val="0"/>
                <w:sz w:val="24"/>
                <w:szCs w:val="24"/>
              </w:rPr>
            </w:pPr>
            <w:r>
              <w:rPr>
                <w:rFonts w:hint="eastAsia" w:ascii="仿宋" w:hAnsi="仿宋" w:eastAsia="仿宋"/>
                <w:color w:val="auto"/>
                <w:kern w:val="0"/>
                <w:sz w:val="24"/>
                <w:szCs w:val="24"/>
                <w:lang w:val="en-US" w:eastAsia="zh-CN"/>
              </w:rPr>
              <w:t>1</w:t>
            </w:r>
          </w:p>
        </w:tc>
      </w:tr>
      <w:tr w14:paraId="718C6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639" w:type="pct"/>
            <w:vAlign w:val="center"/>
          </w:tcPr>
          <w:p w14:paraId="23986B43">
            <w:pPr>
              <w:jc w:val="center"/>
              <w:rPr>
                <w:rFonts w:hint="eastAsia" w:ascii="仿宋" w:hAnsi="仿宋" w:eastAsia="仿宋"/>
                <w:color w:val="auto"/>
                <w:kern w:val="0"/>
                <w:sz w:val="24"/>
                <w:szCs w:val="24"/>
              </w:rPr>
            </w:pPr>
            <w:r>
              <w:rPr>
                <w:rFonts w:hint="eastAsia" w:ascii="仿宋" w:hAnsi="仿宋" w:eastAsia="仿宋"/>
                <w:color w:val="auto"/>
                <w:kern w:val="0"/>
                <w:sz w:val="24"/>
                <w:szCs w:val="24"/>
                <w:lang w:val="en-US" w:eastAsia="zh-CN"/>
              </w:rPr>
              <w:t>深圳市星中汇安防职业技能培训中心</w:t>
            </w:r>
          </w:p>
        </w:tc>
        <w:tc>
          <w:tcPr>
            <w:tcW w:w="903" w:type="pct"/>
            <w:vAlign w:val="center"/>
          </w:tcPr>
          <w:p w14:paraId="314418EF">
            <w:pPr>
              <w:jc w:val="center"/>
              <w:rPr>
                <w:rFonts w:hint="eastAsia" w:ascii="仿宋" w:hAnsi="仿宋" w:eastAsia="仿宋"/>
                <w:color w:val="auto"/>
                <w:kern w:val="0"/>
                <w:sz w:val="24"/>
                <w:szCs w:val="24"/>
              </w:rPr>
            </w:pPr>
            <w:r>
              <w:rPr>
                <w:rFonts w:hint="eastAsia" w:ascii="仿宋" w:hAnsi="仿宋" w:eastAsia="仿宋"/>
                <w:color w:val="auto"/>
                <w:kern w:val="0"/>
                <w:sz w:val="24"/>
                <w:szCs w:val="24"/>
                <w:lang w:val="en-US" w:eastAsia="zh-CN"/>
              </w:rPr>
              <w:t xml:space="preserve">498,041.00 </w:t>
            </w:r>
          </w:p>
        </w:tc>
        <w:tc>
          <w:tcPr>
            <w:tcW w:w="651" w:type="pct"/>
            <w:vAlign w:val="center"/>
          </w:tcPr>
          <w:p w14:paraId="3CC1F463">
            <w:pPr>
              <w:jc w:val="center"/>
              <w:rPr>
                <w:rFonts w:hint="eastAsia" w:ascii="仿宋" w:hAnsi="仿宋" w:eastAsia="仿宋"/>
                <w:color w:val="auto"/>
                <w:kern w:val="0"/>
                <w:sz w:val="24"/>
                <w:szCs w:val="24"/>
              </w:rPr>
            </w:pPr>
            <w:r>
              <w:rPr>
                <w:rFonts w:hint="eastAsia" w:ascii="仿宋" w:hAnsi="仿宋" w:eastAsia="仿宋"/>
                <w:color w:val="auto"/>
                <w:kern w:val="0"/>
                <w:sz w:val="24"/>
                <w:szCs w:val="24"/>
              </w:rPr>
              <w:t>通过</w:t>
            </w:r>
          </w:p>
        </w:tc>
        <w:tc>
          <w:tcPr>
            <w:tcW w:w="644" w:type="pct"/>
            <w:vAlign w:val="center"/>
          </w:tcPr>
          <w:p w14:paraId="62BE799F">
            <w:pPr>
              <w:jc w:val="center"/>
              <w:rPr>
                <w:rFonts w:hint="eastAsia" w:ascii="仿宋" w:hAnsi="仿宋" w:eastAsia="仿宋"/>
                <w:color w:val="auto"/>
                <w:kern w:val="0"/>
                <w:sz w:val="24"/>
                <w:szCs w:val="24"/>
              </w:rPr>
            </w:pPr>
            <w:r>
              <w:rPr>
                <w:rFonts w:hint="eastAsia" w:ascii="仿宋" w:hAnsi="仿宋" w:eastAsia="仿宋"/>
                <w:color w:val="auto"/>
                <w:kern w:val="0"/>
                <w:sz w:val="24"/>
                <w:szCs w:val="24"/>
              </w:rPr>
              <w:t>通过</w:t>
            </w:r>
          </w:p>
        </w:tc>
        <w:tc>
          <w:tcPr>
            <w:tcW w:w="556" w:type="pct"/>
            <w:vAlign w:val="center"/>
          </w:tcPr>
          <w:p w14:paraId="24E738FF">
            <w:pPr>
              <w:jc w:val="center"/>
              <w:rPr>
                <w:rFonts w:hint="eastAsia" w:ascii="仿宋" w:hAnsi="仿宋" w:eastAsia="仿宋"/>
                <w:color w:val="auto"/>
                <w:kern w:val="0"/>
                <w:sz w:val="24"/>
                <w:szCs w:val="24"/>
              </w:rPr>
            </w:pPr>
            <w:r>
              <w:rPr>
                <w:rFonts w:hint="eastAsia" w:ascii="仿宋" w:hAnsi="仿宋" w:eastAsia="仿宋"/>
                <w:color w:val="auto"/>
                <w:kern w:val="0"/>
                <w:sz w:val="24"/>
                <w:szCs w:val="24"/>
                <w:lang w:val="en-US" w:eastAsia="zh-CN"/>
              </w:rPr>
              <w:t xml:space="preserve">45.44 </w:t>
            </w:r>
          </w:p>
        </w:tc>
        <w:tc>
          <w:tcPr>
            <w:tcW w:w="603" w:type="pct"/>
            <w:vAlign w:val="center"/>
          </w:tcPr>
          <w:p w14:paraId="2B269A16">
            <w:pPr>
              <w:jc w:val="center"/>
              <w:rPr>
                <w:rFonts w:hint="eastAsia" w:ascii="仿宋" w:hAnsi="仿宋" w:eastAsia="仿宋"/>
                <w:color w:val="auto"/>
                <w:kern w:val="0"/>
                <w:sz w:val="24"/>
                <w:szCs w:val="24"/>
              </w:rPr>
            </w:pPr>
            <w:r>
              <w:rPr>
                <w:rFonts w:hint="eastAsia" w:ascii="仿宋" w:hAnsi="仿宋" w:eastAsia="仿宋"/>
                <w:color w:val="auto"/>
                <w:kern w:val="0"/>
                <w:sz w:val="24"/>
                <w:szCs w:val="24"/>
                <w:lang w:val="en-US" w:eastAsia="zh-CN"/>
              </w:rPr>
              <w:t>3</w:t>
            </w:r>
          </w:p>
        </w:tc>
      </w:tr>
      <w:tr w14:paraId="6D969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639" w:type="pct"/>
            <w:vAlign w:val="center"/>
          </w:tcPr>
          <w:p w14:paraId="7CF1B78A">
            <w:pPr>
              <w:jc w:val="center"/>
              <w:rPr>
                <w:rFonts w:hint="eastAsia" w:ascii="仿宋" w:hAnsi="仿宋" w:eastAsia="仿宋"/>
                <w:color w:val="auto"/>
                <w:kern w:val="0"/>
                <w:sz w:val="24"/>
                <w:szCs w:val="24"/>
              </w:rPr>
            </w:pPr>
            <w:r>
              <w:rPr>
                <w:rFonts w:hint="eastAsia" w:ascii="仿宋" w:hAnsi="仿宋" w:eastAsia="仿宋"/>
                <w:color w:val="auto"/>
                <w:kern w:val="0"/>
                <w:sz w:val="24"/>
                <w:szCs w:val="24"/>
                <w:lang w:val="en-US" w:eastAsia="zh-CN"/>
              </w:rPr>
              <w:t>深圳市汽车钣金喷漆行业协会</w:t>
            </w:r>
          </w:p>
        </w:tc>
        <w:tc>
          <w:tcPr>
            <w:tcW w:w="903" w:type="pct"/>
            <w:vAlign w:val="center"/>
          </w:tcPr>
          <w:p w14:paraId="53711E26">
            <w:pPr>
              <w:jc w:val="center"/>
              <w:rPr>
                <w:rFonts w:hint="eastAsia" w:ascii="仿宋" w:hAnsi="仿宋" w:eastAsia="仿宋"/>
                <w:color w:val="auto"/>
                <w:kern w:val="0"/>
                <w:sz w:val="24"/>
                <w:szCs w:val="24"/>
              </w:rPr>
            </w:pPr>
            <w:r>
              <w:rPr>
                <w:rFonts w:hint="eastAsia" w:ascii="仿宋" w:hAnsi="仿宋" w:eastAsia="仿宋"/>
                <w:color w:val="auto"/>
                <w:kern w:val="0"/>
                <w:sz w:val="24"/>
                <w:szCs w:val="24"/>
                <w:lang w:val="en-US" w:eastAsia="zh-CN"/>
              </w:rPr>
              <w:t xml:space="preserve">498,178.63 </w:t>
            </w:r>
          </w:p>
        </w:tc>
        <w:tc>
          <w:tcPr>
            <w:tcW w:w="651" w:type="pct"/>
            <w:vAlign w:val="center"/>
          </w:tcPr>
          <w:p w14:paraId="2A3BD917">
            <w:pPr>
              <w:jc w:val="center"/>
              <w:rPr>
                <w:rFonts w:hint="eastAsia" w:ascii="仿宋" w:hAnsi="仿宋" w:eastAsia="仿宋"/>
                <w:color w:val="auto"/>
                <w:kern w:val="0"/>
                <w:sz w:val="24"/>
                <w:szCs w:val="24"/>
              </w:rPr>
            </w:pPr>
            <w:r>
              <w:rPr>
                <w:rFonts w:hint="eastAsia" w:ascii="仿宋" w:hAnsi="仿宋" w:eastAsia="仿宋"/>
                <w:color w:val="auto"/>
                <w:kern w:val="0"/>
                <w:sz w:val="24"/>
                <w:szCs w:val="24"/>
              </w:rPr>
              <w:t>通过</w:t>
            </w:r>
          </w:p>
        </w:tc>
        <w:tc>
          <w:tcPr>
            <w:tcW w:w="644" w:type="pct"/>
            <w:vAlign w:val="center"/>
          </w:tcPr>
          <w:p w14:paraId="6F81D2EF">
            <w:pPr>
              <w:jc w:val="center"/>
              <w:rPr>
                <w:rFonts w:hint="eastAsia" w:ascii="仿宋" w:hAnsi="仿宋" w:eastAsia="仿宋"/>
                <w:color w:val="auto"/>
                <w:kern w:val="0"/>
                <w:sz w:val="24"/>
                <w:szCs w:val="24"/>
              </w:rPr>
            </w:pPr>
            <w:r>
              <w:rPr>
                <w:rFonts w:hint="eastAsia" w:ascii="仿宋" w:hAnsi="仿宋" w:eastAsia="仿宋"/>
                <w:color w:val="auto"/>
                <w:kern w:val="0"/>
                <w:sz w:val="24"/>
                <w:szCs w:val="24"/>
              </w:rPr>
              <w:t>通过</w:t>
            </w:r>
          </w:p>
        </w:tc>
        <w:tc>
          <w:tcPr>
            <w:tcW w:w="556" w:type="pct"/>
            <w:vAlign w:val="center"/>
          </w:tcPr>
          <w:p w14:paraId="05D53DE9">
            <w:pPr>
              <w:jc w:val="center"/>
              <w:rPr>
                <w:rFonts w:hint="eastAsia" w:ascii="仿宋" w:hAnsi="仿宋" w:eastAsia="仿宋"/>
                <w:color w:val="auto"/>
                <w:kern w:val="0"/>
                <w:sz w:val="24"/>
                <w:szCs w:val="24"/>
              </w:rPr>
            </w:pPr>
            <w:r>
              <w:rPr>
                <w:rFonts w:hint="eastAsia" w:ascii="仿宋" w:hAnsi="仿宋" w:eastAsia="仿宋"/>
                <w:color w:val="auto"/>
                <w:kern w:val="0"/>
                <w:sz w:val="24"/>
                <w:szCs w:val="24"/>
                <w:lang w:val="en-US" w:eastAsia="zh-CN"/>
              </w:rPr>
              <w:t xml:space="preserve">51.64 </w:t>
            </w:r>
          </w:p>
        </w:tc>
        <w:tc>
          <w:tcPr>
            <w:tcW w:w="603" w:type="pct"/>
            <w:vAlign w:val="center"/>
          </w:tcPr>
          <w:p w14:paraId="1A2904D2">
            <w:pPr>
              <w:jc w:val="center"/>
              <w:rPr>
                <w:rFonts w:hint="eastAsia" w:ascii="仿宋" w:hAnsi="仿宋" w:eastAsia="仿宋"/>
                <w:color w:val="auto"/>
                <w:kern w:val="0"/>
                <w:sz w:val="24"/>
                <w:szCs w:val="24"/>
              </w:rPr>
            </w:pPr>
            <w:r>
              <w:rPr>
                <w:rFonts w:hint="eastAsia" w:ascii="仿宋" w:hAnsi="仿宋" w:eastAsia="仿宋"/>
                <w:color w:val="auto"/>
                <w:kern w:val="0"/>
                <w:sz w:val="24"/>
                <w:szCs w:val="24"/>
                <w:lang w:val="en-US" w:eastAsia="zh-CN"/>
              </w:rPr>
              <w:t>2</w:t>
            </w:r>
          </w:p>
        </w:tc>
      </w:tr>
    </w:tbl>
    <w:p w14:paraId="4A5F0133">
      <w:pPr>
        <w:ind w:left="420"/>
        <w:rPr>
          <w:rFonts w:hint="eastAsia" w:ascii="仿宋" w:hAnsi="仿宋" w:eastAsia="仿宋"/>
          <w:color w:val="auto"/>
          <w:sz w:val="28"/>
          <w:szCs w:val="28"/>
        </w:rPr>
      </w:pPr>
      <w:r>
        <w:rPr>
          <w:rFonts w:hint="eastAsia" w:ascii="仿宋" w:hAnsi="仿宋" w:eastAsia="仿宋"/>
          <w:color w:val="auto"/>
          <w:sz w:val="28"/>
          <w:szCs w:val="28"/>
        </w:rPr>
        <w:t>四、候选中标供应商名单：</w:t>
      </w:r>
      <w:r>
        <w:rPr>
          <w:rFonts w:hint="eastAsia" w:ascii="仿宋" w:hAnsi="仿宋" w:eastAsia="仿宋"/>
          <w:color w:val="auto"/>
          <w:sz w:val="28"/>
          <w:szCs w:val="28"/>
          <w:lang w:val="en-US" w:eastAsia="zh-CN"/>
        </w:rPr>
        <w:t>深圳市鹏程职业培训中心、深圳市汽车钣金喷漆行业协会、深圳市星中汇安防职业技能培训中心</w:t>
      </w:r>
    </w:p>
    <w:p w14:paraId="2A013D8C">
      <w:pPr>
        <w:ind w:left="420"/>
        <w:rPr>
          <w:rFonts w:hint="eastAsia" w:ascii="仿宋" w:hAnsi="仿宋" w:eastAsia="仿宋"/>
          <w:color w:val="auto"/>
          <w:sz w:val="28"/>
          <w:szCs w:val="28"/>
        </w:rPr>
      </w:pPr>
      <w:r>
        <w:rPr>
          <w:rFonts w:hint="eastAsia" w:ascii="仿宋" w:hAnsi="仿宋" w:eastAsia="仿宋"/>
          <w:color w:val="auto"/>
          <w:sz w:val="28"/>
          <w:szCs w:val="28"/>
        </w:rPr>
        <w:t>五、中标（成交）信息</w:t>
      </w:r>
    </w:p>
    <w:p w14:paraId="6AD076F4">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供应商名称：</w:t>
      </w:r>
      <w:r>
        <w:rPr>
          <w:rFonts w:hint="eastAsia" w:ascii="仿宋" w:hAnsi="仿宋" w:eastAsia="仿宋"/>
          <w:color w:val="auto"/>
          <w:sz w:val="28"/>
          <w:szCs w:val="28"/>
          <w:lang w:val="en-US" w:eastAsia="zh-CN"/>
        </w:rPr>
        <w:t>深圳市鹏程职业培训中心</w:t>
      </w:r>
    </w:p>
    <w:p w14:paraId="134BA14B">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供应商地址：深圳市福田区滨河路与彩田路交汇处联合广场A栋塔楼A701、A703房</w:t>
      </w:r>
    </w:p>
    <w:p w14:paraId="314AF820">
      <w:pPr>
        <w:ind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rPr>
        <w:t>中标（成交）金额：</w:t>
      </w:r>
      <w:r>
        <w:rPr>
          <w:rFonts w:hint="eastAsia" w:ascii="仿宋" w:hAnsi="仿宋" w:eastAsia="仿宋"/>
          <w:color w:val="auto"/>
          <w:sz w:val="28"/>
          <w:szCs w:val="28"/>
          <w:u w:val="single"/>
          <w:lang w:val="en-US" w:eastAsia="zh-CN"/>
        </w:rPr>
        <w:t>人民币48.0000万元</w:t>
      </w:r>
    </w:p>
    <w:p w14:paraId="0441FBBA">
      <w:pPr>
        <w:numPr>
          <w:ilvl w:val="0"/>
          <w:numId w:val="0"/>
        </w:numPr>
        <w:ind w:left="420" w:leftChars="0"/>
        <w:rPr>
          <w:rFonts w:hint="eastAsia" w:ascii="仿宋" w:hAnsi="仿宋" w:eastAsia="仿宋"/>
          <w:color w:val="auto"/>
          <w:sz w:val="28"/>
          <w:szCs w:val="28"/>
        </w:rPr>
      </w:pPr>
      <w:r>
        <w:rPr>
          <w:rFonts w:hint="eastAsia" w:ascii="仿宋" w:hAnsi="仿宋" w:eastAsia="仿宋" w:cs="Times New Roman"/>
          <w:color w:val="auto"/>
          <w:kern w:val="2"/>
          <w:sz w:val="28"/>
          <w:szCs w:val="28"/>
          <w:lang w:val="en-US" w:eastAsia="zh-CN" w:bidi="ar-SA"/>
        </w:rPr>
        <w:t>六、</w:t>
      </w:r>
      <w:r>
        <w:rPr>
          <w:rFonts w:hint="eastAsia" w:ascii="仿宋" w:hAnsi="仿宋" w:eastAsia="仿宋"/>
          <w:color w:val="auto"/>
          <w:sz w:val="28"/>
          <w:szCs w:val="28"/>
        </w:rPr>
        <w:t>主要标的信息</w:t>
      </w:r>
    </w:p>
    <w:tbl>
      <w:tblPr>
        <w:tblStyle w:val="12"/>
        <w:tblW w:w="7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7"/>
      </w:tblGrid>
      <w:tr w14:paraId="12AFB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87" w:type="dxa"/>
          </w:tcPr>
          <w:p w14:paraId="0C1F645B">
            <w:pPr>
              <w:jc w:val="center"/>
              <w:rPr>
                <w:rFonts w:ascii="仿宋" w:hAnsi="仿宋" w:eastAsia="仿宋"/>
                <w:color w:val="auto"/>
                <w:kern w:val="0"/>
                <w:sz w:val="28"/>
                <w:szCs w:val="28"/>
              </w:rPr>
            </w:pPr>
            <w:r>
              <w:rPr>
                <w:rFonts w:hint="eastAsia" w:ascii="仿宋" w:hAnsi="仿宋" w:eastAsia="仿宋"/>
                <w:color w:val="auto"/>
                <w:kern w:val="0"/>
                <w:sz w:val="28"/>
                <w:szCs w:val="28"/>
              </w:rPr>
              <w:t>服务类</w:t>
            </w:r>
          </w:p>
        </w:tc>
      </w:tr>
      <w:tr w14:paraId="5FECB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7" w:type="dxa"/>
          </w:tcPr>
          <w:p w14:paraId="1AE9B530">
            <w:pPr>
              <w:rPr>
                <w:rFonts w:hint="eastAsia" w:ascii="仿宋" w:hAnsi="仿宋" w:eastAsia="仿宋"/>
                <w:color w:val="auto"/>
                <w:kern w:val="0"/>
                <w:sz w:val="28"/>
                <w:szCs w:val="28"/>
                <w:lang w:eastAsia="zh-CN"/>
              </w:rPr>
            </w:pPr>
            <w:r>
              <w:rPr>
                <w:rFonts w:hint="eastAsia" w:ascii="仿宋" w:hAnsi="仿宋" w:eastAsia="仿宋"/>
                <w:color w:val="auto"/>
                <w:kern w:val="0"/>
                <w:sz w:val="28"/>
                <w:szCs w:val="28"/>
              </w:rPr>
              <w:t>名称：</w:t>
            </w:r>
            <w:r>
              <w:rPr>
                <w:rFonts w:hint="eastAsia" w:ascii="仿宋" w:hAnsi="仿宋" w:eastAsia="仿宋"/>
                <w:color w:val="auto"/>
                <w:kern w:val="0"/>
                <w:sz w:val="28"/>
                <w:szCs w:val="28"/>
                <w:lang w:eastAsia="zh-CN"/>
              </w:rPr>
              <w:t>专项职业能力考核和职业技能等级认定考务服务</w:t>
            </w:r>
          </w:p>
          <w:p w14:paraId="7470995E">
            <w:pPr>
              <w:rPr>
                <w:rFonts w:hint="default" w:ascii="仿宋" w:hAnsi="仿宋" w:eastAsia="仿宋"/>
                <w:color w:val="auto"/>
                <w:kern w:val="0"/>
                <w:sz w:val="28"/>
                <w:szCs w:val="28"/>
                <w:lang w:val="en-US" w:eastAsia="zh-CN"/>
              </w:rPr>
            </w:pPr>
            <w:r>
              <w:rPr>
                <w:rFonts w:hint="eastAsia" w:ascii="仿宋" w:hAnsi="仿宋" w:eastAsia="仿宋"/>
                <w:color w:val="auto"/>
                <w:kern w:val="0"/>
                <w:sz w:val="28"/>
                <w:szCs w:val="28"/>
              </w:rPr>
              <w:t>服务范围：</w:t>
            </w:r>
            <w:r>
              <w:rPr>
                <w:rFonts w:hint="eastAsia" w:ascii="仿宋" w:hAnsi="仿宋" w:eastAsia="仿宋"/>
                <w:color w:val="auto"/>
                <w:kern w:val="0"/>
                <w:sz w:val="28"/>
                <w:szCs w:val="28"/>
                <w:lang w:val="en-US" w:eastAsia="zh-CN"/>
              </w:rPr>
              <w:t>详见《招标文件》</w:t>
            </w:r>
          </w:p>
          <w:p w14:paraId="4FFC2ACD">
            <w:pPr>
              <w:rPr>
                <w:rFonts w:hint="default" w:ascii="仿宋" w:hAnsi="仿宋" w:eastAsia="仿宋"/>
                <w:color w:val="auto"/>
                <w:kern w:val="0"/>
                <w:sz w:val="28"/>
                <w:szCs w:val="28"/>
                <w:lang w:val="en-US" w:eastAsia="zh-CN"/>
              </w:rPr>
            </w:pPr>
            <w:r>
              <w:rPr>
                <w:rFonts w:hint="eastAsia" w:ascii="仿宋" w:hAnsi="仿宋" w:eastAsia="仿宋"/>
                <w:color w:val="auto"/>
                <w:kern w:val="0"/>
                <w:sz w:val="28"/>
                <w:szCs w:val="28"/>
              </w:rPr>
              <w:t>服务要求：</w:t>
            </w:r>
            <w:r>
              <w:rPr>
                <w:rFonts w:hint="eastAsia" w:ascii="仿宋" w:hAnsi="仿宋" w:eastAsia="仿宋"/>
                <w:color w:val="auto"/>
                <w:kern w:val="0"/>
                <w:sz w:val="28"/>
                <w:szCs w:val="28"/>
                <w:lang w:val="en-US" w:eastAsia="zh-CN"/>
              </w:rPr>
              <w:t>详见《招标文件》</w:t>
            </w:r>
          </w:p>
          <w:p w14:paraId="2723B17A">
            <w:pPr>
              <w:rPr>
                <w:rFonts w:hint="default" w:ascii="仿宋" w:hAnsi="仿宋" w:eastAsia="仿宋"/>
                <w:color w:val="auto"/>
                <w:kern w:val="0"/>
                <w:sz w:val="28"/>
                <w:szCs w:val="28"/>
                <w:lang w:val="en-US" w:eastAsia="zh-CN"/>
              </w:rPr>
            </w:pPr>
            <w:r>
              <w:rPr>
                <w:rFonts w:hint="eastAsia" w:ascii="仿宋" w:hAnsi="仿宋" w:eastAsia="仿宋"/>
                <w:color w:val="auto"/>
                <w:kern w:val="0"/>
                <w:sz w:val="28"/>
                <w:szCs w:val="28"/>
              </w:rPr>
              <w:t>服务时间：</w:t>
            </w:r>
            <w:r>
              <w:rPr>
                <w:rFonts w:hint="eastAsia" w:ascii="仿宋" w:hAnsi="仿宋" w:eastAsia="仿宋"/>
                <w:color w:val="auto"/>
                <w:kern w:val="0"/>
                <w:sz w:val="28"/>
                <w:szCs w:val="28"/>
                <w:lang w:val="en-US" w:eastAsia="zh-CN"/>
              </w:rPr>
              <w:t>详见《招标文件》</w:t>
            </w:r>
          </w:p>
          <w:p w14:paraId="58E9B1F3">
            <w:pPr>
              <w:rPr>
                <w:rFonts w:ascii="仿宋" w:hAnsi="仿宋" w:eastAsia="仿宋"/>
                <w:color w:val="auto"/>
                <w:kern w:val="0"/>
                <w:sz w:val="28"/>
                <w:szCs w:val="28"/>
              </w:rPr>
            </w:pPr>
            <w:r>
              <w:rPr>
                <w:rFonts w:hint="eastAsia" w:ascii="仿宋" w:hAnsi="仿宋" w:eastAsia="仿宋"/>
                <w:color w:val="auto"/>
                <w:kern w:val="0"/>
                <w:sz w:val="28"/>
                <w:szCs w:val="28"/>
              </w:rPr>
              <w:t>服务标准：</w:t>
            </w:r>
            <w:r>
              <w:rPr>
                <w:rFonts w:hint="eastAsia" w:ascii="仿宋" w:hAnsi="仿宋" w:eastAsia="仿宋"/>
                <w:color w:val="auto"/>
                <w:kern w:val="0"/>
                <w:sz w:val="28"/>
                <w:szCs w:val="28"/>
                <w:lang w:val="en-US" w:eastAsia="zh-CN"/>
              </w:rPr>
              <w:t>详见《招标文件》</w:t>
            </w:r>
          </w:p>
        </w:tc>
      </w:tr>
    </w:tbl>
    <w:p w14:paraId="74948C66">
      <w:pPr>
        <w:pStyle w:val="2"/>
        <w:numPr>
          <w:ilvl w:val="0"/>
          <w:numId w:val="0"/>
        </w:numPr>
        <w:rPr>
          <w:color w:val="auto"/>
        </w:rPr>
      </w:pPr>
    </w:p>
    <w:p w14:paraId="6567A95A">
      <w:pPr>
        <w:ind w:left="420"/>
        <w:rPr>
          <w:rFonts w:hint="eastAsia" w:ascii="仿宋" w:hAnsi="仿宋" w:eastAsia="仿宋"/>
          <w:color w:val="auto"/>
          <w:sz w:val="28"/>
          <w:szCs w:val="28"/>
          <w:lang w:eastAsia="zh-CN"/>
        </w:rPr>
      </w:pPr>
      <w:r>
        <w:rPr>
          <w:rFonts w:hint="eastAsia" w:ascii="仿宋" w:hAnsi="仿宋" w:eastAsia="仿宋"/>
          <w:color w:val="auto"/>
          <w:sz w:val="28"/>
          <w:szCs w:val="28"/>
        </w:rPr>
        <w:t>七、评审委员会成员名单：熊轶</w:t>
      </w:r>
      <w:r>
        <w:rPr>
          <w:rFonts w:hint="eastAsia" w:ascii="仿宋" w:hAnsi="仿宋" w:eastAsia="仿宋"/>
          <w:color w:val="auto"/>
          <w:sz w:val="28"/>
          <w:szCs w:val="28"/>
        </w:rPr>
        <w:tab/>
      </w:r>
      <w:r>
        <w:rPr>
          <w:rFonts w:hint="eastAsia" w:ascii="仿宋" w:hAnsi="仿宋" w:eastAsia="仿宋"/>
          <w:color w:val="auto"/>
          <w:sz w:val="28"/>
          <w:szCs w:val="28"/>
          <w:lang w:eastAsia="zh-CN"/>
        </w:rPr>
        <w:t>、</w:t>
      </w:r>
      <w:r>
        <w:rPr>
          <w:rFonts w:hint="eastAsia" w:ascii="仿宋" w:hAnsi="仿宋" w:eastAsia="仿宋"/>
          <w:color w:val="auto"/>
          <w:sz w:val="28"/>
          <w:szCs w:val="28"/>
        </w:rPr>
        <w:t>郭跃萍</w:t>
      </w:r>
      <w:r>
        <w:rPr>
          <w:rFonts w:hint="eastAsia" w:ascii="仿宋" w:hAnsi="仿宋" w:eastAsia="仿宋"/>
          <w:color w:val="auto"/>
          <w:sz w:val="28"/>
          <w:szCs w:val="28"/>
          <w:lang w:eastAsia="zh-CN"/>
        </w:rPr>
        <w:t>、</w:t>
      </w:r>
      <w:r>
        <w:rPr>
          <w:rFonts w:hint="eastAsia" w:ascii="仿宋" w:hAnsi="仿宋" w:eastAsia="仿宋"/>
          <w:color w:val="auto"/>
          <w:sz w:val="28"/>
          <w:szCs w:val="28"/>
        </w:rPr>
        <w:tab/>
      </w:r>
      <w:r>
        <w:rPr>
          <w:rFonts w:hint="eastAsia" w:ascii="仿宋" w:hAnsi="仿宋" w:eastAsia="仿宋"/>
          <w:color w:val="auto"/>
          <w:sz w:val="28"/>
          <w:szCs w:val="28"/>
        </w:rPr>
        <w:t>潘光添</w:t>
      </w:r>
      <w:r>
        <w:rPr>
          <w:rFonts w:hint="eastAsia" w:ascii="仿宋" w:hAnsi="仿宋" w:eastAsia="仿宋"/>
          <w:color w:val="auto"/>
          <w:sz w:val="28"/>
          <w:szCs w:val="28"/>
          <w:lang w:eastAsia="zh-CN"/>
        </w:rPr>
        <w:t>、</w:t>
      </w:r>
      <w:r>
        <w:rPr>
          <w:rFonts w:hint="eastAsia" w:ascii="仿宋" w:hAnsi="仿宋" w:eastAsia="仿宋"/>
          <w:color w:val="auto"/>
          <w:sz w:val="28"/>
          <w:szCs w:val="28"/>
        </w:rPr>
        <w:t>刘志荣</w:t>
      </w:r>
      <w:r>
        <w:rPr>
          <w:rFonts w:hint="eastAsia" w:ascii="仿宋" w:hAnsi="仿宋" w:eastAsia="仿宋"/>
          <w:color w:val="auto"/>
          <w:sz w:val="28"/>
          <w:szCs w:val="28"/>
          <w:lang w:eastAsia="zh-CN"/>
        </w:rPr>
        <w:t>、</w:t>
      </w:r>
      <w:r>
        <w:rPr>
          <w:rFonts w:hint="eastAsia" w:ascii="仿宋" w:hAnsi="仿宋" w:eastAsia="仿宋"/>
          <w:color w:val="auto"/>
          <w:sz w:val="28"/>
          <w:szCs w:val="28"/>
        </w:rPr>
        <w:tab/>
      </w:r>
      <w:r>
        <w:rPr>
          <w:rFonts w:hint="eastAsia" w:ascii="仿宋" w:hAnsi="仿宋" w:eastAsia="仿宋"/>
          <w:color w:val="auto"/>
          <w:sz w:val="28"/>
          <w:szCs w:val="28"/>
        </w:rPr>
        <w:t>杨伟荣</w:t>
      </w:r>
    </w:p>
    <w:p w14:paraId="3BF1B3F7">
      <w:pPr>
        <w:ind w:left="420"/>
        <w:rPr>
          <w:rFonts w:ascii="仿宋" w:hAnsi="仿宋" w:eastAsia="仿宋"/>
          <w:color w:val="auto"/>
          <w:sz w:val="28"/>
          <w:szCs w:val="28"/>
        </w:rPr>
      </w:pPr>
      <w:r>
        <w:rPr>
          <w:rFonts w:hint="eastAsia" w:ascii="仿宋" w:hAnsi="仿宋" w:eastAsia="仿宋"/>
          <w:color w:val="auto"/>
          <w:sz w:val="28"/>
          <w:szCs w:val="28"/>
        </w:rPr>
        <w:t>八、代理服务收费标准及金额：以中标金额作为采购代理服务费的计算基数，采购代理服务费收费采用差额定率累进法计算方式。按《深圳市财政委员会关于规范深圳市社会采购代理机构管理有关事项的补充通知》（深财购〔2018〕27号）代理费用参考标准规定的“服务类”计算(当中标金额小于50万元时，按50万元为基数),下浮50%后收取</w:t>
      </w:r>
      <w:r>
        <w:rPr>
          <w:rFonts w:hint="eastAsia" w:ascii="仿宋" w:hAnsi="仿宋" w:eastAsia="仿宋"/>
          <w:color w:val="auto"/>
          <w:sz w:val="28"/>
          <w:szCs w:val="28"/>
        </w:rPr>
        <w:t>。</w:t>
      </w:r>
      <w:r>
        <w:rPr>
          <w:rFonts w:hint="eastAsia" w:ascii="仿宋" w:hAnsi="仿宋" w:eastAsia="仿宋" w:cs="宋体"/>
          <w:color w:val="auto"/>
          <w:kern w:val="0"/>
          <w:sz w:val="28"/>
          <w:szCs w:val="28"/>
          <w:lang w:val="en-US" w:eastAsia="zh-CN"/>
        </w:rPr>
        <w:t>人民币0.3750</w:t>
      </w:r>
      <w:r>
        <w:rPr>
          <w:rFonts w:hint="eastAsia" w:ascii="仿宋" w:hAnsi="仿宋" w:eastAsia="仿宋" w:cs="宋体"/>
          <w:color w:val="auto"/>
          <w:kern w:val="0"/>
          <w:sz w:val="28"/>
          <w:szCs w:val="28"/>
          <w:lang w:val="en-US" w:eastAsia="zh-CN"/>
        </w:rPr>
        <w:t>万元</w:t>
      </w:r>
      <w:r>
        <w:rPr>
          <w:rFonts w:hint="eastAsia" w:ascii="仿宋" w:hAnsi="仿宋" w:eastAsia="仿宋" w:cs="宋体"/>
          <w:color w:val="auto"/>
          <w:kern w:val="0"/>
          <w:sz w:val="28"/>
          <w:szCs w:val="28"/>
        </w:rPr>
        <w:t>。</w:t>
      </w:r>
    </w:p>
    <w:p w14:paraId="424FDBAD">
      <w:pPr>
        <w:ind w:left="420"/>
        <w:rPr>
          <w:rFonts w:ascii="仿宋" w:hAnsi="仿宋" w:eastAsia="仿宋"/>
          <w:color w:val="auto"/>
          <w:sz w:val="28"/>
          <w:szCs w:val="28"/>
        </w:rPr>
      </w:pPr>
      <w:r>
        <w:rPr>
          <w:rFonts w:hint="eastAsia" w:ascii="仿宋" w:hAnsi="仿宋" w:eastAsia="仿宋"/>
          <w:color w:val="auto"/>
          <w:sz w:val="28"/>
          <w:szCs w:val="28"/>
        </w:rPr>
        <w:t>九、公示期限</w:t>
      </w:r>
    </w:p>
    <w:p w14:paraId="12FF4B81">
      <w:pPr>
        <w:ind w:firstLine="560" w:firstLineChars="200"/>
        <w:rPr>
          <w:rFonts w:ascii="仿宋" w:hAnsi="仿宋" w:eastAsia="仿宋" w:cs="宋体"/>
          <w:color w:val="auto"/>
          <w:kern w:val="0"/>
          <w:sz w:val="28"/>
          <w:szCs w:val="28"/>
        </w:rPr>
      </w:pPr>
      <w:r>
        <w:rPr>
          <w:rFonts w:hint="eastAsia" w:ascii="仿宋" w:hAnsi="仿宋" w:eastAsia="仿宋"/>
          <w:color w:val="auto"/>
          <w:sz w:val="28"/>
          <w:szCs w:val="28"/>
          <w:u w:val="single"/>
          <w:lang w:val="en-US" w:eastAsia="zh-CN"/>
        </w:rPr>
        <w:t>2025</w:t>
      </w:r>
      <w:r>
        <w:rPr>
          <w:rFonts w:hint="eastAsia" w:ascii="仿宋" w:hAnsi="仿宋" w:eastAsia="仿宋"/>
          <w:color w:val="auto"/>
          <w:sz w:val="28"/>
          <w:szCs w:val="28"/>
          <w:u w:val="none"/>
          <w:lang w:val="en-US" w:eastAsia="zh-CN"/>
        </w:rPr>
        <w:t>年</w:t>
      </w:r>
      <w:r>
        <w:rPr>
          <w:rFonts w:hint="eastAsia" w:ascii="仿宋" w:hAnsi="仿宋" w:eastAsia="仿宋"/>
          <w:color w:val="auto"/>
          <w:sz w:val="28"/>
          <w:szCs w:val="28"/>
          <w:u w:val="single"/>
          <w:lang w:val="en-US" w:eastAsia="zh-CN"/>
        </w:rPr>
        <w:t>3</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1</w:t>
      </w:r>
      <w:r>
        <w:rPr>
          <w:rFonts w:hint="eastAsia" w:ascii="仿宋" w:hAnsi="仿宋" w:eastAsia="仿宋"/>
          <w:color w:val="auto"/>
          <w:sz w:val="28"/>
          <w:szCs w:val="28"/>
        </w:rPr>
        <w:t>日至</w:t>
      </w:r>
      <w:r>
        <w:rPr>
          <w:rFonts w:hint="eastAsia" w:ascii="仿宋" w:hAnsi="仿宋" w:eastAsia="仿宋"/>
          <w:color w:val="auto"/>
          <w:sz w:val="28"/>
          <w:szCs w:val="28"/>
          <w:u w:val="single"/>
          <w:lang w:val="en-US" w:eastAsia="zh-CN"/>
        </w:rPr>
        <w:t>2025</w:t>
      </w:r>
      <w:r>
        <w:rPr>
          <w:rFonts w:hint="eastAsia" w:ascii="仿宋" w:hAnsi="仿宋" w:eastAsia="仿宋"/>
          <w:color w:val="auto"/>
          <w:sz w:val="28"/>
          <w:szCs w:val="28"/>
          <w:u w:val="none"/>
          <w:lang w:val="en-US" w:eastAsia="zh-CN"/>
        </w:rPr>
        <w:t>年</w:t>
      </w:r>
      <w:r>
        <w:rPr>
          <w:rFonts w:hint="eastAsia" w:ascii="仿宋" w:hAnsi="仿宋" w:eastAsia="仿宋"/>
          <w:color w:val="auto"/>
          <w:sz w:val="28"/>
          <w:szCs w:val="28"/>
          <w:u w:val="single"/>
          <w:lang w:val="en-US" w:eastAsia="zh-CN"/>
        </w:rPr>
        <w:t>3</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3</w:t>
      </w:r>
      <w:r>
        <w:rPr>
          <w:rFonts w:hint="eastAsia" w:ascii="仿宋" w:hAnsi="仿宋" w:eastAsia="仿宋"/>
          <w:color w:val="auto"/>
          <w:sz w:val="28"/>
          <w:szCs w:val="28"/>
        </w:rPr>
        <w:t>日</w:t>
      </w:r>
      <w:r>
        <w:rPr>
          <w:rFonts w:hint="eastAsia" w:ascii="仿宋" w:hAnsi="仿宋" w:eastAsia="仿宋" w:cs="宋体"/>
          <w:color w:val="auto"/>
          <w:kern w:val="0"/>
          <w:sz w:val="28"/>
          <w:szCs w:val="28"/>
        </w:rPr>
        <w:t>（公示时间不少于三日）。</w:t>
      </w:r>
    </w:p>
    <w:p w14:paraId="0E7B88A9">
      <w:pPr>
        <w:ind w:left="420"/>
        <w:rPr>
          <w:rFonts w:ascii="仿宋" w:hAnsi="仿宋" w:eastAsia="仿宋" w:cs="仿宋"/>
          <w:color w:val="auto"/>
          <w:sz w:val="28"/>
          <w:szCs w:val="28"/>
        </w:rPr>
      </w:pPr>
      <w:r>
        <w:rPr>
          <w:rFonts w:hint="eastAsia" w:ascii="仿宋" w:hAnsi="仿宋" w:eastAsia="仿宋" w:cs="仿宋"/>
          <w:color w:val="auto"/>
          <w:sz w:val="28"/>
          <w:szCs w:val="28"/>
        </w:rPr>
        <w:t>十、其他补充事宜</w:t>
      </w:r>
    </w:p>
    <w:p w14:paraId="715051C9">
      <w:pPr>
        <w:ind w:firstLine="280" w:firstLineChars="100"/>
        <w:rPr>
          <w:rFonts w:ascii="仿宋" w:hAnsi="仿宋" w:eastAsia="仿宋"/>
          <w:color w:val="auto"/>
          <w:kern w:val="0"/>
          <w:sz w:val="28"/>
          <w:szCs w:val="28"/>
        </w:rPr>
      </w:pPr>
      <w:r>
        <w:rPr>
          <w:rFonts w:hint="eastAsia" w:ascii="仿宋" w:hAnsi="仿宋" w:eastAsia="仿宋"/>
          <w:color w:val="auto"/>
          <w:kern w:val="0"/>
          <w:sz w:val="28"/>
          <w:szCs w:val="28"/>
        </w:rPr>
        <w:t>（一）供应商质疑</w:t>
      </w:r>
    </w:p>
    <w:p w14:paraId="3123236E">
      <w:pPr>
        <w:widowControl/>
        <w:ind w:firstLine="560" w:firstLineChars="200"/>
        <w:jc w:val="left"/>
        <w:rPr>
          <w:rFonts w:ascii="仿宋" w:hAnsi="仿宋" w:eastAsia="仿宋"/>
          <w:color w:val="auto"/>
          <w:kern w:val="0"/>
          <w:sz w:val="28"/>
          <w:szCs w:val="28"/>
        </w:rPr>
      </w:pPr>
      <w:r>
        <w:rPr>
          <w:rFonts w:ascii="仿宋" w:hAnsi="仿宋" w:eastAsia="仿宋"/>
          <w:color w:val="auto"/>
          <w:kern w:val="0"/>
          <w:sz w:val="28"/>
          <w:szCs w:val="28"/>
        </w:rPr>
        <w:t>供应商认为中标或者成交结果使自己的权益受到损害的</w:t>
      </w:r>
      <w:r>
        <w:rPr>
          <w:rFonts w:hint="eastAsia" w:ascii="仿宋" w:hAnsi="仿宋" w:eastAsia="仿宋"/>
          <w:color w:val="auto"/>
          <w:kern w:val="0"/>
          <w:sz w:val="28"/>
          <w:szCs w:val="28"/>
        </w:rPr>
        <w:t>，应当自本公告发布之日起七个工作日内</w:t>
      </w:r>
      <w:bookmarkStart w:id="0" w:name="_Hlk27380774"/>
      <w:r>
        <w:rPr>
          <w:rFonts w:hint="eastAsia" w:ascii="仿宋" w:hAnsi="仿宋" w:eastAsia="仿宋"/>
          <w:color w:val="auto"/>
          <w:kern w:val="0"/>
          <w:sz w:val="28"/>
          <w:szCs w:val="28"/>
        </w:rPr>
        <w:t>以书面形式向粤采通（深圳）招标有限公司（或采购人）提出质疑，逾期将依法不予受理。</w:t>
      </w:r>
      <w:bookmarkEnd w:id="0"/>
    </w:p>
    <w:p w14:paraId="7BCB5B3D">
      <w:pPr>
        <w:ind w:firstLine="280" w:firstLineChars="100"/>
        <w:rPr>
          <w:rFonts w:ascii="仿宋" w:hAnsi="仿宋" w:eastAsia="仿宋" w:cs="宋体"/>
          <w:color w:val="auto"/>
          <w:sz w:val="28"/>
          <w:szCs w:val="28"/>
        </w:rPr>
      </w:pPr>
      <w:r>
        <w:rPr>
          <w:rFonts w:hint="eastAsia" w:ascii="仿宋" w:hAnsi="仿宋" w:eastAsia="仿宋"/>
          <w:color w:val="auto"/>
          <w:kern w:val="0"/>
          <w:sz w:val="28"/>
          <w:szCs w:val="28"/>
        </w:rPr>
        <w:t>（二）</w:t>
      </w:r>
      <w:r>
        <w:rPr>
          <w:rFonts w:hint="eastAsia" w:ascii="仿宋" w:hAnsi="仿宋" w:eastAsia="仿宋" w:cs="宋体"/>
          <w:color w:val="auto"/>
          <w:sz w:val="28"/>
          <w:szCs w:val="28"/>
        </w:rPr>
        <w:t>本项目相关公告在以下媒体发布:</w:t>
      </w:r>
    </w:p>
    <w:p w14:paraId="405DBB0B">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eastAsia" w:ascii="仿宋" w:hAnsi="仿宋" w:eastAsia="仿宋"/>
          <w:color w:val="auto"/>
          <w:kern w:val="0"/>
          <w:sz w:val="28"/>
          <w:szCs w:val="28"/>
        </w:rPr>
      </w:pPr>
      <w:r>
        <w:rPr>
          <w:rFonts w:hint="eastAsia" w:ascii="仿宋" w:hAnsi="仿宋" w:eastAsia="仿宋"/>
          <w:color w:val="auto"/>
          <w:kern w:val="0"/>
          <w:sz w:val="28"/>
          <w:szCs w:val="28"/>
        </w:rPr>
        <w:t>相关媒体：中国政府采购网（www.ccgp.gov.cn）、深圳市人力资源和社会保障局官网（http://hrss.sz.gov.cn/）及采购代理机构网站（www.yctszzb.com）。相关公告在上述媒体上公布之日即视为有效送达，不再另行通知。</w:t>
      </w:r>
    </w:p>
    <w:p w14:paraId="1DA6619F">
      <w:pPr>
        <w:ind w:left="420"/>
        <w:rPr>
          <w:rFonts w:ascii="仿宋" w:hAnsi="仿宋" w:eastAsia="仿宋" w:cs="宋体"/>
          <w:color w:val="auto"/>
          <w:kern w:val="0"/>
          <w:sz w:val="28"/>
          <w:szCs w:val="28"/>
        </w:rPr>
      </w:pPr>
      <w:r>
        <w:rPr>
          <w:rFonts w:hint="eastAsia" w:ascii="仿宋" w:hAnsi="仿宋" w:eastAsia="仿宋" w:cs="宋体"/>
          <w:color w:val="auto"/>
          <w:kern w:val="0"/>
          <w:sz w:val="28"/>
          <w:szCs w:val="28"/>
        </w:rPr>
        <w:t>十一、凡对本次公告内容提出询问，请按以下方式联系。</w:t>
      </w:r>
    </w:p>
    <w:p w14:paraId="321A02F9">
      <w:pPr>
        <w:widowControl/>
        <w:adjustRightInd w:val="0"/>
        <w:snapToGrid w:val="0"/>
        <w:spacing w:line="360" w:lineRule="auto"/>
        <w:jc w:val="left"/>
        <w:rPr>
          <w:rFonts w:ascii="仿宋" w:hAnsi="仿宋" w:eastAsia="仿宋"/>
          <w:color w:val="auto"/>
          <w:sz w:val="28"/>
          <w:szCs w:val="28"/>
        </w:rPr>
      </w:pPr>
      <w:r>
        <w:rPr>
          <w:rFonts w:hint="eastAsia" w:ascii="仿宋" w:hAnsi="仿宋" w:eastAsia="仿宋" w:cs="宋体"/>
          <w:color w:val="auto"/>
          <w:sz w:val="28"/>
          <w:szCs w:val="28"/>
        </w:rPr>
        <w:t xml:space="preserve">      1.采购人信息</w:t>
      </w:r>
    </w:p>
    <w:p w14:paraId="6C35E029">
      <w:pPr>
        <w:adjustRightInd w:val="0"/>
        <w:snapToGrid w:val="0"/>
        <w:spacing w:line="360" w:lineRule="auto"/>
        <w:ind w:left="1129" w:leftChars="371" w:hanging="350" w:hangingChars="125"/>
        <w:jc w:val="left"/>
        <w:rPr>
          <w:rFonts w:hint="eastAsia" w:ascii="仿宋" w:hAnsi="仿宋" w:eastAsia="仿宋"/>
          <w:color w:val="auto"/>
          <w:sz w:val="28"/>
          <w:szCs w:val="28"/>
          <w:lang w:val="en-US" w:eastAsia="zh-CN"/>
        </w:rPr>
      </w:pPr>
      <w:r>
        <w:rPr>
          <w:rFonts w:hint="eastAsia" w:ascii="仿宋" w:hAnsi="仿宋" w:eastAsia="仿宋"/>
          <w:color w:val="auto"/>
          <w:sz w:val="28"/>
          <w:szCs w:val="28"/>
        </w:rPr>
        <w:t>名称：</w:t>
      </w:r>
      <w:r>
        <w:rPr>
          <w:rFonts w:hint="eastAsia" w:ascii="仿宋" w:hAnsi="仿宋" w:eastAsia="仿宋"/>
          <w:color w:val="auto"/>
          <w:sz w:val="28"/>
          <w:szCs w:val="28"/>
          <w:lang w:eastAsia="zh-CN"/>
        </w:rPr>
        <w:t>深圳市人力资源和社会保障局</w:t>
      </w:r>
    </w:p>
    <w:p w14:paraId="1CD6B017">
      <w:pPr>
        <w:adjustRightInd w:val="0"/>
        <w:snapToGrid w:val="0"/>
        <w:spacing w:line="360" w:lineRule="auto"/>
        <w:ind w:left="1129" w:leftChars="371" w:hanging="350" w:hangingChars="125"/>
        <w:jc w:val="left"/>
        <w:rPr>
          <w:rFonts w:ascii="仿宋" w:hAnsi="仿宋" w:eastAsia="仿宋"/>
          <w:color w:val="auto"/>
          <w:sz w:val="28"/>
          <w:szCs w:val="28"/>
        </w:rPr>
      </w:pPr>
      <w:r>
        <w:rPr>
          <w:rFonts w:hint="eastAsia" w:ascii="仿宋" w:hAnsi="仿宋" w:eastAsia="仿宋"/>
          <w:color w:val="auto"/>
          <w:sz w:val="28"/>
          <w:szCs w:val="28"/>
        </w:rPr>
        <w:t>地址：深圳市福田区深南大道8005号深圳人才园</w:t>
      </w:r>
      <w:r>
        <w:rPr>
          <w:rFonts w:ascii="仿宋" w:hAnsi="仿宋" w:eastAsia="仿宋"/>
          <w:color w:val="auto"/>
          <w:sz w:val="28"/>
          <w:szCs w:val="28"/>
        </w:rPr>
        <w:t xml:space="preserve"> </w:t>
      </w:r>
    </w:p>
    <w:p w14:paraId="6E801893">
      <w:pPr>
        <w:adjustRightInd w:val="0"/>
        <w:snapToGrid w:val="0"/>
        <w:spacing w:line="360" w:lineRule="auto"/>
        <w:ind w:left="1129" w:leftChars="371" w:hanging="350" w:hangingChars="125"/>
        <w:jc w:val="left"/>
        <w:rPr>
          <w:rFonts w:ascii="仿宋" w:hAnsi="仿宋" w:eastAsia="仿宋"/>
          <w:color w:val="auto"/>
          <w:sz w:val="28"/>
          <w:szCs w:val="28"/>
        </w:rPr>
      </w:pPr>
      <w:bookmarkStart w:id="1" w:name="_Toc28359009"/>
      <w:bookmarkStart w:id="2" w:name="_Toc28359086"/>
      <w:r>
        <w:rPr>
          <w:rFonts w:hint="eastAsia" w:ascii="仿宋" w:hAnsi="仿宋" w:eastAsia="仿宋" w:cs="宋体"/>
          <w:color w:val="auto"/>
          <w:sz w:val="28"/>
          <w:szCs w:val="28"/>
        </w:rPr>
        <w:t>2.采购代理机构</w:t>
      </w:r>
      <w:bookmarkEnd w:id="1"/>
      <w:bookmarkEnd w:id="2"/>
    </w:p>
    <w:p w14:paraId="4CD17C63">
      <w:pPr>
        <w:adjustRightInd w:val="0"/>
        <w:snapToGrid w:val="0"/>
        <w:spacing w:line="360" w:lineRule="auto"/>
        <w:ind w:firstLine="840" w:firstLineChars="300"/>
        <w:rPr>
          <w:rFonts w:ascii="仿宋" w:hAnsi="仿宋" w:eastAsia="仿宋"/>
          <w:color w:val="auto"/>
          <w:sz w:val="28"/>
          <w:szCs w:val="28"/>
        </w:rPr>
      </w:pPr>
      <w:r>
        <w:rPr>
          <w:rFonts w:hint="eastAsia" w:ascii="仿宋" w:hAnsi="仿宋" w:eastAsia="仿宋"/>
          <w:color w:val="auto"/>
          <w:sz w:val="28"/>
          <w:szCs w:val="28"/>
        </w:rPr>
        <w:t>名称：</w:t>
      </w:r>
      <w:r>
        <w:rPr>
          <w:rFonts w:hint="eastAsia" w:ascii="仿宋" w:hAnsi="仿宋" w:eastAsia="仿宋" w:cs="宋体"/>
          <w:color w:val="auto"/>
          <w:sz w:val="28"/>
          <w:szCs w:val="28"/>
        </w:rPr>
        <w:t>粤采通（深圳）招标有限公司</w:t>
      </w:r>
    </w:p>
    <w:p w14:paraId="1EC02C1E">
      <w:pPr>
        <w:adjustRightInd w:val="0"/>
        <w:snapToGrid w:val="0"/>
        <w:spacing w:line="360" w:lineRule="auto"/>
        <w:ind w:firstLine="840" w:firstLineChars="300"/>
        <w:rPr>
          <w:rFonts w:ascii="仿宋" w:hAnsi="仿宋" w:eastAsia="仿宋"/>
          <w:color w:val="auto"/>
          <w:sz w:val="28"/>
          <w:szCs w:val="28"/>
        </w:rPr>
      </w:pPr>
      <w:r>
        <w:rPr>
          <w:rFonts w:hint="eastAsia" w:ascii="仿宋" w:hAnsi="仿宋" w:eastAsia="仿宋"/>
          <w:color w:val="auto"/>
          <w:sz w:val="28"/>
          <w:szCs w:val="28"/>
        </w:rPr>
        <w:t>地址：</w:t>
      </w:r>
      <w:r>
        <w:rPr>
          <w:rFonts w:hint="eastAsia" w:ascii="仿宋" w:hAnsi="仿宋" w:eastAsia="仿宋" w:cs="宋体"/>
          <w:color w:val="auto"/>
          <w:sz w:val="28"/>
          <w:szCs w:val="28"/>
        </w:rPr>
        <w:t>深圳市福田区红棉道8号英达利科技数码园B栋5</w:t>
      </w:r>
      <w:r>
        <w:rPr>
          <w:rFonts w:ascii="仿宋" w:hAnsi="仿宋" w:eastAsia="仿宋" w:cs="宋体"/>
          <w:color w:val="auto"/>
          <w:sz w:val="28"/>
          <w:szCs w:val="28"/>
        </w:rPr>
        <w:t>01</w:t>
      </w:r>
    </w:p>
    <w:p w14:paraId="1A3301A8">
      <w:pPr>
        <w:adjustRightInd w:val="0"/>
        <w:snapToGrid w:val="0"/>
        <w:spacing w:line="360" w:lineRule="auto"/>
        <w:ind w:firstLine="840" w:firstLineChars="300"/>
        <w:rPr>
          <w:rFonts w:ascii="仿宋" w:hAnsi="仿宋" w:eastAsia="仿宋"/>
          <w:color w:val="auto"/>
          <w:sz w:val="28"/>
          <w:szCs w:val="28"/>
          <w:u w:val="single"/>
        </w:rPr>
      </w:pPr>
      <w:bookmarkStart w:id="3" w:name="_Toc28359010"/>
      <w:bookmarkStart w:id="4" w:name="_Toc28359087"/>
      <w:r>
        <w:rPr>
          <w:rFonts w:hint="eastAsia" w:ascii="仿宋" w:hAnsi="仿宋" w:eastAsia="仿宋" w:cs="宋体"/>
          <w:color w:val="auto"/>
          <w:sz w:val="28"/>
          <w:szCs w:val="28"/>
        </w:rPr>
        <w:t>3.项目</w:t>
      </w:r>
      <w:r>
        <w:rPr>
          <w:rFonts w:ascii="仿宋" w:hAnsi="仿宋" w:eastAsia="仿宋" w:cs="宋体"/>
          <w:color w:val="auto"/>
          <w:sz w:val="28"/>
          <w:szCs w:val="28"/>
        </w:rPr>
        <w:t>联系方式</w:t>
      </w:r>
      <w:bookmarkEnd w:id="3"/>
      <w:bookmarkEnd w:id="4"/>
    </w:p>
    <w:p w14:paraId="6B8160F7">
      <w:pPr>
        <w:pStyle w:val="6"/>
        <w:adjustRightInd w:val="0"/>
        <w:snapToGrid w:val="0"/>
        <w:spacing w:line="360" w:lineRule="auto"/>
        <w:ind w:firstLine="840" w:firstLineChars="300"/>
        <w:rPr>
          <w:rFonts w:ascii="仿宋" w:hAnsi="仿宋" w:eastAsia="仿宋"/>
          <w:color w:val="auto"/>
          <w:sz w:val="28"/>
          <w:szCs w:val="28"/>
        </w:rPr>
      </w:pPr>
      <w:r>
        <w:rPr>
          <w:rFonts w:hint="eastAsia" w:ascii="仿宋" w:hAnsi="仿宋" w:eastAsia="仿宋"/>
          <w:color w:val="auto"/>
          <w:sz w:val="28"/>
          <w:szCs w:val="28"/>
        </w:rPr>
        <w:t>项目联系人</w:t>
      </w:r>
      <w:r>
        <w:rPr>
          <w:rFonts w:hint="eastAsia" w:ascii="仿宋" w:hAnsi="仿宋" w:eastAsia="仿宋"/>
          <w:color w:val="auto"/>
          <w:sz w:val="28"/>
          <w:szCs w:val="28"/>
        </w:rPr>
        <w:t>：</w:t>
      </w:r>
      <w:r>
        <w:rPr>
          <w:rFonts w:hint="eastAsia" w:ascii="仿宋" w:hAnsi="仿宋" w:eastAsia="仿宋" w:cs="宋体"/>
          <w:color w:val="auto"/>
          <w:sz w:val="28"/>
          <w:szCs w:val="28"/>
          <w:lang w:val="en-US" w:eastAsia="zh-CN"/>
        </w:rPr>
        <w:t>郑先生</w:t>
      </w:r>
    </w:p>
    <w:p w14:paraId="02BA0B09">
      <w:pPr>
        <w:adjustRightInd w:val="0"/>
        <w:snapToGrid w:val="0"/>
        <w:spacing w:line="360" w:lineRule="auto"/>
        <w:ind w:firstLine="840" w:firstLineChars="300"/>
        <w:rPr>
          <w:rFonts w:hint="eastAsia" w:ascii="仿宋" w:hAnsi="仿宋" w:eastAsia="仿宋"/>
          <w:color w:val="auto"/>
          <w:sz w:val="28"/>
          <w:szCs w:val="28"/>
          <w:u w:val="single"/>
          <w:lang w:eastAsia="zh-CN"/>
        </w:rPr>
      </w:pPr>
      <w:r>
        <w:rPr>
          <w:rFonts w:hint="eastAsia" w:ascii="仿宋" w:hAnsi="仿宋" w:eastAsia="仿宋"/>
          <w:color w:val="auto"/>
          <w:sz w:val="28"/>
          <w:szCs w:val="28"/>
        </w:rPr>
        <w:t>电　话：</w:t>
      </w:r>
      <w:r>
        <w:rPr>
          <w:rFonts w:hint="eastAsia" w:ascii="仿宋" w:hAnsi="仿宋" w:eastAsia="仿宋"/>
          <w:color w:val="auto"/>
          <w:sz w:val="28"/>
          <w:szCs w:val="28"/>
          <w:lang w:eastAsia="zh-CN"/>
        </w:rPr>
        <w:t>0755-82531264转816</w:t>
      </w:r>
    </w:p>
    <w:p w14:paraId="17E39E79">
      <w:pPr>
        <w:adjustRightInd w:val="0"/>
        <w:snapToGrid w:val="0"/>
        <w:spacing w:line="360" w:lineRule="auto"/>
        <w:ind w:firstLine="840" w:firstLineChars="300"/>
        <w:rPr>
          <w:rFonts w:ascii="仿宋" w:hAnsi="仿宋" w:eastAsia="仿宋"/>
          <w:color w:val="auto"/>
          <w:sz w:val="28"/>
          <w:szCs w:val="28"/>
        </w:rPr>
      </w:pPr>
      <w:r>
        <w:rPr>
          <w:rFonts w:hint="eastAsia" w:ascii="仿宋" w:hAnsi="仿宋" w:eastAsia="仿宋"/>
          <w:color w:val="auto"/>
          <w:sz w:val="28"/>
          <w:szCs w:val="28"/>
        </w:rPr>
        <w:t xml:space="preserve">邮 </w:t>
      </w:r>
      <w:r>
        <w:rPr>
          <w:rFonts w:ascii="仿宋" w:hAnsi="仿宋" w:eastAsia="仿宋"/>
          <w:color w:val="auto"/>
          <w:sz w:val="28"/>
          <w:szCs w:val="28"/>
        </w:rPr>
        <w:t xml:space="preserve"> </w:t>
      </w:r>
      <w:r>
        <w:rPr>
          <w:rFonts w:hint="eastAsia" w:ascii="仿宋" w:hAnsi="仿宋" w:eastAsia="仿宋"/>
          <w:color w:val="auto"/>
          <w:sz w:val="28"/>
          <w:szCs w:val="28"/>
        </w:rPr>
        <w:t>编：5180</w:t>
      </w:r>
      <w:r>
        <w:rPr>
          <w:rFonts w:ascii="仿宋" w:hAnsi="仿宋" w:eastAsia="仿宋"/>
          <w:color w:val="auto"/>
          <w:sz w:val="28"/>
          <w:szCs w:val="28"/>
        </w:rPr>
        <w:t>17</w:t>
      </w:r>
    </w:p>
    <w:p w14:paraId="5667346D">
      <w:pPr>
        <w:adjustRightInd w:val="0"/>
        <w:snapToGrid w:val="0"/>
        <w:spacing w:line="360" w:lineRule="auto"/>
        <w:ind w:firstLine="840" w:firstLineChars="300"/>
        <w:rPr>
          <w:rFonts w:ascii="仿宋" w:hAnsi="仿宋" w:eastAsia="仿宋"/>
          <w:color w:val="auto"/>
          <w:sz w:val="28"/>
          <w:szCs w:val="28"/>
        </w:rPr>
      </w:pPr>
      <w:r>
        <w:rPr>
          <w:rFonts w:hint="eastAsia" w:ascii="仿宋" w:hAnsi="仿宋" w:eastAsia="仿宋"/>
          <w:color w:val="auto"/>
          <w:sz w:val="28"/>
          <w:szCs w:val="28"/>
        </w:rPr>
        <w:t>邮 箱：yue</w:t>
      </w:r>
      <w:r>
        <w:rPr>
          <w:rFonts w:ascii="仿宋" w:hAnsi="仿宋" w:eastAsia="仿宋"/>
          <w:color w:val="auto"/>
          <w:sz w:val="28"/>
          <w:szCs w:val="28"/>
        </w:rPr>
        <w:t>caitongsz@163</w:t>
      </w:r>
      <w:r>
        <w:rPr>
          <w:rFonts w:hint="eastAsia" w:ascii="仿宋" w:hAnsi="仿宋" w:eastAsia="仿宋"/>
          <w:color w:val="auto"/>
          <w:sz w:val="28"/>
          <w:szCs w:val="28"/>
        </w:rPr>
        <w:t>.com</w:t>
      </w:r>
    </w:p>
    <w:p w14:paraId="480AA05E">
      <w:pPr>
        <w:tabs>
          <w:tab w:val="right" w:pos="9180"/>
        </w:tabs>
        <w:adjustRightInd w:val="0"/>
        <w:snapToGrid w:val="0"/>
        <w:spacing w:line="360" w:lineRule="auto"/>
        <w:ind w:firstLine="435"/>
        <w:jc w:val="right"/>
        <w:rPr>
          <w:rFonts w:ascii="仿宋" w:hAnsi="仿宋" w:eastAsia="仿宋"/>
          <w:b/>
          <w:color w:val="auto"/>
          <w:sz w:val="28"/>
          <w:szCs w:val="28"/>
        </w:rPr>
      </w:pPr>
      <w:r>
        <w:rPr>
          <w:rFonts w:hint="eastAsia" w:ascii="仿宋" w:hAnsi="仿宋" w:eastAsia="仿宋"/>
          <w:b/>
          <w:color w:val="auto"/>
          <w:sz w:val="28"/>
          <w:szCs w:val="28"/>
        </w:rPr>
        <w:t>粤采通（深圳）招标有限公司</w:t>
      </w:r>
    </w:p>
    <w:p w14:paraId="76463E23">
      <w:pPr>
        <w:adjustRightInd w:val="0"/>
        <w:snapToGrid w:val="0"/>
        <w:spacing w:line="360" w:lineRule="auto"/>
        <w:ind w:firstLine="435"/>
        <w:jc w:val="right"/>
        <w:rPr>
          <w:rFonts w:hint="eastAsia" w:ascii="仿宋" w:hAnsi="仿宋" w:eastAsia="仿宋"/>
          <w:b/>
          <w:color w:val="auto"/>
          <w:sz w:val="28"/>
          <w:szCs w:val="28"/>
          <w:lang w:eastAsia="zh-CN"/>
        </w:rPr>
      </w:pPr>
      <w:r>
        <w:rPr>
          <w:rFonts w:hint="eastAsia" w:ascii="仿宋" w:hAnsi="仿宋" w:eastAsia="仿宋"/>
          <w:b/>
          <w:color w:val="auto"/>
          <w:sz w:val="28"/>
          <w:szCs w:val="28"/>
          <w:lang w:eastAsia="zh-CN"/>
        </w:rPr>
        <w:t>2025年</w:t>
      </w:r>
      <w:r>
        <w:rPr>
          <w:rFonts w:hint="eastAsia" w:ascii="仿宋" w:hAnsi="仿宋" w:eastAsia="仿宋"/>
          <w:b/>
          <w:color w:val="auto"/>
          <w:sz w:val="28"/>
          <w:szCs w:val="28"/>
          <w:lang w:val="en-US" w:eastAsia="zh-CN"/>
        </w:rPr>
        <w:t>2</w:t>
      </w:r>
      <w:r>
        <w:rPr>
          <w:rFonts w:hint="eastAsia" w:ascii="仿宋" w:hAnsi="仿宋" w:eastAsia="仿宋"/>
          <w:b/>
          <w:color w:val="auto"/>
          <w:sz w:val="28"/>
          <w:szCs w:val="28"/>
          <w:lang w:eastAsia="zh-CN"/>
        </w:rPr>
        <w:t>月</w:t>
      </w:r>
      <w:r>
        <w:rPr>
          <w:rFonts w:hint="eastAsia" w:ascii="仿宋" w:hAnsi="仿宋" w:eastAsia="仿宋"/>
          <w:b/>
          <w:color w:val="auto"/>
          <w:sz w:val="28"/>
          <w:szCs w:val="28"/>
          <w:lang w:val="en-US" w:eastAsia="zh-CN"/>
        </w:rPr>
        <w:t>28</w:t>
      </w:r>
      <w:r>
        <w:rPr>
          <w:rFonts w:hint="eastAsia" w:ascii="仿宋" w:hAnsi="仿宋" w:eastAsia="仿宋"/>
          <w:b/>
          <w:color w:val="auto"/>
          <w:sz w:val="28"/>
          <w:szCs w:val="28"/>
          <w:lang w:eastAsia="zh-CN"/>
        </w:rPr>
        <w:t>日</w:t>
      </w:r>
    </w:p>
    <w:p w14:paraId="2339709C">
      <w:pPr>
        <w:widowControl/>
        <w:spacing w:before="100" w:beforeAutospacing="1" w:after="100" w:afterAutospacing="1"/>
        <w:jc w:val="center"/>
        <w:rPr>
          <w:rFonts w:ascii="仿宋" w:hAnsi="仿宋" w:eastAsia="仿宋" w:cstheme="minorBidi"/>
          <w:color w:val="auto"/>
          <w:sz w:val="28"/>
          <w:szCs w:val="28"/>
        </w:rPr>
      </w:pPr>
    </w:p>
    <w:bookmarkEnd w:id="5"/>
    <w:sectPr>
      <w:pgSz w:w="11906" w:h="16838"/>
      <w:pgMar w:top="1440" w:right="1134"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xZmIxMWVlOWZiZDUxNWM3MGUwMjRiMDAxOThmYjgifQ=="/>
  </w:docVars>
  <w:rsids>
    <w:rsidRoot w:val="00430B55"/>
    <w:rsid w:val="00004E37"/>
    <w:rsid w:val="0000797F"/>
    <w:rsid w:val="00037406"/>
    <w:rsid w:val="00040F29"/>
    <w:rsid w:val="00045F11"/>
    <w:rsid w:val="00060A5B"/>
    <w:rsid w:val="000670C8"/>
    <w:rsid w:val="000801F4"/>
    <w:rsid w:val="000815E8"/>
    <w:rsid w:val="00093379"/>
    <w:rsid w:val="0009589E"/>
    <w:rsid w:val="000A5B41"/>
    <w:rsid w:val="000D7D7C"/>
    <w:rsid w:val="000F3591"/>
    <w:rsid w:val="00104A74"/>
    <w:rsid w:val="00115AC7"/>
    <w:rsid w:val="00127858"/>
    <w:rsid w:val="00155EC9"/>
    <w:rsid w:val="00174B43"/>
    <w:rsid w:val="0019136A"/>
    <w:rsid w:val="001B2FD7"/>
    <w:rsid w:val="00217419"/>
    <w:rsid w:val="00223B06"/>
    <w:rsid w:val="00235A41"/>
    <w:rsid w:val="00274339"/>
    <w:rsid w:val="002804FD"/>
    <w:rsid w:val="002D17E3"/>
    <w:rsid w:val="002E78E8"/>
    <w:rsid w:val="002F4CC6"/>
    <w:rsid w:val="002F7D23"/>
    <w:rsid w:val="003021D1"/>
    <w:rsid w:val="00322178"/>
    <w:rsid w:val="003226BB"/>
    <w:rsid w:val="00327A23"/>
    <w:rsid w:val="00334C25"/>
    <w:rsid w:val="00365833"/>
    <w:rsid w:val="0037269B"/>
    <w:rsid w:val="00381BF2"/>
    <w:rsid w:val="003A2ADF"/>
    <w:rsid w:val="003D66D2"/>
    <w:rsid w:val="003D7060"/>
    <w:rsid w:val="003F61F4"/>
    <w:rsid w:val="00404D7D"/>
    <w:rsid w:val="00416B37"/>
    <w:rsid w:val="00430B55"/>
    <w:rsid w:val="00436061"/>
    <w:rsid w:val="00445B92"/>
    <w:rsid w:val="004662CB"/>
    <w:rsid w:val="00473E97"/>
    <w:rsid w:val="004808F2"/>
    <w:rsid w:val="0049053E"/>
    <w:rsid w:val="004D455F"/>
    <w:rsid w:val="00573049"/>
    <w:rsid w:val="00576621"/>
    <w:rsid w:val="005B304B"/>
    <w:rsid w:val="005C093E"/>
    <w:rsid w:val="005C5AF3"/>
    <w:rsid w:val="005F5A82"/>
    <w:rsid w:val="005F6720"/>
    <w:rsid w:val="005F735A"/>
    <w:rsid w:val="006036CB"/>
    <w:rsid w:val="006330DC"/>
    <w:rsid w:val="006337AF"/>
    <w:rsid w:val="00634485"/>
    <w:rsid w:val="006442EB"/>
    <w:rsid w:val="00654071"/>
    <w:rsid w:val="00654BFD"/>
    <w:rsid w:val="00683C3D"/>
    <w:rsid w:val="006B6DB3"/>
    <w:rsid w:val="006C0C4A"/>
    <w:rsid w:val="006D3071"/>
    <w:rsid w:val="006D3201"/>
    <w:rsid w:val="0071272F"/>
    <w:rsid w:val="00733C15"/>
    <w:rsid w:val="00735867"/>
    <w:rsid w:val="00745917"/>
    <w:rsid w:val="0075534F"/>
    <w:rsid w:val="00757832"/>
    <w:rsid w:val="00777A20"/>
    <w:rsid w:val="007C2591"/>
    <w:rsid w:val="008025F1"/>
    <w:rsid w:val="00837B6C"/>
    <w:rsid w:val="008553CE"/>
    <w:rsid w:val="008930D8"/>
    <w:rsid w:val="008F5CFB"/>
    <w:rsid w:val="009127E4"/>
    <w:rsid w:val="00931DB8"/>
    <w:rsid w:val="00955E7A"/>
    <w:rsid w:val="009A63E2"/>
    <w:rsid w:val="009B0517"/>
    <w:rsid w:val="009B3B09"/>
    <w:rsid w:val="009E24D6"/>
    <w:rsid w:val="00A017D5"/>
    <w:rsid w:val="00A027FF"/>
    <w:rsid w:val="00A02956"/>
    <w:rsid w:val="00A04E2C"/>
    <w:rsid w:val="00A15294"/>
    <w:rsid w:val="00A21FD6"/>
    <w:rsid w:val="00A458D3"/>
    <w:rsid w:val="00A82758"/>
    <w:rsid w:val="00A93813"/>
    <w:rsid w:val="00AB0337"/>
    <w:rsid w:val="00AB520B"/>
    <w:rsid w:val="00AC347D"/>
    <w:rsid w:val="00AE2241"/>
    <w:rsid w:val="00AF2D84"/>
    <w:rsid w:val="00B00116"/>
    <w:rsid w:val="00B028F3"/>
    <w:rsid w:val="00B22240"/>
    <w:rsid w:val="00B22843"/>
    <w:rsid w:val="00B517A2"/>
    <w:rsid w:val="00B56A3F"/>
    <w:rsid w:val="00B94844"/>
    <w:rsid w:val="00BC5F13"/>
    <w:rsid w:val="00BD11AF"/>
    <w:rsid w:val="00C009CC"/>
    <w:rsid w:val="00C07B37"/>
    <w:rsid w:val="00C144C2"/>
    <w:rsid w:val="00C14C85"/>
    <w:rsid w:val="00C662FF"/>
    <w:rsid w:val="00CA4173"/>
    <w:rsid w:val="00CB000E"/>
    <w:rsid w:val="00CB25C8"/>
    <w:rsid w:val="00CC20AC"/>
    <w:rsid w:val="00D34A19"/>
    <w:rsid w:val="00D502B8"/>
    <w:rsid w:val="00D5530F"/>
    <w:rsid w:val="00D6242C"/>
    <w:rsid w:val="00D65D02"/>
    <w:rsid w:val="00D67B1A"/>
    <w:rsid w:val="00DA63EC"/>
    <w:rsid w:val="00DC2E45"/>
    <w:rsid w:val="00DE0CCD"/>
    <w:rsid w:val="00DE7163"/>
    <w:rsid w:val="00DF0334"/>
    <w:rsid w:val="00E1277C"/>
    <w:rsid w:val="00E1422B"/>
    <w:rsid w:val="00E4044F"/>
    <w:rsid w:val="00E80096"/>
    <w:rsid w:val="00EA3824"/>
    <w:rsid w:val="00EC2C7B"/>
    <w:rsid w:val="00EC320F"/>
    <w:rsid w:val="00EF1F85"/>
    <w:rsid w:val="00F07FE8"/>
    <w:rsid w:val="00F148FE"/>
    <w:rsid w:val="00F830D2"/>
    <w:rsid w:val="00FA5075"/>
    <w:rsid w:val="00FA5FF8"/>
    <w:rsid w:val="00FE1D4A"/>
    <w:rsid w:val="00FE314F"/>
    <w:rsid w:val="00FE3960"/>
    <w:rsid w:val="01587D4E"/>
    <w:rsid w:val="04580599"/>
    <w:rsid w:val="054B3A92"/>
    <w:rsid w:val="07910BE5"/>
    <w:rsid w:val="15042651"/>
    <w:rsid w:val="16415333"/>
    <w:rsid w:val="1C57528A"/>
    <w:rsid w:val="1CC76CA7"/>
    <w:rsid w:val="1F2A2294"/>
    <w:rsid w:val="201358D5"/>
    <w:rsid w:val="260C212E"/>
    <w:rsid w:val="2C426409"/>
    <w:rsid w:val="2C4F0432"/>
    <w:rsid w:val="2D285DC7"/>
    <w:rsid w:val="2E7A755A"/>
    <w:rsid w:val="304361AF"/>
    <w:rsid w:val="30831630"/>
    <w:rsid w:val="30F2113A"/>
    <w:rsid w:val="37DC40A9"/>
    <w:rsid w:val="37E8065D"/>
    <w:rsid w:val="4C555383"/>
    <w:rsid w:val="4D7A4C19"/>
    <w:rsid w:val="4FBB5961"/>
    <w:rsid w:val="501A79B1"/>
    <w:rsid w:val="538A2E61"/>
    <w:rsid w:val="5DA7657B"/>
    <w:rsid w:val="5F830454"/>
    <w:rsid w:val="62BC43B0"/>
    <w:rsid w:val="675A1129"/>
    <w:rsid w:val="6A466D71"/>
    <w:rsid w:val="74E0358A"/>
    <w:rsid w:val="76B7701F"/>
    <w:rsid w:val="7A63170E"/>
    <w:rsid w:val="7BBD6A22"/>
    <w:rsid w:val="7BD274C4"/>
    <w:rsid w:val="7F7B377A"/>
    <w:rsid w:val="7FAB7E12"/>
    <w:rsid w:val="7FEF2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6"/>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5">
    <w:name w:val="annotation text"/>
    <w:basedOn w:val="1"/>
    <w:link w:val="18"/>
    <w:autoRedefine/>
    <w:unhideWhenUsed/>
    <w:qFormat/>
    <w:uiPriority w:val="0"/>
    <w:pPr>
      <w:jc w:val="left"/>
    </w:pPr>
  </w:style>
  <w:style w:type="paragraph" w:styleId="6">
    <w:name w:val="Plain Text"/>
    <w:basedOn w:val="1"/>
    <w:link w:val="17"/>
    <w:autoRedefine/>
    <w:qFormat/>
    <w:uiPriority w:val="0"/>
    <w:rPr>
      <w:rFonts w:ascii="宋体" w:hAnsi="Courier New" w:eastAsiaTheme="minorEastAsia" w:cstheme="minorBidi"/>
      <w:szCs w:val="22"/>
    </w:rPr>
  </w:style>
  <w:style w:type="paragraph" w:styleId="7">
    <w:name w:val="Balloon Text"/>
    <w:basedOn w:val="1"/>
    <w:link w:val="19"/>
    <w:autoRedefine/>
    <w:semiHidden/>
    <w:unhideWhenUsed/>
    <w:qFormat/>
    <w:uiPriority w:val="99"/>
    <w:rPr>
      <w:sz w:val="18"/>
      <w:szCs w:val="18"/>
    </w:rPr>
  </w:style>
  <w:style w:type="paragraph" w:styleId="8">
    <w:name w:val="footer"/>
    <w:basedOn w:val="1"/>
    <w:link w:val="21"/>
    <w:autoRedefine/>
    <w:unhideWhenUsed/>
    <w:qFormat/>
    <w:uiPriority w:val="99"/>
    <w:pPr>
      <w:tabs>
        <w:tab w:val="center" w:pos="4153"/>
        <w:tab w:val="right" w:pos="8306"/>
      </w:tabs>
      <w:snapToGrid w:val="0"/>
      <w:jc w:val="left"/>
    </w:pPr>
    <w:rPr>
      <w:sz w:val="18"/>
      <w:szCs w:val="18"/>
    </w:rPr>
  </w:style>
  <w:style w:type="paragraph" w:styleId="9">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2"/>
    <w:autoRedefine/>
    <w:semiHidden/>
    <w:unhideWhenUsed/>
    <w:qFormat/>
    <w:uiPriority w:val="99"/>
    <w:rPr>
      <w:b/>
      <w:bCs/>
    </w:rPr>
  </w:style>
  <w:style w:type="table" w:styleId="12">
    <w:name w:val="Table Grid"/>
    <w:basedOn w:val="1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unhideWhenUsed/>
    <w:qFormat/>
    <w:uiPriority w:val="99"/>
    <w:rPr>
      <w:color w:val="0000FF" w:themeColor="hyperlink"/>
      <w:u w:val="single"/>
      <w14:textFill>
        <w14:solidFill>
          <w14:schemeClr w14:val="hlink"/>
        </w14:solidFill>
      </w14:textFill>
    </w:rPr>
  </w:style>
  <w:style w:type="character" w:styleId="15">
    <w:name w:val="annotation reference"/>
    <w:basedOn w:val="13"/>
    <w:autoRedefine/>
    <w:unhideWhenUsed/>
    <w:qFormat/>
    <w:uiPriority w:val="0"/>
    <w:rPr>
      <w:sz w:val="21"/>
      <w:szCs w:val="21"/>
    </w:rPr>
  </w:style>
  <w:style w:type="character" w:customStyle="1" w:styleId="16">
    <w:name w:val="标题 1 字符"/>
    <w:basedOn w:val="13"/>
    <w:link w:val="3"/>
    <w:autoRedefine/>
    <w:qFormat/>
    <w:uiPriority w:val="9"/>
    <w:rPr>
      <w:rFonts w:ascii="Times New Roman" w:hAnsi="Times New Roman" w:eastAsia="宋体" w:cs="Times New Roman"/>
      <w:b/>
      <w:bCs/>
      <w:kern w:val="44"/>
      <w:sz w:val="44"/>
      <w:szCs w:val="44"/>
    </w:rPr>
  </w:style>
  <w:style w:type="character" w:customStyle="1" w:styleId="17">
    <w:name w:val="纯文本 字符"/>
    <w:basedOn w:val="13"/>
    <w:link w:val="6"/>
    <w:autoRedefine/>
    <w:qFormat/>
    <w:uiPriority w:val="0"/>
    <w:rPr>
      <w:rFonts w:ascii="宋体" w:hAnsi="Courier New"/>
    </w:rPr>
  </w:style>
  <w:style w:type="character" w:customStyle="1" w:styleId="18">
    <w:name w:val="批注文字 字符"/>
    <w:basedOn w:val="13"/>
    <w:link w:val="5"/>
    <w:autoRedefine/>
    <w:qFormat/>
    <w:uiPriority w:val="0"/>
    <w:rPr>
      <w:rFonts w:ascii="Times New Roman" w:hAnsi="Times New Roman" w:eastAsia="宋体" w:cs="Times New Roman"/>
      <w:szCs w:val="21"/>
    </w:rPr>
  </w:style>
  <w:style w:type="character" w:customStyle="1" w:styleId="19">
    <w:name w:val="批注框文本 字符"/>
    <w:basedOn w:val="13"/>
    <w:link w:val="7"/>
    <w:autoRedefine/>
    <w:semiHidden/>
    <w:qFormat/>
    <w:uiPriority w:val="99"/>
    <w:rPr>
      <w:rFonts w:ascii="Times New Roman" w:hAnsi="Times New Roman" w:eastAsia="宋体" w:cs="Times New Roman"/>
      <w:sz w:val="18"/>
      <w:szCs w:val="18"/>
    </w:rPr>
  </w:style>
  <w:style w:type="character" w:customStyle="1" w:styleId="20">
    <w:name w:val="页眉 字符"/>
    <w:basedOn w:val="13"/>
    <w:link w:val="9"/>
    <w:autoRedefine/>
    <w:qFormat/>
    <w:uiPriority w:val="99"/>
    <w:rPr>
      <w:rFonts w:ascii="Times New Roman" w:hAnsi="Times New Roman" w:eastAsia="宋体" w:cs="Times New Roman"/>
      <w:sz w:val="18"/>
      <w:szCs w:val="18"/>
    </w:rPr>
  </w:style>
  <w:style w:type="character" w:customStyle="1" w:styleId="21">
    <w:name w:val="页脚 字符"/>
    <w:basedOn w:val="13"/>
    <w:link w:val="8"/>
    <w:autoRedefine/>
    <w:qFormat/>
    <w:uiPriority w:val="99"/>
    <w:rPr>
      <w:rFonts w:ascii="Times New Roman" w:hAnsi="Times New Roman" w:eastAsia="宋体" w:cs="Times New Roman"/>
      <w:sz w:val="18"/>
      <w:szCs w:val="18"/>
    </w:rPr>
  </w:style>
  <w:style w:type="character" w:customStyle="1" w:styleId="22">
    <w:name w:val="批注主题 字符"/>
    <w:basedOn w:val="18"/>
    <w:link w:val="10"/>
    <w:autoRedefine/>
    <w:semiHidden/>
    <w:qFormat/>
    <w:uiPriority w:val="99"/>
    <w:rPr>
      <w:rFonts w:ascii="Times New Roman" w:hAnsi="Times New Roman" w:eastAsia="宋体" w:cs="Times New Roman"/>
      <w:b/>
      <w:bCs/>
      <w:szCs w:val="21"/>
    </w:rPr>
  </w:style>
  <w:style w:type="character" w:customStyle="1" w:styleId="23">
    <w:name w:val="未处理的提及1"/>
    <w:basedOn w:val="13"/>
    <w:autoRedefine/>
    <w:semiHidden/>
    <w:unhideWhenUsed/>
    <w:qFormat/>
    <w:uiPriority w:val="99"/>
    <w:rPr>
      <w:color w:val="605E5C"/>
      <w:shd w:val="clear" w:color="auto" w:fill="E1DFDD"/>
    </w:rPr>
  </w:style>
  <w:style w:type="paragraph" w:styleId="24">
    <w:name w:val="List Paragraph"/>
    <w:basedOn w:val="1"/>
    <w:link w:val="25"/>
    <w:autoRedefine/>
    <w:qFormat/>
    <w:uiPriority w:val="34"/>
    <w:pPr>
      <w:ind w:firstLine="420" w:firstLineChars="200"/>
    </w:pPr>
  </w:style>
  <w:style w:type="character" w:customStyle="1" w:styleId="25">
    <w:name w:val="列表段落 字符"/>
    <w:link w:val="24"/>
    <w:autoRedefine/>
    <w:qFormat/>
    <w:uiPriority w:val="34"/>
    <w:rPr>
      <w:kern w:val="2"/>
      <w:sz w:val="21"/>
      <w:szCs w:val="21"/>
    </w:rPr>
  </w:style>
  <w:style w:type="character" w:customStyle="1" w:styleId="26">
    <w:name w:val="未处理的提及2"/>
    <w:basedOn w:val="13"/>
    <w:autoRedefine/>
    <w:semiHidden/>
    <w:unhideWhenUsed/>
    <w:qFormat/>
    <w:uiPriority w:val="99"/>
    <w:rPr>
      <w:color w:val="605E5C"/>
      <w:shd w:val="clear" w:color="auto" w:fill="E1DFDD"/>
    </w:rPr>
  </w:style>
  <w:style w:type="paragraph" w:customStyle="1" w:styleId="27">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944</Words>
  <Characters>1051</Characters>
  <Lines>12</Lines>
  <Paragraphs>3</Paragraphs>
  <TotalTime>0</TotalTime>
  <ScaleCrop>false</ScaleCrop>
  <LinksUpToDate>false</LinksUpToDate>
  <CharactersWithSpaces>1066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2020-07-31T02:45:00Z</dcterms:created>
  <dc:creator>魏炫</dc:creator>
  <cp:lastModifiedBy>记忆灬删除</cp:lastModifiedBy>
  <dcterms:modified xsi:type="dcterms:W3CDTF">2025-02-27T03:00:29Z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527518538B4D4E1597432B12086F49F2</vt:lpwstr>
  </property>
  <property fmtid="{D5CDD505-2E9C-101B-9397-08002B2CF9AE}" pid="4" name="KSOTemplateDocerSaveRecord">
    <vt:lpwstr>eyJoZGlkIjoiNjMxZmIxMWVlOWZiZDUxNWM3MGUwMjRiMDAxOThmYjgiLCJ1c2VySWQiOiIzNDgzMzEwNzQifQ==</vt:lpwstr>
  </property>
</Properties>
</file>