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黑体" w:hAnsi="黑体" w:eastAsia="黑体"/>
          <w:color w:val="040404"/>
          <w:sz w:val="32"/>
          <w:szCs w:val="32"/>
        </w:rPr>
      </w:pPr>
      <w:bookmarkStart w:id="2" w:name="_GoBack"/>
      <w:bookmarkEnd w:id="2"/>
      <w:r>
        <w:rPr>
          <w:rFonts w:hint="eastAsia" w:ascii="黑体" w:hAnsi="黑体" w:eastAsia="黑体"/>
          <w:color w:val="040404"/>
          <w:sz w:val="32"/>
          <w:szCs w:val="32"/>
        </w:rPr>
        <w:t>附件2</w:t>
      </w:r>
    </w:p>
    <w:p>
      <w:pPr>
        <w:spacing w:line="560" w:lineRule="exact"/>
        <w:rPr>
          <w:rFonts w:hint="eastAsia" w:ascii="黑体" w:hAnsi="黑体" w:eastAsia="黑体"/>
          <w:color w:val="040404"/>
          <w:sz w:val="32"/>
          <w:szCs w:val="32"/>
        </w:rPr>
      </w:pPr>
    </w:p>
    <w:p>
      <w:pPr>
        <w:spacing w:line="560" w:lineRule="exact"/>
        <w:jc w:val="center"/>
        <w:rPr>
          <w:rFonts w:hint="eastAsia" w:ascii="方正小标宋简体" w:hAnsi="方正小标宋简体" w:eastAsia="方正小标宋简体"/>
          <w:bCs/>
          <w:kern w:val="0"/>
          <w:sz w:val="44"/>
          <w:szCs w:val="48"/>
        </w:rPr>
      </w:pPr>
      <w:r>
        <w:rPr>
          <w:rFonts w:hint="eastAsia" w:ascii="方正小标宋简体" w:eastAsia="方正小标宋简体"/>
          <w:color w:val="040404"/>
          <w:sz w:val="44"/>
          <w:szCs w:val="44"/>
        </w:rPr>
        <w:t>《</w:t>
      </w:r>
      <w:r>
        <w:rPr>
          <w:rFonts w:hint="eastAsia" w:ascii="方正小标宋简体" w:hAnsi="方正小标宋简体" w:eastAsia="方正小标宋简体"/>
          <w:bCs/>
          <w:kern w:val="0"/>
          <w:sz w:val="44"/>
          <w:szCs w:val="48"/>
        </w:rPr>
        <w:t>深圳市关于进一步扩大试点范围加快推进功能型无人车高质量发展的指导意见（试行）（公开征求意见稿）</w:t>
      </w:r>
      <w:r>
        <w:rPr>
          <w:rFonts w:hint="eastAsia" w:ascii="方正小标宋简体" w:eastAsia="方正小标宋简体"/>
          <w:color w:val="040404"/>
          <w:sz w:val="44"/>
          <w:szCs w:val="44"/>
        </w:rPr>
        <w:t>》编制说明</w:t>
      </w:r>
    </w:p>
    <w:p>
      <w:pPr>
        <w:pStyle w:val="5"/>
        <w:spacing w:before="0" w:beforeAutospacing="0" w:after="0" w:afterAutospacing="0" w:line="560" w:lineRule="exact"/>
        <w:ind w:firstLine="640" w:firstLineChars="200"/>
        <w:rPr>
          <w:rFonts w:hint="eastAsia" w:ascii="仿宋_GB2312" w:eastAsia="仿宋_GB2312"/>
          <w:color w:val="040404"/>
          <w:sz w:val="32"/>
          <w:szCs w:val="32"/>
        </w:rPr>
      </w:pPr>
    </w:p>
    <w:p>
      <w:pPr>
        <w:pStyle w:val="5"/>
        <w:spacing w:before="0" w:beforeAutospacing="0" w:after="0" w:afterAutospacing="0" w:line="560" w:lineRule="exact"/>
        <w:ind w:firstLine="640" w:firstLineChars="200"/>
        <w:jc w:val="both"/>
        <w:rPr>
          <w:rFonts w:hint="eastAsia" w:ascii="仿宋_GB2312" w:eastAsia="仿宋_GB2312"/>
          <w:color w:val="040404"/>
          <w:sz w:val="32"/>
          <w:szCs w:val="32"/>
        </w:rPr>
      </w:pPr>
      <w:r>
        <w:rPr>
          <w:rFonts w:hint="eastAsia" w:ascii="仿宋_GB2312" w:eastAsia="仿宋_GB2312"/>
          <w:color w:val="040404"/>
          <w:sz w:val="32"/>
          <w:szCs w:val="32"/>
        </w:rPr>
        <w:t>为贯彻落实《“十四五”数字经济发展规划》，响应《交通强国建设纲要》《关于促进道路交通自动驾驶技术发展和应用的指导意见》等文件精神，促进智能化、无人化技术在城市物流、环卫等领域的商业应用，深圳市工业和信息化局、深圳市交通运输局起草了《深圳市关于进一步扩大试点范围加快推进功能型无人车高质量发展的指导意见（试行）（公开征求意见稿）》（以下简称《指导意见》），聚焦夜间物流配送（仓到仓运输）、夜间环卫清扫（道路清扫）等应用场景，推动深圳市功能型无人车商业化、规模化发展，为打造全国领先的功能型无人车发展高地提供支撑。现将相关情况说明如下：</w:t>
      </w:r>
    </w:p>
    <w:p>
      <w:pPr>
        <w:pStyle w:val="5"/>
        <w:spacing w:before="0" w:beforeAutospacing="0" w:after="0" w:afterAutospacing="0" w:line="560" w:lineRule="exact"/>
        <w:ind w:firstLine="640" w:firstLineChars="200"/>
        <w:jc w:val="both"/>
        <w:rPr>
          <w:rFonts w:hint="eastAsia" w:ascii="黑体" w:hAnsi="黑体" w:eastAsia="黑体"/>
          <w:b/>
          <w:bCs/>
          <w:color w:val="040404"/>
          <w:sz w:val="32"/>
          <w:szCs w:val="32"/>
        </w:rPr>
      </w:pPr>
      <w:r>
        <w:rPr>
          <w:rStyle w:val="8"/>
          <w:rFonts w:hint="eastAsia" w:ascii="黑体" w:hAnsi="黑体" w:eastAsia="黑体"/>
          <w:b w:val="0"/>
          <w:bCs w:val="0"/>
          <w:color w:val="040404"/>
          <w:sz w:val="32"/>
          <w:szCs w:val="32"/>
        </w:rPr>
        <w:t>一、编制背景</w:t>
      </w:r>
    </w:p>
    <w:p>
      <w:pPr>
        <w:pStyle w:val="5"/>
        <w:spacing w:before="0" w:beforeAutospacing="0" w:after="0" w:afterAutospacing="0" w:line="560" w:lineRule="exact"/>
        <w:ind w:firstLine="640" w:firstLineChars="200"/>
        <w:jc w:val="both"/>
        <w:rPr>
          <w:rFonts w:hint="eastAsia" w:ascii="仿宋_GB2312" w:eastAsia="仿宋_GB2312"/>
          <w:sz w:val="32"/>
          <w:szCs w:val="32"/>
        </w:rPr>
      </w:pPr>
      <w:r>
        <w:rPr>
          <w:rFonts w:hint="eastAsia" w:ascii="仿宋_GB2312" w:hAnsi="仿宋_GB2312" w:eastAsia="仿宋_GB2312" w:cs="仿宋_GB2312"/>
          <w:snapToGrid w:val="0"/>
          <w:color w:val="000000"/>
          <w:sz w:val="32"/>
          <w:szCs w:val="32"/>
        </w:rPr>
        <w:t>功能型无人车是指具备无人驾驶功能的电动轮式车辆，能够在无需人工主动操作的情况下，实现在道路上自动、安全行驶，包括无人物流车、无人环卫车等</w:t>
      </w:r>
      <w:r>
        <w:rPr>
          <w:rFonts w:hint="eastAsia" w:ascii="仿宋_GB2312" w:eastAsia="仿宋_GB2312"/>
          <w:sz w:val="32"/>
          <w:szCs w:val="32"/>
        </w:rPr>
        <w:t>，能够弥补城市物流夜间仓到仓运输、环卫作业夜间道路清扫等场景劳动力结构性短缺，提升城市服务水平和经济效益。</w:t>
      </w:r>
      <w:r>
        <w:rPr>
          <w:rFonts w:hint="eastAsia" w:ascii="仿宋_GB2312" w:eastAsia="仿宋_GB2312"/>
          <w:color w:val="000000"/>
          <w:sz w:val="32"/>
          <w:szCs w:val="32"/>
        </w:rPr>
        <w:t>国家《</w:t>
      </w:r>
      <w:r>
        <w:rPr>
          <w:rFonts w:hint="eastAsia" w:ascii="仿宋_GB2312" w:eastAsia="仿宋_GB2312"/>
          <w:color w:val="040404"/>
          <w:sz w:val="32"/>
          <w:szCs w:val="32"/>
        </w:rPr>
        <w:t>“十四五”</w:t>
      </w:r>
      <w:r>
        <w:rPr>
          <w:rFonts w:hint="eastAsia" w:ascii="仿宋_GB2312" w:eastAsia="仿宋_GB2312"/>
          <w:color w:val="000000"/>
          <w:sz w:val="32"/>
          <w:szCs w:val="32"/>
        </w:rPr>
        <w:t>数字经济发展规划》</w:t>
      </w:r>
      <w:r>
        <w:rPr>
          <w:rFonts w:hint="eastAsia" w:ascii="仿宋_GB2312" w:eastAsia="仿宋_GB2312"/>
          <w:color w:val="040404"/>
          <w:sz w:val="32"/>
          <w:szCs w:val="32"/>
        </w:rPr>
        <w:t>《交通强国建设纲要》《关于促进道路交通自动驾驶技术发展和应用的指导意见》</w:t>
      </w:r>
      <w:r>
        <w:rPr>
          <w:rFonts w:hint="eastAsia" w:ascii="仿宋_GB2312" w:eastAsia="仿宋_GB2312"/>
          <w:color w:val="000000"/>
          <w:sz w:val="32"/>
          <w:szCs w:val="32"/>
        </w:rPr>
        <w:t>等顶层战略规划及意见均提出推进低速自动驾驶在物流及末端服务领域的应用。</w:t>
      </w:r>
    </w:p>
    <w:p>
      <w:pPr>
        <w:pStyle w:val="5"/>
        <w:spacing w:before="0" w:beforeAutospacing="0" w:after="0" w:afterAutospacing="0" w:line="560" w:lineRule="exact"/>
        <w:ind w:firstLine="640" w:firstLineChars="200"/>
        <w:jc w:val="both"/>
        <w:rPr>
          <w:rFonts w:hint="eastAsia" w:ascii="仿宋_GB2312" w:eastAsia="仿宋_GB2312"/>
          <w:sz w:val="32"/>
          <w:szCs w:val="32"/>
        </w:rPr>
      </w:pPr>
      <w:r>
        <w:rPr>
          <w:rFonts w:hint="eastAsia" w:ascii="仿宋_GB2312" w:hAnsi="仿宋_GB2312" w:eastAsia="仿宋_GB2312" w:cs="仿宋_GB2312"/>
          <w:sz w:val="32"/>
          <w:szCs w:val="32"/>
        </w:rPr>
        <w:t>作为自动驾驶技术应用的典型场景，功能型无人车相较于汽车具有运行速度较慢、应用场景较为固定等特点，</w:t>
      </w:r>
      <w:r>
        <w:rPr>
          <w:rFonts w:hint="eastAsia" w:ascii="仿宋_GB2312" w:eastAsia="仿宋_GB2312"/>
          <w:color w:val="040404"/>
          <w:sz w:val="32"/>
          <w:szCs w:val="32"/>
        </w:rPr>
        <w:t>安全系数高、市场发展潜力大</w:t>
      </w:r>
      <w:r>
        <w:rPr>
          <w:rFonts w:hint="eastAsia" w:ascii="仿宋_GB2312" w:eastAsia="仿宋_GB2312"/>
          <w:sz w:val="32"/>
          <w:szCs w:val="32"/>
        </w:rPr>
        <w:t>，契合新质生产力发展内涵及要求。然而，功能型无人车具有独特的产品形态及技术特征，不宜直接适用现行道路交通安全法律法规，我国北京、上海、杭州、重庆等20余个城市及下辖行政区为支持和鼓励功能型无人车技术发展与规模化应用，已印发实施地方管理政策或法规，相继在功能型无人车运行速度、通行车道、开放区域等方面作出探索。以无人配送车为例，北京已累计投放超600台，全国累计部署车辆超2000台。</w:t>
      </w:r>
    </w:p>
    <w:p>
      <w:pPr>
        <w:pStyle w:val="5"/>
        <w:spacing w:before="0" w:beforeAutospacing="0" w:after="0" w:afterAutospacing="0" w:line="560" w:lineRule="exact"/>
        <w:ind w:firstLine="640" w:firstLineChars="200"/>
        <w:jc w:val="both"/>
        <w:rPr>
          <w:rFonts w:hint="eastAsia" w:ascii="仿宋_GB2312" w:eastAsia="仿宋_GB2312"/>
          <w:sz w:val="32"/>
          <w:szCs w:val="32"/>
        </w:rPr>
      </w:pPr>
      <w:r>
        <w:rPr>
          <w:rFonts w:hint="eastAsia" w:ascii="仿宋_GB2312" w:eastAsia="仿宋_GB2312"/>
          <w:color w:val="040404"/>
          <w:sz w:val="32"/>
          <w:szCs w:val="32"/>
        </w:rPr>
        <w:t>因此，</w:t>
      </w:r>
      <w:r>
        <w:rPr>
          <w:rFonts w:hint="eastAsia" w:ascii="仿宋_GB2312" w:hAnsi="仿宋_GB2312" w:eastAsia="仿宋_GB2312" w:cs="仿宋_GB2312"/>
          <w:snapToGrid w:val="0"/>
          <w:color w:val="000000"/>
          <w:sz w:val="32"/>
          <w:szCs w:val="32"/>
        </w:rPr>
        <w:t>为进一步推动全市功能型无人车产业规模化发展，</w:t>
      </w:r>
      <w:r>
        <w:rPr>
          <w:rFonts w:hint="eastAsia" w:ascii="仿宋_GB2312" w:eastAsia="仿宋_GB2312"/>
          <w:color w:val="040404"/>
          <w:sz w:val="32"/>
          <w:szCs w:val="32"/>
        </w:rPr>
        <w:t>规范功能型无人车运营试点活动，在推进产业创新发展的同时确保安全可控，加快</w:t>
      </w:r>
      <w:r>
        <w:rPr>
          <w:rFonts w:hint="eastAsia" w:ascii="仿宋_GB2312" w:hAnsi="仿宋_GB2312" w:eastAsia="仿宋_GB2312" w:cs="仿宋_GB2312"/>
          <w:snapToGrid w:val="0"/>
          <w:color w:val="000000"/>
          <w:sz w:val="32"/>
          <w:szCs w:val="32"/>
        </w:rPr>
        <w:t>促进构建完善的管理机制，培育高效的监管能力，探索可行的商业模式，进一步为功能型无人车在城市物流、环卫等领域的商业化、规模化应用积累经验，</w:t>
      </w:r>
      <w:r>
        <w:rPr>
          <w:rFonts w:hint="eastAsia" w:ascii="仿宋_GB2312" w:eastAsia="仿宋_GB2312"/>
          <w:color w:val="040404"/>
          <w:sz w:val="32"/>
          <w:szCs w:val="32"/>
        </w:rPr>
        <w:t>深圳市工业和信息化局、深圳市交通运输局在广泛开展调研、充分借鉴国内头部城市管理经验的基础上，开展《指导意见》的编制工作。</w:t>
      </w:r>
    </w:p>
    <w:p>
      <w:pPr>
        <w:pStyle w:val="5"/>
        <w:spacing w:before="0" w:beforeAutospacing="0" w:after="0" w:afterAutospacing="0" w:line="560" w:lineRule="exact"/>
        <w:ind w:firstLine="640" w:firstLineChars="200"/>
        <w:jc w:val="both"/>
        <w:rPr>
          <w:rStyle w:val="8"/>
          <w:rFonts w:hint="eastAsia" w:ascii="黑体" w:hAnsi="黑体" w:eastAsia="黑体" w:cs="Times New Roman"/>
          <w:kern w:val="2"/>
          <w:sz w:val="21"/>
        </w:rPr>
      </w:pPr>
      <w:r>
        <w:rPr>
          <w:rStyle w:val="8"/>
          <w:rFonts w:hint="eastAsia" w:ascii="黑体" w:hAnsi="黑体" w:eastAsia="黑体"/>
          <w:b w:val="0"/>
          <w:bCs w:val="0"/>
          <w:color w:val="040404"/>
          <w:sz w:val="32"/>
          <w:szCs w:val="32"/>
        </w:rPr>
        <w:t>二、主要内容</w:t>
      </w:r>
    </w:p>
    <w:p>
      <w:pPr>
        <w:pStyle w:val="5"/>
        <w:spacing w:before="0" w:beforeAutospacing="0" w:after="0" w:afterAutospacing="0" w:line="560" w:lineRule="exact"/>
        <w:ind w:firstLine="640" w:firstLineChars="200"/>
        <w:jc w:val="both"/>
        <w:rPr>
          <w:rFonts w:hint="eastAsia" w:ascii="仿宋_GB2312" w:eastAsia="仿宋_GB2312"/>
          <w:color w:val="040404"/>
          <w:sz w:val="32"/>
          <w:szCs w:val="32"/>
        </w:rPr>
      </w:pPr>
      <w:r>
        <w:rPr>
          <w:rFonts w:hint="eastAsia" w:ascii="仿宋_GB2312" w:eastAsia="仿宋_GB2312"/>
          <w:color w:val="040404"/>
          <w:sz w:val="32"/>
          <w:szCs w:val="32"/>
        </w:rPr>
        <w:t>《指导意见》包括总体要求、适用范围、组织架构、申请流程及流程、试点要求、保障措施以及附则共七个部分，聚焦以下主要内容：</w:t>
      </w:r>
    </w:p>
    <w:p>
      <w:pPr>
        <w:pStyle w:val="5"/>
        <w:spacing w:before="0" w:beforeAutospacing="0" w:after="0" w:afterAutospacing="0" w:line="560" w:lineRule="exact"/>
        <w:ind w:firstLine="640" w:firstLineChars="200"/>
        <w:jc w:val="both"/>
        <w:rPr>
          <w:rFonts w:hint="eastAsia" w:ascii="楷体_GB2312" w:eastAsia="楷体_GB2312"/>
          <w:color w:val="040404"/>
          <w:sz w:val="32"/>
          <w:szCs w:val="32"/>
        </w:rPr>
      </w:pPr>
      <w:r>
        <w:rPr>
          <w:rFonts w:hint="eastAsia" w:ascii="楷体_GB2312" w:eastAsia="楷体_GB2312"/>
          <w:color w:val="040404"/>
          <w:sz w:val="32"/>
          <w:szCs w:val="32"/>
        </w:rPr>
        <w:t>（一）明确适用范围</w:t>
      </w:r>
    </w:p>
    <w:p>
      <w:pPr>
        <w:pStyle w:val="5"/>
        <w:spacing w:before="0" w:beforeAutospacing="0" w:after="0" w:afterAutospacing="0" w:line="560" w:lineRule="exact"/>
        <w:ind w:firstLine="640" w:firstLineChars="200"/>
        <w:jc w:val="both"/>
        <w:rPr>
          <w:rFonts w:hint="eastAsia" w:ascii="黑体" w:hAnsi="黑体" w:eastAsia="黑体"/>
          <w:b/>
          <w:bCs/>
        </w:rPr>
      </w:pPr>
      <w:r>
        <w:rPr>
          <w:rFonts w:hint="eastAsia" w:ascii="仿宋_GB2312" w:eastAsia="仿宋_GB2312"/>
          <w:color w:val="040404"/>
          <w:sz w:val="32"/>
          <w:szCs w:val="32"/>
        </w:rPr>
        <w:t>《指导意见》适用于深圳市范围内物流、环卫功能型无人车运营试点管理</w:t>
      </w:r>
      <w:r>
        <w:rPr>
          <w:rFonts w:hint="eastAsia" w:ascii="仿宋_GB2312" w:hAnsi="Times New Roman" w:eastAsia="仿宋_GB2312"/>
          <w:sz w:val="32"/>
          <w:szCs w:val="32"/>
        </w:rPr>
        <w:t>，</w:t>
      </w:r>
      <w:r>
        <w:rPr>
          <w:rFonts w:hint="eastAsia" w:ascii="仿宋_GB2312" w:eastAsia="仿宋_GB2312"/>
          <w:color w:val="040404"/>
          <w:sz w:val="32"/>
          <w:szCs w:val="32"/>
        </w:rPr>
        <w:t>明确了功能型无人车的定义，原则上</w:t>
      </w:r>
      <w:r>
        <w:rPr>
          <w:rFonts w:hint="eastAsia" w:ascii="仿宋_GB2312" w:eastAsia="仿宋_GB2312"/>
          <w:b/>
          <w:bCs/>
          <w:color w:val="040404"/>
          <w:sz w:val="32"/>
          <w:szCs w:val="32"/>
        </w:rPr>
        <w:t>鼓励利用夜间相对高质量的道路资源，使用功能型无人物流车开展快递物流、商超配送等仓到仓的运输，使用功能型无人环卫车开展道路清扫</w:t>
      </w:r>
      <w:r>
        <w:rPr>
          <w:rFonts w:hint="eastAsia" w:ascii="仿宋_GB2312" w:eastAsia="仿宋_GB2312"/>
          <w:color w:val="040404"/>
          <w:sz w:val="32"/>
          <w:szCs w:val="32"/>
        </w:rPr>
        <w:t>。</w:t>
      </w:r>
      <w:r>
        <w:rPr>
          <w:rFonts w:hint="eastAsia" w:ascii="仿宋_GB2312" w:hAnsi="仿宋_GB2312" w:eastAsia="仿宋_GB2312" w:cs="仿宋_GB2312"/>
          <w:snapToGrid w:val="0"/>
          <w:sz w:val="32"/>
          <w:szCs w:val="32"/>
        </w:rPr>
        <w:t>在公</w:t>
      </w:r>
      <w:r>
        <w:rPr>
          <w:rFonts w:hint="eastAsia" w:ascii="仿宋_GB2312" w:hAnsi="Times New Roman" w:eastAsia="仿宋_GB2312"/>
          <w:sz w:val="32"/>
          <w:szCs w:val="32"/>
        </w:rPr>
        <w:t>园、广场、园区等相对独立的区域开展服务或者作业的功能型无人车管理规定，由相关行业主管部门另行制定。</w:t>
      </w:r>
    </w:p>
    <w:p>
      <w:pPr>
        <w:pStyle w:val="5"/>
        <w:spacing w:before="0" w:beforeAutospacing="0" w:after="0" w:afterAutospacing="0" w:line="560" w:lineRule="exact"/>
        <w:ind w:firstLine="640" w:firstLineChars="200"/>
        <w:jc w:val="both"/>
        <w:rPr>
          <w:rFonts w:hint="eastAsia" w:ascii="楷体_GB2312" w:eastAsia="楷体_GB2312"/>
          <w:color w:val="040404"/>
          <w:sz w:val="32"/>
          <w:szCs w:val="32"/>
        </w:rPr>
      </w:pPr>
      <w:r>
        <w:rPr>
          <w:rFonts w:hint="eastAsia" w:ascii="楷体_GB2312" w:eastAsia="楷体_GB2312"/>
          <w:color w:val="040404"/>
          <w:sz w:val="32"/>
          <w:szCs w:val="32"/>
        </w:rPr>
        <w:t>（二）明确组织架构</w:t>
      </w:r>
    </w:p>
    <w:p>
      <w:pPr>
        <w:spacing w:line="560" w:lineRule="exact"/>
        <w:ind w:firstLine="640" w:firstLineChars="200"/>
        <w:rPr>
          <w:rFonts w:hint="eastAsia" w:ascii="仿宋_GB2312" w:eastAsia="仿宋_GB2312"/>
          <w:color w:val="040404"/>
          <w:sz w:val="32"/>
          <w:szCs w:val="32"/>
        </w:rPr>
      </w:pPr>
      <w:r>
        <w:rPr>
          <w:rFonts w:hint="eastAsia" w:ascii="仿宋_GB2312" w:eastAsia="仿宋_GB2312"/>
          <w:color w:val="040404"/>
          <w:sz w:val="32"/>
          <w:szCs w:val="32"/>
        </w:rPr>
        <w:t>《指导意见》明确了各相关单位职责分工，其中深圳市工业和信息化部门负责统筹协调，市交通运输、城管和综合执法等行业主管部门具体负责办理相应类型的功能型无人车运营试点申请、开展日常管理，市公安交警部门负责无标识车辆执法工作及相关交通事故调查处置工作，各区政府（</w:t>
      </w:r>
      <w:r>
        <w:rPr>
          <w:rFonts w:hint="eastAsia" w:ascii="仿宋_GB2312" w:hAnsi="微软雅黑" w:eastAsia="仿宋_GB2312" w:cs="微软雅黑"/>
          <w:color w:val="040404"/>
          <w:sz w:val="32"/>
          <w:szCs w:val="32"/>
        </w:rPr>
        <w:t>含大鹏新区、深汕特别合作区管委会）负责</w:t>
      </w:r>
      <w:r>
        <w:rPr>
          <w:rFonts w:hint="eastAsia" w:ascii="仿宋_GB2312" w:hAnsi="仿宋_GB2312" w:eastAsia="仿宋_GB2312" w:cs="仿宋_GB2312"/>
          <w:color w:val="040404"/>
          <w:sz w:val="32"/>
          <w:szCs w:val="32"/>
        </w:rPr>
        <w:t>试点日常管理、安全应急</w:t>
      </w:r>
      <w:r>
        <w:rPr>
          <w:rFonts w:hint="eastAsia" w:ascii="仿宋_GB2312" w:hAnsi="仿宋_GB2312" w:eastAsia="仿宋_GB2312" w:cs="仿宋_GB2312"/>
          <w:sz w:val="32"/>
          <w:szCs w:val="32"/>
        </w:rPr>
        <w:t>及产业发展等工作</w:t>
      </w:r>
      <w:r>
        <w:rPr>
          <w:rFonts w:hint="eastAsia" w:ascii="仿宋_GB2312" w:eastAsia="仿宋_GB2312"/>
          <w:color w:val="040404"/>
          <w:sz w:val="32"/>
          <w:szCs w:val="32"/>
        </w:rPr>
        <w:t>。</w:t>
      </w:r>
    </w:p>
    <w:p>
      <w:pPr>
        <w:pStyle w:val="5"/>
        <w:spacing w:before="0" w:beforeAutospacing="0" w:after="0" w:afterAutospacing="0" w:line="560" w:lineRule="exact"/>
        <w:ind w:firstLine="640" w:firstLineChars="200"/>
        <w:jc w:val="both"/>
        <w:rPr>
          <w:rFonts w:hint="eastAsia" w:ascii="仿宋_GB2312" w:eastAsia="仿宋_GB2312"/>
          <w:color w:val="040404"/>
          <w:sz w:val="32"/>
          <w:szCs w:val="32"/>
        </w:rPr>
      </w:pPr>
      <w:r>
        <w:rPr>
          <w:rFonts w:hint="eastAsia" w:ascii="楷体_GB2312" w:eastAsia="楷体_GB2312"/>
          <w:color w:val="040404"/>
          <w:sz w:val="32"/>
          <w:szCs w:val="32"/>
        </w:rPr>
        <w:t>（三）明确申请条件</w:t>
      </w:r>
    </w:p>
    <w:p>
      <w:pPr>
        <w:pStyle w:val="5"/>
        <w:spacing w:before="0" w:beforeAutospacing="0" w:after="0" w:afterAutospacing="0" w:line="560" w:lineRule="exact"/>
        <w:ind w:firstLine="640" w:firstLineChars="200"/>
        <w:jc w:val="both"/>
        <w:rPr>
          <w:rFonts w:hint="eastAsia" w:ascii="仿宋_GB2312" w:eastAsia="仿宋_GB2312"/>
          <w:color w:val="040404"/>
          <w:sz w:val="32"/>
          <w:szCs w:val="32"/>
        </w:rPr>
      </w:pPr>
      <w:r>
        <w:rPr>
          <w:rFonts w:hint="eastAsia" w:ascii="仿宋_GB2312" w:eastAsia="仿宋_GB2312"/>
          <w:color w:val="040404"/>
          <w:sz w:val="32"/>
          <w:szCs w:val="32"/>
        </w:rPr>
        <w:t>《指导意见》重点明确了申请条件。</w:t>
      </w:r>
      <w:r>
        <w:rPr>
          <w:rFonts w:hint="eastAsia" w:ascii="仿宋_GB2312" w:eastAsia="仿宋_GB2312"/>
          <w:b/>
          <w:bCs/>
          <w:color w:val="040404"/>
          <w:sz w:val="32"/>
          <w:szCs w:val="32"/>
        </w:rPr>
        <w:t>一是</w:t>
      </w:r>
      <w:r>
        <w:rPr>
          <w:rFonts w:hint="eastAsia" w:ascii="仿宋_GB2312" w:eastAsia="仿宋_GB2312"/>
          <w:color w:val="040404"/>
          <w:sz w:val="32"/>
          <w:szCs w:val="32"/>
        </w:rPr>
        <w:t>申请材料，申请企业应该按照规定提交运营服务能力报告、功能型无人车运营试点方案、</w:t>
      </w:r>
      <w:r>
        <w:rPr>
          <w:rFonts w:hint="eastAsia" w:ascii="仿宋_GB2312" w:hAnsi="仿宋_GB2312" w:eastAsia="仿宋_GB2312" w:cs="仿宋_GB2312"/>
          <w:snapToGrid w:val="0"/>
          <w:color w:val="000000"/>
          <w:sz w:val="32"/>
          <w:szCs w:val="32"/>
        </w:rPr>
        <w:t>第三方机构出具的运营试点方案评估意见</w:t>
      </w:r>
      <w:r>
        <w:rPr>
          <w:rFonts w:hint="eastAsia" w:ascii="仿宋_GB2312" w:eastAsia="仿宋_GB2312"/>
          <w:color w:val="040404"/>
          <w:sz w:val="32"/>
          <w:szCs w:val="32"/>
        </w:rPr>
        <w:t>、不同车辆类型相匹配的商业保单以及车辆自动驾驶功能检测报告；</w:t>
      </w:r>
      <w:r>
        <w:rPr>
          <w:rFonts w:hint="eastAsia" w:ascii="仿宋_GB2312" w:eastAsia="仿宋_GB2312"/>
          <w:b/>
          <w:bCs/>
          <w:color w:val="040404"/>
          <w:sz w:val="32"/>
          <w:szCs w:val="32"/>
        </w:rPr>
        <w:t>二是</w:t>
      </w:r>
      <w:r>
        <w:rPr>
          <w:rFonts w:hint="eastAsia" w:ascii="仿宋_GB2312" w:eastAsia="仿宋_GB2312"/>
          <w:color w:val="040404"/>
          <w:sz w:val="32"/>
          <w:szCs w:val="32"/>
        </w:rPr>
        <w:t>申请要求，车辆应当具备运行数据记录、存储等功能，并能够按照规定实时回传至政府监管平台。</w:t>
      </w:r>
    </w:p>
    <w:p>
      <w:pPr>
        <w:pStyle w:val="5"/>
        <w:spacing w:before="0" w:beforeAutospacing="0" w:after="0" w:afterAutospacing="0" w:line="560" w:lineRule="exact"/>
        <w:ind w:firstLine="640" w:firstLineChars="200"/>
        <w:jc w:val="both"/>
        <w:rPr>
          <w:rFonts w:hint="eastAsia" w:ascii="楷体_GB2312" w:eastAsia="楷体_GB2312"/>
          <w:color w:val="040404"/>
          <w:sz w:val="32"/>
          <w:szCs w:val="32"/>
        </w:rPr>
      </w:pPr>
      <w:r>
        <w:rPr>
          <w:rFonts w:hint="eastAsia" w:ascii="楷体_GB2312" w:eastAsia="楷体_GB2312"/>
          <w:color w:val="040404"/>
          <w:sz w:val="32"/>
          <w:szCs w:val="32"/>
        </w:rPr>
        <w:t>（四）明确申请流程</w:t>
      </w:r>
    </w:p>
    <w:p>
      <w:pPr>
        <w:pStyle w:val="5"/>
        <w:spacing w:before="0" w:beforeAutospacing="0" w:after="0" w:afterAutospacing="0" w:line="560" w:lineRule="exact"/>
        <w:ind w:firstLine="640" w:firstLineChars="200"/>
        <w:jc w:val="both"/>
        <w:rPr>
          <w:rFonts w:hint="eastAsia" w:ascii="仿宋_GB2312" w:eastAsia="仿宋_GB2312"/>
          <w:color w:val="040404"/>
          <w:sz w:val="32"/>
          <w:szCs w:val="32"/>
        </w:rPr>
      </w:pPr>
      <w:r>
        <w:rPr>
          <w:rFonts w:hint="eastAsia" w:ascii="仿宋_GB2312" w:eastAsia="仿宋_GB2312"/>
          <w:color w:val="040404"/>
          <w:sz w:val="32"/>
          <w:szCs w:val="32"/>
        </w:rPr>
        <w:t>《指导意见》建立了“提交申请-审核确认-标识发放”的申请流程。</w:t>
      </w:r>
      <w:r>
        <w:rPr>
          <w:rFonts w:hint="eastAsia" w:ascii="仿宋_GB2312" w:eastAsia="仿宋_GB2312"/>
          <w:b/>
          <w:bCs/>
          <w:color w:val="040404"/>
          <w:sz w:val="32"/>
          <w:szCs w:val="32"/>
        </w:rPr>
        <w:t>一是</w:t>
      </w:r>
      <w:r>
        <w:rPr>
          <w:rFonts w:hint="eastAsia" w:ascii="仿宋_GB2312" w:eastAsia="仿宋_GB2312"/>
          <w:color w:val="040404"/>
          <w:sz w:val="32"/>
          <w:szCs w:val="32"/>
        </w:rPr>
        <w:t>明确由申请主体按照规定向</w:t>
      </w:r>
      <w:r>
        <w:rPr>
          <w:rFonts w:hint="eastAsia" w:ascii="仿宋_GB2312" w:hAnsi="仿宋_GB2312" w:eastAsia="仿宋_GB2312" w:cs="仿宋_GB2312"/>
          <w:sz w:val="32"/>
          <w:szCs w:val="32"/>
        </w:rPr>
        <w:t>市行业主管部门</w:t>
      </w:r>
      <w:r>
        <w:rPr>
          <w:rFonts w:hint="eastAsia" w:ascii="仿宋_GB2312" w:eastAsia="仿宋_GB2312"/>
          <w:color w:val="040404"/>
          <w:sz w:val="32"/>
          <w:szCs w:val="32"/>
        </w:rPr>
        <w:t>提交申请；</w:t>
      </w:r>
      <w:r>
        <w:rPr>
          <w:rFonts w:hint="eastAsia" w:ascii="仿宋_GB2312" w:eastAsia="仿宋_GB2312"/>
          <w:b/>
          <w:bCs/>
          <w:color w:val="040404"/>
          <w:sz w:val="32"/>
          <w:szCs w:val="32"/>
        </w:rPr>
        <w:t>二是</w:t>
      </w:r>
      <w:r>
        <w:rPr>
          <w:rFonts w:hint="eastAsia" w:ascii="仿宋_GB2312" w:eastAsia="仿宋_GB2312"/>
          <w:color w:val="040404"/>
          <w:sz w:val="32"/>
          <w:szCs w:val="32"/>
        </w:rPr>
        <w:t>由</w:t>
      </w:r>
      <w:r>
        <w:rPr>
          <w:rFonts w:hint="eastAsia" w:ascii="仿宋_GB2312" w:hAnsi="仿宋_GB2312" w:eastAsia="仿宋_GB2312" w:cs="仿宋_GB2312"/>
          <w:sz w:val="32"/>
          <w:szCs w:val="32"/>
        </w:rPr>
        <w:t>市行业主管部门对申请主体提交的材料初步审核，市工业和信息化部门组织相关主管部门，对初步审核通过的申请主体进行</w:t>
      </w:r>
      <w:bookmarkStart w:id="0" w:name="OLE_LINK2"/>
      <w:r>
        <w:rPr>
          <w:rFonts w:hint="eastAsia" w:ascii="仿宋_GB2312" w:hAnsi="仿宋_GB2312" w:eastAsia="仿宋_GB2312" w:cs="仿宋_GB2312"/>
          <w:sz w:val="32"/>
          <w:szCs w:val="32"/>
        </w:rPr>
        <w:t>联合审议</w:t>
      </w:r>
      <w:bookmarkEnd w:id="0"/>
      <w:r>
        <w:rPr>
          <w:rFonts w:hint="eastAsia" w:ascii="仿宋_GB2312" w:hAnsi="仿宋_GB2312" w:eastAsia="仿宋_GB2312" w:cs="仿宋_GB2312"/>
          <w:sz w:val="32"/>
          <w:szCs w:val="32"/>
        </w:rPr>
        <w:t>。</w:t>
      </w:r>
      <w:r>
        <w:rPr>
          <w:rFonts w:hint="eastAsia" w:ascii="仿宋_GB2312" w:hAnsi="仿宋_GB2312" w:eastAsia="仿宋_GB2312" w:cs="仿宋_GB2312"/>
          <w:kern w:val="2"/>
          <w:sz w:val="32"/>
          <w:szCs w:val="32"/>
          <w:lang w:bidi="ar"/>
        </w:rPr>
        <w:t>市行业主管部门根据联合审议情况向申请主体出具书面意见，反馈审议结果</w:t>
      </w:r>
      <w:r>
        <w:rPr>
          <w:rFonts w:hint="eastAsia" w:ascii="仿宋_GB2312" w:eastAsia="仿宋_GB2312"/>
          <w:color w:val="040404"/>
          <w:sz w:val="32"/>
          <w:szCs w:val="32"/>
        </w:rPr>
        <w:t>；</w:t>
      </w:r>
      <w:r>
        <w:rPr>
          <w:rFonts w:hint="eastAsia" w:ascii="仿宋_GB2312" w:eastAsia="仿宋_GB2312"/>
          <w:b/>
          <w:bCs/>
          <w:color w:val="040404"/>
          <w:sz w:val="32"/>
          <w:szCs w:val="32"/>
        </w:rPr>
        <w:t>三是</w:t>
      </w:r>
      <w:r>
        <w:rPr>
          <w:rFonts w:hint="eastAsia" w:ascii="仿宋_GB2312" w:hAnsi="仿宋_GB2312" w:eastAsia="仿宋_GB2312" w:cs="仿宋_GB2312"/>
          <w:snapToGrid w:val="0"/>
          <w:color w:val="000000"/>
          <w:sz w:val="32"/>
          <w:szCs w:val="32"/>
        </w:rPr>
        <w:t>申请主体向</w:t>
      </w:r>
      <w:bookmarkStart w:id="1" w:name="_Hlk188382408"/>
      <w:r>
        <w:rPr>
          <w:rFonts w:hint="eastAsia" w:ascii="仿宋_GB2312" w:hAnsi="仿宋_GB2312" w:eastAsia="仿宋_GB2312" w:cs="仿宋_GB2312"/>
          <w:snapToGrid w:val="0"/>
          <w:color w:val="000000"/>
          <w:sz w:val="32"/>
          <w:szCs w:val="32"/>
        </w:rPr>
        <w:t>市</w:t>
      </w:r>
      <w:r>
        <w:rPr>
          <w:rFonts w:hint="eastAsia" w:ascii="仿宋_GB2312" w:hAnsi="仿宋_GB2312" w:eastAsia="仿宋_GB2312" w:cs="仿宋_GB2312"/>
          <w:sz w:val="32"/>
          <w:szCs w:val="32"/>
        </w:rPr>
        <w:t>工业和信息化</w:t>
      </w:r>
      <w:r>
        <w:rPr>
          <w:rFonts w:hint="eastAsia" w:ascii="仿宋_GB2312" w:hAnsi="仿宋_GB2312" w:eastAsia="仿宋_GB2312" w:cs="仿宋_GB2312"/>
          <w:snapToGrid w:val="0"/>
          <w:color w:val="000000"/>
          <w:sz w:val="32"/>
          <w:szCs w:val="32"/>
        </w:rPr>
        <w:t>部门</w:t>
      </w:r>
      <w:bookmarkEnd w:id="1"/>
      <w:r>
        <w:rPr>
          <w:rFonts w:hint="eastAsia" w:ascii="仿宋_GB2312" w:hAnsi="仿宋_GB2312" w:eastAsia="仿宋_GB2312" w:cs="仿宋_GB2312"/>
          <w:snapToGrid w:val="0"/>
          <w:color w:val="000000"/>
          <w:sz w:val="32"/>
          <w:szCs w:val="32"/>
        </w:rPr>
        <w:t>申领功能型无人车车辆标识</w:t>
      </w:r>
      <w:r>
        <w:rPr>
          <w:rFonts w:hint="eastAsia" w:ascii="仿宋_GB2312" w:eastAsia="仿宋_GB2312"/>
          <w:color w:val="040404"/>
          <w:sz w:val="32"/>
          <w:szCs w:val="32"/>
        </w:rPr>
        <w:t>。</w:t>
      </w:r>
    </w:p>
    <w:p>
      <w:pPr>
        <w:pStyle w:val="5"/>
        <w:spacing w:before="0" w:beforeAutospacing="0" w:after="0" w:afterAutospacing="0" w:line="560" w:lineRule="exact"/>
        <w:ind w:firstLine="640" w:firstLineChars="200"/>
        <w:jc w:val="both"/>
        <w:rPr>
          <w:rFonts w:hint="eastAsia" w:ascii="楷体_GB2312" w:eastAsia="楷体_GB2312"/>
          <w:color w:val="040404"/>
          <w:sz w:val="32"/>
          <w:szCs w:val="32"/>
        </w:rPr>
      </w:pPr>
      <w:r>
        <w:rPr>
          <w:rFonts w:hint="eastAsia" w:ascii="楷体_GB2312" w:eastAsia="楷体_GB2312"/>
          <w:color w:val="040404"/>
          <w:sz w:val="32"/>
          <w:szCs w:val="32"/>
        </w:rPr>
        <w:t>（五）加强试点管理</w:t>
      </w:r>
    </w:p>
    <w:p>
      <w:pPr>
        <w:pStyle w:val="5"/>
        <w:spacing w:before="0" w:beforeAutospacing="0" w:after="0" w:afterAutospacing="0" w:line="560" w:lineRule="exact"/>
        <w:ind w:firstLine="640" w:firstLineChars="200"/>
        <w:jc w:val="both"/>
        <w:rPr>
          <w:rFonts w:hint="eastAsia" w:ascii="仿宋_GB2312" w:hAnsi="仿宋_GB2312" w:eastAsia="仿宋_GB2312" w:cs="仿宋_GB2312"/>
          <w:color w:val="auto"/>
          <w:kern w:val="2"/>
          <w:sz w:val="32"/>
          <w:szCs w:val="32"/>
          <w:lang w:bidi="ar"/>
        </w:rPr>
      </w:pPr>
      <w:r>
        <w:rPr>
          <w:rFonts w:hint="eastAsia" w:ascii="仿宋_GB2312" w:hAnsi="仿宋_GB2312" w:eastAsia="仿宋_GB2312" w:cs="仿宋_GB2312"/>
          <w:color w:val="auto"/>
          <w:kern w:val="2"/>
          <w:sz w:val="32"/>
          <w:szCs w:val="32"/>
          <w:lang w:bidi="ar"/>
        </w:rPr>
        <w:t>《指导意见》明确了试点企业的运行管理要求，保障试点工作有序开展。</w:t>
      </w:r>
      <w:r>
        <w:rPr>
          <w:rFonts w:hint="eastAsia" w:ascii="仿宋_GB2312" w:hAnsi="仿宋_GB2312" w:eastAsia="仿宋_GB2312" w:cs="仿宋_GB2312"/>
          <w:b/>
          <w:bCs/>
          <w:color w:val="auto"/>
          <w:kern w:val="2"/>
          <w:sz w:val="32"/>
          <w:szCs w:val="32"/>
          <w:lang w:bidi="ar"/>
        </w:rPr>
        <w:t>一是</w:t>
      </w:r>
      <w:r>
        <w:rPr>
          <w:rFonts w:hint="eastAsia" w:ascii="仿宋_GB2312" w:hAnsi="仿宋_GB2312" w:eastAsia="仿宋_GB2312" w:cs="仿宋_GB2312"/>
          <w:color w:val="auto"/>
          <w:kern w:val="2"/>
          <w:sz w:val="32"/>
          <w:szCs w:val="32"/>
          <w:lang w:bidi="ar"/>
        </w:rPr>
        <w:t>要求</w:t>
      </w:r>
      <w:r>
        <w:rPr>
          <w:rFonts w:hint="eastAsia" w:ascii="仿宋_GB2312" w:hAnsi="仿宋_GB2312" w:eastAsia="仿宋_GB2312" w:cs="仿宋_GB2312"/>
          <w:snapToGrid/>
          <w:color w:val="auto"/>
          <w:kern w:val="2"/>
          <w:sz w:val="32"/>
          <w:szCs w:val="32"/>
          <w:lang w:bidi="ar"/>
        </w:rPr>
        <w:t>按照已确认的运营试点方案，使用取得车辆标识的功能型无人车在机动车道或者非机动车道开展运营试点活动；</w:t>
      </w:r>
      <w:r>
        <w:rPr>
          <w:rFonts w:hint="eastAsia" w:ascii="仿宋_GB2312" w:hAnsi="仿宋_GB2312" w:eastAsia="仿宋_GB2312" w:cs="仿宋_GB2312"/>
          <w:b/>
          <w:bCs/>
          <w:snapToGrid/>
          <w:color w:val="auto"/>
          <w:kern w:val="2"/>
          <w:sz w:val="32"/>
          <w:szCs w:val="32"/>
          <w:lang w:bidi="ar"/>
        </w:rPr>
        <w:t>二是</w:t>
      </w:r>
      <w:r>
        <w:rPr>
          <w:rFonts w:hint="eastAsia" w:ascii="仿宋_GB2312" w:hAnsi="仿宋_GB2312" w:eastAsia="仿宋_GB2312" w:cs="仿宋_GB2312"/>
          <w:snapToGrid/>
          <w:color w:val="auto"/>
          <w:kern w:val="2"/>
          <w:sz w:val="32"/>
          <w:szCs w:val="32"/>
          <w:lang w:bidi="ar"/>
        </w:rPr>
        <w:t>明确</w:t>
      </w:r>
      <w:r>
        <w:rPr>
          <w:rFonts w:hint="eastAsia" w:ascii="仿宋_GB2312" w:hAnsi="仿宋_GB2312" w:eastAsia="仿宋_GB2312" w:cs="仿宋_GB2312"/>
          <w:snapToGrid/>
          <w:color w:val="auto"/>
          <w:kern w:val="2"/>
          <w:sz w:val="32"/>
          <w:szCs w:val="32"/>
          <w:lang w:bidi="ar"/>
        </w:rPr>
        <w:t>申请主体新增车辆规模或试点区域道路的，应当按照指导意见“四、申请条件及流程”的要求提交申请</w:t>
      </w:r>
      <w:r>
        <w:rPr>
          <w:rFonts w:hint="eastAsia" w:ascii="仿宋_GB2312" w:hAnsi="仿宋_GB2312" w:eastAsia="仿宋_GB2312" w:cs="仿宋_GB2312"/>
          <w:snapToGrid/>
          <w:color w:val="auto"/>
          <w:kern w:val="2"/>
          <w:sz w:val="32"/>
          <w:szCs w:val="32"/>
          <w:lang w:bidi="ar"/>
        </w:rPr>
        <w:t>；</w:t>
      </w:r>
      <w:r>
        <w:rPr>
          <w:rFonts w:hint="eastAsia" w:ascii="仿宋_GB2312" w:hAnsi="仿宋_GB2312" w:eastAsia="仿宋_GB2312" w:cs="仿宋_GB2312"/>
          <w:b/>
          <w:bCs/>
          <w:snapToGrid/>
          <w:color w:val="auto"/>
          <w:kern w:val="2"/>
          <w:sz w:val="32"/>
          <w:szCs w:val="32"/>
          <w:lang w:bidi="ar"/>
        </w:rPr>
        <w:t>三是</w:t>
      </w:r>
      <w:r>
        <w:rPr>
          <w:rFonts w:hint="eastAsia" w:ascii="仿宋_GB2312" w:hAnsi="仿宋_GB2312" w:eastAsia="仿宋_GB2312" w:cs="仿宋_GB2312"/>
          <w:snapToGrid/>
          <w:color w:val="auto"/>
          <w:kern w:val="2"/>
          <w:sz w:val="32"/>
          <w:szCs w:val="32"/>
          <w:lang w:bidi="ar"/>
        </w:rPr>
        <w:t>明确试点主体应当在</w:t>
      </w:r>
      <w:r>
        <w:rPr>
          <w:rFonts w:hint="eastAsia" w:ascii="仿宋_GB2312" w:hAnsi="仿宋_GB2312" w:eastAsia="仿宋_GB2312" w:cs="仿宋_GB2312"/>
          <w:kern w:val="2"/>
          <w:sz w:val="32"/>
          <w:szCs w:val="32"/>
          <w:lang w:bidi="ar"/>
        </w:rPr>
        <w:t>运营试点</w:t>
      </w:r>
      <w:r>
        <w:rPr>
          <w:rFonts w:hint="eastAsia" w:ascii="仿宋_GB2312" w:hAnsi="仿宋_GB2312" w:eastAsia="仿宋_GB2312" w:cs="仿宋_GB2312"/>
          <w:snapToGrid/>
          <w:color w:val="auto"/>
          <w:kern w:val="2"/>
          <w:sz w:val="32"/>
          <w:szCs w:val="32"/>
          <w:lang w:bidi="ar"/>
        </w:rPr>
        <w:t>有效</w:t>
      </w:r>
      <w:r>
        <w:rPr>
          <w:rFonts w:hint="eastAsia" w:ascii="仿宋_GB2312" w:hAnsi="仿宋_GB2312" w:eastAsia="仿宋_GB2312" w:cs="仿宋_GB2312"/>
          <w:bCs w:val="0"/>
          <w:kern w:val="2"/>
          <w:sz w:val="32"/>
          <w:szCs w:val="32"/>
          <w:lang w:bidi="ar"/>
        </w:rPr>
        <w:t>期满前15个工作日内提出续期</w:t>
      </w:r>
      <w:r>
        <w:rPr>
          <w:rFonts w:hint="eastAsia" w:ascii="仿宋_GB2312" w:hAnsi="仿宋_GB2312" w:eastAsia="仿宋_GB2312" w:cs="仿宋_GB2312"/>
          <w:kern w:val="2"/>
          <w:sz w:val="32"/>
          <w:szCs w:val="32"/>
          <w:lang w:bidi="ar"/>
        </w:rPr>
        <w:t>申请</w:t>
      </w:r>
      <w:r>
        <w:rPr>
          <w:rFonts w:hint="eastAsia" w:ascii="仿宋_GB2312" w:hAnsi="仿宋_GB2312" w:eastAsia="仿宋_GB2312" w:cs="仿宋_GB2312"/>
          <w:bCs w:val="0"/>
          <w:kern w:val="2"/>
          <w:sz w:val="32"/>
          <w:szCs w:val="32"/>
          <w:lang w:bidi="ar"/>
        </w:rPr>
        <w:t>；</w:t>
      </w:r>
      <w:r>
        <w:rPr>
          <w:rFonts w:hint="eastAsia" w:ascii="仿宋_GB2312" w:hAnsi="仿宋_GB2312" w:eastAsia="仿宋_GB2312" w:cs="仿宋_GB2312"/>
          <w:b/>
          <w:bCs/>
          <w:snapToGrid/>
          <w:color w:val="auto"/>
          <w:kern w:val="2"/>
          <w:sz w:val="32"/>
          <w:szCs w:val="32"/>
          <w:lang w:bidi="ar"/>
        </w:rPr>
        <w:t>四是</w:t>
      </w:r>
      <w:r>
        <w:rPr>
          <w:rFonts w:hint="eastAsia" w:ascii="仿宋_GB2312" w:hAnsi="仿宋_GB2312" w:eastAsia="仿宋_GB2312" w:cs="仿宋_GB2312"/>
          <w:snapToGrid/>
          <w:color w:val="auto"/>
          <w:kern w:val="2"/>
          <w:sz w:val="32"/>
          <w:szCs w:val="32"/>
          <w:lang w:bidi="ar"/>
        </w:rPr>
        <w:t>要求试点企业建立健全网络及数据安全管理制度；</w:t>
      </w:r>
      <w:r>
        <w:rPr>
          <w:rFonts w:hint="eastAsia" w:ascii="仿宋_GB2312" w:hAnsi="仿宋_GB2312" w:eastAsia="仿宋_GB2312" w:cs="仿宋_GB2312"/>
          <w:b/>
          <w:bCs/>
          <w:snapToGrid/>
          <w:color w:val="auto"/>
          <w:kern w:val="2"/>
          <w:sz w:val="32"/>
          <w:szCs w:val="32"/>
          <w:lang w:bidi="ar"/>
        </w:rPr>
        <w:t>五是</w:t>
      </w:r>
      <w:r>
        <w:rPr>
          <w:rFonts w:hint="eastAsia" w:ascii="仿宋_GB2312" w:hAnsi="仿宋_GB2312" w:eastAsia="仿宋_GB2312" w:cs="仿宋_GB2312"/>
          <w:snapToGrid/>
          <w:color w:val="auto"/>
          <w:kern w:val="2"/>
          <w:sz w:val="32"/>
          <w:szCs w:val="32"/>
          <w:lang w:bidi="ar"/>
        </w:rPr>
        <w:t>在发生交通事故时，试点企业应当及时处置、主动配合事故调查，按规定向市行业主管、公安交警察等部门及相关区政府上报事故分析报告；</w:t>
      </w:r>
      <w:r>
        <w:rPr>
          <w:rFonts w:hint="eastAsia" w:ascii="仿宋_GB2312" w:hAnsi="仿宋_GB2312" w:eastAsia="仿宋_GB2312" w:cs="仿宋_GB2312"/>
          <w:b/>
          <w:bCs/>
          <w:snapToGrid/>
          <w:color w:val="auto"/>
          <w:kern w:val="2"/>
          <w:sz w:val="32"/>
          <w:szCs w:val="32"/>
          <w:lang w:bidi="ar"/>
        </w:rPr>
        <w:t>六是</w:t>
      </w:r>
      <w:r>
        <w:rPr>
          <w:rFonts w:hint="eastAsia" w:ascii="仿宋_GB2312" w:hAnsi="仿宋_GB2312" w:eastAsia="仿宋_GB2312" w:cs="仿宋_GB2312"/>
          <w:snapToGrid/>
          <w:color w:val="auto"/>
          <w:kern w:val="2"/>
          <w:sz w:val="32"/>
          <w:szCs w:val="32"/>
          <w:lang w:bidi="ar"/>
        </w:rPr>
        <w:t>试点企业应当根据功能型无人车投放规模及试点情况优化调整服务运载工具；</w:t>
      </w:r>
      <w:r>
        <w:rPr>
          <w:rFonts w:hint="eastAsia" w:ascii="仿宋_GB2312" w:hAnsi="仿宋_GB2312" w:eastAsia="仿宋_GB2312" w:cs="仿宋_GB2312"/>
          <w:b/>
          <w:bCs/>
          <w:snapToGrid/>
          <w:color w:val="auto"/>
          <w:kern w:val="2"/>
          <w:sz w:val="32"/>
          <w:szCs w:val="32"/>
          <w:lang w:bidi="ar"/>
        </w:rPr>
        <w:t>七是</w:t>
      </w:r>
      <w:r>
        <w:rPr>
          <w:rFonts w:hint="eastAsia" w:ascii="仿宋_GB2312" w:hAnsi="仿宋_GB2312" w:eastAsia="仿宋_GB2312" w:cs="仿宋_GB2312"/>
          <w:snapToGrid/>
          <w:color w:val="auto"/>
          <w:kern w:val="2"/>
          <w:sz w:val="32"/>
          <w:szCs w:val="32"/>
          <w:lang w:bidi="ar"/>
        </w:rPr>
        <w:t>要求市行业主管部门根据试点情况，暂停或者终止存在严重违规、发生致人死亡责任交通事故等行为的试点活动。</w:t>
      </w:r>
    </w:p>
    <w:p>
      <w:pPr>
        <w:pStyle w:val="5"/>
        <w:spacing w:before="0" w:beforeAutospacing="0" w:after="0" w:afterAutospacing="0" w:line="560" w:lineRule="exact"/>
        <w:ind w:firstLine="640" w:firstLineChars="200"/>
        <w:jc w:val="both"/>
        <w:rPr>
          <w:rFonts w:hint="eastAsia" w:ascii="楷体_GB2312" w:eastAsia="楷体_GB2312"/>
          <w:color w:val="040404"/>
          <w:sz w:val="32"/>
          <w:szCs w:val="32"/>
        </w:rPr>
      </w:pPr>
      <w:r>
        <w:rPr>
          <w:rFonts w:hint="eastAsia" w:ascii="楷体_GB2312" w:eastAsia="楷体_GB2312"/>
          <w:color w:val="040404"/>
          <w:sz w:val="32"/>
          <w:szCs w:val="32"/>
        </w:rPr>
        <w:t>（六）其他</w:t>
      </w:r>
    </w:p>
    <w:p>
      <w:pPr>
        <w:pStyle w:val="5"/>
        <w:spacing w:before="0" w:beforeAutospacing="0" w:after="0" w:afterAutospacing="0" w:line="560" w:lineRule="exact"/>
        <w:ind w:firstLine="640" w:firstLineChars="200"/>
        <w:jc w:val="both"/>
        <w:rPr>
          <w:rFonts w:hint="eastAsia" w:ascii="仿宋_GB2312" w:eastAsia="仿宋_GB2312"/>
          <w:color w:val="040404"/>
          <w:sz w:val="32"/>
          <w:szCs w:val="32"/>
        </w:rPr>
      </w:pPr>
      <w:r>
        <w:rPr>
          <w:rFonts w:hint="eastAsia" w:ascii="仿宋_GB2312" w:eastAsia="仿宋_GB2312"/>
          <w:color w:val="040404"/>
          <w:sz w:val="32"/>
          <w:szCs w:val="32"/>
        </w:rPr>
        <w:t>为加强工作统筹及试点保障，《指导意见》统一了试点车辆标识样式，基于市级智能网联汽车政府监管平台实现统一监管，充分保障道路交通安全与通行秩序。</w:t>
      </w:r>
      <w:r>
        <w:rPr>
          <w:rFonts w:hint="eastAsia" w:ascii="仿宋_GB2312" w:eastAsia="仿宋_GB2312"/>
          <w:b/>
          <w:bCs/>
          <w:color w:val="040404"/>
          <w:sz w:val="32"/>
          <w:szCs w:val="32"/>
        </w:rPr>
        <w:t>一是</w:t>
      </w:r>
      <w:r>
        <w:rPr>
          <w:rFonts w:hint="eastAsia" w:ascii="仿宋_GB2312" w:eastAsia="仿宋_GB2312"/>
          <w:color w:val="040404"/>
          <w:sz w:val="32"/>
          <w:szCs w:val="32"/>
        </w:rPr>
        <w:t>要求各区政府制定安全应急、产业发展等管理政策，支撑日常管理；</w:t>
      </w:r>
      <w:r>
        <w:rPr>
          <w:rFonts w:hint="eastAsia" w:ascii="仿宋_GB2312" w:eastAsia="仿宋_GB2312"/>
          <w:b/>
          <w:bCs/>
          <w:color w:val="040404"/>
          <w:sz w:val="32"/>
          <w:szCs w:val="32"/>
        </w:rPr>
        <w:t>二是</w:t>
      </w:r>
      <w:r>
        <w:rPr>
          <w:rFonts w:hint="eastAsia" w:ascii="仿宋_GB2312" w:eastAsia="仿宋_GB2312"/>
          <w:color w:val="040404"/>
          <w:sz w:val="32"/>
          <w:szCs w:val="32"/>
        </w:rPr>
        <w:t>要求定期评估试点情况，</w:t>
      </w:r>
      <w:r>
        <w:rPr>
          <w:rFonts w:hint="eastAsia" w:ascii="仿宋_GB2312" w:hAnsi="仿宋_GB2312" w:eastAsia="仿宋_GB2312" w:cs="仿宋_GB2312"/>
          <w:sz w:val="32"/>
          <w:szCs w:val="32"/>
        </w:rPr>
        <w:t>市工业和信息化管理部门</w:t>
      </w:r>
      <w:r>
        <w:rPr>
          <w:rFonts w:hint="eastAsia" w:ascii="仿宋_GB2312" w:eastAsia="仿宋_GB2312"/>
          <w:color w:val="040404"/>
          <w:sz w:val="32"/>
          <w:szCs w:val="32"/>
        </w:rPr>
        <w:t>结合工作实际及发展需求动态调整试点车辆规模、优化管理措施；</w:t>
      </w:r>
      <w:r>
        <w:rPr>
          <w:rFonts w:hint="eastAsia" w:ascii="仿宋_GB2312" w:eastAsia="仿宋_GB2312"/>
          <w:b/>
          <w:bCs/>
          <w:color w:val="040404"/>
          <w:sz w:val="32"/>
          <w:szCs w:val="32"/>
        </w:rPr>
        <w:t>三</w:t>
      </w:r>
      <w:r>
        <w:rPr>
          <w:rFonts w:hint="eastAsia" w:ascii="仿宋_GB2312" w:eastAsia="仿宋_GB2312"/>
          <w:b/>
          <w:bCs/>
          <w:color w:val="040404"/>
          <w:sz w:val="32"/>
          <w:szCs w:val="32"/>
        </w:rPr>
        <w:t>是</w:t>
      </w:r>
      <w:r>
        <w:rPr>
          <w:rFonts w:hint="eastAsia" w:ascii="仿宋_GB2312" w:eastAsia="仿宋_GB2312"/>
          <w:color w:val="040404"/>
          <w:sz w:val="32"/>
          <w:szCs w:val="32"/>
        </w:rPr>
        <w:t>要求定期向社会公布试点项目信息及提示；</w:t>
      </w:r>
      <w:r>
        <w:rPr>
          <w:rFonts w:hint="eastAsia" w:ascii="仿宋_GB2312" w:eastAsia="仿宋_GB2312"/>
          <w:b/>
          <w:bCs/>
          <w:color w:val="040404"/>
          <w:sz w:val="32"/>
          <w:szCs w:val="32"/>
        </w:rPr>
        <w:t>四是</w:t>
      </w:r>
      <w:r>
        <w:rPr>
          <w:rFonts w:hint="eastAsia" w:ascii="仿宋_GB2312" w:hAnsi="仿宋" w:eastAsia="仿宋_GB2312"/>
          <w:bCs/>
          <w:sz w:val="32"/>
          <w:szCs w:val="32"/>
        </w:rPr>
        <w:t>全方位、多渠道加大宣传推广，营造良好的功能型无人车发展舆论氛围</w:t>
      </w:r>
      <w:r>
        <w:rPr>
          <w:rFonts w:hint="eastAsia" w:ascii="仿宋_GB2312" w:eastAsia="仿宋_GB2312"/>
          <w:color w:val="040404"/>
          <w:sz w:val="32"/>
          <w:szCs w:val="32"/>
        </w:rPr>
        <w:t>。</w:t>
      </w:r>
    </w:p>
    <w:p>
      <w:pPr>
        <w:pStyle w:val="5"/>
        <w:spacing w:before="0" w:beforeAutospacing="0" w:after="0" w:afterAutospacing="0" w:line="560" w:lineRule="exact"/>
        <w:ind w:firstLine="640" w:firstLineChars="200"/>
        <w:jc w:val="both"/>
        <w:rPr>
          <w:rFonts w:hint="eastAsia" w:ascii="仿宋_GB2312" w:eastAsia="仿宋_GB2312"/>
          <w:color w:val="040404"/>
          <w:sz w:val="32"/>
          <w:szCs w:val="32"/>
        </w:rPr>
      </w:pPr>
    </w:p>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等线">
    <w:altName w:val="华文仿宋"/>
    <w:panose1 w:val="02010600030101010101"/>
    <w:charset w:val="86"/>
    <w:family w:val="auto"/>
    <w:pitch w:val="default"/>
    <w:sig w:usb0="00000000" w:usb1="00000000" w:usb2="00000016" w:usb3="00000000" w:csb0="0004000F" w:csb1="00000000"/>
  </w:font>
  <w:font w:name="华文仿宋">
    <w:panose1 w:val="02010600040101010101"/>
    <w:charset w:val="86"/>
    <w:family w:val="auto"/>
    <w:pitch w:val="default"/>
    <w:sig w:usb0="00000287" w:usb1="080F0000" w:usb2="00000000" w:usb3="00000000" w:csb0="0004009F" w:csb1="DFD7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10" w:usb3="00000000" w:csb0="00040000" w:csb1="00000000"/>
  </w:font>
  <w:font w:name="方正仿宋_GBK">
    <w:panose1 w:val="02000000000000000000"/>
    <w:charset w:val="86"/>
    <w:family w:val="auto"/>
    <w:pitch w:val="default"/>
    <w:sig w:usb0="00000001" w:usb1="08000000" w:usb2="00000000" w:usb3="00000000" w:csb0="00040000" w:csb1="00000000"/>
  </w:font>
  <w:font w:name="楷体_GB2312">
    <w:altName w:val="方正楷体_GBK"/>
    <w:panose1 w:val="02010609030101010101"/>
    <w:charset w:val="86"/>
    <w:family w:val="modern"/>
    <w:pitch w:val="default"/>
    <w:sig w:usb0="00000000" w:usb1="00000000" w:usb2="00000010" w:usb3="00000000" w:csb0="00040000" w:csb1="00000000"/>
  </w:font>
  <w:font w:name="方正楷体_GBK">
    <w:panose1 w:val="02000000000000000000"/>
    <w:charset w:val="86"/>
    <w:family w:val="auto"/>
    <w:pitch w:val="default"/>
    <w:sig w:usb0="00000001" w:usb1="08000000" w:usb2="00000000" w:usb3="00000000" w:csb0="00040000" w:csb1="00000000"/>
  </w:font>
  <w:font w:name="微软雅黑">
    <w:altName w:val="方正黑体_GBK"/>
    <w:panose1 w:val="020B0503020204020204"/>
    <w:charset w:val="86"/>
    <w:family w:val="swiss"/>
    <w:pitch w:val="default"/>
    <w:sig w:usb0="00000000" w:usb1="00000000" w:usb2="00000016" w:usb3="00000000" w:csb0="0004001F" w:csb1="00000000"/>
  </w:font>
  <w:font w:name="仿宋">
    <w:altName w:val="方正仿宋_GBK"/>
    <w:panose1 w:val="02010609060101010101"/>
    <w:charset w:val="86"/>
    <w:family w:val="modern"/>
    <w:pitch w:val="default"/>
    <w:sig w:usb0="00000000" w:usb1="00000000" w:usb2="00000016" w:usb3="00000000" w:csb0="00040001" w:csb1="00000000"/>
  </w:font>
  <w:font w:name="Arial">
    <w:altName w:val="DejaVu Sans"/>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96B"/>
    <w:rsid w:val="000048DF"/>
    <w:rsid w:val="000346F4"/>
    <w:rsid w:val="00040816"/>
    <w:rsid w:val="00051D98"/>
    <w:rsid w:val="00054C00"/>
    <w:rsid w:val="00060176"/>
    <w:rsid w:val="00062AA0"/>
    <w:rsid w:val="00072597"/>
    <w:rsid w:val="00077F6E"/>
    <w:rsid w:val="00080E30"/>
    <w:rsid w:val="00080FA7"/>
    <w:rsid w:val="000813B7"/>
    <w:rsid w:val="00082EFB"/>
    <w:rsid w:val="000835D1"/>
    <w:rsid w:val="0008376C"/>
    <w:rsid w:val="000A7234"/>
    <w:rsid w:val="000C2974"/>
    <w:rsid w:val="000D4728"/>
    <w:rsid w:val="000D4929"/>
    <w:rsid w:val="000D4A8C"/>
    <w:rsid w:val="000E1024"/>
    <w:rsid w:val="000F1165"/>
    <w:rsid w:val="000F437B"/>
    <w:rsid w:val="000F4F42"/>
    <w:rsid w:val="000F71C7"/>
    <w:rsid w:val="001111F9"/>
    <w:rsid w:val="00113DFB"/>
    <w:rsid w:val="001240E9"/>
    <w:rsid w:val="00134252"/>
    <w:rsid w:val="00135E06"/>
    <w:rsid w:val="00136958"/>
    <w:rsid w:val="00142B81"/>
    <w:rsid w:val="00150DC8"/>
    <w:rsid w:val="00150EE0"/>
    <w:rsid w:val="001567AE"/>
    <w:rsid w:val="00171EE6"/>
    <w:rsid w:val="00172C7A"/>
    <w:rsid w:val="00185158"/>
    <w:rsid w:val="001A56C3"/>
    <w:rsid w:val="001B4030"/>
    <w:rsid w:val="001C0DC8"/>
    <w:rsid w:val="001C2331"/>
    <w:rsid w:val="001E1AC0"/>
    <w:rsid w:val="001E5B35"/>
    <w:rsid w:val="00204E79"/>
    <w:rsid w:val="00205F43"/>
    <w:rsid w:val="0021435E"/>
    <w:rsid w:val="00216785"/>
    <w:rsid w:val="002238C4"/>
    <w:rsid w:val="00227AD1"/>
    <w:rsid w:val="0023366A"/>
    <w:rsid w:val="00234E8E"/>
    <w:rsid w:val="00237BFA"/>
    <w:rsid w:val="002610EC"/>
    <w:rsid w:val="00271A26"/>
    <w:rsid w:val="002765F9"/>
    <w:rsid w:val="00280774"/>
    <w:rsid w:val="002A49CF"/>
    <w:rsid w:val="002C1309"/>
    <w:rsid w:val="002C2A34"/>
    <w:rsid w:val="002C688B"/>
    <w:rsid w:val="002F7BB0"/>
    <w:rsid w:val="003012A3"/>
    <w:rsid w:val="00306F92"/>
    <w:rsid w:val="003165E6"/>
    <w:rsid w:val="00316D55"/>
    <w:rsid w:val="00317796"/>
    <w:rsid w:val="003212B6"/>
    <w:rsid w:val="0032350A"/>
    <w:rsid w:val="003268A2"/>
    <w:rsid w:val="0033115B"/>
    <w:rsid w:val="00340056"/>
    <w:rsid w:val="00341AA6"/>
    <w:rsid w:val="00342ADD"/>
    <w:rsid w:val="00345476"/>
    <w:rsid w:val="00345D51"/>
    <w:rsid w:val="00346E2A"/>
    <w:rsid w:val="00351B66"/>
    <w:rsid w:val="003605D7"/>
    <w:rsid w:val="0036545F"/>
    <w:rsid w:val="00372433"/>
    <w:rsid w:val="0037474E"/>
    <w:rsid w:val="00376810"/>
    <w:rsid w:val="0038050A"/>
    <w:rsid w:val="0038390A"/>
    <w:rsid w:val="00386017"/>
    <w:rsid w:val="003906C5"/>
    <w:rsid w:val="00395B58"/>
    <w:rsid w:val="003A2F12"/>
    <w:rsid w:val="003B0036"/>
    <w:rsid w:val="003C10DA"/>
    <w:rsid w:val="003C524F"/>
    <w:rsid w:val="003D1D68"/>
    <w:rsid w:val="003D34EB"/>
    <w:rsid w:val="003D676F"/>
    <w:rsid w:val="00402DE1"/>
    <w:rsid w:val="00412942"/>
    <w:rsid w:val="0042339B"/>
    <w:rsid w:val="0042742B"/>
    <w:rsid w:val="004312FB"/>
    <w:rsid w:val="004334D8"/>
    <w:rsid w:val="004347F0"/>
    <w:rsid w:val="00442260"/>
    <w:rsid w:val="00446582"/>
    <w:rsid w:val="00446EA6"/>
    <w:rsid w:val="004504C5"/>
    <w:rsid w:val="00466641"/>
    <w:rsid w:val="00467842"/>
    <w:rsid w:val="00470D2F"/>
    <w:rsid w:val="00487601"/>
    <w:rsid w:val="004A076F"/>
    <w:rsid w:val="004A392D"/>
    <w:rsid w:val="004A4233"/>
    <w:rsid w:val="004B382B"/>
    <w:rsid w:val="004B3C2F"/>
    <w:rsid w:val="004D1F53"/>
    <w:rsid w:val="004D4B3D"/>
    <w:rsid w:val="004D6FEF"/>
    <w:rsid w:val="004D7E94"/>
    <w:rsid w:val="004E11C4"/>
    <w:rsid w:val="004E16C5"/>
    <w:rsid w:val="004F77E0"/>
    <w:rsid w:val="00500FA1"/>
    <w:rsid w:val="00504DA6"/>
    <w:rsid w:val="005057A1"/>
    <w:rsid w:val="005135BC"/>
    <w:rsid w:val="0052624B"/>
    <w:rsid w:val="00553E21"/>
    <w:rsid w:val="00566DB1"/>
    <w:rsid w:val="005713D4"/>
    <w:rsid w:val="00572515"/>
    <w:rsid w:val="005749C8"/>
    <w:rsid w:val="005752D6"/>
    <w:rsid w:val="005774A6"/>
    <w:rsid w:val="005A46C4"/>
    <w:rsid w:val="005F4B07"/>
    <w:rsid w:val="005F7CFD"/>
    <w:rsid w:val="006027A8"/>
    <w:rsid w:val="00603A77"/>
    <w:rsid w:val="00604540"/>
    <w:rsid w:val="00614E83"/>
    <w:rsid w:val="006224A2"/>
    <w:rsid w:val="00625C2E"/>
    <w:rsid w:val="00633C37"/>
    <w:rsid w:val="006502F2"/>
    <w:rsid w:val="00651991"/>
    <w:rsid w:val="0067175A"/>
    <w:rsid w:val="00672F53"/>
    <w:rsid w:val="006750A3"/>
    <w:rsid w:val="00682CFE"/>
    <w:rsid w:val="00683646"/>
    <w:rsid w:val="0069174E"/>
    <w:rsid w:val="00692744"/>
    <w:rsid w:val="0069723C"/>
    <w:rsid w:val="006A37C9"/>
    <w:rsid w:val="006A3B7A"/>
    <w:rsid w:val="006A3B80"/>
    <w:rsid w:val="006B6582"/>
    <w:rsid w:val="006B7541"/>
    <w:rsid w:val="006B7F9B"/>
    <w:rsid w:val="006C16A2"/>
    <w:rsid w:val="006E3ACB"/>
    <w:rsid w:val="006F085F"/>
    <w:rsid w:val="006F335C"/>
    <w:rsid w:val="006F3879"/>
    <w:rsid w:val="006F581C"/>
    <w:rsid w:val="00702B31"/>
    <w:rsid w:val="007043CF"/>
    <w:rsid w:val="0070466A"/>
    <w:rsid w:val="00704FE3"/>
    <w:rsid w:val="00711CE9"/>
    <w:rsid w:val="007162A3"/>
    <w:rsid w:val="00724673"/>
    <w:rsid w:val="00727DF2"/>
    <w:rsid w:val="007333E5"/>
    <w:rsid w:val="0073534C"/>
    <w:rsid w:val="007626CD"/>
    <w:rsid w:val="007652B1"/>
    <w:rsid w:val="00767F3C"/>
    <w:rsid w:val="00771F51"/>
    <w:rsid w:val="00775BC2"/>
    <w:rsid w:val="00776B11"/>
    <w:rsid w:val="007927B1"/>
    <w:rsid w:val="007A003B"/>
    <w:rsid w:val="007A25B6"/>
    <w:rsid w:val="007A2E41"/>
    <w:rsid w:val="007A5162"/>
    <w:rsid w:val="007B4A6F"/>
    <w:rsid w:val="007B56B2"/>
    <w:rsid w:val="007D511F"/>
    <w:rsid w:val="007E2161"/>
    <w:rsid w:val="007E380D"/>
    <w:rsid w:val="007F1A0B"/>
    <w:rsid w:val="00800796"/>
    <w:rsid w:val="008014AF"/>
    <w:rsid w:val="00815818"/>
    <w:rsid w:val="008169A7"/>
    <w:rsid w:val="00822F1F"/>
    <w:rsid w:val="00823B4E"/>
    <w:rsid w:val="0083403B"/>
    <w:rsid w:val="00834740"/>
    <w:rsid w:val="0083553C"/>
    <w:rsid w:val="00846C63"/>
    <w:rsid w:val="008539A9"/>
    <w:rsid w:val="00887EB8"/>
    <w:rsid w:val="008926E9"/>
    <w:rsid w:val="0089682E"/>
    <w:rsid w:val="008A1B23"/>
    <w:rsid w:val="008A41FC"/>
    <w:rsid w:val="008B513A"/>
    <w:rsid w:val="008C037B"/>
    <w:rsid w:val="008C5F83"/>
    <w:rsid w:val="008C63C3"/>
    <w:rsid w:val="008D0B79"/>
    <w:rsid w:val="008E6334"/>
    <w:rsid w:val="008F26FA"/>
    <w:rsid w:val="008F4207"/>
    <w:rsid w:val="008F7245"/>
    <w:rsid w:val="00902140"/>
    <w:rsid w:val="009113D6"/>
    <w:rsid w:val="00912473"/>
    <w:rsid w:val="00914F98"/>
    <w:rsid w:val="00915A71"/>
    <w:rsid w:val="009166D1"/>
    <w:rsid w:val="0092187A"/>
    <w:rsid w:val="00925C0F"/>
    <w:rsid w:val="0092757A"/>
    <w:rsid w:val="0093672B"/>
    <w:rsid w:val="00942494"/>
    <w:rsid w:val="00955DB5"/>
    <w:rsid w:val="00956E60"/>
    <w:rsid w:val="00972CFA"/>
    <w:rsid w:val="00972F93"/>
    <w:rsid w:val="00981B34"/>
    <w:rsid w:val="009827C5"/>
    <w:rsid w:val="00984CA3"/>
    <w:rsid w:val="009853D0"/>
    <w:rsid w:val="00985CDA"/>
    <w:rsid w:val="009905C6"/>
    <w:rsid w:val="00994622"/>
    <w:rsid w:val="009B3497"/>
    <w:rsid w:val="009B70F8"/>
    <w:rsid w:val="009D1AC9"/>
    <w:rsid w:val="009D1FD1"/>
    <w:rsid w:val="009D4095"/>
    <w:rsid w:val="009D61DC"/>
    <w:rsid w:val="009E09E6"/>
    <w:rsid w:val="009E3A3B"/>
    <w:rsid w:val="009E462F"/>
    <w:rsid w:val="009E5BC4"/>
    <w:rsid w:val="009E60DF"/>
    <w:rsid w:val="009E61B6"/>
    <w:rsid w:val="009F5A85"/>
    <w:rsid w:val="00A02196"/>
    <w:rsid w:val="00A04816"/>
    <w:rsid w:val="00A054A1"/>
    <w:rsid w:val="00A05E4C"/>
    <w:rsid w:val="00A10E28"/>
    <w:rsid w:val="00A309DE"/>
    <w:rsid w:val="00A32AF6"/>
    <w:rsid w:val="00A369DF"/>
    <w:rsid w:val="00A42B11"/>
    <w:rsid w:val="00A43DA7"/>
    <w:rsid w:val="00A7204D"/>
    <w:rsid w:val="00A85D5C"/>
    <w:rsid w:val="00A93DE9"/>
    <w:rsid w:val="00A97D00"/>
    <w:rsid w:val="00AC1216"/>
    <w:rsid w:val="00AD1C07"/>
    <w:rsid w:val="00AD488F"/>
    <w:rsid w:val="00AF0588"/>
    <w:rsid w:val="00B14587"/>
    <w:rsid w:val="00B16311"/>
    <w:rsid w:val="00B25B2E"/>
    <w:rsid w:val="00B33061"/>
    <w:rsid w:val="00B36085"/>
    <w:rsid w:val="00B40A31"/>
    <w:rsid w:val="00B52407"/>
    <w:rsid w:val="00B551F3"/>
    <w:rsid w:val="00B63AEC"/>
    <w:rsid w:val="00B7032E"/>
    <w:rsid w:val="00B75DEA"/>
    <w:rsid w:val="00B76397"/>
    <w:rsid w:val="00B76705"/>
    <w:rsid w:val="00B76DA5"/>
    <w:rsid w:val="00B867AB"/>
    <w:rsid w:val="00B87D62"/>
    <w:rsid w:val="00B9227E"/>
    <w:rsid w:val="00BA5389"/>
    <w:rsid w:val="00BB06AB"/>
    <w:rsid w:val="00BB1B97"/>
    <w:rsid w:val="00BB267F"/>
    <w:rsid w:val="00BB5866"/>
    <w:rsid w:val="00BB6BED"/>
    <w:rsid w:val="00BB7580"/>
    <w:rsid w:val="00BB7EC6"/>
    <w:rsid w:val="00BD3BF3"/>
    <w:rsid w:val="00BF5ACC"/>
    <w:rsid w:val="00C033AC"/>
    <w:rsid w:val="00C035A1"/>
    <w:rsid w:val="00C06090"/>
    <w:rsid w:val="00C07624"/>
    <w:rsid w:val="00C162AA"/>
    <w:rsid w:val="00C226E3"/>
    <w:rsid w:val="00C311DA"/>
    <w:rsid w:val="00C33CB5"/>
    <w:rsid w:val="00C36036"/>
    <w:rsid w:val="00C363B0"/>
    <w:rsid w:val="00C41513"/>
    <w:rsid w:val="00C4690C"/>
    <w:rsid w:val="00C578B2"/>
    <w:rsid w:val="00C57A7A"/>
    <w:rsid w:val="00C65BF7"/>
    <w:rsid w:val="00C67322"/>
    <w:rsid w:val="00C716F5"/>
    <w:rsid w:val="00C743D2"/>
    <w:rsid w:val="00C8566C"/>
    <w:rsid w:val="00C930C4"/>
    <w:rsid w:val="00CA3312"/>
    <w:rsid w:val="00CA67C1"/>
    <w:rsid w:val="00CB6B10"/>
    <w:rsid w:val="00CB7220"/>
    <w:rsid w:val="00CC115B"/>
    <w:rsid w:val="00CC1204"/>
    <w:rsid w:val="00CC4245"/>
    <w:rsid w:val="00CD3C3E"/>
    <w:rsid w:val="00CD692C"/>
    <w:rsid w:val="00CD7997"/>
    <w:rsid w:val="00CE2E55"/>
    <w:rsid w:val="00CE4780"/>
    <w:rsid w:val="00CE7F74"/>
    <w:rsid w:val="00CF507A"/>
    <w:rsid w:val="00D0166C"/>
    <w:rsid w:val="00D0433C"/>
    <w:rsid w:val="00D05573"/>
    <w:rsid w:val="00D073D3"/>
    <w:rsid w:val="00D105B3"/>
    <w:rsid w:val="00D3131E"/>
    <w:rsid w:val="00D315B6"/>
    <w:rsid w:val="00D370A8"/>
    <w:rsid w:val="00D42A9C"/>
    <w:rsid w:val="00D47515"/>
    <w:rsid w:val="00D83976"/>
    <w:rsid w:val="00D91804"/>
    <w:rsid w:val="00D94994"/>
    <w:rsid w:val="00D94A3B"/>
    <w:rsid w:val="00DB0905"/>
    <w:rsid w:val="00DB1BDC"/>
    <w:rsid w:val="00DB45B9"/>
    <w:rsid w:val="00DC055F"/>
    <w:rsid w:val="00DC2E39"/>
    <w:rsid w:val="00DC4425"/>
    <w:rsid w:val="00DC7C8B"/>
    <w:rsid w:val="00DD473C"/>
    <w:rsid w:val="00DE2CB2"/>
    <w:rsid w:val="00DE3D0F"/>
    <w:rsid w:val="00DF025E"/>
    <w:rsid w:val="00DF277C"/>
    <w:rsid w:val="00DF2A25"/>
    <w:rsid w:val="00E13BD3"/>
    <w:rsid w:val="00E15969"/>
    <w:rsid w:val="00E21A48"/>
    <w:rsid w:val="00E238E3"/>
    <w:rsid w:val="00E26791"/>
    <w:rsid w:val="00E27585"/>
    <w:rsid w:val="00E31002"/>
    <w:rsid w:val="00E35875"/>
    <w:rsid w:val="00E360F2"/>
    <w:rsid w:val="00E51E6F"/>
    <w:rsid w:val="00E5543D"/>
    <w:rsid w:val="00E61511"/>
    <w:rsid w:val="00E668BA"/>
    <w:rsid w:val="00E7751B"/>
    <w:rsid w:val="00E81F01"/>
    <w:rsid w:val="00E8236F"/>
    <w:rsid w:val="00E93B6C"/>
    <w:rsid w:val="00EA1A26"/>
    <w:rsid w:val="00EB628B"/>
    <w:rsid w:val="00EC2586"/>
    <w:rsid w:val="00EC2642"/>
    <w:rsid w:val="00ED0656"/>
    <w:rsid w:val="00ED2ABB"/>
    <w:rsid w:val="00ED4BED"/>
    <w:rsid w:val="00ED7EAD"/>
    <w:rsid w:val="00EE396B"/>
    <w:rsid w:val="00EF1601"/>
    <w:rsid w:val="00EF7642"/>
    <w:rsid w:val="00F000C7"/>
    <w:rsid w:val="00F01E2D"/>
    <w:rsid w:val="00F11386"/>
    <w:rsid w:val="00F20DB0"/>
    <w:rsid w:val="00F20E82"/>
    <w:rsid w:val="00F32DB7"/>
    <w:rsid w:val="00F3721A"/>
    <w:rsid w:val="00F42E7F"/>
    <w:rsid w:val="00F46122"/>
    <w:rsid w:val="00F603F7"/>
    <w:rsid w:val="00F6747C"/>
    <w:rsid w:val="00F71478"/>
    <w:rsid w:val="00F74094"/>
    <w:rsid w:val="00F758D0"/>
    <w:rsid w:val="00F80FDF"/>
    <w:rsid w:val="00F847D3"/>
    <w:rsid w:val="00F85CD1"/>
    <w:rsid w:val="00F87AE8"/>
    <w:rsid w:val="00F905BD"/>
    <w:rsid w:val="00F90924"/>
    <w:rsid w:val="00FB0E02"/>
    <w:rsid w:val="00FB27B5"/>
    <w:rsid w:val="4B6B32A5"/>
    <w:rsid w:val="7AFE6162"/>
    <w:rsid w:val="D6F7CD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link w:val="9"/>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customStyle="1" w:styleId="9">
    <w:name w:val="标题 1 字符"/>
    <w:basedOn w:val="7"/>
    <w:link w:val="2"/>
    <w:qFormat/>
    <w:uiPriority w:val="9"/>
    <w:rPr>
      <w:rFonts w:ascii="宋体" w:hAnsi="宋体" w:eastAsia="宋体" w:cs="宋体"/>
      <w:b/>
      <w:bCs/>
      <w:kern w:val="36"/>
      <w:sz w:val="48"/>
      <w:szCs w:val="48"/>
    </w:rPr>
  </w:style>
  <w:style w:type="paragraph" w:customStyle="1" w:styleId="10">
    <w:name w:val="pa-3"/>
    <w:basedOn w:val="1"/>
    <w:qFormat/>
    <w:uiPriority w:val="0"/>
    <w:pPr>
      <w:widowControl/>
      <w:spacing w:line="360" w:lineRule="atLeast"/>
      <w:ind w:firstLine="640"/>
    </w:pPr>
    <w:rPr>
      <w:rFonts w:ascii="宋体" w:hAnsi="宋体" w:eastAsia="宋体" w:cs="Times New Roman"/>
      <w:kern w:val="0"/>
      <w:sz w:val="24"/>
      <w:szCs w:val="20"/>
    </w:rPr>
  </w:style>
  <w:style w:type="character" w:customStyle="1" w:styleId="11">
    <w:name w:val="页眉 字符"/>
    <w:basedOn w:val="7"/>
    <w:link w:val="4"/>
    <w:qFormat/>
    <w:uiPriority w:val="99"/>
    <w:rPr>
      <w:sz w:val="18"/>
      <w:szCs w:val="18"/>
    </w:rPr>
  </w:style>
  <w:style w:type="character" w:customStyle="1" w:styleId="12">
    <w:name w:val="页脚 字符"/>
    <w:basedOn w:val="7"/>
    <w:link w:val="3"/>
    <w:uiPriority w:val="99"/>
    <w:rPr>
      <w:sz w:val="18"/>
      <w:szCs w:val="18"/>
    </w:rPr>
  </w:style>
  <w:style w:type="paragraph" w:customStyle="1" w:styleId="13">
    <w:name w:val="修订1"/>
    <w:hidden/>
    <w:unhideWhenUsed/>
    <w:uiPriority w:val="99"/>
    <w:rPr>
      <w:rFonts w:asciiTheme="minorHAnsi" w:hAnsiTheme="minorHAnsi" w:eastAsiaTheme="minorEastAsia" w:cstheme="minorBidi"/>
      <w:kern w:val="2"/>
      <w:sz w:val="21"/>
      <w:szCs w:val="22"/>
      <w:lang w:val="en-US" w:eastAsia="zh-CN" w:bidi="ar-SA"/>
    </w:rPr>
  </w:style>
  <w:style w:type="paragraph" w:customStyle="1" w:styleId="14">
    <w:name w:val="Revision"/>
    <w:hidden/>
    <w:unhideWhenUsed/>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400</Words>
  <Characters>2280</Characters>
  <Lines>19</Lines>
  <Paragraphs>5</Paragraphs>
  <TotalTime>1</TotalTime>
  <ScaleCrop>false</ScaleCrop>
  <LinksUpToDate>false</LinksUpToDate>
  <CharactersWithSpaces>2675</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2025-02-19T15:36:00Z</dcterms:created>
  <dc:creator>洪倩雯</dc:creator>
  <cp:lastModifiedBy>huawei</cp:lastModifiedBy>
  <dcterms:modified xsi:type="dcterms:W3CDTF">2025-02-19T20:19:27Z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6D824666B8612BF76EFF95674C4057A3</vt:lpwstr>
  </property>
  <property fmtid="{D5CDD505-2E9C-101B-9397-08002B2CF9AE}" pid="4" name="KSOTemplateDocerSaveRecord">
    <vt:lpwstr>eyJoZGlkIjoiY2ViMjc1YjM5YzYxOTk4NTlmOWE2ZjExYmIzNWVmZmUiLCJ1c2VySWQiOiI0ODQ3MDQ4NDQifQ==</vt:lpwstr>
  </property>
</Properties>
</file>